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8E25" w14:textId="77777777" w:rsidR="00776FBE" w:rsidRPr="00CD7E52" w:rsidRDefault="00776FBE" w:rsidP="009E0A7D">
      <w:pPr>
        <w:widowControl w:val="0"/>
        <w:tabs>
          <w:tab w:val="clear" w:pos="567"/>
        </w:tabs>
        <w:spacing w:line="240" w:lineRule="auto"/>
        <w:ind w:left="567" w:hanging="567"/>
        <w:rPr>
          <w:szCs w:val="22"/>
          <w:lang w:val="lt-LT"/>
        </w:rPr>
      </w:pPr>
    </w:p>
    <w:p w14:paraId="3232E0AF" w14:textId="77777777" w:rsidR="00776FBE" w:rsidRPr="00CD7E52" w:rsidRDefault="00776FBE" w:rsidP="009E0A7D">
      <w:pPr>
        <w:widowControl w:val="0"/>
        <w:tabs>
          <w:tab w:val="clear" w:pos="567"/>
        </w:tabs>
        <w:spacing w:line="240" w:lineRule="auto"/>
        <w:ind w:left="567" w:hanging="567"/>
        <w:rPr>
          <w:szCs w:val="22"/>
          <w:lang w:val="lt-LT"/>
        </w:rPr>
      </w:pPr>
    </w:p>
    <w:p w14:paraId="64E258BD" w14:textId="77777777" w:rsidR="00776FBE" w:rsidRPr="00CD7E52" w:rsidRDefault="00776FBE" w:rsidP="009E0A7D">
      <w:pPr>
        <w:widowControl w:val="0"/>
        <w:tabs>
          <w:tab w:val="clear" w:pos="567"/>
        </w:tabs>
        <w:spacing w:line="240" w:lineRule="auto"/>
        <w:ind w:left="567" w:hanging="567"/>
        <w:rPr>
          <w:szCs w:val="22"/>
          <w:lang w:val="lt-LT"/>
        </w:rPr>
      </w:pPr>
    </w:p>
    <w:p w14:paraId="5A732938" w14:textId="77777777" w:rsidR="00776FBE" w:rsidRPr="00CD7E52" w:rsidRDefault="00776FBE" w:rsidP="009E0A7D">
      <w:pPr>
        <w:widowControl w:val="0"/>
        <w:tabs>
          <w:tab w:val="clear" w:pos="567"/>
        </w:tabs>
        <w:spacing w:line="240" w:lineRule="auto"/>
        <w:ind w:left="567" w:hanging="567"/>
        <w:rPr>
          <w:szCs w:val="22"/>
          <w:lang w:val="lt-LT"/>
        </w:rPr>
      </w:pPr>
    </w:p>
    <w:p w14:paraId="0F012C07" w14:textId="77777777" w:rsidR="00776FBE" w:rsidRPr="00CD7E52" w:rsidRDefault="00776FBE" w:rsidP="009E0A7D">
      <w:pPr>
        <w:widowControl w:val="0"/>
        <w:tabs>
          <w:tab w:val="clear" w:pos="567"/>
        </w:tabs>
        <w:spacing w:line="240" w:lineRule="auto"/>
        <w:ind w:left="567" w:hanging="567"/>
        <w:rPr>
          <w:szCs w:val="22"/>
          <w:lang w:val="lt-LT"/>
        </w:rPr>
      </w:pPr>
    </w:p>
    <w:p w14:paraId="3B02C47C" w14:textId="77777777" w:rsidR="00776FBE" w:rsidRPr="00CD7E52" w:rsidRDefault="00776FBE" w:rsidP="009E0A7D">
      <w:pPr>
        <w:widowControl w:val="0"/>
        <w:tabs>
          <w:tab w:val="clear" w:pos="567"/>
        </w:tabs>
        <w:spacing w:line="240" w:lineRule="auto"/>
        <w:ind w:left="567" w:hanging="567"/>
        <w:rPr>
          <w:szCs w:val="22"/>
          <w:lang w:val="lt-LT"/>
        </w:rPr>
      </w:pPr>
    </w:p>
    <w:p w14:paraId="7438AEDF" w14:textId="77777777" w:rsidR="00776FBE" w:rsidRPr="00CD7E52" w:rsidRDefault="00776FBE" w:rsidP="009E0A7D">
      <w:pPr>
        <w:widowControl w:val="0"/>
        <w:tabs>
          <w:tab w:val="clear" w:pos="567"/>
        </w:tabs>
        <w:spacing w:line="240" w:lineRule="auto"/>
        <w:ind w:left="567" w:hanging="567"/>
        <w:rPr>
          <w:szCs w:val="22"/>
          <w:lang w:val="lt-LT"/>
        </w:rPr>
      </w:pPr>
    </w:p>
    <w:p w14:paraId="3D999B72" w14:textId="77777777" w:rsidR="00776FBE" w:rsidRPr="00CD7E52" w:rsidRDefault="00776FBE" w:rsidP="009E0A7D">
      <w:pPr>
        <w:widowControl w:val="0"/>
        <w:tabs>
          <w:tab w:val="clear" w:pos="567"/>
        </w:tabs>
        <w:spacing w:line="240" w:lineRule="auto"/>
        <w:ind w:left="567" w:hanging="567"/>
        <w:rPr>
          <w:szCs w:val="22"/>
          <w:lang w:val="lt-LT"/>
        </w:rPr>
      </w:pPr>
    </w:p>
    <w:p w14:paraId="48ED36C3" w14:textId="77777777" w:rsidR="00776FBE" w:rsidRPr="00CD7E52" w:rsidRDefault="00776FBE" w:rsidP="009E0A7D">
      <w:pPr>
        <w:widowControl w:val="0"/>
        <w:tabs>
          <w:tab w:val="clear" w:pos="567"/>
        </w:tabs>
        <w:spacing w:line="240" w:lineRule="auto"/>
        <w:ind w:left="567" w:hanging="567"/>
        <w:rPr>
          <w:szCs w:val="22"/>
          <w:lang w:val="lt-LT"/>
        </w:rPr>
      </w:pPr>
    </w:p>
    <w:p w14:paraId="4F5AA238" w14:textId="77777777" w:rsidR="00776FBE" w:rsidRPr="00CD7E52" w:rsidRDefault="00776FBE" w:rsidP="009E0A7D">
      <w:pPr>
        <w:widowControl w:val="0"/>
        <w:tabs>
          <w:tab w:val="clear" w:pos="567"/>
        </w:tabs>
        <w:spacing w:line="240" w:lineRule="auto"/>
        <w:ind w:left="567" w:hanging="567"/>
        <w:rPr>
          <w:szCs w:val="22"/>
          <w:lang w:val="lt-LT"/>
        </w:rPr>
      </w:pPr>
    </w:p>
    <w:p w14:paraId="630E0DD7" w14:textId="77777777" w:rsidR="00776FBE" w:rsidRPr="00CD7E52" w:rsidRDefault="00776FBE" w:rsidP="009E0A7D">
      <w:pPr>
        <w:widowControl w:val="0"/>
        <w:tabs>
          <w:tab w:val="clear" w:pos="567"/>
        </w:tabs>
        <w:spacing w:line="240" w:lineRule="auto"/>
        <w:ind w:left="567" w:hanging="567"/>
        <w:rPr>
          <w:szCs w:val="22"/>
          <w:lang w:val="lt-LT"/>
        </w:rPr>
      </w:pPr>
    </w:p>
    <w:p w14:paraId="2D35E698" w14:textId="77777777" w:rsidR="00776FBE" w:rsidRPr="00CD7E52" w:rsidRDefault="00776FBE" w:rsidP="009E0A7D">
      <w:pPr>
        <w:widowControl w:val="0"/>
        <w:tabs>
          <w:tab w:val="clear" w:pos="567"/>
        </w:tabs>
        <w:spacing w:line="240" w:lineRule="auto"/>
        <w:ind w:left="567" w:hanging="567"/>
        <w:rPr>
          <w:szCs w:val="22"/>
          <w:lang w:val="lt-LT"/>
        </w:rPr>
      </w:pPr>
    </w:p>
    <w:p w14:paraId="07DC27DE" w14:textId="77777777" w:rsidR="00776FBE" w:rsidRPr="00CD7E52" w:rsidRDefault="00776FBE" w:rsidP="009E0A7D">
      <w:pPr>
        <w:widowControl w:val="0"/>
        <w:tabs>
          <w:tab w:val="clear" w:pos="567"/>
        </w:tabs>
        <w:spacing w:line="240" w:lineRule="auto"/>
        <w:ind w:left="567" w:hanging="567"/>
        <w:rPr>
          <w:szCs w:val="22"/>
          <w:lang w:val="lt-LT"/>
        </w:rPr>
      </w:pPr>
    </w:p>
    <w:p w14:paraId="23F2308A" w14:textId="77777777" w:rsidR="00776FBE" w:rsidRPr="00CD7E52" w:rsidRDefault="00776FBE" w:rsidP="009E0A7D">
      <w:pPr>
        <w:widowControl w:val="0"/>
        <w:tabs>
          <w:tab w:val="clear" w:pos="567"/>
        </w:tabs>
        <w:spacing w:line="240" w:lineRule="auto"/>
        <w:ind w:left="567" w:hanging="567"/>
        <w:rPr>
          <w:szCs w:val="22"/>
          <w:lang w:val="lt-LT"/>
        </w:rPr>
      </w:pPr>
    </w:p>
    <w:p w14:paraId="1D3CDD26" w14:textId="77777777" w:rsidR="00776FBE" w:rsidRPr="00CD7E52" w:rsidRDefault="00776FBE" w:rsidP="009E0A7D">
      <w:pPr>
        <w:widowControl w:val="0"/>
        <w:tabs>
          <w:tab w:val="clear" w:pos="567"/>
        </w:tabs>
        <w:spacing w:line="240" w:lineRule="auto"/>
        <w:ind w:left="567" w:hanging="567"/>
        <w:rPr>
          <w:szCs w:val="22"/>
          <w:lang w:val="lt-LT"/>
        </w:rPr>
      </w:pPr>
    </w:p>
    <w:p w14:paraId="42FCCB6D" w14:textId="77777777" w:rsidR="00776FBE" w:rsidRPr="00CD7E52" w:rsidRDefault="00776FBE" w:rsidP="009E0A7D">
      <w:pPr>
        <w:widowControl w:val="0"/>
        <w:tabs>
          <w:tab w:val="clear" w:pos="567"/>
        </w:tabs>
        <w:spacing w:line="240" w:lineRule="auto"/>
        <w:ind w:left="567" w:hanging="567"/>
        <w:rPr>
          <w:szCs w:val="22"/>
          <w:lang w:val="lt-LT"/>
        </w:rPr>
      </w:pPr>
    </w:p>
    <w:p w14:paraId="7714FF84" w14:textId="77777777" w:rsidR="00776FBE" w:rsidRPr="00CD7E52" w:rsidRDefault="00776FBE" w:rsidP="009E0A7D">
      <w:pPr>
        <w:widowControl w:val="0"/>
        <w:tabs>
          <w:tab w:val="clear" w:pos="567"/>
        </w:tabs>
        <w:spacing w:line="240" w:lineRule="auto"/>
        <w:ind w:left="567" w:hanging="567"/>
        <w:rPr>
          <w:szCs w:val="22"/>
          <w:lang w:val="lt-LT"/>
        </w:rPr>
      </w:pPr>
    </w:p>
    <w:p w14:paraId="7B9B72DF" w14:textId="77777777" w:rsidR="00776FBE" w:rsidRPr="00CD7E52" w:rsidRDefault="00776FBE" w:rsidP="009E0A7D">
      <w:pPr>
        <w:widowControl w:val="0"/>
        <w:tabs>
          <w:tab w:val="clear" w:pos="567"/>
        </w:tabs>
        <w:spacing w:line="240" w:lineRule="auto"/>
        <w:ind w:left="567" w:hanging="567"/>
        <w:rPr>
          <w:szCs w:val="22"/>
          <w:lang w:val="lt-LT"/>
        </w:rPr>
      </w:pPr>
    </w:p>
    <w:p w14:paraId="1592C209" w14:textId="77777777" w:rsidR="00776FBE" w:rsidRPr="00CD7E52" w:rsidRDefault="00776FBE" w:rsidP="009E0A7D">
      <w:pPr>
        <w:widowControl w:val="0"/>
        <w:tabs>
          <w:tab w:val="clear" w:pos="567"/>
        </w:tabs>
        <w:spacing w:line="240" w:lineRule="auto"/>
        <w:ind w:left="567" w:hanging="567"/>
        <w:rPr>
          <w:szCs w:val="22"/>
          <w:lang w:val="lt-LT"/>
        </w:rPr>
      </w:pPr>
    </w:p>
    <w:p w14:paraId="3A2A91D6" w14:textId="77777777" w:rsidR="00776FBE" w:rsidRPr="00CD7E52" w:rsidRDefault="00776FBE" w:rsidP="00AB3C1A">
      <w:pPr>
        <w:widowControl w:val="0"/>
        <w:tabs>
          <w:tab w:val="clear" w:pos="567"/>
        </w:tabs>
        <w:spacing w:line="240" w:lineRule="auto"/>
        <w:ind w:left="567" w:hanging="567"/>
        <w:rPr>
          <w:snapToGrid/>
          <w:szCs w:val="22"/>
          <w:lang w:val="lt-LT"/>
        </w:rPr>
      </w:pPr>
    </w:p>
    <w:p w14:paraId="0E298BEC" w14:textId="77777777" w:rsidR="00776FBE" w:rsidRPr="00CD7E52" w:rsidRDefault="00776FBE" w:rsidP="00AB3C1A">
      <w:pPr>
        <w:widowControl w:val="0"/>
        <w:tabs>
          <w:tab w:val="clear" w:pos="567"/>
        </w:tabs>
        <w:spacing w:line="240" w:lineRule="auto"/>
        <w:ind w:left="567" w:hanging="567"/>
        <w:rPr>
          <w:snapToGrid/>
          <w:szCs w:val="22"/>
          <w:lang w:val="lt-LT"/>
        </w:rPr>
      </w:pPr>
    </w:p>
    <w:p w14:paraId="6AE993A8" w14:textId="77777777" w:rsidR="00776FBE" w:rsidRPr="00CD7E52" w:rsidRDefault="00776FBE" w:rsidP="00AB3C1A">
      <w:pPr>
        <w:widowControl w:val="0"/>
        <w:tabs>
          <w:tab w:val="clear" w:pos="567"/>
        </w:tabs>
        <w:spacing w:line="240" w:lineRule="auto"/>
        <w:ind w:left="567" w:hanging="567"/>
        <w:rPr>
          <w:snapToGrid/>
          <w:szCs w:val="22"/>
          <w:lang w:val="lt-LT"/>
        </w:rPr>
      </w:pPr>
    </w:p>
    <w:p w14:paraId="1DD27358" w14:textId="77777777" w:rsidR="00776FBE" w:rsidRPr="00CD7E52" w:rsidRDefault="00776FBE" w:rsidP="00AB3C1A">
      <w:pPr>
        <w:widowControl w:val="0"/>
        <w:tabs>
          <w:tab w:val="clear" w:pos="567"/>
        </w:tabs>
        <w:spacing w:line="240" w:lineRule="auto"/>
        <w:ind w:left="567" w:hanging="567"/>
        <w:rPr>
          <w:snapToGrid/>
          <w:szCs w:val="22"/>
          <w:lang w:val="lt-LT"/>
        </w:rPr>
      </w:pPr>
    </w:p>
    <w:p w14:paraId="2D9FAC3F" w14:textId="77777777" w:rsidR="00776FBE" w:rsidRPr="00CD7E52" w:rsidRDefault="00776FBE" w:rsidP="009E0A7D">
      <w:pPr>
        <w:widowControl w:val="0"/>
        <w:spacing w:line="240" w:lineRule="auto"/>
        <w:ind w:left="567" w:hanging="567"/>
        <w:jc w:val="center"/>
        <w:outlineLvl w:val="0"/>
        <w:rPr>
          <w:b/>
          <w:szCs w:val="22"/>
          <w:lang w:val="lt-LT"/>
        </w:rPr>
      </w:pPr>
      <w:r w:rsidRPr="00CD7E52">
        <w:rPr>
          <w:b/>
          <w:caps/>
          <w:szCs w:val="22"/>
          <w:lang w:val="lt-LT"/>
        </w:rPr>
        <w:t>I</w:t>
      </w:r>
      <w:r w:rsidRPr="00CD7E52">
        <w:rPr>
          <w:b/>
          <w:snapToGrid/>
          <w:szCs w:val="22"/>
          <w:lang w:val="lt-LT"/>
        </w:rPr>
        <w:t> </w:t>
      </w:r>
      <w:r w:rsidRPr="00CD7E52">
        <w:rPr>
          <w:b/>
          <w:szCs w:val="22"/>
          <w:lang w:val="lt-LT"/>
        </w:rPr>
        <w:t>PRIEDAS</w:t>
      </w:r>
    </w:p>
    <w:p w14:paraId="619FA5FB" w14:textId="77777777" w:rsidR="00776FBE" w:rsidRPr="00CD7E52" w:rsidRDefault="00776FBE" w:rsidP="009E0A7D">
      <w:pPr>
        <w:widowControl w:val="0"/>
        <w:tabs>
          <w:tab w:val="clear" w:pos="567"/>
        </w:tabs>
        <w:spacing w:line="240" w:lineRule="auto"/>
        <w:ind w:left="567" w:hanging="567"/>
        <w:jc w:val="center"/>
        <w:rPr>
          <w:szCs w:val="22"/>
          <w:lang w:val="lt-LT"/>
        </w:rPr>
      </w:pPr>
    </w:p>
    <w:p w14:paraId="44AF77C2" w14:textId="77777777" w:rsidR="00776FBE" w:rsidRPr="00CD7E52" w:rsidRDefault="00776FBE" w:rsidP="009E0A7D">
      <w:pPr>
        <w:widowControl w:val="0"/>
        <w:spacing w:line="240" w:lineRule="auto"/>
        <w:ind w:left="567" w:hanging="567"/>
        <w:jc w:val="center"/>
        <w:outlineLvl w:val="0"/>
        <w:rPr>
          <w:b/>
          <w:caps/>
          <w:szCs w:val="22"/>
          <w:lang w:val="lt-LT"/>
        </w:rPr>
      </w:pPr>
      <w:bookmarkStart w:id="0" w:name="PREPARATO_CHARAKTERISTIKŲ_SANTRAUKA"/>
      <w:bookmarkEnd w:id="0"/>
      <w:r w:rsidRPr="00CD7E52">
        <w:rPr>
          <w:b/>
          <w:caps/>
          <w:szCs w:val="22"/>
          <w:lang w:val="lt-LT"/>
        </w:rPr>
        <w:t>PREPARATO CHARAKTERISTIKŲ SANTRAUKA</w:t>
      </w:r>
    </w:p>
    <w:p w14:paraId="1A9224B2" w14:textId="77777777" w:rsidR="00776FBE" w:rsidRPr="00CD7E52" w:rsidRDefault="00776FBE" w:rsidP="009E0A7D">
      <w:pPr>
        <w:widowControl w:val="0"/>
        <w:spacing w:line="240" w:lineRule="auto"/>
        <w:ind w:left="567" w:hanging="567"/>
        <w:outlineLvl w:val="1"/>
        <w:rPr>
          <w:b/>
          <w:szCs w:val="22"/>
          <w:lang w:val="lt-LT"/>
        </w:rPr>
      </w:pPr>
      <w:r w:rsidRPr="00CD7E52">
        <w:rPr>
          <w:snapToGrid/>
          <w:szCs w:val="22"/>
          <w:lang w:val="lt-LT"/>
        </w:rPr>
        <w:br w:type="page"/>
      </w:r>
      <w:r w:rsidRPr="00CD7E52">
        <w:rPr>
          <w:b/>
          <w:snapToGrid/>
          <w:szCs w:val="22"/>
          <w:lang w:val="lt-LT"/>
        </w:rPr>
        <w:lastRenderedPageBreak/>
        <w:t>1.</w:t>
      </w:r>
      <w:r w:rsidRPr="00CD7E52">
        <w:rPr>
          <w:b/>
          <w:snapToGrid/>
          <w:szCs w:val="22"/>
          <w:lang w:val="lt-LT"/>
        </w:rPr>
        <w:tab/>
      </w:r>
      <w:r w:rsidRPr="00CD7E52">
        <w:rPr>
          <w:b/>
          <w:szCs w:val="22"/>
          <w:lang w:val="lt-LT"/>
        </w:rPr>
        <w:t>VAISTINIO PREPARATO PAVADINIMAS</w:t>
      </w:r>
    </w:p>
    <w:p w14:paraId="7396849F" w14:textId="77777777" w:rsidR="00776FBE" w:rsidRPr="00CD7E52" w:rsidRDefault="00776FBE" w:rsidP="00BD0220">
      <w:pPr>
        <w:widowControl w:val="0"/>
        <w:tabs>
          <w:tab w:val="clear" w:pos="567"/>
        </w:tabs>
        <w:spacing w:line="240" w:lineRule="auto"/>
        <w:ind w:left="567" w:hanging="567"/>
        <w:rPr>
          <w:szCs w:val="22"/>
          <w:lang w:val="lt-LT"/>
        </w:rPr>
      </w:pPr>
    </w:p>
    <w:p w14:paraId="706ABE4C" w14:textId="77777777" w:rsidR="00BD117F" w:rsidRPr="00CD7E52" w:rsidRDefault="005A4193" w:rsidP="00BD0220">
      <w:pPr>
        <w:spacing w:line="240" w:lineRule="auto"/>
        <w:rPr>
          <w:szCs w:val="22"/>
          <w:lang w:val="lt-LT"/>
        </w:rPr>
      </w:pPr>
      <w:r w:rsidRPr="00CD7E52">
        <w:rPr>
          <w:szCs w:val="22"/>
          <w:lang w:val="lt-LT"/>
        </w:rPr>
        <w:t>Apremilast STADA</w:t>
      </w:r>
      <w:r w:rsidR="00BD117F" w:rsidRPr="00CD7E52">
        <w:rPr>
          <w:szCs w:val="22"/>
          <w:lang w:val="lt-LT"/>
        </w:rPr>
        <w:t xml:space="preserve"> 10</w:t>
      </w:r>
      <w:r w:rsidR="00A87582" w:rsidRPr="00CD7E52">
        <w:rPr>
          <w:szCs w:val="22"/>
          <w:lang w:val="lt-LT"/>
        </w:rPr>
        <w:t> mg</w:t>
      </w:r>
      <w:r w:rsidR="00BD117F" w:rsidRPr="00CD7E52">
        <w:rPr>
          <w:szCs w:val="22"/>
          <w:lang w:val="lt-LT"/>
        </w:rPr>
        <w:t xml:space="preserve"> plėvele dengtos tabletės</w:t>
      </w:r>
    </w:p>
    <w:p w14:paraId="4A13513C" w14:textId="77777777" w:rsidR="00BD117F" w:rsidRPr="00CD7E52" w:rsidRDefault="005A4193" w:rsidP="00BD0220">
      <w:pPr>
        <w:spacing w:line="240" w:lineRule="auto"/>
        <w:rPr>
          <w:szCs w:val="22"/>
          <w:lang w:val="lt-LT"/>
        </w:rPr>
      </w:pPr>
      <w:r w:rsidRPr="00CD7E52">
        <w:rPr>
          <w:szCs w:val="22"/>
          <w:lang w:val="lt-LT"/>
        </w:rPr>
        <w:t>Apremilast STADA</w:t>
      </w:r>
      <w:r w:rsidR="00BD117F" w:rsidRPr="00CD7E52">
        <w:rPr>
          <w:szCs w:val="22"/>
          <w:lang w:val="lt-LT"/>
        </w:rPr>
        <w:t xml:space="preserve"> 20</w:t>
      </w:r>
      <w:r w:rsidR="00A87582" w:rsidRPr="00CD7E52">
        <w:rPr>
          <w:szCs w:val="22"/>
          <w:lang w:val="lt-LT"/>
        </w:rPr>
        <w:t> mg</w:t>
      </w:r>
      <w:r w:rsidR="00BD117F" w:rsidRPr="00CD7E52">
        <w:rPr>
          <w:szCs w:val="22"/>
          <w:lang w:val="lt-LT"/>
        </w:rPr>
        <w:t xml:space="preserve"> plėvele dengtos tabletės</w:t>
      </w:r>
    </w:p>
    <w:p w14:paraId="62204CBA" w14:textId="77777777" w:rsidR="00BD117F" w:rsidRPr="00CD7E52" w:rsidRDefault="005A4193" w:rsidP="00BD0220">
      <w:pPr>
        <w:spacing w:line="240" w:lineRule="auto"/>
        <w:rPr>
          <w:szCs w:val="22"/>
          <w:lang w:val="lt-LT"/>
        </w:rPr>
      </w:pPr>
      <w:r w:rsidRPr="00CD7E52">
        <w:rPr>
          <w:szCs w:val="22"/>
          <w:lang w:val="lt-LT"/>
        </w:rPr>
        <w:t>Apremilast STADA</w:t>
      </w:r>
      <w:r w:rsidR="00BD117F" w:rsidRPr="00CD7E52">
        <w:rPr>
          <w:szCs w:val="22"/>
          <w:lang w:val="lt-LT"/>
        </w:rPr>
        <w:t xml:space="preserve"> 30</w:t>
      </w:r>
      <w:r w:rsidR="00A87582" w:rsidRPr="00CD7E52">
        <w:rPr>
          <w:szCs w:val="22"/>
          <w:lang w:val="lt-LT"/>
        </w:rPr>
        <w:t> mg</w:t>
      </w:r>
      <w:r w:rsidR="00BD117F" w:rsidRPr="00CD7E52">
        <w:rPr>
          <w:szCs w:val="22"/>
          <w:lang w:val="lt-LT"/>
        </w:rPr>
        <w:t xml:space="preserve"> plėvele dengtos tabletės</w:t>
      </w:r>
    </w:p>
    <w:p w14:paraId="0C2C64EC" w14:textId="77777777" w:rsidR="00776FBE" w:rsidRPr="00CD7E52" w:rsidRDefault="00776FBE" w:rsidP="00BD0220">
      <w:pPr>
        <w:widowControl w:val="0"/>
        <w:tabs>
          <w:tab w:val="clear" w:pos="567"/>
        </w:tabs>
        <w:spacing w:line="240" w:lineRule="auto"/>
        <w:ind w:left="567" w:hanging="567"/>
        <w:rPr>
          <w:szCs w:val="22"/>
          <w:lang w:val="lt-LT"/>
        </w:rPr>
      </w:pPr>
    </w:p>
    <w:p w14:paraId="1E28740C" w14:textId="77777777" w:rsidR="00776FBE" w:rsidRPr="00CD7E52" w:rsidRDefault="00776FBE" w:rsidP="00BD0220">
      <w:pPr>
        <w:widowControl w:val="0"/>
        <w:tabs>
          <w:tab w:val="clear" w:pos="567"/>
        </w:tabs>
        <w:spacing w:line="240" w:lineRule="auto"/>
        <w:ind w:left="567" w:hanging="567"/>
        <w:rPr>
          <w:szCs w:val="22"/>
          <w:lang w:val="lt-LT"/>
        </w:rPr>
      </w:pPr>
    </w:p>
    <w:p w14:paraId="10F8C0B0" w14:textId="77777777" w:rsidR="00776FBE" w:rsidRPr="00CD7E52" w:rsidRDefault="00D44DEE" w:rsidP="009E0A7D">
      <w:pPr>
        <w:widowControl w:val="0"/>
        <w:spacing w:line="240" w:lineRule="auto"/>
        <w:ind w:left="567" w:hanging="567"/>
        <w:outlineLvl w:val="1"/>
        <w:rPr>
          <w:b/>
          <w:caps/>
          <w:szCs w:val="22"/>
          <w:lang w:val="lt-LT"/>
        </w:rPr>
      </w:pPr>
      <w:r w:rsidRPr="00CD7E52">
        <w:rPr>
          <w:b/>
          <w:snapToGrid/>
          <w:szCs w:val="22"/>
          <w:lang w:val="lt-LT"/>
        </w:rPr>
        <w:t>2.</w:t>
      </w:r>
      <w:r w:rsidRPr="00CD7E52">
        <w:rPr>
          <w:b/>
          <w:snapToGrid/>
          <w:szCs w:val="22"/>
          <w:lang w:val="lt-LT"/>
        </w:rPr>
        <w:tab/>
      </w:r>
      <w:r w:rsidRPr="00CD7E52">
        <w:rPr>
          <w:b/>
          <w:szCs w:val="22"/>
          <w:lang w:val="lt-LT"/>
        </w:rPr>
        <w:t>KOKYBINĖ IR KIEKYBINĖ SUDĖTIS</w:t>
      </w:r>
    </w:p>
    <w:p w14:paraId="3204C8A0" w14:textId="77777777" w:rsidR="00776FBE" w:rsidRPr="00CD7E52" w:rsidRDefault="00776FBE" w:rsidP="00BD0220">
      <w:pPr>
        <w:widowControl w:val="0"/>
        <w:tabs>
          <w:tab w:val="clear" w:pos="567"/>
        </w:tabs>
        <w:spacing w:line="240" w:lineRule="auto"/>
        <w:rPr>
          <w:szCs w:val="22"/>
          <w:lang w:val="lt-LT"/>
        </w:rPr>
      </w:pPr>
    </w:p>
    <w:p w14:paraId="7C916DCD" w14:textId="77777777" w:rsidR="001A26B4" w:rsidRPr="00CD7E52" w:rsidRDefault="005A4193" w:rsidP="001A26B4">
      <w:pPr>
        <w:pStyle w:val="Pagrindinistekstas"/>
        <w:kinsoku w:val="0"/>
        <w:overflowPunct w:val="0"/>
        <w:jc w:val="both"/>
        <w:rPr>
          <w:i w:val="0"/>
          <w:color w:val="auto"/>
          <w:szCs w:val="22"/>
          <w:lang w:val="lt-LT"/>
        </w:rPr>
      </w:pPr>
      <w:r w:rsidRPr="00CD7E52">
        <w:rPr>
          <w:i w:val="0"/>
          <w:color w:val="auto"/>
          <w:szCs w:val="22"/>
          <w:u w:val="single"/>
          <w:lang w:val="lt-LT"/>
        </w:rPr>
        <w:t>Apremilast STADA</w:t>
      </w:r>
      <w:r w:rsidR="001A26B4" w:rsidRPr="00CD7E52">
        <w:rPr>
          <w:i w:val="0"/>
          <w:color w:val="auto"/>
          <w:spacing w:val="-7"/>
          <w:szCs w:val="22"/>
          <w:u w:val="single"/>
          <w:lang w:val="lt-LT"/>
        </w:rPr>
        <w:t xml:space="preserve"> </w:t>
      </w:r>
      <w:r w:rsidR="001A26B4" w:rsidRPr="00CD7E52">
        <w:rPr>
          <w:i w:val="0"/>
          <w:color w:val="auto"/>
          <w:szCs w:val="22"/>
          <w:u w:val="single"/>
          <w:lang w:val="lt-LT"/>
        </w:rPr>
        <w:t>10</w:t>
      </w:r>
      <w:r w:rsidR="001A26B4" w:rsidRPr="00CD7E52">
        <w:rPr>
          <w:i w:val="0"/>
          <w:color w:val="auto"/>
          <w:spacing w:val="-5"/>
          <w:szCs w:val="22"/>
          <w:u w:val="single"/>
          <w:lang w:val="lt-LT"/>
        </w:rPr>
        <w:t xml:space="preserve"> mg </w:t>
      </w:r>
      <w:r w:rsidR="001A26B4" w:rsidRPr="00CD7E52">
        <w:rPr>
          <w:i w:val="0"/>
          <w:color w:val="auto"/>
          <w:szCs w:val="22"/>
          <w:u w:val="single"/>
          <w:lang w:val="lt-LT"/>
        </w:rPr>
        <w:t>plėvele</w:t>
      </w:r>
      <w:r w:rsidR="001A26B4" w:rsidRPr="00CD7E52">
        <w:rPr>
          <w:i w:val="0"/>
          <w:color w:val="auto"/>
          <w:spacing w:val="-7"/>
          <w:szCs w:val="22"/>
          <w:u w:val="single"/>
          <w:lang w:val="lt-LT"/>
        </w:rPr>
        <w:t xml:space="preserve"> </w:t>
      </w:r>
      <w:r w:rsidR="001A26B4" w:rsidRPr="00CD7E52">
        <w:rPr>
          <w:i w:val="0"/>
          <w:color w:val="auto"/>
          <w:szCs w:val="22"/>
          <w:u w:val="single"/>
          <w:lang w:val="lt-LT"/>
        </w:rPr>
        <w:t>dengtos</w:t>
      </w:r>
      <w:r w:rsidR="001A26B4" w:rsidRPr="00CD7E52">
        <w:rPr>
          <w:i w:val="0"/>
          <w:color w:val="auto"/>
          <w:spacing w:val="-6"/>
          <w:szCs w:val="22"/>
          <w:u w:val="single"/>
          <w:lang w:val="lt-LT"/>
        </w:rPr>
        <w:t xml:space="preserve"> </w:t>
      </w:r>
      <w:r w:rsidR="001A26B4" w:rsidRPr="00CD7E52">
        <w:rPr>
          <w:i w:val="0"/>
          <w:color w:val="auto"/>
          <w:spacing w:val="-2"/>
          <w:szCs w:val="22"/>
          <w:u w:val="single"/>
          <w:lang w:val="lt-LT"/>
        </w:rPr>
        <w:t>tabletės</w:t>
      </w:r>
    </w:p>
    <w:p w14:paraId="722E3CD8" w14:textId="77777777" w:rsidR="001A26B4" w:rsidRPr="00CD7E52" w:rsidRDefault="001A26B4" w:rsidP="001A26B4">
      <w:pPr>
        <w:pStyle w:val="Pagrindinistekstas"/>
        <w:kinsoku w:val="0"/>
        <w:overflowPunct w:val="0"/>
        <w:rPr>
          <w:i w:val="0"/>
          <w:color w:val="auto"/>
          <w:spacing w:val="-2"/>
          <w:szCs w:val="22"/>
          <w:lang w:val="lt-LT"/>
        </w:rPr>
      </w:pPr>
      <w:r w:rsidRPr="00CD7E52">
        <w:rPr>
          <w:i w:val="0"/>
          <w:color w:val="auto"/>
          <w:szCs w:val="22"/>
          <w:lang w:val="lt-LT"/>
        </w:rPr>
        <w:t>Kiekvienoje</w:t>
      </w:r>
      <w:r w:rsidRPr="00CD7E52">
        <w:rPr>
          <w:i w:val="0"/>
          <w:color w:val="auto"/>
          <w:spacing w:val="-7"/>
          <w:szCs w:val="22"/>
          <w:lang w:val="lt-LT"/>
        </w:rPr>
        <w:t xml:space="preserve"> </w:t>
      </w:r>
      <w:r w:rsidRPr="00CD7E52">
        <w:rPr>
          <w:i w:val="0"/>
          <w:color w:val="auto"/>
          <w:szCs w:val="22"/>
          <w:lang w:val="lt-LT"/>
        </w:rPr>
        <w:t>plėvele</w:t>
      </w:r>
      <w:r w:rsidRPr="00CD7E52">
        <w:rPr>
          <w:i w:val="0"/>
          <w:color w:val="auto"/>
          <w:spacing w:val="-7"/>
          <w:szCs w:val="22"/>
          <w:lang w:val="lt-LT"/>
        </w:rPr>
        <w:t xml:space="preserve"> </w:t>
      </w:r>
      <w:r w:rsidRPr="00CD7E52">
        <w:rPr>
          <w:i w:val="0"/>
          <w:color w:val="auto"/>
          <w:szCs w:val="22"/>
          <w:lang w:val="lt-LT"/>
        </w:rPr>
        <w:t>dengtoje</w:t>
      </w:r>
      <w:r w:rsidRPr="00CD7E52">
        <w:rPr>
          <w:i w:val="0"/>
          <w:color w:val="auto"/>
          <w:spacing w:val="-7"/>
          <w:szCs w:val="22"/>
          <w:lang w:val="lt-LT"/>
        </w:rPr>
        <w:t xml:space="preserve"> </w:t>
      </w:r>
      <w:r w:rsidRPr="00CD7E52">
        <w:rPr>
          <w:i w:val="0"/>
          <w:color w:val="auto"/>
          <w:szCs w:val="22"/>
          <w:lang w:val="lt-LT"/>
        </w:rPr>
        <w:t>tabletėje</w:t>
      </w:r>
      <w:r w:rsidRPr="00CD7E52">
        <w:rPr>
          <w:i w:val="0"/>
          <w:color w:val="auto"/>
          <w:spacing w:val="-5"/>
          <w:szCs w:val="22"/>
          <w:lang w:val="lt-LT"/>
        </w:rPr>
        <w:t xml:space="preserve"> </w:t>
      </w:r>
      <w:r w:rsidRPr="00CD7E52">
        <w:rPr>
          <w:i w:val="0"/>
          <w:color w:val="auto"/>
          <w:szCs w:val="22"/>
          <w:lang w:val="lt-LT"/>
        </w:rPr>
        <w:t>yra</w:t>
      </w:r>
      <w:r w:rsidRPr="00CD7E52">
        <w:rPr>
          <w:i w:val="0"/>
          <w:color w:val="auto"/>
          <w:spacing w:val="-7"/>
          <w:szCs w:val="22"/>
          <w:lang w:val="lt-LT"/>
        </w:rPr>
        <w:t xml:space="preserve"> </w:t>
      </w:r>
      <w:r w:rsidRPr="00CD7E52">
        <w:rPr>
          <w:i w:val="0"/>
          <w:color w:val="auto"/>
          <w:szCs w:val="22"/>
          <w:lang w:val="lt-LT"/>
        </w:rPr>
        <w:t>10</w:t>
      </w:r>
      <w:r w:rsidRPr="00CD7E52">
        <w:rPr>
          <w:i w:val="0"/>
          <w:color w:val="auto"/>
          <w:spacing w:val="-4"/>
          <w:szCs w:val="22"/>
          <w:lang w:val="lt-LT"/>
        </w:rPr>
        <w:t> mg</w:t>
      </w:r>
      <w:r w:rsidRPr="00CD7E52">
        <w:rPr>
          <w:i w:val="0"/>
          <w:color w:val="auto"/>
          <w:spacing w:val="-6"/>
          <w:szCs w:val="22"/>
          <w:lang w:val="lt-LT"/>
        </w:rPr>
        <w:t xml:space="preserve"> </w:t>
      </w:r>
      <w:r w:rsidRPr="00CD7E52">
        <w:rPr>
          <w:i w:val="0"/>
          <w:color w:val="auto"/>
          <w:spacing w:val="-2"/>
          <w:szCs w:val="22"/>
          <w:lang w:val="lt-LT"/>
        </w:rPr>
        <w:t>apremilasto.</w:t>
      </w:r>
    </w:p>
    <w:p w14:paraId="72E10F8B" w14:textId="77777777" w:rsidR="001A26B4" w:rsidRPr="00CD7E52" w:rsidRDefault="001A26B4" w:rsidP="001A26B4">
      <w:pPr>
        <w:pStyle w:val="Pagrindinistekstas"/>
        <w:kinsoku w:val="0"/>
        <w:overflowPunct w:val="0"/>
        <w:rPr>
          <w:i w:val="0"/>
          <w:color w:val="auto"/>
          <w:spacing w:val="-2"/>
          <w:szCs w:val="22"/>
          <w:lang w:val="lt-LT"/>
        </w:rPr>
      </w:pPr>
    </w:p>
    <w:p w14:paraId="3F1E490C" w14:textId="77777777" w:rsidR="001A26B4" w:rsidRPr="00CD7E52" w:rsidRDefault="001A26B4" w:rsidP="001A26B4">
      <w:pPr>
        <w:pStyle w:val="Pagrindinistekstas"/>
        <w:kinsoku w:val="0"/>
        <w:overflowPunct w:val="0"/>
        <w:rPr>
          <w:i w:val="0"/>
          <w:color w:val="auto"/>
          <w:szCs w:val="22"/>
          <w:lang w:val="lt-LT"/>
        </w:rPr>
      </w:pPr>
      <w:bookmarkStart w:id="1" w:name="_Hlk177324096"/>
      <w:r w:rsidRPr="00CD7E52">
        <w:rPr>
          <w:i w:val="0"/>
          <w:color w:val="auto"/>
          <w:szCs w:val="22"/>
          <w:u w:val="single"/>
          <w:lang w:val="lt-LT"/>
        </w:rPr>
        <w:t>Pagalbinė</w:t>
      </w:r>
      <w:r w:rsidRPr="00CD7E52">
        <w:rPr>
          <w:i w:val="0"/>
          <w:color w:val="auto"/>
          <w:spacing w:val="-6"/>
          <w:szCs w:val="22"/>
          <w:u w:val="single"/>
          <w:lang w:val="lt-LT"/>
        </w:rPr>
        <w:t xml:space="preserve"> </w:t>
      </w:r>
      <w:r w:rsidRPr="00CD7E52">
        <w:rPr>
          <w:i w:val="0"/>
          <w:color w:val="auto"/>
          <w:szCs w:val="22"/>
          <w:u w:val="single"/>
          <w:lang w:val="lt-LT"/>
        </w:rPr>
        <w:t>medžiaga,</w:t>
      </w:r>
      <w:r w:rsidRPr="00CD7E52">
        <w:rPr>
          <w:i w:val="0"/>
          <w:color w:val="auto"/>
          <w:spacing w:val="-7"/>
          <w:szCs w:val="22"/>
          <w:u w:val="single"/>
          <w:lang w:val="lt-LT"/>
        </w:rPr>
        <w:t xml:space="preserve"> </w:t>
      </w:r>
      <w:r w:rsidRPr="00CD7E52">
        <w:rPr>
          <w:i w:val="0"/>
          <w:color w:val="auto"/>
          <w:szCs w:val="22"/>
          <w:u w:val="single"/>
          <w:lang w:val="lt-LT"/>
        </w:rPr>
        <w:t>kurios</w:t>
      </w:r>
      <w:r w:rsidRPr="00CD7E52">
        <w:rPr>
          <w:i w:val="0"/>
          <w:color w:val="auto"/>
          <w:spacing w:val="-7"/>
          <w:szCs w:val="22"/>
          <w:u w:val="single"/>
          <w:lang w:val="lt-LT"/>
        </w:rPr>
        <w:t xml:space="preserve"> </w:t>
      </w:r>
      <w:r w:rsidRPr="00CD7E52">
        <w:rPr>
          <w:i w:val="0"/>
          <w:color w:val="auto"/>
          <w:szCs w:val="22"/>
          <w:u w:val="single"/>
          <w:lang w:val="lt-LT"/>
        </w:rPr>
        <w:t>poveikis</w:t>
      </w:r>
      <w:r w:rsidRPr="00CD7E52">
        <w:rPr>
          <w:i w:val="0"/>
          <w:color w:val="auto"/>
          <w:spacing w:val="-7"/>
          <w:szCs w:val="22"/>
          <w:u w:val="single"/>
          <w:lang w:val="lt-LT"/>
        </w:rPr>
        <w:t xml:space="preserve"> </w:t>
      </w:r>
      <w:r w:rsidRPr="00CD7E52">
        <w:rPr>
          <w:i w:val="0"/>
          <w:color w:val="auto"/>
          <w:spacing w:val="-2"/>
          <w:szCs w:val="22"/>
          <w:u w:val="single"/>
          <w:lang w:val="lt-LT"/>
        </w:rPr>
        <w:t>žinomas</w:t>
      </w:r>
    </w:p>
    <w:bookmarkEnd w:id="1"/>
    <w:p w14:paraId="07E52D73" w14:textId="77777777" w:rsidR="001A26B4" w:rsidRPr="00CD7E52" w:rsidRDefault="001A26B4" w:rsidP="001A26B4">
      <w:pPr>
        <w:pStyle w:val="Pagrindinistekstas"/>
        <w:kinsoku w:val="0"/>
        <w:overflowPunct w:val="0"/>
        <w:rPr>
          <w:i w:val="0"/>
          <w:color w:val="auto"/>
          <w:szCs w:val="22"/>
          <w:lang w:val="lt-LT"/>
        </w:rPr>
      </w:pPr>
      <w:r w:rsidRPr="00CD7E52">
        <w:rPr>
          <w:i w:val="0"/>
          <w:color w:val="auto"/>
          <w:szCs w:val="22"/>
          <w:lang w:val="lt-LT"/>
        </w:rPr>
        <w:t>Kiekvienoje</w:t>
      </w:r>
      <w:r w:rsidRPr="00CD7E52">
        <w:rPr>
          <w:i w:val="0"/>
          <w:color w:val="auto"/>
          <w:spacing w:val="-5"/>
          <w:szCs w:val="22"/>
          <w:lang w:val="lt-LT"/>
        </w:rPr>
        <w:t xml:space="preserve"> </w:t>
      </w:r>
      <w:r w:rsidRPr="00CD7E52">
        <w:rPr>
          <w:i w:val="0"/>
          <w:color w:val="auto"/>
          <w:szCs w:val="22"/>
          <w:lang w:val="lt-LT"/>
        </w:rPr>
        <w:t>plėvele</w:t>
      </w:r>
      <w:r w:rsidRPr="00CD7E52">
        <w:rPr>
          <w:i w:val="0"/>
          <w:color w:val="auto"/>
          <w:spacing w:val="-3"/>
          <w:szCs w:val="22"/>
          <w:lang w:val="lt-LT"/>
        </w:rPr>
        <w:t xml:space="preserve"> </w:t>
      </w:r>
      <w:r w:rsidRPr="00CD7E52">
        <w:rPr>
          <w:i w:val="0"/>
          <w:color w:val="auto"/>
          <w:szCs w:val="22"/>
          <w:lang w:val="lt-LT"/>
        </w:rPr>
        <w:t>dengtoje</w:t>
      </w:r>
      <w:r w:rsidRPr="00CD7E52">
        <w:rPr>
          <w:i w:val="0"/>
          <w:color w:val="auto"/>
          <w:spacing w:val="-5"/>
          <w:szCs w:val="22"/>
          <w:lang w:val="lt-LT"/>
        </w:rPr>
        <w:t xml:space="preserve"> </w:t>
      </w:r>
      <w:r w:rsidRPr="00CD7E52">
        <w:rPr>
          <w:i w:val="0"/>
          <w:color w:val="auto"/>
          <w:szCs w:val="22"/>
          <w:lang w:val="lt-LT"/>
        </w:rPr>
        <w:t>tabletėje</w:t>
      </w:r>
      <w:r w:rsidRPr="00CD7E52">
        <w:rPr>
          <w:i w:val="0"/>
          <w:color w:val="auto"/>
          <w:spacing w:val="-4"/>
          <w:szCs w:val="22"/>
          <w:lang w:val="lt-LT"/>
        </w:rPr>
        <w:t xml:space="preserve"> </w:t>
      </w:r>
      <w:r w:rsidRPr="00CD7E52">
        <w:rPr>
          <w:i w:val="0"/>
          <w:color w:val="auto"/>
          <w:szCs w:val="22"/>
          <w:lang w:val="lt-LT"/>
        </w:rPr>
        <w:t>yra</w:t>
      </w:r>
      <w:r w:rsidRPr="00CD7E52">
        <w:rPr>
          <w:i w:val="0"/>
          <w:color w:val="auto"/>
          <w:spacing w:val="-5"/>
          <w:szCs w:val="22"/>
          <w:lang w:val="lt-LT"/>
        </w:rPr>
        <w:t xml:space="preserve"> 42</w:t>
      </w:r>
      <w:r w:rsidRPr="00CD7E52">
        <w:rPr>
          <w:i w:val="0"/>
          <w:color w:val="auto"/>
          <w:spacing w:val="-2"/>
          <w:szCs w:val="22"/>
          <w:lang w:val="lt-LT"/>
        </w:rPr>
        <w:t> mg</w:t>
      </w:r>
      <w:r w:rsidRPr="00CD7E52">
        <w:rPr>
          <w:i w:val="0"/>
          <w:color w:val="auto"/>
          <w:spacing w:val="-5"/>
          <w:szCs w:val="22"/>
          <w:lang w:val="lt-LT"/>
        </w:rPr>
        <w:t xml:space="preserve"> </w:t>
      </w:r>
      <w:r w:rsidRPr="00CD7E52">
        <w:rPr>
          <w:i w:val="0"/>
          <w:color w:val="auto"/>
          <w:szCs w:val="22"/>
          <w:lang w:val="lt-LT"/>
        </w:rPr>
        <w:t>laktozės</w:t>
      </w:r>
      <w:r w:rsidRPr="00CD7E52">
        <w:rPr>
          <w:i w:val="0"/>
          <w:color w:val="auto"/>
          <w:spacing w:val="-5"/>
          <w:szCs w:val="22"/>
          <w:lang w:val="lt-LT"/>
        </w:rPr>
        <w:t xml:space="preserve"> </w:t>
      </w:r>
      <w:r w:rsidRPr="00CD7E52">
        <w:rPr>
          <w:i w:val="0"/>
          <w:color w:val="auto"/>
          <w:szCs w:val="22"/>
          <w:lang w:val="lt-LT"/>
        </w:rPr>
        <w:t>(laktozės</w:t>
      </w:r>
      <w:r w:rsidRPr="00CD7E52">
        <w:rPr>
          <w:i w:val="0"/>
          <w:color w:val="auto"/>
          <w:spacing w:val="-4"/>
          <w:szCs w:val="22"/>
          <w:lang w:val="lt-LT"/>
        </w:rPr>
        <w:t xml:space="preserve"> </w:t>
      </w:r>
      <w:r w:rsidRPr="00CD7E52">
        <w:rPr>
          <w:i w:val="0"/>
          <w:color w:val="auto"/>
          <w:szCs w:val="22"/>
          <w:lang w:val="lt-LT"/>
        </w:rPr>
        <w:t>monohidrato</w:t>
      </w:r>
      <w:r w:rsidRPr="00CD7E52">
        <w:rPr>
          <w:i w:val="0"/>
          <w:color w:val="auto"/>
          <w:spacing w:val="-1"/>
          <w:szCs w:val="22"/>
          <w:lang w:val="lt-LT"/>
        </w:rPr>
        <w:t xml:space="preserve"> </w:t>
      </w:r>
      <w:r w:rsidRPr="00CD7E52">
        <w:rPr>
          <w:i w:val="0"/>
          <w:color w:val="auto"/>
          <w:szCs w:val="22"/>
          <w:lang w:val="lt-LT"/>
        </w:rPr>
        <w:t>pavidalu).</w:t>
      </w:r>
    </w:p>
    <w:p w14:paraId="7E0D5151" w14:textId="77777777" w:rsidR="001A26B4" w:rsidRPr="00CD7E52" w:rsidRDefault="001A26B4" w:rsidP="001A26B4">
      <w:pPr>
        <w:pStyle w:val="Pagrindinistekstas"/>
        <w:kinsoku w:val="0"/>
        <w:overflowPunct w:val="0"/>
        <w:rPr>
          <w:i w:val="0"/>
          <w:color w:val="auto"/>
          <w:szCs w:val="22"/>
          <w:lang w:val="lt-LT"/>
        </w:rPr>
      </w:pPr>
    </w:p>
    <w:p w14:paraId="5FF587A3" w14:textId="77777777" w:rsidR="001A26B4" w:rsidRPr="00CD7E52" w:rsidRDefault="005A4193" w:rsidP="001A26B4">
      <w:pPr>
        <w:pStyle w:val="Pagrindinistekstas"/>
        <w:kinsoku w:val="0"/>
        <w:overflowPunct w:val="0"/>
        <w:rPr>
          <w:i w:val="0"/>
          <w:color w:val="auto"/>
          <w:szCs w:val="22"/>
          <w:lang w:val="lt-LT"/>
        </w:rPr>
      </w:pPr>
      <w:r w:rsidRPr="00CD7E52">
        <w:rPr>
          <w:i w:val="0"/>
          <w:color w:val="auto"/>
          <w:szCs w:val="22"/>
          <w:u w:val="single"/>
          <w:lang w:val="lt-LT"/>
        </w:rPr>
        <w:t>Apremilast STADA</w:t>
      </w:r>
      <w:r w:rsidR="001A26B4" w:rsidRPr="00CD7E52">
        <w:rPr>
          <w:i w:val="0"/>
          <w:color w:val="auto"/>
          <w:szCs w:val="22"/>
          <w:u w:val="single"/>
          <w:lang w:val="lt-LT"/>
        </w:rPr>
        <w:t xml:space="preserve"> 20 mg plėvele dengtos tabletės</w:t>
      </w:r>
    </w:p>
    <w:p w14:paraId="696151C0" w14:textId="77777777" w:rsidR="001A26B4" w:rsidRPr="00CD7E52" w:rsidRDefault="001A26B4" w:rsidP="001A26B4">
      <w:pPr>
        <w:pStyle w:val="Pagrindinistekstas"/>
        <w:kinsoku w:val="0"/>
        <w:overflowPunct w:val="0"/>
        <w:rPr>
          <w:i w:val="0"/>
          <w:color w:val="auto"/>
          <w:spacing w:val="-2"/>
          <w:szCs w:val="22"/>
          <w:lang w:val="lt-LT"/>
        </w:rPr>
      </w:pPr>
      <w:r w:rsidRPr="00CD7E52">
        <w:rPr>
          <w:i w:val="0"/>
          <w:color w:val="auto"/>
          <w:szCs w:val="22"/>
          <w:lang w:val="lt-LT"/>
        </w:rPr>
        <w:t>Kiekvienoje</w:t>
      </w:r>
      <w:r w:rsidRPr="00CD7E52">
        <w:rPr>
          <w:i w:val="0"/>
          <w:color w:val="auto"/>
          <w:spacing w:val="-7"/>
          <w:szCs w:val="22"/>
          <w:lang w:val="lt-LT"/>
        </w:rPr>
        <w:t xml:space="preserve"> </w:t>
      </w:r>
      <w:r w:rsidRPr="00CD7E52">
        <w:rPr>
          <w:i w:val="0"/>
          <w:color w:val="auto"/>
          <w:szCs w:val="22"/>
          <w:lang w:val="lt-LT"/>
        </w:rPr>
        <w:t>plėvele</w:t>
      </w:r>
      <w:r w:rsidRPr="00CD7E52">
        <w:rPr>
          <w:i w:val="0"/>
          <w:color w:val="auto"/>
          <w:spacing w:val="-7"/>
          <w:szCs w:val="22"/>
          <w:lang w:val="lt-LT"/>
        </w:rPr>
        <w:t xml:space="preserve"> </w:t>
      </w:r>
      <w:r w:rsidRPr="00CD7E52">
        <w:rPr>
          <w:i w:val="0"/>
          <w:color w:val="auto"/>
          <w:szCs w:val="22"/>
          <w:lang w:val="lt-LT"/>
        </w:rPr>
        <w:t>dengtoje</w:t>
      </w:r>
      <w:r w:rsidRPr="00CD7E52">
        <w:rPr>
          <w:i w:val="0"/>
          <w:color w:val="auto"/>
          <w:spacing w:val="-7"/>
          <w:szCs w:val="22"/>
          <w:lang w:val="lt-LT"/>
        </w:rPr>
        <w:t xml:space="preserve"> </w:t>
      </w:r>
      <w:r w:rsidRPr="00CD7E52">
        <w:rPr>
          <w:i w:val="0"/>
          <w:color w:val="auto"/>
          <w:szCs w:val="22"/>
          <w:lang w:val="lt-LT"/>
        </w:rPr>
        <w:t>tabletėje</w:t>
      </w:r>
      <w:r w:rsidRPr="00CD7E52">
        <w:rPr>
          <w:i w:val="0"/>
          <w:color w:val="auto"/>
          <w:spacing w:val="-5"/>
          <w:szCs w:val="22"/>
          <w:lang w:val="lt-LT"/>
        </w:rPr>
        <w:t xml:space="preserve"> </w:t>
      </w:r>
      <w:r w:rsidRPr="00CD7E52">
        <w:rPr>
          <w:i w:val="0"/>
          <w:color w:val="auto"/>
          <w:szCs w:val="22"/>
          <w:lang w:val="lt-LT"/>
        </w:rPr>
        <w:t>yra</w:t>
      </w:r>
      <w:r w:rsidRPr="00CD7E52">
        <w:rPr>
          <w:i w:val="0"/>
          <w:color w:val="auto"/>
          <w:spacing w:val="-5"/>
          <w:szCs w:val="22"/>
          <w:lang w:val="lt-LT"/>
        </w:rPr>
        <w:t xml:space="preserve"> </w:t>
      </w:r>
      <w:r w:rsidRPr="00CD7E52">
        <w:rPr>
          <w:i w:val="0"/>
          <w:color w:val="auto"/>
          <w:szCs w:val="22"/>
          <w:lang w:val="lt-LT"/>
        </w:rPr>
        <w:t>20</w:t>
      </w:r>
      <w:r w:rsidRPr="00CD7E52">
        <w:rPr>
          <w:i w:val="0"/>
          <w:color w:val="auto"/>
          <w:spacing w:val="-6"/>
          <w:szCs w:val="22"/>
          <w:lang w:val="lt-LT"/>
        </w:rPr>
        <w:t xml:space="preserve"> mg </w:t>
      </w:r>
      <w:r w:rsidRPr="00CD7E52">
        <w:rPr>
          <w:i w:val="0"/>
          <w:color w:val="auto"/>
          <w:spacing w:val="-2"/>
          <w:szCs w:val="22"/>
          <w:lang w:val="lt-LT"/>
        </w:rPr>
        <w:t>apremilasto.</w:t>
      </w:r>
    </w:p>
    <w:p w14:paraId="558A3546" w14:textId="77777777" w:rsidR="001A26B4" w:rsidRPr="00CD7E52" w:rsidRDefault="001A26B4" w:rsidP="001A26B4">
      <w:pPr>
        <w:pStyle w:val="Pagrindinistekstas"/>
        <w:kinsoku w:val="0"/>
        <w:overflowPunct w:val="0"/>
        <w:rPr>
          <w:i w:val="0"/>
          <w:color w:val="auto"/>
          <w:szCs w:val="22"/>
          <w:lang w:val="lt-LT"/>
        </w:rPr>
      </w:pPr>
    </w:p>
    <w:p w14:paraId="322AA84E" w14:textId="77777777" w:rsidR="00FE51F1" w:rsidRPr="00CD7E52" w:rsidRDefault="00FE51F1" w:rsidP="001A26B4">
      <w:pPr>
        <w:pStyle w:val="Pagrindinistekstas"/>
        <w:kinsoku w:val="0"/>
        <w:overflowPunct w:val="0"/>
        <w:rPr>
          <w:i w:val="0"/>
          <w:color w:val="auto"/>
          <w:szCs w:val="22"/>
          <w:u w:val="single"/>
          <w:lang w:val="lt-LT"/>
        </w:rPr>
      </w:pPr>
      <w:r w:rsidRPr="00CD7E52">
        <w:rPr>
          <w:i w:val="0"/>
          <w:color w:val="auto"/>
          <w:szCs w:val="22"/>
          <w:u w:val="single"/>
          <w:lang w:val="lt-LT"/>
        </w:rPr>
        <w:t>Pagalbinė medžiaga, kurios poveikis žinomas</w:t>
      </w:r>
    </w:p>
    <w:p w14:paraId="29878510" w14:textId="77777777" w:rsidR="001A26B4" w:rsidRPr="00CD7E52" w:rsidRDefault="001A26B4" w:rsidP="001A26B4">
      <w:pPr>
        <w:pStyle w:val="Pagrindinistekstas"/>
        <w:kinsoku w:val="0"/>
        <w:overflowPunct w:val="0"/>
        <w:rPr>
          <w:i w:val="0"/>
          <w:color w:val="auto"/>
          <w:szCs w:val="22"/>
          <w:lang w:val="lt-LT"/>
        </w:rPr>
      </w:pPr>
      <w:r w:rsidRPr="00CD7E52">
        <w:rPr>
          <w:i w:val="0"/>
          <w:color w:val="auto"/>
          <w:szCs w:val="22"/>
          <w:lang w:val="lt-LT"/>
        </w:rPr>
        <w:t>Kiekvienoje</w:t>
      </w:r>
      <w:r w:rsidRPr="00CD7E52">
        <w:rPr>
          <w:i w:val="0"/>
          <w:color w:val="auto"/>
          <w:spacing w:val="-5"/>
          <w:szCs w:val="22"/>
          <w:lang w:val="lt-LT"/>
        </w:rPr>
        <w:t xml:space="preserve"> </w:t>
      </w:r>
      <w:r w:rsidRPr="00CD7E52">
        <w:rPr>
          <w:i w:val="0"/>
          <w:color w:val="auto"/>
          <w:szCs w:val="22"/>
          <w:lang w:val="lt-LT"/>
        </w:rPr>
        <w:t>plėvele</w:t>
      </w:r>
      <w:r w:rsidRPr="00CD7E52">
        <w:rPr>
          <w:i w:val="0"/>
          <w:color w:val="auto"/>
          <w:spacing w:val="-5"/>
          <w:szCs w:val="22"/>
          <w:lang w:val="lt-LT"/>
        </w:rPr>
        <w:t xml:space="preserve"> </w:t>
      </w:r>
      <w:r w:rsidRPr="00CD7E52">
        <w:rPr>
          <w:i w:val="0"/>
          <w:color w:val="auto"/>
          <w:szCs w:val="22"/>
          <w:lang w:val="lt-LT"/>
        </w:rPr>
        <w:t>dengtoje</w:t>
      </w:r>
      <w:r w:rsidRPr="00CD7E52">
        <w:rPr>
          <w:i w:val="0"/>
          <w:color w:val="auto"/>
          <w:spacing w:val="-5"/>
          <w:szCs w:val="22"/>
          <w:lang w:val="lt-LT"/>
        </w:rPr>
        <w:t xml:space="preserve"> </w:t>
      </w:r>
      <w:r w:rsidRPr="00CD7E52">
        <w:rPr>
          <w:i w:val="0"/>
          <w:color w:val="auto"/>
          <w:szCs w:val="22"/>
          <w:lang w:val="lt-LT"/>
        </w:rPr>
        <w:t>tabletėje</w:t>
      </w:r>
      <w:r w:rsidRPr="00CD7E52">
        <w:rPr>
          <w:i w:val="0"/>
          <w:color w:val="auto"/>
          <w:spacing w:val="-3"/>
          <w:szCs w:val="22"/>
          <w:lang w:val="lt-LT"/>
        </w:rPr>
        <w:t xml:space="preserve"> </w:t>
      </w:r>
      <w:r w:rsidRPr="00CD7E52">
        <w:rPr>
          <w:i w:val="0"/>
          <w:color w:val="auto"/>
          <w:szCs w:val="22"/>
          <w:lang w:val="lt-LT"/>
        </w:rPr>
        <w:t>yra</w:t>
      </w:r>
      <w:r w:rsidRPr="00CD7E52">
        <w:rPr>
          <w:i w:val="0"/>
          <w:color w:val="auto"/>
          <w:spacing w:val="-5"/>
          <w:szCs w:val="22"/>
          <w:lang w:val="lt-LT"/>
        </w:rPr>
        <w:t xml:space="preserve"> 85</w:t>
      </w:r>
      <w:r w:rsidRPr="00CD7E52">
        <w:rPr>
          <w:i w:val="0"/>
          <w:color w:val="auto"/>
          <w:spacing w:val="-1"/>
          <w:szCs w:val="22"/>
          <w:lang w:val="lt-LT"/>
        </w:rPr>
        <w:t> mg</w:t>
      </w:r>
      <w:r w:rsidRPr="00CD7E52">
        <w:rPr>
          <w:i w:val="0"/>
          <w:color w:val="auto"/>
          <w:spacing w:val="-5"/>
          <w:szCs w:val="22"/>
          <w:lang w:val="lt-LT"/>
        </w:rPr>
        <w:t xml:space="preserve"> </w:t>
      </w:r>
      <w:r w:rsidRPr="00CD7E52">
        <w:rPr>
          <w:i w:val="0"/>
          <w:color w:val="auto"/>
          <w:szCs w:val="22"/>
          <w:lang w:val="lt-LT"/>
        </w:rPr>
        <w:t>laktozės</w:t>
      </w:r>
      <w:r w:rsidRPr="00CD7E52">
        <w:rPr>
          <w:i w:val="0"/>
          <w:color w:val="auto"/>
          <w:spacing w:val="-5"/>
          <w:szCs w:val="22"/>
          <w:lang w:val="lt-LT"/>
        </w:rPr>
        <w:t xml:space="preserve"> </w:t>
      </w:r>
      <w:r w:rsidRPr="00CD7E52">
        <w:rPr>
          <w:i w:val="0"/>
          <w:color w:val="auto"/>
          <w:szCs w:val="22"/>
          <w:lang w:val="lt-LT"/>
        </w:rPr>
        <w:t>(laktozės</w:t>
      </w:r>
      <w:r w:rsidRPr="00CD7E52">
        <w:rPr>
          <w:i w:val="0"/>
          <w:color w:val="auto"/>
          <w:spacing w:val="-5"/>
          <w:szCs w:val="22"/>
          <w:lang w:val="lt-LT"/>
        </w:rPr>
        <w:t xml:space="preserve"> </w:t>
      </w:r>
      <w:r w:rsidRPr="00CD7E52">
        <w:rPr>
          <w:i w:val="0"/>
          <w:color w:val="auto"/>
          <w:szCs w:val="22"/>
          <w:lang w:val="lt-LT"/>
        </w:rPr>
        <w:t>monohidrato</w:t>
      </w:r>
      <w:r w:rsidRPr="00CD7E52">
        <w:rPr>
          <w:i w:val="0"/>
          <w:color w:val="auto"/>
          <w:spacing w:val="-4"/>
          <w:szCs w:val="22"/>
          <w:lang w:val="lt-LT"/>
        </w:rPr>
        <w:t xml:space="preserve"> </w:t>
      </w:r>
      <w:r w:rsidRPr="00CD7E52">
        <w:rPr>
          <w:i w:val="0"/>
          <w:color w:val="auto"/>
          <w:szCs w:val="22"/>
          <w:lang w:val="lt-LT"/>
        </w:rPr>
        <w:t>pavidalu).</w:t>
      </w:r>
    </w:p>
    <w:p w14:paraId="4F0890A7" w14:textId="77777777" w:rsidR="001A26B4" w:rsidRPr="00CD7E52" w:rsidRDefault="001A26B4" w:rsidP="001A26B4">
      <w:pPr>
        <w:pStyle w:val="Pagrindinistekstas"/>
        <w:kinsoku w:val="0"/>
        <w:overflowPunct w:val="0"/>
        <w:rPr>
          <w:i w:val="0"/>
          <w:color w:val="auto"/>
          <w:szCs w:val="22"/>
          <w:lang w:val="lt-LT"/>
        </w:rPr>
      </w:pPr>
    </w:p>
    <w:p w14:paraId="16A22858" w14:textId="77777777" w:rsidR="001A26B4" w:rsidRPr="00CD7E52" w:rsidRDefault="005A4193" w:rsidP="001A26B4">
      <w:pPr>
        <w:pStyle w:val="Pagrindinistekstas"/>
        <w:kinsoku w:val="0"/>
        <w:overflowPunct w:val="0"/>
        <w:rPr>
          <w:i w:val="0"/>
          <w:color w:val="auto"/>
          <w:szCs w:val="22"/>
          <w:lang w:val="lt-LT"/>
        </w:rPr>
      </w:pPr>
      <w:r w:rsidRPr="00CD7E52">
        <w:rPr>
          <w:i w:val="0"/>
          <w:color w:val="auto"/>
          <w:szCs w:val="22"/>
          <w:u w:val="single"/>
          <w:lang w:val="lt-LT"/>
        </w:rPr>
        <w:t>Apremilast STADA</w:t>
      </w:r>
      <w:r w:rsidR="001A26B4" w:rsidRPr="00CD7E52">
        <w:rPr>
          <w:i w:val="0"/>
          <w:color w:val="auto"/>
          <w:szCs w:val="22"/>
          <w:u w:val="single"/>
          <w:lang w:val="lt-LT"/>
        </w:rPr>
        <w:t xml:space="preserve"> 30 mg plėvele dengtos tabletės</w:t>
      </w:r>
    </w:p>
    <w:p w14:paraId="65F26AFE" w14:textId="77777777" w:rsidR="001A26B4" w:rsidRPr="00CD7E52" w:rsidRDefault="001A26B4" w:rsidP="001A26B4">
      <w:pPr>
        <w:pStyle w:val="Pagrindinistekstas"/>
        <w:kinsoku w:val="0"/>
        <w:overflowPunct w:val="0"/>
        <w:rPr>
          <w:i w:val="0"/>
          <w:color w:val="auto"/>
          <w:spacing w:val="-2"/>
          <w:szCs w:val="22"/>
          <w:lang w:val="lt-LT"/>
        </w:rPr>
      </w:pPr>
      <w:r w:rsidRPr="00CD7E52">
        <w:rPr>
          <w:i w:val="0"/>
          <w:color w:val="auto"/>
          <w:szCs w:val="22"/>
          <w:lang w:val="lt-LT"/>
        </w:rPr>
        <w:t>Kiekvienoje</w:t>
      </w:r>
      <w:r w:rsidRPr="00CD7E52">
        <w:rPr>
          <w:i w:val="0"/>
          <w:color w:val="auto"/>
          <w:spacing w:val="-7"/>
          <w:szCs w:val="22"/>
          <w:lang w:val="lt-LT"/>
        </w:rPr>
        <w:t xml:space="preserve"> </w:t>
      </w:r>
      <w:r w:rsidRPr="00CD7E52">
        <w:rPr>
          <w:i w:val="0"/>
          <w:color w:val="auto"/>
          <w:szCs w:val="22"/>
          <w:lang w:val="lt-LT"/>
        </w:rPr>
        <w:t>plėvele</w:t>
      </w:r>
      <w:r w:rsidRPr="00CD7E52">
        <w:rPr>
          <w:i w:val="0"/>
          <w:color w:val="auto"/>
          <w:spacing w:val="-7"/>
          <w:szCs w:val="22"/>
          <w:lang w:val="lt-LT"/>
        </w:rPr>
        <w:t xml:space="preserve"> </w:t>
      </w:r>
      <w:r w:rsidRPr="00CD7E52">
        <w:rPr>
          <w:i w:val="0"/>
          <w:color w:val="auto"/>
          <w:szCs w:val="22"/>
          <w:lang w:val="lt-LT"/>
        </w:rPr>
        <w:t>dengtoje</w:t>
      </w:r>
      <w:r w:rsidRPr="00CD7E52">
        <w:rPr>
          <w:i w:val="0"/>
          <w:color w:val="auto"/>
          <w:spacing w:val="-7"/>
          <w:szCs w:val="22"/>
          <w:lang w:val="lt-LT"/>
        </w:rPr>
        <w:t xml:space="preserve"> </w:t>
      </w:r>
      <w:r w:rsidRPr="00CD7E52">
        <w:rPr>
          <w:i w:val="0"/>
          <w:color w:val="auto"/>
          <w:szCs w:val="22"/>
          <w:lang w:val="lt-LT"/>
        </w:rPr>
        <w:t>tabletėje</w:t>
      </w:r>
      <w:r w:rsidRPr="00CD7E52">
        <w:rPr>
          <w:i w:val="0"/>
          <w:color w:val="auto"/>
          <w:spacing w:val="-5"/>
          <w:szCs w:val="22"/>
          <w:lang w:val="lt-LT"/>
        </w:rPr>
        <w:t xml:space="preserve"> </w:t>
      </w:r>
      <w:r w:rsidRPr="00CD7E52">
        <w:rPr>
          <w:i w:val="0"/>
          <w:color w:val="auto"/>
          <w:szCs w:val="22"/>
          <w:lang w:val="lt-LT"/>
        </w:rPr>
        <w:t>yra</w:t>
      </w:r>
      <w:r w:rsidRPr="00CD7E52">
        <w:rPr>
          <w:i w:val="0"/>
          <w:color w:val="auto"/>
          <w:spacing w:val="-5"/>
          <w:szCs w:val="22"/>
          <w:lang w:val="lt-LT"/>
        </w:rPr>
        <w:t xml:space="preserve"> </w:t>
      </w:r>
      <w:r w:rsidRPr="00CD7E52">
        <w:rPr>
          <w:i w:val="0"/>
          <w:color w:val="auto"/>
          <w:szCs w:val="22"/>
          <w:lang w:val="lt-LT"/>
        </w:rPr>
        <w:t>30</w:t>
      </w:r>
      <w:r w:rsidRPr="00CD7E52">
        <w:rPr>
          <w:i w:val="0"/>
          <w:color w:val="auto"/>
          <w:spacing w:val="-6"/>
          <w:szCs w:val="22"/>
          <w:lang w:val="lt-LT"/>
        </w:rPr>
        <w:t xml:space="preserve"> mg </w:t>
      </w:r>
      <w:r w:rsidRPr="00CD7E52">
        <w:rPr>
          <w:i w:val="0"/>
          <w:color w:val="auto"/>
          <w:spacing w:val="-2"/>
          <w:szCs w:val="22"/>
          <w:lang w:val="lt-LT"/>
        </w:rPr>
        <w:t>apremilasto.</w:t>
      </w:r>
    </w:p>
    <w:p w14:paraId="1FFF86DD" w14:textId="77777777" w:rsidR="001A26B4" w:rsidRPr="00CD7E52" w:rsidRDefault="001A26B4" w:rsidP="001A26B4">
      <w:pPr>
        <w:pStyle w:val="Pagrindinistekstas"/>
        <w:kinsoku w:val="0"/>
        <w:overflowPunct w:val="0"/>
        <w:rPr>
          <w:i w:val="0"/>
          <w:color w:val="auto"/>
          <w:szCs w:val="22"/>
          <w:lang w:val="lt-LT"/>
        </w:rPr>
      </w:pPr>
    </w:p>
    <w:p w14:paraId="28E5980A" w14:textId="77777777" w:rsidR="00FE51F1" w:rsidRPr="00CD7E52" w:rsidRDefault="00FE51F1" w:rsidP="001A26B4">
      <w:pPr>
        <w:pStyle w:val="Pagrindinistekstas"/>
        <w:kinsoku w:val="0"/>
        <w:overflowPunct w:val="0"/>
        <w:rPr>
          <w:i w:val="0"/>
          <w:color w:val="auto"/>
          <w:szCs w:val="22"/>
          <w:u w:val="single"/>
          <w:lang w:val="lt-LT"/>
        </w:rPr>
      </w:pPr>
      <w:r w:rsidRPr="00CD7E52">
        <w:rPr>
          <w:i w:val="0"/>
          <w:color w:val="auto"/>
          <w:szCs w:val="22"/>
          <w:u w:val="single"/>
          <w:lang w:val="lt-LT"/>
        </w:rPr>
        <w:t>Pagalbinė medžiaga, kurios poveikis žinomas</w:t>
      </w:r>
    </w:p>
    <w:p w14:paraId="0B06839D" w14:textId="77777777" w:rsidR="001A26B4" w:rsidRPr="00CD7E52" w:rsidRDefault="001A26B4" w:rsidP="001A26B4">
      <w:pPr>
        <w:pStyle w:val="Pagrindinistekstas"/>
        <w:kinsoku w:val="0"/>
        <w:overflowPunct w:val="0"/>
        <w:rPr>
          <w:i w:val="0"/>
          <w:color w:val="auto"/>
          <w:szCs w:val="22"/>
          <w:lang w:val="lt-LT"/>
        </w:rPr>
      </w:pPr>
      <w:r w:rsidRPr="00CD7E52">
        <w:rPr>
          <w:i w:val="0"/>
          <w:color w:val="auto"/>
          <w:szCs w:val="22"/>
          <w:lang w:val="lt-LT"/>
        </w:rPr>
        <w:t>Kiekvienoje</w:t>
      </w:r>
      <w:r w:rsidRPr="00CD7E52">
        <w:rPr>
          <w:i w:val="0"/>
          <w:color w:val="auto"/>
          <w:spacing w:val="-5"/>
          <w:szCs w:val="22"/>
          <w:lang w:val="lt-LT"/>
        </w:rPr>
        <w:t xml:space="preserve"> </w:t>
      </w:r>
      <w:r w:rsidRPr="00CD7E52">
        <w:rPr>
          <w:i w:val="0"/>
          <w:color w:val="auto"/>
          <w:szCs w:val="22"/>
          <w:lang w:val="lt-LT"/>
        </w:rPr>
        <w:t>plėvele</w:t>
      </w:r>
      <w:r w:rsidRPr="00CD7E52">
        <w:rPr>
          <w:i w:val="0"/>
          <w:color w:val="auto"/>
          <w:spacing w:val="-5"/>
          <w:szCs w:val="22"/>
          <w:lang w:val="lt-LT"/>
        </w:rPr>
        <w:t xml:space="preserve"> </w:t>
      </w:r>
      <w:r w:rsidRPr="00CD7E52">
        <w:rPr>
          <w:i w:val="0"/>
          <w:color w:val="auto"/>
          <w:szCs w:val="22"/>
          <w:lang w:val="lt-LT"/>
        </w:rPr>
        <w:t>dengtoje</w:t>
      </w:r>
      <w:r w:rsidRPr="00CD7E52">
        <w:rPr>
          <w:i w:val="0"/>
          <w:color w:val="auto"/>
          <w:spacing w:val="-5"/>
          <w:szCs w:val="22"/>
          <w:lang w:val="lt-LT"/>
        </w:rPr>
        <w:t xml:space="preserve"> </w:t>
      </w:r>
      <w:r w:rsidRPr="00CD7E52">
        <w:rPr>
          <w:i w:val="0"/>
          <w:color w:val="auto"/>
          <w:szCs w:val="22"/>
          <w:lang w:val="lt-LT"/>
        </w:rPr>
        <w:t>tabletėje</w:t>
      </w:r>
      <w:r w:rsidRPr="00CD7E52">
        <w:rPr>
          <w:i w:val="0"/>
          <w:color w:val="auto"/>
          <w:spacing w:val="-3"/>
          <w:szCs w:val="22"/>
          <w:lang w:val="lt-LT"/>
        </w:rPr>
        <w:t xml:space="preserve"> </w:t>
      </w:r>
      <w:r w:rsidRPr="00CD7E52">
        <w:rPr>
          <w:i w:val="0"/>
          <w:color w:val="auto"/>
          <w:szCs w:val="22"/>
          <w:lang w:val="lt-LT"/>
        </w:rPr>
        <w:t>yra</w:t>
      </w:r>
      <w:r w:rsidRPr="00CD7E52">
        <w:rPr>
          <w:i w:val="0"/>
          <w:color w:val="auto"/>
          <w:spacing w:val="-2"/>
          <w:szCs w:val="22"/>
          <w:lang w:val="lt-LT"/>
        </w:rPr>
        <w:t xml:space="preserve"> </w:t>
      </w:r>
      <w:r w:rsidRPr="00CD7E52">
        <w:rPr>
          <w:i w:val="0"/>
          <w:color w:val="auto"/>
          <w:szCs w:val="22"/>
          <w:lang w:val="lt-LT"/>
        </w:rPr>
        <w:t>127</w:t>
      </w:r>
      <w:r w:rsidRPr="00CD7E52">
        <w:rPr>
          <w:i w:val="0"/>
          <w:color w:val="auto"/>
          <w:spacing w:val="-4"/>
          <w:szCs w:val="22"/>
          <w:lang w:val="lt-LT"/>
        </w:rPr>
        <w:t> mg</w:t>
      </w:r>
      <w:r w:rsidRPr="00CD7E52">
        <w:rPr>
          <w:i w:val="0"/>
          <w:color w:val="auto"/>
          <w:spacing w:val="-5"/>
          <w:szCs w:val="22"/>
          <w:lang w:val="lt-LT"/>
        </w:rPr>
        <w:t xml:space="preserve"> </w:t>
      </w:r>
      <w:r w:rsidRPr="00CD7E52">
        <w:rPr>
          <w:i w:val="0"/>
          <w:color w:val="auto"/>
          <w:szCs w:val="22"/>
          <w:lang w:val="lt-LT"/>
        </w:rPr>
        <w:t>laktozės</w:t>
      </w:r>
      <w:r w:rsidRPr="00CD7E52">
        <w:rPr>
          <w:i w:val="0"/>
          <w:color w:val="auto"/>
          <w:spacing w:val="-5"/>
          <w:szCs w:val="22"/>
          <w:lang w:val="lt-LT"/>
        </w:rPr>
        <w:t xml:space="preserve"> </w:t>
      </w:r>
      <w:r w:rsidRPr="00CD7E52">
        <w:rPr>
          <w:i w:val="0"/>
          <w:color w:val="auto"/>
          <w:szCs w:val="22"/>
          <w:lang w:val="lt-LT"/>
        </w:rPr>
        <w:t>(laktozės</w:t>
      </w:r>
      <w:r w:rsidRPr="00CD7E52">
        <w:rPr>
          <w:i w:val="0"/>
          <w:color w:val="auto"/>
          <w:spacing w:val="-5"/>
          <w:szCs w:val="22"/>
          <w:lang w:val="lt-LT"/>
        </w:rPr>
        <w:t xml:space="preserve"> </w:t>
      </w:r>
      <w:r w:rsidRPr="00CD7E52">
        <w:rPr>
          <w:i w:val="0"/>
          <w:color w:val="auto"/>
          <w:szCs w:val="22"/>
          <w:lang w:val="lt-LT"/>
        </w:rPr>
        <w:t>monohidrato</w:t>
      </w:r>
      <w:r w:rsidRPr="00CD7E52">
        <w:rPr>
          <w:i w:val="0"/>
          <w:color w:val="auto"/>
          <w:spacing w:val="-4"/>
          <w:szCs w:val="22"/>
          <w:lang w:val="lt-LT"/>
        </w:rPr>
        <w:t xml:space="preserve"> </w:t>
      </w:r>
      <w:r w:rsidRPr="00CD7E52">
        <w:rPr>
          <w:i w:val="0"/>
          <w:color w:val="auto"/>
          <w:szCs w:val="22"/>
          <w:lang w:val="lt-LT"/>
        </w:rPr>
        <w:t>pavidalu).</w:t>
      </w:r>
    </w:p>
    <w:p w14:paraId="13F3D88F" w14:textId="77777777" w:rsidR="00776FBE" w:rsidRPr="00CD7E52" w:rsidRDefault="00776FBE" w:rsidP="00BD0220">
      <w:pPr>
        <w:widowControl w:val="0"/>
        <w:tabs>
          <w:tab w:val="clear" w:pos="567"/>
        </w:tabs>
        <w:spacing w:line="240" w:lineRule="auto"/>
        <w:rPr>
          <w:rFonts w:eastAsia="TimesNewRoman"/>
          <w:szCs w:val="22"/>
          <w:lang w:val="lt-LT"/>
        </w:rPr>
      </w:pPr>
    </w:p>
    <w:p w14:paraId="0CC7941C" w14:textId="77777777" w:rsidR="00776FBE" w:rsidRPr="00CD7E52" w:rsidRDefault="00776FBE" w:rsidP="00BD0220">
      <w:pPr>
        <w:widowControl w:val="0"/>
        <w:tabs>
          <w:tab w:val="clear" w:pos="567"/>
        </w:tabs>
        <w:spacing w:line="240" w:lineRule="auto"/>
        <w:rPr>
          <w:szCs w:val="22"/>
          <w:lang w:val="lt-LT"/>
        </w:rPr>
      </w:pPr>
      <w:r w:rsidRPr="00CD7E52">
        <w:rPr>
          <w:szCs w:val="22"/>
          <w:lang w:val="lt-LT"/>
        </w:rPr>
        <w:t>Visos pagalbinės medžiagos išvardytos 6.1 skyriuje.</w:t>
      </w:r>
    </w:p>
    <w:p w14:paraId="5F89A573" w14:textId="77777777" w:rsidR="00776FBE" w:rsidRPr="00CD7E52" w:rsidRDefault="00776FBE" w:rsidP="00BD0220">
      <w:pPr>
        <w:widowControl w:val="0"/>
        <w:tabs>
          <w:tab w:val="clear" w:pos="567"/>
        </w:tabs>
        <w:spacing w:line="240" w:lineRule="auto"/>
        <w:ind w:left="567" w:hanging="567"/>
        <w:rPr>
          <w:szCs w:val="22"/>
          <w:lang w:val="lt-LT"/>
        </w:rPr>
      </w:pPr>
    </w:p>
    <w:p w14:paraId="3E9D1E38" w14:textId="77777777" w:rsidR="00776FBE" w:rsidRPr="00CD7E52" w:rsidRDefault="00776FBE" w:rsidP="00BD0220">
      <w:pPr>
        <w:widowControl w:val="0"/>
        <w:tabs>
          <w:tab w:val="clear" w:pos="567"/>
        </w:tabs>
        <w:spacing w:line="240" w:lineRule="auto"/>
        <w:ind w:left="567" w:hanging="567"/>
        <w:rPr>
          <w:szCs w:val="22"/>
          <w:lang w:val="lt-LT"/>
        </w:rPr>
      </w:pPr>
    </w:p>
    <w:p w14:paraId="2C9D2456" w14:textId="77777777" w:rsidR="00776FBE" w:rsidRPr="00CD7E52" w:rsidRDefault="00776FBE" w:rsidP="009E0A7D">
      <w:pPr>
        <w:widowControl w:val="0"/>
        <w:spacing w:line="240" w:lineRule="auto"/>
        <w:ind w:left="567" w:hanging="567"/>
        <w:outlineLvl w:val="1"/>
        <w:rPr>
          <w:b/>
          <w:szCs w:val="22"/>
          <w:lang w:val="lt-LT"/>
        </w:rPr>
      </w:pPr>
      <w:r w:rsidRPr="00CD7E52">
        <w:rPr>
          <w:b/>
          <w:snapToGrid/>
          <w:szCs w:val="22"/>
          <w:lang w:val="lt-LT"/>
        </w:rPr>
        <w:t>3.</w:t>
      </w:r>
      <w:r w:rsidRPr="00CD7E52">
        <w:rPr>
          <w:b/>
          <w:snapToGrid/>
          <w:szCs w:val="22"/>
          <w:lang w:val="lt-LT"/>
        </w:rPr>
        <w:tab/>
      </w:r>
      <w:r w:rsidRPr="00CD7E52">
        <w:rPr>
          <w:b/>
          <w:szCs w:val="22"/>
          <w:lang w:val="lt-LT"/>
        </w:rPr>
        <w:t xml:space="preserve">FARMACINĖ </w:t>
      </w:r>
      <w:r w:rsidR="00D44DEE" w:rsidRPr="00CD7E52">
        <w:rPr>
          <w:b/>
          <w:szCs w:val="22"/>
          <w:lang w:val="lt-LT"/>
        </w:rPr>
        <w:t>FORMA</w:t>
      </w:r>
    </w:p>
    <w:p w14:paraId="2387B07D" w14:textId="77777777" w:rsidR="00776FBE" w:rsidRPr="00CD7E52" w:rsidRDefault="00776FBE" w:rsidP="00BD0220">
      <w:pPr>
        <w:widowControl w:val="0"/>
        <w:tabs>
          <w:tab w:val="clear" w:pos="567"/>
        </w:tabs>
        <w:spacing w:line="240" w:lineRule="auto"/>
        <w:rPr>
          <w:szCs w:val="22"/>
          <w:lang w:val="lt-LT"/>
        </w:rPr>
      </w:pPr>
    </w:p>
    <w:p w14:paraId="278A7C8F" w14:textId="77777777" w:rsidR="001504F0" w:rsidRPr="00CD7E52" w:rsidRDefault="001504F0" w:rsidP="00BD0220">
      <w:pPr>
        <w:widowControl w:val="0"/>
        <w:tabs>
          <w:tab w:val="clear" w:pos="567"/>
        </w:tabs>
        <w:spacing w:line="240" w:lineRule="auto"/>
        <w:rPr>
          <w:szCs w:val="22"/>
          <w:lang w:val="lt-LT"/>
        </w:rPr>
      </w:pPr>
      <w:r w:rsidRPr="00CD7E52">
        <w:rPr>
          <w:szCs w:val="22"/>
          <w:lang w:val="lt-LT"/>
        </w:rPr>
        <w:t>Plėvele dengta tabletė (tabletė).</w:t>
      </w:r>
    </w:p>
    <w:p w14:paraId="06D948ED" w14:textId="77777777" w:rsidR="001504F0" w:rsidRPr="00CD7E52" w:rsidRDefault="001504F0" w:rsidP="00BD0220">
      <w:pPr>
        <w:widowControl w:val="0"/>
        <w:tabs>
          <w:tab w:val="clear" w:pos="567"/>
        </w:tabs>
        <w:spacing w:line="240" w:lineRule="auto"/>
        <w:rPr>
          <w:szCs w:val="22"/>
          <w:lang w:val="lt-LT"/>
        </w:rPr>
      </w:pPr>
    </w:p>
    <w:p w14:paraId="58CF70CE" w14:textId="77777777" w:rsidR="00075FB4" w:rsidRPr="00CD7E52" w:rsidRDefault="005A4193" w:rsidP="00BD0220">
      <w:pPr>
        <w:widowControl w:val="0"/>
        <w:tabs>
          <w:tab w:val="clear" w:pos="567"/>
        </w:tabs>
        <w:spacing w:line="240" w:lineRule="auto"/>
        <w:rPr>
          <w:szCs w:val="22"/>
          <w:lang w:val="lt-LT"/>
        </w:rPr>
      </w:pPr>
      <w:r w:rsidRPr="00CD7E52">
        <w:rPr>
          <w:szCs w:val="22"/>
          <w:lang w:val="lt-LT"/>
        </w:rPr>
        <w:t>Apremilast STADA</w:t>
      </w:r>
      <w:r w:rsidR="001504F0" w:rsidRPr="00CD7E52">
        <w:rPr>
          <w:szCs w:val="22"/>
          <w:lang w:val="lt-LT"/>
        </w:rPr>
        <w:t xml:space="preserve"> 10 mg plėvele dengtos tabletės</w:t>
      </w:r>
    </w:p>
    <w:p w14:paraId="29277E55" w14:textId="77777777" w:rsidR="001504F0" w:rsidRPr="00CD7E52" w:rsidRDefault="00075FB4" w:rsidP="00BD0220">
      <w:pPr>
        <w:widowControl w:val="0"/>
        <w:tabs>
          <w:tab w:val="clear" w:pos="567"/>
        </w:tabs>
        <w:spacing w:line="240" w:lineRule="auto"/>
        <w:rPr>
          <w:szCs w:val="22"/>
          <w:lang w:val="lt-LT"/>
        </w:rPr>
      </w:pPr>
      <w:r w:rsidRPr="00CD7E52">
        <w:rPr>
          <w:szCs w:val="22"/>
          <w:lang w:val="lt-LT"/>
        </w:rPr>
        <w:t xml:space="preserve">Rausvos, </w:t>
      </w:r>
      <w:r w:rsidR="001504F0" w:rsidRPr="00CD7E52">
        <w:rPr>
          <w:szCs w:val="22"/>
          <w:lang w:val="lt-LT"/>
        </w:rPr>
        <w:t>ovalios, abipus išgaubtos</w:t>
      </w:r>
      <w:r w:rsidR="004F62D8" w:rsidRPr="00CD7E52">
        <w:rPr>
          <w:szCs w:val="22"/>
          <w:lang w:val="lt-LT"/>
        </w:rPr>
        <w:t xml:space="preserve"> (</w:t>
      </w:r>
      <w:r w:rsidR="001504F0" w:rsidRPr="00CD7E52">
        <w:rPr>
          <w:szCs w:val="22"/>
          <w:lang w:val="lt-LT"/>
        </w:rPr>
        <w:t>8 mm ilgio ir 4 mm pločio</w:t>
      </w:r>
      <w:r w:rsidR="004F62D8" w:rsidRPr="00CD7E52">
        <w:rPr>
          <w:szCs w:val="22"/>
          <w:lang w:val="lt-LT"/>
        </w:rPr>
        <w:t>)</w:t>
      </w:r>
      <w:r w:rsidR="00454468" w:rsidRPr="00CD7E52">
        <w:rPr>
          <w:szCs w:val="22"/>
          <w:lang w:val="lt-LT"/>
        </w:rPr>
        <w:t>.</w:t>
      </w:r>
    </w:p>
    <w:p w14:paraId="6B264124" w14:textId="77777777" w:rsidR="001504F0" w:rsidRPr="00CD7E52" w:rsidRDefault="001504F0" w:rsidP="00BD0220">
      <w:pPr>
        <w:widowControl w:val="0"/>
        <w:tabs>
          <w:tab w:val="clear" w:pos="567"/>
        </w:tabs>
        <w:spacing w:line="240" w:lineRule="auto"/>
        <w:rPr>
          <w:szCs w:val="22"/>
          <w:lang w:val="lt-LT"/>
        </w:rPr>
      </w:pPr>
    </w:p>
    <w:p w14:paraId="359E001C" w14:textId="77777777" w:rsidR="00454468" w:rsidRPr="00CD7E52" w:rsidRDefault="005A4193" w:rsidP="00BD0220">
      <w:pPr>
        <w:widowControl w:val="0"/>
        <w:tabs>
          <w:tab w:val="clear" w:pos="567"/>
        </w:tabs>
        <w:spacing w:line="240" w:lineRule="auto"/>
        <w:rPr>
          <w:szCs w:val="22"/>
          <w:lang w:val="lt-LT"/>
        </w:rPr>
      </w:pPr>
      <w:r w:rsidRPr="00CD7E52">
        <w:rPr>
          <w:szCs w:val="22"/>
          <w:lang w:val="lt-LT"/>
        </w:rPr>
        <w:t>Apremilast STADA</w:t>
      </w:r>
      <w:r w:rsidR="001504F0" w:rsidRPr="00CD7E52">
        <w:rPr>
          <w:szCs w:val="22"/>
          <w:lang w:val="lt-LT"/>
        </w:rPr>
        <w:t xml:space="preserve"> 20 mg plėvele dengtos tabletės</w:t>
      </w:r>
    </w:p>
    <w:p w14:paraId="0976F9BB" w14:textId="77777777" w:rsidR="001504F0" w:rsidRPr="00CD7E52" w:rsidRDefault="0018619E" w:rsidP="00BD0220">
      <w:pPr>
        <w:widowControl w:val="0"/>
        <w:tabs>
          <w:tab w:val="clear" w:pos="567"/>
        </w:tabs>
        <w:spacing w:line="240" w:lineRule="auto"/>
        <w:rPr>
          <w:szCs w:val="22"/>
          <w:lang w:val="lt-LT"/>
        </w:rPr>
      </w:pPr>
      <w:r w:rsidRPr="00CD7E52">
        <w:rPr>
          <w:szCs w:val="22"/>
          <w:lang w:val="lt-LT"/>
        </w:rPr>
        <w:t>Rudos,</w:t>
      </w:r>
      <w:r w:rsidR="001504F0" w:rsidRPr="00CD7E52">
        <w:rPr>
          <w:szCs w:val="22"/>
          <w:lang w:val="lt-LT"/>
        </w:rPr>
        <w:t xml:space="preserve"> ovalios, abipus išgaubtos</w:t>
      </w:r>
      <w:r w:rsidR="004F62D8" w:rsidRPr="00CD7E52">
        <w:rPr>
          <w:szCs w:val="22"/>
          <w:lang w:val="lt-LT"/>
        </w:rPr>
        <w:t xml:space="preserve"> (</w:t>
      </w:r>
      <w:r w:rsidR="001504F0" w:rsidRPr="00CD7E52">
        <w:rPr>
          <w:szCs w:val="22"/>
          <w:lang w:val="lt-LT"/>
        </w:rPr>
        <w:t>10 mm ilgio ir 5 mm pločio</w:t>
      </w:r>
      <w:r w:rsidR="004F62D8" w:rsidRPr="00CD7E52">
        <w:rPr>
          <w:szCs w:val="22"/>
          <w:lang w:val="lt-LT"/>
        </w:rPr>
        <w:t>)</w:t>
      </w:r>
      <w:r w:rsidRPr="00CD7E52">
        <w:rPr>
          <w:szCs w:val="22"/>
          <w:lang w:val="lt-LT"/>
        </w:rPr>
        <w:t>.</w:t>
      </w:r>
    </w:p>
    <w:p w14:paraId="34574051" w14:textId="77777777" w:rsidR="001504F0" w:rsidRPr="00CD7E52" w:rsidRDefault="001504F0" w:rsidP="00BD0220">
      <w:pPr>
        <w:widowControl w:val="0"/>
        <w:tabs>
          <w:tab w:val="clear" w:pos="567"/>
        </w:tabs>
        <w:spacing w:line="240" w:lineRule="auto"/>
        <w:rPr>
          <w:szCs w:val="22"/>
          <w:lang w:val="lt-LT"/>
        </w:rPr>
      </w:pPr>
    </w:p>
    <w:p w14:paraId="124B44E9" w14:textId="77777777" w:rsidR="007611C6" w:rsidRPr="00CD7E52" w:rsidRDefault="005A4193" w:rsidP="00BD0220">
      <w:pPr>
        <w:widowControl w:val="0"/>
        <w:tabs>
          <w:tab w:val="clear" w:pos="567"/>
        </w:tabs>
        <w:spacing w:line="240" w:lineRule="auto"/>
        <w:rPr>
          <w:szCs w:val="22"/>
          <w:lang w:val="lt-LT"/>
        </w:rPr>
      </w:pPr>
      <w:r w:rsidRPr="00CD7E52">
        <w:rPr>
          <w:szCs w:val="22"/>
          <w:lang w:val="lt-LT"/>
        </w:rPr>
        <w:t>Apremilast STADA</w:t>
      </w:r>
      <w:r w:rsidR="001504F0" w:rsidRPr="00CD7E52">
        <w:rPr>
          <w:szCs w:val="22"/>
          <w:lang w:val="lt-LT"/>
        </w:rPr>
        <w:t xml:space="preserve"> 30 mg plėvele dengtos tabletės</w:t>
      </w:r>
    </w:p>
    <w:p w14:paraId="6C9F5E2E" w14:textId="77777777" w:rsidR="001504F0" w:rsidRPr="00CD7E52" w:rsidRDefault="007611C6" w:rsidP="00BD0220">
      <w:pPr>
        <w:widowControl w:val="0"/>
        <w:tabs>
          <w:tab w:val="clear" w:pos="567"/>
        </w:tabs>
        <w:spacing w:line="240" w:lineRule="auto"/>
        <w:rPr>
          <w:szCs w:val="22"/>
          <w:lang w:val="lt-LT"/>
        </w:rPr>
      </w:pPr>
      <w:r w:rsidRPr="00CD7E52">
        <w:rPr>
          <w:szCs w:val="22"/>
          <w:lang w:val="lt-LT"/>
        </w:rPr>
        <w:t xml:space="preserve">Rusvai gelsvos, </w:t>
      </w:r>
      <w:r w:rsidR="001504F0" w:rsidRPr="00CD7E52">
        <w:rPr>
          <w:szCs w:val="22"/>
          <w:lang w:val="lt-LT"/>
        </w:rPr>
        <w:t>ovalios, abipus išgaubtos</w:t>
      </w:r>
      <w:r w:rsidR="004F62D8" w:rsidRPr="00CD7E52">
        <w:rPr>
          <w:szCs w:val="22"/>
          <w:lang w:val="lt-LT"/>
        </w:rPr>
        <w:t xml:space="preserve"> (</w:t>
      </w:r>
      <w:r w:rsidR="001504F0" w:rsidRPr="00CD7E52">
        <w:rPr>
          <w:szCs w:val="22"/>
          <w:lang w:val="lt-LT"/>
        </w:rPr>
        <w:t>13 mm ilgio ir 6 mm pločio</w:t>
      </w:r>
      <w:r w:rsidR="004F62D8" w:rsidRPr="00CD7E52">
        <w:rPr>
          <w:szCs w:val="22"/>
          <w:lang w:val="lt-LT"/>
        </w:rPr>
        <w:t>)</w:t>
      </w:r>
      <w:r w:rsidRPr="00CD7E52">
        <w:rPr>
          <w:szCs w:val="22"/>
          <w:lang w:val="lt-LT"/>
        </w:rPr>
        <w:t>.</w:t>
      </w:r>
    </w:p>
    <w:p w14:paraId="38ED0C1D" w14:textId="77777777" w:rsidR="00776FBE" w:rsidRPr="00CD7E52" w:rsidRDefault="00776FBE" w:rsidP="00BD0220">
      <w:pPr>
        <w:widowControl w:val="0"/>
        <w:tabs>
          <w:tab w:val="clear" w:pos="567"/>
        </w:tabs>
        <w:spacing w:line="240" w:lineRule="auto"/>
        <w:rPr>
          <w:szCs w:val="22"/>
          <w:lang w:val="lt-LT"/>
        </w:rPr>
      </w:pPr>
    </w:p>
    <w:p w14:paraId="78F682AF" w14:textId="77777777" w:rsidR="00776FBE" w:rsidRPr="00CD7E52" w:rsidRDefault="00776FBE" w:rsidP="009E0A7D">
      <w:pPr>
        <w:widowControl w:val="0"/>
        <w:tabs>
          <w:tab w:val="clear" w:pos="567"/>
        </w:tabs>
        <w:spacing w:line="240" w:lineRule="auto"/>
        <w:rPr>
          <w:szCs w:val="22"/>
          <w:lang w:val="lt-LT"/>
        </w:rPr>
      </w:pPr>
    </w:p>
    <w:p w14:paraId="24005EB9" w14:textId="77777777" w:rsidR="00776FBE" w:rsidRPr="00CD7E52" w:rsidRDefault="00D44DEE" w:rsidP="009E0A7D">
      <w:pPr>
        <w:widowControl w:val="0"/>
        <w:spacing w:line="240" w:lineRule="auto"/>
        <w:ind w:left="567" w:hanging="567"/>
        <w:outlineLvl w:val="1"/>
        <w:rPr>
          <w:b/>
          <w:szCs w:val="22"/>
          <w:lang w:val="lt-LT"/>
        </w:rPr>
      </w:pPr>
      <w:r w:rsidRPr="00CD7E52">
        <w:rPr>
          <w:b/>
          <w:snapToGrid/>
          <w:szCs w:val="22"/>
          <w:lang w:val="lt-LT"/>
        </w:rPr>
        <w:t>4.</w:t>
      </w:r>
      <w:r w:rsidRPr="00CD7E52">
        <w:rPr>
          <w:b/>
          <w:snapToGrid/>
          <w:szCs w:val="22"/>
          <w:lang w:val="lt-LT"/>
        </w:rPr>
        <w:tab/>
      </w:r>
      <w:r w:rsidRPr="00CD7E52">
        <w:rPr>
          <w:b/>
          <w:szCs w:val="22"/>
          <w:lang w:val="lt-LT"/>
        </w:rPr>
        <w:t>KLINIKINĖ INFORMACIJA</w:t>
      </w:r>
    </w:p>
    <w:p w14:paraId="3D3EAF75" w14:textId="77777777" w:rsidR="00776FBE" w:rsidRPr="00CD7E52" w:rsidRDefault="00776FBE" w:rsidP="009E0A7D">
      <w:pPr>
        <w:widowControl w:val="0"/>
        <w:tabs>
          <w:tab w:val="clear" w:pos="567"/>
        </w:tabs>
        <w:spacing w:line="240" w:lineRule="auto"/>
        <w:ind w:left="567" w:hanging="567"/>
        <w:rPr>
          <w:szCs w:val="22"/>
          <w:lang w:val="lt-LT"/>
        </w:rPr>
      </w:pPr>
    </w:p>
    <w:p w14:paraId="28DDE396" w14:textId="77777777" w:rsidR="00776FBE" w:rsidRPr="00CD7E52" w:rsidRDefault="00776FBE" w:rsidP="009E0A7D">
      <w:pPr>
        <w:widowControl w:val="0"/>
        <w:spacing w:line="240" w:lineRule="auto"/>
        <w:ind w:left="567" w:hanging="567"/>
        <w:outlineLvl w:val="2"/>
        <w:rPr>
          <w:b/>
          <w:kern w:val="28"/>
          <w:szCs w:val="22"/>
          <w:lang w:val="lt-LT"/>
        </w:rPr>
      </w:pPr>
      <w:r w:rsidRPr="00CD7E52">
        <w:rPr>
          <w:b/>
          <w:snapToGrid/>
          <w:kern w:val="28"/>
          <w:szCs w:val="22"/>
          <w:lang w:val="lt-LT"/>
        </w:rPr>
        <w:t>4.1</w:t>
      </w:r>
      <w:r w:rsidRPr="00CD7E52">
        <w:rPr>
          <w:b/>
          <w:snapToGrid/>
          <w:kern w:val="28"/>
          <w:szCs w:val="22"/>
          <w:lang w:val="lt-LT"/>
        </w:rPr>
        <w:tab/>
      </w:r>
      <w:r w:rsidRPr="00CD7E52">
        <w:rPr>
          <w:b/>
          <w:kern w:val="28"/>
          <w:szCs w:val="22"/>
          <w:lang w:val="lt-LT"/>
        </w:rPr>
        <w:t>Terapinės indikacijos</w:t>
      </w:r>
    </w:p>
    <w:p w14:paraId="6370C14A" w14:textId="77777777" w:rsidR="00776FBE" w:rsidRPr="00CD7E52" w:rsidRDefault="00776FBE" w:rsidP="00BD0220">
      <w:pPr>
        <w:widowControl w:val="0"/>
        <w:tabs>
          <w:tab w:val="clear" w:pos="567"/>
        </w:tabs>
        <w:spacing w:line="240" w:lineRule="auto"/>
        <w:ind w:left="567" w:hanging="567"/>
        <w:rPr>
          <w:szCs w:val="22"/>
          <w:lang w:val="lt-LT"/>
        </w:rPr>
      </w:pPr>
    </w:p>
    <w:p w14:paraId="77B41EE1" w14:textId="77777777" w:rsidR="00400BED" w:rsidRPr="00CD7E52" w:rsidRDefault="00400BED" w:rsidP="00BD0220">
      <w:pPr>
        <w:widowControl w:val="0"/>
        <w:tabs>
          <w:tab w:val="clear" w:pos="567"/>
        </w:tabs>
        <w:autoSpaceDE w:val="0"/>
        <w:autoSpaceDN w:val="0"/>
        <w:adjustRightInd w:val="0"/>
        <w:spacing w:line="240" w:lineRule="auto"/>
        <w:rPr>
          <w:rFonts w:eastAsia="TimesNewRoman"/>
          <w:szCs w:val="22"/>
          <w:u w:val="single"/>
          <w:lang w:val="lt-LT"/>
        </w:rPr>
      </w:pPr>
      <w:r w:rsidRPr="00CD7E52">
        <w:rPr>
          <w:rFonts w:eastAsia="TimesNewRoman"/>
          <w:szCs w:val="22"/>
          <w:u w:val="single"/>
          <w:lang w:val="lt-LT"/>
        </w:rPr>
        <w:t>Psoriazinis artritas</w:t>
      </w:r>
    </w:p>
    <w:p w14:paraId="54118643" w14:textId="77777777" w:rsidR="00400BED" w:rsidRPr="00CD7E52" w:rsidRDefault="005A4193"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Apremilast STADA</w:t>
      </w:r>
      <w:r w:rsidR="00400BED" w:rsidRPr="00CD7E52">
        <w:rPr>
          <w:rFonts w:eastAsia="TimesNewRoman"/>
          <w:szCs w:val="22"/>
          <w:lang w:val="lt-LT"/>
        </w:rPr>
        <w:t xml:space="preserve">, vienas arba kartu su ligos eigą modifikuojančiais </w:t>
      </w:r>
      <w:r w:rsidR="00400BED" w:rsidRPr="00CD7E52">
        <w:rPr>
          <w:rFonts w:eastAsia="TimesNewRoman"/>
          <w:snapToGrid/>
          <w:szCs w:val="22"/>
          <w:lang w:val="lt-LT"/>
        </w:rPr>
        <w:t>vaist</w:t>
      </w:r>
      <w:r w:rsidR="007472E9" w:rsidRPr="00CD7E52">
        <w:rPr>
          <w:rFonts w:eastAsia="TimesNewRoman"/>
          <w:snapToGrid/>
          <w:szCs w:val="22"/>
          <w:lang w:val="lt-LT"/>
        </w:rPr>
        <w:t>iniais preparat</w:t>
      </w:r>
      <w:r w:rsidR="00400BED" w:rsidRPr="00CD7E52">
        <w:rPr>
          <w:rFonts w:eastAsia="TimesNewRoman"/>
          <w:snapToGrid/>
          <w:szCs w:val="22"/>
          <w:lang w:val="lt-LT"/>
        </w:rPr>
        <w:t>ais</w:t>
      </w:r>
      <w:r w:rsidR="00400BED" w:rsidRPr="00CD7E52">
        <w:rPr>
          <w:rFonts w:eastAsia="TimesNewRoman"/>
          <w:szCs w:val="22"/>
          <w:lang w:val="lt-LT"/>
        </w:rPr>
        <w:t xml:space="preserve"> nuo reumato (LEMVNR), </w:t>
      </w:r>
      <w:r w:rsidR="007472E9" w:rsidRPr="00CD7E52">
        <w:rPr>
          <w:rFonts w:eastAsia="TimesNewRoman"/>
          <w:snapToGrid/>
          <w:szCs w:val="22"/>
          <w:lang w:val="lt-LT"/>
        </w:rPr>
        <w:t>skir</w:t>
      </w:r>
      <w:r w:rsidR="00140203">
        <w:rPr>
          <w:rFonts w:eastAsia="TimesNewRoman"/>
          <w:snapToGrid/>
          <w:szCs w:val="22"/>
          <w:lang w:val="lt-LT"/>
        </w:rPr>
        <w:t>tas</w:t>
      </w:r>
      <w:r w:rsidR="00400BED" w:rsidRPr="00CD7E52">
        <w:rPr>
          <w:rFonts w:eastAsia="TimesNewRoman"/>
          <w:szCs w:val="22"/>
          <w:lang w:val="lt-LT"/>
        </w:rPr>
        <w:t xml:space="preserve"> aktyviam</w:t>
      </w:r>
      <w:r w:rsidR="007472E9" w:rsidRPr="00CD7E52">
        <w:rPr>
          <w:rFonts w:eastAsia="TimesNewRoman"/>
          <w:szCs w:val="22"/>
          <w:lang w:val="lt-LT"/>
        </w:rPr>
        <w:t xml:space="preserve"> </w:t>
      </w:r>
      <w:r w:rsidR="00400BED" w:rsidRPr="00CD7E52">
        <w:rPr>
          <w:rFonts w:eastAsia="TimesNewRoman"/>
          <w:szCs w:val="22"/>
          <w:lang w:val="lt-LT"/>
        </w:rPr>
        <w:t xml:space="preserve">psoriaziniam artritui (PsA) gydyti suaugusiems pacientams, </w:t>
      </w:r>
      <w:r w:rsidR="007472E9" w:rsidRPr="00CD7E52">
        <w:rPr>
          <w:rFonts w:eastAsia="TimesNewRoman"/>
          <w:szCs w:val="22"/>
          <w:lang w:val="lt-LT"/>
        </w:rPr>
        <w:t>kuriems nebuvo pakankamos reakcijos į ankstesnį gydymą LEMVNR arba kurie jo netoleravo</w:t>
      </w:r>
      <w:r w:rsidR="00400BED" w:rsidRPr="00CD7E52">
        <w:rPr>
          <w:rFonts w:eastAsia="TimesNewRoman"/>
          <w:szCs w:val="22"/>
          <w:lang w:val="lt-LT"/>
        </w:rPr>
        <w:t xml:space="preserve"> (žr. 5.1</w:t>
      </w:r>
      <w:r w:rsidR="007472E9" w:rsidRPr="00CD7E52">
        <w:rPr>
          <w:rFonts w:eastAsia="TimesNewRoman"/>
          <w:szCs w:val="22"/>
          <w:lang w:val="lt-LT"/>
        </w:rPr>
        <w:t> </w:t>
      </w:r>
      <w:r w:rsidR="00400BED" w:rsidRPr="00CD7E52">
        <w:rPr>
          <w:rFonts w:eastAsia="TimesNewRoman"/>
          <w:szCs w:val="22"/>
          <w:lang w:val="lt-LT"/>
        </w:rPr>
        <w:t>skyrių).</w:t>
      </w:r>
    </w:p>
    <w:p w14:paraId="3F58A12A" w14:textId="77777777" w:rsidR="007472E9" w:rsidRPr="00CD7E52" w:rsidRDefault="007472E9" w:rsidP="00BD0220">
      <w:pPr>
        <w:widowControl w:val="0"/>
        <w:tabs>
          <w:tab w:val="clear" w:pos="567"/>
        </w:tabs>
        <w:autoSpaceDE w:val="0"/>
        <w:autoSpaceDN w:val="0"/>
        <w:adjustRightInd w:val="0"/>
        <w:spacing w:line="240" w:lineRule="auto"/>
        <w:rPr>
          <w:rFonts w:eastAsia="TimesNewRoman"/>
          <w:szCs w:val="22"/>
          <w:lang w:val="lt-LT"/>
        </w:rPr>
      </w:pPr>
    </w:p>
    <w:p w14:paraId="462BA684" w14:textId="77777777" w:rsidR="00400BED" w:rsidRPr="00CD7E52" w:rsidRDefault="00400BED" w:rsidP="00BD0220">
      <w:pPr>
        <w:widowControl w:val="0"/>
        <w:tabs>
          <w:tab w:val="clear" w:pos="567"/>
        </w:tabs>
        <w:autoSpaceDE w:val="0"/>
        <w:autoSpaceDN w:val="0"/>
        <w:adjustRightInd w:val="0"/>
        <w:spacing w:line="240" w:lineRule="auto"/>
        <w:rPr>
          <w:rFonts w:eastAsia="TimesNewRoman"/>
          <w:szCs w:val="22"/>
          <w:u w:val="single"/>
          <w:lang w:val="lt-LT"/>
        </w:rPr>
      </w:pPr>
      <w:r w:rsidRPr="00CD7E52">
        <w:rPr>
          <w:rFonts w:eastAsia="TimesNewRoman"/>
          <w:szCs w:val="22"/>
          <w:u w:val="single"/>
          <w:lang w:val="lt-LT"/>
        </w:rPr>
        <w:t>Psoriazė</w:t>
      </w:r>
    </w:p>
    <w:p w14:paraId="13A00320" w14:textId="77777777" w:rsidR="00400BED" w:rsidRPr="00CD7E52" w:rsidRDefault="005A4193"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Apremilast STADA</w:t>
      </w:r>
      <w:r w:rsidR="00400BED" w:rsidRPr="00CD7E52">
        <w:rPr>
          <w:rFonts w:eastAsia="TimesNewRoman"/>
          <w:szCs w:val="22"/>
          <w:lang w:val="lt-LT"/>
        </w:rPr>
        <w:t xml:space="preserve"> skirtas vidutinio sunkumo ar sunkiai lėtinei plokštelinei psoriazei </w:t>
      </w:r>
      <w:r w:rsidR="00AC6A51" w:rsidRPr="00AC6A51">
        <w:rPr>
          <w:rFonts w:eastAsia="TimesNewRoman"/>
          <w:szCs w:val="22"/>
          <w:lang w:val="lt-LT"/>
        </w:rPr>
        <w:t xml:space="preserve">(PSOR) </w:t>
      </w:r>
      <w:r w:rsidR="00400BED" w:rsidRPr="00CD7E52">
        <w:rPr>
          <w:rFonts w:eastAsia="TimesNewRoman"/>
          <w:szCs w:val="22"/>
          <w:lang w:val="lt-LT"/>
        </w:rPr>
        <w:t>gydyti suaugusiems</w:t>
      </w:r>
      <w:r w:rsidR="007472E9" w:rsidRPr="00CD7E52">
        <w:rPr>
          <w:rFonts w:eastAsia="TimesNewRoman"/>
          <w:szCs w:val="22"/>
          <w:lang w:val="lt-LT"/>
        </w:rPr>
        <w:t xml:space="preserve"> </w:t>
      </w:r>
      <w:r w:rsidR="00400BED" w:rsidRPr="00CD7E52">
        <w:rPr>
          <w:rFonts w:eastAsia="TimesNewRoman"/>
          <w:szCs w:val="22"/>
          <w:lang w:val="lt-LT"/>
        </w:rPr>
        <w:t>pacientams, kuriems nebuvo reakcijos į</w:t>
      </w:r>
      <w:r w:rsidR="00400BED" w:rsidRPr="00CD7E52">
        <w:rPr>
          <w:rFonts w:eastAsia="TimesNewRoman"/>
          <w:snapToGrid/>
          <w:szCs w:val="22"/>
          <w:lang w:val="lt-LT"/>
        </w:rPr>
        <w:t xml:space="preserve"> </w:t>
      </w:r>
      <w:r w:rsidR="007472E9" w:rsidRPr="00CD7E52">
        <w:rPr>
          <w:rFonts w:eastAsia="TimesNewRoman"/>
          <w:snapToGrid/>
          <w:szCs w:val="22"/>
          <w:lang w:val="lt-LT"/>
        </w:rPr>
        <w:t>kitokį</w:t>
      </w:r>
      <w:r w:rsidR="007472E9" w:rsidRPr="00CD7E52">
        <w:rPr>
          <w:rFonts w:eastAsia="TimesNewRoman"/>
          <w:szCs w:val="22"/>
          <w:lang w:val="lt-LT"/>
        </w:rPr>
        <w:t xml:space="preserve"> </w:t>
      </w:r>
      <w:r w:rsidR="00400BED" w:rsidRPr="00CD7E52">
        <w:rPr>
          <w:rFonts w:eastAsia="TimesNewRoman"/>
          <w:szCs w:val="22"/>
          <w:lang w:val="lt-LT"/>
        </w:rPr>
        <w:t>sisteminį gydymą, įskaitant ciklosporin</w:t>
      </w:r>
      <w:r w:rsidR="00946457" w:rsidRPr="00E37EB8">
        <w:rPr>
          <w:rFonts w:eastAsia="TimesNewRoman"/>
          <w:szCs w:val="22"/>
          <w:lang w:val="lt-LT"/>
        </w:rPr>
        <w:t>o</w:t>
      </w:r>
      <w:r w:rsidR="00400BED" w:rsidRPr="00CD7E52">
        <w:rPr>
          <w:rFonts w:eastAsia="TimesNewRoman"/>
          <w:szCs w:val="22"/>
          <w:lang w:val="lt-LT"/>
        </w:rPr>
        <w:t xml:space="preserve">, </w:t>
      </w:r>
      <w:r w:rsidR="00400BED" w:rsidRPr="00CD7E52">
        <w:rPr>
          <w:rFonts w:eastAsia="TimesNewRoman"/>
          <w:szCs w:val="22"/>
          <w:lang w:val="lt-LT"/>
        </w:rPr>
        <w:lastRenderedPageBreak/>
        <w:t>metotreksat</w:t>
      </w:r>
      <w:r w:rsidR="00946457" w:rsidRPr="00CD7E52">
        <w:rPr>
          <w:rFonts w:eastAsia="TimesNewRoman"/>
          <w:szCs w:val="22"/>
          <w:lang w:val="lt-LT"/>
        </w:rPr>
        <w:t>o</w:t>
      </w:r>
      <w:r w:rsidR="00400BED" w:rsidRPr="00CD7E52">
        <w:rPr>
          <w:rFonts w:eastAsia="TimesNewRoman"/>
          <w:szCs w:val="22"/>
          <w:lang w:val="lt-LT"/>
        </w:rPr>
        <w:t xml:space="preserve"> ar psoraleno</w:t>
      </w:r>
      <w:r w:rsidR="007472E9" w:rsidRPr="00CD7E52">
        <w:rPr>
          <w:rFonts w:eastAsia="TimesNewRoman"/>
          <w:szCs w:val="22"/>
          <w:lang w:val="lt-LT"/>
        </w:rPr>
        <w:t xml:space="preserve"> </w:t>
      </w:r>
      <w:r w:rsidR="00400BED" w:rsidRPr="00CD7E52">
        <w:rPr>
          <w:rFonts w:eastAsia="TimesNewRoman"/>
          <w:szCs w:val="22"/>
          <w:lang w:val="lt-LT"/>
        </w:rPr>
        <w:t xml:space="preserve">ir A spektro ultravioletinių spindulių (PUVA) terapiją, kuriems </w:t>
      </w:r>
      <w:r w:rsidR="0032286E" w:rsidRPr="00CD7E52">
        <w:rPr>
          <w:rFonts w:eastAsia="TimesNewRoman"/>
          <w:szCs w:val="22"/>
          <w:lang w:val="lt-LT"/>
        </w:rPr>
        <w:t xml:space="preserve">draudžiama </w:t>
      </w:r>
      <w:r w:rsidR="00400BED" w:rsidRPr="00CD7E52">
        <w:rPr>
          <w:rFonts w:eastAsia="TimesNewRoman"/>
          <w:szCs w:val="22"/>
          <w:lang w:val="lt-LT"/>
        </w:rPr>
        <w:t>j</w:t>
      </w:r>
      <w:r w:rsidR="00DC089D" w:rsidRPr="00CD7E52">
        <w:rPr>
          <w:rFonts w:eastAsia="TimesNewRoman"/>
          <w:szCs w:val="22"/>
          <w:lang w:val="lt-LT"/>
        </w:rPr>
        <w:t>į</w:t>
      </w:r>
      <w:r w:rsidR="00400BED" w:rsidRPr="00CD7E52">
        <w:rPr>
          <w:rFonts w:eastAsia="TimesNewRoman"/>
          <w:szCs w:val="22"/>
          <w:lang w:val="lt-LT"/>
        </w:rPr>
        <w:t xml:space="preserve"> taikyti arba kurie jo netoleruoja.</w:t>
      </w:r>
    </w:p>
    <w:p w14:paraId="7CA4AF0C" w14:textId="77777777" w:rsidR="00AC6A51" w:rsidRDefault="00AC6A51" w:rsidP="00AC6A51">
      <w:pPr>
        <w:widowControl w:val="0"/>
        <w:tabs>
          <w:tab w:val="clear" w:pos="567"/>
        </w:tabs>
        <w:autoSpaceDE w:val="0"/>
        <w:autoSpaceDN w:val="0"/>
        <w:adjustRightInd w:val="0"/>
        <w:spacing w:line="240" w:lineRule="auto"/>
        <w:rPr>
          <w:rFonts w:eastAsia="TimesNewRoman"/>
          <w:szCs w:val="22"/>
          <w:lang w:val="lt-LT"/>
        </w:rPr>
      </w:pPr>
    </w:p>
    <w:p w14:paraId="54DC6A0D" w14:textId="77777777" w:rsidR="00AC6A51" w:rsidRPr="00AC6A51" w:rsidRDefault="00AC6A51" w:rsidP="00AC6A51">
      <w:pPr>
        <w:widowControl w:val="0"/>
        <w:tabs>
          <w:tab w:val="clear" w:pos="567"/>
        </w:tabs>
        <w:autoSpaceDE w:val="0"/>
        <w:autoSpaceDN w:val="0"/>
        <w:adjustRightInd w:val="0"/>
        <w:spacing w:line="240" w:lineRule="auto"/>
        <w:rPr>
          <w:rFonts w:eastAsia="TimesNewRoman"/>
          <w:szCs w:val="22"/>
          <w:lang w:val="lt-LT"/>
        </w:rPr>
      </w:pPr>
      <w:r w:rsidRPr="00DB2543">
        <w:rPr>
          <w:rFonts w:eastAsia="TimesNewRoman"/>
          <w:szCs w:val="22"/>
          <w:u w:val="single"/>
          <w:lang w:val="lt-LT"/>
        </w:rPr>
        <w:t>Vaikų psoriazė</w:t>
      </w:r>
    </w:p>
    <w:p w14:paraId="26DD56F5" w14:textId="77777777" w:rsidR="007472E9" w:rsidRPr="00CD7E52" w:rsidRDefault="00AC6A51" w:rsidP="00AC6A51">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Apremilast</w:t>
      </w:r>
      <w:r>
        <w:rPr>
          <w:rFonts w:eastAsia="TimesNewRoman"/>
          <w:szCs w:val="22"/>
          <w:lang w:val="lt-LT"/>
        </w:rPr>
        <w:t>as</w:t>
      </w:r>
      <w:r w:rsidRPr="00AC6A51">
        <w:rPr>
          <w:rFonts w:eastAsia="TimesNewRoman"/>
          <w:szCs w:val="22"/>
          <w:lang w:val="lt-LT"/>
        </w:rPr>
        <w:t xml:space="preserve"> skirtas vidutinio sunkumo ar sunkiai plokštelinei psoriazei gydyti vaikams ir paaugliams nuo 6</w:t>
      </w:r>
      <w:r>
        <w:rPr>
          <w:rFonts w:eastAsia="TimesNewRoman"/>
          <w:szCs w:val="22"/>
          <w:lang w:val="lt-LT"/>
        </w:rPr>
        <w:t> </w:t>
      </w:r>
      <w:r w:rsidRPr="00AC6A51">
        <w:rPr>
          <w:rFonts w:eastAsia="TimesNewRoman"/>
          <w:szCs w:val="22"/>
          <w:lang w:val="lt-LT"/>
        </w:rPr>
        <w:t>metų ir sveriantiems ne mažiau kaip 20</w:t>
      </w:r>
      <w:r>
        <w:rPr>
          <w:rFonts w:eastAsia="TimesNewRoman"/>
          <w:szCs w:val="22"/>
          <w:lang w:val="lt-LT"/>
        </w:rPr>
        <w:t> </w:t>
      </w:r>
      <w:r w:rsidRPr="00AC6A51">
        <w:rPr>
          <w:rFonts w:eastAsia="TimesNewRoman"/>
          <w:szCs w:val="22"/>
          <w:lang w:val="lt-LT"/>
        </w:rPr>
        <w:t>kg, kuriems gali būti skiriama sisteminė terapija.</w:t>
      </w:r>
    </w:p>
    <w:p w14:paraId="145DAD81" w14:textId="77777777" w:rsidR="00AC6A51" w:rsidRDefault="00AC6A51" w:rsidP="00BD0220">
      <w:pPr>
        <w:widowControl w:val="0"/>
        <w:tabs>
          <w:tab w:val="clear" w:pos="567"/>
        </w:tabs>
        <w:autoSpaceDE w:val="0"/>
        <w:autoSpaceDN w:val="0"/>
        <w:adjustRightInd w:val="0"/>
        <w:spacing w:line="240" w:lineRule="auto"/>
        <w:rPr>
          <w:rFonts w:eastAsia="TimesNewRoman"/>
          <w:szCs w:val="22"/>
          <w:u w:val="single"/>
          <w:lang w:val="lt-LT"/>
        </w:rPr>
      </w:pPr>
    </w:p>
    <w:p w14:paraId="68D5DFB0" w14:textId="77777777" w:rsidR="00400BED" w:rsidRPr="00CD7E52" w:rsidRDefault="00400BED" w:rsidP="00BD0220">
      <w:pPr>
        <w:widowControl w:val="0"/>
        <w:tabs>
          <w:tab w:val="clear" w:pos="567"/>
        </w:tabs>
        <w:autoSpaceDE w:val="0"/>
        <w:autoSpaceDN w:val="0"/>
        <w:adjustRightInd w:val="0"/>
        <w:spacing w:line="240" w:lineRule="auto"/>
        <w:rPr>
          <w:rFonts w:eastAsia="TimesNewRoman"/>
          <w:szCs w:val="22"/>
          <w:u w:val="single"/>
          <w:lang w:val="lt-LT"/>
        </w:rPr>
      </w:pPr>
      <w:r w:rsidRPr="00CD7E52">
        <w:rPr>
          <w:rFonts w:eastAsia="TimesNewRoman"/>
          <w:szCs w:val="22"/>
          <w:u w:val="single"/>
          <w:lang w:val="lt-LT"/>
        </w:rPr>
        <w:t xml:space="preserve">Bechčeto </w:t>
      </w:r>
      <w:r w:rsidR="00CC6F1B" w:rsidRPr="00CD7E52">
        <w:rPr>
          <w:rFonts w:eastAsia="TimesNewRoman"/>
          <w:szCs w:val="22"/>
          <w:u w:val="single"/>
          <w:lang w:val="lt-LT"/>
        </w:rPr>
        <w:t>(</w:t>
      </w:r>
      <w:r w:rsidR="00CC6F1B" w:rsidRPr="004049C6">
        <w:rPr>
          <w:rFonts w:eastAsia="TimesNewRoman"/>
          <w:i/>
          <w:iCs/>
          <w:szCs w:val="22"/>
          <w:u w:val="single"/>
          <w:lang w:val="lt-LT"/>
        </w:rPr>
        <w:t>Behçet</w:t>
      </w:r>
      <w:r w:rsidR="00CC6F1B" w:rsidRPr="00CD7E52">
        <w:rPr>
          <w:rFonts w:eastAsia="TimesNewRoman"/>
          <w:szCs w:val="22"/>
          <w:u w:val="single"/>
          <w:lang w:val="lt-LT"/>
        </w:rPr>
        <w:t xml:space="preserve">) </w:t>
      </w:r>
      <w:r w:rsidRPr="00CD7E52">
        <w:rPr>
          <w:rFonts w:eastAsia="TimesNewRoman"/>
          <w:szCs w:val="22"/>
          <w:u w:val="single"/>
          <w:lang w:val="lt-LT"/>
        </w:rPr>
        <w:t>liga</w:t>
      </w:r>
    </w:p>
    <w:p w14:paraId="6FF35B1F" w14:textId="77777777" w:rsidR="00776FBE" w:rsidRPr="00CD7E52" w:rsidRDefault="005A4193" w:rsidP="00BD0220">
      <w:pPr>
        <w:widowControl w:val="0"/>
        <w:tabs>
          <w:tab w:val="clear" w:pos="567"/>
        </w:tabs>
        <w:autoSpaceDE w:val="0"/>
        <w:autoSpaceDN w:val="0"/>
        <w:adjustRightInd w:val="0"/>
        <w:spacing w:line="240" w:lineRule="auto"/>
        <w:rPr>
          <w:szCs w:val="22"/>
          <w:lang w:val="lt-LT"/>
        </w:rPr>
      </w:pPr>
      <w:r w:rsidRPr="00CD7E52">
        <w:rPr>
          <w:rFonts w:eastAsia="TimesNewRoman"/>
          <w:szCs w:val="22"/>
          <w:lang w:val="lt-LT"/>
        </w:rPr>
        <w:t>Apremilast STADA</w:t>
      </w:r>
      <w:r w:rsidR="00400BED" w:rsidRPr="00CD7E52">
        <w:rPr>
          <w:rFonts w:eastAsia="TimesNewRoman"/>
          <w:szCs w:val="22"/>
          <w:lang w:val="lt-LT"/>
        </w:rPr>
        <w:t xml:space="preserve"> skirtas gydyti suaugusiems pacientams, kuriems pasireiškia burnos opos, susijusios su Bechčeto</w:t>
      </w:r>
      <w:r w:rsidR="00BA0DA5" w:rsidRPr="00CD7E52">
        <w:rPr>
          <w:rFonts w:eastAsia="TimesNewRoman"/>
          <w:szCs w:val="22"/>
          <w:lang w:val="lt-LT"/>
        </w:rPr>
        <w:t xml:space="preserve"> </w:t>
      </w:r>
      <w:r w:rsidR="00BA0DA5" w:rsidRPr="004049C6">
        <w:rPr>
          <w:rFonts w:eastAsia="TimesNewRoman"/>
          <w:szCs w:val="22"/>
          <w:lang w:val="lt-LT"/>
        </w:rPr>
        <w:t>(</w:t>
      </w:r>
      <w:r w:rsidR="00BA0DA5" w:rsidRPr="004049C6">
        <w:rPr>
          <w:rFonts w:eastAsia="TimesNewRoman"/>
          <w:i/>
          <w:iCs/>
          <w:szCs w:val="22"/>
          <w:lang w:val="lt-LT"/>
        </w:rPr>
        <w:t>Behçet</w:t>
      </w:r>
      <w:r w:rsidR="00BA0DA5" w:rsidRPr="004049C6">
        <w:rPr>
          <w:rFonts w:eastAsia="TimesNewRoman"/>
          <w:szCs w:val="22"/>
          <w:lang w:val="lt-LT"/>
        </w:rPr>
        <w:t>)</w:t>
      </w:r>
      <w:r w:rsidR="00400BED" w:rsidRPr="00CD7E52">
        <w:rPr>
          <w:rFonts w:eastAsia="TimesNewRoman"/>
          <w:szCs w:val="22"/>
          <w:lang w:val="lt-LT"/>
        </w:rPr>
        <w:t xml:space="preserve"> liga</w:t>
      </w:r>
      <w:r w:rsidR="007472E9" w:rsidRPr="00CD7E52">
        <w:rPr>
          <w:rFonts w:eastAsia="TimesNewRoman"/>
          <w:szCs w:val="22"/>
          <w:lang w:val="lt-LT"/>
        </w:rPr>
        <w:t xml:space="preserve"> </w:t>
      </w:r>
      <w:r w:rsidR="00400BED" w:rsidRPr="00CD7E52">
        <w:rPr>
          <w:rFonts w:eastAsia="TimesNewRoman"/>
          <w:szCs w:val="22"/>
          <w:lang w:val="lt-LT"/>
        </w:rPr>
        <w:t>(BL), ir kuriems gali būti skiriama sisteminė terapija.</w:t>
      </w:r>
      <w:r w:rsidR="00400BED" w:rsidRPr="00CD7E52">
        <w:rPr>
          <w:rFonts w:eastAsia="TimesNewRoman"/>
          <w:szCs w:val="22"/>
          <w:lang w:val="lt-LT"/>
        </w:rPr>
        <w:cr/>
      </w:r>
    </w:p>
    <w:p w14:paraId="65FB9B96" w14:textId="77777777" w:rsidR="00776FBE" w:rsidRPr="00CD7E52" w:rsidRDefault="00776FBE" w:rsidP="009E0A7D">
      <w:pPr>
        <w:widowControl w:val="0"/>
        <w:spacing w:line="240" w:lineRule="auto"/>
        <w:ind w:left="567" w:hanging="567"/>
        <w:outlineLvl w:val="2"/>
        <w:rPr>
          <w:b/>
          <w:szCs w:val="22"/>
          <w:lang w:val="lt-LT"/>
        </w:rPr>
      </w:pPr>
      <w:r w:rsidRPr="00CD7E52">
        <w:rPr>
          <w:b/>
          <w:snapToGrid/>
          <w:kern w:val="28"/>
          <w:szCs w:val="22"/>
          <w:lang w:val="lt-LT"/>
        </w:rPr>
        <w:t>4.2</w:t>
      </w:r>
      <w:r w:rsidRPr="00CD7E52">
        <w:rPr>
          <w:b/>
          <w:snapToGrid/>
          <w:kern w:val="28"/>
          <w:szCs w:val="22"/>
          <w:lang w:val="lt-LT"/>
        </w:rPr>
        <w:tab/>
      </w:r>
      <w:r w:rsidRPr="00CD7E52">
        <w:rPr>
          <w:b/>
          <w:kern w:val="28"/>
          <w:szCs w:val="22"/>
          <w:lang w:val="lt-LT"/>
        </w:rPr>
        <w:t>Dozavimas ir vartojimo metodas</w:t>
      </w:r>
    </w:p>
    <w:p w14:paraId="008CB5EB" w14:textId="77777777" w:rsidR="00776FBE" w:rsidRPr="00CD7E52" w:rsidRDefault="00776FBE" w:rsidP="00BD0220">
      <w:pPr>
        <w:widowControl w:val="0"/>
        <w:tabs>
          <w:tab w:val="clear" w:pos="567"/>
        </w:tabs>
        <w:spacing w:line="240" w:lineRule="auto"/>
        <w:ind w:left="567" w:hanging="567"/>
        <w:rPr>
          <w:szCs w:val="22"/>
          <w:lang w:val="lt-LT"/>
        </w:rPr>
      </w:pPr>
    </w:p>
    <w:p w14:paraId="312BA57B" w14:textId="77777777" w:rsidR="009625C4" w:rsidRPr="00CD7E52" w:rsidRDefault="009625C4" w:rsidP="00BD0220">
      <w:pPr>
        <w:widowControl w:val="0"/>
        <w:tabs>
          <w:tab w:val="clear" w:pos="567"/>
        </w:tabs>
        <w:spacing w:line="240" w:lineRule="auto"/>
        <w:rPr>
          <w:szCs w:val="22"/>
          <w:lang w:val="lt-LT"/>
        </w:rPr>
      </w:pPr>
      <w:r w:rsidRPr="00CD7E52">
        <w:rPr>
          <w:szCs w:val="22"/>
          <w:lang w:val="lt-LT"/>
        </w:rPr>
        <w:t xml:space="preserve">Gydymą </w:t>
      </w:r>
      <w:r w:rsidR="005A4193" w:rsidRPr="00CD7E52">
        <w:rPr>
          <w:szCs w:val="22"/>
          <w:lang w:val="lt-LT"/>
        </w:rPr>
        <w:t>Apremilast STADA</w:t>
      </w:r>
      <w:r w:rsidRPr="00CD7E52">
        <w:rPr>
          <w:szCs w:val="22"/>
          <w:lang w:val="lt-LT"/>
        </w:rPr>
        <w:t xml:space="preserve"> turi pradėti psoriazės, psoriazinio artrito ar Bechčeto ligos diagno</w:t>
      </w:r>
      <w:r w:rsidR="00932129" w:rsidRPr="00CD7E52">
        <w:rPr>
          <w:szCs w:val="22"/>
          <w:lang w:val="lt-LT"/>
        </w:rPr>
        <w:t>stikos</w:t>
      </w:r>
      <w:r w:rsidRPr="00CD7E52">
        <w:rPr>
          <w:szCs w:val="22"/>
          <w:lang w:val="lt-LT"/>
        </w:rPr>
        <w:t xml:space="preserve"> ir gydymo </w:t>
      </w:r>
      <w:r w:rsidR="00B26FCB" w:rsidRPr="00CD7E52">
        <w:rPr>
          <w:snapToGrid/>
          <w:szCs w:val="22"/>
          <w:lang w:val="lt-LT"/>
        </w:rPr>
        <w:t>patirties turintys</w:t>
      </w:r>
      <w:r w:rsidRPr="00CD7E52">
        <w:rPr>
          <w:szCs w:val="22"/>
          <w:lang w:val="lt-LT"/>
        </w:rPr>
        <w:t xml:space="preserve"> specialistai.</w:t>
      </w:r>
    </w:p>
    <w:p w14:paraId="7278207F" w14:textId="77777777" w:rsidR="00B26FCB" w:rsidRPr="00CD7E52" w:rsidRDefault="00B26FCB" w:rsidP="00BD0220">
      <w:pPr>
        <w:widowControl w:val="0"/>
        <w:tabs>
          <w:tab w:val="clear" w:pos="567"/>
        </w:tabs>
        <w:spacing w:line="240" w:lineRule="auto"/>
        <w:rPr>
          <w:szCs w:val="22"/>
          <w:lang w:val="lt-LT"/>
        </w:rPr>
      </w:pPr>
    </w:p>
    <w:p w14:paraId="0583920D" w14:textId="77777777" w:rsidR="009625C4" w:rsidRPr="00CD7E52" w:rsidRDefault="009625C4" w:rsidP="00BD0220">
      <w:pPr>
        <w:widowControl w:val="0"/>
        <w:tabs>
          <w:tab w:val="clear" w:pos="567"/>
        </w:tabs>
        <w:spacing w:line="240" w:lineRule="auto"/>
        <w:rPr>
          <w:szCs w:val="22"/>
          <w:u w:val="single"/>
          <w:lang w:val="lt-LT"/>
        </w:rPr>
      </w:pPr>
      <w:r w:rsidRPr="00CD7E52">
        <w:rPr>
          <w:szCs w:val="22"/>
          <w:u w:val="single"/>
          <w:lang w:val="lt-LT"/>
        </w:rPr>
        <w:t>Dozavimas</w:t>
      </w:r>
    </w:p>
    <w:p w14:paraId="2386B9CB" w14:textId="77777777" w:rsidR="00AC6A51" w:rsidRDefault="00AC6A51" w:rsidP="00BD0220">
      <w:pPr>
        <w:widowControl w:val="0"/>
        <w:tabs>
          <w:tab w:val="clear" w:pos="567"/>
        </w:tabs>
        <w:spacing w:line="240" w:lineRule="auto"/>
        <w:rPr>
          <w:szCs w:val="22"/>
          <w:lang w:val="lt-LT"/>
        </w:rPr>
      </w:pPr>
    </w:p>
    <w:p w14:paraId="029255A6" w14:textId="77777777" w:rsidR="00AC6A51" w:rsidRDefault="00AC6A51" w:rsidP="00BD0220">
      <w:pPr>
        <w:widowControl w:val="0"/>
        <w:tabs>
          <w:tab w:val="clear" w:pos="567"/>
        </w:tabs>
        <w:spacing w:line="240" w:lineRule="auto"/>
        <w:rPr>
          <w:i/>
          <w:iCs/>
          <w:szCs w:val="22"/>
          <w:lang w:val="lt-LT"/>
        </w:rPr>
      </w:pPr>
      <w:r w:rsidRPr="00AC6A51">
        <w:rPr>
          <w:i/>
          <w:iCs/>
          <w:szCs w:val="22"/>
          <w:lang w:val="lt-LT"/>
        </w:rPr>
        <w:t>Suaugusiems pacientams, sergantiems psoriaziniu artritu, psoriaze arba Bechčeto liga</w:t>
      </w:r>
    </w:p>
    <w:p w14:paraId="42EC7DEC" w14:textId="77777777" w:rsidR="009625C4" w:rsidRPr="00CD7E52" w:rsidRDefault="00AC6A51" w:rsidP="00BD0220">
      <w:pPr>
        <w:widowControl w:val="0"/>
        <w:tabs>
          <w:tab w:val="clear" w:pos="567"/>
        </w:tabs>
        <w:spacing w:line="240" w:lineRule="auto"/>
        <w:rPr>
          <w:szCs w:val="22"/>
          <w:lang w:val="lt-LT"/>
        </w:rPr>
      </w:pPr>
      <w:r w:rsidRPr="00AC6A51">
        <w:rPr>
          <w:szCs w:val="22"/>
          <w:lang w:val="lt-LT"/>
        </w:rPr>
        <w:t xml:space="preserve">Suaugusiems pacientams </w:t>
      </w:r>
      <w:r>
        <w:rPr>
          <w:szCs w:val="22"/>
          <w:lang w:val="lt-LT"/>
        </w:rPr>
        <w:t>r</w:t>
      </w:r>
      <w:r w:rsidR="009625C4" w:rsidRPr="00CD7E52">
        <w:rPr>
          <w:szCs w:val="22"/>
          <w:lang w:val="lt-LT"/>
        </w:rPr>
        <w:t>ekomenduojama apremilasto dozė yra 30</w:t>
      </w:r>
      <w:r w:rsidR="00A87582" w:rsidRPr="00CD7E52">
        <w:rPr>
          <w:szCs w:val="22"/>
          <w:lang w:val="lt-LT"/>
        </w:rPr>
        <w:t> mg</w:t>
      </w:r>
      <w:r w:rsidR="009625C4" w:rsidRPr="00CD7E52">
        <w:rPr>
          <w:szCs w:val="22"/>
          <w:lang w:val="lt-LT"/>
        </w:rPr>
        <w:t xml:space="preserve">, </w:t>
      </w:r>
      <w:r w:rsidR="00B26FCB" w:rsidRPr="00CD7E52">
        <w:rPr>
          <w:snapToGrid/>
          <w:szCs w:val="22"/>
          <w:lang w:val="lt-LT"/>
        </w:rPr>
        <w:t xml:space="preserve">ji </w:t>
      </w:r>
      <w:r w:rsidR="009625C4" w:rsidRPr="00CD7E52">
        <w:rPr>
          <w:szCs w:val="22"/>
          <w:lang w:val="lt-LT"/>
        </w:rPr>
        <w:t>vartojama per burną du kartus per parą. Reikia laikytis toliau 1</w:t>
      </w:r>
      <w:r w:rsidR="00B26FCB" w:rsidRPr="00CD7E52">
        <w:rPr>
          <w:szCs w:val="22"/>
          <w:lang w:val="lt-LT"/>
        </w:rPr>
        <w:t> </w:t>
      </w:r>
      <w:r w:rsidR="009625C4" w:rsidRPr="00CD7E52">
        <w:rPr>
          <w:szCs w:val="22"/>
          <w:lang w:val="lt-LT"/>
        </w:rPr>
        <w:t>lentelėje nurodyto</w:t>
      </w:r>
      <w:r w:rsidR="00B26FCB" w:rsidRPr="00CD7E52">
        <w:rPr>
          <w:szCs w:val="22"/>
          <w:lang w:val="lt-LT"/>
        </w:rPr>
        <w:t xml:space="preserve"> </w:t>
      </w:r>
      <w:r w:rsidR="009625C4" w:rsidRPr="00CD7E52">
        <w:rPr>
          <w:szCs w:val="22"/>
          <w:lang w:val="lt-LT"/>
        </w:rPr>
        <w:t xml:space="preserve">pradinio </w:t>
      </w:r>
      <w:r w:rsidR="00B26FCB" w:rsidRPr="00CD7E52">
        <w:rPr>
          <w:snapToGrid/>
          <w:szCs w:val="22"/>
          <w:lang w:val="lt-LT"/>
        </w:rPr>
        <w:t xml:space="preserve">dozės </w:t>
      </w:r>
      <w:r w:rsidR="007B3629" w:rsidRPr="00CD7E52">
        <w:rPr>
          <w:snapToGrid/>
          <w:szCs w:val="22"/>
          <w:lang w:val="lt-LT"/>
        </w:rPr>
        <w:t>titravimo</w:t>
      </w:r>
      <w:r w:rsidR="007B3629" w:rsidRPr="00CD7E52">
        <w:rPr>
          <w:szCs w:val="22"/>
          <w:lang w:val="lt-LT"/>
        </w:rPr>
        <w:t xml:space="preserve"> </w:t>
      </w:r>
      <w:r w:rsidR="009625C4" w:rsidRPr="00CD7E52">
        <w:rPr>
          <w:szCs w:val="22"/>
          <w:lang w:val="lt-LT"/>
        </w:rPr>
        <w:t>grafiko.</w:t>
      </w:r>
    </w:p>
    <w:p w14:paraId="05A79E8E" w14:textId="77777777" w:rsidR="00B26FCB" w:rsidRPr="00CD7E52" w:rsidRDefault="00B26FCB" w:rsidP="00BD0220">
      <w:pPr>
        <w:widowControl w:val="0"/>
        <w:tabs>
          <w:tab w:val="clear" w:pos="567"/>
        </w:tabs>
        <w:spacing w:line="240" w:lineRule="auto"/>
        <w:rPr>
          <w:szCs w:val="22"/>
          <w:lang w:val="lt-LT"/>
        </w:rPr>
      </w:pPr>
    </w:p>
    <w:p w14:paraId="0A7A7393" w14:textId="77777777" w:rsidR="009625C4" w:rsidRPr="00CD7E52" w:rsidRDefault="009625C4" w:rsidP="00BD0220">
      <w:pPr>
        <w:widowControl w:val="0"/>
        <w:tabs>
          <w:tab w:val="clear" w:pos="567"/>
        </w:tabs>
        <w:spacing w:line="240" w:lineRule="auto"/>
        <w:rPr>
          <w:b/>
          <w:bCs/>
          <w:szCs w:val="22"/>
          <w:lang w:val="lt-LT"/>
        </w:rPr>
      </w:pPr>
      <w:r w:rsidRPr="00CD7E52">
        <w:rPr>
          <w:b/>
          <w:bCs/>
          <w:szCs w:val="22"/>
          <w:lang w:val="lt-LT"/>
        </w:rPr>
        <w:t>1</w:t>
      </w:r>
      <w:r w:rsidR="00B26FCB" w:rsidRPr="00CD7E52">
        <w:rPr>
          <w:b/>
          <w:bCs/>
          <w:szCs w:val="22"/>
          <w:lang w:val="lt-LT"/>
        </w:rPr>
        <w:t> </w:t>
      </w:r>
      <w:r w:rsidRPr="00CD7E52">
        <w:rPr>
          <w:b/>
          <w:bCs/>
          <w:szCs w:val="22"/>
          <w:lang w:val="lt-LT"/>
        </w:rPr>
        <w:t>lentelė.</w:t>
      </w:r>
      <w:r w:rsidRPr="00CD7E52">
        <w:rPr>
          <w:b/>
          <w:bCs/>
          <w:snapToGrid/>
          <w:szCs w:val="22"/>
          <w:lang w:val="lt-LT"/>
        </w:rPr>
        <w:t xml:space="preserve"> </w:t>
      </w:r>
      <w:r w:rsidR="00C80B05" w:rsidRPr="00C80B05">
        <w:rPr>
          <w:b/>
          <w:bCs/>
          <w:snapToGrid/>
          <w:szCs w:val="22"/>
          <w:lang w:val="lt-LT"/>
        </w:rPr>
        <w:t xml:space="preserve">Suaugusių pacientų </w:t>
      </w:r>
      <w:r w:rsidR="00C80B05">
        <w:rPr>
          <w:b/>
          <w:bCs/>
          <w:snapToGrid/>
          <w:szCs w:val="22"/>
          <w:lang w:val="lt-LT"/>
        </w:rPr>
        <w:t>d</w:t>
      </w:r>
      <w:r w:rsidRPr="00CD7E52">
        <w:rPr>
          <w:b/>
          <w:bCs/>
          <w:szCs w:val="22"/>
          <w:lang w:val="lt-LT"/>
        </w:rPr>
        <w:t xml:space="preserve">ozės </w:t>
      </w:r>
      <w:r w:rsidR="00A91EEC" w:rsidRPr="00CD7E52">
        <w:rPr>
          <w:b/>
          <w:bCs/>
          <w:snapToGrid/>
          <w:szCs w:val="22"/>
          <w:lang w:val="lt-LT"/>
        </w:rPr>
        <w:t>titravimo</w:t>
      </w:r>
      <w:r w:rsidRPr="00CD7E52">
        <w:rPr>
          <w:b/>
          <w:bCs/>
          <w:szCs w:val="22"/>
          <w:lang w:val="lt-LT"/>
        </w:rPr>
        <w:t xml:space="preserve"> grafikas</w:t>
      </w:r>
    </w:p>
    <w:p w14:paraId="16B0748B" w14:textId="77777777" w:rsidR="00006B7B" w:rsidRPr="00CD7E52" w:rsidRDefault="00006B7B" w:rsidP="00BD0220">
      <w:pPr>
        <w:widowControl w:val="0"/>
        <w:tabs>
          <w:tab w:val="clear" w:pos="567"/>
        </w:tabs>
        <w:spacing w:line="240" w:lineRule="auto"/>
        <w:rPr>
          <w:szCs w:val="22"/>
          <w:lang w:val="lt-LT"/>
        </w:rPr>
      </w:pPr>
    </w:p>
    <w:tbl>
      <w:tblPr>
        <w:tblW w:w="9214" w:type="dxa"/>
        <w:tblInd w:w="5" w:type="dxa"/>
        <w:tblLayout w:type="fixed"/>
        <w:tblCellMar>
          <w:left w:w="0" w:type="dxa"/>
          <w:right w:w="0" w:type="dxa"/>
        </w:tblCellMar>
        <w:tblLook w:val="0000" w:firstRow="0" w:lastRow="0" w:firstColumn="0" w:lastColumn="0" w:noHBand="0" w:noVBand="0"/>
      </w:tblPr>
      <w:tblGrid>
        <w:gridCol w:w="851"/>
        <w:gridCol w:w="824"/>
        <w:gridCol w:w="877"/>
        <w:gridCol w:w="798"/>
        <w:gridCol w:w="903"/>
        <w:gridCol w:w="772"/>
        <w:gridCol w:w="787"/>
        <w:gridCol w:w="889"/>
        <w:gridCol w:w="812"/>
        <w:gridCol w:w="863"/>
        <w:gridCol w:w="838"/>
      </w:tblGrid>
      <w:tr w:rsidR="00006B7B" w:rsidRPr="00CD7E52" w14:paraId="655F7170" w14:textId="77777777" w:rsidTr="0023353A">
        <w:trPr>
          <w:trHeight w:val="505"/>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0A73BD6F"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2"/>
                <w:szCs w:val="22"/>
              </w:rPr>
            </w:pPr>
            <w:r w:rsidRPr="00CD7E52">
              <w:rPr>
                <w:spacing w:val="-10"/>
                <w:szCs w:val="22"/>
                <w:lang w:val="lt-LT"/>
              </w:rPr>
              <w:t>1 </w:t>
            </w:r>
            <w:r w:rsidRPr="00CD7E52">
              <w:rPr>
                <w:spacing w:val="-2"/>
                <w:szCs w:val="22"/>
                <w:lang w:val="lt-LT"/>
              </w:rPr>
              <w:t>diena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5370300"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2"/>
                <w:szCs w:val="22"/>
              </w:rPr>
            </w:pPr>
            <w:r w:rsidRPr="00CD7E52">
              <w:rPr>
                <w:szCs w:val="22"/>
                <w:lang w:val="lt-LT"/>
              </w:rPr>
              <w:t>2 </w:t>
            </w:r>
            <w:r w:rsidRPr="00CD7E52">
              <w:rPr>
                <w:spacing w:val="-2"/>
                <w:szCs w:val="22"/>
                <w:lang w:val="lt-LT"/>
              </w:rPr>
              <w:t>diena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A7AC8E6"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2"/>
                <w:szCs w:val="22"/>
              </w:rPr>
            </w:pPr>
            <w:r w:rsidRPr="00CD7E52">
              <w:rPr>
                <w:szCs w:val="22"/>
                <w:lang w:val="lt-LT"/>
              </w:rPr>
              <w:t>3 </w:t>
            </w:r>
            <w:r w:rsidRPr="00CD7E52">
              <w:rPr>
                <w:spacing w:val="-2"/>
                <w:szCs w:val="22"/>
                <w:lang w:val="lt-LT"/>
              </w:rPr>
              <w:t>diena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37A1EB5"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2"/>
                <w:szCs w:val="22"/>
              </w:rPr>
            </w:pPr>
            <w:r w:rsidRPr="00CD7E52">
              <w:rPr>
                <w:szCs w:val="22"/>
                <w:lang w:val="lt-LT"/>
              </w:rPr>
              <w:t>4 </w:t>
            </w:r>
            <w:r w:rsidRPr="00CD7E52">
              <w:rPr>
                <w:spacing w:val="-2"/>
                <w:szCs w:val="22"/>
                <w:lang w:val="lt-LT"/>
              </w:rPr>
              <w:t>diena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EF8E90A"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2"/>
                <w:szCs w:val="22"/>
              </w:rPr>
            </w:pPr>
            <w:r w:rsidRPr="00CD7E52">
              <w:rPr>
                <w:szCs w:val="22"/>
                <w:lang w:val="lt-LT"/>
              </w:rPr>
              <w:t>5 </w:t>
            </w:r>
            <w:r w:rsidRPr="00CD7E52">
              <w:rPr>
                <w:spacing w:val="-2"/>
                <w:szCs w:val="22"/>
                <w:lang w:val="lt-LT"/>
              </w:rPr>
              <w:t>diena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E10CB98"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2"/>
                <w:szCs w:val="22"/>
              </w:rPr>
            </w:pPr>
            <w:r w:rsidRPr="00CD7E52">
              <w:rPr>
                <w:szCs w:val="22"/>
                <w:lang w:val="lt-LT"/>
              </w:rPr>
              <w:t>6 ir vėlesnės dienos</w:t>
            </w:r>
          </w:p>
        </w:tc>
      </w:tr>
      <w:tr w:rsidR="00006B7B" w:rsidRPr="00CD7E52" w14:paraId="72F27FC4" w14:textId="77777777" w:rsidTr="00854180">
        <w:trPr>
          <w:trHeight w:val="252"/>
        </w:trPr>
        <w:tc>
          <w:tcPr>
            <w:tcW w:w="851" w:type="dxa"/>
            <w:tcBorders>
              <w:top w:val="single" w:sz="4" w:space="0" w:color="000000"/>
              <w:left w:val="single" w:sz="4" w:space="0" w:color="000000"/>
              <w:bottom w:val="single" w:sz="4" w:space="0" w:color="000000"/>
              <w:right w:val="single" w:sz="4" w:space="0" w:color="000000"/>
            </w:tcBorders>
          </w:tcPr>
          <w:p w14:paraId="198FD332"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4"/>
                <w:szCs w:val="22"/>
              </w:rPr>
            </w:pPr>
            <w:r w:rsidRPr="00CD7E52">
              <w:rPr>
                <w:spacing w:val="-4"/>
                <w:szCs w:val="22"/>
                <w:lang w:val="lt-LT"/>
              </w:rPr>
              <w:t>Ryte</w:t>
            </w:r>
          </w:p>
        </w:tc>
        <w:tc>
          <w:tcPr>
            <w:tcW w:w="824" w:type="dxa"/>
            <w:tcBorders>
              <w:top w:val="single" w:sz="4" w:space="0" w:color="000000"/>
              <w:left w:val="single" w:sz="4" w:space="0" w:color="000000"/>
              <w:bottom w:val="single" w:sz="4" w:space="0" w:color="000000"/>
              <w:right w:val="single" w:sz="4" w:space="0" w:color="000000"/>
            </w:tcBorders>
          </w:tcPr>
          <w:p w14:paraId="3DA5E228"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4"/>
                <w:szCs w:val="22"/>
              </w:rPr>
            </w:pPr>
            <w:r w:rsidRPr="00CD7E52">
              <w:rPr>
                <w:spacing w:val="-4"/>
                <w:szCs w:val="22"/>
                <w:lang w:val="lt-LT"/>
              </w:rPr>
              <w:t>Ryte</w:t>
            </w:r>
          </w:p>
        </w:tc>
        <w:tc>
          <w:tcPr>
            <w:tcW w:w="877" w:type="dxa"/>
            <w:tcBorders>
              <w:top w:val="single" w:sz="4" w:space="0" w:color="000000"/>
              <w:left w:val="single" w:sz="4" w:space="0" w:color="000000"/>
              <w:bottom w:val="single" w:sz="4" w:space="0" w:color="000000"/>
              <w:right w:val="single" w:sz="4" w:space="0" w:color="000000"/>
            </w:tcBorders>
          </w:tcPr>
          <w:p w14:paraId="1FE1ECD4"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2"/>
                <w:szCs w:val="22"/>
              </w:rPr>
            </w:pPr>
            <w:r w:rsidRPr="00CD7E52">
              <w:rPr>
                <w:spacing w:val="-2"/>
                <w:szCs w:val="22"/>
                <w:lang w:val="lt-LT"/>
              </w:rPr>
              <w:t>Vakare</w:t>
            </w:r>
          </w:p>
        </w:tc>
        <w:tc>
          <w:tcPr>
            <w:tcW w:w="798" w:type="dxa"/>
            <w:tcBorders>
              <w:top w:val="single" w:sz="4" w:space="0" w:color="000000"/>
              <w:left w:val="single" w:sz="4" w:space="0" w:color="000000"/>
              <w:bottom w:val="single" w:sz="4" w:space="0" w:color="000000"/>
              <w:right w:val="single" w:sz="4" w:space="0" w:color="000000"/>
            </w:tcBorders>
          </w:tcPr>
          <w:p w14:paraId="394741C1"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4"/>
                <w:szCs w:val="22"/>
              </w:rPr>
            </w:pPr>
            <w:r w:rsidRPr="00CD7E52">
              <w:rPr>
                <w:spacing w:val="-4"/>
                <w:szCs w:val="22"/>
                <w:lang w:val="lt-LT"/>
              </w:rPr>
              <w:t>Ryte</w:t>
            </w:r>
          </w:p>
        </w:tc>
        <w:tc>
          <w:tcPr>
            <w:tcW w:w="903" w:type="dxa"/>
            <w:tcBorders>
              <w:top w:val="single" w:sz="4" w:space="0" w:color="000000"/>
              <w:left w:val="single" w:sz="4" w:space="0" w:color="000000"/>
              <w:bottom w:val="single" w:sz="4" w:space="0" w:color="000000"/>
              <w:right w:val="single" w:sz="4" w:space="0" w:color="000000"/>
            </w:tcBorders>
          </w:tcPr>
          <w:p w14:paraId="7DB2608D"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2"/>
                <w:szCs w:val="22"/>
              </w:rPr>
            </w:pPr>
            <w:r w:rsidRPr="00CD7E52">
              <w:rPr>
                <w:spacing w:val="-2"/>
                <w:szCs w:val="22"/>
                <w:lang w:val="lt-LT"/>
              </w:rPr>
              <w:t>Vakare</w:t>
            </w:r>
          </w:p>
        </w:tc>
        <w:tc>
          <w:tcPr>
            <w:tcW w:w="772" w:type="dxa"/>
            <w:tcBorders>
              <w:top w:val="single" w:sz="4" w:space="0" w:color="000000"/>
              <w:left w:val="single" w:sz="4" w:space="0" w:color="000000"/>
              <w:bottom w:val="single" w:sz="4" w:space="0" w:color="000000"/>
              <w:right w:val="single" w:sz="4" w:space="0" w:color="000000"/>
            </w:tcBorders>
          </w:tcPr>
          <w:p w14:paraId="3F2F0074"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4"/>
                <w:szCs w:val="22"/>
              </w:rPr>
            </w:pPr>
            <w:r w:rsidRPr="00CD7E52">
              <w:rPr>
                <w:spacing w:val="-4"/>
                <w:szCs w:val="22"/>
                <w:lang w:val="lt-LT"/>
              </w:rPr>
              <w:t>Ryte</w:t>
            </w:r>
          </w:p>
        </w:tc>
        <w:tc>
          <w:tcPr>
            <w:tcW w:w="787" w:type="dxa"/>
            <w:tcBorders>
              <w:top w:val="single" w:sz="4" w:space="0" w:color="000000"/>
              <w:left w:val="single" w:sz="4" w:space="0" w:color="000000"/>
              <w:bottom w:val="single" w:sz="4" w:space="0" w:color="000000"/>
              <w:right w:val="single" w:sz="4" w:space="0" w:color="000000"/>
            </w:tcBorders>
          </w:tcPr>
          <w:p w14:paraId="0931261B"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2"/>
                <w:szCs w:val="22"/>
              </w:rPr>
            </w:pPr>
            <w:r w:rsidRPr="00CD7E52">
              <w:rPr>
                <w:spacing w:val="-2"/>
                <w:szCs w:val="22"/>
                <w:lang w:val="lt-LT"/>
              </w:rPr>
              <w:t>Vakare</w:t>
            </w:r>
          </w:p>
        </w:tc>
        <w:tc>
          <w:tcPr>
            <w:tcW w:w="889" w:type="dxa"/>
            <w:tcBorders>
              <w:top w:val="single" w:sz="4" w:space="0" w:color="000000"/>
              <w:left w:val="single" w:sz="4" w:space="0" w:color="000000"/>
              <w:bottom w:val="single" w:sz="4" w:space="0" w:color="000000"/>
              <w:right w:val="single" w:sz="4" w:space="0" w:color="000000"/>
            </w:tcBorders>
          </w:tcPr>
          <w:p w14:paraId="3D8F839E"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4"/>
                <w:szCs w:val="22"/>
              </w:rPr>
            </w:pPr>
            <w:r w:rsidRPr="00CD7E52">
              <w:rPr>
                <w:spacing w:val="-4"/>
                <w:szCs w:val="22"/>
                <w:lang w:val="lt-LT"/>
              </w:rPr>
              <w:t>Ryte</w:t>
            </w:r>
          </w:p>
        </w:tc>
        <w:tc>
          <w:tcPr>
            <w:tcW w:w="812" w:type="dxa"/>
            <w:tcBorders>
              <w:top w:val="single" w:sz="4" w:space="0" w:color="000000"/>
              <w:left w:val="single" w:sz="4" w:space="0" w:color="000000"/>
              <w:bottom w:val="single" w:sz="4" w:space="0" w:color="000000"/>
              <w:right w:val="single" w:sz="4" w:space="0" w:color="000000"/>
            </w:tcBorders>
          </w:tcPr>
          <w:p w14:paraId="45B92BE0"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2"/>
                <w:szCs w:val="22"/>
              </w:rPr>
            </w:pPr>
            <w:r w:rsidRPr="00CD7E52">
              <w:rPr>
                <w:spacing w:val="-2"/>
                <w:szCs w:val="22"/>
                <w:lang w:val="lt-LT"/>
              </w:rPr>
              <w:t>Vakare</w:t>
            </w:r>
          </w:p>
        </w:tc>
        <w:tc>
          <w:tcPr>
            <w:tcW w:w="863" w:type="dxa"/>
            <w:tcBorders>
              <w:top w:val="single" w:sz="4" w:space="0" w:color="000000"/>
              <w:left w:val="single" w:sz="4" w:space="0" w:color="000000"/>
              <w:bottom w:val="single" w:sz="4" w:space="0" w:color="000000"/>
              <w:right w:val="single" w:sz="4" w:space="0" w:color="000000"/>
            </w:tcBorders>
          </w:tcPr>
          <w:p w14:paraId="6BD5044B"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4"/>
                <w:szCs w:val="22"/>
              </w:rPr>
            </w:pPr>
            <w:r w:rsidRPr="00CD7E52">
              <w:rPr>
                <w:spacing w:val="-4"/>
                <w:szCs w:val="22"/>
                <w:lang w:val="lt-LT"/>
              </w:rPr>
              <w:t>Ryte</w:t>
            </w:r>
          </w:p>
        </w:tc>
        <w:tc>
          <w:tcPr>
            <w:tcW w:w="838" w:type="dxa"/>
            <w:tcBorders>
              <w:top w:val="single" w:sz="4" w:space="0" w:color="000000"/>
              <w:left w:val="single" w:sz="4" w:space="0" w:color="000000"/>
              <w:bottom w:val="single" w:sz="4" w:space="0" w:color="000000"/>
              <w:right w:val="single" w:sz="4" w:space="0" w:color="000000"/>
            </w:tcBorders>
          </w:tcPr>
          <w:p w14:paraId="66129BDE"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2"/>
                <w:szCs w:val="22"/>
              </w:rPr>
            </w:pPr>
            <w:r w:rsidRPr="00CD7E52">
              <w:rPr>
                <w:spacing w:val="-2"/>
                <w:szCs w:val="22"/>
                <w:lang w:val="lt-LT"/>
              </w:rPr>
              <w:t>Vakare</w:t>
            </w:r>
          </w:p>
        </w:tc>
      </w:tr>
      <w:tr w:rsidR="00006B7B" w:rsidRPr="00CD7E52" w14:paraId="7F5FA5E4" w14:textId="77777777" w:rsidTr="00854180">
        <w:trPr>
          <w:trHeight w:val="351"/>
        </w:trPr>
        <w:tc>
          <w:tcPr>
            <w:tcW w:w="851" w:type="dxa"/>
            <w:tcBorders>
              <w:top w:val="single" w:sz="4" w:space="0" w:color="000000"/>
              <w:left w:val="single" w:sz="4" w:space="0" w:color="000000"/>
              <w:bottom w:val="single" w:sz="4" w:space="0" w:color="000000"/>
              <w:right w:val="single" w:sz="4" w:space="0" w:color="000000"/>
            </w:tcBorders>
          </w:tcPr>
          <w:p w14:paraId="5C1C8686"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5"/>
                <w:szCs w:val="22"/>
              </w:rPr>
            </w:pPr>
            <w:r w:rsidRPr="00CD7E52">
              <w:rPr>
                <w:spacing w:val="-5"/>
                <w:szCs w:val="22"/>
                <w:lang w:val="lt-LT"/>
              </w:rPr>
              <w:t>10 mg</w:t>
            </w:r>
          </w:p>
        </w:tc>
        <w:tc>
          <w:tcPr>
            <w:tcW w:w="824" w:type="dxa"/>
            <w:tcBorders>
              <w:top w:val="single" w:sz="4" w:space="0" w:color="000000"/>
              <w:left w:val="single" w:sz="4" w:space="0" w:color="000000"/>
              <w:bottom w:val="single" w:sz="4" w:space="0" w:color="000000"/>
              <w:right w:val="single" w:sz="4" w:space="0" w:color="000000"/>
            </w:tcBorders>
          </w:tcPr>
          <w:p w14:paraId="4D61BA7D"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5"/>
                <w:szCs w:val="22"/>
              </w:rPr>
            </w:pPr>
            <w:r w:rsidRPr="00CD7E52">
              <w:rPr>
                <w:spacing w:val="-5"/>
                <w:szCs w:val="22"/>
                <w:lang w:val="lt-LT"/>
              </w:rPr>
              <w:t>10 mg</w:t>
            </w:r>
          </w:p>
        </w:tc>
        <w:tc>
          <w:tcPr>
            <w:tcW w:w="877" w:type="dxa"/>
            <w:tcBorders>
              <w:top w:val="single" w:sz="4" w:space="0" w:color="000000"/>
              <w:left w:val="single" w:sz="4" w:space="0" w:color="000000"/>
              <w:bottom w:val="single" w:sz="4" w:space="0" w:color="000000"/>
              <w:right w:val="single" w:sz="4" w:space="0" w:color="000000"/>
            </w:tcBorders>
          </w:tcPr>
          <w:p w14:paraId="393C3842"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5"/>
                <w:szCs w:val="22"/>
              </w:rPr>
            </w:pPr>
            <w:r w:rsidRPr="00CD7E52">
              <w:rPr>
                <w:szCs w:val="22"/>
                <w:lang w:val="lt-LT"/>
              </w:rPr>
              <w:t>10</w:t>
            </w:r>
            <w:r w:rsidRPr="00CD7E52">
              <w:rPr>
                <w:spacing w:val="-3"/>
                <w:szCs w:val="22"/>
                <w:lang w:val="lt-LT"/>
              </w:rPr>
              <w:t> mg</w:t>
            </w:r>
          </w:p>
        </w:tc>
        <w:tc>
          <w:tcPr>
            <w:tcW w:w="798" w:type="dxa"/>
            <w:tcBorders>
              <w:top w:val="single" w:sz="4" w:space="0" w:color="000000"/>
              <w:left w:val="single" w:sz="4" w:space="0" w:color="000000"/>
              <w:bottom w:val="single" w:sz="4" w:space="0" w:color="000000"/>
              <w:right w:val="single" w:sz="4" w:space="0" w:color="000000"/>
            </w:tcBorders>
          </w:tcPr>
          <w:p w14:paraId="56471690"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5"/>
                <w:szCs w:val="22"/>
              </w:rPr>
            </w:pPr>
            <w:r w:rsidRPr="00CD7E52">
              <w:rPr>
                <w:spacing w:val="-5"/>
                <w:szCs w:val="22"/>
                <w:lang w:val="lt-LT"/>
              </w:rPr>
              <w:t>10 mg</w:t>
            </w:r>
          </w:p>
        </w:tc>
        <w:tc>
          <w:tcPr>
            <w:tcW w:w="903" w:type="dxa"/>
            <w:tcBorders>
              <w:top w:val="single" w:sz="4" w:space="0" w:color="000000"/>
              <w:left w:val="single" w:sz="4" w:space="0" w:color="000000"/>
              <w:bottom w:val="single" w:sz="4" w:space="0" w:color="000000"/>
              <w:right w:val="single" w:sz="4" w:space="0" w:color="000000"/>
            </w:tcBorders>
          </w:tcPr>
          <w:p w14:paraId="0039834F"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5"/>
                <w:szCs w:val="22"/>
              </w:rPr>
            </w:pPr>
            <w:r w:rsidRPr="00CD7E52">
              <w:rPr>
                <w:szCs w:val="22"/>
                <w:lang w:val="lt-LT"/>
              </w:rPr>
              <w:t>20</w:t>
            </w:r>
            <w:r w:rsidRPr="00CD7E52">
              <w:rPr>
                <w:spacing w:val="-3"/>
                <w:szCs w:val="22"/>
                <w:lang w:val="lt-LT"/>
              </w:rPr>
              <w:t> mg</w:t>
            </w:r>
          </w:p>
        </w:tc>
        <w:tc>
          <w:tcPr>
            <w:tcW w:w="772" w:type="dxa"/>
            <w:tcBorders>
              <w:top w:val="single" w:sz="4" w:space="0" w:color="000000"/>
              <w:left w:val="single" w:sz="4" w:space="0" w:color="000000"/>
              <w:bottom w:val="single" w:sz="4" w:space="0" w:color="000000"/>
              <w:right w:val="single" w:sz="4" w:space="0" w:color="000000"/>
            </w:tcBorders>
          </w:tcPr>
          <w:p w14:paraId="396F1DE1"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5"/>
                <w:szCs w:val="22"/>
              </w:rPr>
            </w:pPr>
            <w:r w:rsidRPr="00CD7E52">
              <w:rPr>
                <w:spacing w:val="-5"/>
                <w:szCs w:val="22"/>
                <w:lang w:val="lt-LT"/>
              </w:rPr>
              <w:t>20 mg</w:t>
            </w:r>
          </w:p>
        </w:tc>
        <w:tc>
          <w:tcPr>
            <w:tcW w:w="787" w:type="dxa"/>
            <w:tcBorders>
              <w:top w:val="single" w:sz="4" w:space="0" w:color="000000"/>
              <w:left w:val="single" w:sz="4" w:space="0" w:color="000000"/>
              <w:bottom w:val="single" w:sz="4" w:space="0" w:color="000000"/>
              <w:right w:val="single" w:sz="4" w:space="0" w:color="000000"/>
            </w:tcBorders>
          </w:tcPr>
          <w:p w14:paraId="76DA12B5"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5"/>
                <w:szCs w:val="22"/>
              </w:rPr>
            </w:pPr>
            <w:r w:rsidRPr="00CD7E52">
              <w:rPr>
                <w:szCs w:val="22"/>
                <w:lang w:val="lt-LT"/>
              </w:rPr>
              <w:t>20</w:t>
            </w:r>
            <w:r w:rsidRPr="00CD7E52">
              <w:rPr>
                <w:spacing w:val="-3"/>
                <w:szCs w:val="22"/>
                <w:lang w:val="lt-LT"/>
              </w:rPr>
              <w:t> mg</w:t>
            </w:r>
          </w:p>
        </w:tc>
        <w:tc>
          <w:tcPr>
            <w:tcW w:w="889" w:type="dxa"/>
            <w:tcBorders>
              <w:top w:val="single" w:sz="4" w:space="0" w:color="000000"/>
              <w:left w:val="single" w:sz="4" w:space="0" w:color="000000"/>
              <w:bottom w:val="single" w:sz="4" w:space="0" w:color="000000"/>
              <w:right w:val="single" w:sz="4" w:space="0" w:color="000000"/>
            </w:tcBorders>
          </w:tcPr>
          <w:p w14:paraId="270CAD68"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5"/>
                <w:szCs w:val="22"/>
              </w:rPr>
            </w:pPr>
            <w:r w:rsidRPr="00CD7E52">
              <w:rPr>
                <w:spacing w:val="-5"/>
                <w:szCs w:val="22"/>
                <w:lang w:val="lt-LT"/>
              </w:rPr>
              <w:t>20 mg</w:t>
            </w:r>
          </w:p>
        </w:tc>
        <w:tc>
          <w:tcPr>
            <w:tcW w:w="812" w:type="dxa"/>
            <w:tcBorders>
              <w:top w:val="single" w:sz="4" w:space="0" w:color="000000"/>
              <w:left w:val="single" w:sz="4" w:space="0" w:color="000000"/>
              <w:bottom w:val="single" w:sz="4" w:space="0" w:color="000000"/>
              <w:right w:val="single" w:sz="4" w:space="0" w:color="000000"/>
            </w:tcBorders>
          </w:tcPr>
          <w:p w14:paraId="2C6527CE"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5"/>
                <w:szCs w:val="22"/>
              </w:rPr>
            </w:pPr>
            <w:r w:rsidRPr="00CD7E52">
              <w:rPr>
                <w:szCs w:val="22"/>
                <w:lang w:val="lt-LT"/>
              </w:rPr>
              <w:t>30</w:t>
            </w:r>
            <w:r w:rsidRPr="00CD7E52">
              <w:rPr>
                <w:spacing w:val="-3"/>
                <w:szCs w:val="22"/>
                <w:lang w:val="lt-LT"/>
              </w:rPr>
              <w:t> mg</w:t>
            </w:r>
          </w:p>
        </w:tc>
        <w:tc>
          <w:tcPr>
            <w:tcW w:w="863" w:type="dxa"/>
            <w:tcBorders>
              <w:top w:val="single" w:sz="4" w:space="0" w:color="000000"/>
              <w:left w:val="single" w:sz="4" w:space="0" w:color="000000"/>
              <w:bottom w:val="single" w:sz="4" w:space="0" w:color="000000"/>
              <w:right w:val="single" w:sz="4" w:space="0" w:color="000000"/>
            </w:tcBorders>
          </w:tcPr>
          <w:p w14:paraId="3FB4C614"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5"/>
                <w:szCs w:val="22"/>
              </w:rPr>
            </w:pPr>
            <w:r w:rsidRPr="00CD7E52">
              <w:rPr>
                <w:spacing w:val="-5"/>
                <w:szCs w:val="22"/>
                <w:lang w:val="lt-LT"/>
              </w:rPr>
              <w:t>30 mg</w:t>
            </w:r>
          </w:p>
        </w:tc>
        <w:tc>
          <w:tcPr>
            <w:tcW w:w="838" w:type="dxa"/>
            <w:tcBorders>
              <w:top w:val="single" w:sz="4" w:space="0" w:color="000000"/>
              <w:left w:val="single" w:sz="4" w:space="0" w:color="000000"/>
              <w:bottom w:val="single" w:sz="4" w:space="0" w:color="000000"/>
              <w:right w:val="single" w:sz="4" w:space="0" w:color="000000"/>
            </w:tcBorders>
          </w:tcPr>
          <w:p w14:paraId="151FC89B" w14:textId="77777777" w:rsidR="00006B7B" w:rsidRPr="00CD7E52" w:rsidRDefault="00006B7B" w:rsidP="00BD0220">
            <w:pPr>
              <w:widowControl w:val="0"/>
              <w:tabs>
                <w:tab w:val="clear" w:pos="567"/>
              </w:tabs>
              <w:kinsoku w:val="0"/>
              <w:overflowPunct w:val="0"/>
              <w:autoSpaceDE w:val="0"/>
              <w:autoSpaceDN w:val="0"/>
              <w:adjustRightInd w:val="0"/>
              <w:spacing w:line="240" w:lineRule="auto"/>
              <w:jc w:val="center"/>
              <w:rPr>
                <w:spacing w:val="-5"/>
                <w:szCs w:val="22"/>
              </w:rPr>
            </w:pPr>
            <w:r w:rsidRPr="00CD7E52">
              <w:rPr>
                <w:szCs w:val="22"/>
                <w:lang w:val="lt-LT"/>
              </w:rPr>
              <w:t>30</w:t>
            </w:r>
            <w:r w:rsidRPr="00CD7E52">
              <w:rPr>
                <w:spacing w:val="-3"/>
                <w:szCs w:val="22"/>
                <w:lang w:val="lt-LT"/>
              </w:rPr>
              <w:t> mg</w:t>
            </w:r>
          </w:p>
        </w:tc>
      </w:tr>
    </w:tbl>
    <w:p w14:paraId="136C15E4" w14:textId="77777777" w:rsidR="00006B7B" w:rsidRPr="00CD7E52" w:rsidRDefault="00006B7B" w:rsidP="00BD0220">
      <w:pPr>
        <w:widowControl w:val="0"/>
        <w:tabs>
          <w:tab w:val="clear" w:pos="567"/>
        </w:tabs>
        <w:spacing w:line="240" w:lineRule="auto"/>
        <w:rPr>
          <w:szCs w:val="22"/>
          <w:lang w:val="lt-LT"/>
        </w:rPr>
      </w:pPr>
    </w:p>
    <w:p w14:paraId="34907B42" w14:textId="77777777" w:rsidR="00C80B05" w:rsidRPr="00C80B05" w:rsidRDefault="00C80B05" w:rsidP="00C80B05">
      <w:pPr>
        <w:widowControl w:val="0"/>
        <w:tabs>
          <w:tab w:val="clear" w:pos="567"/>
        </w:tabs>
        <w:spacing w:line="240" w:lineRule="auto"/>
        <w:rPr>
          <w:szCs w:val="22"/>
          <w:lang w:val="lt-LT"/>
        </w:rPr>
      </w:pPr>
      <w:r w:rsidRPr="00C80B05">
        <w:rPr>
          <w:i/>
          <w:iCs/>
          <w:szCs w:val="22"/>
          <w:lang w:val="lt-LT"/>
        </w:rPr>
        <w:t xml:space="preserve">Vaikams, sergantiems vidutinio sunkumo arba sunkia </w:t>
      </w:r>
      <w:r w:rsidR="00863E62" w:rsidRPr="00863E62">
        <w:rPr>
          <w:i/>
          <w:iCs/>
          <w:szCs w:val="22"/>
          <w:lang w:val="lt-LT"/>
        </w:rPr>
        <w:t>plokšteline</w:t>
      </w:r>
      <w:r w:rsidRPr="00C80B05">
        <w:rPr>
          <w:i/>
          <w:iCs/>
          <w:szCs w:val="22"/>
          <w:lang w:val="lt-LT"/>
        </w:rPr>
        <w:t xml:space="preserve"> psoriaze</w:t>
      </w:r>
    </w:p>
    <w:p w14:paraId="25D56BFE" w14:textId="77777777" w:rsidR="00C80B05" w:rsidRDefault="00C80B05" w:rsidP="00C80B05">
      <w:pPr>
        <w:widowControl w:val="0"/>
        <w:tabs>
          <w:tab w:val="clear" w:pos="567"/>
        </w:tabs>
        <w:spacing w:line="240" w:lineRule="auto"/>
        <w:rPr>
          <w:szCs w:val="22"/>
          <w:lang w:val="lt-LT"/>
        </w:rPr>
      </w:pPr>
      <w:r w:rsidRPr="00C80B05">
        <w:rPr>
          <w:szCs w:val="22"/>
          <w:lang w:val="lt-LT"/>
        </w:rPr>
        <w:t>Rekomenduojama apremilasto dozė 6</w:t>
      </w:r>
      <w:r w:rsidR="00DC5717">
        <w:rPr>
          <w:szCs w:val="22"/>
          <w:lang w:val="lt-LT"/>
        </w:rPr>
        <w:t> </w:t>
      </w:r>
      <w:r w:rsidRPr="00C80B05">
        <w:rPr>
          <w:szCs w:val="22"/>
          <w:lang w:val="lt-LT"/>
        </w:rPr>
        <w:t xml:space="preserve">metų ir vyresniems vaikams, sergantiems vidutinio sunkumo arba sunkia </w:t>
      </w:r>
      <w:r w:rsidR="00863E62" w:rsidRPr="00863E62">
        <w:rPr>
          <w:szCs w:val="22"/>
          <w:lang w:val="lt-LT"/>
        </w:rPr>
        <w:t>plokšteline</w:t>
      </w:r>
      <w:r w:rsidRPr="00C80B05">
        <w:rPr>
          <w:szCs w:val="22"/>
          <w:lang w:val="lt-LT"/>
        </w:rPr>
        <w:t xml:space="preserve"> psoriaze, priklauso nuo kūno svorio. Vaikams, sveriantiems nuo 20</w:t>
      </w:r>
      <w:r w:rsidR="00863E62">
        <w:rPr>
          <w:szCs w:val="22"/>
          <w:lang w:val="lt-LT"/>
        </w:rPr>
        <w:t> </w:t>
      </w:r>
      <w:r w:rsidRPr="00C80B05">
        <w:rPr>
          <w:szCs w:val="22"/>
          <w:lang w:val="lt-LT"/>
        </w:rPr>
        <w:t>kg iki 50</w:t>
      </w:r>
      <w:r w:rsidR="00863E62">
        <w:rPr>
          <w:szCs w:val="22"/>
          <w:lang w:val="lt-LT"/>
        </w:rPr>
        <w:t> </w:t>
      </w:r>
      <w:r w:rsidRPr="00C80B05">
        <w:rPr>
          <w:szCs w:val="22"/>
          <w:lang w:val="lt-LT"/>
        </w:rPr>
        <w:t>kg (neimtinai), rekomenduojama apremilasto dozė yra 20</w:t>
      </w:r>
      <w:r w:rsidR="00DC5717">
        <w:rPr>
          <w:szCs w:val="22"/>
          <w:lang w:val="lt-LT"/>
        </w:rPr>
        <w:t> </w:t>
      </w:r>
      <w:r w:rsidRPr="00C80B05">
        <w:rPr>
          <w:szCs w:val="22"/>
          <w:lang w:val="lt-LT"/>
        </w:rPr>
        <w:t>mg, vartojama per burną du kartus per parą, o vaikams, sveriantiems ne mažiau kaip 50</w:t>
      </w:r>
      <w:r w:rsidR="00DC5717">
        <w:rPr>
          <w:szCs w:val="22"/>
          <w:lang w:val="lt-LT"/>
        </w:rPr>
        <w:t> </w:t>
      </w:r>
      <w:r w:rsidRPr="00C80B05">
        <w:rPr>
          <w:szCs w:val="22"/>
          <w:lang w:val="lt-LT"/>
        </w:rPr>
        <w:t>kg, – 30</w:t>
      </w:r>
      <w:r w:rsidR="00DC5717">
        <w:rPr>
          <w:szCs w:val="22"/>
          <w:lang w:val="lt-LT"/>
        </w:rPr>
        <w:t> </w:t>
      </w:r>
      <w:r w:rsidRPr="00C80B05">
        <w:rPr>
          <w:szCs w:val="22"/>
          <w:lang w:val="lt-LT"/>
        </w:rPr>
        <w:t>mg, vartojama per burną du kartus per parą, laikantis 2</w:t>
      </w:r>
      <w:r w:rsidR="00DC5717">
        <w:rPr>
          <w:szCs w:val="22"/>
          <w:lang w:val="lt-LT"/>
        </w:rPr>
        <w:t> </w:t>
      </w:r>
      <w:r w:rsidRPr="00C80B05">
        <w:rPr>
          <w:szCs w:val="22"/>
          <w:lang w:val="lt-LT"/>
        </w:rPr>
        <w:t>lentelėje pateikto pradinio vaistinio preparato titravimo grafiko.</w:t>
      </w:r>
    </w:p>
    <w:p w14:paraId="079CC106" w14:textId="77777777" w:rsidR="00C80B05" w:rsidRDefault="00C80B05" w:rsidP="00BD0220">
      <w:pPr>
        <w:widowControl w:val="0"/>
        <w:tabs>
          <w:tab w:val="clear" w:pos="567"/>
        </w:tabs>
        <w:spacing w:line="240" w:lineRule="auto"/>
        <w:rPr>
          <w:szCs w:val="22"/>
          <w:lang w:val="lt-LT"/>
        </w:rPr>
      </w:pPr>
    </w:p>
    <w:p w14:paraId="23A5BD2D" w14:textId="77777777" w:rsidR="00C80B05" w:rsidRDefault="00C80B05" w:rsidP="00C80B05">
      <w:pPr>
        <w:widowControl w:val="0"/>
        <w:tabs>
          <w:tab w:val="clear" w:pos="567"/>
        </w:tabs>
        <w:spacing w:line="240" w:lineRule="auto"/>
        <w:rPr>
          <w:b/>
          <w:bCs/>
          <w:szCs w:val="22"/>
          <w:lang w:val="lt-LT"/>
        </w:rPr>
      </w:pPr>
      <w:r w:rsidRPr="00C80B05">
        <w:rPr>
          <w:b/>
          <w:bCs/>
          <w:szCs w:val="22"/>
          <w:lang w:val="lt-LT"/>
        </w:rPr>
        <w:t>2</w:t>
      </w:r>
      <w:r w:rsidR="00DC5717">
        <w:rPr>
          <w:b/>
          <w:bCs/>
          <w:szCs w:val="22"/>
          <w:lang w:val="lt-LT"/>
        </w:rPr>
        <w:t> </w:t>
      </w:r>
      <w:r w:rsidRPr="00C80B05">
        <w:rPr>
          <w:b/>
          <w:bCs/>
          <w:szCs w:val="22"/>
          <w:lang w:val="lt-LT"/>
        </w:rPr>
        <w:t>lentelė. Vaikų dozės titravimo grafikas</w:t>
      </w:r>
    </w:p>
    <w:p w14:paraId="28573174" w14:textId="77777777" w:rsidR="00C80B05" w:rsidRDefault="00C80B05" w:rsidP="00C80B05">
      <w:pPr>
        <w:widowControl w:val="0"/>
        <w:tabs>
          <w:tab w:val="clear" w:pos="567"/>
        </w:tabs>
        <w:spacing w:line="240" w:lineRule="auto"/>
        <w:rPr>
          <w:b/>
          <w:bCs/>
          <w:szCs w:val="22"/>
          <w:lang w:val="lt-LT"/>
        </w:rPr>
      </w:pPr>
    </w:p>
    <w:tbl>
      <w:tblPr>
        <w:tblW w:w="9356" w:type="dxa"/>
        <w:tblInd w:w="5" w:type="dxa"/>
        <w:tblLayout w:type="fixed"/>
        <w:tblCellMar>
          <w:left w:w="0" w:type="dxa"/>
          <w:right w:w="0" w:type="dxa"/>
        </w:tblCellMar>
        <w:tblLook w:val="0000" w:firstRow="0" w:lastRow="0" w:firstColumn="0" w:lastColumn="0" w:noHBand="0" w:noVBand="0"/>
      </w:tblPr>
      <w:tblGrid>
        <w:gridCol w:w="847"/>
        <w:gridCol w:w="712"/>
        <w:gridCol w:w="779"/>
        <w:gridCol w:w="780"/>
        <w:gridCol w:w="779"/>
        <w:gridCol w:w="780"/>
        <w:gridCol w:w="779"/>
        <w:gridCol w:w="780"/>
        <w:gridCol w:w="780"/>
        <w:gridCol w:w="780"/>
        <w:gridCol w:w="780"/>
        <w:gridCol w:w="780"/>
      </w:tblGrid>
      <w:tr w:rsidR="00863E62" w:rsidRPr="00CD7E52" w14:paraId="6966C211" w14:textId="77777777" w:rsidTr="00DB2543">
        <w:trPr>
          <w:trHeight w:val="505"/>
        </w:trPr>
        <w:tc>
          <w:tcPr>
            <w:tcW w:w="847" w:type="dxa"/>
            <w:vMerge w:val="restart"/>
            <w:tcBorders>
              <w:top w:val="single" w:sz="4" w:space="0" w:color="000000"/>
              <w:left w:val="single" w:sz="4" w:space="0" w:color="000000"/>
              <w:right w:val="single" w:sz="4" w:space="0" w:color="000000"/>
            </w:tcBorders>
          </w:tcPr>
          <w:p w14:paraId="3410FB45" w14:textId="77777777" w:rsidR="00C80B05" w:rsidRPr="00DB2543" w:rsidRDefault="00C80B05" w:rsidP="00DB2543">
            <w:pPr>
              <w:pStyle w:val="Default"/>
              <w:jc w:val="center"/>
              <w:rPr>
                <w:spacing w:val="-10"/>
                <w:sz w:val="22"/>
                <w:szCs w:val="22"/>
                <w:lang w:val="lt-LT"/>
              </w:rPr>
            </w:pPr>
            <w:proofErr w:type="spellStart"/>
            <w:r w:rsidRPr="00DB2543">
              <w:rPr>
                <w:sz w:val="22"/>
                <w:szCs w:val="22"/>
              </w:rPr>
              <w:t>Kūno</w:t>
            </w:r>
            <w:proofErr w:type="spellEnd"/>
            <w:r w:rsidRPr="00DB2543">
              <w:rPr>
                <w:sz w:val="22"/>
                <w:szCs w:val="22"/>
              </w:rPr>
              <w:t xml:space="preserve"> </w:t>
            </w:r>
            <w:proofErr w:type="spellStart"/>
            <w:r w:rsidRPr="00DB2543">
              <w:rPr>
                <w:sz w:val="22"/>
                <w:szCs w:val="22"/>
              </w:rPr>
              <w:t>svoris</w:t>
            </w:r>
            <w:proofErr w:type="spellEnd"/>
          </w:p>
        </w:tc>
        <w:tc>
          <w:tcPr>
            <w:tcW w:w="712" w:type="dxa"/>
            <w:tcBorders>
              <w:top w:val="single" w:sz="4" w:space="0" w:color="000000"/>
              <w:left w:val="single" w:sz="4" w:space="0" w:color="000000"/>
              <w:bottom w:val="single" w:sz="4" w:space="0" w:color="000000"/>
              <w:right w:val="single" w:sz="4" w:space="0" w:color="000000"/>
            </w:tcBorders>
          </w:tcPr>
          <w:p w14:paraId="0A844E87"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2"/>
                <w:szCs w:val="22"/>
              </w:rPr>
            </w:pPr>
            <w:r w:rsidRPr="00863E62">
              <w:rPr>
                <w:spacing w:val="-10"/>
                <w:szCs w:val="22"/>
                <w:lang w:val="lt-LT"/>
              </w:rPr>
              <w:t>1 </w:t>
            </w:r>
            <w:r w:rsidRPr="00863E62">
              <w:rPr>
                <w:spacing w:val="-2"/>
                <w:szCs w:val="22"/>
                <w:lang w:val="lt-LT"/>
              </w:rPr>
              <w:t>diena</w:t>
            </w:r>
          </w:p>
        </w:tc>
        <w:tc>
          <w:tcPr>
            <w:tcW w:w="1559" w:type="dxa"/>
            <w:gridSpan w:val="2"/>
            <w:tcBorders>
              <w:top w:val="single" w:sz="4" w:space="0" w:color="000000"/>
              <w:left w:val="single" w:sz="4" w:space="0" w:color="000000"/>
              <w:bottom w:val="single" w:sz="4" w:space="0" w:color="000000"/>
              <w:right w:val="single" w:sz="4" w:space="0" w:color="000000"/>
            </w:tcBorders>
          </w:tcPr>
          <w:p w14:paraId="10C536F6"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2"/>
                <w:szCs w:val="22"/>
              </w:rPr>
            </w:pPr>
            <w:r w:rsidRPr="00863E62">
              <w:rPr>
                <w:szCs w:val="22"/>
                <w:lang w:val="lt-LT"/>
              </w:rPr>
              <w:t>2 </w:t>
            </w:r>
            <w:r w:rsidRPr="00863E62">
              <w:rPr>
                <w:spacing w:val="-2"/>
                <w:szCs w:val="22"/>
                <w:lang w:val="lt-LT"/>
              </w:rPr>
              <w:t>diena</w:t>
            </w:r>
          </w:p>
        </w:tc>
        <w:tc>
          <w:tcPr>
            <w:tcW w:w="1559" w:type="dxa"/>
            <w:gridSpan w:val="2"/>
            <w:tcBorders>
              <w:top w:val="single" w:sz="4" w:space="0" w:color="000000"/>
              <w:left w:val="single" w:sz="4" w:space="0" w:color="000000"/>
              <w:bottom w:val="single" w:sz="4" w:space="0" w:color="000000"/>
              <w:right w:val="single" w:sz="4" w:space="0" w:color="000000"/>
            </w:tcBorders>
          </w:tcPr>
          <w:p w14:paraId="78DA2B65"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2"/>
                <w:szCs w:val="22"/>
              </w:rPr>
            </w:pPr>
            <w:r w:rsidRPr="00863E62">
              <w:rPr>
                <w:szCs w:val="22"/>
                <w:lang w:val="lt-LT"/>
              </w:rPr>
              <w:t>3 </w:t>
            </w:r>
            <w:r w:rsidRPr="00863E62">
              <w:rPr>
                <w:spacing w:val="-2"/>
                <w:szCs w:val="22"/>
                <w:lang w:val="lt-LT"/>
              </w:rPr>
              <w:t>diena</w:t>
            </w:r>
          </w:p>
        </w:tc>
        <w:tc>
          <w:tcPr>
            <w:tcW w:w="1559" w:type="dxa"/>
            <w:gridSpan w:val="2"/>
            <w:tcBorders>
              <w:top w:val="single" w:sz="4" w:space="0" w:color="000000"/>
              <w:left w:val="single" w:sz="4" w:space="0" w:color="000000"/>
              <w:bottom w:val="single" w:sz="4" w:space="0" w:color="000000"/>
              <w:right w:val="single" w:sz="4" w:space="0" w:color="000000"/>
            </w:tcBorders>
          </w:tcPr>
          <w:p w14:paraId="64BFAC16"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2"/>
                <w:szCs w:val="22"/>
              </w:rPr>
            </w:pPr>
            <w:r w:rsidRPr="00863E62">
              <w:rPr>
                <w:szCs w:val="22"/>
                <w:lang w:val="lt-LT"/>
              </w:rPr>
              <w:t>4 </w:t>
            </w:r>
            <w:r w:rsidRPr="00863E62">
              <w:rPr>
                <w:spacing w:val="-2"/>
                <w:szCs w:val="22"/>
                <w:lang w:val="lt-LT"/>
              </w:rPr>
              <w:t>diena</w:t>
            </w:r>
          </w:p>
        </w:tc>
        <w:tc>
          <w:tcPr>
            <w:tcW w:w="1560" w:type="dxa"/>
            <w:gridSpan w:val="2"/>
            <w:tcBorders>
              <w:top w:val="single" w:sz="4" w:space="0" w:color="000000"/>
              <w:left w:val="single" w:sz="4" w:space="0" w:color="000000"/>
              <w:bottom w:val="single" w:sz="4" w:space="0" w:color="000000"/>
              <w:right w:val="single" w:sz="4" w:space="0" w:color="000000"/>
            </w:tcBorders>
          </w:tcPr>
          <w:p w14:paraId="2839C580"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2"/>
                <w:szCs w:val="22"/>
              </w:rPr>
            </w:pPr>
            <w:r w:rsidRPr="00863E62">
              <w:rPr>
                <w:szCs w:val="22"/>
                <w:lang w:val="lt-LT"/>
              </w:rPr>
              <w:t>5 </w:t>
            </w:r>
            <w:r w:rsidRPr="00863E62">
              <w:rPr>
                <w:spacing w:val="-2"/>
                <w:szCs w:val="22"/>
                <w:lang w:val="lt-LT"/>
              </w:rPr>
              <w:t>diena</w:t>
            </w:r>
          </w:p>
        </w:tc>
        <w:tc>
          <w:tcPr>
            <w:tcW w:w="1560" w:type="dxa"/>
            <w:gridSpan w:val="2"/>
            <w:tcBorders>
              <w:top w:val="single" w:sz="4" w:space="0" w:color="000000"/>
              <w:left w:val="single" w:sz="4" w:space="0" w:color="000000"/>
              <w:bottom w:val="single" w:sz="4" w:space="0" w:color="000000"/>
              <w:right w:val="single" w:sz="4" w:space="0" w:color="000000"/>
            </w:tcBorders>
          </w:tcPr>
          <w:p w14:paraId="4B5A7C7E"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2"/>
                <w:szCs w:val="22"/>
              </w:rPr>
            </w:pPr>
            <w:r w:rsidRPr="00863E62">
              <w:rPr>
                <w:szCs w:val="22"/>
                <w:lang w:val="lt-LT"/>
              </w:rPr>
              <w:t>6</w:t>
            </w:r>
            <w:r w:rsidR="004644F3">
              <w:rPr>
                <w:szCs w:val="22"/>
                <w:lang w:val="lt-LT"/>
              </w:rPr>
              <w:t xml:space="preserve"> </w:t>
            </w:r>
            <w:r w:rsidRPr="00863E62">
              <w:rPr>
                <w:szCs w:val="22"/>
                <w:lang w:val="lt-LT"/>
              </w:rPr>
              <w:t>ir vėlesnės dienos</w:t>
            </w:r>
          </w:p>
        </w:tc>
      </w:tr>
      <w:tr w:rsidR="00863E62" w:rsidRPr="00CD7E52" w14:paraId="2B0D2BFC" w14:textId="77777777" w:rsidTr="00DB2543">
        <w:trPr>
          <w:trHeight w:val="252"/>
        </w:trPr>
        <w:tc>
          <w:tcPr>
            <w:tcW w:w="847" w:type="dxa"/>
            <w:vMerge/>
            <w:tcBorders>
              <w:left w:val="single" w:sz="4" w:space="0" w:color="000000"/>
              <w:bottom w:val="single" w:sz="4" w:space="0" w:color="000000"/>
              <w:right w:val="single" w:sz="4" w:space="0" w:color="000000"/>
            </w:tcBorders>
          </w:tcPr>
          <w:p w14:paraId="262FED47" w14:textId="77777777" w:rsidR="00C80B05" w:rsidRPr="00DB2543" w:rsidRDefault="00C80B05" w:rsidP="00837E72">
            <w:pPr>
              <w:widowControl w:val="0"/>
              <w:tabs>
                <w:tab w:val="clear" w:pos="567"/>
              </w:tabs>
              <w:kinsoku w:val="0"/>
              <w:overflowPunct w:val="0"/>
              <w:autoSpaceDE w:val="0"/>
              <w:autoSpaceDN w:val="0"/>
              <w:adjustRightInd w:val="0"/>
              <w:spacing w:line="240" w:lineRule="auto"/>
              <w:jc w:val="center"/>
              <w:rPr>
                <w:spacing w:val="-4"/>
                <w:szCs w:val="22"/>
                <w:lang w:val="en-US"/>
              </w:rPr>
            </w:pPr>
          </w:p>
        </w:tc>
        <w:tc>
          <w:tcPr>
            <w:tcW w:w="712" w:type="dxa"/>
            <w:tcBorders>
              <w:top w:val="single" w:sz="4" w:space="0" w:color="000000"/>
              <w:left w:val="single" w:sz="4" w:space="0" w:color="000000"/>
              <w:bottom w:val="single" w:sz="4" w:space="0" w:color="000000"/>
              <w:right w:val="single" w:sz="4" w:space="0" w:color="000000"/>
            </w:tcBorders>
          </w:tcPr>
          <w:p w14:paraId="17AE943D"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4"/>
                <w:szCs w:val="22"/>
              </w:rPr>
            </w:pPr>
            <w:r w:rsidRPr="00863E62">
              <w:rPr>
                <w:spacing w:val="-4"/>
                <w:szCs w:val="22"/>
                <w:lang w:val="lt-LT"/>
              </w:rPr>
              <w:t>Ryte</w:t>
            </w:r>
          </w:p>
        </w:tc>
        <w:tc>
          <w:tcPr>
            <w:tcW w:w="779" w:type="dxa"/>
            <w:tcBorders>
              <w:top w:val="single" w:sz="4" w:space="0" w:color="000000"/>
              <w:left w:val="single" w:sz="4" w:space="0" w:color="000000"/>
              <w:bottom w:val="single" w:sz="4" w:space="0" w:color="000000"/>
              <w:right w:val="single" w:sz="4" w:space="0" w:color="000000"/>
            </w:tcBorders>
          </w:tcPr>
          <w:p w14:paraId="1F799AAA"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4"/>
                <w:szCs w:val="22"/>
              </w:rPr>
            </w:pPr>
            <w:r w:rsidRPr="00863E62">
              <w:rPr>
                <w:spacing w:val="-4"/>
                <w:szCs w:val="22"/>
                <w:lang w:val="lt-LT"/>
              </w:rPr>
              <w:t>Ryte</w:t>
            </w:r>
          </w:p>
        </w:tc>
        <w:tc>
          <w:tcPr>
            <w:tcW w:w="780" w:type="dxa"/>
            <w:tcBorders>
              <w:top w:val="single" w:sz="4" w:space="0" w:color="000000"/>
              <w:left w:val="single" w:sz="4" w:space="0" w:color="000000"/>
              <w:bottom w:val="single" w:sz="4" w:space="0" w:color="000000"/>
              <w:right w:val="single" w:sz="4" w:space="0" w:color="000000"/>
            </w:tcBorders>
          </w:tcPr>
          <w:p w14:paraId="172F2F92"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2"/>
                <w:szCs w:val="22"/>
              </w:rPr>
            </w:pPr>
            <w:r w:rsidRPr="00863E62">
              <w:rPr>
                <w:spacing w:val="-2"/>
                <w:szCs w:val="22"/>
                <w:lang w:val="lt-LT"/>
              </w:rPr>
              <w:t>Vakare</w:t>
            </w:r>
          </w:p>
        </w:tc>
        <w:tc>
          <w:tcPr>
            <w:tcW w:w="779" w:type="dxa"/>
            <w:tcBorders>
              <w:top w:val="single" w:sz="4" w:space="0" w:color="000000"/>
              <w:left w:val="single" w:sz="4" w:space="0" w:color="000000"/>
              <w:bottom w:val="single" w:sz="4" w:space="0" w:color="000000"/>
              <w:right w:val="single" w:sz="4" w:space="0" w:color="000000"/>
            </w:tcBorders>
          </w:tcPr>
          <w:p w14:paraId="0840B648"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4"/>
                <w:szCs w:val="22"/>
              </w:rPr>
            </w:pPr>
            <w:r w:rsidRPr="00863E62">
              <w:rPr>
                <w:spacing w:val="-4"/>
                <w:szCs w:val="22"/>
                <w:lang w:val="lt-LT"/>
              </w:rPr>
              <w:t>Ryte</w:t>
            </w:r>
          </w:p>
        </w:tc>
        <w:tc>
          <w:tcPr>
            <w:tcW w:w="780" w:type="dxa"/>
            <w:tcBorders>
              <w:top w:val="single" w:sz="4" w:space="0" w:color="000000"/>
              <w:left w:val="single" w:sz="4" w:space="0" w:color="000000"/>
              <w:bottom w:val="single" w:sz="4" w:space="0" w:color="000000"/>
              <w:right w:val="single" w:sz="4" w:space="0" w:color="000000"/>
            </w:tcBorders>
          </w:tcPr>
          <w:p w14:paraId="359D8B26"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2"/>
                <w:szCs w:val="22"/>
              </w:rPr>
            </w:pPr>
            <w:r w:rsidRPr="00863E62">
              <w:rPr>
                <w:spacing w:val="-2"/>
                <w:szCs w:val="22"/>
                <w:lang w:val="lt-LT"/>
              </w:rPr>
              <w:t>Vakare</w:t>
            </w:r>
          </w:p>
        </w:tc>
        <w:tc>
          <w:tcPr>
            <w:tcW w:w="779" w:type="dxa"/>
            <w:tcBorders>
              <w:top w:val="single" w:sz="4" w:space="0" w:color="000000"/>
              <w:left w:val="single" w:sz="4" w:space="0" w:color="000000"/>
              <w:bottom w:val="single" w:sz="4" w:space="0" w:color="000000"/>
              <w:right w:val="single" w:sz="4" w:space="0" w:color="000000"/>
            </w:tcBorders>
          </w:tcPr>
          <w:p w14:paraId="77F003F9"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4"/>
                <w:szCs w:val="22"/>
              </w:rPr>
            </w:pPr>
            <w:r w:rsidRPr="00863E62">
              <w:rPr>
                <w:spacing w:val="-4"/>
                <w:szCs w:val="22"/>
                <w:lang w:val="lt-LT"/>
              </w:rPr>
              <w:t>Ryte</w:t>
            </w:r>
          </w:p>
        </w:tc>
        <w:tc>
          <w:tcPr>
            <w:tcW w:w="780" w:type="dxa"/>
            <w:tcBorders>
              <w:top w:val="single" w:sz="4" w:space="0" w:color="000000"/>
              <w:left w:val="single" w:sz="4" w:space="0" w:color="000000"/>
              <w:bottom w:val="single" w:sz="4" w:space="0" w:color="000000"/>
              <w:right w:val="single" w:sz="4" w:space="0" w:color="000000"/>
            </w:tcBorders>
          </w:tcPr>
          <w:p w14:paraId="4DD5591F"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2"/>
                <w:szCs w:val="22"/>
              </w:rPr>
            </w:pPr>
            <w:r w:rsidRPr="00863E62">
              <w:rPr>
                <w:spacing w:val="-2"/>
                <w:szCs w:val="22"/>
                <w:lang w:val="lt-LT"/>
              </w:rPr>
              <w:t>Vakare</w:t>
            </w:r>
          </w:p>
        </w:tc>
        <w:tc>
          <w:tcPr>
            <w:tcW w:w="780" w:type="dxa"/>
            <w:tcBorders>
              <w:top w:val="single" w:sz="4" w:space="0" w:color="000000"/>
              <w:left w:val="single" w:sz="4" w:space="0" w:color="000000"/>
              <w:bottom w:val="single" w:sz="4" w:space="0" w:color="000000"/>
              <w:right w:val="single" w:sz="4" w:space="0" w:color="000000"/>
            </w:tcBorders>
          </w:tcPr>
          <w:p w14:paraId="0CC8E93C"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4"/>
                <w:szCs w:val="22"/>
              </w:rPr>
            </w:pPr>
            <w:r w:rsidRPr="00863E62">
              <w:rPr>
                <w:spacing w:val="-4"/>
                <w:szCs w:val="22"/>
                <w:lang w:val="lt-LT"/>
              </w:rPr>
              <w:t>Ryte</w:t>
            </w:r>
          </w:p>
        </w:tc>
        <w:tc>
          <w:tcPr>
            <w:tcW w:w="780" w:type="dxa"/>
            <w:tcBorders>
              <w:top w:val="single" w:sz="4" w:space="0" w:color="000000"/>
              <w:left w:val="single" w:sz="4" w:space="0" w:color="000000"/>
              <w:bottom w:val="single" w:sz="4" w:space="0" w:color="000000"/>
              <w:right w:val="single" w:sz="4" w:space="0" w:color="000000"/>
            </w:tcBorders>
          </w:tcPr>
          <w:p w14:paraId="12A856A6"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2"/>
                <w:szCs w:val="22"/>
              </w:rPr>
            </w:pPr>
            <w:r w:rsidRPr="00863E62">
              <w:rPr>
                <w:spacing w:val="-2"/>
                <w:szCs w:val="22"/>
                <w:lang w:val="lt-LT"/>
              </w:rPr>
              <w:t>Vakare</w:t>
            </w:r>
          </w:p>
        </w:tc>
        <w:tc>
          <w:tcPr>
            <w:tcW w:w="780" w:type="dxa"/>
            <w:tcBorders>
              <w:top w:val="single" w:sz="4" w:space="0" w:color="000000"/>
              <w:left w:val="single" w:sz="4" w:space="0" w:color="000000"/>
              <w:bottom w:val="single" w:sz="4" w:space="0" w:color="000000"/>
              <w:right w:val="single" w:sz="4" w:space="0" w:color="000000"/>
            </w:tcBorders>
          </w:tcPr>
          <w:p w14:paraId="5F10EC74"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4"/>
                <w:szCs w:val="22"/>
              </w:rPr>
            </w:pPr>
            <w:r w:rsidRPr="00863E62">
              <w:rPr>
                <w:spacing w:val="-4"/>
                <w:szCs w:val="22"/>
                <w:lang w:val="lt-LT"/>
              </w:rPr>
              <w:t>Ryte</w:t>
            </w:r>
          </w:p>
        </w:tc>
        <w:tc>
          <w:tcPr>
            <w:tcW w:w="780" w:type="dxa"/>
            <w:tcBorders>
              <w:top w:val="single" w:sz="4" w:space="0" w:color="000000"/>
              <w:left w:val="single" w:sz="4" w:space="0" w:color="000000"/>
              <w:bottom w:val="single" w:sz="4" w:space="0" w:color="000000"/>
              <w:right w:val="single" w:sz="4" w:space="0" w:color="000000"/>
            </w:tcBorders>
          </w:tcPr>
          <w:p w14:paraId="274C094A"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2"/>
                <w:szCs w:val="22"/>
              </w:rPr>
            </w:pPr>
            <w:r w:rsidRPr="00863E62">
              <w:rPr>
                <w:spacing w:val="-2"/>
                <w:szCs w:val="22"/>
                <w:lang w:val="lt-LT"/>
              </w:rPr>
              <w:t>Vakare</w:t>
            </w:r>
          </w:p>
        </w:tc>
      </w:tr>
      <w:tr w:rsidR="00863E62" w:rsidRPr="00CD7E52" w14:paraId="3F2C66C1" w14:textId="77777777" w:rsidTr="00DB2543">
        <w:trPr>
          <w:trHeight w:val="351"/>
        </w:trPr>
        <w:tc>
          <w:tcPr>
            <w:tcW w:w="847" w:type="dxa"/>
            <w:tcBorders>
              <w:top w:val="single" w:sz="4" w:space="0" w:color="000000"/>
              <w:left w:val="single" w:sz="4" w:space="0" w:color="000000"/>
              <w:bottom w:val="single" w:sz="4" w:space="0" w:color="000000"/>
              <w:right w:val="single" w:sz="4" w:space="0" w:color="000000"/>
            </w:tcBorders>
          </w:tcPr>
          <w:p w14:paraId="335D1CB1" w14:textId="77777777" w:rsidR="00C80B05" w:rsidRPr="00DB2543" w:rsidRDefault="00C80B05" w:rsidP="00DB2543">
            <w:pPr>
              <w:pStyle w:val="Default"/>
              <w:jc w:val="center"/>
              <w:rPr>
                <w:spacing w:val="-5"/>
                <w:sz w:val="22"/>
                <w:szCs w:val="22"/>
              </w:rPr>
            </w:pPr>
            <w:r w:rsidRPr="00DB2543">
              <w:rPr>
                <w:sz w:val="22"/>
                <w:szCs w:val="22"/>
              </w:rPr>
              <w:t>Nuo 20</w:t>
            </w:r>
            <w:r w:rsidR="00863E62">
              <w:rPr>
                <w:sz w:val="22"/>
                <w:szCs w:val="22"/>
              </w:rPr>
              <w:t> </w:t>
            </w:r>
            <w:r w:rsidRPr="00DB2543">
              <w:rPr>
                <w:sz w:val="22"/>
                <w:szCs w:val="22"/>
              </w:rPr>
              <w:t xml:space="preserve">kg </w:t>
            </w:r>
            <w:proofErr w:type="spellStart"/>
            <w:r w:rsidRPr="00DB2543">
              <w:rPr>
                <w:sz w:val="22"/>
                <w:szCs w:val="22"/>
              </w:rPr>
              <w:t>iki</w:t>
            </w:r>
            <w:proofErr w:type="spellEnd"/>
            <w:r w:rsidRPr="00DB2543">
              <w:rPr>
                <w:sz w:val="22"/>
                <w:szCs w:val="22"/>
              </w:rPr>
              <w:t xml:space="preserve"> 50</w:t>
            </w:r>
            <w:r w:rsidR="00863E62">
              <w:rPr>
                <w:sz w:val="22"/>
                <w:szCs w:val="22"/>
              </w:rPr>
              <w:t> </w:t>
            </w:r>
            <w:r w:rsidRPr="00DB2543">
              <w:rPr>
                <w:sz w:val="22"/>
                <w:szCs w:val="22"/>
              </w:rPr>
              <w:t>kg (</w:t>
            </w:r>
            <w:proofErr w:type="spellStart"/>
            <w:r w:rsidRPr="00DB2543">
              <w:rPr>
                <w:sz w:val="22"/>
                <w:szCs w:val="22"/>
              </w:rPr>
              <w:t>neimtinai</w:t>
            </w:r>
            <w:proofErr w:type="spellEnd"/>
            <w:r w:rsidRPr="00DB2543">
              <w:rPr>
                <w:sz w:val="22"/>
                <w:szCs w:val="22"/>
              </w:rPr>
              <w:t>)</w:t>
            </w:r>
            <w:r w:rsidR="004644F3">
              <w:rPr>
                <w:sz w:val="22"/>
                <w:szCs w:val="22"/>
              </w:rPr>
              <w:t>*</w:t>
            </w:r>
          </w:p>
        </w:tc>
        <w:tc>
          <w:tcPr>
            <w:tcW w:w="712" w:type="dxa"/>
            <w:tcBorders>
              <w:top w:val="single" w:sz="4" w:space="0" w:color="000000"/>
              <w:left w:val="single" w:sz="4" w:space="0" w:color="000000"/>
              <w:bottom w:val="single" w:sz="4" w:space="0" w:color="000000"/>
              <w:right w:val="single" w:sz="4" w:space="0" w:color="000000"/>
            </w:tcBorders>
          </w:tcPr>
          <w:p w14:paraId="16228A58"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5"/>
                <w:szCs w:val="22"/>
              </w:rPr>
            </w:pPr>
            <w:r w:rsidRPr="00863E62">
              <w:rPr>
                <w:spacing w:val="-5"/>
                <w:szCs w:val="22"/>
                <w:lang w:val="lt-LT"/>
              </w:rPr>
              <w:t>10 mg</w:t>
            </w:r>
          </w:p>
        </w:tc>
        <w:tc>
          <w:tcPr>
            <w:tcW w:w="779" w:type="dxa"/>
            <w:tcBorders>
              <w:top w:val="single" w:sz="4" w:space="0" w:color="000000"/>
              <w:left w:val="single" w:sz="4" w:space="0" w:color="000000"/>
              <w:bottom w:val="single" w:sz="4" w:space="0" w:color="000000"/>
              <w:right w:val="single" w:sz="4" w:space="0" w:color="000000"/>
            </w:tcBorders>
          </w:tcPr>
          <w:p w14:paraId="462215DB"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5"/>
                <w:szCs w:val="22"/>
              </w:rPr>
            </w:pPr>
            <w:r w:rsidRPr="00863E62">
              <w:rPr>
                <w:spacing w:val="-5"/>
                <w:szCs w:val="22"/>
                <w:lang w:val="lt-LT"/>
              </w:rPr>
              <w:t>10 mg</w:t>
            </w:r>
          </w:p>
        </w:tc>
        <w:tc>
          <w:tcPr>
            <w:tcW w:w="780" w:type="dxa"/>
            <w:tcBorders>
              <w:top w:val="single" w:sz="4" w:space="0" w:color="000000"/>
              <w:left w:val="single" w:sz="4" w:space="0" w:color="000000"/>
              <w:bottom w:val="single" w:sz="4" w:space="0" w:color="000000"/>
              <w:right w:val="single" w:sz="4" w:space="0" w:color="000000"/>
            </w:tcBorders>
          </w:tcPr>
          <w:p w14:paraId="24AD3BC4"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5"/>
                <w:szCs w:val="22"/>
              </w:rPr>
            </w:pPr>
            <w:r w:rsidRPr="00863E62">
              <w:rPr>
                <w:szCs w:val="22"/>
                <w:lang w:val="lt-LT"/>
              </w:rPr>
              <w:t>10</w:t>
            </w:r>
            <w:r w:rsidRPr="00863E62">
              <w:rPr>
                <w:spacing w:val="-3"/>
                <w:szCs w:val="22"/>
                <w:lang w:val="lt-LT"/>
              </w:rPr>
              <w:t> mg</w:t>
            </w:r>
          </w:p>
        </w:tc>
        <w:tc>
          <w:tcPr>
            <w:tcW w:w="779" w:type="dxa"/>
            <w:tcBorders>
              <w:top w:val="single" w:sz="4" w:space="0" w:color="000000"/>
              <w:left w:val="single" w:sz="4" w:space="0" w:color="000000"/>
              <w:bottom w:val="single" w:sz="4" w:space="0" w:color="000000"/>
              <w:right w:val="single" w:sz="4" w:space="0" w:color="000000"/>
            </w:tcBorders>
          </w:tcPr>
          <w:p w14:paraId="24DA9370"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5"/>
                <w:szCs w:val="22"/>
              </w:rPr>
            </w:pPr>
            <w:r w:rsidRPr="00863E62">
              <w:rPr>
                <w:spacing w:val="-5"/>
                <w:szCs w:val="22"/>
                <w:lang w:val="lt-LT"/>
              </w:rPr>
              <w:t>10 mg</w:t>
            </w:r>
          </w:p>
        </w:tc>
        <w:tc>
          <w:tcPr>
            <w:tcW w:w="780" w:type="dxa"/>
            <w:tcBorders>
              <w:top w:val="single" w:sz="4" w:space="0" w:color="000000"/>
              <w:left w:val="single" w:sz="4" w:space="0" w:color="000000"/>
              <w:bottom w:val="single" w:sz="4" w:space="0" w:color="000000"/>
              <w:right w:val="single" w:sz="4" w:space="0" w:color="000000"/>
            </w:tcBorders>
          </w:tcPr>
          <w:p w14:paraId="7057033B"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5"/>
                <w:szCs w:val="22"/>
              </w:rPr>
            </w:pPr>
            <w:r w:rsidRPr="00863E62">
              <w:rPr>
                <w:szCs w:val="22"/>
                <w:lang w:val="lt-LT"/>
              </w:rPr>
              <w:t>20</w:t>
            </w:r>
            <w:r w:rsidRPr="00863E62">
              <w:rPr>
                <w:spacing w:val="-3"/>
                <w:szCs w:val="22"/>
                <w:lang w:val="lt-LT"/>
              </w:rPr>
              <w:t> mg</w:t>
            </w:r>
          </w:p>
        </w:tc>
        <w:tc>
          <w:tcPr>
            <w:tcW w:w="779" w:type="dxa"/>
            <w:tcBorders>
              <w:top w:val="single" w:sz="4" w:space="0" w:color="000000"/>
              <w:left w:val="single" w:sz="4" w:space="0" w:color="000000"/>
              <w:bottom w:val="single" w:sz="4" w:space="0" w:color="000000"/>
              <w:right w:val="single" w:sz="4" w:space="0" w:color="000000"/>
            </w:tcBorders>
          </w:tcPr>
          <w:p w14:paraId="5523DC94"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5"/>
                <w:szCs w:val="22"/>
              </w:rPr>
            </w:pPr>
            <w:r w:rsidRPr="00863E62">
              <w:rPr>
                <w:spacing w:val="-5"/>
                <w:szCs w:val="22"/>
                <w:lang w:val="lt-LT"/>
              </w:rPr>
              <w:t>20 mg</w:t>
            </w:r>
          </w:p>
        </w:tc>
        <w:tc>
          <w:tcPr>
            <w:tcW w:w="780" w:type="dxa"/>
            <w:tcBorders>
              <w:top w:val="single" w:sz="4" w:space="0" w:color="000000"/>
              <w:left w:val="single" w:sz="4" w:space="0" w:color="000000"/>
              <w:bottom w:val="single" w:sz="4" w:space="0" w:color="000000"/>
              <w:right w:val="single" w:sz="4" w:space="0" w:color="000000"/>
            </w:tcBorders>
          </w:tcPr>
          <w:p w14:paraId="5BD1F434"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5"/>
                <w:szCs w:val="22"/>
              </w:rPr>
            </w:pPr>
            <w:r w:rsidRPr="00863E62">
              <w:rPr>
                <w:szCs w:val="22"/>
                <w:lang w:val="lt-LT"/>
              </w:rPr>
              <w:t>20</w:t>
            </w:r>
            <w:r w:rsidRPr="00863E62">
              <w:rPr>
                <w:spacing w:val="-3"/>
                <w:szCs w:val="22"/>
                <w:lang w:val="lt-LT"/>
              </w:rPr>
              <w:t> mg</w:t>
            </w:r>
          </w:p>
        </w:tc>
        <w:tc>
          <w:tcPr>
            <w:tcW w:w="780" w:type="dxa"/>
            <w:tcBorders>
              <w:top w:val="single" w:sz="4" w:space="0" w:color="000000"/>
              <w:left w:val="single" w:sz="4" w:space="0" w:color="000000"/>
              <w:bottom w:val="single" w:sz="4" w:space="0" w:color="000000"/>
              <w:right w:val="single" w:sz="4" w:space="0" w:color="000000"/>
            </w:tcBorders>
          </w:tcPr>
          <w:p w14:paraId="209251F3"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5"/>
                <w:szCs w:val="22"/>
              </w:rPr>
            </w:pPr>
            <w:r w:rsidRPr="00863E62">
              <w:rPr>
                <w:spacing w:val="-5"/>
                <w:szCs w:val="22"/>
                <w:lang w:val="lt-LT"/>
              </w:rPr>
              <w:t>20 mg</w:t>
            </w:r>
          </w:p>
        </w:tc>
        <w:tc>
          <w:tcPr>
            <w:tcW w:w="780" w:type="dxa"/>
            <w:tcBorders>
              <w:top w:val="single" w:sz="4" w:space="0" w:color="000000"/>
              <w:left w:val="single" w:sz="4" w:space="0" w:color="000000"/>
              <w:bottom w:val="single" w:sz="4" w:space="0" w:color="000000"/>
              <w:right w:val="single" w:sz="4" w:space="0" w:color="000000"/>
            </w:tcBorders>
          </w:tcPr>
          <w:p w14:paraId="285E8FB3"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5"/>
                <w:szCs w:val="22"/>
              </w:rPr>
            </w:pPr>
            <w:r w:rsidRPr="00863E62">
              <w:rPr>
                <w:szCs w:val="22"/>
                <w:lang w:val="lt-LT"/>
              </w:rPr>
              <w:t>20</w:t>
            </w:r>
            <w:r w:rsidRPr="00863E62">
              <w:rPr>
                <w:spacing w:val="-3"/>
                <w:szCs w:val="22"/>
                <w:lang w:val="lt-LT"/>
              </w:rPr>
              <w:t> mg</w:t>
            </w:r>
          </w:p>
        </w:tc>
        <w:tc>
          <w:tcPr>
            <w:tcW w:w="780" w:type="dxa"/>
            <w:tcBorders>
              <w:top w:val="single" w:sz="4" w:space="0" w:color="000000"/>
              <w:left w:val="single" w:sz="4" w:space="0" w:color="000000"/>
              <w:bottom w:val="single" w:sz="4" w:space="0" w:color="000000"/>
              <w:right w:val="single" w:sz="4" w:space="0" w:color="000000"/>
            </w:tcBorders>
          </w:tcPr>
          <w:p w14:paraId="4EBB9740"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5"/>
                <w:szCs w:val="22"/>
              </w:rPr>
            </w:pPr>
            <w:r w:rsidRPr="00863E62">
              <w:rPr>
                <w:szCs w:val="22"/>
                <w:lang w:val="lt-LT"/>
              </w:rPr>
              <w:t>20</w:t>
            </w:r>
            <w:r w:rsidRPr="00863E62">
              <w:rPr>
                <w:spacing w:val="-3"/>
                <w:szCs w:val="22"/>
                <w:lang w:val="lt-LT"/>
              </w:rPr>
              <w:t> mg</w:t>
            </w:r>
          </w:p>
        </w:tc>
        <w:tc>
          <w:tcPr>
            <w:tcW w:w="780" w:type="dxa"/>
            <w:tcBorders>
              <w:top w:val="single" w:sz="4" w:space="0" w:color="000000"/>
              <w:left w:val="single" w:sz="4" w:space="0" w:color="000000"/>
              <w:bottom w:val="single" w:sz="4" w:space="0" w:color="000000"/>
              <w:right w:val="single" w:sz="4" w:space="0" w:color="000000"/>
            </w:tcBorders>
          </w:tcPr>
          <w:p w14:paraId="0DA64832" w14:textId="77777777" w:rsidR="00C80B05" w:rsidRPr="00863E62" w:rsidRDefault="00C80B05" w:rsidP="00837E72">
            <w:pPr>
              <w:widowControl w:val="0"/>
              <w:tabs>
                <w:tab w:val="clear" w:pos="567"/>
              </w:tabs>
              <w:kinsoku w:val="0"/>
              <w:overflowPunct w:val="0"/>
              <w:autoSpaceDE w:val="0"/>
              <w:autoSpaceDN w:val="0"/>
              <w:adjustRightInd w:val="0"/>
              <w:spacing w:line="240" w:lineRule="auto"/>
              <w:jc w:val="center"/>
              <w:rPr>
                <w:spacing w:val="-5"/>
                <w:szCs w:val="22"/>
              </w:rPr>
            </w:pPr>
            <w:r w:rsidRPr="00863E62">
              <w:rPr>
                <w:szCs w:val="22"/>
                <w:lang w:val="lt-LT"/>
              </w:rPr>
              <w:t>20</w:t>
            </w:r>
            <w:r w:rsidRPr="00863E62">
              <w:rPr>
                <w:spacing w:val="-3"/>
                <w:szCs w:val="22"/>
                <w:lang w:val="lt-LT"/>
              </w:rPr>
              <w:t> mg</w:t>
            </w:r>
          </w:p>
        </w:tc>
      </w:tr>
      <w:tr w:rsidR="00863E62" w:rsidRPr="00CD7E52" w14:paraId="2924A605" w14:textId="77777777" w:rsidTr="00DB2543">
        <w:trPr>
          <w:trHeight w:val="351"/>
        </w:trPr>
        <w:tc>
          <w:tcPr>
            <w:tcW w:w="847" w:type="dxa"/>
            <w:tcBorders>
              <w:top w:val="single" w:sz="4" w:space="0" w:color="000000"/>
              <w:left w:val="single" w:sz="4" w:space="0" w:color="000000"/>
              <w:bottom w:val="single" w:sz="4" w:space="0" w:color="000000"/>
              <w:right w:val="single" w:sz="4" w:space="0" w:color="000000"/>
            </w:tcBorders>
          </w:tcPr>
          <w:p w14:paraId="256EC39F" w14:textId="77777777" w:rsidR="00C80B05" w:rsidRPr="00DB2543" w:rsidRDefault="00C80B05" w:rsidP="00863E62">
            <w:pPr>
              <w:pStyle w:val="Default"/>
              <w:jc w:val="center"/>
              <w:rPr>
                <w:sz w:val="22"/>
                <w:szCs w:val="22"/>
              </w:rPr>
            </w:pPr>
            <w:r w:rsidRPr="00DB2543">
              <w:rPr>
                <w:sz w:val="22"/>
                <w:szCs w:val="22"/>
              </w:rPr>
              <w:t>50</w:t>
            </w:r>
            <w:r w:rsidR="00863E62">
              <w:rPr>
                <w:sz w:val="22"/>
                <w:szCs w:val="22"/>
              </w:rPr>
              <w:t> </w:t>
            </w:r>
            <w:r w:rsidRPr="00DB2543">
              <w:rPr>
                <w:sz w:val="22"/>
                <w:szCs w:val="22"/>
              </w:rPr>
              <w:t xml:space="preserve">kg </w:t>
            </w:r>
            <w:proofErr w:type="spellStart"/>
            <w:r w:rsidRPr="00DB2543">
              <w:rPr>
                <w:sz w:val="22"/>
                <w:szCs w:val="22"/>
              </w:rPr>
              <w:t>arba</w:t>
            </w:r>
            <w:proofErr w:type="spellEnd"/>
            <w:r w:rsidRPr="00DB2543">
              <w:rPr>
                <w:sz w:val="22"/>
                <w:szCs w:val="22"/>
              </w:rPr>
              <w:t xml:space="preserve"> </w:t>
            </w:r>
            <w:proofErr w:type="spellStart"/>
            <w:r w:rsidRPr="00DB2543">
              <w:rPr>
                <w:sz w:val="22"/>
                <w:szCs w:val="22"/>
              </w:rPr>
              <w:t>daugiau</w:t>
            </w:r>
            <w:proofErr w:type="spellEnd"/>
          </w:p>
        </w:tc>
        <w:tc>
          <w:tcPr>
            <w:tcW w:w="712" w:type="dxa"/>
            <w:tcBorders>
              <w:top w:val="single" w:sz="4" w:space="0" w:color="000000"/>
              <w:left w:val="single" w:sz="4" w:space="0" w:color="000000"/>
              <w:bottom w:val="single" w:sz="4" w:space="0" w:color="000000"/>
              <w:right w:val="single" w:sz="4" w:space="0" w:color="000000"/>
            </w:tcBorders>
          </w:tcPr>
          <w:p w14:paraId="25536582" w14:textId="77777777" w:rsidR="00C80B05" w:rsidRPr="00863E62" w:rsidRDefault="00C80B05" w:rsidP="00DB2543">
            <w:pPr>
              <w:pStyle w:val="Default"/>
              <w:jc w:val="center"/>
              <w:rPr>
                <w:spacing w:val="-5"/>
                <w:sz w:val="22"/>
                <w:szCs w:val="22"/>
                <w:lang w:val="lt-LT"/>
              </w:rPr>
            </w:pPr>
            <w:r w:rsidRPr="00DB2543">
              <w:rPr>
                <w:sz w:val="22"/>
                <w:szCs w:val="22"/>
              </w:rPr>
              <w:t>10</w:t>
            </w:r>
            <w:r w:rsidR="00863E62">
              <w:rPr>
                <w:sz w:val="22"/>
                <w:szCs w:val="22"/>
              </w:rPr>
              <w:t> </w:t>
            </w:r>
            <w:r w:rsidRPr="00DB2543">
              <w:rPr>
                <w:sz w:val="22"/>
                <w:szCs w:val="22"/>
              </w:rPr>
              <w:t>mg</w:t>
            </w:r>
          </w:p>
        </w:tc>
        <w:tc>
          <w:tcPr>
            <w:tcW w:w="779" w:type="dxa"/>
            <w:tcBorders>
              <w:top w:val="single" w:sz="4" w:space="0" w:color="000000"/>
              <w:left w:val="single" w:sz="4" w:space="0" w:color="000000"/>
              <w:bottom w:val="single" w:sz="4" w:space="0" w:color="000000"/>
              <w:right w:val="single" w:sz="4" w:space="0" w:color="000000"/>
            </w:tcBorders>
          </w:tcPr>
          <w:p w14:paraId="0B69EF4A" w14:textId="77777777" w:rsidR="00C80B05" w:rsidRPr="00863E62" w:rsidRDefault="00C80B05" w:rsidP="00DB2543">
            <w:pPr>
              <w:pStyle w:val="Default"/>
              <w:jc w:val="center"/>
              <w:rPr>
                <w:spacing w:val="-5"/>
                <w:sz w:val="22"/>
                <w:szCs w:val="22"/>
                <w:lang w:val="lt-LT"/>
              </w:rPr>
            </w:pPr>
            <w:r w:rsidRPr="00DB2543">
              <w:rPr>
                <w:sz w:val="22"/>
                <w:szCs w:val="22"/>
              </w:rPr>
              <w:t>10</w:t>
            </w:r>
            <w:r w:rsidR="00863E62">
              <w:rPr>
                <w:sz w:val="22"/>
                <w:szCs w:val="22"/>
              </w:rPr>
              <w:t> </w:t>
            </w:r>
            <w:r w:rsidRPr="00DB2543">
              <w:rPr>
                <w:sz w:val="22"/>
                <w:szCs w:val="22"/>
              </w:rPr>
              <w:t>mg</w:t>
            </w:r>
          </w:p>
        </w:tc>
        <w:tc>
          <w:tcPr>
            <w:tcW w:w="780" w:type="dxa"/>
            <w:tcBorders>
              <w:top w:val="single" w:sz="4" w:space="0" w:color="000000"/>
              <w:left w:val="single" w:sz="4" w:space="0" w:color="000000"/>
              <w:bottom w:val="single" w:sz="4" w:space="0" w:color="000000"/>
              <w:right w:val="single" w:sz="4" w:space="0" w:color="000000"/>
            </w:tcBorders>
          </w:tcPr>
          <w:p w14:paraId="7A0DB329" w14:textId="77777777" w:rsidR="00C80B05" w:rsidRPr="00863E62" w:rsidRDefault="00C80B05" w:rsidP="00DB2543">
            <w:pPr>
              <w:pStyle w:val="Default"/>
              <w:jc w:val="center"/>
              <w:rPr>
                <w:sz w:val="22"/>
                <w:szCs w:val="22"/>
                <w:lang w:val="lt-LT"/>
              </w:rPr>
            </w:pPr>
            <w:r w:rsidRPr="00DB2543">
              <w:rPr>
                <w:sz w:val="22"/>
                <w:szCs w:val="22"/>
              </w:rPr>
              <w:t>10</w:t>
            </w:r>
            <w:r w:rsidR="00863E62">
              <w:rPr>
                <w:sz w:val="22"/>
                <w:szCs w:val="22"/>
              </w:rPr>
              <w:t> </w:t>
            </w:r>
            <w:r w:rsidRPr="00DB2543">
              <w:rPr>
                <w:sz w:val="22"/>
                <w:szCs w:val="22"/>
              </w:rPr>
              <w:t>mg</w:t>
            </w:r>
          </w:p>
        </w:tc>
        <w:tc>
          <w:tcPr>
            <w:tcW w:w="779" w:type="dxa"/>
            <w:tcBorders>
              <w:top w:val="single" w:sz="4" w:space="0" w:color="000000"/>
              <w:left w:val="single" w:sz="4" w:space="0" w:color="000000"/>
              <w:bottom w:val="single" w:sz="4" w:space="0" w:color="000000"/>
              <w:right w:val="single" w:sz="4" w:space="0" w:color="000000"/>
            </w:tcBorders>
          </w:tcPr>
          <w:p w14:paraId="7A9F1E75" w14:textId="77777777" w:rsidR="00C80B05" w:rsidRPr="00863E62" w:rsidRDefault="00C80B05" w:rsidP="00DB2543">
            <w:pPr>
              <w:pStyle w:val="Default"/>
              <w:jc w:val="center"/>
              <w:rPr>
                <w:spacing w:val="-5"/>
                <w:sz w:val="22"/>
                <w:szCs w:val="22"/>
                <w:lang w:val="lt-LT"/>
              </w:rPr>
            </w:pPr>
            <w:r w:rsidRPr="00DB2543">
              <w:rPr>
                <w:sz w:val="22"/>
                <w:szCs w:val="22"/>
              </w:rPr>
              <w:t>10</w:t>
            </w:r>
            <w:r w:rsidR="00863E62">
              <w:rPr>
                <w:sz w:val="22"/>
                <w:szCs w:val="22"/>
              </w:rPr>
              <w:t> </w:t>
            </w:r>
            <w:r w:rsidRPr="00DB2543">
              <w:rPr>
                <w:sz w:val="22"/>
                <w:szCs w:val="22"/>
              </w:rPr>
              <w:t>mg</w:t>
            </w:r>
          </w:p>
        </w:tc>
        <w:tc>
          <w:tcPr>
            <w:tcW w:w="780" w:type="dxa"/>
            <w:tcBorders>
              <w:top w:val="single" w:sz="4" w:space="0" w:color="000000"/>
              <w:left w:val="single" w:sz="4" w:space="0" w:color="000000"/>
              <w:bottom w:val="single" w:sz="4" w:space="0" w:color="000000"/>
              <w:right w:val="single" w:sz="4" w:space="0" w:color="000000"/>
            </w:tcBorders>
          </w:tcPr>
          <w:p w14:paraId="4560645E" w14:textId="77777777" w:rsidR="00C80B05" w:rsidRPr="00863E62" w:rsidRDefault="00C80B05" w:rsidP="00DB2543">
            <w:pPr>
              <w:pStyle w:val="Default"/>
              <w:jc w:val="center"/>
              <w:rPr>
                <w:sz w:val="22"/>
                <w:szCs w:val="22"/>
                <w:lang w:val="lt-LT"/>
              </w:rPr>
            </w:pPr>
            <w:r w:rsidRPr="00DB2543">
              <w:rPr>
                <w:sz w:val="22"/>
                <w:szCs w:val="22"/>
              </w:rPr>
              <w:t>20</w:t>
            </w:r>
            <w:r w:rsidR="00863E62">
              <w:rPr>
                <w:sz w:val="22"/>
                <w:szCs w:val="22"/>
              </w:rPr>
              <w:t> </w:t>
            </w:r>
            <w:r w:rsidRPr="00DB2543">
              <w:rPr>
                <w:sz w:val="22"/>
                <w:szCs w:val="22"/>
              </w:rPr>
              <w:t>mg</w:t>
            </w:r>
          </w:p>
        </w:tc>
        <w:tc>
          <w:tcPr>
            <w:tcW w:w="779" w:type="dxa"/>
            <w:tcBorders>
              <w:top w:val="single" w:sz="4" w:space="0" w:color="000000"/>
              <w:left w:val="single" w:sz="4" w:space="0" w:color="000000"/>
              <w:bottom w:val="single" w:sz="4" w:space="0" w:color="000000"/>
              <w:right w:val="single" w:sz="4" w:space="0" w:color="000000"/>
            </w:tcBorders>
          </w:tcPr>
          <w:p w14:paraId="1DF7395A" w14:textId="77777777" w:rsidR="00C80B05" w:rsidRPr="00863E62" w:rsidRDefault="00C80B05" w:rsidP="00DB2543">
            <w:pPr>
              <w:pStyle w:val="Default"/>
              <w:jc w:val="center"/>
              <w:rPr>
                <w:spacing w:val="-5"/>
                <w:sz w:val="22"/>
                <w:szCs w:val="22"/>
                <w:lang w:val="lt-LT"/>
              </w:rPr>
            </w:pPr>
            <w:r w:rsidRPr="00DB2543">
              <w:rPr>
                <w:sz w:val="22"/>
                <w:szCs w:val="22"/>
              </w:rPr>
              <w:t>20</w:t>
            </w:r>
            <w:r w:rsidR="00863E62">
              <w:rPr>
                <w:sz w:val="22"/>
                <w:szCs w:val="22"/>
              </w:rPr>
              <w:t> </w:t>
            </w:r>
            <w:r w:rsidRPr="00DB2543">
              <w:rPr>
                <w:sz w:val="22"/>
                <w:szCs w:val="22"/>
              </w:rPr>
              <w:t>mg</w:t>
            </w:r>
          </w:p>
        </w:tc>
        <w:tc>
          <w:tcPr>
            <w:tcW w:w="780" w:type="dxa"/>
            <w:tcBorders>
              <w:top w:val="single" w:sz="4" w:space="0" w:color="000000"/>
              <w:left w:val="single" w:sz="4" w:space="0" w:color="000000"/>
              <w:bottom w:val="single" w:sz="4" w:space="0" w:color="000000"/>
              <w:right w:val="single" w:sz="4" w:space="0" w:color="000000"/>
            </w:tcBorders>
          </w:tcPr>
          <w:p w14:paraId="305FE4F3" w14:textId="77777777" w:rsidR="00C80B05" w:rsidRPr="00863E62" w:rsidRDefault="00C80B05" w:rsidP="00DB2543">
            <w:pPr>
              <w:pStyle w:val="Default"/>
              <w:jc w:val="center"/>
              <w:rPr>
                <w:sz w:val="22"/>
                <w:szCs w:val="22"/>
                <w:lang w:val="lt-LT"/>
              </w:rPr>
            </w:pPr>
            <w:r w:rsidRPr="00DB2543">
              <w:rPr>
                <w:sz w:val="22"/>
                <w:szCs w:val="22"/>
              </w:rPr>
              <w:t>20</w:t>
            </w:r>
            <w:r w:rsidR="00863E62">
              <w:rPr>
                <w:sz w:val="22"/>
                <w:szCs w:val="22"/>
              </w:rPr>
              <w:t> </w:t>
            </w:r>
            <w:r w:rsidRPr="00DB2543">
              <w:rPr>
                <w:sz w:val="22"/>
                <w:szCs w:val="22"/>
              </w:rPr>
              <w:t>mg</w:t>
            </w:r>
          </w:p>
        </w:tc>
        <w:tc>
          <w:tcPr>
            <w:tcW w:w="780" w:type="dxa"/>
            <w:tcBorders>
              <w:top w:val="single" w:sz="4" w:space="0" w:color="000000"/>
              <w:left w:val="single" w:sz="4" w:space="0" w:color="000000"/>
              <w:bottom w:val="single" w:sz="4" w:space="0" w:color="000000"/>
              <w:right w:val="single" w:sz="4" w:space="0" w:color="000000"/>
            </w:tcBorders>
          </w:tcPr>
          <w:p w14:paraId="69DEFB0B" w14:textId="77777777" w:rsidR="00C80B05" w:rsidRPr="00863E62" w:rsidRDefault="00C80B05" w:rsidP="00DB2543">
            <w:pPr>
              <w:pStyle w:val="Default"/>
              <w:jc w:val="center"/>
              <w:rPr>
                <w:spacing w:val="-5"/>
                <w:sz w:val="22"/>
                <w:szCs w:val="22"/>
                <w:lang w:val="lt-LT"/>
              </w:rPr>
            </w:pPr>
            <w:r w:rsidRPr="00DB2543">
              <w:rPr>
                <w:sz w:val="22"/>
                <w:szCs w:val="22"/>
              </w:rPr>
              <w:t>20</w:t>
            </w:r>
            <w:r w:rsidR="00863E62">
              <w:rPr>
                <w:sz w:val="22"/>
                <w:szCs w:val="22"/>
              </w:rPr>
              <w:t> </w:t>
            </w:r>
            <w:r w:rsidRPr="00DB2543">
              <w:rPr>
                <w:sz w:val="22"/>
                <w:szCs w:val="22"/>
              </w:rPr>
              <w:t>mg</w:t>
            </w:r>
          </w:p>
        </w:tc>
        <w:tc>
          <w:tcPr>
            <w:tcW w:w="780" w:type="dxa"/>
            <w:tcBorders>
              <w:top w:val="single" w:sz="4" w:space="0" w:color="000000"/>
              <w:left w:val="single" w:sz="4" w:space="0" w:color="000000"/>
              <w:bottom w:val="single" w:sz="4" w:space="0" w:color="000000"/>
              <w:right w:val="single" w:sz="4" w:space="0" w:color="000000"/>
            </w:tcBorders>
          </w:tcPr>
          <w:p w14:paraId="2A51BAC0" w14:textId="77777777" w:rsidR="00C80B05" w:rsidRPr="00863E62" w:rsidRDefault="00C80B05" w:rsidP="00DB2543">
            <w:pPr>
              <w:pStyle w:val="Default"/>
              <w:jc w:val="center"/>
              <w:rPr>
                <w:sz w:val="22"/>
                <w:szCs w:val="22"/>
                <w:lang w:val="lt-LT"/>
              </w:rPr>
            </w:pPr>
            <w:r w:rsidRPr="00DB2543">
              <w:rPr>
                <w:sz w:val="22"/>
                <w:szCs w:val="22"/>
              </w:rPr>
              <w:t>30</w:t>
            </w:r>
            <w:r w:rsidR="004644F3">
              <w:rPr>
                <w:sz w:val="22"/>
                <w:szCs w:val="22"/>
              </w:rPr>
              <w:t> </w:t>
            </w:r>
            <w:r w:rsidRPr="00DB2543">
              <w:rPr>
                <w:sz w:val="22"/>
                <w:szCs w:val="22"/>
              </w:rPr>
              <w:t>mg</w:t>
            </w:r>
          </w:p>
        </w:tc>
        <w:tc>
          <w:tcPr>
            <w:tcW w:w="780" w:type="dxa"/>
            <w:tcBorders>
              <w:top w:val="single" w:sz="4" w:space="0" w:color="000000"/>
              <w:left w:val="single" w:sz="4" w:space="0" w:color="000000"/>
              <w:bottom w:val="single" w:sz="4" w:space="0" w:color="000000"/>
              <w:right w:val="single" w:sz="4" w:space="0" w:color="000000"/>
            </w:tcBorders>
          </w:tcPr>
          <w:p w14:paraId="1C7624DB" w14:textId="77777777" w:rsidR="00C80B05" w:rsidRPr="00863E62" w:rsidRDefault="00C80B05" w:rsidP="00DB2543">
            <w:pPr>
              <w:pStyle w:val="Default"/>
              <w:jc w:val="center"/>
              <w:rPr>
                <w:spacing w:val="-5"/>
                <w:sz w:val="22"/>
                <w:szCs w:val="22"/>
                <w:lang w:val="lt-LT"/>
              </w:rPr>
            </w:pPr>
            <w:r w:rsidRPr="00DB2543">
              <w:rPr>
                <w:sz w:val="22"/>
                <w:szCs w:val="22"/>
              </w:rPr>
              <w:t>30</w:t>
            </w:r>
            <w:r w:rsidR="00863E62">
              <w:rPr>
                <w:sz w:val="22"/>
                <w:szCs w:val="22"/>
              </w:rPr>
              <w:t> </w:t>
            </w:r>
            <w:r w:rsidRPr="00DB2543">
              <w:rPr>
                <w:sz w:val="22"/>
                <w:szCs w:val="22"/>
              </w:rPr>
              <w:t>mg</w:t>
            </w:r>
          </w:p>
        </w:tc>
        <w:tc>
          <w:tcPr>
            <w:tcW w:w="780" w:type="dxa"/>
            <w:tcBorders>
              <w:top w:val="single" w:sz="4" w:space="0" w:color="000000"/>
              <w:left w:val="single" w:sz="4" w:space="0" w:color="000000"/>
              <w:bottom w:val="single" w:sz="4" w:space="0" w:color="000000"/>
              <w:right w:val="single" w:sz="4" w:space="0" w:color="000000"/>
            </w:tcBorders>
          </w:tcPr>
          <w:p w14:paraId="7B709582" w14:textId="77777777" w:rsidR="00C80B05" w:rsidRPr="00863E62" w:rsidRDefault="00C80B05" w:rsidP="00DB2543">
            <w:pPr>
              <w:pStyle w:val="Default"/>
              <w:jc w:val="center"/>
              <w:rPr>
                <w:sz w:val="22"/>
                <w:szCs w:val="22"/>
                <w:lang w:val="lt-LT"/>
              </w:rPr>
            </w:pPr>
            <w:r w:rsidRPr="00DB2543">
              <w:rPr>
                <w:sz w:val="22"/>
                <w:szCs w:val="22"/>
              </w:rPr>
              <w:t>30</w:t>
            </w:r>
            <w:r w:rsidR="00863E62">
              <w:rPr>
                <w:sz w:val="22"/>
                <w:szCs w:val="22"/>
              </w:rPr>
              <w:t> </w:t>
            </w:r>
            <w:r w:rsidRPr="00DB2543">
              <w:rPr>
                <w:sz w:val="22"/>
                <w:szCs w:val="22"/>
              </w:rPr>
              <w:t>mg</w:t>
            </w:r>
          </w:p>
        </w:tc>
      </w:tr>
    </w:tbl>
    <w:p w14:paraId="7E01E927" w14:textId="77777777" w:rsidR="004644F3" w:rsidRDefault="00C80B05" w:rsidP="00C80B05">
      <w:pPr>
        <w:tabs>
          <w:tab w:val="left" w:pos="284"/>
        </w:tabs>
        <w:ind w:left="284" w:hanging="284"/>
      </w:pPr>
      <w:r w:rsidRPr="004644F3">
        <w:t>*</w:t>
      </w:r>
      <w:r w:rsidRPr="004644F3">
        <w:tab/>
      </w:r>
      <w:proofErr w:type="spellStart"/>
      <w:r w:rsidR="00CD56E7">
        <w:t>Nėra</w:t>
      </w:r>
      <w:proofErr w:type="spellEnd"/>
      <w:r w:rsidR="00CD56E7">
        <w:t xml:space="preserve"> </w:t>
      </w:r>
      <w:r w:rsidR="007C5D58" w:rsidRPr="00FF0C6B">
        <w:t>Apremilast STADA</w:t>
      </w:r>
      <w:r w:rsidR="007C5D58" w:rsidRPr="007C5D58">
        <w:t xml:space="preserve"> </w:t>
      </w:r>
      <w:proofErr w:type="spellStart"/>
      <w:r w:rsidR="00CD56E7">
        <w:t>pakuočių</w:t>
      </w:r>
      <w:proofErr w:type="spellEnd"/>
      <w:r w:rsidR="00CD56E7" w:rsidRPr="007C5D58">
        <w:t xml:space="preserve"> </w:t>
      </w:r>
      <w:proofErr w:type="spellStart"/>
      <w:r w:rsidR="007C5D58" w:rsidRPr="007C5D58">
        <w:t>doz</w:t>
      </w:r>
      <w:r w:rsidR="00CD56E7">
        <w:t>ėmis</w:t>
      </w:r>
      <w:proofErr w:type="spellEnd"/>
      <w:r w:rsidR="007C5D58" w:rsidRPr="007C5D58">
        <w:t xml:space="preserve">, </w:t>
      </w:r>
      <w:proofErr w:type="spellStart"/>
      <w:r w:rsidR="007C5D58">
        <w:t>kuri</w:t>
      </w:r>
      <w:r w:rsidR="003A5547">
        <w:t>as</w:t>
      </w:r>
      <w:proofErr w:type="spellEnd"/>
      <w:r w:rsidR="007C5D58">
        <w:t xml:space="preserve"> </w:t>
      </w:r>
      <w:proofErr w:type="spellStart"/>
      <w:r w:rsidR="007C5D58">
        <w:t>būtų</w:t>
      </w:r>
      <w:proofErr w:type="spellEnd"/>
      <w:r w:rsidR="007C5D58">
        <w:t xml:space="preserve"> </w:t>
      </w:r>
      <w:proofErr w:type="spellStart"/>
      <w:r w:rsidR="007C5D58">
        <w:t>galima</w:t>
      </w:r>
      <w:proofErr w:type="spellEnd"/>
      <w:r w:rsidR="007C5D58">
        <w:t xml:space="preserve"> </w:t>
      </w:r>
      <w:proofErr w:type="spellStart"/>
      <w:r w:rsidR="007C5D58" w:rsidRPr="007C5D58">
        <w:t>titruoti</w:t>
      </w:r>
      <w:proofErr w:type="spellEnd"/>
      <w:r w:rsidR="007C5D58" w:rsidRPr="007C5D58">
        <w:t xml:space="preserve"> </w:t>
      </w:r>
      <w:proofErr w:type="spellStart"/>
      <w:r w:rsidR="007C5D58" w:rsidRPr="007C5D58">
        <w:t>ir</w:t>
      </w:r>
      <w:proofErr w:type="spellEnd"/>
      <w:r w:rsidR="007C5D58" w:rsidRPr="007C5D58">
        <w:t xml:space="preserve"> </w:t>
      </w:r>
      <w:proofErr w:type="spellStart"/>
      <w:r w:rsidR="007C5D58" w:rsidRPr="007C5D58">
        <w:t>palaikyti</w:t>
      </w:r>
      <w:proofErr w:type="spellEnd"/>
      <w:r w:rsidR="007C5D58" w:rsidRPr="007C5D58">
        <w:t xml:space="preserve"> </w:t>
      </w:r>
      <w:proofErr w:type="spellStart"/>
      <w:r w:rsidR="007C5D58" w:rsidRPr="007C5D58">
        <w:t>gydymą</w:t>
      </w:r>
      <w:proofErr w:type="spellEnd"/>
      <w:r w:rsidR="007C5D58" w:rsidRPr="007C5D58">
        <w:t xml:space="preserve"> </w:t>
      </w:r>
      <w:proofErr w:type="spellStart"/>
      <w:r w:rsidR="007C5D58" w:rsidRPr="007C5D58">
        <w:t>vaikams</w:t>
      </w:r>
      <w:proofErr w:type="spellEnd"/>
      <w:r w:rsidR="007C5D58" w:rsidRPr="007C5D58">
        <w:t xml:space="preserve">, </w:t>
      </w:r>
      <w:proofErr w:type="spellStart"/>
      <w:r w:rsidR="007C5D58" w:rsidRPr="007C5D58">
        <w:t>sveriantiems</w:t>
      </w:r>
      <w:proofErr w:type="spellEnd"/>
      <w:r w:rsidR="007C5D58" w:rsidRPr="007C5D58">
        <w:t xml:space="preserve"> </w:t>
      </w:r>
      <w:proofErr w:type="spellStart"/>
      <w:r w:rsidR="007C5D58" w:rsidRPr="007C5D58">
        <w:t>nuo</w:t>
      </w:r>
      <w:proofErr w:type="spellEnd"/>
      <w:r w:rsidR="007C5D58" w:rsidRPr="007C5D58">
        <w:t xml:space="preserve"> 20</w:t>
      </w:r>
      <w:r w:rsidR="007C5D58">
        <w:t> </w:t>
      </w:r>
      <w:r w:rsidR="007C5D58" w:rsidRPr="007C5D58">
        <w:t xml:space="preserve">kg </w:t>
      </w:r>
      <w:proofErr w:type="spellStart"/>
      <w:r w:rsidR="007C5D58" w:rsidRPr="007C5D58">
        <w:t>iki</w:t>
      </w:r>
      <w:proofErr w:type="spellEnd"/>
      <w:r w:rsidR="007C5D58" w:rsidRPr="007C5D58">
        <w:t xml:space="preserve"> </w:t>
      </w:r>
      <w:proofErr w:type="spellStart"/>
      <w:r w:rsidR="00694DEC">
        <w:t>mažiau</w:t>
      </w:r>
      <w:proofErr w:type="spellEnd"/>
      <w:r w:rsidR="00694DEC">
        <w:t xml:space="preserve"> </w:t>
      </w:r>
      <w:proofErr w:type="spellStart"/>
      <w:r w:rsidR="00694DEC">
        <w:t>nei</w:t>
      </w:r>
      <w:proofErr w:type="spellEnd"/>
      <w:r w:rsidR="00694DEC">
        <w:t xml:space="preserve"> </w:t>
      </w:r>
      <w:r w:rsidR="007C5D58" w:rsidRPr="007C5D58">
        <w:t>50</w:t>
      </w:r>
      <w:r w:rsidR="007C5D58">
        <w:t> </w:t>
      </w:r>
      <w:r w:rsidR="007C5D58" w:rsidRPr="007C5D58">
        <w:t>kg. Taigi</w:t>
      </w:r>
      <w:r w:rsidR="003A5547" w:rsidRPr="003A5547">
        <w:t xml:space="preserve"> </w:t>
      </w:r>
      <w:r w:rsidR="003A5547" w:rsidRPr="00FF0C6B">
        <w:t>Apremilast STADA</w:t>
      </w:r>
      <w:r w:rsidR="003A5547" w:rsidRPr="007C5D58">
        <w:t xml:space="preserve"> </w:t>
      </w:r>
      <w:proofErr w:type="spellStart"/>
      <w:r w:rsidR="003A5547" w:rsidRPr="007C5D58">
        <w:t>negalima</w:t>
      </w:r>
      <w:proofErr w:type="spellEnd"/>
      <w:r w:rsidR="003A5547" w:rsidRPr="003A5547">
        <w:t xml:space="preserve"> </w:t>
      </w:r>
      <w:proofErr w:type="spellStart"/>
      <w:r w:rsidR="003A5547" w:rsidRPr="007C5D58">
        <w:t>gydyti</w:t>
      </w:r>
      <w:proofErr w:type="spellEnd"/>
      <w:r w:rsidR="007C5D58" w:rsidRPr="007C5D58">
        <w:t xml:space="preserve"> </w:t>
      </w:r>
      <w:proofErr w:type="spellStart"/>
      <w:r w:rsidR="007C5D58" w:rsidRPr="007C5D58">
        <w:t>vaikų</w:t>
      </w:r>
      <w:proofErr w:type="spellEnd"/>
      <w:r w:rsidR="007C5D58" w:rsidRPr="007C5D58">
        <w:t xml:space="preserve">, </w:t>
      </w:r>
      <w:proofErr w:type="spellStart"/>
      <w:r w:rsidR="007C5D58" w:rsidRPr="007C5D58">
        <w:t>sveriančių</w:t>
      </w:r>
      <w:proofErr w:type="spellEnd"/>
      <w:r w:rsidR="007C5D58" w:rsidRPr="007C5D58">
        <w:t xml:space="preserve"> </w:t>
      </w:r>
      <w:proofErr w:type="spellStart"/>
      <w:r w:rsidR="007C5D58" w:rsidRPr="007C5D58">
        <w:t>nuo</w:t>
      </w:r>
      <w:proofErr w:type="spellEnd"/>
      <w:r w:rsidR="007C5D58" w:rsidRPr="007C5D58">
        <w:t xml:space="preserve"> 20</w:t>
      </w:r>
      <w:r w:rsidR="007C5D58">
        <w:t> </w:t>
      </w:r>
      <w:r w:rsidR="007C5D58" w:rsidRPr="007C5D58">
        <w:t xml:space="preserve">kg </w:t>
      </w:r>
      <w:proofErr w:type="spellStart"/>
      <w:r w:rsidR="007C5D58" w:rsidRPr="007C5D58">
        <w:t>iki</w:t>
      </w:r>
      <w:proofErr w:type="spellEnd"/>
      <w:r w:rsidR="007C5D58" w:rsidRPr="007C5D58">
        <w:t xml:space="preserve"> </w:t>
      </w:r>
      <w:proofErr w:type="spellStart"/>
      <w:r w:rsidR="00694DEC">
        <w:t>mažiau</w:t>
      </w:r>
      <w:proofErr w:type="spellEnd"/>
      <w:r w:rsidR="00694DEC">
        <w:t xml:space="preserve"> </w:t>
      </w:r>
      <w:proofErr w:type="spellStart"/>
      <w:r w:rsidR="00694DEC">
        <w:t>nei</w:t>
      </w:r>
      <w:proofErr w:type="spellEnd"/>
      <w:r w:rsidR="00694DEC">
        <w:t xml:space="preserve"> </w:t>
      </w:r>
      <w:r w:rsidR="003A5547" w:rsidRPr="007C5D58">
        <w:t>50</w:t>
      </w:r>
      <w:r w:rsidR="003A5547">
        <w:t> </w:t>
      </w:r>
      <w:r w:rsidR="003A5547" w:rsidRPr="007C5D58">
        <w:t>kg</w:t>
      </w:r>
      <w:r w:rsidR="007C5D58" w:rsidRPr="007C5D58">
        <w:t xml:space="preserve">; </w:t>
      </w:r>
      <w:proofErr w:type="spellStart"/>
      <w:r w:rsidR="007C5D58">
        <w:t>v</w:t>
      </w:r>
      <w:r w:rsidR="007C5D58" w:rsidRPr="007C5D58">
        <w:t>ietoj</w:t>
      </w:r>
      <w:r w:rsidR="003A5547">
        <w:t>e</w:t>
      </w:r>
      <w:proofErr w:type="spellEnd"/>
      <w:r w:rsidR="007C5D58" w:rsidRPr="007C5D58">
        <w:t xml:space="preserve"> </w:t>
      </w:r>
      <w:r w:rsidR="00CD56E7">
        <w:t>jo</w:t>
      </w:r>
      <w:r w:rsidR="007C5D58" w:rsidRPr="007C5D58">
        <w:t xml:space="preserve"> </w:t>
      </w:r>
      <w:proofErr w:type="spellStart"/>
      <w:r w:rsidR="007C5D58" w:rsidRPr="007C5D58">
        <w:t>reikia</w:t>
      </w:r>
      <w:proofErr w:type="spellEnd"/>
      <w:r w:rsidR="007C5D58" w:rsidRPr="007C5D58">
        <w:t xml:space="preserve"> </w:t>
      </w:r>
      <w:proofErr w:type="spellStart"/>
      <w:r w:rsidR="007C5D58">
        <w:t>vart</w:t>
      </w:r>
      <w:r w:rsidR="007C5D58" w:rsidRPr="007C5D58">
        <w:t>oti</w:t>
      </w:r>
      <w:proofErr w:type="spellEnd"/>
      <w:r w:rsidR="007C5D58" w:rsidRPr="007C5D58">
        <w:t xml:space="preserve"> </w:t>
      </w:r>
      <w:proofErr w:type="spellStart"/>
      <w:r w:rsidR="007C5D58" w:rsidRPr="007C5D58">
        <w:t>kitus</w:t>
      </w:r>
      <w:proofErr w:type="spellEnd"/>
      <w:r w:rsidR="007C5D58" w:rsidRPr="007C5D58">
        <w:t xml:space="preserve"> </w:t>
      </w:r>
      <w:proofErr w:type="spellStart"/>
      <w:r w:rsidR="007C5D58" w:rsidRPr="007C5D58">
        <w:t>apremilast</w:t>
      </w:r>
      <w:r w:rsidR="007C5D58">
        <w:t>o</w:t>
      </w:r>
      <w:proofErr w:type="spellEnd"/>
      <w:r w:rsidR="007C5D58">
        <w:t xml:space="preserve"> </w:t>
      </w:r>
      <w:proofErr w:type="spellStart"/>
      <w:r w:rsidR="007C5D58">
        <w:t>vaistinius</w:t>
      </w:r>
      <w:proofErr w:type="spellEnd"/>
      <w:r w:rsidR="007C5D58">
        <w:t xml:space="preserve"> </w:t>
      </w:r>
      <w:proofErr w:type="spellStart"/>
      <w:r w:rsidR="007C5D58">
        <w:t>preparatus</w:t>
      </w:r>
      <w:proofErr w:type="spellEnd"/>
      <w:r w:rsidR="00CD56E7">
        <w:t xml:space="preserve">, </w:t>
      </w:r>
      <w:proofErr w:type="spellStart"/>
      <w:r w:rsidR="00CD56E7">
        <w:t>tiekiamus</w:t>
      </w:r>
      <w:proofErr w:type="spellEnd"/>
      <w:r w:rsidR="003A5547">
        <w:t xml:space="preserve"> </w:t>
      </w:r>
      <w:proofErr w:type="spellStart"/>
      <w:r w:rsidR="003A5547">
        <w:t>toki</w:t>
      </w:r>
      <w:r w:rsidR="00CD56E7">
        <w:t>ų</w:t>
      </w:r>
      <w:proofErr w:type="spellEnd"/>
      <w:r w:rsidR="003A5547">
        <w:t xml:space="preserve"> </w:t>
      </w:r>
      <w:proofErr w:type="spellStart"/>
      <w:r w:rsidR="003A5547">
        <w:t>doz</w:t>
      </w:r>
      <w:r w:rsidR="00CD56E7">
        <w:t>ių</w:t>
      </w:r>
      <w:proofErr w:type="spellEnd"/>
      <w:r w:rsidR="003A5547">
        <w:t xml:space="preserve"> </w:t>
      </w:r>
      <w:proofErr w:type="spellStart"/>
      <w:r w:rsidR="003A5547">
        <w:t>pakuotė</w:t>
      </w:r>
      <w:r w:rsidR="00CD56E7">
        <w:t>mis</w:t>
      </w:r>
      <w:proofErr w:type="spellEnd"/>
      <w:r w:rsidR="007C5D58" w:rsidRPr="007C5D58">
        <w:t>.</w:t>
      </w:r>
    </w:p>
    <w:p w14:paraId="2A5A671E" w14:textId="77777777" w:rsidR="00C80B05" w:rsidRPr="00DB2543" w:rsidRDefault="00C80B05" w:rsidP="00C80B05">
      <w:pPr>
        <w:widowControl w:val="0"/>
        <w:tabs>
          <w:tab w:val="clear" w:pos="567"/>
        </w:tabs>
        <w:spacing w:line="240" w:lineRule="auto"/>
        <w:rPr>
          <w:szCs w:val="22"/>
        </w:rPr>
      </w:pPr>
    </w:p>
    <w:p w14:paraId="6932BDBE" w14:textId="77777777" w:rsidR="00C80B05" w:rsidRPr="00C80B05" w:rsidRDefault="00C80B05" w:rsidP="00C80B05">
      <w:pPr>
        <w:widowControl w:val="0"/>
        <w:tabs>
          <w:tab w:val="clear" w:pos="567"/>
        </w:tabs>
        <w:spacing w:line="240" w:lineRule="auto"/>
        <w:rPr>
          <w:szCs w:val="22"/>
          <w:lang w:val="lt-LT"/>
        </w:rPr>
      </w:pPr>
      <w:r w:rsidRPr="00C80B05">
        <w:rPr>
          <w:i/>
          <w:iCs/>
          <w:szCs w:val="22"/>
          <w:lang w:val="lt-LT"/>
        </w:rPr>
        <w:t>Visos indikacijos (suaugusiųjų ir vaikų psoriazė, psoriazinis artritas, Bechčeto liga)</w:t>
      </w:r>
    </w:p>
    <w:p w14:paraId="5AA605AD" w14:textId="77777777" w:rsidR="00C80B05" w:rsidRDefault="00C80B05" w:rsidP="00C80B05">
      <w:pPr>
        <w:widowControl w:val="0"/>
        <w:tabs>
          <w:tab w:val="clear" w:pos="567"/>
        </w:tabs>
        <w:spacing w:line="240" w:lineRule="auto"/>
        <w:rPr>
          <w:szCs w:val="22"/>
          <w:lang w:val="lt-LT"/>
        </w:rPr>
      </w:pPr>
      <w:r w:rsidRPr="00C80B05">
        <w:rPr>
          <w:szCs w:val="22"/>
          <w:lang w:val="lt-LT"/>
        </w:rPr>
        <w:t>Po pradinio titravimo pakartotinis titravimas nereikalingas.</w:t>
      </w:r>
    </w:p>
    <w:p w14:paraId="2E34AE04" w14:textId="77777777" w:rsidR="00C80B05" w:rsidRPr="00C80B05" w:rsidRDefault="00C80B05" w:rsidP="00C80B05">
      <w:pPr>
        <w:widowControl w:val="0"/>
        <w:tabs>
          <w:tab w:val="clear" w:pos="567"/>
        </w:tabs>
        <w:spacing w:line="240" w:lineRule="auto"/>
        <w:rPr>
          <w:szCs w:val="22"/>
          <w:lang w:val="lt-LT"/>
        </w:rPr>
      </w:pPr>
    </w:p>
    <w:p w14:paraId="3604A612" w14:textId="77777777" w:rsidR="00C80B05" w:rsidRDefault="00C80B05" w:rsidP="00DB2543">
      <w:pPr>
        <w:keepNext/>
        <w:keepLines/>
        <w:widowControl w:val="0"/>
        <w:tabs>
          <w:tab w:val="clear" w:pos="567"/>
        </w:tabs>
        <w:spacing w:line="240" w:lineRule="auto"/>
        <w:rPr>
          <w:szCs w:val="22"/>
          <w:lang w:val="lt-LT"/>
        </w:rPr>
      </w:pPr>
      <w:r w:rsidRPr="00C80B05">
        <w:rPr>
          <w:szCs w:val="22"/>
          <w:lang w:val="lt-LT"/>
        </w:rPr>
        <w:t>Rekomenduojamą apremilasto dozę du kartus per parą reikia vartoti maždaug 12</w:t>
      </w:r>
      <w:r w:rsidR="004644F3">
        <w:rPr>
          <w:szCs w:val="22"/>
          <w:lang w:val="lt-LT"/>
        </w:rPr>
        <w:t> </w:t>
      </w:r>
      <w:r w:rsidRPr="00C80B05">
        <w:rPr>
          <w:szCs w:val="22"/>
          <w:lang w:val="lt-LT"/>
        </w:rPr>
        <w:t>valandų intervalu (ryte ir vakare), neribojant maisto.</w:t>
      </w:r>
    </w:p>
    <w:p w14:paraId="6B63D97A" w14:textId="77777777" w:rsidR="00C80B05" w:rsidRDefault="00C80B05" w:rsidP="00C80B05">
      <w:pPr>
        <w:widowControl w:val="0"/>
        <w:tabs>
          <w:tab w:val="clear" w:pos="567"/>
        </w:tabs>
        <w:spacing w:line="240" w:lineRule="auto"/>
        <w:rPr>
          <w:szCs w:val="22"/>
          <w:lang w:val="lt-LT"/>
        </w:rPr>
      </w:pPr>
    </w:p>
    <w:p w14:paraId="709B0E76" w14:textId="77777777" w:rsidR="009625C4" w:rsidRPr="00CD7E52" w:rsidRDefault="009625C4" w:rsidP="00C80B05">
      <w:pPr>
        <w:widowControl w:val="0"/>
        <w:tabs>
          <w:tab w:val="clear" w:pos="567"/>
        </w:tabs>
        <w:spacing w:line="240" w:lineRule="auto"/>
        <w:rPr>
          <w:szCs w:val="22"/>
          <w:lang w:val="lt-LT"/>
        </w:rPr>
      </w:pPr>
      <w:r w:rsidRPr="00CD7E52">
        <w:rPr>
          <w:szCs w:val="22"/>
          <w:lang w:val="lt-LT"/>
        </w:rPr>
        <w:t>Jeigu pacientas praleido dozę, kitą dozę reikia vartoti kiek galima greičiau. Jeigu jau beveik laikas vartoti</w:t>
      </w:r>
      <w:r w:rsidR="00B26FCB" w:rsidRPr="00CD7E52">
        <w:rPr>
          <w:szCs w:val="22"/>
          <w:lang w:val="lt-LT"/>
        </w:rPr>
        <w:t xml:space="preserve"> </w:t>
      </w:r>
      <w:r w:rsidRPr="00CD7E52">
        <w:rPr>
          <w:szCs w:val="22"/>
          <w:lang w:val="lt-LT"/>
        </w:rPr>
        <w:t>kitą dozę, praleistos dozės vartoti negalima ir reikia vartoti kitą dozę įprastu laiku.</w:t>
      </w:r>
    </w:p>
    <w:p w14:paraId="0786A980" w14:textId="77777777" w:rsidR="00B26FCB" w:rsidRPr="00CD7E52" w:rsidRDefault="00B26FCB" w:rsidP="00BD0220">
      <w:pPr>
        <w:widowControl w:val="0"/>
        <w:tabs>
          <w:tab w:val="clear" w:pos="567"/>
        </w:tabs>
        <w:spacing w:line="240" w:lineRule="auto"/>
        <w:rPr>
          <w:szCs w:val="22"/>
          <w:lang w:val="lt-LT"/>
        </w:rPr>
      </w:pPr>
    </w:p>
    <w:p w14:paraId="542144E0" w14:textId="77777777" w:rsidR="009625C4" w:rsidRPr="00CD7E52" w:rsidRDefault="009625C4" w:rsidP="00BD0220">
      <w:pPr>
        <w:widowControl w:val="0"/>
        <w:tabs>
          <w:tab w:val="clear" w:pos="567"/>
        </w:tabs>
        <w:spacing w:line="240" w:lineRule="auto"/>
        <w:rPr>
          <w:szCs w:val="22"/>
          <w:lang w:val="lt-LT"/>
        </w:rPr>
      </w:pPr>
      <w:r w:rsidRPr="00CD7E52">
        <w:rPr>
          <w:szCs w:val="22"/>
          <w:lang w:val="lt-LT"/>
        </w:rPr>
        <w:t>Pagrindinių tyrimų metu didžiausias pagerėjimas pastebėtas per pirmąsias 24</w:t>
      </w:r>
      <w:r w:rsidR="00B26FCB" w:rsidRPr="00CD7E52">
        <w:rPr>
          <w:snapToGrid/>
          <w:szCs w:val="22"/>
          <w:lang w:val="lt-LT"/>
        </w:rPr>
        <w:t> </w:t>
      </w:r>
      <w:r w:rsidRPr="00CD7E52">
        <w:rPr>
          <w:szCs w:val="22"/>
          <w:lang w:val="lt-LT"/>
        </w:rPr>
        <w:t>gydymo</w:t>
      </w:r>
      <w:r w:rsidR="00C94BBE" w:rsidRPr="00CD7E52">
        <w:rPr>
          <w:szCs w:val="22"/>
          <w:lang w:val="lt-LT"/>
        </w:rPr>
        <w:t xml:space="preserve"> </w:t>
      </w:r>
      <w:r w:rsidR="00C65C08" w:rsidRPr="00CD7E52">
        <w:rPr>
          <w:szCs w:val="22"/>
          <w:lang w:val="lt-LT"/>
        </w:rPr>
        <w:t>savai</w:t>
      </w:r>
      <w:r w:rsidRPr="00CD7E52">
        <w:rPr>
          <w:szCs w:val="22"/>
          <w:lang w:val="lt-LT"/>
        </w:rPr>
        <w:t>tes</w:t>
      </w:r>
      <w:r w:rsidR="00E35AAD" w:rsidRPr="00CD7E52">
        <w:rPr>
          <w:szCs w:val="22"/>
          <w:lang w:val="lt-LT"/>
        </w:rPr>
        <w:t>,</w:t>
      </w:r>
      <w:r w:rsidRPr="00CD7E52">
        <w:rPr>
          <w:szCs w:val="22"/>
          <w:lang w:val="lt-LT"/>
        </w:rPr>
        <w:t xml:space="preserve"> </w:t>
      </w:r>
      <w:r w:rsidR="005441D5" w:rsidRPr="00CD7E52">
        <w:rPr>
          <w:snapToGrid/>
          <w:szCs w:val="22"/>
          <w:lang w:val="lt-LT"/>
        </w:rPr>
        <w:t xml:space="preserve">gydant </w:t>
      </w:r>
      <w:r w:rsidRPr="00CD7E52">
        <w:rPr>
          <w:szCs w:val="22"/>
          <w:lang w:val="lt-LT"/>
        </w:rPr>
        <w:t>PsA ir PSOR</w:t>
      </w:r>
      <w:r w:rsidR="00B26FCB" w:rsidRPr="00CD7E52">
        <w:rPr>
          <w:szCs w:val="22"/>
          <w:lang w:val="lt-LT"/>
        </w:rPr>
        <w:t xml:space="preserve"> </w:t>
      </w:r>
      <w:r w:rsidR="00E35AAD" w:rsidRPr="00CD7E52">
        <w:rPr>
          <w:szCs w:val="22"/>
          <w:lang w:val="lt-LT"/>
        </w:rPr>
        <w:t>sergan</w:t>
      </w:r>
      <w:r w:rsidR="00FB4623" w:rsidRPr="00CD7E52">
        <w:rPr>
          <w:szCs w:val="22"/>
          <w:lang w:val="lt-LT"/>
        </w:rPr>
        <w:t>č</w:t>
      </w:r>
      <w:r w:rsidR="00E35AAD" w:rsidRPr="00CD7E52">
        <w:rPr>
          <w:szCs w:val="22"/>
          <w:lang w:val="lt-LT"/>
        </w:rPr>
        <w:t xml:space="preserve">ius pacientus </w:t>
      </w:r>
      <w:r w:rsidR="005441D5" w:rsidRPr="00CD7E52">
        <w:rPr>
          <w:snapToGrid/>
          <w:szCs w:val="22"/>
          <w:lang w:val="lt-LT"/>
        </w:rPr>
        <w:t>bei</w:t>
      </w:r>
      <w:r w:rsidRPr="00CD7E52">
        <w:rPr>
          <w:szCs w:val="22"/>
          <w:lang w:val="lt-LT"/>
        </w:rPr>
        <w:t xml:space="preserve"> per pirmąsias 12</w:t>
      </w:r>
      <w:r w:rsidR="00B26FCB" w:rsidRPr="00CD7E52">
        <w:rPr>
          <w:snapToGrid/>
          <w:szCs w:val="22"/>
          <w:lang w:val="lt-LT"/>
        </w:rPr>
        <w:t> </w:t>
      </w:r>
      <w:r w:rsidRPr="00CD7E52">
        <w:rPr>
          <w:szCs w:val="22"/>
          <w:lang w:val="lt-LT"/>
        </w:rPr>
        <w:t>gydymo</w:t>
      </w:r>
      <w:r w:rsidR="000105B2" w:rsidRPr="00CD7E52">
        <w:rPr>
          <w:szCs w:val="22"/>
          <w:lang w:val="lt-LT"/>
        </w:rPr>
        <w:t xml:space="preserve"> </w:t>
      </w:r>
      <w:r w:rsidR="00C65C08" w:rsidRPr="00CD7E52">
        <w:rPr>
          <w:szCs w:val="22"/>
          <w:lang w:val="lt-LT"/>
        </w:rPr>
        <w:t>savai</w:t>
      </w:r>
      <w:r w:rsidRPr="00CD7E52">
        <w:rPr>
          <w:szCs w:val="22"/>
          <w:lang w:val="lt-LT"/>
        </w:rPr>
        <w:t>čių gydant BL</w:t>
      </w:r>
      <w:r w:rsidR="00941270" w:rsidRPr="00CD7E52">
        <w:rPr>
          <w:szCs w:val="22"/>
          <w:lang w:val="lt-LT"/>
        </w:rPr>
        <w:t xml:space="preserve"> sergančius</w:t>
      </w:r>
      <w:r w:rsidR="007F5508" w:rsidRPr="00CD7E52">
        <w:rPr>
          <w:szCs w:val="22"/>
          <w:lang w:val="lt-LT"/>
        </w:rPr>
        <w:t xml:space="preserve"> pacientus</w:t>
      </w:r>
      <w:r w:rsidRPr="00CD7E52">
        <w:rPr>
          <w:szCs w:val="22"/>
          <w:lang w:val="lt-LT"/>
        </w:rPr>
        <w:t>. Jei po šio laikotarpio</w:t>
      </w:r>
      <w:r w:rsidR="00840616" w:rsidRPr="00CD7E52">
        <w:rPr>
          <w:szCs w:val="22"/>
          <w:lang w:val="lt-LT"/>
        </w:rPr>
        <w:t xml:space="preserve"> </w:t>
      </w:r>
      <w:r w:rsidRPr="00CD7E52">
        <w:rPr>
          <w:szCs w:val="22"/>
          <w:lang w:val="lt-LT"/>
        </w:rPr>
        <w:t xml:space="preserve">pacientui </w:t>
      </w:r>
      <w:r w:rsidR="00531C0D" w:rsidRPr="00CD7E52">
        <w:rPr>
          <w:snapToGrid/>
          <w:szCs w:val="22"/>
          <w:lang w:val="lt-LT"/>
        </w:rPr>
        <w:t>nepasireiškė</w:t>
      </w:r>
      <w:r w:rsidR="00531C0D" w:rsidRPr="00CD7E52">
        <w:rPr>
          <w:szCs w:val="22"/>
          <w:lang w:val="lt-LT"/>
        </w:rPr>
        <w:t xml:space="preserve"> </w:t>
      </w:r>
      <w:r w:rsidRPr="00CD7E52">
        <w:rPr>
          <w:szCs w:val="22"/>
          <w:lang w:val="lt-LT"/>
        </w:rPr>
        <w:t xml:space="preserve">gydymo nauda, reikia </w:t>
      </w:r>
      <w:r w:rsidR="00840616" w:rsidRPr="00CD7E52">
        <w:rPr>
          <w:snapToGrid/>
          <w:szCs w:val="22"/>
          <w:lang w:val="lt-LT"/>
        </w:rPr>
        <w:t>iš naujo</w:t>
      </w:r>
      <w:r w:rsidRPr="00CD7E52">
        <w:rPr>
          <w:szCs w:val="22"/>
          <w:lang w:val="lt-LT"/>
        </w:rPr>
        <w:t xml:space="preserve"> apsvarstyti gydymą. </w:t>
      </w:r>
      <w:r w:rsidR="00840616" w:rsidRPr="00CD7E52">
        <w:rPr>
          <w:snapToGrid/>
          <w:szCs w:val="22"/>
          <w:lang w:val="lt-LT"/>
        </w:rPr>
        <w:t>Būtina</w:t>
      </w:r>
      <w:r w:rsidRPr="00CD7E52">
        <w:rPr>
          <w:szCs w:val="22"/>
          <w:lang w:val="lt-LT"/>
        </w:rPr>
        <w:t xml:space="preserve"> reguliariai</w:t>
      </w:r>
      <w:r w:rsidR="00840616" w:rsidRPr="00CD7E52">
        <w:rPr>
          <w:szCs w:val="22"/>
          <w:lang w:val="lt-LT"/>
        </w:rPr>
        <w:t xml:space="preserve"> </w:t>
      </w:r>
      <w:r w:rsidRPr="00CD7E52">
        <w:rPr>
          <w:szCs w:val="22"/>
          <w:lang w:val="lt-LT"/>
        </w:rPr>
        <w:t>vertinti paciento reakciją į gydymą.</w:t>
      </w:r>
    </w:p>
    <w:p w14:paraId="1B5C3A1E" w14:textId="77777777" w:rsidR="00D6213D" w:rsidRPr="00CD7E52" w:rsidRDefault="00D6213D" w:rsidP="00BD0220">
      <w:pPr>
        <w:widowControl w:val="0"/>
        <w:tabs>
          <w:tab w:val="clear" w:pos="567"/>
        </w:tabs>
        <w:spacing w:line="240" w:lineRule="auto"/>
        <w:rPr>
          <w:szCs w:val="22"/>
          <w:lang w:val="lt-LT"/>
        </w:rPr>
      </w:pPr>
    </w:p>
    <w:p w14:paraId="3C2E443A" w14:textId="77777777" w:rsidR="009625C4" w:rsidRPr="00CD7E52" w:rsidRDefault="00D6213D" w:rsidP="00BD0220">
      <w:pPr>
        <w:widowControl w:val="0"/>
        <w:tabs>
          <w:tab w:val="clear" w:pos="567"/>
        </w:tabs>
        <w:spacing w:line="240" w:lineRule="auto"/>
        <w:rPr>
          <w:szCs w:val="22"/>
          <w:u w:val="single"/>
          <w:lang w:val="lt-LT"/>
        </w:rPr>
      </w:pPr>
      <w:r w:rsidRPr="00CD7E52">
        <w:rPr>
          <w:szCs w:val="22"/>
          <w:u w:val="single"/>
          <w:lang w:val="lt-LT"/>
        </w:rPr>
        <w:t>Ypatingos populiacijos</w:t>
      </w:r>
    </w:p>
    <w:p w14:paraId="55FC28CE" w14:textId="77777777" w:rsidR="00D6213D" w:rsidRPr="00CD7E52" w:rsidRDefault="00D6213D" w:rsidP="00BD0220">
      <w:pPr>
        <w:widowControl w:val="0"/>
        <w:tabs>
          <w:tab w:val="clear" w:pos="567"/>
        </w:tabs>
        <w:spacing w:line="240" w:lineRule="auto"/>
        <w:rPr>
          <w:szCs w:val="22"/>
          <w:lang w:val="lt-LT"/>
        </w:rPr>
      </w:pPr>
    </w:p>
    <w:p w14:paraId="45B64878" w14:textId="77777777" w:rsidR="009625C4" w:rsidRPr="00CD7E52" w:rsidRDefault="009625C4" w:rsidP="00BD0220">
      <w:pPr>
        <w:widowControl w:val="0"/>
        <w:tabs>
          <w:tab w:val="clear" w:pos="567"/>
        </w:tabs>
        <w:spacing w:line="240" w:lineRule="auto"/>
        <w:rPr>
          <w:szCs w:val="22"/>
          <w:lang w:val="lt-LT"/>
        </w:rPr>
      </w:pPr>
      <w:r w:rsidRPr="00CD7E52">
        <w:rPr>
          <w:i/>
          <w:szCs w:val="22"/>
          <w:lang w:val="lt-LT"/>
        </w:rPr>
        <w:t>Senyviems pacientams</w:t>
      </w:r>
    </w:p>
    <w:p w14:paraId="7D06F111" w14:textId="77777777" w:rsidR="009625C4" w:rsidRPr="00CD7E52" w:rsidRDefault="00D6213D" w:rsidP="00BD0220">
      <w:pPr>
        <w:widowControl w:val="0"/>
        <w:tabs>
          <w:tab w:val="clear" w:pos="567"/>
        </w:tabs>
        <w:spacing w:line="240" w:lineRule="auto"/>
        <w:rPr>
          <w:szCs w:val="22"/>
          <w:lang w:val="lt-LT"/>
        </w:rPr>
      </w:pPr>
      <w:r w:rsidRPr="00CD7E52">
        <w:rPr>
          <w:snapToGrid/>
          <w:szCs w:val="22"/>
          <w:lang w:val="lt-LT"/>
        </w:rPr>
        <w:t>Tokiems pacientams</w:t>
      </w:r>
      <w:r w:rsidR="009625C4" w:rsidRPr="00CD7E52">
        <w:rPr>
          <w:szCs w:val="22"/>
          <w:lang w:val="lt-LT"/>
        </w:rPr>
        <w:t xml:space="preserve"> dozės koreguoti nereikia (žr. 4.8 ir 5.2</w:t>
      </w:r>
      <w:r w:rsidRPr="00CD7E52">
        <w:rPr>
          <w:szCs w:val="22"/>
          <w:lang w:val="lt-LT"/>
        </w:rPr>
        <w:t> </w:t>
      </w:r>
      <w:r w:rsidR="009625C4" w:rsidRPr="00CD7E52">
        <w:rPr>
          <w:szCs w:val="22"/>
          <w:lang w:val="lt-LT"/>
        </w:rPr>
        <w:t>skyrius).</w:t>
      </w:r>
    </w:p>
    <w:p w14:paraId="0E5B1257" w14:textId="77777777" w:rsidR="006E12FB" w:rsidRPr="00CD7E52" w:rsidRDefault="006E12FB" w:rsidP="00BD0220">
      <w:pPr>
        <w:widowControl w:val="0"/>
        <w:tabs>
          <w:tab w:val="clear" w:pos="567"/>
        </w:tabs>
        <w:spacing w:line="240" w:lineRule="auto"/>
        <w:rPr>
          <w:szCs w:val="22"/>
          <w:lang w:val="lt-LT"/>
        </w:rPr>
      </w:pPr>
    </w:p>
    <w:p w14:paraId="56DB3C24" w14:textId="77777777" w:rsidR="009625C4" w:rsidRPr="00CD7E52" w:rsidRDefault="009625C4" w:rsidP="00BD0220">
      <w:pPr>
        <w:widowControl w:val="0"/>
        <w:tabs>
          <w:tab w:val="clear" w:pos="567"/>
        </w:tabs>
        <w:spacing w:line="240" w:lineRule="auto"/>
        <w:rPr>
          <w:szCs w:val="22"/>
          <w:lang w:val="lt-LT"/>
        </w:rPr>
      </w:pPr>
      <w:r w:rsidRPr="00CD7E52">
        <w:rPr>
          <w:i/>
          <w:szCs w:val="22"/>
          <w:lang w:val="lt-LT"/>
        </w:rPr>
        <w:t>Pacientams, kurių inkstų funkcija sutrikusi</w:t>
      </w:r>
    </w:p>
    <w:p w14:paraId="339F152F" w14:textId="77777777" w:rsidR="00F02527" w:rsidRDefault="00F02527" w:rsidP="00BD0220">
      <w:pPr>
        <w:widowControl w:val="0"/>
        <w:tabs>
          <w:tab w:val="clear" w:pos="567"/>
        </w:tabs>
        <w:spacing w:line="240" w:lineRule="auto"/>
        <w:rPr>
          <w:i/>
          <w:iCs/>
          <w:szCs w:val="22"/>
          <w:lang w:val="lt-LT"/>
        </w:rPr>
      </w:pPr>
    </w:p>
    <w:p w14:paraId="78FC7952" w14:textId="77777777" w:rsidR="00F02527" w:rsidRDefault="00F02527" w:rsidP="00BD0220">
      <w:pPr>
        <w:widowControl w:val="0"/>
        <w:tabs>
          <w:tab w:val="clear" w:pos="567"/>
        </w:tabs>
        <w:spacing w:line="240" w:lineRule="auto"/>
        <w:rPr>
          <w:i/>
          <w:iCs/>
          <w:szCs w:val="22"/>
          <w:lang w:val="lt-LT"/>
        </w:rPr>
      </w:pPr>
      <w:r w:rsidRPr="00F02527">
        <w:rPr>
          <w:i/>
          <w:iCs/>
          <w:szCs w:val="22"/>
          <w:lang w:val="lt-LT"/>
        </w:rPr>
        <w:t>Suaugusiems pacientams, sergantiems psoriaziniu artritu, psoriaze arba Bechčeto liga</w:t>
      </w:r>
    </w:p>
    <w:p w14:paraId="08C74969" w14:textId="77777777" w:rsidR="009625C4" w:rsidRPr="00CD7E52" w:rsidRDefault="00F02527" w:rsidP="00BD0220">
      <w:pPr>
        <w:widowControl w:val="0"/>
        <w:tabs>
          <w:tab w:val="clear" w:pos="567"/>
        </w:tabs>
        <w:spacing w:line="240" w:lineRule="auto"/>
        <w:rPr>
          <w:szCs w:val="22"/>
          <w:lang w:val="lt-LT"/>
        </w:rPr>
      </w:pPr>
      <w:r w:rsidRPr="00F02527">
        <w:rPr>
          <w:szCs w:val="22"/>
          <w:lang w:val="lt-LT"/>
        </w:rPr>
        <w:t>Suaugusiems</w:t>
      </w:r>
      <w:r>
        <w:rPr>
          <w:szCs w:val="22"/>
          <w:lang w:val="lt-LT"/>
        </w:rPr>
        <w:t xml:space="preserve"> p</w:t>
      </w:r>
      <w:r w:rsidR="009625C4" w:rsidRPr="00CD7E52">
        <w:rPr>
          <w:szCs w:val="22"/>
          <w:lang w:val="lt-LT"/>
        </w:rPr>
        <w:t xml:space="preserve">acientams, kuriems yra </w:t>
      </w:r>
      <w:r w:rsidR="000C21B4" w:rsidRPr="00CD7E52">
        <w:rPr>
          <w:snapToGrid/>
          <w:szCs w:val="22"/>
          <w:lang w:val="lt-LT"/>
        </w:rPr>
        <w:t>lengvas</w:t>
      </w:r>
      <w:r w:rsidR="009625C4" w:rsidRPr="00CD7E52">
        <w:rPr>
          <w:szCs w:val="22"/>
          <w:lang w:val="lt-LT"/>
        </w:rPr>
        <w:t xml:space="preserve"> ir vidutinio sunkumo inkstų </w:t>
      </w:r>
      <w:r w:rsidR="00631427" w:rsidRPr="00CD7E52">
        <w:rPr>
          <w:snapToGrid/>
          <w:szCs w:val="22"/>
          <w:lang w:val="lt-LT"/>
        </w:rPr>
        <w:t xml:space="preserve">funkcijos </w:t>
      </w:r>
      <w:r w:rsidR="009625C4" w:rsidRPr="00CD7E52">
        <w:rPr>
          <w:szCs w:val="22"/>
          <w:lang w:val="lt-LT"/>
        </w:rPr>
        <w:t>sutrikimas, dozės koreguoti nereikia.</w:t>
      </w:r>
      <w:r w:rsidR="00631427" w:rsidRPr="00CD7E52">
        <w:rPr>
          <w:szCs w:val="22"/>
          <w:lang w:val="lt-LT"/>
        </w:rPr>
        <w:t xml:space="preserve"> </w:t>
      </w:r>
      <w:r w:rsidRPr="00F02527">
        <w:rPr>
          <w:szCs w:val="22"/>
          <w:lang w:val="lt-LT"/>
        </w:rPr>
        <w:t>Suaugusiems</w:t>
      </w:r>
      <w:r>
        <w:rPr>
          <w:szCs w:val="22"/>
          <w:lang w:val="lt-LT"/>
        </w:rPr>
        <w:t xml:space="preserve"> p</w:t>
      </w:r>
      <w:r w:rsidR="009625C4" w:rsidRPr="00CD7E52">
        <w:rPr>
          <w:szCs w:val="22"/>
          <w:lang w:val="lt-LT"/>
        </w:rPr>
        <w:t xml:space="preserve">acientams, kuriems yra sunkus inkstų </w:t>
      </w:r>
      <w:r w:rsidR="00631427" w:rsidRPr="00CD7E52">
        <w:rPr>
          <w:snapToGrid/>
          <w:szCs w:val="22"/>
          <w:lang w:val="lt-LT"/>
        </w:rPr>
        <w:t xml:space="preserve">funkcijos </w:t>
      </w:r>
      <w:r w:rsidR="009625C4" w:rsidRPr="00CD7E52">
        <w:rPr>
          <w:szCs w:val="22"/>
          <w:lang w:val="lt-LT"/>
        </w:rPr>
        <w:t>sutrikimas (kreatinino klirensas yra mažesnis nei 30</w:t>
      </w:r>
      <w:r w:rsidR="00631427" w:rsidRPr="00CD7E52">
        <w:rPr>
          <w:szCs w:val="22"/>
          <w:lang w:val="lt-LT"/>
        </w:rPr>
        <w:t> </w:t>
      </w:r>
      <w:r w:rsidR="009625C4" w:rsidRPr="00CD7E52">
        <w:rPr>
          <w:szCs w:val="22"/>
          <w:lang w:val="lt-LT"/>
        </w:rPr>
        <w:t>ml per minutę,</w:t>
      </w:r>
      <w:r w:rsidR="00631427" w:rsidRPr="00CD7E52">
        <w:rPr>
          <w:szCs w:val="22"/>
          <w:lang w:val="lt-LT"/>
        </w:rPr>
        <w:t xml:space="preserve"> </w:t>
      </w:r>
      <w:r w:rsidR="00631427" w:rsidRPr="00CD7E52">
        <w:rPr>
          <w:snapToGrid/>
          <w:szCs w:val="22"/>
          <w:lang w:val="lt-LT"/>
        </w:rPr>
        <w:t>ap</w:t>
      </w:r>
      <w:r w:rsidR="009625C4" w:rsidRPr="00CD7E52">
        <w:rPr>
          <w:snapToGrid/>
          <w:szCs w:val="22"/>
          <w:lang w:val="lt-LT"/>
        </w:rPr>
        <w:t>skaičiuojant</w:t>
      </w:r>
      <w:r w:rsidR="009625C4" w:rsidRPr="00CD7E52">
        <w:rPr>
          <w:szCs w:val="22"/>
          <w:lang w:val="lt-LT"/>
        </w:rPr>
        <w:t xml:space="preserve"> pagal </w:t>
      </w:r>
      <w:r w:rsidR="009625C4" w:rsidRPr="00CD7E52">
        <w:rPr>
          <w:i/>
          <w:szCs w:val="22"/>
          <w:lang w:val="lt-LT"/>
        </w:rPr>
        <w:t>Cockcroft-Gault</w:t>
      </w:r>
      <w:r w:rsidR="009625C4" w:rsidRPr="00CD7E52">
        <w:rPr>
          <w:szCs w:val="22"/>
          <w:lang w:val="lt-LT"/>
        </w:rPr>
        <w:t xml:space="preserve"> formulę), apremilasto dozę reikia sumažinti iki 30</w:t>
      </w:r>
      <w:r w:rsidR="00A87582" w:rsidRPr="00CD7E52">
        <w:rPr>
          <w:szCs w:val="22"/>
          <w:lang w:val="lt-LT"/>
        </w:rPr>
        <w:t> mg</w:t>
      </w:r>
      <w:r w:rsidR="009625C4" w:rsidRPr="00CD7E52">
        <w:rPr>
          <w:szCs w:val="22"/>
          <w:lang w:val="lt-LT"/>
        </w:rPr>
        <w:t xml:space="preserve"> dozės, vartojamos</w:t>
      </w:r>
      <w:r w:rsidR="00631427" w:rsidRPr="00CD7E52">
        <w:rPr>
          <w:szCs w:val="22"/>
          <w:lang w:val="lt-LT"/>
        </w:rPr>
        <w:t xml:space="preserve"> </w:t>
      </w:r>
      <w:r w:rsidR="009625C4" w:rsidRPr="00CD7E52">
        <w:rPr>
          <w:szCs w:val="22"/>
          <w:lang w:val="lt-LT"/>
        </w:rPr>
        <w:t xml:space="preserve">kartą per parą. Pradinio </w:t>
      </w:r>
      <w:r w:rsidR="00631427" w:rsidRPr="00CD7E52">
        <w:rPr>
          <w:szCs w:val="22"/>
          <w:lang w:val="lt-LT"/>
        </w:rPr>
        <w:t xml:space="preserve">dozės </w:t>
      </w:r>
      <w:r w:rsidR="007E0F46" w:rsidRPr="00CD7E52">
        <w:rPr>
          <w:snapToGrid/>
          <w:szCs w:val="22"/>
          <w:lang w:val="lt-LT"/>
        </w:rPr>
        <w:t>titravimo</w:t>
      </w:r>
      <w:r w:rsidR="007E0F46" w:rsidRPr="00CD7E52">
        <w:rPr>
          <w:szCs w:val="22"/>
          <w:lang w:val="lt-LT"/>
        </w:rPr>
        <w:t xml:space="preserve"> </w:t>
      </w:r>
      <w:r w:rsidR="00631427" w:rsidRPr="00CD7E52">
        <w:rPr>
          <w:szCs w:val="22"/>
          <w:lang w:val="lt-LT"/>
        </w:rPr>
        <w:t>metu</w:t>
      </w:r>
      <w:r w:rsidR="009625C4" w:rsidRPr="00CD7E52">
        <w:rPr>
          <w:szCs w:val="22"/>
          <w:lang w:val="lt-LT"/>
        </w:rPr>
        <w:t xml:space="preserve"> </w:t>
      </w:r>
      <w:r w:rsidR="00631427" w:rsidRPr="00CD7E52">
        <w:rPr>
          <w:snapToGrid/>
          <w:szCs w:val="22"/>
          <w:lang w:val="lt-LT"/>
        </w:rPr>
        <w:t xml:space="preserve">tokiems pacientams </w:t>
      </w:r>
      <w:r w:rsidR="009625C4" w:rsidRPr="00CD7E52">
        <w:rPr>
          <w:szCs w:val="22"/>
          <w:lang w:val="lt-LT"/>
        </w:rPr>
        <w:t xml:space="preserve">rekomenduojama </w:t>
      </w:r>
      <w:r w:rsidR="009625C4" w:rsidRPr="00CD7E52">
        <w:rPr>
          <w:snapToGrid/>
          <w:szCs w:val="22"/>
          <w:lang w:val="lt-LT"/>
        </w:rPr>
        <w:t>apremilas</w:t>
      </w:r>
      <w:r w:rsidR="00631427" w:rsidRPr="00CD7E52">
        <w:rPr>
          <w:snapToGrid/>
          <w:szCs w:val="22"/>
          <w:lang w:val="lt-LT"/>
        </w:rPr>
        <w:t xml:space="preserve">to dozę </w:t>
      </w:r>
      <w:r w:rsidR="005A3A7A" w:rsidRPr="00CD7E52">
        <w:rPr>
          <w:snapToGrid/>
          <w:szCs w:val="22"/>
          <w:lang w:val="lt-LT"/>
        </w:rPr>
        <w:t>titruoti</w:t>
      </w:r>
      <w:r w:rsidR="009625C4" w:rsidRPr="00CD7E52">
        <w:rPr>
          <w:szCs w:val="22"/>
          <w:lang w:val="lt-LT"/>
        </w:rPr>
        <w:t xml:space="preserve"> remiantis</w:t>
      </w:r>
      <w:r w:rsidR="00631427" w:rsidRPr="00CD7E52">
        <w:rPr>
          <w:szCs w:val="22"/>
          <w:lang w:val="lt-LT"/>
        </w:rPr>
        <w:t xml:space="preserve"> </w:t>
      </w:r>
      <w:r w:rsidR="009625C4" w:rsidRPr="00CD7E52">
        <w:rPr>
          <w:szCs w:val="22"/>
          <w:lang w:val="lt-LT"/>
        </w:rPr>
        <w:t>1</w:t>
      </w:r>
      <w:r w:rsidR="00631427" w:rsidRPr="00CD7E52">
        <w:rPr>
          <w:szCs w:val="22"/>
          <w:lang w:val="lt-LT"/>
        </w:rPr>
        <w:t> </w:t>
      </w:r>
      <w:r w:rsidR="009625C4" w:rsidRPr="00CD7E52">
        <w:rPr>
          <w:szCs w:val="22"/>
          <w:lang w:val="lt-LT"/>
        </w:rPr>
        <w:t>lentelėje pateiktu vartojimo tik ryte grafiku, o vakare vartojamas dozes praleisti (žr. 5.2</w:t>
      </w:r>
      <w:r w:rsidR="00631427" w:rsidRPr="00CD7E52">
        <w:rPr>
          <w:szCs w:val="22"/>
          <w:lang w:val="lt-LT"/>
        </w:rPr>
        <w:t> </w:t>
      </w:r>
      <w:r w:rsidR="009625C4" w:rsidRPr="00CD7E52">
        <w:rPr>
          <w:szCs w:val="22"/>
          <w:lang w:val="lt-LT"/>
        </w:rPr>
        <w:t>skyrių).</w:t>
      </w:r>
    </w:p>
    <w:p w14:paraId="6057F61E" w14:textId="77777777" w:rsidR="00631427" w:rsidRDefault="00631427" w:rsidP="00BD0220">
      <w:pPr>
        <w:widowControl w:val="0"/>
        <w:tabs>
          <w:tab w:val="clear" w:pos="567"/>
        </w:tabs>
        <w:spacing w:line="240" w:lineRule="auto"/>
        <w:rPr>
          <w:szCs w:val="22"/>
          <w:lang w:val="lt-LT"/>
        </w:rPr>
      </w:pPr>
    </w:p>
    <w:p w14:paraId="2989C6D9" w14:textId="77777777" w:rsidR="00F02527" w:rsidRPr="00F02527" w:rsidRDefault="00F02527" w:rsidP="00F02527">
      <w:pPr>
        <w:widowControl w:val="0"/>
        <w:tabs>
          <w:tab w:val="clear" w:pos="567"/>
        </w:tabs>
        <w:spacing w:line="240" w:lineRule="auto"/>
        <w:rPr>
          <w:szCs w:val="22"/>
          <w:lang w:val="lt-LT"/>
        </w:rPr>
      </w:pPr>
      <w:r w:rsidRPr="00F02527">
        <w:rPr>
          <w:i/>
          <w:iCs/>
          <w:szCs w:val="22"/>
          <w:lang w:val="lt-LT"/>
        </w:rPr>
        <w:t>Vaikams, sergantiems vidutinio sunkumo arba sunkia psoriaze</w:t>
      </w:r>
    </w:p>
    <w:p w14:paraId="259E4687" w14:textId="77777777" w:rsidR="00F02527" w:rsidRDefault="00F02527" w:rsidP="00F02527">
      <w:pPr>
        <w:widowControl w:val="0"/>
        <w:tabs>
          <w:tab w:val="clear" w:pos="567"/>
        </w:tabs>
        <w:spacing w:line="240" w:lineRule="auto"/>
        <w:rPr>
          <w:szCs w:val="22"/>
          <w:lang w:val="lt-LT"/>
        </w:rPr>
      </w:pPr>
      <w:r w:rsidRPr="00F02527">
        <w:rPr>
          <w:szCs w:val="22"/>
          <w:lang w:val="lt-LT"/>
        </w:rPr>
        <w:t>6</w:t>
      </w:r>
      <w:r w:rsidR="004812D2">
        <w:rPr>
          <w:szCs w:val="22"/>
          <w:lang w:val="lt-LT"/>
        </w:rPr>
        <w:t> </w:t>
      </w:r>
      <w:r w:rsidRPr="00F02527">
        <w:rPr>
          <w:szCs w:val="22"/>
          <w:lang w:val="lt-LT"/>
        </w:rPr>
        <w:t xml:space="preserve">metų ir vyresniems vaikams, kuriems yra nesunkus arba vidutinio sunkumo inkstų </w:t>
      </w:r>
      <w:r w:rsidR="004812D2">
        <w:rPr>
          <w:szCs w:val="22"/>
          <w:lang w:val="lt-LT"/>
        </w:rPr>
        <w:t xml:space="preserve">funkcijos </w:t>
      </w:r>
      <w:r w:rsidRPr="00F02527">
        <w:rPr>
          <w:szCs w:val="22"/>
          <w:lang w:val="lt-LT"/>
        </w:rPr>
        <w:t>sutrikimas, dozės koreguoti nereikia. 6</w:t>
      </w:r>
      <w:r w:rsidR="004812D2">
        <w:rPr>
          <w:szCs w:val="22"/>
          <w:lang w:val="lt-LT"/>
        </w:rPr>
        <w:t> </w:t>
      </w:r>
      <w:r w:rsidRPr="00F02527">
        <w:rPr>
          <w:szCs w:val="22"/>
          <w:lang w:val="lt-LT"/>
        </w:rPr>
        <w:t xml:space="preserve">metų ir vyresniems vaikams, kuriems yra sunkus inkstų </w:t>
      </w:r>
      <w:r w:rsidR="004812D2">
        <w:rPr>
          <w:szCs w:val="22"/>
          <w:lang w:val="lt-LT"/>
        </w:rPr>
        <w:t xml:space="preserve">funkcijos </w:t>
      </w:r>
      <w:r w:rsidRPr="00F02527">
        <w:rPr>
          <w:szCs w:val="22"/>
          <w:lang w:val="lt-LT"/>
        </w:rPr>
        <w:t>sutrikimas (kreatinino klirensas yra mažesnis nei 30</w:t>
      </w:r>
      <w:r w:rsidR="004812D2">
        <w:rPr>
          <w:szCs w:val="22"/>
          <w:lang w:val="lt-LT"/>
        </w:rPr>
        <w:t> </w:t>
      </w:r>
      <w:r w:rsidRPr="00F02527">
        <w:rPr>
          <w:szCs w:val="22"/>
          <w:lang w:val="lt-LT"/>
        </w:rPr>
        <w:t xml:space="preserve">ml per minutę, skaičiuojant pagal </w:t>
      </w:r>
      <w:r w:rsidRPr="00F02527">
        <w:rPr>
          <w:i/>
          <w:iCs/>
          <w:szCs w:val="22"/>
          <w:lang w:val="lt-LT"/>
        </w:rPr>
        <w:t xml:space="preserve">Cockcroft-Gault </w:t>
      </w:r>
      <w:r w:rsidRPr="00F02527">
        <w:rPr>
          <w:szCs w:val="22"/>
          <w:lang w:val="lt-LT"/>
        </w:rPr>
        <w:t>formulę), rekomenduojama koreguoti dozę. Vaikams, sveriantiems ne mažiau kaip 50</w:t>
      </w:r>
      <w:r w:rsidR="004812D2">
        <w:rPr>
          <w:szCs w:val="22"/>
          <w:lang w:val="lt-LT"/>
        </w:rPr>
        <w:t> </w:t>
      </w:r>
      <w:r w:rsidRPr="00F02527">
        <w:rPr>
          <w:szCs w:val="22"/>
          <w:lang w:val="lt-LT"/>
        </w:rPr>
        <w:t>kg, apremilasto dozę reikia sumažinti iki 30</w:t>
      </w:r>
      <w:r w:rsidR="004812D2">
        <w:rPr>
          <w:szCs w:val="22"/>
          <w:lang w:val="lt-LT"/>
        </w:rPr>
        <w:t> </w:t>
      </w:r>
      <w:r w:rsidRPr="00F02527">
        <w:rPr>
          <w:szCs w:val="22"/>
          <w:lang w:val="lt-LT"/>
        </w:rPr>
        <w:t>mg vieną kartą per parą, o vaikams, sveriantiems nuo 20</w:t>
      </w:r>
      <w:r w:rsidR="004812D2">
        <w:rPr>
          <w:szCs w:val="22"/>
          <w:lang w:val="lt-LT"/>
        </w:rPr>
        <w:t> </w:t>
      </w:r>
      <w:r w:rsidRPr="00F02527">
        <w:rPr>
          <w:szCs w:val="22"/>
          <w:lang w:val="lt-LT"/>
        </w:rPr>
        <w:t xml:space="preserve">kg iki </w:t>
      </w:r>
      <w:r w:rsidR="00694DEC">
        <w:rPr>
          <w:szCs w:val="22"/>
          <w:lang w:val="lt-LT"/>
        </w:rPr>
        <w:t xml:space="preserve">mažiau nei </w:t>
      </w:r>
      <w:r w:rsidRPr="00F02527">
        <w:rPr>
          <w:szCs w:val="22"/>
          <w:lang w:val="lt-LT"/>
        </w:rPr>
        <w:t>50</w:t>
      </w:r>
      <w:r w:rsidR="004812D2">
        <w:rPr>
          <w:szCs w:val="22"/>
          <w:lang w:val="lt-LT"/>
        </w:rPr>
        <w:t> </w:t>
      </w:r>
      <w:r w:rsidRPr="00F02527">
        <w:rPr>
          <w:szCs w:val="22"/>
          <w:lang w:val="lt-LT"/>
        </w:rPr>
        <w:t>kg, – iki 20</w:t>
      </w:r>
      <w:r w:rsidR="004812D2">
        <w:rPr>
          <w:szCs w:val="22"/>
          <w:lang w:val="lt-LT"/>
        </w:rPr>
        <w:t> </w:t>
      </w:r>
      <w:r w:rsidRPr="00F02527">
        <w:rPr>
          <w:szCs w:val="22"/>
          <w:lang w:val="lt-LT"/>
        </w:rPr>
        <w:t xml:space="preserve">mg vieną kartą per parą. Pradinio dozės titravimo šioms grupėms metu rekomenduojama apremilastą titruoti remiantis </w:t>
      </w:r>
      <w:r w:rsidR="005A2CEF">
        <w:rPr>
          <w:szCs w:val="22"/>
          <w:lang w:val="lt-LT"/>
        </w:rPr>
        <w:t>pirmiau pateiktoje</w:t>
      </w:r>
      <w:r w:rsidR="004812D2">
        <w:rPr>
          <w:szCs w:val="22"/>
          <w:lang w:val="lt-LT"/>
        </w:rPr>
        <w:t xml:space="preserve"> </w:t>
      </w:r>
      <w:r w:rsidRPr="00F02527">
        <w:rPr>
          <w:szCs w:val="22"/>
          <w:lang w:val="lt-LT"/>
        </w:rPr>
        <w:t>2</w:t>
      </w:r>
      <w:r w:rsidR="004812D2">
        <w:rPr>
          <w:szCs w:val="22"/>
          <w:lang w:val="lt-LT"/>
        </w:rPr>
        <w:t> </w:t>
      </w:r>
      <w:r w:rsidRPr="00F02527">
        <w:rPr>
          <w:szCs w:val="22"/>
          <w:lang w:val="lt-LT"/>
        </w:rPr>
        <w:t>lentelėje pateiktu vartojimo tik ryte grafiku atitinkamai kūno svorio kategorijai, o vakare vartojamas dozes praleisti.</w:t>
      </w:r>
    </w:p>
    <w:p w14:paraId="44047EC3" w14:textId="77777777" w:rsidR="00F02527" w:rsidRPr="00CD7E52" w:rsidRDefault="00F02527" w:rsidP="00BD0220">
      <w:pPr>
        <w:widowControl w:val="0"/>
        <w:tabs>
          <w:tab w:val="clear" w:pos="567"/>
        </w:tabs>
        <w:spacing w:line="240" w:lineRule="auto"/>
        <w:rPr>
          <w:szCs w:val="22"/>
          <w:lang w:val="lt-LT"/>
        </w:rPr>
      </w:pPr>
    </w:p>
    <w:p w14:paraId="7B7FD0E2" w14:textId="77777777" w:rsidR="009625C4" w:rsidRPr="00CD7E52" w:rsidRDefault="009625C4" w:rsidP="00BD0220">
      <w:pPr>
        <w:widowControl w:val="0"/>
        <w:tabs>
          <w:tab w:val="clear" w:pos="567"/>
        </w:tabs>
        <w:spacing w:line="240" w:lineRule="auto"/>
        <w:rPr>
          <w:szCs w:val="22"/>
          <w:lang w:val="lt-LT"/>
        </w:rPr>
      </w:pPr>
      <w:r w:rsidRPr="00CD7E52">
        <w:rPr>
          <w:i/>
          <w:szCs w:val="22"/>
          <w:lang w:val="lt-LT"/>
        </w:rPr>
        <w:t>Pacientams, kurių kepenų funkcija sutrikusi</w:t>
      </w:r>
    </w:p>
    <w:p w14:paraId="717D6A54" w14:textId="77777777" w:rsidR="009625C4" w:rsidRPr="00CD7E52" w:rsidRDefault="009625C4" w:rsidP="00BD0220">
      <w:pPr>
        <w:widowControl w:val="0"/>
        <w:tabs>
          <w:tab w:val="clear" w:pos="567"/>
        </w:tabs>
        <w:spacing w:line="240" w:lineRule="auto"/>
        <w:rPr>
          <w:szCs w:val="22"/>
          <w:lang w:val="lt-LT"/>
        </w:rPr>
      </w:pPr>
      <w:r w:rsidRPr="00CD7E52">
        <w:rPr>
          <w:szCs w:val="22"/>
          <w:lang w:val="lt-LT"/>
        </w:rPr>
        <w:t xml:space="preserve">Pacientams, kuriems yra kepenų </w:t>
      </w:r>
      <w:r w:rsidR="00631427" w:rsidRPr="00CD7E52">
        <w:rPr>
          <w:snapToGrid/>
          <w:szCs w:val="22"/>
          <w:lang w:val="lt-LT"/>
        </w:rPr>
        <w:t xml:space="preserve">funkcijos </w:t>
      </w:r>
      <w:r w:rsidRPr="00CD7E52">
        <w:rPr>
          <w:szCs w:val="22"/>
          <w:lang w:val="lt-LT"/>
        </w:rPr>
        <w:t>sutrikimas, dozės koreguoti nereikia (žr. 5.2</w:t>
      </w:r>
      <w:r w:rsidR="00631427" w:rsidRPr="00CD7E52">
        <w:rPr>
          <w:szCs w:val="22"/>
          <w:lang w:val="lt-LT"/>
        </w:rPr>
        <w:t> </w:t>
      </w:r>
      <w:r w:rsidRPr="00CD7E52">
        <w:rPr>
          <w:szCs w:val="22"/>
          <w:lang w:val="lt-LT"/>
        </w:rPr>
        <w:t>skyrių).</w:t>
      </w:r>
    </w:p>
    <w:p w14:paraId="73651F02" w14:textId="77777777" w:rsidR="00631427" w:rsidRPr="00CD7E52" w:rsidRDefault="00631427" w:rsidP="00BD0220">
      <w:pPr>
        <w:widowControl w:val="0"/>
        <w:tabs>
          <w:tab w:val="clear" w:pos="567"/>
        </w:tabs>
        <w:spacing w:line="240" w:lineRule="auto"/>
        <w:rPr>
          <w:szCs w:val="22"/>
          <w:lang w:val="lt-LT"/>
        </w:rPr>
      </w:pPr>
    </w:p>
    <w:p w14:paraId="096391BB" w14:textId="77777777" w:rsidR="009625C4" w:rsidRPr="00CD7E52" w:rsidRDefault="009625C4" w:rsidP="00BD0220">
      <w:pPr>
        <w:widowControl w:val="0"/>
        <w:tabs>
          <w:tab w:val="clear" w:pos="567"/>
        </w:tabs>
        <w:spacing w:line="240" w:lineRule="auto"/>
        <w:rPr>
          <w:szCs w:val="22"/>
          <w:lang w:val="lt-LT"/>
        </w:rPr>
      </w:pPr>
      <w:r w:rsidRPr="00CD7E52">
        <w:rPr>
          <w:i/>
          <w:szCs w:val="22"/>
          <w:lang w:val="lt-LT"/>
        </w:rPr>
        <w:t>Vaikų populiacija</w:t>
      </w:r>
    </w:p>
    <w:p w14:paraId="4BDA6C1A" w14:textId="77777777" w:rsidR="009625C4" w:rsidRPr="00CD7E52" w:rsidRDefault="009625C4" w:rsidP="00BD0220">
      <w:pPr>
        <w:widowControl w:val="0"/>
        <w:tabs>
          <w:tab w:val="clear" w:pos="567"/>
        </w:tabs>
        <w:spacing w:line="240" w:lineRule="auto"/>
        <w:rPr>
          <w:szCs w:val="22"/>
          <w:lang w:val="lt-LT"/>
        </w:rPr>
      </w:pPr>
      <w:r w:rsidRPr="00CD7E52">
        <w:rPr>
          <w:szCs w:val="22"/>
          <w:lang w:val="lt-LT"/>
        </w:rPr>
        <w:t>Apremilasto saugumas ir veiksmingumas vaikams</w:t>
      </w:r>
      <w:r w:rsidR="00F02527" w:rsidRPr="00F02527">
        <w:rPr>
          <w:szCs w:val="22"/>
          <w:lang w:val="lt-LT"/>
        </w:rPr>
        <w:t xml:space="preserve">, sergantiems vidutinio sunkumo arba sunkia </w:t>
      </w:r>
      <w:r w:rsidR="00863E62" w:rsidRPr="00863E62">
        <w:rPr>
          <w:szCs w:val="22"/>
          <w:lang w:val="lt-LT"/>
        </w:rPr>
        <w:t>plokšteline</w:t>
      </w:r>
      <w:r w:rsidR="00F02527" w:rsidRPr="00F02527">
        <w:rPr>
          <w:szCs w:val="22"/>
          <w:lang w:val="lt-LT"/>
        </w:rPr>
        <w:t xml:space="preserve"> psoriaze, kurie yra iki 6</w:t>
      </w:r>
      <w:r w:rsidR="004812D2">
        <w:rPr>
          <w:szCs w:val="22"/>
          <w:lang w:val="lt-LT"/>
        </w:rPr>
        <w:t> </w:t>
      </w:r>
      <w:r w:rsidR="00F02527" w:rsidRPr="00F02527">
        <w:rPr>
          <w:szCs w:val="22"/>
          <w:lang w:val="lt-LT"/>
        </w:rPr>
        <w:t>metų arba kurių kūno svoris mažesnis nei 20</w:t>
      </w:r>
      <w:r w:rsidR="004812D2">
        <w:rPr>
          <w:szCs w:val="22"/>
          <w:lang w:val="lt-LT"/>
        </w:rPr>
        <w:t> </w:t>
      </w:r>
      <w:r w:rsidR="00F02527" w:rsidRPr="00F02527">
        <w:rPr>
          <w:szCs w:val="22"/>
          <w:lang w:val="lt-LT"/>
        </w:rPr>
        <w:t xml:space="preserve">kg, arba esant kitoms pediatrinėms indikacijoms, </w:t>
      </w:r>
      <w:r w:rsidRPr="00CD7E52">
        <w:rPr>
          <w:szCs w:val="22"/>
          <w:lang w:val="lt-LT"/>
        </w:rPr>
        <w:t>neištirti. Duomenų nėra.</w:t>
      </w:r>
    </w:p>
    <w:p w14:paraId="157211FE" w14:textId="77777777" w:rsidR="00631427" w:rsidRPr="00CD7E52" w:rsidRDefault="00631427" w:rsidP="00BD0220">
      <w:pPr>
        <w:widowControl w:val="0"/>
        <w:tabs>
          <w:tab w:val="clear" w:pos="567"/>
        </w:tabs>
        <w:spacing w:line="240" w:lineRule="auto"/>
        <w:rPr>
          <w:szCs w:val="22"/>
          <w:lang w:val="lt-LT"/>
        </w:rPr>
      </w:pPr>
    </w:p>
    <w:p w14:paraId="5428EA01" w14:textId="77777777" w:rsidR="009625C4" w:rsidRPr="00CD7E52" w:rsidRDefault="009625C4" w:rsidP="00BD0220">
      <w:pPr>
        <w:widowControl w:val="0"/>
        <w:tabs>
          <w:tab w:val="clear" w:pos="567"/>
        </w:tabs>
        <w:spacing w:line="240" w:lineRule="auto"/>
        <w:rPr>
          <w:szCs w:val="22"/>
          <w:u w:val="single"/>
          <w:lang w:val="lt-LT"/>
        </w:rPr>
      </w:pPr>
      <w:r w:rsidRPr="00CD7E52">
        <w:rPr>
          <w:szCs w:val="22"/>
          <w:u w:val="single"/>
          <w:lang w:val="lt-LT"/>
        </w:rPr>
        <w:t>Vartojimo metodas</w:t>
      </w:r>
    </w:p>
    <w:p w14:paraId="40A61310" w14:textId="77777777" w:rsidR="00006B7B" w:rsidRPr="00CD7E52" w:rsidRDefault="005A4193" w:rsidP="00BD0220">
      <w:pPr>
        <w:widowControl w:val="0"/>
        <w:tabs>
          <w:tab w:val="clear" w:pos="567"/>
        </w:tabs>
        <w:spacing w:line="240" w:lineRule="auto"/>
        <w:rPr>
          <w:szCs w:val="22"/>
          <w:lang w:val="lt-LT"/>
        </w:rPr>
      </w:pPr>
      <w:r w:rsidRPr="00CD7E52">
        <w:rPr>
          <w:szCs w:val="22"/>
          <w:lang w:val="lt-LT"/>
        </w:rPr>
        <w:t>Apremilast STADA</w:t>
      </w:r>
      <w:r w:rsidR="009625C4" w:rsidRPr="00CD7E52">
        <w:rPr>
          <w:szCs w:val="22"/>
          <w:lang w:val="lt-LT"/>
        </w:rPr>
        <w:t xml:space="preserve"> skirtas vartoti per burną.</w:t>
      </w:r>
    </w:p>
    <w:p w14:paraId="3E361977" w14:textId="77777777" w:rsidR="009625C4" w:rsidRPr="00CD7E52" w:rsidRDefault="009625C4" w:rsidP="00BD0220">
      <w:pPr>
        <w:widowControl w:val="0"/>
        <w:tabs>
          <w:tab w:val="clear" w:pos="567"/>
        </w:tabs>
        <w:spacing w:line="240" w:lineRule="auto"/>
        <w:rPr>
          <w:szCs w:val="22"/>
          <w:lang w:val="lt-LT"/>
        </w:rPr>
      </w:pPr>
      <w:r w:rsidRPr="00CD7E52">
        <w:rPr>
          <w:szCs w:val="22"/>
          <w:lang w:val="lt-LT"/>
        </w:rPr>
        <w:t xml:space="preserve">Plėvele dengtą tabletę reikia praryti visą, </w:t>
      </w:r>
      <w:r w:rsidR="00A55025" w:rsidRPr="00CD7E52">
        <w:rPr>
          <w:szCs w:val="22"/>
          <w:lang w:val="lt-LT"/>
        </w:rPr>
        <w:t xml:space="preserve">kad </w:t>
      </w:r>
      <w:r w:rsidR="00266C75" w:rsidRPr="00CD7E52">
        <w:rPr>
          <w:szCs w:val="22"/>
          <w:lang w:val="lt-LT"/>
        </w:rPr>
        <w:t xml:space="preserve">būtų </w:t>
      </w:r>
      <w:r w:rsidR="00A55025" w:rsidRPr="00CD7E52">
        <w:rPr>
          <w:szCs w:val="22"/>
          <w:lang w:val="lt-LT"/>
        </w:rPr>
        <w:t>nepažeist</w:t>
      </w:r>
      <w:r w:rsidR="00266C75" w:rsidRPr="00CD7E52">
        <w:rPr>
          <w:szCs w:val="22"/>
          <w:lang w:val="lt-LT"/>
        </w:rPr>
        <w:t xml:space="preserve">a </w:t>
      </w:r>
      <w:r w:rsidR="00C152D2" w:rsidRPr="00CD7E52">
        <w:rPr>
          <w:szCs w:val="22"/>
          <w:lang w:val="lt-LT"/>
        </w:rPr>
        <w:t>tabletės plėvelė</w:t>
      </w:r>
      <w:r w:rsidR="003A1E84" w:rsidRPr="00CD7E52">
        <w:rPr>
          <w:szCs w:val="22"/>
          <w:lang w:val="lt-LT"/>
        </w:rPr>
        <w:t>.</w:t>
      </w:r>
      <w:r w:rsidR="00A55025" w:rsidRPr="00CD7E52">
        <w:rPr>
          <w:szCs w:val="22"/>
          <w:lang w:val="lt-LT"/>
        </w:rPr>
        <w:t xml:space="preserve"> </w:t>
      </w:r>
      <w:r w:rsidR="003A1E84" w:rsidRPr="00CD7E52">
        <w:rPr>
          <w:szCs w:val="22"/>
          <w:lang w:val="lt-LT"/>
        </w:rPr>
        <w:t xml:space="preserve">Tabletę </w:t>
      </w:r>
      <w:r w:rsidRPr="00CD7E52">
        <w:rPr>
          <w:szCs w:val="22"/>
          <w:lang w:val="lt-LT"/>
        </w:rPr>
        <w:t xml:space="preserve">galima vartoti </w:t>
      </w:r>
      <w:r w:rsidR="00837955" w:rsidRPr="00CD7E52">
        <w:rPr>
          <w:snapToGrid/>
          <w:szCs w:val="22"/>
          <w:lang w:val="lt-LT"/>
        </w:rPr>
        <w:t>valgio metu arba nevalgius</w:t>
      </w:r>
      <w:r w:rsidR="00F4203E" w:rsidRPr="00CD7E52">
        <w:rPr>
          <w:szCs w:val="22"/>
          <w:lang w:val="lt-LT"/>
        </w:rPr>
        <w:t>.</w:t>
      </w:r>
    </w:p>
    <w:p w14:paraId="3C7BBD1A" w14:textId="77777777" w:rsidR="00F4203E" w:rsidRPr="00CD7E52" w:rsidRDefault="00F4203E" w:rsidP="00C00052">
      <w:pPr>
        <w:widowControl w:val="0"/>
        <w:tabs>
          <w:tab w:val="clear" w:pos="567"/>
        </w:tabs>
        <w:spacing w:line="240" w:lineRule="auto"/>
        <w:ind w:left="567" w:hanging="567"/>
        <w:rPr>
          <w:szCs w:val="22"/>
          <w:lang w:val="lt-LT"/>
        </w:rPr>
      </w:pPr>
    </w:p>
    <w:p w14:paraId="7212643C" w14:textId="77777777" w:rsidR="00776FBE" w:rsidRPr="00CD7E52" w:rsidRDefault="00776FBE" w:rsidP="00517548">
      <w:pPr>
        <w:keepNext/>
        <w:spacing w:line="240" w:lineRule="auto"/>
        <w:ind w:left="567" w:hanging="567"/>
        <w:outlineLvl w:val="2"/>
        <w:rPr>
          <w:b/>
          <w:kern w:val="28"/>
          <w:szCs w:val="22"/>
          <w:lang w:val="lt-LT"/>
        </w:rPr>
      </w:pPr>
      <w:r w:rsidRPr="00CD7E52">
        <w:rPr>
          <w:b/>
          <w:snapToGrid/>
          <w:kern w:val="28"/>
          <w:szCs w:val="22"/>
          <w:lang w:val="lt-LT"/>
        </w:rPr>
        <w:t>4.3</w:t>
      </w:r>
      <w:r w:rsidRPr="00CD7E52">
        <w:rPr>
          <w:b/>
          <w:snapToGrid/>
          <w:kern w:val="28"/>
          <w:szCs w:val="22"/>
          <w:lang w:val="lt-LT"/>
        </w:rPr>
        <w:tab/>
      </w:r>
      <w:r w:rsidRPr="00CD7E52">
        <w:rPr>
          <w:b/>
          <w:kern w:val="28"/>
          <w:szCs w:val="22"/>
          <w:lang w:val="lt-LT"/>
        </w:rPr>
        <w:t>Kontraindikacijos</w:t>
      </w:r>
    </w:p>
    <w:p w14:paraId="469C512D" w14:textId="77777777" w:rsidR="00776FBE" w:rsidRPr="00CD7E52" w:rsidRDefault="00776FBE" w:rsidP="00517548">
      <w:pPr>
        <w:keepNext/>
        <w:tabs>
          <w:tab w:val="clear" w:pos="567"/>
        </w:tabs>
        <w:spacing w:line="240" w:lineRule="auto"/>
        <w:ind w:left="567" w:hanging="567"/>
        <w:rPr>
          <w:szCs w:val="22"/>
          <w:lang w:val="lt-LT"/>
        </w:rPr>
      </w:pPr>
    </w:p>
    <w:p w14:paraId="75E2FD17" w14:textId="77777777" w:rsidR="00776FBE" w:rsidRPr="00CD7E52" w:rsidRDefault="00776FBE" w:rsidP="00517548">
      <w:pPr>
        <w:keepNext/>
        <w:numPr>
          <w:ilvl w:val="0"/>
          <w:numId w:val="22"/>
        </w:numPr>
        <w:tabs>
          <w:tab w:val="clear" w:pos="567"/>
        </w:tabs>
        <w:autoSpaceDE w:val="0"/>
        <w:autoSpaceDN w:val="0"/>
        <w:adjustRightInd w:val="0"/>
        <w:spacing w:line="240" w:lineRule="auto"/>
        <w:ind w:left="567" w:hanging="567"/>
        <w:rPr>
          <w:rFonts w:eastAsia="TimesNewRoman"/>
          <w:szCs w:val="22"/>
          <w:lang w:val="lt-LT"/>
        </w:rPr>
      </w:pPr>
      <w:r w:rsidRPr="00CD7E52">
        <w:rPr>
          <w:rFonts w:eastAsia="TimesNewRoman"/>
          <w:szCs w:val="22"/>
          <w:lang w:val="lt-LT"/>
        </w:rPr>
        <w:t>Padidėjęs jautrumas veikliajai arba bet kuriai 6.1 skyriuje nurodytai pagalbinei medžiagai.</w:t>
      </w:r>
    </w:p>
    <w:p w14:paraId="20146214" w14:textId="77777777" w:rsidR="00776FBE" w:rsidRPr="00CD7E52" w:rsidRDefault="00F4203E" w:rsidP="009E0A7D">
      <w:pPr>
        <w:widowControl w:val="0"/>
        <w:numPr>
          <w:ilvl w:val="0"/>
          <w:numId w:val="22"/>
        </w:numPr>
        <w:tabs>
          <w:tab w:val="clear" w:pos="567"/>
        </w:tabs>
        <w:autoSpaceDE w:val="0"/>
        <w:autoSpaceDN w:val="0"/>
        <w:adjustRightInd w:val="0"/>
        <w:spacing w:line="240" w:lineRule="auto"/>
        <w:ind w:left="567" w:hanging="567"/>
        <w:rPr>
          <w:rFonts w:eastAsia="TimesNewRoman"/>
          <w:szCs w:val="22"/>
          <w:lang w:val="lt-LT"/>
        </w:rPr>
      </w:pPr>
      <w:r w:rsidRPr="00CD7E52">
        <w:rPr>
          <w:rFonts w:eastAsia="TimesNewRoman"/>
          <w:szCs w:val="22"/>
          <w:lang w:val="lt-LT"/>
        </w:rPr>
        <w:t>Nėštumas (žr. 4.6 skyrių).</w:t>
      </w:r>
    </w:p>
    <w:p w14:paraId="49036385" w14:textId="77777777" w:rsidR="00F4203E" w:rsidRPr="00CD7E52" w:rsidRDefault="00F4203E" w:rsidP="009E0A7D">
      <w:pPr>
        <w:widowControl w:val="0"/>
        <w:tabs>
          <w:tab w:val="clear" w:pos="567"/>
        </w:tabs>
        <w:autoSpaceDE w:val="0"/>
        <w:autoSpaceDN w:val="0"/>
        <w:adjustRightInd w:val="0"/>
        <w:spacing w:line="240" w:lineRule="auto"/>
        <w:rPr>
          <w:rFonts w:eastAsia="TimesNewRoman"/>
          <w:szCs w:val="22"/>
          <w:lang w:val="lt-LT"/>
        </w:rPr>
      </w:pPr>
    </w:p>
    <w:p w14:paraId="220DBF62" w14:textId="77777777" w:rsidR="00776FBE" w:rsidRPr="00CD7E52" w:rsidRDefault="00776FBE" w:rsidP="00DB2543">
      <w:pPr>
        <w:keepNext/>
        <w:keepLines/>
        <w:widowControl w:val="0"/>
        <w:spacing w:line="240" w:lineRule="auto"/>
        <w:ind w:left="567" w:hanging="567"/>
        <w:outlineLvl w:val="2"/>
        <w:rPr>
          <w:b/>
          <w:szCs w:val="22"/>
          <w:lang w:val="lt-LT"/>
        </w:rPr>
      </w:pPr>
      <w:r w:rsidRPr="00CD7E52">
        <w:rPr>
          <w:b/>
          <w:snapToGrid/>
          <w:kern w:val="28"/>
          <w:szCs w:val="22"/>
          <w:lang w:val="lt-LT"/>
        </w:rPr>
        <w:lastRenderedPageBreak/>
        <w:t>4.4</w:t>
      </w:r>
      <w:r w:rsidRPr="00CD7E52">
        <w:rPr>
          <w:b/>
          <w:snapToGrid/>
          <w:kern w:val="28"/>
          <w:szCs w:val="22"/>
          <w:lang w:val="lt-LT"/>
        </w:rPr>
        <w:tab/>
      </w:r>
      <w:r w:rsidRPr="00CD7E52">
        <w:rPr>
          <w:b/>
          <w:kern w:val="28"/>
          <w:szCs w:val="22"/>
          <w:lang w:val="lt-LT"/>
        </w:rPr>
        <w:t>Specialūs įspėjimai ir atsargumo priemonės</w:t>
      </w:r>
    </w:p>
    <w:p w14:paraId="0473D2D2" w14:textId="77777777" w:rsidR="00776FBE" w:rsidRPr="00CD7E52" w:rsidRDefault="00776FBE" w:rsidP="00DB2543">
      <w:pPr>
        <w:keepNext/>
        <w:keepLines/>
        <w:widowControl w:val="0"/>
        <w:tabs>
          <w:tab w:val="clear" w:pos="567"/>
        </w:tabs>
        <w:spacing w:line="240" w:lineRule="auto"/>
        <w:ind w:left="567" w:hanging="567"/>
        <w:rPr>
          <w:szCs w:val="22"/>
          <w:lang w:val="lt-LT"/>
        </w:rPr>
      </w:pPr>
    </w:p>
    <w:p w14:paraId="6A6B68F3" w14:textId="77777777" w:rsidR="00F53348" w:rsidRPr="00CD7E52" w:rsidRDefault="00F53348" w:rsidP="00DB2543">
      <w:pPr>
        <w:keepNext/>
        <w:keepLines/>
        <w:widowControl w:val="0"/>
        <w:tabs>
          <w:tab w:val="clear" w:pos="567"/>
        </w:tabs>
        <w:spacing w:line="240" w:lineRule="auto"/>
        <w:rPr>
          <w:rFonts w:eastAsia="TimesNewRoman"/>
          <w:szCs w:val="22"/>
          <w:u w:val="single"/>
          <w:lang w:val="lt-LT"/>
        </w:rPr>
      </w:pPr>
      <w:r w:rsidRPr="00CD7E52">
        <w:rPr>
          <w:rFonts w:eastAsia="TimesNewRoman"/>
          <w:szCs w:val="22"/>
          <w:u w:val="single"/>
          <w:lang w:val="lt-LT"/>
        </w:rPr>
        <w:t>Viduriavimas, pykinimas ir vėmimas</w:t>
      </w:r>
    </w:p>
    <w:p w14:paraId="35A627FE" w14:textId="77777777" w:rsidR="00F53348" w:rsidRPr="00CD7E52" w:rsidRDefault="00F53348" w:rsidP="00DB2543">
      <w:pPr>
        <w:keepNext/>
        <w:keepLines/>
        <w:widowControl w:val="0"/>
        <w:tabs>
          <w:tab w:val="clear" w:pos="567"/>
        </w:tabs>
        <w:spacing w:line="240" w:lineRule="auto"/>
        <w:rPr>
          <w:rFonts w:eastAsia="TimesNewRoman"/>
          <w:szCs w:val="22"/>
          <w:lang w:val="lt-LT"/>
        </w:rPr>
      </w:pPr>
      <w:r w:rsidRPr="00CD7E52">
        <w:rPr>
          <w:rFonts w:eastAsia="TimesNewRoman"/>
          <w:szCs w:val="22"/>
          <w:lang w:val="lt-LT"/>
        </w:rPr>
        <w:t>Po vaistinio preparato pateikimo į rinką gauta pranešimų apie sunkų viduriavimą, pykinimą ir vėmimą, kurie</w:t>
      </w:r>
      <w:r w:rsidR="00A5289E" w:rsidRPr="00CD7E52">
        <w:rPr>
          <w:rFonts w:eastAsia="TimesNewRoman"/>
          <w:szCs w:val="22"/>
          <w:lang w:val="lt-LT"/>
        </w:rPr>
        <w:t xml:space="preserve"> </w:t>
      </w:r>
      <w:r w:rsidRPr="00CD7E52">
        <w:rPr>
          <w:rFonts w:eastAsia="TimesNewRoman"/>
          <w:szCs w:val="22"/>
          <w:lang w:val="lt-LT"/>
        </w:rPr>
        <w:t>buvo susiję su apremilasto vartojimu. Dauguma reiškinių pasireiškė pirmosiomis gydymo</w:t>
      </w:r>
      <w:r w:rsidR="00DA5DD7" w:rsidRPr="00CD7E52">
        <w:rPr>
          <w:rFonts w:eastAsia="TimesNewRoman"/>
          <w:szCs w:val="22"/>
          <w:lang w:val="lt-LT"/>
        </w:rPr>
        <w:t xml:space="preserve"> </w:t>
      </w:r>
      <w:r w:rsidR="00C65C08" w:rsidRPr="00CD7E52">
        <w:rPr>
          <w:rFonts w:eastAsia="TimesNewRoman"/>
          <w:szCs w:val="22"/>
          <w:lang w:val="lt-LT"/>
        </w:rPr>
        <w:t>savai</w:t>
      </w:r>
      <w:r w:rsidRPr="00CD7E52">
        <w:rPr>
          <w:rFonts w:eastAsia="TimesNewRoman"/>
          <w:szCs w:val="22"/>
          <w:lang w:val="lt-LT"/>
        </w:rPr>
        <w:t>tėmis. Kai</w:t>
      </w:r>
      <w:r w:rsidR="00A5289E" w:rsidRPr="00CD7E52">
        <w:rPr>
          <w:rFonts w:eastAsia="TimesNewRoman"/>
          <w:szCs w:val="22"/>
          <w:lang w:val="lt-LT"/>
        </w:rPr>
        <w:t xml:space="preserve"> </w:t>
      </w:r>
      <w:r w:rsidRPr="00CD7E52">
        <w:rPr>
          <w:rFonts w:eastAsia="TimesNewRoman"/>
          <w:szCs w:val="22"/>
          <w:lang w:val="lt-LT"/>
        </w:rPr>
        <w:t>kuriais atvejais pacientai dėl to buvo hospitalizuoti. Komplikacijų rizika gali būti didesnė 65</w:t>
      </w:r>
      <w:r w:rsidR="00A5289E" w:rsidRPr="00CD7E52">
        <w:rPr>
          <w:rFonts w:eastAsia="TimesNewRoman"/>
          <w:snapToGrid/>
          <w:szCs w:val="22"/>
          <w:lang w:val="lt-LT"/>
        </w:rPr>
        <w:t> </w:t>
      </w:r>
      <w:r w:rsidRPr="00CD7E52">
        <w:rPr>
          <w:rFonts w:eastAsia="TimesNewRoman"/>
          <w:szCs w:val="22"/>
          <w:lang w:val="lt-LT"/>
        </w:rPr>
        <w:t>metų ir</w:t>
      </w:r>
      <w:r w:rsidR="00A5289E" w:rsidRPr="00CD7E52">
        <w:rPr>
          <w:rFonts w:eastAsia="TimesNewRoman"/>
          <w:szCs w:val="22"/>
          <w:lang w:val="lt-LT"/>
        </w:rPr>
        <w:t xml:space="preserve"> </w:t>
      </w:r>
      <w:r w:rsidRPr="00CD7E52">
        <w:rPr>
          <w:rFonts w:eastAsia="TimesNewRoman"/>
          <w:szCs w:val="22"/>
          <w:lang w:val="lt-LT"/>
        </w:rPr>
        <w:t>vyresniems pacientams. Jeigu pacientui pasireiškia sunkus viduriavimas, pykinimas arba vėmimas, gali tekti</w:t>
      </w:r>
      <w:r w:rsidR="00A5289E" w:rsidRPr="00CD7E52">
        <w:rPr>
          <w:rFonts w:eastAsia="TimesNewRoman"/>
          <w:szCs w:val="22"/>
          <w:lang w:val="lt-LT"/>
        </w:rPr>
        <w:t xml:space="preserve"> </w:t>
      </w:r>
      <w:r w:rsidRPr="00CD7E52">
        <w:rPr>
          <w:rFonts w:eastAsia="TimesNewRoman"/>
          <w:szCs w:val="22"/>
          <w:lang w:val="lt-LT"/>
        </w:rPr>
        <w:t>nutraukti gydymą apremilastu.</w:t>
      </w:r>
    </w:p>
    <w:p w14:paraId="4258FC76" w14:textId="77777777" w:rsidR="00A5289E" w:rsidRPr="00CD7E52" w:rsidRDefault="00A5289E" w:rsidP="00BD0220">
      <w:pPr>
        <w:widowControl w:val="0"/>
        <w:tabs>
          <w:tab w:val="clear" w:pos="567"/>
        </w:tabs>
        <w:spacing w:line="240" w:lineRule="auto"/>
        <w:rPr>
          <w:rFonts w:eastAsia="TimesNewRoman"/>
          <w:szCs w:val="22"/>
          <w:lang w:val="lt-LT"/>
        </w:rPr>
      </w:pPr>
    </w:p>
    <w:p w14:paraId="6ADA15C1" w14:textId="77777777" w:rsidR="00F53348" w:rsidRPr="00CD7E52" w:rsidRDefault="00F53348" w:rsidP="00BD0220">
      <w:pPr>
        <w:widowControl w:val="0"/>
        <w:tabs>
          <w:tab w:val="clear" w:pos="567"/>
        </w:tabs>
        <w:spacing w:line="240" w:lineRule="auto"/>
        <w:rPr>
          <w:rFonts w:eastAsia="TimesNewRoman"/>
          <w:szCs w:val="22"/>
          <w:u w:val="single"/>
          <w:lang w:val="lt-LT"/>
        </w:rPr>
      </w:pPr>
      <w:r w:rsidRPr="00CD7E52">
        <w:rPr>
          <w:rFonts w:eastAsia="TimesNewRoman"/>
          <w:szCs w:val="22"/>
          <w:u w:val="single"/>
          <w:lang w:val="lt-LT"/>
        </w:rPr>
        <w:t>Psichikos sutrikimai</w:t>
      </w:r>
    </w:p>
    <w:p w14:paraId="4B81739D" w14:textId="77777777" w:rsidR="00F53348" w:rsidRPr="00CD7E52" w:rsidRDefault="00F53348" w:rsidP="00BD0220">
      <w:pPr>
        <w:widowControl w:val="0"/>
        <w:tabs>
          <w:tab w:val="clear" w:pos="567"/>
        </w:tabs>
        <w:spacing w:line="240" w:lineRule="auto"/>
        <w:rPr>
          <w:rFonts w:eastAsia="TimesNewRoman"/>
          <w:szCs w:val="22"/>
          <w:lang w:val="lt-LT"/>
        </w:rPr>
      </w:pPr>
      <w:r w:rsidRPr="00CD7E52">
        <w:rPr>
          <w:rFonts w:eastAsia="TimesNewRoman"/>
          <w:szCs w:val="22"/>
          <w:lang w:val="lt-LT"/>
        </w:rPr>
        <w:t>Apremilasto vartojimas yra susijęs su padidėjusia psichikos sutrikimų, tokių kaip nemiga</w:t>
      </w:r>
      <w:r w:rsidR="003417B4">
        <w:rPr>
          <w:rFonts w:eastAsia="TimesNewRoman"/>
          <w:szCs w:val="22"/>
          <w:lang w:val="lt-LT"/>
        </w:rPr>
        <w:t xml:space="preserve">, </w:t>
      </w:r>
      <w:r w:rsidR="003417B4" w:rsidRPr="003417B4">
        <w:rPr>
          <w:rFonts w:eastAsia="TimesNewRoman"/>
          <w:szCs w:val="22"/>
          <w:lang w:val="lt-LT"/>
        </w:rPr>
        <w:t>nerimas, pakitusi nuotaika</w:t>
      </w:r>
      <w:r w:rsidRPr="00CD7E52">
        <w:rPr>
          <w:rFonts w:eastAsia="TimesNewRoman"/>
          <w:szCs w:val="22"/>
          <w:lang w:val="lt-LT"/>
        </w:rPr>
        <w:t xml:space="preserve"> ir depresija, rizika.</w:t>
      </w:r>
      <w:r w:rsidR="00A5289E" w:rsidRPr="00CD7E52">
        <w:rPr>
          <w:rFonts w:eastAsia="TimesNewRoman"/>
          <w:szCs w:val="22"/>
          <w:lang w:val="lt-LT"/>
        </w:rPr>
        <w:t xml:space="preserve"> </w:t>
      </w:r>
      <w:r w:rsidRPr="00CD7E52">
        <w:rPr>
          <w:rFonts w:eastAsia="TimesNewRoman"/>
          <w:szCs w:val="22"/>
          <w:lang w:val="lt-LT"/>
        </w:rPr>
        <w:t xml:space="preserve">Buvo nustatyta minčių apie savižudybę ir </w:t>
      </w:r>
      <w:r w:rsidR="00A5289E" w:rsidRPr="00CD7E52">
        <w:rPr>
          <w:rFonts w:eastAsia="TimesNewRoman"/>
          <w:szCs w:val="22"/>
          <w:lang w:val="lt-LT"/>
        </w:rPr>
        <w:t>su savižudybe susijusio elgesio</w:t>
      </w:r>
      <w:r w:rsidRPr="00CD7E52">
        <w:rPr>
          <w:rFonts w:eastAsia="TimesNewRoman"/>
          <w:szCs w:val="22"/>
          <w:lang w:val="lt-LT"/>
        </w:rPr>
        <w:t>, įskaitant savižudybę, atvejų, vaist</w:t>
      </w:r>
      <w:r w:rsidR="00A5289E" w:rsidRPr="00CD7E52">
        <w:rPr>
          <w:rFonts w:eastAsia="TimesNewRoman"/>
          <w:szCs w:val="22"/>
          <w:lang w:val="lt-LT"/>
        </w:rPr>
        <w:t>inio preparat</w:t>
      </w:r>
      <w:r w:rsidRPr="00CD7E52">
        <w:rPr>
          <w:rFonts w:eastAsia="TimesNewRoman"/>
          <w:szCs w:val="22"/>
          <w:lang w:val="lt-LT"/>
        </w:rPr>
        <w:t>o skiriant</w:t>
      </w:r>
      <w:r w:rsidR="00A5289E" w:rsidRPr="00CD7E52">
        <w:rPr>
          <w:rFonts w:eastAsia="TimesNewRoman"/>
          <w:szCs w:val="22"/>
          <w:lang w:val="lt-LT"/>
        </w:rPr>
        <w:t xml:space="preserve"> </w:t>
      </w:r>
      <w:r w:rsidRPr="00CD7E52">
        <w:rPr>
          <w:rFonts w:eastAsia="TimesNewRoman"/>
          <w:szCs w:val="22"/>
          <w:lang w:val="lt-LT"/>
        </w:rPr>
        <w:t>pacientams, anksčiau sirgusiems depresija arba ja nesirgusiems (žr. 4.8</w:t>
      </w:r>
      <w:r w:rsidR="00A5289E" w:rsidRPr="00CD7E52">
        <w:rPr>
          <w:rFonts w:eastAsia="TimesNewRoman"/>
          <w:szCs w:val="22"/>
          <w:lang w:val="lt-LT"/>
        </w:rPr>
        <w:t> </w:t>
      </w:r>
      <w:r w:rsidRPr="00CD7E52">
        <w:rPr>
          <w:rFonts w:eastAsia="TimesNewRoman"/>
          <w:szCs w:val="22"/>
          <w:lang w:val="lt-LT"/>
        </w:rPr>
        <w:t>skyrių). Jeigu pacientams anksčiau</w:t>
      </w:r>
      <w:r w:rsidR="00705789" w:rsidRPr="00CD7E52">
        <w:rPr>
          <w:rFonts w:eastAsia="TimesNewRoman"/>
          <w:szCs w:val="22"/>
          <w:lang w:val="lt-LT"/>
        </w:rPr>
        <w:t xml:space="preserve"> buvo pasireiškę</w:t>
      </w:r>
      <w:r w:rsidRPr="00CD7E52">
        <w:rPr>
          <w:rFonts w:eastAsia="TimesNewRoman"/>
          <w:szCs w:val="22"/>
          <w:lang w:val="lt-LT"/>
        </w:rPr>
        <w:t xml:space="preserve"> arba šiuo metu </w:t>
      </w:r>
      <w:r w:rsidR="00705789" w:rsidRPr="00CD7E52">
        <w:rPr>
          <w:rFonts w:eastAsia="TimesNewRoman"/>
          <w:szCs w:val="22"/>
          <w:lang w:val="lt-LT"/>
        </w:rPr>
        <w:t>yra</w:t>
      </w:r>
      <w:r w:rsidRPr="00CD7E52">
        <w:rPr>
          <w:rFonts w:eastAsia="TimesNewRoman"/>
          <w:szCs w:val="22"/>
          <w:lang w:val="lt-LT"/>
        </w:rPr>
        <w:t xml:space="preserve"> psichikos sutrikimų simptomų</w:t>
      </w:r>
      <w:r w:rsidR="00AD5501" w:rsidRPr="00CD7E52">
        <w:rPr>
          <w:rFonts w:eastAsia="TimesNewRoman"/>
          <w:szCs w:val="22"/>
          <w:lang w:val="lt-LT"/>
        </w:rPr>
        <w:t>,</w:t>
      </w:r>
      <w:r w:rsidRPr="00CD7E52">
        <w:rPr>
          <w:rFonts w:eastAsia="TimesNewRoman"/>
          <w:szCs w:val="22"/>
          <w:lang w:val="lt-LT"/>
        </w:rPr>
        <w:t xml:space="preserve"> arba </w:t>
      </w:r>
      <w:r w:rsidR="00705789" w:rsidRPr="00CD7E52">
        <w:rPr>
          <w:rFonts w:eastAsia="TimesNewRoman"/>
          <w:szCs w:val="22"/>
          <w:lang w:val="lt-LT"/>
        </w:rPr>
        <w:t>tuo pat metu skiriamas</w:t>
      </w:r>
      <w:r w:rsidRPr="00CD7E52">
        <w:rPr>
          <w:rFonts w:eastAsia="TimesNewRoman"/>
          <w:szCs w:val="22"/>
          <w:lang w:val="lt-LT"/>
        </w:rPr>
        <w:t xml:space="preserve"> gydym</w:t>
      </w:r>
      <w:r w:rsidR="00DF2E6A" w:rsidRPr="00CD7E52">
        <w:rPr>
          <w:rFonts w:eastAsia="TimesNewRoman"/>
          <w:szCs w:val="22"/>
          <w:lang w:val="lt-LT"/>
        </w:rPr>
        <w:t>as</w:t>
      </w:r>
      <w:r w:rsidR="00705789" w:rsidRPr="00CD7E52">
        <w:rPr>
          <w:rFonts w:eastAsia="TimesNewRoman"/>
          <w:szCs w:val="22"/>
          <w:lang w:val="lt-LT"/>
        </w:rPr>
        <w:t xml:space="preserve"> </w:t>
      </w:r>
      <w:r w:rsidRPr="00CD7E52">
        <w:rPr>
          <w:rFonts w:eastAsia="TimesNewRoman"/>
          <w:szCs w:val="22"/>
          <w:lang w:val="lt-LT"/>
        </w:rPr>
        <w:t>kitais vaistiniais preparatais, kurie gali sukelti psichikos sutrikimų, prieš pradedant arba tęsiant gydymą</w:t>
      </w:r>
      <w:r w:rsidR="00705789" w:rsidRPr="00CD7E52">
        <w:rPr>
          <w:rFonts w:eastAsia="TimesNewRoman"/>
          <w:szCs w:val="22"/>
          <w:lang w:val="lt-LT"/>
        </w:rPr>
        <w:t xml:space="preserve"> </w:t>
      </w:r>
      <w:r w:rsidRPr="00CD7E52">
        <w:rPr>
          <w:rFonts w:eastAsia="TimesNewRoman"/>
          <w:szCs w:val="22"/>
          <w:lang w:val="lt-LT"/>
        </w:rPr>
        <w:t>apremilastu</w:t>
      </w:r>
      <w:r w:rsidR="001D5664" w:rsidRPr="00CD7E52">
        <w:rPr>
          <w:rFonts w:eastAsia="TimesNewRoman"/>
          <w:szCs w:val="22"/>
          <w:lang w:val="lt-LT"/>
        </w:rPr>
        <w:t>,</w:t>
      </w:r>
      <w:r w:rsidRPr="00CD7E52">
        <w:rPr>
          <w:rFonts w:eastAsia="TimesNewRoman"/>
          <w:szCs w:val="22"/>
          <w:lang w:val="lt-LT"/>
        </w:rPr>
        <w:t xml:space="preserve"> būtina atidžiai įvertinti naudos ir rizikos santykį. Pacientams ir juos prižiūrintiems asmenims turi</w:t>
      </w:r>
      <w:r w:rsidR="00E246EA" w:rsidRPr="00CD7E52">
        <w:rPr>
          <w:rFonts w:eastAsia="TimesNewRoman"/>
          <w:szCs w:val="22"/>
          <w:lang w:val="lt-LT"/>
        </w:rPr>
        <w:t xml:space="preserve"> </w:t>
      </w:r>
      <w:r w:rsidRPr="00CD7E52">
        <w:rPr>
          <w:rFonts w:eastAsia="TimesNewRoman"/>
          <w:szCs w:val="22"/>
          <w:lang w:val="lt-LT"/>
        </w:rPr>
        <w:t xml:space="preserve">būti paaiškinta, kad jie turi informuoti vaistinį preparatą </w:t>
      </w:r>
      <w:r w:rsidR="00705789" w:rsidRPr="00CD7E52">
        <w:rPr>
          <w:rFonts w:eastAsia="TimesNewRoman"/>
          <w:snapToGrid/>
          <w:szCs w:val="22"/>
          <w:lang w:val="lt-LT"/>
        </w:rPr>
        <w:t>skyrusį</w:t>
      </w:r>
      <w:r w:rsidRPr="00CD7E52">
        <w:rPr>
          <w:rFonts w:eastAsia="TimesNewRoman"/>
          <w:szCs w:val="22"/>
          <w:lang w:val="lt-LT"/>
        </w:rPr>
        <w:t xml:space="preserve"> gydytoją apie visus elgesio ir nuotaikos</w:t>
      </w:r>
      <w:r w:rsidR="00705789" w:rsidRPr="00CD7E52">
        <w:rPr>
          <w:rFonts w:eastAsia="TimesNewRoman"/>
          <w:szCs w:val="22"/>
          <w:lang w:val="lt-LT"/>
        </w:rPr>
        <w:t xml:space="preserve"> </w:t>
      </w:r>
      <w:r w:rsidRPr="00CD7E52">
        <w:rPr>
          <w:rFonts w:eastAsia="TimesNewRoman"/>
          <w:szCs w:val="22"/>
          <w:lang w:val="lt-LT"/>
        </w:rPr>
        <w:t>pasikeitimus bei mintis apie savižudybę. Jeigu pacientui pasireiškia nauji arba pablogėja esami psichikos</w:t>
      </w:r>
      <w:r w:rsidR="00705789" w:rsidRPr="00CD7E52">
        <w:rPr>
          <w:rFonts w:eastAsia="TimesNewRoman"/>
          <w:szCs w:val="22"/>
          <w:lang w:val="lt-LT"/>
        </w:rPr>
        <w:t xml:space="preserve"> </w:t>
      </w:r>
      <w:r w:rsidRPr="00CD7E52">
        <w:rPr>
          <w:rFonts w:eastAsia="TimesNewRoman"/>
          <w:szCs w:val="22"/>
          <w:lang w:val="lt-LT"/>
        </w:rPr>
        <w:t xml:space="preserve">sutrikimų simptomai, atsiranda minčių apie savižudybę ar </w:t>
      </w:r>
      <w:r w:rsidRPr="00CD7E52">
        <w:rPr>
          <w:rFonts w:eastAsia="TimesNewRoman"/>
          <w:snapToGrid/>
          <w:szCs w:val="22"/>
          <w:lang w:val="lt-LT"/>
        </w:rPr>
        <w:t>band</w:t>
      </w:r>
      <w:r w:rsidR="005C2E68" w:rsidRPr="00CD7E52">
        <w:rPr>
          <w:rFonts w:eastAsia="TimesNewRoman"/>
          <w:snapToGrid/>
          <w:szCs w:val="22"/>
          <w:lang w:val="lt-LT"/>
        </w:rPr>
        <w:t>y</w:t>
      </w:r>
      <w:r w:rsidR="00705789" w:rsidRPr="00CD7E52">
        <w:rPr>
          <w:rFonts w:eastAsia="TimesNewRoman"/>
          <w:snapToGrid/>
          <w:szCs w:val="22"/>
          <w:lang w:val="lt-LT"/>
        </w:rPr>
        <w:t>m</w:t>
      </w:r>
      <w:r w:rsidR="005C2E68" w:rsidRPr="00CD7E52">
        <w:rPr>
          <w:rFonts w:eastAsia="TimesNewRoman"/>
          <w:snapToGrid/>
          <w:szCs w:val="22"/>
          <w:lang w:val="lt-LT"/>
        </w:rPr>
        <w:t>ą</w:t>
      </w:r>
      <w:r w:rsidRPr="00CD7E52">
        <w:rPr>
          <w:rFonts w:eastAsia="TimesNewRoman"/>
          <w:szCs w:val="22"/>
          <w:lang w:val="lt-LT"/>
        </w:rPr>
        <w:t xml:space="preserve"> nusižudyti, gydymą apremilastu</w:t>
      </w:r>
      <w:r w:rsidR="00705789" w:rsidRPr="00CD7E52">
        <w:rPr>
          <w:rFonts w:eastAsia="TimesNewRoman"/>
          <w:szCs w:val="22"/>
          <w:lang w:val="lt-LT"/>
        </w:rPr>
        <w:t xml:space="preserve"> </w:t>
      </w:r>
      <w:r w:rsidRPr="00CD7E52">
        <w:rPr>
          <w:rFonts w:eastAsia="TimesNewRoman"/>
          <w:szCs w:val="22"/>
          <w:lang w:val="lt-LT"/>
        </w:rPr>
        <w:t>rekomenduojama nutraukti.</w:t>
      </w:r>
    </w:p>
    <w:p w14:paraId="403D3A75" w14:textId="77777777" w:rsidR="00A5289E" w:rsidRPr="00CD7E52" w:rsidRDefault="00A5289E" w:rsidP="00BD0220">
      <w:pPr>
        <w:widowControl w:val="0"/>
        <w:tabs>
          <w:tab w:val="clear" w:pos="567"/>
        </w:tabs>
        <w:spacing w:line="240" w:lineRule="auto"/>
        <w:rPr>
          <w:rFonts w:eastAsia="TimesNewRoman"/>
          <w:szCs w:val="22"/>
          <w:lang w:val="lt-LT"/>
        </w:rPr>
      </w:pPr>
    </w:p>
    <w:p w14:paraId="07F86DFA" w14:textId="77777777" w:rsidR="00F53348" w:rsidRPr="00CD7E52" w:rsidRDefault="00F53348" w:rsidP="00BD0220">
      <w:pPr>
        <w:widowControl w:val="0"/>
        <w:tabs>
          <w:tab w:val="clear" w:pos="567"/>
        </w:tabs>
        <w:spacing w:line="240" w:lineRule="auto"/>
        <w:rPr>
          <w:rFonts w:eastAsia="TimesNewRoman"/>
          <w:szCs w:val="22"/>
          <w:u w:val="single"/>
          <w:lang w:val="lt-LT"/>
        </w:rPr>
      </w:pPr>
      <w:r w:rsidRPr="00CD7E52">
        <w:rPr>
          <w:rFonts w:eastAsia="TimesNewRoman"/>
          <w:szCs w:val="22"/>
          <w:u w:val="single"/>
          <w:lang w:val="lt-LT"/>
        </w:rPr>
        <w:t>Sunkus inkstų funkcijos sutrikimas</w:t>
      </w:r>
    </w:p>
    <w:p w14:paraId="609FD0A2" w14:textId="77777777" w:rsidR="00F53348" w:rsidRPr="00CD7E52" w:rsidRDefault="007B6DBA" w:rsidP="00BD0220">
      <w:pPr>
        <w:widowControl w:val="0"/>
        <w:tabs>
          <w:tab w:val="clear" w:pos="567"/>
        </w:tabs>
        <w:spacing w:line="240" w:lineRule="auto"/>
        <w:rPr>
          <w:rFonts w:eastAsia="TimesNewRoman"/>
          <w:szCs w:val="22"/>
          <w:lang w:val="lt-LT"/>
        </w:rPr>
      </w:pPr>
      <w:r w:rsidRPr="007B6DBA">
        <w:rPr>
          <w:rFonts w:eastAsia="TimesNewRoman"/>
          <w:szCs w:val="22"/>
          <w:lang w:val="lt-LT"/>
        </w:rPr>
        <w:t xml:space="preserve">Suaugusiems </w:t>
      </w:r>
      <w:r>
        <w:rPr>
          <w:rFonts w:eastAsia="TimesNewRoman"/>
          <w:szCs w:val="22"/>
          <w:lang w:val="lt-LT"/>
        </w:rPr>
        <w:t>p</w:t>
      </w:r>
      <w:r w:rsidR="00F53348" w:rsidRPr="00CD7E52">
        <w:rPr>
          <w:rFonts w:eastAsia="TimesNewRoman"/>
          <w:szCs w:val="22"/>
          <w:lang w:val="lt-LT"/>
        </w:rPr>
        <w:t xml:space="preserve">acientams, kuriems yra sunkus inkstų </w:t>
      </w:r>
      <w:r w:rsidR="00CF6682" w:rsidRPr="00CD7E52">
        <w:rPr>
          <w:rFonts w:eastAsia="TimesNewRoman"/>
          <w:szCs w:val="22"/>
          <w:lang w:val="lt-LT"/>
        </w:rPr>
        <w:t xml:space="preserve">funkcijos </w:t>
      </w:r>
      <w:r w:rsidR="00F53348" w:rsidRPr="00CD7E52">
        <w:rPr>
          <w:rFonts w:eastAsia="TimesNewRoman"/>
          <w:szCs w:val="22"/>
          <w:lang w:val="lt-LT"/>
        </w:rPr>
        <w:t xml:space="preserve">sutrikimas, </w:t>
      </w:r>
      <w:r w:rsidR="005A4193" w:rsidRPr="00CD7E52">
        <w:rPr>
          <w:rFonts w:eastAsia="TimesNewRoman"/>
          <w:szCs w:val="22"/>
          <w:lang w:val="lt-LT"/>
        </w:rPr>
        <w:t>Apremilast STADA</w:t>
      </w:r>
      <w:r w:rsidR="00F53348" w:rsidRPr="00CD7E52">
        <w:rPr>
          <w:rFonts w:eastAsia="TimesNewRoman"/>
          <w:szCs w:val="22"/>
          <w:lang w:val="lt-LT"/>
        </w:rPr>
        <w:t xml:space="preserve"> dozę reikia sumažinti iki 30</w:t>
      </w:r>
      <w:r w:rsidR="00A87582" w:rsidRPr="00CD7E52">
        <w:rPr>
          <w:rFonts w:eastAsia="TimesNewRoman"/>
          <w:szCs w:val="22"/>
          <w:lang w:val="lt-LT"/>
        </w:rPr>
        <w:t> mg</w:t>
      </w:r>
      <w:r w:rsidR="00F53348" w:rsidRPr="00CD7E52">
        <w:rPr>
          <w:rFonts w:eastAsia="TimesNewRoman"/>
          <w:szCs w:val="22"/>
          <w:lang w:val="lt-LT"/>
        </w:rPr>
        <w:t xml:space="preserve"> dozės, vartojamos</w:t>
      </w:r>
      <w:r w:rsidR="00841950" w:rsidRPr="00CD7E52">
        <w:rPr>
          <w:rFonts w:eastAsia="TimesNewRoman"/>
          <w:szCs w:val="22"/>
          <w:lang w:val="lt-LT"/>
        </w:rPr>
        <w:t xml:space="preserve"> </w:t>
      </w:r>
      <w:r w:rsidR="00F53348" w:rsidRPr="00CD7E52">
        <w:rPr>
          <w:rFonts w:eastAsia="TimesNewRoman"/>
          <w:szCs w:val="22"/>
          <w:lang w:val="lt-LT"/>
        </w:rPr>
        <w:t>kartą per parą (žr. 4.2 ir 5.2</w:t>
      </w:r>
      <w:r w:rsidR="00A5289E" w:rsidRPr="00CD7E52">
        <w:rPr>
          <w:rFonts w:eastAsia="TimesNewRoman"/>
          <w:szCs w:val="22"/>
          <w:lang w:val="lt-LT"/>
        </w:rPr>
        <w:t> </w:t>
      </w:r>
      <w:r w:rsidR="00F53348" w:rsidRPr="00CD7E52">
        <w:rPr>
          <w:rFonts w:eastAsia="TimesNewRoman"/>
          <w:szCs w:val="22"/>
          <w:lang w:val="lt-LT"/>
        </w:rPr>
        <w:t>skyrius).</w:t>
      </w:r>
    </w:p>
    <w:p w14:paraId="6E13B542" w14:textId="77777777" w:rsidR="00841950" w:rsidRDefault="00841950" w:rsidP="00BD0220">
      <w:pPr>
        <w:widowControl w:val="0"/>
        <w:tabs>
          <w:tab w:val="clear" w:pos="567"/>
        </w:tabs>
        <w:spacing w:line="240" w:lineRule="auto"/>
        <w:rPr>
          <w:rFonts w:eastAsia="TimesNewRoman"/>
          <w:szCs w:val="22"/>
          <w:lang w:val="lt-LT"/>
        </w:rPr>
      </w:pPr>
    </w:p>
    <w:p w14:paraId="051DA016" w14:textId="77777777" w:rsidR="007B6DBA" w:rsidRDefault="007B6DBA" w:rsidP="00BD0220">
      <w:pPr>
        <w:widowControl w:val="0"/>
        <w:tabs>
          <w:tab w:val="clear" w:pos="567"/>
        </w:tabs>
        <w:spacing w:line="240" w:lineRule="auto"/>
        <w:rPr>
          <w:rFonts w:eastAsia="TimesNewRoman"/>
          <w:szCs w:val="22"/>
          <w:lang w:val="lt-LT"/>
        </w:rPr>
      </w:pPr>
      <w:r w:rsidRPr="007B6DBA">
        <w:rPr>
          <w:rFonts w:eastAsia="TimesNewRoman"/>
          <w:szCs w:val="22"/>
          <w:lang w:val="lt-LT"/>
        </w:rPr>
        <w:t>6</w:t>
      </w:r>
      <w:r w:rsidR="004812D2">
        <w:rPr>
          <w:rFonts w:eastAsia="TimesNewRoman"/>
          <w:szCs w:val="22"/>
          <w:lang w:val="lt-LT"/>
        </w:rPr>
        <w:t> </w:t>
      </w:r>
      <w:r w:rsidRPr="007B6DBA">
        <w:rPr>
          <w:rFonts w:eastAsia="TimesNewRoman"/>
          <w:szCs w:val="22"/>
          <w:lang w:val="lt-LT"/>
        </w:rPr>
        <w:t xml:space="preserve">metų ir vyresniems vaikams, kuriems yra sunkus inkstų </w:t>
      </w:r>
      <w:r w:rsidR="004812D2">
        <w:rPr>
          <w:rFonts w:eastAsia="TimesNewRoman"/>
          <w:szCs w:val="22"/>
          <w:lang w:val="lt-LT"/>
        </w:rPr>
        <w:t xml:space="preserve">funkcijos </w:t>
      </w:r>
      <w:r w:rsidRPr="007B6DBA">
        <w:rPr>
          <w:rFonts w:eastAsia="TimesNewRoman"/>
          <w:szCs w:val="22"/>
          <w:lang w:val="lt-LT"/>
        </w:rPr>
        <w:t>sutrikimas, sveriantiems ne mažiau kaip 50</w:t>
      </w:r>
      <w:r w:rsidR="00B8507A">
        <w:rPr>
          <w:rFonts w:eastAsia="TimesNewRoman"/>
          <w:szCs w:val="22"/>
          <w:lang w:val="lt-LT"/>
        </w:rPr>
        <w:t> </w:t>
      </w:r>
      <w:r w:rsidRPr="007B6DBA">
        <w:rPr>
          <w:rFonts w:eastAsia="TimesNewRoman"/>
          <w:szCs w:val="22"/>
          <w:lang w:val="lt-LT"/>
        </w:rPr>
        <w:t>kg, dozę reikia sumažinti iki 30</w:t>
      </w:r>
      <w:r w:rsidR="00B8507A">
        <w:rPr>
          <w:rFonts w:eastAsia="TimesNewRoman"/>
          <w:szCs w:val="22"/>
          <w:lang w:val="lt-LT"/>
        </w:rPr>
        <w:t> </w:t>
      </w:r>
      <w:r w:rsidRPr="007B6DBA">
        <w:rPr>
          <w:rFonts w:eastAsia="TimesNewRoman"/>
          <w:szCs w:val="22"/>
          <w:lang w:val="lt-LT"/>
        </w:rPr>
        <w:t>mg vieną kartą per parą, o vaikams, sveriantiems nuo 20</w:t>
      </w:r>
      <w:r w:rsidR="00B8507A">
        <w:rPr>
          <w:rFonts w:eastAsia="TimesNewRoman"/>
          <w:szCs w:val="22"/>
          <w:lang w:val="lt-LT"/>
        </w:rPr>
        <w:t> </w:t>
      </w:r>
      <w:r w:rsidRPr="007B6DBA">
        <w:rPr>
          <w:rFonts w:eastAsia="TimesNewRoman"/>
          <w:szCs w:val="22"/>
          <w:lang w:val="lt-LT"/>
        </w:rPr>
        <w:t xml:space="preserve">kg iki </w:t>
      </w:r>
      <w:r w:rsidR="00694DEC">
        <w:rPr>
          <w:rFonts w:eastAsia="TimesNewRoman"/>
          <w:szCs w:val="22"/>
          <w:lang w:val="lt-LT"/>
        </w:rPr>
        <w:t xml:space="preserve">mažiau nei </w:t>
      </w:r>
      <w:r w:rsidRPr="007B6DBA">
        <w:rPr>
          <w:rFonts w:eastAsia="TimesNewRoman"/>
          <w:szCs w:val="22"/>
          <w:lang w:val="lt-LT"/>
        </w:rPr>
        <w:t>50</w:t>
      </w:r>
      <w:r w:rsidR="00B8507A">
        <w:rPr>
          <w:rFonts w:eastAsia="TimesNewRoman"/>
          <w:szCs w:val="22"/>
          <w:lang w:val="lt-LT"/>
        </w:rPr>
        <w:t> </w:t>
      </w:r>
      <w:r w:rsidRPr="007B6DBA">
        <w:rPr>
          <w:rFonts w:eastAsia="TimesNewRoman"/>
          <w:szCs w:val="22"/>
          <w:lang w:val="lt-LT"/>
        </w:rPr>
        <w:t>kg, – iki 20</w:t>
      </w:r>
      <w:r w:rsidR="00B8507A">
        <w:rPr>
          <w:rFonts w:eastAsia="TimesNewRoman"/>
          <w:szCs w:val="22"/>
          <w:lang w:val="lt-LT"/>
        </w:rPr>
        <w:t> </w:t>
      </w:r>
      <w:r w:rsidRPr="007B6DBA">
        <w:rPr>
          <w:rFonts w:eastAsia="TimesNewRoman"/>
          <w:szCs w:val="22"/>
          <w:lang w:val="lt-LT"/>
        </w:rPr>
        <w:t>mg vieną kartą per parą (žr. 4.2 ir 5.2</w:t>
      </w:r>
      <w:r w:rsidR="00B8507A">
        <w:rPr>
          <w:rFonts w:eastAsia="TimesNewRoman"/>
          <w:szCs w:val="22"/>
          <w:lang w:val="lt-LT"/>
        </w:rPr>
        <w:t> </w:t>
      </w:r>
      <w:r w:rsidRPr="007B6DBA">
        <w:rPr>
          <w:rFonts w:eastAsia="TimesNewRoman"/>
          <w:szCs w:val="22"/>
          <w:lang w:val="lt-LT"/>
        </w:rPr>
        <w:t>skyrius).</w:t>
      </w:r>
    </w:p>
    <w:p w14:paraId="5C933040" w14:textId="77777777" w:rsidR="007B6DBA" w:rsidRPr="00CD7E52" w:rsidRDefault="007B6DBA" w:rsidP="00BD0220">
      <w:pPr>
        <w:widowControl w:val="0"/>
        <w:tabs>
          <w:tab w:val="clear" w:pos="567"/>
        </w:tabs>
        <w:spacing w:line="240" w:lineRule="auto"/>
        <w:rPr>
          <w:rFonts w:eastAsia="TimesNewRoman"/>
          <w:szCs w:val="22"/>
          <w:lang w:val="lt-LT"/>
        </w:rPr>
      </w:pPr>
    </w:p>
    <w:p w14:paraId="15AEF34D" w14:textId="77777777" w:rsidR="00F53348" w:rsidRPr="00CD7E52" w:rsidRDefault="00F53348" w:rsidP="00BD0220">
      <w:pPr>
        <w:widowControl w:val="0"/>
        <w:tabs>
          <w:tab w:val="clear" w:pos="567"/>
        </w:tabs>
        <w:spacing w:line="240" w:lineRule="auto"/>
        <w:rPr>
          <w:rFonts w:eastAsia="TimesNewRoman"/>
          <w:szCs w:val="22"/>
          <w:u w:val="single"/>
          <w:lang w:val="lt-LT"/>
        </w:rPr>
      </w:pPr>
      <w:r w:rsidRPr="00CD7E52">
        <w:rPr>
          <w:rFonts w:eastAsia="TimesNewRoman"/>
          <w:szCs w:val="22"/>
          <w:u w:val="single"/>
          <w:lang w:val="lt-LT"/>
        </w:rPr>
        <w:t>Per mažai sveriantys pacientai</w:t>
      </w:r>
    </w:p>
    <w:p w14:paraId="73B88199" w14:textId="77777777" w:rsidR="00F53348" w:rsidRPr="00CD7E52" w:rsidRDefault="00F53348" w:rsidP="00BD0220">
      <w:pPr>
        <w:widowControl w:val="0"/>
        <w:tabs>
          <w:tab w:val="clear" w:pos="567"/>
        </w:tabs>
        <w:spacing w:line="240" w:lineRule="auto"/>
        <w:rPr>
          <w:rFonts w:eastAsia="TimesNewRoman"/>
          <w:szCs w:val="22"/>
          <w:lang w:val="lt-LT"/>
        </w:rPr>
      </w:pPr>
      <w:r w:rsidRPr="00CD7E52">
        <w:rPr>
          <w:rFonts w:eastAsia="TimesNewRoman"/>
          <w:szCs w:val="22"/>
          <w:lang w:val="lt-LT"/>
        </w:rPr>
        <w:t xml:space="preserve">Pacientų, kurie gydymo pradžioje </w:t>
      </w:r>
      <w:r w:rsidR="00841950" w:rsidRPr="00CD7E52">
        <w:rPr>
          <w:rFonts w:eastAsia="TimesNewRoman"/>
          <w:snapToGrid/>
          <w:szCs w:val="22"/>
          <w:lang w:val="lt-LT"/>
        </w:rPr>
        <w:t xml:space="preserve">sveria </w:t>
      </w:r>
      <w:r w:rsidRPr="00CD7E52">
        <w:rPr>
          <w:rFonts w:eastAsia="TimesNewRoman"/>
          <w:szCs w:val="22"/>
          <w:lang w:val="lt-LT"/>
        </w:rPr>
        <w:t xml:space="preserve">per mažai, </w:t>
      </w:r>
      <w:r w:rsidR="007B6DBA" w:rsidRPr="007B6DBA">
        <w:rPr>
          <w:rFonts w:eastAsia="TimesNewRoman"/>
          <w:szCs w:val="22"/>
          <w:lang w:val="lt-LT"/>
        </w:rPr>
        <w:t xml:space="preserve">ir vaikų, kurių kūno masės indeksas gydymo pradžioje yra ribinis arba mažas, </w:t>
      </w:r>
      <w:r w:rsidRPr="00CD7E52">
        <w:rPr>
          <w:rFonts w:eastAsia="TimesNewRoman"/>
          <w:szCs w:val="22"/>
          <w:lang w:val="lt-LT"/>
        </w:rPr>
        <w:t>kūno svorį reikia reguliariai tikrinti. Pasireiškus</w:t>
      </w:r>
      <w:r w:rsidR="00841950" w:rsidRPr="00CD7E52">
        <w:rPr>
          <w:rFonts w:eastAsia="TimesNewRoman"/>
          <w:szCs w:val="22"/>
          <w:lang w:val="lt-LT"/>
        </w:rPr>
        <w:t xml:space="preserve"> </w:t>
      </w:r>
      <w:r w:rsidRPr="00CD7E52">
        <w:rPr>
          <w:rFonts w:eastAsia="TimesNewRoman"/>
          <w:szCs w:val="22"/>
          <w:lang w:val="lt-LT"/>
        </w:rPr>
        <w:t xml:space="preserve">nepaaiškinamam ir kliniškai reikšmingam </w:t>
      </w:r>
      <w:r w:rsidR="00841950" w:rsidRPr="00CD7E52">
        <w:rPr>
          <w:rFonts w:eastAsia="TimesNewRoman"/>
          <w:snapToGrid/>
          <w:szCs w:val="22"/>
          <w:lang w:val="lt-LT"/>
        </w:rPr>
        <w:t xml:space="preserve">kūno </w:t>
      </w:r>
      <w:r w:rsidRPr="00CD7E52">
        <w:rPr>
          <w:rFonts w:eastAsia="TimesNewRoman"/>
          <w:szCs w:val="22"/>
          <w:lang w:val="lt-LT"/>
        </w:rPr>
        <w:t xml:space="preserve">svorio </w:t>
      </w:r>
      <w:r w:rsidR="00841950" w:rsidRPr="00CD7E52">
        <w:rPr>
          <w:rFonts w:eastAsia="TimesNewRoman"/>
          <w:snapToGrid/>
          <w:szCs w:val="22"/>
          <w:lang w:val="lt-LT"/>
        </w:rPr>
        <w:t>mažėjimui</w:t>
      </w:r>
      <w:r w:rsidRPr="00CD7E52">
        <w:rPr>
          <w:rFonts w:eastAsia="TimesNewRoman"/>
          <w:szCs w:val="22"/>
          <w:lang w:val="lt-LT"/>
        </w:rPr>
        <w:t xml:space="preserve">, šiuos pacientus turi įvertinti gydytojas ir </w:t>
      </w:r>
      <w:r w:rsidR="00841950" w:rsidRPr="00CD7E52">
        <w:rPr>
          <w:rFonts w:eastAsia="TimesNewRoman"/>
          <w:snapToGrid/>
          <w:szCs w:val="22"/>
          <w:lang w:val="lt-LT"/>
        </w:rPr>
        <w:t>būtina</w:t>
      </w:r>
      <w:r w:rsidR="00841950" w:rsidRPr="00CD7E52">
        <w:rPr>
          <w:rFonts w:eastAsia="TimesNewRoman"/>
          <w:szCs w:val="22"/>
          <w:lang w:val="lt-LT"/>
        </w:rPr>
        <w:t xml:space="preserve"> </w:t>
      </w:r>
      <w:r w:rsidRPr="00CD7E52">
        <w:rPr>
          <w:rFonts w:eastAsia="TimesNewRoman"/>
          <w:szCs w:val="22"/>
          <w:lang w:val="lt-LT"/>
        </w:rPr>
        <w:t xml:space="preserve">apsvarstyti, ar nereikia </w:t>
      </w:r>
      <w:r w:rsidR="00841950" w:rsidRPr="00CD7E52">
        <w:rPr>
          <w:rFonts w:eastAsia="TimesNewRoman"/>
          <w:szCs w:val="22"/>
          <w:lang w:val="lt-LT"/>
        </w:rPr>
        <w:t>nutraukti</w:t>
      </w:r>
      <w:r w:rsidR="00841950" w:rsidRPr="00CD7E52">
        <w:rPr>
          <w:rFonts w:eastAsia="TimesNewRoman"/>
          <w:snapToGrid/>
          <w:szCs w:val="22"/>
          <w:lang w:val="lt-LT"/>
        </w:rPr>
        <w:t xml:space="preserve"> </w:t>
      </w:r>
      <w:r w:rsidRPr="00CD7E52">
        <w:rPr>
          <w:rFonts w:eastAsia="TimesNewRoman"/>
          <w:snapToGrid/>
          <w:szCs w:val="22"/>
          <w:lang w:val="lt-LT"/>
        </w:rPr>
        <w:t>gydymo</w:t>
      </w:r>
      <w:r w:rsidRPr="00CD7E52">
        <w:rPr>
          <w:rFonts w:eastAsia="TimesNewRoman"/>
          <w:szCs w:val="22"/>
          <w:lang w:val="lt-LT"/>
        </w:rPr>
        <w:t>.</w:t>
      </w:r>
    </w:p>
    <w:p w14:paraId="0850C65E" w14:textId="77777777" w:rsidR="00F53348" w:rsidRPr="00CD7E52" w:rsidRDefault="00F53348" w:rsidP="00BD0220">
      <w:pPr>
        <w:widowControl w:val="0"/>
        <w:tabs>
          <w:tab w:val="clear" w:pos="567"/>
        </w:tabs>
        <w:spacing w:line="240" w:lineRule="auto"/>
        <w:rPr>
          <w:rFonts w:eastAsia="TimesNewRoman"/>
          <w:szCs w:val="22"/>
          <w:lang w:val="lt-LT"/>
        </w:rPr>
      </w:pPr>
    </w:p>
    <w:p w14:paraId="1DD6BA53" w14:textId="77777777" w:rsidR="003100BF" w:rsidRPr="00CD7E52" w:rsidRDefault="003100BF" w:rsidP="00BD0220">
      <w:pPr>
        <w:widowControl w:val="0"/>
        <w:tabs>
          <w:tab w:val="clear" w:pos="567"/>
        </w:tabs>
        <w:kinsoku w:val="0"/>
        <w:overflowPunct w:val="0"/>
        <w:autoSpaceDE w:val="0"/>
        <w:autoSpaceDN w:val="0"/>
        <w:adjustRightInd w:val="0"/>
        <w:spacing w:line="240" w:lineRule="auto"/>
        <w:rPr>
          <w:szCs w:val="22"/>
          <w:u w:val="single"/>
          <w:lang w:val="lt-LT"/>
        </w:rPr>
      </w:pPr>
      <w:r w:rsidRPr="00CD7E52">
        <w:rPr>
          <w:szCs w:val="22"/>
          <w:u w:val="single"/>
          <w:lang w:val="lt-LT"/>
        </w:rPr>
        <w:t>Pagalbinės medžiagos</w:t>
      </w:r>
    </w:p>
    <w:p w14:paraId="51B6C224" w14:textId="77777777" w:rsidR="003100BF" w:rsidRPr="00CD7E52" w:rsidRDefault="003100BF" w:rsidP="00BD0220">
      <w:pPr>
        <w:widowControl w:val="0"/>
        <w:tabs>
          <w:tab w:val="clear" w:pos="567"/>
        </w:tabs>
        <w:kinsoku w:val="0"/>
        <w:overflowPunct w:val="0"/>
        <w:autoSpaceDE w:val="0"/>
        <w:autoSpaceDN w:val="0"/>
        <w:adjustRightInd w:val="0"/>
        <w:spacing w:line="240" w:lineRule="auto"/>
        <w:rPr>
          <w:i/>
          <w:iCs/>
          <w:szCs w:val="22"/>
          <w:lang w:val="lt-LT"/>
        </w:rPr>
      </w:pPr>
      <w:r w:rsidRPr="00CD7E52">
        <w:rPr>
          <w:i/>
          <w:iCs/>
          <w:szCs w:val="22"/>
          <w:lang w:val="lt-LT"/>
        </w:rPr>
        <w:t>Laktozė</w:t>
      </w:r>
    </w:p>
    <w:p w14:paraId="6B42BD8F" w14:textId="77777777" w:rsidR="003100BF" w:rsidRPr="00CD7E52" w:rsidRDefault="003100BF"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Šio vaistinio preparato negalima vartoti pacientams, kuriems nustatytas retas paveldimas sutrikimas – galaktozės netoleravimas, visiškas laktazės stygius arba gliukozės ir galaktozės malabsorbcija.</w:t>
      </w:r>
    </w:p>
    <w:p w14:paraId="7A6F1906" w14:textId="77777777" w:rsidR="003100BF" w:rsidRPr="00CD7E52" w:rsidRDefault="003100BF" w:rsidP="00BD0220">
      <w:pPr>
        <w:widowControl w:val="0"/>
        <w:tabs>
          <w:tab w:val="clear" w:pos="567"/>
        </w:tabs>
        <w:kinsoku w:val="0"/>
        <w:overflowPunct w:val="0"/>
        <w:autoSpaceDE w:val="0"/>
        <w:autoSpaceDN w:val="0"/>
        <w:adjustRightInd w:val="0"/>
        <w:spacing w:line="240" w:lineRule="auto"/>
        <w:rPr>
          <w:i/>
          <w:iCs/>
          <w:szCs w:val="22"/>
          <w:lang w:val="lt-LT"/>
        </w:rPr>
      </w:pPr>
      <w:r w:rsidRPr="00CD7E52">
        <w:rPr>
          <w:i/>
          <w:iCs/>
          <w:szCs w:val="22"/>
          <w:lang w:val="lt-LT"/>
        </w:rPr>
        <w:t>Natris</w:t>
      </w:r>
    </w:p>
    <w:p w14:paraId="131FE19C" w14:textId="77777777" w:rsidR="003100BF" w:rsidRPr="00CD7E52" w:rsidRDefault="003100BF"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 xml:space="preserve">Šio vaistinio preparato </w:t>
      </w:r>
      <w:r w:rsidR="0042267E" w:rsidRPr="00CD7E52">
        <w:rPr>
          <w:szCs w:val="22"/>
          <w:lang w:val="lt-LT"/>
        </w:rPr>
        <w:t>rekomenduojamoje doz</w:t>
      </w:r>
      <w:r w:rsidR="001D1B16" w:rsidRPr="00CD7E52">
        <w:rPr>
          <w:szCs w:val="22"/>
          <w:lang w:val="lt-LT"/>
        </w:rPr>
        <w:t>ė</w:t>
      </w:r>
      <w:r w:rsidR="0042267E" w:rsidRPr="00CD7E52">
        <w:rPr>
          <w:szCs w:val="22"/>
          <w:lang w:val="lt-LT"/>
        </w:rPr>
        <w:t>je (30 mg</w:t>
      </w:r>
      <w:r w:rsidR="001D1B16" w:rsidRPr="00CD7E52">
        <w:rPr>
          <w:szCs w:val="22"/>
          <w:lang w:val="lt-LT"/>
        </w:rPr>
        <w:t xml:space="preserve"> du kartus per parą) </w:t>
      </w:r>
      <w:r w:rsidRPr="00CD7E52">
        <w:rPr>
          <w:szCs w:val="22"/>
          <w:lang w:val="lt-LT"/>
        </w:rPr>
        <w:t>yra mažiau kaip 1 mmol (23 mg) natrio, t. y. jis beveik neturi reikšmės.</w:t>
      </w:r>
    </w:p>
    <w:p w14:paraId="491EDCD6" w14:textId="77777777" w:rsidR="00776FBE" w:rsidRPr="00CD7E52" w:rsidRDefault="00776FBE" w:rsidP="00BD0220">
      <w:pPr>
        <w:widowControl w:val="0"/>
        <w:tabs>
          <w:tab w:val="clear" w:pos="567"/>
        </w:tabs>
        <w:spacing w:line="240" w:lineRule="auto"/>
        <w:ind w:left="567" w:hanging="567"/>
        <w:rPr>
          <w:szCs w:val="22"/>
          <w:lang w:val="lt-LT"/>
        </w:rPr>
      </w:pPr>
    </w:p>
    <w:p w14:paraId="400ADC4D" w14:textId="77777777" w:rsidR="00776FBE" w:rsidRPr="00CD7E52" w:rsidRDefault="00776FBE" w:rsidP="009E0A7D">
      <w:pPr>
        <w:widowControl w:val="0"/>
        <w:spacing w:line="240" w:lineRule="auto"/>
        <w:ind w:left="567" w:hanging="567"/>
        <w:outlineLvl w:val="2"/>
        <w:rPr>
          <w:b/>
          <w:kern w:val="28"/>
          <w:szCs w:val="22"/>
          <w:lang w:val="lt-LT"/>
        </w:rPr>
      </w:pPr>
      <w:r w:rsidRPr="00CD7E52">
        <w:rPr>
          <w:b/>
          <w:snapToGrid/>
          <w:kern w:val="28"/>
          <w:szCs w:val="22"/>
          <w:lang w:val="lt-LT"/>
        </w:rPr>
        <w:t>4.5</w:t>
      </w:r>
      <w:r w:rsidRPr="00CD7E52">
        <w:rPr>
          <w:b/>
          <w:snapToGrid/>
          <w:kern w:val="28"/>
          <w:szCs w:val="22"/>
          <w:lang w:val="lt-LT"/>
        </w:rPr>
        <w:tab/>
      </w:r>
      <w:r w:rsidRPr="00CD7E52">
        <w:rPr>
          <w:b/>
          <w:kern w:val="28"/>
          <w:szCs w:val="22"/>
          <w:lang w:val="lt-LT"/>
        </w:rPr>
        <w:t>Sąveika su kitais vaistiniais preparatais ir kitokia sąveika</w:t>
      </w:r>
    </w:p>
    <w:p w14:paraId="7BB258A6" w14:textId="77777777" w:rsidR="00776FBE" w:rsidRPr="00CD7E52" w:rsidRDefault="00776FBE" w:rsidP="00BD0220">
      <w:pPr>
        <w:widowControl w:val="0"/>
        <w:tabs>
          <w:tab w:val="clear" w:pos="567"/>
        </w:tabs>
        <w:spacing w:line="240" w:lineRule="auto"/>
        <w:ind w:left="567" w:hanging="567"/>
        <w:rPr>
          <w:szCs w:val="22"/>
          <w:lang w:val="lt-LT"/>
        </w:rPr>
      </w:pPr>
    </w:p>
    <w:p w14:paraId="03FFE0FA" w14:textId="77777777" w:rsidR="00B262F0" w:rsidRPr="00CD7E52" w:rsidRDefault="00B262F0"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 xml:space="preserve">Kartu vartojant </w:t>
      </w:r>
      <w:r w:rsidR="00BA004C" w:rsidRPr="00CD7E52">
        <w:rPr>
          <w:rFonts w:eastAsia="TimesNewRoman"/>
          <w:szCs w:val="22"/>
          <w:lang w:val="lt-LT"/>
        </w:rPr>
        <w:t xml:space="preserve">stipraus poveikio </w:t>
      </w:r>
      <w:r w:rsidRPr="00CD7E52">
        <w:rPr>
          <w:rFonts w:eastAsia="TimesNewRoman"/>
          <w:szCs w:val="22"/>
          <w:lang w:val="lt-LT"/>
        </w:rPr>
        <w:t>citochromo P450 3A4 (CYP3A4) fermento induktori</w:t>
      </w:r>
      <w:r w:rsidR="00C36FC8" w:rsidRPr="00CD7E52">
        <w:rPr>
          <w:rFonts w:eastAsia="TimesNewRoman"/>
          <w:szCs w:val="22"/>
          <w:lang w:val="lt-LT"/>
        </w:rPr>
        <w:t>aus</w:t>
      </w:r>
      <w:r w:rsidRPr="00CD7E52">
        <w:rPr>
          <w:rFonts w:eastAsia="TimesNewRoman"/>
          <w:szCs w:val="22"/>
          <w:lang w:val="lt-LT"/>
        </w:rPr>
        <w:t xml:space="preserve"> rifampicin</w:t>
      </w:r>
      <w:r w:rsidR="00C36FC8" w:rsidRPr="00CD7E52">
        <w:rPr>
          <w:rFonts w:eastAsia="TimesNewRoman"/>
          <w:szCs w:val="22"/>
          <w:lang w:val="lt-LT"/>
        </w:rPr>
        <w:t>o</w:t>
      </w:r>
      <w:r w:rsidRPr="00CD7E52">
        <w:rPr>
          <w:rFonts w:eastAsia="TimesNewRoman"/>
          <w:szCs w:val="22"/>
          <w:lang w:val="lt-LT"/>
        </w:rPr>
        <w:t>, sumažėj</w:t>
      </w:r>
      <w:r w:rsidR="00C36FC8" w:rsidRPr="00CD7E52">
        <w:rPr>
          <w:rFonts w:eastAsia="TimesNewRoman"/>
          <w:szCs w:val="22"/>
          <w:lang w:val="lt-LT"/>
        </w:rPr>
        <w:t>a</w:t>
      </w:r>
      <w:r w:rsidRPr="00CD7E52">
        <w:rPr>
          <w:rFonts w:eastAsia="TimesNewRoman"/>
          <w:szCs w:val="22"/>
          <w:lang w:val="lt-LT"/>
        </w:rPr>
        <w:t xml:space="preserve"> sisteminė</w:t>
      </w:r>
      <w:r w:rsidR="00A019B1" w:rsidRPr="00CD7E52">
        <w:rPr>
          <w:rFonts w:eastAsia="TimesNewRoman"/>
          <w:szCs w:val="22"/>
          <w:lang w:val="lt-LT"/>
        </w:rPr>
        <w:t xml:space="preserve"> </w:t>
      </w:r>
      <w:r w:rsidRPr="00CD7E52">
        <w:rPr>
          <w:rFonts w:eastAsia="TimesNewRoman"/>
          <w:szCs w:val="22"/>
          <w:lang w:val="lt-LT"/>
        </w:rPr>
        <w:t>apremilasto ekspozicija, dėl to gali sumažėti apremilasto veiksmingumas. Todėl vartoti stipri</w:t>
      </w:r>
      <w:r w:rsidR="00B973CF" w:rsidRPr="00CD7E52">
        <w:rPr>
          <w:rFonts w:eastAsia="TimesNewRoman"/>
          <w:szCs w:val="22"/>
          <w:lang w:val="lt-LT"/>
        </w:rPr>
        <w:t>ų</w:t>
      </w:r>
      <w:r w:rsidRPr="00CD7E52">
        <w:rPr>
          <w:rFonts w:eastAsia="TimesNewRoman"/>
          <w:szCs w:val="22"/>
          <w:lang w:val="lt-LT"/>
        </w:rPr>
        <w:t xml:space="preserve"> CYP3A4</w:t>
      </w:r>
      <w:r w:rsidR="00A019B1" w:rsidRPr="00CD7E52">
        <w:rPr>
          <w:rFonts w:eastAsia="TimesNewRoman"/>
          <w:szCs w:val="22"/>
          <w:lang w:val="lt-LT"/>
        </w:rPr>
        <w:t xml:space="preserve"> </w:t>
      </w:r>
      <w:r w:rsidRPr="00CD7E52">
        <w:rPr>
          <w:rFonts w:eastAsia="TimesNewRoman"/>
          <w:szCs w:val="22"/>
          <w:lang w:val="lt-LT"/>
        </w:rPr>
        <w:t>fermentų induktori</w:t>
      </w:r>
      <w:r w:rsidR="00B973CF" w:rsidRPr="00CD7E52">
        <w:rPr>
          <w:rFonts w:eastAsia="TimesNewRoman"/>
          <w:szCs w:val="22"/>
          <w:lang w:val="lt-LT"/>
        </w:rPr>
        <w:t>ų</w:t>
      </w:r>
      <w:r w:rsidRPr="00CD7E52">
        <w:rPr>
          <w:rFonts w:eastAsia="TimesNewRoman"/>
          <w:szCs w:val="22"/>
          <w:lang w:val="lt-LT"/>
        </w:rPr>
        <w:t xml:space="preserve"> (pvz., rifampicin</w:t>
      </w:r>
      <w:r w:rsidR="00B973CF" w:rsidRPr="00CD7E52">
        <w:rPr>
          <w:rFonts w:eastAsia="TimesNewRoman"/>
          <w:szCs w:val="22"/>
          <w:lang w:val="lt-LT"/>
        </w:rPr>
        <w:t>o</w:t>
      </w:r>
      <w:r w:rsidRPr="00CD7E52">
        <w:rPr>
          <w:rFonts w:eastAsia="TimesNewRoman"/>
          <w:szCs w:val="22"/>
          <w:lang w:val="lt-LT"/>
        </w:rPr>
        <w:t>, fenobarbital</w:t>
      </w:r>
      <w:r w:rsidR="00B973CF" w:rsidRPr="00CD7E52">
        <w:rPr>
          <w:rFonts w:eastAsia="TimesNewRoman"/>
          <w:szCs w:val="22"/>
          <w:lang w:val="lt-LT"/>
        </w:rPr>
        <w:t>io</w:t>
      </w:r>
      <w:r w:rsidRPr="00CD7E52">
        <w:rPr>
          <w:rFonts w:eastAsia="TimesNewRoman"/>
          <w:szCs w:val="22"/>
          <w:lang w:val="lt-LT"/>
        </w:rPr>
        <w:t>, karbamazepin</w:t>
      </w:r>
      <w:r w:rsidR="00B973CF" w:rsidRPr="00CD7E52">
        <w:rPr>
          <w:rFonts w:eastAsia="TimesNewRoman"/>
          <w:szCs w:val="22"/>
          <w:lang w:val="lt-LT"/>
        </w:rPr>
        <w:t>o</w:t>
      </w:r>
      <w:r w:rsidRPr="00CD7E52">
        <w:rPr>
          <w:rFonts w:eastAsia="TimesNewRoman"/>
          <w:szCs w:val="22"/>
          <w:lang w:val="lt-LT"/>
        </w:rPr>
        <w:t>, fenitoin</w:t>
      </w:r>
      <w:r w:rsidR="00B973CF" w:rsidRPr="00CD7E52">
        <w:rPr>
          <w:rFonts w:eastAsia="TimesNewRoman"/>
          <w:szCs w:val="22"/>
          <w:lang w:val="lt-LT"/>
        </w:rPr>
        <w:t>o</w:t>
      </w:r>
      <w:r w:rsidRPr="00CD7E52">
        <w:rPr>
          <w:rFonts w:eastAsia="TimesNewRoman"/>
          <w:szCs w:val="22"/>
          <w:lang w:val="lt-LT"/>
        </w:rPr>
        <w:t xml:space="preserve"> ir jonažol</w:t>
      </w:r>
      <w:r w:rsidR="008D0C0D" w:rsidRPr="00CD7E52">
        <w:rPr>
          <w:rFonts w:eastAsia="TimesNewRoman"/>
          <w:szCs w:val="22"/>
          <w:lang w:val="lt-LT"/>
        </w:rPr>
        <w:t>ių žolės</w:t>
      </w:r>
      <w:r w:rsidRPr="00CD7E52">
        <w:rPr>
          <w:rFonts w:eastAsia="TimesNewRoman"/>
          <w:szCs w:val="22"/>
          <w:lang w:val="lt-LT"/>
        </w:rPr>
        <w:t xml:space="preserve"> </w:t>
      </w:r>
      <w:r w:rsidR="00280197" w:rsidRPr="00CD7E52">
        <w:rPr>
          <w:rFonts w:eastAsia="TimesNewRoman"/>
          <w:szCs w:val="22"/>
          <w:lang w:val="lt-LT"/>
        </w:rPr>
        <w:t xml:space="preserve">vaistinių </w:t>
      </w:r>
      <w:r w:rsidRPr="00CD7E52">
        <w:rPr>
          <w:rFonts w:eastAsia="TimesNewRoman"/>
          <w:szCs w:val="22"/>
          <w:lang w:val="lt-LT"/>
        </w:rPr>
        <w:t>preparat</w:t>
      </w:r>
      <w:r w:rsidR="00B26E82" w:rsidRPr="00CD7E52">
        <w:rPr>
          <w:rFonts w:eastAsia="TimesNewRoman"/>
          <w:szCs w:val="22"/>
          <w:lang w:val="lt-LT"/>
        </w:rPr>
        <w:t>ų</w:t>
      </w:r>
      <w:r w:rsidRPr="00CD7E52">
        <w:rPr>
          <w:rFonts w:eastAsia="TimesNewRoman"/>
          <w:szCs w:val="22"/>
          <w:lang w:val="lt-LT"/>
        </w:rPr>
        <w:t>)</w:t>
      </w:r>
      <w:r w:rsidR="00A019B1" w:rsidRPr="00CD7E52">
        <w:rPr>
          <w:rFonts w:eastAsia="TimesNewRoman"/>
          <w:szCs w:val="22"/>
          <w:lang w:val="lt-LT"/>
        </w:rPr>
        <w:t xml:space="preserve"> </w:t>
      </w:r>
      <w:r w:rsidRPr="00CD7E52">
        <w:rPr>
          <w:rFonts w:eastAsia="TimesNewRoman"/>
          <w:szCs w:val="22"/>
          <w:lang w:val="lt-LT"/>
        </w:rPr>
        <w:t>kartu su apremilastu nerekomenduojama. Vartojant apremilast</w:t>
      </w:r>
      <w:r w:rsidR="00B26E82" w:rsidRPr="00CD7E52">
        <w:rPr>
          <w:rFonts w:eastAsia="TimesNewRoman"/>
          <w:szCs w:val="22"/>
          <w:lang w:val="lt-LT"/>
        </w:rPr>
        <w:t>o</w:t>
      </w:r>
      <w:r w:rsidRPr="00CD7E52">
        <w:rPr>
          <w:rFonts w:eastAsia="TimesNewRoman"/>
          <w:szCs w:val="22"/>
          <w:lang w:val="lt-LT"/>
        </w:rPr>
        <w:t xml:space="preserve"> kartu su </w:t>
      </w:r>
      <w:r w:rsidR="00A019B1" w:rsidRPr="00CD7E52">
        <w:rPr>
          <w:rFonts w:eastAsia="TimesNewRoman"/>
          <w:snapToGrid/>
          <w:szCs w:val="22"/>
          <w:lang w:val="lt-LT"/>
        </w:rPr>
        <w:t>kartotinėmis</w:t>
      </w:r>
      <w:r w:rsidRPr="00CD7E52">
        <w:rPr>
          <w:rFonts w:eastAsia="TimesNewRoman"/>
          <w:szCs w:val="22"/>
          <w:lang w:val="lt-LT"/>
        </w:rPr>
        <w:t xml:space="preserve"> rifampicino</w:t>
      </w:r>
      <w:r w:rsidR="00A019B1" w:rsidRPr="00CD7E52">
        <w:rPr>
          <w:rFonts w:eastAsia="TimesNewRoman"/>
          <w:szCs w:val="22"/>
          <w:lang w:val="lt-LT"/>
        </w:rPr>
        <w:t xml:space="preserve"> </w:t>
      </w:r>
      <w:r w:rsidRPr="00CD7E52">
        <w:rPr>
          <w:rFonts w:eastAsia="TimesNewRoman"/>
          <w:szCs w:val="22"/>
          <w:lang w:val="lt-LT"/>
        </w:rPr>
        <w:t xml:space="preserve">dozėmis, apremilasto plotas po koncentracijos </w:t>
      </w:r>
      <w:r w:rsidR="00A019B1" w:rsidRPr="00CD7E52">
        <w:rPr>
          <w:rFonts w:eastAsia="TimesNewRoman"/>
          <w:szCs w:val="22"/>
          <w:lang w:val="lt-LT"/>
        </w:rPr>
        <w:t xml:space="preserve">kreive </w:t>
      </w:r>
      <w:r w:rsidR="00A019B1" w:rsidRPr="00CD7E52">
        <w:rPr>
          <w:rFonts w:eastAsia="TimesNewRoman"/>
          <w:snapToGrid/>
          <w:szCs w:val="22"/>
          <w:lang w:val="lt-LT"/>
        </w:rPr>
        <w:t>laiko atžvilgiu</w:t>
      </w:r>
      <w:r w:rsidRPr="00CD7E52">
        <w:rPr>
          <w:rFonts w:eastAsia="TimesNewRoman"/>
          <w:snapToGrid/>
          <w:szCs w:val="22"/>
          <w:lang w:val="lt-LT"/>
        </w:rPr>
        <w:t xml:space="preserve"> </w:t>
      </w:r>
      <w:r w:rsidRPr="00CD7E52">
        <w:rPr>
          <w:rFonts w:eastAsia="TimesNewRoman"/>
          <w:szCs w:val="22"/>
          <w:lang w:val="lt-LT"/>
        </w:rPr>
        <w:t xml:space="preserve">(AUC) bei didžiausia koncentracija </w:t>
      </w:r>
      <w:r w:rsidR="00A019B1" w:rsidRPr="00CD7E52">
        <w:rPr>
          <w:rFonts w:eastAsia="TimesNewRoman"/>
          <w:snapToGrid/>
          <w:szCs w:val="22"/>
          <w:lang w:val="lt-LT"/>
        </w:rPr>
        <w:t xml:space="preserve">kraujo </w:t>
      </w:r>
      <w:r w:rsidRPr="00CD7E52">
        <w:rPr>
          <w:rFonts w:eastAsia="TimesNewRoman"/>
          <w:szCs w:val="22"/>
          <w:lang w:val="lt-LT"/>
        </w:rPr>
        <w:t>serume</w:t>
      </w:r>
      <w:r w:rsidR="00A019B1" w:rsidRPr="00CD7E52">
        <w:rPr>
          <w:rFonts w:eastAsia="TimesNewRoman"/>
          <w:szCs w:val="22"/>
          <w:lang w:val="lt-LT"/>
        </w:rPr>
        <w:t xml:space="preserve"> </w:t>
      </w:r>
      <w:r w:rsidRPr="00CD7E52">
        <w:rPr>
          <w:rFonts w:eastAsia="TimesNewRoman"/>
          <w:szCs w:val="22"/>
          <w:lang w:val="lt-LT"/>
        </w:rPr>
        <w:t>(C</w:t>
      </w:r>
      <w:r w:rsidRPr="00CD7E52">
        <w:rPr>
          <w:rFonts w:eastAsia="TimesNewRoman"/>
          <w:szCs w:val="22"/>
          <w:vertAlign w:val="subscript"/>
          <w:lang w:val="lt-LT"/>
        </w:rPr>
        <w:t>max</w:t>
      </w:r>
      <w:r w:rsidRPr="00CD7E52">
        <w:rPr>
          <w:rFonts w:eastAsia="TimesNewRoman"/>
          <w:szCs w:val="22"/>
          <w:lang w:val="lt-LT"/>
        </w:rPr>
        <w:t>) sumažėjo atitinkamai maždaug 72</w:t>
      </w:r>
      <w:r w:rsidR="009F17E0" w:rsidRPr="00CD7E52">
        <w:rPr>
          <w:rFonts w:eastAsia="TimesNewRoman"/>
          <w:szCs w:val="22"/>
          <w:lang w:val="lt-LT"/>
        </w:rPr>
        <w:t> %</w:t>
      </w:r>
      <w:r w:rsidRPr="00CD7E52">
        <w:rPr>
          <w:rFonts w:eastAsia="TimesNewRoman"/>
          <w:szCs w:val="22"/>
          <w:lang w:val="lt-LT"/>
        </w:rPr>
        <w:t xml:space="preserve"> ir 43</w:t>
      </w:r>
      <w:r w:rsidR="009F17E0" w:rsidRPr="00CD7E52">
        <w:rPr>
          <w:rFonts w:eastAsia="TimesNewRoman"/>
          <w:szCs w:val="22"/>
          <w:lang w:val="lt-LT"/>
        </w:rPr>
        <w:t> %</w:t>
      </w:r>
      <w:r w:rsidRPr="00CD7E52">
        <w:rPr>
          <w:rFonts w:eastAsia="TimesNewRoman"/>
          <w:szCs w:val="22"/>
          <w:lang w:val="lt-LT"/>
        </w:rPr>
        <w:t xml:space="preserve">. </w:t>
      </w:r>
      <w:r w:rsidR="00A019B1" w:rsidRPr="00CD7E52">
        <w:rPr>
          <w:rFonts w:eastAsia="TimesNewRoman"/>
          <w:snapToGrid/>
          <w:szCs w:val="22"/>
          <w:lang w:val="lt-LT"/>
        </w:rPr>
        <w:t>K</w:t>
      </w:r>
      <w:r w:rsidRPr="00CD7E52">
        <w:rPr>
          <w:rFonts w:eastAsia="TimesNewRoman"/>
          <w:snapToGrid/>
          <w:szCs w:val="22"/>
          <w:lang w:val="lt-LT"/>
        </w:rPr>
        <w:t>artu</w:t>
      </w:r>
      <w:r w:rsidRPr="00CD7E52">
        <w:rPr>
          <w:rFonts w:eastAsia="TimesNewRoman"/>
          <w:szCs w:val="22"/>
          <w:lang w:val="lt-LT"/>
        </w:rPr>
        <w:t xml:space="preserve"> su stipriais CYP3A4 </w:t>
      </w:r>
      <w:r w:rsidR="00A019B1" w:rsidRPr="00CD7E52">
        <w:rPr>
          <w:rFonts w:eastAsia="TimesNewRoman"/>
          <w:szCs w:val="22"/>
          <w:lang w:val="lt-LT"/>
        </w:rPr>
        <w:t>induktoriais</w:t>
      </w:r>
      <w:r w:rsidR="00A019B1" w:rsidRPr="00CD7E52">
        <w:rPr>
          <w:rFonts w:eastAsia="TimesNewRoman"/>
          <w:snapToGrid/>
          <w:szCs w:val="22"/>
          <w:lang w:val="lt-LT"/>
        </w:rPr>
        <w:t xml:space="preserve"> </w:t>
      </w:r>
      <w:r w:rsidRPr="00CD7E52">
        <w:rPr>
          <w:rFonts w:eastAsia="TimesNewRoman"/>
          <w:snapToGrid/>
          <w:szCs w:val="22"/>
          <w:lang w:val="lt-LT"/>
        </w:rPr>
        <w:t>(pvz., rifampicin</w:t>
      </w:r>
      <w:r w:rsidR="00A019B1" w:rsidRPr="00CD7E52">
        <w:rPr>
          <w:rFonts w:eastAsia="TimesNewRoman"/>
          <w:snapToGrid/>
          <w:szCs w:val="22"/>
          <w:lang w:val="lt-LT"/>
        </w:rPr>
        <w:t>u</w:t>
      </w:r>
      <w:r w:rsidRPr="00CD7E52">
        <w:rPr>
          <w:rFonts w:eastAsia="TimesNewRoman"/>
          <w:snapToGrid/>
          <w:szCs w:val="22"/>
          <w:lang w:val="lt-LT"/>
        </w:rPr>
        <w:t>)</w:t>
      </w:r>
      <w:r w:rsidR="00A019B1" w:rsidRPr="00CD7E52">
        <w:rPr>
          <w:rFonts w:eastAsia="TimesNewRoman"/>
          <w:snapToGrid/>
          <w:szCs w:val="22"/>
          <w:lang w:val="lt-LT"/>
        </w:rPr>
        <w:t xml:space="preserve"> vartojamo</w:t>
      </w:r>
      <w:r w:rsidR="00A019B1" w:rsidRPr="00CD7E52">
        <w:rPr>
          <w:rFonts w:eastAsia="TimesNewRoman"/>
          <w:szCs w:val="22"/>
          <w:lang w:val="lt-LT"/>
        </w:rPr>
        <w:t xml:space="preserve"> </w:t>
      </w:r>
      <w:r w:rsidRPr="00CD7E52">
        <w:rPr>
          <w:rFonts w:eastAsia="TimesNewRoman"/>
          <w:szCs w:val="22"/>
          <w:lang w:val="lt-LT"/>
        </w:rPr>
        <w:t>apremilasto ekspozicija</w:t>
      </w:r>
      <w:r w:rsidR="00A019B1" w:rsidRPr="00CD7E52">
        <w:rPr>
          <w:rFonts w:eastAsia="TimesNewRoman"/>
          <w:snapToGrid/>
          <w:szCs w:val="22"/>
          <w:lang w:val="lt-LT"/>
        </w:rPr>
        <w:t xml:space="preserve"> sumažėja</w:t>
      </w:r>
      <w:r w:rsidRPr="00CD7E52">
        <w:rPr>
          <w:rFonts w:eastAsia="TimesNewRoman"/>
          <w:szCs w:val="22"/>
          <w:lang w:val="lt-LT"/>
        </w:rPr>
        <w:t xml:space="preserve">, dėl to gali </w:t>
      </w:r>
      <w:r w:rsidR="00A019B1" w:rsidRPr="00CD7E52">
        <w:rPr>
          <w:rFonts w:eastAsia="TimesNewRoman"/>
          <w:snapToGrid/>
          <w:szCs w:val="22"/>
          <w:lang w:val="lt-LT"/>
        </w:rPr>
        <w:t>susilpnėti</w:t>
      </w:r>
      <w:r w:rsidRPr="00CD7E52">
        <w:rPr>
          <w:rFonts w:eastAsia="TimesNewRoman"/>
          <w:szCs w:val="22"/>
          <w:lang w:val="lt-LT"/>
        </w:rPr>
        <w:t xml:space="preserve"> klinikinis atsakas.</w:t>
      </w:r>
    </w:p>
    <w:p w14:paraId="0A66964A" w14:textId="77777777" w:rsidR="00A019B1" w:rsidRPr="00CD7E52" w:rsidRDefault="00A019B1" w:rsidP="00BD0220">
      <w:pPr>
        <w:widowControl w:val="0"/>
        <w:tabs>
          <w:tab w:val="clear" w:pos="567"/>
        </w:tabs>
        <w:autoSpaceDE w:val="0"/>
        <w:autoSpaceDN w:val="0"/>
        <w:adjustRightInd w:val="0"/>
        <w:spacing w:line="240" w:lineRule="auto"/>
        <w:rPr>
          <w:rFonts w:eastAsia="TimesNewRoman"/>
          <w:szCs w:val="22"/>
          <w:lang w:val="lt-LT"/>
        </w:rPr>
      </w:pPr>
    </w:p>
    <w:p w14:paraId="1CA04297" w14:textId="77777777" w:rsidR="00B262F0" w:rsidRPr="00CD7E52" w:rsidRDefault="00B262F0" w:rsidP="00DB2543">
      <w:pPr>
        <w:keepNext/>
        <w:keepLines/>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lastRenderedPageBreak/>
        <w:t>Klinikinių tyrimų metu apremilast</w:t>
      </w:r>
      <w:r w:rsidR="00127A25" w:rsidRPr="00CD7E52">
        <w:rPr>
          <w:rFonts w:eastAsia="TimesNewRoman"/>
          <w:szCs w:val="22"/>
          <w:lang w:val="lt-LT"/>
        </w:rPr>
        <w:t>o</w:t>
      </w:r>
      <w:r w:rsidRPr="00CD7E52">
        <w:rPr>
          <w:rFonts w:eastAsia="TimesNewRoman"/>
          <w:szCs w:val="22"/>
          <w:lang w:val="lt-LT"/>
        </w:rPr>
        <w:t xml:space="preserve"> buvo vartojama kartu su vietine terapija (įskaitant kortikosteroidus,</w:t>
      </w:r>
      <w:r w:rsidR="00A019B1" w:rsidRPr="00CD7E52">
        <w:rPr>
          <w:rFonts w:eastAsia="TimesNewRoman"/>
          <w:szCs w:val="22"/>
          <w:lang w:val="lt-LT"/>
        </w:rPr>
        <w:t xml:space="preserve"> </w:t>
      </w:r>
      <w:r w:rsidRPr="00CD7E52">
        <w:rPr>
          <w:rFonts w:eastAsia="TimesNewRoman"/>
          <w:szCs w:val="22"/>
          <w:lang w:val="lt-LT"/>
        </w:rPr>
        <w:t xml:space="preserve">šampūnus, kurių sudėtyje yra deguto, salicilo rūgšties </w:t>
      </w:r>
      <w:r w:rsidR="00637850" w:rsidRPr="00CD7E52">
        <w:rPr>
          <w:rFonts w:eastAsia="TimesNewRoman"/>
          <w:szCs w:val="22"/>
          <w:lang w:val="lt-LT"/>
        </w:rPr>
        <w:t xml:space="preserve">vaistinius </w:t>
      </w:r>
      <w:r w:rsidRPr="00CD7E52">
        <w:rPr>
          <w:rFonts w:eastAsia="TimesNewRoman"/>
          <w:szCs w:val="22"/>
          <w:lang w:val="lt-LT"/>
        </w:rPr>
        <w:t>preparatus galvos odai) ir UVB fototerapija.</w:t>
      </w:r>
    </w:p>
    <w:p w14:paraId="4B276D0D" w14:textId="77777777" w:rsidR="00A019B1" w:rsidRPr="00CD7E52" w:rsidRDefault="00A019B1" w:rsidP="00BD0220">
      <w:pPr>
        <w:widowControl w:val="0"/>
        <w:tabs>
          <w:tab w:val="clear" w:pos="567"/>
        </w:tabs>
        <w:autoSpaceDE w:val="0"/>
        <w:autoSpaceDN w:val="0"/>
        <w:adjustRightInd w:val="0"/>
        <w:spacing w:line="240" w:lineRule="auto"/>
        <w:rPr>
          <w:rFonts w:eastAsia="TimesNewRoman"/>
          <w:szCs w:val="22"/>
          <w:lang w:val="lt-LT"/>
        </w:rPr>
      </w:pPr>
    </w:p>
    <w:p w14:paraId="428F6F87" w14:textId="77777777" w:rsidR="00B262F0" w:rsidRPr="00CD7E52" w:rsidRDefault="00B262F0"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Kliniškai reikšmingos ketokonazolo ir apremilasto sąveikos nenustatyta. Apremilast</w:t>
      </w:r>
      <w:r w:rsidR="00FB18AA" w:rsidRPr="00CD7E52">
        <w:rPr>
          <w:rFonts w:eastAsia="TimesNewRoman"/>
          <w:szCs w:val="22"/>
          <w:lang w:val="lt-LT"/>
        </w:rPr>
        <w:t>o</w:t>
      </w:r>
      <w:r w:rsidRPr="00CD7E52">
        <w:rPr>
          <w:rFonts w:eastAsia="TimesNewRoman"/>
          <w:szCs w:val="22"/>
          <w:lang w:val="lt-LT"/>
        </w:rPr>
        <w:t xml:space="preserve"> galima vartoti kartu su</w:t>
      </w:r>
      <w:r w:rsidR="00A019B1" w:rsidRPr="00CD7E52">
        <w:rPr>
          <w:rFonts w:eastAsia="TimesNewRoman"/>
          <w:szCs w:val="22"/>
          <w:lang w:val="lt-LT"/>
        </w:rPr>
        <w:t xml:space="preserve"> </w:t>
      </w:r>
      <w:r w:rsidRPr="00CD7E52">
        <w:rPr>
          <w:rFonts w:eastAsia="TimesNewRoman"/>
          <w:szCs w:val="22"/>
          <w:lang w:val="lt-LT"/>
        </w:rPr>
        <w:t>stipriu CYP3A4 inhibitoriumi, pvz., ketokonazolu.</w:t>
      </w:r>
    </w:p>
    <w:p w14:paraId="13B665C9" w14:textId="77777777" w:rsidR="00A019B1" w:rsidRPr="00CD7E52" w:rsidRDefault="00A019B1" w:rsidP="00BD0220">
      <w:pPr>
        <w:widowControl w:val="0"/>
        <w:tabs>
          <w:tab w:val="clear" w:pos="567"/>
        </w:tabs>
        <w:autoSpaceDE w:val="0"/>
        <w:autoSpaceDN w:val="0"/>
        <w:adjustRightInd w:val="0"/>
        <w:spacing w:line="240" w:lineRule="auto"/>
        <w:rPr>
          <w:rFonts w:eastAsia="TimesNewRoman"/>
          <w:szCs w:val="22"/>
          <w:lang w:val="lt-LT"/>
        </w:rPr>
      </w:pPr>
    </w:p>
    <w:p w14:paraId="576B9E65" w14:textId="77777777" w:rsidR="00B262F0" w:rsidRPr="00CD7E52" w:rsidRDefault="00B262F0"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Farmakokinetinės apremilasto ir metotreksato sąveikos psoriaziniu artritu sergantiems pacientams</w:t>
      </w:r>
      <w:r w:rsidR="00A019B1" w:rsidRPr="00CD7E52">
        <w:rPr>
          <w:rFonts w:eastAsia="TimesNewRoman"/>
          <w:szCs w:val="22"/>
          <w:lang w:val="lt-LT"/>
        </w:rPr>
        <w:t xml:space="preserve"> </w:t>
      </w:r>
      <w:r w:rsidRPr="00CD7E52">
        <w:rPr>
          <w:rFonts w:eastAsia="TimesNewRoman"/>
          <w:szCs w:val="22"/>
          <w:lang w:val="lt-LT"/>
        </w:rPr>
        <w:t>nenustatyta. Apremilast</w:t>
      </w:r>
      <w:r w:rsidR="00FB18AA" w:rsidRPr="00CD7E52">
        <w:rPr>
          <w:rFonts w:eastAsia="TimesNewRoman"/>
          <w:szCs w:val="22"/>
          <w:lang w:val="lt-LT"/>
        </w:rPr>
        <w:t>o</w:t>
      </w:r>
      <w:r w:rsidRPr="00CD7E52">
        <w:rPr>
          <w:rFonts w:eastAsia="TimesNewRoman"/>
          <w:szCs w:val="22"/>
          <w:lang w:val="lt-LT"/>
        </w:rPr>
        <w:t xml:space="preserve"> galima vartoti kartu su metotreksatu.</w:t>
      </w:r>
    </w:p>
    <w:p w14:paraId="56A86261" w14:textId="77777777" w:rsidR="00A019B1" w:rsidRPr="00CD7E52" w:rsidRDefault="00A019B1" w:rsidP="00BD0220">
      <w:pPr>
        <w:widowControl w:val="0"/>
        <w:tabs>
          <w:tab w:val="clear" w:pos="567"/>
        </w:tabs>
        <w:autoSpaceDE w:val="0"/>
        <w:autoSpaceDN w:val="0"/>
        <w:adjustRightInd w:val="0"/>
        <w:spacing w:line="240" w:lineRule="auto"/>
        <w:rPr>
          <w:rFonts w:eastAsia="TimesNewRoman"/>
          <w:szCs w:val="22"/>
          <w:lang w:val="lt-LT"/>
        </w:rPr>
      </w:pPr>
    </w:p>
    <w:p w14:paraId="14D30D57" w14:textId="77777777" w:rsidR="00776FBE" w:rsidRPr="00CD7E52" w:rsidRDefault="00B262F0"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 xml:space="preserve">Farmakokinetinės apremilasto ir geriamųjų </w:t>
      </w:r>
      <w:r w:rsidRPr="00CD7E52">
        <w:rPr>
          <w:rFonts w:eastAsia="TimesNewRoman"/>
          <w:snapToGrid/>
          <w:szCs w:val="22"/>
          <w:lang w:val="lt-LT"/>
        </w:rPr>
        <w:t>kontracept</w:t>
      </w:r>
      <w:r w:rsidR="00A019B1" w:rsidRPr="00CD7E52">
        <w:rPr>
          <w:rFonts w:eastAsia="TimesNewRoman"/>
          <w:snapToGrid/>
          <w:szCs w:val="22"/>
          <w:lang w:val="lt-LT"/>
        </w:rPr>
        <w:t>ikų</w:t>
      </w:r>
      <w:r w:rsidRPr="00CD7E52">
        <w:rPr>
          <w:rFonts w:eastAsia="TimesNewRoman"/>
          <w:szCs w:val="22"/>
          <w:lang w:val="lt-LT"/>
        </w:rPr>
        <w:t>, kurių sudėtyje yra etinilestradiolio ir</w:t>
      </w:r>
      <w:r w:rsidR="00A019B1" w:rsidRPr="00CD7E52">
        <w:rPr>
          <w:rFonts w:eastAsia="TimesNewRoman"/>
          <w:szCs w:val="22"/>
          <w:lang w:val="lt-LT"/>
        </w:rPr>
        <w:t xml:space="preserve"> </w:t>
      </w:r>
      <w:r w:rsidRPr="00CD7E52">
        <w:rPr>
          <w:rFonts w:eastAsia="TimesNewRoman"/>
          <w:szCs w:val="22"/>
          <w:lang w:val="lt-LT"/>
        </w:rPr>
        <w:t>norgestimato, sąveikos nenustatyta. Apremilast</w:t>
      </w:r>
      <w:r w:rsidR="00FB18AA" w:rsidRPr="00CD7E52">
        <w:rPr>
          <w:rFonts w:eastAsia="TimesNewRoman"/>
          <w:szCs w:val="22"/>
          <w:lang w:val="lt-LT"/>
        </w:rPr>
        <w:t>o</w:t>
      </w:r>
      <w:r w:rsidRPr="00CD7E52">
        <w:rPr>
          <w:rFonts w:eastAsia="TimesNewRoman"/>
          <w:szCs w:val="22"/>
          <w:lang w:val="lt-LT"/>
        </w:rPr>
        <w:t xml:space="preserve"> galima vartoti kartu su geriamaisiais </w:t>
      </w:r>
      <w:r w:rsidRPr="00CD7E52">
        <w:rPr>
          <w:rFonts w:eastAsia="TimesNewRoman"/>
          <w:snapToGrid/>
          <w:szCs w:val="22"/>
          <w:lang w:val="lt-LT"/>
        </w:rPr>
        <w:t>kontracepti</w:t>
      </w:r>
      <w:r w:rsidR="00A019B1" w:rsidRPr="00CD7E52">
        <w:rPr>
          <w:rFonts w:eastAsia="TimesNewRoman"/>
          <w:snapToGrid/>
          <w:szCs w:val="22"/>
          <w:lang w:val="lt-LT"/>
        </w:rPr>
        <w:t>k</w:t>
      </w:r>
      <w:r w:rsidRPr="00CD7E52">
        <w:rPr>
          <w:rFonts w:eastAsia="TimesNewRoman"/>
          <w:snapToGrid/>
          <w:szCs w:val="22"/>
          <w:lang w:val="lt-LT"/>
        </w:rPr>
        <w:t>ais</w:t>
      </w:r>
      <w:r w:rsidR="00A019B1" w:rsidRPr="00CD7E52">
        <w:rPr>
          <w:rFonts w:eastAsia="TimesNewRoman"/>
          <w:szCs w:val="22"/>
          <w:lang w:val="lt-LT"/>
        </w:rPr>
        <w:t>.</w:t>
      </w:r>
    </w:p>
    <w:p w14:paraId="7FB37DDF" w14:textId="77777777" w:rsidR="00776FBE" w:rsidRPr="00CD7E52" w:rsidRDefault="00776FBE" w:rsidP="00BD0220">
      <w:pPr>
        <w:widowControl w:val="0"/>
        <w:tabs>
          <w:tab w:val="clear" w:pos="567"/>
        </w:tabs>
        <w:autoSpaceDE w:val="0"/>
        <w:autoSpaceDN w:val="0"/>
        <w:adjustRightInd w:val="0"/>
        <w:spacing w:line="240" w:lineRule="auto"/>
        <w:rPr>
          <w:rFonts w:eastAsia="TimesNewRoman"/>
          <w:szCs w:val="22"/>
          <w:lang w:val="lt-LT"/>
        </w:rPr>
      </w:pPr>
    </w:p>
    <w:p w14:paraId="23F0C7DA" w14:textId="77777777" w:rsidR="00776FBE" w:rsidRPr="00CD7E52" w:rsidRDefault="00776FBE" w:rsidP="009E0A7D">
      <w:pPr>
        <w:widowControl w:val="0"/>
        <w:spacing w:line="240" w:lineRule="auto"/>
        <w:ind w:left="567" w:hanging="567"/>
        <w:outlineLvl w:val="2"/>
        <w:rPr>
          <w:b/>
          <w:szCs w:val="22"/>
          <w:lang w:val="lt-LT"/>
        </w:rPr>
      </w:pPr>
      <w:r w:rsidRPr="00CD7E52">
        <w:rPr>
          <w:b/>
          <w:snapToGrid/>
          <w:kern w:val="28"/>
          <w:szCs w:val="22"/>
          <w:lang w:val="lt-LT"/>
        </w:rPr>
        <w:t>4.6</w:t>
      </w:r>
      <w:r w:rsidRPr="00CD7E52">
        <w:rPr>
          <w:b/>
          <w:snapToGrid/>
          <w:kern w:val="28"/>
          <w:szCs w:val="22"/>
          <w:lang w:val="lt-LT"/>
        </w:rPr>
        <w:tab/>
      </w:r>
      <w:r w:rsidRPr="00CD7E52">
        <w:rPr>
          <w:b/>
          <w:kern w:val="28"/>
          <w:szCs w:val="22"/>
          <w:lang w:val="lt-LT"/>
        </w:rPr>
        <w:t>Vaisingumas, nėštumo ir žindymo laikotarpis</w:t>
      </w:r>
    </w:p>
    <w:p w14:paraId="672FC924" w14:textId="77777777" w:rsidR="00776FBE" w:rsidRPr="00CD7E52" w:rsidRDefault="00776FBE" w:rsidP="00BD0220">
      <w:pPr>
        <w:widowControl w:val="0"/>
        <w:tabs>
          <w:tab w:val="clear" w:pos="567"/>
        </w:tabs>
        <w:spacing w:line="240" w:lineRule="auto"/>
        <w:rPr>
          <w:szCs w:val="22"/>
          <w:lang w:val="lt-LT"/>
        </w:rPr>
      </w:pPr>
    </w:p>
    <w:p w14:paraId="2F4446D7" w14:textId="77777777" w:rsidR="00832E01" w:rsidRPr="00CD7E52" w:rsidRDefault="00147A9C" w:rsidP="009E0A7D">
      <w:pPr>
        <w:widowControl w:val="0"/>
        <w:tabs>
          <w:tab w:val="clear" w:pos="567"/>
        </w:tabs>
        <w:autoSpaceDE w:val="0"/>
        <w:autoSpaceDN w:val="0"/>
        <w:adjustRightInd w:val="0"/>
        <w:spacing w:line="240" w:lineRule="auto"/>
        <w:rPr>
          <w:rFonts w:eastAsia="TimesNewRoman"/>
          <w:i/>
          <w:iCs/>
          <w:szCs w:val="22"/>
          <w:lang w:val="lt-LT"/>
        </w:rPr>
      </w:pPr>
      <w:r w:rsidRPr="00CD7E52">
        <w:rPr>
          <w:rFonts w:eastAsia="TimesNewRoman"/>
          <w:szCs w:val="22"/>
          <w:u w:val="single"/>
          <w:lang w:val="lt-LT"/>
        </w:rPr>
        <w:t>Vaisingos</w:t>
      </w:r>
      <w:r w:rsidR="00832E01" w:rsidRPr="00CD7E52">
        <w:rPr>
          <w:rFonts w:eastAsia="TimesNewRoman"/>
          <w:szCs w:val="22"/>
          <w:u w:val="single"/>
          <w:lang w:val="lt-LT"/>
        </w:rPr>
        <w:t xml:space="preserve"> moterys</w:t>
      </w:r>
    </w:p>
    <w:p w14:paraId="695E7AFF" w14:textId="77777777" w:rsidR="00832E01" w:rsidRPr="00CD7E52" w:rsidRDefault="00832E01"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Prieš pradedant gydymą, reikia atmesti nėštumo galimybę. Vaisingoms moterims reikia naudoti veiksming</w:t>
      </w:r>
      <w:r w:rsidR="004017B7" w:rsidRPr="00CD7E52">
        <w:rPr>
          <w:rFonts w:eastAsia="TimesNewRoman"/>
          <w:szCs w:val="22"/>
          <w:lang w:val="lt-LT"/>
        </w:rPr>
        <w:t>os</w:t>
      </w:r>
      <w:r w:rsidRPr="00CD7E52">
        <w:rPr>
          <w:rFonts w:eastAsia="TimesNewRoman"/>
          <w:szCs w:val="22"/>
          <w:lang w:val="lt-LT"/>
        </w:rPr>
        <w:t xml:space="preserve"> kontracepcijos metodą, kad būtų išvengta nėštumo gydymo metu.</w:t>
      </w:r>
    </w:p>
    <w:p w14:paraId="68A1811F" w14:textId="77777777" w:rsidR="00832E01" w:rsidRPr="00CD7E52" w:rsidRDefault="00832E01" w:rsidP="00BD0220">
      <w:pPr>
        <w:widowControl w:val="0"/>
        <w:tabs>
          <w:tab w:val="clear" w:pos="567"/>
        </w:tabs>
        <w:autoSpaceDE w:val="0"/>
        <w:autoSpaceDN w:val="0"/>
        <w:adjustRightInd w:val="0"/>
        <w:spacing w:line="240" w:lineRule="auto"/>
        <w:rPr>
          <w:rFonts w:eastAsia="TimesNewRoman"/>
          <w:szCs w:val="22"/>
          <w:lang w:val="lt-LT"/>
        </w:rPr>
      </w:pPr>
    </w:p>
    <w:p w14:paraId="16E35F1A" w14:textId="77777777" w:rsidR="00832E01" w:rsidRPr="00CD7E52" w:rsidRDefault="00832E01" w:rsidP="00BD0220">
      <w:pPr>
        <w:widowControl w:val="0"/>
        <w:tabs>
          <w:tab w:val="clear" w:pos="567"/>
        </w:tabs>
        <w:autoSpaceDE w:val="0"/>
        <w:autoSpaceDN w:val="0"/>
        <w:adjustRightInd w:val="0"/>
        <w:spacing w:line="240" w:lineRule="auto"/>
        <w:rPr>
          <w:rFonts w:eastAsia="TimesNewRoman"/>
          <w:szCs w:val="22"/>
          <w:u w:val="single"/>
          <w:lang w:val="lt-LT"/>
        </w:rPr>
      </w:pPr>
      <w:r w:rsidRPr="00CD7E52">
        <w:rPr>
          <w:rFonts w:eastAsia="TimesNewRoman"/>
          <w:szCs w:val="22"/>
          <w:u w:val="single"/>
          <w:lang w:val="lt-LT"/>
        </w:rPr>
        <w:t>Nėštumas</w:t>
      </w:r>
    </w:p>
    <w:p w14:paraId="2BC41DF2" w14:textId="77777777" w:rsidR="00832E01" w:rsidRPr="00CD7E52" w:rsidRDefault="00832E01"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 xml:space="preserve">Duomenų apie apremilasto vartojimą nėštumo metu </w:t>
      </w:r>
      <w:r w:rsidR="006E0416" w:rsidRPr="00CD7E52">
        <w:rPr>
          <w:rFonts w:eastAsia="TimesNewRoman"/>
          <w:szCs w:val="22"/>
          <w:lang w:val="lt-LT"/>
        </w:rPr>
        <w:t xml:space="preserve">nėra arba jų </w:t>
      </w:r>
      <w:r w:rsidRPr="00CD7E52">
        <w:rPr>
          <w:rFonts w:eastAsia="TimesNewRoman"/>
          <w:szCs w:val="22"/>
          <w:lang w:val="lt-LT"/>
        </w:rPr>
        <w:t>nepakanka.</w:t>
      </w:r>
    </w:p>
    <w:p w14:paraId="1DBD9AEB" w14:textId="77777777" w:rsidR="00832E01" w:rsidRPr="00CD7E52" w:rsidRDefault="00832E01"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 xml:space="preserve">Apremilasto </w:t>
      </w:r>
      <w:r w:rsidR="00836E43" w:rsidRPr="00CD7E52">
        <w:rPr>
          <w:rFonts w:eastAsia="TimesNewRoman"/>
          <w:szCs w:val="22"/>
          <w:lang w:val="lt-LT"/>
        </w:rPr>
        <w:t>draudžiama</w:t>
      </w:r>
      <w:r w:rsidRPr="00CD7E52">
        <w:rPr>
          <w:rFonts w:eastAsia="TimesNewRoman"/>
          <w:szCs w:val="22"/>
          <w:lang w:val="lt-LT"/>
        </w:rPr>
        <w:t xml:space="preserve"> vartoti nėštumo metu (žr. 4.3 skyrių). Apremilasto poveikis vaikingumui pasireiškė </w:t>
      </w:r>
      <w:r w:rsidRPr="00CD7E52">
        <w:rPr>
          <w:rFonts w:eastAsia="TimesNewRoman"/>
          <w:snapToGrid/>
          <w:szCs w:val="22"/>
          <w:lang w:val="lt-LT"/>
        </w:rPr>
        <w:t>em</w:t>
      </w:r>
      <w:r w:rsidR="00E80C0E" w:rsidRPr="00CD7E52">
        <w:rPr>
          <w:rFonts w:eastAsia="TimesNewRoman"/>
          <w:snapToGrid/>
          <w:szCs w:val="22"/>
          <w:lang w:val="lt-LT"/>
        </w:rPr>
        <w:t>b</w:t>
      </w:r>
      <w:r w:rsidRPr="00CD7E52">
        <w:rPr>
          <w:rFonts w:eastAsia="TimesNewRoman"/>
          <w:snapToGrid/>
          <w:szCs w:val="22"/>
          <w:lang w:val="lt-LT"/>
        </w:rPr>
        <w:t xml:space="preserve">riono ir </w:t>
      </w:r>
      <w:r w:rsidRPr="00CD7E52">
        <w:rPr>
          <w:rFonts w:eastAsia="TimesNewRoman"/>
          <w:szCs w:val="22"/>
          <w:lang w:val="lt-LT"/>
        </w:rPr>
        <w:t>vaisiaus žūtimi pelėms bei beždžionėms ir sumažėjusiu vaisiaus svoriu bei uždelstu kaulėjimu pelėms</w:t>
      </w:r>
      <w:r w:rsidRPr="00CD7E52">
        <w:rPr>
          <w:rFonts w:eastAsia="TimesNewRoman"/>
          <w:snapToGrid/>
          <w:szCs w:val="22"/>
          <w:lang w:val="lt-LT"/>
        </w:rPr>
        <w:t xml:space="preserve"> skiriant</w:t>
      </w:r>
      <w:r w:rsidRPr="00CD7E52">
        <w:rPr>
          <w:rFonts w:eastAsia="TimesNewRoman"/>
          <w:szCs w:val="22"/>
          <w:lang w:val="lt-LT"/>
        </w:rPr>
        <w:t xml:space="preserve"> dozes, didesnes už dabar rekomenduojamą didžiausią dozę žmogui. Tokio poveikio nenustatyta, kai ekspozicija gyvūnams buvo 1,3</w:t>
      </w:r>
      <w:r w:rsidRPr="00CD7E52">
        <w:rPr>
          <w:rFonts w:eastAsia="TimesNewRoman"/>
          <w:snapToGrid/>
          <w:szCs w:val="22"/>
          <w:lang w:val="lt-LT"/>
        </w:rPr>
        <w:t> </w:t>
      </w:r>
      <w:r w:rsidRPr="00CD7E52">
        <w:rPr>
          <w:rFonts w:eastAsia="TimesNewRoman"/>
          <w:szCs w:val="22"/>
          <w:lang w:val="lt-LT"/>
        </w:rPr>
        <w:t>karto didesnė už klinikinę ekspoziciją (žr. 5.3 skyrių).</w:t>
      </w:r>
    </w:p>
    <w:p w14:paraId="0DECE039" w14:textId="77777777" w:rsidR="00832E01" w:rsidRPr="00CD7E52" w:rsidRDefault="00832E01" w:rsidP="00BD0220">
      <w:pPr>
        <w:widowControl w:val="0"/>
        <w:tabs>
          <w:tab w:val="clear" w:pos="567"/>
        </w:tabs>
        <w:autoSpaceDE w:val="0"/>
        <w:autoSpaceDN w:val="0"/>
        <w:adjustRightInd w:val="0"/>
        <w:spacing w:line="240" w:lineRule="auto"/>
        <w:rPr>
          <w:rFonts w:eastAsia="TimesNewRoman"/>
          <w:szCs w:val="22"/>
          <w:lang w:val="lt-LT"/>
        </w:rPr>
      </w:pPr>
    </w:p>
    <w:p w14:paraId="53629CAF" w14:textId="77777777" w:rsidR="00832E01" w:rsidRPr="00CD7E52" w:rsidRDefault="00832E01" w:rsidP="00BD0220">
      <w:pPr>
        <w:widowControl w:val="0"/>
        <w:tabs>
          <w:tab w:val="clear" w:pos="567"/>
        </w:tabs>
        <w:autoSpaceDE w:val="0"/>
        <w:autoSpaceDN w:val="0"/>
        <w:adjustRightInd w:val="0"/>
        <w:spacing w:line="240" w:lineRule="auto"/>
        <w:rPr>
          <w:rFonts w:eastAsia="TimesNewRoman"/>
          <w:szCs w:val="22"/>
          <w:u w:val="single"/>
          <w:lang w:val="lt-LT"/>
        </w:rPr>
      </w:pPr>
      <w:r w:rsidRPr="00CD7E52">
        <w:rPr>
          <w:rFonts w:eastAsia="TimesNewRoman"/>
          <w:szCs w:val="22"/>
          <w:u w:val="single"/>
          <w:lang w:val="lt-LT"/>
        </w:rPr>
        <w:t>Žindymas</w:t>
      </w:r>
    </w:p>
    <w:p w14:paraId="0921C556" w14:textId="77777777" w:rsidR="00832E01" w:rsidRPr="00CD7E52" w:rsidRDefault="00832E01"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Apremilast</w:t>
      </w:r>
      <w:r w:rsidR="000F4C4B">
        <w:rPr>
          <w:rFonts w:eastAsia="TimesNewRoman"/>
          <w:szCs w:val="22"/>
          <w:lang w:val="lt-LT"/>
        </w:rPr>
        <w:t>o</w:t>
      </w:r>
      <w:r w:rsidR="003C3ED9" w:rsidRPr="00CD7E52">
        <w:rPr>
          <w:rFonts w:eastAsia="TimesNewRoman"/>
          <w:szCs w:val="22"/>
          <w:lang w:val="lt-LT"/>
        </w:rPr>
        <w:t xml:space="preserve"> išsiskiria į gydytų</w:t>
      </w:r>
      <w:r w:rsidR="00AD5854" w:rsidRPr="00CD7E52">
        <w:rPr>
          <w:rFonts w:eastAsia="TimesNewRoman"/>
          <w:szCs w:val="22"/>
          <w:lang w:val="lt-LT"/>
        </w:rPr>
        <w:t xml:space="preserve"> pelių</w:t>
      </w:r>
      <w:r w:rsidRPr="00CD7E52">
        <w:rPr>
          <w:rFonts w:eastAsia="TimesNewRoman"/>
          <w:szCs w:val="22"/>
          <w:lang w:val="lt-LT"/>
        </w:rPr>
        <w:t xml:space="preserve"> pien</w:t>
      </w:r>
      <w:r w:rsidR="00AD5854" w:rsidRPr="00CD7E52">
        <w:rPr>
          <w:rFonts w:eastAsia="TimesNewRoman"/>
          <w:szCs w:val="22"/>
          <w:lang w:val="lt-LT"/>
        </w:rPr>
        <w:t>ą</w:t>
      </w:r>
      <w:r w:rsidRPr="00CD7E52">
        <w:rPr>
          <w:rFonts w:eastAsia="TimesNewRoman"/>
          <w:szCs w:val="22"/>
          <w:lang w:val="lt-LT"/>
        </w:rPr>
        <w:t xml:space="preserve"> (žr. 5.3</w:t>
      </w:r>
      <w:r w:rsidR="00BF4D3D" w:rsidRPr="00CD7E52">
        <w:rPr>
          <w:rFonts w:eastAsia="TimesNewRoman"/>
          <w:szCs w:val="22"/>
          <w:lang w:val="lt-LT"/>
        </w:rPr>
        <w:t> </w:t>
      </w:r>
      <w:r w:rsidRPr="00CD7E52">
        <w:rPr>
          <w:rFonts w:eastAsia="TimesNewRoman"/>
          <w:szCs w:val="22"/>
          <w:lang w:val="lt-LT"/>
        </w:rPr>
        <w:t>skyrių). Nežinoma, ar apremilast</w:t>
      </w:r>
      <w:r w:rsidR="00DF1F28" w:rsidRPr="00CD7E52">
        <w:rPr>
          <w:rFonts w:eastAsia="TimesNewRoman"/>
          <w:szCs w:val="22"/>
          <w:lang w:val="lt-LT"/>
        </w:rPr>
        <w:t>o</w:t>
      </w:r>
      <w:r w:rsidRPr="00CD7E52">
        <w:rPr>
          <w:rFonts w:eastAsia="TimesNewRoman"/>
          <w:szCs w:val="22"/>
          <w:lang w:val="lt-LT"/>
        </w:rPr>
        <w:t xml:space="preserve"> arba jo metabolit</w:t>
      </w:r>
      <w:r w:rsidR="00DF1F28" w:rsidRPr="00CD7E52">
        <w:rPr>
          <w:rFonts w:eastAsia="TimesNewRoman"/>
          <w:szCs w:val="22"/>
          <w:lang w:val="lt-LT"/>
        </w:rPr>
        <w:t>ų</w:t>
      </w:r>
      <w:r w:rsidR="00BF4D3D" w:rsidRPr="00CD7E52">
        <w:rPr>
          <w:rFonts w:eastAsia="TimesNewRoman"/>
          <w:szCs w:val="22"/>
          <w:lang w:val="lt-LT"/>
        </w:rPr>
        <w:t xml:space="preserve"> </w:t>
      </w:r>
      <w:r w:rsidRPr="00CD7E52">
        <w:rPr>
          <w:rFonts w:eastAsia="TimesNewRoman"/>
          <w:szCs w:val="22"/>
          <w:lang w:val="lt-LT"/>
        </w:rPr>
        <w:t xml:space="preserve">išsiskiria į </w:t>
      </w:r>
      <w:r w:rsidR="002A5A42" w:rsidRPr="00CD7E52">
        <w:rPr>
          <w:rFonts w:eastAsia="TimesNewRoman"/>
          <w:szCs w:val="22"/>
          <w:lang w:val="lt-LT"/>
        </w:rPr>
        <w:t xml:space="preserve">gydytų moterų </w:t>
      </w:r>
      <w:r w:rsidRPr="00CD7E52">
        <w:rPr>
          <w:rFonts w:eastAsia="TimesNewRoman"/>
          <w:szCs w:val="22"/>
          <w:lang w:val="lt-LT"/>
        </w:rPr>
        <w:t xml:space="preserve">pieną. </w:t>
      </w:r>
      <w:r w:rsidR="002A5A42" w:rsidRPr="00CD7E52">
        <w:rPr>
          <w:rFonts w:eastAsia="TimesNewRoman"/>
          <w:szCs w:val="22"/>
          <w:lang w:val="lt-LT"/>
        </w:rPr>
        <w:t>Poveiki</w:t>
      </w:r>
      <w:r w:rsidR="0004403F" w:rsidRPr="00CD7E52">
        <w:rPr>
          <w:rFonts w:eastAsia="TimesNewRoman"/>
          <w:szCs w:val="22"/>
          <w:lang w:val="lt-LT"/>
        </w:rPr>
        <w:t>s</w:t>
      </w:r>
      <w:r w:rsidR="002A5A42" w:rsidRPr="00CD7E52">
        <w:rPr>
          <w:rFonts w:eastAsia="TimesNewRoman"/>
          <w:szCs w:val="22"/>
          <w:lang w:val="lt-LT"/>
        </w:rPr>
        <w:t xml:space="preserve"> </w:t>
      </w:r>
      <w:r w:rsidRPr="00CD7E52">
        <w:rPr>
          <w:rFonts w:eastAsia="TimesNewRoman"/>
          <w:szCs w:val="22"/>
          <w:lang w:val="lt-LT"/>
        </w:rPr>
        <w:t xml:space="preserve">žindomiems </w:t>
      </w:r>
      <w:r w:rsidR="002A5A42" w:rsidRPr="00CD7E52">
        <w:rPr>
          <w:rFonts w:eastAsia="TimesNewRoman"/>
          <w:szCs w:val="22"/>
          <w:lang w:val="lt-LT"/>
        </w:rPr>
        <w:t>nauj</w:t>
      </w:r>
      <w:r w:rsidR="0004403F" w:rsidRPr="00CD7E52">
        <w:rPr>
          <w:rFonts w:eastAsia="TimesNewRoman"/>
          <w:szCs w:val="22"/>
          <w:lang w:val="lt-LT"/>
        </w:rPr>
        <w:t>a</w:t>
      </w:r>
      <w:r w:rsidR="002A5A42" w:rsidRPr="00CD7E52">
        <w:rPr>
          <w:rFonts w:eastAsia="TimesNewRoman"/>
          <w:szCs w:val="22"/>
          <w:lang w:val="lt-LT"/>
        </w:rPr>
        <w:t xml:space="preserve">gimiams ar </w:t>
      </w:r>
      <w:r w:rsidRPr="00CD7E52">
        <w:rPr>
          <w:rFonts w:eastAsia="TimesNewRoman"/>
          <w:szCs w:val="22"/>
          <w:lang w:val="lt-LT"/>
        </w:rPr>
        <w:t xml:space="preserve">kūdikiams </w:t>
      </w:r>
      <w:r w:rsidR="0004403F" w:rsidRPr="00CD7E52">
        <w:rPr>
          <w:rFonts w:eastAsia="TimesNewRoman"/>
          <w:szCs w:val="22"/>
          <w:lang w:val="lt-LT"/>
        </w:rPr>
        <w:t>nežinomas</w:t>
      </w:r>
      <w:r w:rsidRPr="00CD7E52">
        <w:rPr>
          <w:rFonts w:eastAsia="TimesNewRoman"/>
          <w:szCs w:val="22"/>
          <w:lang w:val="lt-LT"/>
        </w:rPr>
        <w:t>, todėl apremilast</w:t>
      </w:r>
      <w:r w:rsidR="00DF1F28" w:rsidRPr="00CD7E52">
        <w:rPr>
          <w:rFonts w:eastAsia="TimesNewRoman"/>
          <w:szCs w:val="22"/>
          <w:lang w:val="lt-LT"/>
        </w:rPr>
        <w:t>o</w:t>
      </w:r>
      <w:r w:rsidRPr="00CD7E52">
        <w:rPr>
          <w:rFonts w:eastAsia="TimesNewRoman"/>
          <w:szCs w:val="22"/>
          <w:lang w:val="lt-LT"/>
        </w:rPr>
        <w:t xml:space="preserve"> varto</w:t>
      </w:r>
      <w:r w:rsidR="00874216" w:rsidRPr="00CD7E52">
        <w:rPr>
          <w:rFonts w:eastAsia="TimesNewRoman"/>
          <w:szCs w:val="22"/>
          <w:lang w:val="lt-LT"/>
        </w:rPr>
        <w:t>ti</w:t>
      </w:r>
      <w:r w:rsidRPr="00CD7E52">
        <w:rPr>
          <w:rFonts w:eastAsia="TimesNewRoman"/>
          <w:szCs w:val="22"/>
          <w:lang w:val="lt-LT"/>
        </w:rPr>
        <w:t xml:space="preserve"> žindymo metu</w:t>
      </w:r>
      <w:r w:rsidR="00874216" w:rsidRPr="00CD7E52">
        <w:rPr>
          <w:rFonts w:eastAsia="TimesNewRoman"/>
          <w:szCs w:val="22"/>
          <w:lang w:val="lt-LT"/>
        </w:rPr>
        <w:t xml:space="preserve"> </w:t>
      </w:r>
      <w:r w:rsidR="00E6478E" w:rsidRPr="00CD7E52">
        <w:rPr>
          <w:rFonts w:eastAsia="TimesNewRoman"/>
          <w:szCs w:val="22"/>
          <w:lang w:val="lt-LT"/>
        </w:rPr>
        <w:t>draudžiama</w:t>
      </w:r>
      <w:r w:rsidRPr="00CD7E52">
        <w:rPr>
          <w:rFonts w:eastAsia="TimesNewRoman"/>
          <w:szCs w:val="22"/>
          <w:lang w:val="lt-LT"/>
        </w:rPr>
        <w:t>.</w:t>
      </w:r>
    </w:p>
    <w:p w14:paraId="6F9C2CF6" w14:textId="77777777" w:rsidR="00CB3E6C" w:rsidRPr="00CD7E52" w:rsidRDefault="00CB3E6C" w:rsidP="00BD0220">
      <w:pPr>
        <w:widowControl w:val="0"/>
        <w:tabs>
          <w:tab w:val="clear" w:pos="567"/>
        </w:tabs>
        <w:autoSpaceDE w:val="0"/>
        <w:autoSpaceDN w:val="0"/>
        <w:adjustRightInd w:val="0"/>
        <w:spacing w:line="240" w:lineRule="auto"/>
        <w:rPr>
          <w:rFonts w:eastAsia="TimesNewRoman"/>
          <w:szCs w:val="22"/>
          <w:lang w:val="lt-LT"/>
        </w:rPr>
      </w:pPr>
    </w:p>
    <w:p w14:paraId="5575C676" w14:textId="77777777" w:rsidR="00832E01" w:rsidRPr="00CD7E52" w:rsidRDefault="00832E01" w:rsidP="00BD0220">
      <w:pPr>
        <w:widowControl w:val="0"/>
        <w:tabs>
          <w:tab w:val="clear" w:pos="567"/>
        </w:tabs>
        <w:autoSpaceDE w:val="0"/>
        <w:autoSpaceDN w:val="0"/>
        <w:adjustRightInd w:val="0"/>
        <w:spacing w:line="240" w:lineRule="auto"/>
        <w:rPr>
          <w:rFonts w:eastAsia="TimesNewRoman"/>
          <w:szCs w:val="22"/>
          <w:u w:val="single"/>
          <w:lang w:val="lt-LT"/>
        </w:rPr>
      </w:pPr>
      <w:r w:rsidRPr="00CD7E52">
        <w:rPr>
          <w:rFonts w:eastAsia="TimesNewRoman"/>
          <w:szCs w:val="22"/>
          <w:u w:val="single"/>
          <w:lang w:val="lt-LT"/>
        </w:rPr>
        <w:t>Vaisingumas</w:t>
      </w:r>
    </w:p>
    <w:p w14:paraId="224B88B1" w14:textId="77777777" w:rsidR="00776FBE" w:rsidRPr="00CD7E52" w:rsidRDefault="00832E01"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 xml:space="preserve">Duomenų apie </w:t>
      </w:r>
      <w:r w:rsidR="00CB3E6C" w:rsidRPr="00CD7E52">
        <w:rPr>
          <w:rFonts w:eastAsia="TimesNewRoman"/>
          <w:snapToGrid/>
          <w:szCs w:val="22"/>
          <w:lang w:val="lt-LT"/>
        </w:rPr>
        <w:t xml:space="preserve">poveikį žmonių </w:t>
      </w:r>
      <w:r w:rsidRPr="00CD7E52">
        <w:rPr>
          <w:rFonts w:eastAsia="TimesNewRoman"/>
          <w:snapToGrid/>
          <w:szCs w:val="22"/>
          <w:lang w:val="lt-LT"/>
        </w:rPr>
        <w:t>vaisingum</w:t>
      </w:r>
      <w:r w:rsidR="00CB3E6C" w:rsidRPr="00CD7E52">
        <w:rPr>
          <w:rFonts w:eastAsia="TimesNewRoman"/>
          <w:snapToGrid/>
          <w:szCs w:val="22"/>
          <w:lang w:val="lt-LT"/>
        </w:rPr>
        <w:t>ui</w:t>
      </w:r>
      <w:r w:rsidR="00CB3E6C" w:rsidRPr="00CD7E52">
        <w:rPr>
          <w:rFonts w:eastAsia="TimesNewRoman"/>
          <w:szCs w:val="22"/>
          <w:lang w:val="lt-LT"/>
        </w:rPr>
        <w:t xml:space="preserve"> </w:t>
      </w:r>
      <w:r w:rsidRPr="00CD7E52">
        <w:rPr>
          <w:rFonts w:eastAsia="TimesNewRoman"/>
          <w:szCs w:val="22"/>
          <w:lang w:val="lt-LT"/>
        </w:rPr>
        <w:t>nėra. Atliekant gyvūnų tyrimus su pelėmis, nepageidaujamo poveikio</w:t>
      </w:r>
      <w:r w:rsidR="00CB3E6C" w:rsidRPr="00CD7E52">
        <w:rPr>
          <w:rFonts w:eastAsia="TimesNewRoman"/>
          <w:szCs w:val="22"/>
          <w:lang w:val="lt-LT"/>
        </w:rPr>
        <w:t xml:space="preserve"> </w:t>
      </w:r>
      <w:r w:rsidRPr="00CD7E52">
        <w:rPr>
          <w:rFonts w:eastAsia="TimesNewRoman"/>
          <w:szCs w:val="22"/>
          <w:lang w:val="lt-LT"/>
        </w:rPr>
        <w:t>vaisingumui nenustatyta, kai patinams ekspozicija buvo 3</w:t>
      </w:r>
      <w:r w:rsidR="007E4361" w:rsidRPr="00CD7E52">
        <w:rPr>
          <w:rFonts w:eastAsia="TimesNewRoman"/>
          <w:szCs w:val="22"/>
          <w:lang w:val="lt-LT"/>
        </w:rPr>
        <w:t> </w:t>
      </w:r>
      <w:r w:rsidRPr="00CD7E52">
        <w:rPr>
          <w:rFonts w:eastAsia="TimesNewRoman"/>
          <w:szCs w:val="22"/>
          <w:lang w:val="lt-LT"/>
        </w:rPr>
        <w:t>kartus didesnė už klinikinę, patelėms – 1</w:t>
      </w:r>
      <w:r w:rsidR="00CB3E6C" w:rsidRPr="00CD7E52">
        <w:rPr>
          <w:rFonts w:eastAsia="TimesNewRoman"/>
          <w:snapToGrid/>
          <w:szCs w:val="22"/>
          <w:lang w:val="lt-LT"/>
        </w:rPr>
        <w:t> </w:t>
      </w:r>
      <w:r w:rsidRPr="00CD7E52">
        <w:rPr>
          <w:rFonts w:eastAsia="TimesNewRoman"/>
          <w:szCs w:val="22"/>
          <w:lang w:val="lt-LT"/>
        </w:rPr>
        <w:t>kartą</w:t>
      </w:r>
      <w:r w:rsidR="00CB3E6C" w:rsidRPr="00CD7E52">
        <w:rPr>
          <w:rFonts w:eastAsia="TimesNewRoman"/>
          <w:szCs w:val="22"/>
          <w:lang w:val="lt-LT"/>
        </w:rPr>
        <w:t xml:space="preserve"> </w:t>
      </w:r>
      <w:r w:rsidRPr="00CD7E52">
        <w:rPr>
          <w:rFonts w:eastAsia="TimesNewRoman"/>
          <w:szCs w:val="22"/>
          <w:lang w:val="lt-LT"/>
        </w:rPr>
        <w:t xml:space="preserve">didesnė už klinikinę ekspoziciją. Ikiklinikiniai </w:t>
      </w:r>
      <w:r w:rsidR="00CB3E6C" w:rsidRPr="00CD7E52">
        <w:rPr>
          <w:rFonts w:eastAsia="TimesNewRoman"/>
          <w:snapToGrid/>
          <w:szCs w:val="22"/>
          <w:lang w:val="lt-LT"/>
        </w:rPr>
        <w:t xml:space="preserve">poveikio </w:t>
      </w:r>
      <w:r w:rsidRPr="00CD7E52">
        <w:rPr>
          <w:rFonts w:eastAsia="TimesNewRoman"/>
          <w:snapToGrid/>
          <w:szCs w:val="22"/>
          <w:lang w:val="lt-LT"/>
        </w:rPr>
        <w:t>vaisingum</w:t>
      </w:r>
      <w:r w:rsidR="00CB3E6C" w:rsidRPr="00CD7E52">
        <w:rPr>
          <w:rFonts w:eastAsia="TimesNewRoman"/>
          <w:snapToGrid/>
          <w:szCs w:val="22"/>
          <w:lang w:val="lt-LT"/>
        </w:rPr>
        <w:t>ui</w:t>
      </w:r>
      <w:r w:rsidRPr="00CD7E52">
        <w:rPr>
          <w:rFonts w:eastAsia="TimesNewRoman"/>
          <w:szCs w:val="22"/>
          <w:lang w:val="lt-LT"/>
        </w:rPr>
        <w:t xml:space="preserve"> duomenys pateikiami 5.3</w:t>
      </w:r>
      <w:r w:rsidR="00CB3E6C" w:rsidRPr="00CD7E52">
        <w:rPr>
          <w:rFonts w:eastAsia="TimesNewRoman"/>
          <w:szCs w:val="22"/>
          <w:lang w:val="lt-LT"/>
        </w:rPr>
        <w:t> </w:t>
      </w:r>
      <w:r w:rsidRPr="00CD7E52">
        <w:rPr>
          <w:rFonts w:eastAsia="TimesNewRoman"/>
          <w:szCs w:val="22"/>
          <w:lang w:val="lt-LT"/>
        </w:rPr>
        <w:t>skyriuje.</w:t>
      </w:r>
    </w:p>
    <w:p w14:paraId="46C7B063" w14:textId="77777777" w:rsidR="00776FBE" w:rsidRPr="00CD7E52" w:rsidRDefault="00776FBE" w:rsidP="00BD0220">
      <w:pPr>
        <w:widowControl w:val="0"/>
        <w:tabs>
          <w:tab w:val="clear" w:pos="567"/>
        </w:tabs>
        <w:spacing w:line="240" w:lineRule="auto"/>
        <w:ind w:left="567" w:hanging="567"/>
        <w:rPr>
          <w:szCs w:val="22"/>
          <w:lang w:val="lt-LT"/>
        </w:rPr>
      </w:pPr>
    </w:p>
    <w:p w14:paraId="75C6A7BE" w14:textId="77777777" w:rsidR="00776FBE" w:rsidRPr="00CD7E52" w:rsidRDefault="00776FBE" w:rsidP="0027211A">
      <w:pPr>
        <w:widowControl w:val="0"/>
        <w:spacing w:line="240" w:lineRule="auto"/>
        <w:ind w:left="567" w:hanging="567"/>
        <w:outlineLvl w:val="2"/>
        <w:rPr>
          <w:b/>
          <w:kern w:val="28"/>
          <w:szCs w:val="22"/>
          <w:lang w:val="lt-LT"/>
        </w:rPr>
      </w:pPr>
      <w:r w:rsidRPr="00CD7E52">
        <w:rPr>
          <w:b/>
          <w:snapToGrid/>
          <w:kern w:val="28"/>
          <w:szCs w:val="22"/>
          <w:lang w:val="lt-LT"/>
        </w:rPr>
        <w:t>4.7</w:t>
      </w:r>
      <w:r w:rsidRPr="00CD7E52">
        <w:rPr>
          <w:b/>
          <w:snapToGrid/>
          <w:kern w:val="28"/>
          <w:szCs w:val="22"/>
          <w:lang w:val="lt-LT"/>
        </w:rPr>
        <w:tab/>
      </w:r>
      <w:r w:rsidRPr="00CD7E52">
        <w:rPr>
          <w:b/>
          <w:kern w:val="28"/>
          <w:szCs w:val="22"/>
          <w:lang w:val="lt-LT"/>
        </w:rPr>
        <w:t>Poveikis gebėjimui vairuoti ir valdyti mechanizmus</w:t>
      </w:r>
    </w:p>
    <w:p w14:paraId="611E25CC" w14:textId="77777777" w:rsidR="00776FBE" w:rsidRPr="00CD7E52" w:rsidRDefault="00776FBE" w:rsidP="00BD0220">
      <w:pPr>
        <w:widowControl w:val="0"/>
        <w:tabs>
          <w:tab w:val="clear" w:pos="567"/>
        </w:tabs>
        <w:spacing w:line="240" w:lineRule="auto"/>
        <w:ind w:left="567" w:hanging="567"/>
        <w:rPr>
          <w:szCs w:val="22"/>
          <w:lang w:val="lt-LT"/>
        </w:rPr>
      </w:pPr>
    </w:p>
    <w:p w14:paraId="5C9CF406" w14:textId="77777777" w:rsidR="00776FBE" w:rsidRPr="00CD7E52" w:rsidRDefault="0027211A"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napToGrid/>
          <w:szCs w:val="22"/>
          <w:lang w:val="lt-LT"/>
        </w:rPr>
        <w:t xml:space="preserve">Apremilastas </w:t>
      </w:r>
      <w:r w:rsidR="00776FBE" w:rsidRPr="00CD7E52">
        <w:rPr>
          <w:rFonts w:eastAsia="TimesNewRoman"/>
          <w:szCs w:val="22"/>
          <w:lang w:val="lt-LT"/>
        </w:rPr>
        <w:t>gebėjimo vairuoti ir valdyti mechanizmus neveikia arba veikia nereikšmingai.</w:t>
      </w:r>
    </w:p>
    <w:p w14:paraId="0C4A801F" w14:textId="77777777" w:rsidR="00776FBE" w:rsidRPr="00CD7E52" w:rsidRDefault="00776FBE" w:rsidP="00BD0220">
      <w:pPr>
        <w:widowControl w:val="0"/>
        <w:tabs>
          <w:tab w:val="clear" w:pos="567"/>
        </w:tabs>
        <w:autoSpaceDE w:val="0"/>
        <w:autoSpaceDN w:val="0"/>
        <w:adjustRightInd w:val="0"/>
        <w:spacing w:line="240" w:lineRule="auto"/>
        <w:rPr>
          <w:rFonts w:eastAsia="TimesNewRoman"/>
          <w:szCs w:val="22"/>
          <w:lang w:val="lt-LT"/>
        </w:rPr>
      </w:pPr>
    </w:p>
    <w:p w14:paraId="2121D4FE" w14:textId="77777777" w:rsidR="00776FBE" w:rsidRPr="00CD7E52" w:rsidRDefault="00776FBE" w:rsidP="008F2D47">
      <w:pPr>
        <w:widowControl w:val="0"/>
        <w:spacing w:line="240" w:lineRule="auto"/>
        <w:ind w:left="567" w:hanging="567"/>
        <w:outlineLvl w:val="2"/>
        <w:rPr>
          <w:b/>
          <w:kern w:val="28"/>
          <w:szCs w:val="22"/>
          <w:lang w:val="lt-LT"/>
        </w:rPr>
      </w:pPr>
      <w:r w:rsidRPr="00CD7E52">
        <w:rPr>
          <w:b/>
          <w:snapToGrid/>
          <w:kern w:val="28"/>
          <w:szCs w:val="22"/>
          <w:lang w:val="lt-LT"/>
        </w:rPr>
        <w:t>4.8</w:t>
      </w:r>
      <w:r w:rsidRPr="00CD7E52">
        <w:rPr>
          <w:b/>
          <w:snapToGrid/>
          <w:kern w:val="28"/>
          <w:szCs w:val="22"/>
          <w:lang w:val="lt-LT"/>
        </w:rPr>
        <w:tab/>
      </w:r>
      <w:r w:rsidRPr="00CD7E52">
        <w:rPr>
          <w:b/>
          <w:kern w:val="28"/>
          <w:szCs w:val="22"/>
          <w:lang w:val="lt-LT"/>
        </w:rPr>
        <w:t>Nepageidaujamas poveikis</w:t>
      </w:r>
    </w:p>
    <w:p w14:paraId="29F4E2CD" w14:textId="77777777" w:rsidR="00776FBE" w:rsidRPr="00CD7E52" w:rsidRDefault="00776FBE" w:rsidP="00BD0220">
      <w:pPr>
        <w:widowControl w:val="0"/>
        <w:tabs>
          <w:tab w:val="clear" w:pos="567"/>
        </w:tabs>
        <w:spacing w:line="240" w:lineRule="auto"/>
        <w:rPr>
          <w:szCs w:val="22"/>
          <w:lang w:val="lt-LT"/>
        </w:rPr>
      </w:pPr>
    </w:p>
    <w:p w14:paraId="32AD93BD" w14:textId="77777777" w:rsidR="00776FBE" w:rsidRPr="00CD7E52" w:rsidRDefault="00776FBE"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u w:val="single"/>
          <w:lang w:val="lt-LT"/>
        </w:rPr>
        <w:t>Saugumo duomenų santrauka</w:t>
      </w:r>
    </w:p>
    <w:p w14:paraId="48097527" w14:textId="77777777" w:rsidR="00EA0354" w:rsidRPr="00CD7E52" w:rsidRDefault="00EA0354"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Dažniausi</w:t>
      </w:r>
      <w:r w:rsidR="0033798C" w:rsidRPr="00CD7E52">
        <w:rPr>
          <w:rFonts w:eastAsia="TimesNewRoman"/>
          <w:szCs w:val="22"/>
          <w:lang w:val="lt-LT"/>
        </w:rPr>
        <w:t>os</w:t>
      </w:r>
      <w:r w:rsidRPr="00CD7E52">
        <w:rPr>
          <w:rFonts w:eastAsia="TimesNewRoman"/>
          <w:szCs w:val="22"/>
          <w:lang w:val="lt-LT"/>
        </w:rPr>
        <w:t xml:space="preserve"> nepageidaujamos reakcijos</w:t>
      </w:r>
      <w:r w:rsidR="007B6DBA">
        <w:rPr>
          <w:rFonts w:eastAsia="TimesNewRoman"/>
          <w:szCs w:val="22"/>
          <w:lang w:val="lt-LT"/>
        </w:rPr>
        <w:t xml:space="preserve"> </w:t>
      </w:r>
      <w:r w:rsidR="007B6DBA" w:rsidRPr="007B6DBA">
        <w:rPr>
          <w:rFonts w:eastAsia="TimesNewRoman"/>
          <w:szCs w:val="22"/>
          <w:lang w:val="lt-LT"/>
        </w:rPr>
        <w:t>suaugusiesiems</w:t>
      </w:r>
      <w:r w:rsidR="00A17257" w:rsidRPr="00CD7E52">
        <w:rPr>
          <w:rFonts w:eastAsia="TimesNewRoman"/>
          <w:szCs w:val="22"/>
          <w:lang w:val="lt-LT"/>
        </w:rPr>
        <w:t>, apie kurias pranešta</w:t>
      </w:r>
      <w:r w:rsidRPr="00CD7E52">
        <w:rPr>
          <w:rFonts w:eastAsia="TimesNewRoman"/>
          <w:szCs w:val="22"/>
          <w:lang w:val="lt-LT"/>
        </w:rPr>
        <w:t xml:space="preserve"> vartojant apremilast</w:t>
      </w:r>
      <w:r w:rsidR="00A17257" w:rsidRPr="00CD7E52">
        <w:rPr>
          <w:rFonts w:eastAsia="TimesNewRoman"/>
          <w:szCs w:val="22"/>
          <w:lang w:val="lt-LT"/>
        </w:rPr>
        <w:t>o</w:t>
      </w:r>
      <w:r w:rsidRPr="00CD7E52">
        <w:rPr>
          <w:rFonts w:eastAsia="TimesNewRoman"/>
          <w:szCs w:val="22"/>
          <w:lang w:val="lt-LT"/>
        </w:rPr>
        <w:t xml:space="preserve"> PsA ir PSOR </w:t>
      </w:r>
      <w:r w:rsidR="00B83D7C" w:rsidRPr="00CD7E52">
        <w:rPr>
          <w:rFonts w:eastAsia="TimesNewRoman"/>
          <w:szCs w:val="22"/>
          <w:lang w:val="lt-LT"/>
        </w:rPr>
        <w:t xml:space="preserve">gydymui </w:t>
      </w:r>
      <w:r w:rsidRPr="00CD7E52">
        <w:rPr>
          <w:rFonts w:eastAsia="TimesNewRoman"/>
          <w:szCs w:val="22"/>
          <w:lang w:val="lt-LT"/>
        </w:rPr>
        <w:t>yra virškinimo trakto (VT) sutrikimai, įskaitant viduriavimą (15,7</w:t>
      </w:r>
      <w:r w:rsidR="009F17E0" w:rsidRPr="00CD7E52">
        <w:rPr>
          <w:rFonts w:eastAsia="TimesNewRoman"/>
          <w:szCs w:val="22"/>
          <w:lang w:val="lt-LT"/>
        </w:rPr>
        <w:t> %</w:t>
      </w:r>
      <w:r w:rsidRPr="00CD7E52">
        <w:rPr>
          <w:rFonts w:eastAsia="TimesNewRoman"/>
          <w:szCs w:val="22"/>
          <w:lang w:val="lt-LT"/>
        </w:rPr>
        <w:t>) ir pykinimą (13,9</w:t>
      </w:r>
      <w:r w:rsidR="009F17E0" w:rsidRPr="00CD7E52">
        <w:rPr>
          <w:rFonts w:eastAsia="TimesNewRoman"/>
          <w:szCs w:val="22"/>
          <w:lang w:val="lt-LT"/>
        </w:rPr>
        <w:t> %</w:t>
      </w:r>
      <w:r w:rsidRPr="00CD7E52">
        <w:rPr>
          <w:rFonts w:eastAsia="TimesNewRoman"/>
          <w:szCs w:val="22"/>
          <w:lang w:val="lt-LT"/>
        </w:rPr>
        <w:t xml:space="preserve">). </w:t>
      </w:r>
      <w:r w:rsidRPr="00CD7E52">
        <w:rPr>
          <w:rFonts w:eastAsia="TimesNewRoman"/>
          <w:snapToGrid/>
          <w:szCs w:val="22"/>
          <w:lang w:val="lt-LT"/>
        </w:rPr>
        <w:t>Kitos</w:t>
      </w:r>
      <w:r w:rsidRPr="00CD7E52">
        <w:rPr>
          <w:rFonts w:eastAsia="TimesNewRoman"/>
          <w:szCs w:val="22"/>
          <w:lang w:val="lt-LT"/>
        </w:rPr>
        <w:t xml:space="preserve"> dažniausiai </w:t>
      </w:r>
      <w:r w:rsidRPr="00CD7E52">
        <w:rPr>
          <w:rFonts w:eastAsia="TimesNewRoman"/>
          <w:snapToGrid/>
          <w:szCs w:val="22"/>
          <w:lang w:val="lt-LT"/>
        </w:rPr>
        <w:t>praneštos nepageidaujamos reakcijos</w:t>
      </w:r>
      <w:r w:rsidRPr="00CD7E52">
        <w:rPr>
          <w:rFonts w:eastAsia="TimesNewRoman"/>
          <w:szCs w:val="22"/>
          <w:lang w:val="lt-LT"/>
        </w:rPr>
        <w:t xml:space="preserve"> yra viršutinių kvėpavimo takų infekcijos (8,4</w:t>
      </w:r>
      <w:r w:rsidR="009F17E0" w:rsidRPr="00CD7E52">
        <w:rPr>
          <w:rFonts w:eastAsia="TimesNewRoman"/>
          <w:szCs w:val="22"/>
          <w:lang w:val="lt-LT"/>
        </w:rPr>
        <w:t> %</w:t>
      </w:r>
      <w:r w:rsidRPr="00CD7E52">
        <w:rPr>
          <w:rFonts w:eastAsia="TimesNewRoman"/>
          <w:szCs w:val="22"/>
          <w:lang w:val="lt-LT"/>
        </w:rPr>
        <w:t>), galvos skausmas (7,9</w:t>
      </w:r>
      <w:r w:rsidR="009F17E0" w:rsidRPr="00CD7E52">
        <w:rPr>
          <w:rFonts w:eastAsia="TimesNewRoman"/>
          <w:szCs w:val="22"/>
          <w:lang w:val="lt-LT"/>
        </w:rPr>
        <w:t> %</w:t>
      </w:r>
      <w:r w:rsidRPr="00CD7E52">
        <w:rPr>
          <w:rFonts w:eastAsia="TimesNewRoman"/>
          <w:szCs w:val="22"/>
          <w:lang w:val="lt-LT"/>
        </w:rPr>
        <w:t>) ir įtampos tipo galvos skausmas (7,2</w:t>
      </w:r>
      <w:r w:rsidR="009F17E0" w:rsidRPr="00CD7E52">
        <w:rPr>
          <w:rFonts w:eastAsia="TimesNewRoman"/>
          <w:szCs w:val="22"/>
          <w:lang w:val="lt-LT"/>
        </w:rPr>
        <w:t> %</w:t>
      </w:r>
      <w:r w:rsidRPr="00CD7E52">
        <w:rPr>
          <w:rFonts w:eastAsia="TimesNewRoman"/>
          <w:szCs w:val="22"/>
          <w:lang w:val="lt-LT"/>
        </w:rPr>
        <w:t xml:space="preserve">), jos dažniausiai būna </w:t>
      </w:r>
      <w:r w:rsidRPr="00CD7E52">
        <w:rPr>
          <w:rFonts w:eastAsia="TimesNewRoman"/>
          <w:snapToGrid/>
          <w:szCs w:val="22"/>
          <w:lang w:val="lt-LT"/>
        </w:rPr>
        <w:t>lengvos</w:t>
      </w:r>
      <w:r w:rsidRPr="00CD7E52">
        <w:rPr>
          <w:rFonts w:eastAsia="TimesNewRoman"/>
          <w:szCs w:val="22"/>
          <w:lang w:val="lt-LT"/>
        </w:rPr>
        <w:t xml:space="preserve"> arba vidutinio sunkumo.</w:t>
      </w:r>
    </w:p>
    <w:p w14:paraId="2DE03B8D" w14:textId="77777777" w:rsidR="00EA0354" w:rsidRPr="00CD7E52" w:rsidRDefault="00EA0354" w:rsidP="00BD0220">
      <w:pPr>
        <w:widowControl w:val="0"/>
        <w:tabs>
          <w:tab w:val="clear" w:pos="567"/>
        </w:tabs>
        <w:autoSpaceDE w:val="0"/>
        <w:autoSpaceDN w:val="0"/>
        <w:adjustRightInd w:val="0"/>
        <w:spacing w:line="240" w:lineRule="auto"/>
        <w:rPr>
          <w:rFonts w:eastAsia="TimesNewRoman"/>
          <w:szCs w:val="22"/>
          <w:lang w:val="lt-LT"/>
        </w:rPr>
      </w:pPr>
    </w:p>
    <w:p w14:paraId="0E5956A9" w14:textId="77777777" w:rsidR="00EA0354" w:rsidRPr="00CD7E52" w:rsidRDefault="00EA0354"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 xml:space="preserve">Dažniausiai </w:t>
      </w:r>
      <w:r w:rsidR="00006D29" w:rsidRPr="00CD7E52">
        <w:rPr>
          <w:rFonts w:eastAsia="TimesNewRoman"/>
          <w:snapToGrid/>
          <w:szCs w:val="22"/>
          <w:lang w:val="lt-LT"/>
        </w:rPr>
        <w:t>praneštos</w:t>
      </w:r>
      <w:r w:rsidRPr="00CD7E52">
        <w:rPr>
          <w:rFonts w:eastAsia="TimesNewRoman"/>
          <w:szCs w:val="22"/>
          <w:lang w:val="lt-LT"/>
        </w:rPr>
        <w:t xml:space="preserve"> nepageidaujamos reakcijos </w:t>
      </w:r>
      <w:r w:rsidR="007B6DBA" w:rsidRPr="007B6DBA">
        <w:rPr>
          <w:rFonts w:eastAsia="TimesNewRoman"/>
          <w:szCs w:val="22"/>
          <w:lang w:val="lt-LT"/>
        </w:rPr>
        <w:t xml:space="preserve">suaugusiesiems </w:t>
      </w:r>
      <w:r w:rsidRPr="00CD7E52">
        <w:rPr>
          <w:rFonts w:eastAsia="TimesNewRoman"/>
          <w:szCs w:val="22"/>
          <w:lang w:val="lt-LT"/>
        </w:rPr>
        <w:t>vartojant apremilast</w:t>
      </w:r>
      <w:r w:rsidR="00294FF7" w:rsidRPr="00CD7E52">
        <w:rPr>
          <w:rFonts w:eastAsia="TimesNewRoman"/>
          <w:szCs w:val="22"/>
          <w:lang w:val="lt-LT"/>
        </w:rPr>
        <w:t>o</w:t>
      </w:r>
      <w:r w:rsidRPr="00CD7E52">
        <w:rPr>
          <w:rFonts w:eastAsia="TimesNewRoman"/>
          <w:szCs w:val="22"/>
          <w:lang w:val="lt-LT"/>
        </w:rPr>
        <w:t xml:space="preserve"> BL </w:t>
      </w:r>
      <w:r w:rsidR="00294FF7" w:rsidRPr="00CD7E52">
        <w:rPr>
          <w:rFonts w:eastAsia="TimesNewRoman"/>
          <w:szCs w:val="22"/>
          <w:lang w:val="lt-LT"/>
        </w:rPr>
        <w:t xml:space="preserve">gydymui </w:t>
      </w:r>
      <w:r w:rsidRPr="00CD7E52">
        <w:rPr>
          <w:rFonts w:eastAsia="TimesNewRoman"/>
          <w:szCs w:val="22"/>
          <w:lang w:val="lt-LT"/>
        </w:rPr>
        <w:t>yra viduriavimas (41,3</w:t>
      </w:r>
      <w:r w:rsidR="009F17E0" w:rsidRPr="00CD7E52">
        <w:rPr>
          <w:rFonts w:eastAsia="TimesNewRoman"/>
          <w:szCs w:val="22"/>
          <w:lang w:val="lt-LT"/>
        </w:rPr>
        <w:t> %</w:t>
      </w:r>
      <w:r w:rsidRPr="00CD7E52">
        <w:rPr>
          <w:rFonts w:eastAsia="TimesNewRoman"/>
          <w:szCs w:val="22"/>
          <w:lang w:val="lt-LT"/>
        </w:rPr>
        <w:t>),</w:t>
      </w:r>
      <w:r w:rsidR="00006D29" w:rsidRPr="00CD7E52">
        <w:rPr>
          <w:rFonts w:eastAsia="TimesNewRoman"/>
          <w:szCs w:val="22"/>
          <w:lang w:val="lt-LT"/>
        </w:rPr>
        <w:t xml:space="preserve"> </w:t>
      </w:r>
      <w:r w:rsidRPr="00CD7E52">
        <w:rPr>
          <w:rFonts w:eastAsia="TimesNewRoman"/>
          <w:szCs w:val="22"/>
          <w:lang w:val="lt-LT"/>
        </w:rPr>
        <w:t>pykinimas (19,2</w:t>
      </w:r>
      <w:r w:rsidR="009F17E0" w:rsidRPr="00CD7E52">
        <w:rPr>
          <w:rFonts w:eastAsia="TimesNewRoman"/>
          <w:szCs w:val="22"/>
          <w:lang w:val="lt-LT"/>
        </w:rPr>
        <w:t> %</w:t>
      </w:r>
      <w:r w:rsidRPr="00CD7E52">
        <w:rPr>
          <w:rFonts w:eastAsia="TimesNewRoman"/>
          <w:szCs w:val="22"/>
          <w:lang w:val="lt-LT"/>
        </w:rPr>
        <w:t>), galvos skausmas (14,4</w:t>
      </w:r>
      <w:r w:rsidR="009F17E0" w:rsidRPr="00CD7E52">
        <w:rPr>
          <w:rFonts w:eastAsia="TimesNewRoman"/>
          <w:szCs w:val="22"/>
          <w:lang w:val="lt-LT"/>
        </w:rPr>
        <w:t> %</w:t>
      </w:r>
      <w:r w:rsidRPr="00CD7E52">
        <w:rPr>
          <w:rFonts w:eastAsia="TimesNewRoman"/>
          <w:szCs w:val="22"/>
          <w:lang w:val="lt-LT"/>
        </w:rPr>
        <w:t>), viršutinių kvėpavimo takų infekcija (11,5</w:t>
      </w:r>
      <w:r w:rsidR="009F17E0" w:rsidRPr="00CD7E52">
        <w:rPr>
          <w:rFonts w:eastAsia="TimesNewRoman"/>
          <w:szCs w:val="22"/>
          <w:lang w:val="lt-LT"/>
        </w:rPr>
        <w:t> %</w:t>
      </w:r>
      <w:r w:rsidRPr="00CD7E52">
        <w:rPr>
          <w:rFonts w:eastAsia="TimesNewRoman"/>
          <w:szCs w:val="22"/>
          <w:lang w:val="lt-LT"/>
        </w:rPr>
        <w:t>), viršutinės</w:t>
      </w:r>
      <w:r w:rsidR="00006D29" w:rsidRPr="00CD7E52">
        <w:rPr>
          <w:rFonts w:eastAsia="TimesNewRoman"/>
          <w:szCs w:val="22"/>
          <w:lang w:val="lt-LT"/>
        </w:rPr>
        <w:t xml:space="preserve"> </w:t>
      </w:r>
      <w:r w:rsidRPr="00CD7E52">
        <w:rPr>
          <w:rFonts w:eastAsia="TimesNewRoman"/>
          <w:szCs w:val="22"/>
          <w:lang w:val="lt-LT"/>
        </w:rPr>
        <w:t>pilvo dalies skausmas (8,7</w:t>
      </w:r>
      <w:r w:rsidR="009F17E0" w:rsidRPr="00CD7E52">
        <w:rPr>
          <w:rFonts w:eastAsia="TimesNewRoman"/>
          <w:szCs w:val="22"/>
          <w:lang w:val="lt-LT"/>
        </w:rPr>
        <w:t> %</w:t>
      </w:r>
      <w:r w:rsidRPr="00CD7E52">
        <w:rPr>
          <w:rFonts w:eastAsia="TimesNewRoman"/>
          <w:szCs w:val="22"/>
          <w:lang w:val="lt-LT"/>
        </w:rPr>
        <w:t>), vėmimas (8,7</w:t>
      </w:r>
      <w:r w:rsidR="009F17E0" w:rsidRPr="00CD7E52">
        <w:rPr>
          <w:rFonts w:eastAsia="TimesNewRoman"/>
          <w:szCs w:val="22"/>
          <w:lang w:val="lt-LT"/>
        </w:rPr>
        <w:t> %</w:t>
      </w:r>
      <w:r w:rsidRPr="00CD7E52">
        <w:rPr>
          <w:rFonts w:eastAsia="TimesNewRoman"/>
          <w:szCs w:val="22"/>
          <w:lang w:val="lt-LT"/>
        </w:rPr>
        <w:t>) ir nugaros skausmas (7,7</w:t>
      </w:r>
      <w:r w:rsidR="009F17E0" w:rsidRPr="00CD7E52">
        <w:rPr>
          <w:rFonts w:eastAsia="TimesNewRoman"/>
          <w:szCs w:val="22"/>
          <w:lang w:val="lt-LT"/>
        </w:rPr>
        <w:t> %</w:t>
      </w:r>
      <w:r w:rsidRPr="00CD7E52">
        <w:rPr>
          <w:rFonts w:eastAsia="TimesNewRoman"/>
          <w:szCs w:val="22"/>
          <w:lang w:val="lt-LT"/>
        </w:rPr>
        <w:t>). Šios reakcijos dažniausiai</w:t>
      </w:r>
      <w:r w:rsidR="00006D29" w:rsidRPr="00CD7E52">
        <w:rPr>
          <w:rFonts w:eastAsia="TimesNewRoman"/>
          <w:szCs w:val="22"/>
          <w:lang w:val="lt-LT"/>
        </w:rPr>
        <w:t xml:space="preserve"> </w:t>
      </w:r>
      <w:r w:rsidRPr="00CD7E52">
        <w:rPr>
          <w:rFonts w:eastAsia="TimesNewRoman"/>
          <w:szCs w:val="22"/>
          <w:lang w:val="lt-LT"/>
        </w:rPr>
        <w:t xml:space="preserve">būna </w:t>
      </w:r>
      <w:r w:rsidR="00006D29" w:rsidRPr="00CD7E52">
        <w:rPr>
          <w:rFonts w:eastAsia="TimesNewRoman"/>
          <w:snapToGrid/>
          <w:szCs w:val="22"/>
          <w:lang w:val="lt-LT"/>
        </w:rPr>
        <w:t>lengvos</w:t>
      </w:r>
      <w:r w:rsidRPr="00CD7E52">
        <w:rPr>
          <w:rFonts w:eastAsia="TimesNewRoman"/>
          <w:szCs w:val="22"/>
          <w:lang w:val="lt-LT"/>
        </w:rPr>
        <w:t xml:space="preserve"> ar vidutinio sunkumo.</w:t>
      </w:r>
    </w:p>
    <w:p w14:paraId="145E3AFC" w14:textId="77777777" w:rsidR="00006D29" w:rsidRPr="00CD7E52" w:rsidRDefault="00006D29" w:rsidP="00BD0220">
      <w:pPr>
        <w:widowControl w:val="0"/>
        <w:tabs>
          <w:tab w:val="clear" w:pos="567"/>
        </w:tabs>
        <w:autoSpaceDE w:val="0"/>
        <w:autoSpaceDN w:val="0"/>
        <w:adjustRightInd w:val="0"/>
        <w:spacing w:line="240" w:lineRule="auto"/>
        <w:rPr>
          <w:rFonts w:eastAsia="TimesNewRoman"/>
          <w:szCs w:val="22"/>
          <w:lang w:val="lt-LT"/>
        </w:rPr>
      </w:pPr>
    </w:p>
    <w:p w14:paraId="7E0981C0" w14:textId="77777777" w:rsidR="00EA0354" w:rsidRPr="00CD7E52" w:rsidRDefault="00EA0354" w:rsidP="00DB2543">
      <w:pPr>
        <w:keepNext/>
        <w:keepLines/>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lastRenderedPageBreak/>
        <w:t>Virškinimo trakto nepageidaujamos reakcijos dažniausiai pasireiškia per pirmąsias 2</w:t>
      </w:r>
      <w:r w:rsidR="00006D29" w:rsidRPr="00CD7E52">
        <w:rPr>
          <w:rFonts w:eastAsia="TimesNewRoman"/>
          <w:snapToGrid/>
          <w:szCs w:val="22"/>
          <w:lang w:val="lt-LT"/>
        </w:rPr>
        <w:t> </w:t>
      </w:r>
      <w:r w:rsidRPr="00CD7E52">
        <w:rPr>
          <w:rFonts w:eastAsia="TimesNewRoman"/>
          <w:szCs w:val="22"/>
          <w:lang w:val="lt-LT"/>
        </w:rPr>
        <w:t>gydymo</w:t>
      </w:r>
      <w:r w:rsidR="001B3255" w:rsidRPr="00CD7E52">
        <w:rPr>
          <w:rFonts w:eastAsia="TimesNewRoman"/>
          <w:szCs w:val="22"/>
          <w:lang w:val="lt-LT"/>
        </w:rPr>
        <w:t xml:space="preserve"> </w:t>
      </w:r>
      <w:r w:rsidR="00C65C08" w:rsidRPr="00CD7E52">
        <w:rPr>
          <w:rFonts w:eastAsia="TimesNewRoman"/>
          <w:szCs w:val="22"/>
          <w:lang w:val="lt-LT"/>
        </w:rPr>
        <w:t>savai</w:t>
      </w:r>
      <w:r w:rsidRPr="00CD7E52">
        <w:rPr>
          <w:rFonts w:eastAsia="TimesNewRoman"/>
          <w:szCs w:val="22"/>
          <w:lang w:val="lt-LT"/>
        </w:rPr>
        <w:t>tes ir</w:t>
      </w:r>
      <w:r w:rsidR="00006D29" w:rsidRPr="00CD7E52">
        <w:rPr>
          <w:rFonts w:eastAsia="TimesNewRoman"/>
          <w:szCs w:val="22"/>
          <w:lang w:val="lt-LT"/>
        </w:rPr>
        <w:t xml:space="preserve"> </w:t>
      </w:r>
      <w:r w:rsidRPr="00CD7E52">
        <w:rPr>
          <w:rFonts w:eastAsia="TimesNewRoman"/>
          <w:szCs w:val="22"/>
          <w:lang w:val="lt-LT"/>
        </w:rPr>
        <w:t xml:space="preserve">paprastai </w:t>
      </w:r>
      <w:r w:rsidR="00006D29" w:rsidRPr="00CD7E52">
        <w:rPr>
          <w:rFonts w:eastAsia="TimesNewRoman"/>
          <w:snapToGrid/>
          <w:szCs w:val="22"/>
          <w:lang w:val="lt-LT"/>
        </w:rPr>
        <w:t>išnyksta</w:t>
      </w:r>
      <w:r w:rsidRPr="00CD7E52">
        <w:rPr>
          <w:rFonts w:eastAsia="TimesNewRoman"/>
          <w:szCs w:val="22"/>
          <w:lang w:val="lt-LT"/>
        </w:rPr>
        <w:t xml:space="preserve"> per 4</w:t>
      </w:r>
      <w:r w:rsidR="00C65C08" w:rsidRPr="00CD7E52">
        <w:rPr>
          <w:rFonts w:eastAsia="TimesNewRoman"/>
          <w:szCs w:val="22"/>
          <w:lang w:val="lt-LT"/>
        </w:rPr>
        <w:t> savai</w:t>
      </w:r>
      <w:r w:rsidRPr="00CD7E52">
        <w:rPr>
          <w:rFonts w:eastAsia="TimesNewRoman"/>
          <w:szCs w:val="22"/>
          <w:lang w:val="lt-LT"/>
        </w:rPr>
        <w:t>tes.</w:t>
      </w:r>
    </w:p>
    <w:p w14:paraId="4DC3A965" w14:textId="77777777" w:rsidR="00006D29" w:rsidRPr="00CD7E52" w:rsidRDefault="00006D29" w:rsidP="00BD0220">
      <w:pPr>
        <w:widowControl w:val="0"/>
        <w:tabs>
          <w:tab w:val="clear" w:pos="567"/>
        </w:tabs>
        <w:autoSpaceDE w:val="0"/>
        <w:autoSpaceDN w:val="0"/>
        <w:adjustRightInd w:val="0"/>
        <w:spacing w:line="240" w:lineRule="auto"/>
        <w:rPr>
          <w:rFonts w:eastAsia="TimesNewRoman"/>
          <w:szCs w:val="22"/>
          <w:lang w:val="lt-LT"/>
        </w:rPr>
      </w:pPr>
    </w:p>
    <w:p w14:paraId="66467143" w14:textId="77777777" w:rsidR="00EA0354" w:rsidRPr="00CD7E52" w:rsidRDefault="00EA0354"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Padidėjusio jautrumo reakcij</w:t>
      </w:r>
      <w:r w:rsidR="00723F6C" w:rsidRPr="00CD7E52">
        <w:rPr>
          <w:rFonts w:eastAsia="TimesNewRoman"/>
          <w:szCs w:val="22"/>
          <w:lang w:val="lt-LT"/>
        </w:rPr>
        <w:t>os</w:t>
      </w:r>
      <w:r w:rsidRPr="00CD7E52">
        <w:rPr>
          <w:rFonts w:eastAsia="TimesNewRoman"/>
          <w:szCs w:val="22"/>
          <w:lang w:val="lt-LT"/>
        </w:rPr>
        <w:t xml:space="preserve"> nustatom</w:t>
      </w:r>
      <w:r w:rsidR="00792687" w:rsidRPr="00CD7E52">
        <w:rPr>
          <w:rFonts w:eastAsia="TimesNewRoman"/>
          <w:szCs w:val="22"/>
          <w:lang w:val="lt-LT"/>
        </w:rPr>
        <w:t>o</w:t>
      </w:r>
      <w:r w:rsidRPr="00CD7E52">
        <w:rPr>
          <w:rFonts w:eastAsia="TimesNewRoman"/>
          <w:szCs w:val="22"/>
          <w:lang w:val="lt-LT"/>
        </w:rPr>
        <w:t>s nedažnai (žr. 4.3</w:t>
      </w:r>
      <w:r w:rsidR="00006D29" w:rsidRPr="00CD7E52">
        <w:rPr>
          <w:rFonts w:eastAsia="TimesNewRoman"/>
          <w:szCs w:val="22"/>
          <w:lang w:val="lt-LT"/>
        </w:rPr>
        <w:t> </w:t>
      </w:r>
      <w:r w:rsidRPr="00CD7E52">
        <w:rPr>
          <w:rFonts w:eastAsia="TimesNewRoman"/>
          <w:szCs w:val="22"/>
          <w:lang w:val="lt-LT"/>
        </w:rPr>
        <w:t>skyrių).</w:t>
      </w:r>
    </w:p>
    <w:p w14:paraId="377414EC" w14:textId="77777777" w:rsidR="00006D29" w:rsidRPr="00CD7E52" w:rsidRDefault="00006D29" w:rsidP="00BD0220">
      <w:pPr>
        <w:widowControl w:val="0"/>
        <w:tabs>
          <w:tab w:val="clear" w:pos="567"/>
        </w:tabs>
        <w:autoSpaceDE w:val="0"/>
        <w:autoSpaceDN w:val="0"/>
        <w:adjustRightInd w:val="0"/>
        <w:spacing w:line="240" w:lineRule="auto"/>
        <w:rPr>
          <w:rFonts w:eastAsia="TimesNewRoman"/>
          <w:szCs w:val="22"/>
          <w:lang w:val="lt-LT"/>
        </w:rPr>
      </w:pPr>
    </w:p>
    <w:p w14:paraId="7B5365B1" w14:textId="77777777" w:rsidR="00EA0354" w:rsidRPr="00CD7E52" w:rsidRDefault="00EA0354" w:rsidP="00BD0220">
      <w:pPr>
        <w:widowControl w:val="0"/>
        <w:tabs>
          <w:tab w:val="clear" w:pos="567"/>
        </w:tabs>
        <w:autoSpaceDE w:val="0"/>
        <w:autoSpaceDN w:val="0"/>
        <w:adjustRightInd w:val="0"/>
        <w:spacing w:line="240" w:lineRule="auto"/>
        <w:rPr>
          <w:rFonts w:eastAsia="TimesNewRoman"/>
          <w:szCs w:val="22"/>
          <w:u w:val="single"/>
          <w:lang w:val="lt-LT"/>
        </w:rPr>
      </w:pPr>
      <w:r w:rsidRPr="00CD7E52">
        <w:rPr>
          <w:rFonts w:eastAsia="TimesNewRoman"/>
          <w:szCs w:val="22"/>
          <w:u w:val="single"/>
          <w:lang w:val="lt-LT"/>
        </w:rPr>
        <w:t>Nepageidaujamų reakcijų santrauka lentelėje</w:t>
      </w:r>
    </w:p>
    <w:p w14:paraId="49712DD6" w14:textId="77777777" w:rsidR="00EA0354" w:rsidRPr="00CD7E52" w:rsidRDefault="00EA0354"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 xml:space="preserve">Apremilastu gydytiems </w:t>
      </w:r>
      <w:r w:rsidR="007B6DBA" w:rsidRPr="007B6DBA">
        <w:rPr>
          <w:rFonts w:eastAsia="TimesNewRoman"/>
          <w:szCs w:val="22"/>
          <w:lang w:val="lt-LT"/>
        </w:rPr>
        <w:t xml:space="preserve">suaugusiems </w:t>
      </w:r>
      <w:r w:rsidRPr="00CD7E52">
        <w:rPr>
          <w:rFonts w:eastAsia="TimesNewRoman"/>
          <w:szCs w:val="22"/>
          <w:lang w:val="lt-LT"/>
        </w:rPr>
        <w:t xml:space="preserve">pacientams nustatytos nepageidaujamos reakcijos </w:t>
      </w:r>
      <w:r w:rsidR="00006D29" w:rsidRPr="00CD7E52">
        <w:rPr>
          <w:rFonts w:eastAsia="TimesNewRoman"/>
          <w:snapToGrid/>
          <w:szCs w:val="22"/>
          <w:lang w:val="lt-LT"/>
        </w:rPr>
        <w:t>yra</w:t>
      </w:r>
      <w:r w:rsidRPr="00CD7E52">
        <w:rPr>
          <w:rFonts w:eastAsia="TimesNewRoman"/>
          <w:szCs w:val="22"/>
          <w:lang w:val="lt-LT"/>
        </w:rPr>
        <w:t xml:space="preserve"> išvardytos</w:t>
      </w:r>
      <w:r w:rsidRPr="00CD7E52">
        <w:rPr>
          <w:rFonts w:eastAsia="TimesNewRoman"/>
          <w:snapToGrid/>
          <w:szCs w:val="22"/>
          <w:lang w:val="lt-LT"/>
        </w:rPr>
        <w:t xml:space="preserve"> </w:t>
      </w:r>
      <w:r w:rsidR="00006D29" w:rsidRPr="00CD7E52">
        <w:rPr>
          <w:rFonts w:eastAsia="TimesNewRoman"/>
          <w:snapToGrid/>
          <w:szCs w:val="22"/>
          <w:lang w:val="lt-LT"/>
        </w:rPr>
        <w:t>toliau</w:t>
      </w:r>
      <w:r w:rsidR="00006D29" w:rsidRPr="00CD7E52">
        <w:rPr>
          <w:rFonts w:eastAsia="TimesNewRoman"/>
          <w:szCs w:val="22"/>
          <w:lang w:val="lt-LT"/>
        </w:rPr>
        <w:t xml:space="preserve"> </w:t>
      </w:r>
      <w:r w:rsidRPr="00CD7E52">
        <w:rPr>
          <w:rFonts w:eastAsia="TimesNewRoman"/>
          <w:szCs w:val="22"/>
          <w:lang w:val="lt-LT"/>
        </w:rPr>
        <w:t>pagal organų</w:t>
      </w:r>
      <w:r w:rsidR="00006D29" w:rsidRPr="00CD7E52">
        <w:rPr>
          <w:rFonts w:eastAsia="TimesNewRoman"/>
          <w:szCs w:val="22"/>
          <w:lang w:val="lt-LT"/>
        </w:rPr>
        <w:t xml:space="preserve"> </w:t>
      </w:r>
      <w:r w:rsidRPr="00CD7E52">
        <w:rPr>
          <w:rFonts w:eastAsia="TimesNewRoman"/>
          <w:szCs w:val="22"/>
          <w:lang w:val="lt-LT"/>
        </w:rPr>
        <w:t>sistemų klases (OSK) bei visų nepageidaujamų reakcijų pasireiškimo dažnį. Kiekvienoje OSK ir dažnio</w:t>
      </w:r>
      <w:r w:rsidR="00006D29" w:rsidRPr="00CD7E52">
        <w:rPr>
          <w:rFonts w:eastAsia="TimesNewRoman"/>
          <w:szCs w:val="22"/>
          <w:lang w:val="lt-LT"/>
        </w:rPr>
        <w:t xml:space="preserve"> </w:t>
      </w:r>
      <w:r w:rsidRPr="00CD7E52">
        <w:rPr>
          <w:rFonts w:eastAsia="TimesNewRoman"/>
          <w:szCs w:val="22"/>
          <w:lang w:val="lt-LT"/>
        </w:rPr>
        <w:t>grupėje nepageidaujamos reakcijos pateikiamos mažėjančio sunkumo tvarka.</w:t>
      </w:r>
    </w:p>
    <w:p w14:paraId="15F8525F" w14:textId="77777777" w:rsidR="00006D29" w:rsidRPr="00CD7E52" w:rsidRDefault="00006D29" w:rsidP="00BD0220">
      <w:pPr>
        <w:widowControl w:val="0"/>
        <w:tabs>
          <w:tab w:val="clear" w:pos="567"/>
        </w:tabs>
        <w:autoSpaceDE w:val="0"/>
        <w:autoSpaceDN w:val="0"/>
        <w:adjustRightInd w:val="0"/>
        <w:spacing w:line="240" w:lineRule="auto"/>
        <w:rPr>
          <w:rFonts w:eastAsia="TimesNewRoman"/>
          <w:szCs w:val="22"/>
          <w:lang w:val="lt-LT"/>
        </w:rPr>
      </w:pPr>
    </w:p>
    <w:p w14:paraId="727CC201" w14:textId="77777777" w:rsidR="00EA0354" w:rsidRPr="00CD7E52" w:rsidRDefault="00EA0354"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 xml:space="preserve">Nepageidaujamos reakcijos į </w:t>
      </w:r>
      <w:r w:rsidRPr="00CD7E52">
        <w:rPr>
          <w:rFonts w:eastAsia="TimesNewRoman"/>
          <w:snapToGrid/>
          <w:szCs w:val="22"/>
          <w:lang w:val="lt-LT"/>
        </w:rPr>
        <w:t>vaist</w:t>
      </w:r>
      <w:r w:rsidR="00006D29" w:rsidRPr="00CD7E52">
        <w:rPr>
          <w:rFonts w:eastAsia="TimesNewRoman"/>
          <w:snapToGrid/>
          <w:szCs w:val="22"/>
          <w:lang w:val="lt-LT"/>
        </w:rPr>
        <w:t>inį preparat</w:t>
      </w:r>
      <w:r w:rsidRPr="00CD7E52">
        <w:rPr>
          <w:rFonts w:eastAsia="TimesNewRoman"/>
          <w:snapToGrid/>
          <w:szCs w:val="22"/>
          <w:lang w:val="lt-LT"/>
        </w:rPr>
        <w:t>ą</w:t>
      </w:r>
      <w:r w:rsidRPr="00CD7E52">
        <w:rPr>
          <w:rFonts w:eastAsia="TimesNewRoman"/>
          <w:szCs w:val="22"/>
          <w:lang w:val="lt-LT"/>
        </w:rPr>
        <w:t xml:space="preserve"> nustatytos remiantis apremilasto </w:t>
      </w:r>
      <w:r w:rsidRPr="00CD7E52">
        <w:rPr>
          <w:rFonts w:eastAsia="TimesNewRoman"/>
          <w:snapToGrid/>
          <w:szCs w:val="22"/>
          <w:lang w:val="lt-LT"/>
        </w:rPr>
        <w:t>klinikini</w:t>
      </w:r>
      <w:r w:rsidR="00006D29" w:rsidRPr="00CD7E52">
        <w:rPr>
          <w:rFonts w:eastAsia="TimesNewRoman"/>
          <w:snapToGrid/>
          <w:szCs w:val="22"/>
          <w:lang w:val="lt-LT"/>
        </w:rPr>
        <w:t>o</w:t>
      </w:r>
      <w:r w:rsidRPr="00CD7E52">
        <w:rPr>
          <w:rFonts w:eastAsia="TimesNewRoman"/>
          <w:snapToGrid/>
          <w:szCs w:val="22"/>
          <w:lang w:val="lt-LT"/>
        </w:rPr>
        <w:t xml:space="preserve"> </w:t>
      </w:r>
      <w:r w:rsidR="00006D29" w:rsidRPr="00CD7E52">
        <w:rPr>
          <w:rFonts w:eastAsia="TimesNewRoman"/>
          <w:snapToGrid/>
          <w:szCs w:val="22"/>
          <w:lang w:val="lt-LT"/>
        </w:rPr>
        <w:t>vystymo</w:t>
      </w:r>
      <w:r w:rsidRPr="00CD7E52">
        <w:rPr>
          <w:rFonts w:eastAsia="TimesNewRoman"/>
          <w:szCs w:val="22"/>
          <w:lang w:val="lt-LT"/>
        </w:rPr>
        <w:t xml:space="preserve"> programos</w:t>
      </w:r>
      <w:r w:rsidR="00006D29" w:rsidRPr="00CD7E52">
        <w:rPr>
          <w:rFonts w:eastAsia="TimesNewRoman"/>
          <w:szCs w:val="22"/>
          <w:lang w:val="lt-LT"/>
        </w:rPr>
        <w:t xml:space="preserve"> </w:t>
      </w:r>
      <w:r w:rsidRPr="00CD7E52">
        <w:rPr>
          <w:rFonts w:eastAsia="TimesNewRoman"/>
          <w:szCs w:val="22"/>
          <w:lang w:val="lt-LT"/>
        </w:rPr>
        <w:t xml:space="preserve">duomenimis ir po vaistinio preparato </w:t>
      </w:r>
      <w:r w:rsidR="00006D29" w:rsidRPr="00CD7E52">
        <w:rPr>
          <w:rFonts w:eastAsia="TimesNewRoman"/>
          <w:snapToGrid/>
          <w:szCs w:val="22"/>
          <w:lang w:val="lt-LT"/>
        </w:rPr>
        <w:t>pateikimo į rinką gauta</w:t>
      </w:r>
      <w:r w:rsidRPr="00CD7E52">
        <w:rPr>
          <w:rFonts w:eastAsia="TimesNewRoman"/>
          <w:szCs w:val="22"/>
          <w:lang w:val="lt-LT"/>
        </w:rPr>
        <w:t xml:space="preserve"> patirtimi</w:t>
      </w:r>
      <w:r w:rsidR="007B6DBA">
        <w:rPr>
          <w:rFonts w:eastAsia="TimesNewRoman"/>
          <w:szCs w:val="22"/>
          <w:lang w:val="lt-LT"/>
        </w:rPr>
        <w:t xml:space="preserve"> </w:t>
      </w:r>
      <w:r w:rsidR="007B6DBA" w:rsidRPr="007B6DBA">
        <w:rPr>
          <w:rFonts w:eastAsia="TimesNewRoman"/>
          <w:szCs w:val="22"/>
          <w:lang w:val="lt-LT"/>
        </w:rPr>
        <w:t>suaugusiems</w:t>
      </w:r>
      <w:r w:rsidR="007B6DBA">
        <w:rPr>
          <w:rFonts w:eastAsia="TimesNewRoman"/>
          <w:szCs w:val="22"/>
          <w:lang w:val="lt-LT"/>
        </w:rPr>
        <w:t xml:space="preserve"> pacientams</w:t>
      </w:r>
      <w:r w:rsidRPr="00CD7E52">
        <w:rPr>
          <w:rFonts w:eastAsia="TimesNewRoman"/>
          <w:szCs w:val="22"/>
          <w:lang w:val="lt-LT"/>
        </w:rPr>
        <w:t xml:space="preserve">. Nepageidaujamų reakcijų į </w:t>
      </w:r>
      <w:r w:rsidR="00006D29" w:rsidRPr="00CD7E52">
        <w:rPr>
          <w:rFonts w:eastAsia="TimesNewRoman"/>
          <w:snapToGrid/>
          <w:szCs w:val="22"/>
          <w:lang w:val="lt-LT"/>
        </w:rPr>
        <w:t>vaistinį preparatą</w:t>
      </w:r>
      <w:r w:rsidR="00006D29" w:rsidRPr="00CD7E52">
        <w:rPr>
          <w:rFonts w:eastAsia="TimesNewRoman"/>
          <w:szCs w:val="22"/>
          <w:lang w:val="lt-LT"/>
        </w:rPr>
        <w:t xml:space="preserve"> </w:t>
      </w:r>
      <w:r w:rsidRPr="00CD7E52">
        <w:rPr>
          <w:rFonts w:eastAsia="TimesNewRoman"/>
          <w:szCs w:val="22"/>
          <w:lang w:val="lt-LT"/>
        </w:rPr>
        <w:t xml:space="preserve">dažnis yra dažnis, </w:t>
      </w:r>
      <w:r w:rsidR="00006D29" w:rsidRPr="00CD7E52">
        <w:rPr>
          <w:rFonts w:eastAsia="TimesNewRoman"/>
          <w:snapToGrid/>
          <w:szCs w:val="22"/>
          <w:lang w:val="lt-LT"/>
        </w:rPr>
        <w:t>praneštas</w:t>
      </w:r>
      <w:r w:rsidRPr="00CD7E52">
        <w:rPr>
          <w:rFonts w:eastAsia="TimesNewRoman"/>
          <w:szCs w:val="22"/>
          <w:lang w:val="lt-LT"/>
        </w:rPr>
        <w:t xml:space="preserve"> apremilasto grupėse atliekant keturis III</w:t>
      </w:r>
      <w:r w:rsidR="00006D29" w:rsidRPr="00CD7E52">
        <w:rPr>
          <w:rFonts w:eastAsia="TimesNewRoman"/>
          <w:szCs w:val="22"/>
          <w:lang w:val="lt-LT"/>
        </w:rPr>
        <w:t> </w:t>
      </w:r>
      <w:r w:rsidRPr="00CD7E52">
        <w:rPr>
          <w:rFonts w:eastAsia="TimesNewRoman"/>
          <w:szCs w:val="22"/>
          <w:lang w:val="lt-LT"/>
        </w:rPr>
        <w:t>fazės psoriazinio artrito (PsA) tyrimus</w:t>
      </w:r>
      <w:r w:rsidR="00006D29" w:rsidRPr="00CD7E52">
        <w:rPr>
          <w:rFonts w:eastAsia="TimesNewRoman"/>
          <w:szCs w:val="22"/>
          <w:lang w:val="lt-LT"/>
        </w:rPr>
        <w:t xml:space="preserve"> </w:t>
      </w:r>
      <w:r w:rsidRPr="00CD7E52">
        <w:rPr>
          <w:rFonts w:eastAsia="TimesNewRoman"/>
          <w:szCs w:val="22"/>
          <w:lang w:val="lt-LT"/>
        </w:rPr>
        <w:t>(n</w:t>
      </w:r>
      <w:r w:rsidR="00A125F4" w:rsidRPr="00CD7E52">
        <w:rPr>
          <w:rFonts w:eastAsia="TimesNewRoman"/>
          <w:szCs w:val="22"/>
          <w:lang w:val="lt-LT"/>
        </w:rPr>
        <w:t> </w:t>
      </w:r>
      <w:r w:rsidR="00B97414" w:rsidRPr="00CD7E52">
        <w:rPr>
          <w:rFonts w:eastAsia="TimesNewRoman"/>
          <w:snapToGrid/>
          <w:szCs w:val="22"/>
          <w:lang w:val="lt-LT"/>
        </w:rPr>
        <w:t>=</w:t>
      </w:r>
      <w:r w:rsidR="00A125F4" w:rsidRPr="00CD7E52">
        <w:rPr>
          <w:rFonts w:eastAsia="TimesNewRoman"/>
          <w:snapToGrid/>
          <w:szCs w:val="22"/>
          <w:lang w:val="lt-LT"/>
        </w:rPr>
        <w:t> </w:t>
      </w:r>
      <w:r w:rsidRPr="00CD7E52">
        <w:rPr>
          <w:rFonts w:eastAsia="TimesNewRoman"/>
          <w:szCs w:val="22"/>
          <w:lang w:val="lt-LT"/>
        </w:rPr>
        <w:t>1</w:t>
      </w:r>
      <w:r w:rsidR="00006D29" w:rsidRPr="00CD7E52">
        <w:rPr>
          <w:rFonts w:eastAsia="TimesNewRoman"/>
          <w:szCs w:val="22"/>
          <w:lang w:val="lt-LT"/>
        </w:rPr>
        <w:t> </w:t>
      </w:r>
      <w:r w:rsidRPr="00CD7E52">
        <w:rPr>
          <w:rFonts w:eastAsia="TimesNewRoman"/>
          <w:szCs w:val="22"/>
          <w:lang w:val="lt-LT"/>
        </w:rPr>
        <w:t>945) arba du III</w:t>
      </w:r>
      <w:r w:rsidR="00006D29" w:rsidRPr="00CD7E52">
        <w:rPr>
          <w:rFonts w:eastAsia="TimesNewRoman"/>
          <w:szCs w:val="22"/>
          <w:lang w:val="lt-LT"/>
        </w:rPr>
        <w:t> </w:t>
      </w:r>
      <w:r w:rsidRPr="00CD7E52">
        <w:rPr>
          <w:rFonts w:eastAsia="TimesNewRoman"/>
          <w:szCs w:val="22"/>
          <w:lang w:val="lt-LT"/>
        </w:rPr>
        <w:t>fazės psoriazės (PSOR) tyrimus (n</w:t>
      </w:r>
      <w:r w:rsidR="00F20CB7" w:rsidRPr="00CD7E52">
        <w:rPr>
          <w:rFonts w:eastAsia="TimesNewRoman"/>
          <w:szCs w:val="22"/>
          <w:lang w:val="lt-LT"/>
        </w:rPr>
        <w:t> </w:t>
      </w:r>
      <w:r w:rsidR="00B97414" w:rsidRPr="00CD7E52">
        <w:rPr>
          <w:rFonts w:eastAsia="TimesNewRoman"/>
          <w:snapToGrid/>
          <w:szCs w:val="22"/>
          <w:lang w:val="lt-LT"/>
        </w:rPr>
        <w:t>=</w:t>
      </w:r>
      <w:r w:rsidR="00F20CB7" w:rsidRPr="00CD7E52">
        <w:rPr>
          <w:rFonts w:eastAsia="TimesNewRoman"/>
          <w:snapToGrid/>
          <w:szCs w:val="22"/>
          <w:lang w:val="lt-LT"/>
        </w:rPr>
        <w:t> </w:t>
      </w:r>
      <w:r w:rsidRPr="00CD7E52">
        <w:rPr>
          <w:rFonts w:eastAsia="TimesNewRoman"/>
          <w:szCs w:val="22"/>
          <w:lang w:val="lt-LT"/>
        </w:rPr>
        <w:t>1</w:t>
      </w:r>
      <w:r w:rsidR="00006D29" w:rsidRPr="00CD7E52">
        <w:rPr>
          <w:rFonts w:eastAsia="TimesNewRoman"/>
          <w:szCs w:val="22"/>
          <w:lang w:val="lt-LT"/>
        </w:rPr>
        <w:t> </w:t>
      </w:r>
      <w:r w:rsidRPr="00CD7E52">
        <w:rPr>
          <w:rFonts w:eastAsia="TimesNewRoman"/>
          <w:szCs w:val="22"/>
          <w:lang w:val="lt-LT"/>
        </w:rPr>
        <w:t>184) ir III</w:t>
      </w:r>
      <w:r w:rsidR="00006D29" w:rsidRPr="00CD7E52">
        <w:rPr>
          <w:rFonts w:eastAsia="TimesNewRoman"/>
          <w:szCs w:val="22"/>
          <w:lang w:val="lt-LT"/>
        </w:rPr>
        <w:t> </w:t>
      </w:r>
      <w:r w:rsidRPr="00CD7E52">
        <w:rPr>
          <w:rFonts w:eastAsia="TimesNewRoman"/>
          <w:szCs w:val="22"/>
          <w:lang w:val="lt-LT"/>
        </w:rPr>
        <w:t>fazės BL tyrimą (n</w:t>
      </w:r>
      <w:r w:rsidR="00A125F4" w:rsidRPr="00CD7E52">
        <w:rPr>
          <w:rFonts w:eastAsia="TimesNewRoman"/>
          <w:szCs w:val="22"/>
          <w:lang w:val="lt-LT"/>
        </w:rPr>
        <w:t> </w:t>
      </w:r>
      <w:r w:rsidR="00B97414" w:rsidRPr="00CD7E52">
        <w:rPr>
          <w:rFonts w:eastAsia="TimesNewRoman"/>
          <w:snapToGrid/>
          <w:szCs w:val="22"/>
          <w:lang w:val="lt-LT"/>
        </w:rPr>
        <w:t>=</w:t>
      </w:r>
      <w:r w:rsidR="00A125F4" w:rsidRPr="00CD7E52">
        <w:rPr>
          <w:rFonts w:eastAsia="TimesNewRoman"/>
          <w:snapToGrid/>
          <w:szCs w:val="22"/>
          <w:lang w:val="lt-LT"/>
        </w:rPr>
        <w:t> </w:t>
      </w:r>
      <w:r w:rsidRPr="00CD7E52">
        <w:rPr>
          <w:rFonts w:eastAsia="TimesNewRoman"/>
          <w:szCs w:val="22"/>
          <w:lang w:val="lt-LT"/>
        </w:rPr>
        <w:t>207</w:t>
      </w:r>
      <w:r w:rsidRPr="00CD7E52">
        <w:rPr>
          <w:rFonts w:eastAsia="TimesNewRoman"/>
          <w:snapToGrid/>
          <w:szCs w:val="22"/>
          <w:lang w:val="lt-LT"/>
        </w:rPr>
        <w:t>)</w:t>
      </w:r>
      <w:r w:rsidR="007B6DBA">
        <w:rPr>
          <w:rFonts w:eastAsia="TimesNewRoman"/>
          <w:snapToGrid/>
          <w:szCs w:val="22"/>
          <w:lang w:val="lt-LT"/>
        </w:rPr>
        <w:t>.</w:t>
      </w:r>
      <w:r w:rsidR="00006D29" w:rsidRPr="00CD7E52">
        <w:rPr>
          <w:rFonts w:eastAsia="TimesNewRoman"/>
          <w:snapToGrid/>
          <w:szCs w:val="22"/>
          <w:lang w:val="lt-LT"/>
        </w:rPr>
        <w:t xml:space="preserve"> </w:t>
      </w:r>
      <w:r w:rsidR="007B6DBA">
        <w:rPr>
          <w:rFonts w:eastAsia="TimesNewRoman"/>
          <w:snapToGrid/>
          <w:szCs w:val="22"/>
          <w:lang w:val="lt-LT"/>
        </w:rPr>
        <w:t>D</w:t>
      </w:r>
      <w:r w:rsidRPr="00CD7E52">
        <w:rPr>
          <w:rFonts w:eastAsia="TimesNewRoman"/>
          <w:szCs w:val="22"/>
          <w:lang w:val="lt-LT"/>
        </w:rPr>
        <w:t xml:space="preserve">idžiausias </w:t>
      </w:r>
      <w:r w:rsidR="00006D29" w:rsidRPr="00CD7E52">
        <w:rPr>
          <w:rFonts w:eastAsia="TimesNewRoman"/>
          <w:snapToGrid/>
          <w:szCs w:val="22"/>
          <w:lang w:val="lt-LT"/>
        </w:rPr>
        <w:t>bet kurioje</w:t>
      </w:r>
      <w:r w:rsidR="00006D29" w:rsidRPr="00CD7E52">
        <w:rPr>
          <w:rFonts w:eastAsia="TimesNewRoman"/>
          <w:szCs w:val="22"/>
          <w:lang w:val="lt-LT"/>
        </w:rPr>
        <w:t xml:space="preserve"> duomenų </w:t>
      </w:r>
      <w:r w:rsidR="00006D29" w:rsidRPr="00CD7E52">
        <w:rPr>
          <w:rFonts w:eastAsia="TimesNewRoman"/>
          <w:snapToGrid/>
          <w:szCs w:val="22"/>
          <w:lang w:val="lt-LT"/>
        </w:rPr>
        <w:t xml:space="preserve">grupėje nustatytas </w:t>
      </w:r>
      <w:r w:rsidRPr="00CD7E52">
        <w:rPr>
          <w:rFonts w:eastAsia="TimesNewRoman"/>
          <w:snapToGrid/>
          <w:szCs w:val="22"/>
          <w:lang w:val="lt-LT"/>
        </w:rPr>
        <w:t xml:space="preserve">dažnis </w:t>
      </w:r>
      <w:r w:rsidR="00006D29" w:rsidRPr="00CD7E52">
        <w:rPr>
          <w:rFonts w:eastAsia="TimesNewRoman"/>
          <w:snapToGrid/>
          <w:szCs w:val="22"/>
          <w:lang w:val="lt-LT"/>
        </w:rPr>
        <w:t>nurodytas</w:t>
      </w:r>
      <w:r w:rsidRPr="00CD7E52">
        <w:rPr>
          <w:rFonts w:eastAsia="TimesNewRoman"/>
          <w:szCs w:val="22"/>
          <w:lang w:val="lt-LT"/>
        </w:rPr>
        <w:t xml:space="preserve"> </w:t>
      </w:r>
      <w:r w:rsidR="007B6DBA">
        <w:rPr>
          <w:rFonts w:eastAsia="TimesNewRoman"/>
          <w:szCs w:val="22"/>
          <w:lang w:val="lt-LT"/>
        </w:rPr>
        <w:t>3</w:t>
      </w:r>
      <w:r w:rsidR="00006D29" w:rsidRPr="00CD7E52">
        <w:rPr>
          <w:rFonts w:eastAsia="TimesNewRoman"/>
          <w:szCs w:val="22"/>
          <w:lang w:val="lt-LT"/>
        </w:rPr>
        <w:t> </w:t>
      </w:r>
      <w:r w:rsidRPr="00CD7E52">
        <w:rPr>
          <w:rFonts w:eastAsia="TimesNewRoman"/>
          <w:szCs w:val="22"/>
          <w:lang w:val="lt-LT"/>
        </w:rPr>
        <w:t>lentelėje</w:t>
      </w:r>
      <w:r w:rsidRPr="00CD7E52">
        <w:rPr>
          <w:rFonts w:eastAsia="TimesNewRoman"/>
          <w:snapToGrid/>
          <w:szCs w:val="22"/>
          <w:lang w:val="lt-LT"/>
        </w:rPr>
        <w:t>.</w:t>
      </w:r>
    </w:p>
    <w:p w14:paraId="372B82BF" w14:textId="77777777" w:rsidR="00792687" w:rsidRPr="00CD7E52" w:rsidRDefault="00792687" w:rsidP="00BD0220">
      <w:pPr>
        <w:widowControl w:val="0"/>
        <w:tabs>
          <w:tab w:val="clear" w:pos="567"/>
        </w:tabs>
        <w:autoSpaceDE w:val="0"/>
        <w:autoSpaceDN w:val="0"/>
        <w:adjustRightInd w:val="0"/>
        <w:spacing w:line="240" w:lineRule="auto"/>
        <w:rPr>
          <w:rFonts w:eastAsia="TimesNewRoman"/>
          <w:szCs w:val="22"/>
          <w:lang w:val="lt-LT"/>
        </w:rPr>
      </w:pPr>
    </w:p>
    <w:p w14:paraId="1B439FE6" w14:textId="77777777" w:rsidR="00792687" w:rsidRPr="00CD7E52" w:rsidRDefault="00130CD6" w:rsidP="00BD0220">
      <w:pPr>
        <w:widowControl w:val="0"/>
        <w:tabs>
          <w:tab w:val="clear" w:pos="567"/>
        </w:tabs>
        <w:autoSpaceDE w:val="0"/>
        <w:autoSpaceDN w:val="0"/>
        <w:adjustRightInd w:val="0"/>
        <w:spacing w:line="240" w:lineRule="auto"/>
        <w:rPr>
          <w:rFonts w:eastAsia="TimesNewRoman"/>
          <w:szCs w:val="22"/>
          <w:lang w:val="lt-LT"/>
        </w:rPr>
      </w:pPr>
      <w:r w:rsidRPr="00CD7E52">
        <w:rPr>
          <w:szCs w:val="22"/>
          <w:lang w:val="lt-LT"/>
        </w:rPr>
        <w:t>Nepageidaujamo poveikio</w:t>
      </w:r>
      <w:r w:rsidRPr="00CD7E52">
        <w:rPr>
          <w:rFonts w:eastAsia="TimesNewRoman"/>
          <w:snapToGrid/>
          <w:szCs w:val="22"/>
          <w:lang w:val="lt-LT"/>
        </w:rPr>
        <w:t xml:space="preserve"> d</w:t>
      </w:r>
      <w:r w:rsidR="00792687" w:rsidRPr="00CD7E52">
        <w:rPr>
          <w:rFonts w:eastAsia="TimesNewRoman"/>
          <w:snapToGrid/>
          <w:szCs w:val="22"/>
          <w:lang w:val="lt-LT"/>
        </w:rPr>
        <w:t>ažnis</w:t>
      </w:r>
      <w:r w:rsidR="00792687" w:rsidRPr="00CD7E52">
        <w:rPr>
          <w:rFonts w:eastAsia="TimesNewRoman"/>
          <w:szCs w:val="22"/>
          <w:lang w:val="lt-LT"/>
        </w:rPr>
        <w:t xml:space="preserve"> apibūdinamas taip: labai dažnas (</w:t>
      </w:r>
      <w:r w:rsidR="009F17E0" w:rsidRPr="00CD7E52">
        <w:rPr>
          <w:rFonts w:eastAsia="TimesNewRoman"/>
          <w:szCs w:val="22"/>
          <w:lang w:val="lt-LT"/>
        </w:rPr>
        <w:t>≥ </w:t>
      </w:r>
      <w:r w:rsidR="00792687" w:rsidRPr="00CD7E52">
        <w:rPr>
          <w:rFonts w:eastAsia="TimesNewRoman"/>
          <w:szCs w:val="22"/>
          <w:lang w:val="lt-LT"/>
        </w:rPr>
        <w:t xml:space="preserve">1/10), dažnas (nuo </w:t>
      </w:r>
      <w:r w:rsidR="009F17E0" w:rsidRPr="00CD7E52">
        <w:rPr>
          <w:rFonts w:eastAsia="TimesNewRoman"/>
          <w:szCs w:val="22"/>
          <w:lang w:val="lt-LT"/>
        </w:rPr>
        <w:t>≥ </w:t>
      </w:r>
      <w:r w:rsidR="00792687" w:rsidRPr="00CD7E52">
        <w:rPr>
          <w:rFonts w:eastAsia="TimesNewRoman"/>
          <w:szCs w:val="22"/>
          <w:lang w:val="lt-LT"/>
        </w:rPr>
        <w:t xml:space="preserve">1/100 iki &lt; 1/10), nedažnas (nuo </w:t>
      </w:r>
      <w:r w:rsidR="009F17E0" w:rsidRPr="00CD7E52">
        <w:rPr>
          <w:rFonts w:eastAsia="TimesNewRoman"/>
          <w:szCs w:val="22"/>
          <w:lang w:val="lt-LT"/>
        </w:rPr>
        <w:t>≥ </w:t>
      </w:r>
      <w:r w:rsidR="00792687" w:rsidRPr="00CD7E52">
        <w:rPr>
          <w:rFonts w:eastAsia="TimesNewRoman"/>
          <w:szCs w:val="22"/>
          <w:lang w:val="lt-LT"/>
        </w:rPr>
        <w:t xml:space="preserve">1/1 000 iki &lt; 1/100), retas (nuo </w:t>
      </w:r>
      <w:r w:rsidR="009F17E0" w:rsidRPr="00CD7E52">
        <w:rPr>
          <w:rFonts w:eastAsia="TimesNewRoman"/>
          <w:szCs w:val="22"/>
          <w:lang w:val="lt-LT"/>
        </w:rPr>
        <w:t>≥ </w:t>
      </w:r>
      <w:r w:rsidR="00792687" w:rsidRPr="00CD7E52">
        <w:rPr>
          <w:rFonts w:eastAsia="TimesNewRoman"/>
          <w:szCs w:val="22"/>
          <w:lang w:val="lt-LT"/>
        </w:rPr>
        <w:t>1/10 000 iki &lt; 1/1 000) ir nežinomas (negali būti apskaičiuotas pagal turimus duomenis).</w:t>
      </w:r>
    </w:p>
    <w:p w14:paraId="0C59EB1D" w14:textId="77777777" w:rsidR="00792687" w:rsidRPr="00CD7E52" w:rsidRDefault="00792687" w:rsidP="00BD0220">
      <w:pPr>
        <w:widowControl w:val="0"/>
        <w:tabs>
          <w:tab w:val="clear" w:pos="567"/>
        </w:tabs>
        <w:autoSpaceDE w:val="0"/>
        <w:autoSpaceDN w:val="0"/>
        <w:adjustRightInd w:val="0"/>
        <w:spacing w:line="240" w:lineRule="auto"/>
        <w:rPr>
          <w:rFonts w:eastAsia="TimesNewRoman"/>
          <w:szCs w:val="22"/>
          <w:lang w:val="lt-LT"/>
        </w:rPr>
      </w:pPr>
    </w:p>
    <w:p w14:paraId="709D5F9F" w14:textId="77777777" w:rsidR="00776FBE" w:rsidRPr="00CD7E52" w:rsidRDefault="007B6DBA" w:rsidP="00BD0220">
      <w:pPr>
        <w:widowControl w:val="0"/>
        <w:tabs>
          <w:tab w:val="clear" w:pos="567"/>
        </w:tabs>
        <w:autoSpaceDE w:val="0"/>
        <w:autoSpaceDN w:val="0"/>
        <w:adjustRightInd w:val="0"/>
        <w:spacing w:line="240" w:lineRule="auto"/>
        <w:ind w:left="1134" w:hanging="1134"/>
        <w:rPr>
          <w:rFonts w:eastAsia="TimesNewRoman"/>
          <w:b/>
          <w:bCs/>
          <w:szCs w:val="22"/>
          <w:lang w:val="lt-LT"/>
        </w:rPr>
      </w:pPr>
      <w:r>
        <w:rPr>
          <w:rFonts w:eastAsia="TimesNewRoman"/>
          <w:b/>
          <w:bCs/>
          <w:szCs w:val="22"/>
          <w:lang w:val="lt-LT"/>
        </w:rPr>
        <w:t>3</w:t>
      </w:r>
      <w:r w:rsidR="00792687" w:rsidRPr="00CD7E52">
        <w:rPr>
          <w:rFonts w:eastAsia="TimesNewRoman"/>
          <w:b/>
          <w:bCs/>
          <w:szCs w:val="22"/>
          <w:lang w:val="lt-LT"/>
        </w:rPr>
        <w:t> </w:t>
      </w:r>
      <w:r w:rsidR="00EA0354" w:rsidRPr="00CD7E52">
        <w:rPr>
          <w:rFonts w:eastAsia="TimesNewRoman"/>
          <w:b/>
          <w:bCs/>
          <w:szCs w:val="22"/>
          <w:lang w:val="lt-LT"/>
        </w:rPr>
        <w:t>lentelė.</w:t>
      </w:r>
      <w:r w:rsidR="00792687" w:rsidRPr="00CD7E52">
        <w:rPr>
          <w:rFonts w:eastAsia="TimesNewRoman"/>
          <w:b/>
          <w:bCs/>
          <w:szCs w:val="22"/>
          <w:lang w:val="lt-LT"/>
        </w:rPr>
        <w:tab/>
      </w:r>
      <w:r w:rsidR="00EA0354" w:rsidRPr="00CD7E52">
        <w:rPr>
          <w:rFonts w:eastAsia="TimesNewRoman"/>
          <w:b/>
          <w:bCs/>
          <w:szCs w:val="22"/>
          <w:lang w:val="lt-LT"/>
        </w:rPr>
        <w:t xml:space="preserve">Nepageidaujamų reakcijų, nustatytų </w:t>
      </w:r>
      <w:r w:rsidR="00792687" w:rsidRPr="00CD7E52">
        <w:rPr>
          <w:rFonts w:eastAsia="TimesNewRoman"/>
          <w:b/>
          <w:bCs/>
          <w:snapToGrid/>
          <w:szCs w:val="22"/>
          <w:lang w:val="lt-LT"/>
        </w:rPr>
        <w:t>gydant</w:t>
      </w:r>
      <w:r w:rsidR="00EA0354" w:rsidRPr="00CD7E52">
        <w:rPr>
          <w:rFonts w:eastAsia="TimesNewRoman"/>
          <w:b/>
          <w:bCs/>
          <w:snapToGrid/>
          <w:szCs w:val="22"/>
          <w:lang w:val="lt-LT"/>
        </w:rPr>
        <w:t xml:space="preserve"> psoriazin</w:t>
      </w:r>
      <w:r w:rsidR="00792687" w:rsidRPr="00CD7E52">
        <w:rPr>
          <w:rFonts w:eastAsia="TimesNewRoman"/>
          <w:b/>
          <w:bCs/>
          <w:snapToGrid/>
          <w:szCs w:val="22"/>
          <w:lang w:val="lt-LT"/>
        </w:rPr>
        <w:t>į</w:t>
      </w:r>
      <w:r w:rsidR="00EA0354" w:rsidRPr="00CD7E52">
        <w:rPr>
          <w:rFonts w:eastAsia="TimesNewRoman"/>
          <w:b/>
          <w:bCs/>
          <w:snapToGrid/>
          <w:szCs w:val="22"/>
          <w:lang w:val="lt-LT"/>
        </w:rPr>
        <w:t xml:space="preserve"> artrit</w:t>
      </w:r>
      <w:r w:rsidR="00792687" w:rsidRPr="00CD7E52">
        <w:rPr>
          <w:rFonts w:eastAsia="TimesNewRoman"/>
          <w:b/>
          <w:bCs/>
          <w:snapToGrid/>
          <w:szCs w:val="22"/>
          <w:lang w:val="lt-LT"/>
        </w:rPr>
        <w:t>ą</w:t>
      </w:r>
      <w:r w:rsidR="00EA0354" w:rsidRPr="00CD7E52">
        <w:rPr>
          <w:rFonts w:eastAsia="TimesNewRoman"/>
          <w:b/>
          <w:bCs/>
          <w:szCs w:val="22"/>
          <w:lang w:val="lt-LT"/>
        </w:rPr>
        <w:t xml:space="preserve"> (PsA), </w:t>
      </w:r>
      <w:r w:rsidR="00EA0354" w:rsidRPr="00CD7E52">
        <w:rPr>
          <w:rFonts w:eastAsia="TimesNewRoman"/>
          <w:b/>
          <w:bCs/>
          <w:snapToGrid/>
          <w:szCs w:val="22"/>
          <w:lang w:val="lt-LT"/>
        </w:rPr>
        <w:t>psoriaz</w:t>
      </w:r>
      <w:r w:rsidR="00792687" w:rsidRPr="00CD7E52">
        <w:rPr>
          <w:rFonts w:eastAsia="TimesNewRoman"/>
          <w:b/>
          <w:bCs/>
          <w:snapToGrid/>
          <w:szCs w:val="22"/>
          <w:lang w:val="lt-LT"/>
        </w:rPr>
        <w:t>ę</w:t>
      </w:r>
      <w:r w:rsidR="00EA0354" w:rsidRPr="00CD7E52">
        <w:rPr>
          <w:rFonts w:eastAsia="TimesNewRoman"/>
          <w:b/>
          <w:bCs/>
          <w:szCs w:val="22"/>
          <w:lang w:val="lt-LT"/>
        </w:rPr>
        <w:t xml:space="preserve"> (PSOR) ir</w:t>
      </w:r>
      <w:r w:rsidR="00792687" w:rsidRPr="00CD7E52">
        <w:rPr>
          <w:rFonts w:eastAsia="TimesNewRoman"/>
          <w:b/>
          <w:bCs/>
          <w:szCs w:val="22"/>
          <w:lang w:val="lt-LT"/>
        </w:rPr>
        <w:t xml:space="preserve"> </w:t>
      </w:r>
      <w:r w:rsidR="00EA0354" w:rsidRPr="00CD7E52">
        <w:rPr>
          <w:rFonts w:eastAsia="TimesNewRoman"/>
          <w:b/>
          <w:bCs/>
          <w:szCs w:val="22"/>
          <w:lang w:val="lt-LT"/>
        </w:rPr>
        <w:t xml:space="preserve">Bechčeto </w:t>
      </w:r>
      <w:r w:rsidR="00EA0354" w:rsidRPr="00CD7E52">
        <w:rPr>
          <w:rFonts w:eastAsia="TimesNewRoman"/>
          <w:b/>
          <w:bCs/>
          <w:snapToGrid/>
          <w:szCs w:val="22"/>
          <w:lang w:val="lt-LT"/>
        </w:rPr>
        <w:t>lig</w:t>
      </w:r>
      <w:r w:rsidR="00792687" w:rsidRPr="00CD7E52">
        <w:rPr>
          <w:rFonts w:eastAsia="TimesNewRoman"/>
          <w:b/>
          <w:bCs/>
          <w:snapToGrid/>
          <w:szCs w:val="22"/>
          <w:lang w:val="lt-LT"/>
        </w:rPr>
        <w:t>ą</w:t>
      </w:r>
      <w:r w:rsidR="00EA0354" w:rsidRPr="00CD7E52">
        <w:rPr>
          <w:rFonts w:eastAsia="TimesNewRoman"/>
          <w:b/>
          <w:bCs/>
          <w:szCs w:val="22"/>
          <w:lang w:val="lt-LT"/>
        </w:rPr>
        <w:t xml:space="preserve"> (BL), santrauka</w:t>
      </w:r>
    </w:p>
    <w:p w14:paraId="606A376B" w14:textId="77777777" w:rsidR="00EA0354" w:rsidRPr="00CD7E52" w:rsidRDefault="00EA0354" w:rsidP="00BD0220">
      <w:pPr>
        <w:widowControl w:val="0"/>
        <w:tabs>
          <w:tab w:val="clear" w:pos="567"/>
        </w:tabs>
        <w:autoSpaceDE w:val="0"/>
        <w:autoSpaceDN w:val="0"/>
        <w:adjustRightInd w:val="0"/>
        <w:spacing w:line="240" w:lineRule="auto"/>
        <w:rPr>
          <w:rFonts w:eastAsia="TimesNewRoman"/>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794"/>
        <w:gridCol w:w="4246"/>
      </w:tblGrid>
      <w:tr w:rsidR="00DE6D1B" w:rsidRPr="00CD7E52" w14:paraId="42992169" w14:textId="77777777" w:rsidTr="0023353A">
        <w:trPr>
          <w:trHeight w:val="379"/>
          <w:tblHeader/>
        </w:trPr>
        <w:tc>
          <w:tcPr>
            <w:tcW w:w="1667" w:type="pct"/>
            <w:shd w:val="clear" w:color="auto" w:fill="D9D9D9"/>
            <w:vAlign w:val="center"/>
          </w:tcPr>
          <w:p w14:paraId="65DCE9FF" w14:textId="77777777" w:rsidR="001334BB" w:rsidRPr="00CD7E52" w:rsidRDefault="00244785" w:rsidP="00BD0220">
            <w:pPr>
              <w:tabs>
                <w:tab w:val="clear" w:pos="567"/>
              </w:tabs>
              <w:spacing w:line="240" w:lineRule="auto"/>
              <w:rPr>
                <w:rFonts w:eastAsia="Calibri"/>
                <w:b/>
                <w:bCs/>
                <w:szCs w:val="22"/>
              </w:rPr>
            </w:pPr>
            <w:r w:rsidRPr="00CD7E52">
              <w:rPr>
                <w:rFonts w:eastAsia="Calibri"/>
                <w:b/>
                <w:bCs/>
                <w:szCs w:val="22"/>
                <w:lang w:val="lt-LT"/>
              </w:rPr>
              <w:t>Organų sistemų klasė</w:t>
            </w:r>
          </w:p>
        </w:tc>
        <w:tc>
          <w:tcPr>
            <w:tcW w:w="990" w:type="pct"/>
            <w:shd w:val="clear" w:color="auto" w:fill="D9D9D9"/>
            <w:vAlign w:val="center"/>
          </w:tcPr>
          <w:p w14:paraId="6709CB94" w14:textId="77777777" w:rsidR="001334BB" w:rsidRPr="00CD7E52" w:rsidRDefault="00244785" w:rsidP="00BD0220">
            <w:pPr>
              <w:tabs>
                <w:tab w:val="clear" w:pos="567"/>
              </w:tabs>
              <w:spacing w:line="240" w:lineRule="auto"/>
              <w:rPr>
                <w:rFonts w:eastAsia="Calibri"/>
                <w:b/>
                <w:bCs/>
                <w:szCs w:val="22"/>
              </w:rPr>
            </w:pPr>
            <w:r w:rsidRPr="00CD7E52">
              <w:rPr>
                <w:rFonts w:eastAsia="Calibri"/>
                <w:b/>
                <w:bCs/>
                <w:szCs w:val="22"/>
                <w:lang w:val="lt-LT"/>
              </w:rPr>
              <w:t>Dažnis</w:t>
            </w:r>
          </w:p>
        </w:tc>
        <w:tc>
          <w:tcPr>
            <w:tcW w:w="2343" w:type="pct"/>
            <w:shd w:val="clear" w:color="auto" w:fill="D9D9D9"/>
            <w:vAlign w:val="center"/>
          </w:tcPr>
          <w:p w14:paraId="7DD3D4D6" w14:textId="77777777" w:rsidR="001334BB" w:rsidRPr="00CD7E52" w:rsidRDefault="00244785" w:rsidP="00BD0220">
            <w:pPr>
              <w:tabs>
                <w:tab w:val="clear" w:pos="567"/>
              </w:tabs>
              <w:spacing w:line="240" w:lineRule="auto"/>
              <w:rPr>
                <w:rFonts w:eastAsia="Calibri"/>
                <w:b/>
                <w:bCs/>
                <w:szCs w:val="22"/>
              </w:rPr>
            </w:pPr>
            <w:r w:rsidRPr="00CD7E52">
              <w:rPr>
                <w:rFonts w:eastAsia="Calibri"/>
                <w:b/>
                <w:bCs/>
                <w:szCs w:val="22"/>
                <w:lang w:val="lt-LT"/>
              </w:rPr>
              <w:t>Nepageidaujama reakcija</w:t>
            </w:r>
          </w:p>
        </w:tc>
      </w:tr>
      <w:tr w:rsidR="00DE6D1B" w:rsidRPr="00CD7E52" w14:paraId="74844EB9" w14:textId="77777777" w:rsidTr="006D24A9">
        <w:tc>
          <w:tcPr>
            <w:tcW w:w="1667" w:type="pct"/>
            <w:vMerge w:val="restart"/>
          </w:tcPr>
          <w:p w14:paraId="07A382CE" w14:textId="77777777" w:rsidR="001334BB" w:rsidRPr="00CD7E52" w:rsidRDefault="00244785" w:rsidP="00633570">
            <w:pPr>
              <w:tabs>
                <w:tab w:val="clear" w:pos="567"/>
              </w:tabs>
              <w:spacing w:line="240" w:lineRule="auto"/>
              <w:rPr>
                <w:rFonts w:eastAsia="Calibri"/>
                <w:szCs w:val="22"/>
              </w:rPr>
            </w:pPr>
            <w:r w:rsidRPr="00CD7E52">
              <w:rPr>
                <w:rFonts w:eastAsia="Calibri"/>
                <w:szCs w:val="22"/>
                <w:lang w:val="lt-LT"/>
              </w:rPr>
              <w:t>Infekcijos ir infestacijos</w:t>
            </w:r>
          </w:p>
        </w:tc>
        <w:tc>
          <w:tcPr>
            <w:tcW w:w="990" w:type="pct"/>
          </w:tcPr>
          <w:p w14:paraId="26DDBB28" w14:textId="77777777" w:rsidR="001334BB" w:rsidRPr="00CD7E52" w:rsidRDefault="00244785" w:rsidP="006D24A9">
            <w:pPr>
              <w:tabs>
                <w:tab w:val="clear" w:pos="567"/>
              </w:tabs>
              <w:spacing w:line="240" w:lineRule="auto"/>
              <w:rPr>
                <w:rFonts w:eastAsia="Calibri"/>
                <w:szCs w:val="22"/>
              </w:rPr>
            </w:pPr>
            <w:r w:rsidRPr="00CD7E52">
              <w:rPr>
                <w:rFonts w:eastAsia="Calibri"/>
                <w:szCs w:val="22"/>
                <w:lang w:val="lt-LT"/>
              </w:rPr>
              <w:t>Labai dažnas</w:t>
            </w:r>
          </w:p>
        </w:tc>
        <w:tc>
          <w:tcPr>
            <w:tcW w:w="2343" w:type="pct"/>
            <w:vAlign w:val="center"/>
          </w:tcPr>
          <w:p w14:paraId="2361A85A" w14:textId="77777777" w:rsidR="001334BB" w:rsidRPr="00CD7E52" w:rsidRDefault="00244785" w:rsidP="00BD0220">
            <w:pPr>
              <w:tabs>
                <w:tab w:val="clear" w:pos="567"/>
              </w:tabs>
              <w:spacing w:line="240" w:lineRule="auto"/>
              <w:rPr>
                <w:rFonts w:eastAsia="Calibri"/>
                <w:szCs w:val="22"/>
              </w:rPr>
            </w:pPr>
            <w:r w:rsidRPr="00CD7E52">
              <w:rPr>
                <w:rFonts w:eastAsia="Calibri"/>
                <w:szCs w:val="22"/>
                <w:lang w:val="lt-LT"/>
              </w:rPr>
              <w:t>Viršutinių kvėpavimo takų infekcija</w:t>
            </w:r>
            <w:r w:rsidR="001334BB" w:rsidRPr="00CD7E52">
              <w:rPr>
                <w:rFonts w:eastAsia="Calibri"/>
                <w:szCs w:val="22"/>
                <w:vertAlign w:val="superscript"/>
                <w:lang w:val="lt-LT"/>
              </w:rPr>
              <w:t>a</w:t>
            </w:r>
            <w:r w:rsidR="002C26E5" w:rsidRPr="00CD7E52">
              <w:rPr>
                <w:rFonts w:eastAsia="Calibri"/>
                <w:szCs w:val="22"/>
                <w:lang w:val="lt-LT"/>
              </w:rPr>
              <w:t>.</w:t>
            </w:r>
          </w:p>
        </w:tc>
      </w:tr>
      <w:tr w:rsidR="00DE6D1B" w:rsidRPr="00CD7E52" w14:paraId="527540C8" w14:textId="77777777" w:rsidTr="006D24A9">
        <w:trPr>
          <w:trHeight w:val="516"/>
        </w:trPr>
        <w:tc>
          <w:tcPr>
            <w:tcW w:w="1667" w:type="pct"/>
            <w:vMerge/>
          </w:tcPr>
          <w:p w14:paraId="12CCFABB" w14:textId="77777777" w:rsidR="002C26E5" w:rsidRPr="00CD7E52" w:rsidRDefault="002C26E5" w:rsidP="00633570">
            <w:pPr>
              <w:tabs>
                <w:tab w:val="clear" w:pos="567"/>
              </w:tabs>
              <w:spacing w:line="240" w:lineRule="auto"/>
              <w:rPr>
                <w:rFonts w:eastAsia="Calibri"/>
                <w:szCs w:val="22"/>
                <w:lang w:val="lt-LT"/>
              </w:rPr>
            </w:pPr>
          </w:p>
        </w:tc>
        <w:tc>
          <w:tcPr>
            <w:tcW w:w="990" w:type="pct"/>
          </w:tcPr>
          <w:p w14:paraId="5CBBA495" w14:textId="77777777" w:rsidR="002C26E5" w:rsidRPr="00CD7E52" w:rsidRDefault="002C26E5" w:rsidP="006D24A9">
            <w:pPr>
              <w:tabs>
                <w:tab w:val="clear" w:pos="567"/>
              </w:tabs>
              <w:spacing w:line="240" w:lineRule="auto"/>
              <w:rPr>
                <w:rFonts w:eastAsia="Calibri"/>
                <w:szCs w:val="22"/>
              </w:rPr>
            </w:pPr>
            <w:r w:rsidRPr="00CD7E52">
              <w:rPr>
                <w:rFonts w:eastAsia="Calibri"/>
                <w:szCs w:val="22"/>
                <w:lang w:val="lt-LT"/>
              </w:rPr>
              <w:t>Dažnas</w:t>
            </w:r>
          </w:p>
        </w:tc>
        <w:tc>
          <w:tcPr>
            <w:tcW w:w="2343" w:type="pct"/>
            <w:vAlign w:val="center"/>
          </w:tcPr>
          <w:p w14:paraId="25A5E15D" w14:textId="77777777" w:rsidR="002C26E5" w:rsidRPr="00CD7E52" w:rsidRDefault="002C26E5" w:rsidP="00BD0220">
            <w:pPr>
              <w:tabs>
                <w:tab w:val="clear" w:pos="567"/>
              </w:tabs>
              <w:spacing w:line="240" w:lineRule="auto"/>
              <w:rPr>
                <w:rFonts w:eastAsia="Calibri"/>
                <w:szCs w:val="22"/>
              </w:rPr>
            </w:pPr>
            <w:r w:rsidRPr="00CD7E52">
              <w:rPr>
                <w:rFonts w:eastAsia="Calibri"/>
                <w:szCs w:val="22"/>
                <w:lang w:val="lt-LT"/>
              </w:rPr>
              <w:t>Bronchitas,</w:t>
            </w:r>
          </w:p>
          <w:p w14:paraId="67C38293" w14:textId="77777777" w:rsidR="002C26E5" w:rsidRPr="00CD7E52" w:rsidRDefault="00AE37AA" w:rsidP="00BD0220">
            <w:pPr>
              <w:tabs>
                <w:tab w:val="clear" w:pos="567"/>
              </w:tabs>
              <w:spacing w:line="240" w:lineRule="auto"/>
              <w:rPr>
                <w:rFonts w:eastAsia="Calibri"/>
                <w:szCs w:val="22"/>
              </w:rPr>
            </w:pPr>
            <w:r w:rsidRPr="00CD7E52">
              <w:rPr>
                <w:rFonts w:eastAsia="Calibri"/>
                <w:szCs w:val="22"/>
                <w:lang w:val="lt-LT"/>
              </w:rPr>
              <w:t>nazofaringitas</w:t>
            </w:r>
            <w:r w:rsidR="002C26E5" w:rsidRPr="00CD7E52">
              <w:rPr>
                <w:rFonts w:eastAsia="Calibri"/>
                <w:szCs w:val="22"/>
                <w:lang w:val="lt-LT"/>
              </w:rPr>
              <w:t>*.</w:t>
            </w:r>
          </w:p>
        </w:tc>
      </w:tr>
      <w:tr w:rsidR="00DE6D1B" w:rsidRPr="00CD7E52" w14:paraId="5F70B9EC" w14:textId="77777777" w:rsidTr="006D24A9">
        <w:tc>
          <w:tcPr>
            <w:tcW w:w="1667" w:type="pct"/>
          </w:tcPr>
          <w:p w14:paraId="77430A66" w14:textId="77777777" w:rsidR="001334BB" w:rsidRPr="00CD7E52" w:rsidRDefault="00244785" w:rsidP="00633570">
            <w:pPr>
              <w:tabs>
                <w:tab w:val="clear" w:pos="567"/>
              </w:tabs>
              <w:spacing w:line="240" w:lineRule="auto"/>
              <w:rPr>
                <w:rFonts w:eastAsia="Calibri"/>
                <w:szCs w:val="22"/>
              </w:rPr>
            </w:pPr>
            <w:r w:rsidRPr="00CD7E52">
              <w:rPr>
                <w:rFonts w:eastAsia="Calibri"/>
                <w:szCs w:val="22"/>
                <w:lang w:val="lt-LT"/>
              </w:rPr>
              <w:t>Imuninės sistemos sutrikimai</w:t>
            </w:r>
          </w:p>
        </w:tc>
        <w:tc>
          <w:tcPr>
            <w:tcW w:w="990" w:type="pct"/>
          </w:tcPr>
          <w:p w14:paraId="61F2F1C6" w14:textId="77777777" w:rsidR="001334BB" w:rsidRPr="00CD7E52" w:rsidRDefault="00244785" w:rsidP="006D24A9">
            <w:pPr>
              <w:tabs>
                <w:tab w:val="clear" w:pos="567"/>
              </w:tabs>
              <w:spacing w:line="240" w:lineRule="auto"/>
              <w:rPr>
                <w:rFonts w:eastAsia="Calibri"/>
                <w:szCs w:val="22"/>
              </w:rPr>
            </w:pPr>
            <w:r w:rsidRPr="00CD7E52">
              <w:rPr>
                <w:rFonts w:eastAsia="Calibri"/>
                <w:szCs w:val="22"/>
                <w:lang w:val="lt-LT"/>
              </w:rPr>
              <w:t>Nedažnas</w:t>
            </w:r>
          </w:p>
        </w:tc>
        <w:tc>
          <w:tcPr>
            <w:tcW w:w="2343" w:type="pct"/>
            <w:vAlign w:val="center"/>
          </w:tcPr>
          <w:p w14:paraId="4032298C" w14:textId="77777777" w:rsidR="001334BB" w:rsidRPr="00CD7E52" w:rsidRDefault="00244785" w:rsidP="00BD0220">
            <w:pPr>
              <w:tabs>
                <w:tab w:val="clear" w:pos="567"/>
              </w:tabs>
              <w:spacing w:line="240" w:lineRule="auto"/>
              <w:rPr>
                <w:rFonts w:eastAsia="Calibri"/>
                <w:szCs w:val="22"/>
              </w:rPr>
            </w:pPr>
            <w:r w:rsidRPr="00CD7E52">
              <w:rPr>
                <w:rFonts w:eastAsia="Calibri"/>
                <w:szCs w:val="22"/>
                <w:lang w:val="lt-LT"/>
              </w:rPr>
              <w:t>Padidėjęs jautrumas</w:t>
            </w:r>
            <w:r w:rsidR="002C26E5" w:rsidRPr="00CD7E52">
              <w:rPr>
                <w:rFonts w:eastAsia="Calibri"/>
                <w:szCs w:val="22"/>
                <w:lang w:val="lt-LT"/>
              </w:rPr>
              <w:t>.</w:t>
            </w:r>
          </w:p>
        </w:tc>
      </w:tr>
      <w:tr w:rsidR="00DE6D1B" w:rsidRPr="00CD7E52" w14:paraId="51D58BF2" w14:textId="77777777" w:rsidTr="006D24A9">
        <w:tc>
          <w:tcPr>
            <w:tcW w:w="1667" w:type="pct"/>
          </w:tcPr>
          <w:p w14:paraId="02997951" w14:textId="77777777" w:rsidR="001334BB" w:rsidRPr="00CD7E52" w:rsidRDefault="00244785" w:rsidP="00633570">
            <w:pPr>
              <w:tabs>
                <w:tab w:val="clear" w:pos="567"/>
              </w:tabs>
              <w:spacing w:line="240" w:lineRule="auto"/>
              <w:rPr>
                <w:rFonts w:eastAsia="Calibri"/>
                <w:szCs w:val="22"/>
              </w:rPr>
            </w:pPr>
            <w:r w:rsidRPr="00CD7E52">
              <w:rPr>
                <w:rFonts w:eastAsia="Calibri"/>
                <w:szCs w:val="22"/>
                <w:lang w:val="lt-LT"/>
              </w:rPr>
              <w:t>Metabolizmo ir mitybos sutrikimai</w:t>
            </w:r>
          </w:p>
        </w:tc>
        <w:tc>
          <w:tcPr>
            <w:tcW w:w="990" w:type="pct"/>
          </w:tcPr>
          <w:p w14:paraId="54CFBF16" w14:textId="77777777" w:rsidR="001334BB" w:rsidRPr="00CD7E52" w:rsidRDefault="00244785" w:rsidP="006D24A9">
            <w:pPr>
              <w:tabs>
                <w:tab w:val="clear" w:pos="567"/>
              </w:tabs>
              <w:spacing w:line="240" w:lineRule="auto"/>
              <w:rPr>
                <w:rFonts w:eastAsia="Calibri"/>
                <w:szCs w:val="22"/>
              </w:rPr>
            </w:pPr>
            <w:r w:rsidRPr="00CD7E52">
              <w:rPr>
                <w:rFonts w:eastAsia="Calibri"/>
                <w:szCs w:val="22"/>
                <w:lang w:val="lt-LT"/>
              </w:rPr>
              <w:t>Dažnas</w:t>
            </w:r>
          </w:p>
        </w:tc>
        <w:tc>
          <w:tcPr>
            <w:tcW w:w="2343" w:type="pct"/>
            <w:vAlign w:val="center"/>
          </w:tcPr>
          <w:p w14:paraId="40E2A4B5" w14:textId="77777777" w:rsidR="001334BB" w:rsidRPr="00CD7E52" w:rsidRDefault="00244785" w:rsidP="00BD0220">
            <w:pPr>
              <w:tabs>
                <w:tab w:val="clear" w:pos="567"/>
              </w:tabs>
              <w:spacing w:line="240" w:lineRule="auto"/>
              <w:rPr>
                <w:rFonts w:eastAsia="Calibri"/>
                <w:szCs w:val="22"/>
              </w:rPr>
            </w:pPr>
            <w:r w:rsidRPr="00CD7E52">
              <w:rPr>
                <w:rFonts w:eastAsia="Calibri"/>
                <w:szCs w:val="22"/>
                <w:lang w:val="lt-LT"/>
              </w:rPr>
              <w:t>Sumažėjęs apetitas</w:t>
            </w:r>
            <w:r w:rsidR="001334BB" w:rsidRPr="00CD7E52">
              <w:rPr>
                <w:rFonts w:eastAsia="Calibri"/>
                <w:szCs w:val="22"/>
                <w:lang w:val="lt-LT"/>
              </w:rPr>
              <w:t>*</w:t>
            </w:r>
            <w:r w:rsidR="002C26E5" w:rsidRPr="00CD7E52">
              <w:rPr>
                <w:rFonts w:eastAsia="Calibri"/>
                <w:szCs w:val="22"/>
                <w:lang w:val="lt-LT"/>
              </w:rPr>
              <w:t>.</w:t>
            </w:r>
          </w:p>
        </w:tc>
      </w:tr>
      <w:tr w:rsidR="009E0A7D" w:rsidRPr="00CD7E52" w14:paraId="1091EAC9" w14:textId="77777777" w:rsidTr="006D24A9">
        <w:trPr>
          <w:trHeight w:val="516"/>
        </w:trPr>
        <w:tc>
          <w:tcPr>
            <w:tcW w:w="1667" w:type="pct"/>
            <w:vMerge w:val="restart"/>
          </w:tcPr>
          <w:p w14:paraId="086694BD" w14:textId="77777777" w:rsidR="002C26E5" w:rsidRPr="00CD7E52" w:rsidRDefault="002C26E5" w:rsidP="00633570">
            <w:pPr>
              <w:tabs>
                <w:tab w:val="clear" w:pos="567"/>
              </w:tabs>
              <w:spacing w:line="240" w:lineRule="auto"/>
              <w:rPr>
                <w:rFonts w:eastAsia="Calibri"/>
                <w:szCs w:val="22"/>
              </w:rPr>
            </w:pPr>
            <w:r w:rsidRPr="00CD7E52">
              <w:rPr>
                <w:rFonts w:eastAsia="Calibri"/>
                <w:szCs w:val="22"/>
                <w:lang w:val="lt-LT"/>
              </w:rPr>
              <w:t>Psichikos sutrikimai</w:t>
            </w:r>
          </w:p>
        </w:tc>
        <w:tc>
          <w:tcPr>
            <w:tcW w:w="990" w:type="pct"/>
          </w:tcPr>
          <w:p w14:paraId="6264D79F" w14:textId="77777777" w:rsidR="002C26E5" w:rsidRPr="00CD7E52" w:rsidRDefault="002C26E5" w:rsidP="006D24A9">
            <w:pPr>
              <w:tabs>
                <w:tab w:val="clear" w:pos="567"/>
              </w:tabs>
              <w:spacing w:line="240" w:lineRule="auto"/>
              <w:rPr>
                <w:rFonts w:eastAsia="Calibri"/>
                <w:szCs w:val="22"/>
              </w:rPr>
            </w:pPr>
            <w:r w:rsidRPr="00CD7E52">
              <w:rPr>
                <w:rFonts w:eastAsia="Calibri"/>
                <w:szCs w:val="22"/>
                <w:lang w:val="lt-LT"/>
              </w:rPr>
              <w:t>Dažnas</w:t>
            </w:r>
          </w:p>
        </w:tc>
        <w:tc>
          <w:tcPr>
            <w:tcW w:w="2343" w:type="pct"/>
          </w:tcPr>
          <w:p w14:paraId="51B0DB1B" w14:textId="77777777" w:rsidR="00B8197A" w:rsidRPr="00CD7E52" w:rsidRDefault="002C26E5" w:rsidP="008F2D47">
            <w:pPr>
              <w:tabs>
                <w:tab w:val="clear" w:pos="567"/>
              </w:tabs>
              <w:spacing w:line="240" w:lineRule="auto"/>
              <w:rPr>
                <w:szCs w:val="22"/>
                <w:lang w:val="lt-LT"/>
              </w:rPr>
            </w:pPr>
            <w:r w:rsidRPr="00CD7E52">
              <w:rPr>
                <w:szCs w:val="22"/>
                <w:lang w:val="lt-LT"/>
              </w:rPr>
              <w:t>Nemiga,</w:t>
            </w:r>
          </w:p>
          <w:p w14:paraId="08D28DAD" w14:textId="77777777" w:rsidR="002C26E5" w:rsidRPr="00CD7E52" w:rsidRDefault="002C26E5" w:rsidP="008F2D47">
            <w:pPr>
              <w:tabs>
                <w:tab w:val="clear" w:pos="567"/>
              </w:tabs>
              <w:spacing w:line="240" w:lineRule="auto"/>
              <w:rPr>
                <w:rFonts w:eastAsia="Calibri"/>
                <w:snapToGrid/>
                <w:szCs w:val="22"/>
                <w:lang w:val="lt-LT" w:eastAsia="lt-LT"/>
              </w:rPr>
            </w:pPr>
            <w:r w:rsidRPr="00CD7E52">
              <w:rPr>
                <w:szCs w:val="22"/>
                <w:lang w:val="lt-LT"/>
              </w:rPr>
              <w:t>depresija.</w:t>
            </w:r>
          </w:p>
        </w:tc>
      </w:tr>
      <w:tr w:rsidR="00DE6D1B" w:rsidRPr="00CD7E52" w14:paraId="5CA6956A" w14:textId="77777777" w:rsidTr="006D24A9">
        <w:tc>
          <w:tcPr>
            <w:tcW w:w="1667" w:type="pct"/>
            <w:vMerge/>
          </w:tcPr>
          <w:p w14:paraId="48E8D8B1" w14:textId="77777777" w:rsidR="001334BB" w:rsidRPr="00CD7E52" w:rsidRDefault="001334BB" w:rsidP="00633570">
            <w:pPr>
              <w:tabs>
                <w:tab w:val="clear" w:pos="567"/>
              </w:tabs>
              <w:spacing w:line="240" w:lineRule="auto"/>
              <w:rPr>
                <w:rFonts w:eastAsia="Calibri"/>
                <w:szCs w:val="22"/>
                <w:lang w:val="lt-LT"/>
              </w:rPr>
            </w:pPr>
          </w:p>
        </w:tc>
        <w:tc>
          <w:tcPr>
            <w:tcW w:w="990" w:type="pct"/>
          </w:tcPr>
          <w:p w14:paraId="27CDD691" w14:textId="77777777" w:rsidR="001334BB" w:rsidRPr="00CD7E52" w:rsidRDefault="00244785" w:rsidP="006D24A9">
            <w:pPr>
              <w:tabs>
                <w:tab w:val="clear" w:pos="567"/>
              </w:tabs>
              <w:spacing w:line="240" w:lineRule="auto"/>
              <w:rPr>
                <w:rFonts w:eastAsia="Calibri"/>
                <w:szCs w:val="22"/>
              </w:rPr>
            </w:pPr>
            <w:r w:rsidRPr="00CD7E52">
              <w:rPr>
                <w:rFonts w:eastAsia="Calibri"/>
                <w:szCs w:val="22"/>
                <w:lang w:val="lt-LT"/>
              </w:rPr>
              <w:t>Nedažnas</w:t>
            </w:r>
          </w:p>
        </w:tc>
        <w:tc>
          <w:tcPr>
            <w:tcW w:w="2343" w:type="pct"/>
            <w:vAlign w:val="center"/>
          </w:tcPr>
          <w:p w14:paraId="1EAD5178" w14:textId="77777777" w:rsidR="003417B4" w:rsidRDefault="00244785" w:rsidP="00BD0220">
            <w:pPr>
              <w:tabs>
                <w:tab w:val="clear" w:pos="567"/>
              </w:tabs>
              <w:spacing w:line="240" w:lineRule="auto"/>
              <w:rPr>
                <w:rFonts w:eastAsia="Calibri"/>
                <w:snapToGrid/>
                <w:szCs w:val="22"/>
                <w:lang w:val="lt-LT"/>
              </w:rPr>
            </w:pPr>
            <w:r w:rsidRPr="00CD7E52">
              <w:rPr>
                <w:rFonts w:eastAsia="Calibri"/>
                <w:szCs w:val="22"/>
                <w:lang w:val="lt-LT"/>
              </w:rPr>
              <w:t xml:space="preserve">Mintys apie savižudybę ir </w:t>
            </w:r>
            <w:r w:rsidRPr="00CD7E52">
              <w:rPr>
                <w:rFonts w:eastAsia="Calibri"/>
                <w:snapToGrid/>
                <w:szCs w:val="22"/>
                <w:lang w:val="lt-LT"/>
              </w:rPr>
              <w:t>su savižudybe susijęs elgesys</w:t>
            </w:r>
            <w:r w:rsidR="003417B4">
              <w:rPr>
                <w:rFonts w:eastAsia="Calibri"/>
                <w:snapToGrid/>
                <w:szCs w:val="22"/>
                <w:lang w:val="lt-LT"/>
              </w:rPr>
              <w:t>,</w:t>
            </w:r>
          </w:p>
          <w:p w14:paraId="7A1B256F" w14:textId="77777777" w:rsidR="003417B4" w:rsidRDefault="003417B4" w:rsidP="00BD0220">
            <w:pPr>
              <w:tabs>
                <w:tab w:val="clear" w:pos="567"/>
              </w:tabs>
              <w:spacing w:line="240" w:lineRule="auto"/>
              <w:rPr>
                <w:rFonts w:eastAsia="Calibri"/>
                <w:szCs w:val="22"/>
                <w:lang w:val="lt-LT"/>
              </w:rPr>
            </w:pPr>
            <w:r w:rsidRPr="003417B4">
              <w:rPr>
                <w:rFonts w:eastAsia="Calibri"/>
                <w:szCs w:val="22"/>
                <w:lang w:val="lt-LT"/>
              </w:rPr>
              <w:t>nerimas,</w:t>
            </w:r>
          </w:p>
          <w:p w14:paraId="7E78000B" w14:textId="77777777" w:rsidR="001334BB" w:rsidRPr="00CD7E52" w:rsidRDefault="003417B4" w:rsidP="003417B4">
            <w:pPr>
              <w:tabs>
                <w:tab w:val="clear" w:pos="567"/>
              </w:tabs>
              <w:spacing w:line="240" w:lineRule="auto"/>
              <w:rPr>
                <w:rFonts w:eastAsia="Calibri"/>
                <w:szCs w:val="22"/>
              </w:rPr>
            </w:pPr>
            <w:r w:rsidRPr="003417B4">
              <w:rPr>
                <w:rFonts w:eastAsia="Calibri"/>
                <w:szCs w:val="22"/>
                <w:lang w:val="lt-LT"/>
              </w:rPr>
              <w:t>pakitusi nuotaika</w:t>
            </w:r>
            <w:r w:rsidR="002C26E5" w:rsidRPr="00CD7E52">
              <w:rPr>
                <w:rFonts w:eastAsia="Calibri"/>
                <w:szCs w:val="22"/>
                <w:lang w:val="lt-LT"/>
              </w:rPr>
              <w:t>.</w:t>
            </w:r>
          </w:p>
        </w:tc>
      </w:tr>
      <w:tr w:rsidR="00DE6D1B" w:rsidRPr="00CD7E52" w14:paraId="2FB620A0" w14:textId="77777777" w:rsidTr="006D24A9">
        <w:tc>
          <w:tcPr>
            <w:tcW w:w="1667" w:type="pct"/>
            <w:vMerge w:val="restart"/>
          </w:tcPr>
          <w:p w14:paraId="7DBEE13D" w14:textId="77777777" w:rsidR="001334BB" w:rsidRPr="00CD7E52" w:rsidRDefault="00244785" w:rsidP="00633570">
            <w:pPr>
              <w:tabs>
                <w:tab w:val="clear" w:pos="567"/>
              </w:tabs>
              <w:spacing w:line="240" w:lineRule="auto"/>
              <w:rPr>
                <w:rFonts w:eastAsia="Calibri"/>
                <w:szCs w:val="22"/>
              </w:rPr>
            </w:pPr>
            <w:r w:rsidRPr="00CD7E52">
              <w:rPr>
                <w:rFonts w:eastAsia="Calibri"/>
                <w:szCs w:val="22"/>
                <w:lang w:val="lt-LT"/>
              </w:rPr>
              <w:t>Nervų sistemos sutrikimai</w:t>
            </w:r>
          </w:p>
        </w:tc>
        <w:tc>
          <w:tcPr>
            <w:tcW w:w="990" w:type="pct"/>
          </w:tcPr>
          <w:p w14:paraId="1ED3EA48" w14:textId="77777777" w:rsidR="001334BB" w:rsidRPr="00CD7E52" w:rsidRDefault="00244785" w:rsidP="006D24A9">
            <w:pPr>
              <w:tabs>
                <w:tab w:val="clear" w:pos="567"/>
              </w:tabs>
              <w:spacing w:line="240" w:lineRule="auto"/>
              <w:rPr>
                <w:rFonts w:eastAsia="Calibri"/>
                <w:szCs w:val="22"/>
              </w:rPr>
            </w:pPr>
            <w:r w:rsidRPr="00CD7E52">
              <w:rPr>
                <w:rFonts w:eastAsia="Calibri"/>
                <w:szCs w:val="22"/>
                <w:lang w:val="lt-LT"/>
              </w:rPr>
              <w:t>Labai dažnas</w:t>
            </w:r>
          </w:p>
        </w:tc>
        <w:tc>
          <w:tcPr>
            <w:tcW w:w="2343" w:type="pct"/>
            <w:vAlign w:val="center"/>
          </w:tcPr>
          <w:p w14:paraId="42CF8F38" w14:textId="77777777" w:rsidR="001334BB" w:rsidRPr="00CD7E52" w:rsidRDefault="00244785" w:rsidP="00BD0220">
            <w:pPr>
              <w:tabs>
                <w:tab w:val="clear" w:pos="567"/>
              </w:tabs>
              <w:spacing w:line="240" w:lineRule="auto"/>
              <w:rPr>
                <w:rFonts w:eastAsia="Calibri"/>
                <w:szCs w:val="22"/>
              </w:rPr>
            </w:pPr>
            <w:r w:rsidRPr="00CD7E52">
              <w:rPr>
                <w:rFonts w:eastAsia="Calibri"/>
                <w:szCs w:val="22"/>
                <w:lang w:val="lt-LT"/>
              </w:rPr>
              <w:t>Galvos skausmas</w:t>
            </w:r>
            <w:r w:rsidR="001334BB" w:rsidRPr="00CD7E52">
              <w:rPr>
                <w:rFonts w:eastAsia="Calibri"/>
                <w:szCs w:val="22"/>
                <w:lang w:val="lt-LT"/>
              </w:rPr>
              <w:t>*</w:t>
            </w:r>
            <w:r w:rsidR="001334BB" w:rsidRPr="00CD7E52">
              <w:rPr>
                <w:rFonts w:eastAsia="Calibri"/>
                <w:szCs w:val="22"/>
                <w:vertAlign w:val="superscript"/>
                <w:lang w:val="lt-LT"/>
              </w:rPr>
              <w:t>, a</w:t>
            </w:r>
            <w:r w:rsidR="002C26E5" w:rsidRPr="00CD7E52">
              <w:rPr>
                <w:rFonts w:eastAsia="Calibri"/>
                <w:szCs w:val="22"/>
                <w:lang w:val="lt-LT"/>
              </w:rPr>
              <w:t>.</w:t>
            </w:r>
          </w:p>
        </w:tc>
      </w:tr>
      <w:tr w:rsidR="00DE6D1B" w:rsidRPr="00F27966" w14:paraId="31D03F32" w14:textId="77777777" w:rsidTr="006D24A9">
        <w:trPr>
          <w:trHeight w:val="516"/>
        </w:trPr>
        <w:tc>
          <w:tcPr>
            <w:tcW w:w="1667" w:type="pct"/>
            <w:vMerge/>
          </w:tcPr>
          <w:p w14:paraId="790E6653" w14:textId="77777777" w:rsidR="002C26E5" w:rsidRPr="00CD7E52" w:rsidRDefault="002C26E5" w:rsidP="00633570">
            <w:pPr>
              <w:tabs>
                <w:tab w:val="clear" w:pos="567"/>
              </w:tabs>
              <w:spacing w:line="240" w:lineRule="auto"/>
              <w:rPr>
                <w:rFonts w:eastAsia="Calibri"/>
                <w:szCs w:val="22"/>
                <w:lang w:val="lt-LT"/>
              </w:rPr>
            </w:pPr>
          </w:p>
        </w:tc>
        <w:tc>
          <w:tcPr>
            <w:tcW w:w="990" w:type="pct"/>
          </w:tcPr>
          <w:p w14:paraId="387873F1" w14:textId="77777777" w:rsidR="002C26E5" w:rsidRPr="00CD7E52" w:rsidRDefault="002C26E5" w:rsidP="006D24A9">
            <w:pPr>
              <w:tabs>
                <w:tab w:val="clear" w:pos="567"/>
              </w:tabs>
              <w:spacing w:line="240" w:lineRule="auto"/>
              <w:rPr>
                <w:rFonts w:eastAsia="Calibri"/>
                <w:szCs w:val="22"/>
              </w:rPr>
            </w:pPr>
            <w:r w:rsidRPr="00CD7E52">
              <w:rPr>
                <w:rFonts w:eastAsia="Calibri"/>
                <w:szCs w:val="22"/>
                <w:lang w:val="lt-LT"/>
              </w:rPr>
              <w:t>Dažnas</w:t>
            </w:r>
          </w:p>
        </w:tc>
        <w:tc>
          <w:tcPr>
            <w:tcW w:w="2343" w:type="pct"/>
            <w:vAlign w:val="center"/>
          </w:tcPr>
          <w:p w14:paraId="0004ACB6" w14:textId="77777777" w:rsidR="009127B6" w:rsidRPr="00CD7E52" w:rsidRDefault="002C26E5" w:rsidP="008F2D47">
            <w:pPr>
              <w:tabs>
                <w:tab w:val="clear" w:pos="567"/>
              </w:tabs>
              <w:spacing w:line="240" w:lineRule="auto"/>
              <w:rPr>
                <w:rFonts w:eastAsia="Calibri"/>
                <w:szCs w:val="22"/>
                <w:lang w:val="lt-LT"/>
              </w:rPr>
            </w:pPr>
            <w:r w:rsidRPr="00CD7E52">
              <w:rPr>
                <w:rFonts w:eastAsia="Calibri"/>
                <w:szCs w:val="22"/>
                <w:lang w:val="lt-LT"/>
              </w:rPr>
              <w:t>Migrena*,</w:t>
            </w:r>
          </w:p>
          <w:p w14:paraId="4E627285" w14:textId="77777777" w:rsidR="002C26E5" w:rsidRPr="00CD7E52" w:rsidRDefault="002C26E5" w:rsidP="008F2D47">
            <w:pPr>
              <w:tabs>
                <w:tab w:val="clear" w:pos="567"/>
              </w:tabs>
              <w:spacing w:line="240" w:lineRule="auto"/>
              <w:rPr>
                <w:rFonts w:eastAsia="Calibri"/>
                <w:snapToGrid/>
                <w:szCs w:val="22"/>
                <w:lang w:val="lt-LT" w:eastAsia="lt-LT"/>
              </w:rPr>
            </w:pPr>
            <w:r w:rsidRPr="00CD7E52">
              <w:rPr>
                <w:rFonts w:eastAsia="Calibri"/>
                <w:szCs w:val="22"/>
                <w:lang w:val="lt-LT"/>
              </w:rPr>
              <w:t>įtampos tipo galvos</w:t>
            </w:r>
            <w:r w:rsidRPr="00CD7E52">
              <w:rPr>
                <w:rFonts w:eastAsia="Calibri"/>
                <w:szCs w:val="22"/>
                <w:lang w:val="sv-SE"/>
              </w:rPr>
              <w:t xml:space="preserve"> </w:t>
            </w:r>
            <w:r w:rsidRPr="00CD7E52">
              <w:rPr>
                <w:rFonts w:eastAsia="Calibri"/>
                <w:szCs w:val="22"/>
                <w:lang w:val="lt-LT"/>
              </w:rPr>
              <w:t>skausmas*</w:t>
            </w:r>
            <w:r w:rsidRPr="00CD7E52">
              <w:rPr>
                <w:rFonts w:eastAsia="Calibri"/>
                <w:szCs w:val="22"/>
                <w:lang w:val="sv-SE"/>
              </w:rPr>
              <w:t>.</w:t>
            </w:r>
          </w:p>
        </w:tc>
      </w:tr>
      <w:tr w:rsidR="00DE6D1B" w:rsidRPr="00CD7E52" w14:paraId="0BF3B113" w14:textId="77777777" w:rsidTr="006D24A9">
        <w:tc>
          <w:tcPr>
            <w:tcW w:w="1667" w:type="pct"/>
          </w:tcPr>
          <w:p w14:paraId="1D153191" w14:textId="77777777" w:rsidR="001334BB" w:rsidRPr="00CD7E52" w:rsidRDefault="00244785" w:rsidP="00633570">
            <w:pPr>
              <w:tabs>
                <w:tab w:val="clear" w:pos="567"/>
              </w:tabs>
              <w:spacing w:line="240" w:lineRule="auto"/>
              <w:rPr>
                <w:rFonts w:eastAsia="Calibri"/>
                <w:szCs w:val="22"/>
                <w:lang w:val="sv-SE"/>
              </w:rPr>
            </w:pPr>
            <w:r w:rsidRPr="00CD7E52">
              <w:rPr>
                <w:rFonts w:eastAsia="Calibri"/>
                <w:szCs w:val="22"/>
                <w:lang w:val="lt-LT"/>
              </w:rPr>
              <w:t>Kvėpavimo sistemos, krūtinės ląstos ir tarpuplaučio sutrikimai</w:t>
            </w:r>
          </w:p>
        </w:tc>
        <w:tc>
          <w:tcPr>
            <w:tcW w:w="990" w:type="pct"/>
          </w:tcPr>
          <w:p w14:paraId="511B3754" w14:textId="77777777" w:rsidR="001334BB" w:rsidRPr="00CD7E52" w:rsidRDefault="00244785" w:rsidP="006D24A9">
            <w:pPr>
              <w:tabs>
                <w:tab w:val="clear" w:pos="567"/>
              </w:tabs>
              <w:spacing w:line="240" w:lineRule="auto"/>
              <w:rPr>
                <w:rFonts w:eastAsia="Calibri"/>
                <w:szCs w:val="22"/>
              </w:rPr>
            </w:pPr>
            <w:r w:rsidRPr="00CD7E52">
              <w:rPr>
                <w:rFonts w:eastAsia="Calibri"/>
                <w:szCs w:val="22"/>
                <w:lang w:val="lt-LT"/>
              </w:rPr>
              <w:t>Dažnas</w:t>
            </w:r>
          </w:p>
        </w:tc>
        <w:tc>
          <w:tcPr>
            <w:tcW w:w="2343" w:type="pct"/>
            <w:vAlign w:val="center"/>
          </w:tcPr>
          <w:p w14:paraId="1C267F70" w14:textId="77777777" w:rsidR="001334BB" w:rsidRPr="00CD7E52" w:rsidRDefault="00244785" w:rsidP="00BD0220">
            <w:pPr>
              <w:tabs>
                <w:tab w:val="clear" w:pos="567"/>
              </w:tabs>
              <w:spacing w:line="240" w:lineRule="auto"/>
              <w:rPr>
                <w:rFonts w:eastAsia="Calibri"/>
                <w:szCs w:val="22"/>
              </w:rPr>
            </w:pPr>
            <w:r w:rsidRPr="00CD7E52">
              <w:rPr>
                <w:rFonts w:eastAsia="Calibri"/>
                <w:szCs w:val="22"/>
                <w:lang w:val="lt-LT"/>
              </w:rPr>
              <w:t>Kosulys</w:t>
            </w:r>
            <w:r w:rsidR="002C26E5" w:rsidRPr="00CD7E52">
              <w:rPr>
                <w:rFonts w:eastAsia="Calibri"/>
                <w:szCs w:val="22"/>
                <w:lang w:val="lt-LT"/>
              </w:rPr>
              <w:t>.</w:t>
            </w:r>
          </w:p>
        </w:tc>
      </w:tr>
      <w:tr w:rsidR="009E0A7D" w:rsidRPr="00CD7E52" w14:paraId="46CD9D87" w14:textId="77777777" w:rsidTr="006D24A9">
        <w:trPr>
          <w:trHeight w:val="516"/>
        </w:trPr>
        <w:tc>
          <w:tcPr>
            <w:tcW w:w="1667" w:type="pct"/>
            <w:vMerge w:val="restart"/>
          </w:tcPr>
          <w:p w14:paraId="1EDCE106" w14:textId="77777777" w:rsidR="002C26E5" w:rsidRPr="00CD7E52" w:rsidRDefault="002C26E5" w:rsidP="00633570">
            <w:pPr>
              <w:tabs>
                <w:tab w:val="clear" w:pos="567"/>
              </w:tabs>
              <w:spacing w:line="240" w:lineRule="auto"/>
              <w:rPr>
                <w:rFonts w:eastAsia="Calibri"/>
                <w:szCs w:val="22"/>
              </w:rPr>
            </w:pPr>
            <w:r w:rsidRPr="00CD7E52">
              <w:rPr>
                <w:rFonts w:eastAsia="Calibri"/>
                <w:szCs w:val="22"/>
                <w:lang w:val="lt-LT"/>
              </w:rPr>
              <w:t>Virškinimo trakto sutrikimai</w:t>
            </w:r>
          </w:p>
        </w:tc>
        <w:tc>
          <w:tcPr>
            <w:tcW w:w="990" w:type="pct"/>
          </w:tcPr>
          <w:p w14:paraId="1AB162B9" w14:textId="77777777" w:rsidR="002C26E5" w:rsidRPr="00CD7E52" w:rsidRDefault="002C26E5" w:rsidP="006D24A9">
            <w:pPr>
              <w:tabs>
                <w:tab w:val="clear" w:pos="567"/>
              </w:tabs>
              <w:spacing w:line="240" w:lineRule="auto"/>
              <w:rPr>
                <w:rFonts w:eastAsia="Calibri"/>
                <w:szCs w:val="22"/>
              </w:rPr>
            </w:pPr>
            <w:r w:rsidRPr="00CD7E52">
              <w:rPr>
                <w:rFonts w:eastAsia="Calibri"/>
                <w:szCs w:val="22"/>
                <w:lang w:val="lt-LT"/>
              </w:rPr>
              <w:t>Labai dažnas</w:t>
            </w:r>
          </w:p>
        </w:tc>
        <w:tc>
          <w:tcPr>
            <w:tcW w:w="2343" w:type="pct"/>
          </w:tcPr>
          <w:p w14:paraId="222507E2" w14:textId="77777777" w:rsidR="00633570" w:rsidRPr="00CD7E52" w:rsidRDefault="002C26E5" w:rsidP="008F2D47">
            <w:pPr>
              <w:tabs>
                <w:tab w:val="clear" w:pos="567"/>
              </w:tabs>
              <w:spacing w:line="240" w:lineRule="auto"/>
              <w:rPr>
                <w:szCs w:val="22"/>
                <w:lang w:val="lt-LT"/>
              </w:rPr>
            </w:pPr>
            <w:r w:rsidRPr="00CD7E52">
              <w:rPr>
                <w:szCs w:val="22"/>
                <w:lang w:val="lt-LT"/>
              </w:rPr>
              <w:t>Viduriavimas*,</w:t>
            </w:r>
          </w:p>
          <w:p w14:paraId="01AC372E" w14:textId="77777777" w:rsidR="002C26E5" w:rsidRPr="00CD7E52" w:rsidRDefault="002C26E5" w:rsidP="008F2D47">
            <w:pPr>
              <w:tabs>
                <w:tab w:val="clear" w:pos="567"/>
              </w:tabs>
              <w:spacing w:line="240" w:lineRule="auto"/>
              <w:rPr>
                <w:rFonts w:eastAsia="Calibri"/>
                <w:snapToGrid/>
                <w:szCs w:val="22"/>
                <w:lang w:val="lt-LT" w:eastAsia="lt-LT"/>
              </w:rPr>
            </w:pPr>
            <w:r w:rsidRPr="00CD7E52">
              <w:rPr>
                <w:szCs w:val="22"/>
                <w:lang w:val="lt-LT"/>
              </w:rPr>
              <w:t>pykinimas*</w:t>
            </w:r>
            <w:r w:rsidRPr="00CD7E52">
              <w:rPr>
                <w:szCs w:val="22"/>
              </w:rPr>
              <w:t>.</w:t>
            </w:r>
          </w:p>
        </w:tc>
      </w:tr>
      <w:tr w:rsidR="00DE6D1B" w:rsidRPr="00CD7E52" w14:paraId="0F718F06" w14:textId="77777777" w:rsidTr="006D24A9">
        <w:trPr>
          <w:trHeight w:val="1305"/>
        </w:trPr>
        <w:tc>
          <w:tcPr>
            <w:tcW w:w="1667" w:type="pct"/>
            <w:vMerge/>
          </w:tcPr>
          <w:p w14:paraId="59211843" w14:textId="77777777" w:rsidR="002C26E5" w:rsidRPr="00CD7E52" w:rsidRDefault="002C26E5" w:rsidP="00633570">
            <w:pPr>
              <w:tabs>
                <w:tab w:val="clear" w:pos="567"/>
              </w:tabs>
              <w:spacing w:line="240" w:lineRule="auto"/>
              <w:rPr>
                <w:rFonts w:eastAsia="Calibri"/>
                <w:szCs w:val="22"/>
                <w:lang w:val="lt-LT"/>
              </w:rPr>
            </w:pPr>
          </w:p>
        </w:tc>
        <w:tc>
          <w:tcPr>
            <w:tcW w:w="990" w:type="pct"/>
          </w:tcPr>
          <w:p w14:paraId="65ACB979" w14:textId="77777777" w:rsidR="002C26E5" w:rsidRPr="00CD7E52" w:rsidRDefault="002C26E5" w:rsidP="006D24A9">
            <w:pPr>
              <w:tabs>
                <w:tab w:val="clear" w:pos="567"/>
              </w:tabs>
              <w:spacing w:line="240" w:lineRule="auto"/>
              <w:rPr>
                <w:rFonts w:eastAsia="Calibri"/>
                <w:szCs w:val="22"/>
              </w:rPr>
            </w:pPr>
            <w:r w:rsidRPr="00CD7E52">
              <w:rPr>
                <w:rFonts w:eastAsia="Calibri"/>
                <w:szCs w:val="22"/>
                <w:lang w:val="lt-LT"/>
              </w:rPr>
              <w:t>Dažnas</w:t>
            </w:r>
          </w:p>
        </w:tc>
        <w:tc>
          <w:tcPr>
            <w:tcW w:w="2343" w:type="pct"/>
          </w:tcPr>
          <w:p w14:paraId="2E544FD1" w14:textId="77777777" w:rsidR="00633570" w:rsidRPr="00CD7E52" w:rsidRDefault="002C26E5" w:rsidP="008F2D47">
            <w:pPr>
              <w:tabs>
                <w:tab w:val="clear" w:pos="567"/>
              </w:tabs>
              <w:spacing w:line="240" w:lineRule="auto"/>
              <w:rPr>
                <w:szCs w:val="22"/>
                <w:lang w:val="lt-LT"/>
              </w:rPr>
            </w:pPr>
            <w:r w:rsidRPr="00CD7E52">
              <w:rPr>
                <w:szCs w:val="22"/>
                <w:lang w:val="lt-LT"/>
              </w:rPr>
              <w:t>Vėmimas*,</w:t>
            </w:r>
          </w:p>
          <w:p w14:paraId="7386DE3D" w14:textId="77777777" w:rsidR="00633570" w:rsidRPr="00CD7E52" w:rsidRDefault="002C26E5" w:rsidP="008F2D47">
            <w:pPr>
              <w:tabs>
                <w:tab w:val="clear" w:pos="567"/>
              </w:tabs>
              <w:spacing w:line="240" w:lineRule="auto"/>
              <w:rPr>
                <w:szCs w:val="22"/>
                <w:lang w:val="lt-LT"/>
              </w:rPr>
            </w:pPr>
            <w:r w:rsidRPr="00CD7E52">
              <w:rPr>
                <w:szCs w:val="22"/>
                <w:lang w:val="lt-LT"/>
              </w:rPr>
              <w:t>dispepsija,</w:t>
            </w:r>
          </w:p>
          <w:p w14:paraId="1808B7C8" w14:textId="77777777" w:rsidR="00633570" w:rsidRPr="00CD7E52" w:rsidRDefault="002C26E5" w:rsidP="008F2D47">
            <w:pPr>
              <w:tabs>
                <w:tab w:val="clear" w:pos="567"/>
              </w:tabs>
              <w:spacing w:line="240" w:lineRule="auto"/>
              <w:rPr>
                <w:szCs w:val="22"/>
                <w:lang w:val="lt-LT"/>
              </w:rPr>
            </w:pPr>
            <w:r w:rsidRPr="00CD7E52">
              <w:rPr>
                <w:szCs w:val="22"/>
                <w:lang w:val="lt-LT"/>
              </w:rPr>
              <w:t>dažnas tuštinimasis,</w:t>
            </w:r>
          </w:p>
          <w:p w14:paraId="217F439B" w14:textId="77777777" w:rsidR="00633570" w:rsidRPr="00CD7E52" w:rsidRDefault="002C26E5" w:rsidP="008F2D47">
            <w:pPr>
              <w:tabs>
                <w:tab w:val="clear" w:pos="567"/>
              </w:tabs>
              <w:spacing w:line="240" w:lineRule="auto"/>
              <w:rPr>
                <w:szCs w:val="22"/>
                <w:lang w:val="lt-LT"/>
              </w:rPr>
            </w:pPr>
            <w:r w:rsidRPr="00CD7E52">
              <w:rPr>
                <w:szCs w:val="22"/>
                <w:lang w:val="lt-LT"/>
              </w:rPr>
              <w:t>viršutinės pilvo dalies skausmas*,</w:t>
            </w:r>
          </w:p>
          <w:p w14:paraId="2A5163E2" w14:textId="77777777" w:rsidR="002C26E5" w:rsidRPr="00CD7E52" w:rsidRDefault="002C26E5" w:rsidP="008F2D47">
            <w:pPr>
              <w:tabs>
                <w:tab w:val="clear" w:pos="567"/>
              </w:tabs>
              <w:spacing w:line="240" w:lineRule="auto"/>
              <w:rPr>
                <w:rFonts w:eastAsia="Calibri"/>
                <w:snapToGrid/>
                <w:szCs w:val="22"/>
                <w:lang w:val="lt-LT" w:eastAsia="lt-LT"/>
              </w:rPr>
            </w:pPr>
            <w:r w:rsidRPr="00CD7E52">
              <w:rPr>
                <w:szCs w:val="22"/>
                <w:lang w:val="lt-LT"/>
              </w:rPr>
              <w:t xml:space="preserve">gastroezofaginio refliukso liga </w:t>
            </w:r>
          </w:p>
        </w:tc>
      </w:tr>
      <w:tr w:rsidR="00DE6D1B" w:rsidRPr="00CD7E52" w14:paraId="6080B542" w14:textId="77777777" w:rsidTr="006D24A9">
        <w:tc>
          <w:tcPr>
            <w:tcW w:w="1667" w:type="pct"/>
            <w:vMerge/>
          </w:tcPr>
          <w:p w14:paraId="12889C52" w14:textId="77777777" w:rsidR="001334BB" w:rsidRPr="00CD7E52" w:rsidRDefault="001334BB" w:rsidP="00633570">
            <w:pPr>
              <w:tabs>
                <w:tab w:val="clear" w:pos="567"/>
              </w:tabs>
              <w:spacing w:line="240" w:lineRule="auto"/>
              <w:rPr>
                <w:rFonts w:eastAsia="Calibri"/>
                <w:szCs w:val="22"/>
                <w:lang w:val="lt-LT"/>
              </w:rPr>
            </w:pPr>
          </w:p>
        </w:tc>
        <w:tc>
          <w:tcPr>
            <w:tcW w:w="990" w:type="pct"/>
          </w:tcPr>
          <w:p w14:paraId="1DE19FAD" w14:textId="77777777" w:rsidR="001334BB" w:rsidRPr="00CD7E52" w:rsidRDefault="00244785" w:rsidP="006D24A9">
            <w:pPr>
              <w:tabs>
                <w:tab w:val="clear" w:pos="567"/>
              </w:tabs>
              <w:spacing w:line="240" w:lineRule="auto"/>
              <w:rPr>
                <w:rFonts w:eastAsia="Calibri"/>
                <w:szCs w:val="22"/>
              </w:rPr>
            </w:pPr>
            <w:r w:rsidRPr="00CD7E52">
              <w:rPr>
                <w:rFonts w:eastAsia="Calibri"/>
                <w:szCs w:val="22"/>
                <w:lang w:val="lt-LT"/>
              </w:rPr>
              <w:t>Nedažnas</w:t>
            </w:r>
          </w:p>
        </w:tc>
        <w:tc>
          <w:tcPr>
            <w:tcW w:w="2343" w:type="pct"/>
            <w:vAlign w:val="center"/>
          </w:tcPr>
          <w:p w14:paraId="73B777ED" w14:textId="77777777" w:rsidR="001334BB" w:rsidRPr="00CD7E52" w:rsidRDefault="00326C90" w:rsidP="00BD0220">
            <w:pPr>
              <w:tabs>
                <w:tab w:val="clear" w:pos="567"/>
              </w:tabs>
              <w:spacing w:line="240" w:lineRule="auto"/>
              <w:rPr>
                <w:rFonts w:eastAsia="Calibri"/>
                <w:szCs w:val="22"/>
              </w:rPr>
            </w:pPr>
            <w:r w:rsidRPr="00CD7E52">
              <w:rPr>
                <w:rFonts w:eastAsia="Calibri"/>
                <w:szCs w:val="22"/>
                <w:lang w:val="lt-LT"/>
              </w:rPr>
              <w:t>Kraujavimas iš virškinimo trakto</w:t>
            </w:r>
            <w:r w:rsidR="002C26E5" w:rsidRPr="00CD7E52">
              <w:rPr>
                <w:rFonts w:eastAsia="Calibri"/>
                <w:szCs w:val="22"/>
                <w:lang w:val="lt-LT"/>
              </w:rPr>
              <w:t>.</w:t>
            </w:r>
          </w:p>
        </w:tc>
      </w:tr>
      <w:tr w:rsidR="009E0A7D" w:rsidRPr="00CD7E52" w14:paraId="75796D31" w14:textId="77777777" w:rsidTr="006D24A9">
        <w:trPr>
          <w:trHeight w:val="516"/>
        </w:trPr>
        <w:tc>
          <w:tcPr>
            <w:tcW w:w="1667" w:type="pct"/>
            <w:vMerge w:val="restart"/>
          </w:tcPr>
          <w:p w14:paraId="44B6900D" w14:textId="77777777" w:rsidR="002C26E5" w:rsidRPr="00716E07" w:rsidRDefault="002C26E5" w:rsidP="00633570">
            <w:pPr>
              <w:tabs>
                <w:tab w:val="clear" w:pos="567"/>
              </w:tabs>
              <w:spacing w:line="240" w:lineRule="auto"/>
              <w:rPr>
                <w:rFonts w:eastAsia="Calibri"/>
                <w:lang w:val="pt-PT"/>
              </w:rPr>
            </w:pPr>
            <w:r w:rsidRPr="00CD7E52">
              <w:rPr>
                <w:rFonts w:eastAsia="Calibri"/>
                <w:szCs w:val="22"/>
                <w:lang w:val="lt-LT"/>
              </w:rPr>
              <w:t>Odos ir poodinio audinio sutrikimai</w:t>
            </w:r>
          </w:p>
        </w:tc>
        <w:tc>
          <w:tcPr>
            <w:tcW w:w="990" w:type="pct"/>
          </w:tcPr>
          <w:p w14:paraId="2AC10BDB" w14:textId="77777777" w:rsidR="002C26E5" w:rsidRPr="00CD7E52" w:rsidRDefault="002C26E5" w:rsidP="006D24A9">
            <w:pPr>
              <w:tabs>
                <w:tab w:val="clear" w:pos="567"/>
              </w:tabs>
              <w:spacing w:line="240" w:lineRule="auto"/>
              <w:rPr>
                <w:rFonts w:eastAsia="Calibri"/>
                <w:szCs w:val="22"/>
              </w:rPr>
            </w:pPr>
            <w:r w:rsidRPr="00CD7E52">
              <w:rPr>
                <w:rFonts w:eastAsia="Calibri"/>
                <w:szCs w:val="22"/>
                <w:lang w:val="lt-LT"/>
              </w:rPr>
              <w:t>Nedažnas</w:t>
            </w:r>
          </w:p>
        </w:tc>
        <w:tc>
          <w:tcPr>
            <w:tcW w:w="2343" w:type="pct"/>
          </w:tcPr>
          <w:p w14:paraId="4AF08ED3" w14:textId="77777777" w:rsidR="00633570" w:rsidRPr="00CD7E52" w:rsidRDefault="002C26E5" w:rsidP="008F2D47">
            <w:pPr>
              <w:tabs>
                <w:tab w:val="clear" w:pos="567"/>
              </w:tabs>
              <w:spacing w:line="240" w:lineRule="auto"/>
              <w:rPr>
                <w:szCs w:val="22"/>
                <w:lang w:val="lt-LT"/>
              </w:rPr>
            </w:pPr>
            <w:r w:rsidRPr="00CD7E52">
              <w:rPr>
                <w:szCs w:val="22"/>
                <w:lang w:val="lt-LT"/>
              </w:rPr>
              <w:t>Išbėrimas,</w:t>
            </w:r>
          </w:p>
          <w:p w14:paraId="09A40C52" w14:textId="77777777" w:rsidR="002C26E5" w:rsidRPr="00CD7E52" w:rsidRDefault="002C26E5" w:rsidP="008F2D47">
            <w:pPr>
              <w:tabs>
                <w:tab w:val="clear" w:pos="567"/>
              </w:tabs>
              <w:spacing w:line="240" w:lineRule="auto"/>
              <w:rPr>
                <w:rFonts w:eastAsia="Calibri"/>
                <w:snapToGrid/>
                <w:szCs w:val="22"/>
                <w:lang w:val="lt-LT" w:eastAsia="lt-LT"/>
              </w:rPr>
            </w:pPr>
            <w:r w:rsidRPr="00CD7E52">
              <w:rPr>
                <w:szCs w:val="22"/>
                <w:lang w:val="lt-LT"/>
              </w:rPr>
              <w:t>dilgėlinė</w:t>
            </w:r>
            <w:r w:rsidRPr="00CD7E52">
              <w:rPr>
                <w:szCs w:val="22"/>
              </w:rPr>
              <w:t>.</w:t>
            </w:r>
          </w:p>
        </w:tc>
      </w:tr>
      <w:tr w:rsidR="00DE6D1B" w:rsidRPr="00CD7E52" w14:paraId="68F0535D" w14:textId="77777777" w:rsidTr="006D24A9">
        <w:tc>
          <w:tcPr>
            <w:tcW w:w="1667" w:type="pct"/>
            <w:vMerge/>
          </w:tcPr>
          <w:p w14:paraId="4E5EF4F9" w14:textId="77777777" w:rsidR="001334BB" w:rsidRPr="00CD7E52" w:rsidRDefault="001334BB" w:rsidP="00633570">
            <w:pPr>
              <w:tabs>
                <w:tab w:val="clear" w:pos="567"/>
              </w:tabs>
              <w:spacing w:line="240" w:lineRule="auto"/>
              <w:rPr>
                <w:rFonts w:eastAsia="Calibri"/>
                <w:szCs w:val="22"/>
                <w:lang w:val="lt-LT"/>
              </w:rPr>
            </w:pPr>
          </w:p>
        </w:tc>
        <w:tc>
          <w:tcPr>
            <w:tcW w:w="990" w:type="pct"/>
          </w:tcPr>
          <w:p w14:paraId="2BE8DE2F" w14:textId="77777777" w:rsidR="001334BB" w:rsidRPr="00CD7E52" w:rsidRDefault="00326C90" w:rsidP="006D24A9">
            <w:pPr>
              <w:tabs>
                <w:tab w:val="clear" w:pos="567"/>
              </w:tabs>
              <w:spacing w:line="240" w:lineRule="auto"/>
              <w:rPr>
                <w:rFonts w:eastAsia="Calibri"/>
                <w:szCs w:val="22"/>
              </w:rPr>
            </w:pPr>
            <w:r w:rsidRPr="00CD7E52">
              <w:rPr>
                <w:rFonts w:eastAsia="Calibri"/>
                <w:snapToGrid/>
                <w:szCs w:val="22"/>
                <w:lang w:val="lt-LT"/>
              </w:rPr>
              <w:t>Nežinomas</w:t>
            </w:r>
          </w:p>
        </w:tc>
        <w:tc>
          <w:tcPr>
            <w:tcW w:w="2343" w:type="pct"/>
            <w:vAlign w:val="center"/>
          </w:tcPr>
          <w:p w14:paraId="1FA06FDE" w14:textId="77777777" w:rsidR="001334BB" w:rsidRPr="00CD7E52" w:rsidRDefault="00326C90" w:rsidP="00BD0220">
            <w:pPr>
              <w:tabs>
                <w:tab w:val="clear" w:pos="567"/>
              </w:tabs>
              <w:spacing w:line="240" w:lineRule="auto"/>
              <w:rPr>
                <w:rFonts w:eastAsia="Calibri"/>
                <w:szCs w:val="22"/>
              </w:rPr>
            </w:pPr>
            <w:r w:rsidRPr="00CD7E52">
              <w:rPr>
                <w:rFonts w:eastAsia="Calibri"/>
                <w:szCs w:val="22"/>
                <w:lang w:val="lt-LT"/>
              </w:rPr>
              <w:t>Angioneurozinė edema</w:t>
            </w:r>
            <w:r w:rsidR="002C26E5" w:rsidRPr="00CD7E52">
              <w:rPr>
                <w:rFonts w:eastAsia="Calibri"/>
                <w:szCs w:val="22"/>
                <w:lang w:val="lt-LT"/>
              </w:rPr>
              <w:t>.</w:t>
            </w:r>
          </w:p>
        </w:tc>
      </w:tr>
      <w:tr w:rsidR="00DE6D1B" w:rsidRPr="00CD7E52" w14:paraId="47D80E6A" w14:textId="77777777" w:rsidTr="006D24A9">
        <w:tc>
          <w:tcPr>
            <w:tcW w:w="1667" w:type="pct"/>
          </w:tcPr>
          <w:p w14:paraId="66BB0E12" w14:textId="77777777" w:rsidR="001334BB" w:rsidRPr="00716E07" w:rsidRDefault="00E074AF" w:rsidP="00633570">
            <w:pPr>
              <w:tabs>
                <w:tab w:val="clear" w:pos="567"/>
              </w:tabs>
              <w:spacing w:line="240" w:lineRule="auto"/>
              <w:rPr>
                <w:rFonts w:eastAsia="Calibri"/>
                <w:lang w:val="pt-PT"/>
              </w:rPr>
            </w:pPr>
            <w:r w:rsidRPr="00CD7E52">
              <w:rPr>
                <w:rFonts w:eastAsia="Calibri"/>
                <w:szCs w:val="22"/>
                <w:lang w:val="lt-LT"/>
              </w:rPr>
              <w:t>Skeleto, raumenų ir jungiamojo audinio sutrikimai</w:t>
            </w:r>
          </w:p>
        </w:tc>
        <w:tc>
          <w:tcPr>
            <w:tcW w:w="990" w:type="pct"/>
          </w:tcPr>
          <w:p w14:paraId="3117A8F9" w14:textId="77777777" w:rsidR="001334BB" w:rsidRPr="00CD7E52" w:rsidRDefault="00244785" w:rsidP="006D24A9">
            <w:pPr>
              <w:tabs>
                <w:tab w:val="clear" w:pos="567"/>
              </w:tabs>
              <w:spacing w:line="240" w:lineRule="auto"/>
              <w:rPr>
                <w:rFonts w:eastAsia="Calibri"/>
                <w:szCs w:val="22"/>
              </w:rPr>
            </w:pPr>
            <w:r w:rsidRPr="00CD7E52">
              <w:rPr>
                <w:rFonts w:eastAsia="Calibri"/>
                <w:szCs w:val="22"/>
                <w:lang w:val="lt-LT"/>
              </w:rPr>
              <w:t>Dažnas</w:t>
            </w:r>
          </w:p>
        </w:tc>
        <w:tc>
          <w:tcPr>
            <w:tcW w:w="2343" w:type="pct"/>
            <w:vAlign w:val="center"/>
          </w:tcPr>
          <w:p w14:paraId="73BA2987" w14:textId="77777777" w:rsidR="001334BB" w:rsidRPr="00CD7E52" w:rsidRDefault="00E074AF" w:rsidP="00BD0220">
            <w:pPr>
              <w:tabs>
                <w:tab w:val="clear" w:pos="567"/>
              </w:tabs>
              <w:spacing w:line="240" w:lineRule="auto"/>
              <w:rPr>
                <w:rFonts w:eastAsia="Calibri"/>
                <w:szCs w:val="22"/>
              </w:rPr>
            </w:pPr>
            <w:r w:rsidRPr="00CD7E52">
              <w:rPr>
                <w:rFonts w:eastAsia="Calibri"/>
                <w:szCs w:val="22"/>
                <w:lang w:val="lt-LT"/>
              </w:rPr>
              <w:t>Nugaros skausmas</w:t>
            </w:r>
            <w:r w:rsidR="001334BB" w:rsidRPr="00CD7E52">
              <w:rPr>
                <w:rFonts w:eastAsia="Calibri"/>
                <w:szCs w:val="22"/>
                <w:lang w:val="lt-LT"/>
              </w:rPr>
              <w:t>*</w:t>
            </w:r>
            <w:r w:rsidR="002C26E5" w:rsidRPr="00CD7E52">
              <w:rPr>
                <w:rFonts w:eastAsia="Calibri"/>
                <w:szCs w:val="22"/>
                <w:lang w:val="lt-LT"/>
              </w:rPr>
              <w:t>.</w:t>
            </w:r>
          </w:p>
        </w:tc>
      </w:tr>
      <w:tr w:rsidR="00DE6D1B" w:rsidRPr="00CD7E52" w14:paraId="25E41184" w14:textId="77777777" w:rsidTr="006D24A9">
        <w:tc>
          <w:tcPr>
            <w:tcW w:w="1667" w:type="pct"/>
          </w:tcPr>
          <w:p w14:paraId="46ADC16A" w14:textId="77777777" w:rsidR="001334BB" w:rsidRPr="00716E07" w:rsidRDefault="00E074AF" w:rsidP="00633570">
            <w:pPr>
              <w:tabs>
                <w:tab w:val="clear" w:pos="567"/>
              </w:tabs>
              <w:spacing w:line="240" w:lineRule="auto"/>
              <w:rPr>
                <w:rFonts w:eastAsia="Calibri"/>
                <w:lang w:val="pt-PT"/>
              </w:rPr>
            </w:pPr>
            <w:r w:rsidRPr="00CD7E52">
              <w:rPr>
                <w:rFonts w:eastAsia="Calibri"/>
                <w:szCs w:val="22"/>
                <w:lang w:val="lt-LT"/>
              </w:rPr>
              <w:lastRenderedPageBreak/>
              <w:t>Bendrieji sutrikimai ir vartojimo vietos pažeidimai</w:t>
            </w:r>
          </w:p>
        </w:tc>
        <w:tc>
          <w:tcPr>
            <w:tcW w:w="990" w:type="pct"/>
          </w:tcPr>
          <w:p w14:paraId="12E1CF3C" w14:textId="77777777" w:rsidR="001334BB" w:rsidRPr="00CD7E52" w:rsidRDefault="00244785" w:rsidP="006D24A9">
            <w:pPr>
              <w:tabs>
                <w:tab w:val="clear" w:pos="567"/>
              </w:tabs>
              <w:spacing w:line="240" w:lineRule="auto"/>
              <w:rPr>
                <w:rFonts w:eastAsia="Calibri"/>
                <w:szCs w:val="22"/>
              </w:rPr>
            </w:pPr>
            <w:r w:rsidRPr="00CD7E52">
              <w:rPr>
                <w:rFonts w:eastAsia="Calibri"/>
                <w:szCs w:val="22"/>
                <w:lang w:val="lt-LT"/>
              </w:rPr>
              <w:t>Dažnas</w:t>
            </w:r>
          </w:p>
        </w:tc>
        <w:tc>
          <w:tcPr>
            <w:tcW w:w="2343" w:type="pct"/>
            <w:vAlign w:val="center"/>
          </w:tcPr>
          <w:p w14:paraId="7BD7EE76" w14:textId="77777777" w:rsidR="001334BB" w:rsidRPr="00CD7E52" w:rsidRDefault="00326C90" w:rsidP="00BD0220">
            <w:pPr>
              <w:tabs>
                <w:tab w:val="clear" w:pos="567"/>
              </w:tabs>
              <w:spacing w:line="240" w:lineRule="auto"/>
              <w:rPr>
                <w:rFonts w:eastAsia="Calibri"/>
                <w:szCs w:val="22"/>
              </w:rPr>
            </w:pPr>
            <w:r w:rsidRPr="00CD7E52">
              <w:rPr>
                <w:rFonts w:eastAsia="Calibri"/>
                <w:szCs w:val="22"/>
                <w:lang w:val="lt-LT"/>
              </w:rPr>
              <w:t>Nuovargis</w:t>
            </w:r>
            <w:r w:rsidR="002C26E5" w:rsidRPr="00CD7E52">
              <w:rPr>
                <w:rFonts w:eastAsia="Calibri"/>
                <w:szCs w:val="22"/>
                <w:lang w:val="lt-LT"/>
              </w:rPr>
              <w:t>.</w:t>
            </w:r>
          </w:p>
        </w:tc>
      </w:tr>
      <w:tr w:rsidR="001334BB" w:rsidRPr="00CD7E52" w14:paraId="7A5DDD7D" w14:textId="77777777" w:rsidTr="006D24A9">
        <w:tc>
          <w:tcPr>
            <w:tcW w:w="1667" w:type="pct"/>
          </w:tcPr>
          <w:p w14:paraId="3980B71E" w14:textId="77777777" w:rsidR="001334BB" w:rsidRPr="00CD7E52" w:rsidRDefault="00E074AF" w:rsidP="00633570">
            <w:pPr>
              <w:tabs>
                <w:tab w:val="clear" w:pos="567"/>
              </w:tabs>
              <w:spacing w:line="240" w:lineRule="auto"/>
              <w:rPr>
                <w:rFonts w:eastAsia="Calibri"/>
                <w:szCs w:val="22"/>
              </w:rPr>
            </w:pPr>
            <w:r w:rsidRPr="00CD7E52">
              <w:rPr>
                <w:rFonts w:eastAsia="Calibri"/>
                <w:szCs w:val="22"/>
                <w:lang w:val="lt-LT"/>
              </w:rPr>
              <w:t>Tyrimai</w:t>
            </w:r>
          </w:p>
        </w:tc>
        <w:tc>
          <w:tcPr>
            <w:tcW w:w="990" w:type="pct"/>
          </w:tcPr>
          <w:p w14:paraId="19FDBC4A" w14:textId="77777777" w:rsidR="001334BB" w:rsidRPr="00CD7E52" w:rsidRDefault="00244785" w:rsidP="006D24A9">
            <w:pPr>
              <w:tabs>
                <w:tab w:val="clear" w:pos="567"/>
              </w:tabs>
              <w:spacing w:line="240" w:lineRule="auto"/>
              <w:rPr>
                <w:rFonts w:eastAsia="Calibri"/>
                <w:szCs w:val="22"/>
              </w:rPr>
            </w:pPr>
            <w:r w:rsidRPr="00CD7E52">
              <w:rPr>
                <w:rFonts w:eastAsia="Calibri"/>
                <w:szCs w:val="22"/>
                <w:lang w:val="lt-LT"/>
              </w:rPr>
              <w:t>Nedažnas</w:t>
            </w:r>
          </w:p>
        </w:tc>
        <w:tc>
          <w:tcPr>
            <w:tcW w:w="2343" w:type="pct"/>
            <w:vAlign w:val="center"/>
          </w:tcPr>
          <w:p w14:paraId="362D13D0" w14:textId="77777777" w:rsidR="001334BB" w:rsidRPr="00CD7E52" w:rsidRDefault="00326C90" w:rsidP="00BD0220">
            <w:pPr>
              <w:tabs>
                <w:tab w:val="clear" w:pos="567"/>
              </w:tabs>
              <w:spacing w:line="240" w:lineRule="auto"/>
              <w:rPr>
                <w:rFonts w:eastAsia="Calibri"/>
                <w:szCs w:val="22"/>
              </w:rPr>
            </w:pPr>
            <w:r w:rsidRPr="00CD7E52">
              <w:rPr>
                <w:rFonts w:eastAsia="Calibri"/>
                <w:snapToGrid/>
                <w:szCs w:val="22"/>
                <w:lang w:val="lt-LT"/>
              </w:rPr>
              <w:t>Kūno svorio</w:t>
            </w:r>
            <w:r w:rsidRPr="00CD7E52">
              <w:rPr>
                <w:rFonts w:eastAsia="Calibri"/>
                <w:szCs w:val="22"/>
                <w:lang w:val="lt-LT"/>
              </w:rPr>
              <w:t xml:space="preserve"> sumažėjimas</w:t>
            </w:r>
            <w:r w:rsidR="002C26E5" w:rsidRPr="00CD7E52">
              <w:rPr>
                <w:rFonts w:eastAsia="Calibri"/>
                <w:szCs w:val="22"/>
                <w:lang w:val="lt-LT"/>
              </w:rPr>
              <w:t>.</w:t>
            </w:r>
          </w:p>
        </w:tc>
      </w:tr>
    </w:tbl>
    <w:p w14:paraId="7E06F6D2" w14:textId="77777777" w:rsidR="00075EA2" w:rsidRPr="000F4C4B" w:rsidRDefault="00075EA2" w:rsidP="00BD0220">
      <w:pPr>
        <w:widowControl w:val="0"/>
        <w:tabs>
          <w:tab w:val="clear" w:pos="567"/>
        </w:tabs>
        <w:autoSpaceDE w:val="0"/>
        <w:autoSpaceDN w:val="0"/>
        <w:adjustRightInd w:val="0"/>
        <w:spacing w:line="240" w:lineRule="auto"/>
        <w:rPr>
          <w:rFonts w:eastAsia="TimesNewRoman"/>
          <w:szCs w:val="22"/>
          <w:lang w:val="lt-LT"/>
        </w:rPr>
      </w:pPr>
      <w:r w:rsidRPr="000F4C4B">
        <w:rPr>
          <w:rFonts w:eastAsia="TimesNewRoman"/>
          <w:szCs w:val="22"/>
          <w:lang w:val="lt-LT"/>
        </w:rPr>
        <w:t xml:space="preserve">* Mažiausiai viena iš šių nepageidaujamų reakcijų buvo </w:t>
      </w:r>
      <w:r w:rsidRPr="000F4C4B">
        <w:rPr>
          <w:rFonts w:eastAsia="TimesNewRoman"/>
          <w:snapToGrid/>
          <w:szCs w:val="22"/>
          <w:lang w:val="lt-LT"/>
        </w:rPr>
        <w:t>pranešta</w:t>
      </w:r>
      <w:r w:rsidRPr="000F4C4B">
        <w:rPr>
          <w:rFonts w:eastAsia="TimesNewRoman"/>
          <w:szCs w:val="22"/>
          <w:lang w:val="lt-LT"/>
        </w:rPr>
        <w:t xml:space="preserve"> kaip sunki</w:t>
      </w:r>
      <w:r w:rsidR="00AB3728" w:rsidRPr="000F4C4B">
        <w:rPr>
          <w:rFonts w:eastAsia="TimesNewRoman"/>
          <w:szCs w:val="22"/>
          <w:lang w:val="lt-LT"/>
        </w:rPr>
        <w:t>.</w:t>
      </w:r>
    </w:p>
    <w:p w14:paraId="6C37E493" w14:textId="77777777" w:rsidR="00EA0354" w:rsidRPr="00CD7E52" w:rsidRDefault="00075EA2" w:rsidP="00BD0220">
      <w:pPr>
        <w:widowControl w:val="0"/>
        <w:tabs>
          <w:tab w:val="clear" w:pos="567"/>
        </w:tabs>
        <w:autoSpaceDE w:val="0"/>
        <w:autoSpaceDN w:val="0"/>
        <w:adjustRightInd w:val="0"/>
        <w:spacing w:line="240" w:lineRule="auto"/>
        <w:rPr>
          <w:rFonts w:eastAsia="TimesNewRoman"/>
          <w:szCs w:val="22"/>
          <w:lang w:val="lt-LT"/>
        </w:rPr>
      </w:pPr>
      <w:r w:rsidRPr="000F4C4B">
        <w:rPr>
          <w:rFonts w:eastAsia="TimesNewRoman"/>
          <w:szCs w:val="22"/>
          <w:vertAlign w:val="superscript"/>
          <w:lang w:val="lt-LT"/>
        </w:rPr>
        <w:t>a</w:t>
      </w:r>
      <w:r w:rsidRPr="000F4C4B">
        <w:rPr>
          <w:rFonts w:eastAsia="TimesNewRoman"/>
          <w:szCs w:val="22"/>
          <w:lang w:val="lt-LT"/>
        </w:rPr>
        <w:t xml:space="preserve"> Dažnis nurodytas kaip dažnas </w:t>
      </w:r>
      <w:r w:rsidRPr="000F4C4B">
        <w:rPr>
          <w:rFonts w:eastAsia="TimesNewRoman"/>
          <w:snapToGrid/>
          <w:szCs w:val="22"/>
          <w:lang w:val="lt-LT"/>
        </w:rPr>
        <w:t>gydant P</w:t>
      </w:r>
      <w:r w:rsidR="00D47188" w:rsidRPr="000F4C4B">
        <w:rPr>
          <w:rFonts w:eastAsia="TimesNewRoman"/>
          <w:snapToGrid/>
          <w:szCs w:val="22"/>
          <w:lang w:val="lt-LT"/>
        </w:rPr>
        <w:t>s</w:t>
      </w:r>
      <w:r w:rsidRPr="000F4C4B">
        <w:rPr>
          <w:rFonts w:eastAsia="TimesNewRoman"/>
          <w:snapToGrid/>
          <w:szCs w:val="22"/>
          <w:lang w:val="lt-LT"/>
        </w:rPr>
        <w:t>A</w:t>
      </w:r>
      <w:r w:rsidRPr="000F4C4B">
        <w:rPr>
          <w:rFonts w:eastAsia="TimesNewRoman"/>
          <w:szCs w:val="22"/>
          <w:lang w:val="lt-LT"/>
        </w:rPr>
        <w:t xml:space="preserve"> ir PSOR</w:t>
      </w:r>
      <w:r w:rsidR="006F0441" w:rsidRPr="000F4C4B">
        <w:rPr>
          <w:rFonts w:eastAsia="TimesNewRoman"/>
          <w:szCs w:val="22"/>
          <w:lang w:val="lt-LT"/>
        </w:rPr>
        <w:t>.</w:t>
      </w:r>
    </w:p>
    <w:p w14:paraId="3748D935" w14:textId="77777777" w:rsidR="00075EA2" w:rsidRPr="00CD7E52" w:rsidRDefault="00075EA2" w:rsidP="00BD0220">
      <w:pPr>
        <w:widowControl w:val="0"/>
        <w:tabs>
          <w:tab w:val="clear" w:pos="567"/>
        </w:tabs>
        <w:autoSpaceDE w:val="0"/>
        <w:autoSpaceDN w:val="0"/>
        <w:adjustRightInd w:val="0"/>
        <w:spacing w:line="240" w:lineRule="auto"/>
        <w:rPr>
          <w:rFonts w:eastAsia="TimesNewRoman"/>
          <w:szCs w:val="22"/>
          <w:lang w:val="lt-LT"/>
        </w:rPr>
      </w:pPr>
    </w:p>
    <w:p w14:paraId="00C19F33" w14:textId="77777777" w:rsidR="00776FBE" w:rsidRPr="00CD7E52" w:rsidRDefault="00776FBE" w:rsidP="00BD0220">
      <w:pPr>
        <w:widowControl w:val="0"/>
        <w:tabs>
          <w:tab w:val="clear" w:pos="567"/>
        </w:tabs>
        <w:autoSpaceDE w:val="0"/>
        <w:autoSpaceDN w:val="0"/>
        <w:adjustRightInd w:val="0"/>
        <w:spacing w:line="240" w:lineRule="auto"/>
        <w:rPr>
          <w:szCs w:val="22"/>
          <w:lang w:val="lt-LT"/>
        </w:rPr>
      </w:pPr>
      <w:r w:rsidRPr="00CD7E52">
        <w:rPr>
          <w:szCs w:val="22"/>
          <w:u w:val="single"/>
          <w:lang w:val="lt-LT"/>
        </w:rPr>
        <w:t>Atrinktų nepageidaujamų reakcijų apibūdinimas</w:t>
      </w:r>
    </w:p>
    <w:p w14:paraId="1F050BF2" w14:textId="77777777" w:rsidR="00075EA2" w:rsidRPr="00CD7E52" w:rsidRDefault="00075EA2" w:rsidP="00BD0220">
      <w:pPr>
        <w:widowControl w:val="0"/>
        <w:tabs>
          <w:tab w:val="clear" w:pos="567"/>
        </w:tabs>
        <w:autoSpaceDE w:val="0"/>
        <w:autoSpaceDN w:val="0"/>
        <w:adjustRightInd w:val="0"/>
        <w:spacing w:line="240" w:lineRule="auto"/>
        <w:rPr>
          <w:szCs w:val="22"/>
          <w:lang w:val="lt-LT"/>
        </w:rPr>
      </w:pPr>
    </w:p>
    <w:p w14:paraId="1FA80108" w14:textId="77777777" w:rsidR="00075EA2" w:rsidRPr="00CD7E52" w:rsidRDefault="00075EA2" w:rsidP="00BD0220">
      <w:pPr>
        <w:widowControl w:val="0"/>
        <w:tabs>
          <w:tab w:val="clear" w:pos="567"/>
        </w:tabs>
        <w:autoSpaceDE w:val="0"/>
        <w:autoSpaceDN w:val="0"/>
        <w:adjustRightInd w:val="0"/>
        <w:spacing w:line="240" w:lineRule="auto"/>
        <w:rPr>
          <w:szCs w:val="22"/>
          <w:u w:val="single"/>
          <w:lang w:val="lt-LT"/>
        </w:rPr>
      </w:pPr>
      <w:r w:rsidRPr="00CD7E52">
        <w:rPr>
          <w:i/>
          <w:szCs w:val="22"/>
          <w:u w:val="single"/>
          <w:lang w:val="lt-LT"/>
        </w:rPr>
        <w:t>Psichikos sutrikimai</w:t>
      </w:r>
    </w:p>
    <w:p w14:paraId="0B3C6524" w14:textId="77777777" w:rsidR="00075EA2" w:rsidRPr="00CD7E52" w:rsidRDefault="00075EA2" w:rsidP="00BD0220">
      <w:pPr>
        <w:widowControl w:val="0"/>
        <w:tabs>
          <w:tab w:val="clear" w:pos="567"/>
        </w:tabs>
        <w:autoSpaceDE w:val="0"/>
        <w:autoSpaceDN w:val="0"/>
        <w:adjustRightInd w:val="0"/>
        <w:spacing w:line="240" w:lineRule="auto"/>
        <w:rPr>
          <w:szCs w:val="22"/>
          <w:lang w:val="lt-LT"/>
        </w:rPr>
      </w:pPr>
      <w:r w:rsidRPr="00CD7E52">
        <w:rPr>
          <w:snapToGrid/>
          <w:szCs w:val="22"/>
          <w:lang w:val="lt-LT"/>
        </w:rPr>
        <w:t>Klinikinių tyrimų metu</w:t>
      </w:r>
      <w:r w:rsidRPr="00CD7E52">
        <w:rPr>
          <w:szCs w:val="22"/>
          <w:lang w:val="lt-LT"/>
        </w:rPr>
        <w:t xml:space="preserve"> ir po vaistinio preparato pateikimo į rinką gauta pranešimų apie nedažnus minčių apie savižudybę ir </w:t>
      </w:r>
      <w:r w:rsidRPr="00CD7E52">
        <w:rPr>
          <w:snapToGrid/>
          <w:szCs w:val="22"/>
          <w:lang w:val="lt-LT"/>
        </w:rPr>
        <w:t>su savižudybe susijusio elgesio</w:t>
      </w:r>
      <w:r w:rsidRPr="00CD7E52">
        <w:rPr>
          <w:szCs w:val="22"/>
          <w:lang w:val="lt-LT"/>
        </w:rPr>
        <w:t xml:space="preserve"> atvejus, o po vaistinio preparato pateikimo į rinką gautas pranešimas apie įvykdytą savižudybę. Pacientams ir juos prižiūrintiems asmenims turi būti paaiškinta, kad jie turi informuoti vaistinį preparatą </w:t>
      </w:r>
      <w:r w:rsidRPr="00CD7E52">
        <w:rPr>
          <w:snapToGrid/>
          <w:szCs w:val="22"/>
          <w:lang w:val="lt-LT"/>
        </w:rPr>
        <w:t>skyrusį</w:t>
      </w:r>
      <w:r w:rsidRPr="00CD7E52">
        <w:rPr>
          <w:szCs w:val="22"/>
          <w:lang w:val="lt-LT"/>
        </w:rPr>
        <w:t xml:space="preserve"> gydytoją apie bet kokias mintis apie savižudybę (žr. 4.4 skyrių).</w:t>
      </w:r>
    </w:p>
    <w:p w14:paraId="2700CE04" w14:textId="77777777" w:rsidR="00075EA2" w:rsidRPr="00CD7E52" w:rsidRDefault="00075EA2" w:rsidP="00BD0220">
      <w:pPr>
        <w:widowControl w:val="0"/>
        <w:tabs>
          <w:tab w:val="clear" w:pos="567"/>
        </w:tabs>
        <w:autoSpaceDE w:val="0"/>
        <w:autoSpaceDN w:val="0"/>
        <w:adjustRightInd w:val="0"/>
        <w:spacing w:line="240" w:lineRule="auto"/>
        <w:rPr>
          <w:szCs w:val="22"/>
          <w:lang w:val="lt-LT"/>
        </w:rPr>
      </w:pPr>
    </w:p>
    <w:p w14:paraId="64EC2690" w14:textId="77777777" w:rsidR="00075EA2" w:rsidRPr="00CD7E52" w:rsidRDefault="00075EA2" w:rsidP="00BD0220">
      <w:pPr>
        <w:widowControl w:val="0"/>
        <w:tabs>
          <w:tab w:val="clear" w:pos="567"/>
        </w:tabs>
        <w:autoSpaceDE w:val="0"/>
        <w:autoSpaceDN w:val="0"/>
        <w:adjustRightInd w:val="0"/>
        <w:spacing w:line="240" w:lineRule="auto"/>
        <w:rPr>
          <w:szCs w:val="22"/>
          <w:u w:val="single"/>
          <w:lang w:val="lt-LT"/>
        </w:rPr>
      </w:pPr>
      <w:r w:rsidRPr="00CD7E52">
        <w:rPr>
          <w:i/>
          <w:szCs w:val="22"/>
          <w:u w:val="single"/>
          <w:lang w:val="lt-LT"/>
        </w:rPr>
        <w:t xml:space="preserve">Kūno svorio </w:t>
      </w:r>
      <w:r w:rsidR="000A736A" w:rsidRPr="00CD7E52">
        <w:rPr>
          <w:i/>
          <w:szCs w:val="22"/>
          <w:u w:val="single"/>
          <w:lang w:val="lt-LT"/>
        </w:rPr>
        <w:t>su</w:t>
      </w:r>
      <w:r w:rsidRPr="00CD7E52">
        <w:rPr>
          <w:i/>
          <w:szCs w:val="22"/>
          <w:u w:val="single"/>
          <w:lang w:val="lt-LT"/>
        </w:rPr>
        <w:t>mažėjimas</w:t>
      </w:r>
    </w:p>
    <w:p w14:paraId="52903FDC" w14:textId="77777777" w:rsidR="00075EA2" w:rsidRPr="00CD7E52" w:rsidRDefault="00075EA2"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Klinikinių tyrimų metu buvo reguliariai </w:t>
      </w:r>
      <w:r w:rsidR="009644CE" w:rsidRPr="00CD7E52">
        <w:rPr>
          <w:snapToGrid/>
          <w:szCs w:val="22"/>
          <w:lang w:val="lt-LT"/>
        </w:rPr>
        <w:t>tikrinamas</w:t>
      </w:r>
      <w:r w:rsidRPr="00CD7E52">
        <w:rPr>
          <w:szCs w:val="22"/>
          <w:lang w:val="lt-LT"/>
        </w:rPr>
        <w:t xml:space="preserve"> pacientų </w:t>
      </w:r>
      <w:r w:rsidR="009644CE" w:rsidRPr="00CD7E52">
        <w:rPr>
          <w:snapToGrid/>
          <w:szCs w:val="22"/>
          <w:lang w:val="lt-LT"/>
        </w:rPr>
        <w:t xml:space="preserve">kūno </w:t>
      </w:r>
      <w:r w:rsidRPr="00CD7E52">
        <w:rPr>
          <w:szCs w:val="22"/>
          <w:lang w:val="lt-LT"/>
        </w:rPr>
        <w:t>svoris. Vidutinis nustatytas</w:t>
      </w:r>
      <w:r w:rsidRPr="00CD7E52">
        <w:rPr>
          <w:snapToGrid/>
          <w:szCs w:val="22"/>
          <w:lang w:val="lt-LT"/>
        </w:rPr>
        <w:t xml:space="preserve"> </w:t>
      </w:r>
      <w:r w:rsidR="009644CE" w:rsidRPr="00CD7E52">
        <w:rPr>
          <w:snapToGrid/>
          <w:szCs w:val="22"/>
          <w:lang w:val="lt-LT"/>
        </w:rPr>
        <w:t>kūno</w:t>
      </w:r>
      <w:r w:rsidR="009644CE" w:rsidRPr="00CD7E52">
        <w:rPr>
          <w:szCs w:val="22"/>
          <w:lang w:val="lt-LT"/>
        </w:rPr>
        <w:t xml:space="preserve"> </w:t>
      </w:r>
      <w:r w:rsidRPr="00CD7E52">
        <w:rPr>
          <w:szCs w:val="22"/>
          <w:lang w:val="lt-LT"/>
        </w:rPr>
        <w:t>svorio sumažėjimas</w:t>
      </w:r>
      <w:r w:rsidR="009644CE" w:rsidRPr="00CD7E52">
        <w:rPr>
          <w:szCs w:val="22"/>
          <w:lang w:val="lt-LT"/>
        </w:rPr>
        <w:t xml:space="preserve"> </w:t>
      </w:r>
      <w:r w:rsidRPr="00CD7E52">
        <w:rPr>
          <w:szCs w:val="22"/>
          <w:lang w:val="lt-LT"/>
        </w:rPr>
        <w:t xml:space="preserve">PsA ir PSOR sergantiems </w:t>
      </w:r>
      <w:r w:rsidR="007B6DBA" w:rsidRPr="007B6DBA">
        <w:rPr>
          <w:szCs w:val="22"/>
          <w:lang w:val="lt-LT"/>
        </w:rPr>
        <w:t xml:space="preserve">suaugusiems </w:t>
      </w:r>
      <w:r w:rsidRPr="00CD7E52">
        <w:rPr>
          <w:szCs w:val="22"/>
          <w:lang w:val="lt-LT"/>
        </w:rPr>
        <w:t>pacientams, gydytiems apremilastu ne ilgiau kaip 52</w:t>
      </w:r>
      <w:r w:rsidR="00C65C08" w:rsidRPr="00CD7E52">
        <w:rPr>
          <w:szCs w:val="22"/>
          <w:lang w:val="lt-LT"/>
        </w:rPr>
        <w:t> savai</w:t>
      </w:r>
      <w:r w:rsidRPr="00CD7E52">
        <w:rPr>
          <w:szCs w:val="22"/>
          <w:lang w:val="lt-LT"/>
        </w:rPr>
        <w:t>tes, buvo 1,99</w:t>
      </w:r>
      <w:r w:rsidR="009644CE" w:rsidRPr="00CD7E52">
        <w:rPr>
          <w:szCs w:val="22"/>
          <w:lang w:val="lt-LT"/>
        </w:rPr>
        <w:t> </w:t>
      </w:r>
      <w:r w:rsidRPr="00CD7E52">
        <w:rPr>
          <w:szCs w:val="22"/>
          <w:lang w:val="lt-LT"/>
        </w:rPr>
        <w:t>kg. Iš</w:t>
      </w:r>
      <w:r w:rsidR="009644CE" w:rsidRPr="00CD7E52">
        <w:rPr>
          <w:szCs w:val="22"/>
          <w:lang w:val="lt-LT"/>
        </w:rPr>
        <w:t xml:space="preserve"> </w:t>
      </w:r>
      <w:r w:rsidRPr="00CD7E52">
        <w:rPr>
          <w:szCs w:val="22"/>
          <w:lang w:val="lt-LT"/>
        </w:rPr>
        <w:t>viso 14,3</w:t>
      </w:r>
      <w:r w:rsidR="009F17E0" w:rsidRPr="00CD7E52">
        <w:rPr>
          <w:szCs w:val="22"/>
          <w:lang w:val="lt-LT"/>
        </w:rPr>
        <w:t> %</w:t>
      </w:r>
      <w:r w:rsidRPr="00CD7E52">
        <w:rPr>
          <w:szCs w:val="22"/>
          <w:lang w:val="lt-LT"/>
        </w:rPr>
        <w:t xml:space="preserve"> apremilastu gydytų pacientų </w:t>
      </w:r>
      <w:r w:rsidR="009644CE" w:rsidRPr="00CD7E52">
        <w:rPr>
          <w:snapToGrid/>
          <w:szCs w:val="22"/>
          <w:lang w:val="lt-LT"/>
        </w:rPr>
        <w:t xml:space="preserve">kūno </w:t>
      </w:r>
      <w:r w:rsidRPr="00CD7E52">
        <w:rPr>
          <w:szCs w:val="22"/>
          <w:lang w:val="lt-LT"/>
        </w:rPr>
        <w:t>svoris sumažėjo 5</w:t>
      </w:r>
      <w:r w:rsidR="005134A6" w:rsidRPr="00CD7E52">
        <w:rPr>
          <w:szCs w:val="22"/>
          <w:lang w:val="lt-LT"/>
        </w:rPr>
        <w:t>–</w:t>
      </w:r>
      <w:r w:rsidRPr="00CD7E52">
        <w:rPr>
          <w:szCs w:val="22"/>
          <w:lang w:val="lt-LT"/>
        </w:rPr>
        <w:t>10</w:t>
      </w:r>
      <w:r w:rsidR="009F17E0" w:rsidRPr="00CD7E52">
        <w:rPr>
          <w:szCs w:val="22"/>
          <w:lang w:val="lt-LT"/>
        </w:rPr>
        <w:t> %</w:t>
      </w:r>
      <w:r w:rsidRPr="00CD7E52">
        <w:rPr>
          <w:szCs w:val="22"/>
          <w:lang w:val="lt-LT"/>
        </w:rPr>
        <w:t xml:space="preserve">, </w:t>
      </w:r>
      <w:r w:rsidR="009644CE" w:rsidRPr="00CD7E52">
        <w:rPr>
          <w:snapToGrid/>
          <w:szCs w:val="22"/>
          <w:lang w:val="lt-LT"/>
        </w:rPr>
        <w:t xml:space="preserve">o </w:t>
      </w:r>
      <w:r w:rsidRPr="00CD7E52">
        <w:rPr>
          <w:szCs w:val="22"/>
          <w:lang w:val="lt-LT"/>
        </w:rPr>
        <w:t>5,7</w:t>
      </w:r>
      <w:r w:rsidR="009F17E0" w:rsidRPr="00CD7E52">
        <w:rPr>
          <w:szCs w:val="22"/>
          <w:lang w:val="lt-LT"/>
        </w:rPr>
        <w:t> %</w:t>
      </w:r>
      <w:r w:rsidRPr="00CD7E52">
        <w:rPr>
          <w:szCs w:val="22"/>
          <w:lang w:val="lt-LT"/>
        </w:rPr>
        <w:t xml:space="preserve"> apremilastu gydytų pacientų </w:t>
      </w:r>
      <w:r w:rsidR="009644CE" w:rsidRPr="00CD7E52">
        <w:rPr>
          <w:snapToGrid/>
          <w:szCs w:val="22"/>
          <w:lang w:val="lt-LT"/>
        </w:rPr>
        <w:t xml:space="preserve">kūno </w:t>
      </w:r>
      <w:r w:rsidRPr="00CD7E52">
        <w:rPr>
          <w:szCs w:val="22"/>
          <w:lang w:val="lt-LT"/>
        </w:rPr>
        <w:t>svoris</w:t>
      </w:r>
      <w:r w:rsidR="009644CE" w:rsidRPr="00CD7E52">
        <w:rPr>
          <w:szCs w:val="22"/>
          <w:lang w:val="lt-LT"/>
        </w:rPr>
        <w:t xml:space="preserve"> </w:t>
      </w:r>
      <w:r w:rsidRPr="00CD7E52">
        <w:rPr>
          <w:szCs w:val="22"/>
          <w:lang w:val="lt-LT"/>
        </w:rPr>
        <w:t>sumažėjo daugiau nei 10</w:t>
      </w:r>
      <w:r w:rsidR="009F17E0" w:rsidRPr="00CD7E52">
        <w:rPr>
          <w:szCs w:val="22"/>
          <w:lang w:val="lt-LT"/>
        </w:rPr>
        <w:t> %</w:t>
      </w:r>
      <w:r w:rsidRPr="00CD7E52">
        <w:rPr>
          <w:szCs w:val="22"/>
          <w:lang w:val="lt-LT"/>
        </w:rPr>
        <w:t xml:space="preserve">. Nė vienam iš šių pacientų </w:t>
      </w:r>
      <w:r w:rsidR="009644CE" w:rsidRPr="00CD7E52">
        <w:rPr>
          <w:snapToGrid/>
          <w:szCs w:val="22"/>
          <w:lang w:val="lt-LT"/>
        </w:rPr>
        <w:t xml:space="preserve">kūno </w:t>
      </w:r>
      <w:r w:rsidRPr="00CD7E52">
        <w:rPr>
          <w:szCs w:val="22"/>
          <w:lang w:val="lt-LT"/>
        </w:rPr>
        <w:t>svorio sumažėjimo sukeltų aiškių klinikinių pasekmių</w:t>
      </w:r>
      <w:r w:rsidR="009644CE" w:rsidRPr="00CD7E52">
        <w:rPr>
          <w:szCs w:val="22"/>
          <w:lang w:val="lt-LT"/>
        </w:rPr>
        <w:t xml:space="preserve"> </w:t>
      </w:r>
      <w:r w:rsidRPr="00CD7E52">
        <w:rPr>
          <w:szCs w:val="22"/>
          <w:lang w:val="lt-LT"/>
        </w:rPr>
        <w:t xml:space="preserve">nenustatyta. Dėl pasireiškusios </w:t>
      </w:r>
      <w:r w:rsidR="009644CE" w:rsidRPr="00CD7E52">
        <w:rPr>
          <w:szCs w:val="22"/>
          <w:lang w:val="lt-LT"/>
        </w:rPr>
        <w:t xml:space="preserve">nepageidaujamos reakcijos </w:t>
      </w:r>
      <w:r w:rsidR="009644CE" w:rsidRPr="00CD7E52">
        <w:rPr>
          <w:snapToGrid/>
          <w:szCs w:val="22"/>
          <w:lang w:val="lt-LT"/>
        </w:rPr>
        <w:t xml:space="preserve">kūno </w:t>
      </w:r>
      <w:r w:rsidRPr="00CD7E52">
        <w:rPr>
          <w:snapToGrid/>
          <w:szCs w:val="22"/>
          <w:lang w:val="lt-LT"/>
        </w:rPr>
        <w:t xml:space="preserve">svorio mažėjimo </w:t>
      </w:r>
      <w:r w:rsidRPr="00CD7E52">
        <w:rPr>
          <w:szCs w:val="22"/>
          <w:lang w:val="lt-LT"/>
        </w:rPr>
        <w:t>gydymas buvo nutrauktas iš viso</w:t>
      </w:r>
      <w:r w:rsidR="009644CE" w:rsidRPr="00CD7E52">
        <w:rPr>
          <w:szCs w:val="22"/>
          <w:lang w:val="lt-LT"/>
        </w:rPr>
        <w:t xml:space="preserve"> </w:t>
      </w:r>
      <w:r w:rsidRPr="00CD7E52">
        <w:rPr>
          <w:szCs w:val="22"/>
          <w:lang w:val="lt-LT"/>
        </w:rPr>
        <w:t>0,1</w:t>
      </w:r>
      <w:r w:rsidR="009F17E0" w:rsidRPr="00CD7E52">
        <w:rPr>
          <w:szCs w:val="22"/>
          <w:lang w:val="lt-LT"/>
        </w:rPr>
        <w:t> %</w:t>
      </w:r>
      <w:r w:rsidRPr="00CD7E52">
        <w:rPr>
          <w:szCs w:val="22"/>
          <w:lang w:val="lt-LT"/>
        </w:rPr>
        <w:t xml:space="preserve"> apremilastu gydytų pacientų. Vidutinis stebėtas</w:t>
      </w:r>
      <w:r w:rsidRPr="00CD7E52">
        <w:rPr>
          <w:snapToGrid/>
          <w:szCs w:val="22"/>
          <w:lang w:val="lt-LT"/>
        </w:rPr>
        <w:t xml:space="preserve"> </w:t>
      </w:r>
      <w:r w:rsidR="009644CE" w:rsidRPr="00CD7E52">
        <w:rPr>
          <w:snapToGrid/>
          <w:szCs w:val="22"/>
          <w:lang w:val="lt-LT"/>
        </w:rPr>
        <w:t>kūno</w:t>
      </w:r>
      <w:r w:rsidR="009644CE" w:rsidRPr="00CD7E52">
        <w:rPr>
          <w:szCs w:val="22"/>
          <w:lang w:val="lt-LT"/>
        </w:rPr>
        <w:t xml:space="preserve"> </w:t>
      </w:r>
      <w:r w:rsidRPr="00CD7E52">
        <w:rPr>
          <w:szCs w:val="22"/>
          <w:lang w:val="lt-LT"/>
        </w:rPr>
        <w:t>svorio sumažėjimas 52</w:t>
      </w:r>
      <w:r w:rsidR="00C65C08" w:rsidRPr="00CD7E52">
        <w:rPr>
          <w:szCs w:val="22"/>
          <w:lang w:val="lt-LT"/>
        </w:rPr>
        <w:t> savai</w:t>
      </w:r>
      <w:r w:rsidRPr="00CD7E52">
        <w:rPr>
          <w:szCs w:val="22"/>
          <w:lang w:val="lt-LT"/>
        </w:rPr>
        <w:t>tes apremilastu gydytiems</w:t>
      </w:r>
      <w:r w:rsidR="009644CE" w:rsidRPr="00CD7E52">
        <w:rPr>
          <w:szCs w:val="22"/>
          <w:lang w:val="lt-LT"/>
        </w:rPr>
        <w:t xml:space="preserve"> </w:t>
      </w:r>
      <w:r w:rsidRPr="00CD7E52">
        <w:rPr>
          <w:szCs w:val="22"/>
          <w:lang w:val="lt-LT"/>
        </w:rPr>
        <w:t xml:space="preserve">BL sergantiems </w:t>
      </w:r>
      <w:r w:rsidR="007B6DBA" w:rsidRPr="007B6DBA">
        <w:rPr>
          <w:szCs w:val="22"/>
          <w:lang w:val="lt-LT"/>
        </w:rPr>
        <w:t xml:space="preserve">suaugusiems </w:t>
      </w:r>
      <w:r w:rsidRPr="00CD7E52">
        <w:rPr>
          <w:szCs w:val="22"/>
          <w:lang w:val="lt-LT"/>
        </w:rPr>
        <w:t>pacientams buvo 0,52</w:t>
      </w:r>
      <w:r w:rsidR="009644CE" w:rsidRPr="00CD7E52">
        <w:rPr>
          <w:szCs w:val="22"/>
          <w:lang w:val="lt-LT"/>
        </w:rPr>
        <w:t> </w:t>
      </w:r>
      <w:r w:rsidRPr="00CD7E52">
        <w:rPr>
          <w:szCs w:val="22"/>
          <w:lang w:val="lt-LT"/>
        </w:rPr>
        <w:t>kg. Iš viso 11,8</w:t>
      </w:r>
      <w:r w:rsidR="009F17E0" w:rsidRPr="00CD7E52">
        <w:rPr>
          <w:szCs w:val="22"/>
          <w:lang w:val="lt-LT"/>
        </w:rPr>
        <w:t> %</w:t>
      </w:r>
      <w:r w:rsidRPr="00CD7E52">
        <w:rPr>
          <w:szCs w:val="22"/>
          <w:lang w:val="lt-LT"/>
        </w:rPr>
        <w:t xml:space="preserve"> apremilast</w:t>
      </w:r>
      <w:r w:rsidR="00AE220B" w:rsidRPr="00CD7E52">
        <w:rPr>
          <w:szCs w:val="22"/>
          <w:lang w:val="lt-LT"/>
        </w:rPr>
        <w:t>o</w:t>
      </w:r>
      <w:r w:rsidRPr="00CD7E52">
        <w:rPr>
          <w:szCs w:val="22"/>
          <w:lang w:val="lt-LT"/>
        </w:rPr>
        <w:t xml:space="preserve"> vartojusių pacientų kūno svoris</w:t>
      </w:r>
      <w:r w:rsidR="009644CE" w:rsidRPr="00CD7E52">
        <w:rPr>
          <w:szCs w:val="22"/>
          <w:lang w:val="lt-LT"/>
        </w:rPr>
        <w:t xml:space="preserve"> </w:t>
      </w:r>
      <w:r w:rsidRPr="00CD7E52">
        <w:rPr>
          <w:szCs w:val="22"/>
          <w:lang w:val="lt-LT"/>
        </w:rPr>
        <w:t>sumažėjo 5</w:t>
      </w:r>
      <w:r w:rsidR="00E17710" w:rsidRPr="00CD7E52">
        <w:rPr>
          <w:szCs w:val="22"/>
          <w:lang w:val="lt-LT"/>
        </w:rPr>
        <w:t>–</w:t>
      </w:r>
      <w:r w:rsidRPr="00CD7E52">
        <w:rPr>
          <w:szCs w:val="22"/>
          <w:lang w:val="lt-LT"/>
        </w:rPr>
        <w:t>10</w:t>
      </w:r>
      <w:r w:rsidR="009F17E0" w:rsidRPr="00CD7E52">
        <w:rPr>
          <w:szCs w:val="22"/>
          <w:lang w:val="lt-LT"/>
        </w:rPr>
        <w:t> %</w:t>
      </w:r>
      <w:r w:rsidRPr="00CD7E52">
        <w:rPr>
          <w:szCs w:val="22"/>
          <w:lang w:val="lt-LT"/>
        </w:rPr>
        <w:t>, o 3,8</w:t>
      </w:r>
      <w:r w:rsidR="009F17E0" w:rsidRPr="00CD7E52">
        <w:rPr>
          <w:szCs w:val="22"/>
          <w:lang w:val="lt-LT"/>
        </w:rPr>
        <w:t> %</w:t>
      </w:r>
      <w:r w:rsidRPr="00CD7E52">
        <w:rPr>
          <w:szCs w:val="22"/>
          <w:lang w:val="lt-LT"/>
        </w:rPr>
        <w:t xml:space="preserve"> apremilast</w:t>
      </w:r>
      <w:r w:rsidR="00DB7763" w:rsidRPr="00CD7E52">
        <w:rPr>
          <w:szCs w:val="22"/>
          <w:lang w:val="lt-LT"/>
        </w:rPr>
        <w:t>o</w:t>
      </w:r>
      <w:r w:rsidRPr="00CD7E52">
        <w:rPr>
          <w:szCs w:val="22"/>
          <w:lang w:val="lt-LT"/>
        </w:rPr>
        <w:t xml:space="preserve"> vartojusių pacientų – daugiau kaip 10</w:t>
      </w:r>
      <w:r w:rsidR="009F17E0" w:rsidRPr="00CD7E52">
        <w:rPr>
          <w:szCs w:val="22"/>
          <w:lang w:val="lt-LT"/>
        </w:rPr>
        <w:t> %</w:t>
      </w:r>
      <w:r w:rsidRPr="00CD7E52">
        <w:rPr>
          <w:szCs w:val="22"/>
          <w:lang w:val="lt-LT"/>
        </w:rPr>
        <w:t xml:space="preserve">. </w:t>
      </w:r>
      <w:r w:rsidR="009644CE" w:rsidRPr="00CD7E52">
        <w:rPr>
          <w:szCs w:val="22"/>
          <w:lang w:val="lt-LT"/>
        </w:rPr>
        <w:t xml:space="preserve">Nė vienam iš šių pacientų </w:t>
      </w:r>
      <w:r w:rsidR="009644CE" w:rsidRPr="00CD7E52">
        <w:rPr>
          <w:snapToGrid/>
          <w:szCs w:val="22"/>
          <w:lang w:val="lt-LT"/>
        </w:rPr>
        <w:t xml:space="preserve">kūno </w:t>
      </w:r>
      <w:r w:rsidR="009644CE" w:rsidRPr="00CD7E52">
        <w:rPr>
          <w:szCs w:val="22"/>
          <w:lang w:val="lt-LT"/>
        </w:rPr>
        <w:t xml:space="preserve">svorio sumažėjimo </w:t>
      </w:r>
      <w:r w:rsidR="009644CE" w:rsidRPr="00CD7E52">
        <w:rPr>
          <w:snapToGrid/>
          <w:szCs w:val="22"/>
          <w:lang w:val="lt-LT"/>
        </w:rPr>
        <w:t xml:space="preserve">sukeltų aiškių klinikinių </w:t>
      </w:r>
      <w:r w:rsidR="009644CE" w:rsidRPr="00CD7E52">
        <w:rPr>
          <w:szCs w:val="22"/>
          <w:lang w:val="lt-LT"/>
        </w:rPr>
        <w:t>pasekmių nenustatyta</w:t>
      </w:r>
      <w:r w:rsidRPr="00CD7E52">
        <w:rPr>
          <w:szCs w:val="22"/>
          <w:lang w:val="lt-LT"/>
        </w:rPr>
        <w:t xml:space="preserve">. Nė vienas iš pacientų nenutraukė </w:t>
      </w:r>
      <w:r w:rsidR="009644CE" w:rsidRPr="00CD7E52">
        <w:rPr>
          <w:snapToGrid/>
          <w:szCs w:val="22"/>
          <w:lang w:val="lt-LT"/>
        </w:rPr>
        <w:t>dalyvavimo tyrime</w:t>
      </w:r>
      <w:r w:rsidRPr="00CD7E52">
        <w:rPr>
          <w:szCs w:val="22"/>
          <w:lang w:val="lt-LT"/>
        </w:rPr>
        <w:t xml:space="preserve"> dėl</w:t>
      </w:r>
      <w:r w:rsidR="009644CE" w:rsidRPr="00CD7E52">
        <w:rPr>
          <w:szCs w:val="22"/>
          <w:lang w:val="lt-LT"/>
        </w:rPr>
        <w:t xml:space="preserve"> </w:t>
      </w:r>
      <w:r w:rsidRPr="00CD7E52">
        <w:rPr>
          <w:szCs w:val="22"/>
          <w:lang w:val="lt-LT"/>
        </w:rPr>
        <w:t xml:space="preserve">nepageidaujamos </w:t>
      </w:r>
      <w:r w:rsidR="009644CE" w:rsidRPr="00CD7E52">
        <w:rPr>
          <w:snapToGrid/>
          <w:szCs w:val="22"/>
          <w:lang w:val="lt-LT"/>
        </w:rPr>
        <w:t xml:space="preserve">reakcijos </w:t>
      </w:r>
      <w:r w:rsidRPr="00CD7E52">
        <w:rPr>
          <w:szCs w:val="22"/>
          <w:lang w:val="lt-LT"/>
        </w:rPr>
        <w:t xml:space="preserve">sumažėjusio </w:t>
      </w:r>
      <w:r w:rsidR="009644CE" w:rsidRPr="00CD7E52">
        <w:rPr>
          <w:snapToGrid/>
          <w:szCs w:val="22"/>
          <w:lang w:val="lt-LT"/>
        </w:rPr>
        <w:t xml:space="preserve">kūno </w:t>
      </w:r>
      <w:r w:rsidRPr="00CD7E52">
        <w:rPr>
          <w:szCs w:val="22"/>
          <w:lang w:val="lt-LT"/>
        </w:rPr>
        <w:t>svorio.</w:t>
      </w:r>
    </w:p>
    <w:p w14:paraId="02EEBF7B" w14:textId="77777777" w:rsidR="009644CE" w:rsidRPr="00CD7E52" w:rsidRDefault="009644CE" w:rsidP="00BD0220">
      <w:pPr>
        <w:widowControl w:val="0"/>
        <w:tabs>
          <w:tab w:val="clear" w:pos="567"/>
        </w:tabs>
        <w:autoSpaceDE w:val="0"/>
        <w:autoSpaceDN w:val="0"/>
        <w:adjustRightInd w:val="0"/>
        <w:spacing w:line="240" w:lineRule="auto"/>
        <w:rPr>
          <w:szCs w:val="22"/>
          <w:lang w:val="lt-LT"/>
        </w:rPr>
      </w:pPr>
    </w:p>
    <w:p w14:paraId="1C347C05" w14:textId="77777777" w:rsidR="00075EA2" w:rsidRPr="00CD7E52" w:rsidRDefault="00075EA2" w:rsidP="00BD0220">
      <w:pPr>
        <w:widowControl w:val="0"/>
        <w:tabs>
          <w:tab w:val="clear" w:pos="567"/>
        </w:tabs>
        <w:autoSpaceDE w:val="0"/>
        <w:autoSpaceDN w:val="0"/>
        <w:adjustRightInd w:val="0"/>
        <w:spacing w:line="240" w:lineRule="auto"/>
        <w:rPr>
          <w:szCs w:val="22"/>
          <w:lang w:val="lt-LT"/>
        </w:rPr>
      </w:pPr>
      <w:r w:rsidRPr="00CD7E52">
        <w:rPr>
          <w:szCs w:val="22"/>
          <w:lang w:val="lt-LT"/>
        </w:rPr>
        <w:t>Žr. papildomą 4.4</w:t>
      </w:r>
      <w:r w:rsidR="009644CE" w:rsidRPr="00CD7E52">
        <w:rPr>
          <w:szCs w:val="22"/>
          <w:lang w:val="lt-LT"/>
        </w:rPr>
        <w:t> </w:t>
      </w:r>
      <w:r w:rsidRPr="00CD7E52">
        <w:rPr>
          <w:szCs w:val="22"/>
          <w:lang w:val="lt-LT"/>
        </w:rPr>
        <w:t>skyriuje pateikiamą įspėjimą, taikomą pacientams, kurie per mažai sveria gydymo</w:t>
      </w:r>
      <w:r w:rsidR="009644CE" w:rsidRPr="00CD7E52">
        <w:rPr>
          <w:szCs w:val="22"/>
          <w:lang w:val="lt-LT"/>
        </w:rPr>
        <w:t xml:space="preserve"> </w:t>
      </w:r>
      <w:r w:rsidRPr="00CD7E52">
        <w:rPr>
          <w:szCs w:val="22"/>
          <w:lang w:val="lt-LT"/>
        </w:rPr>
        <w:t>pradžioje.</w:t>
      </w:r>
    </w:p>
    <w:p w14:paraId="24869759" w14:textId="77777777" w:rsidR="00075EA2" w:rsidRPr="00CD7E52" w:rsidRDefault="00075EA2" w:rsidP="00BD0220">
      <w:pPr>
        <w:widowControl w:val="0"/>
        <w:tabs>
          <w:tab w:val="clear" w:pos="567"/>
        </w:tabs>
        <w:autoSpaceDE w:val="0"/>
        <w:autoSpaceDN w:val="0"/>
        <w:adjustRightInd w:val="0"/>
        <w:spacing w:line="240" w:lineRule="auto"/>
        <w:rPr>
          <w:szCs w:val="22"/>
          <w:lang w:val="lt-LT"/>
        </w:rPr>
      </w:pPr>
    </w:p>
    <w:p w14:paraId="5A68FF68" w14:textId="77777777" w:rsidR="00075EA2" w:rsidRPr="00CD7E52" w:rsidRDefault="00075EA2" w:rsidP="00BD0220">
      <w:pPr>
        <w:widowControl w:val="0"/>
        <w:tabs>
          <w:tab w:val="clear" w:pos="567"/>
        </w:tabs>
        <w:autoSpaceDE w:val="0"/>
        <w:autoSpaceDN w:val="0"/>
        <w:adjustRightInd w:val="0"/>
        <w:spacing w:line="240" w:lineRule="auto"/>
        <w:rPr>
          <w:szCs w:val="22"/>
          <w:u w:val="single"/>
          <w:lang w:val="lt-LT"/>
        </w:rPr>
      </w:pPr>
      <w:r w:rsidRPr="00CD7E52">
        <w:rPr>
          <w:szCs w:val="22"/>
          <w:u w:val="single"/>
          <w:lang w:val="lt-LT"/>
        </w:rPr>
        <w:t>Ypatingos populiacijos</w:t>
      </w:r>
    </w:p>
    <w:p w14:paraId="091B1CF7" w14:textId="77777777" w:rsidR="00075EA2" w:rsidRPr="00CD7E52" w:rsidRDefault="00075EA2" w:rsidP="00BD0220">
      <w:pPr>
        <w:widowControl w:val="0"/>
        <w:tabs>
          <w:tab w:val="clear" w:pos="567"/>
        </w:tabs>
        <w:autoSpaceDE w:val="0"/>
        <w:autoSpaceDN w:val="0"/>
        <w:adjustRightInd w:val="0"/>
        <w:spacing w:line="240" w:lineRule="auto"/>
        <w:rPr>
          <w:szCs w:val="22"/>
          <w:u w:val="single"/>
          <w:lang w:val="lt-LT"/>
        </w:rPr>
      </w:pPr>
    </w:p>
    <w:p w14:paraId="7032DD95" w14:textId="77777777" w:rsidR="00075EA2" w:rsidRPr="00CD7E52" w:rsidRDefault="00075EA2" w:rsidP="00BD0220">
      <w:pPr>
        <w:widowControl w:val="0"/>
        <w:tabs>
          <w:tab w:val="clear" w:pos="567"/>
        </w:tabs>
        <w:autoSpaceDE w:val="0"/>
        <w:autoSpaceDN w:val="0"/>
        <w:adjustRightInd w:val="0"/>
        <w:spacing w:line="240" w:lineRule="auto"/>
        <w:rPr>
          <w:szCs w:val="22"/>
          <w:u w:val="single"/>
          <w:lang w:val="lt-LT"/>
        </w:rPr>
      </w:pPr>
      <w:r w:rsidRPr="00CD7E52">
        <w:rPr>
          <w:i/>
          <w:szCs w:val="22"/>
          <w:u w:val="single"/>
          <w:lang w:val="lt-LT"/>
        </w:rPr>
        <w:t>Senyvi pacientai</w:t>
      </w:r>
    </w:p>
    <w:p w14:paraId="6A6BA39F" w14:textId="77777777" w:rsidR="00075EA2" w:rsidRPr="00CD7E52" w:rsidRDefault="00075EA2" w:rsidP="00BD0220">
      <w:pPr>
        <w:widowControl w:val="0"/>
        <w:tabs>
          <w:tab w:val="clear" w:pos="567"/>
        </w:tabs>
        <w:autoSpaceDE w:val="0"/>
        <w:autoSpaceDN w:val="0"/>
        <w:adjustRightInd w:val="0"/>
        <w:spacing w:line="240" w:lineRule="auto"/>
        <w:rPr>
          <w:szCs w:val="22"/>
          <w:lang w:val="lt-LT"/>
        </w:rPr>
      </w:pPr>
      <w:r w:rsidRPr="00CD7E52">
        <w:rPr>
          <w:szCs w:val="22"/>
          <w:lang w:val="lt-LT"/>
        </w:rPr>
        <w:t>Po vaistinio preparato pateikimo į rinką gauta pranešimų, kad senyviems</w:t>
      </w:r>
      <w:r w:rsidR="009644CE" w:rsidRPr="00CD7E52">
        <w:rPr>
          <w:snapToGrid/>
          <w:szCs w:val="22"/>
          <w:lang w:val="lt-LT"/>
        </w:rPr>
        <w:t xml:space="preserve"> (</w:t>
      </w:r>
      <w:r w:rsidR="009F17E0" w:rsidRPr="00CD7E52">
        <w:rPr>
          <w:snapToGrid/>
          <w:szCs w:val="22"/>
          <w:lang w:val="lt-LT"/>
        </w:rPr>
        <w:t>≥</w:t>
      </w:r>
      <w:r w:rsidR="009F17E0" w:rsidRPr="00CD7E52">
        <w:rPr>
          <w:szCs w:val="22"/>
          <w:lang w:val="lt-LT"/>
        </w:rPr>
        <w:t> </w:t>
      </w:r>
      <w:r w:rsidRPr="00CD7E52">
        <w:rPr>
          <w:szCs w:val="22"/>
          <w:lang w:val="lt-LT"/>
        </w:rPr>
        <w:t>65</w:t>
      </w:r>
      <w:r w:rsidR="009644CE" w:rsidRPr="00CD7E52">
        <w:rPr>
          <w:szCs w:val="22"/>
          <w:lang w:val="lt-LT"/>
        </w:rPr>
        <w:t> </w:t>
      </w:r>
      <w:r w:rsidRPr="00CD7E52">
        <w:rPr>
          <w:szCs w:val="22"/>
          <w:lang w:val="lt-LT"/>
        </w:rPr>
        <w:t>metų</w:t>
      </w:r>
      <w:r w:rsidR="009644CE" w:rsidRPr="00CD7E52">
        <w:rPr>
          <w:snapToGrid/>
          <w:szCs w:val="22"/>
          <w:lang w:val="lt-LT"/>
        </w:rPr>
        <w:t>)</w:t>
      </w:r>
      <w:r w:rsidRPr="00CD7E52">
        <w:rPr>
          <w:szCs w:val="22"/>
          <w:lang w:val="lt-LT"/>
        </w:rPr>
        <w:t xml:space="preserve"> pacientams gali </w:t>
      </w:r>
      <w:r w:rsidR="009644CE" w:rsidRPr="00CD7E52">
        <w:rPr>
          <w:snapToGrid/>
          <w:szCs w:val="22"/>
          <w:lang w:val="lt-LT"/>
        </w:rPr>
        <w:t>būti</w:t>
      </w:r>
      <w:r w:rsidR="009644CE" w:rsidRPr="00CD7E52">
        <w:rPr>
          <w:szCs w:val="22"/>
          <w:lang w:val="lt-LT"/>
        </w:rPr>
        <w:t xml:space="preserve"> </w:t>
      </w:r>
      <w:r w:rsidRPr="00CD7E52">
        <w:rPr>
          <w:szCs w:val="22"/>
          <w:lang w:val="lt-LT"/>
        </w:rPr>
        <w:t>didesnė tokių komplikacijų kaip sunkus viduriavimas, pykinimas ir vėmimas rizika (žr. 4.4</w:t>
      </w:r>
      <w:r w:rsidR="009644CE" w:rsidRPr="00CD7E52">
        <w:rPr>
          <w:szCs w:val="22"/>
          <w:lang w:val="lt-LT"/>
        </w:rPr>
        <w:t> </w:t>
      </w:r>
      <w:r w:rsidRPr="00CD7E52">
        <w:rPr>
          <w:szCs w:val="22"/>
          <w:lang w:val="lt-LT"/>
        </w:rPr>
        <w:t>skyrių).</w:t>
      </w:r>
    </w:p>
    <w:p w14:paraId="3E710CC3" w14:textId="77777777" w:rsidR="00075EA2" w:rsidRPr="00CD7E52" w:rsidRDefault="00075EA2" w:rsidP="00BD0220">
      <w:pPr>
        <w:widowControl w:val="0"/>
        <w:tabs>
          <w:tab w:val="clear" w:pos="567"/>
        </w:tabs>
        <w:autoSpaceDE w:val="0"/>
        <w:autoSpaceDN w:val="0"/>
        <w:adjustRightInd w:val="0"/>
        <w:spacing w:line="240" w:lineRule="auto"/>
        <w:rPr>
          <w:szCs w:val="22"/>
          <w:lang w:val="lt-LT"/>
        </w:rPr>
      </w:pPr>
    </w:p>
    <w:p w14:paraId="1203744D" w14:textId="77777777" w:rsidR="00075EA2" w:rsidRPr="00CD7E52" w:rsidRDefault="00075EA2" w:rsidP="00BD0220">
      <w:pPr>
        <w:widowControl w:val="0"/>
        <w:tabs>
          <w:tab w:val="clear" w:pos="567"/>
        </w:tabs>
        <w:autoSpaceDE w:val="0"/>
        <w:autoSpaceDN w:val="0"/>
        <w:adjustRightInd w:val="0"/>
        <w:spacing w:line="240" w:lineRule="auto"/>
        <w:rPr>
          <w:szCs w:val="22"/>
          <w:u w:val="single"/>
          <w:lang w:val="lt-LT"/>
        </w:rPr>
      </w:pPr>
      <w:r w:rsidRPr="00CD7E52">
        <w:rPr>
          <w:i/>
          <w:szCs w:val="22"/>
          <w:u w:val="single"/>
          <w:lang w:val="lt-LT"/>
        </w:rPr>
        <w:t>Pacienta</w:t>
      </w:r>
      <w:r w:rsidR="00A40391" w:rsidRPr="00CD7E52">
        <w:rPr>
          <w:i/>
          <w:szCs w:val="22"/>
          <w:u w:val="single"/>
          <w:lang w:val="lt-LT"/>
        </w:rPr>
        <w:t>ms</w:t>
      </w:r>
      <w:r w:rsidRPr="00CD7E52">
        <w:rPr>
          <w:i/>
          <w:szCs w:val="22"/>
          <w:u w:val="single"/>
          <w:lang w:val="lt-LT"/>
        </w:rPr>
        <w:t>, kurių kepenų funkcija sutrikusi</w:t>
      </w:r>
    </w:p>
    <w:p w14:paraId="2991712F" w14:textId="77777777" w:rsidR="00075EA2" w:rsidRPr="00CD7E52" w:rsidRDefault="00075EA2"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Apremilasto saugumas PsA, PSOR ar BL sergantiems pacientams, kuriems yra kepenų </w:t>
      </w:r>
      <w:r w:rsidR="00743825" w:rsidRPr="00CD7E52">
        <w:rPr>
          <w:snapToGrid/>
          <w:szCs w:val="22"/>
          <w:lang w:val="lt-LT"/>
        </w:rPr>
        <w:t xml:space="preserve">funkcijos </w:t>
      </w:r>
      <w:r w:rsidRPr="00CD7E52">
        <w:rPr>
          <w:szCs w:val="22"/>
          <w:lang w:val="lt-LT"/>
        </w:rPr>
        <w:t>sutrikimas, neištirtas.</w:t>
      </w:r>
    </w:p>
    <w:p w14:paraId="4BAFEF4A" w14:textId="77777777" w:rsidR="00743825" w:rsidRPr="00CD7E52" w:rsidRDefault="00743825" w:rsidP="00BD0220">
      <w:pPr>
        <w:widowControl w:val="0"/>
        <w:tabs>
          <w:tab w:val="clear" w:pos="567"/>
        </w:tabs>
        <w:autoSpaceDE w:val="0"/>
        <w:autoSpaceDN w:val="0"/>
        <w:adjustRightInd w:val="0"/>
        <w:spacing w:line="240" w:lineRule="auto"/>
        <w:rPr>
          <w:szCs w:val="22"/>
          <w:lang w:val="lt-LT"/>
        </w:rPr>
      </w:pPr>
    </w:p>
    <w:p w14:paraId="377BD435" w14:textId="77777777" w:rsidR="00075EA2" w:rsidRPr="00CD7E52" w:rsidRDefault="00075EA2" w:rsidP="00BD0220">
      <w:pPr>
        <w:widowControl w:val="0"/>
        <w:tabs>
          <w:tab w:val="clear" w:pos="567"/>
        </w:tabs>
        <w:autoSpaceDE w:val="0"/>
        <w:autoSpaceDN w:val="0"/>
        <w:adjustRightInd w:val="0"/>
        <w:spacing w:line="240" w:lineRule="auto"/>
        <w:rPr>
          <w:szCs w:val="22"/>
          <w:u w:val="single"/>
          <w:lang w:val="lt-LT"/>
        </w:rPr>
      </w:pPr>
      <w:r w:rsidRPr="00CD7E52">
        <w:rPr>
          <w:i/>
          <w:szCs w:val="22"/>
          <w:u w:val="single"/>
          <w:lang w:val="lt-LT"/>
        </w:rPr>
        <w:t>Pacienta</w:t>
      </w:r>
      <w:r w:rsidR="001D6EDC" w:rsidRPr="00CD7E52">
        <w:rPr>
          <w:i/>
          <w:szCs w:val="22"/>
          <w:u w:val="single"/>
          <w:lang w:val="lt-LT"/>
        </w:rPr>
        <w:t>ms</w:t>
      </w:r>
      <w:r w:rsidRPr="00CD7E52">
        <w:rPr>
          <w:i/>
          <w:szCs w:val="22"/>
          <w:u w:val="single"/>
          <w:lang w:val="lt-LT"/>
        </w:rPr>
        <w:t>, kurių inkstų funkcija sutrikusi</w:t>
      </w:r>
    </w:p>
    <w:p w14:paraId="2488C56E" w14:textId="77777777" w:rsidR="00776FBE" w:rsidRDefault="00075EA2"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PsA, PSOR ar BL klinikinių tyrimų metu saugumo savybės, nustatytos pacientams, kuriems buvo </w:t>
      </w:r>
      <w:r w:rsidR="00743825" w:rsidRPr="00CD7E52">
        <w:rPr>
          <w:snapToGrid/>
          <w:szCs w:val="22"/>
          <w:lang w:val="lt-LT"/>
        </w:rPr>
        <w:t>lengvas</w:t>
      </w:r>
      <w:r w:rsidR="00743825" w:rsidRPr="00CD7E52">
        <w:rPr>
          <w:szCs w:val="22"/>
          <w:lang w:val="lt-LT"/>
        </w:rPr>
        <w:t xml:space="preserve"> </w:t>
      </w:r>
      <w:r w:rsidRPr="00CD7E52">
        <w:rPr>
          <w:szCs w:val="22"/>
          <w:lang w:val="lt-LT"/>
        </w:rPr>
        <w:t xml:space="preserve">inkstų </w:t>
      </w:r>
      <w:r w:rsidR="00743825" w:rsidRPr="00CD7E52">
        <w:rPr>
          <w:snapToGrid/>
          <w:szCs w:val="22"/>
          <w:lang w:val="lt-LT"/>
        </w:rPr>
        <w:t xml:space="preserve">funkcijos </w:t>
      </w:r>
      <w:r w:rsidRPr="00CD7E52">
        <w:rPr>
          <w:szCs w:val="22"/>
          <w:lang w:val="lt-LT"/>
        </w:rPr>
        <w:t xml:space="preserve">sutrikimas, buvo panašios </w:t>
      </w:r>
      <w:r w:rsidR="0036179B" w:rsidRPr="00CD7E52">
        <w:rPr>
          <w:snapToGrid/>
          <w:szCs w:val="22"/>
          <w:lang w:val="lt-LT"/>
        </w:rPr>
        <w:t>į nustatytas</w:t>
      </w:r>
      <w:r w:rsidRPr="00CD7E52">
        <w:rPr>
          <w:szCs w:val="22"/>
          <w:lang w:val="lt-LT"/>
        </w:rPr>
        <w:t xml:space="preserve"> pacientams, kurių inkstų veikla buvo normali. Apremilasto saugumas</w:t>
      </w:r>
      <w:r w:rsidR="0036179B" w:rsidRPr="00CD7E52">
        <w:rPr>
          <w:szCs w:val="22"/>
          <w:lang w:val="lt-LT"/>
        </w:rPr>
        <w:t xml:space="preserve"> </w:t>
      </w:r>
      <w:r w:rsidRPr="00CD7E52">
        <w:rPr>
          <w:szCs w:val="22"/>
          <w:lang w:val="lt-LT"/>
        </w:rPr>
        <w:t>PsA, PSOR ar BL sergantiems pacientams, kuriems yra vidutinio sunkumo arba sunkus inkstų</w:t>
      </w:r>
      <w:r w:rsidR="001237BB" w:rsidRPr="00CD7E52">
        <w:rPr>
          <w:szCs w:val="22"/>
          <w:lang w:val="lt-LT"/>
        </w:rPr>
        <w:t xml:space="preserve"> funkcijos</w:t>
      </w:r>
      <w:r w:rsidRPr="00CD7E52">
        <w:rPr>
          <w:szCs w:val="22"/>
          <w:lang w:val="lt-LT"/>
        </w:rPr>
        <w:t xml:space="preserve"> sutrikimas,</w:t>
      </w:r>
      <w:r w:rsidR="0036179B" w:rsidRPr="00CD7E52">
        <w:rPr>
          <w:szCs w:val="22"/>
          <w:lang w:val="lt-LT"/>
        </w:rPr>
        <w:t xml:space="preserve"> </w:t>
      </w:r>
      <w:r w:rsidRPr="00CD7E52">
        <w:rPr>
          <w:snapToGrid/>
          <w:szCs w:val="22"/>
          <w:lang w:val="lt-LT"/>
        </w:rPr>
        <w:t>klinikini</w:t>
      </w:r>
      <w:r w:rsidR="0036179B" w:rsidRPr="00CD7E52">
        <w:rPr>
          <w:snapToGrid/>
          <w:szCs w:val="22"/>
          <w:lang w:val="lt-LT"/>
        </w:rPr>
        <w:t>ų</w:t>
      </w:r>
      <w:r w:rsidRPr="00CD7E52">
        <w:rPr>
          <w:snapToGrid/>
          <w:szCs w:val="22"/>
          <w:lang w:val="lt-LT"/>
        </w:rPr>
        <w:t xml:space="preserve"> tyrim</w:t>
      </w:r>
      <w:r w:rsidR="0036179B" w:rsidRPr="00CD7E52">
        <w:rPr>
          <w:snapToGrid/>
          <w:szCs w:val="22"/>
          <w:lang w:val="lt-LT"/>
        </w:rPr>
        <w:t>ų</w:t>
      </w:r>
      <w:r w:rsidRPr="00CD7E52">
        <w:rPr>
          <w:snapToGrid/>
          <w:szCs w:val="22"/>
          <w:lang w:val="lt-LT"/>
        </w:rPr>
        <w:t xml:space="preserve"> </w:t>
      </w:r>
      <w:r w:rsidR="0036179B" w:rsidRPr="00CD7E52">
        <w:rPr>
          <w:snapToGrid/>
          <w:szCs w:val="22"/>
          <w:lang w:val="lt-LT"/>
        </w:rPr>
        <w:t>metu neįvertintas</w:t>
      </w:r>
      <w:r w:rsidRPr="00CD7E52">
        <w:rPr>
          <w:snapToGrid/>
          <w:szCs w:val="22"/>
          <w:lang w:val="lt-LT"/>
        </w:rPr>
        <w:t>.</w:t>
      </w:r>
      <w:r w:rsidRPr="00CD7E52">
        <w:rPr>
          <w:szCs w:val="22"/>
          <w:lang w:val="lt-LT"/>
        </w:rPr>
        <w:cr/>
      </w:r>
    </w:p>
    <w:p w14:paraId="2E0ACE13" w14:textId="77777777" w:rsidR="007B6DBA" w:rsidRPr="00DB2543" w:rsidRDefault="007B6DBA" w:rsidP="007B6DBA">
      <w:pPr>
        <w:widowControl w:val="0"/>
        <w:tabs>
          <w:tab w:val="clear" w:pos="567"/>
        </w:tabs>
        <w:autoSpaceDE w:val="0"/>
        <w:autoSpaceDN w:val="0"/>
        <w:adjustRightInd w:val="0"/>
        <w:spacing w:line="240" w:lineRule="auto"/>
        <w:rPr>
          <w:szCs w:val="22"/>
          <w:u w:val="single"/>
          <w:lang w:val="lt-LT"/>
        </w:rPr>
      </w:pPr>
      <w:r w:rsidRPr="00DB2543">
        <w:rPr>
          <w:i/>
          <w:iCs/>
          <w:szCs w:val="22"/>
          <w:u w:val="single"/>
          <w:lang w:val="lt-LT"/>
        </w:rPr>
        <w:t>Vaikai</w:t>
      </w:r>
    </w:p>
    <w:p w14:paraId="6F9082D2" w14:textId="77777777" w:rsidR="007B6DBA" w:rsidRDefault="007B6DBA" w:rsidP="007B6DBA">
      <w:pPr>
        <w:widowControl w:val="0"/>
        <w:tabs>
          <w:tab w:val="clear" w:pos="567"/>
        </w:tabs>
        <w:autoSpaceDE w:val="0"/>
        <w:autoSpaceDN w:val="0"/>
        <w:adjustRightInd w:val="0"/>
        <w:spacing w:line="240" w:lineRule="auto"/>
        <w:rPr>
          <w:szCs w:val="22"/>
          <w:lang w:val="lt-LT"/>
        </w:rPr>
      </w:pPr>
      <w:r w:rsidRPr="007B6DBA">
        <w:rPr>
          <w:szCs w:val="22"/>
          <w:lang w:val="lt-LT"/>
        </w:rPr>
        <w:t>Apremilasto saugumas įvertintas 52</w:t>
      </w:r>
      <w:r w:rsidR="00B8507A">
        <w:rPr>
          <w:szCs w:val="22"/>
          <w:lang w:val="lt-LT"/>
        </w:rPr>
        <w:t> </w:t>
      </w:r>
      <w:r w:rsidRPr="007B6DBA">
        <w:rPr>
          <w:szCs w:val="22"/>
          <w:lang w:val="lt-LT"/>
        </w:rPr>
        <w:t>savaites trukusiame klinikiniame tyrime su 6–17</w:t>
      </w:r>
      <w:r w:rsidR="00B8507A">
        <w:rPr>
          <w:szCs w:val="22"/>
          <w:lang w:val="lt-LT"/>
        </w:rPr>
        <w:t> </w:t>
      </w:r>
      <w:r w:rsidRPr="007B6DBA">
        <w:rPr>
          <w:szCs w:val="22"/>
          <w:lang w:val="lt-LT"/>
        </w:rPr>
        <w:t xml:space="preserve">metų vaikais, sergančiais vidutinio sunkumo arba sunkia </w:t>
      </w:r>
      <w:r w:rsidR="00863E62" w:rsidRPr="00AC6A51">
        <w:rPr>
          <w:rFonts w:eastAsia="TimesNewRoman"/>
          <w:szCs w:val="22"/>
          <w:lang w:val="lt-LT"/>
        </w:rPr>
        <w:t>plokšteline</w:t>
      </w:r>
      <w:r w:rsidRPr="007B6DBA">
        <w:rPr>
          <w:szCs w:val="22"/>
          <w:lang w:val="lt-LT"/>
        </w:rPr>
        <w:t xml:space="preserve"> psoriaze (tyrimas SPROUT). Per tyrimą stebėti apremilasto saugumo duomenys atitiko anksčiau nustatytus suaugusių pacientų, sergančių vidutinio sunkumo arba sunkia </w:t>
      </w:r>
      <w:r w:rsidR="00863E62" w:rsidRPr="00AC6A51">
        <w:rPr>
          <w:rFonts w:eastAsia="TimesNewRoman"/>
          <w:szCs w:val="22"/>
          <w:lang w:val="lt-LT"/>
        </w:rPr>
        <w:t>plokšteline</w:t>
      </w:r>
      <w:r w:rsidRPr="007B6DBA">
        <w:rPr>
          <w:szCs w:val="22"/>
          <w:lang w:val="lt-LT"/>
        </w:rPr>
        <w:t xml:space="preserve"> psoriaze, saugumo duomenis.</w:t>
      </w:r>
    </w:p>
    <w:p w14:paraId="15F79CEA" w14:textId="77777777" w:rsidR="007B6DBA" w:rsidRPr="00CD7E52" w:rsidRDefault="007B6DBA" w:rsidP="007B6DBA">
      <w:pPr>
        <w:widowControl w:val="0"/>
        <w:tabs>
          <w:tab w:val="clear" w:pos="567"/>
        </w:tabs>
        <w:autoSpaceDE w:val="0"/>
        <w:autoSpaceDN w:val="0"/>
        <w:adjustRightInd w:val="0"/>
        <w:spacing w:line="240" w:lineRule="auto"/>
        <w:rPr>
          <w:szCs w:val="22"/>
          <w:lang w:val="lt-LT"/>
        </w:rPr>
      </w:pPr>
    </w:p>
    <w:p w14:paraId="574B82C4" w14:textId="77777777" w:rsidR="00776FBE" w:rsidRPr="00CD7E52" w:rsidRDefault="00776FBE" w:rsidP="00DB2543">
      <w:pPr>
        <w:keepNext/>
        <w:keepLines/>
        <w:widowControl w:val="0"/>
        <w:tabs>
          <w:tab w:val="clear" w:pos="567"/>
          <w:tab w:val="left" w:pos="540"/>
        </w:tabs>
        <w:spacing w:line="240" w:lineRule="auto"/>
        <w:rPr>
          <w:rFonts w:eastAsia="Calibri"/>
          <w:snapToGrid/>
          <w:szCs w:val="22"/>
          <w:u w:val="single"/>
          <w:lang w:val="lt-LT" w:eastAsia="lt-LT"/>
        </w:rPr>
      </w:pPr>
      <w:r w:rsidRPr="00CD7E52">
        <w:rPr>
          <w:rFonts w:eastAsia="Calibri"/>
          <w:szCs w:val="22"/>
          <w:u w:val="single"/>
          <w:lang w:val="lt-LT"/>
        </w:rPr>
        <w:lastRenderedPageBreak/>
        <w:t>Pranešimas apie įtariamas nepageidaujamas reakcijas</w:t>
      </w:r>
    </w:p>
    <w:p w14:paraId="06E4772B" w14:textId="77777777" w:rsidR="00E37551" w:rsidRPr="00CD7E52" w:rsidRDefault="00E37551" w:rsidP="00DB2543">
      <w:pPr>
        <w:keepNext/>
        <w:keepLines/>
        <w:widowControl w:val="0"/>
        <w:rPr>
          <w:szCs w:val="22"/>
          <w:lang w:val="lt-LT"/>
        </w:rPr>
      </w:pPr>
      <w:r w:rsidRPr="00CD7E52">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D7E52">
        <w:rPr>
          <w:szCs w:val="22"/>
          <w:u w:val="single"/>
          <w:lang w:val="lt-LT"/>
        </w:rPr>
        <w:t>https://vvkt.lrv.lt/lt/</w:t>
      </w:r>
      <w:r w:rsidRPr="00CD7E52">
        <w:rPr>
          <w:szCs w:val="22"/>
          <w:lang w:val="lt-LT"/>
        </w:rPr>
        <w:t xml:space="preserve"> nurodytais būdais.</w:t>
      </w:r>
    </w:p>
    <w:p w14:paraId="05BC578F" w14:textId="77777777" w:rsidR="00E37551" w:rsidRPr="00CD7E52" w:rsidRDefault="00E37551" w:rsidP="008F2D47">
      <w:pPr>
        <w:widowControl w:val="0"/>
        <w:spacing w:line="240" w:lineRule="auto"/>
        <w:ind w:left="567" w:hanging="567"/>
        <w:outlineLvl w:val="2"/>
        <w:rPr>
          <w:b/>
          <w:snapToGrid/>
          <w:kern w:val="28"/>
          <w:szCs w:val="22"/>
          <w:lang w:val="lt-LT"/>
        </w:rPr>
      </w:pPr>
    </w:p>
    <w:p w14:paraId="2577BF80" w14:textId="77777777" w:rsidR="00776FBE" w:rsidRPr="00CD7E52" w:rsidRDefault="00776FBE" w:rsidP="008F2D47">
      <w:pPr>
        <w:widowControl w:val="0"/>
        <w:spacing w:line="240" w:lineRule="auto"/>
        <w:ind w:left="567" w:hanging="567"/>
        <w:outlineLvl w:val="2"/>
        <w:rPr>
          <w:b/>
          <w:kern w:val="28"/>
          <w:szCs w:val="22"/>
          <w:lang w:val="lt-LT"/>
        </w:rPr>
      </w:pPr>
      <w:r w:rsidRPr="00CD7E52">
        <w:rPr>
          <w:b/>
          <w:snapToGrid/>
          <w:kern w:val="28"/>
          <w:szCs w:val="22"/>
          <w:lang w:val="lt-LT"/>
        </w:rPr>
        <w:t>4.9</w:t>
      </w:r>
      <w:r w:rsidRPr="00CD7E52">
        <w:rPr>
          <w:b/>
          <w:snapToGrid/>
          <w:kern w:val="28"/>
          <w:szCs w:val="22"/>
          <w:lang w:val="lt-LT"/>
        </w:rPr>
        <w:tab/>
      </w:r>
      <w:r w:rsidRPr="00CD7E52">
        <w:rPr>
          <w:b/>
          <w:kern w:val="28"/>
          <w:szCs w:val="22"/>
          <w:lang w:val="lt-LT"/>
        </w:rPr>
        <w:t>Perdozavimas</w:t>
      </w:r>
    </w:p>
    <w:p w14:paraId="7DFA4DF7" w14:textId="77777777" w:rsidR="003F4E62" w:rsidRPr="00CD7E52" w:rsidRDefault="003F4E62" w:rsidP="00BD0220">
      <w:pPr>
        <w:widowControl w:val="0"/>
        <w:tabs>
          <w:tab w:val="clear" w:pos="567"/>
        </w:tabs>
        <w:autoSpaceDE w:val="0"/>
        <w:autoSpaceDN w:val="0"/>
        <w:adjustRightInd w:val="0"/>
        <w:spacing w:line="240" w:lineRule="auto"/>
        <w:rPr>
          <w:szCs w:val="22"/>
          <w:u w:val="single"/>
          <w:lang w:val="lt-LT"/>
        </w:rPr>
      </w:pPr>
    </w:p>
    <w:p w14:paraId="068DECFA" w14:textId="77777777" w:rsidR="00776FBE" w:rsidRPr="00CD7E52" w:rsidRDefault="0036179B" w:rsidP="00BD0220">
      <w:pPr>
        <w:widowControl w:val="0"/>
        <w:tabs>
          <w:tab w:val="clear" w:pos="567"/>
        </w:tabs>
        <w:autoSpaceDE w:val="0"/>
        <w:autoSpaceDN w:val="0"/>
        <w:adjustRightInd w:val="0"/>
        <w:spacing w:line="240" w:lineRule="auto"/>
        <w:rPr>
          <w:szCs w:val="22"/>
          <w:lang w:val="lt-LT"/>
        </w:rPr>
      </w:pPr>
      <w:r w:rsidRPr="00CD7E52">
        <w:rPr>
          <w:szCs w:val="22"/>
          <w:lang w:val="lt-LT"/>
        </w:rPr>
        <w:t>Apremilastas buvo tiriamas sveikiems tiriamiesiems 4,5 dienos vartojant didžiausią 100</w:t>
      </w:r>
      <w:r w:rsidR="00A87582" w:rsidRPr="00CD7E52">
        <w:rPr>
          <w:szCs w:val="22"/>
          <w:lang w:val="lt-LT"/>
        </w:rPr>
        <w:t> mg</w:t>
      </w:r>
      <w:r w:rsidRPr="00CD7E52">
        <w:rPr>
          <w:szCs w:val="22"/>
          <w:lang w:val="lt-LT"/>
        </w:rPr>
        <w:t xml:space="preserve"> bendrą paros dozę (skiriamą po 50</w:t>
      </w:r>
      <w:r w:rsidR="00A87582" w:rsidRPr="00CD7E52">
        <w:rPr>
          <w:szCs w:val="22"/>
          <w:lang w:val="lt-LT"/>
        </w:rPr>
        <w:t> mg</w:t>
      </w:r>
      <w:r w:rsidRPr="00CD7E52">
        <w:rPr>
          <w:szCs w:val="22"/>
          <w:lang w:val="lt-LT"/>
        </w:rPr>
        <w:t xml:space="preserve"> du kartus per parą</w:t>
      </w:r>
      <w:r w:rsidRPr="00CD7E52">
        <w:rPr>
          <w:snapToGrid/>
          <w:szCs w:val="22"/>
          <w:lang w:val="lt-LT"/>
        </w:rPr>
        <w:t>), dozę ribojančio</w:t>
      </w:r>
      <w:r w:rsidRPr="00CD7E52">
        <w:rPr>
          <w:szCs w:val="22"/>
          <w:lang w:val="lt-LT"/>
        </w:rPr>
        <w:t xml:space="preserve"> toksinio poveikio </w:t>
      </w:r>
      <w:r w:rsidRPr="00CD7E52">
        <w:rPr>
          <w:snapToGrid/>
          <w:szCs w:val="22"/>
          <w:lang w:val="lt-LT"/>
        </w:rPr>
        <w:t>nenustatyta</w:t>
      </w:r>
      <w:r w:rsidRPr="00CD7E52">
        <w:rPr>
          <w:szCs w:val="22"/>
          <w:lang w:val="lt-LT"/>
        </w:rPr>
        <w:t xml:space="preserve">. Perdozavus rekomenduojama stebėti, ar pacientui nepasireiškia nepageidaujamo poveikio požymių ar simptomų ir </w:t>
      </w:r>
      <w:r w:rsidRPr="00CD7E52">
        <w:rPr>
          <w:snapToGrid/>
          <w:szCs w:val="22"/>
          <w:lang w:val="lt-LT"/>
        </w:rPr>
        <w:t>skirti</w:t>
      </w:r>
      <w:r w:rsidRPr="00CD7E52">
        <w:rPr>
          <w:szCs w:val="22"/>
          <w:lang w:val="lt-LT"/>
        </w:rPr>
        <w:t xml:space="preserve"> atitinkamą simptominį gydymą. Perdozavus</w:t>
      </w:r>
      <w:r w:rsidRPr="00CD7E52">
        <w:rPr>
          <w:snapToGrid/>
          <w:szCs w:val="22"/>
          <w:lang w:val="lt-LT"/>
        </w:rPr>
        <w:t xml:space="preserve"> rekomenduojama</w:t>
      </w:r>
      <w:r w:rsidRPr="00CD7E52">
        <w:rPr>
          <w:szCs w:val="22"/>
          <w:lang w:val="lt-LT"/>
        </w:rPr>
        <w:t xml:space="preserve"> taikyti </w:t>
      </w:r>
      <w:r w:rsidRPr="00CD7E52">
        <w:rPr>
          <w:snapToGrid/>
          <w:szCs w:val="22"/>
          <w:lang w:val="lt-LT"/>
        </w:rPr>
        <w:t>simptominį</w:t>
      </w:r>
      <w:r w:rsidRPr="00CD7E52">
        <w:rPr>
          <w:szCs w:val="22"/>
          <w:lang w:val="lt-LT"/>
        </w:rPr>
        <w:t xml:space="preserve"> ir </w:t>
      </w:r>
      <w:r w:rsidRPr="00CD7E52">
        <w:rPr>
          <w:snapToGrid/>
          <w:szCs w:val="22"/>
          <w:lang w:val="lt-LT"/>
        </w:rPr>
        <w:t>palaikomąjį gydymą</w:t>
      </w:r>
      <w:r w:rsidRPr="00CD7E52">
        <w:rPr>
          <w:szCs w:val="22"/>
          <w:lang w:val="lt-LT"/>
        </w:rPr>
        <w:t>.</w:t>
      </w:r>
    </w:p>
    <w:p w14:paraId="0DC8EA32" w14:textId="77777777" w:rsidR="00776FBE" w:rsidRPr="00CD7E52" w:rsidRDefault="00776FBE" w:rsidP="00BD0220">
      <w:pPr>
        <w:widowControl w:val="0"/>
        <w:tabs>
          <w:tab w:val="clear" w:pos="567"/>
        </w:tabs>
        <w:spacing w:line="240" w:lineRule="auto"/>
        <w:ind w:left="567" w:hanging="567"/>
        <w:rPr>
          <w:szCs w:val="22"/>
          <w:lang w:val="lt-LT"/>
        </w:rPr>
      </w:pPr>
    </w:p>
    <w:p w14:paraId="6FCD3C8E" w14:textId="77777777" w:rsidR="00447048" w:rsidRPr="00CD7E52" w:rsidRDefault="00447048" w:rsidP="00BD0220">
      <w:pPr>
        <w:widowControl w:val="0"/>
        <w:tabs>
          <w:tab w:val="clear" w:pos="567"/>
        </w:tabs>
        <w:spacing w:line="240" w:lineRule="auto"/>
        <w:ind w:left="567" w:hanging="567"/>
        <w:rPr>
          <w:szCs w:val="22"/>
          <w:lang w:val="lt-LT"/>
        </w:rPr>
      </w:pPr>
    </w:p>
    <w:p w14:paraId="2F98FCDD" w14:textId="77777777" w:rsidR="00776FBE" w:rsidRPr="00CD7E52" w:rsidRDefault="00447048" w:rsidP="008F2D47">
      <w:pPr>
        <w:widowControl w:val="0"/>
        <w:spacing w:line="240" w:lineRule="auto"/>
        <w:ind w:left="567" w:hanging="567"/>
        <w:outlineLvl w:val="1"/>
        <w:rPr>
          <w:b/>
          <w:szCs w:val="22"/>
          <w:lang w:val="lt-LT"/>
        </w:rPr>
      </w:pPr>
      <w:r w:rsidRPr="00CD7E52">
        <w:rPr>
          <w:b/>
          <w:snapToGrid/>
          <w:szCs w:val="22"/>
          <w:lang w:val="lt-LT"/>
        </w:rPr>
        <w:t>5.</w:t>
      </w:r>
      <w:r w:rsidRPr="00CD7E52">
        <w:rPr>
          <w:b/>
          <w:snapToGrid/>
          <w:szCs w:val="22"/>
          <w:lang w:val="lt-LT"/>
        </w:rPr>
        <w:tab/>
      </w:r>
      <w:r w:rsidRPr="00CD7E52">
        <w:rPr>
          <w:b/>
          <w:szCs w:val="22"/>
          <w:lang w:val="lt-LT"/>
        </w:rPr>
        <w:t>FARMAKOLOGINĖS SAVYBĖS</w:t>
      </w:r>
    </w:p>
    <w:p w14:paraId="1B2965B5" w14:textId="77777777" w:rsidR="001137C8" w:rsidRPr="00CD7E52" w:rsidRDefault="001137C8" w:rsidP="008F2D47">
      <w:pPr>
        <w:widowControl w:val="0"/>
        <w:tabs>
          <w:tab w:val="clear" w:pos="567"/>
        </w:tabs>
        <w:spacing w:line="240" w:lineRule="auto"/>
        <w:ind w:left="567" w:hanging="567"/>
        <w:rPr>
          <w:szCs w:val="22"/>
          <w:lang w:val="lt-LT"/>
        </w:rPr>
      </w:pPr>
    </w:p>
    <w:p w14:paraId="1E2F85CE" w14:textId="77777777" w:rsidR="00776FBE" w:rsidRPr="00CD7E52" w:rsidRDefault="00776FBE" w:rsidP="008F2D47">
      <w:pPr>
        <w:widowControl w:val="0"/>
        <w:spacing w:line="240" w:lineRule="auto"/>
        <w:ind w:left="567" w:hanging="567"/>
        <w:outlineLvl w:val="2"/>
        <w:rPr>
          <w:b/>
          <w:kern w:val="28"/>
          <w:szCs w:val="22"/>
          <w:lang w:val="lt-LT"/>
        </w:rPr>
      </w:pPr>
      <w:r w:rsidRPr="00CD7E52">
        <w:rPr>
          <w:b/>
          <w:snapToGrid/>
          <w:kern w:val="28"/>
          <w:szCs w:val="22"/>
          <w:lang w:val="lt-LT"/>
        </w:rPr>
        <w:t>5.1</w:t>
      </w:r>
      <w:r w:rsidRPr="00CD7E52">
        <w:rPr>
          <w:b/>
          <w:snapToGrid/>
          <w:kern w:val="28"/>
          <w:szCs w:val="22"/>
          <w:lang w:val="lt-LT"/>
        </w:rPr>
        <w:tab/>
      </w:r>
      <w:r w:rsidRPr="00CD7E52">
        <w:rPr>
          <w:b/>
          <w:kern w:val="28"/>
          <w:szCs w:val="22"/>
          <w:lang w:val="lt-LT"/>
        </w:rPr>
        <w:t>Farmakodinaminės savybės</w:t>
      </w:r>
    </w:p>
    <w:p w14:paraId="202CFA64" w14:textId="77777777" w:rsidR="001137C8" w:rsidRPr="00CD7E52" w:rsidRDefault="001137C8" w:rsidP="00BD0220">
      <w:pPr>
        <w:widowControl w:val="0"/>
        <w:tabs>
          <w:tab w:val="clear" w:pos="567"/>
        </w:tabs>
        <w:spacing w:line="240" w:lineRule="auto"/>
        <w:ind w:left="567" w:hanging="567"/>
        <w:rPr>
          <w:szCs w:val="22"/>
          <w:lang w:val="lt-LT"/>
        </w:rPr>
      </w:pPr>
    </w:p>
    <w:p w14:paraId="788E9DE6"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Farmakoterapinė grupė – imunosupresantai, selektyvieji imunosupresantai, ATC kodas – L04AA32.</w:t>
      </w:r>
    </w:p>
    <w:p w14:paraId="124C7D04"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p>
    <w:p w14:paraId="1B64AAB1" w14:textId="77777777" w:rsidR="004B4124" w:rsidRPr="00CD7E52" w:rsidRDefault="004B4124" w:rsidP="00BD0220">
      <w:pPr>
        <w:widowControl w:val="0"/>
        <w:tabs>
          <w:tab w:val="clear" w:pos="567"/>
        </w:tabs>
        <w:autoSpaceDE w:val="0"/>
        <w:autoSpaceDN w:val="0"/>
        <w:adjustRightInd w:val="0"/>
        <w:spacing w:line="240" w:lineRule="auto"/>
        <w:rPr>
          <w:szCs w:val="22"/>
          <w:u w:val="single"/>
          <w:lang w:val="lt-LT"/>
        </w:rPr>
      </w:pPr>
      <w:r w:rsidRPr="00CD7E52">
        <w:rPr>
          <w:szCs w:val="22"/>
          <w:u w:val="single"/>
          <w:lang w:val="lt-LT"/>
        </w:rPr>
        <w:t>Veikimo mechanizmas</w:t>
      </w:r>
    </w:p>
    <w:p w14:paraId="7FF51087"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Apremilastas, </w:t>
      </w:r>
      <w:r w:rsidR="00B31652" w:rsidRPr="00CD7E52">
        <w:rPr>
          <w:snapToGrid/>
          <w:szCs w:val="22"/>
          <w:lang w:val="lt-LT"/>
        </w:rPr>
        <w:t>per burną vartojamas</w:t>
      </w:r>
      <w:r w:rsidRPr="00CD7E52">
        <w:rPr>
          <w:szCs w:val="22"/>
          <w:lang w:val="lt-LT"/>
        </w:rPr>
        <w:t xml:space="preserve"> mažos molekulės fosfodiesterazės</w:t>
      </w:r>
      <w:r w:rsidR="00B31652" w:rsidRPr="00CD7E52">
        <w:rPr>
          <w:snapToGrid/>
          <w:szCs w:val="22"/>
          <w:lang w:val="lt-LT"/>
        </w:rPr>
        <w:t> </w:t>
      </w:r>
      <w:r w:rsidRPr="00CD7E52">
        <w:rPr>
          <w:szCs w:val="22"/>
          <w:lang w:val="lt-LT"/>
        </w:rPr>
        <w:t>4 (FDE4) inhibitorius, veikia ląstelių viduje,</w:t>
      </w:r>
      <w:r w:rsidR="00B31652" w:rsidRPr="00CD7E52">
        <w:rPr>
          <w:szCs w:val="22"/>
          <w:lang w:val="lt-LT"/>
        </w:rPr>
        <w:t xml:space="preserve"> </w:t>
      </w:r>
      <w:r w:rsidRPr="00CD7E52">
        <w:rPr>
          <w:szCs w:val="22"/>
          <w:lang w:val="lt-LT"/>
        </w:rPr>
        <w:t>moduliuodamas uždegiminių ir priešuždegiminių mediatorių tinklą. FDE4 yra cikliniam</w:t>
      </w:r>
      <w:r w:rsidR="00B31652" w:rsidRPr="00CD7E52">
        <w:rPr>
          <w:szCs w:val="22"/>
          <w:lang w:val="lt-LT"/>
        </w:rPr>
        <w:t xml:space="preserve"> </w:t>
      </w:r>
      <w:r w:rsidRPr="00CD7E52">
        <w:rPr>
          <w:szCs w:val="22"/>
          <w:lang w:val="lt-LT"/>
        </w:rPr>
        <w:t>adenozinomonofosfatui (cAMF) specifinė fosfodiesterazė (FDE</w:t>
      </w:r>
      <w:r w:rsidRPr="00CD7E52">
        <w:rPr>
          <w:snapToGrid/>
          <w:szCs w:val="22"/>
          <w:lang w:val="lt-LT"/>
        </w:rPr>
        <w:t>)</w:t>
      </w:r>
      <w:r w:rsidR="00B31652" w:rsidRPr="00CD7E52">
        <w:rPr>
          <w:snapToGrid/>
          <w:szCs w:val="22"/>
          <w:lang w:val="lt-LT"/>
        </w:rPr>
        <w:t xml:space="preserve"> ir</w:t>
      </w:r>
      <w:r w:rsidR="00B31652" w:rsidRPr="00CD7E52">
        <w:rPr>
          <w:szCs w:val="22"/>
          <w:lang w:val="lt-LT"/>
        </w:rPr>
        <w:t xml:space="preserve"> </w:t>
      </w:r>
      <w:r w:rsidRPr="00CD7E52">
        <w:rPr>
          <w:szCs w:val="22"/>
          <w:lang w:val="lt-LT"/>
        </w:rPr>
        <w:t>uždegiminėse ląstelėse</w:t>
      </w:r>
      <w:r w:rsidR="00B31652" w:rsidRPr="00CD7E52">
        <w:rPr>
          <w:snapToGrid/>
          <w:szCs w:val="22"/>
          <w:lang w:val="lt-LT"/>
        </w:rPr>
        <w:t xml:space="preserve"> dominuojanti FDE</w:t>
      </w:r>
      <w:r w:rsidRPr="00CD7E52">
        <w:rPr>
          <w:szCs w:val="22"/>
          <w:lang w:val="lt-LT"/>
        </w:rPr>
        <w:t>.</w:t>
      </w:r>
      <w:r w:rsidR="00B31652" w:rsidRPr="00CD7E52">
        <w:rPr>
          <w:szCs w:val="22"/>
          <w:lang w:val="lt-LT"/>
        </w:rPr>
        <w:t xml:space="preserve"> </w:t>
      </w:r>
      <w:r w:rsidRPr="00CD7E52">
        <w:rPr>
          <w:szCs w:val="22"/>
          <w:lang w:val="lt-LT"/>
        </w:rPr>
        <w:t>Slopinant PDE4, didėja cAMF koncentracija ląstelės viduje</w:t>
      </w:r>
      <w:r w:rsidR="003F4C62" w:rsidRPr="00CD7E52">
        <w:rPr>
          <w:szCs w:val="22"/>
          <w:lang w:val="lt-LT"/>
        </w:rPr>
        <w:t>, kuris pakeisdamas</w:t>
      </w:r>
      <w:r w:rsidRPr="00CD7E52">
        <w:rPr>
          <w:szCs w:val="22"/>
          <w:lang w:val="lt-LT"/>
        </w:rPr>
        <w:t xml:space="preserve"> TNF-α, IL-23, IL-17 ir kitų</w:t>
      </w:r>
      <w:r w:rsidR="00B31652" w:rsidRPr="00CD7E52">
        <w:rPr>
          <w:szCs w:val="22"/>
          <w:lang w:val="lt-LT"/>
        </w:rPr>
        <w:t xml:space="preserve"> </w:t>
      </w:r>
      <w:r w:rsidRPr="00CD7E52">
        <w:rPr>
          <w:szCs w:val="22"/>
          <w:lang w:val="lt-LT"/>
        </w:rPr>
        <w:t>uždegiminių citokinų raišk</w:t>
      </w:r>
      <w:r w:rsidR="00B56306" w:rsidRPr="00CD7E52">
        <w:rPr>
          <w:szCs w:val="22"/>
          <w:lang w:val="lt-LT"/>
        </w:rPr>
        <w:t>ą</w:t>
      </w:r>
      <w:r w:rsidRPr="00CD7E52">
        <w:rPr>
          <w:szCs w:val="22"/>
          <w:lang w:val="lt-LT"/>
        </w:rPr>
        <w:t xml:space="preserve">, </w:t>
      </w:r>
      <w:r w:rsidR="00BF5F21" w:rsidRPr="00CD7E52">
        <w:rPr>
          <w:szCs w:val="22"/>
          <w:lang w:val="lt-LT"/>
        </w:rPr>
        <w:t xml:space="preserve">slopina </w:t>
      </w:r>
      <w:r w:rsidRPr="00CD7E52">
        <w:rPr>
          <w:szCs w:val="22"/>
          <w:lang w:val="lt-LT"/>
        </w:rPr>
        <w:t>uždegimin</w:t>
      </w:r>
      <w:r w:rsidR="00BF5F21" w:rsidRPr="00CD7E52">
        <w:rPr>
          <w:szCs w:val="22"/>
          <w:lang w:val="lt-LT"/>
        </w:rPr>
        <w:t>ę</w:t>
      </w:r>
      <w:r w:rsidRPr="00CD7E52">
        <w:rPr>
          <w:szCs w:val="22"/>
          <w:lang w:val="lt-LT"/>
        </w:rPr>
        <w:t xml:space="preserve"> reakcij</w:t>
      </w:r>
      <w:r w:rsidR="00BF5F21" w:rsidRPr="00CD7E52">
        <w:rPr>
          <w:szCs w:val="22"/>
          <w:lang w:val="lt-LT"/>
        </w:rPr>
        <w:t>ą</w:t>
      </w:r>
      <w:r w:rsidRPr="00CD7E52">
        <w:rPr>
          <w:szCs w:val="22"/>
          <w:lang w:val="lt-LT"/>
        </w:rPr>
        <w:t>. Ciklinis AMF taip pat keičia priešuždegiminių</w:t>
      </w:r>
      <w:r w:rsidR="00B31652" w:rsidRPr="00CD7E52">
        <w:rPr>
          <w:szCs w:val="22"/>
          <w:lang w:val="lt-LT"/>
        </w:rPr>
        <w:t xml:space="preserve"> </w:t>
      </w:r>
      <w:r w:rsidRPr="00CD7E52">
        <w:rPr>
          <w:szCs w:val="22"/>
          <w:lang w:val="lt-LT"/>
        </w:rPr>
        <w:t>citokinų, pvz., IL-10, koncentraciją. Šie uždegiminiai ir priešuždegiminiai mediatoriai yra susiję su</w:t>
      </w:r>
      <w:r w:rsidR="00B31652" w:rsidRPr="00CD7E52">
        <w:rPr>
          <w:szCs w:val="22"/>
          <w:lang w:val="lt-LT"/>
        </w:rPr>
        <w:t xml:space="preserve"> </w:t>
      </w:r>
      <w:r w:rsidRPr="00CD7E52">
        <w:rPr>
          <w:szCs w:val="22"/>
          <w:lang w:val="lt-LT"/>
        </w:rPr>
        <w:t>psoriaziniu artritu ir psoriaze.</w:t>
      </w:r>
    </w:p>
    <w:p w14:paraId="77880F23"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p>
    <w:p w14:paraId="39B9BAE9" w14:textId="77777777" w:rsidR="004B4124" w:rsidRPr="00CD7E52" w:rsidRDefault="004B4124" w:rsidP="00BD0220">
      <w:pPr>
        <w:widowControl w:val="0"/>
        <w:tabs>
          <w:tab w:val="clear" w:pos="567"/>
        </w:tabs>
        <w:autoSpaceDE w:val="0"/>
        <w:autoSpaceDN w:val="0"/>
        <w:adjustRightInd w:val="0"/>
        <w:spacing w:line="240" w:lineRule="auto"/>
        <w:rPr>
          <w:szCs w:val="22"/>
          <w:u w:val="single"/>
          <w:lang w:val="lt-LT"/>
        </w:rPr>
      </w:pPr>
      <w:r w:rsidRPr="00CD7E52">
        <w:rPr>
          <w:szCs w:val="22"/>
          <w:u w:val="single"/>
          <w:lang w:val="lt-LT"/>
        </w:rPr>
        <w:t>Farmakodinaminis poveikis</w:t>
      </w:r>
    </w:p>
    <w:p w14:paraId="2544469A" w14:textId="77777777" w:rsidR="00BE02AD" w:rsidRPr="00CD7E52" w:rsidRDefault="004B4124" w:rsidP="0050207D">
      <w:pPr>
        <w:widowControl w:val="0"/>
        <w:tabs>
          <w:tab w:val="clear" w:pos="567"/>
        </w:tabs>
        <w:autoSpaceDE w:val="0"/>
        <w:autoSpaceDN w:val="0"/>
        <w:adjustRightInd w:val="0"/>
        <w:spacing w:line="240" w:lineRule="auto"/>
        <w:rPr>
          <w:snapToGrid/>
          <w:szCs w:val="22"/>
          <w:lang w:val="lt-LT" w:eastAsia="lt-LT"/>
        </w:rPr>
      </w:pPr>
      <w:r w:rsidRPr="00CD7E52">
        <w:rPr>
          <w:szCs w:val="22"/>
          <w:lang w:val="lt-LT"/>
        </w:rPr>
        <w:t>Atliekant klinikinius tyrimus, kuriuose dalyvavo psoriaziniu artritu sergantys pacientai, apremilastas</w:t>
      </w:r>
      <w:r w:rsidR="00EA4A38" w:rsidRPr="00CD7E52">
        <w:rPr>
          <w:szCs w:val="22"/>
          <w:lang w:val="lt-LT"/>
        </w:rPr>
        <w:t xml:space="preserve"> </w:t>
      </w:r>
      <w:r w:rsidRPr="00CD7E52">
        <w:rPr>
          <w:szCs w:val="22"/>
          <w:lang w:val="lt-LT"/>
        </w:rPr>
        <w:t xml:space="preserve">reikšmingai moduliavo, tačiau pilnai neslopino </w:t>
      </w:r>
      <w:r w:rsidR="00EA4A38" w:rsidRPr="00CD7E52">
        <w:rPr>
          <w:szCs w:val="22"/>
          <w:lang w:val="lt-LT"/>
        </w:rPr>
        <w:t xml:space="preserve">kraujo </w:t>
      </w:r>
      <w:r w:rsidRPr="00CD7E52">
        <w:rPr>
          <w:szCs w:val="22"/>
          <w:lang w:val="lt-LT"/>
        </w:rPr>
        <w:t>plazmos baltymų IL-1 α, IL-6, IL-8, MCP-1, MIP-1β,</w:t>
      </w:r>
      <w:r w:rsidR="00A87582" w:rsidRPr="00CD7E52">
        <w:rPr>
          <w:szCs w:val="22"/>
          <w:lang w:val="lt-LT"/>
        </w:rPr>
        <w:t> </w:t>
      </w:r>
      <w:r w:rsidR="0050207D" w:rsidRPr="00CD7E52">
        <w:rPr>
          <w:spacing w:val="-4"/>
          <w:szCs w:val="22"/>
          <w:lang w:val="lt-LT"/>
        </w:rPr>
        <w:t>MMP</w:t>
      </w:r>
      <w:r w:rsidR="0050207D" w:rsidRPr="00CD7E52">
        <w:rPr>
          <w:spacing w:val="-4"/>
          <w:szCs w:val="22"/>
          <w:lang w:val="lt-LT"/>
        </w:rPr>
        <w:noBreakHyphen/>
      </w:r>
      <w:r w:rsidRPr="00CD7E52">
        <w:rPr>
          <w:snapToGrid/>
          <w:szCs w:val="22"/>
          <w:lang w:val="lt-LT"/>
        </w:rPr>
        <w:t>3</w:t>
      </w:r>
      <w:r w:rsidRPr="00CD7E52">
        <w:rPr>
          <w:szCs w:val="22"/>
          <w:lang w:val="lt-LT"/>
        </w:rPr>
        <w:t xml:space="preserve"> ir TNF- α koncentracijos. Po 40</w:t>
      </w:r>
      <w:r w:rsidR="00EA4A38" w:rsidRPr="00CD7E52">
        <w:rPr>
          <w:szCs w:val="22"/>
          <w:lang w:val="lt-LT"/>
        </w:rPr>
        <w:t> </w:t>
      </w:r>
      <w:r w:rsidRPr="00CD7E52">
        <w:rPr>
          <w:szCs w:val="22"/>
          <w:lang w:val="lt-LT"/>
        </w:rPr>
        <w:t>gydymo apremilastu</w:t>
      </w:r>
      <w:r w:rsidR="002A3196" w:rsidRPr="00CD7E52">
        <w:rPr>
          <w:szCs w:val="22"/>
          <w:lang w:val="lt-LT"/>
        </w:rPr>
        <w:t xml:space="preserve"> </w:t>
      </w:r>
      <w:r w:rsidR="00C65C08" w:rsidRPr="00CD7E52">
        <w:rPr>
          <w:szCs w:val="22"/>
          <w:lang w:val="lt-LT"/>
        </w:rPr>
        <w:t>savai</w:t>
      </w:r>
      <w:r w:rsidRPr="00CD7E52">
        <w:rPr>
          <w:szCs w:val="22"/>
          <w:lang w:val="lt-LT"/>
        </w:rPr>
        <w:t>čių plazmos baltymų IL</w:t>
      </w:r>
      <w:r w:rsidR="00D058C4" w:rsidRPr="00CD7E52">
        <w:rPr>
          <w:szCs w:val="22"/>
          <w:lang w:val="lt-LT"/>
        </w:rPr>
        <w:t> </w:t>
      </w:r>
      <w:r w:rsidRPr="00CD7E52">
        <w:rPr>
          <w:szCs w:val="22"/>
          <w:lang w:val="lt-LT"/>
        </w:rPr>
        <w:t>17 ir IL-23</w:t>
      </w:r>
      <w:r w:rsidR="00EA4A38" w:rsidRPr="00CD7E52">
        <w:rPr>
          <w:szCs w:val="22"/>
          <w:lang w:val="lt-LT"/>
        </w:rPr>
        <w:t xml:space="preserve"> </w:t>
      </w:r>
      <w:r w:rsidRPr="00CD7E52">
        <w:rPr>
          <w:szCs w:val="22"/>
          <w:lang w:val="lt-LT"/>
        </w:rPr>
        <w:t>koncentracija sumažėjo, o IL-10 – padidėjo. Atliekant klinikinius tyrimus, kuriuose dalyvavo psoriaze</w:t>
      </w:r>
      <w:r w:rsidR="00EA4A38" w:rsidRPr="00CD7E52">
        <w:rPr>
          <w:szCs w:val="22"/>
          <w:lang w:val="lt-LT"/>
        </w:rPr>
        <w:t xml:space="preserve"> </w:t>
      </w:r>
      <w:r w:rsidRPr="00CD7E52">
        <w:rPr>
          <w:szCs w:val="22"/>
          <w:lang w:val="lt-LT"/>
        </w:rPr>
        <w:t xml:space="preserve">sergantys pacientai, apremilastas </w:t>
      </w:r>
      <w:r w:rsidR="00944538" w:rsidRPr="00CD7E52">
        <w:rPr>
          <w:szCs w:val="22"/>
          <w:lang w:val="lt-LT"/>
        </w:rPr>
        <w:t>su</w:t>
      </w:r>
      <w:r w:rsidRPr="00CD7E52">
        <w:rPr>
          <w:szCs w:val="22"/>
          <w:lang w:val="lt-LT"/>
        </w:rPr>
        <w:t>mažino pažeisto odos epidermio storį, uždegiminę ląstelių infiltraciją ir</w:t>
      </w:r>
      <w:r w:rsidR="00EA4A38" w:rsidRPr="00CD7E52">
        <w:rPr>
          <w:szCs w:val="22"/>
          <w:lang w:val="lt-LT"/>
        </w:rPr>
        <w:t xml:space="preserve"> </w:t>
      </w:r>
      <w:r w:rsidRPr="00CD7E52">
        <w:rPr>
          <w:szCs w:val="22"/>
          <w:lang w:val="lt-LT"/>
        </w:rPr>
        <w:t>uždegiminių genų raišką, įskaitant ir atsakingus už azoto oksido sintezės skatinimą (iNOS), IL-12/IL-23p40,</w:t>
      </w:r>
      <w:r w:rsidR="00EA4A38" w:rsidRPr="00CD7E52">
        <w:rPr>
          <w:szCs w:val="22"/>
          <w:lang w:val="lt-LT"/>
        </w:rPr>
        <w:t xml:space="preserve"> </w:t>
      </w:r>
      <w:r w:rsidRPr="00CD7E52">
        <w:rPr>
          <w:szCs w:val="22"/>
          <w:lang w:val="lt-LT"/>
        </w:rPr>
        <w:t>IL-17A, IL-22 ir IL-8. Klinikiniuose tyrimuose, kuriuose dalyvavo apremilastu gydyti Bechčeto liga</w:t>
      </w:r>
      <w:r w:rsidR="00EA4A38" w:rsidRPr="00CD7E52">
        <w:rPr>
          <w:szCs w:val="22"/>
          <w:lang w:val="lt-LT"/>
        </w:rPr>
        <w:t xml:space="preserve"> </w:t>
      </w:r>
      <w:r w:rsidRPr="00CD7E52">
        <w:rPr>
          <w:szCs w:val="22"/>
          <w:lang w:val="lt-LT"/>
        </w:rPr>
        <w:t xml:space="preserve">sergantys pacientai, nustatytas reikšmingas teigiamas ryšys tarp TNF-alfa </w:t>
      </w:r>
      <w:r w:rsidR="00EA4A38" w:rsidRPr="00CD7E52">
        <w:rPr>
          <w:szCs w:val="22"/>
          <w:lang w:val="lt-LT"/>
        </w:rPr>
        <w:t xml:space="preserve">koncentracijos </w:t>
      </w:r>
      <w:r w:rsidRPr="00CD7E52">
        <w:rPr>
          <w:szCs w:val="22"/>
          <w:lang w:val="lt-LT"/>
        </w:rPr>
        <w:t xml:space="preserve">pokyčio </w:t>
      </w:r>
      <w:r w:rsidR="00EA4A38" w:rsidRPr="00CD7E52">
        <w:rPr>
          <w:szCs w:val="22"/>
          <w:lang w:val="lt-LT"/>
        </w:rPr>
        <w:t xml:space="preserve">kraujo </w:t>
      </w:r>
      <w:r w:rsidRPr="00CD7E52">
        <w:rPr>
          <w:szCs w:val="22"/>
          <w:lang w:val="lt-LT"/>
        </w:rPr>
        <w:t>plazmoje ir klinikinio</w:t>
      </w:r>
      <w:r w:rsidR="00EA4A38" w:rsidRPr="00CD7E52">
        <w:rPr>
          <w:szCs w:val="22"/>
          <w:lang w:val="lt-LT"/>
        </w:rPr>
        <w:t xml:space="preserve"> </w:t>
      </w:r>
      <w:r w:rsidRPr="00CD7E52">
        <w:rPr>
          <w:szCs w:val="22"/>
          <w:lang w:val="lt-LT"/>
        </w:rPr>
        <w:t>veiksmingumo, išmatuoto pagal burnos opų skaičių.</w:t>
      </w:r>
    </w:p>
    <w:p w14:paraId="47554023" w14:textId="77777777" w:rsidR="00BE02AD" w:rsidRPr="00CD7E52" w:rsidRDefault="00BE02AD" w:rsidP="00BD0220">
      <w:pPr>
        <w:widowControl w:val="0"/>
        <w:tabs>
          <w:tab w:val="clear" w:pos="567"/>
        </w:tabs>
        <w:autoSpaceDE w:val="0"/>
        <w:autoSpaceDN w:val="0"/>
        <w:adjustRightInd w:val="0"/>
        <w:spacing w:line="240" w:lineRule="auto"/>
        <w:rPr>
          <w:szCs w:val="22"/>
          <w:lang w:val="lt-LT"/>
        </w:rPr>
      </w:pPr>
    </w:p>
    <w:p w14:paraId="2C8A4F6A"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Apremilastas, vartojamas iki 50</w:t>
      </w:r>
      <w:r w:rsidR="00A87582" w:rsidRPr="00CD7E52">
        <w:rPr>
          <w:szCs w:val="22"/>
          <w:lang w:val="lt-LT"/>
        </w:rPr>
        <w:t> mg</w:t>
      </w:r>
      <w:r w:rsidRPr="00CD7E52">
        <w:rPr>
          <w:szCs w:val="22"/>
          <w:lang w:val="lt-LT"/>
        </w:rPr>
        <w:t xml:space="preserve"> du kartus per parą dozėmis, QT intervalo sveikiems tiriamiesiems</w:t>
      </w:r>
      <w:r w:rsidR="00EA4A38" w:rsidRPr="00CD7E52">
        <w:rPr>
          <w:szCs w:val="22"/>
          <w:lang w:val="lt-LT"/>
        </w:rPr>
        <w:t xml:space="preserve"> </w:t>
      </w:r>
      <w:r w:rsidRPr="00CD7E52">
        <w:rPr>
          <w:szCs w:val="22"/>
          <w:lang w:val="lt-LT"/>
        </w:rPr>
        <w:t>nepailgino.</w:t>
      </w:r>
    </w:p>
    <w:p w14:paraId="51156109"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p>
    <w:p w14:paraId="3C3873B5" w14:textId="77777777" w:rsidR="004B4124" w:rsidRPr="00CD7E52" w:rsidRDefault="004B4124" w:rsidP="00BD0220">
      <w:pPr>
        <w:widowControl w:val="0"/>
        <w:tabs>
          <w:tab w:val="clear" w:pos="567"/>
        </w:tabs>
        <w:autoSpaceDE w:val="0"/>
        <w:autoSpaceDN w:val="0"/>
        <w:adjustRightInd w:val="0"/>
        <w:spacing w:line="240" w:lineRule="auto"/>
        <w:rPr>
          <w:szCs w:val="22"/>
          <w:u w:val="single"/>
          <w:lang w:val="lt-LT"/>
        </w:rPr>
      </w:pPr>
      <w:r w:rsidRPr="00CD7E52">
        <w:rPr>
          <w:szCs w:val="22"/>
          <w:u w:val="single"/>
          <w:lang w:val="lt-LT"/>
        </w:rPr>
        <w:t>Klinikinis veiksmingumas ir saugumas</w:t>
      </w:r>
    </w:p>
    <w:p w14:paraId="5CBBADA2" w14:textId="77777777" w:rsidR="00EA4A38" w:rsidRPr="00CD7E52" w:rsidRDefault="00EA4A38" w:rsidP="00BD0220">
      <w:pPr>
        <w:widowControl w:val="0"/>
        <w:tabs>
          <w:tab w:val="clear" w:pos="567"/>
        </w:tabs>
        <w:autoSpaceDE w:val="0"/>
        <w:autoSpaceDN w:val="0"/>
        <w:adjustRightInd w:val="0"/>
        <w:spacing w:line="240" w:lineRule="auto"/>
        <w:rPr>
          <w:szCs w:val="22"/>
          <w:lang w:val="lt-LT"/>
        </w:rPr>
      </w:pPr>
    </w:p>
    <w:p w14:paraId="2701199D" w14:textId="77777777" w:rsidR="004B4124" w:rsidRPr="00CD7E52" w:rsidRDefault="004B4124" w:rsidP="00BD0220">
      <w:pPr>
        <w:widowControl w:val="0"/>
        <w:tabs>
          <w:tab w:val="clear" w:pos="567"/>
        </w:tabs>
        <w:autoSpaceDE w:val="0"/>
        <w:autoSpaceDN w:val="0"/>
        <w:adjustRightInd w:val="0"/>
        <w:spacing w:line="240" w:lineRule="auto"/>
        <w:rPr>
          <w:szCs w:val="22"/>
          <w:u w:val="single"/>
          <w:lang w:val="lt-LT"/>
        </w:rPr>
      </w:pPr>
      <w:r w:rsidRPr="00CD7E52">
        <w:rPr>
          <w:i/>
          <w:szCs w:val="22"/>
          <w:u w:val="single"/>
          <w:lang w:val="lt-LT"/>
        </w:rPr>
        <w:t>Psoriazinis artritas</w:t>
      </w:r>
    </w:p>
    <w:p w14:paraId="704055E1"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Apremilasto saugumas ir veiksmingumas buvo vertinamas atliekant 3 daugiacentrius, atsitiktinių imčių,</w:t>
      </w:r>
      <w:r w:rsidR="009F17E0" w:rsidRPr="00CD7E52">
        <w:rPr>
          <w:szCs w:val="22"/>
          <w:lang w:val="lt-LT"/>
        </w:rPr>
        <w:t xml:space="preserve"> </w:t>
      </w:r>
      <w:r w:rsidRPr="00CD7E52">
        <w:rPr>
          <w:szCs w:val="22"/>
          <w:lang w:val="lt-LT"/>
        </w:rPr>
        <w:t xml:space="preserve">dvigubai </w:t>
      </w:r>
      <w:r w:rsidR="009F17E0" w:rsidRPr="00CD7E52">
        <w:rPr>
          <w:snapToGrid/>
          <w:szCs w:val="22"/>
          <w:lang w:val="lt-LT"/>
        </w:rPr>
        <w:t>koduotus</w:t>
      </w:r>
      <w:r w:rsidRPr="00CD7E52">
        <w:rPr>
          <w:szCs w:val="22"/>
          <w:lang w:val="lt-LT"/>
        </w:rPr>
        <w:t xml:space="preserve">, placebu </w:t>
      </w:r>
      <w:r w:rsidRPr="00CD7E52">
        <w:rPr>
          <w:snapToGrid/>
          <w:szCs w:val="22"/>
          <w:lang w:val="lt-LT"/>
        </w:rPr>
        <w:t>kontroliuo</w:t>
      </w:r>
      <w:r w:rsidR="00C65635" w:rsidRPr="00CD7E52">
        <w:rPr>
          <w:snapToGrid/>
          <w:szCs w:val="22"/>
          <w:lang w:val="lt-LT"/>
        </w:rPr>
        <w:t>t</w:t>
      </w:r>
      <w:r w:rsidRPr="00CD7E52">
        <w:rPr>
          <w:snapToGrid/>
          <w:szCs w:val="22"/>
          <w:lang w:val="lt-LT"/>
        </w:rPr>
        <w:t>us</w:t>
      </w:r>
      <w:r w:rsidRPr="00CD7E52">
        <w:rPr>
          <w:szCs w:val="22"/>
          <w:lang w:val="lt-LT"/>
        </w:rPr>
        <w:t xml:space="preserve"> panašios </w:t>
      </w:r>
      <w:r w:rsidR="009F17E0" w:rsidRPr="00CD7E52">
        <w:rPr>
          <w:snapToGrid/>
          <w:szCs w:val="22"/>
          <w:lang w:val="lt-LT"/>
        </w:rPr>
        <w:t>struktūros</w:t>
      </w:r>
      <w:r w:rsidRPr="00CD7E52">
        <w:rPr>
          <w:szCs w:val="22"/>
          <w:lang w:val="lt-LT"/>
        </w:rPr>
        <w:t xml:space="preserve"> tyrimus (tyrimus PALAC</w:t>
      </w:r>
      <w:r w:rsidR="00BD30CA" w:rsidRPr="00CD7E52">
        <w:rPr>
          <w:szCs w:val="22"/>
          <w:lang w:val="lt-LT"/>
        </w:rPr>
        <w:t>E</w:t>
      </w:r>
      <w:r w:rsidR="00BD30CA" w:rsidRPr="00CD7E52">
        <w:rPr>
          <w:snapToGrid/>
          <w:szCs w:val="22"/>
          <w:lang w:val="lt-LT"/>
        </w:rPr>
        <w:t> </w:t>
      </w:r>
      <w:r w:rsidR="00BD30CA" w:rsidRPr="00CD7E52">
        <w:rPr>
          <w:szCs w:val="22"/>
          <w:lang w:val="lt-LT"/>
        </w:rPr>
        <w:t>1</w:t>
      </w:r>
      <w:r w:rsidRPr="00CD7E52">
        <w:rPr>
          <w:szCs w:val="22"/>
          <w:lang w:val="lt-LT"/>
        </w:rPr>
        <w:t>, PALAC</w:t>
      </w:r>
      <w:r w:rsidR="00BD30CA" w:rsidRPr="00CD7E52">
        <w:rPr>
          <w:szCs w:val="22"/>
          <w:lang w:val="lt-LT"/>
        </w:rPr>
        <w:t>E</w:t>
      </w:r>
      <w:r w:rsidR="00BD30CA" w:rsidRPr="00CD7E52">
        <w:rPr>
          <w:snapToGrid/>
          <w:szCs w:val="22"/>
          <w:lang w:val="lt-LT"/>
        </w:rPr>
        <w:t> </w:t>
      </w:r>
      <w:r w:rsidR="00BD30CA" w:rsidRPr="00CD7E52">
        <w:rPr>
          <w:szCs w:val="22"/>
          <w:lang w:val="lt-LT"/>
        </w:rPr>
        <w:t>2</w:t>
      </w:r>
      <w:r w:rsidR="009F17E0" w:rsidRPr="00CD7E52">
        <w:rPr>
          <w:szCs w:val="22"/>
          <w:lang w:val="lt-LT"/>
        </w:rPr>
        <w:t xml:space="preserve"> </w:t>
      </w:r>
      <w:r w:rsidRPr="00CD7E52">
        <w:rPr>
          <w:szCs w:val="22"/>
          <w:lang w:val="lt-LT"/>
        </w:rPr>
        <w:t>bei PALAC</w:t>
      </w:r>
      <w:r w:rsidR="00BD30CA" w:rsidRPr="00CD7E52">
        <w:rPr>
          <w:szCs w:val="22"/>
          <w:lang w:val="lt-LT"/>
        </w:rPr>
        <w:t>E</w:t>
      </w:r>
      <w:r w:rsidR="00BD30CA" w:rsidRPr="00CD7E52">
        <w:rPr>
          <w:snapToGrid/>
          <w:szCs w:val="22"/>
          <w:lang w:val="lt-LT"/>
        </w:rPr>
        <w:t> </w:t>
      </w:r>
      <w:r w:rsidR="00BD30CA" w:rsidRPr="00CD7E52">
        <w:rPr>
          <w:szCs w:val="22"/>
          <w:lang w:val="lt-LT"/>
        </w:rPr>
        <w:t>3</w:t>
      </w:r>
      <w:r w:rsidRPr="00CD7E52">
        <w:rPr>
          <w:szCs w:val="22"/>
          <w:lang w:val="lt-LT"/>
        </w:rPr>
        <w:t>), kuriuose dalyvavo aktyviu PsA (</w:t>
      </w:r>
      <w:r w:rsidR="009F17E0" w:rsidRPr="00FF4333">
        <w:rPr>
          <w:szCs w:val="22"/>
          <w:lang w:val="lt-LT"/>
        </w:rPr>
        <w:t>≥ </w:t>
      </w:r>
      <w:r w:rsidRPr="00CD7E52">
        <w:rPr>
          <w:szCs w:val="22"/>
          <w:lang w:val="lt-LT"/>
        </w:rPr>
        <w:t xml:space="preserve">3 patinę sąnariai ir </w:t>
      </w:r>
      <w:r w:rsidR="009F17E0" w:rsidRPr="00FF4333">
        <w:rPr>
          <w:szCs w:val="22"/>
          <w:lang w:val="lt-LT"/>
        </w:rPr>
        <w:t>≥ </w:t>
      </w:r>
      <w:r w:rsidRPr="00CD7E52">
        <w:rPr>
          <w:szCs w:val="22"/>
          <w:lang w:val="lt-LT"/>
        </w:rPr>
        <w:t>3 skausmingi sąnariai) sergantys</w:t>
      </w:r>
      <w:r w:rsidR="009F17E0" w:rsidRPr="00CD7E52">
        <w:rPr>
          <w:szCs w:val="22"/>
          <w:lang w:val="lt-LT"/>
        </w:rPr>
        <w:t xml:space="preserve"> </w:t>
      </w:r>
      <w:r w:rsidRPr="00CD7E52">
        <w:rPr>
          <w:szCs w:val="22"/>
          <w:lang w:val="lt-LT"/>
        </w:rPr>
        <w:t>suaugę pacientai, nepaisant ankstesnio gydymo sintetiniais arba biologiniais LEMVNR. Iš viso</w:t>
      </w:r>
      <w:r w:rsidR="007D7854" w:rsidRPr="00CD7E52">
        <w:rPr>
          <w:szCs w:val="22"/>
          <w:lang w:val="lt-LT"/>
        </w:rPr>
        <w:t xml:space="preserve"> </w:t>
      </w:r>
      <w:r w:rsidRPr="00CD7E52">
        <w:rPr>
          <w:szCs w:val="22"/>
          <w:lang w:val="lt-LT"/>
        </w:rPr>
        <w:t>1</w:t>
      </w:r>
      <w:r w:rsidR="007D7854" w:rsidRPr="00CD7E52">
        <w:rPr>
          <w:szCs w:val="22"/>
          <w:lang w:val="lt-LT"/>
        </w:rPr>
        <w:t> </w:t>
      </w:r>
      <w:r w:rsidRPr="00CD7E52">
        <w:rPr>
          <w:szCs w:val="22"/>
          <w:lang w:val="lt-LT"/>
        </w:rPr>
        <w:t>493</w:t>
      </w:r>
      <w:r w:rsidR="007D7854" w:rsidRPr="00CD7E52">
        <w:rPr>
          <w:szCs w:val="22"/>
          <w:lang w:val="lt-LT"/>
        </w:rPr>
        <w:t> </w:t>
      </w:r>
      <w:r w:rsidRPr="00CD7E52">
        <w:rPr>
          <w:szCs w:val="22"/>
          <w:lang w:val="lt-LT"/>
        </w:rPr>
        <w:t xml:space="preserve">pacientai </w:t>
      </w:r>
      <w:r w:rsidR="007D7854" w:rsidRPr="00CD7E52">
        <w:rPr>
          <w:szCs w:val="22"/>
          <w:lang w:val="lt-LT"/>
        </w:rPr>
        <w:t xml:space="preserve">buvo </w:t>
      </w:r>
      <w:r w:rsidR="007D7854" w:rsidRPr="00CD7E52">
        <w:rPr>
          <w:snapToGrid/>
          <w:szCs w:val="22"/>
          <w:lang w:val="lt-LT"/>
        </w:rPr>
        <w:t>suskirstyti į atsitiktines imtis</w:t>
      </w:r>
      <w:r w:rsidR="007D7854" w:rsidRPr="00CD7E52">
        <w:rPr>
          <w:szCs w:val="22"/>
          <w:lang w:val="lt-LT"/>
        </w:rPr>
        <w:t xml:space="preserve"> ir </w:t>
      </w:r>
      <w:r w:rsidR="007D7854" w:rsidRPr="00CD7E52">
        <w:rPr>
          <w:snapToGrid/>
          <w:szCs w:val="22"/>
          <w:lang w:val="lt-LT"/>
        </w:rPr>
        <w:t>per burną du kartus per parą vartojo</w:t>
      </w:r>
      <w:r w:rsidRPr="00CD7E52">
        <w:rPr>
          <w:szCs w:val="22"/>
          <w:lang w:val="lt-LT"/>
        </w:rPr>
        <w:t xml:space="preserve"> placeb</w:t>
      </w:r>
      <w:r w:rsidR="002D6175" w:rsidRPr="00CD7E52">
        <w:rPr>
          <w:szCs w:val="22"/>
          <w:lang w:val="lt-LT"/>
        </w:rPr>
        <w:t>o</w:t>
      </w:r>
      <w:r w:rsidRPr="00CD7E52">
        <w:rPr>
          <w:szCs w:val="22"/>
          <w:lang w:val="lt-LT"/>
        </w:rPr>
        <w:t>, 20</w:t>
      </w:r>
      <w:r w:rsidR="00A87582" w:rsidRPr="00CD7E52">
        <w:rPr>
          <w:szCs w:val="22"/>
          <w:lang w:val="lt-LT"/>
        </w:rPr>
        <w:t> mg</w:t>
      </w:r>
      <w:r w:rsidRPr="00CD7E52">
        <w:rPr>
          <w:szCs w:val="22"/>
          <w:lang w:val="lt-LT"/>
        </w:rPr>
        <w:t xml:space="preserve"> apremilasto arba 30</w:t>
      </w:r>
      <w:r w:rsidR="00A87582" w:rsidRPr="00CD7E52">
        <w:rPr>
          <w:szCs w:val="22"/>
          <w:lang w:val="lt-LT"/>
        </w:rPr>
        <w:t> mg</w:t>
      </w:r>
      <w:r w:rsidR="007D7854" w:rsidRPr="00CD7E52">
        <w:rPr>
          <w:szCs w:val="22"/>
          <w:lang w:val="lt-LT"/>
        </w:rPr>
        <w:t xml:space="preserve"> </w:t>
      </w:r>
      <w:r w:rsidRPr="00CD7E52">
        <w:rPr>
          <w:szCs w:val="22"/>
          <w:lang w:val="lt-LT"/>
        </w:rPr>
        <w:t>apremilast</w:t>
      </w:r>
      <w:r w:rsidR="007D7854" w:rsidRPr="00CD7E52">
        <w:rPr>
          <w:szCs w:val="22"/>
          <w:lang w:val="lt-LT"/>
        </w:rPr>
        <w:t>o</w:t>
      </w:r>
      <w:r w:rsidRPr="00CD7E52">
        <w:rPr>
          <w:szCs w:val="22"/>
          <w:lang w:val="lt-LT"/>
        </w:rPr>
        <w:t>.</w:t>
      </w:r>
    </w:p>
    <w:p w14:paraId="6F2B7B44" w14:textId="77777777" w:rsidR="009F17E0" w:rsidRPr="00CD7E52" w:rsidRDefault="009F17E0" w:rsidP="00BD0220">
      <w:pPr>
        <w:widowControl w:val="0"/>
        <w:tabs>
          <w:tab w:val="clear" w:pos="567"/>
        </w:tabs>
        <w:autoSpaceDE w:val="0"/>
        <w:autoSpaceDN w:val="0"/>
        <w:adjustRightInd w:val="0"/>
        <w:spacing w:line="240" w:lineRule="auto"/>
        <w:rPr>
          <w:szCs w:val="22"/>
          <w:lang w:val="lt-LT"/>
        </w:rPr>
      </w:pPr>
    </w:p>
    <w:p w14:paraId="7224DA82" w14:textId="77777777" w:rsidR="004B4124" w:rsidRPr="00CD7E52" w:rsidRDefault="004B4124" w:rsidP="00DB2543">
      <w:pPr>
        <w:keepNext/>
        <w:keepLines/>
        <w:widowControl w:val="0"/>
        <w:tabs>
          <w:tab w:val="clear" w:pos="567"/>
        </w:tabs>
        <w:autoSpaceDE w:val="0"/>
        <w:autoSpaceDN w:val="0"/>
        <w:adjustRightInd w:val="0"/>
        <w:spacing w:line="240" w:lineRule="auto"/>
        <w:rPr>
          <w:szCs w:val="22"/>
          <w:lang w:val="lt-LT"/>
        </w:rPr>
      </w:pPr>
      <w:r w:rsidRPr="00CD7E52">
        <w:rPr>
          <w:szCs w:val="22"/>
          <w:lang w:val="lt-LT"/>
        </w:rPr>
        <w:lastRenderedPageBreak/>
        <w:t>Šiuose tyrimuose dalyvavo pacientai, kuriems PsA diagnozuotas mažiausiai prieš 6</w:t>
      </w:r>
      <w:r w:rsidR="00D33A4A" w:rsidRPr="00CD7E52">
        <w:rPr>
          <w:szCs w:val="22"/>
          <w:lang w:val="lt-LT"/>
        </w:rPr>
        <w:t> </w:t>
      </w:r>
      <w:r w:rsidRPr="00CD7E52">
        <w:rPr>
          <w:szCs w:val="22"/>
          <w:lang w:val="lt-LT"/>
        </w:rPr>
        <w:t>mėnesius.</w:t>
      </w:r>
      <w:r w:rsidR="00D33A4A" w:rsidRPr="00CD7E52">
        <w:rPr>
          <w:szCs w:val="22"/>
          <w:lang w:val="lt-LT"/>
        </w:rPr>
        <w:t xml:space="preserve"> </w:t>
      </w:r>
      <w:r w:rsidR="00D33A4A" w:rsidRPr="00CD7E52">
        <w:rPr>
          <w:snapToGrid/>
          <w:szCs w:val="22"/>
          <w:lang w:val="lt-LT"/>
        </w:rPr>
        <w:t>T</w:t>
      </w:r>
      <w:r w:rsidRPr="00CD7E52">
        <w:rPr>
          <w:snapToGrid/>
          <w:szCs w:val="22"/>
          <w:lang w:val="lt-LT"/>
        </w:rPr>
        <w:t>yrim</w:t>
      </w:r>
      <w:r w:rsidR="00D33A4A" w:rsidRPr="00CD7E52">
        <w:rPr>
          <w:snapToGrid/>
          <w:szCs w:val="22"/>
          <w:lang w:val="lt-LT"/>
        </w:rPr>
        <w:t>o</w:t>
      </w:r>
      <w:r w:rsidRPr="00CD7E52">
        <w:rPr>
          <w:szCs w:val="22"/>
          <w:lang w:val="lt-LT"/>
        </w:rPr>
        <w:t xml:space="preserve"> PALAC</w:t>
      </w:r>
      <w:r w:rsidR="00BD30CA" w:rsidRPr="00CD7E52">
        <w:rPr>
          <w:szCs w:val="22"/>
          <w:lang w:val="lt-LT"/>
        </w:rPr>
        <w:t>E</w:t>
      </w:r>
      <w:r w:rsidR="00BD30CA" w:rsidRPr="00CD7E52">
        <w:rPr>
          <w:snapToGrid/>
          <w:szCs w:val="22"/>
          <w:lang w:val="lt-LT"/>
        </w:rPr>
        <w:t> </w:t>
      </w:r>
      <w:r w:rsidR="00BD30CA" w:rsidRPr="00CD7E52">
        <w:rPr>
          <w:szCs w:val="22"/>
          <w:lang w:val="lt-LT"/>
        </w:rPr>
        <w:t>3</w:t>
      </w:r>
      <w:r w:rsidRPr="00CD7E52">
        <w:rPr>
          <w:snapToGrid/>
          <w:szCs w:val="22"/>
          <w:lang w:val="lt-LT"/>
        </w:rPr>
        <w:t xml:space="preserve"> </w:t>
      </w:r>
      <w:r w:rsidR="00D33A4A" w:rsidRPr="00CD7E52">
        <w:rPr>
          <w:snapToGrid/>
          <w:szCs w:val="22"/>
          <w:lang w:val="lt-LT"/>
        </w:rPr>
        <w:t>dalyviams</w:t>
      </w:r>
      <w:r w:rsidR="00D33A4A" w:rsidRPr="00CD7E52">
        <w:rPr>
          <w:szCs w:val="22"/>
          <w:lang w:val="lt-LT"/>
        </w:rPr>
        <w:t xml:space="preserve"> </w:t>
      </w:r>
      <w:r w:rsidRPr="00CD7E52">
        <w:rPr>
          <w:szCs w:val="22"/>
          <w:lang w:val="lt-LT"/>
        </w:rPr>
        <w:t>taip pat turėjo būti nustatytas bent vienas psoriazinis odos pažeidimas</w:t>
      </w:r>
      <w:r w:rsidR="00D33A4A" w:rsidRPr="00CD7E52">
        <w:rPr>
          <w:szCs w:val="22"/>
          <w:lang w:val="lt-LT"/>
        </w:rPr>
        <w:t xml:space="preserve"> </w:t>
      </w:r>
      <w:r w:rsidRPr="00CD7E52">
        <w:rPr>
          <w:szCs w:val="22"/>
          <w:lang w:val="lt-LT"/>
        </w:rPr>
        <w:t>(mažiausiai 2</w:t>
      </w:r>
      <w:r w:rsidR="00D33A4A" w:rsidRPr="00CD7E52">
        <w:rPr>
          <w:szCs w:val="22"/>
          <w:lang w:val="lt-LT"/>
        </w:rPr>
        <w:t> </w:t>
      </w:r>
      <w:r w:rsidRPr="00CD7E52">
        <w:rPr>
          <w:szCs w:val="22"/>
          <w:lang w:val="lt-LT"/>
        </w:rPr>
        <w:t>cm skersmens). Apremilast</w:t>
      </w:r>
      <w:r w:rsidR="00D26D5B" w:rsidRPr="00CD7E52">
        <w:rPr>
          <w:szCs w:val="22"/>
          <w:lang w:val="lt-LT"/>
        </w:rPr>
        <w:t>o</w:t>
      </w:r>
      <w:r w:rsidRPr="00CD7E52">
        <w:rPr>
          <w:szCs w:val="22"/>
          <w:lang w:val="lt-LT"/>
        </w:rPr>
        <w:t xml:space="preserve"> buvo vartojama </w:t>
      </w:r>
      <w:r w:rsidRPr="00CD7E52">
        <w:rPr>
          <w:snapToGrid/>
          <w:szCs w:val="22"/>
          <w:lang w:val="lt-LT"/>
        </w:rPr>
        <w:t>monoterapija</w:t>
      </w:r>
      <w:r w:rsidR="00D33A4A" w:rsidRPr="00CD7E52">
        <w:rPr>
          <w:snapToGrid/>
          <w:szCs w:val="22"/>
          <w:lang w:val="lt-LT"/>
        </w:rPr>
        <w:t>i</w:t>
      </w:r>
      <w:r w:rsidRPr="00CD7E52">
        <w:rPr>
          <w:szCs w:val="22"/>
          <w:lang w:val="lt-LT"/>
        </w:rPr>
        <w:t xml:space="preserve"> (34,8</w:t>
      </w:r>
      <w:r w:rsidR="009F17E0" w:rsidRPr="00CD7E52">
        <w:rPr>
          <w:szCs w:val="22"/>
          <w:lang w:val="lt-LT"/>
        </w:rPr>
        <w:t> %</w:t>
      </w:r>
      <w:r w:rsidRPr="00CD7E52">
        <w:rPr>
          <w:szCs w:val="22"/>
          <w:lang w:val="lt-LT"/>
        </w:rPr>
        <w:t>) arba kartu su stabiliomis</w:t>
      </w:r>
      <w:r w:rsidR="00D33A4A" w:rsidRPr="00CD7E52">
        <w:rPr>
          <w:szCs w:val="22"/>
          <w:lang w:val="lt-LT"/>
        </w:rPr>
        <w:t xml:space="preserve"> </w:t>
      </w:r>
      <w:r w:rsidR="00BF7CB1" w:rsidRPr="00CD7E52">
        <w:rPr>
          <w:szCs w:val="22"/>
          <w:lang w:val="lt-LT"/>
        </w:rPr>
        <w:t xml:space="preserve">mažų molekulių </w:t>
      </w:r>
      <w:r w:rsidRPr="00CD7E52">
        <w:rPr>
          <w:szCs w:val="22"/>
          <w:lang w:val="lt-LT"/>
        </w:rPr>
        <w:t>LEMVNR dozėmis (65,2</w:t>
      </w:r>
      <w:r w:rsidR="009F17E0" w:rsidRPr="00CD7E52">
        <w:rPr>
          <w:szCs w:val="22"/>
          <w:lang w:val="lt-LT"/>
        </w:rPr>
        <w:t> %</w:t>
      </w:r>
      <w:r w:rsidRPr="00CD7E52">
        <w:rPr>
          <w:szCs w:val="22"/>
          <w:lang w:val="lt-LT"/>
        </w:rPr>
        <w:t>). Pacientai apremilast</w:t>
      </w:r>
      <w:r w:rsidR="00225B72" w:rsidRPr="00CD7E52">
        <w:rPr>
          <w:szCs w:val="22"/>
          <w:lang w:val="lt-LT"/>
        </w:rPr>
        <w:t>o</w:t>
      </w:r>
      <w:r w:rsidRPr="00CD7E52">
        <w:rPr>
          <w:szCs w:val="22"/>
          <w:lang w:val="lt-LT"/>
        </w:rPr>
        <w:t xml:space="preserve"> </w:t>
      </w:r>
      <w:r w:rsidR="00D33A4A" w:rsidRPr="00CD7E52">
        <w:rPr>
          <w:snapToGrid/>
          <w:szCs w:val="22"/>
          <w:lang w:val="lt-LT"/>
        </w:rPr>
        <w:t xml:space="preserve">vartojo </w:t>
      </w:r>
      <w:r w:rsidRPr="00CD7E52">
        <w:rPr>
          <w:szCs w:val="22"/>
          <w:lang w:val="lt-LT"/>
        </w:rPr>
        <w:t xml:space="preserve">kartu su vienu iš šių </w:t>
      </w:r>
      <w:r w:rsidR="00D33A4A" w:rsidRPr="00CD7E52">
        <w:rPr>
          <w:snapToGrid/>
          <w:szCs w:val="22"/>
          <w:lang w:val="lt-LT"/>
        </w:rPr>
        <w:t xml:space="preserve">vaistinių </w:t>
      </w:r>
      <w:r w:rsidRPr="00CD7E52">
        <w:rPr>
          <w:szCs w:val="22"/>
          <w:lang w:val="lt-LT"/>
        </w:rPr>
        <w:t>preparatų:</w:t>
      </w:r>
      <w:r w:rsidR="00D33A4A" w:rsidRPr="00CD7E52">
        <w:rPr>
          <w:szCs w:val="22"/>
          <w:lang w:val="lt-LT"/>
        </w:rPr>
        <w:t xml:space="preserve"> </w:t>
      </w:r>
      <w:r w:rsidRPr="00CD7E52">
        <w:rPr>
          <w:szCs w:val="22"/>
          <w:lang w:val="lt-LT"/>
        </w:rPr>
        <w:t xml:space="preserve">metotreksatu (MTX, </w:t>
      </w:r>
      <w:r w:rsidR="009F17E0" w:rsidRPr="00FF4333">
        <w:rPr>
          <w:szCs w:val="22"/>
          <w:lang w:val="lt-LT"/>
        </w:rPr>
        <w:t>≤ </w:t>
      </w:r>
      <w:r w:rsidRPr="00CD7E52">
        <w:rPr>
          <w:szCs w:val="22"/>
          <w:lang w:val="lt-LT"/>
        </w:rPr>
        <w:t>25</w:t>
      </w:r>
      <w:r w:rsidR="00A87582" w:rsidRPr="00CD7E52">
        <w:rPr>
          <w:szCs w:val="22"/>
          <w:lang w:val="lt-LT"/>
        </w:rPr>
        <w:t> mg</w:t>
      </w:r>
      <w:r w:rsidRPr="00CD7E52">
        <w:rPr>
          <w:szCs w:val="22"/>
          <w:lang w:val="lt-LT"/>
        </w:rPr>
        <w:t xml:space="preserve"> per</w:t>
      </w:r>
      <w:r w:rsidR="00C65C08" w:rsidRPr="00CD7E52">
        <w:rPr>
          <w:snapToGrid/>
          <w:szCs w:val="22"/>
          <w:lang w:val="lt-LT"/>
        </w:rPr>
        <w:t> </w:t>
      </w:r>
      <w:r w:rsidR="00C65C08" w:rsidRPr="00CD7E52">
        <w:rPr>
          <w:szCs w:val="22"/>
          <w:lang w:val="lt-LT"/>
        </w:rPr>
        <w:t>savai</w:t>
      </w:r>
      <w:r w:rsidRPr="00CD7E52">
        <w:rPr>
          <w:szCs w:val="22"/>
          <w:lang w:val="lt-LT"/>
        </w:rPr>
        <w:t>tę, 54,5</w:t>
      </w:r>
      <w:r w:rsidR="009F17E0" w:rsidRPr="00CD7E52">
        <w:rPr>
          <w:szCs w:val="22"/>
          <w:lang w:val="lt-LT"/>
        </w:rPr>
        <w:t> %</w:t>
      </w:r>
      <w:r w:rsidRPr="00CD7E52">
        <w:rPr>
          <w:szCs w:val="22"/>
          <w:lang w:val="lt-LT"/>
        </w:rPr>
        <w:t xml:space="preserve">), sulfasalazinu (SSZ, </w:t>
      </w:r>
      <w:r w:rsidR="009F17E0" w:rsidRPr="00FF4333">
        <w:rPr>
          <w:szCs w:val="22"/>
          <w:lang w:val="lt-LT"/>
        </w:rPr>
        <w:t>≤ </w:t>
      </w:r>
      <w:r w:rsidRPr="00CD7E52">
        <w:rPr>
          <w:szCs w:val="22"/>
          <w:lang w:val="lt-LT"/>
        </w:rPr>
        <w:t>2</w:t>
      </w:r>
      <w:r w:rsidR="00C60D04" w:rsidRPr="00CD7E52">
        <w:rPr>
          <w:szCs w:val="22"/>
          <w:lang w:val="lt-LT"/>
        </w:rPr>
        <w:t> </w:t>
      </w:r>
      <w:r w:rsidRPr="00CD7E52">
        <w:rPr>
          <w:szCs w:val="22"/>
          <w:lang w:val="lt-LT"/>
        </w:rPr>
        <w:t>g per parą, 9,0</w:t>
      </w:r>
      <w:r w:rsidR="009F17E0" w:rsidRPr="00CD7E52">
        <w:rPr>
          <w:szCs w:val="22"/>
          <w:lang w:val="lt-LT"/>
        </w:rPr>
        <w:t> %</w:t>
      </w:r>
      <w:r w:rsidRPr="00CD7E52">
        <w:rPr>
          <w:szCs w:val="22"/>
          <w:lang w:val="lt-LT"/>
        </w:rPr>
        <w:t>) ir leflunomidu</w:t>
      </w:r>
      <w:r w:rsidR="00C60D04" w:rsidRPr="00CD7E52">
        <w:rPr>
          <w:szCs w:val="22"/>
          <w:lang w:val="lt-LT"/>
        </w:rPr>
        <w:t xml:space="preserve"> </w:t>
      </w:r>
      <w:r w:rsidRPr="00CD7E52">
        <w:rPr>
          <w:szCs w:val="22"/>
          <w:lang w:val="lt-LT"/>
        </w:rPr>
        <w:t xml:space="preserve">(LEF; </w:t>
      </w:r>
      <w:r w:rsidR="009F17E0" w:rsidRPr="00FF4333">
        <w:rPr>
          <w:szCs w:val="22"/>
          <w:lang w:val="lt-LT"/>
        </w:rPr>
        <w:t>≤ </w:t>
      </w:r>
      <w:r w:rsidRPr="00CD7E52">
        <w:rPr>
          <w:szCs w:val="22"/>
          <w:lang w:val="lt-LT"/>
        </w:rPr>
        <w:t>20</w:t>
      </w:r>
      <w:r w:rsidR="00A87582" w:rsidRPr="00CD7E52">
        <w:rPr>
          <w:szCs w:val="22"/>
          <w:lang w:val="lt-LT"/>
        </w:rPr>
        <w:t> mg</w:t>
      </w:r>
      <w:r w:rsidRPr="00CD7E52">
        <w:rPr>
          <w:szCs w:val="22"/>
          <w:lang w:val="lt-LT"/>
        </w:rPr>
        <w:t xml:space="preserve"> per parą, 7,4</w:t>
      </w:r>
      <w:r w:rsidR="009F17E0" w:rsidRPr="00CD7E52">
        <w:rPr>
          <w:szCs w:val="22"/>
          <w:lang w:val="lt-LT"/>
        </w:rPr>
        <w:t> %</w:t>
      </w:r>
      <w:r w:rsidRPr="00CD7E52">
        <w:rPr>
          <w:szCs w:val="22"/>
          <w:lang w:val="lt-LT"/>
        </w:rPr>
        <w:t>). Kartu taikyti gydymą biologiniais LEMVNR, įskaitant TNF blokatorius,</w:t>
      </w:r>
      <w:r w:rsidR="00C60D04" w:rsidRPr="00CD7E52">
        <w:rPr>
          <w:szCs w:val="22"/>
          <w:lang w:val="lt-LT"/>
        </w:rPr>
        <w:t xml:space="preserve"> </w:t>
      </w:r>
      <w:r w:rsidRPr="00CD7E52">
        <w:rPr>
          <w:szCs w:val="22"/>
          <w:lang w:val="lt-LT"/>
        </w:rPr>
        <w:t>nebuvo leidžiama. Į šiuos 3</w:t>
      </w:r>
      <w:r w:rsidR="006E52B4" w:rsidRPr="00CD7E52">
        <w:rPr>
          <w:szCs w:val="22"/>
          <w:lang w:val="lt-LT"/>
        </w:rPr>
        <w:t> </w:t>
      </w:r>
      <w:r w:rsidRPr="00CD7E52">
        <w:rPr>
          <w:szCs w:val="22"/>
          <w:lang w:val="lt-LT"/>
        </w:rPr>
        <w:t>tyrimus buvo įtraukti pacientai, sergantys kiekvieno potipio PsA, įskaitant</w:t>
      </w:r>
      <w:r w:rsidR="00C60D04" w:rsidRPr="00CD7E52">
        <w:rPr>
          <w:szCs w:val="22"/>
          <w:lang w:val="lt-LT"/>
        </w:rPr>
        <w:t xml:space="preserve"> </w:t>
      </w:r>
      <w:r w:rsidRPr="00CD7E52">
        <w:rPr>
          <w:szCs w:val="22"/>
          <w:lang w:val="lt-LT"/>
        </w:rPr>
        <w:t>simetrinį poliartritą (62,0</w:t>
      </w:r>
      <w:r w:rsidR="009F17E0" w:rsidRPr="00CD7E52">
        <w:rPr>
          <w:szCs w:val="22"/>
          <w:lang w:val="lt-LT"/>
        </w:rPr>
        <w:t> %</w:t>
      </w:r>
      <w:r w:rsidRPr="00CD7E52">
        <w:rPr>
          <w:szCs w:val="22"/>
          <w:lang w:val="lt-LT"/>
        </w:rPr>
        <w:t>), asimetrinį oligoartritą (26,9</w:t>
      </w:r>
      <w:r w:rsidR="009F17E0" w:rsidRPr="00CD7E52">
        <w:rPr>
          <w:szCs w:val="22"/>
          <w:lang w:val="lt-LT"/>
        </w:rPr>
        <w:t> %</w:t>
      </w:r>
      <w:r w:rsidRPr="00CD7E52">
        <w:rPr>
          <w:szCs w:val="22"/>
          <w:lang w:val="lt-LT"/>
        </w:rPr>
        <w:t>), distalinį interfalanginį (DIP) sąnarių artritą</w:t>
      </w:r>
      <w:r w:rsidR="00C60D04" w:rsidRPr="00CD7E52">
        <w:rPr>
          <w:szCs w:val="22"/>
          <w:lang w:val="lt-LT"/>
        </w:rPr>
        <w:t xml:space="preserve"> </w:t>
      </w:r>
      <w:r w:rsidRPr="00CD7E52">
        <w:rPr>
          <w:szCs w:val="22"/>
          <w:lang w:val="lt-LT"/>
        </w:rPr>
        <w:t>(6,2</w:t>
      </w:r>
      <w:r w:rsidR="009F17E0" w:rsidRPr="00CD7E52">
        <w:rPr>
          <w:szCs w:val="22"/>
          <w:lang w:val="lt-LT"/>
        </w:rPr>
        <w:t> %</w:t>
      </w:r>
      <w:r w:rsidRPr="00CD7E52">
        <w:rPr>
          <w:szCs w:val="22"/>
          <w:lang w:val="lt-LT"/>
        </w:rPr>
        <w:t xml:space="preserve">), </w:t>
      </w:r>
      <w:r w:rsidR="00795D79" w:rsidRPr="00CD7E52">
        <w:rPr>
          <w:szCs w:val="22"/>
          <w:lang w:val="lt-LT"/>
        </w:rPr>
        <w:t xml:space="preserve">luošinantį </w:t>
      </w:r>
      <w:r w:rsidRPr="00CD7E52">
        <w:rPr>
          <w:szCs w:val="22"/>
          <w:lang w:val="lt-LT"/>
        </w:rPr>
        <w:t>artritą (2,7</w:t>
      </w:r>
      <w:r w:rsidR="009F17E0" w:rsidRPr="00CD7E52">
        <w:rPr>
          <w:szCs w:val="22"/>
          <w:lang w:val="lt-LT"/>
        </w:rPr>
        <w:t> %</w:t>
      </w:r>
      <w:r w:rsidRPr="00CD7E52">
        <w:rPr>
          <w:szCs w:val="22"/>
          <w:lang w:val="lt-LT"/>
        </w:rPr>
        <w:t>) ir vyraujantį spondilitą (2,1</w:t>
      </w:r>
      <w:r w:rsidR="009F17E0" w:rsidRPr="00CD7E52">
        <w:rPr>
          <w:szCs w:val="22"/>
          <w:lang w:val="lt-LT"/>
        </w:rPr>
        <w:t> %</w:t>
      </w:r>
      <w:r w:rsidRPr="00CD7E52">
        <w:rPr>
          <w:szCs w:val="22"/>
          <w:lang w:val="lt-LT"/>
        </w:rPr>
        <w:t>). Buvo įtraukti pacientai, jau sergantys</w:t>
      </w:r>
      <w:r w:rsidR="00C60D04" w:rsidRPr="00CD7E52">
        <w:rPr>
          <w:szCs w:val="22"/>
          <w:lang w:val="lt-LT"/>
        </w:rPr>
        <w:t xml:space="preserve"> </w:t>
      </w:r>
      <w:r w:rsidRPr="00CD7E52">
        <w:rPr>
          <w:snapToGrid/>
          <w:szCs w:val="22"/>
          <w:lang w:val="lt-LT"/>
        </w:rPr>
        <w:t>ente</w:t>
      </w:r>
      <w:r w:rsidR="00D20952" w:rsidRPr="00CD7E52">
        <w:rPr>
          <w:snapToGrid/>
          <w:szCs w:val="22"/>
          <w:lang w:val="lt-LT"/>
        </w:rPr>
        <w:t>z</w:t>
      </w:r>
      <w:r w:rsidRPr="00CD7E52">
        <w:rPr>
          <w:snapToGrid/>
          <w:szCs w:val="22"/>
          <w:lang w:val="lt-LT"/>
        </w:rPr>
        <w:t>opatija</w:t>
      </w:r>
      <w:r w:rsidRPr="00CD7E52">
        <w:rPr>
          <w:szCs w:val="22"/>
          <w:lang w:val="lt-LT"/>
        </w:rPr>
        <w:t xml:space="preserve"> (63</w:t>
      </w:r>
      <w:r w:rsidR="009F17E0" w:rsidRPr="00CD7E52">
        <w:rPr>
          <w:szCs w:val="22"/>
          <w:lang w:val="lt-LT"/>
        </w:rPr>
        <w:t> %</w:t>
      </w:r>
      <w:r w:rsidRPr="00CD7E52">
        <w:rPr>
          <w:szCs w:val="22"/>
          <w:lang w:val="lt-LT"/>
        </w:rPr>
        <w:t>) arba daktilitu (42</w:t>
      </w:r>
      <w:r w:rsidR="009F17E0" w:rsidRPr="00CD7E52">
        <w:rPr>
          <w:szCs w:val="22"/>
          <w:lang w:val="lt-LT"/>
        </w:rPr>
        <w:t> %</w:t>
      </w:r>
      <w:r w:rsidRPr="00CD7E52">
        <w:rPr>
          <w:szCs w:val="22"/>
          <w:lang w:val="lt-LT"/>
        </w:rPr>
        <w:t>). Iš viso 76,4</w:t>
      </w:r>
      <w:r w:rsidR="009F17E0" w:rsidRPr="00CD7E52">
        <w:rPr>
          <w:szCs w:val="22"/>
          <w:lang w:val="lt-LT"/>
        </w:rPr>
        <w:t> %</w:t>
      </w:r>
      <w:r w:rsidRPr="00CD7E52">
        <w:rPr>
          <w:szCs w:val="22"/>
          <w:lang w:val="lt-LT"/>
        </w:rPr>
        <w:t xml:space="preserve"> pacientų anksčiau buvo gydomi tik sintetiniais</w:t>
      </w:r>
      <w:r w:rsidR="00C60D04" w:rsidRPr="00CD7E52">
        <w:rPr>
          <w:szCs w:val="22"/>
          <w:lang w:val="lt-LT"/>
        </w:rPr>
        <w:t xml:space="preserve"> </w:t>
      </w:r>
      <w:r w:rsidRPr="00CD7E52">
        <w:rPr>
          <w:szCs w:val="22"/>
          <w:lang w:val="lt-LT"/>
        </w:rPr>
        <w:t>LEMVNR, 22,4</w:t>
      </w:r>
      <w:r w:rsidR="009F17E0" w:rsidRPr="00CD7E52">
        <w:rPr>
          <w:szCs w:val="22"/>
          <w:lang w:val="lt-LT"/>
        </w:rPr>
        <w:t> %</w:t>
      </w:r>
      <w:r w:rsidRPr="00CD7E52">
        <w:rPr>
          <w:szCs w:val="22"/>
          <w:lang w:val="lt-LT"/>
        </w:rPr>
        <w:t xml:space="preserve"> pacientų anksčiau buvo gydomi biologiniais LEMVNR, įskaitant 7,8</w:t>
      </w:r>
      <w:r w:rsidR="009F17E0" w:rsidRPr="00CD7E52">
        <w:rPr>
          <w:szCs w:val="22"/>
          <w:lang w:val="lt-LT"/>
        </w:rPr>
        <w:t> %</w:t>
      </w:r>
      <w:r w:rsidRPr="00CD7E52">
        <w:rPr>
          <w:szCs w:val="22"/>
          <w:lang w:val="lt-LT"/>
        </w:rPr>
        <w:t xml:space="preserve"> pacientų, kuriems</w:t>
      </w:r>
      <w:r w:rsidR="00C60D04" w:rsidRPr="00CD7E52">
        <w:rPr>
          <w:szCs w:val="22"/>
          <w:lang w:val="lt-LT"/>
        </w:rPr>
        <w:t xml:space="preserve"> </w:t>
      </w:r>
      <w:r w:rsidRPr="00CD7E52">
        <w:rPr>
          <w:szCs w:val="22"/>
          <w:lang w:val="lt-LT"/>
        </w:rPr>
        <w:t>ankstesnis gydymas biologiniais LEMVNR buvo neveiksmingas. PsA ligos trukmės mediana buvo 5</w:t>
      </w:r>
      <w:r w:rsidR="00C60D04" w:rsidRPr="00CD7E52">
        <w:rPr>
          <w:szCs w:val="22"/>
          <w:lang w:val="lt-LT"/>
        </w:rPr>
        <w:t> </w:t>
      </w:r>
      <w:r w:rsidRPr="00CD7E52">
        <w:rPr>
          <w:szCs w:val="22"/>
          <w:lang w:val="lt-LT"/>
        </w:rPr>
        <w:t>metai.</w:t>
      </w:r>
    </w:p>
    <w:p w14:paraId="0ADFA258" w14:textId="77777777" w:rsidR="00C60D04" w:rsidRPr="00CD7E52" w:rsidRDefault="00C60D04" w:rsidP="00BD0220">
      <w:pPr>
        <w:widowControl w:val="0"/>
        <w:tabs>
          <w:tab w:val="clear" w:pos="567"/>
        </w:tabs>
        <w:autoSpaceDE w:val="0"/>
        <w:autoSpaceDN w:val="0"/>
        <w:adjustRightInd w:val="0"/>
        <w:spacing w:line="240" w:lineRule="auto"/>
        <w:rPr>
          <w:szCs w:val="22"/>
          <w:lang w:val="lt-LT"/>
        </w:rPr>
      </w:pPr>
    </w:p>
    <w:p w14:paraId="4063B9D9"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rFonts w:eastAsia="SimSun"/>
          <w:iCs/>
          <w:snapToGrid/>
          <w:szCs w:val="22"/>
          <w:lang w:val="lt-LT"/>
        </w:rPr>
        <w:t>Remiantis tyrimo metodologija, buvo laikoma, kad pacientams, kuriems 16</w:t>
      </w:r>
      <w:r w:rsidR="00C65C08" w:rsidRPr="00CD7E52">
        <w:rPr>
          <w:rFonts w:eastAsia="SimSun"/>
          <w:iCs/>
          <w:snapToGrid/>
          <w:szCs w:val="22"/>
          <w:lang w:val="lt-LT"/>
        </w:rPr>
        <w:t> savai</w:t>
      </w:r>
      <w:r w:rsidRPr="00CD7E52">
        <w:rPr>
          <w:rFonts w:eastAsia="SimSun"/>
          <w:iCs/>
          <w:snapToGrid/>
          <w:szCs w:val="22"/>
          <w:lang w:val="lt-LT"/>
        </w:rPr>
        <w:t>tę skausmingų ir patinusių</w:t>
      </w:r>
      <w:r w:rsidR="00C65C08" w:rsidRPr="00CD7E52">
        <w:rPr>
          <w:rFonts w:eastAsia="SimSun"/>
          <w:iCs/>
          <w:snapToGrid/>
          <w:szCs w:val="22"/>
          <w:lang w:val="lt-LT"/>
        </w:rPr>
        <w:t xml:space="preserve"> </w:t>
      </w:r>
      <w:r w:rsidRPr="00CD7E52">
        <w:rPr>
          <w:rFonts w:eastAsia="SimSun"/>
          <w:iCs/>
          <w:snapToGrid/>
          <w:szCs w:val="22"/>
          <w:lang w:val="lt-LT"/>
        </w:rPr>
        <w:t>sąnarių skaičius nesumažėjo mažiausiai 20</w:t>
      </w:r>
      <w:r w:rsidR="009F17E0" w:rsidRPr="00CD7E52">
        <w:rPr>
          <w:rFonts w:eastAsia="SimSun"/>
          <w:iCs/>
          <w:snapToGrid/>
          <w:szCs w:val="22"/>
          <w:lang w:val="lt-LT"/>
        </w:rPr>
        <w:t> %</w:t>
      </w:r>
      <w:r w:rsidRPr="00CD7E52">
        <w:rPr>
          <w:rFonts w:eastAsia="SimSun"/>
          <w:iCs/>
          <w:snapToGrid/>
          <w:szCs w:val="22"/>
          <w:lang w:val="lt-LT"/>
        </w:rPr>
        <w:t xml:space="preserve">, atsakas </w:t>
      </w:r>
      <w:r w:rsidR="005D095F" w:rsidRPr="00CD7E52">
        <w:rPr>
          <w:rFonts w:eastAsia="SimSun"/>
          <w:iCs/>
          <w:snapToGrid/>
          <w:szCs w:val="22"/>
          <w:lang w:val="lt-LT"/>
        </w:rPr>
        <w:t xml:space="preserve">į gydymą </w:t>
      </w:r>
      <w:r w:rsidRPr="00CD7E52">
        <w:rPr>
          <w:rFonts w:eastAsia="SimSun"/>
          <w:iCs/>
          <w:snapToGrid/>
          <w:szCs w:val="22"/>
          <w:lang w:val="lt-LT"/>
        </w:rPr>
        <w:t>nepasireiškė. Placeb</w:t>
      </w:r>
      <w:r w:rsidR="006E5F81" w:rsidRPr="00CD7E52">
        <w:rPr>
          <w:rFonts w:eastAsia="SimSun"/>
          <w:iCs/>
          <w:snapToGrid/>
          <w:szCs w:val="22"/>
          <w:lang w:val="lt-LT"/>
        </w:rPr>
        <w:t>o</w:t>
      </w:r>
      <w:r w:rsidRPr="00CD7E52">
        <w:rPr>
          <w:rFonts w:eastAsia="SimSun"/>
          <w:iCs/>
          <w:snapToGrid/>
          <w:szCs w:val="22"/>
          <w:lang w:val="lt-LT"/>
        </w:rPr>
        <w:t xml:space="preserve"> vartojusiems pacientams, kurie</w:t>
      </w:r>
      <w:r w:rsidR="00C65C08" w:rsidRPr="00CD7E52">
        <w:rPr>
          <w:rFonts w:eastAsia="SimSun"/>
          <w:iCs/>
          <w:snapToGrid/>
          <w:szCs w:val="22"/>
          <w:lang w:val="lt-LT"/>
        </w:rPr>
        <w:t xml:space="preserve"> </w:t>
      </w:r>
      <w:r w:rsidRPr="00CD7E52">
        <w:rPr>
          <w:rFonts w:eastAsia="SimSun"/>
          <w:iCs/>
          <w:snapToGrid/>
          <w:szCs w:val="22"/>
          <w:lang w:val="lt-LT"/>
        </w:rPr>
        <w:t xml:space="preserve">buvo priskirti pacientams, kuriems atsakas </w:t>
      </w:r>
      <w:r w:rsidR="00E57A7A" w:rsidRPr="00CD7E52">
        <w:rPr>
          <w:rFonts w:eastAsia="SimSun"/>
          <w:iCs/>
          <w:snapToGrid/>
          <w:szCs w:val="22"/>
          <w:lang w:val="lt-LT"/>
        </w:rPr>
        <w:t xml:space="preserve">į gydymą </w:t>
      </w:r>
      <w:r w:rsidRPr="00CD7E52">
        <w:rPr>
          <w:rFonts w:eastAsia="SimSun"/>
          <w:iCs/>
          <w:snapToGrid/>
          <w:szCs w:val="22"/>
          <w:lang w:val="lt-LT"/>
        </w:rPr>
        <w:t xml:space="preserve">nepasireiškė, santykiu 1:1 </w:t>
      </w:r>
      <w:r w:rsidR="00C65C08" w:rsidRPr="00CD7E52">
        <w:rPr>
          <w:iCs/>
          <w:szCs w:val="22"/>
          <w:lang w:val="lt-LT"/>
        </w:rPr>
        <w:t>buvo kartotinai suskirstyti į koduotas atsitiktines imtis ir</w:t>
      </w:r>
      <w:r w:rsidRPr="00CD7E52">
        <w:rPr>
          <w:iCs/>
          <w:szCs w:val="22"/>
          <w:lang w:val="lt-LT"/>
        </w:rPr>
        <w:t xml:space="preserve"> varto</w:t>
      </w:r>
      <w:r w:rsidR="00C65C08" w:rsidRPr="00CD7E52">
        <w:rPr>
          <w:iCs/>
          <w:szCs w:val="22"/>
          <w:lang w:val="lt-LT"/>
        </w:rPr>
        <w:t>jo</w:t>
      </w:r>
      <w:r w:rsidRPr="00CD7E52">
        <w:rPr>
          <w:rFonts w:eastAsia="SimSun"/>
          <w:iCs/>
          <w:snapToGrid/>
          <w:szCs w:val="22"/>
          <w:lang w:val="lt-LT"/>
        </w:rPr>
        <w:t xml:space="preserve"> 20</w:t>
      </w:r>
      <w:r w:rsidR="00A87582" w:rsidRPr="00CD7E52">
        <w:rPr>
          <w:rFonts w:eastAsia="SimSun"/>
          <w:iCs/>
          <w:snapToGrid/>
          <w:szCs w:val="22"/>
          <w:lang w:val="lt-LT"/>
        </w:rPr>
        <w:t> mg</w:t>
      </w:r>
      <w:r w:rsidRPr="00CD7E52">
        <w:rPr>
          <w:rFonts w:eastAsia="SimSun"/>
          <w:iCs/>
          <w:snapToGrid/>
          <w:szCs w:val="22"/>
          <w:lang w:val="lt-LT"/>
        </w:rPr>
        <w:t xml:space="preserve"> apremilasto du kartus per parą arba 30</w:t>
      </w:r>
      <w:r w:rsidR="00A87582" w:rsidRPr="00CD7E52">
        <w:rPr>
          <w:rFonts w:eastAsia="SimSun"/>
          <w:iCs/>
          <w:snapToGrid/>
          <w:szCs w:val="22"/>
          <w:lang w:val="lt-LT"/>
        </w:rPr>
        <w:t> mg</w:t>
      </w:r>
      <w:r w:rsidRPr="00CD7E52">
        <w:rPr>
          <w:rFonts w:eastAsia="SimSun"/>
          <w:iCs/>
          <w:snapToGrid/>
          <w:szCs w:val="22"/>
          <w:lang w:val="lt-LT"/>
        </w:rPr>
        <w:t xml:space="preserve"> apremilasto du kartus per parą.</w:t>
      </w:r>
      <w:r w:rsidR="00C65C08" w:rsidRPr="00CD7E52">
        <w:rPr>
          <w:iCs/>
          <w:snapToGrid/>
          <w:szCs w:val="22"/>
          <w:lang w:val="lt-LT"/>
        </w:rPr>
        <w:t xml:space="preserve"> </w:t>
      </w:r>
      <w:r w:rsidRPr="00CD7E52">
        <w:rPr>
          <w:iCs/>
          <w:szCs w:val="22"/>
          <w:lang w:val="lt-LT"/>
        </w:rPr>
        <w:t>24</w:t>
      </w:r>
      <w:r w:rsidR="00C65C08" w:rsidRPr="00CD7E52">
        <w:rPr>
          <w:iCs/>
          <w:szCs w:val="22"/>
          <w:lang w:val="lt-LT"/>
        </w:rPr>
        <w:t> savai</w:t>
      </w:r>
      <w:r w:rsidRPr="00CD7E52">
        <w:rPr>
          <w:iCs/>
          <w:szCs w:val="22"/>
          <w:lang w:val="lt-LT"/>
        </w:rPr>
        <w:t>tę visiems likusiems placeb</w:t>
      </w:r>
      <w:r w:rsidR="00EF7866" w:rsidRPr="00CD7E52">
        <w:rPr>
          <w:iCs/>
          <w:szCs w:val="22"/>
          <w:lang w:val="lt-LT"/>
        </w:rPr>
        <w:t>o</w:t>
      </w:r>
      <w:r w:rsidRPr="00CD7E52">
        <w:rPr>
          <w:iCs/>
          <w:szCs w:val="22"/>
          <w:lang w:val="lt-LT"/>
        </w:rPr>
        <w:t xml:space="preserve"> vartojusiems pacientams vietoj placebo buvo skirta vartoti 20</w:t>
      </w:r>
      <w:r w:rsidR="00A87582" w:rsidRPr="00CD7E52">
        <w:rPr>
          <w:iCs/>
          <w:szCs w:val="22"/>
          <w:lang w:val="lt-LT"/>
        </w:rPr>
        <w:t> mg</w:t>
      </w:r>
      <w:r w:rsidRPr="00CD7E52">
        <w:rPr>
          <w:iCs/>
          <w:szCs w:val="22"/>
          <w:lang w:val="lt-LT"/>
        </w:rPr>
        <w:t xml:space="preserve"> arba</w:t>
      </w:r>
      <w:r w:rsidR="00C65C08" w:rsidRPr="00CD7E52">
        <w:rPr>
          <w:iCs/>
          <w:szCs w:val="22"/>
          <w:lang w:val="lt-LT"/>
        </w:rPr>
        <w:t xml:space="preserve"> </w:t>
      </w:r>
      <w:r w:rsidRPr="00CD7E52">
        <w:rPr>
          <w:iCs/>
          <w:szCs w:val="22"/>
          <w:lang w:val="lt-LT"/>
        </w:rPr>
        <w:t>30</w:t>
      </w:r>
      <w:r w:rsidR="00A87582" w:rsidRPr="00CD7E52">
        <w:rPr>
          <w:iCs/>
          <w:szCs w:val="22"/>
          <w:lang w:val="lt-LT"/>
        </w:rPr>
        <w:t> mg</w:t>
      </w:r>
      <w:r w:rsidRPr="00CD7E52">
        <w:rPr>
          <w:iCs/>
          <w:szCs w:val="22"/>
          <w:lang w:val="lt-LT"/>
        </w:rPr>
        <w:t xml:space="preserve"> apremilasto du kartus per parą. Po 52</w:t>
      </w:r>
      <w:r w:rsidR="00C65C08" w:rsidRPr="00CD7E52">
        <w:rPr>
          <w:iCs/>
          <w:szCs w:val="22"/>
          <w:lang w:val="lt-LT"/>
        </w:rPr>
        <w:t> savai</w:t>
      </w:r>
      <w:r w:rsidRPr="00CD7E52">
        <w:rPr>
          <w:iCs/>
          <w:szCs w:val="22"/>
          <w:lang w:val="lt-LT"/>
        </w:rPr>
        <w:t>čių gydymo pacientai galėjo toliau atvirai vartoti 20</w:t>
      </w:r>
      <w:r w:rsidR="00A87582" w:rsidRPr="00CD7E52">
        <w:rPr>
          <w:iCs/>
          <w:szCs w:val="22"/>
          <w:lang w:val="lt-LT"/>
        </w:rPr>
        <w:t> mg</w:t>
      </w:r>
      <w:r w:rsidR="00C65C08" w:rsidRPr="00CD7E52">
        <w:rPr>
          <w:iCs/>
          <w:szCs w:val="22"/>
          <w:lang w:val="lt-LT"/>
        </w:rPr>
        <w:t xml:space="preserve"> </w:t>
      </w:r>
      <w:r w:rsidRPr="00CD7E52">
        <w:rPr>
          <w:iCs/>
          <w:szCs w:val="22"/>
          <w:lang w:val="lt-LT"/>
        </w:rPr>
        <w:t>arba 30</w:t>
      </w:r>
      <w:r w:rsidR="00A87582" w:rsidRPr="00CD7E52">
        <w:rPr>
          <w:iCs/>
          <w:szCs w:val="22"/>
          <w:lang w:val="lt-LT"/>
        </w:rPr>
        <w:t> mg</w:t>
      </w:r>
      <w:r w:rsidRPr="00CD7E52">
        <w:rPr>
          <w:iCs/>
          <w:szCs w:val="22"/>
          <w:lang w:val="lt-LT"/>
        </w:rPr>
        <w:t xml:space="preserve"> apremilasto tyrimų PALAC</w:t>
      </w:r>
      <w:r w:rsidR="00BD30CA" w:rsidRPr="00CD7E52">
        <w:rPr>
          <w:iCs/>
          <w:szCs w:val="22"/>
          <w:lang w:val="lt-LT"/>
        </w:rPr>
        <w:t>E</w:t>
      </w:r>
      <w:r w:rsidR="00BD30CA" w:rsidRPr="00CD7E52">
        <w:rPr>
          <w:iCs/>
          <w:snapToGrid/>
          <w:szCs w:val="22"/>
          <w:lang w:val="lt-LT"/>
        </w:rPr>
        <w:t> </w:t>
      </w:r>
      <w:r w:rsidR="00BD30CA" w:rsidRPr="00CD7E52">
        <w:rPr>
          <w:iCs/>
          <w:szCs w:val="22"/>
          <w:lang w:val="lt-LT"/>
        </w:rPr>
        <w:t>1</w:t>
      </w:r>
      <w:r w:rsidRPr="00CD7E52">
        <w:rPr>
          <w:iCs/>
          <w:szCs w:val="22"/>
          <w:lang w:val="lt-LT"/>
        </w:rPr>
        <w:t>, P</w:t>
      </w:r>
      <w:r w:rsidRPr="00CD7E52">
        <w:rPr>
          <w:szCs w:val="22"/>
          <w:lang w:val="lt-LT"/>
        </w:rPr>
        <w:t>ALAC</w:t>
      </w:r>
      <w:r w:rsidR="00BD30CA" w:rsidRPr="00CD7E52">
        <w:rPr>
          <w:szCs w:val="22"/>
          <w:lang w:val="lt-LT"/>
        </w:rPr>
        <w:t>E</w:t>
      </w:r>
      <w:r w:rsidR="00BD30CA" w:rsidRPr="00CD7E52">
        <w:rPr>
          <w:snapToGrid/>
          <w:szCs w:val="22"/>
          <w:lang w:val="lt-LT"/>
        </w:rPr>
        <w:t> </w:t>
      </w:r>
      <w:r w:rsidR="00BD30CA" w:rsidRPr="00CD7E52">
        <w:rPr>
          <w:szCs w:val="22"/>
          <w:lang w:val="lt-LT"/>
        </w:rPr>
        <w:t>2</w:t>
      </w:r>
      <w:r w:rsidRPr="00CD7E52">
        <w:rPr>
          <w:szCs w:val="22"/>
          <w:lang w:val="lt-LT"/>
        </w:rPr>
        <w:t xml:space="preserve"> ir PALAC</w:t>
      </w:r>
      <w:r w:rsidR="00BD30CA" w:rsidRPr="00CD7E52">
        <w:rPr>
          <w:szCs w:val="22"/>
          <w:lang w:val="lt-LT"/>
        </w:rPr>
        <w:t>E</w:t>
      </w:r>
      <w:r w:rsidR="00BD30CA" w:rsidRPr="00CD7E52">
        <w:rPr>
          <w:snapToGrid/>
          <w:szCs w:val="22"/>
          <w:lang w:val="lt-LT"/>
        </w:rPr>
        <w:t> </w:t>
      </w:r>
      <w:r w:rsidR="00BD30CA" w:rsidRPr="00CD7E52">
        <w:rPr>
          <w:szCs w:val="22"/>
          <w:lang w:val="lt-LT"/>
        </w:rPr>
        <w:t>3</w:t>
      </w:r>
      <w:r w:rsidRPr="00CD7E52">
        <w:rPr>
          <w:szCs w:val="22"/>
          <w:lang w:val="lt-LT"/>
        </w:rPr>
        <w:t xml:space="preserve"> </w:t>
      </w:r>
      <w:r w:rsidRPr="00CD7E52">
        <w:rPr>
          <w:snapToGrid/>
          <w:szCs w:val="22"/>
          <w:lang w:val="lt-LT"/>
        </w:rPr>
        <w:t>ilgalaiki</w:t>
      </w:r>
      <w:r w:rsidR="00C65C08" w:rsidRPr="00CD7E52">
        <w:rPr>
          <w:snapToGrid/>
          <w:szCs w:val="22"/>
          <w:lang w:val="lt-LT"/>
        </w:rPr>
        <w:t>o</w:t>
      </w:r>
      <w:r w:rsidRPr="00CD7E52">
        <w:rPr>
          <w:snapToGrid/>
          <w:szCs w:val="22"/>
          <w:lang w:val="lt-LT"/>
        </w:rPr>
        <w:t xml:space="preserve"> </w:t>
      </w:r>
      <w:r w:rsidR="00C65C08" w:rsidRPr="00CD7E52">
        <w:rPr>
          <w:snapToGrid/>
          <w:szCs w:val="22"/>
          <w:lang w:val="lt-LT"/>
        </w:rPr>
        <w:t>pratęsimo</w:t>
      </w:r>
      <w:r w:rsidRPr="00CD7E52">
        <w:rPr>
          <w:szCs w:val="22"/>
          <w:lang w:val="lt-LT"/>
        </w:rPr>
        <w:t xml:space="preserve"> metu; iš</w:t>
      </w:r>
      <w:r w:rsidR="00C65C08" w:rsidRPr="00CD7E52">
        <w:rPr>
          <w:szCs w:val="22"/>
          <w:lang w:val="lt-LT"/>
        </w:rPr>
        <w:t xml:space="preserve"> </w:t>
      </w:r>
      <w:r w:rsidRPr="00CD7E52">
        <w:rPr>
          <w:szCs w:val="22"/>
          <w:lang w:val="lt-LT"/>
        </w:rPr>
        <w:t>viso gydymas truko iki 5</w:t>
      </w:r>
      <w:r w:rsidR="00C65C08" w:rsidRPr="00CD7E52">
        <w:rPr>
          <w:szCs w:val="22"/>
          <w:lang w:val="lt-LT"/>
        </w:rPr>
        <w:t> </w:t>
      </w:r>
      <w:r w:rsidRPr="00CD7E52">
        <w:rPr>
          <w:szCs w:val="22"/>
          <w:lang w:val="lt-LT"/>
        </w:rPr>
        <w:t>metų (260</w:t>
      </w:r>
      <w:r w:rsidR="00C65C08" w:rsidRPr="00CD7E52">
        <w:rPr>
          <w:szCs w:val="22"/>
          <w:lang w:val="lt-LT"/>
        </w:rPr>
        <w:t> savai</w:t>
      </w:r>
      <w:r w:rsidRPr="00CD7E52">
        <w:rPr>
          <w:szCs w:val="22"/>
          <w:lang w:val="lt-LT"/>
        </w:rPr>
        <w:t>čių).</w:t>
      </w:r>
    </w:p>
    <w:p w14:paraId="4CDD964B" w14:textId="77777777" w:rsidR="00C65C08" w:rsidRPr="00CD7E52" w:rsidRDefault="00C65C08" w:rsidP="00BD0220">
      <w:pPr>
        <w:widowControl w:val="0"/>
        <w:tabs>
          <w:tab w:val="clear" w:pos="567"/>
        </w:tabs>
        <w:autoSpaceDE w:val="0"/>
        <w:autoSpaceDN w:val="0"/>
        <w:adjustRightInd w:val="0"/>
        <w:spacing w:line="240" w:lineRule="auto"/>
        <w:rPr>
          <w:szCs w:val="22"/>
          <w:lang w:val="lt-LT"/>
        </w:rPr>
      </w:pPr>
    </w:p>
    <w:p w14:paraId="6BDB9AA1" w14:textId="77777777" w:rsidR="004B4124" w:rsidRPr="00CD7E52" w:rsidRDefault="00C65C08" w:rsidP="00BD0220">
      <w:pPr>
        <w:widowControl w:val="0"/>
        <w:tabs>
          <w:tab w:val="clear" w:pos="567"/>
        </w:tabs>
        <w:autoSpaceDE w:val="0"/>
        <w:autoSpaceDN w:val="0"/>
        <w:adjustRightInd w:val="0"/>
        <w:spacing w:line="240" w:lineRule="auto"/>
        <w:rPr>
          <w:szCs w:val="22"/>
          <w:lang w:val="lt-LT"/>
        </w:rPr>
      </w:pPr>
      <w:r w:rsidRPr="00CD7E52">
        <w:rPr>
          <w:snapToGrid/>
          <w:szCs w:val="22"/>
          <w:lang w:val="lt-LT"/>
        </w:rPr>
        <w:t>Pagrindinė</w:t>
      </w:r>
      <w:r w:rsidR="004B4124" w:rsidRPr="00CD7E52">
        <w:rPr>
          <w:szCs w:val="22"/>
          <w:lang w:val="lt-LT"/>
        </w:rPr>
        <w:t xml:space="preserve"> vertinamoji baigtis buvo pacientų, kuri</w:t>
      </w:r>
      <w:r w:rsidR="00D20952" w:rsidRPr="00CD7E52">
        <w:rPr>
          <w:szCs w:val="22"/>
          <w:lang w:val="lt-LT"/>
        </w:rPr>
        <w:t xml:space="preserve">e </w:t>
      </w:r>
      <w:r w:rsidR="00BD30CA" w:rsidRPr="00CD7E52">
        <w:rPr>
          <w:szCs w:val="22"/>
          <w:lang w:val="lt-LT"/>
        </w:rPr>
        <w:t>1</w:t>
      </w:r>
      <w:r w:rsidR="004B4124" w:rsidRPr="00CD7E52">
        <w:rPr>
          <w:szCs w:val="22"/>
          <w:lang w:val="lt-LT"/>
        </w:rPr>
        <w:t>6</w:t>
      </w:r>
      <w:r w:rsidRPr="00CD7E52">
        <w:rPr>
          <w:szCs w:val="22"/>
          <w:lang w:val="lt-LT"/>
        </w:rPr>
        <w:t> savai</w:t>
      </w:r>
      <w:r w:rsidR="004B4124" w:rsidRPr="00CD7E52">
        <w:rPr>
          <w:szCs w:val="22"/>
          <w:lang w:val="lt-LT"/>
        </w:rPr>
        <w:t>tę pasiekė Amerikos reumatologijos kolegijos</w:t>
      </w:r>
      <w:r w:rsidRPr="00CD7E52">
        <w:rPr>
          <w:szCs w:val="22"/>
          <w:lang w:val="lt-LT"/>
        </w:rPr>
        <w:t xml:space="preserve"> </w:t>
      </w:r>
      <w:r w:rsidR="004B4124" w:rsidRPr="00CD7E52">
        <w:rPr>
          <w:szCs w:val="22"/>
          <w:lang w:val="lt-LT"/>
        </w:rPr>
        <w:t xml:space="preserve">(angl. </w:t>
      </w:r>
      <w:r w:rsidR="004B4124" w:rsidRPr="00CD7E52">
        <w:rPr>
          <w:i/>
          <w:szCs w:val="22"/>
          <w:lang w:val="lt-LT"/>
        </w:rPr>
        <w:t>American College of Rheumatology</w:t>
      </w:r>
      <w:r w:rsidR="004B4124" w:rsidRPr="00CD7E52">
        <w:rPr>
          <w:szCs w:val="22"/>
          <w:lang w:val="lt-LT"/>
        </w:rPr>
        <w:t xml:space="preserve">, </w:t>
      </w:r>
      <w:r w:rsidR="006E6907" w:rsidRPr="00CD7E52">
        <w:rPr>
          <w:szCs w:val="22"/>
          <w:lang w:val="lt-LT"/>
        </w:rPr>
        <w:t>A</w:t>
      </w:r>
      <w:r w:rsidR="003F400C" w:rsidRPr="00CD7E52">
        <w:rPr>
          <w:szCs w:val="22"/>
          <w:lang w:val="lt-LT"/>
        </w:rPr>
        <w:t>RK</w:t>
      </w:r>
      <w:r w:rsidR="004B4124" w:rsidRPr="00CD7E52">
        <w:rPr>
          <w:szCs w:val="22"/>
          <w:lang w:val="lt-LT"/>
        </w:rPr>
        <w:t>) 20 atsaką, procentinė dalis.</w:t>
      </w:r>
    </w:p>
    <w:p w14:paraId="62C7F518" w14:textId="77777777" w:rsidR="00BD30CA" w:rsidRPr="00CD7E52" w:rsidRDefault="00BD30CA" w:rsidP="00BD0220">
      <w:pPr>
        <w:widowControl w:val="0"/>
        <w:tabs>
          <w:tab w:val="clear" w:pos="567"/>
        </w:tabs>
        <w:autoSpaceDE w:val="0"/>
        <w:autoSpaceDN w:val="0"/>
        <w:adjustRightInd w:val="0"/>
        <w:spacing w:line="240" w:lineRule="auto"/>
        <w:rPr>
          <w:szCs w:val="22"/>
          <w:lang w:val="lt-LT"/>
        </w:rPr>
      </w:pPr>
    </w:p>
    <w:p w14:paraId="2C12750F"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Vertinant pagal </w:t>
      </w:r>
      <w:r w:rsidR="006E6907" w:rsidRPr="00CD7E52">
        <w:rPr>
          <w:szCs w:val="22"/>
          <w:lang w:val="lt-LT"/>
        </w:rPr>
        <w:t>A</w:t>
      </w:r>
      <w:r w:rsidR="001A17C4" w:rsidRPr="00CD7E52">
        <w:rPr>
          <w:szCs w:val="22"/>
          <w:lang w:val="lt-LT"/>
        </w:rPr>
        <w:t>RK</w:t>
      </w:r>
      <w:r w:rsidR="00BD30CA" w:rsidRPr="00CD7E52">
        <w:rPr>
          <w:snapToGrid/>
          <w:szCs w:val="22"/>
          <w:lang w:val="lt-LT"/>
        </w:rPr>
        <w:t> </w:t>
      </w:r>
      <w:r w:rsidR="00BD30CA" w:rsidRPr="00CD7E52">
        <w:rPr>
          <w:szCs w:val="22"/>
          <w:lang w:val="lt-LT"/>
        </w:rPr>
        <w:t>2</w:t>
      </w:r>
      <w:r w:rsidRPr="00CD7E52">
        <w:rPr>
          <w:szCs w:val="22"/>
          <w:lang w:val="lt-LT"/>
        </w:rPr>
        <w:t>0 atsako kriterijus, gydymas apremilastu 16</w:t>
      </w:r>
      <w:r w:rsidR="00C65C08" w:rsidRPr="00CD7E52">
        <w:rPr>
          <w:szCs w:val="22"/>
          <w:lang w:val="lt-LT"/>
        </w:rPr>
        <w:t> savai</w:t>
      </w:r>
      <w:r w:rsidRPr="00CD7E52">
        <w:rPr>
          <w:szCs w:val="22"/>
          <w:lang w:val="lt-LT"/>
        </w:rPr>
        <w:t xml:space="preserve">tę reikšmingai pagerino </w:t>
      </w:r>
      <w:r w:rsidR="00BE63E2" w:rsidRPr="00CD7E52">
        <w:rPr>
          <w:szCs w:val="22"/>
          <w:lang w:val="lt-LT"/>
        </w:rPr>
        <w:t>PsA</w:t>
      </w:r>
      <w:r w:rsidR="00BD30CA" w:rsidRPr="00CD7E52">
        <w:rPr>
          <w:szCs w:val="22"/>
          <w:lang w:val="lt-LT"/>
        </w:rPr>
        <w:t xml:space="preserve"> </w:t>
      </w:r>
      <w:r w:rsidRPr="00CD7E52">
        <w:rPr>
          <w:szCs w:val="22"/>
          <w:lang w:val="lt-LT"/>
        </w:rPr>
        <w:t xml:space="preserve">požymius ir simptomus, lyginant su </w:t>
      </w:r>
      <w:r w:rsidRPr="00CD7E52">
        <w:rPr>
          <w:snapToGrid/>
          <w:szCs w:val="22"/>
          <w:lang w:val="lt-LT"/>
        </w:rPr>
        <w:t>placeb</w:t>
      </w:r>
      <w:r w:rsidR="00BD30CA" w:rsidRPr="00CD7E52">
        <w:rPr>
          <w:snapToGrid/>
          <w:szCs w:val="22"/>
          <w:lang w:val="lt-LT"/>
        </w:rPr>
        <w:t>o poveikiu</w:t>
      </w:r>
      <w:r w:rsidRPr="00CD7E52">
        <w:rPr>
          <w:snapToGrid/>
          <w:szCs w:val="22"/>
          <w:lang w:val="lt-LT"/>
        </w:rPr>
        <w:t>.</w:t>
      </w:r>
      <w:r w:rsidRPr="00CD7E52">
        <w:rPr>
          <w:szCs w:val="22"/>
          <w:lang w:val="lt-LT"/>
        </w:rPr>
        <w:t xml:space="preserve"> Pacientų, kuriems atsakas</w:t>
      </w:r>
      <w:r w:rsidR="003214E6" w:rsidRPr="00CD7E52">
        <w:rPr>
          <w:szCs w:val="22"/>
          <w:lang w:val="lt-LT"/>
        </w:rPr>
        <w:t xml:space="preserve"> </w:t>
      </w:r>
      <w:r w:rsidRPr="00CD7E52">
        <w:rPr>
          <w:szCs w:val="22"/>
          <w:lang w:val="lt-LT"/>
        </w:rPr>
        <w:t>16</w:t>
      </w:r>
      <w:r w:rsidR="00C65C08" w:rsidRPr="00CD7E52">
        <w:rPr>
          <w:szCs w:val="22"/>
          <w:lang w:val="lt-LT"/>
        </w:rPr>
        <w:t> savai</w:t>
      </w:r>
      <w:r w:rsidRPr="00CD7E52">
        <w:rPr>
          <w:szCs w:val="22"/>
          <w:lang w:val="lt-LT"/>
        </w:rPr>
        <w:t>tę buvo</w:t>
      </w:r>
      <w:r w:rsidR="00BD30CA" w:rsidRPr="00CD7E52">
        <w:rPr>
          <w:szCs w:val="22"/>
          <w:lang w:val="lt-LT"/>
        </w:rPr>
        <w:t xml:space="preserve"> </w:t>
      </w:r>
      <w:r w:rsidR="006E6907" w:rsidRPr="00CD7E52">
        <w:rPr>
          <w:szCs w:val="22"/>
          <w:lang w:val="lt-LT"/>
        </w:rPr>
        <w:t>A</w:t>
      </w:r>
      <w:r w:rsidR="001A17C4" w:rsidRPr="00CD7E52">
        <w:rPr>
          <w:szCs w:val="22"/>
          <w:lang w:val="lt-LT"/>
        </w:rPr>
        <w:t>RK</w:t>
      </w:r>
      <w:r w:rsidR="00BD30CA" w:rsidRPr="00CD7E52">
        <w:rPr>
          <w:snapToGrid/>
          <w:szCs w:val="22"/>
          <w:lang w:val="lt-LT"/>
        </w:rPr>
        <w:t> </w:t>
      </w:r>
      <w:r w:rsidR="00BD30CA" w:rsidRPr="00CD7E52">
        <w:rPr>
          <w:szCs w:val="22"/>
          <w:lang w:val="lt-LT"/>
        </w:rPr>
        <w:t>2</w:t>
      </w:r>
      <w:r w:rsidRPr="00CD7E52">
        <w:rPr>
          <w:szCs w:val="22"/>
          <w:lang w:val="lt-LT"/>
        </w:rPr>
        <w:t>0/50/70 (PALAC</w:t>
      </w:r>
      <w:r w:rsidR="00BD30CA" w:rsidRPr="00CD7E52">
        <w:rPr>
          <w:szCs w:val="22"/>
          <w:lang w:val="lt-LT"/>
        </w:rPr>
        <w:t>E</w:t>
      </w:r>
      <w:r w:rsidR="00BD30CA" w:rsidRPr="00CD7E52">
        <w:rPr>
          <w:snapToGrid/>
          <w:szCs w:val="22"/>
          <w:lang w:val="lt-LT"/>
        </w:rPr>
        <w:t> </w:t>
      </w:r>
      <w:r w:rsidR="00BD30CA" w:rsidRPr="00CD7E52">
        <w:rPr>
          <w:szCs w:val="22"/>
          <w:lang w:val="lt-LT"/>
        </w:rPr>
        <w:t>1</w:t>
      </w:r>
      <w:r w:rsidRPr="00CD7E52">
        <w:rPr>
          <w:szCs w:val="22"/>
          <w:lang w:val="lt-LT"/>
        </w:rPr>
        <w:t>, PALAC</w:t>
      </w:r>
      <w:r w:rsidR="00BD30CA" w:rsidRPr="00CD7E52">
        <w:rPr>
          <w:szCs w:val="22"/>
          <w:lang w:val="lt-LT"/>
        </w:rPr>
        <w:t>E</w:t>
      </w:r>
      <w:r w:rsidR="00BD30CA" w:rsidRPr="00CD7E52">
        <w:rPr>
          <w:snapToGrid/>
          <w:szCs w:val="22"/>
          <w:lang w:val="lt-LT"/>
        </w:rPr>
        <w:t> </w:t>
      </w:r>
      <w:r w:rsidR="00BD30CA" w:rsidRPr="00CD7E52">
        <w:rPr>
          <w:szCs w:val="22"/>
          <w:lang w:val="lt-LT"/>
        </w:rPr>
        <w:t>2</w:t>
      </w:r>
      <w:r w:rsidRPr="00CD7E52">
        <w:rPr>
          <w:szCs w:val="22"/>
          <w:lang w:val="lt-LT"/>
        </w:rPr>
        <w:t>, PALAC</w:t>
      </w:r>
      <w:r w:rsidR="00BD30CA" w:rsidRPr="00CD7E52">
        <w:rPr>
          <w:szCs w:val="22"/>
          <w:lang w:val="lt-LT"/>
        </w:rPr>
        <w:t>E</w:t>
      </w:r>
      <w:r w:rsidR="00BD30CA" w:rsidRPr="00CD7E52">
        <w:rPr>
          <w:snapToGrid/>
          <w:szCs w:val="22"/>
          <w:lang w:val="lt-LT"/>
        </w:rPr>
        <w:t> </w:t>
      </w:r>
      <w:r w:rsidR="00BD30CA" w:rsidRPr="00CD7E52">
        <w:rPr>
          <w:szCs w:val="22"/>
          <w:lang w:val="lt-LT"/>
        </w:rPr>
        <w:t>3</w:t>
      </w:r>
      <w:r w:rsidRPr="00CD7E52">
        <w:rPr>
          <w:szCs w:val="22"/>
          <w:lang w:val="lt-LT"/>
        </w:rPr>
        <w:t xml:space="preserve"> tyrimų metu ir jungtiniai duomenys iš PALAC</w:t>
      </w:r>
      <w:r w:rsidR="00BD30CA" w:rsidRPr="00CD7E52">
        <w:rPr>
          <w:szCs w:val="22"/>
          <w:lang w:val="lt-LT"/>
        </w:rPr>
        <w:t>E</w:t>
      </w:r>
      <w:r w:rsidR="00BD30CA" w:rsidRPr="00CD7E52">
        <w:rPr>
          <w:snapToGrid/>
          <w:szCs w:val="22"/>
          <w:lang w:val="lt-LT"/>
        </w:rPr>
        <w:t> </w:t>
      </w:r>
      <w:r w:rsidR="00BD30CA" w:rsidRPr="00CD7E52">
        <w:rPr>
          <w:szCs w:val="22"/>
          <w:lang w:val="lt-LT"/>
        </w:rPr>
        <w:t>1</w:t>
      </w:r>
      <w:r w:rsidRPr="00CD7E52">
        <w:rPr>
          <w:szCs w:val="22"/>
          <w:lang w:val="lt-LT"/>
        </w:rPr>
        <w:t>,</w:t>
      </w:r>
      <w:r w:rsidR="00BD30CA" w:rsidRPr="00CD7E52">
        <w:rPr>
          <w:szCs w:val="22"/>
          <w:lang w:val="lt-LT"/>
        </w:rPr>
        <w:t xml:space="preserve"> </w:t>
      </w:r>
      <w:r w:rsidRPr="00CD7E52">
        <w:rPr>
          <w:szCs w:val="22"/>
          <w:lang w:val="lt-LT"/>
        </w:rPr>
        <w:t>PALAC</w:t>
      </w:r>
      <w:r w:rsidR="00BD30CA" w:rsidRPr="00CD7E52">
        <w:rPr>
          <w:szCs w:val="22"/>
          <w:lang w:val="lt-LT"/>
        </w:rPr>
        <w:t>E</w:t>
      </w:r>
      <w:r w:rsidR="00BD30CA" w:rsidRPr="00CD7E52">
        <w:rPr>
          <w:snapToGrid/>
          <w:szCs w:val="22"/>
          <w:lang w:val="lt-LT"/>
        </w:rPr>
        <w:t> </w:t>
      </w:r>
      <w:r w:rsidR="00BD30CA" w:rsidRPr="00CD7E52">
        <w:rPr>
          <w:szCs w:val="22"/>
          <w:lang w:val="lt-LT"/>
        </w:rPr>
        <w:t>2</w:t>
      </w:r>
      <w:r w:rsidRPr="00CD7E52">
        <w:rPr>
          <w:szCs w:val="22"/>
          <w:lang w:val="lt-LT"/>
        </w:rPr>
        <w:t xml:space="preserve"> ir PALAC</w:t>
      </w:r>
      <w:r w:rsidR="00BD30CA" w:rsidRPr="00CD7E52">
        <w:rPr>
          <w:szCs w:val="22"/>
          <w:lang w:val="lt-LT"/>
        </w:rPr>
        <w:t>E</w:t>
      </w:r>
      <w:r w:rsidR="00BD30CA" w:rsidRPr="00CD7E52">
        <w:rPr>
          <w:snapToGrid/>
          <w:szCs w:val="22"/>
          <w:lang w:val="lt-LT"/>
        </w:rPr>
        <w:t> </w:t>
      </w:r>
      <w:r w:rsidR="00BD30CA" w:rsidRPr="00CD7E52">
        <w:rPr>
          <w:szCs w:val="22"/>
          <w:lang w:val="lt-LT"/>
        </w:rPr>
        <w:t>3</w:t>
      </w:r>
      <w:r w:rsidRPr="00CD7E52">
        <w:rPr>
          <w:szCs w:val="22"/>
          <w:lang w:val="lt-LT"/>
        </w:rPr>
        <w:t xml:space="preserve"> tyrimų), </w:t>
      </w:r>
      <w:r w:rsidR="00BD30CA" w:rsidRPr="00CD7E52">
        <w:rPr>
          <w:snapToGrid/>
          <w:szCs w:val="22"/>
          <w:lang w:val="lt-LT"/>
        </w:rPr>
        <w:t xml:space="preserve">dalis </w:t>
      </w:r>
      <w:r w:rsidRPr="00CD7E52">
        <w:rPr>
          <w:snapToGrid/>
          <w:szCs w:val="22"/>
          <w:lang w:val="lt-LT"/>
        </w:rPr>
        <w:t>apremilast</w:t>
      </w:r>
      <w:r w:rsidR="002F6EBD" w:rsidRPr="00CD7E52">
        <w:rPr>
          <w:snapToGrid/>
          <w:szCs w:val="22"/>
          <w:lang w:val="lt-LT"/>
        </w:rPr>
        <w:t>o</w:t>
      </w:r>
      <w:r w:rsidR="00BD30CA" w:rsidRPr="00CD7E52">
        <w:rPr>
          <w:snapToGrid/>
          <w:szCs w:val="22"/>
          <w:lang w:val="lt-LT"/>
        </w:rPr>
        <w:t xml:space="preserve"> </w:t>
      </w:r>
      <w:r w:rsidRPr="00CD7E52">
        <w:rPr>
          <w:snapToGrid/>
          <w:szCs w:val="22"/>
          <w:lang w:val="lt-LT"/>
        </w:rPr>
        <w:t>vartoja</w:t>
      </w:r>
      <w:r w:rsidR="00BD30CA" w:rsidRPr="00CD7E52">
        <w:rPr>
          <w:snapToGrid/>
          <w:szCs w:val="22"/>
          <w:lang w:val="lt-LT"/>
        </w:rPr>
        <w:t>nt</w:t>
      </w:r>
      <w:r w:rsidRPr="00CD7E52">
        <w:rPr>
          <w:szCs w:val="22"/>
          <w:lang w:val="lt-LT"/>
        </w:rPr>
        <w:t xml:space="preserve"> po 30</w:t>
      </w:r>
      <w:r w:rsidR="00A87582" w:rsidRPr="00CD7E52">
        <w:rPr>
          <w:szCs w:val="22"/>
          <w:lang w:val="lt-LT"/>
        </w:rPr>
        <w:t> mg</w:t>
      </w:r>
      <w:r w:rsidRPr="00CD7E52">
        <w:rPr>
          <w:szCs w:val="22"/>
          <w:lang w:val="lt-LT"/>
        </w:rPr>
        <w:t xml:space="preserve"> du kartus per parą, </w:t>
      </w:r>
      <w:r w:rsidRPr="00CD7E52">
        <w:rPr>
          <w:snapToGrid/>
          <w:szCs w:val="22"/>
          <w:lang w:val="lt-LT"/>
        </w:rPr>
        <w:t>pateikta</w:t>
      </w:r>
      <w:r w:rsidR="00BD30CA" w:rsidRPr="00CD7E52">
        <w:rPr>
          <w:szCs w:val="22"/>
          <w:lang w:val="lt-LT"/>
        </w:rPr>
        <w:t xml:space="preserve"> </w:t>
      </w:r>
      <w:r w:rsidR="00153BF2">
        <w:rPr>
          <w:szCs w:val="22"/>
          <w:lang w:val="lt-LT"/>
        </w:rPr>
        <w:t>4</w:t>
      </w:r>
      <w:r w:rsidR="00BD30CA" w:rsidRPr="00CD7E52">
        <w:rPr>
          <w:szCs w:val="22"/>
          <w:lang w:val="lt-LT"/>
        </w:rPr>
        <w:t> </w:t>
      </w:r>
      <w:r w:rsidRPr="00CD7E52">
        <w:rPr>
          <w:szCs w:val="22"/>
          <w:lang w:val="lt-LT"/>
        </w:rPr>
        <w:t xml:space="preserve">lentelėje. </w:t>
      </w:r>
      <w:r w:rsidR="006E6907" w:rsidRPr="00CD7E52">
        <w:rPr>
          <w:szCs w:val="22"/>
          <w:lang w:val="lt-LT"/>
        </w:rPr>
        <w:t>A</w:t>
      </w:r>
      <w:r w:rsidR="003F400C" w:rsidRPr="00CD7E52">
        <w:rPr>
          <w:szCs w:val="22"/>
          <w:lang w:val="lt-LT"/>
        </w:rPr>
        <w:t>RK</w:t>
      </w:r>
      <w:r w:rsidR="00BD30CA" w:rsidRPr="00CD7E52">
        <w:rPr>
          <w:snapToGrid/>
          <w:szCs w:val="22"/>
          <w:lang w:val="lt-LT"/>
        </w:rPr>
        <w:t> </w:t>
      </w:r>
      <w:r w:rsidR="00BD30CA" w:rsidRPr="00CD7E52">
        <w:rPr>
          <w:szCs w:val="22"/>
          <w:lang w:val="lt-LT"/>
        </w:rPr>
        <w:t>2</w:t>
      </w:r>
      <w:r w:rsidRPr="00CD7E52">
        <w:rPr>
          <w:szCs w:val="22"/>
          <w:lang w:val="lt-LT"/>
        </w:rPr>
        <w:t>0/50/70 atsakas išliko ir 24</w:t>
      </w:r>
      <w:r w:rsidR="00C65C08" w:rsidRPr="00CD7E52">
        <w:rPr>
          <w:szCs w:val="22"/>
          <w:lang w:val="lt-LT"/>
        </w:rPr>
        <w:t> savai</w:t>
      </w:r>
      <w:r w:rsidRPr="00CD7E52">
        <w:rPr>
          <w:szCs w:val="22"/>
          <w:lang w:val="lt-LT"/>
        </w:rPr>
        <w:t>tę.</w:t>
      </w:r>
    </w:p>
    <w:p w14:paraId="5B218409" w14:textId="77777777" w:rsidR="00BD30CA" w:rsidRPr="00CD7E52" w:rsidRDefault="00BD30CA" w:rsidP="00BD0220">
      <w:pPr>
        <w:widowControl w:val="0"/>
        <w:tabs>
          <w:tab w:val="clear" w:pos="567"/>
        </w:tabs>
        <w:autoSpaceDE w:val="0"/>
        <w:autoSpaceDN w:val="0"/>
        <w:adjustRightInd w:val="0"/>
        <w:spacing w:line="240" w:lineRule="auto"/>
        <w:rPr>
          <w:szCs w:val="22"/>
          <w:lang w:val="lt-LT"/>
        </w:rPr>
      </w:pPr>
    </w:p>
    <w:p w14:paraId="2FD320F7"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Tarp pacientų, kurie iš pradžių </w:t>
      </w:r>
      <w:r w:rsidR="009132F1" w:rsidRPr="00CD7E52">
        <w:rPr>
          <w:szCs w:val="22"/>
          <w:lang w:val="lt-LT"/>
        </w:rPr>
        <w:t xml:space="preserve">buvo </w:t>
      </w:r>
      <w:r w:rsidR="009132F1" w:rsidRPr="00CD7E52">
        <w:rPr>
          <w:snapToGrid/>
          <w:szCs w:val="22"/>
          <w:lang w:val="lt-LT"/>
        </w:rPr>
        <w:t>atsitiktinai priskirt</w:t>
      </w:r>
      <w:r w:rsidR="004A27A6" w:rsidRPr="00CD7E52">
        <w:rPr>
          <w:snapToGrid/>
          <w:szCs w:val="22"/>
          <w:lang w:val="lt-LT"/>
        </w:rPr>
        <w:t>i</w:t>
      </w:r>
      <w:r w:rsidRPr="00CD7E52">
        <w:rPr>
          <w:szCs w:val="22"/>
          <w:lang w:val="lt-LT"/>
        </w:rPr>
        <w:t xml:space="preserve"> vartoti 30</w:t>
      </w:r>
      <w:r w:rsidR="00A87582" w:rsidRPr="00CD7E52">
        <w:rPr>
          <w:szCs w:val="22"/>
          <w:lang w:val="lt-LT"/>
        </w:rPr>
        <w:t> mg</w:t>
      </w:r>
      <w:r w:rsidRPr="00CD7E52">
        <w:rPr>
          <w:szCs w:val="22"/>
          <w:lang w:val="lt-LT"/>
        </w:rPr>
        <w:t xml:space="preserve"> apremilasto du kartus per</w:t>
      </w:r>
      <w:r w:rsidR="0047752B" w:rsidRPr="00CD7E52">
        <w:rPr>
          <w:szCs w:val="22"/>
          <w:lang w:val="lt-LT"/>
        </w:rPr>
        <w:t xml:space="preserve"> </w:t>
      </w:r>
      <w:r w:rsidRPr="00CD7E52">
        <w:rPr>
          <w:szCs w:val="22"/>
          <w:lang w:val="lt-LT"/>
        </w:rPr>
        <w:t xml:space="preserve">parą, </w:t>
      </w:r>
      <w:r w:rsidR="006E6907" w:rsidRPr="00CD7E52">
        <w:rPr>
          <w:szCs w:val="22"/>
          <w:lang w:val="lt-LT"/>
        </w:rPr>
        <w:t>A</w:t>
      </w:r>
      <w:r w:rsidR="003F400C" w:rsidRPr="00CD7E52">
        <w:rPr>
          <w:szCs w:val="22"/>
          <w:lang w:val="lt-LT"/>
        </w:rPr>
        <w:t>RK</w:t>
      </w:r>
      <w:r w:rsidR="00BD30CA" w:rsidRPr="00CD7E52">
        <w:rPr>
          <w:snapToGrid/>
          <w:szCs w:val="22"/>
          <w:lang w:val="lt-LT"/>
        </w:rPr>
        <w:t> </w:t>
      </w:r>
      <w:r w:rsidR="00BD30CA" w:rsidRPr="00CD7E52">
        <w:rPr>
          <w:szCs w:val="22"/>
          <w:lang w:val="lt-LT"/>
        </w:rPr>
        <w:t>2</w:t>
      </w:r>
      <w:r w:rsidRPr="00CD7E52">
        <w:rPr>
          <w:szCs w:val="22"/>
          <w:lang w:val="lt-LT"/>
        </w:rPr>
        <w:t xml:space="preserve">0/50/70 </w:t>
      </w:r>
      <w:r w:rsidR="0047752B" w:rsidRPr="00CD7E52">
        <w:rPr>
          <w:snapToGrid/>
          <w:szCs w:val="22"/>
          <w:lang w:val="lt-LT"/>
        </w:rPr>
        <w:t xml:space="preserve">atsako </w:t>
      </w:r>
      <w:r w:rsidRPr="00CD7E52">
        <w:rPr>
          <w:szCs w:val="22"/>
          <w:lang w:val="lt-LT"/>
        </w:rPr>
        <w:t xml:space="preserve">dažnis </w:t>
      </w:r>
      <w:r w:rsidR="0047752B" w:rsidRPr="00CD7E52">
        <w:rPr>
          <w:snapToGrid/>
          <w:szCs w:val="22"/>
          <w:lang w:val="lt-LT"/>
        </w:rPr>
        <w:t xml:space="preserve">remiantis </w:t>
      </w:r>
      <w:r w:rsidRPr="00CD7E52">
        <w:rPr>
          <w:snapToGrid/>
          <w:szCs w:val="22"/>
          <w:lang w:val="lt-LT"/>
        </w:rPr>
        <w:t>jungtini</w:t>
      </w:r>
      <w:r w:rsidR="0047752B" w:rsidRPr="00CD7E52">
        <w:rPr>
          <w:snapToGrid/>
          <w:szCs w:val="22"/>
          <w:lang w:val="lt-LT"/>
        </w:rPr>
        <w:t>ais</w:t>
      </w:r>
      <w:r w:rsidRPr="00CD7E52">
        <w:rPr>
          <w:szCs w:val="22"/>
          <w:lang w:val="lt-LT"/>
        </w:rPr>
        <w:t xml:space="preserve"> tyrimų PALAC</w:t>
      </w:r>
      <w:r w:rsidR="00BD30CA" w:rsidRPr="00CD7E52">
        <w:rPr>
          <w:szCs w:val="22"/>
          <w:lang w:val="lt-LT"/>
        </w:rPr>
        <w:t>E</w:t>
      </w:r>
      <w:r w:rsidR="00BD30CA" w:rsidRPr="00CD7E52">
        <w:rPr>
          <w:snapToGrid/>
          <w:szCs w:val="22"/>
          <w:lang w:val="lt-LT"/>
        </w:rPr>
        <w:t> </w:t>
      </w:r>
      <w:r w:rsidR="00BD30CA" w:rsidRPr="00CD7E52">
        <w:rPr>
          <w:szCs w:val="22"/>
          <w:lang w:val="lt-LT"/>
        </w:rPr>
        <w:t>1</w:t>
      </w:r>
      <w:r w:rsidRPr="00CD7E52">
        <w:rPr>
          <w:szCs w:val="22"/>
          <w:lang w:val="lt-LT"/>
        </w:rPr>
        <w:t>, PALAC</w:t>
      </w:r>
      <w:r w:rsidR="00BD30CA" w:rsidRPr="00CD7E52">
        <w:rPr>
          <w:szCs w:val="22"/>
          <w:lang w:val="lt-LT"/>
        </w:rPr>
        <w:t>E</w:t>
      </w:r>
      <w:r w:rsidR="00BD30CA" w:rsidRPr="00CD7E52">
        <w:rPr>
          <w:snapToGrid/>
          <w:szCs w:val="22"/>
          <w:lang w:val="lt-LT"/>
        </w:rPr>
        <w:t> </w:t>
      </w:r>
      <w:r w:rsidR="00BD30CA" w:rsidRPr="00CD7E52">
        <w:rPr>
          <w:szCs w:val="22"/>
          <w:lang w:val="lt-LT"/>
        </w:rPr>
        <w:t>2</w:t>
      </w:r>
      <w:r w:rsidRPr="00CD7E52">
        <w:rPr>
          <w:szCs w:val="22"/>
          <w:lang w:val="lt-LT"/>
        </w:rPr>
        <w:t xml:space="preserve"> bei PALAC</w:t>
      </w:r>
      <w:r w:rsidR="00BD30CA" w:rsidRPr="00CD7E52">
        <w:rPr>
          <w:szCs w:val="22"/>
          <w:lang w:val="lt-LT"/>
        </w:rPr>
        <w:t>E</w:t>
      </w:r>
      <w:r w:rsidR="00BD30CA" w:rsidRPr="00CD7E52">
        <w:rPr>
          <w:snapToGrid/>
          <w:szCs w:val="22"/>
          <w:lang w:val="lt-LT"/>
        </w:rPr>
        <w:t> </w:t>
      </w:r>
      <w:r w:rsidR="00BD30CA" w:rsidRPr="00CD7E52">
        <w:rPr>
          <w:szCs w:val="22"/>
          <w:lang w:val="lt-LT"/>
        </w:rPr>
        <w:t>3</w:t>
      </w:r>
      <w:r w:rsidRPr="00CD7E52">
        <w:rPr>
          <w:szCs w:val="22"/>
          <w:lang w:val="lt-LT"/>
        </w:rPr>
        <w:t xml:space="preserve"> </w:t>
      </w:r>
      <w:r w:rsidR="0047752B" w:rsidRPr="00CD7E52">
        <w:rPr>
          <w:snapToGrid/>
          <w:szCs w:val="22"/>
          <w:lang w:val="lt-LT"/>
        </w:rPr>
        <w:t>duomenimis</w:t>
      </w:r>
      <w:r w:rsidRPr="00CD7E52">
        <w:rPr>
          <w:szCs w:val="22"/>
          <w:lang w:val="lt-LT"/>
        </w:rPr>
        <w:t xml:space="preserve"> išliko</w:t>
      </w:r>
      <w:r w:rsidR="0047752B" w:rsidRPr="00CD7E52">
        <w:rPr>
          <w:szCs w:val="22"/>
          <w:lang w:val="lt-LT"/>
        </w:rPr>
        <w:t xml:space="preserve"> </w:t>
      </w:r>
      <w:r w:rsidRPr="00CD7E52">
        <w:rPr>
          <w:szCs w:val="22"/>
          <w:lang w:val="lt-LT"/>
        </w:rPr>
        <w:t>52</w:t>
      </w:r>
      <w:r w:rsidR="00C65C08" w:rsidRPr="00CD7E52">
        <w:rPr>
          <w:szCs w:val="22"/>
          <w:lang w:val="lt-LT"/>
        </w:rPr>
        <w:t> savai</w:t>
      </w:r>
      <w:r w:rsidRPr="00CD7E52">
        <w:rPr>
          <w:szCs w:val="22"/>
          <w:lang w:val="lt-LT"/>
        </w:rPr>
        <w:t>tes (1</w:t>
      </w:r>
      <w:r w:rsidR="0047752B" w:rsidRPr="00CD7E52">
        <w:rPr>
          <w:szCs w:val="22"/>
          <w:lang w:val="lt-LT"/>
        </w:rPr>
        <w:t> </w:t>
      </w:r>
      <w:r w:rsidRPr="00CD7E52">
        <w:rPr>
          <w:snapToGrid/>
          <w:szCs w:val="22"/>
          <w:lang w:val="lt-LT"/>
        </w:rPr>
        <w:t>pav</w:t>
      </w:r>
      <w:r w:rsidR="0047752B" w:rsidRPr="00CD7E52">
        <w:rPr>
          <w:snapToGrid/>
          <w:szCs w:val="22"/>
          <w:lang w:val="lt-LT"/>
        </w:rPr>
        <w:t>eikslas</w:t>
      </w:r>
      <w:r w:rsidRPr="00CD7E52">
        <w:rPr>
          <w:snapToGrid/>
          <w:szCs w:val="22"/>
          <w:lang w:val="lt-LT"/>
        </w:rPr>
        <w:t>).</w:t>
      </w:r>
    </w:p>
    <w:p w14:paraId="51A47973"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p>
    <w:p w14:paraId="2DD402D3" w14:textId="77777777" w:rsidR="004B4124" w:rsidRPr="00CD7E52" w:rsidRDefault="007B6DBA" w:rsidP="00BD0220">
      <w:pPr>
        <w:widowControl w:val="0"/>
        <w:tabs>
          <w:tab w:val="clear" w:pos="567"/>
        </w:tabs>
        <w:autoSpaceDE w:val="0"/>
        <w:autoSpaceDN w:val="0"/>
        <w:adjustRightInd w:val="0"/>
        <w:spacing w:line="240" w:lineRule="auto"/>
        <w:ind w:left="1134" w:hanging="1134"/>
        <w:rPr>
          <w:b/>
          <w:bCs/>
          <w:szCs w:val="22"/>
          <w:lang w:val="lt-LT"/>
        </w:rPr>
      </w:pPr>
      <w:r>
        <w:rPr>
          <w:b/>
          <w:bCs/>
          <w:szCs w:val="22"/>
          <w:lang w:val="lt-LT"/>
        </w:rPr>
        <w:t>4</w:t>
      </w:r>
      <w:r w:rsidR="00643F7F" w:rsidRPr="00CD7E52">
        <w:rPr>
          <w:b/>
          <w:bCs/>
          <w:szCs w:val="22"/>
          <w:lang w:val="lt-LT"/>
        </w:rPr>
        <w:t> </w:t>
      </w:r>
      <w:r w:rsidR="004B4124" w:rsidRPr="00CD7E52">
        <w:rPr>
          <w:b/>
          <w:bCs/>
          <w:szCs w:val="22"/>
          <w:lang w:val="lt-LT"/>
        </w:rPr>
        <w:t>lentelė.</w:t>
      </w:r>
      <w:r w:rsidR="0047752B" w:rsidRPr="00CD7E52">
        <w:rPr>
          <w:b/>
          <w:bCs/>
          <w:szCs w:val="22"/>
          <w:lang w:val="lt-LT"/>
        </w:rPr>
        <w:tab/>
      </w:r>
      <w:r w:rsidR="00FF79EA" w:rsidRPr="00CD7E52">
        <w:rPr>
          <w:b/>
          <w:bCs/>
          <w:szCs w:val="22"/>
          <w:lang w:val="lt-LT"/>
        </w:rPr>
        <w:t>Pacientų santykis</w:t>
      </w:r>
      <w:r w:rsidR="004B4124" w:rsidRPr="00CD7E52">
        <w:rPr>
          <w:b/>
          <w:bCs/>
          <w:szCs w:val="22"/>
          <w:lang w:val="lt-LT"/>
        </w:rPr>
        <w:t>, kuriems 16</w:t>
      </w:r>
      <w:r w:rsidR="00C65C08" w:rsidRPr="00CD7E52">
        <w:rPr>
          <w:b/>
          <w:bCs/>
          <w:szCs w:val="22"/>
          <w:lang w:val="lt-LT"/>
        </w:rPr>
        <w:t> savai</w:t>
      </w:r>
      <w:r w:rsidR="004B4124" w:rsidRPr="00CD7E52">
        <w:rPr>
          <w:b/>
          <w:bCs/>
          <w:szCs w:val="22"/>
          <w:lang w:val="lt-LT"/>
        </w:rPr>
        <w:t xml:space="preserve">tę nustatytas </w:t>
      </w:r>
      <w:r w:rsidR="006E6907" w:rsidRPr="00CD7E52">
        <w:rPr>
          <w:b/>
          <w:bCs/>
          <w:szCs w:val="22"/>
          <w:lang w:val="lt-LT"/>
        </w:rPr>
        <w:t>AR</w:t>
      </w:r>
      <w:r w:rsidR="0055073A" w:rsidRPr="00CD7E52">
        <w:rPr>
          <w:b/>
          <w:bCs/>
          <w:szCs w:val="22"/>
          <w:lang w:val="lt-LT"/>
        </w:rPr>
        <w:t>K</w:t>
      </w:r>
      <w:r w:rsidR="004B4124" w:rsidRPr="00CD7E52">
        <w:rPr>
          <w:b/>
          <w:bCs/>
          <w:szCs w:val="22"/>
          <w:lang w:val="lt-LT"/>
        </w:rPr>
        <w:t xml:space="preserve"> atsakas PALAC</w:t>
      </w:r>
      <w:r w:rsidR="00BD30CA" w:rsidRPr="00CD7E52">
        <w:rPr>
          <w:b/>
          <w:bCs/>
          <w:szCs w:val="22"/>
          <w:lang w:val="lt-LT"/>
        </w:rPr>
        <w:t>E</w:t>
      </w:r>
      <w:r w:rsidR="00BD30CA" w:rsidRPr="00CD7E52">
        <w:rPr>
          <w:b/>
          <w:bCs/>
          <w:snapToGrid/>
          <w:szCs w:val="22"/>
          <w:lang w:val="lt-LT"/>
        </w:rPr>
        <w:t> </w:t>
      </w:r>
      <w:r w:rsidR="00BD30CA" w:rsidRPr="00CD7E52">
        <w:rPr>
          <w:b/>
          <w:bCs/>
          <w:szCs w:val="22"/>
          <w:lang w:val="lt-LT"/>
        </w:rPr>
        <w:t>1</w:t>
      </w:r>
      <w:r w:rsidR="004B4124" w:rsidRPr="00CD7E52">
        <w:rPr>
          <w:b/>
          <w:bCs/>
          <w:szCs w:val="22"/>
          <w:lang w:val="lt-LT"/>
        </w:rPr>
        <w:t>,</w:t>
      </w:r>
      <w:r w:rsidR="0047752B" w:rsidRPr="00CD7E52">
        <w:rPr>
          <w:b/>
          <w:bCs/>
          <w:szCs w:val="22"/>
          <w:lang w:val="lt-LT"/>
        </w:rPr>
        <w:t xml:space="preserve"> </w:t>
      </w:r>
      <w:r w:rsidR="004B4124" w:rsidRPr="00CD7E52">
        <w:rPr>
          <w:b/>
          <w:bCs/>
          <w:szCs w:val="22"/>
          <w:lang w:val="lt-LT"/>
        </w:rPr>
        <w:t>PALAC</w:t>
      </w:r>
      <w:r w:rsidR="00BD30CA" w:rsidRPr="00CD7E52">
        <w:rPr>
          <w:b/>
          <w:bCs/>
          <w:szCs w:val="22"/>
          <w:lang w:val="lt-LT"/>
        </w:rPr>
        <w:t>E</w:t>
      </w:r>
      <w:r w:rsidR="00BD30CA" w:rsidRPr="00CD7E52">
        <w:rPr>
          <w:b/>
          <w:bCs/>
          <w:snapToGrid/>
          <w:szCs w:val="22"/>
          <w:lang w:val="lt-LT"/>
        </w:rPr>
        <w:t> </w:t>
      </w:r>
      <w:r w:rsidR="00BD30CA" w:rsidRPr="00CD7E52">
        <w:rPr>
          <w:b/>
          <w:bCs/>
          <w:szCs w:val="22"/>
          <w:lang w:val="lt-LT"/>
        </w:rPr>
        <w:t>2</w:t>
      </w:r>
      <w:r w:rsidR="004B4124" w:rsidRPr="00CD7E52">
        <w:rPr>
          <w:b/>
          <w:bCs/>
          <w:szCs w:val="22"/>
          <w:lang w:val="lt-LT"/>
        </w:rPr>
        <w:t>, PALAC</w:t>
      </w:r>
      <w:r w:rsidR="00BD30CA" w:rsidRPr="00CD7E52">
        <w:rPr>
          <w:b/>
          <w:bCs/>
          <w:szCs w:val="22"/>
          <w:lang w:val="lt-LT"/>
        </w:rPr>
        <w:t>E</w:t>
      </w:r>
      <w:r w:rsidR="00BD30CA" w:rsidRPr="00CD7E52">
        <w:rPr>
          <w:b/>
          <w:bCs/>
          <w:snapToGrid/>
          <w:szCs w:val="22"/>
          <w:lang w:val="lt-LT"/>
        </w:rPr>
        <w:t> </w:t>
      </w:r>
      <w:r w:rsidR="00BD30CA" w:rsidRPr="00CD7E52">
        <w:rPr>
          <w:b/>
          <w:bCs/>
          <w:szCs w:val="22"/>
          <w:lang w:val="lt-LT"/>
        </w:rPr>
        <w:t>3</w:t>
      </w:r>
      <w:r w:rsidR="004B4124" w:rsidRPr="00CD7E52">
        <w:rPr>
          <w:b/>
          <w:bCs/>
          <w:szCs w:val="22"/>
          <w:lang w:val="lt-LT"/>
        </w:rPr>
        <w:t xml:space="preserve"> </w:t>
      </w:r>
      <w:r w:rsidR="0047752B" w:rsidRPr="00CD7E52">
        <w:rPr>
          <w:b/>
          <w:bCs/>
          <w:snapToGrid/>
          <w:szCs w:val="22"/>
          <w:lang w:val="lt-LT"/>
        </w:rPr>
        <w:t>tyrimų apibendrin</w:t>
      </w:r>
      <w:r w:rsidR="0067654B" w:rsidRPr="00CD7E52">
        <w:rPr>
          <w:b/>
          <w:bCs/>
          <w:snapToGrid/>
          <w:szCs w:val="22"/>
          <w:lang w:val="lt-LT"/>
        </w:rPr>
        <w:t>tais</w:t>
      </w:r>
      <w:r w:rsidR="0047752B" w:rsidRPr="00CD7E52">
        <w:rPr>
          <w:b/>
          <w:bCs/>
          <w:snapToGrid/>
          <w:szCs w:val="22"/>
          <w:lang w:val="lt-LT"/>
        </w:rPr>
        <w:t xml:space="preserve"> duomeni</w:t>
      </w:r>
      <w:r w:rsidR="0067654B" w:rsidRPr="00CD7E52">
        <w:rPr>
          <w:b/>
          <w:bCs/>
          <w:snapToGrid/>
          <w:szCs w:val="22"/>
          <w:lang w:val="lt-LT"/>
        </w:rPr>
        <w:t>mi</w:t>
      </w:r>
      <w:r w:rsidR="0047752B" w:rsidRPr="00CD7E52">
        <w:rPr>
          <w:b/>
          <w:bCs/>
          <w:snapToGrid/>
          <w:szCs w:val="22"/>
          <w:lang w:val="lt-LT"/>
        </w:rPr>
        <w:t>s</w:t>
      </w:r>
    </w:p>
    <w:p w14:paraId="397D2E85" w14:textId="77777777" w:rsidR="0047752B" w:rsidRPr="00CD7E52" w:rsidRDefault="0047752B" w:rsidP="00BD0220">
      <w:pPr>
        <w:widowControl w:val="0"/>
        <w:tabs>
          <w:tab w:val="clear" w:pos="567"/>
        </w:tabs>
        <w:autoSpaceDE w:val="0"/>
        <w:autoSpaceDN w:val="0"/>
        <w:adjustRightInd w:val="0"/>
        <w:spacing w:line="240" w:lineRule="auto"/>
        <w:rPr>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932"/>
        <w:gridCol w:w="1011"/>
        <w:gridCol w:w="967"/>
        <w:gridCol w:w="1098"/>
        <w:gridCol w:w="991"/>
        <w:gridCol w:w="1025"/>
        <w:gridCol w:w="991"/>
        <w:gridCol w:w="1098"/>
      </w:tblGrid>
      <w:tr w:rsidR="002348A2" w:rsidRPr="00CD7E52" w14:paraId="2A3D8E71" w14:textId="77777777" w:rsidTr="0023353A">
        <w:trPr>
          <w:tblHeader/>
        </w:trPr>
        <w:tc>
          <w:tcPr>
            <w:tcW w:w="526" w:type="pct"/>
            <w:shd w:val="clear" w:color="auto" w:fill="D9D9D9"/>
          </w:tcPr>
          <w:p w14:paraId="126E844D" w14:textId="77777777" w:rsidR="00B63E32" w:rsidRPr="00A9366F" w:rsidRDefault="00B63E32" w:rsidP="00BD0220">
            <w:pPr>
              <w:tabs>
                <w:tab w:val="clear" w:pos="567"/>
              </w:tabs>
              <w:spacing w:line="240" w:lineRule="auto"/>
              <w:rPr>
                <w:rFonts w:eastAsia="Calibri"/>
                <w:b/>
                <w:bCs/>
                <w:szCs w:val="22"/>
                <w:lang w:val="lt-LT"/>
              </w:rPr>
            </w:pPr>
          </w:p>
        </w:tc>
        <w:tc>
          <w:tcPr>
            <w:tcW w:w="1100" w:type="pct"/>
            <w:gridSpan w:val="2"/>
            <w:shd w:val="clear" w:color="auto" w:fill="D9D9D9"/>
          </w:tcPr>
          <w:p w14:paraId="34D64B99" w14:textId="77777777" w:rsidR="00B63E32" w:rsidRPr="00A9366F" w:rsidRDefault="00B63E32" w:rsidP="00BD0220">
            <w:pPr>
              <w:tabs>
                <w:tab w:val="clear" w:pos="567"/>
              </w:tabs>
              <w:spacing w:line="240" w:lineRule="auto"/>
              <w:jc w:val="center"/>
              <w:rPr>
                <w:rFonts w:eastAsia="Calibri"/>
                <w:b/>
                <w:bCs/>
                <w:szCs w:val="22"/>
              </w:rPr>
            </w:pPr>
            <w:r w:rsidRPr="00A9366F">
              <w:rPr>
                <w:rFonts w:eastAsia="Calibri"/>
                <w:b/>
                <w:bCs/>
                <w:szCs w:val="22"/>
                <w:lang w:val="lt-LT"/>
              </w:rPr>
              <w:t>PALACE</w:t>
            </w:r>
            <w:r w:rsidRPr="00A9366F">
              <w:rPr>
                <w:rFonts w:eastAsia="Calibri"/>
                <w:b/>
                <w:bCs/>
                <w:snapToGrid/>
                <w:szCs w:val="22"/>
                <w:lang w:val="lt-LT"/>
              </w:rPr>
              <w:t> </w:t>
            </w:r>
            <w:r w:rsidRPr="00A9366F">
              <w:rPr>
                <w:rFonts w:eastAsia="Calibri"/>
                <w:b/>
                <w:bCs/>
                <w:szCs w:val="22"/>
                <w:lang w:val="lt-LT"/>
              </w:rPr>
              <w:t>1</w:t>
            </w:r>
          </w:p>
        </w:tc>
        <w:tc>
          <w:tcPr>
            <w:tcW w:w="1105" w:type="pct"/>
            <w:gridSpan w:val="2"/>
            <w:shd w:val="clear" w:color="auto" w:fill="D9D9D9"/>
          </w:tcPr>
          <w:p w14:paraId="1C1F0D51" w14:textId="77777777" w:rsidR="00B63E32" w:rsidRPr="00A9366F" w:rsidRDefault="00B63E32" w:rsidP="00BD0220">
            <w:pPr>
              <w:tabs>
                <w:tab w:val="clear" w:pos="567"/>
              </w:tabs>
              <w:spacing w:line="240" w:lineRule="auto"/>
              <w:jc w:val="center"/>
              <w:rPr>
                <w:rFonts w:eastAsia="Calibri"/>
                <w:b/>
                <w:bCs/>
                <w:szCs w:val="22"/>
              </w:rPr>
            </w:pPr>
            <w:r w:rsidRPr="00A9366F">
              <w:rPr>
                <w:rFonts w:eastAsia="Calibri"/>
                <w:b/>
                <w:bCs/>
                <w:szCs w:val="22"/>
                <w:lang w:val="lt-LT"/>
              </w:rPr>
              <w:t>PALACE</w:t>
            </w:r>
            <w:r w:rsidRPr="00A9366F">
              <w:rPr>
                <w:rFonts w:eastAsia="Calibri"/>
                <w:b/>
                <w:bCs/>
                <w:snapToGrid/>
                <w:szCs w:val="22"/>
                <w:lang w:val="lt-LT"/>
              </w:rPr>
              <w:t> </w:t>
            </w:r>
            <w:r w:rsidRPr="00A9366F">
              <w:rPr>
                <w:rFonts w:eastAsia="Calibri"/>
                <w:b/>
                <w:bCs/>
                <w:szCs w:val="22"/>
                <w:lang w:val="lt-LT"/>
              </w:rPr>
              <w:t>2</w:t>
            </w:r>
          </w:p>
        </w:tc>
        <w:tc>
          <w:tcPr>
            <w:tcW w:w="1109" w:type="pct"/>
            <w:gridSpan w:val="2"/>
            <w:shd w:val="clear" w:color="auto" w:fill="D9D9D9"/>
          </w:tcPr>
          <w:p w14:paraId="6E4EA301" w14:textId="77777777" w:rsidR="00B63E32" w:rsidRPr="00A9366F" w:rsidRDefault="00B63E32" w:rsidP="00BD0220">
            <w:pPr>
              <w:tabs>
                <w:tab w:val="clear" w:pos="567"/>
              </w:tabs>
              <w:spacing w:line="240" w:lineRule="auto"/>
              <w:jc w:val="center"/>
              <w:rPr>
                <w:rFonts w:eastAsia="Calibri"/>
                <w:b/>
                <w:bCs/>
                <w:szCs w:val="22"/>
              </w:rPr>
            </w:pPr>
            <w:r w:rsidRPr="00A9366F">
              <w:rPr>
                <w:rFonts w:eastAsia="Calibri"/>
                <w:b/>
                <w:bCs/>
                <w:szCs w:val="22"/>
                <w:lang w:val="lt-LT"/>
              </w:rPr>
              <w:t>PALACE</w:t>
            </w:r>
            <w:r w:rsidRPr="00A9366F">
              <w:rPr>
                <w:rFonts w:eastAsia="Calibri"/>
                <w:b/>
                <w:bCs/>
                <w:snapToGrid/>
                <w:szCs w:val="22"/>
                <w:lang w:val="lt-LT"/>
              </w:rPr>
              <w:t> </w:t>
            </w:r>
            <w:r w:rsidRPr="00A9366F">
              <w:rPr>
                <w:rFonts w:eastAsia="Calibri"/>
                <w:b/>
                <w:bCs/>
                <w:szCs w:val="22"/>
                <w:lang w:val="lt-LT"/>
              </w:rPr>
              <w:t>3</w:t>
            </w:r>
          </w:p>
        </w:tc>
        <w:tc>
          <w:tcPr>
            <w:tcW w:w="1159" w:type="pct"/>
            <w:gridSpan w:val="2"/>
            <w:shd w:val="clear" w:color="auto" w:fill="D9D9D9"/>
          </w:tcPr>
          <w:p w14:paraId="59D0619C" w14:textId="77777777" w:rsidR="00B63E32" w:rsidRPr="00A9366F" w:rsidRDefault="00B63E32" w:rsidP="00BD0220">
            <w:pPr>
              <w:tabs>
                <w:tab w:val="clear" w:pos="567"/>
              </w:tabs>
              <w:spacing w:line="240" w:lineRule="auto"/>
              <w:jc w:val="center"/>
              <w:rPr>
                <w:rFonts w:eastAsia="Calibri"/>
                <w:b/>
                <w:bCs/>
                <w:szCs w:val="22"/>
              </w:rPr>
            </w:pPr>
            <w:r w:rsidRPr="00A9366F">
              <w:rPr>
                <w:rFonts w:eastAsia="Calibri"/>
                <w:b/>
                <w:bCs/>
                <w:snapToGrid/>
                <w:szCs w:val="22"/>
                <w:lang w:val="lt-LT"/>
              </w:rPr>
              <w:t>APIBENDRINTI DUOMENYS</w:t>
            </w:r>
          </w:p>
        </w:tc>
      </w:tr>
      <w:tr w:rsidR="002348A2" w:rsidRPr="00CD7E52" w14:paraId="07CCC44F" w14:textId="77777777" w:rsidTr="0023353A">
        <w:trPr>
          <w:tblHeader/>
        </w:trPr>
        <w:tc>
          <w:tcPr>
            <w:tcW w:w="526" w:type="pct"/>
            <w:shd w:val="clear" w:color="auto" w:fill="D9D9D9"/>
            <w:vAlign w:val="center"/>
          </w:tcPr>
          <w:p w14:paraId="168E46B1" w14:textId="77777777" w:rsidR="00B63E32" w:rsidRPr="00A9366F" w:rsidRDefault="00B63E32" w:rsidP="00BD0220">
            <w:pPr>
              <w:tabs>
                <w:tab w:val="clear" w:pos="567"/>
              </w:tabs>
              <w:spacing w:line="240" w:lineRule="auto"/>
              <w:ind w:right="-102"/>
              <w:jc w:val="center"/>
              <w:rPr>
                <w:rFonts w:eastAsia="Calibri"/>
                <w:b/>
                <w:bCs/>
                <w:szCs w:val="22"/>
              </w:rPr>
            </w:pPr>
            <w:r w:rsidRPr="00A9366F">
              <w:rPr>
                <w:rFonts w:eastAsia="Calibri"/>
                <w:b/>
                <w:bCs/>
                <w:szCs w:val="22"/>
                <w:lang w:val="lt-LT"/>
              </w:rPr>
              <w:t>N</w:t>
            </w:r>
            <w:r w:rsidRPr="00A9366F">
              <w:rPr>
                <w:rFonts w:eastAsia="Calibri"/>
                <w:b/>
                <w:bCs/>
                <w:szCs w:val="22"/>
                <w:vertAlign w:val="superscript"/>
                <w:lang w:val="lt-LT"/>
              </w:rPr>
              <w:t>a</w:t>
            </w:r>
          </w:p>
        </w:tc>
        <w:tc>
          <w:tcPr>
            <w:tcW w:w="712" w:type="pct"/>
            <w:shd w:val="clear" w:color="auto" w:fill="D9D9D9"/>
          </w:tcPr>
          <w:p w14:paraId="6B3AAC45" w14:textId="77777777" w:rsidR="00B63E32" w:rsidRPr="00A9366F" w:rsidRDefault="00B63E32" w:rsidP="00BD0220">
            <w:pPr>
              <w:tabs>
                <w:tab w:val="clear" w:pos="567"/>
              </w:tabs>
              <w:spacing w:line="240" w:lineRule="auto"/>
              <w:jc w:val="center"/>
              <w:rPr>
                <w:rFonts w:eastAsia="Calibri"/>
                <w:b/>
                <w:bCs/>
                <w:szCs w:val="22"/>
              </w:rPr>
            </w:pPr>
            <w:r w:rsidRPr="00A9366F">
              <w:rPr>
                <w:rFonts w:eastAsia="Calibri"/>
                <w:b/>
                <w:bCs/>
                <w:szCs w:val="22"/>
                <w:lang w:val="lt-LT"/>
              </w:rPr>
              <w:t>Placebas</w:t>
            </w:r>
          </w:p>
          <w:p w14:paraId="44EFC735" w14:textId="77777777" w:rsidR="00B63E32" w:rsidRPr="00A9366F" w:rsidRDefault="00B63E32" w:rsidP="00BD0220">
            <w:pPr>
              <w:tabs>
                <w:tab w:val="clear" w:pos="567"/>
              </w:tabs>
              <w:spacing w:line="240" w:lineRule="auto"/>
              <w:jc w:val="center"/>
              <w:rPr>
                <w:rFonts w:eastAsia="Calibri"/>
                <w:b/>
                <w:bCs/>
                <w:szCs w:val="22"/>
              </w:rPr>
            </w:pPr>
          </w:p>
          <w:p w14:paraId="3DBA04B6" w14:textId="77777777" w:rsidR="00AA7C68" w:rsidRPr="00A9366F" w:rsidRDefault="00AA7C68" w:rsidP="00BD0220">
            <w:pPr>
              <w:tabs>
                <w:tab w:val="clear" w:pos="567"/>
              </w:tabs>
              <w:spacing w:line="240" w:lineRule="auto"/>
              <w:jc w:val="center"/>
              <w:rPr>
                <w:rFonts w:eastAsia="Calibri"/>
                <w:b/>
                <w:bCs/>
                <w:szCs w:val="22"/>
              </w:rPr>
            </w:pPr>
          </w:p>
          <w:p w14:paraId="24538665" w14:textId="77777777" w:rsidR="00AA7C68" w:rsidRPr="00A9366F" w:rsidRDefault="00AA7C68" w:rsidP="00BD0220">
            <w:pPr>
              <w:tabs>
                <w:tab w:val="clear" w:pos="567"/>
              </w:tabs>
              <w:spacing w:line="240" w:lineRule="auto"/>
              <w:jc w:val="center"/>
              <w:rPr>
                <w:rFonts w:eastAsia="Calibri"/>
                <w:b/>
                <w:bCs/>
                <w:szCs w:val="22"/>
              </w:rPr>
            </w:pPr>
          </w:p>
          <w:p w14:paraId="3357A716" w14:textId="77777777" w:rsidR="00AA7C68" w:rsidRPr="00A9366F" w:rsidRDefault="00AA7C68" w:rsidP="00BD0220">
            <w:pPr>
              <w:tabs>
                <w:tab w:val="clear" w:pos="567"/>
              </w:tabs>
              <w:spacing w:line="240" w:lineRule="auto"/>
              <w:jc w:val="center"/>
              <w:rPr>
                <w:rFonts w:eastAsia="Calibri"/>
                <w:b/>
                <w:bCs/>
                <w:szCs w:val="22"/>
              </w:rPr>
            </w:pPr>
          </w:p>
          <w:p w14:paraId="44B1BB07" w14:textId="77777777" w:rsidR="00B63E32" w:rsidRPr="00A9366F" w:rsidRDefault="00B63E32" w:rsidP="00BD0220">
            <w:pPr>
              <w:tabs>
                <w:tab w:val="clear" w:pos="567"/>
              </w:tabs>
              <w:spacing w:line="240" w:lineRule="auto"/>
              <w:jc w:val="center"/>
              <w:rPr>
                <w:rFonts w:eastAsia="Calibri"/>
                <w:b/>
                <w:bCs/>
                <w:szCs w:val="22"/>
                <w:lang w:val="lt-LT"/>
              </w:rPr>
            </w:pPr>
            <w:r w:rsidRPr="00A9366F">
              <w:rPr>
                <w:rFonts w:eastAsia="Calibri"/>
                <w:b/>
                <w:bCs/>
                <w:szCs w:val="22"/>
                <w:lang w:val="lt-LT"/>
              </w:rPr>
              <w:t>+/-</w:t>
            </w:r>
          </w:p>
          <w:p w14:paraId="7160D2AF" w14:textId="77777777" w:rsidR="002348A2" w:rsidRPr="00A9366F" w:rsidRDefault="00B63E32" w:rsidP="007E5296">
            <w:pPr>
              <w:tabs>
                <w:tab w:val="clear" w:pos="567"/>
              </w:tabs>
              <w:spacing w:line="240" w:lineRule="auto"/>
              <w:ind w:left="-74" w:right="-105"/>
              <w:rPr>
                <w:rFonts w:eastAsia="Calibri"/>
                <w:b/>
                <w:bCs/>
                <w:szCs w:val="22"/>
                <w:lang w:val="lt-LT"/>
              </w:rPr>
            </w:pPr>
            <w:r w:rsidRPr="00A9366F">
              <w:rPr>
                <w:rFonts w:eastAsia="Calibri"/>
                <w:b/>
                <w:bCs/>
                <w:szCs w:val="22"/>
                <w:lang w:val="lt-LT"/>
              </w:rPr>
              <w:t>LEMVN</w:t>
            </w:r>
            <w:r w:rsidR="003720A2" w:rsidRPr="00A9366F">
              <w:rPr>
                <w:rFonts w:eastAsia="Calibri"/>
                <w:b/>
                <w:bCs/>
                <w:szCs w:val="22"/>
                <w:lang w:val="lt-LT"/>
              </w:rPr>
              <w:t>R</w:t>
            </w:r>
          </w:p>
          <w:p w14:paraId="2A7F66EE" w14:textId="77777777" w:rsidR="00B63E32" w:rsidRPr="00A9366F" w:rsidRDefault="00B63E32" w:rsidP="003720A2">
            <w:pPr>
              <w:tabs>
                <w:tab w:val="clear" w:pos="567"/>
              </w:tabs>
              <w:spacing w:line="240" w:lineRule="auto"/>
              <w:rPr>
                <w:rFonts w:eastAsia="Calibri"/>
                <w:b/>
                <w:bCs/>
                <w:szCs w:val="22"/>
              </w:rPr>
            </w:pPr>
            <w:r w:rsidRPr="00A9366F">
              <w:rPr>
                <w:rFonts w:eastAsia="Calibri"/>
                <w:b/>
                <w:bCs/>
                <w:szCs w:val="22"/>
                <w:lang w:val="lt-LT"/>
              </w:rPr>
              <w:t>N</w:t>
            </w:r>
            <w:r w:rsidR="006D3C95" w:rsidRPr="00A9366F">
              <w:rPr>
                <w:rFonts w:eastAsia="Calibri"/>
                <w:b/>
                <w:bCs/>
                <w:szCs w:val="22"/>
                <w:lang w:val="lt-LT"/>
              </w:rPr>
              <w:t> </w:t>
            </w:r>
            <w:r w:rsidRPr="00A9366F">
              <w:rPr>
                <w:rFonts w:eastAsia="Calibri"/>
                <w:b/>
                <w:bCs/>
                <w:snapToGrid/>
                <w:szCs w:val="22"/>
                <w:lang w:val="lt-LT"/>
              </w:rPr>
              <w:t>=</w:t>
            </w:r>
            <w:r w:rsidR="006D3C95" w:rsidRPr="00A9366F">
              <w:rPr>
                <w:rFonts w:eastAsia="Calibri"/>
                <w:b/>
                <w:bCs/>
                <w:snapToGrid/>
                <w:szCs w:val="22"/>
                <w:lang w:val="lt-LT"/>
              </w:rPr>
              <w:t> </w:t>
            </w:r>
            <w:r w:rsidRPr="00A9366F">
              <w:rPr>
                <w:rFonts w:eastAsia="Calibri"/>
                <w:b/>
                <w:bCs/>
                <w:szCs w:val="22"/>
                <w:lang w:val="lt-LT"/>
              </w:rPr>
              <w:t>168</w:t>
            </w:r>
          </w:p>
        </w:tc>
        <w:tc>
          <w:tcPr>
            <w:tcW w:w="387" w:type="pct"/>
            <w:shd w:val="clear" w:color="auto" w:fill="D9D9D9"/>
          </w:tcPr>
          <w:p w14:paraId="749C8CE7" w14:textId="77777777" w:rsidR="00B63E32" w:rsidRPr="00A9366F" w:rsidRDefault="00B63E32" w:rsidP="004B240F">
            <w:pPr>
              <w:tabs>
                <w:tab w:val="clear" w:pos="567"/>
              </w:tabs>
              <w:spacing w:line="240" w:lineRule="auto"/>
              <w:ind w:left="-109" w:right="-90"/>
              <w:jc w:val="center"/>
              <w:rPr>
                <w:rFonts w:eastAsia="Calibri"/>
                <w:b/>
                <w:bCs/>
                <w:snapToGrid/>
                <w:szCs w:val="22"/>
                <w:lang w:val="lt-LT" w:eastAsia="lt-LT"/>
              </w:rPr>
            </w:pPr>
            <w:r w:rsidRPr="00A9366F">
              <w:rPr>
                <w:rFonts w:eastAsia="Calibri"/>
                <w:b/>
                <w:bCs/>
                <w:szCs w:val="22"/>
                <w:lang w:val="lt-LT"/>
              </w:rPr>
              <w:t>30</w:t>
            </w:r>
            <w:r w:rsidR="00A87582" w:rsidRPr="00A9366F">
              <w:rPr>
                <w:rFonts w:eastAsia="Calibri"/>
                <w:b/>
                <w:bCs/>
                <w:szCs w:val="22"/>
                <w:lang w:val="sv-SE"/>
              </w:rPr>
              <w:t> mg</w:t>
            </w:r>
            <w:r w:rsidR="005276AF" w:rsidRPr="00A9366F">
              <w:rPr>
                <w:rFonts w:eastAsia="Calibri"/>
                <w:b/>
                <w:bCs/>
                <w:szCs w:val="22"/>
                <w:lang w:val="sv-SE"/>
              </w:rPr>
              <w:t xml:space="preserve"> apremilasto</w:t>
            </w:r>
          </w:p>
          <w:p w14:paraId="34D66EF5" w14:textId="77777777" w:rsidR="00B63E32" w:rsidRPr="00A9366F" w:rsidRDefault="00B63E32" w:rsidP="00BD0220">
            <w:pPr>
              <w:tabs>
                <w:tab w:val="clear" w:pos="567"/>
              </w:tabs>
              <w:spacing w:line="240" w:lineRule="auto"/>
              <w:ind w:left="-109"/>
              <w:jc w:val="center"/>
              <w:rPr>
                <w:rFonts w:eastAsia="Calibri"/>
                <w:b/>
                <w:bCs/>
                <w:szCs w:val="22"/>
                <w:lang w:val="lt-LT"/>
              </w:rPr>
            </w:pPr>
            <w:r w:rsidRPr="00A9366F">
              <w:rPr>
                <w:rFonts w:eastAsia="Calibri"/>
                <w:b/>
                <w:bCs/>
                <w:szCs w:val="22"/>
                <w:lang w:val="lt-LT"/>
              </w:rPr>
              <w:t>du kartus per parą</w:t>
            </w:r>
          </w:p>
          <w:p w14:paraId="216B7C5B" w14:textId="77777777" w:rsidR="008F649F" w:rsidRPr="00A9366F" w:rsidRDefault="008F649F" w:rsidP="00BD0220">
            <w:pPr>
              <w:tabs>
                <w:tab w:val="clear" w:pos="567"/>
              </w:tabs>
              <w:spacing w:line="240" w:lineRule="auto"/>
              <w:ind w:left="-109"/>
              <w:jc w:val="center"/>
              <w:rPr>
                <w:rFonts w:eastAsia="Calibri"/>
                <w:b/>
                <w:bCs/>
                <w:szCs w:val="22"/>
                <w:lang w:val="sv-SE"/>
              </w:rPr>
            </w:pPr>
          </w:p>
          <w:p w14:paraId="338E703F" w14:textId="77777777" w:rsidR="00B63E32" w:rsidRPr="00716E07" w:rsidRDefault="00B63E32" w:rsidP="00BD0220">
            <w:pPr>
              <w:tabs>
                <w:tab w:val="clear" w:pos="567"/>
              </w:tabs>
              <w:spacing w:line="240" w:lineRule="auto"/>
              <w:ind w:left="-109"/>
              <w:jc w:val="center"/>
              <w:rPr>
                <w:rFonts w:eastAsia="Calibri"/>
                <w:b/>
                <w:lang w:val="pt-PT"/>
              </w:rPr>
            </w:pPr>
            <w:r w:rsidRPr="00A9366F">
              <w:rPr>
                <w:rFonts w:eastAsia="Calibri"/>
                <w:b/>
                <w:bCs/>
                <w:szCs w:val="22"/>
                <w:lang w:val="lt-LT"/>
              </w:rPr>
              <w:t>+/-</w:t>
            </w:r>
          </w:p>
          <w:p w14:paraId="7A74FBC6" w14:textId="77777777" w:rsidR="00B63E32" w:rsidRPr="00716E07" w:rsidRDefault="00B63E32" w:rsidP="00BD0220">
            <w:pPr>
              <w:tabs>
                <w:tab w:val="clear" w:pos="567"/>
              </w:tabs>
              <w:spacing w:line="240" w:lineRule="auto"/>
              <w:ind w:left="-109"/>
              <w:jc w:val="center"/>
              <w:rPr>
                <w:rFonts w:eastAsia="Calibri"/>
                <w:b/>
                <w:lang w:val="pt-PT"/>
              </w:rPr>
            </w:pPr>
            <w:r w:rsidRPr="00A9366F">
              <w:rPr>
                <w:rFonts w:eastAsia="Calibri"/>
                <w:b/>
                <w:bCs/>
                <w:szCs w:val="22"/>
                <w:lang w:val="lt-LT"/>
              </w:rPr>
              <w:t>LEMVNR</w:t>
            </w:r>
          </w:p>
          <w:p w14:paraId="74EBC16E" w14:textId="77777777" w:rsidR="00B63E32" w:rsidRPr="00A9366F" w:rsidRDefault="00B63E32" w:rsidP="00BD0220">
            <w:pPr>
              <w:tabs>
                <w:tab w:val="clear" w:pos="567"/>
              </w:tabs>
              <w:spacing w:line="240" w:lineRule="auto"/>
              <w:ind w:left="-109"/>
              <w:jc w:val="center"/>
              <w:rPr>
                <w:rFonts w:eastAsia="Calibri"/>
                <w:b/>
                <w:bCs/>
                <w:szCs w:val="22"/>
              </w:rPr>
            </w:pPr>
            <w:r w:rsidRPr="00A9366F">
              <w:rPr>
                <w:rFonts w:eastAsia="Calibri"/>
                <w:b/>
                <w:bCs/>
                <w:szCs w:val="22"/>
                <w:lang w:val="lt-LT"/>
              </w:rPr>
              <w:t>N</w:t>
            </w:r>
            <w:r w:rsidR="006D3C95" w:rsidRPr="00A9366F">
              <w:rPr>
                <w:rFonts w:eastAsia="Calibri"/>
                <w:b/>
                <w:bCs/>
                <w:szCs w:val="22"/>
                <w:lang w:val="lt-LT"/>
              </w:rPr>
              <w:t> </w:t>
            </w:r>
            <w:r w:rsidRPr="00A9366F">
              <w:rPr>
                <w:rFonts w:eastAsia="Calibri"/>
                <w:b/>
                <w:bCs/>
                <w:snapToGrid/>
                <w:szCs w:val="22"/>
                <w:lang w:val="lt-LT"/>
              </w:rPr>
              <w:t>=</w:t>
            </w:r>
            <w:r w:rsidR="006D3C95" w:rsidRPr="00A9366F">
              <w:rPr>
                <w:rFonts w:eastAsia="Calibri"/>
                <w:b/>
                <w:bCs/>
                <w:snapToGrid/>
                <w:szCs w:val="22"/>
                <w:lang w:val="lt-LT"/>
              </w:rPr>
              <w:t> </w:t>
            </w:r>
            <w:r w:rsidRPr="00A9366F">
              <w:rPr>
                <w:rFonts w:eastAsia="Calibri"/>
                <w:b/>
                <w:bCs/>
                <w:szCs w:val="22"/>
                <w:lang w:val="lt-LT"/>
              </w:rPr>
              <w:t>168</w:t>
            </w:r>
          </w:p>
        </w:tc>
        <w:tc>
          <w:tcPr>
            <w:tcW w:w="534" w:type="pct"/>
            <w:shd w:val="clear" w:color="auto" w:fill="D9D9D9"/>
          </w:tcPr>
          <w:p w14:paraId="13688563" w14:textId="77777777" w:rsidR="00B63E32" w:rsidRPr="00A9366F" w:rsidRDefault="00B63E32" w:rsidP="00BD0220">
            <w:pPr>
              <w:tabs>
                <w:tab w:val="clear" w:pos="567"/>
              </w:tabs>
              <w:spacing w:line="240" w:lineRule="auto"/>
              <w:ind w:left="-30" w:right="-134"/>
              <w:jc w:val="center"/>
              <w:rPr>
                <w:rFonts w:eastAsia="Calibri"/>
                <w:b/>
                <w:bCs/>
                <w:szCs w:val="22"/>
              </w:rPr>
            </w:pPr>
            <w:r w:rsidRPr="00A9366F">
              <w:rPr>
                <w:rFonts w:eastAsia="Calibri"/>
                <w:b/>
                <w:bCs/>
                <w:szCs w:val="22"/>
                <w:lang w:val="lt-LT"/>
              </w:rPr>
              <w:t>Placeb</w:t>
            </w:r>
            <w:r w:rsidR="000175D6" w:rsidRPr="00A9366F">
              <w:rPr>
                <w:rFonts w:eastAsia="Calibri"/>
                <w:b/>
                <w:bCs/>
                <w:szCs w:val="22"/>
                <w:lang w:val="lt-LT"/>
              </w:rPr>
              <w:t>as</w:t>
            </w:r>
          </w:p>
          <w:p w14:paraId="2BD1D426" w14:textId="77777777" w:rsidR="00B63E32" w:rsidRPr="00A9366F" w:rsidRDefault="00B63E32" w:rsidP="00BD0220">
            <w:pPr>
              <w:tabs>
                <w:tab w:val="clear" w:pos="567"/>
              </w:tabs>
              <w:spacing w:line="240" w:lineRule="auto"/>
              <w:ind w:left="-30" w:right="-134"/>
              <w:jc w:val="center"/>
              <w:rPr>
                <w:rFonts w:eastAsia="Calibri"/>
                <w:b/>
                <w:bCs/>
                <w:szCs w:val="22"/>
              </w:rPr>
            </w:pPr>
          </w:p>
          <w:p w14:paraId="2BC47D96" w14:textId="77777777" w:rsidR="00B63E32" w:rsidRPr="00A9366F" w:rsidRDefault="00B63E32" w:rsidP="00BD0220">
            <w:pPr>
              <w:tabs>
                <w:tab w:val="clear" w:pos="567"/>
              </w:tabs>
              <w:spacing w:line="240" w:lineRule="auto"/>
              <w:ind w:left="-30" w:right="-134"/>
              <w:jc w:val="center"/>
              <w:rPr>
                <w:rFonts w:eastAsia="Calibri"/>
                <w:b/>
                <w:bCs/>
                <w:szCs w:val="22"/>
              </w:rPr>
            </w:pPr>
            <w:r w:rsidRPr="00A9366F">
              <w:rPr>
                <w:rFonts w:eastAsia="Calibri"/>
                <w:b/>
                <w:bCs/>
                <w:szCs w:val="22"/>
                <w:lang w:val="lt-LT"/>
              </w:rPr>
              <w:t>+/-</w:t>
            </w:r>
          </w:p>
          <w:p w14:paraId="2C12BDC8" w14:textId="77777777" w:rsidR="00AA7C68" w:rsidRPr="00A9366F" w:rsidRDefault="00AA7C68" w:rsidP="00BD0220">
            <w:pPr>
              <w:tabs>
                <w:tab w:val="clear" w:pos="567"/>
              </w:tabs>
              <w:spacing w:line="240" w:lineRule="auto"/>
              <w:ind w:left="-30" w:right="-134"/>
              <w:jc w:val="center"/>
              <w:rPr>
                <w:rFonts w:eastAsia="Calibri"/>
                <w:b/>
                <w:bCs/>
                <w:szCs w:val="22"/>
                <w:lang w:val="lt-LT"/>
              </w:rPr>
            </w:pPr>
          </w:p>
          <w:p w14:paraId="660776C6" w14:textId="77777777" w:rsidR="00AA7C68" w:rsidRPr="00A9366F" w:rsidRDefault="00AA7C68" w:rsidP="00BD0220">
            <w:pPr>
              <w:tabs>
                <w:tab w:val="clear" w:pos="567"/>
              </w:tabs>
              <w:spacing w:line="240" w:lineRule="auto"/>
              <w:ind w:left="-30" w:right="-134"/>
              <w:jc w:val="center"/>
              <w:rPr>
                <w:rFonts w:eastAsia="Calibri"/>
                <w:b/>
                <w:bCs/>
                <w:szCs w:val="22"/>
                <w:lang w:val="lt-LT"/>
              </w:rPr>
            </w:pPr>
          </w:p>
          <w:p w14:paraId="476470F5" w14:textId="77777777" w:rsidR="00AA7C68" w:rsidRPr="00A9366F" w:rsidRDefault="00AA7C68" w:rsidP="00BD0220">
            <w:pPr>
              <w:tabs>
                <w:tab w:val="clear" w:pos="567"/>
              </w:tabs>
              <w:spacing w:line="240" w:lineRule="auto"/>
              <w:ind w:left="-30" w:right="-134"/>
              <w:jc w:val="center"/>
              <w:rPr>
                <w:rFonts w:eastAsia="Calibri"/>
                <w:b/>
                <w:bCs/>
                <w:szCs w:val="22"/>
                <w:lang w:val="lt-LT"/>
              </w:rPr>
            </w:pPr>
          </w:p>
          <w:p w14:paraId="734E3779" w14:textId="77777777" w:rsidR="00B63E32" w:rsidRPr="00A9366F" w:rsidRDefault="00B63E32" w:rsidP="00BD0220">
            <w:pPr>
              <w:tabs>
                <w:tab w:val="clear" w:pos="567"/>
              </w:tabs>
              <w:spacing w:line="240" w:lineRule="auto"/>
              <w:ind w:left="-30" w:right="-134"/>
              <w:jc w:val="center"/>
              <w:rPr>
                <w:rFonts w:eastAsia="Calibri"/>
                <w:b/>
                <w:bCs/>
                <w:szCs w:val="22"/>
              </w:rPr>
            </w:pPr>
            <w:r w:rsidRPr="00A9366F">
              <w:rPr>
                <w:rFonts w:eastAsia="Calibri"/>
                <w:b/>
                <w:bCs/>
                <w:szCs w:val="22"/>
                <w:lang w:val="lt-LT"/>
              </w:rPr>
              <w:t>LEMVNR</w:t>
            </w:r>
          </w:p>
          <w:p w14:paraId="1AB3204F" w14:textId="77777777" w:rsidR="00B63E32" w:rsidRPr="00A9366F" w:rsidRDefault="00B63E32" w:rsidP="00AA7C68">
            <w:pPr>
              <w:tabs>
                <w:tab w:val="clear" w:pos="567"/>
              </w:tabs>
              <w:spacing w:line="240" w:lineRule="auto"/>
              <w:ind w:right="-134"/>
              <w:rPr>
                <w:rFonts w:eastAsia="Calibri"/>
                <w:b/>
                <w:bCs/>
                <w:szCs w:val="22"/>
              </w:rPr>
            </w:pPr>
            <w:r w:rsidRPr="00A9366F">
              <w:rPr>
                <w:rFonts w:eastAsia="Calibri"/>
                <w:b/>
                <w:bCs/>
                <w:szCs w:val="22"/>
                <w:lang w:val="lt-LT"/>
              </w:rPr>
              <w:t>N</w:t>
            </w:r>
            <w:r w:rsidR="006D3C95" w:rsidRPr="00A9366F">
              <w:rPr>
                <w:rFonts w:eastAsia="Calibri"/>
                <w:b/>
                <w:bCs/>
                <w:szCs w:val="22"/>
                <w:lang w:val="lt-LT"/>
              </w:rPr>
              <w:t> </w:t>
            </w:r>
            <w:r w:rsidRPr="00A9366F">
              <w:rPr>
                <w:rFonts w:eastAsia="Calibri"/>
                <w:b/>
                <w:bCs/>
                <w:snapToGrid/>
                <w:szCs w:val="22"/>
                <w:lang w:val="lt-LT"/>
              </w:rPr>
              <w:t>=</w:t>
            </w:r>
            <w:r w:rsidR="006D3C95" w:rsidRPr="00A9366F">
              <w:rPr>
                <w:rFonts w:eastAsia="Calibri"/>
                <w:b/>
                <w:bCs/>
                <w:snapToGrid/>
                <w:szCs w:val="22"/>
                <w:lang w:val="lt-LT"/>
              </w:rPr>
              <w:t> </w:t>
            </w:r>
            <w:r w:rsidRPr="00A9366F">
              <w:rPr>
                <w:rFonts w:eastAsia="Calibri"/>
                <w:b/>
                <w:bCs/>
                <w:szCs w:val="22"/>
                <w:lang w:val="lt-LT"/>
              </w:rPr>
              <w:t>159</w:t>
            </w:r>
          </w:p>
        </w:tc>
        <w:tc>
          <w:tcPr>
            <w:tcW w:w="572" w:type="pct"/>
            <w:shd w:val="clear" w:color="auto" w:fill="D9D9D9"/>
          </w:tcPr>
          <w:p w14:paraId="64EB3A35" w14:textId="77777777" w:rsidR="00B63E32" w:rsidRPr="00A9366F" w:rsidRDefault="00B63E32" w:rsidP="00A01AF4">
            <w:pPr>
              <w:tabs>
                <w:tab w:val="clear" w:pos="567"/>
              </w:tabs>
              <w:spacing w:line="240" w:lineRule="auto"/>
              <w:ind w:right="-45"/>
              <w:jc w:val="center"/>
              <w:rPr>
                <w:rFonts w:eastAsia="Calibri"/>
                <w:b/>
                <w:bCs/>
                <w:snapToGrid/>
                <w:szCs w:val="22"/>
                <w:lang w:val="lt-LT" w:eastAsia="lt-LT"/>
              </w:rPr>
            </w:pPr>
            <w:r w:rsidRPr="00A9366F">
              <w:rPr>
                <w:rFonts w:eastAsia="Calibri"/>
                <w:b/>
                <w:bCs/>
                <w:szCs w:val="22"/>
                <w:lang w:val="lt-LT"/>
              </w:rPr>
              <w:t>30</w:t>
            </w:r>
            <w:r w:rsidR="00A87582" w:rsidRPr="00A9366F">
              <w:rPr>
                <w:rFonts w:eastAsia="Calibri"/>
                <w:b/>
                <w:bCs/>
                <w:szCs w:val="22"/>
                <w:lang w:val="sv-SE"/>
              </w:rPr>
              <w:t> mg</w:t>
            </w:r>
            <w:r w:rsidR="005276AF" w:rsidRPr="00A9366F">
              <w:rPr>
                <w:rFonts w:eastAsia="Calibri"/>
                <w:b/>
                <w:bCs/>
                <w:szCs w:val="22"/>
                <w:lang w:val="sv-SE"/>
              </w:rPr>
              <w:t xml:space="preserve"> apremilasto</w:t>
            </w:r>
          </w:p>
          <w:p w14:paraId="2F24F658" w14:textId="77777777" w:rsidR="00B63E32" w:rsidRPr="00A9366F" w:rsidRDefault="00B63E32" w:rsidP="00BD0220">
            <w:pPr>
              <w:tabs>
                <w:tab w:val="clear" w:pos="567"/>
              </w:tabs>
              <w:spacing w:line="240" w:lineRule="auto"/>
              <w:ind w:left="-70"/>
              <w:jc w:val="center"/>
              <w:rPr>
                <w:rFonts w:eastAsia="Calibri"/>
                <w:b/>
                <w:bCs/>
                <w:szCs w:val="22"/>
                <w:lang w:val="lt-LT"/>
              </w:rPr>
            </w:pPr>
            <w:r w:rsidRPr="00A9366F">
              <w:rPr>
                <w:rFonts w:eastAsia="Calibri"/>
                <w:b/>
                <w:bCs/>
                <w:szCs w:val="22"/>
                <w:lang w:val="lt-LT"/>
              </w:rPr>
              <w:t>du kartus per parą</w:t>
            </w:r>
          </w:p>
          <w:p w14:paraId="380B67CF" w14:textId="77777777" w:rsidR="008F649F" w:rsidRPr="00A9366F" w:rsidRDefault="008F649F" w:rsidP="00BD0220">
            <w:pPr>
              <w:tabs>
                <w:tab w:val="clear" w:pos="567"/>
              </w:tabs>
              <w:spacing w:line="240" w:lineRule="auto"/>
              <w:ind w:left="-70"/>
              <w:jc w:val="center"/>
              <w:rPr>
                <w:rFonts w:eastAsia="Calibri"/>
                <w:b/>
                <w:bCs/>
                <w:szCs w:val="22"/>
                <w:lang w:val="sv-SE"/>
              </w:rPr>
            </w:pPr>
          </w:p>
          <w:p w14:paraId="289A41DF" w14:textId="77777777" w:rsidR="00B63E32" w:rsidRPr="00716E07" w:rsidRDefault="00B63E32" w:rsidP="00BD0220">
            <w:pPr>
              <w:tabs>
                <w:tab w:val="clear" w:pos="567"/>
              </w:tabs>
              <w:spacing w:line="240" w:lineRule="auto"/>
              <w:ind w:left="-70"/>
              <w:jc w:val="center"/>
              <w:rPr>
                <w:rFonts w:eastAsia="Calibri"/>
                <w:b/>
                <w:lang w:val="pt-PT"/>
              </w:rPr>
            </w:pPr>
            <w:r w:rsidRPr="00A9366F">
              <w:rPr>
                <w:rFonts w:eastAsia="Calibri"/>
                <w:b/>
                <w:bCs/>
                <w:szCs w:val="22"/>
                <w:lang w:val="lt-LT"/>
              </w:rPr>
              <w:t>+/-</w:t>
            </w:r>
          </w:p>
          <w:p w14:paraId="40DDE167" w14:textId="77777777" w:rsidR="00B63E32" w:rsidRPr="00716E07" w:rsidRDefault="00B63E32" w:rsidP="00BD0220">
            <w:pPr>
              <w:tabs>
                <w:tab w:val="clear" w:pos="567"/>
              </w:tabs>
              <w:spacing w:line="240" w:lineRule="auto"/>
              <w:ind w:left="-70"/>
              <w:jc w:val="center"/>
              <w:rPr>
                <w:rFonts w:eastAsia="Calibri"/>
                <w:b/>
                <w:lang w:val="pt-PT"/>
              </w:rPr>
            </w:pPr>
            <w:r w:rsidRPr="00A9366F">
              <w:rPr>
                <w:rFonts w:eastAsia="Calibri"/>
                <w:b/>
                <w:bCs/>
                <w:szCs w:val="22"/>
                <w:lang w:val="lt-LT"/>
              </w:rPr>
              <w:t>LEMVNR</w:t>
            </w:r>
          </w:p>
          <w:p w14:paraId="1B1CFAA5" w14:textId="77777777" w:rsidR="00B63E32" w:rsidRPr="00A9366F" w:rsidRDefault="00B63E32" w:rsidP="00BD0220">
            <w:pPr>
              <w:tabs>
                <w:tab w:val="clear" w:pos="567"/>
              </w:tabs>
              <w:spacing w:line="240" w:lineRule="auto"/>
              <w:ind w:left="-70"/>
              <w:jc w:val="center"/>
              <w:rPr>
                <w:rFonts w:eastAsia="Calibri"/>
                <w:b/>
                <w:bCs/>
                <w:szCs w:val="22"/>
              </w:rPr>
            </w:pPr>
            <w:r w:rsidRPr="00A9366F">
              <w:rPr>
                <w:rFonts w:eastAsia="Calibri"/>
                <w:b/>
                <w:bCs/>
                <w:szCs w:val="22"/>
                <w:lang w:val="lt-LT"/>
              </w:rPr>
              <w:t>N</w:t>
            </w:r>
            <w:r w:rsidR="006D3C95" w:rsidRPr="00A9366F">
              <w:rPr>
                <w:rFonts w:eastAsia="Calibri"/>
                <w:b/>
                <w:bCs/>
                <w:szCs w:val="22"/>
                <w:lang w:val="lt-LT"/>
              </w:rPr>
              <w:t> </w:t>
            </w:r>
            <w:r w:rsidRPr="00A9366F">
              <w:rPr>
                <w:rFonts w:eastAsia="Calibri"/>
                <w:b/>
                <w:bCs/>
                <w:snapToGrid/>
                <w:szCs w:val="22"/>
                <w:lang w:val="lt-LT"/>
              </w:rPr>
              <w:t>=</w:t>
            </w:r>
            <w:r w:rsidR="006D3C95" w:rsidRPr="00A9366F">
              <w:rPr>
                <w:rFonts w:eastAsia="Calibri"/>
                <w:b/>
                <w:bCs/>
                <w:snapToGrid/>
                <w:szCs w:val="22"/>
                <w:lang w:val="lt-LT"/>
              </w:rPr>
              <w:t> </w:t>
            </w:r>
            <w:r w:rsidRPr="00A9366F">
              <w:rPr>
                <w:rFonts w:eastAsia="Calibri"/>
                <w:b/>
                <w:bCs/>
                <w:szCs w:val="22"/>
                <w:lang w:val="lt-LT"/>
              </w:rPr>
              <w:t>162</w:t>
            </w:r>
          </w:p>
        </w:tc>
        <w:tc>
          <w:tcPr>
            <w:tcW w:w="550" w:type="pct"/>
            <w:shd w:val="clear" w:color="auto" w:fill="D9D9D9"/>
          </w:tcPr>
          <w:p w14:paraId="41C857B2" w14:textId="77777777" w:rsidR="00B63E32" w:rsidRPr="00A9366F" w:rsidRDefault="00B63E32" w:rsidP="00BD0220">
            <w:pPr>
              <w:tabs>
                <w:tab w:val="clear" w:pos="567"/>
              </w:tabs>
              <w:spacing w:line="240" w:lineRule="auto"/>
              <w:jc w:val="center"/>
              <w:rPr>
                <w:rFonts w:eastAsia="Calibri"/>
                <w:b/>
                <w:bCs/>
                <w:szCs w:val="22"/>
              </w:rPr>
            </w:pPr>
            <w:r w:rsidRPr="00A9366F">
              <w:rPr>
                <w:rFonts w:eastAsia="Calibri"/>
                <w:b/>
                <w:bCs/>
                <w:szCs w:val="22"/>
                <w:lang w:val="lt-LT"/>
              </w:rPr>
              <w:t>Placeb</w:t>
            </w:r>
            <w:r w:rsidR="000175D6" w:rsidRPr="00A9366F">
              <w:rPr>
                <w:rFonts w:eastAsia="Calibri"/>
                <w:b/>
                <w:bCs/>
                <w:szCs w:val="22"/>
                <w:lang w:val="lt-LT"/>
              </w:rPr>
              <w:t>as</w:t>
            </w:r>
          </w:p>
          <w:p w14:paraId="3DD913A4" w14:textId="77777777" w:rsidR="00B63E32" w:rsidRPr="00A9366F" w:rsidRDefault="00B63E32" w:rsidP="00BD0220">
            <w:pPr>
              <w:tabs>
                <w:tab w:val="clear" w:pos="567"/>
              </w:tabs>
              <w:spacing w:line="240" w:lineRule="auto"/>
              <w:jc w:val="center"/>
              <w:rPr>
                <w:rFonts w:eastAsia="Calibri"/>
                <w:b/>
                <w:bCs/>
                <w:szCs w:val="22"/>
              </w:rPr>
            </w:pPr>
          </w:p>
          <w:p w14:paraId="4BD35B76" w14:textId="77777777" w:rsidR="00B63E32" w:rsidRPr="00A9366F" w:rsidRDefault="00B63E32" w:rsidP="00BD0220">
            <w:pPr>
              <w:tabs>
                <w:tab w:val="clear" w:pos="567"/>
              </w:tabs>
              <w:spacing w:line="240" w:lineRule="auto"/>
              <w:jc w:val="center"/>
              <w:rPr>
                <w:rFonts w:eastAsia="Calibri"/>
                <w:b/>
                <w:bCs/>
                <w:szCs w:val="22"/>
                <w:lang w:val="lt-LT"/>
              </w:rPr>
            </w:pPr>
            <w:r w:rsidRPr="00A9366F">
              <w:rPr>
                <w:rFonts w:eastAsia="Calibri"/>
                <w:b/>
                <w:bCs/>
                <w:szCs w:val="22"/>
                <w:lang w:val="lt-LT"/>
              </w:rPr>
              <w:t>+/-</w:t>
            </w:r>
          </w:p>
          <w:p w14:paraId="06689264" w14:textId="77777777" w:rsidR="008F649F" w:rsidRPr="00A9366F" w:rsidRDefault="008F649F" w:rsidP="00BD0220">
            <w:pPr>
              <w:tabs>
                <w:tab w:val="clear" w:pos="567"/>
              </w:tabs>
              <w:spacing w:line="240" w:lineRule="auto"/>
              <w:jc w:val="center"/>
              <w:rPr>
                <w:rFonts w:eastAsia="Calibri"/>
                <w:b/>
                <w:bCs/>
                <w:szCs w:val="22"/>
              </w:rPr>
            </w:pPr>
          </w:p>
          <w:p w14:paraId="74C4B59B" w14:textId="77777777" w:rsidR="008F649F" w:rsidRPr="00A9366F" w:rsidRDefault="008F649F" w:rsidP="00BD0220">
            <w:pPr>
              <w:tabs>
                <w:tab w:val="clear" w:pos="567"/>
              </w:tabs>
              <w:spacing w:line="240" w:lineRule="auto"/>
              <w:jc w:val="center"/>
              <w:rPr>
                <w:rFonts w:eastAsia="Calibri"/>
                <w:b/>
                <w:bCs/>
                <w:szCs w:val="22"/>
              </w:rPr>
            </w:pPr>
          </w:p>
          <w:p w14:paraId="3977ECC0" w14:textId="77777777" w:rsidR="008F649F" w:rsidRPr="00A9366F" w:rsidRDefault="008F649F" w:rsidP="00BD0220">
            <w:pPr>
              <w:tabs>
                <w:tab w:val="clear" w:pos="567"/>
              </w:tabs>
              <w:spacing w:line="240" w:lineRule="auto"/>
              <w:jc w:val="center"/>
              <w:rPr>
                <w:rFonts w:eastAsia="Calibri"/>
                <w:b/>
                <w:bCs/>
                <w:szCs w:val="22"/>
              </w:rPr>
            </w:pPr>
          </w:p>
          <w:p w14:paraId="48C25BE3" w14:textId="77777777" w:rsidR="00B63E32" w:rsidRPr="00A9366F" w:rsidRDefault="00B63E32" w:rsidP="00BD0220">
            <w:pPr>
              <w:tabs>
                <w:tab w:val="clear" w:pos="567"/>
              </w:tabs>
              <w:spacing w:line="240" w:lineRule="auto"/>
              <w:ind w:right="-124"/>
              <w:jc w:val="center"/>
              <w:rPr>
                <w:rFonts w:eastAsia="Calibri"/>
                <w:b/>
                <w:bCs/>
                <w:szCs w:val="22"/>
              </w:rPr>
            </w:pPr>
            <w:r w:rsidRPr="00A9366F">
              <w:rPr>
                <w:rFonts w:eastAsia="Calibri"/>
                <w:b/>
                <w:bCs/>
                <w:szCs w:val="22"/>
                <w:lang w:val="lt-LT"/>
              </w:rPr>
              <w:t>LEMVNR</w:t>
            </w:r>
          </w:p>
          <w:p w14:paraId="634C0102" w14:textId="77777777" w:rsidR="00B63E32" w:rsidRPr="00A9366F" w:rsidRDefault="00B63E32" w:rsidP="008F649F">
            <w:pPr>
              <w:tabs>
                <w:tab w:val="clear" w:pos="567"/>
              </w:tabs>
              <w:spacing w:line="240" w:lineRule="auto"/>
              <w:rPr>
                <w:rFonts w:eastAsia="Calibri"/>
                <w:b/>
                <w:bCs/>
                <w:szCs w:val="22"/>
              </w:rPr>
            </w:pPr>
            <w:r w:rsidRPr="00A9366F">
              <w:rPr>
                <w:rFonts w:eastAsia="Calibri"/>
                <w:b/>
                <w:bCs/>
                <w:szCs w:val="22"/>
                <w:lang w:val="lt-LT"/>
              </w:rPr>
              <w:t>N</w:t>
            </w:r>
            <w:r w:rsidR="006D3C95" w:rsidRPr="00A9366F">
              <w:rPr>
                <w:rFonts w:eastAsia="Calibri"/>
                <w:b/>
                <w:bCs/>
                <w:szCs w:val="22"/>
                <w:lang w:val="lt-LT"/>
              </w:rPr>
              <w:t> </w:t>
            </w:r>
            <w:r w:rsidRPr="00A9366F">
              <w:rPr>
                <w:rFonts w:eastAsia="Calibri"/>
                <w:b/>
                <w:bCs/>
                <w:snapToGrid/>
                <w:szCs w:val="22"/>
                <w:lang w:val="lt-LT"/>
              </w:rPr>
              <w:t>=</w:t>
            </w:r>
            <w:r w:rsidR="006D3C95" w:rsidRPr="00A9366F">
              <w:rPr>
                <w:rFonts w:eastAsia="Calibri"/>
                <w:b/>
                <w:bCs/>
                <w:snapToGrid/>
                <w:szCs w:val="22"/>
                <w:lang w:val="lt-LT"/>
              </w:rPr>
              <w:t> </w:t>
            </w:r>
            <w:r w:rsidRPr="00A9366F">
              <w:rPr>
                <w:rFonts w:eastAsia="Calibri"/>
                <w:b/>
                <w:bCs/>
                <w:szCs w:val="22"/>
                <w:lang w:val="lt-LT"/>
              </w:rPr>
              <w:t>169</w:t>
            </w:r>
          </w:p>
        </w:tc>
        <w:tc>
          <w:tcPr>
            <w:tcW w:w="560" w:type="pct"/>
            <w:shd w:val="clear" w:color="auto" w:fill="D9D9D9"/>
          </w:tcPr>
          <w:p w14:paraId="75CF98FE" w14:textId="77777777" w:rsidR="00B63E32" w:rsidRPr="00A9366F" w:rsidRDefault="00B63E32" w:rsidP="00A01AF4">
            <w:pPr>
              <w:tabs>
                <w:tab w:val="clear" w:pos="567"/>
              </w:tabs>
              <w:spacing w:line="240" w:lineRule="auto"/>
              <w:ind w:left="-92" w:right="-75"/>
              <w:jc w:val="center"/>
              <w:rPr>
                <w:rFonts w:eastAsia="Calibri"/>
                <w:b/>
                <w:bCs/>
                <w:snapToGrid/>
                <w:szCs w:val="22"/>
                <w:lang w:val="lt-LT" w:eastAsia="lt-LT"/>
              </w:rPr>
            </w:pPr>
            <w:r w:rsidRPr="00A9366F">
              <w:rPr>
                <w:rFonts w:eastAsia="Calibri"/>
                <w:b/>
                <w:bCs/>
                <w:szCs w:val="22"/>
                <w:lang w:val="lt-LT"/>
              </w:rPr>
              <w:t>30</w:t>
            </w:r>
            <w:r w:rsidR="00A87582" w:rsidRPr="00A9366F">
              <w:rPr>
                <w:rFonts w:eastAsia="Calibri"/>
                <w:b/>
                <w:bCs/>
                <w:szCs w:val="22"/>
                <w:lang w:val="sv-SE"/>
              </w:rPr>
              <w:t> mg</w:t>
            </w:r>
            <w:r w:rsidR="005276AF" w:rsidRPr="00A9366F">
              <w:rPr>
                <w:rFonts w:eastAsia="Calibri"/>
                <w:b/>
                <w:bCs/>
                <w:szCs w:val="22"/>
                <w:lang w:val="sv-SE"/>
              </w:rPr>
              <w:t xml:space="preserve"> apremilasto</w:t>
            </w:r>
          </w:p>
          <w:p w14:paraId="382D3E5C" w14:textId="77777777" w:rsidR="00B63E32" w:rsidRPr="00A9366F" w:rsidRDefault="00B63E32" w:rsidP="00BD0220">
            <w:pPr>
              <w:tabs>
                <w:tab w:val="clear" w:pos="567"/>
              </w:tabs>
              <w:spacing w:line="240" w:lineRule="auto"/>
              <w:ind w:left="-92" w:right="-48"/>
              <w:jc w:val="center"/>
              <w:rPr>
                <w:rFonts w:eastAsia="Calibri"/>
                <w:b/>
                <w:bCs/>
                <w:szCs w:val="22"/>
                <w:lang w:val="sv-SE"/>
              </w:rPr>
            </w:pPr>
            <w:r w:rsidRPr="00A9366F">
              <w:rPr>
                <w:rFonts w:eastAsia="Calibri"/>
                <w:b/>
                <w:bCs/>
                <w:szCs w:val="22"/>
                <w:lang w:val="lt-LT"/>
              </w:rPr>
              <w:t>du kartus per parą</w:t>
            </w:r>
          </w:p>
          <w:p w14:paraId="3ABE3374" w14:textId="77777777" w:rsidR="00B63E32" w:rsidRPr="00A9366F" w:rsidRDefault="00B63E32" w:rsidP="00BD0220">
            <w:pPr>
              <w:tabs>
                <w:tab w:val="clear" w:pos="567"/>
              </w:tabs>
              <w:spacing w:line="240" w:lineRule="auto"/>
              <w:ind w:left="-92"/>
              <w:jc w:val="center"/>
              <w:rPr>
                <w:rFonts w:eastAsia="Calibri"/>
                <w:b/>
                <w:bCs/>
                <w:szCs w:val="22"/>
                <w:lang w:val="lt-LT"/>
              </w:rPr>
            </w:pPr>
            <w:r w:rsidRPr="00A9366F">
              <w:rPr>
                <w:rFonts w:eastAsia="Calibri"/>
                <w:b/>
                <w:bCs/>
                <w:szCs w:val="22"/>
                <w:lang w:val="lt-LT"/>
              </w:rPr>
              <w:t>+/-</w:t>
            </w:r>
          </w:p>
          <w:p w14:paraId="2DC8AF6D" w14:textId="77777777" w:rsidR="008F649F" w:rsidRPr="00716E07" w:rsidRDefault="008F649F" w:rsidP="00BD0220">
            <w:pPr>
              <w:tabs>
                <w:tab w:val="clear" w:pos="567"/>
              </w:tabs>
              <w:spacing w:line="240" w:lineRule="auto"/>
              <w:ind w:left="-92"/>
              <w:jc w:val="center"/>
              <w:rPr>
                <w:rFonts w:eastAsia="Calibri"/>
                <w:b/>
                <w:lang w:val="pt-PT"/>
              </w:rPr>
            </w:pPr>
          </w:p>
          <w:p w14:paraId="06FEAA9D" w14:textId="77777777" w:rsidR="00B63E32" w:rsidRPr="00716E07" w:rsidRDefault="00B63E32" w:rsidP="00BD0220">
            <w:pPr>
              <w:tabs>
                <w:tab w:val="clear" w:pos="567"/>
              </w:tabs>
              <w:spacing w:line="240" w:lineRule="auto"/>
              <w:ind w:left="-92"/>
              <w:jc w:val="center"/>
              <w:rPr>
                <w:rFonts w:eastAsia="Calibri"/>
                <w:b/>
                <w:lang w:val="pt-PT"/>
              </w:rPr>
            </w:pPr>
            <w:r w:rsidRPr="00A9366F">
              <w:rPr>
                <w:rFonts w:eastAsia="Calibri"/>
                <w:b/>
                <w:bCs/>
                <w:szCs w:val="22"/>
                <w:lang w:val="lt-LT"/>
              </w:rPr>
              <w:t>LEMVNR</w:t>
            </w:r>
          </w:p>
          <w:p w14:paraId="72E3FD7B" w14:textId="77777777" w:rsidR="00B63E32" w:rsidRPr="00A9366F" w:rsidRDefault="00B63E32" w:rsidP="00BD0220">
            <w:pPr>
              <w:tabs>
                <w:tab w:val="clear" w:pos="567"/>
              </w:tabs>
              <w:spacing w:line="240" w:lineRule="auto"/>
              <w:ind w:left="-92"/>
              <w:jc w:val="center"/>
              <w:rPr>
                <w:rFonts w:eastAsia="Calibri"/>
                <w:b/>
                <w:bCs/>
                <w:szCs w:val="22"/>
              </w:rPr>
            </w:pPr>
            <w:r w:rsidRPr="00A9366F">
              <w:rPr>
                <w:rFonts w:eastAsia="Calibri"/>
                <w:b/>
                <w:bCs/>
                <w:szCs w:val="22"/>
                <w:lang w:val="lt-LT"/>
              </w:rPr>
              <w:t>N</w:t>
            </w:r>
            <w:r w:rsidR="006D3C95" w:rsidRPr="00A9366F">
              <w:rPr>
                <w:rFonts w:eastAsia="Calibri"/>
                <w:b/>
                <w:bCs/>
                <w:szCs w:val="22"/>
                <w:lang w:val="lt-LT"/>
              </w:rPr>
              <w:t> </w:t>
            </w:r>
            <w:r w:rsidRPr="00A9366F">
              <w:rPr>
                <w:rFonts w:eastAsia="Calibri"/>
                <w:b/>
                <w:bCs/>
                <w:snapToGrid/>
                <w:szCs w:val="22"/>
                <w:lang w:val="lt-LT"/>
              </w:rPr>
              <w:t>=</w:t>
            </w:r>
            <w:r w:rsidR="006D3C95" w:rsidRPr="00A9366F">
              <w:rPr>
                <w:rFonts w:eastAsia="Calibri"/>
                <w:b/>
                <w:bCs/>
                <w:snapToGrid/>
                <w:szCs w:val="22"/>
                <w:lang w:val="lt-LT"/>
              </w:rPr>
              <w:t> </w:t>
            </w:r>
            <w:r w:rsidRPr="00A9366F">
              <w:rPr>
                <w:rFonts w:eastAsia="Calibri"/>
                <w:b/>
                <w:bCs/>
                <w:szCs w:val="22"/>
                <w:lang w:val="lt-LT"/>
              </w:rPr>
              <w:t>167</w:t>
            </w:r>
          </w:p>
        </w:tc>
        <w:tc>
          <w:tcPr>
            <w:tcW w:w="550" w:type="pct"/>
            <w:shd w:val="clear" w:color="auto" w:fill="D9D9D9"/>
          </w:tcPr>
          <w:p w14:paraId="2F805D95" w14:textId="77777777" w:rsidR="00B63E32" w:rsidRPr="00A9366F" w:rsidRDefault="00B63E32" w:rsidP="00BD0220">
            <w:pPr>
              <w:tabs>
                <w:tab w:val="clear" w:pos="567"/>
              </w:tabs>
              <w:spacing w:line="240" w:lineRule="auto"/>
              <w:jc w:val="center"/>
              <w:rPr>
                <w:rFonts w:eastAsia="Calibri"/>
                <w:b/>
                <w:bCs/>
                <w:szCs w:val="22"/>
              </w:rPr>
            </w:pPr>
            <w:r w:rsidRPr="00A9366F">
              <w:rPr>
                <w:rFonts w:eastAsia="Calibri"/>
                <w:b/>
                <w:bCs/>
                <w:szCs w:val="22"/>
                <w:lang w:val="lt-LT"/>
              </w:rPr>
              <w:t>Placeb</w:t>
            </w:r>
            <w:r w:rsidR="000175D6" w:rsidRPr="00A9366F">
              <w:rPr>
                <w:rFonts w:eastAsia="Calibri"/>
                <w:b/>
                <w:bCs/>
                <w:szCs w:val="22"/>
                <w:lang w:val="lt-LT"/>
              </w:rPr>
              <w:t>as</w:t>
            </w:r>
          </w:p>
          <w:p w14:paraId="6A92E761" w14:textId="77777777" w:rsidR="00B63E32" w:rsidRPr="00A9366F" w:rsidRDefault="00B63E32" w:rsidP="00BD0220">
            <w:pPr>
              <w:tabs>
                <w:tab w:val="clear" w:pos="567"/>
              </w:tabs>
              <w:spacing w:line="240" w:lineRule="auto"/>
              <w:jc w:val="center"/>
              <w:rPr>
                <w:rFonts w:eastAsia="Calibri"/>
                <w:b/>
                <w:bCs/>
                <w:szCs w:val="22"/>
              </w:rPr>
            </w:pPr>
          </w:p>
          <w:p w14:paraId="20C374AB" w14:textId="77777777" w:rsidR="00B63E32" w:rsidRPr="00A9366F" w:rsidRDefault="00B63E32" w:rsidP="007E5296">
            <w:pPr>
              <w:tabs>
                <w:tab w:val="clear" w:pos="567"/>
              </w:tabs>
              <w:spacing w:line="240" w:lineRule="auto"/>
              <w:ind w:left="-119" w:right="-75"/>
              <w:jc w:val="center"/>
              <w:rPr>
                <w:rFonts w:eastAsia="Calibri"/>
                <w:b/>
                <w:bCs/>
                <w:szCs w:val="22"/>
                <w:lang w:val="lt-LT"/>
              </w:rPr>
            </w:pPr>
            <w:r w:rsidRPr="00A9366F">
              <w:rPr>
                <w:rFonts w:eastAsia="Calibri"/>
                <w:b/>
                <w:bCs/>
                <w:szCs w:val="22"/>
                <w:lang w:val="lt-LT"/>
              </w:rPr>
              <w:t>+/-</w:t>
            </w:r>
          </w:p>
          <w:p w14:paraId="055F8457" w14:textId="77777777" w:rsidR="008F649F" w:rsidRPr="00A9366F" w:rsidRDefault="008F649F" w:rsidP="007E5296">
            <w:pPr>
              <w:tabs>
                <w:tab w:val="clear" w:pos="567"/>
              </w:tabs>
              <w:spacing w:line="240" w:lineRule="auto"/>
              <w:ind w:left="-119" w:right="-75"/>
              <w:jc w:val="center"/>
              <w:rPr>
                <w:rFonts w:eastAsia="Calibri"/>
                <w:b/>
                <w:bCs/>
                <w:szCs w:val="22"/>
              </w:rPr>
            </w:pPr>
          </w:p>
          <w:p w14:paraId="3C64A445" w14:textId="77777777" w:rsidR="008F649F" w:rsidRPr="00A9366F" w:rsidRDefault="008F649F" w:rsidP="007E5296">
            <w:pPr>
              <w:tabs>
                <w:tab w:val="clear" w:pos="567"/>
              </w:tabs>
              <w:spacing w:line="240" w:lineRule="auto"/>
              <w:ind w:left="-119" w:right="-75"/>
              <w:jc w:val="center"/>
              <w:rPr>
                <w:rFonts w:eastAsia="Calibri"/>
                <w:b/>
                <w:bCs/>
                <w:szCs w:val="22"/>
              </w:rPr>
            </w:pPr>
          </w:p>
          <w:p w14:paraId="7BFEBA6A" w14:textId="77777777" w:rsidR="008F649F" w:rsidRPr="00A9366F" w:rsidRDefault="008F649F" w:rsidP="007E5296">
            <w:pPr>
              <w:tabs>
                <w:tab w:val="clear" w:pos="567"/>
              </w:tabs>
              <w:spacing w:line="240" w:lineRule="auto"/>
              <w:ind w:left="-119" w:right="-75"/>
              <w:jc w:val="center"/>
              <w:rPr>
                <w:rFonts w:eastAsia="Calibri"/>
                <w:b/>
                <w:bCs/>
                <w:szCs w:val="22"/>
              </w:rPr>
            </w:pPr>
          </w:p>
          <w:p w14:paraId="76425C0E" w14:textId="77777777" w:rsidR="007E5296" w:rsidRPr="00A9366F" w:rsidRDefault="00B63E32" w:rsidP="008F649F">
            <w:pPr>
              <w:tabs>
                <w:tab w:val="clear" w:pos="567"/>
              </w:tabs>
              <w:spacing w:line="240" w:lineRule="auto"/>
              <w:ind w:right="-75"/>
              <w:jc w:val="center"/>
              <w:rPr>
                <w:rFonts w:eastAsia="Calibri"/>
                <w:b/>
                <w:bCs/>
                <w:szCs w:val="22"/>
              </w:rPr>
            </w:pPr>
            <w:r w:rsidRPr="00A9366F">
              <w:rPr>
                <w:rFonts w:eastAsia="Calibri"/>
                <w:b/>
                <w:bCs/>
                <w:szCs w:val="22"/>
                <w:lang w:val="lt-LT"/>
              </w:rPr>
              <w:t>LEMV</w:t>
            </w:r>
            <w:r w:rsidR="007E5296" w:rsidRPr="00A9366F">
              <w:rPr>
                <w:rFonts w:eastAsia="Calibri"/>
                <w:b/>
                <w:bCs/>
                <w:szCs w:val="22"/>
                <w:lang w:val="lt-LT"/>
              </w:rPr>
              <w:t>N</w:t>
            </w:r>
            <w:r w:rsidRPr="00A9366F">
              <w:rPr>
                <w:rFonts w:eastAsia="Calibri"/>
                <w:b/>
                <w:bCs/>
                <w:szCs w:val="22"/>
                <w:lang w:val="lt-LT"/>
              </w:rPr>
              <w:t>R</w:t>
            </w:r>
          </w:p>
          <w:p w14:paraId="6AD2867C" w14:textId="77777777" w:rsidR="00B63E32" w:rsidRPr="00A9366F" w:rsidRDefault="00B63E32" w:rsidP="00BD0220">
            <w:pPr>
              <w:tabs>
                <w:tab w:val="clear" w:pos="567"/>
              </w:tabs>
              <w:spacing w:line="240" w:lineRule="auto"/>
              <w:jc w:val="center"/>
              <w:rPr>
                <w:rFonts w:eastAsia="Calibri"/>
                <w:b/>
                <w:bCs/>
                <w:szCs w:val="22"/>
              </w:rPr>
            </w:pPr>
            <w:r w:rsidRPr="00A9366F">
              <w:rPr>
                <w:rFonts w:eastAsia="Calibri"/>
                <w:b/>
                <w:bCs/>
                <w:szCs w:val="22"/>
                <w:lang w:val="lt-LT"/>
              </w:rPr>
              <w:t>N</w:t>
            </w:r>
            <w:r w:rsidR="006D3C95" w:rsidRPr="00A9366F">
              <w:rPr>
                <w:rFonts w:eastAsia="Calibri"/>
                <w:b/>
                <w:bCs/>
                <w:szCs w:val="22"/>
                <w:lang w:val="lt-LT"/>
              </w:rPr>
              <w:t> </w:t>
            </w:r>
            <w:r w:rsidRPr="00A9366F">
              <w:rPr>
                <w:rFonts w:eastAsia="Calibri"/>
                <w:b/>
                <w:bCs/>
                <w:snapToGrid/>
                <w:szCs w:val="22"/>
                <w:lang w:val="lt-LT"/>
              </w:rPr>
              <w:t>=</w:t>
            </w:r>
            <w:r w:rsidR="006D3C95" w:rsidRPr="00A9366F">
              <w:rPr>
                <w:rFonts w:eastAsia="Calibri"/>
                <w:b/>
                <w:bCs/>
                <w:snapToGrid/>
                <w:szCs w:val="22"/>
                <w:lang w:val="lt-LT"/>
              </w:rPr>
              <w:t> </w:t>
            </w:r>
            <w:r w:rsidRPr="00A9366F">
              <w:rPr>
                <w:rFonts w:eastAsia="Calibri"/>
                <w:b/>
                <w:bCs/>
                <w:szCs w:val="22"/>
                <w:lang w:val="lt-LT"/>
              </w:rPr>
              <w:t>496</w:t>
            </w:r>
          </w:p>
        </w:tc>
        <w:tc>
          <w:tcPr>
            <w:tcW w:w="609" w:type="pct"/>
            <w:shd w:val="clear" w:color="auto" w:fill="D9D9D9"/>
          </w:tcPr>
          <w:p w14:paraId="297E3790" w14:textId="77777777" w:rsidR="00B63E32" w:rsidRPr="00A9366F" w:rsidRDefault="00B63E32" w:rsidP="008F649F">
            <w:pPr>
              <w:tabs>
                <w:tab w:val="clear" w:pos="567"/>
              </w:tabs>
              <w:spacing w:line="240" w:lineRule="auto"/>
              <w:ind w:right="-44"/>
              <w:jc w:val="center"/>
              <w:rPr>
                <w:rFonts w:eastAsia="Calibri"/>
                <w:b/>
                <w:bCs/>
                <w:snapToGrid/>
                <w:szCs w:val="22"/>
                <w:lang w:val="lt-LT" w:eastAsia="lt-LT"/>
              </w:rPr>
            </w:pPr>
            <w:r w:rsidRPr="00A9366F">
              <w:rPr>
                <w:rFonts w:eastAsia="Calibri"/>
                <w:b/>
                <w:bCs/>
                <w:szCs w:val="22"/>
                <w:lang w:val="lt-LT"/>
              </w:rPr>
              <w:t>30</w:t>
            </w:r>
            <w:r w:rsidR="00A87582" w:rsidRPr="00A9366F">
              <w:rPr>
                <w:rFonts w:eastAsia="Calibri"/>
                <w:b/>
                <w:bCs/>
                <w:szCs w:val="22"/>
                <w:lang w:val="sv-SE"/>
              </w:rPr>
              <w:t> mg</w:t>
            </w:r>
            <w:r w:rsidR="005276AF" w:rsidRPr="00A9366F">
              <w:rPr>
                <w:rFonts w:eastAsia="Calibri"/>
                <w:b/>
                <w:bCs/>
                <w:szCs w:val="22"/>
                <w:lang w:val="sv-SE"/>
              </w:rPr>
              <w:t xml:space="preserve"> apremilasto</w:t>
            </w:r>
          </w:p>
          <w:p w14:paraId="6A26542B" w14:textId="77777777" w:rsidR="00B63E32" w:rsidRPr="00A9366F" w:rsidRDefault="00B63E32" w:rsidP="00BD0220">
            <w:pPr>
              <w:tabs>
                <w:tab w:val="clear" w:pos="567"/>
              </w:tabs>
              <w:spacing w:line="240" w:lineRule="auto"/>
              <w:jc w:val="center"/>
              <w:rPr>
                <w:rFonts w:eastAsia="Calibri"/>
                <w:b/>
                <w:bCs/>
                <w:szCs w:val="22"/>
                <w:lang w:val="sv-SE"/>
              </w:rPr>
            </w:pPr>
            <w:r w:rsidRPr="00A9366F">
              <w:rPr>
                <w:rFonts w:eastAsia="Calibri"/>
                <w:b/>
                <w:bCs/>
                <w:szCs w:val="22"/>
                <w:lang w:val="lt-LT"/>
              </w:rPr>
              <w:t>du kartus per parą</w:t>
            </w:r>
          </w:p>
          <w:p w14:paraId="5B77F30D" w14:textId="77777777" w:rsidR="00B63E32" w:rsidRPr="00A9366F" w:rsidRDefault="00B63E32" w:rsidP="00BD0220">
            <w:pPr>
              <w:tabs>
                <w:tab w:val="clear" w:pos="567"/>
              </w:tabs>
              <w:spacing w:line="240" w:lineRule="auto"/>
              <w:jc w:val="center"/>
              <w:rPr>
                <w:rFonts w:eastAsia="Calibri"/>
                <w:b/>
                <w:bCs/>
                <w:szCs w:val="22"/>
                <w:lang w:val="lt-LT"/>
              </w:rPr>
            </w:pPr>
            <w:r w:rsidRPr="00A9366F">
              <w:rPr>
                <w:rFonts w:eastAsia="Calibri"/>
                <w:b/>
                <w:bCs/>
                <w:szCs w:val="22"/>
                <w:lang w:val="lt-LT"/>
              </w:rPr>
              <w:t>+/-</w:t>
            </w:r>
          </w:p>
          <w:p w14:paraId="23B4161C" w14:textId="77777777" w:rsidR="008F649F" w:rsidRPr="00716E07" w:rsidRDefault="008F649F" w:rsidP="00BD0220">
            <w:pPr>
              <w:tabs>
                <w:tab w:val="clear" w:pos="567"/>
              </w:tabs>
              <w:spacing w:line="240" w:lineRule="auto"/>
              <w:jc w:val="center"/>
              <w:rPr>
                <w:rFonts w:eastAsia="Calibri"/>
                <w:b/>
                <w:lang w:val="pt-PT"/>
              </w:rPr>
            </w:pPr>
          </w:p>
          <w:p w14:paraId="4EC10896" w14:textId="77777777" w:rsidR="00B63E32" w:rsidRPr="00716E07" w:rsidRDefault="00B63E32" w:rsidP="00BD0220">
            <w:pPr>
              <w:tabs>
                <w:tab w:val="clear" w:pos="567"/>
              </w:tabs>
              <w:spacing w:line="240" w:lineRule="auto"/>
              <w:jc w:val="center"/>
              <w:rPr>
                <w:rFonts w:eastAsia="Calibri"/>
                <w:b/>
                <w:lang w:val="pt-PT"/>
              </w:rPr>
            </w:pPr>
            <w:r w:rsidRPr="00A9366F">
              <w:rPr>
                <w:rFonts w:eastAsia="Calibri"/>
                <w:b/>
                <w:bCs/>
                <w:szCs w:val="22"/>
                <w:lang w:val="lt-LT"/>
              </w:rPr>
              <w:t>LEMVNR</w:t>
            </w:r>
          </w:p>
          <w:p w14:paraId="5E734938" w14:textId="77777777" w:rsidR="00B63E32" w:rsidRPr="00A9366F" w:rsidRDefault="00B63E32" w:rsidP="00BD0220">
            <w:pPr>
              <w:tabs>
                <w:tab w:val="clear" w:pos="567"/>
              </w:tabs>
              <w:spacing w:line="240" w:lineRule="auto"/>
              <w:jc w:val="center"/>
              <w:rPr>
                <w:rFonts w:eastAsia="Calibri"/>
                <w:b/>
                <w:bCs/>
                <w:szCs w:val="22"/>
              </w:rPr>
            </w:pPr>
            <w:r w:rsidRPr="00A9366F">
              <w:rPr>
                <w:rFonts w:eastAsia="Calibri"/>
                <w:b/>
                <w:bCs/>
                <w:szCs w:val="22"/>
                <w:lang w:val="lt-LT"/>
              </w:rPr>
              <w:t>N</w:t>
            </w:r>
            <w:r w:rsidR="006D3C95" w:rsidRPr="00A9366F">
              <w:rPr>
                <w:rFonts w:eastAsia="Calibri"/>
                <w:b/>
                <w:bCs/>
                <w:szCs w:val="22"/>
                <w:lang w:val="lt-LT"/>
              </w:rPr>
              <w:t> </w:t>
            </w:r>
            <w:r w:rsidRPr="00A9366F">
              <w:rPr>
                <w:rFonts w:eastAsia="Calibri"/>
                <w:b/>
                <w:bCs/>
                <w:snapToGrid/>
                <w:szCs w:val="22"/>
                <w:lang w:val="lt-LT"/>
              </w:rPr>
              <w:t>=</w:t>
            </w:r>
            <w:r w:rsidR="006D3C95" w:rsidRPr="00A9366F">
              <w:rPr>
                <w:rFonts w:eastAsia="Calibri"/>
                <w:b/>
                <w:bCs/>
                <w:snapToGrid/>
                <w:szCs w:val="22"/>
                <w:lang w:val="lt-LT"/>
              </w:rPr>
              <w:t> </w:t>
            </w:r>
            <w:r w:rsidRPr="00A9366F">
              <w:rPr>
                <w:rFonts w:eastAsia="Calibri"/>
                <w:b/>
                <w:bCs/>
                <w:szCs w:val="22"/>
                <w:lang w:val="lt-LT"/>
              </w:rPr>
              <w:t>497</w:t>
            </w:r>
          </w:p>
        </w:tc>
      </w:tr>
      <w:tr w:rsidR="007E5296" w:rsidRPr="00CD7E52" w14:paraId="35CF2D35" w14:textId="77777777" w:rsidTr="007E61CC">
        <w:tc>
          <w:tcPr>
            <w:tcW w:w="526" w:type="pct"/>
            <w:vAlign w:val="center"/>
          </w:tcPr>
          <w:p w14:paraId="5593D1CE" w14:textId="77777777" w:rsidR="00B63E32" w:rsidRPr="00A9366F" w:rsidRDefault="00B63E32" w:rsidP="00F41D69">
            <w:pPr>
              <w:tabs>
                <w:tab w:val="clear" w:pos="567"/>
              </w:tabs>
              <w:spacing w:line="240" w:lineRule="auto"/>
              <w:ind w:right="-133"/>
              <w:rPr>
                <w:rFonts w:eastAsia="Calibri"/>
                <w:b/>
                <w:bCs/>
                <w:szCs w:val="22"/>
              </w:rPr>
            </w:pPr>
            <w:r w:rsidRPr="00A9366F">
              <w:rPr>
                <w:rFonts w:eastAsia="Calibri"/>
                <w:b/>
                <w:bCs/>
                <w:snapToGrid/>
                <w:szCs w:val="22"/>
                <w:lang w:val="lt-LT"/>
              </w:rPr>
              <w:t>A</w:t>
            </w:r>
            <w:r w:rsidR="005276AF" w:rsidRPr="00A9366F">
              <w:rPr>
                <w:rFonts w:eastAsia="Calibri"/>
                <w:b/>
                <w:bCs/>
                <w:snapToGrid/>
                <w:szCs w:val="22"/>
                <w:lang w:val="lt-LT"/>
              </w:rPr>
              <w:t>RK</w:t>
            </w:r>
            <w:r w:rsidR="00F41D69" w:rsidRPr="00A9366F">
              <w:rPr>
                <w:rFonts w:eastAsia="Calibri"/>
                <w:b/>
                <w:bCs/>
                <w:snapToGrid/>
                <w:szCs w:val="22"/>
                <w:lang w:val="lt-LT"/>
              </w:rPr>
              <w:t xml:space="preserve"> </w:t>
            </w:r>
            <w:r w:rsidRPr="00A9366F">
              <w:rPr>
                <w:rFonts w:eastAsia="Calibri"/>
                <w:b/>
                <w:bCs/>
                <w:szCs w:val="22"/>
                <w:lang w:val="lt-LT"/>
              </w:rPr>
              <w:t>20</w:t>
            </w:r>
            <w:r w:rsidRPr="00A9366F">
              <w:rPr>
                <w:rFonts w:eastAsia="Calibri"/>
                <w:b/>
                <w:bCs/>
                <w:szCs w:val="22"/>
                <w:vertAlign w:val="superscript"/>
                <w:lang w:val="lt-LT"/>
              </w:rPr>
              <w:t>a</w:t>
            </w:r>
          </w:p>
        </w:tc>
        <w:tc>
          <w:tcPr>
            <w:tcW w:w="712" w:type="pct"/>
          </w:tcPr>
          <w:p w14:paraId="22E4B423" w14:textId="77777777" w:rsidR="00B63E32" w:rsidRPr="00A9366F" w:rsidRDefault="00B63E32" w:rsidP="00BD0220">
            <w:pPr>
              <w:tabs>
                <w:tab w:val="clear" w:pos="567"/>
              </w:tabs>
              <w:spacing w:line="240" w:lineRule="auto"/>
              <w:rPr>
                <w:rFonts w:eastAsia="Calibri"/>
                <w:szCs w:val="22"/>
              </w:rPr>
            </w:pPr>
          </w:p>
        </w:tc>
        <w:tc>
          <w:tcPr>
            <w:tcW w:w="387" w:type="pct"/>
          </w:tcPr>
          <w:p w14:paraId="3ADF768F" w14:textId="77777777" w:rsidR="00B63E32" w:rsidRPr="00A9366F" w:rsidRDefault="00B63E32" w:rsidP="00BD0220">
            <w:pPr>
              <w:tabs>
                <w:tab w:val="clear" w:pos="567"/>
              </w:tabs>
              <w:spacing w:line="240" w:lineRule="auto"/>
              <w:rPr>
                <w:rFonts w:eastAsia="Calibri"/>
                <w:szCs w:val="22"/>
              </w:rPr>
            </w:pPr>
          </w:p>
        </w:tc>
        <w:tc>
          <w:tcPr>
            <w:tcW w:w="534" w:type="pct"/>
          </w:tcPr>
          <w:p w14:paraId="29D42F9B" w14:textId="77777777" w:rsidR="00B63E32" w:rsidRPr="00A9366F" w:rsidRDefault="00B63E32" w:rsidP="00BD0220">
            <w:pPr>
              <w:tabs>
                <w:tab w:val="clear" w:pos="567"/>
              </w:tabs>
              <w:spacing w:line="240" w:lineRule="auto"/>
              <w:rPr>
                <w:rFonts w:eastAsia="Calibri"/>
                <w:szCs w:val="22"/>
              </w:rPr>
            </w:pPr>
          </w:p>
        </w:tc>
        <w:tc>
          <w:tcPr>
            <w:tcW w:w="572" w:type="pct"/>
          </w:tcPr>
          <w:p w14:paraId="4C33171D" w14:textId="77777777" w:rsidR="00B63E32" w:rsidRPr="00A9366F" w:rsidRDefault="00B63E32" w:rsidP="00BD0220">
            <w:pPr>
              <w:tabs>
                <w:tab w:val="clear" w:pos="567"/>
              </w:tabs>
              <w:spacing w:line="240" w:lineRule="auto"/>
              <w:rPr>
                <w:rFonts w:eastAsia="Calibri"/>
                <w:szCs w:val="22"/>
              </w:rPr>
            </w:pPr>
          </w:p>
        </w:tc>
        <w:tc>
          <w:tcPr>
            <w:tcW w:w="550" w:type="pct"/>
          </w:tcPr>
          <w:p w14:paraId="5F0A8A27" w14:textId="77777777" w:rsidR="00B63E32" w:rsidRPr="00A9366F" w:rsidRDefault="00B63E32" w:rsidP="00BD0220">
            <w:pPr>
              <w:tabs>
                <w:tab w:val="clear" w:pos="567"/>
              </w:tabs>
              <w:spacing w:line="240" w:lineRule="auto"/>
              <w:rPr>
                <w:rFonts w:eastAsia="Calibri"/>
                <w:szCs w:val="22"/>
              </w:rPr>
            </w:pPr>
          </w:p>
        </w:tc>
        <w:tc>
          <w:tcPr>
            <w:tcW w:w="560" w:type="pct"/>
          </w:tcPr>
          <w:p w14:paraId="3262D31C" w14:textId="77777777" w:rsidR="00B63E32" w:rsidRPr="00A9366F" w:rsidRDefault="00B63E32" w:rsidP="00BD0220">
            <w:pPr>
              <w:tabs>
                <w:tab w:val="clear" w:pos="567"/>
              </w:tabs>
              <w:spacing w:line="240" w:lineRule="auto"/>
              <w:rPr>
                <w:rFonts w:eastAsia="Calibri"/>
                <w:szCs w:val="22"/>
              </w:rPr>
            </w:pPr>
          </w:p>
        </w:tc>
        <w:tc>
          <w:tcPr>
            <w:tcW w:w="550" w:type="pct"/>
          </w:tcPr>
          <w:p w14:paraId="1449A3F4" w14:textId="77777777" w:rsidR="00B63E32" w:rsidRPr="00A9366F" w:rsidRDefault="00B63E32" w:rsidP="00BD0220">
            <w:pPr>
              <w:tabs>
                <w:tab w:val="clear" w:pos="567"/>
              </w:tabs>
              <w:spacing w:line="240" w:lineRule="auto"/>
              <w:rPr>
                <w:rFonts w:eastAsia="Calibri"/>
                <w:szCs w:val="22"/>
              </w:rPr>
            </w:pPr>
          </w:p>
        </w:tc>
        <w:tc>
          <w:tcPr>
            <w:tcW w:w="609" w:type="pct"/>
          </w:tcPr>
          <w:p w14:paraId="682385C1" w14:textId="77777777" w:rsidR="00B63E32" w:rsidRPr="00A9366F" w:rsidRDefault="00B63E32" w:rsidP="00BD0220">
            <w:pPr>
              <w:tabs>
                <w:tab w:val="clear" w:pos="567"/>
              </w:tabs>
              <w:spacing w:line="240" w:lineRule="auto"/>
              <w:rPr>
                <w:rFonts w:eastAsia="Calibri"/>
                <w:szCs w:val="22"/>
              </w:rPr>
            </w:pPr>
          </w:p>
        </w:tc>
      </w:tr>
      <w:tr w:rsidR="007E5296" w:rsidRPr="00CD7E52" w14:paraId="08CF93BE" w14:textId="77777777" w:rsidTr="007E61CC">
        <w:tc>
          <w:tcPr>
            <w:tcW w:w="526" w:type="pct"/>
            <w:vAlign w:val="center"/>
          </w:tcPr>
          <w:p w14:paraId="680619E7" w14:textId="77777777" w:rsidR="00B63E32" w:rsidRPr="00A9366F" w:rsidRDefault="00B63E32" w:rsidP="00BD0220">
            <w:pPr>
              <w:tabs>
                <w:tab w:val="clear" w:pos="567"/>
              </w:tabs>
              <w:spacing w:line="240" w:lineRule="auto"/>
              <w:ind w:right="-133"/>
              <w:rPr>
                <w:rFonts w:eastAsia="Calibri"/>
                <w:b/>
                <w:bCs/>
                <w:szCs w:val="22"/>
              </w:rPr>
            </w:pPr>
            <w:r w:rsidRPr="00A9366F">
              <w:rPr>
                <w:rFonts w:eastAsia="Calibri"/>
                <w:b/>
                <w:bCs/>
                <w:szCs w:val="22"/>
                <w:lang w:val="lt-LT"/>
              </w:rPr>
              <w:t>16</w:t>
            </w:r>
            <w:r w:rsidR="002B46C8" w:rsidRPr="00A9366F">
              <w:rPr>
                <w:rFonts w:eastAsia="Calibri"/>
                <w:b/>
                <w:bCs/>
                <w:szCs w:val="22"/>
                <w:lang w:val="lt-LT"/>
              </w:rPr>
              <w:t> </w:t>
            </w:r>
            <w:r w:rsidRPr="00A9366F">
              <w:rPr>
                <w:rFonts w:eastAsia="Calibri"/>
                <w:b/>
                <w:bCs/>
                <w:szCs w:val="22"/>
                <w:lang w:val="lt-LT"/>
              </w:rPr>
              <w:t>savaitė</w:t>
            </w:r>
          </w:p>
        </w:tc>
        <w:tc>
          <w:tcPr>
            <w:tcW w:w="712" w:type="pct"/>
            <w:vAlign w:val="center"/>
          </w:tcPr>
          <w:p w14:paraId="4D1C8FFA"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19,0</w:t>
            </w:r>
            <w:r w:rsidR="00195188" w:rsidRPr="00A9366F">
              <w:rPr>
                <w:rFonts w:eastAsia="Calibri"/>
                <w:szCs w:val="22"/>
                <w:lang w:val="lt-LT"/>
              </w:rPr>
              <w:t> </w:t>
            </w:r>
            <w:r w:rsidRPr="00A9366F">
              <w:rPr>
                <w:rFonts w:eastAsia="Calibri"/>
                <w:szCs w:val="22"/>
                <w:lang w:val="lt-LT"/>
              </w:rPr>
              <w:t>%</w:t>
            </w:r>
          </w:p>
        </w:tc>
        <w:tc>
          <w:tcPr>
            <w:tcW w:w="387" w:type="pct"/>
            <w:vAlign w:val="center"/>
          </w:tcPr>
          <w:p w14:paraId="5BCC5A96"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38,1</w:t>
            </w:r>
            <w:r w:rsidR="00195188" w:rsidRPr="00A9366F">
              <w:rPr>
                <w:rFonts w:eastAsia="Calibri"/>
                <w:szCs w:val="22"/>
                <w:lang w:val="lt-LT"/>
              </w:rPr>
              <w:t> </w:t>
            </w:r>
            <w:r w:rsidRPr="00A9366F">
              <w:rPr>
                <w:rFonts w:eastAsia="Calibri"/>
                <w:szCs w:val="22"/>
                <w:lang w:val="lt-LT"/>
              </w:rPr>
              <w:t>%**</w:t>
            </w:r>
          </w:p>
        </w:tc>
        <w:tc>
          <w:tcPr>
            <w:tcW w:w="534" w:type="pct"/>
            <w:vAlign w:val="center"/>
          </w:tcPr>
          <w:p w14:paraId="49BC147E"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18,9</w:t>
            </w:r>
            <w:r w:rsidR="00195188" w:rsidRPr="00A9366F">
              <w:rPr>
                <w:rFonts w:eastAsia="Calibri"/>
                <w:szCs w:val="22"/>
                <w:lang w:val="lt-LT"/>
              </w:rPr>
              <w:t> </w:t>
            </w:r>
            <w:r w:rsidRPr="00A9366F">
              <w:rPr>
                <w:rFonts w:eastAsia="Calibri"/>
                <w:szCs w:val="22"/>
                <w:lang w:val="lt-LT"/>
              </w:rPr>
              <w:t>%</w:t>
            </w:r>
          </w:p>
        </w:tc>
        <w:tc>
          <w:tcPr>
            <w:tcW w:w="572" w:type="pct"/>
            <w:vAlign w:val="center"/>
          </w:tcPr>
          <w:p w14:paraId="4F6B041C"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32,1</w:t>
            </w:r>
            <w:r w:rsidR="00195188" w:rsidRPr="00A9366F">
              <w:rPr>
                <w:rFonts w:eastAsia="Calibri"/>
                <w:szCs w:val="22"/>
                <w:lang w:val="lt-LT"/>
              </w:rPr>
              <w:t> </w:t>
            </w:r>
            <w:r w:rsidRPr="00A9366F">
              <w:rPr>
                <w:rFonts w:eastAsia="Calibri"/>
                <w:szCs w:val="22"/>
                <w:lang w:val="lt-LT"/>
              </w:rPr>
              <w:t>%*</w:t>
            </w:r>
          </w:p>
        </w:tc>
        <w:tc>
          <w:tcPr>
            <w:tcW w:w="550" w:type="pct"/>
            <w:vAlign w:val="center"/>
          </w:tcPr>
          <w:p w14:paraId="578973F2"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18,3</w:t>
            </w:r>
            <w:r w:rsidR="00195188" w:rsidRPr="00A9366F">
              <w:rPr>
                <w:rFonts w:eastAsia="Calibri"/>
                <w:szCs w:val="22"/>
                <w:lang w:val="lt-LT"/>
              </w:rPr>
              <w:t> </w:t>
            </w:r>
            <w:r w:rsidRPr="00A9366F">
              <w:rPr>
                <w:rFonts w:eastAsia="Calibri"/>
                <w:szCs w:val="22"/>
                <w:lang w:val="lt-LT"/>
              </w:rPr>
              <w:t>%</w:t>
            </w:r>
          </w:p>
        </w:tc>
        <w:tc>
          <w:tcPr>
            <w:tcW w:w="560" w:type="pct"/>
            <w:vAlign w:val="center"/>
          </w:tcPr>
          <w:p w14:paraId="4F31F995"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40,7</w:t>
            </w:r>
            <w:r w:rsidR="00195188" w:rsidRPr="00A9366F">
              <w:rPr>
                <w:rFonts w:eastAsia="Calibri"/>
                <w:szCs w:val="22"/>
                <w:lang w:val="lt-LT"/>
              </w:rPr>
              <w:t> </w:t>
            </w:r>
            <w:r w:rsidRPr="00A9366F">
              <w:rPr>
                <w:rFonts w:eastAsia="Calibri"/>
                <w:szCs w:val="22"/>
                <w:lang w:val="lt-LT"/>
              </w:rPr>
              <w:t>%**</w:t>
            </w:r>
          </w:p>
        </w:tc>
        <w:tc>
          <w:tcPr>
            <w:tcW w:w="550" w:type="pct"/>
            <w:vAlign w:val="center"/>
          </w:tcPr>
          <w:p w14:paraId="4B40ADD5"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18,8</w:t>
            </w:r>
            <w:r w:rsidR="00195188" w:rsidRPr="00A9366F">
              <w:rPr>
                <w:rFonts w:eastAsia="Calibri"/>
                <w:szCs w:val="22"/>
                <w:lang w:val="lt-LT"/>
              </w:rPr>
              <w:t> </w:t>
            </w:r>
            <w:r w:rsidRPr="00A9366F">
              <w:rPr>
                <w:rFonts w:eastAsia="Calibri"/>
                <w:szCs w:val="22"/>
                <w:lang w:val="lt-LT"/>
              </w:rPr>
              <w:t>%</w:t>
            </w:r>
          </w:p>
        </w:tc>
        <w:tc>
          <w:tcPr>
            <w:tcW w:w="609" w:type="pct"/>
            <w:vAlign w:val="center"/>
          </w:tcPr>
          <w:p w14:paraId="0B59A304"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37,0</w:t>
            </w:r>
            <w:r w:rsidR="00195188" w:rsidRPr="00A9366F">
              <w:rPr>
                <w:rFonts w:eastAsia="Calibri"/>
                <w:szCs w:val="22"/>
                <w:lang w:val="lt-LT"/>
              </w:rPr>
              <w:t> </w:t>
            </w:r>
            <w:r w:rsidRPr="00A9366F">
              <w:rPr>
                <w:rFonts w:eastAsia="Calibri"/>
                <w:szCs w:val="22"/>
                <w:lang w:val="lt-LT"/>
              </w:rPr>
              <w:t>%**</w:t>
            </w:r>
          </w:p>
        </w:tc>
      </w:tr>
      <w:tr w:rsidR="007E5296" w:rsidRPr="00CD7E52" w14:paraId="35B26DE8" w14:textId="77777777" w:rsidTr="007E61CC">
        <w:tc>
          <w:tcPr>
            <w:tcW w:w="526" w:type="pct"/>
            <w:vAlign w:val="center"/>
          </w:tcPr>
          <w:p w14:paraId="1E6397D9" w14:textId="77777777" w:rsidR="00B63E32" w:rsidRPr="00A9366F" w:rsidRDefault="00B63E32" w:rsidP="00BD0220">
            <w:pPr>
              <w:tabs>
                <w:tab w:val="clear" w:pos="567"/>
              </w:tabs>
              <w:spacing w:line="240" w:lineRule="auto"/>
              <w:ind w:right="-133"/>
              <w:rPr>
                <w:rFonts w:eastAsia="Calibri"/>
                <w:b/>
                <w:bCs/>
                <w:szCs w:val="22"/>
              </w:rPr>
            </w:pPr>
            <w:r w:rsidRPr="00A9366F">
              <w:rPr>
                <w:rFonts w:eastAsia="Calibri"/>
                <w:b/>
                <w:bCs/>
                <w:snapToGrid/>
                <w:szCs w:val="22"/>
                <w:lang w:val="lt-LT"/>
              </w:rPr>
              <w:t>A</w:t>
            </w:r>
            <w:r w:rsidR="005276AF" w:rsidRPr="00A9366F">
              <w:rPr>
                <w:rFonts w:eastAsia="Calibri"/>
                <w:b/>
                <w:bCs/>
                <w:snapToGrid/>
                <w:szCs w:val="22"/>
                <w:lang w:val="lt-LT"/>
              </w:rPr>
              <w:t>RK</w:t>
            </w:r>
            <w:r w:rsidRPr="00A9366F">
              <w:rPr>
                <w:rFonts w:eastAsia="Calibri"/>
                <w:b/>
                <w:bCs/>
                <w:szCs w:val="22"/>
                <w:lang w:val="lt-LT"/>
              </w:rPr>
              <w:t xml:space="preserve"> 50</w:t>
            </w:r>
          </w:p>
        </w:tc>
        <w:tc>
          <w:tcPr>
            <w:tcW w:w="712" w:type="pct"/>
          </w:tcPr>
          <w:p w14:paraId="6DC51FAB" w14:textId="77777777" w:rsidR="00B63E32" w:rsidRPr="00A9366F" w:rsidRDefault="00B63E32" w:rsidP="00BD0220">
            <w:pPr>
              <w:tabs>
                <w:tab w:val="clear" w:pos="567"/>
              </w:tabs>
              <w:spacing w:line="240" w:lineRule="auto"/>
              <w:rPr>
                <w:rFonts w:eastAsia="Calibri"/>
                <w:szCs w:val="22"/>
              </w:rPr>
            </w:pPr>
          </w:p>
        </w:tc>
        <w:tc>
          <w:tcPr>
            <w:tcW w:w="387" w:type="pct"/>
          </w:tcPr>
          <w:p w14:paraId="3E5CDA08" w14:textId="77777777" w:rsidR="00B63E32" w:rsidRPr="00A9366F" w:rsidRDefault="00B63E32" w:rsidP="00BD0220">
            <w:pPr>
              <w:tabs>
                <w:tab w:val="clear" w:pos="567"/>
              </w:tabs>
              <w:spacing w:line="240" w:lineRule="auto"/>
              <w:rPr>
                <w:rFonts w:eastAsia="Calibri"/>
                <w:szCs w:val="22"/>
              </w:rPr>
            </w:pPr>
          </w:p>
        </w:tc>
        <w:tc>
          <w:tcPr>
            <w:tcW w:w="534" w:type="pct"/>
          </w:tcPr>
          <w:p w14:paraId="0B2548F0" w14:textId="77777777" w:rsidR="00B63E32" w:rsidRPr="00A9366F" w:rsidRDefault="00B63E32" w:rsidP="00BD0220">
            <w:pPr>
              <w:tabs>
                <w:tab w:val="clear" w:pos="567"/>
              </w:tabs>
              <w:spacing w:line="240" w:lineRule="auto"/>
              <w:rPr>
                <w:rFonts w:eastAsia="Calibri"/>
                <w:szCs w:val="22"/>
              </w:rPr>
            </w:pPr>
          </w:p>
        </w:tc>
        <w:tc>
          <w:tcPr>
            <w:tcW w:w="572" w:type="pct"/>
          </w:tcPr>
          <w:p w14:paraId="306BE579" w14:textId="77777777" w:rsidR="00B63E32" w:rsidRPr="00A9366F" w:rsidRDefault="00B63E32" w:rsidP="00BD0220">
            <w:pPr>
              <w:tabs>
                <w:tab w:val="clear" w:pos="567"/>
              </w:tabs>
              <w:spacing w:line="240" w:lineRule="auto"/>
              <w:rPr>
                <w:rFonts w:eastAsia="Calibri"/>
                <w:szCs w:val="22"/>
              </w:rPr>
            </w:pPr>
          </w:p>
        </w:tc>
        <w:tc>
          <w:tcPr>
            <w:tcW w:w="550" w:type="pct"/>
          </w:tcPr>
          <w:p w14:paraId="364F14F8" w14:textId="77777777" w:rsidR="00B63E32" w:rsidRPr="00A9366F" w:rsidRDefault="00B63E32" w:rsidP="00BD0220">
            <w:pPr>
              <w:tabs>
                <w:tab w:val="clear" w:pos="567"/>
              </w:tabs>
              <w:spacing w:line="240" w:lineRule="auto"/>
              <w:rPr>
                <w:rFonts w:eastAsia="Calibri"/>
                <w:szCs w:val="22"/>
              </w:rPr>
            </w:pPr>
          </w:p>
        </w:tc>
        <w:tc>
          <w:tcPr>
            <w:tcW w:w="560" w:type="pct"/>
          </w:tcPr>
          <w:p w14:paraId="12E448E9" w14:textId="77777777" w:rsidR="00B63E32" w:rsidRPr="00A9366F" w:rsidRDefault="00B63E32" w:rsidP="00BD0220">
            <w:pPr>
              <w:tabs>
                <w:tab w:val="clear" w:pos="567"/>
              </w:tabs>
              <w:spacing w:line="240" w:lineRule="auto"/>
              <w:rPr>
                <w:rFonts w:eastAsia="Calibri"/>
                <w:szCs w:val="22"/>
              </w:rPr>
            </w:pPr>
          </w:p>
        </w:tc>
        <w:tc>
          <w:tcPr>
            <w:tcW w:w="550" w:type="pct"/>
          </w:tcPr>
          <w:p w14:paraId="5ACDCBD0" w14:textId="77777777" w:rsidR="00B63E32" w:rsidRPr="00A9366F" w:rsidRDefault="00B63E32" w:rsidP="00BD0220">
            <w:pPr>
              <w:tabs>
                <w:tab w:val="clear" w:pos="567"/>
              </w:tabs>
              <w:spacing w:line="240" w:lineRule="auto"/>
              <w:rPr>
                <w:rFonts w:eastAsia="Calibri"/>
                <w:szCs w:val="22"/>
              </w:rPr>
            </w:pPr>
          </w:p>
        </w:tc>
        <w:tc>
          <w:tcPr>
            <w:tcW w:w="609" w:type="pct"/>
          </w:tcPr>
          <w:p w14:paraId="2410DB1B" w14:textId="77777777" w:rsidR="00B63E32" w:rsidRPr="00A9366F" w:rsidRDefault="00B63E32" w:rsidP="00BD0220">
            <w:pPr>
              <w:tabs>
                <w:tab w:val="clear" w:pos="567"/>
              </w:tabs>
              <w:spacing w:line="240" w:lineRule="auto"/>
              <w:rPr>
                <w:rFonts w:eastAsia="Calibri"/>
                <w:szCs w:val="22"/>
              </w:rPr>
            </w:pPr>
          </w:p>
        </w:tc>
      </w:tr>
      <w:tr w:rsidR="007E5296" w:rsidRPr="00CD7E52" w14:paraId="6C116A5E" w14:textId="77777777" w:rsidTr="007E61CC">
        <w:tc>
          <w:tcPr>
            <w:tcW w:w="526" w:type="pct"/>
            <w:vAlign w:val="center"/>
          </w:tcPr>
          <w:p w14:paraId="192F219E" w14:textId="77777777" w:rsidR="00B63E32" w:rsidRPr="00A9366F" w:rsidRDefault="00B63E32" w:rsidP="00BD0220">
            <w:pPr>
              <w:tabs>
                <w:tab w:val="clear" w:pos="567"/>
              </w:tabs>
              <w:spacing w:line="240" w:lineRule="auto"/>
              <w:ind w:right="-133"/>
              <w:rPr>
                <w:rFonts w:eastAsia="Calibri"/>
                <w:b/>
                <w:bCs/>
                <w:szCs w:val="22"/>
              </w:rPr>
            </w:pPr>
            <w:r w:rsidRPr="00A9366F">
              <w:rPr>
                <w:rFonts w:eastAsia="Calibri"/>
                <w:b/>
                <w:bCs/>
                <w:szCs w:val="22"/>
                <w:lang w:val="lt-LT"/>
              </w:rPr>
              <w:lastRenderedPageBreak/>
              <w:t>16 savaitė</w:t>
            </w:r>
          </w:p>
        </w:tc>
        <w:tc>
          <w:tcPr>
            <w:tcW w:w="712" w:type="pct"/>
            <w:vAlign w:val="center"/>
          </w:tcPr>
          <w:p w14:paraId="4029770D"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6,0</w:t>
            </w:r>
            <w:r w:rsidR="00195188" w:rsidRPr="00A9366F">
              <w:rPr>
                <w:rFonts w:eastAsia="Calibri"/>
                <w:szCs w:val="22"/>
                <w:lang w:val="lt-LT"/>
              </w:rPr>
              <w:t> </w:t>
            </w:r>
            <w:r w:rsidRPr="00A9366F">
              <w:rPr>
                <w:rFonts w:eastAsia="Calibri"/>
                <w:szCs w:val="22"/>
                <w:lang w:val="lt-LT"/>
              </w:rPr>
              <w:t>%</w:t>
            </w:r>
          </w:p>
        </w:tc>
        <w:tc>
          <w:tcPr>
            <w:tcW w:w="387" w:type="pct"/>
            <w:vAlign w:val="center"/>
          </w:tcPr>
          <w:p w14:paraId="11C90099"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16,1</w:t>
            </w:r>
            <w:r w:rsidR="00195188" w:rsidRPr="00A9366F">
              <w:rPr>
                <w:rFonts w:eastAsia="Calibri"/>
                <w:szCs w:val="22"/>
                <w:lang w:val="lt-LT"/>
              </w:rPr>
              <w:t> </w:t>
            </w:r>
            <w:r w:rsidRPr="00A9366F">
              <w:rPr>
                <w:rFonts w:eastAsia="Calibri"/>
                <w:szCs w:val="22"/>
                <w:lang w:val="lt-LT"/>
              </w:rPr>
              <w:t>%*</w:t>
            </w:r>
          </w:p>
        </w:tc>
        <w:tc>
          <w:tcPr>
            <w:tcW w:w="534" w:type="pct"/>
            <w:vAlign w:val="center"/>
          </w:tcPr>
          <w:p w14:paraId="67289D02"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5,0</w:t>
            </w:r>
            <w:r w:rsidR="00195188" w:rsidRPr="00A9366F">
              <w:rPr>
                <w:rFonts w:eastAsia="Calibri"/>
                <w:szCs w:val="22"/>
                <w:lang w:val="lt-LT"/>
              </w:rPr>
              <w:t> </w:t>
            </w:r>
            <w:r w:rsidRPr="00A9366F">
              <w:rPr>
                <w:rFonts w:eastAsia="Calibri"/>
                <w:szCs w:val="22"/>
                <w:lang w:val="lt-LT"/>
              </w:rPr>
              <w:t>%</w:t>
            </w:r>
          </w:p>
        </w:tc>
        <w:tc>
          <w:tcPr>
            <w:tcW w:w="572" w:type="pct"/>
            <w:vAlign w:val="center"/>
          </w:tcPr>
          <w:p w14:paraId="1C1C551B"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10,5</w:t>
            </w:r>
            <w:r w:rsidR="00195188" w:rsidRPr="00A9366F">
              <w:rPr>
                <w:rFonts w:eastAsia="Calibri"/>
                <w:szCs w:val="22"/>
                <w:lang w:val="lt-LT"/>
              </w:rPr>
              <w:t> </w:t>
            </w:r>
            <w:r w:rsidRPr="00A9366F">
              <w:rPr>
                <w:rFonts w:eastAsia="Calibri"/>
                <w:szCs w:val="22"/>
                <w:lang w:val="lt-LT"/>
              </w:rPr>
              <w:t>%</w:t>
            </w:r>
          </w:p>
        </w:tc>
        <w:tc>
          <w:tcPr>
            <w:tcW w:w="550" w:type="pct"/>
            <w:vAlign w:val="center"/>
          </w:tcPr>
          <w:p w14:paraId="05F9BE8F"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8,3</w:t>
            </w:r>
            <w:r w:rsidR="00195188" w:rsidRPr="00A9366F">
              <w:rPr>
                <w:rFonts w:eastAsia="Calibri"/>
                <w:szCs w:val="22"/>
                <w:lang w:val="lt-LT"/>
              </w:rPr>
              <w:t> </w:t>
            </w:r>
            <w:r w:rsidRPr="00A9366F">
              <w:rPr>
                <w:rFonts w:eastAsia="Calibri"/>
                <w:szCs w:val="22"/>
                <w:lang w:val="lt-LT"/>
              </w:rPr>
              <w:t>%</w:t>
            </w:r>
          </w:p>
        </w:tc>
        <w:tc>
          <w:tcPr>
            <w:tcW w:w="560" w:type="pct"/>
            <w:vAlign w:val="center"/>
          </w:tcPr>
          <w:p w14:paraId="59102DF1"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15,0</w:t>
            </w:r>
            <w:r w:rsidR="00195188" w:rsidRPr="00A9366F">
              <w:rPr>
                <w:rFonts w:eastAsia="Calibri"/>
                <w:szCs w:val="22"/>
                <w:lang w:val="lt-LT"/>
              </w:rPr>
              <w:t> </w:t>
            </w:r>
            <w:r w:rsidRPr="00A9366F">
              <w:rPr>
                <w:rFonts w:eastAsia="Calibri"/>
                <w:szCs w:val="22"/>
                <w:lang w:val="lt-LT"/>
              </w:rPr>
              <w:t>%</w:t>
            </w:r>
          </w:p>
        </w:tc>
        <w:tc>
          <w:tcPr>
            <w:tcW w:w="550" w:type="pct"/>
            <w:vAlign w:val="center"/>
          </w:tcPr>
          <w:p w14:paraId="5CBF6704"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6,5</w:t>
            </w:r>
            <w:r w:rsidR="00195188" w:rsidRPr="00A9366F">
              <w:rPr>
                <w:rFonts w:eastAsia="Calibri"/>
                <w:szCs w:val="22"/>
                <w:lang w:val="lt-LT"/>
              </w:rPr>
              <w:t> </w:t>
            </w:r>
            <w:r w:rsidRPr="00A9366F">
              <w:rPr>
                <w:rFonts w:eastAsia="Calibri"/>
                <w:szCs w:val="22"/>
                <w:lang w:val="lt-LT"/>
              </w:rPr>
              <w:t>%</w:t>
            </w:r>
          </w:p>
        </w:tc>
        <w:tc>
          <w:tcPr>
            <w:tcW w:w="609" w:type="pct"/>
            <w:vAlign w:val="center"/>
          </w:tcPr>
          <w:p w14:paraId="35DFF6F2"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13,9</w:t>
            </w:r>
            <w:r w:rsidR="00195188" w:rsidRPr="00A9366F">
              <w:rPr>
                <w:rFonts w:eastAsia="Calibri"/>
                <w:szCs w:val="22"/>
                <w:lang w:val="lt-LT"/>
              </w:rPr>
              <w:t> </w:t>
            </w:r>
            <w:r w:rsidRPr="00A9366F">
              <w:rPr>
                <w:rFonts w:eastAsia="Calibri"/>
                <w:szCs w:val="22"/>
                <w:lang w:val="lt-LT"/>
              </w:rPr>
              <w:t>%**</w:t>
            </w:r>
          </w:p>
        </w:tc>
      </w:tr>
      <w:tr w:rsidR="007E5296" w:rsidRPr="00CD7E52" w14:paraId="2F25CED5" w14:textId="77777777" w:rsidTr="007E61CC">
        <w:tc>
          <w:tcPr>
            <w:tcW w:w="526" w:type="pct"/>
            <w:vAlign w:val="center"/>
          </w:tcPr>
          <w:p w14:paraId="732A8AC9" w14:textId="77777777" w:rsidR="00B63E32" w:rsidRPr="00A9366F" w:rsidRDefault="00B63E32" w:rsidP="00BD0220">
            <w:pPr>
              <w:tabs>
                <w:tab w:val="clear" w:pos="567"/>
              </w:tabs>
              <w:spacing w:line="240" w:lineRule="auto"/>
              <w:ind w:right="-133"/>
              <w:rPr>
                <w:rFonts w:eastAsia="Calibri"/>
                <w:b/>
                <w:bCs/>
                <w:szCs w:val="22"/>
              </w:rPr>
            </w:pPr>
            <w:r w:rsidRPr="00A9366F">
              <w:rPr>
                <w:rFonts w:eastAsia="Calibri"/>
                <w:b/>
                <w:bCs/>
                <w:snapToGrid/>
                <w:szCs w:val="22"/>
                <w:lang w:val="lt-LT"/>
              </w:rPr>
              <w:t>A</w:t>
            </w:r>
            <w:r w:rsidR="005276AF" w:rsidRPr="00A9366F">
              <w:rPr>
                <w:rFonts w:eastAsia="Calibri"/>
                <w:b/>
                <w:bCs/>
                <w:snapToGrid/>
                <w:szCs w:val="22"/>
                <w:lang w:val="lt-LT"/>
              </w:rPr>
              <w:t>RK</w:t>
            </w:r>
            <w:r w:rsidRPr="00A9366F">
              <w:rPr>
                <w:rFonts w:eastAsia="Calibri"/>
                <w:b/>
                <w:bCs/>
                <w:szCs w:val="22"/>
                <w:lang w:val="lt-LT"/>
              </w:rPr>
              <w:t xml:space="preserve"> 70</w:t>
            </w:r>
          </w:p>
        </w:tc>
        <w:tc>
          <w:tcPr>
            <w:tcW w:w="712" w:type="pct"/>
          </w:tcPr>
          <w:p w14:paraId="421B3DED" w14:textId="77777777" w:rsidR="00B63E32" w:rsidRPr="00A9366F" w:rsidRDefault="00B63E32" w:rsidP="00BD0220">
            <w:pPr>
              <w:tabs>
                <w:tab w:val="clear" w:pos="567"/>
              </w:tabs>
              <w:spacing w:line="240" w:lineRule="auto"/>
              <w:rPr>
                <w:rFonts w:eastAsia="Calibri"/>
                <w:szCs w:val="22"/>
              </w:rPr>
            </w:pPr>
          </w:p>
        </w:tc>
        <w:tc>
          <w:tcPr>
            <w:tcW w:w="387" w:type="pct"/>
          </w:tcPr>
          <w:p w14:paraId="2A237F25" w14:textId="77777777" w:rsidR="00B63E32" w:rsidRPr="00A9366F" w:rsidRDefault="00B63E32" w:rsidP="00BD0220">
            <w:pPr>
              <w:tabs>
                <w:tab w:val="clear" w:pos="567"/>
              </w:tabs>
              <w:spacing w:line="240" w:lineRule="auto"/>
              <w:rPr>
                <w:rFonts w:eastAsia="Calibri"/>
                <w:szCs w:val="22"/>
              </w:rPr>
            </w:pPr>
          </w:p>
        </w:tc>
        <w:tc>
          <w:tcPr>
            <w:tcW w:w="534" w:type="pct"/>
          </w:tcPr>
          <w:p w14:paraId="2ED18450" w14:textId="77777777" w:rsidR="00B63E32" w:rsidRPr="00A9366F" w:rsidRDefault="00B63E32" w:rsidP="00BD0220">
            <w:pPr>
              <w:tabs>
                <w:tab w:val="clear" w:pos="567"/>
              </w:tabs>
              <w:spacing w:line="240" w:lineRule="auto"/>
              <w:rPr>
                <w:rFonts w:eastAsia="Calibri"/>
                <w:szCs w:val="22"/>
              </w:rPr>
            </w:pPr>
          </w:p>
        </w:tc>
        <w:tc>
          <w:tcPr>
            <w:tcW w:w="572" w:type="pct"/>
          </w:tcPr>
          <w:p w14:paraId="36CDAAAF" w14:textId="77777777" w:rsidR="00B63E32" w:rsidRPr="00A9366F" w:rsidRDefault="00B63E32" w:rsidP="00BD0220">
            <w:pPr>
              <w:tabs>
                <w:tab w:val="clear" w:pos="567"/>
              </w:tabs>
              <w:spacing w:line="240" w:lineRule="auto"/>
              <w:rPr>
                <w:rFonts w:eastAsia="Calibri"/>
                <w:szCs w:val="22"/>
              </w:rPr>
            </w:pPr>
          </w:p>
        </w:tc>
        <w:tc>
          <w:tcPr>
            <w:tcW w:w="550" w:type="pct"/>
          </w:tcPr>
          <w:p w14:paraId="0B19C934" w14:textId="77777777" w:rsidR="00B63E32" w:rsidRPr="00A9366F" w:rsidRDefault="00B63E32" w:rsidP="00BD0220">
            <w:pPr>
              <w:tabs>
                <w:tab w:val="clear" w:pos="567"/>
              </w:tabs>
              <w:spacing w:line="240" w:lineRule="auto"/>
              <w:rPr>
                <w:rFonts w:eastAsia="Calibri"/>
                <w:szCs w:val="22"/>
              </w:rPr>
            </w:pPr>
          </w:p>
        </w:tc>
        <w:tc>
          <w:tcPr>
            <w:tcW w:w="560" w:type="pct"/>
          </w:tcPr>
          <w:p w14:paraId="77488A42" w14:textId="77777777" w:rsidR="00B63E32" w:rsidRPr="00A9366F" w:rsidRDefault="00B63E32" w:rsidP="00BD0220">
            <w:pPr>
              <w:tabs>
                <w:tab w:val="clear" w:pos="567"/>
              </w:tabs>
              <w:spacing w:line="240" w:lineRule="auto"/>
              <w:rPr>
                <w:rFonts w:eastAsia="Calibri"/>
                <w:szCs w:val="22"/>
              </w:rPr>
            </w:pPr>
          </w:p>
        </w:tc>
        <w:tc>
          <w:tcPr>
            <w:tcW w:w="550" w:type="pct"/>
          </w:tcPr>
          <w:p w14:paraId="34ECF2EC" w14:textId="77777777" w:rsidR="00B63E32" w:rsidRPr="00A9366F" w:rsidRDefault="00B63E32" w:rsidP="00BD0220">
            <w:pPr>
              <w:tabs>
                <w:tab w:val="clear" w:pos="567"/>
              </w:tabs>
              <w:spacing w:line="240" w:lineRule="auto"/>
              <w:rPr>
                <w:rFonts w:eastAsia="Calibri"/>
                <w:szCs w:val="22"/>
              </w:rPr>
            </w:pPr>
          </w:p>
        </w:tc>
        <w:tc>
          <w:tcPr>
            <w:tcW w:w="609" w:type="pct"/>
          </w:tcPr>
          <w:p w14:paraId="013025C6" w14:textId="77777777" w:rsidR="00B63E32" w:rsidRPr="00A9366F" w:rsidRDefault="00B63E32" w:rsidP="00BD0220">
            <w:pPr>
              <w:tabs>
                <w:tab w:val="clear" w:pos="567"/>
              </w:tabs>
              <w:spacing w:line="240" w:lineRule="auto"/>
              <w:rPr>
                <w:rFonts w:eastAsia="Calibri"/>
                <w:szCs w:val="22"/>
              </w:rPr>
            </w:pPr>
          </w:p>
        </w:tc>
      </w:tr>
      <w:tr w:rsidR="007E5296" w:rsidRPr="00CD7E52" w14:paraId="2CB103BE" w14:textId="77777777" w:rsidTr="007E61CC">
        <w:tc>
          <w:tcPr>
            <w:tcW w:w="526" w:type="pct"/>
            <w:vAlign w:val="center"/>
          </w:tcPr>
          <w:p w14:paraId="587C9A2B" w14:textId="77777777" w:rsidR="00B63E32" w:rsidRPr="00A9366F" w:rsidRDefault="00B63E32" w:rsidP="00BD0220">
            <w:pPr>
              <w:tabs>
                <w:tab w:val="clear" w:pos="567"/>
              </w:tabs>
              <w:spacing w:line="240" w:lineRule="auto"/>
              <w:ind w:right="-133"/>
              <w:rPr>
                <w:rFonts w:eastAsia="Calibri"/>
                <w:b/>
                <w:bCs/>
                <w:szCs w:val="22"/>
              </w:rPr>
            </w:pPr>
            <w:r w:rsidRPr="00A9366F">
              <w:rPr>
                <w:rFonts w:eastAsia="Calibri"/>
                <w:b/>
                <w:bCs/>
                <w:szCs w:val="22"/>
                <w:lang w:val="lt-LT"/>
              </w:rPr>
              <w:t>16 savaitė</w:t>
            </w:r>
          </w:p>
        </w:tc>
        <w:tc>
          <w:tcPr>
            <w:tcW w:w="712" w:type="pct"/>
            <w:vAlign w:val="center"/>
          </w:tcPr>
          <w:p w14:paraId="3F335254"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1,2</w:t>
            </w:r>
            <w:r w:rsidR="00195188" w:rsidRPr="00A9366F">
              <w:rPr>
                <w:rFonts w:eastAsia="Calibri"/>
                <w:szCs w:val="22"/>
                <w:lang w:val="lt-LT"/>
              </w:rPr>
              <w:t> </w:t>
            </w:r>
            <w:r w:rsidRPr="00A9366F">
              <w:rPr>
                <w:rFonts w:eastAsia="Calibri"/>
                <w:szCs w:val="22"/>
                <w:lang w:val="lt-LT"/>
              </w:rPr>
              <w:t>%</w:t>
            </w:r>
          </w:p>
        </w:tc>
        <w:tc>
          <w:tcPr>
            <w:tcW w:w="387" w:type="pct"/>
            <w:vAlign w:val="center"/>
          </w:tcPr>
          <w:p w14:paraId="2EEA357C"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4,2</w:t>
            </w:r>
            <w:r w:rsidR="00195188" w:rsidRPr="00A9366F">
              <w:rPr>
                <w:rFonts w:eastAsia="Calibri"/>
                <w:szCs w:val="22"/>
                <w:lang w:val="lt-LT"/>
              </w:rPr>
              <w:t> </w:t>
            </w:r>
            <w:r w:rsidRPr="00A9366F">
              <w:rPr>
                <w:rFonts w:eastAsia="Calibri"/>
                <w:szCs w:val="22"/>
                <w:lang w:val="lt-LT"/>
              </w:rPr>
              <w:t>%</w:t>
            </w:r>
          </w:p>
        </w:tc>
        <w:tc>
          <w:tcPr>
            <w:tcW w:w="534" w:type="pct"/>
            <w:vAlign w:val="center"/>
          </w:tcPr>
          <w:p w14:paraId="6A12AF22"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0,6</w:t>
            </w:r>
            <w:r w:rsidR="00195188" w:rsidRPr="00A9366F">
              <w:rPr>
                <w:rFonts w:eastAsia="Calibri"/>
                <w:szCs w:val="22"/>
                <w:lang w:val="lt-LT"/>
              </w:rPr>
              <w:t> </w:t>
            </w:r>
            <w:r w:rsidRPr="00A9366F">
              <w:rPr>
                <w:rFonts w:eastAsia="Calibri"/>
                <w:szCs w:val="22"/>
                <w:lang w:val="lt-LT"/>
              </w:rPr>
              <w:t>%</w:t>
            </w:r>
          </w:p>
        </w:tc>
        <w:tc>
          <w:tcPr>
            <w:tcW w:w="572" w:type="pct"/>
            <w:vAlign w:val="center"/>
          </w:tcPr>
          <w:p w14:paraId="69D5AA6D"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1,2</w:t>
            </w:r>
            <w:r w:rsidR="00195188" w:rsidRPr="00A9366F">
              <w:rPr>
                <w:rFonts w:eastAsia="Calibri"/>
                <w:szCs w:val="22"/>
                <w:lang w:val="lt-LT"/>
              </w:rPr>
              <w:t> </w:t>
            </w:r>
            <w:r w:rsidRPr="00A9366F">
              <w:rPr>
                <w:rFonts w:eastAsia="Calibri"/>
                <w:szCs w:val="22"/>
                <w:lang w:val="lt-LT"/>
              </w:rPr>
              <w:t>%</w:t>
            </w:r>
          </w:p>
        </w:tc>
        <w:tc>
          <w:tcPr>
            <w:tcW w:w="550" w:type="pct"/>
            <w:vAlign w:val="center"/>
          </w:tcPr>
          <w:p w14:paraId="44F81A33"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2,4</w:t>
            </w:r>
            <w:r w:rsidR="00195188" w:rsidRPr="00A9366F">
              <w:rPr>
                <w:rFonts w:eastAsia="Calibri"/>
                <w:szCs w:val="22"/>
                <w:lang w:val="lt-LT"/>
              </w:rPr>
              <w:t> </w:t>
            </w:r>
            <w:r w:rsidRPr="00A9366F">
              <w:rPr>
                <w:rFonts w:eastAsia="Calibri"/>
                <w:szCs w:val="22"/>
                <w:lang w:val="lt-LT"/>
              </w:rPr>
              <w:t>%</w:t>
            </w:r>
          </w:p>
        </w:tc>
        <w:tc>
          <w:tcPr>
            <w:tcW w:w="560" w:type="pct"/>
            <w:vAlign w:val="center"/>
          </w:tcPr>
          <w:p w14:paraId="7D11E101" w14:textId="77777777" w:rsidR="00B63E32" w:rsidRPr="00A9366F" w:rsidRDefault="00B63E32" w:rsidP="00195188">
            <w:pPr>
              <w:tabs>
                <w:tab w:val="clear" w:pos="567"/>
              </w:tabs>
              <w:spacing w:line="240" w:lineRule="auto"/>
              <w:rPr>
                <w:rFonts w:eastAsia="Calibri"/>
                <w:szCs w:val="22"/>
              </w:rPr>
            </w:pPr>
            <w:r w:rsidRPr="00A9366F">
              <w:rPr>
                <w:rFonts w:eastAsia="Calibri"/>
                <w:szCs w:val="22"/>
                <w:lang w:val="lt-LT"/>
              </w:rPr>
              <w:t>3,6</w:t>
            </w:r>
            <w:r w:rsidR="00195188" w:rsidRPr="00A9366F">
              <w:rPr>
                <w:rFonts w:eastAsia="Calibri"/>
                <w:szCs w:val="22"/>
                <w:lang w:val="lt-LT"/>
              </w:rPr>
              <w:t> </w:t>
            </w:r>
            <w:r w:rsidRPr="00A9366F">
              <w:rPr>
                <w:rFonts w:eastAsia="Calibri"/>
                <w:szCs w:val="22"/>
                <w:lang w:val="lt-LT"/>
              </w:rPr>
              <w:t>%</w:t>
            </w:r>
          </w:p>
        </w:tc>
        <w:tc>
          <w:tcPr>
            <w:tcW w:w="550" w:type="pct"/>
            <w:vAlign w:val="center"/>
          </w:tcPr>
          <w:p w14:paraId="31F1D255"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1,4</w:t>
            </w:r>
            <w:r w:rsidR="00195188" w:rsidRPr="00A9366F">
              <w:rPr>
                <w:rFonts w:eastAsia="Calibri"/>
                <w:szCs w:val="22"/>
                <w:lang w:val="lt-LT"/>
              </w:rPr>
              <w:t> </w:t>
            </w:r>
            <w:r w:rsidRPr="00A9366F">
              <w:rPr>
                <w:rFonts w:eastAsia="Calibri"/>
                <w:szCs w:val="22"/>
                <w:lang w:val="lt-LT"/>
              </w:rPr>
              <w:t>%</w:t>
            </w:r>
          </w:p>
        </w:tc>
        <w:tc>
          <w:tcPr>
            <w:tcW w:w="609" w:type="pct"/>
            <w:vAlign w:val="center"/>
          </w:tcPr>
          <w:p w14:paraId="251EE12B" w14:textId="77777777" w:rsidR="00B63E32" w:rsidRPr="00A9366F" w:rsidRDefault="00B63E32" w:rsidP="00BD0220">
            <w:pPr>
              <w:tabs>
                <w:tab w:val="clear" w:pos="567"/>
              </w:tabs>
              <w:spacing w:line="240" w:lineRule="auto"/>
              <w:rPr>
                <w:rFonts w:eastAsia="Calibri"/>
                <w:szCs w:val="22"/>
              </w:rPr>
            </w:pPr>
            <w:r w:rsidRPr="00A9366F">
              <w:rPr>
                <w:rFonts w:eastAsia="Calibri"/>
                <w:szCs w:val="22"/>
                <w:lang w:val="lt-LT"/>
              </w:rPr>
              <w:t>3,0</w:t>
            </w:r>
            <w:r w:rsidR="00195188" w:rsidRPr="00A9366F">
              <w:rPr>
                <w:rFonts w:eastAsia="Calibri"/>
                <w:szCs w:val="22"/>
                <w:lang w:val="lt-LT"/>
              </w:rPr>
              <w:t> </w:t>
            </w:r>
            <w:r w:rsidRPr="00A9366F">
              <w:rPr>
                <w:rFonts w:eastAsia="Calibri"/>
                <w:szCs w:val="22"/>
                <w:lang w:val="lt-LT"/>
              </w:rPr>
              <w:t>%</w:t>
            </w:r>
          </w:p>
        </w:tc>
      </w:tr>
    </w:tbl>
    <w:p w14:paraId="1DE950B0" w14:textId="77777777" w:rsidR="004B4124" w:rsidRPr="00A9366F" w:rsidRDefault="004B4124" w:rsidP="00BD0220">
      <w:pPr>
        <w:widowControl w:val="0"/>
        <w:tabs>
          <w:tab w:val="clear" w:pos="567"/>
        </w:tabs>
        <w:autoSpaceDE w:val="0"/>
        <w:autoSpaceDN w:val="0"/>
        <w:adjustRightInd w:val="0"/>
        <w:spacing w:line="240" w:lineRule="auto"/>
        <w:rPr>
          <w:szCs w:val="22"/>
          <w:lang w:val="lt-LT"/>
        </w:rPr>
      </w:pPr>
      <w:r w:rsidRPr="00A9366F">
        <w:rPr>
          <w:szCs w:val="22"/>
          <w:lang w:val="lt-LT"/>
        </w:rPr>
        <w:t>*p</w:t>
      </w:r>
      <w:r w:rsidR="0066432B" w:rsidRPr="00A9366F">
        <w:rPr>
          <w:szCs w:val="22"/>
          <w:lang w:val="lt-LT"/>
        </w:rPr>
        <w:t> </w:t>
      </w:r>
      <w:r w:rsidR="009F17E0" w:rsidRPr="00A9366F">
        <w:rPr>
          <w:szCs w:val="22"/>
          <w:lang w:val="lt-LT"/>
        </w:rPr>
        <w:t>≤ </w:t>
      </w:r>
      <w:r w:rsidRPr="00A9366F">
        <w:rPr>
          <w:szCs w:val="22"/>
          <w:lang w:val="lt-LT"/>
        </w:rPr>
        <w:t>0,01 vartojant apremilast</w:t>
      </w:r>
      <w:r w:rsidR="005276AF" w:rsidRPr="00A9366F">
        <w:rPr>
          <w:szCs w:val="22"/>
          <w:lang w:val="lt-LT"/>
        </w:rPr>
        <w:t>o</w:t>
      </w:r>
      <w:r w:rsidRPr="00A9366F">
        <w:rPr>
          <w:szCs w:val="22"/>
          <w:lang w:val="lt-LT"/>
        </w:rPr>
        <w:t>, palyginti su placebu.</w:t>
      </w:r>
    </w:p>
    <w:p w14:paraId="1AC9406A" w14:textId="77777777" w:rsidR="004B4124" w:rsidRPr="00A9366F" w:rsidRDefault="004B4124" w:rsidP="00BD0220">
      <w:pPr>
        <w:widowControl w:val="0"/>
        <w:tabs>
          <w:tab w:val="clear" w:pos="567"/>
        </w:tabs>
        <w:autoSpaceDE w:val="0"/>
        <w:autoSpaceDN w:val="0"/>
        <w:adjustRightInd w:val="0"/>
        <w:spacing w:line="240" w:lineRule="auto"/>
        <w:rPr>
          <w:szCs w:val="22"/>
          <w:lang w:val="lt-LT"/>
        </w:rPr>
      </w:pPr>
      <w:r w:rsidRPr="00A9366F">
        <w:rPr>
          <w:szCs w:val="22"/>
          <w:lang w:val="lt-LT"/>
        </w:rPr>
        <w:t>**p</w:t>
      </w:r>
      <w:r w:rsidR="0066432B" w:rsidRPr="00A9366F">
        <w:rPr>
          <w:szCs w:val="22"/>
          <w:lang w:val="lt-LT"/>
        </w:rPr>
        <w:t> </w:t>
      </w:r>
      <w:r w:rsidR="009F17E0" w:rsidRPr="00A9366F">
        <w:rPr>
          <w:szCs w:val="22"/>
          <w:lang w:val="lt-LT"/>
        </w:rPr>
        <w:t>≤ </w:t>
      </w:r>
      <w:r w:rsidRPr="00A9366F">
        <w:rPr>
          <w:szCs w:val="22"/>
          <w:lang w:val="lt-LT"/>
        </w:rPr>
        <w:t>0,001 vartojant apremilast</w:t>
      </w:r>
      <w:r w:rsidR="00774D3B" w:rsidRPr="00A9366F">
        <w:rPr>
          <w:szCs w:val="22"/>
          <w:lang w:val="lt-LT"/>
        </w:rPr>
        <w:t>o</w:t>
      </w:r>
      <w:r w:rsidRPr="00A9366F">
        <w:rPr>
          <w:szCs w:val="22"/>
          <w:lang w:val="lt-LT"/>
        </w:rPr>
        <w:t>, palyginti su placebu.</w:t>
      </w:r>
    </w:p>
    <w:p w14:paraId="35B8D922"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A9366F">
        <w:rPr>
          <w:szCs w:val="22"/>
          <w:vertAlign w:val="superscript"/>
          <w:lang w:val="lt-LT"/>
        </w:rPr>
        <w:t>a</w:t>
      </w:r>
      <w:r w:rsidRPr="00A9366F">
        <w:rPr>
          <w:szCs w:val="22"/>
          <w:lang w:val="lt-LT"/>
        </w:rPr>
        <w:t xml:space="preserve"> N yra</w:t>
      </w:r>
      <w:r w:rsidR="00B63E32" w:rsidRPr="00A9366F">
        <w:rPr>
          <w:szCs w:val="22"/>
          <w:lang w:val="lt-LT"/>
        </w:rPr>
        <w:t xml:space="preserve"> </w:t>
      </w:r>
      <w:r w:rsidR="00B63E32" w:rsidRPr="00A9366F">
        <w:rPr>
          <w:snapToGrid/>
          <w:szCs w:val="22"/>
          <w:lang w:val="lt-LT"/>
        </w:rPr>
        <w:t>priskirtų atsitiktinėms imtims</w:t>
      </w:r>
      <w:r w:rsidRPr="00A9366F">
        <w:rPr>
          <w:szCs w:val="22"/>
          <w:lang w:val="lt-LT"/>
        </w:rPr>
        <w:t xml:space="preserve"> ir gydytų</w:t>
      </w:r>
      <w:r w:rsidR="00B63E32" w:rsidRPr="00A9366F">
        <w:rPr>
          <w:snapToGrid/>
          <w:szCs w:val="22"/>
          <w:lang w:val="lt-LT"/>
        </w:rPr>
        <w:t xml:space="preserve"> pacientų</w:t>
      </w:r>
      <w:r w:rsidRPr="00A9366F">
        <w:rPr>
          <w:szCs w:val="22"/>
          <w:lang w:val="lt-LT"/>
        </w:rPr>
        <w:t xml:space="preserve"> skaičius.</w:t>
      </w:r>
    </w:p>
    <w:p w14:paraId="0F6EB0CA" w14:textId="77777777" w:rsidR="00B63E32" w:rsidRPr="00CD7E52" w:rsidRDefault="00B63E32" w:rsidP="00BD0220">
      <w:pPr>
        <w:widowControl w:val="0"/>
        <w:tabs>
          <w:tab w:val="clear" w:pos="567"/>
        </w:tabs>
        <w:autoSpaceDE w:val="0"/>
        <w:autoSpaceDN w:val="0"/>
        <w:adjustRightInd w:val="0"/>
        <w:spacing w:line="240" w:lineRule="auto"/>
        <w:rPr>
          <w:szCs w:val="22"/>
          <w:lang w:val="lt-LT"/>
        </w:rPr>
      </w:pPr>
    </w:p>
    <w:p w14:paraId="2480FB25" w14:textId="77777777" w:rsidR="004B4124" w:rsidRPr="00CD7E52" w:rsidRDefault="004B4124" w:rsidP="00261FF9">
      <w:pPr>
        <w:keepNext/>
        <w:tabs>
          <w:tab w:val="clear" w:pos="567"/>
          <w:tab w:val="left" w:pos="1276"/>
        </w:tabs>
        <w:autoSpaceDE w:val="0"/>
        <w:autoSpaceDN w:val="0"/>
        <w:adjustRightInd w:val="0"/>
        <w:spacing w:line="240" w:lineRule="auto"/>
        <w:ind w:left="1276" w:hanging="1276"/>
        <w:rPr>
          <w:b/>
          <w:bCs/>
          <w:szCs w:val="22"/>
          <w:lang w:val="lt-LT"/>
        </w:rPr>
      </w:pPr>
      <w:r w:rsidRPr="00CD7E52">
        <w:rPr>
          <w:b/>
          <w:bCs/>
          <w:szCs w:val="22"/>
          <w:lang w:val="lt-LT"/>
        </w:rPr>
        <w:t>1</w:t>
      </w:r>
      <w:r w:rsidR="00643F7F" w:rsidRPr="00CD7E52">
        <w:rPr>
          <w:b/>
          <w:bCs/>
          <w:szCs w:val="22"/>
          <w:lang w:val="lt-LT"/>
        </w:rPr>
        <w:t> </w:t>
      </w:r>
      <w:r w:rsidRPr="00CD7E52">
        <w:rPr>
          <w:b/>
          <w:bCs/>
          <w:szCs w:val="22"/>
          <w:lang w:val="lt-LT"/>
        </w:rPr>
        <w:t>paveikslas.</w:t>
      </w:r>
      <w:r w:rsidR="00261FF9" w:rsidRPr="00CD7E52">
        <w:rPr>
          <w:b/>
          <w:bCs/>
          <w:szCs w:val="22"/>
          <w:lang w:val="lt-LT"/>
        </w:rPr>
        <w:tab/>
      </w:r>
      <w:r w:rsidR="00774D3B" w:rsidRPr="00CD7E52">
        <w:rPr>
          <w:b/>
          <w:bCs/>
          <w:szCs w:val="22"/>
          <w:lang w:val="lt-LT"/>
        </w:rPr>
        <w:t>P</w:t>
      </w:r>
      <w:r w:rsidRPr="00CD7E52">
        <w:rPr>
          <w:b/>
          <w:bCs/>
          <w:szCs w:val="22"/>
          <w:lang w:val="lt-LT"/>
        </w:rPr>
        <w:t>acientų, kuriems iki 52</w:t>
      </w:r>
      <w:r w:rsidR="00C65C08" w:rsidRPr="00CD7E52">
        <w:rPr>
          <w:b/>
          <w:bCs/>
          <w:szCs w:val="22"/>
          <w:lang w:val="lt-LT"/>
        </w:rPr>
        <w:t> savai</w:t>
      </w:r>
      <w:r w:rsidRPr="00CD7E52">
        <w:rPr>
          <w:b/>
          <w:bCs/>
          <w:szCs w:val="22"/>
          <w:lang w:val="lt-LT"/>
        </w:rPr>
        <w:t xml:space="preserve">tės nustatytas </w:t>
      </w:r>
      <w:r w:rsidR="006E6907" w:rsidRPr="00CD7E52">
        <w:rPr>
          <w:b/>
          <w:bCs/>
          <w:szCs w:val="22"/>
          <w:lang w:val="lt-LT"/>
        </w:rPr>
        <w:t>A</w:t>
      </w:r>
      <w:r w:rsidR="00774D3B" w:rsidRPr="00CD7E52">
        <w:rPr>
          <w:b/>
          <w:bCs/>
          <w:szCs w:val="22"/>
          <w:lang w:val="lt-LT"/>
        </w:rPr>
        <w:t>RK</w:t>
      </w:r>
      <w:r w:rsidR="00BD30CA" w:rsidRPr="00CD7E52">
        <w:rPr>
          <w:b/>
          <w:bCs/>
          <w:snapToGrid/>
          <w:szCs w:val="22"/>
          <w:lang w:val="lt-LT"/>
        </w:rPr>
        <w:t> </w:t>
      </w:r>
      <w:r w:rsidR="00BD30CA" w:rsidRPr="00CD7E52">
        <w:rPr>
          <w:b/>
          <w:bCs/>
          <w:szCs w:val="22"/>
          <w:lang w:val="lt-LT"/>
        </w:rPr>
        <w:t>2</w:t>
      </w:r>
      <w:r w:rsidRPr="00CD7E52">
        <w:rPr>
          <w:b/>
          <w:bCs/>
          <w:szCs w:val="22"/>
          <w:lang w:val="lt-LT"/>
        </w:rPr>
        <w:t>0/50/70 atsakas</w:t>
      </w:r>
      <w:r w:rsidR="00774D3B" w:rsidRPr="00CD7E52">
        <w:rPr>
          <w:b/>
          <w:bCs/>
          <w:szCs w:val="22"/>
          <w:lang w:val="lt-LT"/>
        </w:rPr>
        <w:t>, skaičius,</w:t>
      </w:r>
      <w:r w:rsidRPr="00CD7E52">
        <w:rPr>
          <w:b/>
          <w:bCs/>
          <w:szCs w:val="22"/>
          <w:lang w:val="lt-LT"/>
        </w:rPr>
        <w:t>atliekant</w:t>
      </w:r>
      <w:r w:rsidR="00643F7F" w:rsidRPr="00CD7E52">
        <w:rPr>
          <w:b/>
          <w:bCs/>
          <w:szCs w:val="22"/>
          <w:lang w:val="lt-LT"/>
        </w:rPr>
        <w:t xml:space="preserve"> </w:t>
      </w:r>
      <w:r w:rsidRPr="00CD7E52">
        <w:rPr>
          <w:b/>
          <w:bCs/>
          <w:szCs w:val="22"/>
          <w:lang w:val="lt-LT"/>
        </w:rPr>
        <w:t>jungtinę tyrimų PALAC</w:t>
      </w:r>
      <w:r w:rsidR="00BD30CA" w:rsidRPr="00CD7E52">
        <w:rPr>
          <w:b/>
          <w:bCs/>
          <w:szCs w:val="22"/>
          <w:lang w:val="lt-LT"/>
        </w:rPr>
        <w:t>E</w:t>
      </w:r>
      <w:r w:rsidR="00BD30CA" w:rsidRPr="00CD7E52">
        <w:rPr>
          <w:b/>
          <w:bCs/>
          <w:snapToGrid/>
          <w:szCs w:val="22"/>
          <w:lang w:val="lt-LT"/>
        </w:rPr>
        <w:t> </w:t>
      </w:r>
      <w:r w:rsidR="00BD30CA" w:rsidRPr="00CD7E52">
        <w:rPr>
          <w:b/>
          <w:bCs/>
          <w:szCs w:val="22"/>
          <w:lang w:val="lt-LT"/>
        </w:rPr>
        <w:t>1</w:t>
      </w:r>
      <w:r w:rsidRPr="00CD7E52">
        <w:rPr>
          <w:b/>
          <w:bCs/>
          <w:szCs w:val="22"/>
          <w:lang w:val="lt-LT"/>
        </w:rPr>
        <w:t>, PALAC</w:t>
      </w:r>
      <w:r w:rsidR="00BD30CA" w:rsidRPr="00CD7E52">
        <w:rPr>
          <w:b/>
          <w:bCs/>
          <w:szCs w:val="22"/>
          <w:lang w:val="lt-LT"/>
        </w:rPr>
        <w:t>E</w:t>
      </w:r>
      <w:r w:rsidR="00BD30CA" w:rsidRPr="00CD7E52">
        <w:rPr>
          <w:b/>
          <w:bCs/>
          <w:snapToGrid/>
          <w:szCs w:val="22"/>
          <w:lang w:val="lt-LT"/>
        </w:rPr>
        <w:t> </w:t>
      </w:r>
      <w:r w:rsidR="00BD30CA" w:rsidRPr="00CD7E52">
        <w:rPr>
          <w:b/>
          <w:bCs/>
          <w:szCs w:val="22"/>
          <w:lang w:val="lt-LT"/>
        </w:rPr>
        <w:t>2</w:t>
      </w:r>
      <w:r w:rsidRPr="00CD7E52">
        <w:rPr>
          <w:b/>
          <w:bCs/>
          <w:szCs w:val="22"/>
          <w:lang w:val="lt-LT"/>
        </w:rPr>
        <w:t xml:space="preserve"> bei PALAC</w:t>
      </w:r>
      <w:r w:rsidR="00BD30CA" w:rsidRPr="00CD7E52">
        <w:rPr>
          <w:b/>
          <w:bCs/>
          <w:szCs w:val="22"/>
          <w:lang w:val="lt-LT"/>
        </w:rPr>
        <w:t>E</w:t>
      </w:r>
      <w:r w:rsidR="00BD30CA" w:rsidRPr="00CD7E52">
        <w:rPr>
          <w:b/>
          <w:bCs/>
          <w:snapToGrid/>
          <w:szCs w:val="22"/>
          <w:lang w:val="lt-LT"/>
        </w:rPr>
        <w:t> </w:t>
      </w:r>
      <w:r w:rsidR="00BD30CA" w:rsidRPr="00CD7E52">
        <w:rPr>
          <w:b/>
          <w:bCs/>
          <w:szCs w:val="22"/>
          <w:lang w:val="lt-LT"/>
        </w:rPr>
        <w:t>3</w:t>
      </w:r>
      <w:r w:rsidRPr="00CD7E52">
        <w:rPr>
          <w:b/>
          <w:bCs/>
          <w:szCs w:val="22"/>
          <w:lang w:val="lt-LT"/>
        </w:rPr>
        <w:t xml:space="preserve"> analizę (PAN*)</w:t>
      </w:r>
    </w:p>
    <w:p w14:paraId="032F720B" w14:textId="77777777" w:rsidR="00CE034B" w:rsidRPr="00CD7E52" w:rsidRDefault="00CE034B" w:rsidP="00261FF9">
      <w:pPr>
        <w:keepNext/>
        <w:tabs>
          <w:tab w:val="clear" w:pos="567"/>
        </w:tabs>
        <w:autoSpaceDE w:val="0"/>
        <w:autoSpaceDN w:val="0"/>
        <w:adjustRightInd w:val="0"/>
        <w:spacing w:line="240" w:lineRule="auto"/>
        <w:rPr>
          <w:szCs w:val="22"/>
          <w:lang w:val="lt-LT"/>
        </w:rPr>
      </w:pPr>
    </w:p>
    <w:p w14:paraId="4E36BAEE" w14:textId="7315DC34" w:rsidR="004B4124" w:rsidRPr="00CD7E52" w:rsidRDefault="00842965" w:rsidP="00261FF9">
      <w:pPr>
        <w:keepNext/>
        <w:tabs>
          <w:tab w:val="clear" w:pos="567"/>
        </w:tabs>
        <w:autoSpaceDE w:val="0"/>
        <w:autoSpaceDN w:val="0"/>
        <w:adjustRightInd w:val="0"/>
        <w:spacing w:line="240" w:lineRule="auto"/>
        <w:rPr>
          <w:szCs w:val="22"/>
          <w:lang w:val="lt-LT"/>
        </w:rPr>
      </w:pPr>
      <w:r w:rsidRPr="00425717">
        <w:rPr>
          <w:rFonts w:eastAsia="SimSun"/>
          <w:i/>
          <w:noProof/>
          <w:snapToGrid/>
          <w:color w:val="008000"/>
          <w:szCs w:val="22"/>
          <w:lang w:val="lt-LT"/>
        </w:rPr>
        <w:drawing>
          <wp:inline distT="0" distB="0" distL="0" distR="0" wp14:anchorId="4C41895F" wp14:editId="16310EEA">
            <wp:extent cx="5760720" cy="32766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276600"/>
                    </a:xfrm>
                    <a:prstGeom prst="rect">
                      <a:avLst/>
                    </a:prstGeom>
                    <a:noFill/>
                    <a:ln>
                      <a:noFill/>
                    </a:ln>
                  </pic:spPr>
                </pic:pic>
              </a:graphicData>
            </a:graphic>
          </wp:inline>
        </w:drawing>
      </w:r>
      <w:r w:rsidR="004B4124" w:rsidRPr="00A9366F">
        <w:rPr>
          <w:szCs w:val="22"/>
          <w:lang w:val="lt-LT"/>
        </w:rPr>
        <w:t xml:space="preserve">*PAN </w:t>
      </w:r>
      <w:r w:rsidR="006558C8" w:rsidRPr="00A9366F">
        <w:rPr>
          <w:szCs w:val="22"/>
          <w:lang w:val="lt-LT"/>
        </w:rPr>
        <w:t>–</w:t>
      </w:r>
      <w:r w:rsidR="00CE034B" w:rsidRPr="00A9366F">
        <w:rPr>
          <w:szCs w:val="22"/>
          <w:lang w:val="lt-LT"/>
        </w:rPr>
        <w:t xml:space="preserve"> </w:t>
      </w:r>
      <w:r w:rsidR="004B4124" w:rsidRPr="00A9366F">
        <w:rPr>
          <w:szCs w:val="22"/>
          <w:lang w:val="lt-LT"/>
        </w:rPr>
        <w:t xml:space="preserve">priskirtas atsako nebuvimas. </w:t>
      </w:r>
      <w:r w:rsidR="00253870" w:rsidRPr="00A9366F">
        <w:rPr>
          <w:snapToGrid/>
          <w:szCs w:val="22"/>
          <w:lang w:val="lt-LT"/>
        </w:rPr>
        <w:t>Siekiant tiksliai nustatyti atsako būseną tam tikru metu, t</w:t>
      </w:r>
      <w:r w:rsidR="004B4124" w:rsidRPr="00A9366F">
        <w:rPr>
          <w:snapToGrid/>
          <w:szCs w:val="22"/>
          <w:lang w:val="lt-LT"/>
        </w:rPr>
        <w:t>iriamieji</w:t>
      </w:r>
      <w:r w:rsidR="004B4124" w:rsidRPr="00A9366F">
        <w:rPr>
          <w:szCs w:val="22"/>
          <w:lang w:val="lt-LT"/>
        </w:rPr>
        <w:t>, kurie anksčiau numatytojo laiko nutraukė dalyvavimą tyrime, ir tiriamieji, apie kuriuos nepakanka</w:t>
      </w:r>
      <w:r w:rsidR="00253870" w:rsidRPr="00A9366F">
        <w:rPr>
          <w:szCs w:val="22"/>
          <w:lang w:val="lt-LT"/>
        </w:rPr>
        <w:t xml:space="preserve"> </w:t>
      </w:r>
      <w:r w:rsidR="004B4124" w:rsidRPr="00A9366F">
        <w:rPr>
          <w:szCs w:val="22"/>
          <w:lang w:val="lt-LT"/>
        </w:rPr>
        <w:t xml:space="preserve">duomenų, </w:t>
      </w:r>
      <w:r w:rsidR="004B4124" w:rsidRPr="00A9366F">
        <w:rPr>
          <w:snapToGrid/>
          <w:szCs w:val="22"/>
          <w:lang w:val="lt-LT"/>
        </w:rPr>
        <w:t xml:space="preserve">yra laikomi </w:t>
      </w:r>
      <w:r w:rsidR="00253870" w:rsidRPr="00A9366F">
        <w:rPr>
          <w:snapToGrid/>
          <w:szCs w:val="22"/>
          <w:lang w:val="lt-LT"/>
        </w:rPr>
        <w:t>tiriam</w:t>
      </w:r>
      <w:r w:rsidR="0052312B" w:rsidRPr="00A9366F">
        <w:rPr>
          <w:snapToGrid/>
          <w:szCs w:val="22"/>
          <w:lang w:val="lt-LT"/>
        </w:rPr>
        <w:t>a</w:t>
      </w:r>
      <w:r w:rsidR="00253870" w:rsidRPr="00A9366F">
        <w:rPr>
          <w:snapToGrid/>
          <w:szCs w:val="22"/>
          <w:lang w:val="lt-LT"/>
        </w:rPr>
        <w:t>isiais</w:t>
      </w:r>
      <w:r w:rsidR="004B4124" w:rsidRPr="00A9366F">
        <w:rPr>
          <w:szCs w:val="22"/>
          <w:lang w:val="lt-LT"/>
        </w:rPr>
        <w:t>, kuriems atsako nebuvo.</w:t>
      </w:r>
    </w:p>
    <w:p w14:paraId="24AE1960" w14:textId="77777777" w:rsidR="00253870" w:rsidRPr="00CD7E52" w:rsidRDefault="00253870" w:rsidP="00BD0220">
      <w:pPr>
        <w:widowControl w:val="0"/>
        <w:tabs>
          <w:tab w:val="clear" w:pos="567"/>
        </w:tabs>
        <w:autoSpaceDE w:val="0"/>
        <w:autoSpaceDN w:val="0"/>
        <w:adjustRightInd w:val="0"/>
        <w:spacing w:line="240" w:lineRule="auto"/>
        <w:rPr>
          <w:szCs w:val="22"/>
          <w:lang w:val="lt-LT"/>
        </w:rPr>
      </w:pPr>
    </w:p>
    <w:p w14:paraId="46104B58" w14:textId="77777777" w:rsidR="004B4124" w:rsidRPr="00CD7E52" w:rsidRDefault="00D20952" w:rsidP="00BD0220">
      <w:pPr>
        <w:widowControl w:val="0"/>
        <w:tabs>
          <w:tab w:val="clear" w:pos="567"/>
        </w:tabs>
        <w:autoSpaceDE w:val="0"/>
        <w:autoSpaceDN w:val="0"/>
        <w:adjustRightInd w:val="0"/>
        <w:spacing w:line="240" w:lineRule="auto"/>
        <w:rPr>
          <w:szCs w:val="22"/>
          <w:lang w:val="lt-LT"/>
        </w:rPr>
      </w:pPr>
      <w:r w:rsidRPr="00CD7E52">
        <w:rPr>
          <w:snapToGrid/>
          <w:szCs w:val="22"/>
          <w:lang w:val="lt-LT"/>
        </w:rPr>
        <w:t>Iš</w:t>
      </w:r>
      <w:r w:rsidR="004B4124" w:rsidRPr="00CD7E52">
        <w:rPr>
          <w:szCs w:val="22"/>
          <w:lang w:val="lt-LT"/>
        </w:rPr>
        <w:t xml:space="preserve"> 497</w:t>
      </w:r>
      <w:r w:rsidRPr="00CD7E52">
        <w:rPr>
          <w:szCs w:val="22"/>
          <w:lang w:val="lt-LT"/>
        </w:rPr>
        <w:t> </w:t>
      </w:r>
      <w:r w:rsidR="004B4124" w:rsidRPr="00CD7E52">
        <w:rPr>
          <w:szCs w:val="22"/>
          <w:lang w:val="lt-LT"/>
        </w:rPr>
        <w:t xml:space="preserve">pacientų, </w:t>
      </w:r>
      <w:r w:rsidR="004B4124" w:rsidRPr="00CD7E52">
        <w:rPr>
          <w:snapToGrid/>
          <w:szCs w:val="22"/>
          <w:lang w:val="lt-LT"/>
        </w:rPr>
        <w:t>kurie</w:t>
      </w:r>
      <w:r w:rsidR="004B4124" w:rsidRPr="00CD7E52">
        <w:rPr>
          <w:szCs w:val="22"/>
          <w:lang w:val="lt-LT"/>
        </w:rPr>
        <w:t xml:space="preserve"> iš pradžių </w:t>
      </w:r>
      <w:r w:rsidR="009132F1" w:rsidRPr="00CD7E52">
        <w:rPr>
          <w:szCs w:val="22"/>
          <w:lang w:val="lt-LT"/>
        </w:rPr>
        <w:t xml:space="preserve">buvo </w:t>
      </w:r>
      <w:r w:rsidR="009132F1" w:rsidRPr="00CD7E52">
        <w:rPr>
          <w:snapToGrid/>
          <w:szCs w:val="22"/>
          <w:lang w:val="lt-LT"/>
        </w:rPr>
        <w:t>atsitiktinai priskirti</w:t>
      </w:r>
      <w:r w:rsidR="004B4124" w:rsidRPr="00CD7E52">
        <w:rPr>
          <w:szCs w:val="22"/>
          <w:lang w:val="lt-LT"/>
        </w:rPr>
        <w:t xml:space="preserve"> vartoti 30</w:t>
      </w:r>
      <w:r w:rsidR="00A87582" w:rsidRPr="00CD7E52">
        <w:rPr>
          <w:szCs w:val="22"/>
          <w:lang w:val="lt-LT"/>
        </w:rPr>
        <w:t> mg</w:t>
      </w:r>
      <w:r w:rsidR="004B4124" w:rsidRPr="00CD7E52">
        <w:rPr>
          <w:szCs w:val="22"/>
          <w:lang w:val="lt-LT"/>
        </w:rPr>
        <w:t xml:space="preserve"> apremilasto du kartus</w:t>
      </w:r>
      <w:r w:rsidRPr="00CD7E52">
        <w:rPr>
          <w:szCs w:val="22"/>
          <w:lang w:val="lt-LT"/>
        </w:rPr>
        <w:t xml:space="preserve"> </w:t>
      </w:r>
      <w:r w:rsidR="004B4124" w:rsidRPr="00CD7E52">
        <w:rPr>
          <w:szCs w:val="22"/>
          <w:lang w:val="lt-LT"/>
        </w:rPr>
        <w:t>per parą, 375 (75</w:t>
      </w:r>
      <w:r w:rsidR="009F17E0" w:rsidRPr="00CD7E52">
        <w:rPr>
          <w:szCs w:val="22"/>
          <w:lang w:val="lt-LT"/>
        </w:rPr>
        <w:t> %</w:t>
      </w:r>
      <w:r w:rsidR="004B4124" w:rsidRPr="00CD7E52">
        <w:rPr>
          <w:szCs w:val="22"/>
          <w:lang w:val="lt-LT"/>
        </w:rPr>
        <w:t>) pacientų šis gydymas vis dar buvo taikomas 52</w:t>
      </w:r>
      <w:r w:rsidR="00C65C08" w:rsidRPr="00CD7E52">
        <w:rPr>
          <w:szCs w:val="22"/>
          <w:lang w:val="lt-LT"/>
        </w:rPr>
        <w:t> savai</w:t>
      </w:r>
      <w:r w:rsidR="004B4124" w:rsidRPr="00CD7E52">
        <w:rPr>
          <w:szCs w:val="22"/>
          <w:lang w:val="lt-LT"/>
        </w:rPr>
        <w:t xml:space="preserve">tę. Šiems pacientams </w:t>
      </w:r>
      <w:r w:rsidR="006E6907" w:rsidRPr="00CD7E52">
        <w:rPr>
          <w:szCs w:val="22"/>
          <w:lang w:val="lt-LT"/>
        </w:rPr>
        <w:t>A</w:t>
      </w:r>
      <w:r w:rsidR="00321F00" w:rsidRPr="00CD7E52">
        <w:rPr>
          <w:szCs w:val="22"/>
          <w:lang w:val="lt-LT"/>
        </w:rPr>
        <w:t>KR</w:t>
      </w:r>
      <w:r w:rsidRPr="00CD7E52">
        <w:rPr>
          <w:szCs w:val="22"/>
          <w:lang w:val="lt-LT"/>
        </w:rPr>
        <w:t xml:space="preserve"> </w:t>
      </w:r>
      <w:r w:rsidR="004B4124" w:rsidRPr="00CD7E52">
        <w:rPr>
          <w:szCs w:val="22"/>
          <w:lang w:val="lt-LT"/>
        </w:rPr>
        <w:t xml:space="preserve">20/50/70 </w:t>
      </w:r>
      <w:r w:rsidR="004B4124" w:rsidRPr="00CD7E52">
        <w:rPr>
          <w:snapToGrid/>
          <w:szCs w:val="22"/>
          <w:lang w:val="lt-LT"/>
        </w:rPr>
        <w:t>atsak</w:t>
      </w:r>
      <w:r w:rsidRPr="00CD7E52">
        <w:rPr>
          <w:snapToGrid/>
          <w:szCs w:val="22"/>
          <w:lang w:val="lt-LT"/>
        </w:rPr>
        <w:t>o dažnis</w:t>
      </w:r>
      <w:r w:rsidR="004B4124" w:rsidRPr="00CD7E52">
        <w:rPr>
          <w:szCs w:val="22"/>
          <w:lang w:val="lt-LT"/>
        </w:rPr>
        <w:t xml:space="preserve"> 52</w:t>
      </w:r>
      <w:r w:rsidR="00C65C08" w:rsidRPr="00CD7E52">
        <w:rPr>
          <w:szCs w:val="22"/>
          <w:lang w:val="lt-LT"/>
        </w:rPr>
        <w:t> savai</w:t>
      </w:r>
      <w:r w:rsidR="004B4124" w:rsidRPr="00CD7E52">
        <w:rPr>
          <w:szCs w:val="22"/>
          <w:lang w:val="lt-LT"/>
        </w:rPr>
        <w:t>tę buvo atitinkamai 57</w:t>
      </w:r>
      <w:r w:rsidR="009F17E0" w:rsidRPr="00CD7E52">
        <w:rPr>
          <w:szCs w:val="22"/>
          <w:lang w:val="lt-LT"/>
        </w:rPr>
        <w:t> %</w:t>
      </w:r>
      <w:r w:rsidR="004B4124" w:rsidRPr="00CD7E52">
        <w:rPr>
          <w:szCs w:val="22"/>
          <w:lang w:val="lt-LT"/>
        </w:rPr>
        <w:t>, 25</w:t>
      </w:r>
      <w:r w:rsidR="009F17E0" w:rsidRPr="00CD7E52">
        <w:rPr>
          <w:szCs w:val="22"/>
          <w:lang w:val="lt-LT"/>
        </w:rPr>
        <w:t> %</w:t>
      </w:r>
      <w:r w:rsidR="004B4124" w:rsidRPr="00CD7E52">
        <w:rPr>
          <w:szCs w:val="22"/>
          <w:lang w:val="lt-LT"/>
        </w:rPr>
        <w:t xml:space="preserve"> ir 11</w:t>
      </w:r>
      <w:r w:rsidR="009F17E0" w:rsidRPr="00CD7E52">
        <w:rPr>
          <w:szCs w:val="22"/>
          <w:lang w:val="lt-LT"/>
        </w:rPr>
        <w:t> %</w:t>
      </w:r>
      <w:r w:rsidR="004B4124" w:rsidRPr="00CD7E52">
        <w:rPr>
          <w:szCs w:val="22"/>
          <w:lang w:val="lt-LT"/>
        </w:rPr>
        <w:t xml:space="preserve">. </w:t>
      </w:r>
      <w:r w:rsidRPr="00CD7E52">
        <w:rPr>
          <w:snapToGrid/>
          <w:szCs w:val="22"/>
          <w:lang w:val="lt-LT"/>
        </w:rPr>
        <w:t>Iš</w:t>
      </w:r>
      <w:r w:rsidR="004B4124" w:rsidRPr="00CD7E52">
        <w:rPr>
          <w:szCs w:val="22"/>
          <w:lang w:val="lt-LT"/>
        </w:rPr>
        <w:t xml:space="preserve"> 497</w:t>
      </w:r>
      <w:r w:rsidRPr="00CD7E52">
        <w:rPr>
          <w:szCs w:val="22"/>
          <w:lang w:val="lt-LT"/>
        </w:rPr>
        <w:t> </w:t>
      </w:r>
      <w:r w:rsidR="004B4124" w:rsidRPr="00CD7E52">
        <w:rPr>
          <w:szCs w:val="22"/>
          <w:lang w:val="lt-LT"/>
        </w:rPr>
        <w:t xml:space="preserve">pacientų, </w:t>
      </w:r>
      <w:r w:rsidR="004B4124" w:rsidRPr="00CD7E52">
        <w:rPr>
          <w:snapToGrid/>
          <w:szCs w:val="22"/>
          <w:lang w:val="lt-LT"/>
        </w:rPr>
        <w:t>kurie</w:t>
      </w:r>
      <w:r w:rsidR="004B4124" w:rsidRPr="00CD7E52">
        <w:rPr>
          <w:szCs w:val="22"/>
          <w:lang w:val="lt-LT"/>
        </w:rPr>
        <w:t xml:space="preserve"> iš pradžių</w:t>
      </w:r>
      <w:r w:rsidRPr="00CD7E52">
        <w:rPr>
          <w:szCs w:val="22"/>
          <w:lang w:val="lt-LT"/>
        </w:rPr>
        <w:t xml:space="preserve"> </w:t>
      </w:r>
      <w:r w:rsidR="009132F1" w:rsidRPr="00CD7E52">
        <w:rPr>
          <w:szCs w:val="22"/>
          <w:lang w:val="lt-LT"/>
        </w:rPr>
        <w:t xml:space="preserve">buvo </w:t>
      </w:r>
      <w:r w:rsidR="009132F1" w:rsidRPr="00CD7E52">
        <w:rPr>
          <w:snapToGrid/>
          <w:szCs w:val="22"/>
          <w:lang w:val="lt-LT"/>
        </w:rPr>
        <w:t>atsitiktinai priskirti</w:t>
      </w:r>
      <w:r w:rsidR="004B4124" w:rsidRPr="00CD7E52">
        <w:rPr>
          <w:szCs w:val="22"/>
          <w:lang w:val="lt-LT"/>
        </w:rPr>
        <w:t xml:space="preserve"> vartoti 30</w:t>
      </w:r>
      <w:r w:rsidR="00A87582" w:rsidRPr="00CD7E52">
        <w:rPr>
          <w:szCs w:val="22"/>
          <w:lang w:val="lt-LT"/>
        </w:rPr>
        <w:t> mg</w:t>
      </w:r>
      <w:r w:rsidR="004B4124" w:rsidRPr="00CD7E52">
        <w:rPr>
          <w:szCs w:val="22"/>
          <w:lang w:val="lt-LT"/>
        </w:rPr>
        <w:t xml:space="preserve"> apremilasto du kartus per parą, 375 (75</w:t>
      </w:r>
      <w:r w:rsidR="009F17E0" w:rsidRPr="00CD7E52">
        <w:rPr>
          <w:szCs w:val="22"/>
          <w:lang w:val="lt-LT"/>
        </w:rPr>
        <w:t> %</w:t>
      </w:r>
      <w:r w:rsidR="004B4124" w:rsidRPr="00CD7E52">
        <w:rPr>
          <w:szCs w:val="22"/>
          <w:lang w:val="lt-LT"/>
        </w:rPr>
        <w:t>) pacientai buvo</w:t>
      </w:r>
      <w:r w:rsidRPr="00CD7E52">
        <w:rPr>
          <w:szCs w:val="22"/>
          <w:lang w:val="lt-LT"/>
        </w:rPr>
        <w:t xml:space="preserve"> </w:t>
      </w:r>
      <w:r w:rsidR="004B4124" w:rsidRPr="00CD7E52">
        <w:rPr>
          <w:szCs w:val="22"/>
          <w:lang w:val="lt-LT"/>
        </w:rPr>
        <w:t>įtraukti į ilgalaikius tęstinius tyrimus, iš jų 221</w:t>
      </w:r>
      <w:r w:rsidRPr="00CD7E52">
        <w:rPr>
          <w:szCs w:val="22"/>
          <w:lang w:val="lt-LT"/>
        </w:rPr>
        <w:t> </w:t>
      </w:r>
      <w:r w:rsidR="004B4124" w:rsidRPr="00CD7E52">
        <w:rPr>
          <w:szCs w:val="22"/>
          <w:lang w:val="lt-LT"/>
        </w:rPr>
        <w:t>pacientui (59</w:t>
      </w:r>
      <w:r w:rsidR="009F17E0" w:rsidRPr="00CD7E52">
        <w:rPr>
          <w:szCs w:val="22"/>
          <w:lang w:val="lt-LT"/>
        </w:rPr>
        <w:t> %</w:t>
      </w:r>
      <w:r w:rsidR="004B4124" w:rsidRPr="00CD7E52">
        <w:rPr>
          <w:szCs w:val="22"/>
          <w:lang w:val="lt-LT"/>
        </w:rPr>
        <w:t xml:space="preserve">) </w:t>
      </w:r>
      <w:r w:rsidRPr="00CD7E52">
        <w:rPr>
          <w:snapToGrid/>
          <w:szCs w:val="22"/>
          <w:lang w:val="lt-LT"/>
        </w:rPr>
        <w:t>toks</w:t>
      </w:r>
      <w:r w:rsidR="004B4124" w:rsidRPr="00CD7E52">
        <w:rPr>
          <w:szCs w:val="22"/>
          <w:lang w:val="lt-LT"/>
        </w:rPr>
        <w:t xml:space="preserve"> gydymas vis dar buvo taikomas</w:t>
      </w:r>
      <w:r w:rsidRPr="00CD7E52">
        <w:rPr>
          <w:szCs w:val="22"/>
          <w:lang w:val="lt-LT"/>
        </w:rPr>
        <w:t xml:space="preserve"> </w:t>
      </w:r>
      <w:r w:rsidR="004B4124" w:rsidRPr="00CD7E52">
        <w:rPr>
          <w:szCs w:val="22"/>
          <w:lang w:val="lt-LT"/>
        </w:rPr>
        <w:t>260</w:t>
      </w:r>
      <w:r w:rsidR="00C65C08" w:rsidRPr="00CD7E52">
        <w:rPr>
          <w:szCs w:val="22"/>
          <w:lang w:val="lt-LT"/>
        </w:rPr>
        <w:t> savai</w:t>
      </w:r>
      <w:r w:rsidR="004B4124" w:rsidRPr="00CD7E52">
        <w:rPr>
          <w:szCs w:val="22"/>
          <w:lang w:val="lt-LT"/>
        </w:rPr>
        <w:t xml:space="preserve">tę. Ilgalaikių atvirųjų tęstinių tyrimų metu </w:t>
      </w:r>
      <w:r w:rsidR="006E6907" w:rsidRPr="00CD7E52">
        <w:rPr>
          <w:szCs w:val="22"/>
          <w:lang w:val="lt-LT"/>
        </w:rPr>
        <w:t>A</w:t>
      </w:r>
      <w:r w:rsidR="00C45B13" w:rsidRPr="00CD7E52">
        <w:rPr>
          <w:szCs w:val="22"/>
          <w:lang w:val="lt-LT"/>
        </w:rPr>
        <w:t>RK</w:t>
      </w:r>
      <w:r w:rsidR="004B4124" w:rsidRPr="00CD7E52">
        <w:rPr>
          <w:szCs w:val="22"/>
          <w:lang w:val="lt-LT"/>
        </w:rPr>
        <w:t xml:space="preserve"> atsakas išliko iki 5</w:t>
      </w:r>
      <w:r w:rsidRPr="00CD7E52">
        <w:rPr>
          <w:szCs w:val="22"/>
          <w:lang w:val="lt-LT"/>
        </w:rPr>
        <w:t> </w:t>
      </w:r>
      <w:r w:rsidR="004B4124" w:rsidRPr="00CD7E52">
        <w:rPr>
          <w:szCs w:val="22"/>
          <w:lang w:val="lt-LT"/>
        </w:rPr>
        <w:t>metų.</w:t>
      </w:r>
    </w:p>
    <w:p w14:paraId="7A275624" w14:textId="77777777" w:rsidR="00D20952" w:rsidRPr="00CD7E52" w:rsidRDefault="00D20952" w:rsidP="00BD0220">
      <w:pPr>
        <w:widowControl w:val="0"/>
        <w:tabs>
          <w:tab w:val="clear" w:pos="567"/>
        </w:tabs>
        <w:autoSpaceDE w:val="0"/>
        <w:autoSpaceDN w:val="0"/>
        <w:adjustRightInd w:val="0"/>
        <w:spacing w:line="240" w:lineRule="auto"/>
        <w:rPr>
          <w:szCs w:val="22"/>
          <w:lang w:val="lt-LT"/>
        </w:rPr>
      </w:pPr>
    </w:p>
    <w:p w14:paraId="5220A7DA" w14:textId="77777777" w:rsidR="004B4124" w:rsidRPr="00CD7E52" w:rsidRDefault="004B4124" w:rsidP="00DB2543">
      <w:pPr>
        <w:keepNext/>
        <w:keepLines/>
        <w:widowControl w:val="0"/>
        <w:tabs>
          <w:tab w:val="clear" w:pos="567"/>
        </w:tabs>
        <w:autoSpaceDE w:val="0"/>
        <w:autoSpaceDN w:val="0"/>
        <w:adjustRightInd w:val="0"/>
        <w:spacing w:line="240" w:lineRule="auto"/>
        <w:rPr>
          <w:szCs w:val="22"/>
          <w:lang w:val="lt-LT"/>
        </w:rPr>
      </w:pPr>
      <w:r w:rsidRPr="00CD7E52">
        <w:rPr>
          <w:szCs w:val="22"/>
          <w:lang w:val="lt-LT"/>
        </w:rPr>
        <w:t xml:space="preserve">Atsakas, nustatytas apremilastu </w:t>
      </w:r>
      <w:r w:rsidRPr="00CD7E52">
        <w:rPr>
          <w:snapToGrid/>
          <w:szCs w:val="22"/>
          <w:lang w:val="lt-LT"/>
        </w:rPr>
        <w:t>gydy</w:t>
      </w:r>
      <w:r w:rsidR="00D20952" w:rsidRPr="00CD7E52">
        <w:rPr>
          <w:snapToGrid/>
          <w:szCs w:val="22"/>
          <w:lang w:val="lt-LT"/>
        </w:rPr>
        <w:t>tų pacientų</w:t>
      </w:r>
      <w:r w:rsidRPr="00CD7E52">
        <w:rPr>
          <w:szCs w:val="22"/>
          <w:lang w:val="lt-LT"/>
        </w:rPr>
        <w:t xml:space="preserve"> grupėje, buvo panašus pacientams, </w:t>
      </w:r>
      <w:r w:rsidR="00D20952" w:rsidRPr="00CD7E52">
        <w:rPr>
          <w:snapToGrid/>
          <w:szCs w:val="22"/>
          <w:lang w:val="lt-LT"/>
        </w:rPr>
        <w:t xml:space="preserve">kurie tuo pat metu vartojo </w:t>
      </w:r>
      <w:r w:rsidRPr="00CD7E52">
        <w:rPr>
          <w:szCs w:val="22"/>
          <w:lang w:val="lt-LT"/>
        </w:rPr>
        <w:t>LEMVNR, įskaitant MTX</w:t>
      </w:r>
      <w:r w:rsidR="00D20952" w:rsidRPr="00CD7E52">
        <w:rPr>
          <w:snapToGrid/>
          <w:szCs w:val="22"/>
          <w:lang w:val="lt-LT"/>
        </w:rPr>
        <w:t>, bei kurie jų nevartojo</w:t>
      </w:r>
      <w:r w:rsidRPr="00CD7E52">
        <w:rPr>
          <w:snapToGrid/>
          <w:szCs w:val="22"/>
          <w:lang w:val="lt-LT"/>
        </w:rPr>
        <w:t>.</w:t>
      </w:r>
      <w:r w:rsidR="00D20952" w:rsidRPr="00CD7E52">
        <w:rPr>
          <w:snapToGrid/>
          <w:szCs w:val="22"/>
          <w:lang w:val="lt-LT"/>
        </w:rPr>
        <w:t xml:space="preserve"> Anksčiau</w:t>
      </w:r>
      <w:r w:rsidRPr="00CD7E52">
        <w:rPr>
          <w:snapToGrid/>
          <w:szCs w:val="22"/>
          <w:lang w:val="lt-LT"/>
        </w:rPr>
        <w:t xml:space="preserve"> </w:t>
      </w:r>
      <w:r w:rsidRPr="00CD7E52">
        <w:rPr>
          <w:szCs w:val="22"/>
          <w:lang w:val="lt-LT"/>
        </w:rPr>
        <w:t>LEMVNR arba biologiniais</w:t>
      </w:r>
      <w:r w:rsidR="00D20952" w:rsidRPr="00CD7E52">
        <w:rPr>
          <w:szCs w:val="22"/>
          <w:lang w:val="lt-LT"/>
        </w:rPr>
        <w:t xml:space="preserve"> </w:t>
      </w:r>
      <w:r w:rsidR="00D20952" w:rsidRPr="00CD7E52">
        <w:rPr>
          <w:snapToGrid/>
          <w:szCs w:val="22"/>
          <w:lang w:val="lt-LT"/>
        </w:rPr>
        <w:t xml:space="preserve">vaistiniais </w:t>
      </w:r>
      <w:r w:rsidRPr="00CD7E52">
        <w:rPr>
          <w:szCs w:val="22"/>
          <w:lang w:val="lt-LT"/>
        </w:rPr>
        <w:t>preparatais</w:t>
      </w:r>
      <w:r w:rsidR="00D20952" w:rsidRPr="00CD7E52">
        <w:rPr>
          <w:snapToGrid/>
          <w:szCs w:val="22"/>
          <w:lang w:val="lt-LT"/>
        </w:rPr>
        <w:t xml:space="preserve"> gydytiems pacientams</w:t>
      </w:r>
      <w:r w:rsidRPr="00CD7E52">
        <w:rPr>
          <w:szCs w:val="22"/>
          <w:lang w:val="lt-LT"/>
        </w:rPr>
        <w:t>, kurie vartojo apremilast</w:t>
      </w:r>
      <w:r w:rsidR="007275A4" w:rsidRPr="00CD7E52">
        <w:rPr>
          <w:szCs w:val="22"/>
          <w:lang w:val="lt-LT"/>
        </w:rPr>
        <w:t>o</w:t>
      </w:r>
      <w:r w:rsidRPr="00CD7E52">
        <w:rPr>
          <w:szCs w:val="22"/>
          <w:lang w:val="lt-LT"/>
        </w:rPr>
        <w:t xml:space="preserve">, </w:t>
      </w:r>
      <w:r w:rsidR="006E6907" w:rsidRPr="00CD7E52">
        <w:rPr>
          <w:szCs w:val="22"/>
          <w:lang w:val="lt-LT"/>
        </w:rPr>
        <w:t>A</w:t>
      </w:r>
      <w:r w:rsidR="007275A4" w:rsidRPr="00CD7E52">
        <w:rPr>
          <w:szCs w:val="22"/>
          <w:lang w:val="lt-LT"/>
        </w:rPr>
        <w:t>RK</w:t>
      </w:r>
      <w:r w:rsidR="00BD30CA" w:rsidRPr="00CD7E52">
        <w:rPr>
          <w:snapToGrid/>
          <w:szCs w:val="22"/>
          <w:lang w:val="lt-LT"/>
        </w:rPr>
        <w:t> </w:t>
      </w:r>
      <w:r w:rsidR="00BD30CA" w:rsidRPr="00CD7E52">
        <w:rPr>
          <w:szCs w:val="22"/>
          <w:lang w:val="lt-LT"/>
        </w:rPr>
        <w:t>2</w:t>
      </w:r>
      <w:r w:rsidRPr="00CD7E52">
        <w:rPr>
          <w:szCs w:val="22"/>
          <w:lang w:val="lt-LT"/>
        </w:rPr>
        <w:t>0 atsakas 16</w:t>
      </w:r>
      <w:r w:rsidR="00C65C08" w:rsidRPr="00CD7E52">
        <w:rPr>
          <w:szCs w:val="22"/>
          <w:lang w:val="lt-LT"/>
        </w:rPr>
        <w:t> savai</w:t>
      </w:r>
      <w:r w:rsidRPr="00CD7E52">
        <w:rPr>
          <w:szCs w:val="22"/>
          <w:lang w:val="lt-LT"/>
        </w:rPr>
        <w:t>tę buvo didesnis nei pacientams, vartojusiems</w:t>
      </w:r>
      <w:r w:rsidR="00D20952" w:rsidRPr="00CD7E52">
        <w:rPr>
          <w:szCs w:val="22"/>
          <w:lang w:val="lt-LT"/>
        </w:rPr>
        <w:t xml:space="preserve"> </w:t>
      </w:r>
      <w:r w:rsidRPr="00CD7E52">
        <w:rPr>
          <w:szCs w:val="22"/>
          <w:lang w:val="lt-LT"/>
        </w:rPr>
        <w:t>placeb</w:t>
      </w:r>
      <w:r w:rsidR="009B4FDC" w:rsidRPr="00CD7E52">
        <w:rPr>
          <w:szCs w:val="22"/>
          <w:lang w:val="lt-LT"/>
        </w:rPr>
        <w:t>o</w:t>
      </w:r>
      <w:r w:rsidRPr="00CD7E52">
        <w:rPr>
          <w:szCs w:val="22"/>
          <w:lang w:val="lt-LT"/>
        </w:rPr>
        <w:t>.</w:t>
      </w:r>
    </w:p>
    <w:p w14:paraId="49D42AF0" w14:textId="77777777" w:rsidR="00D20952" w:rsidRPr="00CD7E52" w:rsidRDefault="00D20952" w:rsidP="00BD0220">
      <w:pPr>
        <w:widowControl w:val="0"/>
        <w:tabs>
          <w:tab w:val="clear" w:pos="567"/>
        </w:tabs>
        <w:autoSpaceDE w:val="0"/>
        <w:autoSpaceDN w:val="0"/>
        <w:adjustRightInd w:val="0"/>
        <w:spacing w:line="240" w:lineRule="auto"/>
        <w:rPr>
          <w:szCs w:val="22"/>
          <w:lang w:val="lt-LT"/>
        </w:rPr>
      </w:pPr>
    </w:p>
    <w:p w14:paraId="6B8023BC"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Panašus </w:t>
      </w:r>
      <w:r w:rsidR="006E6907" w:rsidRPr="00CD7E52">
        <w:rPr>
          <w:szCs w:val="22"/>
          <w:lang w:val="lt-LT"/>
        </w:rPr>
        <w:t>A</w:t>
      </w:r>
      <w:r w:rsidR="009B4FDC" w:rsidRPr="00CD7E52">
        <w:rPr>
          <w:szCs w:val="22"/>
          <w:lang w:val="lt-LT"/>
        </w:rPr>
        <w:t>RK</w:t>
      </w:r>
      <w:r w:rsidRPr="00CD7E52">
        <w:rPr>
          <w:szCs w:val="22"/>
          <w:lang w:val="lt-LT"/>
        </w:rPr>
        <w:t xml:space="preserve"> atsakas nustatytas pacientams, sergantiems skirtingų potipių PsA, įskaitant distalinį</w:t>
      </w:r>
      <w:r w:rsidR="00D20952" w:rsidRPr="00CD7E52">
        <w:rPr>
          <w:szCs w:val="22"/>
          <w:lang w:val="lt-LT"/>
        </w:rPr>
        <w:t xml:space="preserve"> </w:t>
      </w:r>
      <w:r w:rsidRPr="00CD7E52">
        <w:rPr>
          <w:szCs w:val="22"/>
          <w:lang w:val="lt-LT"/>
        </w:rPr>
        <w:t xml:space="preserve">interfalanginį poliartritą (DIP). Pacientų, sergančių </w:t>
      </w:r>
      <w:r w:rsidR="009B4FDC" w:rsidRPr="00CD7E52">
        <w:rPr>
          <w:szCs w:val="22"/>
          <w:lang w:val="lt-LT"/>
        </w:rPr>
        <w:t xml:space="preserve">luošinančio </w:t>
      </w:r>
      <w:r w:rsidRPr="00CD7E52">
        <w:rPr>
          <w:szCs w:val="22"/>
          <w:lang w:val="lt-LT"/>
        </w:rPr>
        <w:t xml:space="preserve">artrito ir </w:t>
      </w:r>
      <w:r w:rsidR="00D20952" w:rsidRPr="00CD7E52">
        <w:rPr>
          <w:snapToGrid/>
          <w:szCs w:val="22"/>
          <w:lang w:val="lt-LT"/>
        </w:rPr>
        <w:t>dominuojančio</w:t>
      </w:r>
      <w:r w:rsidRPr="00CD7E52">
        <w:rPr>
          <w:szCs w:val="22"/>
          <w:lang w:val="lt-LT"/>
        </w:rPr>
        <w:t xml:space="preserve"> spondilito potipiais,</w:t>
      </w:r>
      <w:r w:rsidR="00D20952" w:rsidRPr="00CD7E52">
        <w:rPr>
          <w:szCs w:val="22"/>
          <w:lang w:val="lt-LT"/>
        </w:rPr>
        <w:t xml:space="preserve"> </w:t>
      </w:r>
      <w:r w:rsidRPr="00CD7E52">
        <w:rPr>
          <w:szCs w:val="22"/>
          <w:lang w:val="lt-LT"/>
        </w:rPr>
        <w:t>skaičius buvo per mažas, kad būtų galima atlikti reikšmingą įvertinimą.</w:t>
      </w:r>
    </w:p>
    <w:p w14:paraId="2DE7C860" w14:textId="77777777" w:rsidR="00D20952" w:rsidRPr="00CD7E52" w:rsidRDefault="00D20952" w:rsidP="00BD0220">
      <w:pPr>
        <w:widowControl w:val="0"/>
        <w:tabs>
          <w:tab w:val="clear" w:pos="567"/>
        </w:tabs>
        <w:autoSpaceDE w:val="0"/>
        <w:autoSpaceDN w:val="0"/>
        <w:adjustRightInd w:val="0"/>
        <w:spacing w:line="240" w:lineRule="auto"/>
        <w:rPr>
          <w:szCs w:val="22"/>
          <w:lang w:val="lt-LT"/>
        </w:rPr>
      </w:pPr>
    </w:p>
    <w:p w14:paraId="2FFEE610"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Atliekant tyrimus PALAC</w:t>
      </w:r>
      <w:r w:rsidR="00BD30CA" w:rsidRPr="00CD7E52">
        <w:rPr>
          <w:szCs w:val="22"/>
          <w:lang w:val="lt-LT"/>
        </w:rPr>
        <w:t>E</w:t>
      </w:r>
      <w:r w:rsidR="00BD30CA" w:rsidRPr="00CD7E52">
        <w:rPr>
          <w:snapToGrid/>
          <w:szCs w:val="22"/>
          <w:lang w:val="lt-LT"/>
        </w:rPr>
        <w:t> </w:t>
      </w:r>
      <w:r w:rsidR="00BD30CA" w:rsidRPr="00CD7E52">
        <w:rPr>
          <w:szCs w:val="22"/>
          <w:lang w:val="lt-LT"/>
        </w:rPr>
        <w:t>1</w:t>
      </w:r>
      <w:r w:rsidRPr="00CD7E52">
        <w:rPr>
          <w:szCs w:val="22"/>
          <w:lang w:val="lt-LT"/>
        </w:rPr>
        <w:t>, PALAC</w:t>
      </w:r>
      <w:r w:rsidR="00BD30CA" w:rsidRPr="00CD7E52">
        <w:rPr>
          <w:szCs w:val="22"/>
          <w:lang w:val="lt-LT"/>
        </w:rPr>
        <w:t>E</w:t>
      </w:r>
      <w:r w:rsidR="00BD30CA" w:rsidRPr="00CD7E52">
        <w:rPr>
          <w:snapToGrid/>
          <w:szCs w:val="22"/>
          <w:lang w:val="lt-LT"/>
        </w:rPr>
        <w:t> </w:t>
      </w:r>
      <w:r w:rsidR="00BD30CA" w:rsidRPr="00CD7E52">
        <w:rPr>
          <w:szCs w:val="22"/>
          <w:lang w:val="lt-LT"/>
        </w:rPr>
        <w:t>2</w:t>
      </w:r>
      <w:r w:rsidRPr="00CD7E52">
        <w:rPr>
          <w:szCs w:val="22"/>
          <w:lang w:val="lt-LT"/>
        </w:rPr>
        <w:t xml:space="preserve"> bei PALAC</w:t>
      </w:r>
      <w:r w:rsidR="00BD30CA" w:rsidRPr="00CD7E52">
        <w:rPr>
          <w:szCs w:val="22"/>
          <w:lang w:val="lt-LT"/>
        </w:rPr>
        <w:t>E</w:t>
      </w:r>
      <w:r w:rsidR="00BD30CA" w:rsidRPr="00CD7E52">
        <w:rPr>
          <w:snapToGrid/>
          <w:szCs w:val="22"/>
          <w:lang w:val="lt-LT"/>
        </w:rPr>
        <w:t> </w:t>
      </w:r>
      <w:r w:rsidR="00BD30CA" w:rsidRPr="00CD7E52">
        <w:rPr>
          <w:szCs w:val="22"/>
          <w:lang w:val="lt-LT"/>
        </w:rPr>
        <w:t>3</w:t>
      </w:r>
      <w:r w:rsidRPr="00CD7E52">
        <w:rPr>
          <w:szCs w:val="22"/>
          <w:lang w:val="lt-LT"/>
        </w:rPr>
        <w:t>, 16</w:t>
      </w:r>
      <w:r w:rsidR="00C65C08" w:rsidRPr="00CD7E52">
        <w:rPr>
          <w:szCs w:val="22"/>
          <w:lang w:val="lt-LT"/>
        </w:rPr>
        <w:t> savai</w:t>
      </w:r>
      <w:r w:rsidRPr="00CD7E52">
        <w:rPr>
          <w:szCs w:val="22"/>
          <w:lang w:val="lt-LT"/>
        </w:rPr>
        <w:t>tę nustatytas ligos aktyvumo indekso</w:t>
      </w:r>
      <w:r w:rsidR="00D20952" w:rsidRPr="00CD7E52">
        <w:rPr>
          <w:szCs w:val="22"/>
          <w:lang w:val="lt-LT"/>
        </w:rPr>
        <w:t xml:space="preserve"> </w:t>
      </w:r>
      <w:r w:rsidRPr="00CD7E52">
        <w:rPr>
          <w:szCs w:val="22"/>
          <w:lang w:val="lt-LT"/>
        </w:rPr>
        <w:t xml:space="preserve">(angl. </w:t>
      </w:r>
      <w:r w:rsidRPr="00CD7E52">
        <w:rPr>
          <w:i/>
          <w:szCs w:val="22"/>
          <w:lang w:val="lt-LT"/>
        </w:rPr>
        <w:t>Disease Activity Scale</w:t>
      </w:r>
      <w:r w:rsidRPr="00CD7E52">
        <w:rPr>
          <w:szCs w:val="22"/>
          <w:lang w:val="lt-LT"/>
        </w:rPr>
        <w:t xml:space="preserve">, DAS) 28 </w:t>
      </w:r>
      <w:r w:rsidR="00D20952" w:rsidRPr="00CD7E52">
        <w:rPr>
          <w:snapToGrid/>
          <w:szCs w:val="22"/>
          <w:lang w:val="lt-LT"/>
        </w:rPr>
        <w:t>(</w:t>
      </w:r>
      <w:r w:rsidRPr="00CD7E52">
        <w:rPr>
          <w:szCs w:val="22"/>
          <w:lang w:val="lt-LT"/>
        </w:rPr>
        <w:t xml:space="preserve">C </w:t>
      </w:r>
      <w:r w:rsidRPr="00CD7E52">
        <w:rPr>
          <w:snapToGrid/>
          <w:szCs w:val="22"/>
          <w:lang w:val="lt-LT"/>
        </w:rPr>
        <w:t>reaktyv</w:t>
      </w:r>
      <w:r w:rsidR="00D20952" w:rsidRPr="00CD7E52">
        <w:rPr>
          <w:snapToGrid/>
          <w:szCs w:val="22"/>
          <w:lang w:val="lt-LT"/>
        </w:rPr>
        <w:t>usis</w:t>
      </w:r>
      <w:r w:rsidRPr="00CD7E52">
        <w:rPr>
          <w:snapToGrid/>
          <w:szCs w:val="22"/>
          <w:lang w:val="lt-LT"/>
        </w:rPr>
        <w:t xml:space="preserve"> baltym</w:t>
      </w:r>
      <w:r w:rsidR="00D20952" w:rsidRPr="00CD7E52">
        <w:rPr>
          <w:snapToGrid/>
          <w:szCs w:val="22"/>
          <w:lang w:val="lt-LT"/>
        </w:rPr>
        <w:t>as</w:t>
      </w:r>
      <w:r w:rsidRPr="00CD7E52">
        <w:rPr>
          <w:szCs w:val="22"/>
          <w:lang w:val="lt-LT"/>
        </w:rPr>
        <w:t xml:space="preserve"> (CRB</w:t>
      </w:r>
      <w:r w:rsidR="00D20952" w:rsidRPr="00CD7E52">
        <w:rPr>
          <w:snapToGrid/>
          <w:szCs w:val="22"/>
          <w:lang w:val="lt-LT"/>
        </w:rPr>
        <w:t>)</w:t>
      </w:r>
      <w:r w:rsidRPr="00CD7E52">
        <w:rPr>
          <w:snapToGrid/>
          <w:szCs w:val="22"/>
          <w:lang w:val="lt-LT"/>
        </w:rPr>
        <w:t xml:space="preserve">) </w:t>
      </w:r>
      <w:r w:rsidR="00D20952" w:rsidRPr="00CD7E52">
        <w:rPr>
          <w:snapToGrid/>
          <w:szCs w:val="22"/>
          <w:lang w:val="lt-LT"/>
        </w:rPr>
        <w:t>pagerėjimo</w:t>
      </w:r>
      <w:r w:rsidR="00D20952" w:rsidRPr="00CD7E52">
        <w:rPr>
          <w:szCs w:val="22"/>
          <w:lang w:val="lt-LT"/>
        </w:rPr>
        <w:t xml:space="preserve"> </w:t>
      </w:r>
      <w:r w:rsidRPr="00CD7E52">
        <w:rPr>
          <w:szCs w:val="22"/>
          <w:lang w:val="lt-LT"/>
        </w:rPr>
        <w:t>ir pacientų, atitikusių</w:t>
      </w:r>
      <w:r w:rsidR="00D20952" w:rsidRPr="00CD7E52">
        <w:rPr>
          <w:szCs w:val="22"/>
          <w:lang w:val="lt-LT"/>
        </w:rPr>
        <w:t xml:space="preserve"> </w:t>
      </w:r>
      <w:r w:rsidRPr="00CD7E52">
        <w:rPr>
          <w:szCs w:val="22"/>
          <w:lang w:val="lt-LT"/>
        </w:rPr>
        <w:t>modifikuoto PsA atsako kriterijus (PsAAK), dalis apremilasto grupėje buvo didesnė nei placebo grupėje</w:t>
      </w:r>
      <w:r w:rsidR="00D20952" w:rsidRPr="00CD7E52">
        <w:rPr>
          <w:szCs w:val="22"/>
          <w:lang w:val="lt-LT"/>
        </w:rPr>
        <w:t xml:space="preserve"> </w:t>
      </w:r>
      <w:r w:rsidRPr="00CD7E52">
        <w:rPr>
          <w:szCs w:val="22"/>
          <w:lang w:val="lt-LT"/>
        </w:rPr>
        <w:t>(atitinkamai nominali p vertė</w:t>
      </w:r>
      <w:r w:rsidR="00D20952" w:rsidRPr="00CD7E52">
        <w:rPr>
          <w:szCs w:val="22"/>
          <w:lang w:val="lt-LT"/>
        </w:rPr>
        <w:t xml:space="preserve"> </w:t>
      </w:r>
      <w:r w:rsidRPr="00CD7E52">
        <w:rPr>
          <w:szCs w:val="22"/>
          <w:lang w:val="lt-LT"/>
        </w:rPr>
        <w:t>p</w:t>
      </w:r>
      <w:r w:rsidRPr="00CD7E52">
        <w:rPr>
          <w:snapToGrid/>
          <w:szCs w:val="22"/>
          <w:lang w:val="lt-LT"/>
        </w:rPr>
        <w:t xml:space="preserve"> </w:t>
      </w:r>
      <w:r w:rsidR="00D20952" w:rsidRPr="00CD7E52">
        <w:rPr>
          <w:snapToGrid/>
          <w:szCs w:val="22"/>
          <w:lang w:val="lt-LT"/>
        </w:rPr>
        <w:t>&lt;</w:t>
      </w:r>
      <w:r w:rsidR="00D20952" w:rsidRPr="00CD7E52">
        <w:rPr>
          <w:szCs w:val="22"/>
          <w:lang w:val="lt-LT"/>
        </w:rPr>
        <w:t> </w:t>
      </w:r>
      <w:r w:rsidRPr="00CD7E52">
        <w:rPr>
          <w:szCs w:val="22"/>
          <w:lang w:val="lt-LT"/>
        </w:rPr>
        <w:t>0,0004, p</w:t>
      </w:r>
      <w:r w:rsidRPr="00CD7E52">
        <w:rPr>
          <w:snapToGrid/>
          <w:szCs w:val="22"/>
          <w:lang w:val="lt-LT"/>
        </w:rPr>
        <w:t xml:space="preserve"> </w:t>
      </w:r>
      <w:r w:rsidR="00D20952" w:rsidRPr="00CD7E52">
        <w:rPr>
          <w:snapToGrid/>
          <w:szCs w:val="22"/>
          <w:lang w:val="lt-LT"/>
        </w:rPr>
        <w:t>≤</w:t>
      </w:r>
      <w:r w:rsidR="00D20952" w:rsidRPr="00CD7E52">
        <w:rPr>
          <w:szCs w:val="22"/>
          <w:lang w:val="lt-LT"/>
        </w:rPr>
        <w:t> </w:t>
      </w:r>
      <w:r w:rsidRPr="00CD7E52">
        <w:rPr>
          <w:szCs w:val="22"/>
          <w:lang w:val="lt-LT"/>
        </w:rPr>
        <w:t>0,0017). Šis pagerėjimas išliko 24</w:t>
      </w:r>
      <w:r w:rsidR="00C65C08" w:rsidRPr="00CD7E52">
        <w:rPr>
          <w:szCs w:val="22"/>
          <w:lang w:val="lt-LT"/>
        </w:rPr>
        <w:t> savai</w:t>
      </w:r>
      <w:r w:rsidRPr="00CD7E52">
        <w:rPr>
          <w:szCs w:val="22"/>
          <w:lang w:val="lt-LT"/>
        </w:rPr>
        <w:t>tę. Pacientams, kurie</w:t>
      </w:r>
      <w:r w:rsidR="00D20952" w:rsidRPr="00CD7E52">
        <w:rPr>
          <w:szCs w:val="22"/>
          <w:lang w:val="lt-LT"/>
        </w:rPr>
        <w:t xml:space="preserve"> </w:t>
      </w:r>
      <w:r w:rsidR="009132F1" w:rsidRPr="00CD7E52">
        <w:rPr>
          <w:szCs w:val="22"/>
          <w:lang w:val="lt-LT"/>
        </w:rPr>
        <w:t xml:space="preserve">buvo </w:t>
      </w:r>
      <w:r w:rsidR="009132F1" w:rsidRPr="00CD7E52">
        <w:rPr>
          <w:snapToGrid/>
          <w:szCs w:val="22"/>
          <w:lang w:val="lt-LT"/>
        </w:rPr>
        <w:t>atsitiktinai priskirti</w:t>
      </w:r>
      <w:r w:rsidRPr="00CD7E52">
        <w:rPr>
          <w:szCs w:val="22"/>
          <w:lang w:val="lt-LT"/>
        </w:rPr>
        <w:t xml:space="preserve"> vartoti apremilast</w:t>
      </w:r>
      <w:r w:rsidR="000C34C1" w:rsidRPr="00CD7E52">
        <w:rPr>
          <w:szCs w:val="22"/>
          <w:lang w:val="lt-LT"/>
        </w:rPr>
        <w:t>o</w:t>
      </w:r>
      <w:r w:rsidRPr="00CD7E52">
        <w:rPr>
          <w:szCs w:val="22"/>
          <w:lang w:val="lt-LT"/>
        </w:rPr>
        <w:t xml:space="preserve"> nuo tyrimo pradžios ir toliau jį vartojo, DAS28</w:t>
      </w:r>
      <w:r w:rsidR="00D20952" w:rsidRPr="00CD7E52">
        <w:rPr>
          <w:szCs w:val="22"/>
          <w:lang w:val="lt-LT"/>
        </w:rPr>
        <w:t xml:space="preserve"> </w:t>
      </w:r>
      <w:r w:rsidRPr="00CD7E52">
        <w:rPr>
          <w:szCs w:val="22"/>
          <w:lang w:val="lt-LT"/>
        </w:rPr>
        <w:t xml:space="preserve">(CRB) </w:t>
      </w:r>
      <w:r w:rsidR="002A0CEF" w:rsidRPr="00CD7E52">
        <w:rPr>
          <w:szCs w:val="22"/>
          <w:lang w:val="lt-LT"/>
        </w:rPr>
        <w:t xml:space="preserve">ligos aktyvumo indeksas </w:t>
      </w:r>
      <w:r w:rsidRPr="00CD7E52">
        <w:rPr>
          <w:szCs w:val="22"/>
          <w:lang w:val="lt-LT"/>
        </w:rPr>
        <w:t>ir PsAAK atsakas išliko iki 52</w:t>
      </w:r>
      <w:r w:rsidR="00C65C08" w:rsidRPr="00CD7E52">
        <w:rPr>
          <w:szCs w:val="22"/>
          <w:lang w:val="lt-LT"/>
        </w:rPr>
        <w:t> savai</w:t>
      </w:r>
      <w:r w:rsidRPr="00CD7E52">
        <w:rPr>
          <w:szCs w:val="22"/>
          <w:lang w:val="lt-LT"/>
        </w:rPr>
        <w:t>tės.</w:t>
      </w:r>
    </w:p>
    <w:p w14:paraId="60CCCFD3" w14:textId="77777777" w:rsidR="00D20952" w:rsidRPr="00CD7E52" w:rsidRDefault="00D20952" w:rsidP="00BD0220">
      <w:pPr>
        <w:widowControl w:val="0"/>
        <w:tabs>
          <w:tab w:val="clear" w:pos="567"/>
        </w:tabs>
        <w:autoSpaceDE w:val="0"/>
        <w:autoSpaceDN w:val="0"/>
        <w:adjustRightInd w:val="0"/>
        <w:spacing w:line="240" w:lineRule="auto"/>
        <w:rPr>
          <w:szCs w:val="22"/>
          <w:lang w:val="lt-LT"/>
        </w:rPr>
      </w:pPr>
    </w:p>
    <w:p w14:paraId="2C4DAD97"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16 ir 24</w:t>
      </w:r>
      <w:r w:rsidR="00C65C08" w:rsidRPr="00CD7E52">
        <w:rPr>
          <w:szCs w:val="22"/>
          <w:lang w:val="lt-LT"/>
        </w:rPr>
        <w:t> savai</w:t>
      </w:r>
      <w:r w:rsidRPr="00CD7E52">
        <w:rPr>
          <w:szCs w:val="22"/>
          <w:lang w:val="lt-LT"/>
        </w:rPr>
        <w:t>tę apremilastu gydytiems pacientams nustatytas psoriazinio artrito periferinio aktyvumo</w:t>
      </w:r>
      <w:r w:rsidR="00FB23D2" w:rsidRPr="00CD7E52">
        <w:rPr>
          <w:szCs w:val="22"/>
          <w:lang w:val="lt-LT"/>
        </w:rPr>
        <w:t xml:space="preserve"> </w:t>
      </w:r>
      <w:r w:rsidRPr="00CD7E52">
        <w:rPr>
          <w:snapToGrid/>
          <w:szCs w:val="22"/>
          <w:lang w:val="lt-LT"/>
        </w:rPr>
        <w:t>charakteristik</w:t>
      </w:r>
      <w:r w:rsidR="00FB23D2" w:rsidRPr="00CD7E52">
        <w:rPr>
          <w:snapToGrid/>
          <w:szCs w:val="22"/>
          <w:lang w:val="lt-LT"/>
        </w:rPr>
        <w:t>ų</w:t>
      </w:r>
      <w:r w:rsidR="00FB23D2" w:rsidRPr="00CD7E52">
        <w:rPr>
          <w:szCs w:val="22"/>
          <w:lang w:val="lt-LT"/>
        </w:rPr>
        <w:t xml:space="preserve"> </w:t>
      </w:r>
      <w:r w:rsidRPr="00CD7E52">
        <w:rPr>
          <w:szCs w:val="22"/>
          <w:lang w:val="lt-LT"/>
        </w:rPr>
        <w:t>(pvz., patinusių sąnarių skaičiaus, skausmingų / jautrių sąnarių skaičiaus, daktilito</w:t>
      </w:r>
      <w:r w:rsidR="00FB23D2" w:rsidRPr="00CD7E52">
        <w:rPr>
          <w:szCs w:val="22"/>
          <w:lang w:val="lt-LT"/>
        </w:rPr>
        <w:t xml:space="preserve"> </w:t>
      </w:r>
      <w:r w:rsidRPr="00CD7E52">
        <w:rPr>
          <w:szCs w:val="22"/>
          <w:lang w:val="lt-LT"/>
        </w:rPr>
        <w:t xml:space="preserve">bei entezito) ir psoriazės pažeistos odos būklės pagerėjimas. Pacientams, kurie </w:t>
      </w:r>
      <w:r w:rsidR="009132F1" w:rsidRPr="00CD7E52">
        <w:rPr>
          <w:szCs w:val="22"/>
          <w:lang w:val="lt-LT"/>
        </w:rPr>
        <w:t xml:space="preserve">buvo </w:t>
      </w:r>
      <w:r w:rsidR="009132F1" w:rsidRPr="00CD7E52">
        <w:rPr>
          <w:snapToGrid/>
          <w:szCs w:val="22"/>
          <w:lang w:val="lt-LT"/>
        </w:rPr>
        <w:t>atsitiktinai priskirti</w:t>
      </w:r>
      <w:r w:rsidRPr="00CD7E52">
        <w:rPr>
          <w:szCs w:val="22"/>
          <w:lang w:val="lt-LT"/>
        </w:rPr>
        <w:t xml:space="preserve"> vartoti apremilast</w:t>
      </w:r>
      <w:r w:rsidR="00E55F4A" w:rsidRPr="00CD7E52">
        <w:rPr>
          <w:szCs w:val="22"/>
          <w:lang w:val="lt-LT"/>
        </w:rPr>
        <w:t>o</w:t>
      </w:r>
      <w:r w:rsidRPr="00CD7E52">
        <w:rPr>
          <w:szCs w:val="22"/>
          <w:lang w:val="lt-LT"/>
        </w:rPr>
        <w:t xml:space="preserve"> nuo tyrimo pradžios ir toliau jį vartojo, šis pagerėjimas išliko iki 52</w:t>
      </w:r>
      <w:r w:rsidR="00C65C08" w:rsidRPr="00CD7E52">
        <w:rPr>
          <w:szCs w:val="22"/>
          <w:lang w:val="lt-LT"/>
        </w:rPr>
        <w:t> savai</w:t>
      </w:r>
      <w:r w:rsidRPr="00CD7E52">
        <w:rPr>
          <w:szCs w:val="22"/>
          <w:lang w:val="lt-LT"/>
        </w:rPr>
        <w:t>tės.</w:t>
      </w:r>
    </w:p>
    <w:p w14:paraId="3B094ED3" w14:textId="77777777" w:rsidR="00FB23D2" w:rsidRPr="00CD7E52" w:rsidRDefault="00FB23D2" w:rsidP="00BD0220">
      <w:pPr>
        <w:widowControl w:val="0"/>
        <w:tabs>
          <w:tab w:val="clear" w:pos="567"/>
        </w:tabs>
        <w:autoSpaceDE w:val="0"/>
        <w:autoSpaceDN w:val="0"/>
        <w:adjustRightInd w:val="0"/>
        <w:spacing w:line="240" w:lineRule="auto"/>
        <w:rPr>
          <w:szCs w:val="22"/>
          <w:lang w:val="lt-LT"/>
        </w:rPr>
      </w:pPr>
    </w:p>
    <w:p w14:paraId="6F21CDBD"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Ilgalaikių atvirųjų tęstinių tyrimų metu klinikinis atsakas išliko, esant tiems patiems periferinio aktyvumo</w:t>
      </w:r>
      <w:r w:rsidR="00FB23D2" w:rsidRPr="00CD7E52">
        <w:rPr>
          <w:szCs w:val="22"/>
          <w:lang w:val="lt-LT"/>
        </w:rPr>
        <w:t xml:space="preserve"> </w:t>
      </w:r>
      <w:r w:rsidR="00FB23D2" w:rsidRPr="00CD7E52">
        <w:rPr>
          <w:snapToGrid/>
          <w:szCs w:val="22"/>
          <w:lang w:val="lt-LT"/>
        </w:rPr>
        <w:t>rodmenims</w:t>
      </w:r>
      <w:r w:rsidRPr="00CD7E52">
        <w:rPr>
          <w:szCs w:val="22"/>
          <w:lang w:val="lt-LT"/>
        </w:rPr>
        <w:t xml:space="preserve"> ir psoriazės pasireiškimams odoje, iki 5</w:t>
      </w:r>
      <w:r w:rsidR="00FB23D2" w:rsidRPr="00CD7E52">
        <w:rPr>
          <w:snapToGrid/>
          <w:szCs w:val="22"/>
          <w:lang w:val="lt-LT"/>
        </w:rPr>
        <w:t> </w:t>
      </w:r>
      <w:r w:rsidRPr="00CD7E52">
        <w:rPr>
          <w:szCs w:val="22"/>
          <w:lang w:val="lt-LT"/>
        </w:rPr>
        <w:t>gydymo metų.</w:t>
      </w:r>
    </w:p>
    <w:p w14:paraId="7EDECABC" w14:textId="77777777" w:rsidR="00FB23D2" w:rsidRPr="00CD7E52" w:rsidRDefault="00FB23D2" w:rsidP="00BD0220">
      <w:pPr>
        <w:widowControl w:val="0"/>
        <w:tabs>
          <w:tab w:val="clear" w:pos="567"/>
        </w:tabs>
        <w:autoSpaceDE w:val="0"/>
        <w:autoSpaceDN w:val="0"/>
        <w:adjustRightInd w:val="0"/>
        <w:spacing w:line="240" w:lineRule="auto"/>
        <w:rPr>
          <w:szCs w:val="22"/>
          <w:lang w:val="lt-LT"/>
        </w:rPr>
      </w:pPr>
    </w:p>
    <w:p w14:paraId="441490E6" w14:textId="77777777" w:rsidR="004B4124" w:rsidRPr="00CD7E52" w:rsidRDefault="004B4124" w:rsidP="00BD0220">
      <w:pPr>
        <w:widowControl w:val="0"/>
        <w:tabs>
          <w:tab w:val="clear" w:pos="567"/>
        </w:tabs>
        <w:autoSpaceDE w:val="0"/>
        <w:autoSpaceDN w:val="0"/>
        <w:adjustRightInd w:val="0"/>
        <w:spacing w:line="240" w:lineRule="auto"/>
        <w:rPr>
          <w:szCs w:val="22"/>
          <w:u w:val="single"/>
          <w:lang w:val="lt-LT"/>
        </w:rPr>
      </w:pPr>
      <w:r w:rsidRPr="00CD7E52">
        <w:rPr>
          <w:szCs w:val="22"/>
          <w:u w:val="single"/>
          <w:lang w:val="lt-LT"/>
        </w:rPr>
        <w:t>Funkcinė būklė ir su sveikata susijusi gyvenimo kokybė</w:t>
      </w:r>
    </w:p>
    <w:p w14:paraId="6407921B" w14:textId="77777777" w:rsidR="00FB23D2" w:rsidRPr="00CD7E52" w:rsidRDefault="00FB23D2" w:rsidP="004B4124">
      <w:pPr>
        <w:widowControl w:val="0"/>
        <w:tabs>
          <w:tab w:val="clear" w:pos="567"/>
        </w:tabs>
        <w:autoSpaceDE w:val="0"/>
        <w:autoSpaceDN w:val="0"/>
        <w:adjustRightInd w:val="0"/>
        <w:spacing w:line="240" w:lineRule="auto"/>
        <w:rPr>
          <w:snapToGrid/>
          <w:szCs w:val="22"/>
          <w:lang w:val="lt-LT"/>
        </w:rPr>
      </w:pPr>
    </w:p>
    <w:p w14:paraId="117D0BC0"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Vertinant tyrimų PALAC</w:t>
      </w:r>
      <w:r w:rsidR="00BD30CA" w:rsidRPr="00CD7E52">
        <w:rPr>
          <w:szCs w:val="22"/>
          <w:lang w:val="lt-LT"/>
        </w:rPr>
        <w:t>E</w:t>
      </w:r>
      <w:r w:rsidR="00BD30CA" w:rsidRPr="00CD7E52">
        <w:rPr>
          <w:snapToGrid/>
          <w:szCs w:val="22"/>
          <w:lang w:val="lt-LT"/>
        </w:rPr>
        <w:t> </w:t>
      </w:r>
      <w:r w:rsidR="00BD30CA" w:rsidRPr="00CD7E52">
        <w:rPr>
          <w:szCs w:val="22"/>
          <w:lang w:val="lt-LT"/>
        </w:rPr>
        <w:t>1</w:t>
      </w:r>
      <w:r w:rsidRPr="00CD7E52">
        <w:rPr>
          <w:szCs w:val="22"/>
          <w:lang w:val="lt-LT"/>
        </w:rPr>
        <w:t>, PALAC</w:t>
      </w:r>
      <w:r w:rsidR="00BD30CA" w:rsidRPr="00CD7E52">
        <w:rPr>
          <w:szCs w:val="22"/>
          <w:lang w:val="lt-LT"/>
        </w:rPr>
        <w:t>E</w:t>
      </w:r>
      <w:r w:rsidR="00BD30CA" w:rsidRPr="00CD7E52">
        <w:rPr>
          <w:snapToGrid/>
          <w:szCs w:val="22"/>
          <w:lang w:val="lt-LT"/>
        </w:rPr>
        <w:t> </w:t>
      </w:r>
      <w:r w:rsidR="00BD30CA" w:rsidRPr="00CD7E52">
        <w:rPr>
          <w:szCs w:val="22"/>
          <w:lang w:val="lt-LT"/>
        </w:rPr>
        <w:t>2</w:t>
      </w:r>
      <w:r w:rsidRPr="00CD7E52">
        <w:rPr>
          <w:szCs w:val="22"/>
          <w:lang w:val="lt-LT"/>
        </w:rPr>
        <w:t xml:space="preserve"> bei PALAC</w:t>
      </w:r>
      <w:r w:rsidR="00BD30CA" w:rsidRPr="00CD7E52">
        <w:rPr>
          <w:szCs w:val="22"/>
          <w:lang w:val="lt-LT"/>
        </w:rPr>
        <w:t>E</w:t>
      </w:r>
      <w:r w:rsidR="00BD30CA" w:rsidRPr="00CD7E52">
        <w:rPr>
          <w:snapToGrid/>
          <w:szCs w:val="22"/>
          <w:lang w:val="lt-LT"/>
        </w:rPr>
        <w:t> </w:t>
      </w:r>
      <w:r w:rsidR="00BD30CA" w:rsidRPr="00CD7E52">
        <w:rPr>
          <w:szCs w:val="22"/>
          <w:lang w:val="lt-LT"/>
        </w:rPr>
        <w:t>3</w:t>
      </w:r>
      <w:r w:rsidRPr="00CD7E52">
        <w:rPr>
          <w:szCs w:val="22"/>
          <w:lang w:val="lt-LT"/>
        </w:rPr>
        <w:t xml:space="preserve"> ir </w:t>
      </w:r>
      <w:r w:rsidRPr="00CD7E52">
        <w:rPr>
          <w:snapToGrid/>
          <w:szCs w:val="22"/>
          <w:lang w:val="lt-LT"/>
        </w:rPr>
        <w:t>jungtini</w:t>
      </w:r>
      <w:r w:rsidR="00FB23D2" w:rsidRPr="00CD7E52">
        <w:rPr>
          <w:snapToGrid/>
          <w:szCs w:val="22"/>
          <w:lang w:val="lt-LT"/>
        </w:rPr>
        <w:t>us šių</w:t>
      </w:r>
      <w:r w:rsidRPr="00CD7E52">
        <w:rPr>
          <w:szCs w:val="22"/>
          <w:lang w:val="lt-LT"/>
        </w:rPr>
        <w:t xml:space="preserve"> tyrimų 16</w:t>
      </w:r>
      <w:r w:rsidR="00C65C08" w:rsidRPr="00CD7E52">
        <w:rPr>
          <w:snapToGrid/>
          <w:szCs w:val="22"/>
          <w:lang w:val="lt-LT"/>
        </w:rPr>
        <w:t> </w:t>
      </w:r>
      <w:r w:rsidR="00C65C08" w:rsidRPr="00CD7E52">
        <w:rPr>
          <w:szCs w:val="22"/>
          <w:lang w:val="lt-LT"/>
        </w:rPr>
        <w:t>savai</w:t>
      </w:r>
      <w:r w:rsidRPr="00CD7E52">
        <w:rPr>
          <w:szCs w:val="22"/>
          <w:lang w:val="lt-LT"/>
        </w:rPr>
        <w:t>tės duomenis pagal</w:t>
      </w:r>
      <w:r w:rsidR="00FB23D2" w:rsidRPr="00CD7E52">
        <w:rPr>
          <w:szCs w:val="22"/>
          <w:lang w:val="lt-LT"/>
        </w:rPr>
        <w:t xml:space="preserve"> </w:t>
      </w:r>
      <w:r w:rsidRPr="00CD7E52">
        <w:rPr>
          <w:szCs w:val="22"/>
          <w:lang w:val="lt-LT"/>
        </w:rPr>
        <w:t xml:space="preserve">sveikatos įvertinimo </w:t>
      </w:r>
      <w:r w:rsidR="00FB23D2" w:rsidRPr="00CD7E52">
        <w:rPr>
          <w:snapToGrid/>
          <w:szCs w:val="22"/>
          <w:lang w:val="lt-LT"/>
        </w:rPr>
        <w:t>klausimyno</w:t>
      </w:r>
      <w:r w:rsidRPr="00CD7E52">
        <w:rPr>
          <w:szCs w:val="22"/>
          <w:lang w:val="lt-LT"/>
        </w:rPr>
        <w:t xml:space="preserve"> negalios indekso (angl. </w:t>
      </w:r>
      <w:r w:rsidRPr="00CD7E52">
        <w:rPr>
          <w:i/>
          <w:szCs w:val="22"/>
          <w:lang w:val="lt-LT"/>
        </w:rPr>
        <w:t>disability index of the health assessment questionnaire</w:t>
      </w:r>
      <w:r w:rsidRPr="00CD7E52">
        <w:rPr>
          <w:szCs w:val="22"/>
          <w:lang w:val="lt-LT"/>
        </w:rPr>
        <w:t>,</w:t>
      </w:r>
      <w:r w:rsidR="00FB23D2" w:rsidRPr="00CD7E52">
        <w:rPr>
          <w:szCs w:val="22"/>
          <w:lang w:val="lt-LT"/>
        </w:rPr>
        <w:t xml:space="preserve"> </w:t>
      </w:r>
      <w:r w:rsidRPr="00CD7E52">
        <w:rPr>
          <w:szCs w:val="22"/>
          <w:lang w:val="lt-LT"/>
        </w:rPr>
        <w:t xml:space="preserve">HAQ-DI) </w:t>
      </w:r>
      <w:r w:rsidR="00FB23D2" w:rsidRPr="00CD7E52">
        <w:rPr>
          <w:snapToGrid/>
          <w:szCs w:val="22"/>
          <w:lang w:val="lt-LT"/>
        </w:rPr>
        <w:t xml:space="preserve">įvertinimo </w:t>
      </w:r>
      <w:r w:rsidRPr="00CD7E52">
        <w:rPr>
          <w:szCs w:val="22"/>
          <w:lang w:val="lt-LT"/>
        </w:rPr>
        <w:t xml:space="preserve">pokytį nuo pradinio </w:t>
      </w:r>
      <w:r w:rsidR="00FB23D2" w:rsidRPr="00CD7E52">
        <w:rPr>
          <w:snapToGrid/>
          <w:szCs w:val="22"/>
          <w:lang w:val="lt-LT"/>
        </w:rPr>
        <w:t>rodmens</w:t>
      </w:r>
      <w:r w:rsidRPr="00CD7E52">
        <w:rPr>
          <w:szCs w:val="22"/>
          <w:lang w:val="lt-LT"/>
        </w:rPr>
        <w:t>, apremilastu gydytiems pacientams nustatytas statistiškai reikšmingas</w:t>
      </w:r>
      <w:r w:rsidR="00FB23D2" w:rsidRPr="00CD7E52">
        <w:rPr>
          <w:szCs w:val="22"/>
          <w:lang w:val="lt-LT"/>
        </w:rPr>
        <w:t xml:space="preserve"> </w:t>
      </w:r>
      <w:r w:rsidRPr="00CD7E52">
        <w:rPr>
          <w:szCs w:val="22"/>
          <w:lang w:val="lt-LT"/>
        </w:rPr>
        <w:t xml:space="preserve">funkcinės būklės pagerėjimas lyginant su </w:t>
      </w:r>
      <w:r w:rsidRPr="00CD7E52">
        <w:rPr>
          <w:snapToGrid/>
          <w:szCs w:val="22"/>
          <w:lang w:val="lt-LT"/>
        </w:rPr>
        <w:t>placeb</w:t>
      </w:r>
      <w:r w:rsidR="00FB23D2" w:rsidRPr="00CD7E52">
        <w:rPr>
          <w:snapToGrid/>
          <w:szCs w:val="22"/>
          <w:lang w:val="lt-LT"/>
        </w:rPr>
        <w:t>o poveikiu</w:t>
      </w:r>
      <w:r w:rsidRPr="00CD7E52">
        <w:rPr>
          <w:snapToGrid/>
          <w:szCs w:val="22"/>
          <w:lang w:val="lt-LT"/>
        </w:rPr>
        <w:t>.</w:t>
      </w:r>
      <w:r w:rsidRPr="00CD7E52">
        <w:rPr>
          <w:szCs w:val="22"/>
          <w:lang w:val="lt-LT"/>
        </w:rPr>
        <w:t xml:space="preserve"> HAQ-DI</w:t>
      </w:r>
      <w:r w:rsidRPr="00CD7E52">
        <w:rPr>
          <w:snapToGrid/>
          <w:szCs w:val="22"/>
          <w:lang w:val="lt-LT"/>
        </w:rPr>
        <w:t xml:space="preserve"> </w:t>
      </w:r>
      <w:r w:rsidR="00FB23D2" w:rsidRPr="00CD7E52">
        <w:rPr>
          <w:snapToGrid/>
          <w:szCs w:val="22"/>
          <w:lang w:val="lt-LT"/>
        </w:rPr>
        <w:t>įvertinimo</w:t>
      </w:r>
      <w:r w:rsidR="00FB23D2" w:rsidRPr="00CD7E52">
        <w:rPr>
          <w:szCs w:val="22"/>
          <w:lang w:val="lt-LT"/>
        </w:rPr>
        <w:t xml:space="preserve"> </w:t>
      </w:r>
      <w:r w:rsidRPr="00CD7E52">
        <w:rPr>
          <w:szCs w:val="22"/>
          <w:lang w:val="lt-LT"/>
        </w:rPr>
        <w:t>pagerėjimas išliko 24</w:t>
      </w:r>
      <w:r w:rsidR="00C65C08" w:rsidRPr="00CD7E52">
        <w:rPr>
          <w:szCs w:val="22"/>
          <w:lang w:val="lt-LT"/>
        </w:rPr>
        <w:t> savai</w:t>
      </w:r>
      <w:r w:rsidRPr="00CD7E52">
        <w:rPr>
          <w:szCs w:val="22"/>
          <w:lang w:val="lt-LT"/>
        </w:rPr>
        <w:t>tę.</w:t>
      </w:r>
    </w:p>
    <w:p w14:paraId="0538747C" w14:textId="77777777" w:rsidR="00FB23D2" w:rsidRPr="00CD7E52" w:rsidRDefault="00FB23D2" w:rsidP="00BD0220">
      <w:pPr>
        <w:widowControl w:val="0"/>
        <w:tabs>
          <w:tab w:val="clear" w:pos="567"/>
        </w:tabs>
        <w:autoSpaceDE w:val="0"/>
        <w:autoSpaceDN w:val="0"/>
        <w:adjustRightInd w:val="0"/>
        <w:spacing w:line="240" w:lineRule="auto"/>
        <w:rPr>
          <w:szCs w:val="22"/>
          <w:lang w:val="lt-LT"/>
        </w:rPr>
      </w:pPr>
    </w:p>
    <w:p w14:paraId="61D96135"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napToGrid/>
          <w:szCs w:val="22"/>
          <w:lang w:val="lt-LT"/>
        </w:rPr>
        <w:t xml:space="preserve">Jungtinė </w:t>
      </w:r>
      <w:r w:rsidRPr="00CD7E52">
        <w:rPr>
          <w:szCs w:val="22"/>
          <w:lang w:val="lt-LT"/>
        </w:rPr>
        <w:t>PALAC</w:t>
      </w:r>
      <w:r w:rsidR="00BD30CA" w:rsidRPr="00CD7E52">
        <w:rPr>
          <w:szCs w:val="22"/>
          <w:lang w:val="lt-LT"/>
        </w:rPr>
        <w:t>E</w:t>
      </w:r>
      <w:r w:rsidR="00BD30CA" w:rsidRPr="00CD7E52">
        <w:rPr>
          <w:snapToGrid/>
          <w:szCs w:val="22"/>
          <w:lang w:val="lt-LT"/>
        </w:rPr>
        <w:t> </w:t>
      </w:r>
      <w:r w:rsidR="00BD30CA" w:rsidRPr="00CD7E52">
        <w:rPr>
          <w:szCs w:val="22"/>
          <w:lang w:val="lt-LT"/>
        </w:rPr>
        <w:t>1</w:t>
      </w:r>
      <w:r w:rsidRPr="00CD7E52">
        <w:rPr>
          <w:szCs w:val="22"/>
          <w:lang w:val="lt-LT"/>
        </w:rPr>
        <w:t>, PALAC</w:t>
      </w:r>
      <w:r w:rsidR="00BD30CA" w:rsidRPr="00CD7E52">
        <w:rPr>
          <w:szCs w:val="22"/>
          <w:lang w:val="lt-LT"/>
        </w:rPr>
        <w:t>E</w:t>
      </w:r>
      <w:r w:rsidR="00BD30CA" w:rsidRPr="00CD7E52">
        <w:rPr>
          <w:snapToGrid/>
          <w:szCs w:val="22"/>
          <w:lang w:val="lt-LT"/>
        </w:rPr>
        <w:t> </w:t>
      </w:r>
      <w:r w:rsidR="00BD30CA" w:rsidRPr="00CD7E52">
        <w:rPr>
          <w:szCs w:val="22"/>
          <w:lang w:val="lt-LT"/>
        </w:rPr>
        <w:t>2</w:t>
      </w:r>
      <w:r w:rsidRPr="00CD7E52">
        <w:rPr>
          <w:szCs w:val="22"/>
          <w:lang w:val="lt-LT"/>
        </w:rPr>
        <w:t xml:space="preserve"> bei PALAC</w:t>
      </w:r>
      <w:r w:rsidR="00BD30CA" w:rsidRPr="00CD7E52">
        <w:rPr>
          <w:szCs w:val="22"/>
          <w:lang w:val="lt-LT"/>
        </w:rPr>
        <w:t>E</w:t>
      </w:r>
      <w:r w:rsidR="00BD30CA" w:rsidRPr="00CD7E52">
        <w:rPr>
          <w:snapToGrid/>
          <w:szCs w:val="22"/>
          <w:lang w:val="lt-LT"/>
        </w:rPr>
        <w:t> </w:t>
      </w:r>
      <w:r w:rsidR="00BD30CA" w:rsidRPr="00CD7E52">
        <w:rPr>
          <w:szCs w:val="22"/>
          <w:lang w:val="lt-LT"/>
        </w:rPr>
        <w:t>3</w:t>
      </w:r>
      <w:r w:rsidRPr="00CD7E52">
        <w:rPr>
          <w:szCs w:val="22"/>
          <w:lang w:val="lt-LT"/>
        </w:rPr>
        <w:t xml:space="preserve"> </w:t>
      </w:r>
      <w:r w:rsidR="00FB23D2" w:rsidRPr="00CD7E52">
        <w:rPr>
          <w:snapToGrid/>
          <w:szCs w:val="22"/>
          <w:lang w:val="lt-LT"/>
        </w:rPr>
        <w:t xml:space="preserve">tyrimų atvirosios fazės duomenų </w:t>
      </w:r>
      <w:r w:rsidRPr="00CD7E52">
        <w:rPr>
          <w:snapToGrid/>
          <w:szCs w:val="22"/>
          <w:lang w:val="lt-LT"/>
        </w:rPr>
        <w:t>analiz</w:t>
      </w:r>
      <w:r w:rsidR="00FB23D2" w:rsidRPr="00CD7E52">
        <w:rPr>
          <w:snapToGrid/>
          <w:szCs w:val="22"/>
          <w:lang w:val="lt-LT"/>
        </w:rPr>
        <w:t>ė parodė, kad</w:t>
      </w:r>
      <w:r w:rsidRPr="00CD7E52">
        <w:rPr>
          <w:snapToGrid/>
          <w:szCs w:val="22"/>
          <w:lang w:val="lt-LT"/>
        </w:rPr>
        <w:t xml:space="preserve"> </w:t>
      </w:r>
      <w:r w:rsidR="00FB23D2" w:rsidRPr="00CD7E52">
        <w:rPr>
          <w:snapToGrid/>
          <w:szCs w:val="22"/>
          <w:lang w:val="lt-LT"/>
        </w:rPr>
        <w:t>tarp</w:t>
      </w:r>
      <w:r w:rsidR="00FB23D2" w:rsidRPr="00CD7E52">
        <w:rPr>
          <w:szCs w:val="22"/>
          <w:lang w:val="lt-LT"/>
        </w:rPr>
        <w:t xml:space="preserve"> </w:t>
      </w:r>
      <w:r w:rsidRPr="00CD7E52">
        <w:rPr>
          <w:szCs w:val="22"/>
          <w:lang w:val="lt-LT"/>
        </w:rPr>
        <w:t>pacientų</w:t>
      </w:r>
      <w:r w:rsidR="00FB23D2" w:rsidRPr="00CD7E52">
        <w:rPr>
          <w:snapToGrid/>
          <w:szCs w:val="22"/>
          <w:lang w:val="lt-LT"/>
        </w:rPr>
        <w:t>, kurie</w:t>
      </w:r>
      <w:r w:rsidRPr="00CD7E52">
        <w:rPr>
          <w:szCs w:val="22"/>
          <w:lang w:val="lt-LT"/>
        </w:rPr>
        <w:t xml:space="preserve"> nuo pat pradžių </w:t>
      </w:r>
      <w:r w:rsidR="009132F1" w:rsidRPr="00CD7E52">
        <w:rPr>
          <w:szCs w:val="22"/>
          <w:lang w:val="lt-LT"/>
        </w:rPr>
        <w:t xml:space="preserve">buvo </w:t>
      </w:r>
      <w:r w:rsidR="009132F1" w:rsidRPr="00CD7E52">
        <w:rPr>
          <w:snapToGrid/>
          <w:szCs w:val="22"/>
          <w:lang w:val="lt-LT"/>
        </w:rPr>
        <w:t>atsitiktinai priskirti</w:t>
      </w:r>
      <w:r w:rsidRPr="00CD7E52">
        <w:rPr>
          <w:szCs w:val="22"/>
          <w:lang w:val="lt-LT"/>
        </w:rPr>
        <w:t xml:space="preserve"> vartoti 30</w:t>
      </w:r>
      <w:r w:rsidR="00A87582" w:rsidRPr="00CD7E52">
        <w:rPr>
          <w:szCs w:val="22"/>
          <w:lang w:val="lt-LT"/>
        </w:rPr>
        <w:t> mg</w:t>
      </w:r>
      <w:r w:rsidRPr="00CD7E52">
        <w:rPr>
          <w:szCs w:val="22"/>
          <w:lang w:val="lt-LT"/>
        </w:rPr>
        <w:t xml:space="preserve"> apremilasto du kartus</w:t>
      </w:r>
      <w:r w:rsidR="00FB23D2" w:rsidRPr="00CD7E52">
        <w:rPr>
          <w:szCs w:val="22"/>
          <w:lang w:val="lt-LT"/>
        </w:rPr>
        <w:t xml:space="preserve"> </w:t>
      </w:r>
      <w:r w:rsidRPr="00CD7E52">
        <w:rPr>
          <w:szCs w:val="22"/>
          <w:lang w:val="lt-LT"/>
        </w:rPr>
        <w:t xml:space="preserve">per parą, HAQ-DI </w:t>
      </w:r>
      <w:r w:rsidR="00FB23D2" w:rsidRPr="00CD7E52">
        <w:rPr>
          <w:snapToGrid/>
          <w:szCs w:val="22"/>
          <w:lang w:val="lt-LT"/>
        </w:rPr>
        <w:t xml:space="preserve">įvertinimo </w:t>
      </w:r>
      <w:r w:rsidRPr="00CD7E52">
        <w:rPr>
          <w:szCs w:val="22"/>
          <w:lang w:val="lt-LT"/>
        </w:rPr>
        <w:t>pokytis 52</w:t>
      </w:r>
      <w:r w:rsidR="00C65C08" w:rsidRPr="00CD7E52">
        <w:rPr>
          <w:szCs w:val="22"/>
          <w:lang w:val="lt-LT"/>
        </w:rPr>
        <w:t> savai</w:t>
      </w:r>
      <w:r w:rsidRPr="00CD7E52">
        <w:rPr>
          <w:szCs w:val="22"/>
          <w:lang w:val="lt-LT"/>
        </w:rPr>
        <w:t xml:space="preserve">tę nuo pradinio </w:t>
      </w:r>
      <w:r w:rsidR="00FB23D2" w:rsidRPr="00CD7E52">
        <w:rPr>
          <w:snapToGrid/>
          <w:szCs w:val="22"/>
          <w:lang w:val="lt-LT"/>
        </w:rPr>
        <w:t>rodmens</w:t>
      </w:r>
      <w:r w:rsidRPr="00CD7E52">
        <w:rPr>
          <w:szCs w:val="22"/>
          <w:lang w:val="lt-LT"/>
        </w:rPr>
        <w:t xml:space="preserve"> buvo -0,333.</w:t>
      </w:r>
    </w:p>
    <w:p w14:paraId="6B7315E1" w14:textId="77777777" w:rsidR="00FB23D2" w:rsidRPr="00CD7E52" w:rsidRDefault="00FB23D2" w:rsidP="00BD0220">
      <w:pPr>
        <w:widowControl w:val="0"/>
        <w:tabs>
          <w:tab w:val="clear" w:pos="567"/>
        </w:tabs>
        <w:autoSpaceDE w:val="0"/>
        <w:autoSpaceDN w:val="0"/>
        <w:adjustRightInd w:val="0"/>
        <w:spacing w:line="240" w:lineRule="auto"/>
        <w:rPr>
          <w:szCs w:val="22"/>
          <w:lang w:val="lt-LT"/>
        </w:rPr>
      </w:pPr>
    </w:p>
    <w:p w14:paraId="391B3A98" w14:textId="77777777" w:rsidR="004B4124" w:rsidRPr="00CD7E52" w:rsidRDefault="00FB23D2" w:rsidP="00BD0220">
      <w:pPr>
        <w:widowControl w:val="0"/>
        <w:tabs>
          <w:tab w:val="clear" w:pos="567"/>
        </w:tabs>
        <w:autoSpaceDE w:val="0"/>
        <w:autoSpaceDN w:val="0"/>
        <w:adjustRightInd w:val="0"/>
        <w:spacing w:line="240" w:lineRule="auto"/>
        <w:rPr>
          <w:szCs w:val="22"/>
          <w:lang w:val="lt-LT"/>
        </w:rPr>
      </w:pPr>
      <w:r w:rsidRPr="00CD7E52">
        <w:rPr>
          <w:snapToGrid/>
          <w:szCs w:val="22"/>
          <w:lang w:val="lt-LT"/>
        </w:rPr>
        <w:t>Tyrimų</w:t>
      </w:r>
      <w:r w:rsidR="004B4124" w:rsidRPr="00CD7E52">
        <w:rPr>
          <w:szCs w:val="22"/>
          <w:lang w:val="lt-LT"/>
        </w:rPr>
        <w:t xml:space="preserve"> PALAC</w:t>
      </w:r>
      <w:r w:rsidR="00BD30CA" w:rsidRPr="00CD7E52">
        <w:rPr>
          <w:szCs w:val="22"/>
          <w:lang w:val="lt-LT"/>
        </w:rPr>
        <w:t>E</w:t>
      </w:r>
      <w:r w:rsidR="00BD30CA" w:rsidRPr="00CD7E52">
        <w:rPr>
          <w:snapToGrid/>
          <w:szCs w:val="22"/>
          <w:lang w:val="lt-LT"/>
        </w:rPr>
        <w:t> </w:t>
      </w:r>
      <w:r w:rsidR="00BD30CA" w:rsidRPr="00CD7E52">
        <w:rPr>
          <w:szCs w:val="22"/>
          <w:lang w:val="lt-LT"/>
        </w:rPr>
        <w:t>1</w:t>
      </w:r>
      <w:r w:rsidR="004B4124" w:rsidRPr="00CD7E52">
        <w:rPr>
          <w:szCs w:val="22"/>
          <w:lang w:val="lt-LT"/>
        </w:rPr>
        <w:t>, PALAC</w:t>
      </w:r>
      <w:r w:rsidR="00BD30CA" w:rsidRPr="00CD7E52">
        <w:rPr>
          <w:szCs w:val="22"/>
          <w:lang w:val="lt-LT"/>
        </w:rPr>
        <w:t>E</w:t>
      </w:r>
      <w:r w:rsidR="00BD30CA" w:rsidRPr="00CD7E52">
        <w:rPr>
          <w:snapToGrid/>
          <w:szCs w:val="22"/>
          <w:lang w:val="lt-LT"/>
        </w:rPr>
        <w:t> </w:t>
      </w:r>
      <w:r w:rsidR="00BD30CA" w:rsidRPr="00CD7E52">
        <w:rPr>
          <w:szCs w:val="22"/>
          <w:lang w:val="lt-LT"/>
        </w:rPr>
        <w:t>2</w:t>
      </w:r>
      <w:r w:rsidR="004B4124" w:rsidRPr="00CD7E52">
        <w:rPr>
          <w:szCs w:val="22"/>
          <w:lang w:val="lt-LT"/>
        </w:rPr>
        <w:t xml:space="preserve"> bei PALAC</w:t>
      </w:r>
      <w:r w:rsidR="00BD30CA" w:rsidRPr="00CD7E52">
        <w:rPr>
          <w:szCs w:val="22"/>
          <w:lang w:val="lt-LT"/>
        </w:rPr>
        <w:t>E</w:t>
      </w:r>
      <w:r w:rsidR="00BD30CA" w:rsidRPr="00CD7E52">
        <w:rPr>
          <w:snapToGrid/>
          <w:szCs w:val="22"/>
          <w:lang w:val="lt-LT"/>
        </w:rPr>
        <w:t> </w:t>
      </w:r>
      <w:r w:rsidR="00BD30CA" w:rsidRPr="00CD7E52">
        <w:rPr>
          <w:szCs w:val="22"/>
          <w:lang w:val="lt-LT"/>
        </w:rPr>
        <w:t>3</w:t>
      </w:r>
      <w:r w:rsidR="004B4124" w:rsidRPr="00CD7E52">
        <w:rPr>
          <w:szCs w:val="22"/>
          <w:lang w:val="lt-LT"/>
        </w:rPr>
        <w:t xml:space="preserve"> </w:t>
      </w:r>
      <w:r w:rsidRPr="00CD7E52">
        <w:rPr>
          <w:snapToGrid/>
          <w:szCs w:val="22"/>
          <w:lang w:val="lt-LT"/>
        </w:rPr>
        <w:t>metu vertinant</w:t>
      </w:r>
      <w:r w:rsidRPr="00CD7E52">
        <w:rPr>
          <w:szCs w:val="22"/>
          <w:lang w:val="lt-LT"/>
        </w:rPr>
        <w:t xml:space="preserve"> </w:t>
      </w:r>
      <w:r w:rsidR="004B4124" w:rsidRPr="00CD7E52">
        <w:rPr>
          <w:szCs w:val="22"/>
          <w:lang w:val="lt-LT"/>
        </w:rPr>
        <w:t>trumposios sveikatos būklės apklausos 2</w:t>
      </w:r>
      <w:r w:rsidRPr="00CD7E52">
        <w:rPr>
          <w:snapToGrid/>
          <w:szCs w:val="22"/>
          <w:lang w:val="lt-LT"/>
        </w:rPr>
        <w:t xml:space="preserve"> </w:t>
      </w:r>
      <w:r w:rsidR="004B4124" w:rsidRPr="00CD7E52">
        <w:rPr>
          <w:szCs w:val="22"/>
          <w:lang w:val="lt-LT"/>
        </w:rPr>
        <w:t xml:space="preserve">versijos (angl. </w:t>
      </w:r>
      <w:r w:rsidR="004B4124" w:rsidRPr="00CD7E52">
        <w:rPr>
          <w:i/>
          <w:szCs w:val="22"/>
          <w:lang w:val="lt-LT"/>
        </w:rPr>
        <w:t>Short Form Health Survey version 2</w:t>
      </w:r>
      <w:r w:rsidR="004B4124" w:rsidRPr="00CD7E52">
        <w:rPr>
          <w:szCs w:val="22"/>
          <w:lang w:val="lt-LT"/>
        </w:rPr>
        <w:t>, SF-36v2) funkcinės būklės (FB) dalies ir lėtinės ligos</w:t>
      </w:r>
      <w:r w:rsidRPr="00CD7E52">
        <w:rPr>
          <w:szCs w:val="22"/>
          <w:lang w:val="lt-LT"/>
        </w:rPr>
        <w:t xml:space="preserve"> </w:t>
      </w:r>
      <w:r w:rsidR="004B4124" w:rsidRPr="00CD7E52">
        <w:rPr>
          <w:szCs w:val="22"/>
          <w:lang w:val="lt-LT"/>
        </w:rPr>
        <w:t xml:space="preserve">gydymo funkcijos vertinimo klausimyno – nuovargio dalies (angl. </w:t>
      </w:r>
      <w:r w:rsidR="004B4124" w:rsidRPr="00CD7E52">
        <w:rPr>
          <w:i/>
          <w:szCs w:val="22"/>
          <w:lang w:val="lt-LT"/>
        </w:rPr>
        <w:t>Functional Assessment of Chronic Illness</w:t>
      </w:r>
      <w:r w:rsidRPr="00CD7E52">
        <w:rPr>
          <w:i/>
          <w:szCs w:val="22"/>
          <w:lang w:val="lt-LT"/>
        </w:rPr>
        <w:t xml:space="preserve"> </w:t>
      </w:r>
      <w:r w:rsidR="004B4124" w:rsidRPr="00CD7E52">
        <w:rPr>
          <w:i/>
          <w:szCs w:val="22"/>
          <w:lang w:val="lt-LT"/>
        </w:rPr>
        <w:t>Therapy – Fatigue</w:t>
      </w:r>
      <w:r w:rsidR="004B4124" w:rsidRPr="00CD7E52">
        <w:rPr>
          <w:szCs w:val="22"/>
          <w:lang w:val="lt-LT"/>
        </w:rPr>
        <w:t xml:space="preserve"> (FACIT-</w:t>
      </w:r>
      <w:r w:rsidR="004B4124" w:rsidRPr="00CD7E52">
        <w:rPr>
          <w:i/>
          <w:szCs w:val="22"/>
          <w:lang w:val="lt-LT"/>
        </w:rPr>
        <w:t>fatigue</w:t>
      </w:r>
      <w:r w:rsidR="004B4124" w:rsidRPr="00CD7E52">
        <w:rPr>
          <w:szCs w:val="22"/>
          <w:lang w:val="lt-LT"/>
        </w:rPr>
        <w:t xml:space="preserve">)) </w:t>
      </w:r>
      <w:r w:rsidRPr="00CD7E52">
        <w:rPr>
          <w:snapToGrid/>
          <w:szCs w:val="22"/>
          <w:lang w:val="lt-LT"/>
        </w:rPr>
        <w:t xml:space="preserve">įvertinimo </w:t>
      </w:r>
      <w:r w:rsidR="004B4124" w:rsidRPr="00CD7E52">
        <w:rPr>
          <w:szCs w:val="22"/>
          <w:lang w:val="lt-LT"/>
        </w:rPr>
        <w:t xml:space="preserve">pokytį nuo pradinio </w:t>
      </w:r>
      <w:r w:rsidRPr="00CD7E52">
        <w:rPr>
          <w:snapToGrid/>
          <w:szCs w:val="22"/>
          <w:lang w:val="lt-LT"/>
        </w:rPr>
        <w:t>rodmens</w:t>
      </w:r>
      <w:r w:rsidR="004B4124" w:rsidRPr="00CD7E52">
        <w:rPr>
          <w:szCs w:val="22"/>
          <w:lang w:val="lt-LT"/>
        </w:rPr>
        <w:t>, 16 ir 24</w:t>
      </w:r>
      <w:r w:rsidR="00C65C08" w:rsidRPr="00CD7E52">
        <w:rPr>
          <w:szCs w:val="22"/>
          <w:lang w:val="lt-LT"/>
        </w:rPr>
        <w:t> savai</w:t>
      </w:r>
      <w:r w:rsidR="004B4124" w:rsidRPr="00CD7E52">
        <w:rPr>
          <w:szCs w:val="22"/>
          <w:lang w:val="lt-LT"/>
        </w:rPr>
        <w:t>tę pacientams, gydytiems</w:t>
      </w:r>
      <w:r w:rsidRPr="00CD7E52">
        <w:rPr>
          <w:szCs w:val="22"/>
          <w:lang w:val="lt-LT"/>
        </w:rPr>
        <w:t xml:space="preserve"> </w:t>
      </w:r>
      <w:r w:rsidR="004B4124" w:rsidRPr="00CD7E52">
        <w:rPr>
          <w:szCs w:val="22"/>
          <w:lang w:val="lt-LT"/>
        </w:rPr>
        <w:t>apremilastu, nustatytas reikšmingas su sveikata susijusios gyvenimo kokybės pagerėjimas lyginant su</w:t>
      </w:r>
      <w:r w:rsidRPr="00CD7E52">
        <w:rPr>
          <w:szCs w:val="22"/>
          <w:lang w:val="lt-LT"/>
        </w:rPr>
        <w:t xml:space="preserve"> </w:t>
      </w:r>
      <w:r w:rsidR="004B4124" w:rsidRPr="00CD7E52">
        <w:rPr>
          <w:snapToGrid/>
          <w:szCs w:val="22"/>
          <w:lang w:val="lt-LT"/>
        </w:rPr>
        <w:t>placeb</w:t>
      </w:r>
      <w:r w:rsidRPr="00CD7E52">
        <w:rPr>
          <w:snapToGrid/>
          <w:szCs w:val="22"/>
          <w:lang w:val="lt-LT"/>
        </w:rPr>
        <w:t>o poveikiu</w:t>
      </w:r>
      <w:r w:rsidR="004B4124" w:rsidRPr="00CD7E52">
        <w:rPr>
          <w:snapToGrid/>
          <w:szCs w:val="22"/>
          <w:lang w:val="lt-LT"/>
        </w:rPr>
        <w:t>.</w:t>
      </w:r>
      <w:r w:rsidR="004B4124" w:rsidRPr="00CD7E52">
        <w:rPr>
          <w:szCs w:val="22"/>
          <w:lang w:val="lt-LT"/>
        </w:rPr>
        <w:t xml:space="preserve"> Pacientams, kurie </w:t>
      </w:r>
      <w:r w:rsidR="009132F1" w:rsidRPr="00CD7E52">
        <w:rPr>
          <w:szCs w:val="22"/>
          <w:lang w:val="lt-LT"/>
        </w:rPr>
        <w:t xml:space="preserve">buvo </w:t>
      </w:r>
      <w:r w:rsidR="009132F1" w:rsidRPr="00CD7E52">
        <w:rPr>
          <w:snapToGrid/>
          <w:szCs w:val="22"/>
          <w:lang w:val="lt-LT"/>
        </w:rPr>
        <w:t>atsitiktinai priskirti</w:t>
      </w:r>
      <w:r w:rsidR="004B4124" w:rsidRPr="00CD7E52">
        <w:rPr>
          <w:szCs w:val="22"/>
          <w:lang w:val="lt-LT"/>
        </w:rPr>
        <w:t xml:space="preserve"> vartoti apremilast</w:t>
      </w:r>
      <w:r w:rsidR="008740BF" w:rsidRPr="00CD7E52">
        <w:rPr>
          <w:szCs w:val="22"/>
          <w:lang w:val="lt-LT"/>
        </w:rPr>
        <w:t>o</w:t>
      </w:r>
      <w:r w:rsidR="004B4124" w:rsidRPr="00CD7E52">
        <w:rPr>
          <w:szCs w:val="22"/>
          <w:lang w:val="lt-LT"/>
        </w:rPr>
        <w:t xml:space="preserve"> nuo tyrimo pradžios ir</w:t>
      </w:r>
      <w:r w:rsidRPr="00CD7E52">
        <w:rPr>
          <w:szCs w:val="22"/>
          <w:lang w:val="lt-LT"/>
        </w:rPr>
        <w:t xml:space="preserve"> </w:t>
      </w:r>
      <w:r w:rsidR="004B4124" w:rsidRPr="00CD7E52">
        <w:rPr>
          <w:szCs w:val="22"/>
          <w:lang w:val="lt-LT"/>
        </w:rPr>
        <w:t>toliau jį vartojo, funkcinės būklės ir FACIT-</w:t>
      </w:r>
      <w:r w:rsidR="004B4124" w:rsidRPr="00CD7E52">
        <w:rPr>
          <w:i/>
          <w:szCs w:val="22"/>
          <w:lang w:val="lt-LT"/>
        </w:rPr>
        <w:t>fatigue</w:t>
      </w:r>
      <w:r w:rsidR="004B4124" w:rsidRPr="00CD7E52">
        <w:rPr>
          <w:szCs w:val="22"/>
          <w:lang w:val="lt-LT"/>
        </w:rPr>
        <w:t xml:space="preserve"> pagerėjimas išliko iki 52</w:t>
      </w:r>
      <w:r w:rsidR="00C65C08" w:rsidRPr="00CD7E52">
        <w:rPr>
          <w:szCs w:val="22"/>
          <w:lang w:val="lt-LT"/>
        </w:rPr>
        <w:t> savai</w:t>
      </w:r>
      <w:r w:rsidR="004B4124" w:rsidRPr="00CD7E52">
        <w:rPr>
          <w:szCs w:val="22"/>
          <w:lang w:val="lt-LT"/>
        </w:rPr>
        <w:t>tės.</w:t>
      </w:r>
    </w:p>
    <w:p w14:paraId="64A3BBBF" w14:textId="77777777" w:rsidR="00FB23D2" w:rsidRPr="00CD7E52" w:rsidRDefault="00FB23D2" w:rsidP="00BD0220">
      <w:pPr>
        <w:widowControl w:val="0"/>
        <w:tabs>
          <w:tab w:val="clear" w:pos="567"/>
        </w:tabs>
        <w:autoSpaceDE w:val="0"/>
        <w:autoSpaceDN w:val="0"/>
        <w:adjustRightInd w:val="0"/>
        <w:spacing w:line="240" w:lineRule="auto"/>
        <w:rPr>
          <w:szCs w:val="22"/>
          <w:lang w:val="lt-LT"/>
        </w:rPr>
      </w:pPr>
    </w:p>
    <w:p w14:paraId="7866891E"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Pagerėjusi funkcinė būklė, vertinama pagal HAQ-DI ir SF36v2FB </w:t>
      </w:r>
      <w:r w:rsidRPr="00CD7E52">
        <w:rPr>
          <w:snapToGrid/>
          <w:szCs w:val="22"/>
          <w:lang w:val="lt-LT"/>
        </w:rPr>
        <w:t>dal</w:t>
      </w:r>
      <w:r w:rsidR="00FB23D2" w:rsidRPr="00CD7E52">
        <w:rPr>
          <w:snapToGrid/>
          <w:szCs w:val="22"/>
          <w:lang w:val="lt-LT"/>
        </w:rPr>
        <w:t>ies bei</w:t>
      </w:r>
      <w:r w:rsidRPr="00CD7E52">
        <w:rPr>
          <w:szCs w:val="22"/>
          <w:lang w:val="lt-LT"/>
        </w:rPr>
        <w:t xml:space="preserve"> FACIT-</w:t>
      </w:r>
      <w:r w:rsidRPr="00CD7E52">
        <w:rPr>
          <w:i/>
          <w:szCs w:val="22"/>
          <w:lang w:val="lt-LT"/>
        </w:rPr>
        <w:t>fatigue</w:t>
      </w:r>
      <w:r w:rsidRPr="00CD7E52">
        <w:rPr>
          <w:szCs w:val="22"/>
          <w:lang w:val="lt-LT"/>
        </w:rPr>
        <w:t xml:space="preserve"> </w:t>
      </w:r>
      <w:r w:rsidR="00FB23D2" w:rsidRPr="00CD7E52">
        <w:rPr>
          <w:snapToGrid/>
          <w:szCs w:val="22"/>
          <w:lang w:val="lt-LT"/>
        </w:rPr>
        <w:t>įvertinimą,</w:t>
      </w:r>
      <w:r w:rsidRPr="00CD7E52">
        <w:rPr>
          <w:szCs w:val="22"/>
          <w:lang w:val="lt-LT"/>
        </w:rPr>
        <w:t xml:space="preserve"> atvirųjų</w:t>
      </w:r>
      <w:r w:rsidR="00FB23D2" w:rsidRPr="00CD7E52">
        <w:rPr>
          <w:szCs w:val="22"/>
          <w:lang w:val="lt-LT"/>
        </w:rPr>
        <w:t xml:space="preserve"> </w:t>
      </w:r>
      <w:r w:rsidRPr="00CD7E52">
        <w:rPr>
          <w:szCs w:val="22"/>
          <w:lang w:val="lt-LT"/>
        </w:rPr>
        <w:t>tęstinių tyrimų metu išliko iki 5</w:t>
      </w:r>
      <w:r w:rsidR="00FB23D2" w:rsidRPr="00CD7E52">
        <w:rPr>
          <w:snapToGrid/>
          <w:szCs w:val="22"/>
          <w:lang w:val="lt-LT"/>
        </w:rPr>
        <w:t> </w:t>
      </w:r>
      <w:r w:rsidRPr="00CD7E52">
        <w:rPr>
          <w:szCs w:val="22"/>
          <w:lang w:val="lt-LT"/>
        </w:rPr>
        <w:t>gydymo metų.</w:t>
      </w:r>
    </w:p>
    <w:p w14:paraId="10A731F9" w14:textId="77777777" w:rsidR="00FB23D2" w:rsidRPr="00CD7E52" w:rsidRDefault="00FB23D2" w:rsidP="00BD0220">
      <w:pPr>
        <w:widowControl w:val="0"/>
        <w:tabs>
          <w:tab w:val="clear" w:pos="567"/>
        </w:tabs>
        <w:autoSpaceDE w:val="0"/>
        <w:autoSpaceDN w:val="0"/>
        <w:adjustRightInd w:val="0"/>
        <w:spacing w:line="240" w:lineRule="auto"/>
        <w:rPr>
          <w:szCs w:val="22"/>
          <w:lang w:val="lt-LT"/>
        </w:rPr>
      </w:pPr>
    </w:p>
    <w:p w14:paraId="7934CA7C" w14:textId="77777777" w:rsidR="004B4124" w:rsidRPr="00CD7E52" w:rsidRDefault="007B6DBA" w:rsidP="00BD0220">
      <w:pPr>
        <w:widowControl w:val="0"/>
        <w:tabs>
          <w:tab w:val="clear" w:pos="567"/>
        </w:tabs>
        <w:autoSpaceDE w:val="0"/>
        <w:autoSpaceDN w:val="0"/>
        <w:adjustRightInd w:val="0"/>
        <w:spacing w:line="240" w:lineRule="auto"/>
        <w:rPr>
          <w:szCs w:val="22"/>
          <w:u w:val="single"/>
          <w:lang w:val="lt-LT"/>
        </w:rPr>
      </w:pPr>
      <w:r w:rsidRPr="007B6DBA">
        <w:rPr>
          <w:i/>
          <w:iCs/>
          <w:szCs w:val="22"/>
          <w:u w:val="single"/>
          <w:lang w:val="lt-LT"/>
        </w:rPr>
        <w:t xml:space="preserve">Suaugusiųjų </w:t>
      </w:r>
      <w:r>
        <w:rPr>
          <w:i/>
          <w:iCs/>
          <w:szCs w:val="22"/>
          <w:u w:val="single"/>
          <w:lang w:val="lt-LT"/>
        </w:rPr>
        <w:t>p</w:t>
      </w:r>
      <w:r w:rsidR="004B4124" w:rsidRPr="00CD7E52">
        <w:rPr>
          <w:i/>
          <w:szCs w:val="22"/>
          <w:u w:val="single"/>
          <w:lang w:val="lt-LT"/>
        </w:rPr>
        <w:t>soriazė</w:t>
      </w:r>
    </w:p>
    <w:p w14:paraId="7948FD9D"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Apremilasto saugumas ir veiksmingumas buvo vertinamas atliekant du daugiacentrius, atsitiktinių imčių,</w:t>
      </w:r>
      <w:r w:rsidR="00C65635" w:rsidRPr="00CD7E52">
        <w:rPr>
          <w:szCs w:val="22"/>
          <w:lang w:val="lt-LT"/>
        </w:rPr>
        <w:t xml:space="preserve"> </w:t>
      </w:r>
      <w:r w:rsidRPr="00CD7E52">
        <w:rPr>
          <w:szCs w:val="22"/>
          <w:lang w:val="lt-LT"/>
        </w:rPr>
        <w:t xml:space="preserve">dvigubai </w:t>
      </w:r>
      <w:r w:rsidR="0088369F" w:rsidRPr="00CD7E52">
        <w:rPr>
          <w:snapToGrid/>
          <w:szCs w:val="22"/>
          <w:lang w:val="lt-LT"/>
        </w:rPr>
        <w:t>koduotus</w:t>
      </w:r>
      <w:r w:rsidRPr="00CD7E52">
        <w:rPr>
          <w:szCs w:val="22"/>
          <w:lang w:val="lt-LT"/>
        </w:rPr>
        <w:t xml:space="preserve">, placebu </w:t>
      </w:r>
      <w:r w:rsidRPr="00CD7E52">
        <w:rPr>
          <w:snapToGrid/>
          <w:szCs w:val="22"/>
          <w:lang w:val="lt-LT"/>
        </w:rPr>
        <w:t>kontroliuo</w:t>
      </w:r>
      <w:r w:rsidR="00C65635" w:rsidRPr="00CD7E52">
        <w:rPr>
          <w:snapToGrid/>
          <w:szCs w:val="22"/>
          <w:lang w:val="lt-LT"/>
        </w:rPr>
        <w:t>t</w:t>
      </w:r>
      <w:r w:rsidRPr="00CD7E52">
        <w:rPr>
          <w:snapToGrid/>
          <w:szCs w:val="22"/>
          <w:lang w:val="lt-LT"/>
        </w:rPr>
        <w:t>us</w:t>
      </w:r>
      <w:r w:rsidRPr="00CD7E52">
        <w:rPr>
          <w:szCs w:val="22"/>
          <w:lang w:val="lt-LT"/>
        </w:rPr>
        <w:t xml:space="preserve"> tyrimus (</w:t>
      </w:r>
      <w:r w:rsidR="00C65635" w:rsidRPr="00CD7E52">
        <w:rPr>
          <w:szCs w:val="22"/>
          <w:lang w:val="lt-LT"/>
        </w:rPr>
        <w:t>ESTEEM</w:t>
      </w:r>
      <w:r w:rsidR="00C65635" w:rsidRPr="00CD7E52">
        <w:rPr>
          <w:snapToGrid/>
          <w:szCs w:val="22"/>
          <w:lang w:val="lt-LT"/>
        </w:rPr>
        <w:t> </w:t>
      </w:r>
      <w:r w:rsidR="00C65635" w:rsidRPr="00CD7E52">
        <w:rPr>
          <w:szCs w:val="22"/>
          <w:lang w:val="lt-LT"/>
        </w:rPr>
        <w:t>1</w:t>
      </w:r>
      <w:r w:rsidRPr="00CD7E52">
        <w:rPr>
          <w:szCs w:val="22"/>
          <w:lang w:val="lt-LT"/>
        </w:rPr>
        <w:t xml:space="preserve"> ir </w:t>
      </w:r>
      <w:r w:rsidR="00C65635" w:rsidRPr="00CD7E52">
        <w:rPr>
          <w:szCs w:val="22"/>
          <w:lang w:val="lt-LT"/>
        </w:rPr>
        <w:t>ESTEEM</w:t>
      </w:r>
      <w:r w:rsidR="00C65635" w:rsidRPr="00CD7E52">
        <w:rPr>
          <w:snapToGrid/>
          <w:szCs w:val="22"/>
          <w:lang w:val="lt-LT"/>
        </w:rPr>
        <w:t> </w:t>
      </w:r>
      <w:r w:rsidR="00C65635" w:rsidRPr="00CD7E52">
        <w:rPr>
          <w:szCs w:val="22"/>
          <w:lang w:val="lt-LT"/>
        </w:rPr>
        <w:t>2</w:t>
      </w:r>
      <w:r w:rsidRPr="00CD7E52">
        <w:rPr>
          <w:szCs w:val="22"/>
          <w:lang w:val="lt-LT"/>
        </w:rPr>
        <w:t>), kuriuose dalyvavo iš viso</w:t>
      </w:r>
      <w:r w:rsidR="00463113" w:rsidRPr="00CD7E52">
        <w:rPr>
          <w:szCs w:val="22"/>
          <w:lang w:val="lt-LT"/>
        </w:rPr>
        <w:t xml:space="preserve"> </w:t>
      </w:r>
      <w:r w:rsidRPr="00CD7E52">
        <w:rPr>
          <w:szCs w:val="22"/>
          <w:lang w:val="lt-LT"/>
        </w:rPr>
        <w:t>1</w:t>
      </w:r>
      <w:r w:rsidR="00463113" w:rsidRPr="00CD7E52">
        <w:rPr>
          <w:szCs w:val="22"/>
          <w:lang w:val="lt-LT"/>
        </w:rPr>
        <w:t> </w:t>
      </w:r>
      <w:r w:rsidRPr="00CD7E52">
        <w:rPr>
          <w:szCs w:val="22"/>
          <w:lang w:val="lt-LT"/>
        </w:rPr>
        <w:t>257 vidutinio sunkumo arba sunkia plokšteline psoriaze sergantys pacientai, kurių pažeisto</w:t>
      </w:r>
      <w:r w:rsidR="00463113" w:rsidRPr="00CD7E52">
        <w:rPr>
          <w:szCs w:val="22"/>
          <w:lang w:val="lt-LT"/>
        </w:rPr>
        <w:t xml:space="preserve"> </w:t>
      </w:r>
      <w:r w:rsidRPr="00CD7E52">
        <w:rPr>
          <w:szCs w:val="22"/>
          <w:lang w:val="lt-LT"/>
        </w:rPr>
        <w:t xml:space="preserve">kūno paviršiaus plotas (KPP) sudarė </w:t>
      </w:r>
      <w:r w:rsidR="009F17E0" w:rsidRPr="00FF4333">
        <w:rPr>
          <w:szCs w:val="22"/>
          <w:lang w:val="lt-LT"/>
        </w:rPr>
        <w:t>≥ </w:t>
      </w:r>
      <w:r w:rsidRPr="00CD7E52">
        <w:rPr>
          <w:szCs w:val="22"/>
          <w:lang w:val="lt-LT"/>
        </w:rPr>
        <w:t>10</w:t>
      </w:r>
      <w:r w:rsidR="009F17E0" w:rsidRPr="00CD7E52">
        <w:rPr>
          <w:szCs w:val="22"/>
          <w:lang w:val="lt-LT"/>
        </w:rPr>
        <w:t> %</w:t>
      </w:r>
      <w:r w:rsidRPr="00CD7E52">
        <w:rPr>
          <w:szCs w:val="22"/>
          <w:lang w:val="lt-LT"/>
        </w:rPr>
        <w:t>, psoriazės ploto ir sunkumo indekso (</w:t>
      </w:r>
      <w:r w:rsidR="0050207D" w:rsidRPr="00CD7E52">
        <w:rPr>
          <w:szCs w:val="22"/>
          <w:lang w:val="lt-LT"/>
        </w:rPr>
        <w:t xml:space="preserve">angl. </w:t>
      </w:r>
      <w:r w:rsidR="0050207D" w:rsidRPr="00CD7E52">
        <w:rPr>
          <w:i/>
          <w:iCs/>
          <w:szCs w:val="22"/>
          <w:lang w:val="lt-LT"/>
        </w:rPr>
        <w:t>Psoriasis Area and Severity Index</w:t>
      </w:r>
      <w:r w:rsidR="0050207D" w:rsidRPr="00CD7E52">
        <w:rPr>
          <w:szCs w:val="22"/>
          <w:lang w:val="lt-LT"/>
        </w:rPr>
        <w:t>, PASI</w:t>
      </w:r>
      <w:r w:rsidRPr="00CD7E52">
        <w:rPr>
          <w:szCs w:val="22"/>
          <w:lang w:val="lt-LT"/>
        </w:rPr>
        <w:t xml:space="preserve">) </w:t>
      </w:r>
      <w:r w:rsidR="00463113" w:rsidRPr="00CD7E52">
        <w:rPr>
          <w:snapToGrid/>
          <w:szCs w:val="22"/>
          <w:lang w:val="lt-LT"/>
        </w:rPr>
        <w:t>įvertinimas</w:t>
      </w:r>
      <w:r w:rsidRPr="00CD7E52">
        <w:rPr>
          <w:szCs w:val="22"/>
          <w:lang w:val="lt-LT"/>
        </w:rPr>
        <w:t xml:space="preserve"> buvo </w:t>
      </w:r>
      <w:r w:rsidR="009F17E0" w:rsidRPr="00FF4333">
        <w:rPr>
          <w:szCs w:val="22"/>
          <w:lang w:val="lt-LT"/>
        </w:rPr>
        <w:t>≥ </w:t>
      </w:r>
      <w:r w:rsidRPr="00CD7E52">
        <w:rPr>
          <w:szCs w:val="22"/>
          <w:lang w:val="lt-LT"/>
        </w:rPr>
        <w:t>12,</w:t>
      </w:r>
      <w:r w:rsidR="00463113" w:rsidRPr="00CD7E52">
        <w:rPr>
          <w:szCs w:val="22"/>
          <w:lang w:val="lt-LT"/>
        </w:rPr>
        <w:t xml:space="preserve"> </w:t>
      </w:r>
      <w:r w:rsidRPr="00CD7E52">
        <w:rPr>
          <w:szCs w:val="22"/>
          <w:lang w:val="lt-LT"/>
        </w:rPr>
        <w:t>statinio bendro gydytojo vertinimo (angl.</w:t>
      </w:r>
      <w:r w:rsidRPr="00CD7E52">
        <w:rPr>
          <w:i/>
          <w:szCs w:val="22"/>
          <w:lang w:val="lt-LT"/>
        </w:rPr>
        <w:t xml:space="preserve"> </w:t>
      </w:r>
      <w:r w:rsidR="00463113" w:rsidRPr="00CD7E52">
        <w:rPr>
          <w:i/>
          <w:iCs/>
          <w:snapToGrid/>
          <w:szCs w:val="22"/>
          <w:lang w:val="lt-LT"/>
        </w:rPr>
        <w:t xml:space="preserve">static </w:t>
      </w:r>
      <w:r w:rsidRPr="00CD7E52">
        <w:rPr>
          <w:i/>
          <w:szCs w:val="22"/>
          <w:lang w:val="lt-LT"/>
        </w:rPr>
        <w:t>Physicians' Global Assessment</w:t>
      </w:r>
      <w:r w:rsidRPr="00CD7E52">
        <w:rPr>
          <w:szCs w:val="22"/>
          <w:lang w:val="lt-LT"/>
        </w:rPr>
        <w:t xml:space="preserve">, sPGA) </w:t>
      </w:r>
      <w:r w:rsidR="00463113" w:rsidRPr="00CD7E52">
        <w:rPr>
          <w:snapToGrid/>
          <w:szCs w:val="22"/>
          <w:lang w:val="lt-LT"/>
        </w:rPr>
        <w:t>įvertinimas</w:t>
      </w:r>
      <w:r w:rsidRPr="00CD7E52">
        <w:rPr>
          <w:szCs w:val="22"/>
          <w:lang w:val="lt-LT"/>
        </w:rPr>
        <w:t xml:space="preserve"> buvo </w:t>
      </w:r>
      <w:r w:rsidR="009F17E0" w:rsidRPr="00FF4333">
        <w:rPr>
          <w:szCs w:val="22"/>
          <w:lang w:val="lt-LT"/>
        </w:rPr>
        <w:t>≥ </w:t>
      </w:r>
      <w:r w:rsidRPr="00CD7E52">
        <w:rPr>
          <w:szCs w:val="22"/>
          <w:lang w:val="lt-LT"/>
        </w:rPr>
        <w:t>3 (vidutinio</w:t>
      </w:r>
      <w:r w:rsidR="00463113" w:rsidRPr="00CD7E52">
        <w:rPr>
          <w:szCs w:val="22"/>
          <w:lang w:val="lt-LT"/>
        </w:rPr>
        <w:t xml:space="preserve"> </w:t>
      </w:r>
      <w:r w:rsidRPr="00CD7E52">
        <w:rPr>
          <w:szCs w:val="22"/>
          <w:lang w:val="lt-LT"/>
        </w:rPr>
        <w:t>sunkumo arba sunkus) ir kurie buvo tinkami gydyti fototerapija arba sistemin</w:t>
      </w:r>
      <w:r w:rsidR="00D91835" w:rsidRPr="00CD7E52">
        <w:rPr>
          <w:szCs w:val="22"/>
          <w:lang w:val="lt-LT"/>
        </w:rPr>
        <w:t>iu</w:t>
      </w:r>
      <w:r w:rsidRPr="00CD7E52">
        <w:rPr>
          <w:szCs w:val="22"/>
          <w:lang w:val="lt-LT"/>
        </w:rPr>
        <w:t xml:space="preserve"> </w:t>
      </w:r>
      <w:r w:rsidR="00141F00" w:rsidRPr="00CD7E52">
        <w:rPr>
          <w:szCs w:val="22"/>
          <w:lang w:val="lt-LT"/>
        </w:rPr>
        <w:t>gydymu</w:t>
      </w:r>
      <w:r w:rsidRPr="00CD7E52">
        <w:rPr>
          <w:szCs w:val="22"/>
          <w:lang w:val="lt-LT"/>
        </w:rPr>
        <w:t>.</w:t>
      </w:r>
    </w:p>
    <w:p w14:paraId="003678EF" w14:textId="77777777" w:rsidR="00463113" w:rsidRPr="00CD7E52" w:rsidRDefault="00463113" w:rsidP="00BD0220">
      <w:pPr>
        <w:widowControl w:val="0"/>
        <w:tabs>
          <w:tab w:val="clear" w:pos="567"/>
        </w:tabs>
        <w:autoSpaceDE w:val="0"/>
        <w:autoSpaceDN w:val="0"/>
        <w:adjustRightInd w:val="0"/>
        <w:spacing w:line="240" w:lineRule="auto"/>
        <w:rPr>
          <w:iCs/>
          <w:szCs w:val="22"/>
          <w:lang w:val="lt-LT"/>
        </w:rPr>
      </w:pPr>
    </w:p>
    <w:p w14:paraId="44CA16E8" w14:textId="77777777" w:rsidR="00635C50" w:rsidRPr="00CD7E52" w:rsidRDefault="004B4124" w:rsidP="00BD0220">
      <w:pPr>
        <w:widowControl w:val="0"/>
        <w:tabs>
          <w:tab w:val="clear" w:pos="567"/>
        </w:tabs>
        <w:autoSpaceDE w:val="0"/>
        <w:autoSpaceDN w:val="0"/>
        <w:adjustRightInd w:val="0"/>
        <w:spacing w:line="240" w:lineRule="auto"/>
        <w:rPr>
          <w:rFonts w:eastAsia="SimSun"/>
          <w:iCs/>
          <w:snapToGrid/>
          <w:szCs w:val="22"/>
          <w:lang w:val="lt-LT"/>
        </w:rPr>
      </w:pPr>
      <w:r w:rsidRPr="00CD7E52">
        <w:rPr>
          <w:rFonts w:eastAsia="SimSun"/>
          <w:iCs/>
          <w:snapToGrid/>
          <w:szCs w:val="22"/>
          <w:lang w:val="lt-LT"/>
        </w:rPr>
        <w:t xml:space="preserve">Šių tyrimų </w:t>
      </w:r>
      <w:r w:rsidR="006770E9" w:rsidRPr="00CD7E52">
        <w:rPr>
          <w:iCs/>
          <w:szCs w:val="22"/>
          <w:lang w:val="lt-LT"/>
        </w:rPr>
        <w:t>struktūra</w:t>
      </w:r>
      <w:r w:rsidRPr="00CD7E52">
        <w:rPr>
          <w:rFonts w:eastAsia="SimSun"/>
          <w:iCs/>
          <w:snapToGrid/>
          <w:szCs w:val="22"/>
          <w:lang w:val="lt-LT"/>
        </w:rPr>
        <w:t xml:space="preserve"> buvo panaši iki 32</w:t>
      </w:r>
      <w:r w:rsidR="00C65C08" w:rsidRPr="00CD7E52">
        <w:rPr>
          <w:rFonts w:eastAsia="SimSun"/>
          <w:iCs/>
          <w:snapToGrid/>
          <w:szCs w:val="22"/>
          <w:lang w:val="lt-LT"/>
        </w:rPr>
        <w:t> savai</w:t>
      </w:r>
      <w:r w:rsidRPr="00CD7E52">
        <w:rPr>
          <w:rFonts w:eastAsia="SimSun"/>
          <w:iCs/>
          <w:snapToGrid/>
          <w:szCs w:val="22"/>
          <w:lang w:val="lt-LT"/>
        </w:rPr>
        <w:t xml:space="preserve">tės. Abiejuose tyrimuose </w:t>
      </w:r>
      <w:r w:rsidRPr="00CD7E52">
        <w:rPr>
          <w:iCs/>
          <w:szCs w:val="22"/>
          <w:lang w:val="lt-LT"/>
        </w:rPr>
        <w:t>pacienta</w:t>
      </w:r>
      <w:r w:rsidR="006770E9" w:rsidRPr="00CD7E52">
        <w:rPr>
          <w:iCs/>
          <w:szCs w:val="22"/>
          <w:lang w:val="lt-LT"/>
        </w:rPr>
        <w:t>i</w:t>
      </w:r>
      <w:r w:rsidRPr="00CD7E52">
        <w:rPr>
          <w:rFonts w:eastAsia="SimSun"/>
          <w:iCs/>
          <w:snapToGrid/>
          <w:szCs w:val="22"/>
          <w:lang w:val="lt-LT"/>
        </w:rPr>
        <w:t xml:space="preserve"> santykiu 2:1 buvo </w:t>
      </w:r>
      <w:r w:rsidR="006770E9" w:rsidRPr="00CD7E52">
        <w:rPr>
          <w:iCs/>
          <w:szCs w:val="22"/>
          <w:lang w:val="lt-LT"/>
        </w:rPr>
        <w:t>priskirti atsitiktinėms imtims ir</w:t>
      </w:r>
      <w:r w:rsidRPr="00CD7E52">
        <w:rPr>
          <w:iCs/>
          <w:szCs w:val="22"/>
          <w:lang w:val="lt-LT"/>
        </w:rPr>
        <w:t xml:space="preserve"> </w:t>
      </w:r>
      <w:r w:rsidR="006770E9" w:rsidRPr="00CD7E52">
        <w:rPr>
          <w:iCs/>
          <w:szCs w:val="22"/>
          <w:lang w:val="lt-LT"/>
        </w:rPr>
        <w:t xml:space="preserve">16 savaičių </w:t>
      </w:r>
      <w:r w:rsidRPr="00CD7E52">
        <w:rPr>
          <w:iCs/>
          <w:szCs w:val="22"/>
          <w:lang w:val="lt-LT"/>
        </w:rPr>
        <w:t>varto</w:t>
      </w:r>
      <w:r w:rsidR="006770E9" w:rsidRPr="00CD7E52">
        <w:rPr>
          <w:iCs/>
          <w:szCs w:val="22"/>
          <w:lang w:val="lt-LT"/>
        </w:rPr>
        <w:t>jo</w:t>
      </w:r>
      <w:r w:rsidRPr="00CD7E52">
        <w:rPr>
          <w:rFonts w:eastAsia="SimSun"/>
          <w:iCs/>
          <w:snapToGrid/>
          <w:szCs w:val="22"/>
          <w:lang w:val="lt-LT"/>
        </w:rPr>
        <w:t xml:space="preserve"> 30</w:t>
      </w:r>
      <w:r w:rsidR="00A87582" w:rsidRPr="00CD7E52">
        <w:rPr>
          <w:rFonts w:eastAsia="SimSun"/>
          <w:iCs/>
          <w:snapToGrid/>
          <w:szCs w:val="22"/>
          <w:lang w:val="lt-LT"/>
        </w:rPr>
        <w:t> mg</w:t>
      </w:r>
      <w:r w:rsidRPr="00CD7E52">
        <w:rPr>
          <w:rFonts w:eastAsia="SimSun"/>
          <w:iCs/>
          <w:snapToGrid/>
          <w:szCs w:val="22"/>
          <w:lang w:val="lt-LT"/>
        </w:rPr>
        <w:t xml:space="preserve"> apremilasto du kartus per parą arba placeb</w:t>
      </w:r>
      <w:r w:rsidR="00141F00" w:rsidRPr="00CD7E52">
        <w:rPr>
          <w:rFonts w:eastAsia="SimSun"/>
          <w:iCs/>
          <w:snapToGrid/>
          <w:szCs w:val="22"/>
          <w:lang w:val="lt-LT"/>
        </w:rPr>
        <w:t>o</w:t>
      </w:r>
      <w:r w:rsidRPr="00CD7E52">
        <w:rPr>
          <w:rFonts w:eastAsia="SimSun"/>
          <w:iCs/>
          <w:snapToGrid/>
          <w:szCs w:val="22"/>
          <w:lang w:val="lt-LT"/>
        </w:rPr>
        <w:t xml:space="preserve"> (placebu</w:t>
      </w:r>
      <w:r w:rsidR="006770E9" w:rsidRPr="00CD7E52">
        <w:rPr>
          <w:rFonts w:eastAsia="SimSun"/>
          <w:iCs/>
          <w:snapToGrid/>
          <w:szCs w:val="22"/>
          <w:lang w:val="lt-LT"/>
        </w:rPr>
        <w:t xml:space="preserve"> </w:t>
      </w:r>
      <w:r w:rsidRPr="00CD7E52">
        <w:rPr>
          <w:rFonts w:eastAsia="SimSun"/>
          <w:iCs/>
          <w:snapToGrid/>
          <w:szCs w:val="22"/>
          <w:lang w:val="lt-LT"/>
        </w:rPr>
        <w:t>kontroliuojama fazė), o nuo 16 iki 32</w:t>
      </w:r>
      <w:r w:rsidR="00C65C08" w:rsidRPr="00CD7E52">
        <w:rPr>
          <w:rFonts w:eastAsia="SimSun"/>
          <w:iCs/>
          <w:snapToGrid/>
          <w:szCs w:val="22"/>
          <w:lang w:val="lt-LT"/>
        </w:rPr>
        <w:t> savai</w:t>
      </w:r>
      <w:r w:rsidRPr="00CD7E52">
        <w:rPr>
          <w:rFonts w:eastAsia="SimSun"/>
          <w:iCs/>
          <w:snapToGrid/>
          <w:szCs w:val="22"/>
          <w:lang w:val="lt-LT"/>
        </w:rPr>
        <w:t>tės visi pacientai vartojo 30</w:t>
      </w:r>
      <w:r w:rsidR="00A87582" w:rsidRPr="00CD7E52">
        <w:rPr>
          <w:rFonts w:eastAsia="SimSun"/>
          <w:iCs/>
          <w:snapToGrid/>
          <w:szCs w:val="22"/>
          <w:lang w:val="lt-LT"/>
        </w:rPr>
        <w:t> mg</w:t>
      </w:r>
      <w:r w:rsidRPr="00CD7E52">
        <w:rPr>
          <w:rFonts w:eastAsia="SimSun"/>
          <w:iCs/>
          <w:snapToGrid/>
          <w:szCs w:val="22"/>
          <w:lang w:val="lt-LT"/>
        </w:rPr>
        <w:t xml:space="preserve"> apremilasto du kartus per parą</w:t>
      </w:r>
      <w:r w:rsidR="006770E9" w:rsidRPr="00CD7E52">
        <w:rPr>
          <w:rFonts w:eastAsia="SimSun"/>
          <w:iCs/>
          <w:snapToGrid/>
          <w:szCs w:val="22"/>
          <w:lang w:val="lt-LT"/>
        </w:rPr>
        <w:t xml:space="preserve"> </w:t>
      </w:r>
      <w:r w:rsidRPr="00CD7E52">
        <w:rPr>
          <w:rFonts w:eastAsia="SimSun"/>
          <w:iCs/>
          <w:snapToGrid/>
          <w:szCs w:val="22"/>
          <w:lang w:val="lt-LT"/>
        </w:rPr>
        <w:t>(palaikomoji fazė). Atsitiktinių imčių gydymo nutraukimo fazėje (nuo 32 iki 52</w:t>
      </w:r>
      <w:r w:rsidR="00C65C08" w:rsidRPr="00CD7E52">
        <w:rPr>
          <w:rFonts w:eastAsia="SimSun"/>
          <w:iCs/>
          <w:snapToGrid/>
          <w:szCs w:val="22"/>
          <w:lang w:val="lt-LT"/>
        </w:rPr>
        <w:t> savai</w:t>
      </w:r>
      <w:r w:rsidRPr="00CD7E52">
        <w:rPr>
          <w:rFonts w:eastAsia="SimSun"/>
          <w:iCs/>
          <w:snapToGrid/>
          <w:szCs w:val="22"/>
          <w:lang w:val="lt-LT"/>
        </w:rPr>
        <w:t xml:space="preserve">tės) </w:t>
      </w:r>
      <w:r w:rsidRPr="00CD7E52">
        <w:rPr>
          <w:iCs/>
          <w:szCs w:val="22"/>
          <w:lang w:val="lt-LT"/>
        </w:rPr>
        <w:t>pacienta</w:t>
      </w:r>
      <w:r w:rsidR="006770E9" w:rsidRPr="00CD7E52">
        <w:rPr>
          <w:iCs/>
          <w:szCs w:val="22"/>
          <w:lang w:val="lt-LT"/>
        </w:rPr>
        <w:t>i</w:t>
      </w:r>
      <w:r w:rsidRPr="00CD7E52">
        <w:rPr>
          <w:iCs/>
          <w:szCs w:val="22"/>
          <w:lang w:val="lt-LT"/>
        </w:rPr>
        <w:t>,</w:t>
      </w:r>
      <w:r w:rsidR="006770E9" w:rsidRPr="00CD7E52">
        <w:rPr>
          <w:iCs/>
          <w:szCs w:val="22"/>
          <w:lang w:val="lt-LT"/>
        </w:rPr>
        <w:t xml:space="preserve"> </w:t>
      </w:r>
      <w:r w:rsidRPr="00CD7E52">
        <w:rPr>
          <w:iCs/>
          <w:szCs w:val="22"/>
          <w:lang w:val="lt-LT"/>
        </w:rPr>
        <w:t>kurie</w:t>
      </w:r>
      <w:r w:rsidRPr="00CD7E52">
        <w:rPr>
          <w:rFonts w:eastAsia="SimSun"/>
          <w:iCs/>
          <w:snapToGrid/>
          <w:szCs w:val="22"/>
          <w:lang w:val="lt-LT"/>
        </w:rPr>
        <w:t xml:space="preserve"> iš pradžių </w:t>
      </w:r>
      <w:r w:rsidR="009132F1" w:rsidRPr="00CD7E52">
        <w:rPr>
          <w:rFonts w:eastAsia="SimSun"/>
          <w:iCs/>
          <w:snapToGrid/>
          <w:szCs w:val="22"/>
          <w:lang w:val="lt-LT"/>
        </w:rPr>
        <w:t xml:space="preserve">buvo </w:t>
      </w:r>
      <w:r w:rsidR="009132F1" w:rsidRPr="00CD7E52">
        <w:rPr>
          <w:iCs/>
          <w:szCs w:val="22"/>
          <w:lang w:val="lt-LT"/>
        </w:rPr>
        <w:t>atsitiktinai priskirti</w:t>
      </w:r>
      <w:r w:rsidRPr="00CD7E52">
        <w:rPr>
          <w:rFonts w:eastAsia="SimSun"/>
          <w:iCs/>
          <w:snapToGrid/>
          <w:szCs w:val="22"/>
          <w:lang w:val="lt-LT"/>
        </w:rPr>
        <w:t xml:space="preserve"> vartoti apremilast</w:t>
      </w:r>
      <w:r w:rsidR="00141F00" w:rsidRPr="00CD7E52">
        <w:rPr>
          <w:rFonts w:eastAsia="SimSun"/>
          <w:iCs/>
          <w:snapToGrid/>
          <w:szCs w:val="22"/>
          <w:lang w:val="lt-LT"/>
        </w:rPr>
        <w:t>o</w:t>
      </w:r>
      <w:r w:rsidRPr="00CD7E52">
        <w:rPr>
          <w:rFonts w:eastAsia="SimSun"/>
          <w:iCs/>
          <w:snapToGrid/>
          <w:szCs w:val="22"/>
          <w:lang w:val="lt-LT"/>
        </w:rPr>
        <w:t xml:space="preserve"> ir kurių </w:t>
      </w:r>
      <w:r w:rsidR="0050207D" w:rsidRPr="00CD7E52">
        <w:rPr>
          <w:iCs/>
          <w:szCs w:val="22"/>
          <w:lang w:val="lt-LT"/>
        </w:rPr>
        <w:t>PASI</w:t>
      </w:r>
      <w:r w:rsidRPr="00CD7E52">
        <w:rPr>
          <w:rFonts w:eastAsia="SimSun"/>
          <w:iCs/>
          <w:snapToGrid/>
          <w:szCs w:val="22"/>
          <w:lang w:val="lt-LT"/>
        </w:rPr>
        <w:t xml:space="preserve"> </w:t>
      </w:r>
      <w:r w:rsidR="006770E9" w:rsidRPr="00CD7E52">
        <w:rPr>
          <w:iCs/>
          <w:szCs w:val="22"/>
          <w:lang w:val="lt-LT"/>
        </w:rPr>
        <w:t>įvertinimas</w:t>
      </w:r>
      <w:r w:rsidRPr="00CD7E52">
        <w:rPr>
          <w:rFonts w:eastAsia="SimSun"/>
          <w:iCs/>
          <w:snapToGrid/>
          <w:szCs w:val="22"/>
          <w:lang w:val="lt-LT"/>
        </w:rPr>
        <w:t xml:space="preserve"> sumažėjo</w:t>
      </w:r>
      <w:r w:rsidR="006770E9" w:rsidRPr="00CD7E52">
        <w:rPr>
          <w:rFonts w:eastAsia="SimSun"/>
          <w:iCs/>
          <w:snapToGrid/>
          <w:szCs w:val="22"/>
          <w:lang w:val="lt-LT"/>
        </w:rPr>
        <w:t xml:space="preserve"> </w:t>
      </w:r>
      <w:r w:rsidRPr="00CD7E52">
        <w:rPr>
          <w:rFonts w:eastAsia="SimSun"/>
          <w:iCs/>
          <w:snapToGrid/>
          <w:szCs w:val="22"/>
          <w:lang w:val="lt-LT"/>
        </w:rPr>
        <w:t>mažiausiai 75</w:t>
      </w:r>
      <w:r w:rsidR="009F17E0" w:rsidRPr="00CD7E52">
        <w:rPr>
          <w:rFonts w:eastAsia="SimSun"/>
          <w:iCs/>
          <w:snapToGrid/>
          <w:szCs w:val="22"/>
          <w:lang w:val="lt-LT"/>
        </w:rPr>
        <w:t> %</w:t>
      </w:r>
      <w:r w:rsidRPr="00CD7E52">
        <w:rPr>
          <w:rFonts w:eastAsia="SimSun"/>
          <w:iCs/>
          <w:snapToGrid/>
          <w:szCs w:val="22"/>
          <w:lang w:val="lt-LT"/>
        </w:rPr>
        <w:t xml:space="preserve"> (</w:t>
      </w:r>
      <w:r w:rsidR="0050207D" w:rsidRPr="00CD7E52">
        <w:rPr>
          <w:iCs/>
          <w:szCs w:val="22"/>
          <w:lang w:val="lt-LT"/>
        </w:rPr>
        <w:t>PASI</w:t>
      </w:r>
      <w:r w:rsidRPr="00CD7E52">
        <w:rPr>
          <w:rFonts w:eastAsia="SimSun"/>
          <w:iCs/>
          <w:snapToGrid/>
          <w:szCs w:val="22"/>
          <w:lang w:val="lt-LT"/>
        </w:rPr>
        <w:t>-75) (</w:t>
      </w:r>
      <w:r w:rsidR="00C65635" w:rsidRPr="00CD7E52">
        <w:rPr>
          <w:rFonts w:eastAsia="SimSun"/>
          <w:iCs/>
          <w:snapToGrid/>
          <w:szCs w:val="22"/>
          <w:lang w:val="lt-LT"/>
        </w:rPr>
        <w:t>ESTEEM</w:t>
      </w:r>
      <w:r w:rsidR="00C65635" w:rsidRPr="00CD7E52">
        <w:rPr>
          <w:iCs/>
          <w:szCs w:val="22"/>
          <w:lang w:val="lt-LT"/>
        </w:rPr>
        <w:t> </w:t>
      </w:r>
      <w:r w:rsidR="00C65635" w:rsidRPr="00CD7E52">
        <w:rPr>
          <w:rFonts w:eastAsia="SimSun"/>
          <w:iCs/>
          <w:snapToGrid/>
          <w:szCs w:val="22"/>
          <w:lang w:val="lt-LT"/>
        </w:rPr>
        <w:t>1</w:t>
      </w:r>
      <w:r w:rsidRPr="00CD7E52">
        <w:rPr>
          <w:rFonts w:eastAsia="SimSun"/>
          <w:iCs/>
          <w:snapToGrid/>
          <w:szCs w:val="22"/>
          <w:lang w:val="lt-LT"/>
        </w:rPr>
        <w:t>) arba 50</w:t>
      </w:r>
      <w:r w:rsidR="009F17E0" w:rsidRPr="00CD7E52">
        <w:rPr>
          <w:rFonts w:eastAsia="SimSun"/>
          <w:iCs/>
          <w:snapToGrid/>
          <w:szCs w:val="22"/>
          <w:lang w:val="lt-LT"/>
        </w:rPr>
        <w:t> %</w:t>
      </w:r>
      <w:r w:rsidRPr="00CD7E52">
        <w:rPr>
          <w:rFonts w:eastAsia="SimSun"/>
          <w:iCs/>
          <w:snapToGrid/>
          <w:szCs w:val="22"/>
          <w:lang w:val="lt-LT"/>
        </w:rPr>
        <w:t xml:space="preserve"> (</w:t>
      </w:r>
      <w:r w:rsidR="0050207D" w:rsidRPr="00CD7E52">
        <w:rPr>
          <w:iCs/>
          <w:szCs w:val="22"/>
          <w:lang w:val="lt-LT"/>
        </w:rPr>
        <w:t>PASI</w:t>
      </w:r>
      <w:r w:rsidRPr="00CD7E52">
        <w:rPr>
          <w:rFonts w:eastAsia="SimSun"/>
          <w:iCs/>
          <w:snapToGrid/>
          <w:szCs w:val="22"/>
          <w:lang w:val="lt-LT"/>
        </w:rPr>
        <w:t>-50) (</w:t>
      </w:r>
      <w:r w:rsidR="00C65635" w:rsidRPr="00CD7E52">
        <w:rPr>
          <w:rFonts w:eastAsia="SimSun"/>
          <w:iCs/>
          <w:snapToGrid/>
          <w:szCs w:val="22"/>
          <w:lang w:val="lt-LT"/>
        </w:rPr>
        <w:t>ESTEEM</w:t>
      </w:r>
      <w:r w:rsidR="00C65635" w:rsidRPr="00CD7E52">
        <w:rPr>
          <w:iCs/>
          <w:szCs w:val="22"/>
          <w:lang w:val="lt-LT"/>
        </w:rPr>
        <w:t> </w:t>
      </w:r>
      <w:r w:rsidR="00C65635" w:rsidRPr="00CD7E52">
        <w:rPr>
          <w:rFonts w:eastAsia="SimSun"/>
          <w:iCs/>
          <w:snapToGrid/>
          <w:szCs w:val="22"/>
          <w:lang w:val="lt-LT"/>
        </w:rPr>
        <w:t>2</w:t>
      </w:r>
      <w:r w:rsidRPr="00CD7E52">
        <w:rPr>
          <w:rFonts w:eastAsia="SimSun"/>
          <w:iCs/>
          <w:snapToGrid/>
          <w:szCs w:val="22"/>
          <w:lang w:val="lt-LT"/>
        </w:rPr>
        <w:t>), 32</w:t>
      </w:r>
      <w:r w:rsidR="00C65C08" w:rsidRPr="00CD7E52">
        <w:rPr>
          <w:rFonts w:eastAsia="SimSun"/>
          <w:iCs/>
          <w:snapToGrid/>
          <w:szCs w:val="22"/>
          <w:lang w:val="lt-LT"/>
        </w:rPr>
        <w:t> savai</w:t>
      </w:r>
      <w:r w:rsidRPr="00CD7E52">
        <w:rPr>
          <w:rFonts w:eastAsia="SimSun"/>
          <w:iCs/>
          <w:snapToGrid/>
          <w:szCs w:val="22"/>
          <w:lang w:val="lt-LT"/>
        </w:rPr>
        <w:t xml:space="preserve">tę </w:t>
      </w:r>
      <w:r w:rsidR="006770E9" w:rsidRPr="00CD7E52">
        <w:rPr>
          <w:iCs/>
          <w:szCs w:val="22"/>
          <w:lang w:val="lt-LT"/>
        </w:rPr>
        <w:t>buvo iš naujo suskirstyti į atsitiktines imtis ir</w:t>
      </w:r>
      <w:r w:rsidRPr="00CD7E52">
        <w:rPr>
          <w:iCs/>
          <w:szCs w:val="22"/>
          <w:lang w:val="lt-LT"/>
        </w:rPr>
        <w:t xml:space="preserve"> varto</w:t>
      </w:r>
      <w:r w:rsidR="006770E9" w:rsidRPr="00CD7E52">
        <w:rPr>
          <w:iCs/>
          <w:szCs w:val="22"/>
          <w:lang w:val="lt-LT"/>
        </w:rPr>
        <w:t>jo</w:t>
      </w:r>
      <w:r w:rsidRPr="00CD7E52">
        <w:rPr>
          <w:rFonts w:eastAsia="SimSun"/>
          <w:iCs/>
          <w:snapToGrid/>
          <w:szCs w:val="22"/>
          <w:lang w:val="lt-LT"/>
        </w:rPr>
        <w:t xml:space="preserve"> placeb</w:t>
      </w:r>
      <w:r w:rsidR="00891FA1" w:rsidRPr="00CD7E52">
        <w:rPr>
          <w:rFonts w:eastAsia="SimSun"/>
          <w:iCs/>
          <w:snapToGrid/>
          <w:szCs w:val="22"/>
          <w:lang w:val="lt-LT"/>
        </w:rPr>
        <w:t>o</w:t>
      </w:r>
      <w:r w:rsidRPr="00CD7E52">
        <w:rPr>
          <w:rFonts w:eastAsia="SimSun"/>
          <w:iCs/>
          <w:snapToGrid/>
          <w:szCs w:val="22"/>
          <w:lang w:val="lt-LT"/>
        </w:rPr>
        <w:t xml:space="preserve"> arba 30</w:t>
      </w:r>
      <w:r w:rsidR="00A87582" w:rsidRPr="00CD7E52">
        <w:rPr>
          <w:rFonts w:eastAsia="SimSun"/>
          <w:iCs/>
          <w:snapToGrid/>
          <w:szCs w:val="22"/>
          <w:lang w:val="lt-LT"/>
        </w:rPr>
        <w:t> mg</w:t>
      </w:r>
      <w:r w:rsidRPr="00CD7E52">
        <w:rPr>
          <w:rFonts w:eastAsia="SimSun"/>
          <w:iCs/>
          <w:snapToGrid/>
          <w:szCs w:val="22"/>
          <w:lang w:val="lt-LT"/>
        </w:rPr>
        <w:t xml:space="preserve"> apremilasto du kartus per parą. Pacientai, </w:t>
      </w:r>
      <w:r w:rsidRPr="00CD7E52">
        <w:rPr>
          <w:iCs/>
          <w:szCs w:val="22"/>
          <w:lang w:val="lt-LT"/>
        </w:rPr>
        <w:t>kurie</w:t>
      </w:r>
      <w:r w:rsidR="009132F1" w:rsidRPr="00CD7E52">
        <w:rPr>
          <w:iCs/>
          <w:szCs w:val="22"/>
          <w:lang w:val="lt-LT"/>
        </w:rPr>
        <w:t xml:space="preserve"> buvo atsitiktinai priskirti</w:t>
      </w:r>
      <w:r w:rsidR="009132F1" w:rsidRPr="00CD7E52">
        <w:rPr>
          <w:rFonts w:eastAsia="SimSun"/>
          <w:iCs/>
          <w:snapToGrid/>
          <w:szCs w:val="22"/>
          <w:lang w:val="lt-LT"/>
        </w:rPr>
        <w:t xml:space="preserve"> </w:t>
      </w:r>
      <w:r w:rsidRPr="00CD7E52">
        <w:rPr>
          <w:rFonts w:eastAsia="SimSun"/>
          <w:iCs/>
          <w:snapToGrid/>
          <w:szCs w:val="22"/>
          <w:lang w:val="lt-LT"/>
        </w:rPr>
        <w:t>vartoti placeb</w:t>
      </w:r>
      <w:r w:rsidR="00891FA1" w:rsidRPr="00CD7E52">
        <w:rPr>
          <w:rFonts w:eastAsia="SimSun"/>
          <w:iCs/>
          <w:snapToGrid/>
          <w:szCs w:val="22"/>
          <w:lang w:val="lt-LT"/>
        </w:rPr>
        <w:t>o</w:t>
      </w:r>
      <w:r w:rsidRPr="00CD7E52">
        <w:rPr>
          <w:rFonts w:eastAsia="SimSun"/>
          <w:iCs/>
          <w:snapToGrid/>
          <w:szCs w:val="22"/>
          <w:lang w:val="lt-LT"/>
        </w:rPr>
        <w:t xml:space="preserve"> ir kuriems 32</w:t>
      </w:r>
      <w:r w:rsidR="00C65C08" w:rsidRPr="00CD7E52">
        <w:rPr>
          <w:rFonts w:eastAsia="SimSun"/>
          <w:iCs/>
          <w:snapToGrid/>
          <w:szCs w:val="22"/>
          <w:lang w:val="lt-LT"/>
        </w:rPr>
        <w:t> savai</w:t>
      </w:r>
      <w:r w:rsidRPr="00CD7E52">
        <w:rPr>
          <w:rFonts w:eastAsia="SimSun"/>
          <w:iCs/>
          <w:snapToGrid/>
          <w:szCs w:val="22"/>
          <w:lang w:val="lt-LT"/>
        </w:rPr>
        <w:t xml:space="preserve">tę </w:t>
      </w:r>
      <w:r w:rsidR="0050207D" w:rsidRPr="00CD7E52">
        <w:rPr>
          <w:iCs/>
          <w:szCs w:val="22"/>
          <w:lang w:val="lt-LT"/>
        </w:rPr>
        <w:t>PASI</w:t>
      </w:r>
      <w:r w:rsidR="00891FA1" w:rsidRPr="00CD7E52">
        <w:rPr>
          <w:rFonts w:eastAsia="SimSun"/>
          <w:iCs/>
          <w:snapToGrid/>
          <w:szCs w:val="22"/>
          <w:lang w:val="lt-LT"/>
        </w:rPr>
        <w:t> </w:t>
      </w:r>
      <w:r w:rsidRPr="00CD7E52">
        <w:rPr>
          <w:rFonts w:eastAsia="SimSun"/>
          <w:iCs/>
          <w:snapToGrid/>
          <w:szCs w:val="22"/>
          <w:lang w:val="lt-LT"/>
        </w:rPr>
        <w:t>75 atsakas išnyko</w:t>
      </w:r>
      <w:r w:rsidR="00DB06FB" w:rsidRPr="00CD7E52">
        <w:rPr>
          <w:rFonts w:eastAsia="SimSun"/>
          <w:iCs/>
          <w:snapToGrid/>
          <w:szCs w:val="22"/>
          <w:lang w:val="lt-LT"/>
        </w:rPr>
        <w:t xml:space="preserve"> </w:t>
      </w:r>
      <w:r w:rsidRPr="00CD7E52">
        <w:rPr>
          <w:rFonts w:eastAsia="SimSun"/>
          <w:iCs/>
          <w:snapToGrid/>
          <w:szCs w:val="22"/>
          <w:lang w:val="lt-LT"/>
        </w:rPr>
        <w:t>(</w:t>
      </w:r>
      <w:r w:rsidR="00C65635" w:rsidRPr="00CD7E52">
        <w:rPr>
          <w:rFonts w:eastAsia="SimSun"/>
          <w:iCs/>
          <w:snapToGrid/>
          <w:szCs w:val="22"/>
          <w:lang w:val="lt-LT"/>
        </w:rPr>
        <w:t>ESTEEM</w:t>
      </w:r>
      <w:r w:rsidR="00C65635" w:rsidRPr="00CD7E52">
        <w:rPr>
          <w:iCs/>
          <w:szCs w:val="22"/>
          <w:lang w:val="lt-LT"/>
        </w:rPr>
        <w:t> </w:t>
      </w:r>
      <w:r w:rsidR="00C65635" w:rsidRPr="00CD7E52">
        <w:rPr>
          <w:rFonts w:eastAsia="SimSun"/>
          <w:iCs/>
          <w:snapToGrid/>
          <w:szCs w:val="22"/>
          <w:lang w:val="lt-LT"/>
        </w:rPr>
        <w:t>1</w:t>
      </w:r>
      <w:r w:rsidRPr="00CD7E52">
        <w:rPr>
          <w:rFonts w:eastAsia="SimSun"/>
          <w:iCs/>
          <w:snapToGrid/>
          <w:szCs w:val="22"/>
          <w:lang w:val="lt-LT"/>
        </w:rPr>
        <w:t xml:space="preserve">) arba </w:t>
      </w:r>
      <w:r w:rsidR="0050207D" w:rsidRPr="00CD7E52">
        <w:rPr>
          <w:iCs/>
          <w:szCs w:val="22"/>
          <w:lang w:val="lt-LT"/>
        </w:rPr>
        <w:t>PASI</w:t>
      </w:r>
      <w:r w:rsidRPr="00CD7E52">
        <w:rPr>
          <w:rFonts w:eastAsia="SimSun"/>
          <w:iCs/>
          <w:snapToGrid/>
          <w:szCs w:val="22"/>
          <w:lang w:val="lt-LT"/>
        </w:rPr>
        <w:t xml:space="preserve"> pagerėjimas sumažėjo 50</w:t>
      </w:r>
      <w:r w:rsidR="009F17E0" w:rsidRPr="00CD7E52">
        <w:rPr>
          <w:rFonts w:eastAsia="SimSun"/>
          <w:iCs/>
          <w:snapToGrid/>
          <w:szCs w:val="22"/>
          <w:lang w:val="lt-LT"/>
        </w:rPr>
        <w:t> %</w:t>
      </w:r>
      <w:r w:rsidRPr="00CD7E52">
        <w:rPr>
          <w:rFonts w:eastAsia="SimSun"/>
          <w:iCs/>
          <w:snapToGrid/>
          <w:szCs w:val="22"/>
          <w:lang w:val="lt-LT"/>
        </w:rPr>
        <w:t xml:space="preserve">, lyginant su pradiniu </w:t>
      </w:r>
      <w:r w:rsidR="00DB06FB" w:rsidRPr="00CD7E52">
        <w:rPr>
          <w:iCs/>
          <w:szCs w:val="22"/>
          <w:lang w:val="lt-LT"/>
        </w:rPr>
        <w:t xml:space="preserve">rodmeniu </w:t>
      </w:r>
      <w:r w:rsidRPr="00CD7E52">
        <w:rPr>
          <w:rFonts w:eastAsia="SimSun"/>
          <w:iCs/>
          <w:snapToGrid/>
          <w:szCs w:val="22"/>
          <w:lang w:val="lt-LT"/>
        </w:rPr>
        <w:t>(</w:t>
      </w:r>
      <w:r w:rsidR="00C65635" w:rsidRPr="00CD7E52">
        <w:rPr>
          <w:rFonts w:eastAsia="SimSun"/>
          <w:iCs/>
          <w:snapToGrid/>
          <w:szCs w:val="22"/>
          <w:lang w:val="lt-LT"/>
        </w:rPr>
        <w:t>ESTEEM</w:t>
      </w:r>
      <w:r w:rsidR="00C65635" w:rsidRPr="00CD7E52">
        <w:rPr>
          <w:iCs/>
          <w:szCs w:val="22"/>
          <w:lang w:val="lt-LT"/>
        </w:rPr>
        <w:t> </w:t>
      </w:r>
      <w:r w:rsidR="00C65635" w:rsidRPr="00CD7E52">
        <w:rPr>
          <w:rFonts w:eastAsia="SimSun"/>
          <w:iCs/>
          <w:snapToGrid/>
          <w:szCs w:val="22"/>
          <w:lang w:val="lt-LT"/>
        </w:rPr>
        <w:t>2</w:t>
      </w:r>
      <w:r w:rsidRPr="00CD7E52">
        <w:rPr>
          <w:rFonts w:eastAsia="SimSun"/>
          <w:iCs/>
          <w:snapToGrid/>
          <w:szCs w:val="22"/>
          <w:lang w:val="lt-LT"/>
        </w:rPr>
        <w:t>), buvo pakartotinai</w:t>
      </w:r>
      <w:r w:rsidR="00DB06FB" w:rsidRPr="00CD7E52">
        <w:rPr>
          <w:rFonts w:eastAsia="SimSun"/>
          <w:iCs/>
          <w:snapToGrid/>
          <w:szCs w:val="22"/>
          <w:lang w:val="lt-LT"/>
        </w:rPr>
        <w:t xml:space="preserve"> </w:t>
      </w:r>
      <w:r w:rsidRPr="00CD7E52">
        <w:rPr>
          <w:rFonts w:eastAsia="SimSun"/>
          <w:iCs/>
          <w:snapToGrid/>
          <w:szCs w:val="22"/>
          <w:lang w:val="lt-LT"/>
        </w:rPr>
        <w:t>gydomi 30</w:t>
      </w:r>
      <w:r w:rsidR="00A87582" w:rsidRPr="00CD7E52">
        <w:rPr>
          <w:rFonts w:eastAsia="SimSun"/>
          <w:iCs/>
          <w:snapToGrid/>
          <w:szCs w:val="22"/>
          <w:lang w:val="lt-LT"/>
        </w:rPr>
        <w:t> mg</w:t>
      </w:r>
      <w:r w:rsidRPr="00CD7E52">
        <w:rPr>
          <w:rFonts w:eastAsia="SimSun"/>
          <w:iCs/>
          <w:snapToGrid/>
          <w:szCs w:val="22"/>
          <w:lang w:val="lt-LT"/>
        </w:rPr>
        <w:t xml:space="preserve"> apremilasto du kartus per parą. Pacientai, kuriems iki 32</w:t>
      </w:r>
      <w:r w:rsidR="00C65C08" w:rsidRPr="00CD7E52">
        <w:rPr>
          <w:rFonts w:eastAsia="SimSun"/>
          <w:iCs/>
          <w:snapToGrid/>
          <w:szCs w:val="22"/>
          <w:lang w:val="lt-LT"/>
        </w:rPr>
        <w:t> savai</w:t>
      </w:r>
      <w:r w:rsidRPr="00CD7E52">
        <w:rPr>
          <w:rFonts w:eastAsia="SimSun"/>
          <w:iCs/>
          <w:snapToGrid/>
          <w:szCs w:val="22"/>
          <w:lang w:val="lt-LT"/>
        </w:rPr>
        <w:t>tės nebuvo pasiektas numatytas</w:t>
      </w:r>
      <w:r w:rsidR="00DB06FB" w:rsidRPr="00CD7E52">
        <w:rPr>
          <w:rFonts w:eastAsia="SimSun"/>
          <w:iCs/>
          <w:snapToGrid/>
          <w:szCs w:val="22"/>
          <w:lang w:val="lt-LT"/>
        </w:rPr>
        <w:t xml:space="preserve"> </w:t>
      </w:r>
      <w:r w:rsidR="0050207D" w:rsidRPr="00CD7E52">
        <w:rPr>
          <w:iCs/>
          <w:szCs w:val="22"/>
          <w:lang w:val="lt-LT"/>
        </w:rPr>
        <w:t>PASI</w:t>
      </w:r>
      <w:r w:rsidRPr="00CD7E52">
        <w:rPr>
          <w:rFonts w:eastAsia="SimSun"/>
          <w:iCs/>
          <w:snapToGrid/>
          <w:szCs w:val="22"/>
          <w:lang w:val="lt-LT"/>
        </w:rPr>
        <w:t xml:space="preserve"> atsakas arba kuriems iš pradžių </w:t>
      </w:r>
      <w:r w:rsidR="009132F1" w:rsidRPr="00CD7E52">
        <w:rPr>
          <w:rFonts w:eastAsia="SimSun"/>
          <w:iCs/>
          <w:snapToGrid/>
          <w:szCs w:val="22"/>
          <w:lang w:val="lt-LT"/>
        </w:rPr>
        <w:t xml:space="preserve">buvo </w:t>
      </w:r>
      <w:r w:rsidR="009132F1" w:rsidRPr="00CD7E52">
        <w:rPr>
          <w:iCs/>
          <w:szCs w:val="22"/>
          <w:lang w:val="lt-LT"/>
        </w:rPr>
        <w:t>atsitiktinai priskirti</w:t>
      </w:r>
      <w:r w:rsidRPr="00CD7E52">
        <w:rPr>
          <w:rFonts w:eastAsia="SimSun"/>
          <w:iCs/>
          <w:snapToGrid/>
          <w:szCs w:val="22"/>
          <w:lang w:val="lt-LT"/>
        </w:rPr>
        <w:t xml:space="preserve"> vartoti placeb</w:t>
      </w:r>
      <w:r w:rsidR="00113108" w:rsidRPr="00CD7E52">
        <w:rPr>
          <w:rFonts w:eastAsia="SimSun"/>
          <w:iCs/>
          <w:snapToGrid/>
          <w:szCs w:val="22"/>
          <w:lang w:val="lt-LT"/>
        </w:rPr>
        <w:t>o</w:t>
      </w:r>
      <w:r w:rsidRPr="00CD7E52">
        <w:rPr>
          <w:rFonts w:eastAsia="SimSun"/>
          <w:iCs/>
          <w:snapToGrid/>
          <w:szCs w:val="22"/>
          <w:lang w:val="lt-LT"/>
        </w:rPr>
        <w:t>, toliau vartojo</w:t>
      </w:r>
      <w:r w:rsidR="00DB06FB" w:rsidRPr="00CD7E52">
        <w:rPr>
          <w:rFonts w:eastAsia="SimSun"/>
          <w:iCs/>
          <w:snapToGrid/>
          <w:szCs w:val="22"/>
          <w:lang w:val="lt-LT"/>
        </w:rPr>
        <w:t xml:space="preserve"> </w:t>
      </w:r>
      <w:r w:rsidRPr="00CD7E52">
        <w:rPr>
          <w:rFonts w:eastAsia="SimSun"/>
          <w:iCs/>
          <w:snapToGrid/>
          <w:szCs w:val="22"/>
          <w:lang w:val="lt-LT"/>
        </w:rPr>
        <w:t>apremilast</w:t>
      </w:r>
      <w:r w:rsidR="00113108" w:rsidRPr="00CD7E52">
        <w:rPr>
          <w:rFonts w:eastAsia="SimSun"/>
          <w:iCs/>
          <w:snapToGrid/>
          <w:szCs w:val="22"/>
          <w:lang w:val="lt-LT"/>
        </w:rPr>
        <w:t>o</w:t>
      </w:r>
      <w:r w:rsidRPr="00CD7E52">
        <w:rPr>
          <w:rFonts w:eastAsia="SimSun"/>
          <w:iCs/>
          <w:snapToGrid/>
          <w:szCs w:val="22"/>
          <w:lang w:val="lt-LT"/>
        </w:rPr>
        <w:t xml:space="preserve"> iki 52</w:t>
      </w:r>
      <w:r w:rsidR="00C65C08" w:rsidRPr="00CD7E52">
        <w:rPr>
          <w:rFonts w:eastAsia="SimSun"/>
          <w:iCs/>
          <w:snapToGrid/>
          <w:szCs w:val="22"/>
          <w:lang w:val="lt-LT"/>
        </w:rPr>
        <w:t> savai</w:t>
      </w:r>
      <w:r w:rsidRPr="00CD7E52">
        <w:rPr>
          <w:rFonts w:eastAsia="SimSun"/>
          <w:iCs/>
          <w:snapToGrid/>
          <w:szCs w:val="22"/>
          <w:lang w:val="lt-LT"/>
        </w:rPr>
        <w:t>tės.</w:t>
      </w:r>
    </w:p>
    <w:p w14:paraId="17DD90F6" w14:textId="77777777" w:rsidR="00635C50" w:rsidRPr="00CD7E52" w:rsidRDefault="00635C50" w:rsidP="00BD0220">
      <w:pPr>
        <w:widowControl w:val="0"/>
        <w:tabs>
          <w:tab w:val="clear" w:pos="567"/>
        </w:tabs>
        <w:autoSpaceDE w:val="0"/>
        <w:autoSpaceDN w:val="0"/>
        <w:adjustRightInd w:val="0"/>
        <w:spacing w:line="240" w:lineRule="auto"/>
        <w:rPr>
          <w:rFonts w:eastAsia="SimSun"/>
          <w:iCs/>
          <w:snapToGrid/>
          <w:szCs w:val="22"/>
          <w:lang w:val="lt-LT"/>
        </w:rPr>
      </w:pPr>
    </w:p>
    <w:p w14:paraId="2A0EE497" w14:textId="77777777" w:rsidR="004B4124" w:rsidRPr="00CD7E52" w:rsidRDefault="00DB06FB" w:rsidP="00BD0220">
      <w:pPr>
        <w:widowControl w:val="0"/>
        <w:tabs>
          <w:tab w:val="clear" w:pos="567"/>
        </w:tabs>
        <w:autoSpaceDE w:val="0"/>
        <w:autoSpaceDN w:val="0"/>
        <w:adjustRightInd w:val="0"/>
        <w:spacing w:line="240" w:lineRule="auto"/>
        <w:rPr>
          <w:szCs w:val="22"/>
          <w:lang w:val="lt-LT"/>
        </w:rPr>
      </w:pPr>
      <w:r w:rsidRPr="00CD7E52">
        <w:rPr>
          <w:snapToGrid/>
          <w:szCs w:val="22"/>
          <w:lang w:val="lt-LT"/>
        </w:rPr>
        <w:t>T</w:t>
      </w:r>
      <w:r w:rsidR="004B4124" w:rsidRPr="00CD7E52">
        <w:rPr>
          <w:snapToGrid/>
          <w:szCs w:val="22"/>
          <w:lang w:val="lt-LT"/>
        </w:rPr>
        <w:t>yrim</w:t>
      </w:r>
      <w:r w:rsidRPr="00CD7E52">
        <w:rPr>
          <w:snapToGrid/>
          <w:szCs w:val="22"/>
          <w:lang w:val="lt-LT"/>
        </w:rPr>
        <w:t>ų</w:t>
      </w:r>
      <w:r w:rsidR="004B4124" w:rsidRPr="00CD7E52">
        <w:rPr>
          <w:szCs w:val="22"/>
          <w:lang w:val="lt-LT"/>
        </w:rPr>
        <w:t xml:space="preserve"> metu buvo leidžiama vartoti vietini</w:t>
      </w:r>
      <w:r w:rsidR="0018429A" w:rsidRPr="00CD7E52">
        <w:rPr>
          <w:szCs w:val="22"/>
          <w:lang w:val="lt-LT"/>
        </w:rPr>
        <w:t>ų</w:t>
      </w:r>
      <w:r w:rsidR="004B4124" w:rsidRPr="00CD7E52">
        <w:rPr>
          <w:szCs w:val="22"/>
          <w:lang w:val="lt-LT"/>
        </w:rPr>
        <w:t xml:space="preserve"> </w:t>
      </w:r>
      <w:r w:rsidR="004B4124" w:rsidRPr="00CD7E52">
        <w:rPr>
          <w:snapToGrid/>
          <w:szCs w:val="22"/>
          <w:lang w:val="lt-LT"/>
        </w:rPr>
        <w:t>nestipr</w:t>
      </w:r>
      <w:r w:rsidRPr="00CD7E52">
        <w:rPr>
          <w:snapToGrid/>
          <w:szCs w:val="22"/>
          <w:lang w:val="lt-LT"/>
        </w:rPr>
        <w:t>aus poveikio</w:t>
      </w:r>
      <w:r w:rsidR="004B4124" w:rsidRPr="00CD7E52">
        <w:rPr>
          <w:szCs w:val="22"/>
          <w:lang w:val="lt-LT"/>
        </w:rPr>
        <w:t xml:space="preserve"> kortikosteroid</w:t>
      </w:r>
      <w:r w:rsidR="00D1746D" w:rsidRPr="00CD7E52">
        <w:rPr>
          <w:szCs w:val="22"/>
          <w:lang w:val="lt-LT"/>
        </w:rPr>
        <w:t>ų</w:t>
      </w:r>
      <w:r w:rsidR="004B4124" w:rsidRPr="00CD7E52">
        <w:rPr>
          <w:szCs w:val="22"/>
          <w:lang w:val="lt-LT"/>
        </w:rPr>
        <w:t xml:space="preserve"> ant</w:t>
      </w:r>
      <w:r w:rsidRPr="00CD7E52">
        <w:rPr>
          <w:szCs w:val="22"/>
          <w:lang w:val="lt-LT"/>
        </w:rPr>
        <w:t xml:space="preserve"> </w:t>
      </w:r>
      <w:r w:rsidR="004B4124" w:rsidRPr="00CD7E52">
        <w:rPr>
          <w:szCs w:val="22"/>
          <w:lang w:val="lt-LT"/>
        </w:rPr>
        <w:t xml:space="preserve">veido, pažastų ir kirkšnių, </w:t>
      </w:r>
      <w:r w:rsidRPr="00CD7E52">
        <w:rPr>
          <w:rFonts w:eastAsia="TimesNewRoman"/>
          <w:szCs w:val="22"/>
          <w:lang w:val="lt-LT"/>
        </w:rPr>
        <w:t>šampūn</w:t>
      </w:r>
      <w:r w:rsidR="00C1191F" w:rsidRPr="00CD7E52">
        <w:rPr>
          <w:rFonts w:eastAsia="TimesNewRoman"/>
          <w:szCs w:val="22"/>
          <w:lang w:val="lt-LT"/>
        </w:rPr>
        <w:t>o</w:t>
      </w:r>
      <w:r w:rsidRPr="00CD7E52">
        <w:rPr>
          <w:rFonts w:eastAsia="TimesNewRoman"/>
          <w:snapToGrid/>
          <w:szCs w:val="22"/>
          <w:lang w:val="lt-LT"/>
        </w:rPr>
        <w:t>, kuro sudėtyje yra deguto,</w:t>
      </w:r>
      <w:r w:rsidR="004B4124" w:rsidRPr="00CD7E52">
        <w:rPr>
          <w:szCs w:val="22"/>
          <w:lang w:val="lt-LT"/>
        </w:rPr>
        <w:t xml:space="preserve"> ir (arba) salicilo rūgšties </w:t>
      </w:r>
      <w:r w:rsidR="00DF2A2D" w:rsidRPr="00CD7E52">
        <w:rPr>
          <w:szCs w:val="22"/>
          <w:lang w:val="lt-LT"/>
        </w:rPr>
        <w:t xml:space="preserve">vaistinius </w:t>
      </w:r>
      <w:r w:rsidR="004B4124" w:rsidRPr="00CD7E52">
        <w:rPr>
          <w:szCs w:val="22"/>
          <w:lang w:val="lt-LT"/>
        </w:rPr>
        <w:t xml:space="preserve">preparatus galvos odai. </w:t>
      </w:r>
      <w:r w:rsidR="002B080E" w:rsidRPr="00CD7E52">
        <w:rPr>
          <w:snapToGrid/>
          <w:szCs w:val="22"/>
          <w:lang w:val="lt-LT"/>
        </w:rPr>
        <w:t>Be to,</w:t>
      </w:r>
      <w:r w:rsidR="002B080E" w:rsidRPr="00CD7E52">
        <w:rPr>
          <w:szCs w:val="22"/>
          <w:lang w:val="lt-LT"/>
        </w:rPr>
        <w:t xml:space="preserve"> </w:t>
      </w:r>
      <w:r w:rsidR="004B4124" w:rsidRPr="00CD7E52">
        <w:rPr>
          <w:szCs w:val="22"/>
          <w:lang w:val="lt-LT"/>
        </w:rPr>
        <w:t>32</w:t>
      </w:r>
      <w:r w:rsidR="00C65C08" w:rsidRPr="00CD7E52">
        <w:rPr>
          <w:szCs w:val="22"/>
          <w:lang w:val="lt-LT"/>
        </w:rPr>
        <w:t> savai</w:t>
      </w:r>
      <w:r w:rsidR="004B4124" w:rsidRPr="00CD7E52">
        <w:rPr>
          <w:szCs w:val="22"/>
          <w:lang w:val="lt-LT"/>
        </w:rPr>
        <w:t xml:space="preserve">tę tiriamiesiems, kuriems nebuvo pasiektas </w:t>
      </w:r>
      <w:r w:rsidR="0050207D" w:rsidRPr="00CD7E52">
        <w:rPr>
          <w:szCs w:val="22"/>
          <w:lang w:val="lt-LT"/>
        </w:rPr>
        <w:t>PASI</w:t>
      </w:r>
      <w:r w:rsidR="004B4124" w:rsidRPr="00CD7E52">
        <w:rPr>
          <w:szCs w:val="22"/>
          <w:lang w:val="lt-LT"/>
        </w:rPr>
        <w:t xml:space="preserve">-75 atsakas </w:t>
      </w:r>
      <w:r w:rsidR="00C65635" w:rsidRPr="00CD7E52">
        <w:rPr>
          <w:szCs w:val="22"/>
          <w:lang w:val="lt-LT"/>
        </w:rPr>
        <w:t>ESTEEM</w:t>
      </w:r>
      <w:r w:rsidR="00C65635" w:rsidRPr="00CD7E52">
        <w:rPr>
          <w:snapToGrid/>
          <w:szCs w:val="22"/>
          <w:lang w:val="lt-LT"/>
        </w:rPr>
        <w:t> </w:t>
      </w:r>
      <w:r w:rsidR="00C65635" w:rsidRPr="00CD7E52">
        <w:rPr>
          <w:szCs w:val="22"/>
          <w:lang w:val="lt-LT"/>
        </w:rPr>
        <w:t>1</w:t>
      </w:r>
      <w:r w:rsidR="004B4124" w:rsidRPr="00CD7E52">
        <w:rPr>
          <w:szCs w:val="22"/>
          <w:lang w:val="lt-LT"/>
        </w:rPr>
        <w:t xml:space="preserve"> metu arba </w:t>
      </w:r>
      <w:r w:rsidR="0050207D" w:rsidRPr="00CD7E52">
        <w:rPr>
          <w:szCs w:val="22"/>
          <w:lang w:val="lt-LT"/>
        </w:rPr>
        <w:t>PASI</w:t>
      </w:r>
      <w:r w:rsidR="004B4124" w:rsidRPr="00CD7E52">
        <w:rPr>
          <w:szCs w:val="22"/>
          <w:lang w:val="lt-LT"/>
        </w:rPr>
        <w:t>-50 atsakas</w:t>
      </w:r>
      <w:r w:rsidR="002B080E" w:rsidRPr="00CD7E52">
        <w:rPr>
          <w:szCs w:val="22"/>
          <w:lang w:val="lt-LT"/>
        </w:rPr>
        <w:t xml:space="preserve"> </w:t>
      </w:r>
      <w:r w:rsidR="00C65635" w:rsidRPr="00CD7E52">
        <w:rPr>
          <w:szCs w:val="22"/>
          <w:lang w:val="lt-LT"/>
        </w:rPr>
        <w:t>ESTEEM</w:t>
      </w:r>
      <w:r w:rsidR="00C65635" w:rsidRPr="00CD7E52">
        <w:rPr>
          <w:snapToGrid/>
          <w:szCs w:val="22"/>
          <w:lang w:val="lt-LT"/>
        </w:rPr>
        <w:t> </w:t>
      </w:r>
      <w:r w:rsidR="00C65635" w:rsidRPr="00CD7E52">
        <w:rPr>
          <w:szCs w:val="22"/>
          <w:lang w:val="lt-LT"/>
        </w:rPr>
        <w:t>2</w:t>
      </w:r>
      <w:r w:rsidR="004B4124" w:rsidRPr="00CD7E52">
        <w:rPr>
          <w:szCs w:val="22"/>
          <w:lang w:val="lt-LT"/>
        </w:rPr>
        <w:t xml:space="preserve"> metu, kartu su 30</w:t>
      </w:r>
      <w:r w:rsidR="00A87582" w:rsidRPr="00CD7E52">
        <w:rPr>
          <w:szCs w:val="22"/>
          <w:lang w:val="lt-LT"/>
        </w:rPr>
        <w:t> mg</w:t>
      </w:r>
      <w:r w:rsidR="004B4124" w:rsidRPr="00CD7E52">
        <w:rPr>
          <w:szCs w:val="22"/>
          <w:lang w:val="lt-LT"/>
        </w:rPr>
        <w:t xml:space="preserve"> apremilasto vartojimu du kartus per parą buvo leidžiama vartoti vietinio</w:t>
      </w:r>
      <w:r w:rsidR="002B080E" w:rsidRPr="00CD7E52">
        <w:rPr>
          <w:szCs w:val="22"/>
          <w:lang w:val="lt-LT"/>
        </w:rPr>
        <w:t xml:space="preserve"> </w:t>
      </w:r>
      <w:r w:rsidR="004B4124" w:rsidRPr="00CD7E52">
        <w:rPr>
          <w:szCs w:val="22"/>
          <w:lang w:val="lt-LT"/>
        </w:rPr>
        <w:t xml:space="preserve">poveikio </w:t>
      </w:r>
      <w:r w:rsidR="004B4124" w:rsidRPr="00CD7E52">
        <w:rPr>
          <w:snapToGrid/>
          <w:szCs w:val="22"/>
          <w:lang w:val="lt-LT"/>
        </w:rPr>
        <w:t>vaist</w:t>
      </w:r>
      <w:r w:rsidR="002B080E" w:rsidRPr="00CD7E52">
        <w:rPr>
          <w:snapToGrid/>
          <w:szCs w:val="22"/>
          <w:lang w:val="lt-LT"/>
        </w:rPr>
        <w:t>ini</w:t>
      </w:r>
      <w:r w:rsidR="00DF2A2D" w:rsidRPr="00CD7E52">
        <w:rPr>
          <w:snapToGrid/>
          <w:szCs w:val="22"/>
          <w:lang w:val="lt-LT"/>
        </w:rPr>
        <w:t>ų</w:t>
      </w:r>
      <w:r w:rsidR="002B080E" w:rsidRPr="00CD7E52">
        <w:rPr>
          <w:snapToGrid/>
          <w:szCs w:val="22"/>
          <w:lang w:val="lt-LT"/>
        </w:rPr>
        <w:t xml:space="preserve"> preparat</w:t>
      </w:r>
      <w:r w:rsidR="00DF2A2D" w:rsidRPr="00CD7E52">
        <w:rPr>
          <w:snapToGrid/>
          <w:szCs w:val="22"/>
          <w:lang w:val="lt-LT"/>
        </w:rPr>
        <w:t>ų</w:t>
      </w:r>
      <w:r w:rsidR="004B4124" w:rsidRPr="00CD7E52">
        <w:rPr>
          <w:szCs w:val="22"/>
          <w:lang w:val="lt-LT"/>
        </w:rPr>
        <w:t xml:space="preserve"> nuo psoriazės ir (arba) </w:t>
      </w:r>
      <w:r w:rsidR="002B080E" w:rsidRPr="00CD7E52">
        <w:rPr>
          <w:snapToGrid/>
          <w:szCs w:val="22"/>
          <w:lang w:val="lt-LT"/>
        </w:rPr>
        <w:t>taikyti</w:t>
      </w:r>
      <w:r w:rsidR="004B4124" w:rsidRPr="00CD7E52">
        <w:rPr>
          <w:szCs w:val="22"/>
          <w:lang w:val="lt-LT"/>
        </w:rPr>
        <w:t xml:space="preserve"> fototerapiją.</w:t>
      </w:r>
    </w:p>
    <w:p w14:paraId="186449AD" w14:textId="77777777" w:rsidR="002B080E" w:rsidRPr="00CD7E52" w:rsidRDefault="002B080E" w:rsidP="00BD0220">
      <w:pPr>
        <w:widowControl w:val="0"/>
        <w:tabs>
          <w:tab w:val="clear" w:pos="567"/>
        </w:tabs>
        <w:autoSpaceDE w:val="0"/>
        <w:autoSpaceDN w:val="0"/>
        <w:adjustRightInd w:val="0"/>
        <w:spacing w:line="240" w:lineRule="auto"/>
        <w:rPr>
          <w:szCs w:val="22"/>
          <w:lang w:val="lt-LT"/>
        </w:rPr>
      </w:pPr>
    </w:p>
    <w:p w14:paraId="5A6B3D00"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Po 52</w:t>
      </w:r>
      <w:r w:rsidR="006439A1" w:rsidRPr="00CD7E52">
        <w:rPr>
          <w:snapToGrid/>
          <w:szCs w:val="22"/>
          <w:lang w:val="lt-LT"/>
        </w:rPr>
        <w:t> </w:t>
      </w:r>
      <w:r w:rsidRPr="00CD7E52">
        <w:rPr>
          <w:szCs w:val="22"/>
          <w:lang w:val="lt-LT"/>
        </w:rPr>
        <w:t>gydymo</w:t>
      </w:r>
      <w:r w:rsidR="006439A1" w:rsidRPr="00CD7E52">
        <w:rPr>
          <w:szCs w:val="22"/>
          <w:lang w:val="lt-LT"/>
        </w:rPr>
        <w:t xml:space="preserve"> </w:t>
      </w:r>
      <w:r w:rsidR="00C65C08" w:rsidRPr="00CD7E52">
        <w:rPr>
          <w:szCs w:val="22"/>
          <w:lang w:val="lt-LT"/>
        </w:rPr>
        <w:t>savai</w:t>
      </w:r>
      <w:r w:rsidRPr="00CD7E52">
        <w:rPr>
          <w:szCs w:val="22"/>
          <w:lang w:val="lt-LT"/>
        </w:rPr>
        <w:t>čių pacientai vėl galėjo atvirai vartoti 30</w:t>
      </w:r>
      <w:r w:rsidR="00A87582" w:rsidRPr="00CD7E52">
        <w:rPr>
          <w:szCs w:val="22"/>
          <w:lang w:val="lt-LT"/>
        </w:rPr>
        <w:t> mg</w:t>
      </w:r>
      <w:r w:rsidRPr="00CD7E52">
        <w:rPr>
          <w:szCs w:val="22"/>
          <w:lang w:val="lt-LT"/>
        </w:rPr>
        <w:t xml:space="preserve"> apremilasto tyrimų </w:t>
      </w:r>
      <w:r w:rsidR="00C65635" w:rsidRPr="00CD7E52">
        <w:rPr>
          <w:szCs w:val="22"/>
          <w:lang w:val="lt-LT"/>
        </w:rPr>
        <w:t>ESTEEM</w:t>
      </w:r>
      <w:r w:rsidR="00C65635" w:rsidRPr="00CD7E52">
        <w:rPr>
          <w:snapToGrid/>
          <w:szCs w:val="22"/>
          <w:lang w:val="lt-LT"/>
        </w:rPr>
        <w:t> </w:t>
      </w:r>
      <w:r w:rsidR="00C65635" w:rsidRPr="00CD7E52">
        <w:rPr>
          <w:szCs w:val="22"/>
          <w:lang w:val="lt-LT"/>
        </w:rPr>
        <w:t>1</w:t>
      </w:r>
      <w:r w:rsidRPr="00CD7E52">
        <w:rPr>
          <w:szCs w:val="22"/>
          <w:lang w:val="lt-LT"/>
        </w:rPr>
        <w:t xml:space="preserve"> ir</w:t>
      </w:r>
      <w:r w:rsidR="006439A1" w:rsidRPr="00CD7E52">
        <w:rPr>
          <w:szCs w:val="22"/>
          <w:lang w:val="lt-LT"/>
        </w:rPr>
        <w:t xml:space="preserve"> </w:t>
      </w:r>
      <w:r w:rsidR="00C65635" w:rsidRPr="00CD7E52">
        <w:rPr>
          <w:szCs w:val="22"/>
          <w:lang w:val="lt-LT"/>
        </w:rPr>
        <w:t>ESTEEM</w:t>
      </w:r>
      <w:r w:rsidR="00C65635" w:rsidRPr="00CD7E52">
        <w:rPr>
          <w:snapToGrid/>
          <w:szCs w:val="22"/>
          <w:lang w:val="lt-LT"/>
        </w:rPr>
        <w:t> </w:t>
      </w:r>
      <w:r w:rsidR="00C65635" w:rsidRPr="00CD7E52">
        <w:rPr>
          <w:szCs w:val="22"/>
          <w:lang w:val="lt-LT"/>
        </w:rPr>
        <w:t>2</w:t>
      </w:r>
      <w:r w:rsidRPr="00CD7E52">
        <w:rPr>
          <w:szCs w:val="22"/>
          <w:lang w:val="lt-LT"/>
        </w:rPr>
        <w:t xml:space="preserve"> ilgalaikių tęstinių fazių metu; iš viso gydymas truko iki 5</w:t>
      </w:r>
      <w:r w:rsidR="006439A1" w:rsidRPr="00CD7E52">
        <w:rPr>
          <w:szCs w:val="22"/>
          <w:lang w:val="lt-LT"/>
        </w:rPr>
        <w:t> </w:t>
      </w:r>
      <w:r w:rsidRPr="00CD7E52">
        <w:rPr>
          <w:szCs w:val="22"/>
          <w:lang w:val="lt-LT"/>
        </w:rPr>
        <w:t>metų (260</w:t>
      </w:r>
      <w:r w:rsidR="00C65C08" w:rsidRPr="00CD7E52">
        <w:rPr>
          <w:szCs w:val="22"/>
          <w:lang w:val="lt-LT"/>
        </w:rPr>
        <w:t> savai</w:t>
      </w:r>
      <w:r w:rsidRPr="00CD7E52">
        <w:rPr>
          <w:szCs w:val="22"/>
          <w:lang w:val="lt-LT"/>
        </w:rPr>
        <w:t>čių).</w:t>
      </w:r>
    </w:p>
    <w:p w14:paraId="5F1009F5" w14:textId="77777777" w:rsidR="006439A1" w:rsidRPr="00CD7E52" w:rsidRDefault="006439A1" w:rsidP="00BD0220">
      <w:pPr>
        <w:widowControl w:val="0"/>
        <w:tabs>
          <w:tab w:val="clear" w:pos="567"/>
        </w:tabs>
        <w:autoSpaceDE w:val="0"/>
        <w:autoSpaceDN w:val="0"/>
        <w:adjustRightInd w:val="0"/>
        <w:spacing w:line="240" w:lineRule="auto"/>
        <w:rPr>
          <w:szCs w:val="22"/>
          <w:lang w:val="lt-LT"/>
        </w:rPr>
      </w:pPr>
    </w:p>
    <w:p w14:paraId="055AD77F"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Abiejuose tyrimuose </w:t>
      </w:r>
      <w:r w:rsidR="00E16DB0" w:rsidRPr="00CD7E52">
        <w:rPr>
          <w:snapToGrid/>
          <w:szCs w:val="22"/>
          <w:lang w:val="lt-LT"/>
        </w:rPr>
        <w:t>pagrindinė</w:t>
      </w:r>
      <w:r w:rsidRPr="00CD7E52">
        <w:rPr>
          <w:szCs w:val="22"/>
          <w:lang w:val="lt-LT"/>
        </w:rPr>
        <w:t xml:space="preserve"> vertinamoji baigtis buvo pacientų, kuriems 16</w:t>
      </w:r>
      <w:r w:rsidR="00C65C08" w:rsidRPr="00CD7E52">
        <w:rPr>
          <w:szCs w:val="22"/>
          <w:lang w:val="lt-LT"/>
        </w:rPr>
        <w:t> savai</w:t>
      </w:r>
      <w:r w:rsidRPr="00CD7E52">
        <w:rPr>
          <w:szCs w:val="22"/>
          <w:lang w:val="lt-LT"/>
        </w:rPr>
        <w:t xml:space="preserve">tę buvo pasiektas </w:t>
      </w:r>
      <w:r w:rsidR="0050207D" w:rsidRPr="00CD7E52">
        <w:rPr>
          <w:szCs w:val="22"/>
          <w:lang w:val="lt-LT"/>
        </w:rPr>
        <w:t>PASI</w:t>
      </w:r>
      <w:r w:rsidRPr="00CD7E52">
        <w:rPr>
          <w:szCs w:val="22"/>
          <w:lang w:val="lt-LT"/>
        </w:rPr>
        <w:t>-75,</w:t>
      </w:r>
      <w:r w:rsidR="00E16DB0" w:rsidRPr="00CD7E52">
        <w:rPr>
          <w:szCs w:val="22"/>
          <w:lang w:val="lt-LT"/>
        </w:rPr>
        <w:t xml:space="preserve"> </w:t>
      </w:r>
      <w:r w:rsidR="00E16DB0" w:rsidRPr="00CD7E52">
        <w:rPr>
          <w:snapToGrid/>
          <w:szCs w:val="22"/>
          <w:lang w:val="lt-LT"/>
        </w:rPr>
        <w:t>dalis</w:t>
      </w:r>
      <w:r w:rsidRPr="00CD7E52">
        <w:rPr>
          <w:snapToGrid/>
          <w:szCs w:val="22"/>
          <w:lang w:val="lt-LT"/>
        </w:rPr>
        <w:t xml:space="preserve">. </w:t>
      </w:r>
      <w:r w:rsidR="00E16DB0" w:rsidRPr="00CD7E52">
        <w:rPr>
          <w:snapToGrid/>
          <w:szCs w:val="22"/>
          <w:lang w:val="lt-LT"/>
        </w:rPr>
        <w:t>Svarbiausia</w:t>
      </w:r>
      <w:r w:rsidRPr="00CD7E52">
        <w:rPr>
          <w:szCs w:val="22"/>
          <w:lang w:val="lt-LT"/>
        </w:rPr>
        <w:t xml:space="preserve"> antrinė vertinamoji baigtis buvo pacientų, kuriems 16</w:t>
      </w:r>
      <w:r w:rsidR="00C65C08" w:rsidRPr="00CD7E52">
        <w:rPr>
          <w:szCs w:val="22"/>
          <w:lang w:val="lt-LT"/>
        </w:rPr>
        <w:t> savai</w:t>
      </w:r>
      <w:r w:rsidRPr="00CD7E52">
        <w:rPr>
          <w:szCs w:val="22"/>
          <w:lang w:val="lt-LT"/>
        </w:rPr>
        <w:t xml:space="preserve">tę buvo pasiektas </w:t>
      </w:r>
      <w:r w:rsidR="00E16DB0" w:rsidRPr="00CD7E52">
        <w:rPr>
          <w:snapToGrid/>
          <w:szCs w:val="22"/>
          <w:lang w:val="lt-LT"/>
        </w:rPr>
        <w:t>sPGA įvertinimas „švari“</w:t>
      </w:r>
      <w:r w:rsidRPr="00CD7E52">
        <w:rPr>
          <w:szCs w:val="22"/>
          <w:lang w:val="lt-LT"/>
        </w:rPr>
        <w:t xml:space="preserve"> (0)</w:t>
      </w:r>
      <w:r w:rsidR="00E16DB0" w:rsidRPr="00CD7E52">
        <w:rPr>
          <w:szCs w:val="22"/>
          <w:lang w:val="lt-LT"/>
        </w:rPr>
        <w:t xml:space="preserve"> </w:t>
      </w:r>
      <w:r w:rsidRPr="00CD7E52">
        <w:rPr>
          <w:szCs w:val="22"/>
          <w:lang w:val="lt-LT"/>
        </w:rPr>
        <w:t xml:space="preserve">arba </w:t>
      </w:r>
      <w:r w:rsidR="00E16DB0" w:rsidRPr="00CD7E52">
        <w:rPr>
          <w:snapToGrid/>
          <w:szCs w:val="22"/>
          <w:lang w:val="lt-LT"/>
        </w:rPr>
        <w:t>„</w:t>
      </w:r>
      <w:r w:rsidRPr="00CD7E52">
        <w:rPr>
          <w:szCs w:val="22"/>
          <w:lang w:val="lt-LT"/>
        </w:rPr>
        <w:t xml:space="preserve">beveik </w:t>
      </w:r>
      <w:r w:rsidR="00E16DB0" w:rsidRPr="00CD7E52">
        <w:rPr>
          <w:snapToGrid/>
          <w:szCs w:val="22"/>
          <w:lang w:val="lt-LT"/>
        </w:rPr>
        <w:t>švari“</w:t>
      </w:r>
      <w:r w:rsidRPr="00CD7E52">
        <w:rPr>
          <w:szCs w:val="22"/>
          <w:lang w:val="lt-LT"/>
        </w:rPr>
        <w:t xml:space="preserve"> (1</w:t>
      </w:r>
      <w:r w:rsidRPr="00CD7E52">
        <w:rPr>
          <w:snapToGrid/>
          <w:szCs w:val="22"/>
          <w:lang w:val="lt-LT"/>
        </w:rPr>
        <w:t>),</w:t>
      </w:r>
      <w:r w:rsidRPr="00CD7E52">
        <w:rPr>
          <w:szCs w:val="22"/>
          <w:lang w:val="lt-LT"/>
        </w:rPr>
        <w:t xml:space="preserve"> dalis.</w:t>
      </w:r>
    </w:p>
    <w:p w14:paraId="0909CE4D" w14:textId="77777777" w:rsidR="00E16DB0" w:rsidRPr="00CD7E52" w:rsidRDefault="00E16DB0" w:rsidP="00BD0220">
      <w:pPr>
        <w:widowControl w:val="0"/>
        <w:tabs>
          <w:tab w:val="clear" w:pos="567"/>
        </w:tabs>
        <w:autoSpaceDE w:val="0"/>
        <w:autoSpaceDN w:val="0"/>
        <w:adjustRightInd w:val="0"/>
        <w:spacing w:line="240" w:lineRule="auto"/>
        <w:rPr>
          <w:szCs w:val="22"/>
          <w:lang w:val="lt-LT"/>
        </w:rPr>
      </w:pPr>
    </w:p>
    <w:p w14:paraId="583C0510"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Vidutinis pradinis </w:t>
      </w:r>
      <w:r w:rsidR="0050207D" w:rsidRPr="00CD7E52">
        <w:rPr>
          <w:szCs w:val="22"/>
          <w:lang w:val="lt-LT"/>
        </w:rPr>
        <w:t>PASI</w:t>
      </w:r>
      <w:r w:rsidRPr="00CD7E52">
        <w:rPr>
          <w:szCs w:val="22"/>
          <w:lang w:val="lt-LT"/>
        </w:rPr>
        <w:t xml:space="preserve"> </w:t>
      </w:r>
      <w:r w:rsidR="007379CC" w:rsidRPr="00CD7E52">
        <w:rPr>
          <w:snapToGrid/>
          <w:szCs w:val="22"/>
          <w:lang w:val="lt-LT"/>
        </w:rPr>
        <w:t>įvertinimas</w:t>
      </w:r>
      <w:r w:rsidRPr="00CD7E52">
        <w:rPr>
          <w:szCs w:val="22"/>
          <w:lang w:val="lt-LT"/>
        </w:rPr>
        <w:t xml:space="preserve"> buvo 19,07 (mediana 16,80</w:t>
      </w:r>
      <w:r w:rsidRPr="00CD7E52">
        <w:rPr>
          <w:snapToGrid/>
          <w:szCs w:val="22"/>
          <w:lang w:val="lt-LT"/>
        </w:rPr>
        <w:t>)</w:t>
      </w:r>
      <w:r w:rsidR="007379CC" w:rsidRPr="00CD7E52">
        <w:rPr>
          <w:snapToGrid/>
          <w:szCs w:val="22"/>
          <w:lang w:val="lt-LT"/>
        </w:rPr>
        <w:t>;</w:t>
      </w:r>
      <w:r w:rsidRPr="00CD7E52">
        <w:rPr>
          <w:szCs w:val="22"/>
          <w:lang w:val="lt-LT"/>
        </w:rPr>
        <w:t xml:space="preserve"> pacientų, kurių sPGA </w:t>
      </w:r>
      <w:r w:rsidR="007379CC" w:rsidRPr="00CD7E52">
        <w:rPr>
          <w:snapToGrid/>
          <w:szCs w:val="22"/>
          <w:lang w:val="lt-LT"/>
        </w:rPr>
        <w:t>pradinis įvertinimas</w:t>
      </w:r>
      <w:r w:rsidR="007379CC" w:rsidRPr="00CD7E52">
        <w:rPr>
          <w:szCs w:val="22"/>
          <w:lang w:val="lt-LT"/>
        </w:rPr>
        <w:t xml:space="preserve"> </w:t>
      </w:r>
      <w:r w:rsidRPr="00CD7E52">
        <w:rPr>
          <w:szCs w:val="22"/>
          <w:lang w:val="lt-LT"/>
        </w:rPr>
        <w:t>buvo 3 (vidutinio sunkumo) ir 4 (sunkus), dalis buvo atitinkamai 70,0</w:t>
      </w:r>
      <w:r w:rsidR="009F17E0" w:rsidRPr="00CD7E52">
        <w:rPr>
          <w:szCs w:val="22"/>
          <w:lang w:val="lt-LT"/>
        </w:rPr>
        <w:t> %</w:t>
      </w:r>
      <w:r w:rsidRPr="00CD7E52">
        <w:rPr>
          <w:szCs w:val="22"/>
          <w:lang w:val="lt-LT"/>
        </w:rPr>
        <w:t xml:space="preserve"> ir 29,8</w:t>
      </w:r>
      <w:r w:rsidR="009F17E0" w:rsidRPr="00CD7E52">
        <w:rPr>
          <w:szCs w:val="22"/>
          <w:lang w:val="lt-LT"/>
        </w:rPr>
        <w:t> %</w:t>
      </w:r>
      <w:r w:rsidRPr="00CD7E52">
        <w:rPr>
          <w:szCs w:val="22"/>
          <w:lang w:val="lt-LT"/>
        </w:rPr>
        <w:t>, vidutinis pažeistas</w:t>
      </w:r>
      <w:r w:rsidR="007379CC" w:rsidRPr="00CD7E52">
        <w:rPr>
          <w:szCs w:val="22"/>
          <w:lang w:val="lt-LT"/>
        </w:rPr>
        <w:t xml:space="preserve"> </w:t>
      </w:r>
      <w:r w:rsidRPr="00CD7E52">
        <w:rPr>
          <w:szCs w:val="22"/>
          <w:lang w:val="lt-LT"/>
        </w:rPr>
        <w:t>KPP sudarė 25,19</w:t>
      </w:r>
      <w:r w:rsidR="009F17E0" w:rsidRPr="00CD7E52">
        <w:rPr>
          <w:szCs w:val="22"/>
          <w:lang w:val="lt-LT"/>
        </w:rPr>
        <w:t> %</w:t>
      </w:r>
      <w:r w:rsidRPr="00CD7E52">
        <w:rPr>
          <w:szCs w:val="22"/>
          <w:lang w:val="lt-LT"/>
        </w:rPr>
        <w:t xml:space="preserve"> (mediana 21,0</w:t>
      </w:r>
      <w:r w:rsidR="009F17E0" w:rsidRPr="00CD7E52">
        <w:rPr>
          <w:szCs w:val="22"/>
          <w:lang w:val="lt-LT"/>
        </w:rPr>
        <w:t> %</w:t>
      </w:r>
      <w:r w:rsidRPr="00CD7E52">
        <w:rPr>
          <w:szCs w:val="22"/>
          <w:lang w:val="lt-LT"/>
        </w:rPr>
        <w:t>). Maždaug 30</w:t>
      </w:r>
      <w:r w:rsidR="009F17E0" w:rsidRPr="00CD7E52">
        <w:rPr>
          <w:szCs w:val="22"/>
          <w:lang w:val="lt-LT"/>
        </w:rPr>
        <w:t> %</w:t>
      </w:r>
      <w:r w:rsidRPr="00CD7E52">
        <w:rPr>
          <w:szCs w:val="22"/>
          <w:lang w:val="lt-LT"/>
        </w:rPr>
        <w:t xml:space="preserve"> visų pacientų anksčiau buvo taikoma</w:t>
      </w:r>
      <w:r w:rsidR="007379CC" w:rsidRPr="00CD7E52">
        <w:rPr>
          <w:szCs w:val="22"/>
          <w:lang w:val="lt-LT"/>
        </w:rPr>
        <w:t xml:space="preserve"> </w:t>
      </w:r>
      <w:r w:rsidRPr="00CD7E52">
        <w:rPr>
          <w:szCs w:val="22"/>
          <w:lang w:val="lt-LT"/>
        </w:rPr>
        <w:t>fototerapija ir 54</w:t>
      </w:r>
      <w:r w:rsidR="009F17E0" w:rsidRPr="00CD7E52">
        <w:rPr>
          <w:szCs w:val="22"/>
          <w:lang w:val="lt-LT"/>
        </w:rPr>
        <w:t> %</w:t>
      </w:r>
      <w:r w:rsidRPr="00CD7E52">
        <w:rPr>
          <w:szCs w:val="22"/>
          <w:lang w:val="lt-LT"/>
        </w:rPr>
        <w:t xml:space="preserve"> anksčiau buvo taikoma </w:t>
      </w:r>
      <w:r w:rsidR="007379CC" w:rsidRPr="00CD7E52">
        <w:rPr>
          <w:snapToGrid/>
          <w:szCs w:val="22"/>
          <w:lang w:val="lt-LT"/>
        </w:rPr>
        <w:t>įprastinė</w:t>
      </w:r>
      <w:r w:rsidRPr="00CD7E52">
        <w:rPr>
          <w:szCs w:val="22"/>
          <w:lang w:val="lt-LT"/>
        </w:rPr>
        <w:t xml:space="preserve"> sisteminė ir (arba) biologinė terapija psoriazei gydyti</w:t>
      </w:r>
      <w:r w:rsidR="007379CC" w:rsidRPr="00CD7E52">
        <w:rPr>
          <w:szCs w:val="22"/>
          <w:lang w:val="lt-LT"/>
        </w:rPr>
        <w:t xml:space="preserve"> </w:t>
      </w:r>
      <w:r w:rsidRPr="00CD7E52">
        <w:rPr>
          <w:szCs w:val="22"/>
          <w:lang w:val="lt-LT"/>
        </w:rPr>
        <w:t>(įskaitant nesėkmingą gydymą),</w:t>
      </w:r>
      <w:r w:rsidRPr="00CD7E52">
        <w:rPr>
          <w:snapToGrid/>
          <w:szCs w:val="22"/>
          <w:lang w:val="lt-LT"/>
        </w:rPr>
        <w:t xml:space="preserve"> </w:t>
      </w:r>
      <w:r w:rsidR="007379CC" w:rsidRPr="00CD7E52">
        <w:rPr>
          <w:snapToGrid/>
          <w:szCs w:val="22"/>
          <w:lang w:val="lt-LT"/>
        </w:rPr>
        <w:t>iš jų</w:t>
      </w:r>
      <w:r w:rsidR="007379CC" w:rsidRPr="00CD7E52">
        <w:rPr>
          <w:szCs w:val="22"/>
          <w:lang w:val="lt-LT"/>
        </w:rPr>
        <w:t xml:space="preserve"> </w:t>
      </w:r>
      <w:r w:rsidRPr="00CD7E52">
        <w:rPr>
          <w:szCs w:val="22"/>
          <w:lang w:val="lt-LT"/>
        </w:rPr>
        <w:t>37</w:t>
      </w:r>
      <w:r w:rsidR="009F17E0" w:rsidRPr="00CD7E52">
        <w:rPr>
          <w:szCs w:val="22"/>
          <w:lang w:val="lt-LT"/>
        </w:rPr>
        <w:t> %</w:t>
      </w:r>
      <w:r w:rsidRPr="00CD7E52">
        <w:rPr>
          <w:szCs w:val="22"/>
          <w:lang w:val="lt-LT"/>
        </w:rPr>
        <w:t xml:space="preserve"> pacientų anksčiau buvo taikoma sisteminė terapija, 30</w:t>
      </w:r>
      <w:r w:rsidR="009F17E0" w:rsidRPr="00CD7E52">
        <w:rPr>
          <w:szCs w:val="22"/>
          <w:lang w:val="lt-LT"/>
        </w:rPr>
        <w:t> %</w:t>
      </w:r>
      <w:r w:rsidRPr="00CD7E52">
        <w:rPr>
          <w:szCs w:val="22"/>
          <w:lang w:val="lt-LT"/>
        </w:rPr>
        <w:t xml:space="preserve"> – biologinė</w:t>
      </w:r>
      <w:r w:rsidR="007379CC" w:rsidRPr="00CD7E52">
        <w:rPr>
          <w:szCs w:val="22"/>
          <w:lang w:val="lt-LT"/>
        </w:rPr>
        <w:t xml:space="preserve"> </w:t>
      </w:r>
      <w:r w:rsidRPr="00CD7E52">
        <w:rPr>
          <w:szCs w:val="22"/>
          <w:lang w:val="lt-LT"/>
        </w:rPr>
        <w:t xml:space="preserve">terapija. Maždaug trečdaliui pacientų anksčiau nebuvo taikoma </w:t>
      </w:r>
      <w:r w:rsidRPr="00CD7E52">
        <w:rPr>
          <w:snapToGrid/>
          <w:szCs w:val="22"/>
          <w:lang w:val="lt-LT"/>
        </w:rPr>
        <w:t>fotote</w:t>
      </w:r>
      <w:r w:rsidR="00103D95" w:rsidRPr="00CD7E52">
        <w:rPr>
          <w:snapToGrid/>
          <w:szCs w:val="22"/>
          <w:lang w:val="lt-LT"/>
        </w:rPr>
        <w:t>ra</w:t>
      </w:r>
      <w:r w:rsidRPr="00CD7E52">
        <w:rPr>
          <w:snapToGrid/>
          <w:szCs w:val="22"/>
          <w:lang w:val="lt-LT"/>
        </w:rPr>
        <w:t>pija</w:t>
      </w:r>
      <w:r w:rsidRPr="00CD7E52">
        <w:rPr>
          <w:szCs w:val="22"/>
          <w:lang w:val="lt-LT"/>
        </w:rPr>
        <w:t>, tradicinė sisteminė arba biologinė</w:t>
      </w:r>
      <w:r w:rsidR="00825E88" w:rsidRPr="00CD7E52">
        <w:rPr>
          <w:szCs w:val="22"/>
          <w:lang w:val="lt-LT"/>
        </w:rPr>
        <w:t xml:space="preserve"> </w:t>
      </w:r>
      <w:r w:rsidRPr="00CD7E52">
        <w:rPr>
          <w:szCs w:val="22"/>
          <w:lang w:val="lt-LT"/>
        </w:rPr>
        <w:t>terapija. Iš viso 18</w:t>
      </w:r>
      <w:r w:rsidR="009F17E0" w:rsidRPr="00CD7E52">
        <w:rPr>
          <w:szCs w:val="22"/>
          <w:lang w:val="lt-LT"/>
        </w:rPr>
        <w:t> %</w:t>
      </w:r>
      <w:r w:rsidRPr="00CD7E52">
        <w:rPr>
          <w:szCs w:val="22"/>
          <w:lang w:val="lt-LT"/>
        </w:rPr>
        <w:t xml:space="preserve"> pacientų anksčiau sirgo psoriaziniu artritu.</w:t>
      </w:r>
    </w:p>
    <w:p w14:paraId="119B0D48" w14:textId="77777777" w:rsidR="00825E88" w:rsidRPr="00CD7E52" w:rsidRDefault="00825E88" w:rsidP="00BD0220">
      <w:pPr>
        <w:widowControl w:val="0"/>
        <w:tabs>
          <w:tab w:val="clear" w:pos="567"/>
        </w:tabs>
        <w:autoSpaceDE w:val="0"/>
        <w:autoSpaceDN w:val="0"/>
        <w:adjustRightInd w:val="0"/>
        <w:spacing w:line="240" w:lineRule="auto"/>
        <w:rPr>
          <w:szCs w:val="22"/>
          <w:lang w:val="lt-LT"/>
        </w:rPr>
      </w:pPr>
    </w:p>
    <w:p w14:paraId="04594E2A"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Pacientų, kuriems buvo pasiektas </w:t>
      </w:r>
      <w:r w:rsidR="0050207D" w:rsidRPr="00CD7E52">
        <w:rPr>
          <w:szCs w:val="22"/>
          <w:lang w:val="lt-LT"/>
        </w:rPr>
        <w:t>PASI</w:t>
      </w:r>
      <w:r w:rsidRPr="00CD7E52">
        <w:rPr>
          <w:szCs w:val="22"/>
          <w:lang w:val="lt-LT"/>
        </w:rPr>
        <w:t xml:space="preserve">-50, </w:t>
      </w:r>
      <w:r w:rsidR="0050207D" w:rsidRPr="00CD7E52">
        <w:rPr>
          <w:snapToGrid/>
          <w:szCs w:val="22"/>
          <w:lang w:val="lt-LT"/>
        </w:rPr>
        <w:t>PASI</w:t>
      </w:r>
      <w:r w:rsidRPr="00CD7E52">
        <w:rPr>
          <w:szCs w:val="22"/>
          <w:lang w:val="lt-LT"/>
        </w:rPr>
        <w:t xml:space="preserve">-75 ir </w:t>
      </w:r>
      <w:r w:rsidR="0050207D" w:rsidRPr="00CD7E52">
        <w:rPr>
          <w:snapToGrid/>
          <w:szCs w:val="22"/>
          <w:lang w:val="lt-LT"/>
        </w:rPr>
        <w:t>PASI</w:t>
      </w:r>
      <w:r w:rsidRPr="00CD7E52">
        <w:rPr>
          <w:szCs w:val="22"/>
          <w:lang w:val="lt-LT"/>
        </w:rPr>
        <w:t xml:space="preserve">-90 atsakas </w:t>
      </w:r>
      <w:r w:rsidR="00825E88" w:rsidRPr="00CD7E52">
        <w:rPr>
          <w:snapToGrid/>
          <w:szCs w:val="22"/>
          <w:lang w:val="lt-LT"/>
        </w:rPr>
        <w:t>bei sPGA įvertinimas „švari“</w:t>
      </w:r>
      <w:r w:rsidR="00825E88" w:rsidRPr="00CD7E52">
        <w:rPr>
          <w:szCs w:val="22"/>
          <w:lang w:val="lt-LT"/>
        </w:rPr>
        <w:t xml:space="preserve"> (0) arba </w:t>
      </w:r>
      <w:r w:rsidR="00825E88" w:rsidRPr="00CD7E52">
        <w:rPr>
          <w:snapToGrid/>
          <w:szCs w:val="22"/>
          <w:lang w:val="lt-LT"/>
        </w:rPr>
        <w:t>„</w:t>
      </w:r>
      <w:r w:rsidR="00825E88" w:rsidRPr="00CD7E52">
        <w:rPr>
          <w:szCs w:val="22"/>
          <w:lang w:val="lt-LT"/>
        </w:rPr>
        <w:t xml:space="preserve">beveik </w:t>
      </w:r>
      <w:r w:rsidR="00825E88" w:rsidRPr="00CD7E52">
        <w:rPr>
          <w:snapToGrid/>
          <w:szCs w:val="22"/>
          <w:lang w:val="lt-LT"/>
        </w:rPr>
        <w:t xml:space="preserve">švari“, dalis </w:t>
      </w:r>
      <w:r w:rsidRPr="00CD7E52">
        <w:rPr>
          <w:snapToGrid/>
          <w:szCs w:val="22"/>
          <w:lang w:val="lt-LT"/>
        </w:rPr>
        <w:t xml:space="preserve">pateikiama </w:t>
      </w:r>
      <w:r w:rsidR="00825E88" w:rsidRPr="00CD7E52">
        <w:rPr>
          <w:snapToGrid/>
          <w:szCs w:val="22"/>
          <w:lang w:val="lt-LT"/>
        </w:rPr>
        <w:t>toliau</w:t>
      </w:r>
      <w:r w:rsidRPr="00CD7E52">
        <w:rPr>
          <w:szCs w:val="22"/>
          <w:lang w:val="lt-LT"/>
        </w:rPr>
        <w:t xml:space="preserve"> esančioje </w:t>
      </w:r>
      <w:r w:rsidR="00153BF2">
        <w:rPr>
          <w:szCs w:val="22"/>
          <w:lang w:val="lt-LT"/>
        </w:rPr>
        <w:t>5</w:t>
      </w:r>
      <w:r w:rsidR="00825E88" w:rsidRPr="00CD7E52">
        <w:rPr>
          <w:szCs w:val="22"/>
          <w:lang w:val="lt-LT"/>
        </w:rPr>
        <w:t> </w:t>
      </w:r>
      <w:r w:rsidRPr="00CD7E52">
        <w:rPr>
          <w:szCs w:val="22"/>
          <w:lang w:val="lt-LT"/>
        </w:rPr>
        <w:t>lentelėje. Vertinant pacientų, kuriems 16</w:t>
      </w:r>
      <w:r w:rsidR="00C65C08" w:rsidRPr="00CD7E52">
        <w:rPr>
          <w:szCs w:val="22"/>
          <w:lang w:val="lt-LT"/>
        </w:rPr>
        <w:t> savai</w:t>
      </w:r>
      <w:r w:rsidRPr="00CD7E52">
        <w:rPr>
          <w:szCs w:val="22"/>
          <w:lang w:val="lt-LT"/>
        </w:rPr>
        <w:t>tę buvo</w:t>
      </w:r>
      <w:r w:rsidR="00FB3700" w:rsidRPr="00CD7E52">
        <w:rPr>
          <w:szCs w:val="22"/>
          <w:lang w:val="lt-LT"/>
        </w:rPr>
        <w:t xml:space="preserve"> </w:t>
      </w:r>
      <w:r w:rsidRPr="00CD7E52">
        <w:rPr>
          <w:szCs w:val="22"/>
          <w:lang w:val="lt-LT"/>
        </w:rPr>
        <w:t xml:space="preserve">pasiektas </w:t>
      </w:r>
      <w:r w:rsidR="0050207D" w:rsidRPr="00CD7E52">
        <w:rPr>
          <w:szCs w:val="22"/>
          <w:lang w:val="lt-LT"/>
        </w:rPr>
        <w:t>PASI</w:t>
      </w:r>
      <w:r w:rsidRPr="00CD7E52">
        <w:rPr>
          <w:szCs w:val="22"/>
          <w:lang w:val="lt-LT"/>
        </w:rPr>
        <w:t xml:space="preserve">-75 atsakas, </w:t>
      </w:r>
      <w:r w:rsidR="00FB3700" w:rsidRPr="00CD7E52">
        <w:rPr>
          <w:snapToGrid/>
          <w:szCs w:val="22"/>
          <w:lang w:val="lt-LT"/>
        </w:rPr>
        <w:t>dalį</w:t>
      </w:r>
      <w:r w:rsidRPr="00CD7E52">
        <w:rPr>
          <w:szCs w:val="22"/>
          <w:lang w:val="lt-LT"/>
        </w:rPr>
        <w:t>, gydymas apremilastu reikšmingai pagerino vidutinio sunkumo arba</w:t>
      </w:r>
      <w:r w:rsidR="00FB3700" w:rsidRPr="00CD7E52">
        <w:rPr>
          <w:szCs w:val="22"/>
          <w:lang w:val="lt-LT"/>
        </w:rPr>
        <w:t xml:space="preserve"> </w:t>
      </w:r>
      <w:r w:rsidRPr="00CD7E52">
        <w:rPr>
          <w:szCs w:val="22"/>
          <w:lang w:val="lt-LT"/>
        </w:rPr>
        <w:t xml:space="preserve">sunkios </w:t>
      </w:r>
      <w:r w:rsidR="00FB3700" w:rsidRPr="00CD7E52">
        <w:rPr>
          <w:snapToGrid/>
          <w:szCs w:val="22"/>
          <w:lang w:val="lt-LT"/>
        </w:rPr>
        <w:t>plokštelinės</w:t>
      </w:r>
      <w:r w:rsidRPr="00CD7E52">
        <w:rPr>
          <w:szCs w:val="22"/>
          <w:lang w:val="lt-LT"/>
        </w:rPr>
        <w:t xml:space="preserve"> psoriazės pažeistos odos būklę</w:t>
      </w:r>
      <w:r w:rsidR="00FB3700" w:rsidRPr="00CD7E52">
        <w:rPr>
          <w:snapToGrid/>
          <w:szCs w:val="22"/>
          <w:lang w:val="lt-LT"/>
        </w:rPr>
        <w:t>,</w:t>
      </w:r>
      <w:r w:rsidRPr="00CD7E52">
        <w:rPr>
          <w:szCs w:val="22"/>
          <w:lang w:val="lt-LT"/>
        </w:rPr>
        <w:t xml:space="preserve"> lyginant su </w:t>
      </w:r>
      <w:r w:rsidRPr="00CD7E52">
        <w:rPr>
          <w:snapToGrid/>
          <w:szCs w:val="22"/>
          <w:lang w:val="lt-LT"/>
        </w:rPr>
        <w:t>placeb</w:t>
      </w:r>
      <w:r w:rsidR="00FB3700" w:rsidRPr="00CD7E52">
        <w:rPr>
          <w:snapToGrid/>
          <w:szCs w:val="22"/>
          <w:lang w:val="lt-LT"/>
        </w:rPr>
        <w:t>o poveikiu</w:t>
      </w:r>
      <w:r w:rsidRPr="00CD7E52">
        <w:rPr>
          <w:szCs w:val="22"/>
          <w:lang w:val="lt-LT"/>
        </w:rPr>
        <w:t>. Klinikinis pagerėjimas, vertinant</w:t>
      </w:r>
      <w:r w:rsidR="00396475" w:rsidRPr="00CD7E52">
        <w:rPr>
          <w:szCs w:val="22"/>
          <w:lang w:val="lt-LT"/>
        </w:rPr>
        <w:t xml:space="preserve"> </w:t>
      </w:r>
      <w:r w:rsidRPr="00CD7E52">
        <w:rPr>
          <w:szCs w:val="22"/>
          <w:lang w:val="lt-LT"/>
        </w:rPr>
        <w:t xml:space="preserve">pagal sPGA, </w:t>
      </w:r>
      <w:r w:rsidR="0050207D" w:rsidRPr="00CD7E52">
        <w:rPr>
          <w:szCs w:val="22"/>
          <w:lang w:val="lt-LT"/>
        </w:rPr>
        <w:t>PASI</w:t>
      </w:r>
      <w:r w:rsidRPr="00CD7E52">
        <w:rPr>
          <w:szCs w:val="22"/>
          <w:lang w:val="lt-LT"/>
        </w:rPr>
        <w:t xml:space="preserve">-50 ir </w:t>
      </w:r>
      <w:r w:rsidR="0050207D" w:rsidRPr="00CD7E52">
        <w:rPr>
          <w:szCs w:val="22"/>
          <w:lang w:val="lt-LT"/>
        </w:rPr>
        <w:t>PASI</w:t>
      </w:r>
      <w:r w:rsidRPr="00CD7E52">
        <w:rPr>
          <w:szCs w:val="22"/>
          <w:lang w:val="lt-LT"/>
        </w:rPr>
        <w:t>-90 atsaką, taip pat nustatytas 16</w:t>
      </w:r>
      <w:r w:rsidR="00C65C08" w:rsidRPr="00CD7E52">
        <w:rPr>
          <w:szCs w:val="22"/>
          <w:lang w:val="lt-LT"/>
        </w:rPr>
        <w:t> savai</w:t>
      </w:r>
      <w:r w:rsidRPr="00CD7E52">
        <w:rPr>
          <w:szCs w:val="22"/>
          <w:lang w:val="lt-LT"/>
        </w:rPr>
        <w:t>tę. Be to</w:t>
      </w:r>
      <w:r w:rsidR="00C87934" w:rsidRPr="00CD7E52">
        <w:rPr>
          <w:szCs w:val="22"/>
          <w:lang w:val="lt-LT"/>
        </w:rPr>
        <w:t>,</w:t>
      </w:r>
      <w:r w:rsidRPr="00CD7E52">
        <w:rPr>
          <w:szCs w:val="22"/>
          <w:lang w:val="lt-LT"/>
        </w:rPr>
        <w:t xml:space="preserve"> gydymas apremilastu buvo</w:t>
      </w:r>
      <w:r w:rsidR="00396475" w:rsidRPr="00CD7E52">
        <w:rPr>
          <w:szCs w:val="22"/>
          <w:lang w:val="lt-LT"/>
        </w:rPr>
        <w:t xml:space="preserve"> </w:t>
      </w:r>
      <w:r w:rsidRPr="00CD7E52">
        <w:rPr>
          <w:szCs w:val="22"/>
          <w:lang w:val="lt-LT"/>
        </w:rPr>
        <w:t>naudingas vertinant daugybinius psoriazės pasireiškimo simptomus, įskaitant niežėjimą, nagų ligą, pažeistą</w:t>
      </w:r>
      <w:r w:rsidR="00396475" w:rsidRPr="00CD7E52">
        <w:rPr>
          <w:szCs w:val="22"/>
          <w:lang w:val="lt-LT"/>
        </w:rPr>
        <w:t xml:space="preserve"> </w:t>
      </w:r>
      <w:r w:rsidRPr="00CD7E52">
        <w:rPr>
          <w:szCs w:val="22"/>
          <w:lang w:val="lt-LT"/>
        </w:rPr>
        <w:t xml:space="preserve">galvos odą bei gyvenimo kokybės </w:t>
      </w:r>
      <w:r w:rsidR="00396475" w:rsidRPr="00CD7E52">
        <w:rPr>
          <w:snapToGrid/>
          <w:szCs w:val="22"/>
          <w:lang w:val="lt-LT"/>
        </w:rPr>
        <w:t>įvertinimą</w:t>
      </w:r>
      <w:r w:rsidRPr="00CD7E52">
        <w:rPr>
          <w:szCs w:val="22"/>
          <w:lang w:val="lt-LT"/>
        </w:rPr>
        <w:t>.</w:t>
      </w:r>
    </w:p>
    <w:p w14:paraId="71184DEA" w14:textId="77777777" w:rsidR="00396475" w:rsidRPr="00CD7E52" w:rsidRDefault="00396475" w:rsidP="00BD0220">
      <w:pPr>
        <w:widowControl w:val="0"/>
        <w:tabs>
          <w:tab w:val="clear" w:pos="567"/>
        </w:tabs>
        <w:autoSpaceDE w:val="0"/>
        <w:autoSpaceDN w:val="0"/>
        <w:adjustRightInd w:val="0"/>
        <w:spacing w:line="240" w:lineRule="auto"/>
        <w:rPr>
          <w:szCs w:val="22"/>
          <w:lang w:val="lt-LT"/>
        </w:rPr>
      </w:pPr>
    </w:p>
    <w:p w14:paraId="4C71EDBD" w14:textId="77777777" w:rsidR="004B4124" w:rsidRPr="00CD7E52" w:rsidRDefault="007B6DBA" w:rsidP="00BD0220">
      <w:pPr>
        <w:widowControl w:val="0"/>
        <w:tabs>
          <w:tab w:val="clear" w:pos="567"/>
        </w:tabs>
        <w:autoSpaceDE w:val="0"/>
        <w:autoSpaceDN w:val="0"/>
        <w:adjustRightInd w:val="0"/>
        <w:spacing w:line="240" w:lineRule="auto"/>
        <w:rPr>
          <w:b/>
          <w:bCs/>
          <w:szCs w:val="22"/>
          <w:lang w:val="lt-LT"/>
        </w:rPr>
      </w:pPr>
      <w:r>
        <w:rPr>
          <w:b/>
          <w:bCs/>
          <w:szCs w:val="22"/>
          <w:lang w:val="lt-LT"/>
        </w:rPr>
        <w:t>5</w:t>
      </w:r>
      <w:r w:rsidR="00396475" w:rsidRPr="00CD7E52">
        <w:rPr>
          <w:b/>
          <w:bCs/>
          <w:szCs w:val="22"/>
          <w:lang w:val="lt-LT"/>
        </w:rPr>
        <w:t> </w:t>
      </w:r>
      <w:r w:rsidR="004B4124" w:rsidRPr="00CD7E52">
        <w:rPr>
          <w:b/>
          <w:bCs/>
          <w:szCs w:val="22"/>
          <w:lang w:val="lt-LT"/>
        </w:rPr>
        <w:t>lentelė.</w:t>
      </w:r>
      <w:r w:rsidR="00396475" w:rsidRPr="00CD7E52">
        <w:rPr>
          <w:b/>
          <w:bCs/>
          <w:snapToGrid/>
          <w:szCs w:val="22"/>
          <w:lang w:val="lt-LT"/>
        </w:rPr>
        <w:tab/>
      </w:r>
      <w:r w:rsidR="004B4124" w:rsidRPr="00CD7E52">
        <w:rPr>
          <w:b/>
          <w:bCs/>
          <w:szCs w:val="22"/>
          <w:lang w:val="lt-LT"/>
        </w:rPr>
        <w:t>Klinikinis atsakas 16</w:t>
      </w:r>
      <w:r w:rsidR="00C65C08" w:rsidRPr="00CD7E52">
        <w:rPr>
          <w:b/>
          <w:bCs/>
          <w:szCs w:val="22"/>
          <w:lang w:val="lt-LT"/>
        </w:rPr>
        <w:t> savai</w:t>
      </w:r>
      <w:r w:rsidR="004B4124" w:rsidRPr="00CD7E52">
        <w:rPr>
          <w:b/>
          <w:bCs/>
          <w:szCs w:val="22"/>
          <w:lang w:val="lt-LT"/>
        </w:rPr>
        <w:t xml:space="preserve">tę tyrimų </w:t>
      </w:r>
      <w:r w:rsidR="00C65635" w:rsidRPr="00CD7E52">
        <w:rPr>
          <w:b/>
          <w:bCs/>
          <w:szCs w:val="22"/>
          <w:lang w:val="lt-LT"/>
        </w:rPr>
        <w:t>ESTEEM</w:t>
      </w:r>
      <w:r w:rsidR="00C65635" w:rsidRPr="00CD7E52">
        <w:rPr>
          <w:b/>
          <w:bCs/>
          <w:snapToGrid/>
          <w:szCs w:val="22"/>
          <w:lang w:val="lt-LT"/>
        </w:rPr>
        <w:t> </w:t>
      </w:r>
      <w:r w:rsidR="00C65635" w:rsidRPr="00CD7E52">
        <w:rPr>
          <w:b/>
          <w:bCs/>
          <w:szCs w:val="22"/>
          <w:lang w:val="lt-LT"/>
        </w:rPr>
        <w:t>1</w:t>
      </w:r>
      <w:r w:rsidR="004B4124" w:rsidRPr="00CD7E52">
        <w:rPr>
          <w:b/>
          <w:bCs/>
          <w:szCs w:val="22"/>
          <w:lang w:val="lt-LT"/>
        </w:rPr>
        <w:t xml:space="preserve"> ir </w:t>
      </w:r>
      <w:r w:rsidR="00C65635" w:rsidRPr="00CD7E52">
        <w:rPr>
          <w:b/>
          <w:bCs/>
          <w:szCs w:val="22"/>
          <w:lang w:val="lt-LT"/>
        </w:rPr>
        <w:t>ESTEEM</w:t>
      </w:r>
      <w:r w:rsidR="00C65635" w:rsidRPr="00CD7E52">
        <w:rPr>
          <w:b/>
          <w:bCs/>
          <w:snapToGrid/>
          <w:szCs w:val="22"/>
          <w:lang w:val="lt-LT"/>
        </w:rPr>
        <w:t> </w:t>
      </w:r>
      <w:r w:rsidR="00C65635" w:rsidRPr="00CD7E52">
        <w:rPr>
          <w:b/>
          <w:bCs/>
          <w:szCs w:val="22"/>
          <w:lang w:val="lt-LT"/>
        </w:rPr>
        <w:t>2</w:t>
      </w:r>
      <w:r w:rsidR="004B4124" w:rsidRPr="00CD7E52">
        <w:rPr>
          <w:b/>
          <w:bCs/>
          <w:szCs w:val="22"/>
          <w:lang w:val="lt-LT"/>
        </w:rPr>
        <w:t xml:space="preserve"> metu (VAP</w:t>
      </w:r>
      <w:r w:rsidR="004B4124" w:rsidRPr="00DB2543">
        <w:rPr>
          <w:b/>
          <w:bCs/>
          <w:szCs w:val="22"/>
          <w:vertAlign w:val="superscript"/>
          <w:lang w:val="lt-LT"/>
        </w:rPr>
        <w:t>a</w:t>
      </w:r>
      <w:r w:rsidR="004B4124" w:rsidRPr="00CD7E52">
        <w:rPr>
          <w:b/>
          <w:bCs/>
          <w:szCs w:val="22"/>
          <w:lang w:val="lt-LT"/>
        </w:rPr>
        <w:t xml:space="preserve"> PSDP</w:t>
      </w:r>
      <w:r w:rsidR="004B4124" w:rsidRPr="00DB2543">
        <w:rPr>
          <w:b/>
          <w:bCs/>
          <w:szCs w:val="22"/>
          <w:vertAlign w:val="superscript"/>
          <w:lang w:val="lt-LT"/>
        </w:rPr>
        <w:t>b</w:t>
      </w:r>
      <w:r w:rsidR="004B4124" w:rsidRPr="00CD7E52">
        <w:rPr>
          <w:b/>
          <w:bCs/>
          <w:szCs w:val="22"/>
          <w:lang w:val="lt-LT"/>
        </w:rPr>
        <w:t>)</w:t>
      </w:r>
    </w:p>
    <w:p w14:paraId="49BA3C82" w14:textId="77777777" w:rsidR="00E63265" w:rsidRPr="00CD7E52" w:rsidRDefault="00E63265" w:rsidP="00BD0220">
      <w:pPr>
        <w:widowControl w:val="0"/>
        <w:tabs>
          <w:tab w:val="clear" w:pos="567"/>
        </w:tabs>
        <w:autoSpaceDE w:val="0"/>
        <w:autoSpaceDN w:val="0"/>
        <w:adjustRightInd w:val="0"/>
        <w:spacing w:line="240" w:lineRule="auto"/>
        <w:rPr>
          <w:b/>
          <w:bCs/>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560"/>
        <w:gridCol w:w="1700"/>
        <w:gridCol w:w="1558"/>
        <w:gridCol w:w="1553"/>
      </w:tblGrid>
      <w:tr w:rsidR="00396475" w:rsidRPr="00CD7E52" w14:paraId="17F897EC" w14:textId="77777777" w:rsidTr="0023353A">
        <w:trPr>
          <w:tblHeader/>
        </w:trPr>
        <w:tc>
          <w:tcPr>
            <w:tcW w:w="1484" w:type="pct"/>
            <w:shd w:val="clear" w:color="auto" w:fill="D9D9D9"/>
          </w:tcPr>
          <w:p w14:paraId="08B020B2" w14:textId="77777777" w:rsidR="00396475" w:rsidRPr="00883FF1" w:rsidRDefault="00396475" w:rsidP="00BD0220">
            <w:pPr>
              <w:tabs>
                <w:tab w:val="clear" w:pos="567"/>
              </w:tabs>
              <w:spacing w:line="240" w:lineRule="auto"/>
              <w:jc w:val="center"/>
              <w:rPr>
                <w:rFonts w:eastAsia="Calibri"/>
                <w:szCs w:val="22"/>
                <w:lang w:val="lt-LT"/>
              </w:rPr>
            </w:pPr>
          </w:p>
        </w:tc>
        <w:tc>
          <w:tcPr>
            <w:tcW w:w="1799" w:type="pct"/>
            <w:gridSpan w:val="2"/>
            <w:shd w:val="clear" w:color="auto" w:fill="D9D9D9"/>
          </w:tcPr>
          <w:p w14:paraId="67E2FB7E" w14:textId="77777777" w:rsidR="00396475" w:rsidRPr="00883FF1" w:rsidRDefault="00396475" w:rsidP="00BD0220">
            <w:pPr>
              <w:tabs>
                <w:tab w:val="clear" w:pos="567"/>
              </w:tabs>
              <w:spacing w:line="240" w:lineRule="auto"/>
              <w:jc w:val="center"/>
              <w:rPr>
                <w:rFonts w:eastAsia="Calibri"/>
                <w:b/>
                <w:bCs/>
                <w:szCs w:val="22"/>
              </w:rPr>
            </w:pPr>
            <w:r w:rsidRPr="00883FF1">
              <w:rPr>
                <w:rFonts w:eastAsia="Calibri"/>
                <w:b/>
                <w:bCs/>
                <w:szCs w:val="22"/>
                <w:lang w:val="lt-LT"/>
              </w:rPr>
              <w:t>ESTEEM</w:t>
            </w:r>
            <w:r w:rsidRPr="00883FF1">
              <w:rPr>
                <w:rFonts w:eastAsia="Calibri"/>
                <w:b/>
                <w:bCs/>
                <w:snapToGrid/>
                <w:szCs w:val="22"/>
                <w:lang w:val="lt-LT"/>
              </w:rPr>
              <w:t> </w:t>
            </w:r>
            <w:r w:rsidRPr="00883FF1">
              <w:rPr>
                <w:rFonts w:eastAsia="Calibri"/>
                <w:b/>
                <w:bCs/>
                <w:szCs w:val="22"/>
                <w:lang w:val="lt-LT"/>
              </w:rPr>
              <w:t>1</w:t>
            </w:r>
          </w:p>
        </w:tc>
        <w:tc>
          <w:tcPr>
            <w:tcW w:w="1717" w:type="pct"/>
            <w:gridSpan w:val="2"/>
            <w:shd w:val="clear" w:color="auto" w:fill="D9D9D9"/>
          </w:tcPr>
          <w:p w14:paraId="09D6FEC6" w14:textId="77777777" w:rsidR="00396475" w:rsidRPr="00883FF1" w:rsidRDefault="00396475" w:rsidP="00BD0220">
            <w:pPr>
              <w:tabs>
                <w:tab w:val="clear" w:pos="567"/>
              </w:tabs>
              <w:spacing w:line="240" w:lineRule="auto"/>
              <w:jc w:val="center"/>
              <w:rPr>
                <w:rFonts w:eastAsia="Calibri"/>
                <w:b/>
                <w:bCs/>
                <w:szCs w:val="22"/>
              </w:rPr>
            </w:pPr>
            <w:r w:rsidRPr="00883FF1">
              <w:rPr>
                <w:rFonts w:eastAsia="Calibri"/>
                <w:b/>
                <w:bCs/>
                <w:szCs w:val="22"/>
                <w:lang w:val="lt-LT"/>
              </w:rPr>
              <w:t>ESTEEM</w:t>
            </w:r>
            <w:r w:rsidRPr="00883FF1">
              <w:rPr>
                <w:rFonts w:eastAsia="Calibri"/>
                <w:b/>
                <w:bCs/>
                <w:snapToGrid/>
                <w:szCs w:val="22"/>
                <w:lang w:val="lt-LT"/>
              </w:rPr>
              <w:t> </w:t>
            </w:r>
            <w:r w:rsidRPr="00883FF1">
              <w:rPr>
                <w:rFonts w:eastAsia="Calibri"/>
                <w:b/>
                <w:bCs/>
                <w:szCs w:val="22"/>
                <w:lang w:val="lt-LT"/>
              </w:rPr>
              <w:t>2</w:t>
            </w:r>
          </w:p>
        </w:tc>
      </w:tr>
      <w:tr w:rsidR="00DE6D1B" w:rsidRPr="00CD7E52" w14:paraId="4DF37378" w14:textId="77777777" w:rsidTr="0023353A">
        <w:trPr>
          <w:tblHeader/>
        </w:trPr>
        <w:tc>
          <w:tcPr>
            <w:tcW w:w="1484" w:type="pct"/>
            <w:shd w:val="clear" w:color="auto" w:fill="D9D9D9"/>
          </w:tcPr>
          <w:p w14:paraId="36E8EFBC" w14:textId="77777777" w:rsidR="00396475" w:rsidRPr="00883FF1" w:rsidRDefault="00396475" w:rsidP="00BD0220">
            <w:pPr>
              <w:tabs>
                <w:tab w:val="clear" w:pos="567"/>
              </w:tabs>
              <w:spacing w:line="240" w:lineRule="auto"/>
              <w:jc w:val="center"/>
              <w:rPr>
                <w:rFonts w:eastAsia="Calibri"/>
                <w:szCs w:val="22"/>
              </w:rPr>
            </w:pPr>
          </w:p>
        </w:tc>
        <w:tc>
          <w:tcPr>
            <w:tcW w:w="861" w:type="pct"/>
            <w:shd w:val="clear" w:color="auto" w:fill="D9D9D9"/>
          </w:tcPr>
          <w:p w14:paraId="2141BF37" w14:textId="77777777" w:rsidR="00396475" w:rsidRPr="00883FF1" w:rsidRDefault="00396475" w:rsidP="00BD0220">
            <w:pPr>
              <w:tabs>
                <w:tab w:val="clear" w:pos="567"/>
              </w:tabs>
              <w:spacing w:line="240" w:lineRule="auto"/>
              <w:jc w:val="center"/>
              <w:rPr>
                <w:rFonts w:eastAsia="Calibri"/>
                <w:b/>
                <w:bCs/>
                <w:szCs w:val="22"/>
              </w:rPr>
            </w:pPr>
            <w:r w:rsidRPr="00883FF1">
              <w:rPr>
                <w:rFonts w:eastAsia="Calibri"/>
                <w:b/>
                <w:bCs/>
                <w:szCs w:val="22"/>
                <w:lang w:val="lt-LT"/>
              </w:rPr>
              <w:t>Placebas</w:t>
            </w:r>
          </w:p>
        </w:tc>
        <w:tc>
          <w:tcPr>
            <w:tcW w:w="938" w:type="pct"/>
            <w:shd w:val="clear" w:color="auto" w:fill="D9D9D9"/>
          </w:tcPr>
          <w:p w14:paraId="72515221" w14:textId="77777777" w:rsidR="00396475" w:rsidRPr="00883FF1" w:rsidRDefault="00396475" w:rsidP="00BD0220">
            <w:pPr>
              <w:tabs>
                <w:tab w:val="clear" w:pos="567"/>
              </w:tabs>
              <w:spacing w:line="240" w:lineRule="auto"/>
              <w:jc w:val="center"/>
              <w:rPr>
                <w:rFonts w:eastAsia="Calibri"/>
                <w:b/>
                <w:bCs/>
                <w:szCs w:val="22"/>
                <w:lang w:val="sv-SE"/>
              </w:rPr>
            </w:pPr>
            <w:r w:rsidRPr="00883FF1">
              <w:rPr>
                <w:rFonts w:eastAsia="Calibri"/>
                <w:b/>
                <w:bCs/>
                <w:szCs w:val="22"/>
                <w:lang w:val="lt-LT"/>
              </w:rPr>
              <w:t>30</w:t>
            </w:r>
            <w:r w:rsidR="00A87582" w:rsidRPr="00883FF1">
              <w:rPr>
                <w:rFonts w:eastAsia="Calibri"/>
                <w:b/>
                <w:bCs/>
                <w:szCs w:val="22"/>
                <w:lang w:val="lt-LT"/>
              </w:rPr>
              <w:t> mg</w:t>
            </w:r>
            <w:r w:rsidRPr="00883FF1">
              <w:rPr>
                <w:rFonts w:eastAsia="Calibri"/>
                <w:b/>
                <w:bCs/>
                <w:szCs w:val="22"/>
                <w:lang w:val="lt-LT"/>
              </w:rPr>
              <w:t xml:space="preserve"> du kartus per parą APR*</w:t>
            </w:r>
          </w:p>
        </w:tc>
        <w:tc>
          <w:tcPr>
            <w:tcW w:w="860" w:type="pct"/>
            <w:shd w:val="clear" w:color="auto" w:fill="D9D9D9"/>
          </w:tcPr>
          <w:p w14:paraId="34C8C230" w14:textId="77777777" w:rsidR="00396475" w:rsidRPr="00883FF1" w:rsidRDefault="00396475" w:rsidP="00BD0220">
            <w:pPr>
              <w:tabs>
                <w:tab w:val="clear" w:pos="567"/>
              </w:tabs>
              <w:spacing w:line="240" w:lineRule="auto"/>
              <w:jc w:val="center"/>
              <w:rPr>
                <w:rFonts w:eastAsia="Calibri"/>
                <w:b/>
                <w:bCs/>
                <w:szCs w:val="22"/>
              </w:rPr>
            </w:pPr>
            <w:r w:rsidRPr="00883FF1">
              <w:rPr>
                <w:rFonts w:eastAsia="Calibri"/>
                <w:b/>
                <w:bCs/>
                <w:szCs w:val="22"/>
                <w:lang w:val="lt-LT"/>
              </w:rPr>
              <w:t>Placebas</w:t>
            </w:r>
          </w:p>
        </w:tc>
        <w:tc>
          <w:tcPr>
            <w:tcW w:w="857" w:type="pct"/>
            <w:shd w:val="clear" w:color="auto" w:fill="D9D9D9"/>
          </w:tcPr>
          <w:p w14:paraId="14CE6B34" w14:textId="77777777" w:rsidR="00396475" w:rsidRPr="00883FF1" w:rsidRDefault="00396475" w:rsidP="00BD0220">
            <w:pPr>
              <w:tabs>
                <w:tab w:val="clear" w:pos="567"/>
              </w:tabs>
              <w:spacing w:line="240" w:lineRule="auto"/>
              <w:jc w:val="center"/>
              <w:rPr>
                <w:rFonts w:eastAsia="Calibri"/>
                <w:b/>
                <w:bCs/>
                <w:szCs w:val="22"/>
                <w:lang w:val="sv-SE"/>
              </w:rPr>
            </w:pPr>
            <w:r w:rsidRPr="00883FF1">
              <w:rPr>
                <w:rFonts w:eastAsia="Calibri"/>
                <w:b/>
                <w:bCs/>
                <w:szCs w:val="22"/>
                <w:lang w:val="lt-LT"/>
              </w:rPr>
              <w:t>30</w:t>
            </w:r>
            <w:r w:rsidR="00A87582" w:rsidRPr="00883FF1">
              <w:rPr>
                <w:rFonts w:eastAsia="Calibri"/>
                <w:b/>
                <w:bCs/>
                <w:szCs w:val="22"/>
                <w:lang w:val="lt-LT"/>
              </w:rPr>
              <w:t> mg</w:t>
            </w:r>
            <w:r w:rsidRPr="00883FF1">
              <w:rPr>
                <w:rFonts w:eastAsia="Calibri"/>
                <w:b/>
                <w:bCs/>
                <w:szCs w:val="22"/>
                <w:lang w:val="lt-LT"/>
              </w:rPr>
              <w:t xml:space="preserve"> du kartus per parą APR*</w:t>
            </w:r>
          </w:p>
        </w:tc>
      </w:tr>
      <w:tr w:rsidR="00DE6D1B" w:rsidRPr="00CD7E52" w14:paraId="4332F411" w14:textId="77777777" w:rsidTr="002F7D55">
        <w:tc>
          <w:tcPr>
            <w:tcW w:w="1484" w:type="pct"/>
          </w:tcPr>
          <w:p w14:paraId="0FA1AAAC" w14:textId="77777777" w:rsidR="00396475" w:rsidRPr="00883FF1" w:rsidRDefault="00396475" w:rsidP="00BD0220">
            <w:pPr>
              <w:tabs>
                <w:tab w:val="clear" w:pos="567"/>
              </w:tabs>
              <w:spacing w:line="240" w:lineRule="auto"/>
              <w:rPr>
                <w:rFonts w:eastAsia="Calibri"/>
                <w:b/>
                <w:bCs/>
                <w:szCs w:val="22"/>
              </w:rPr>
            </w:pPr>
            <w:r w:rsidRPr="00883FF1">
              <w:rPr>
                <w:rFonts w:eastAsia="Calibri"/>
                <w:b/>
                <w:bCs/>
                <w:szCs w:val="22"/>
                <w:lang w:val="lt-LT"/>
              </w:rPr>
              <w:t>N</w:t>
            </w:r>
          </w:p>
        </w:tc>
        <w:tc>
          <w:tcPr>
            <w:tcW w:w="861" w:type="pct"/>
            <w:vAlign w:val="center"/>
          </w:tcPr>
          <w:p w14:paraId="481D476D"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lang w:val="lt-LT"/>
              </w:rPr>
              <w:t>282</w:t>
            </w:r>
          </w:p>
        </w:tc>
        <w:tc>
          <w:tcPr>
            <w:tcW w:w="938" w:type="pct"/>
            <w:vAlign w:val="center"/>
          </w:tcPr>
          <w:p w14:paraId="2649EA41"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lang w:val="lt-LT"/>
              </w:rPr>
              <w:t>562</w:t>
            </w:r>
          </w:p>
        </w:tc>
        <w:tc>
          <w:tcPr>
            <w:tcW w:w="860" w:type="pct"/>
            <w:vAlign w:val="center"/>
          </w:tcPr>
          <w:p w14:paraId="7CAC884A"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lang w:val="lt-LT"/>
              </w:rPr>
              <w:t>137</w:t>
            </w:r>
          </w:p>
        </w:tc>
        <w:tc>
          <w:tcPr>
            <w:tcW w:w="857" w:type="pct"/>
            <w:vAlign w:val="center"/>
          </w:tcPr>
          <w:p w14:paraId="01F5866F"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lang w:val="lt-LT"/>
              </w:rPr>
              <w:t>274</w:t>
            </w:r>
          </w:p>
        </w:tc>
      </w:tr>
      <w:tr w:rsidR="009E0A7D" w:rsidRPr="00CD7E52" w14:paraId="00429D1D" w14:textId="77777777" w:rsidTr="002F7D55">
        <w:tc>
          <w:tcPr>
            <w:tcW w:w="1484" w:type="pct"/>
          </w:tcPr>
          <w:p w14:paraId="14C9FC4F" w14:textId="77777777" w:rsidR="00396475" w:rsidRPr="00883FF1" w:rsidRDefault="00396475" w:rsidP="00BD0220">
            <w:pPr>
              <w:tabs>
                <w:tab w:val="clear" w:pos="567"/>
              </w:tabs>
              <w:spacing w:line="240" w:lineRule="auto"/>
              <w:rPr>
                <w:rFonts w:eastAsia="Calibri"/>
                <w:b/>
                <w:bCs/>
                <w:szCs w:val="22"/>
              </w:rPr>
            </w:pPr>
            <w:r w:rsidRPr="00883FF1">
              <w:rPr>
                <w:rFonts w:eastAsia="Calibri"/>
                <w:b/>
                <w:bCs/>
                <w:snapToGrid/>
                <w:szCs w:val="22"/>
                <w:lang w:val="lt-LT"/>
              </w:rPr>
              <w:t>PASI</w:t>
            </w:r>
            <w:r w:rsidRPr="00883FF1">
              <w:rPr>
                <w:rFonts w:eastAsia="Calibri"/>
                <w:b/>
                <w:bCs/>
                <w:snapToGrid/>
                <w:szCs w:val="22"/>
                <w:vertAlign w:val="superscript"/>
                <w:lang w:val="lt-LT"/>
              </w:rPr>
              <w:t>c</w:t>
            </w:r>
            <w:r w:rsidRPr="00883FF1">
              <w:rPr>
                <w:rFonts w:eastAsia="Calibri"/>
                <w:b/>
                <w:bCs/>
                <w:szCs w:val="22"/>
                <w:lang w:val="lt-LT"/>
              </w:rPr>
              <w:t xml:space="preserve"> 75, n (%)</w:t>
            </w:r>
          </w:p>
        </w:tc>
        <w:tc>
          <w:tcPr>
            <w:tcW w:w="861" w:type="pct"/>
            <w:vAlign w:val="center"/>
          </w:tcPr>
          <w:p w14:paraId="23E11BCC"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lang w:val="lt-LT"/>
              </w:rPr>
              <w:t>15 (5,3)</w:t>
            </w:r>
          </w:p>
        </w:tc>
        <w:tc>
          <w:tcPr>
            <w:tcW w:w="938" w:type="pct"/>
            <w:vAlign w:val="center"/>
          </w:tcPr>
          <w:p w14:paraId="0DF42453"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lang w:val="lt-LT"/>
              </w:rPr>
              <w:t>186 (33,1)</w:t>
            </w:r>
          </w:p>
        </w:tc>
        <w:tc>
          <w:tcPr>
            <w:tcW w:w="860" w:type="pct"/>
            <w:vAlign w:val="center"/>
          </w:tcPr>
          <w:p w14:paraId="6A223501"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lang w:val="lt-LT"/>
              </w:rPr>
              <w:t>8 (5,8)</w:t>
            </w:r>
          </w:p>
        </w:tc>
        <w:tc>
          <w:tcPr>
            <w:tcW w:w="857" w:type="pct"/>
            <w:vAlign w:val="center"/>
          </w:tcPr>
          <w:p w14:paraId="3D5851B0"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lang w:val="lt-LT"/>
              </w:rPr>
              <w:t>79 (28,8)</w:t>
            </w:r>
          </w:p>
        </w:tc>
      </w:tr>
      <w:tr w:rsidR="009E0A7D" w:rsidRPr="00CD7E52" w14:paraId="01BFDB1D" w14:textId="77777777" w:rsidTr="002F7D55">
        <w:tc>
          <w:tcPr>
            <w:tcW w:w="1484" w:type="pct"/>
          </w:tcPr>
          <w:p w14:paraId="169222A7" w14:textId="77777777" w:rsidR="00396475" w:rsidRPr="00883FF1" w:rsidRDefault="00396475" w:rsidP="00BD0220">
            <w:pPr>
              <w:tabs>
                <w:tab w:val="clear" w:pos="567"/>
              </w:tabs>
              <w:spacing w:line="240" w:lineRule="auto"/>
              <w:rPr>
                <w:rFonts w:eastAsia="Calibri"/>
                <w:b/>
                <w:bCs/>
                <w:szCs w:val="22"/>
                <w:lang w:val="sv-SE"/>
              </w:rPr>
            </w:pPr>
            <w:r w:rsidRPr="00883FF1">
              <w:rPr>
                <w:rFonts w:eastAsia="Calibri"/>
                <w:b/>
                <w:bCs/>
                <w:szCs w:val="22"/>
                <w:lang w:val="lt-LT"/>
              </w:rPr>
              <w:t>sPGA</w:t>
            </w:r>
            <w:r w:rsidRPr="00883FF1">
              <w:rPr>
                <w:rFonts w:eastAsia="Calibri"/>
                <w:b/>
                <w:bCs/>
                <w:szCs w:val="22"/>
                <w:vertAlign w:val="superscript"/>
                <w:lang w:val="lt-LT"/>
              </w:rPr>
              <w:t>d</w:t>
            </w:r>
            <w:r w:rsidRPr="00883FF1">
              <w:rPr>
                <w:rFonts w:eastAsia="Calibri"/>
                <w:b/>
                <w:bCs/>
                <w:szCs w:val="22"/>
                <w:lang w:val="lt-LT"/>
              </w:rPr>
              <w:t xml:space="preserve"> </w:t>
            </w:r>
            <w:r w:rsidRPr="00883FF1">
              <w:rPr>
                <w:rFonts w:eastAsia="Calibri"/>
                <w:b/>
                <w:bCs/>
                <w:snapToGrid/>
                <w:szCs w:val="22"/>
                <w:lang w:val="lt-LT"/>
              </w:rPr>
              <w:t>„švari“</w:t>
            </w:r>
            <w:r w:rsidRPr="00883FF1">
              <w:rPr>
                <w:rFonts w:eastAsia="Calibri"/>
                <w:b/>
                <w:bCs/>
                <w:szCs w:val="22"/>
                <w:lang w:val="lt-LT"/>
              </w:rPr>
              <w:t xml:space="preserve"> arba </w:t>
            </w:r>
            <w:r w:rsidRPr="00883FF1">
              <w:rPr>
                <w:rFonts w:eastAsia="Calibri"/>
                <w:b/>
                <w:bCs/>
                <w:snapToGrid/>
                <w:szCs w:val="22"/>
                <w:lang w:val="lt-LT"/>
              </w:rPr>
              <w:t>„</w:t>
            </w:r>
            <w:r w:rsidRPr="00883FF1">
              <w:rPr>
                <w:rFonts w:eastAsia="Calibri"/>
                <w:b/>
                <w:bCs/>
                <w:szCs w:val="22"/>
                <w:lang w:val="lt-LT"/>
              </w:rPr>
              <w:t xml:space="preserve">beveik </w:t>
            </w:r>
            <w:r w:rsidRPr="00883FF1">
              <w:rPr>
                <w:rFonts w:eastAsia="Calibri"/>
                <w:b/>
                <w:bCs/>
                <w:snapToGrid/>
                <w:szCs w:val="22"/>
                <w:lang w:val="lt-LT"/>
              </w:rPr>
              <w:t>švari“,</w:t>
            </w:r>
            <w:r w:rsidRPr="00883FF1">
              <w:rPr>
                <w:rFonts w:eastAsia="Calibri"/>
                <w:b/>
                <w:bCs/>
                <w:szCs w:val="22"/>
                <w:lang w:val="lt-LT"/>
              </w:rPr>
              <w:t xml:space="preserve"> n (%)</w:t>
            </w:r>
          </w:p>
        </w:tc>
        <w:tc>
          <w:tcPr>
            <w:tcW w:w="861" w:type="pct"/>
            <w:vAlign w:val="center"/>
          </w:tcPr>
          <w:p w14:paraId="7F480E39"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lang w:val="lt-LT"/>
              </w:rPr>
              <w:t>11 (3,9)</w:t>
            </w:r>
          </w:p>
        </w:tc>
        <w:tc>
          <w:tcPr>
            <w:tcW w:w="938" w:type="pct"/>
            <w:vAlign w:val="center"/>
          </w:tcPr>
          <w:p w14:paraId="0A5699B3"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lang w:val="lt-LT"/>
              </w:rPr>
              <w:t>122 (21,7)</w:t>
            </w:r>
          </w:p>
        </w:tc>
        <w:tc>
          <w:tcPr>
            <w:tcW w:w="860" w:type="pct"/>
            <w:vAlign w:val="center"/>
          </w:tcPr>
          <w:p w14:paraId="375330C9"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lang w:val="lt-LT"/>
              </w:rPr>
              <w:t>6 (4,4)</w:t>
            </w:r>
          </w:p>
        </w:tc>
        <w:tc>
          <w:tcPr>
            <w:tcW w:w="857" w:type="pct"/>
            <w:vAlign w:val="center"/>
          </w:tcPr>
          <w:p w14:paraId="0D8350CF"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lang w:val="lt-LT"/>
              </w:rPr>
              <w:t>56 (20,4)</w:t>
            </w:r>
          </w:p>
        </w:tc>
      </w:tr>
      <w:tr w:rsidR="009E0A7D" w:rsidRPr="00CD7E52" w14:paraId="02F00564" w14:textId="77777777" w:rsidTr="002F7D55">
        <w:tc>
          <w:tcPr>
            <w:tcW w:w="1484" w:type="pct"/>
          </w:tcPr>
          <w:p w14:paraId="384586B5" w14:textId="77777777" w:rsidR="00396475" w:rsidRPr="00883FF1" w:rsidRDefault="00396475" w:rsidP="00BD0220">
            <w:pPr>
              <w:tabs>
                <w:tab w:val="clear" w:pos="567"/>
              </w:tabs>
              <w:spacing w:line="240" w:lineRule="auto"/>
              <w:rPr>
                <w:rFonts w:eastAsia="Calibri"/>
                <w:b/>
                <w:bCs/>
                <w:szCs w:val="22"/>
              </w:rPr>
            </w:pPr>
            <w:r w:rsidRPr="00883FF1">
              <w:rPr>
                <w:rFonts w:eastAsia="Calibri"/>
                <w:b/>
                <w:bCs/>
                <w:snapToGrid/>
                <w:szCs w:val="22"/>
                <w:lang w:val="lt-LT"/>
              </w:rPr>
              <w:t>PASI</w:t>
            </w:r>
            <w:r w:rsidRPr="00883FF1">
              <w:rPr>
                <w:rFonts w:eastAsia="Calibri"/>
                <w:b/>
                <w:bCs/>
                <w:szCs w:val="22"/>
                <w:lang w:val="lt-LT"/>
              </w:rPr>
              <w:t xml:space="preserve"> 50, n (%)</w:t>
            </w:r>
          </w:p>
        </w:tc>
        <w:tc>
          <w:tcPr>
            <w:tcW w:w="861" w:type="pct"/>
            <w:vAlign w:val="center"/>
          </w:tcPr>
          <w:p w14:paraId="5E4D96CF"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lang w:val="lt-LT"/>
              </w:rPr>
              <w:t>48 (17,0)</w:t>
            </w:r>
          </w:p>
        </w:tc>
        <w:tc>
          <w:tcPr>
            <w:tcW w:w="938" w:type="pct"/>
            <w:vAlign w:val="center"/>
          </w:tcPr>
          <w:p w14:paraId="619F77DC"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lang w:val="lt-LT"/>
              </w:rPr>
              <w:t>330 (58,7)</w:t>
            </w:r>
          </w:p>
        </w:tc>
        <w:tc>
          <w:tcPr>
            <w:tcW w:w="860" w:type="pct"/>
            <w:vAlign w:val="center"/>
          </w:tcPr>
          <w:p w14:paraId="3DC62C02"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lang w:val="lt-LT"/>
              </w:rPr>
              <w:t>27 (19,7)</w:t>
            </w:r>
          </w:p>
        </w:tc>
        <w:tc>
          <w:tcPr>
            <w:tcW w:w="857" w:type="pct"/>
            <w:vAlign w:val="center"/>
          </w:tcPr>
          <w:p w14:paraId="76931094"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lang w:val="lt-LT"/>
              </w:rPr>
              <w:t>152 (55,5)</w:t>
            </w:r>
          </w:p>
        </w:tc>
      </w:tr>
      <w:tr w:rsidR="009E0A7D" w:rsidRPr="00CD7E52" w14:paraId="23CE38B1" w14:textId="77777777" w:rsidTr="002F7D55">
        <w:tc>
          <w:tcPr>
            <w:tcW w:w="1484" w:type="pct"/>
          </w:tcPr>
          <w:p w14:paraId="4D0B781D" w14:textId="77777777" w:rsidR="00396475" w:rsidRPr="00883FF1" w:rsidRDefault="00396475" w:rsidP="00BD0220">
            <w:pPr>
              <w:tabs>
                <w:tab w:val="clear" w:pos="567"/>
              </w:tabs>
              <w:spacing w:line="240" w:lineRule="auto"/>
              <w:rPr>
                <w:rFonts w:eastAsia="Calibri"/>
                <w:b/>
                <w:bCs/>
                <w:szCs w:val="22"/>
              </w:rPr>
            </w:pPr>
            <w:r w:rsidRPr="00883FF1">
              <w:rPr>
                <w:rFonts w:eastAsia="Calibri"/>
                <w:b/>
                <w:bCs/>
                <w:snapToGrid/>
                <w:szCs w:val="22"/>
                <w:lang w:val="lt-LT"/>
              </w:rPr>
              <w:t>PASI</w:t>
            </w:r>
            <w:r w:rsidRPr="00883FF1">
              <w:rPr>
                <w:rFonts w:eastAsia="Calibri"/>
                <w:b/>
                <w:bCs/>
                <w:szCs w:val="22"/>
                <w:lang w:val="lt-LT"/>
              </w:rPr>
              <w:t xml:space="preserve"> 90, n (%)</w:t>
            </w:r>
          </w:p>
        </w:tc>
        <w:tc>
          <w:tcPr>
            <w:tcW w:w="861" w:type="pct"/>
            <w:vAlign w:val="center"/>
          </w:tcPr>
          <w:p w14:paraId="4C0BBF83"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lang w:val="lt-LT"/>
              </w:rPr>
              <w:t>1 (0,4)</w:t>
            </w:r>
          </w:p>
        </w:tc>
        <w:tc>
          <w:tcPr>
            <w:tcW w:w="938" w:type="pct"/>
            <w:vAlign w:val="center"/>
          </w:tcPr>
          <w:p w14:paraId="79BEE04D"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lang w:val="lt-LT"/>
              </w:rPr>
              <w:t>55 (9,8)</w:t>
            </w:r>
          </w:p>
        </w:tc>
        <w:tc>
          <w:tcPr>
            <w:tcW w:w="860" w:type="pct"/>
            <w:vAlign w:val="center"/>
          </w:tcPr>
          <w:p w14:paraId="2AAFD067"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lang w:val="lt-LT"/>
              </w:rPr>
              <w:t>2 (1,5)</w:t>
            </w:r>
          </w:p>
        </w:tc>
        <w:tc>
          <w:tcPr>
            <w:tcW w:w="857" w:type="pct"/>
            <w:vAlign w:val="center"/>
          </w:tcPr>
          <w:p w14:paraId="35DABE95"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lang w:val="lt-LT"/>
              </w:rPr>
              <w:t>24 (8,8)</w:t>
            </w:r>
          </w:p>
        </w:tc>
      </w:tr>
      <w:tr w:rsidR="009E0A7D" w:rsidRPr="00CD7E52" w14:paraId="0D694F17" w14:textId="77777777" w:rsidTr="002F7D55">
        <w:tc>
          <w:tcPr>
            <w:tcW w:w="1484" w:type="pct"/>
          </w:tcPr>
          <w:p w14:paraId="39619A9E" w14:textId="77777777" w:rsidR="00396475" w:rsidRPr="00883FF1" w:rsidRDefault="00396475" w:rsidP="00BD0220">
            <w:pPr>
              <w:tabs>
                <w:tab w:val="clear" w:pos="567"/>
              </w:tabs>
              <w:spacing w:line="240" w:lineRule="auto"/>
              <w:rPr>
                <w:rFonts w:eastAsia="Calibri"/>
                <w:b/>
                <w:bCs/>
                <w:szCs w:val="22"/>
              </w:rPr>
            </w:pPr>
            <w:r w:rsidRPr="00883FF1">
              <w:rPr>
                <w:rFonts w:eastAsia="Calibri"/>
                <w:b/>
                <w:bCs/>
                <w:szCs w:val="22"/>
                <w:lang w:val="lt-LT"/>
              </w:rPr>
              <w:lastRenderedPageBreak/>
              <w:t>KPP</w:t>
            </w:r>
            <w:r w:rsidRPr="00883FF1">
              <w:rPr>
                <w:rFonts w:eastAsia="Calibri"/>
                <w:b/>
                <w:bCs/>
                <w:szCs w:val="22"/>
                <w:vertAlign w:val="superscript"/>
                <w:lang w:val="lt-LT"/>
              </w:rPr>
              <w:t>e</w:t>
            </w:r>
            <w:r w:rsidRPr="00883FF1">
              <w:rPr>
                <w:rFonts w:eastAsia="Calibri"/>
                <w:b/>
                <w:bCs/>
                <w:szCs w:val="22"/>
                <w:lang w:val="lt-LT"/>
              </w:rPr>
              <w:t xml:space="preserve"> </w:t>
            </w:r>
            <w:r w:rsidRPr="00883FF1">
              <w:rPr>
                <w:rFonts w:eastAsia="Calibri"/>
                <w:b/>
                <w:bCs/>
                <w:snapToGrid/>
                <w:szCs w:val="22"/>
                <w:lang w:val="lt-LT"/>
              </w:rPr>
              <w:t>procentinis</w:t>
            </w:r>
            <w:r w:rsidRPr="00883FF1">
              <w:rPr>
                <w:rFonts w:eastAsia="Calibri"/>
                <w:b/>
                <w:bCs/>
                <w:szCs w:val="22"/>
                <w:lang w:val="lt-LT"/>
              </w:rPr>
              <w:t xml:space="preserve"> pokytis (%), vidurkis ±</w:t>
            </w:r>
            <w:r w:rsidRPr="00883FF1">
              <w:rPr>
                <w:rFonts w:eastAsia="Calibri"/>
                <w:b/>
                <w:bCs/>
                <w:snapToGrid/>
                <w:szCs w:val="22"/>
                <w:lang w:val="lt-LT"/>
              </w:rPr>
              <w:t xml:space="preserve"> </w:t>
            </w:r>
            <w:r w:rsidRPr="00883FF1">
              <w:rPr>
                <w:rFonts w:eastAsia="Calibri"/>
                <w:b/>
                <w:bCs/>
                <w:szCs w:val="22"/>
                <w:lang w:val="lt-LT"/>
              </w:rPr>
              <w:t>SN</w:t>
            </w:r>
          </w:p>
        </w:tc>
        <w:tc>
          <w:tcPr>
            <w:tcW w:w="861" w:type="pct"/>
            <w:vAlign w:val="center"/>
          </w:tcPr>
          <w:p w14:paraId="707581B4"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napToGrid/>
                <w:szCs w:val="22"/>
                <w:lang w:val="lt-LT" w:eastAsia="lt-LT"/>
              </w:rPr>
              <w:t>-6,9</w:t>
            </w:r>
            <w:r w:rsidRPr="00883FF1">
              <w:rPr>
                <w:rFonts w:eastAsia="Calibri"/>
                <w:bCs/>
                <w:snapToGrid/>
                <w:szCs w:val="22"/>
                <w:lang w:val="lt-LT"/>
              </w:rPr>
              <w:t xml:space="preserve"> </w:t>
            </w:r>
            <w:r w:rsidRPr="00883FF1">
              <w:rPr>
                <w:rFonts w:eastAsia="Calibri"/>
                <w:szCs w:val="22"/>
                <w:lang w:val="lt-LT"/>
              </w:rPr>
              <w:t>± 38,95</w:t>
            </w:r>
          </w:p>
        </w:tc>
        <w:tc>
          <w:tcPr>
            <w:tcW w:w="938" w:type="pct"/>
            <w:vAlign w:val="center"/>
          </w:tcPr>
          <w:p w14:paraId="66FDBC37"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rPr>
              <w:t>-</w:t>
            </w:r>
            <w:r w:rsidRPr="00883FF1">
              <w:rPr>
                <w:rFonts w:eastAsia="Calibri"/>
                <w:snapToGrid/>
                <w:szCs w:val="22"/>
                <w:lang w:val="lt-LT" w:eastAsia="lt-LT"/>
              </w:rPr>
              <w:t>47,8</w:t>
            </w:r>
            <w:r w:rsidRPr="00883FF1">
              <w:rPr>
                <w:rFonts w:eastAsia="Calibri"/>
                <w:bCs/>
                <w:snapToGrid/>
                <w:szCs w:val="22"/>
                <w:lang w:val="lt-LT"/>
              </w:rPr>
              <w:t xml:space="preserve"> </w:t>
            </w:r>
            <w:r w:rsidRPr="00883FF1">
              <w:rPr>
                <w:rFonts w:eastAsia="Calibri"/>
                <w:szCs w:val="22"/>
                <w:lang w:val="lt-LT"/>
              </w:rPr>
              <w:t>± 38,48</w:t>
            </w:r>
          </w:p>
        </w:tc>
        <w:tc>
          <w:tcPr>
            <w:tcW w:w="860" w:type="pct"/>
            <w:vAlign w:val="center"/>
          </w:tcPr>
          <w:p w14:paraId="2F2A847D"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rPr>
              <w:t>-</w:t>
            </w:r>
            <w:r w:rsidRPr="00883FF1">
              <w:rPr>
                <w:rFonts w:eastAsia="Calibri"/>
                <w:snapToGrid/>
                <w:szCs w:val="22"/>
                <w:lang w:val="lt-LT" w:eastAsia="lt-LT"/>
              </w:rPr>
              <w:t>6,1</w:t>
            </w:r>
            <w:r w:rsidRPr="00883FF1">
              <w:rPr>
                <w:rFonts w:eastAsia="Calibri"/>
                <w:bCs/>
                <w:snapToGrid/>
                <w:szCs w:val="22"/>
                <w:lang w:val="lt-LT"/>
              </w:rPr>
              <w:t xml:space="preserve"> </w:t>
            </w:r>
            <w:r w:rsidRPr="00883FF1">
              <w:rPr>
                <w:rFonts w:eastAsia="Calibri"/>
                <w:szCs w:val="22"/>
                <w:lang w:val="lt-LT"/>
              </w:rPr>
              <w:t>± 47,57</w:t>
            </w:r>
          </w:p>
        </w:tc>
        <w:tc>
          <w:tcPr>
            <w:tcW w:w="857" w:type="pct"/>
            <w:vAlign w:val="center"/>
          </w:tcPr>
          <w:p w14:paraId="0D298894"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napToGrid/>
                <w:szCs w:val="22"/>
                <w:lang w:val="lt-LT" w:eastAsia="lt-LT"/>
              </w:rPr>
              <w:t>-48,4</w:t>
            </w:r>
            <w:r w:rsidRPr="00883FF1">
              <w:rPr>
                <w:rFonts w:eastAsia="Calibri"/>
                <w:bCs/>
                <w:snapToGrid/>
                <w:szCs w:val="22"/>
                <w:lang w:val="lt-LT"/>
              </w:rPr>
              <w:t xml:space="preserve"> </w:t>
            </w:r>
            <w:r w:rsidRPr="00883FF1">
              <w:rPr>
                <w:rFonts w:eastAsia="Calibri"/>
                <w:szCs w:val="22"/>
                <w:lang w:val="lt-LT"/>
              </w:rPr>
              <w:t>± 40,78</w:t>
            </w:r>
          </w:p>
        </w:tc>
      </w:tr>
      <w:tr w:rsidR="009E0A7D" w:rsidRPr="00CD7E52" w14:paraId="7C261B58" w14:textId="77777777" w:rsidTr="002F7D55">
        <w:tc>
          <w:tcPr>
            <w:tcW w:w="1484" w:type="pct"/>
          </w:tcPr>
          <w:p w14:paraId="1C0BD71C" w14:textId="77777777" w:rsidR="00396475" w:rsidRPr="00716E07" w:rsidRDefault="00396475" w:rsidP="00BD0220">
            <w:pPr>
              <w:tabs>
                <w:tab w:val="clear" w:pos="567"/>
              </w:tabs>
              <w:spacing w:line="240" w:lineRule="auto"/>
              <w:rPr>
                <w:rFonts w:eastAsia="Calibri"/>
                <w:b/>
                <w:lang w:val="pt-PT"/>
              </w:rPr>
            </w:pPr>
            <w:r w:rsidRPr="00883FF1">
              <w:rPr>
                <w:rFonts w:eastAsia="Calibri"/>
                <w:b/>
                <w:bCs/>
                <w:szCs w:val="22"/>
                <w:lang w:val="lt-LT"/>
              </w:rPr>
              <w:t xml:space="preserve">Niežėjimo </w:t>
            </w:r>
            <w:r w:rsidRPr="00883FF1">
              <w:rPr>
                <w:rFonts w:eastAsia="Calibri"/>
                <w:b/>
                <w:bCs/>
                <w:snapToGrid/>
                <w:szCs w:val="22"/>
                <w:lang w:val="lt-LT"/>
              </w:rPr>
              <w:t xml:space="preserve">pokytis pagal </w:t>
            </w:r>
            <w:r w:rsidRPr="00883FF1">
              <w:rPr>
                <w:rFonts w:eastAsia="Calibri"/>
                <w:b/>
                <w:bCs/>
                <w:szCs w:val="22"/>
                <w:lang w:val="lt-LT"/>
              </w:rPr>
              <w:t>VAS</w:t>
            </w:r>
            <w:r w:rsidRPr="00883FF1">
              <w:rPr>
                <w:rFonts w:eastAsia="Calibri"/>
                <w:b/>
                <w:bCs/>
                <w:szCs w:val="22"/>
                <w:vertAlign w:val="superscript"/>
                <w:lang w:val="lt-LT"/>
              </w:rPr>
              <w:t>f</w:t>
            </w:r>
            <w:r w:rsidRPr="00883FF1">
              <w:rPr>
                <w:rFonts w:eastAsia="Calibri"/>
                <w:b/>
                <w:bCs/>
                <w:szCs w:val="22"/>
                <w:lang w:val="lt-LT"/>
              </w:rPr>
              <w:t xml:space="preserve"> (mm), vidurkis ±</w:t>
            </w:r>
            <w:r w:rsidRPr="00883FF1">
              <w:rPr>
                <w:rFonts w:eastAsia="Calibri"/>
                <w:b/>
                <w:bCs/>
                <w:snapToGrid/>
                <w:szCs w:val="22"/>
                <w:lang w:val="lt-LT"/>
              </w:rPr>
              <w:t xml:space="preserve"> </w:t>
            </w:r>
            <w:r w:rsidRPr="00883FF1">
              <w:rPr>
                <w:rFonts w:eastAsia="Calibri"/>
                <w:b/>
                <w:bCs/>
                <w:szCs w:val="22"/>
                <w:lang w:val="lt-LT"/>
              </w:rPr>
              <w:t>SN</w:t>
            </w:r>
          </w:p>
        </w:tc>
        <w:tc>
          <w:tcPr>
            <w:tcW w:w="861" w:type="pct"/>
            <w:vAlign w:val="center"/>
          </w:tcPr>
          <w:p w14:paraId="0D481807"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rPr>
              <w:t>-</w:t>
            </w:r>
            <w:r w:rsidRPr="00883FF1">
              <w:rPr>
                <w:rFonts w:eastAsia="Calibri"/>
                <w:snapToGrid/>
                <w:szCs w:val="22"/>
                <w:lang w:val="lt-LT" w:eastAsia="lt-LT"/>
              </w:rPr>
              <w:t>7,3</w:t>
            </w:r>
            <w:r w:rsidRPr="00883FF1">
              <w:rPr>
                <w:rFonts w:eastAsia="Calibri"/>
                <w:bCs/>
                <w:snapToGrid/>
                <w:szCs w:val="22"/>
                <w:lang w:val="lt-LT"/>
              </w:rPr>
              <w:t xml:space="preserve"> </w:t>
            </w:r>
            <w:r w:rsidRPr="00883FF1">
              <w:rPr>
                <w:rFonts w:eastAsia="Calibri"/>
                <w:szCs w:val="22"/>
                <w:lang w:val="lt-LT"/>
              </w:rPr>
              <w:t>± 27,08</w:t>
            </w:r>
          </w:p>
        </w:tc>
        <w:tc>
          <w:tcPr>
            <w:tcW w:w="938" w:type="pct"/>
            <w:vAlign w:val="center"/>
          </w:tcPr>
          <w:p w14:paraId="21CE89A1"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rPr>
              <w:t>-</w:t>
            </w:r>
            <w:r w:rsidRPr="00883FF1">
              <w:rPr>
                <w:rFonts w:eastAsia="Calibri"/>
                <w:snapToGrid/>
                <w:szCs w:val="22"/>
                <w:lang w:val="lt-LT" w:eastAsia="lt-LT"/>
              </w:rPr>
              <w:t>31,5</w:t>
            </w:r>
            <w:r w:rsidRPr="00883FF1">
              <w:rPr>
                <w:rFonts w:eastAsia="Calibri"/>
                <w:bCs/>
                <w:snapToGrid/>
                <w:szCs w:val="22"/>
                <w:lang w:val="lt-LT"/>
              </w:rPr>
              <w:t xml:space="preserve"> </w:t>
            </w:r>
            <w:r w:rsidRPr="00883FF1">
              <w:rPr>
                <w:rFonts w:eastAsia="Calibri"/>
                <w:szCs w:val="22"/>
                <w:lang w:val="lt-LT"/>
              </w:rPr>
              <w:t>± 32,43</w:t>
            </w:r>
          </w:p>
        </w:tc>
        <w:tc>
          <w:tcPr>
            <w:tcW w:w="860" w:type="pct"/>
            <w:vAlign w:val="center"/>
          </w:tcPr>
          <w:p w14:paraId="0B82AB1A"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rPr>
              <w:t>-</w:t>
            </w:r>
            <w:r w:rsidRPr="00883FF1">
              <w:rPr>
                <w:rFonts w:eastAsia="Calibri"/>
                <w:snapToGrid/>
                <w:szCs w:val="22"/>
                <w:lang w:val="lt-LT" w:eastAsia="lt-LT"/>
              </w:rPr>
              <w:t>12,2</w:t>
            </w:r>
            <w:r w:rsidRPr="00883FF1">
              <w:rPr>
                <w:rFonts w:eastAsia="Calibri"/>
                <w:bCs/>
                <w:snapToGrid/>
                <w:szCs w:val="22"/>
                <w:lang w:val="lt-LT"/>
              </w:rPr>
              <w:t xml:space="preserve"> </w:t>
            </w:r>
            <w:r w:rsidRPr="00883FF1">
              <w:rPr>
                <w:rFonts w:eastAsia="Calibri"/>
                <w:szCs w:val="22"/>
                <w:lang w:val="lt-LT"/>
              </w:rPr>
              <w:t>± 30,94</w:t>
            </w:r>
          </w:p>
        </w:tc>
        <w:tc>
          <w:tcPr>
            <w:tcW w:w="857" w:type="pct"/>
            <w:vAlign w:val="center"/>
          </w:tcPr>
          <w:p w14:paraId="2EEAAE1B"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rPr>
              <w:t>-</w:t>
            </w:r>
            <w:r w:rsidRPr="00883FF1">
              <w:rPr>
                <w:rFonts w:eastAsia="Calibri"/>
                <w:snapToGrid/>
                <w:szCs w:val="22"/>
                <w:lang w:val="lt-LT" w:eastAsia="lt-LT"/>
              </w:rPr>
              <w:t>33,5</w:t>
            </w:r>
            <w:r w:rsidRPr="00883FF1">
              <w:rPr>
                <w:rFonts w:eastAsia="Calibri"/>
                <w:bCs/>
                <w:snapToGrid/>
                <w:szCs w:val="22"/>
                <w:lang w:val="lt-LT"/>
              </w:rPr>
              <w:t xml:space="preserve"> ± </w:t>
            </w:r>
            <w:r w:rsidRPr="00883FF1">
              <w:rPr>
                <w:rFonts w:eastAsia="Calibri"/>
                <w:szCs w:val="22"/>
                <w:lang w:val="lt-LT"/>
              </w:rPr>
              <w:t>35,46</w:t>
            </w:r>
          </w:p>
        </w:tc>
      </w:tr>
      <w:tr w:rsidR="009E0A7D" w:rsidRPr="00CD7E52" w14:paraId="082F4995" w14:textId="77777777" w:rsidTr="002F7D55">
        <w:tc>
          <w:tcPr>
            <w:tcW w:w="1484" w:type="pct"/>
          </w:tcPr>
          <w:p w14:paraId="5CF4017E" w14:textId="77777777" w:rsidR="00396475" w:rsidRPr="00883FF1" w:rsidRDefault="00396475" w:rsidP="00BD0220">
            <w:pPr>
              <w:tabs>
                <w:tab w:val="clear" w:pos="567"/>
              </w:tabs>
              <w:spacing w:line="240" w:lineRule="auto"/>
              <w:rPr>
                <w:rFonts w:eastAsia="Calibri"/>
                <w:b/>
                <w:bCs/>
                <w:szCs w:val="22"/>
              </w:rPr>
            </w:pPr>
            <w:r w:rsidRPr="00883FF1">
              <w:rPr>
                <w:rFonts w:eastAsia="Calibri"/>
                <w:b/>
                <w:bCs/>
                <w:snapToGrid/>
                <w:szCs w:val="22"/>
                <w:lang w:val="lt-LT"/>
              </w:rPr>
              <w:t>DLQI</w:t>
            </w:r>
            <w:r w:rsidRPr="00883FF1">
              <w:rPr>
                <w:rFonts w:eastAsia="Calibri"/>
                <w:b/>
                <w:bCs/>
                <w:snapToGrid/>
                <w:szCs w:val="22"/>
                <w:vertAlign w:val="superscript"/>
                <w:lang w:val="lt-LT"/>
              </w:rPr>
              <w:t>g</w:t>
            </w:r>
            <w:r w:rsidRPr="00883FF1">
              <w:rPr>
                <w:rFonts w:eastAsia="Calibri"/>
                <w:b/>
                <w:bCs/>
                <w:snapToGrid/>
                <w:szCs w:val="22"/>
                <w:lang w:val="lt-LT"/>
              </w:rPr>
              <w:t xml:space="preserve"> pokytis</w:t>
            </w:r>
            <w:r w:rsidRPr="00883FF1">
              <w:rPr>
                <w:rFonts w:eastAsia="Calibri"/>
                <w:b/>
                <w:bCs/>
                <w:szCs w:val="22"/>
                <w:lang w:val="lt-LT"/>
              </w:rPr>
              <w:t>, vidurkis ±</w:t>
            </w:r>
            <w:r w:rsidRPr="00883FF1">
              <w:rPr>
                <w:rFonts w:eastAsia="Calibri"/>
                <w:b/>
                <w:bCs/>
                <w:snapToGrid/>
                <w:szCs w:val="22"/>
                <w:lang w:val="lt-LT"/>
              </w:rPr>
              <w:t xml:space="preserve"> </w:t>
            </w:r>
            <w:r w:rsidRPr="00883FF1">
              <w:rPr>
                <w:rFonts w:eastAsia="Calibri"/>
                <w:b/>
                <w:bCs/>
                <w:szCs w:val="22"/>
                <w:lang w:val="lt-LT"/>
              </w:rPr>
              <w:t>SN</w:t>
            </w:r>
          </w:p>
        </w:tc>
        <w:tc>
          <w:tcPr>
            <w:tcW w:w="861" w:type="pct"/>
            <w:vAlign w:val="center"/>
          </w:tcPr>
          <w:p w14:paraId="17EA28CD"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rPr>
              <w:t>-</w:t>
            </w:r>
            <w:r w:rsidRPr="00883FF1">
              <w:rPr>
                <w:rFonts w:eastAsia="Calibri"/>
                <w:snapToGrid/>
                <w:szCs w:val="22"/>
                <w:lang w:val="lt-LT" w:eastAsia="lt-LT"/>
              </w:rPr>
              <w:t>2,1</w:t>
            </w:r>
            <w:r w:rsidRPr="00883FF1">
              <w:rPr>
                <w:rFonts w:eastAsia="Calibri"/>
                <w:bCs/>
                <w:snapToGrid/>
                <w:szCs w:val="22"/>
                <w:lang w:val="lt-LT"/>
              </w:rPr>
              <w:t xml:space="preserve"> </w:t>
            </w:r>
            <w:r w:rsidRPr="00883FF1">
              <w:rPr>
                <w:rFonts w:eastAsia="Calibri"/>
                <w:szCs w:val="22"/>
                <w:lang w:val="lt-LT"/>
              </w:rPr>
              <w:t>± 5,69</w:t>
            </w:r>
          </w:p>
        </w:tc>
        <w:tc>
          <w:tcPr>
            <w:tcW w:w="938" w:type="pct"/>
            <w:vAlign w:val="center"/>
          </w:tcPr>
          <w:p w14:paraId="0D2BF4C7"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rPr>
              <w:t>-</w:t>
            </w:r>
            <w:r w:rsidRPr="00883FF1">
              <w:rPr>
                <w:rFonts w:eastAsia="Calibri"/>
                <w:snapToGrid/>
                <w:szCs w:val="22"/>
                <w:lang w:val="lt-LT" w:eastAsia="lt-LT"/>
              </w:rPr>
              <w:t>6,6</w:t>
            </w:r>
            <w:r w:rsidRPr="00883FF1">
              <w:rPr>
                <w:rFonts w:eastAsia="Calibri"/>
                <w:bCs/>
                <w:snapToGrid/>
                <w:szCs w:val="22"/>
                <w:lang w:val="lt-LT"/>
              </w:rPr>
              <w:t xml:space="preserve"> </w:t>
            </w:r>
            <w:r w:rsidRPr="00883FF1">
              <w:rPr>
                <w:rFonts w:eastAsia="Calibri"/>
                <w:szCs w:val="22"/>
                <w:lang w:val="lt-LT"/>
              </w:rPr>
              <w:t>± 6,66</w:t>
            </w:r>
          </w:p>
        </w:tc>
        <w:tc>
          <w:tcPr>
            <w:tcW w:w="860" w:type="pct"/>
            <w:vAlign w:val="center"/>
          </w:tcPr>
          <w:p w14:paraId="6A5A2186"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napToGrid/>
                <w:szCs w:val="22"/>
                <w:lang w:val="lt-LT" w:eastAsia="lt-LT"/>
              </w:rPr>
              <w:t>-2,8</w:t>
            </w:r>
            <w:r w:rsidRPr="00883FF1">
              <w:rPr>
                <w:rFonts w:eastAsia="Calibri"/>
                <w:bCs/>
                <w:snapToGrid/>
                <w:szCs w:val="22"/>
                <w:lang w:val="lt-LT"/>
              </w:rPr>
              <w:t xml:space="preserve"> </w:t>
            </w:r>
            <w:r w:rsidRPr="00883FF1">
              <w:rPr>
                <w:rFonts w:eastAsia="Calibri"/>
                <w:szCs w:val="22"/>
                <w:lang w:val="lt-LT"/>
              </w:rPr>
              <w:t>± 7,22</w:t>
            </w:r>
          </w:p>
        </w:tc>
        <w:tc>
          <w:tcPr>
            <w:tcW w:w="857" w:type="pct"/>
            <w:vAlign w:val="center"/>
          </w:tcPr>
          <w:p w14:paraId="1EC50A77"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napToGrid/>
                <w:szCs w:val="22"/>
                <w:lang w:val="lt-LT" w:eastAsia="lt-LT"/>
              </w:rPr>
              <w:t>-6,7</w:t>
            </w:r>
            <w:r w:rsidRPr="00883FF1">
              <w:rPr>
                <w:rFonts w:eastAsia="Calibri"/>
                <w:bCs/>
                <w:snapToGrid/>
                <w:szCs w:val="22"/>
                <w:lang w:val="lt-LT"/>
              </w:rPr>
              <w:t xml:space="preserve"> </w:t>
            </w:r>
            <w:r w:rsidRPr="00883FF1">
              <w:rPr>
                <w:rFonts w:eastAsia="Calibri"/>
                <w:szCs w:val="22"/>
                <w:lang w:val="lt-LT"/>
              </w:rPr>
              <w:t>± 6,95</w:t>
            </w:r>
          </w:p>
        </w:tc>
      </w:tr>
      <w:tr w:rsidR="009E0A7D" w:rsidRPr="00CD7E52" w14:paraId="4C8F838F" w14:textId="77777777" w:rsidTr="002F7D55">
        <w:tc>
          <w:tcPr>
            <w:tcW w:w="1484" w:type="pct"/>
          </w:tcPr>
          <w:p w14:paraId="19267E25" w14:textId="77777777" w:rsidR="00396475" w:rsidRPr="00883FF1" w:rsidRDefault="00396475" w:rsidP="00BD0220">
            <w:pPr>
              <w:tabs>
                <w:tab w:val="clear" w:pos="567"/>
              </w:tabs>
              <w:spacing w:line="240" w:lineRule="auto"/>
              <w:rPr>
                <w:rFonts w:eastAsia="Calibri"/>
                <w:b/>
                <w:bCs/>
                <w:szCs w:val="22"/>
                <w:lang w:val="sv-SE"/>
              </w:rPr>
            </w:pPr>
            <w:r w:rsidRPr="00883FF1">
              <w:rPr>
                <w:rFonts w:eastAsia="Calibri"/>
                <w:b/>
                <w:bCs/>
                <w:szCs w:val="22"/>
                <w:lang w:val="lt-LT"/>
              </w:rPr>
              <w:t xml:space="preserve">SF-36 </w:t>
            </w:r>
            <w:r w:rsidRPr="00883FF1">
              <w:rPr>
                <w:rFonts w:eastAsia="Calibri"/>
                <w:b/>
                <w:bCs/>
                <w:snapToGrid/>
                <w:szCs w:val="22"/>
                <w:lang w:val="lt-LT"/>
              </w:rPr>
              <w:t>MCS</w:t>
            </w:r>
            <w:r w:rsidRPr="00883FF1">
              <w:rPr>
                <w:rFonts w:eastAsia="Calibri"/>
                <w:b/>
                <w:bCs/>
                <w:snapToGrid/>
                <w:szCs w:val="22"/>
                <w:vertAlign w:val="superscript"/>
                <w:lang w:val="lt-LT"/>
              </w:rPr>
              <w:t>h</w:t>
            </w:r>
            <w:r w:rsidRPr="00883FF1">
              <w:rPr>
                <w:rFonts w:eastAsia="Calibri"/>
                <w:b/>
                <w:bCs/>
                <w:snapToGrid/>
                <w:szCs w:val="22"/>
                <w:lang w:val="lt-LT"/>
              </w:rPr>
              <w:t xml:space="preserve"> pokytis</w:t>
            </w:r>
            <w:r w:rsidRPr="00883FF1">
              <w:rPr>
                <w:rFonts w:eastAsia="Calibri"/>
                <w:b/>
                <w:bCs/>
                <w:szCs w:val="22"/>
                <w:lang w:val="lt-LT"/>
              </w:rPr>
              <w:t>, vidurkis ±</w:t>
            </w:r>
            <w:r w:rsidRPr="00883FF1">
              <w:rPr>
                <w:rFonts w:eastAsia="Calibri"/>
                <w:b/>
                <w:bCs/>
                <w:snapToGrid/>
                <w:szCs w:val="22"/>
                <w:lang w:val="lt-LT"/>
              </w:rPr>
              <w:t xml:space="preserve"> </w:t>
            </w:r>
            <w:r w:rsidRPr="00883FF1">
              <w:rPr>
                <w:rFonts w:eastAsia="Calibri"/>
                <w:b/>
                <w:bCs/>
                <w:szCs w:val="22"/>
                <w:lang w:val="lt-LT"/>
              </w:rPr>
              <w:t>SN</w:t>
            </w:r>
          </w:p>
        </w:tc>
        <w:tc>
          <w:tcPr>
            <w:tcW w:w="861" w:type="pct"/>
            <w:vAlign w:val="center"/>
          </w:tcPr>
          <w:p w14:paraId="74C220F0"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rPr>
              <w:t>-</w:t>
            </w:r>
            <w:r w:rsidRPr="00883FF1">
              <w:rPr>
                <w:rFonts w:eastAsia="Calibri"/>
                <w:snapToGrid/>
                <w:szCs w:val="22"/>
                <w:lang w:val="lt-LT" w:eastAsia="lt-LT"/>
              </w:rPr>
              <w:t>1,02</w:t>
            </w:r>
            <w:r w:rsidRPr="00883FF1">
              <w:rPr>
                <w:rFonts w:eastAsia="Calibri"/>
                <w:bCs/>
                <w:snapToGrid/>
                <w:szCs w:val="22"/>
                <w:lang w:val="lt-LT"/>
              </w:rPr>
              <w:t xml:space="preserve"> </w:t>
            </w:r>
            <w:r w:rsidRPr="00883FF1">
              <w:rPr>
                <w:rFonts w:eastAsia="Calibri"/>
                <w:szCs w:val="22"/>
                <w:lang w:val="lt-LT"/>
              </w:rPr>
              <w:t>± 9,161</w:t>
            </w:r>
          </w:p>
        </w:tc>
        <w:tc>
          <w:tcPr>
            <w:tcW w:w="938" w:type="pct"/>
            <w:vAlign w:val="center"/>
          </w:tcPr>
          <w:p w14:paraId="56768CAD"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napToGrid/>
                <w:szCs w:val="22"/>
                <w:lang w:val="lt-LT" w:eastAsia="lt-LT"/>
              </w:rPr>
              <w:t>2,39</w:t>
            </w:r>
            <w:r w:rsidRPr="00883FF1">
              <w:rPr>
                <w:rFonts w:eastAsia="Calibri"/>
                <w:bCs/>
                <w:snapToGrid/>
                <w:szCs w:val="22"/>
                <w:lang w:val="lt-LT"/>
              </w:rPr>
              <w:t xml:space="preserve"> </w:t>
            </w:r>
            <w:r w:rsidRPr="00883FF1">
              <w:rPr>
                <w:rFonts w:eastAsia="Calibri"/>
                <w:szCs w:val="22"/>
                <w:lang w:val="lt-LT"/>
              </w:rPr>
              <w:t>± 9,504</w:t>
            </w:r>
          </w:p>
        </w:tc>
        <w:tc>
          <w:tcPr>
            <w:tcW w:w="860" w:type="pct"/>
            <w:vAlign w:val="center"/>
          </w:tcPr>
          <w:p w14:paraId="1CFF9B7F"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zCs w:val="22"/>
              </w:rPr>
              <w:t>0,00</w:t>
            </w:r>
            <w:r w:rsidRPr="00883FF1">
              <w:rPr>
                <w:rFonts w:eastAsia="Calibri"/>
                <w:snapToGrid/>
                <w:szCs w:val="22"/>
                <w:lang w:val="lt-LT" w:eastAsia="lt-LT"/>
              </w:rPr>
              <w:t xml:space="preserve"> ±</w:t>
            </w:r>
            <w:r w:rsidRPr="00883FF1">
              <w:rPr>
                <w:rFonts w:eastAsia="Calibri"/>
                <w:bCs/>
                <w:snapToGrid/>
                <w:szCs w:val="22"/>
                <w:lang w:val="lt-LT"/>
              </w:rPr>
              <w:t xml:space="preserve"> </w:t>
            </w:r>
            <w:r w:rsidRPr="00883FF1">
              <w:rPr>
                <w:rFonts w:eastAsia="Calibri"/>
                <w:szCs w:val="22"/>
                <w:lang w:val="lt-LT"/>
              </w:rPr>
              <w:t>10,498</w:t>
            </w:r>
          </w:p>
        </w:tc>
        <w:tc>
          <w:tcPr>
            <w:tcW w:w="857" w:type="pct"/>
            <w:vAlign w:val="center"/>
          </w:tcPr>
          <w:p w14:paraId="14FD1807" w14:textId="77777777" w:rsidR="00396475" w:rsidRPr="00883FF1" w:rsidRDefault="00396475" w:rsidP="00BD0220">
            <w:pPr>
              <w:tabs>
                <w:tab w:val="clear" w:pos="567"/>
              </w:tabs>
              <w:spacing w:line="240" w:lineRule="auto"/>
              <w:jc w:val="center"/>
              <w:rPr>
                <w:rFonts w:eastAsia="Calibri"/>
                <w:szCs w:val="22"/>
              </w:rPr>
            </w:pPr>
            <w:r w:rsidRPr="00883FF1">
              <w:rPr>
                <w:rFonts w:eastAsia="Calibri"/>
                <w:snapToGrid/>
                <w:szCs w:val="22"/>
                <w:lang w:val="lt-LT" w:eastAsia="lt-LT"/>
              </w:rPr>
              <w:t>2,58</w:t>
            </w:r>
            <w:r w:rsidRPr="00883FF1">
              <w:rPr>
                <w:rFonts w:eastAsia="Calibri"/>
                <w:bCs/>
                <w:snapToGrid/>
                <w:szCs w:val="22"/>
                <w:lang w:val="lt-LT"/>
              </w:rPr>
              <w:t xml:space="preserve"> </w:t>
            </w:r>
            <w:r w:rsidRPr="00883FF1">
              <w:rPr>
                <w:rFonts w:eastAsia="Calibri"/>
                <w:szCs w:val="22"/>
                <w:lang w:val="lt-LT"/>
              </w:rPr>
              <w:t>± 10,129</w:t>
            </w:r>
          </w:p>
        </w:tc>
      </w:tr>
    </w:tbl>
    <w:p w14:paraId="38B6D593" w14:textId="77777777" w:rsidR="004B4124" w:rsidRPr="00A9366F" w:rsidRDefault="004B4124" w:rsidP="00BD0220">
      <w:pPr>
        <w:widowControl w:val="0"/>
        <w:tabs>
          <w:tab w:val="clear" w:pos="567"/>
        </w:tabs>
        <w:autoSpaceDE w:val="0"/>
        <w:autoSpaceDN w:val="0"/>
        <w:adjustRightInd w:val="0"/>
        <w:spacing w:line="240" w:lineRule="auto"/>
        <w:rPr>
          <w:szCs w:val="22"/>
          <w:lang w:val="lt-LT"/>
        </w:rPr>
      </w:pPr>
      <w:r w:rsidRPr="00A9366F">
        <w:rPr>
          <w:szCs w:val="22"/>
          <w:lang w:val="lt-LT"/>
        </w:rPr>
        <w:t>* p</w:t>
      </w:r>
      <w:r w:rsidR="002127C5" w:rsidRPr="00A9366F">
        <w:rPr>
          <w:szCs w:val="22"/>
          <w:lang w:val="lt-LT"/>
        </w:rPr>
        <w:t> </w:t>
      </w:r>
      <w:r w:rsidRPr="00A9366F">
        <w:rPr>
          <w:snapToGrid/>
          <w:szCs w:val="22"/>
          <w:lang w:val="lt-LT"/>
        </w:rPr>
        <w:t>&lt;</w:t>
      </w:r>
      <w:r w:rsidR="002127C5" w:rsidRPr="00A9366F">
        <w:rPr>
          <w:snapToGrid/>
          <w:szCs w:val="22"/>
          <w:lang w:val="lt-LT"/>
        </w:rPr>
        <w:t> </w:t>
      </w:r>
      <w:r w:rsidRPr="00A9366F">
        <w:rPr>
          <w:szCs w:val="22"/>
          <w:lang w:val="lt-LT"/>
        </w:rPr>
        <w:t xml:space="preserve">0,0001 apremilastą lyginant su placebu, išskyrus </w:t>
      </w:r>
      <w:r w:rsidR="00C65635" w:rsidRPr="00A9366F">
        <w:rPr>
          <w:szCs w:val="22"/>
          <w:lang w:val="lt-LT"/>
        </w:rPr>
        <w:t>ESTEEM</w:t>
      </w:r>
      <w:r w:rsidR="00C65635" w:rsidRPr="00A9366F">
        <w:rPr>
          <w:snapToGrid/>
          <w:szCs w:val="22"/>
          <w:lang w:val="lt-LT"/>
        </w:rPr>
        <w:t> </w:t>
      </w:r>
      <w:r w:rsidR="00C65635" w:rsidRPr="00A9366F">
        <w:rPr>
          <w:szCs w:val="22"/>
          <w:lang w:val="lt-LT"/>
        </w:rPr>
        <w:t>2</w:t>
      </w:r>
      <w:r w:rsidRPr="00A9366F">
        <w:rPr>
          <w:szCs w:val="22"/>
          <w:lang w:val="lt-LT"/>
        </w:rPr>
        <w:t xml:space="preserve"> </w:t>
      </w:r>
      <w:r w:rsidR="0050207D" w:rsidRPr="00A9366F">
        <w:rPr>
          <w:szCs w:val="22"/>
          <w:lang w:val="lt-LT"/>
        </w:rPr>
        <w:t>PASI</w:t>
      </w:r>
      <w:r w:rsidRPr="00A9366F">
        <w:rPr>
          <w:szCs w:val="22"/>
          <w:lang w:val="lt-LT"/>
        </w:rPr>
        <w:t xml:space="preserve"> 90 ir SF-36 PSI</w:t>
      </w:r>
      <w:r w:rsidR="00B97414" w:rsidRPr="00A9366F">
        <w:rPr>
          <w:snapToGrid/>
          <w:szCs w:val="22"/>
          <w:lang w:val="lt-LT"/>
        </w:rPr>
        <w:t xml:space="preserve"> pokytį</w:t>
      </w:r>
      <w:r w:rsidRPr="00A9366F">
        <w:rPr>
          <w:szCs w:val="22"/>
          <w:lang w:val="lt-LT"/>
        </w:rPr>
        <w:t>, čia atitinkamai</w:t>
      </w:r>
      <w:r w:rsidR="00B97414" w:rsidRPr="00A9366F">
        <w:rPr>
          <w:szCs w:val="22"/>
          <w:lang w:val="lt-LT"/>
        </w:rPr>
        <w:t xml:space="preserve"> </w:t>
      </w:r>
      <w:r w:rsidRPr="00A9366F">
        <w:rPr>
          <w:szCs w:val="22"/>
          <w:lang w:val="lt-LT"/>
        </w:rPr>
        <w:t>p</w:t>
      </w:r>
      <w:r w:rsidR="002127C5" w:rsidRPr="00A9366F">
        <w:rPr>
          <w:szCs w:val="22"/>
          <w:lang w:val="lt-LT"/>
        </w:rPr>
        <w:t> </w:t>
      </w:r>
      <w:r w:rsidR="00B97414" w:rsidRPr="00A9366F">
        <w:rPr>
          <w:snapToGrid/>
          <w:szCs w:val="22"/>
          <w:lang w:val="lt-LT"/>
        </w:rPr>
        <w:t>=</w:t>
      </w:r>
      <w:r w:rsidR="002127C5" w:rsidRPr="00A9366F">
        <w:rPr>
          <w:snapToGrid/>
          <w:szCs w:val="22"/>
          <w:lang w:val="lt-LT"/>
        </w:rPr>
        <w:t> </w:t>
      </w:r>
      <w:r w:rsidRPr="00A9366F">
        <w:rPr>
          <w:szCs w:val="22"/>
          <w:lang w:val="lt-LT"/>
        </w:rPr>
        <w:t>0,0042 ir p</w:t>
      </w:r>
      <w:r w:rsidR="002127C5" w:rsidRPr="00A9366F">
        <w:rPr>
          <w:szCs w:val="22"/>
          <w:lang w:val="lt-LT"/>
        </w:rPr>
        <w:t> </w:t>
      </w:r>
      <w:r w:rsidR="00B97414" w:rsidRPr="00A9366F">
        <w:rPr>
          <w:snapToGrid/>
          <w:szCs w:val="22"/>
          <w:lang w:val="lt-LT"/>
        </w:rPr>
        <w:t>=</w:t>
      </w:r>
      <w:r w:rsidR="002127C5" w:rsidRPr="00A9366F">
        <w:rPr>
          <w:snapToGrid/>
          <w:szCs w:val="22"/>
          <w:lang w:val="lt-LT"/>
        </w:rPr>
        <w:t> </w:t>
      </w:r>
      <w:r w:rsidRPr="00A9366F">
        <w:rPr>
          <w:szCs w:val="22"/>
          <w:lang w:val="lt-LT"/>
        </w:rPr>
        <w:t>0,0078.</w:t>
      </w:r>
    </w:p>
    <w:p w14:paraId="592C2CF6" w14:textId="77777777" w:rsidR="004B4124" w:rsidRPr="00A9366F" w:rsidRDefault="004B4124" w:rsidP="00BD0220">
      <w:pPr>
        <w:widowControl w:val="0"/>
        <w:tabs>
          <w:tab w:val="clear" w:pos="567"/>
        </w:tabs>
        <w:autoSpaceDE w:val="0"/>
        <w:autoSpaceDN w:val="0"/>
        <w:adjustRightInd w:val="0"/>
        <w:spacing w:line="240" w:lineRule="auto"/>
        <w:rPr>
          <w:szCs w:val="22"/>
          <w:lang w:val="lt-LT"/>
        </w:rPr>
      </w:pPr>
      <w:r w:rsidRPr="00A9366F">
        <w:rPr>
          <w:szCs w:val="22"/>
          <w:vertAlign w:val="superscript"/>
          <w:lang w:val="lt-LT"/>
        </w:rPr>
        <w:t>a</w:t>
      </w:r>
      <w:r w:rsidRPr="00A9366F">
        <w:rPr>
          <w:szCs w:val="22"/>
          <w:lang w:val="lt-LT"/>
        </w:rPr>
        <w:t xml:space="preserve"> VAP</w:t>
      </w:r>
      <w:r w:rsidR="002127C5" w:rsidRPr="00A9366F">
        <w:rPr>
          <w:szCs w:val="22"/>
          <w:lang w:val="lt-LT"/>
        </w:rPr>
        <w:t> </w:t>
      </w:r>
      <w:r w:rsidR="00B97414" w:rsidRPr="00A9366F">
        <w:rPr>
          <w:snapToGrid/>
          <w:szCs w:val="22"/>
          <w:lang w:val="lt-LT"/>
        </w:rPr>
        <w:t>=</w:t>
      </w:r>
      <w:r w:rsidR="002127C5" w:rsidRPr="00A9366F">
        <w:rPr>
          <w:snapToGrid/>
          <w:szCs w:val="22"/>
          <w:lang w:val="lt-LT"/>
        </w:rPr>
        <w:t> </w:t>
      </w:r>
      <w:r w:rsidRPr="00A9366F">
        <w:rPr>
          <w:snapToGrid/>
          <w:szCs w:val="22"/>
          <w:lang w:val="lt-LT"/>
        </w:rPr>
        <w:t>vis</w:t>
      </w:r>
      <w:r w:rsidR="00B97414" w:rsidRPr="00A9366F">
        <w:rPr>
          <w:snapToGrid/>
          <w:szCs w:val="22"/>
          <w:lang w:val="lt-LT"/>
        </w:rPr>
        <w:t>a</w:t>
      </w:r>
      <w:r w:rsidRPr="00A9366F">
        <w:rPr>
          <w:szCs w:val="22"/>
          <w:lang w:val="lt-LT"/>
        </w:rPr>
        <w:t xml:space="preserve"> analizės populiacija</w:t>
      </w:r>
    </w:p>
    <w:p w14:paraId="0EC5BAED" w14:textId="77777777" w:rsidR="004B4124" w:rsidRPr="00A9366F" w:rsidRDefault="004B4124" w:rsidP="00BD0220">
      <w:pPr>
        <w:widowControl w:val="0"/>
        <w:tabs>
          <w:tab w:val="clear" w:pos="567"/>
        </w:tabs>
        <w:autoSpaceDE w:val="0"/>
        <w:autoSpaceDN w:val="0"/>
        <w:adjustRightInd w:val="0"/>
        <w:spacing w:line="240" w:lineRule="auto"/>
        <w:rPr>
          <w:szCs w:val="22"/>
          <w:lang w:val="lt-LT"/>
        </w:rPr>
      </w:pPr>
      <w:r w:rsidRPr="00A9366F">
        <w:rPr>
          <w:szCs w:val="22"/>
          <w:vertAlign w:val="superscript"/>
          <w:lang w:val="lt-LT"/>
        </w:rPr>
        <w:t>b</w:t>
      </w:r>
      <w:r w:rsidRPr="00A9366F">
        <w:rPr>
          <w:szCs w:val="22"/>
          <w:lang w:val="lt-LT"/>
        </w:rPr>
        <w:t xml:space="preserve"> PSDP</w:t>
      </w:r>
      <w:r w:rsidR="002127C5" w:rsidRPr="00A9366F">
        <w:rPr>
          <w:szCs w:val="22"/>
          <w:lang w:val="lt-LT"/>
        </w:rPr>
        <w:t> </w:t>
      </w:r>
      <w:r w:rsidR="00B97414" w:rsidRPr="00A9366F">
        <w:rPr>
          <w:snapToGrid/>
          <w:szCs w:val="22"/>
          <w:lang w:val="lt-LT"/>
        </w:rPr>
        <w:t>=</w:t>
      </w:r>
      <w:r w:rsidR="002127C5" w:rsidRPr="00A9366F">
        <w:rPr>
          <w:snapToGrid/>
          <w:szCs w:val="22"/>
          <w:lang w:val="lt-LT"/>
        </w:rPr>
        <w:t> </w:t>
      </w:r>
      <w:r w:rsidRPr="00A9366F">
        <w:rPr>
          <w:szCs w:val="22"/>
          <w:lang w:val="lt-LT"/>
        </w:rPr>
        <w:t>paskutinio stebėjimo duomenų perkėlimas</w:t>
      </w:r>
    </w:p>
    <w:p w14:paraId="52A0DC9B" w14:textId="77777777" w:rsidR="004B4124" w:rsidRPr="00A9366F" w:rsidRDefault="004B4124" w:rsidP="00BD0220">
      <w:pPr>
        <w:widowControl w:val="0"/>
        <w:tabs>
          <w:tab w:val="clear" w:pos="567"/>
        </w:tabs>
        <w:autoSpaceDE w:val="0"/>
        <w:autoSpaceDN w:val="0"/>
        <w:adjustRightInd w:val="0"/>
        <w:spacing w:line="240" w:lineRule="auto"/>
        <w:rPr>
          <w:szCs w:val="22"/>
          <w:lang w:val="lt-LT"/>
        </w:rPr>
      </w:pPr>
      <w:r w:rsidRPr="00A9366F">
        <w:rPr>
          <w:szCs w:val="22"/>
          <w:vertAlign w:val="superscript"/>
          <w:lang w:val="lt-LT"/>
        </w:rPr>
        <w:t>c</w:t>
      </w:r>
      <w:r w:rsidRPr="00A9366F">
        <w:rPr>
          <w:szCs w:val="22"/>
          <w:lang w:val="lt-LT"/>
        </w:rPr>
        <w:t xml:space="preserve"> </w:t>
      </w:r>
      <w:r w:rsidR="0050207D" w:rsidRPr="00A9366F">
        <w:rPr>
          <w:szCs w:val="22"/>
          <w:lang w:val="lt-LT"/>
        </w:rPr>
        <w:t>PASI</w:t>
      </w:r>
      <w:r w:rsidR="002127C5" w:rsidRPr="00A9366F">
        <w:rPr>
          <w:szCs w:val="22"/>
          <w:lang w:val="lt-LT"/>
        </w:rPr>
        <w:t> </w:t>
      </w:r>
      <w:r w:rsidR="00B97414" w:rsidRPr="00A9366F">
        <w:rPr>
          <w:snapToGrid/>
          <w:szCs w:val="22"/>
          <w:lang w:val="lt-LT"/>
        </w:rPr>
        <w:t>=</w:t>
      </w:r>
      <w:r w:rsidR="002127C5" w:rsidRPr="00A9366F">
        <w:rPr>
          <w:snapToGrid/>
          <w:szCs w:val="22"/>
          <w:lang w:val="lt-LT"/>
        </w:rPr>
        <w:t> </w:t>
      </w:r>
      <w:r w:rsidRPr="00A9366F">
        <w:rPr>
          <w:szCs w:val="22"/>
          <w:lang w:val="lt-LT"/>
        </w:rPr>
        <w:t>psoriazės ploto ir sunkumo indeksas</w:t>
      </w:r>
    </w:p>
    <w:p w14:paraId="003BFD3B" w14:textId="77777777" w:rsidR="004B4124" w:rsidRPr="00A9366F" w:rsidRDefault="004B4124" w:rsidP="00BD0220">
      <w:pPr>
        <w:widowControl w:val="0"/>
        <w:tabs>
          <w:tab w:val="clear" w:pos="567"/>
        </w:tabs>
        <w:autoSpaceDE w:val="0"/>
        <w:autoSpaceDN w:val="0"/>
        <w:adjustRightInd w:val="0"/>
        <w:spacing w:line="240" w:lineRule="auto"/>
        <w:rPr>
          <w:szCs w:val="22"/>
          <w:lang w:val="lt-LT"/>
        </w:rPr>
      </w:pPr>
      <w:r w:rsidRPr="00A9366F">
        <w:rPr>
          <w:szCs w:val="22"/>
          <w:vertAlign w:val="superscript"/>
          <w:lang w:val="lt-LT"/>
        </w:rPr>
        <w:t>d</w:t>
      </w:r>
      <w:r w:rsidR="00B97414" w:rsidRPr="00A9366F">
        <w:rPr>
          <w:szCs w:val="22"/>
          <w:lang w:val="lt-LT"/>
        </w:rPr>
        <w:t xml:space="preserve"> </w:t>
      </w:r>
      <w:r w:rsidRPr="00A9366F">
        <w:rPr>
          <w:szCs w:val="22"/>
          <w:lang w:val="lt-LT"/>
        </w:rPr>
        <w:t>sPGA</w:t>
      </w:r>
      <w:r w:rsidR="002127C5" w:rsidRPr="00A9366F">
        <w:rPr>
          <w:szCs w:val="22"/>
          <w:lang w:val="lt-LT"/>
        </w:rPr>
        <w:t> </w:t>
      </w:r>
      <w:r w:rsidR="00B97414" w:rsidRPr="00A9366F">
        <w:rPr>
          <w:snapToGrid/>
          <w:szCs w:val="22"/>
          <w:lang w:val="lt-LT"/>
        </w:rPr>
        <w:t>=</w:t>
      </w:r>
      <w:r w:rsidR="002127C5" w:rsidRPr="00A9366F">
        <w:rPr>
          <w:snapToGrid/>
          <w:szCs w:val="22"/>
          <w:lang w:val="lt-LT"/>
        </w:rPr>
        <w:t> </w:t>
      </w:r>
      <w:r w:rsidRPr="00A9366F">
        <w:rPr>
          <w:szCs w:val="22"/>
          <w:lang w:val="lt-LT"/>
        </w:rPr>
        <w:t xml:space="preserve">statinis </w:t>
      </w:r>
      <w:r w:rsidR="00543321" w:rsidRPr="00A9366F">
        <w:rPr>
          <w:szCs w:val="22"/>
          <w:lang w:val="lt-LT"/>
        </w:rPr>
        <w:t>g</w:t>
      </w:r>
      <w:r w:rsidRPr="00A9366F">
        <w:rPr>
          <w:szCs w:val="22"/>
          <w:lang w:val="lt-LT"/>
        </w:rPr>
        <w:t>ydytojo bendras įvertinimas</w:t>
      </w:r>
    </w:p>
    <w:p w14:paraId="186E6886" w14:textId="77777777" w:rsidR="004B4124" w:rsidRPr="00A9366F" w:rsidRDefault="004B4124" w:rsidP="00BD0220">
      <w:pPr>
        <w:widowControl w:val="0"/>
        <w:tabs>
          <w:tab w:val="clear" w:pos="567"/>
        </w:tabs>
        <w:autoSpaceDE w:val="0"/>
        <w:autoSpaceDN w:val="0"/>
        <w:adjustRightInd w:val="0"/>
        <w:spacing w:line="240" w:lineRule="auto"/>
        <w:rPr>
          <w:szCs w:val="22"/>
          <w:lang w:val="lt-LT"/>
        </w:rPr>
      </w:pPr>
      <w:r w:rsidRPr="00A9366F">
        <w:rPr>
          <w:szCs w:val="22"/>
          <w:vertAlign w:val="superscript"/>
          <w:lang w:val="lt-LT"/>
        </w:rPr>
        <w:t>e</w:t>
      </w:r>
      <w:r w:rsidRPr="00A9366F">
        <w:rPr>
          <w:szCs w:val="22"/>
          <w:lang w:val="lt-LT"/>
        </w:rPr>
        <w:t xml:space="preserve"> KPP</w:t>
      </w:r>
      <w:r w:rsidR="002127C5" w:rsidRPr="00A9366F">
        <w:rPr>
          <w:szCs w:val="22"/>
          <w:lang w:val="lt-LT"/>
        </w:rPr>
        <w:t> </w:t>
      </w:r>
      <w:r w:rsidR="00B97414" w:rsidRPr="00A9366F">
        <w:rPr>
          <w:snapToGrid/>
          <w:szCs w:val="22"/>
          <w:lang w:val="lt-LT"/>
        </w:rPr>
        <w:t>=</w:t>
      </w:r>
      <w:r w:rsidR="002127C5" w:rsidRPr="00A9366F">
        <w:rPr>
          <w:snapToGrid/>
          <w:szCs w:val="22"/>
          <w:lang w:val="lt-LT"/>
        </w:rPr>
        <w:t> </w:t>
      </w:r>
      <w:r w:rsidRPr="00A9366F">
        <w:rPr>
          <w:szCs w:val="22"/>
          <w:lang w:val="lt-LT"/>
        </w:rPr>
        <w:t>kūno paviršiaus plotas</w:t>
      </w:r>
    </w:p>
    <w:p w14:paraId="5EAC96F9" w14:textId="77777777" w:rsidR="004B4124" w:rsidRPr="00A9366F" w:rsidRDefault="004B4124" w:rsidP="00BD0220">
      <w:pPr>
        <w:widowControl w:val="0"/>
        <w:tabs>
          <w:tab w:val="clear" w:pos="567"/>
        </w:tabs>
        <w:autoSpaceDE w:val="0"/>
        <w:autoSpaceDN w:val="0"/>
        <w:adjustRightInd w:val="0"/>
        <w:spacing w:line="240" w:lineRule="auto"/>
        <w:rPr>
          <w:szCs w:val="22"/>
          <w:lang w:val="lt-LT"/>
        </w:rPr>
      </w:pPr>
      <w:r w:rsidRPr="00A9366F">
        <w:rPr>
          <w:szCs w:val="22"/>
          <w:vertAlign w:val="superscript"/>
          <w:lang w:val="lt-LT"/>
        </w:rPr>
        <w:t>f</w:t>
      </w:r>
      <w:r w:rsidRPr="00A9366F">
        <w:rPr>
          <w:szCs w:val="22"/>
          <w:lang w:val="lt-LT"/>
        </w:rPr>
        <w:t xml:space="preserve"> VAS</w:t>
      </w:r>
      <w:r w:rsidR="002127C5" w:rsidRPr="00A9366F">
        <w:rPr>
          <w:szCs w:val="22"/>
          <w:lang w:val="lt-LT"/>
        </w:rPr>
        <w:t> </w:t>
      </w:r>
      <w:r w:rsidR="00B97414" w:rsidRPr="00A9366F">
        <w:rPr>
          <w:snapToGrid/>
          <w:szCs w:val="22"/>
          <w:lang w:val="lt-LT"/>
        </w:rPr>
        <w:t>=</w:t>
      </w:r>
      <w:r w:rsidR="002127C5" w:rsidRPr="00A9366F">
        <w:rPr>
          <w:snapToGrid/>
          <w:szCs w:val="22"/>
          <w:lang w:val="lt-LT"/>
        </w:rPr>
        <w:t> </w:t>
      </w:r>
      <w:r w:rsidRPr="00A9366F">
        <w:rPr>
          <w:szCs w:val="22"/>
          <w:lang w:val="lt-LT"/>
        </w:rPr>
        <w:t>vizualinė analoginė skalė; 0</w:t>
      </w:r>
      <w:r w:rsidR="002127C5" w:rsidRPr="00A9366F">
        <w:rPr>
          <w:szCs w:val="22"/>
          <w:lang w:val="lt-LT"/>
        </w:rPr>
        <w:t> </w:t>
      </w:r>
      <w:r w:rsidR="00B97414" w:rsidRPr="00A9366F">
        <w:rPr>
          <w:snapToGrid/>
          <w:szCs w:val="22"/>
          <w:lang w:val="lt-LT"/>
        </w:rPr>
        <w:t>=</w:t>
      </w:r>
      <w:r w:rsidR="002127C5" w:rsidRPr="00A9366F">
        <w:rPr>
          <w:snapToGrid/>
          <w:szCs w:val="22"/>
          <w:lang w:val="lt-LT"/>
        </w:rPr>
        <w:t> </w:t>
      </w:r>
      <w:r w:rsidRPr="00A9366F">
        <w:rPr>
          <w:szCs w:val="22"/>
          <w:lang w:val="lt-LT"/>
        </w:rPr>
        <w:t>geriausias, 100</w:t>
      </w:r>
      <w:r w:rsidR="002127C5" w:rsidRPr="00A9366F">
        <w:rPr>
          <w:szCs w:val="22"/>
          <w:lang w:val="lt-LT"/>
        </w:rPr>
        <w:t> </w:t>
      </w:r>
      <w:r w:rsidR="00B97414" w:rsidRPr="00A9366F">
        <w:rPr>
          <w:snapToGrid/>
          <w:szCs w:val="22"/>
          <w:lang w:val="lt-LT"/>
        </w:rPr>
        <w:t>=</w:t>
      </w:r>
      <w:r w:rsidR="002127C5" w:rsidRPr="00A9366F">
        <w:rPr>
          <w:snapToGrid/>
          <w:szCs w:val="22"/>
          <w:lang w:val="lt-LT"/>
        </w:rPr>
        <w:t> </w:t>
      </w:r>
      <w:r w:rsidRPr="00A9366F">
        <w:rPr>
          <w:szCs w:val="22"/>
          <w:lang w:val="lt-LT"/>
        </w:rPr>
        <w:t>blogiausias</w:t>
      </w:r>
    </w:p>
    <w:p w14:paraId="1E28C2CE" w14:textId="77777777" w:rsidR="004B4124" w:rsidRPr="00A9366F" w:rsidRDefault="004B4124" w:rsidP="00C962D9">
      <w:pPr>
        <w:widowControl w:val="0"/>
        <w:tabs>
          <w:tab w:val="clear" w:pos="567"/>
        </w:tabs>
        <w:autoSpaceDE w:val="0"/>
        <w:autoSpaceDN w:val="0"/>
        <w:adjustRightInd w:val="0"/>
        <w:spacing w:line="240" w:lineRule="auto"/>
        <w:rPr>
          <w:szCs w:val="22"/>
          <w:lang w:val="lt-LT"/>
        </w:rPr>
      </w:pPr>
      <w:r w:rsidRPr="00A9366F">
        <w:rPr>
          <w:szCs w:val="22"/>
          <w:vertAlign w:val="superscript"/>
          <w:lang w:val="lt-LT"/>
        </w:rPr>
        <w:t>g</w:t>
      </w:r>
      <w:r w:rsidRPr="00A9366F">
        <w:rPr>
          <w:szCs w:val="22"/>
          <w:lang w:val="lt-LT"/>
        </w:rPr>
        <w:t xml:space="preserve"> </w:t>
      </w:r>
      <w:r w:rsidR="004A6D3C" w:rsidRPr="00A9366F">
        <w:rPr>
          <w:szCs w:val="22"/>
          <w:lang w:val="lt-LT"/>
        </w:rPr>
        <w:t>DLQI</w:t>
      </w:r>
      <w:r w:rsidR="002127C5" w:rsidRPr="00A9366F">
        <w:rPr>
          <w:szCs w:val="22"/>
          <w:lang w:val="lt-LT"/>
        </w:rPr>
        <w:t> </w:t>
      </w:r>
      <w:r w:rsidR="00B97414" w:rsidRPr="00A9366F">
        <w:rPr>
          <w:snapToGrid/>
          <w:szCs w:val="22"/>
          <w:lang w:val="lt-LT"/>
        </w:rPr>
        <w:t>=</w:t>
      </w:r>
      <w:r w:rsidR="002127C5" w:rsidRPr="00A9366F">
        <w:rPr>
          <w:snapToGrid/>
          <w:szCs w:val="22"/>
          <w:lang w:val="lt-LT"/>
        </w:rPr>
        <w:t> </w:t>
      </w:r>
      <w:r w:rsidRPr="00A9366F">
        <w:rPr>
          <w:szCs w:val="22"/>
          <w:lang w:val="lt-LT"/>
        </w:rPr>
        <w:t>dermatologinis gyvenimo kokybės indeksas</w:t>
      </w:r>
      <w:r w:rsidR="003D18C8" w:rsidRPr="00A9366F">
        <w:rPr>
          <w:szCs w:val="22"/>
          <w:lang w:val="lt-LT"/>
        </w:rPr>
        <w:t xml:space="preserve"> (angl. </w:t>
      </w:r>
      <w:r w:rsidR="003D18C8" w:rsidRPr="00A9366F">
        <w:rPr>
          <w:i/>
          <w:iCs/>
          <w:szCs w:val="22"/>
          <w:lang w:val="lt-LT"/>
        </w:rPr>
        <w:t>Dermatology Life Quality index</w:t>
      </w:r>
      <w:r w:rsidR="003D18C8" w:rsidRPr="00A9366F">
        <w:rPr>
          <w:szCs w:val="22"/>
          <w:lang w:val="lt-LT"/>
        </w:rPr>
        <w:t>)</w:t>
      </w:r>
      <w:r w:rsidRPr="00A9366F">
        <w:rPr>
          <w:szCs w:val="22"/>
          <w:lang w:val="lt-LT"/>
        </w:rPr>
        <w:t>, 0</w:t>
      </w:r>
      <w:r w:rsidR="002127C5" w:rsidRPr="00A9366F">
        <w:rPr>
          <w:szCs w:val="22"/>
          <w:lang w:val="lt-LT"/>
        </w:rPr>
        <w:t> </w:t>
      </w:r>
      <w:r w:rsidR="00B97414" w:rsidRPr="00A9366F">
        <w:rPr>
          <w:snapToGrid/>
          <w:szCs w:val="22"/>
          <w:lang w:val="lt-LT"/>
        </w:rPr>
        <w:t>=</w:t>
      </w:r>
      <w:r w:rsidR="002127C5" w:rsidRPr="00A9366F">
        <w:rPr>
          <w:snapToGrid/>
          <w:szCs w:val="22"/>
          <w:lang w:val="lt-LT"/>
        </w:rPr>
        <w:t> </w:t>
      </w:r>
      <w:r w:rsidRPr="00A9366F">
        <w:rPr>
          <w:szCs w:val="22"/>
          <w:lang w:val="lt-LT"/>
        </w:rPr>
        <w:t>geriausias, 30</w:t>
      </w:r>
      <w:r w:rsidR="002127C5" w:rsidRPr="00A9366F">
        <w:rPr>
          <w:szCs w:val="22"/>
          <w:lang w:val="lt-LT"/>
        </w:rPr>
        <w:t> </w:t>
      </w:r>
      <w:r w:rsidR="00B97414" w:rsidRPr="00A9366F">
        <w:rPr>
          <w:snapToGrid/>
          <w:szCs w:val="22"/>
          <w:lang w:val="lt-LT"/>
        </w:rPr>
        <w:t>=</w:t>
      </w:r>
      <w:r w:rsidR="002127C5" w:rsidRPr="00A9366F">
        <w:rPr>
          <w:snapToGrid/>
          <w:szCs w:val="22"/>
          <w:lang w:val="lt-LT"/>
        </w:rPr>
        <w:t> </w:t>
      </w:r>
      <w:r w:rsidRPr="00A9366F">
        <w:rPr>
          <w:szCs w:val="22"/>
          <w:lang w:val="lt-LT"/>
        </w:rPr>
        <w:t>blogiausias</w:t>
      </w:r>
    </w:p>
    <w:p w14:paraId="1CC6178E" w14:textId="77777777" w:rsidR="004B4124" w:rsidRPr="00CD7E52" w:rsidRDefault="004B4124" w:rsidP="00C962D9">
      <w:pPr>
        <w:widowControl w:val="0"/>
        <w:tabs>
          <w:tab w:val="clear" w:pos="567"/>
        </w:tabs>
        <w:autoSpaceDE w:val="0"/>
        <w:autoSpaceDN w:val="0"/>
        <w:adjustRightInd w:val="0"/>
        <w:spacing w:line="240" w:lineRule="auto"/>
        <w:rPr>
          <w:szCs w:val="22"/>
          <w:lang w:val="lt-LT"/>
        </w:rPr>
      </w:pPr>
      <w:r w:rsidRPr="00A9366F">
        <w:rPr>
          <w:szCs w:val="22"/>
          <w:vertAlign w:val="superscript"/>
          <w:lang w:val="lt-LT"/>
        </w:rPr>
        <w:t>h</w:t>
      </w:r>
      <w:r w:rsidRPr="00A9366F">
        <w:rPr>
          <w:szCs w:val="22"/>
          <w:lang w:val="lt-LT"/>
        </w:rPr>
        <w:t xml:space="preserve"> SF-36 </w:t>
      </w:r>
      <w:r w:rsidR="003D18C8" w:rsidRPr="00A9366F">
        <w:rPr>
          <w:szCs w:val="22"/>
          <w:lang w:val="lt-LT"/>
        </w:rPr>
        <w:t>MCS</w:t>
      </w:r>
      <w:r w:rsidR="00C962D9" w:rsidRPr="00A9366F">
        <w:rPr>
          <w:szCs w:val="22"/>
          <w:lang w:val="lt-LT"/>
        </w:rPr>
        <w:t> </w:t>
      </w:r>
      <w:r w:rsidR="00B97414" w:rsidRPr="00A9366F">
        <w:rPr>
          <w:snapToGrid/>
          <w:szCs w:val="22"/>
          <w:lang w:val="lt-LT"/>
        </w:rPr>
        <w:t>=</w:t>
      </w:r>
      <w:r w:rsidR="00C962D9" w:rsidRPr="00A9366F">
        <w:rPr>
          <w:snapToGrid/>
          <w:szCs w:val="22"/>
          <w:lang w:val="lt-LT"/>
        </w:rPr>
        <w:t> </w:t>
      </w:r>
      <w:r w:rsidRPr="00A9366F">
        <w:rPr>
          <w:szCs w:val="22"/>
          <w:lang w:val="lt-LT"/>
        </w:rPr>
        <w:t>Medicininių rezultatų tyrimo 36</w:t>
      </w:r>
      <w:r w:rsidR="006A3A86" w:rsidRPr="00A9366F">
        <w:rPr>
          <w:szCs w:val="22"/>
          <w:lang w:val="lt-LT"/>
        </w:rPr>
        <w:t> </w:t>
      </w:r>
      <w:r w:rsidRPr="00A9366F">
        <w:rPr>
          <w:szCs w:val="22"/>
          <w:lang w:val="lt-LT"/>
        </w:rPr>
        <w:t xml:space="preserve">klausimų trumpoji sveikatos būklės apklausa, Psichinės </w:t>
      </w:r>
      <w:r w:rsidR="00B97414" w:rsidRPr="00A9366F">
        <w:rPr>
          <w:snapToGrid/>
          <w:szCs w:val="22"/>
          <w:lang w:val="lt-LT"/>
        </w:rPr>
        <w:t>dalies apibendrinimas</w:t>
      </w:r>
      <w:r w:rsidR="003D18C8" w:rsidRPr="00A9366F">
        <w:rPr>
          <w:snapToGrid/>
          <w:szCs w:val="22"/>
          <w:lang w:val="lt-LT"/>
        </w:rPr>
        <w:t xml:space="preserve"> (angl. </w:t>
      </w:r>
      <w:r w:rsidR="003D18C8" w:rsidRPr="00A9366F">
        <w:rPr>
          <w:i/>
          <w:iCs/>
          <w:snapToGrid/>
          <w:szCs w:val="22"/>
          <w:lang w:val="lt-LT"/>
        </w:rPr>
        <w:t>Medical Outcome Study Short Form 36-Item Health Survey, Mental Component Summary</w:t>
      </w:r>
      <w:r w:rsidR="003D18C8" w:rsidRPr="00A9366F">
        <w:rPr>
          <w:snapToGrid/>
          <w:szCs w:val="22"/>
          <w:lang w:val="lt-LT"/>
        </w:rPr>
        <w:t>)</w:t>
      </w:r>
    </w:p>
    <w:p w14:paraId="76825755" w14:textId="77777777" w:rsidR="00B97414" w:rsidRPr="00CD7E52" w:rsidRDefault="00B97414" w:rsidP="00BD0220">
      <w:pPr>
        <w:widowControl w:val="0"/>
        <w:tabs>
          <w:tab w:val="clear" w:pos="567"/>
        </w:tabs>
        <w:autoSpaceDE w:val="0"/>
        <w:autoSpaceDN w:val="0"/>
        <w:adjustRightInd w:val="0"/>
        <w:spacing w:line="240" w:lineRule="auto"/>
        <w:rPr>
          <w:szCs w:val="22"/>
          <w:lang w:val="lt-LT"/>
        </w:rPr>
      </w:pPr>
    </w:p>
    <w:p w14:paraId="015D534A"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Klinikinė apremilasto nauda nustatyta įvairiuose pogrupiuose, apibrėžtuose pagal </w:t>
      </w:r>
      <w:r w:rsidRPr="00CD7E52">
        <w:rPr>
          <w:snapToGrid/>
          <w:szCs w:val="22"/>
          <w:lang w:val="lt-LT"/>
        </w:rPr>
        <w:t>pradin</w:t>
      </w:r>
      <w:r w:rsidR="00FB7339" w:rsidRPr="00CD7E52">
        <w:rPr>
          <w:snapToGrid/>
          <w:szCs w:val="22"/>
          <w:lang w:val="lt-LT"/>
        </w:rPr>
        <w:t>es</w:t>
      </w:r>
      <w:r w:rsidRPr="00CD7E52">
        <w:rPr>
          <w:snapToGrid/>
          <w:szCs w:val="22"/>
          <w:lang w:val="lt-LT"/>
        </w:rPr>
        <w:t xml:space="preserve"> demografi</w:t>
      </w:r>
      <w:r w:rsidR="00FB7339" w:rsidRPr="00CD7E52">
        <w:rPr>
          <w:snapToGrid/>
          <w:szCs w:val="22"/>
          <w:lang w:val="lt-LT"/>
        </w:rPr>
        <w:t>nes</w:t>
      </w:r>
      <w:r w:rsidRPr="00CD7E52">
        <w:rPr>
          <w:szCs w:val="22"/>
          <w:lang w:val="lt-LT"/>
        </w:rPr>
        <w:t xml:space="preserve"> ir</w:t>
      </w:r>
      <w:r w:rsidR="00FB7339" w:rsidRPr="00CD7E52">
        <w:rPr>
          <w:szCs w:val="22"/>
          <w:lang w:val="lt-LT"/>
        </w:rPr>
        <w:t xml:space="preserve"> </w:t>
      </w:r>
      <w:r w:rsidRPr="00CD7E52">
        <w:rPr>
          <w:szCs w:val="22"/>
          <w:lang w:val="lt-LT"/>
        </w:rPr>
        <w:t>pradines klinikinės ligos charakteristikas (įskaitant psoriazės ligos trukmę ir pacientus, anksčiau sirgusius</w:t>
      </w:r>
      <w:r w:rsidR="00FB7339" w:rsidRPr="00CD7E52">
        <w:rPr>
          <w:szCs w:val="22"/>
          <w:lang w:val="lt-LT"/>
        </w:rPr>
        <w:t xml:space="preserve"> </w:t>
      </w:r>
      <w:r w:rsidRPr="00CD7E52">
        <w:rPr>
          <w:szCs w:val="22"/>
          <w:lang w:val="lt-LT"/>
        </w:rPr>
        <w:t xml:space="preserve">psoriaziniu artritu). Klinikinė apremilasto nauda taip pat nustatyta nepriklausomai nuo ankstesnio </w:t>
      </w:r>
      <w:r w:rsidRPr="00CD7E52">
        <w:rPr>
          <w:snapToGrid/>
          <w:szCs w:val="22"/>
          <w:lang w:val="lt-LT"/>
        </w:rPr>
        <w:t>vaist</w:t>
      </w:r>
      <w:r w:rsidR="00FB7339" w:rsidRPr="00CD7E52">
        <w:rPr>
          <w:snapToGrid/>
          <w:szCs w:val="22"/>
          <w:lang w:val="lt-LT"/>
        </w:rPr>
        <w:t>inių preparat</w:t>
      </w:r>
      <w:r w:rsidRPr="00CD7E52">
        <w:rPr>
          <w:snapToGrid/>
          <w:szCs w:val="22"/>
          <w:lang w:val="lt-LT"/>
        </w:rPr>
        <w:t>ų</w:t>
      </w:r>
      <w:r w:rsidRPr="00CD7E52">
        <w:rPr>
          <w:szCs w:val="22"/>
          <w:lang w:val="lt-LT"/>
        </w:rPr>
        <w:t xml:space="preserve"> nuo</w:t>
      </w:r>
      <w:r w:rsidR="00FB7339" w:rsidRPr="00CD7E52">
        <w:rPr>
          <w:szCs w:val="22"/>
          <w:lang w:val="lt-LT"/>
        </w:rPr>
        <w:t xml:space="preserve"> </w:t>
      </w:r>
      <w:r w:rsidRPr="00CD7E52">
        <w:rPr>
          <w:szCs w:val="22"/>
          <w:lang w:val="lt-LT"/>
        </w:rPr>
        <w:t xml:space="preserve">psoriazės vartojimo ir atsako į ankstesnį psoriazės gydymą. Panašus atsako dažnis nustatytas visose </w:t>
      </w:r>
      <w:r w:rsidR="00FB7339" w:rsidRPr="00CD7E52">
        <w:rPr>
          <w:snapToGrid/>
          <w:szCs w:val="22"/>
          <w:lang w:val="lt-LT"/>
        </w:rPr>
        <w:t xml:space="preserve">kūno </w:t>
      </w:r>
      <w:r w:rsidRPr="00CD7E52">
        <w:rPr>
          <w:szCs w:val="22"/>
          <w:lang w:val="lt-LT"/>
        </w:rPr>
        <w:t>svorio</w:t>
      </w:r>
      <w:r w:rsidR="00FB7339" w:rsidRPr="00CD7E52">
        <w:rPr>
          <w:szCs w:val="22"/>
          <w:lang w:val="lt-LT"/>
        </w:rPr>
        <w:t xml:space="preserve"> </w:t>
      </w:r>
      <w:r w:rsidRPr="00CD7E52">
        <w:rPr>
          <w:szCs w:val="22"/>
          <w:lang w:val="lt-LT"/>
        </w:rPr>
        <w:t>grupėse.</w:t>
      </w:r>
    </w:p>
    <w:p w14:paraId="7450F7A6" w14:textId="77777777" w:rsidR="00FB7339" w:rsidRPr="00CD7E52" w:rsidRDefault="00FB7339" w:rsidP="00BD0220">
      <w:pPr>
        <w:widowControl w:val="0"/>
        <w:tabs>
          <w:tab w:val="clear" w:pos="567"/>
        </w:tabs>
        <w:autoSpaceDE w:val="0"/>
        <w:autoSpaceDN w:val="0"/>
        <w:adjustRightInd w:val="0"/>
        <w:spacing w:line="240" w:lineRule="auto"/>
        <w:rPr>
          <w:szCs w:val="22"/>
          <w:lang w:val="lt-LT"/>
        </w:rPr>
      </w:pPr>
    </w:p>
    <w:p w14:paraId="61399D3B"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Atsakas į apremilastą buvo greitas, </w:t>
      </w:r>
      <w:r w:rsidR="00002733" w:rsidRPr="00CD7E52">
        <w:rPr>
          <w:snapToGrid/>
          <w:szCs w:val="22"/>
          <w:lang w:val="lt-LT"/>
        </w:rPr>
        <w:t xml:space="preserve">pasireiškė reikšmingai geresnis </w:t>
      </w:r>
      <w:r w:rsidRPr="00CD7E52">
        <w:rPr>
          <w:szCs w:val="22"/>
          <w:lang w:val="lt-LT"/>
        </w:rPr>
        <w:t xml:space="preserve">psoriazės </w:t>
      </w:r>
      <w:r w:rsidR="00407118">
        <w:rPr>
          <w:szCs w:val="22"/>
          <w:lang w:val="lt-LT"/>
        </w:rPr>
        <w:t xml:space="preserve">klinikinių </w:t>
      </w:r>
      <w:r w:rsidRPr="00CD7E52">
        <w:rPr>
          <w:szCs w:val="22"/>
          <w:lang w:val="lt-LT"/>
        </w:rPr>
        <w:t>požymių bei simptomų, įskaitant</w:t>
      </w:r>
      <w:r w:rsidR="00002733" w:rsidRPr="00CD7E52">
        <w:rPr>
          <w:szCs w:val="22"/>
          <w:lang w:val="lt-LT"/>
        </w:rPr>
        <w:t xml:space="preserve"> </w:t>
      </w:r>
      <w:r w:rsidR="0050207D" w:rsidRPr="00CD7E52">
        <w:rPr>
          <w:szCs w:val="22"/>
          <w:lang w:val="lt-LT"/>
        </w:rPr>
        <w:t>PASI</w:t>
      </w:r>
      <w:r w:rsidRPr="00CD7E52">
        <w:rPr>
          <w:szCs w:val="22"/>
          <w:lang w:val="lt-LT"/>
        </w:rPr>
        <w:t xml:space="preserve">, odos diskomfortą / skausmą ir niežėjimą, </w:t>
      </w:r>
      <w:r w:rsidR="00002733" w:rsidRPr="00CD7E52">
        <w:rPr>
          <w:snapToGrid/>
          <w:szCs w:val="22"/>
          <w:lang w:val="lt-LT"/>
        </w:rPr>
        <w:t>pagerėjimas (palyginti</w:t>
      </w:r>
      <w:r w:rsidR="00002733" w:rsidRPr="00CD7E52">
        <w:rPr>
          <w:szCs w:val="22"/>
          <w:lang w:val="lt-LT"/>
        </w:rPr>
        <w:t xml:space="preserve"> su </w:t>
      </w:r>
      <w:r w:rsidR="00002733" w:rsidRPr="00CD7E52">
        <w:rPr>
          <w:snapToGrid/>
          <w:szCs w:val="22"/>
          <w:lang w:val="lt-LT"/>
        </w:rPr>
        <w:t>placebo poveikiu) iki 2 savaitės</w:t>
      </w:r>
      <w:r w:rsidRPr="00CD7E52">
        <w:rPr>
          <w:szCs w:val="22"/>
          <w:lang w:val="lt-LT"/>
        </w:rPr>
        <w:t>. Apskritai</w:t>
      </w:r>
      <w:r w:rsidR="00002733" w:rsidRPr="00CD7E52">
        <w:rPr>
          <w:szCs w:val="22"/>
          <w:lang w:val="lt-LT"/>
        </w:rPr>
        <w:t xml:space="preserve"> </w:t>
      </w:r>
      <w:r w:rsidR="0050207D" w:rsidRPr="00CD7E52">
        <w:rPr>
          <w:szCs w:val="22"/>
          <w:lang w:val="lt-LT"/>
        </w:rPr>
        <w:t>PASI</w:t>
      </w:r>
      <w:r w:rsidRPr="00CD7E52">
        <w:rPr>
          <w:szCs w:val="22"/>
          <w:lang w:val="lt-LT"/>
        </w:rPr>
        <w:t xml:space="preserve"> atsakas buvo pasiektas iki 16</w:t>
      </w:r>
      <w:r w:rsidR="00C65C08" w:rsidRPr="00CD7E52">
        <w:rPr>
          <w:szCs w:val="22"/>
          <w:lang w:val="lt-LT"/>
        </w:rPr>
        <w:t> savai</w:t>
      </w:r>
      <w:r w:rsidRPr="00CD7E52">
        <w:rPr>
          <w:szCs w:val="22"/>
          <w:lang w:val="lt-LT"/>
        </w:rPr>
        <w:t>tės ir išliko iki 32</w:t>
      </w:r>
      <w:r w:rsidR="00C65C08" w:rsidRPr="00CD7E52">
        <w:rPr>
          <w:szCs w:val="22"/>
          <w:lang w:val="lt-LT"/>
        </w:rPr>
        <w:t> savai</w:t>
      </w:r>
      <w:r w:rsidRPr="00CD7E52">
        <w:rPr>
          <w:szCs w:val="22"/>
          <w:lang w:val="lt-LT"/>
        </w:rPr>
        <w:t>tės.</w:t>
      </w:r>
    </w:p>
    <w:p w14:paraId="7A51C476" w14:textId="77777777" w:rsidR="00FB7339" w:rsidRPr="00CD7E52" w:rsidRDefault="00FB7339" w:rsidP="00BD0220">
      <w:pPr>
        <w:widowControl w:val="0"/>
        <w:tabs>
          <w:tab w:val="clear" w:pos="567"/>
        </w:tabs>
        <w:autoSpaceDE w:val="0"/>
        <w:autoSpaceDN w:val="0"/>
        <w:adjustRightInd w:val="0"/>
        <w:spacing w:line="240" w:lineRule="auto"/>
        <w:rPr>
          <w:szCs w:val="22"/>
          <w:lang w:val="lt-LT"/>
        </w:rPr>
      </w:pPr>
    </w:p>
    <w:p w14:paraId="2DEACF84"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Abiejuose tyrimuose atsitiktinių imčių gydymo nutraukimo fazėje pacientams, kurie 32</w:t>
      </w:r>
      <w:r w:rsidR="00C65C08" w:rsidRPr="00CD7E52">
        <w:rPr>
          <w:szCs w:val="22"/>
          <w:lang w:val="lt-LT"/>
        </w:rPr>
        <w:t> savai</w:t>
      </w:r>
      <w:r w:rsidRPr="00CD7E52">
        <w:rPr>
          <w:szCs w:val="22"/>
          <w:lang w:val="lt-LT"/>
        </w:rPr>
        <w:t>tę</w:t>
      </w:r>
      <w:r w:rsidR="002E7AA2" w:rsidRPr="00CD7E52">
        <w:rPr>
          <w:szCs w:val="22"/>
          <w:lang w:val="lt-LT"/>
        </w:rPr>
        <w:t xml:space="preserve"> </w:t>
      </w:r>
      <w:r w:rsidRPr="00CD7E52">
        <w:rPr>
          <w:szCs w:val="22"/>
          <w:lang w:val="lt-LT"/>
        </w:rPr>
        <w:t xml:space="preserve">pakartotinai </w:t>
      </w:r>
      <w:r w:rsidR="009132F1" w:rsidRPr="00CD7E52">
        <w:rPr>
          <w:szCs w:val="22"/>
          <w:lang w:val="lt-LT"/>
        </w:rPr>
        <w:t xml:space="preserve">buvo </w:t>
      </w:r>
      <w:r w:rsidR="009132F1" w:rsidRPr="00CD7E52">
        <w:rPr>
          <w:snapToGrid/>
          <w:szCs w:val="22"/>
          <w:lang w:val="lt-LT"/>
        </w:rPr>
        <w:t>atsitiktinai priskirti</w:t>
      </w:r>
      <w:r w:rsidRPr="00CD7E52">
        <w:rPr>
          <w:szCs w:val="22"/>
          <w:lang w:val="lt-LT"/>
        </w:rPr>
        <w:t xml:space="preserve"> vartoti apremilst</w:t>
      </w:r>
      <w:r w:rsidR="003B5839" w:rsidRPr="00CD7E52">
        <w:rPr>
          <w:szCs w:val="22"/>
          <w:lang w:val="lt-LT"/>
        </w:rPr>
        <w:t>o</w:t>
      </w:r>
      <w:r w:rsidRPr="00CD7E52">
        <w:rPr>
          <w:szCs w:val="22"/>
          <w:lang w:val="lt-LT"/>
        </w:rPr>
        <w:t xml:space="preserve">, vidutinis procentinis </w:t>
      </w:r>
      <w:r w:rsidR="0050207D" w:rsidRPr="00CD7E52">
        <w:rPr>
          <w:szCs w:val="22"/>
          <w:lang w:val="lt-LT"/>
        </w:rPr>
        <w:t>PASI</w:t>
      </w:r>
      <w:r w:rsidRPr="00CD7E52">
        <w:rPr>
          <w:szCs w:val="22"/>
          <w:lang w:val="lt-LT"/>
        </w:rPr>
        <w:t xml:space="preserve"> pagerėjimas</w:t>
      </w:r>
      <w:r w:rsidR="00E32B94" w:rsidRPr="00CD7E52">
        <w:rPr>
          <w:szCs w:val="22"/>
          <w:lang w:val="lt-LT"/>
        </w:rPr>
        <w:t xml:space="preserve"> </w:t>
      </w:r>
      <w:r w:rsidRPr="00CD7E52">
        <w:rPr>
          <w:szCs w:val="22"/>
          <w:lang w:val="lt-LT"/>
        </w:rPr>
        <w:t>nuo pradinio lygio išliko stabilus (</w:t>
      </w:r>
      <w:r w:rsidR="00153BF2">
        <w:rPr>
          <w:szCs w:val="22"/>
          <w:lang w:val="lt-LT"/>
        </w:rPr>
        <w:t>6</w:t>
      </w:r>
      <w:r w:rsidR="00E32B94" w:rsidRPr="00CD7E52">
        <w:rPr>
          <w:szCs w:val="22"/>
          <w:lang w:val="lt-LT"/>
        </w:rPr>
        <w:t> </w:t>
      </w:r>
      <w:r w:rsidRPr="00CD7E52">
        <w:rPr>
          <w:szCs w:val="22"/>
          <w:lang w:val="lt-LT"/>
        </w:rPr>
        <w:t>lentelė).</w:t>
      </w:r>
    </w:p>
    <w:p w14:paraId="2427BD1E" w14:textId="77777777" w:rsidR="00E32B94" w:rsidRPr="00CD7E52" w:rsidRDefault="00E32B94" w:rsidP="00BD0220">
      <w:pPr>
        <w:widowControl w:val="0"/>
        <w:tabs>
          <w:tab w:val="clear" w:pos="567"/>
        </w:tabs>
        <w:autoSpaceDE w:val="0"/>
        <w:autoSpaceDN w:val="0"/>
        <w:adjustRightInd w:val="0"/>
        <w:spacing w:line="240" w:lineRule="auto"/>
        <w:rPr>
          <w:szCs w:val="22"/>
          <w:lang w:val="lt-LT"/>
        </w:rPr>
      </w:pPr>
    </w:p>
    <w:p w14:paraId="238EEA49" w14:textId="77777777" w:rsidR="004B4124" w:rsidRPr="00CD7E52" w:rsidRDefault="007B6DBA" w:rsidP="00BD0220">
      <w:pPr>
        <w:widowControl w:val="0"/>
        <w:tabs>
          <w:tab w:val="clear" w:pos="567"/>
        </w:tabs>
        <w:autoSpaceDE w:val="0"/>
        <w:autoSpaceDN w:val="0"/>
        <w:adjustRightInd w:val="0"/>
        <w:spacing w:line="240" w:lineRule="auto"/>
        <w:ind w:left="1134" w:hanging="1134"/>
        <w:rPr>
          <w:b/>
          <w:bCs/>
          <w:szCs w:val="22"/>
          <w:lang w:val="lt-LT"/>
        </w:rPr>
      </w:pPr>
      <w:r>
        <w:rPr>
          <w:b/>
          <w:bCs/>
          <w:szCs w:val="22"/>
          <w:lang w:val="lt-LT"/>
        </w:rPr>
        <w:t>6</w:t>
      </w:r>
      <w:r w:rsidR="002C52F5" w:rsidRPr="00CD7E52">
        <w:rPr>
          <w:b/>
          <w:bCs/>
          <w:szCs w:val="22"/>
          <w:lang w:val="lt-LT"/>
        </w:rPr>
        <w:t> </w:t>
      </w:r>
      <w:r w:rsidR="004B4124" w:rsidRPr="00CD7E52">
        <w:rPr>
          <w:b/>
          <w:bCs/>
          <w:szCs w:val="22"/>
          <w:lang w:val="lt-LT"/>
        </w:rPr>
        <w:t>lentelė.</w:t>
      </w:r>
      <w:r w:rsidR="002C52F5" w:rsidRPr="00CD7E52">
        <w:rPr>
          <w:b/>
          <w:bCs/>
          <w:snapToGrid/>
          <w:szCs w:val="22"/>
          <w:lang w:val="lt-LT"/>
        </w:rPr>
        <w:tab/>
      </w:r>
      <w:r w:rsidR="004B4124" w:rsidRPr="00CD7E52">
        <w:rPr>
          <w:b/>
          <w:bCs/>
          <w:szCs w:val="22"/>
          <w:lang w:val="lt-LT"/>
        </w:rPr>
        <w:t xml:space="preserve">Išliekantis poveikis tiriamiesiems, </w:t>
      </w:r>
      <w:r w:rsidR="004B4124" w:rsidRPr="00CD7E52">
        <w:rPr>
          <w:b/>
          <w:bCs/>
          <w:snapToGrid/>
          <w:szCs w:val="22"/>
          <w:lang w:val="lt-LT"/>
        </w:rPr>
        <w:t>kurie</w:t>
      </w:r>
      <w:r w:rsidR="004B4124" w:rsidRPr="00CD7E52">
        <w:rPr>
          <w:b/>
          <w:bCs/>
          <w:szCs w:val="22"/>
          <w:lang w:val="lt-LT"/>
        </w:rPr>
        <w:t xml:space="preserve"> 0</w:t>
      </w:r>
      <w:r w:rsidR="00C65C08" w:rsidRPr="00CD7E52">
        <w:rPr>
          <w:b/>
          <w:bCs/>
          <w:szCs w:val="22"/>
          <w:lang w:val="lt-LT"/>
        </w:rPr>
        <w:t> savai</w:t>
      </w:r>
      <w:r w:rsidR="004B4124" w:rsidRPr="00CD7E52">
        <w:rPr>
          <w:b/>
          <w:bCs/>
          <w:szCs w:val="22"/>
          <w:lang w:val="lt-LT"/>
        </w:rPr>
        <w:t xml:space="preserve">tę </w:t>
      </w:r>
      <w:r w:rsidR="009132F1" w:rsidRPr="00CD7E52">
        <w:rPr>
          <w:b/>
          <w:bCs/>
          <w:snapToGrid/>
          <w:szCs w:val="22"/>
          <w:lang w:val="lt-LT"/>
        </w:rPr>
        <w:t>atsitiktinai buvo priskirti</w:t>
      </w:r>
      <w:r w:rsidR="004B4124" w:rsidRPr="00CD7E52">
        <w:rPr>
          <w:b/>
          <w:bCs/>
          <w:szCs w:val="22"/>
          <w:lang w:val="lt-LT"/>
        </w:rPr>
        <w:t xml:space="preserve"> vartoti</w:t>
      </w:r>
      <w:r w:rsidR="00E32B94" w:rsidRPr="00CD7E52">
        <w:rPr>
          <w:b/>
          <w:bCs/>
          <w:szCs w:val="22"/>
          <w:lang w:val="lt-LT"/>
        </w:rPr>
        <w:t xml:space="preserve"> </w:t>
      </w:r>
      <w:r w:rsidR="004B4124" w:rsidRPr="00CD7E52">
        <w:rPr>
          <w:b/>
          <w:bCs/>
          <w:szCs w:val="22"/>
          <w:lang w:val="lt-LT"/>
        </w:rPr>
        <w:t>APR</w:t>
      </w:r>
      <w:r w:rsidR="009B4D1C" w:rsidRPr="00CD7E52">
        <w:rPr>
          <w:b/>
          <w:bCs/>
          <w:snapToGrid/>
          <w:szCs w:val="22"/>
          <w:lang w:val="lt-LT"/>
        </w:rPr>
        <w:t> </w:t>
      </w:r>
      <w:r w:rsidR="004B4124" w:rsidRPr="00CD7E52">
        <w:rPr>
          <w:b/>
          <w:bCs/>
          <w:szCs w:val="22"/>
          <w:lang w:val="lt-LT"/>
        </w:rPr>
        <w:t xml:space="preserve">30 du kartus per parą ir pakartotinai </w:t>
      </w:r>
      <w:r w:rsidR="009132F1" w:rsidRPr="00CD7E52">
        <w:rPr>
          <w:b/>
          <w:bCs/>
          <w:snapToGrid/>
          <w:szCs w:val="22"/>
          <w:lang w:val="lt-LT"/>
        </w:rPr>
        <w:t>atsitiktinai priskirti</w:t>
      </w:r>
      <w:r w:rsidR="004B4124" w:rsidRPr="00CD7E52">
        <w:rPr>
          <w:b/>
          <w:bCs/>
          <w:szCs w:val="22"/>
          <w:lang w:val="lt-LT"/>
        </w:rPr>
        <w:t xml:space="preserve"> vartoti APR</w:t>
      </w:r>
      <w:r w:rsidR="009B4D1C" w:rsidRPr="00CD7E52">
        <w:rPr>
          <w:b/>
          <w:bCs/>
          <w:snapToGrid/>
          <w:szCs w:val="22"/>
          <w:lang w:val="lt-LT"/>
        </w:rPr>
        <w:t> </w:t>
      </w:r>
      <w:r w:rsidR="004B4124" w:rsidRPr="00CD7E52">
        <w:rPr>
          <w:b/>
          <w:bCs/>
          <w:szCs w:val="22"/>
          <w:lang w:val="lt-LT"/>
        </w:rPr>
        <w:t>30</w:t>
      </w:r>
      <w:r w:rsidR="00E32B94" w:rsidRPr="00CD7E52">
        <w:rPr>
          <w:b/>
          <w:bCs/>
          <w:szCs w:val="22"/>
          <w:lang w:val="lt-LT"/>
        </w:rPr>
        <w:t xml:space="preserve"> </w:t>
      </w:r>
      <w:r w:rsidR="004B4124" w:rsidRPr="00CD7E52">
        <w:rPr>
          <w:b/>
          <w:bCs/>
          <w:szCs w:val="22"/>
          <w:lang w:val="lt-LT"/>
        </w:rPr>
        <w:t>du kartus per parą nuo 32</w:t>
      </w:r>
      <w:r w:rsidR="00C65C08" w:rsidRPr="00CD7E52">
        <w:rPr>
          <w:b/>
          <w:bCs/>
          <w:szCs w:val="22"/>
          <w:lang w:val="lt-LT"/>
        </w:rPr>
        <w:t> savai</w:t>
      </w:r>
      <w:r w:rsidR="004B4124" w:rsidRPr="00CD7E52">
        <w:rPr>
          <w:b/>
          <w:bCs/>
          <w:szCs w:val="22"/>
          <w:lang w:val="lt-LT"/>
        </w:rPr>
        <w:t>tės iki 52</w:t>
      </w:r>
      <w:r w:rsidR="00C65C08" w:rsidRPr="00CD7E52">
        <w:rPr>
          <w:b/>
          <w:bCs/>
          <w:szCs w:val="22"/>
          <w:lang w:val="lt-LT"/>
        </w:rPr>
        <w:t> savai</w:t>
      </w:r>
      <w:r w:rsidR="004B4124" w:rsidRPr="00CD7E52">
        <w:rPr>
          <w:b/>
          <w:bCs/>
          <w:szCs w:val="22"/>
          <w:lang w:val="lt-LT"/>
        </w:rPr>
        <w:t>tės</w:t>
      </w:r>
    </w:p>
    <w:p w14:paraId="3CBEC9D0" w14:textId="77777777" w:rsidR="00E32B94" w:rsidRPr="00CD7E52" w:rsidRDefault="00E32B94" w:rsidP="00BD0220">
      <w:pPr>
        <w:widowControl w:val="0"/>
        <w:tabs>
          <w:tab w:val="clear" w:pos="567"/>
        </w:tabs>
        <w:autoSpaceDE w:val="0"/>
        <w:autoSpaceDN w:val="0"/>
        <w:adjustRightInd w:val="0"/>
        <w:spacing w:line="240" w:lineRule="auto"/>
        <w:rPr>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274"/>
        <w:gridCol w:w="2691"/>
        <w:gridCol w:w="2830"/>
      </w:tblGrid>
      <w:tr w:rsidR="009E0A7D" w:rsidRPr="00CD7E52" w14:paraId="4B4C3D3F" w14:textId="77777777" w:rsidTr="0023353A">
        <w:trPr>
          <w:tblHeader/>
        </w:trPr>
        <w:tc>
          <w:tcPr>
            <w:tcW w:w="1250" w:type="pct"/>
            <w:vMerge w:val="restart"/>
            <w:shd w:val="clear" w:color="auto" w:fill="D9D9D9"/>
          </w:tcPr>
          <w:p w14:paraId="7E50FB7D" w14:textId="77777777" w:rsidR="009B4D1C" w:rsidRPr="00CD7E52" w:rsidRDefault="009B4D1C" w:rsidP="00BD0220">
            <w:pPr>
              <w:tabs>
                <w:tab w:val="clear" w:pos="567"/>
              </w:tabs>
              <w:spacing w:line="240" w:lineRule="auto"/>
              <w:rPr>
                <w:rFonts w:eastAsia="Calibri"/>
                <w:b/>
                <w:bCs/>
                <w:szCs w:val="22"/>
                <w:lang w:val="lt-LT"/>
              </w:rPr>
            </w:pPr>
          </w:p>
        </w:tc>
        <w:tc>
          <w:tcPr>
            <w:tcW w:w="703" w:type="pct"/>
            <w:vMerge w:val="restart"/>
            <w:shd w:val="clear" w:color="auto" w:fill="D9D9D9"/>
            <w:vAlign w:val="center"/>
          </w:tcPr>
          <w:p w14:paraId="03CCDCD4" w14:textId="77777777" w:rsidR="009B4D1C" w:rsidRPr="00CD7E52" w:rsidRDefault="009B4D1C" w:rsidP="00BD0220">
            <w:pPr>
              <w:tabs>
                <w:tab w:val="clear" w:pos="567"/>
              </w:tabs>
              <w:spacing w:line="240" w:lineRule="auto"/>
              <w:jc w:val="center"/>
              <w:rPr>
                <w:rFonts w:eastAsia="Calibri"/>
                <w:b/>
                <w:bCs/>
                <w:szCs w:val="22"/>
              </w:rPr>
            </w:pPr>
            <w:r w:rsidRPr="00CD7E52">
              <w:rPr>
                <w:rFonts w:eastAsia="Calibri"/>
                <w:b/>
                <w:bCs/>
                <w:snapToGrid/>
                <w:szCs w:val="22"/>
                <w:lang w:val="lt-LT"/>
              </w:rPr>
              <w:t>Laiko taškas</w:t>
            </w:r>
          </w:p>
        </w:tc>
        <w:tc>
          <w:tcPr>
            <w:tcW w:w="1485" w:type="pct"/>
            <w:shd w:val="clear" w:color="auto" w:fill="D9D9D9"/>
            <w:vAlign w:val="center"/>
          </w:tcPr>
          <w:p w14:paraId="65407293" w14:textId="77777777" w:rsidR="009B4D1C" w:rsidRPr="00CD7E52" w:rsidRDefault="009B4D1C" w:rsidP="00BD0220">
            <w:pPr>
              <w:tabs>
                <w:tab w:val="clear" w:pos="567"/>
              </w:tabs>
              <w:spacing w:line="240" w:lineRule="auto"/>
              <w:jc w:val="center"/>
              <w:rPr>
                <w:rFonts w:eastAsia="Calibri"/>
                <w:b/>
                <w:bCs/>
                <w:szCs w:val="22"/>
              </w:rPr>
            </w:pPr>
            <w:r w:rsidRPr="00CD7E52">
              <w:rPr>
                <w:rFonts w:eastAsia="Calibri"/>
                <w:b/>
                <w:bCs/>
                <w:szCs w:val="22"/>
                <w:lang w:val="lt-LT"/>
              </w:rPr>
              <w:t>ESTEEM</w:t>
            </w:r>
            <w:r w:rsidRPr="00CD7E52">
              <w:rPr>
                <w:rFonts w:eastAsia="Calibri"/>
                <w:b/>
                <w:bCs/>
                <w:snapToGrid/>
                <w:szCs w:val="22"/>
                <w:lang w:val="lt-LT"/>
              </w:rPr>
              <w:t> </w:t>
            </w:r>
            <w:r w:rsidRPr="00CD7E52">
              <w:rPr>
                <w:rFonts w:eastAsia="Calibri"/>
                <w:b/>
                <w:bCs/>
                <w:szCs w:val="22"/>
                <w:lang w:val="lt-LT"/>
              </w:rPr>
              <w:t>1</w:t>
            </w:r>
          </w:p>
        </w:tc>
        <w:tc>
          <w:tcPr>
            <w:tcW w:w="1562" w:type="pct"/>
            <w:shd w:val="clear" w:color="auto" w:fill="D9D9D9"/>
            <w:vAlign w:val="center"/>
          </w:tcPr>
          <w:p w14:paraId="74786F21" w14:textId="77777777" w:rsidR="009B4D1C" w:rsidRPr="00CD7E52" w:rsidRDefault="009B4D1C" w:rsidP="00BD0220">
            <w:pPr>
              <w:tabs>
                <w:tab w:val="clear" w:pos="567"/>
              </w:tabs>
              <w:spacing w:line="240" w:lineRule="auto"/>
              <w:jc w:val="center"/>
              <w:rPr>
                <w:rFonts w:eastAsia="Calibri"/>
                <w:b/>
                <w:bCs/>
                <w:szCs w:val="22"/>
              </w:rPr>
            </w:pPr>
            <w:r w:rsidRPr="00CD7E52">
              <w:rPr>
                <w:rFonts w:eastAsia="Calibri"/>
                <w:b/>
                <w:bCs/>
                <w:szCs w:val="22"/>
                <w:lang w:val="lt-LT"/>
              </w:rPr>
              <w:t>ESTEEM</w:t>
            </w:r>
            <w:r w:rsidRPr="00CD7E52">
              <w:rPr>
                <w:rFonts w:eastAsia="Calibri"/>
                <w:b/>
                <w:bCs/>
                <w:snapToGrid/>
                <w:szCs w:val="22"/>
                <w:lang w:val="lt-LT"/>
              </w:rPr>
              <w:t> </w:t>
            </w:r>
            <w:r w:rsidRPr="00CD7E52">
              <w:rPr>
                <w:rFonts w:eastAsia="Calibri"/>
                <w:b/>
                <w:bCs/>
                <w:szCs w:val="22"/>
                <w:lang w:val="lt-LT"/>
              </w:rPr>
              <w:t>2</w:t>
            </w:r>
          </w:p>
        </w:tc>
      </w:tr>
      <w:tr w:rsidR="00DE6D1B" w:rsidRPr="00425717" w14:paraId="1A5F22A8" w14:textId="77777777" w:rsidTr="0023353A">
        <w:trPr>
          <w:tblHeader/>
        </w:trPr>
        <w:tc>
          <w:tcPr>
            <w:tcW w:w="1250" w:type="pct"/>
            <w:vMerge/>
            <w:shd w:val="clear" w:color="auto" w:fill="D9D9D9"/>
          </w:tcPr>
          <w:p w14:paraId="46D68842" w14:textId="77777777" w:rsidR="009B4D1C" w:rsidRPr="00CD7E52" w:rsidRDefault="009B4D1C" w:rsidP="00BD0220">
            <w:pPr>
              <w:tabs>
                <w:tab w:val="clear" w:pos="567"/>
              </w:tabs>
              <w:spacing w:line="240" w:lineRule="auto"/>
              <w:rPr>
                <w:rFonts w:eastAsia="Calibri"/>
                <w:b/>
                <w:bCs/>
                <w:szCs w:val="22"/>
                <w:lang w:val="lt-LT"/>
              </w:rPr>
            </w:pPr>
          </w:p>
        </w:tc>
        <w:tc>
          <w:tcPr>
            <w:tcW w:w="703" w:type="pct"/>
            <w:vMerge/>
            <w:shd w:val="clear" w:color="auto" w:fill="D9D9D9"/>
          </w:tcPr>
          <w:p w14:paraId="2F3614CF" w14:textId="77777777" w:rsidR="009B4D1C" w:rsidRPr="00CD7E52" w:rsidRDefault="009B4D1C" w:rsidP="00BD0220">
            <w:pPr>
              <w:tabs>
                <w:tab w:val="clear" w:pos="567"/>
              </w:tabs>
              <w:spacing w:line="240" w:lineRule="auto"/>
              <w:rPr>
                <w:rFonts w:eastAsia="Calibri"/>
                <w:b/>
                <w:bCs/>
                <w:szCs w:val="22"/>
                <w:lang w:val="lt-LT"/>
              </w:rPr>
            </w:pPr>
          </w:p>
        </w:tc>
        <w:tc>
          <w:tcPr>
            <w:tcW w:w="1485" w:type="pct"/>
            <w:shd w:val="clear" w:color="auto" w:fill="D9D9D9"/>
            <w:vAlign w:val="center"/>
          </w:tcPr>
          <w:p w14:paraId="48C911F4" w14:textId="77777777" w:rsidR="009B4D1C" w:rsidRPr="00CD7E52" w:rsidRDefault="009B4D1C" w:rsidP="00BD0220">
            <w:pPr>
              <w:tabs>
                <w:tab w:val="clear" w:pos="567"/>
              </w:tabs>
              <w:spacing w:line="240" w:lineRule="auto"/>
              <w:jc w:val="center"/>
              <w:rPr>
                <w:rFonts w:eastAsia="Calibri"/>
                <w:b/>
                <w:bCs/>
                <w:szCs w:val="22"/>
                <w:lang w:val="pl-PL"/>
              </w:rPr>
            </w:pPr>
            <w:r w:rsidRPr="00CD7E52">
              <w:rPr>
                <w:rFonts w:eastAsia="Calibri"/>
                <w:b/>
                <w:bCs/>
                <w:szCs w:val="22"/>
                <w:lang w:val="lt-LT"/>
              </w:rPr>
              <w:t xml:space="preserve">Pacientai, kurie 32 savaitę pasiekė </w:t>
            </w:r>
            <w:r w:rsidR="0050207D" w:rsidRPr="00CD7E52">
              <w:rPr>
                <w:rFonts w:eastAsia="Calibri"/>
                <w:b/>
                <w:bCs/>
                <w:szCs w:val="22"/>
                <w:lang w:val="lt-LT"/>
              </w:rPr>
              <w:t>PASI</w:t>
            </w:r>
            <w:r w:rsidRPr="00CD7E52">
              <w:rPr>
                <w:rFonts w:eastAsia="Calibri"/>
                <w:b/>
                <w:bCs/>
                <w:szCs w:val="22"/>
                <w:lang w:val="lt-LT"/>
              </w:rPr>
              <w:t>-75</w:t>
            </w:r>
          </w:p>
        </w:tc>
        <w:tc>
          <w:tcPr>
            <w:tcW w:w="1562" w:type="pct"/>
            <w:shd w:val="clear" w:color="auto" w:fill="D9D9D9"/>
            <w:vAlign w:val="center"/>
          </w:tcPr>
          <w:p w14:paraId="64C2A5CA" w14:textId="77777777" w:rsidR="009B4D1C" w:rsidRPr="00CD7E52" w:rsidRDefault="009B4D1C" w:rsidP="00BD0220">
            <w:pPr>
              <w:tabs>
                <w:tab w:val="clear" w:pos="567"/>
              </w:tabs>
              <w:spacing w:line="240" w:lineRule="auto"/>
              <w:jc w:val="center"/>
              <w:rPr>
                <w:rFonts w:eastAsia="Calibri"/>
                <w:b/>
                <w:bCs/>
                <w:szCs w:val="22"/>
                <w:lang w:val="pl-PL"/>
              </w:rPr>
            </w:pPr>
            <w:r w:rsidRPr="00CD7E52">
              <w:rPr>
                <w:rFonts w:eastAsia="Calibri"/>
                <w:b/>
                <w:bCs/>
                <w:szCs w:val="22"/>
                <w:lang w:val="lt-LT"/>
              </w:rPr>
              <w:t xml:space="preserve">Pacientai, kurie 32 savaitę pasiekė </w:t>
            </w:r>
            <w:r w:rsidR="0050207D" w:rsidRPr="00CD7E52">
              <w:rPr>
                <w:rFonts w:eastAsia="Calibri"/>
                <w:b/>
                <w:bCs/>
                <w:szCs w:val="22"/>
                <w:lang w:val="lt-LT"/>
              </w:rPr>
              <w:t>PASI</w:t>
            </w:r>
            <w:r w:rsidRPr="00CD7E52">
              <w:rPr>
                <w:rFonts w:eastAsia="Calibri"/>
                <w:b/>
                <w:bCs/>
                <w:szCs w:val="22"/>
                <w:lang w:val="lt-LT"/>
              </w:rPr>
              <w:t>-50</w:t>
            </w:r>
          </w:p>
        </w:tc>
      </w:tr>
      <w:tr w:rsidR="009E0A7D" w:rsidRPr="00CD7E52" w14:paraId="294A20C3" w14:textId="77777777" w:rsidTr="002F7D55">
        <w:tc>
          <w:tcPr>
            <w:tcW w:w="1250" w:type="pct"/>
            <w:vMerge w:val="restart"/>
          </w:tcPr>
          <w:p w14:paraId="4EC14C90" w14:textId="77777777" w:rsidR="009B4D1C" w:rsidRPr="00CD7E52" w:rsidRDefault="0050207D" w:rsidP="00BD0220">
            <w:pPr>
              <w:tabs>
                <w:tab w:val="clear" w:pos="567"/>
              </w:tabs>
              <w:spacing w:line="240" w:lineRule="auto"/>
              <w:rPr>
                <w:rFonts w:eastAsia="Calibri"/>
                <w:b/>
                <w:bCs/>
                <w:szCs w:val="22"/>
                <w:lang w:val="sv-SE"/>
              </w:rPr>
            </w:pPr>
            <w:r w:rsidRPr="00CD7E52">
              <w:rPr>
                <w:rFonts w:eastAsia="Calibri"/>
                <w:b/>
                <w:bCs/>
                <w:snapToGrid/>
                <w:szCs w:val="22"/>
                <w:lang w:val="lt-LT"/>
              </w:rPr>
              <w:t>PASI</w:t>
            </w:r>
            <w:r w:rsidR="008D4BED" w:rsidRPr="00CD7E52">
              <w:rPr>
                <w:rFonts w:eastAsia="Calibri"/>
                <w:b/>
                <w:bCs/>
                <w:snapToGrid/>
                <w:szCs w:val="22"/>
                <w:lang w:val="lt-LT"/>
              </w:rPr>
              <w:t xml:space="preserve"> procentinis</w:t>
            </w:r>
            <w:r w:rsidR="008D4BED" w:rsidRPr="00CD7E52">
              <w:rPr>
                <w:rFonts w:eastAsia="Calibri"/>
                <w:b/>
                <w:bCs/>
                <w:szCs w:val="22"/>
                <w:lang w:val="lt-LT"/>
              </w:rPr>
              <w:t xml:space="preserve"> pokytis nuo pradinio </w:t>
            </w:r>
            <w:r w:rsidR="008D4BED" w:rsidRPr="00CD7E52">
              <w:rPr>
                <w:rFonts w:eastAsia="Calibri"/>
                <w:b/>
                <w:bCs/>
                <w:snapToGrid/>
                <w:szCs w:val="22"/>
                <w:lang w:val="lt-LT"/>
              </w:rPr>
              <w:t>rodmens</w:t>
            </w:r>
            <w:r w:rsidR="008D4BED" w:rsidRPr="00CD7E52">
              <w:rPr>
                <w:rFonts w:eastAsia="Calibri"/>
                <w:b/>
                <w:bCs/>
                <w:szCs w:val="22"/>
                <w:lang w:val="lt-LT"/>
              </w:rPr>
              <w:t>, vidurkis (%) ±</w:t>
            </w:r>
            <w:r w:rsidR="008D4BED" w:rsidRPr="00CD7E52">
              <w:rPr>
                <w:rFonts w:eastAsia="Calibri"/>
                <w:b/>
                <w:bCs/>
                <w:snapToGrid/>
                <w:szCs w:val="22"/>
                <w:lang w:val="lt-LT"/>
              </w:rPr>
              <w:t xml:space="preserve"> </w:t>
            </w:r>
            <w:r w:rsidR="008D4BED" w:rsidRPr="00CD7E52">
              <w:rPr>
                <w:rFonts w:eastAsia="Calibri"/>
                <w:b/>
                <w:bCs/>
                <w:szCs w:val="22"/>
                <w:lang w:val="lt-LT"/>
              </w:rPr>
              <w:t>SN</w:t>
            </w:r>
            <w:r w:rsidR="009B4D1C" w:rsidRPr="00CD7E52">
              <w:rPr>
                <w:rFonts w:eastAsia="Calibri"/>
                <w:b/>
                <w:bCs/>
                <w:szCs w:val="22"/>
                <w:vertAlign w:val="superscript"/>
                <w:lang w:val="lt-LT"/>
              </w:rPr>
              <w:t>a</w:t>
            </w:r>
          </w:p>
        </w:tc>
        <w:tc>
          <w:tcPr>
            <w:tcW w:w="703" w:type="pct"/>
            <w:vAlign w:val="center"/>
          </w:tcPr>
          <w:p w14:paraId="68A31FBB"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16 savaitė</w:t>
            </w:r>
          </w:p>
        </w:tc>
        <w:tc>
          <w:tcPr>
            <w:tcW w:w="1485" w:type="pct"/>
            <w:vAlign w:val="center"/>
          </w:tcPr>
          <w:p w14:paraId="55052698"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-77,7 ± 20,30</w:t>
            </w:r>
          </w:p>
        </w:tc>
        <w:tc>
          <w:tcPr>
            <w:tcW w:w="1562" w:type="pct"/>
            <w:vAlign w:val="center"/>
          </w:tcPr>
          <w:p w14:paraId="41A67102"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-69,7 ± 24,23</w:t>
            </w:r>
          </w:p>
        </w:tc>
      </w:tr>
      <w:tr w:rsidR="00DE6D1B" w:rsidRPr="00CD7E52" w14:paraId="763694B9" w14:textId="77777777" w:rsidTr="002F7D55">
        <w:tc>
          <w:tcPr>
            <w:tcW w:w="1250" w:type="pct"/>
            <w:vMerge/>
          </w:tcPr>
          <w:p w14:paraId="1BD793D0" w14:textId="77777777" w:rsidR="009B4D1C" w:rsidRPr="00CD7E52" w:rsidRDefault="009B4D1C" w:rsidP="00BD0220">
            <w:pPr>
              <w:tabs>
                <w:tab w:val="clear" w:pos="567"/>
              </w:tabs>
              <w:spacing w:line="240" w:lineRule="auto"/>
              <w:rPr>
                <w:rFonts w:eastAsia="Calibri"/>
                <w:b/>
                <w:bCs/>
                <w:szCs w:val="22"/>
                <w:lang w:val="lt-LT"/>
              </w:rPr>
            </w:pPr>
          </w:p>
        </w:tc>
        <w:tc>
          <w:tcPr>
            <w:tcW w:w="703" w:type="pct"/>
            <w:vAlign w:val="center"/>
          </w:tcPr>
          <w:p w14:paraId="384E442A"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32 savaitė</w:t>
            </w:r>
          </w:p>
        </w:tc>
        <w:tc>
          <w:tcPr>
            <w:tcW w:w="1485" w:type="pct"/>
            <w:vAlign w:val="center"/>
          </w:tcPr>
          <w:p w14:paraId="2D99E28A"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-88 ± 8,30</w:t>
            </w:r>
          </w:p>
        </w:tc>
        <w:tc>
          <w:tcPr>
            <w:tcW w:w="1562" w:type="pct"/>
            <w:vAlign w:val="center"/>
          </w:tcPr>
          <w:p w14:paraId="03949576"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-76,7 ± 13,42</w:t>
            </w:r>
          </w:p>
        </w:tc>
      </w:tr>
      <w:tr w:rsidR="00DE6D1B" w:rsidRPr="00CD7E52" w14:paraId="175D702D" w14:textId="77777777" w:rsidTr="002F7D55">
        <w:tc>
          <w:tcPr>
            <w:tcW w:w="1250" w:type="pct"/>
            <w:vMerge/>
          </w:tcPr>
          <w:p w14:paraId="26F47AA4" w14:textId="77777777" w:rsidR="009B4D1C" w:rsidRPr="00CD7E52" w:rsidRDefault="009B4D1C" w:rsidP="00BD0220">
            <w:pPr>
              <w:tabs>
                <w:tab w:val="clear" w:pos="567"/>
              </w:tabs>
              <w:spacing w:line="240" w:lineRule="auto"/>
              <w:rPr>
                <w:rFonts w:eastAsia="Calibri"/>
                <w:b/>
                <w:bCs/>
                <w:szCs w:val="22"/>
                <w:lang w:val="lt-LT"/>
              </w:rPr>
            </w:pPr>
          </w:p>
        </w:tc>
        <w:tc>
          <w:tcPr>
            <w:tcW w:w="703" w:type="pct"/>
            <w:vAlign w:val="center"/>
          </w:tcPr>
          <w:p w14:paraId="0C119BC1"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52 savaitė</w:t>
            </w:r>
          </w:p>
        </w:tc>
        <w:tc>
          <w:tcPr>
            <w:tcW w:w="1485" w:type="pct"/>
            <w:vAlign w:val="center"/>
          </w:tcPr>
          <w:p w14:paraId="1A90FB1B"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-80,5 ± 12,60</w:t>
            </w:r>
          </w:p>
        </w:tc>
        <w:tc>
          <w:tcPr>
            <w:tcW w:w="1562" w:type="pct"/>
            <w:vAlign w:val="center"/>
          </w:tcPr>
          <w:p w14:paraId="46FDF2EE"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-74,4 ± 18,91</w:t>
            </w:r>
          </w:p>
        </w:tc>
      </w:tr>
      <w:tr w:rsidR="009E0A7D" w:rsidRPr="00CD7E52" w14:paraId="0FBAFABC" w14:textId="77777777" w:rsidTr="002F7D55">
        <w:tc>
          <w:tcPr>
            <w:tcW w:w="1250" w:type="pct"/>
            <w:vMerge w:val="restart"/>
          </w:tcPr>
          <w:p w14:paraId="76A52E69" w14:textId="77777777" w:rsidR="009B4D1C" w:rsidRPr="00CD7E52" w:rsidRDefault="00702ED3" w:rsidP="00BD0220">
            <w:pPr>
              <w:tabs>
                <w:tab w:val="clear" w:pos="567"/>
              </w:tabs>
              <w:spacing w:line="240" w:lineRule="auto"/>
              <w:rPr>
                <w:rFonts w:eastAsia="Calibri"/>
                <w:b/>
                <w:bCs/>
                <w:szCs w:val="22"/>
                <w:lang w:val="sv-SE"/>
              </w:rPr>
            </w:pPr>
            <w:r w:rsidRPr="00CD7E52">
              <w:rPr>
                <w:rFonts w:eastAsia="Calibri"/>
                <w:b/>
                <w:bCs/>
                <w:snapToGrid/>
                <w:szCs w:val="22"/>
                <w:lang w:val="lt-LT"/>
              </w:rPr>
              <w:t>P</w:t>
            </w:r>
            <w:r w:rsidR="008D4BED" w:rsidRPr="00CD7E52">
              <w:rPr>
                <w:rFonts w:eastAsia="Calibri"/>
                <w:b/>
                <w:bCs/>
                <w:snapToGrid/>
                <w:szCs w:val="22"/>
                <w:lang w:val="lt-LT"/>
              </w:rPr>
              <w:t>okytis</w:t>
            </w:r>
            <w:r w:rsidR="008D4BED" w:rsidRPr="00CD7E52">
              <w:rPr>
                <w:rFonts w:eastAsia="Calibri"/>
                <w:b/>
                <w:bCs/>
                <w:szCs w:val="22"/>
                <w:lang w:val="lt-LT"/>
              </w:rPr>
              <w:t xml:space="preserve"> </w:t>
            </w:r>
            <w:r w:rsidRPr="00CD7E52">
              <w:rPr>
                <w:rFonts w:eastAsia="Calibri"/>
                <w:b/>
                <w:bCs/>
                <w:szCs w:val="22"/>
                <w:lang w:val="lt-LT"/>
              </w:rPr>
              <w:t xml:space="preserve">pagal DGKI </w:t>
            </w:r>
            <w:r w:rsidR="008D4BED" w:rsidRPr="00CD7E52">
              <w:rPr>
                <w:rFonts w:eastAsia="Calibri"/>
                <w:b/>
                <w:bCs/>
                <w:szCs w:val="22"/>
                <w:lang w:val="lt-LT"/>
              </w:rPr>
              <w:t xml:space="preserve">nuo pradinio </w:t>
            </w:r>
            <w:r w:rsidR="008D4BED" w:rsidRPr="00CD7E52">
              <w:rPr>
                <w:rFonts w:eastAsia="Calibri"/>
                <w:b/>
                <w:bCs/>
                <w:snapToGrid/>
                <w:szCs w:val="22"/>
                <w:lang w:val="lt-LT"/>
              </w:rPr>
              <w:t>rodmens</w:t>
            </w:r>
            <w:r w:rsidR="008D4BED" w:rsidRPr="00CD7E52">
              <w:rPr>
                <w:rFonts w:eastAsia="Calibri"/>
                <w:b/>
                <w:bCs/>
                <w:szCs w:val="22"/>
                <w:lang w:val="lt-LT"/>
              </w:rPr>
              <w:t xml:space="preserve">, vidurkis </w:t>
            </w:r>
            <w:r w:rsidR="008D4BED" w:rsidRPr="00CD7E52">
              <w:rPr>
                <w:rFonts w:eastAsia="Calibri"/>
                <w:b/>
                <w:bCs/>
                <w:snapToGrid/>
                <w:szCs w:val="22"/>
                <w:lang w:val="lt-LT"/>
              </w:rPr>
              <w:t xml:space="preserve">(%) ± </w:t>
            </w:r>
            <w:r w:rsidR="008D4BED" w:rsidRPr="00CD7E52">
              <w:rPr>
                <w:rFonts w:eastAsia="Calibri"/>
                <w:b/>
                <w:bCs/>
                <w:szCs w:val="22"/>
                <w:lang w:val="lt-LT"/>
              </w:rPr>
              <w:t>SN</w:t>
            </w:r>
            <w:r w:rsidR="008D4BED" w:rsidRPr="00CD7E52">
              <w:rPr>
                <w:rFonts w:eastAsia="Calibri"/>
                <w:b/>
                <w:bCs/>
                <w:szCs w:val="22"/>
                <w:vertAlign w:val="superscript"/>
                <w:lang w:val="lt-LT"/>
              </w:rPr>
              <w:t>a</w:t>
            </w:r>
          </w:p>
        </w:tc>
        <w:tc>
          <w:tcPr>
            <w:tcW w:w="703" w:type="pct"/>
            <w:vAlign w:val="center"/>
          </w:tcPr>
          <w:p w14:paraId="39F25799"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16 savaitė</w:t>
            </w:r>
          </w:p>
        </w:tc>
        <w:tc>
          <w:tcPr>
            <w:tcW w:w="1485" w:type="pct"/>
            <w:vAlign w:val="center"/>
          </w:tcPr>
          <w:p w14:paraId="21176053"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-8,3 ± 6,26</w:t>
            </w:r>
          </w:p>
        </w:tc>
        <w:tc>
          <w:tcPr>
            <w:tcW w:w="1562" w:type="pct"/>
            <w:vAlign w:val="center"/>
          </w:tcPr>
          <w:p w14:paraId="18D71E88"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-7,8 ± 6,41</w:t>
            </w:r>
          </w:p>
        </w:tc>
      </w:tr>
      <w:tr w:rsidR="00DE6D1B" w:rsidRPr="00CD7E52" w14:paraId="14896A2A" w14:textId="77777777" w:rsidTr="002F7D55">
        <w:tc>
          <w:tcPr>
            <w:tcW w:w="1250" w:type="pct"/>
            <w:vMerge/>
          </w:tcPr>
          <w:p w14:paraId="1331C209" w14:textId="77777777" w:rsidR="009B4D1C" w:rsidRPr="00CD7E52" w:rsidRDefault="009B4D1C" w:rsidP="00BD0220">
            <w:pPr>
              <w:tabs>
                <w:tab w:val="clear" w:pos="567"/>
              </w:tabs>
              <w:spacing w:line="240" w:lineRule="auto"/>
              <w:rPr>
                <w:rFonts w:eastAsia="Calibri"/>
                <w:b/>
                <w:bCs/>
                <w:szCs w:val="22"/>
                <w:lang w:val="lt-LT"/>
              </w:rPr>
            </w:pPr>
          </w:p>
        </w:tc>
        <w:tc>
          <w:tcPr>
            <w:tcW w:w="703" w:type="pct"/>
            <w:vAlign w:val="center"/>
          </w:tcPr>
          <w:p w14:paraId="76ED8E89"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32 savaitė</w:t>
            </w:r>
          </w:p>
        </w:tc>
        <w:tc>
          <w:tcPr>
            <w:tcW w:w="1485" w:type="pct"/>
            <w:vAlign w:val="center"/>
          </w:tcPr>
          <w:p w14:paraId="1282119D"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-8,9 ± 6,68</w:t>
            </w:r>
          </w:p>
        </w:tc>
        <w:tc>
          <w:tcPr>
            <w:tcW w:w="1562" w:type="pct"/>
            <w:vAlign w:val="center"/>
          </w:tcPr>
          <w:p w14:paraId="22EA609F"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-7,7 ± 5,92</w:t>
            </w:r>
          </w:p>
        </w:tc>
      </w:tr>
      <w:tr w:rsidR="00DE6D1B" w:rsidRPr="00CD7E52" w14:paraId="786E65B2" w14:textId="77777777" w:rsidTr="002F7D55">
        <w:tc>
          <w:tcPr>
            <w:tcW w:w="1250" w:type="pct"/>
            <w:vMerge/>
          </w:tcPr>
          <w:p w14:paraId="76BA7BC9" w14:textId="77777777" w:rsidR="009B4D1C" w:rsidRPr="00CD7E52" w:rsidRDefault="009B4D1C" w:rsidP="00BD0220">
            <w:pPr>
              <w:tabs>
                <w:tab w:val="clear" w:pos="567"/>
              </w:tabs>
              <w:spacing w:line="240" w:lineRule="auto"/>
              <w:rPr>
                <w:rFonts w:eastAsia="Calibri"/>
                <w:b/>
                <w:bCs/>
                <w:szCs w:val="22"/>
                <w:lang w:val="lt-LT"/>
              </w:rPr>
            </w:pPr>
          </w:p>
        </w:tc>
        <w:tc>
          <w:tcPr>
            <w:tcW w:w="703" w:type="pct"/>
            <w:vAlign w:val="center"/>
          </w:tcPr>
          <w:p w14:paraId="6B2BC680"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52 savaitė</w:t>
            </w:r>
          </w:p>
        </w:tc>
        <w:tc>
          <w:tcPr>
            <w:tcW w:w="1485" w:type="pct"/>
            <w:vAlign w:val="center"/>
          </w:tcPr>
          <w:p w14:paraId="096B1FB4"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-7,8 ± 5,75</w:t>
            </w:r>
          </w:p>
        </w:tc>
        <w:tc>
          <w:tcPr>
            <w:tcW w:w="1562" w:type="pct"/>
            <w:vAlign w:val="center"/>
          </w:tcPr>
          <w:p w14:paraId="6DABF1F6"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-7,5 ± 6,27</w:t>
            </w:r>
          </w:p>
        </w:tc>
      </w:tr>
      <w:tr w:rsidR="009E0A7D" w:rsidRPr="00CD7E52" w14:paraId="21AAD831" w14:textId="77777777" w:rsidTr="002F7D55">
        <w:tc>
          <w:tcPr>
            <w:tcW w:w="1250" w:type="pct"/>
            <w:vMerge w:val="restart"/>
          </w:tcPr>
          <w:p w14:paraId="3E405D44" w14:textId="77777777" w:rsidR="009B4D1C" w:rsidRPr="00716E07" w:rsidRDefault="008D4BED" w:rsidP="00BD0220">
            <w:pPr>
              <w:tabs>
                <w:tab w:val="clear" w:pos="567"/>
              </w:tabs>
              <w:spacing w:line="240" w:lineRule="auto"/>
              <w:ind w:right="-108"/>
              <w:rPr>
                <w:rFonts w:eastAsia="Calibri"/>
                <w:b/>
                <w:lang w:val="pt-PT"/>
              </w:rPr>
            </w:pPr>
            <w:r w:rsidRPr="00CD7E52">
              <w:rPr>
                <w:rFonts w:eastAsia="Calibri"/>
                <w:b/>
                <w:bCs/>
                <w:szCs w:val="22"/>
                <w:lang w:val="lt-LT"/>
              </w:rPr>
              <w:t xml:space="preserve">Tiriamųjų, kuriems galvos odos psoriazės </w:t>
            </w:r>
            <w:r w:rsidRPr="00CD7E52">
              <w:rPr>
                <w:rFonts w:eastAsia="Calibri"/>
                <w:b/>
                <w:bCs/>
                <w:szCs w:val="22"/>
                <w:lang w:val="lt-LT"/>
              </w:rPr>
              <w:lastRenderedPageBreak/>
              <w:t xml:space="preserve">PGA (ScPGA) </w:t>
            </w:r>
            <w:r w:rsidRPr="00CD7E52">
              <w:rPr>
                <w:rFonts w:eastAsia="Calibri"/>
                <w:b/>
                <w:bCs/>
                <w:snapToGrid/>
                <w:szCs w:val="22"/>
                <w:lang w:val="lt-LT"/>
              </w:rPr>
              <w:t xml:space="preserve">įvertinimas </w:t>
            </w:r>
            <w:r w:rsidRPr="00CD7E52">
              <w:rPr>
                <w:rFonts w:eastAsia="Calibri"/>
                <w:b/>
                <w:bCs/>
                <w:szCs w:val="22"/>
                <w:lang w:val="lt-LT"/>
              </w:rPr>
              <w:t>yra 0 arba 1, dalis, n/N (%)</w:t>
            </w:r>
            <w:r w:rsidR="009B4D1C" w:rsidRPr="00CD7E52">
              <w:rPr>
                <w:rFonts w:eastAsia="Calibri"/>
                <w:b/>
                <w:bCs/>
                <w:szCs w:val="22"/>
                <w:vertAlign w:val="superscript"/>
                <w:lang w:val="lt-LT"/>
              </w:rPr>
              <w:t>b</w:t>
            </w:r>
          </w:p>
        </w:tc>
        <w:tc>
          <w:tcPr>
            <w:tcW w:w="703" w:type="pct"/>
            <w:vAlign w:val="center"/>
          </w:tcPr>
          <w:p w14:paraId="4646E06E"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lastRenderedPageBreak/>
              <w:t>16 savaitė</w:t>
            </w:r>
          </w:p>
        </w:tc>
        <w:tc>
          <w:tcPr>
            <w:tcW w:w="1485" w:type="pct"/>
            <w:vAlign w:val="center"/>
          </w:tcPr>
          <w:p w14:paraId="281CB6ED"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40/48 (83,3)</w:t>
            </w:r>
          </w:p>
        </w:tc>
        <w:tc>
          <w:tcPr>
            <w:tcW w:w="1562" w:type="pct"/>
            <w:vAlign w:val="center"/>
          </w:tcPr>
          <w:p w14:paraId="70A26934"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21/37 (56,8)</w:t>
            </w:r>
          </w:p>
        </w:tc>
      </w:tr>
      <w:tr w:rsidR="00DE6D1B" w:rsidRPr="00CD7E52" w14:paraId="21D07C12" w14:textId="77777777" w:rsidTr="002F7D55">
        <w:tc>
          <w:tcPr>
            <w:tcW w:w="1250" w:type="pct"/>
            <w:vMerge/>
          </w:tcPr>
          <w:p w14:paraId="3234A3A6" w14:textId="77777777" w:rsidR="009B4D1C" w:rsidRPr="00CD7E52" w:rsidRDefault="009B4D1C" w:rsidP="00BD0220">
            <w:pPr>
              <w:tabs>
                <w:tab w:val="clear" w:pos="567"/>
              </w:tabs>
              <w:spacing w:line="240" w:lineRule="auto"/>
              <w:rPr>
                <w:rFonts w:eastAsia="Calibri"/>
                <w:szCs w:val="22"/>
                <w:lang w:val="lt-LT"/>
              </w:rPr>
            </w:pPr>
          </w:p>
        </w:tc>
        <w:tc>
          <w:tcPr>
            <w:tcW w:w="703" w:type="pct"/>
            <w:vAlign w:val="center"/>
          </w:tcPr>
          <w:p w14:paraId="2876D499"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32 savaitė</w:t>
            </w:r>
          </w:p>
        </w:tc>
        <w:tc>
          <w:tcPr>
            <w:tcW w:w="1485" w:type="pct"/>
            <w:vAlign w:val="center"/>
          </w:tcPr>
          <w:p w14:paraId="71C6BB62"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39/48 (81,3)</w:t>
            </w:r>
          </w:p>
        </w:tc>
        <w:tc>
          <w:tcPr>
            <w:tcW w:w="1562" w:type="pct"/>
            <w:vAlign w:val="center"/>
          </w:tcPr>
          <w:p w14:paraId="700F9B94"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27/37 (73,0)</w:t>
            </w:r>
          </w:p>
        </w:tc>
      </w:tr>
      <w:tr w:rsidR="00DE6D1B" w:rsidRPr="00CD7E52" w14:paraId="518B7B17" w14:textId="77777777" w:rsidTr="002F7D55">
        <w:tc>
          <w:tcPr>
            <w:tcW w:w="1250" w:type="pct"/>
            <w:vMerge/>
          </w:tcPr>
          <w:p w14:paraId="56348964" w14:textId="77777777" w:rsidR="009B4D1C" w:rsidRPr="00CD7E52" w:rsidRDefault="009B4D1C" w:rsidP="00BD0220">
            <w:pPr>
              <w:tabs>
                <w:tab w:val="clear" w:pos="567"/>
              </w:tabs>
              <w:spacing w:line="240" w:lineRule="auto"/>
              <w:rPr>
                <w:rFonts w:eastAsia="Calibri"/>
                <w:szCs w:val="22"/>
                <w:lang w:val="lt-LT"/>
              </w:rPr>
            </w:pPr>
          </w:p>
        </w:tc>
        <w:tc>
          <w:tcPr>
            <w:tcW w:w="703" w:type="pct"/>
            <w:vAlign w:val="center"/>
          </w:tcPr>
          <w:p w14:paraId="3887ACC7"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52 savaitė</w:t>
            </w:r>
          </w:p>
        </w:tc>
        <w:tc>
          <w:tcPr>
            <w:tcW w:w="1485" w:type="pct"/>
            <w:vAlign w:val="center"/>
          </w:tcPr>
          <w:p w14:paraId="47FC13E7"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35/48 (72,9)</w:t>
            </w:r>
          </w:p>
        </w:tc>
        <w:tc>
          <w:tcPr>
            <w:tcW w:w="1562" w:type="pct"/>
            <w:vAlign w:val="center"/>
          </w:tcPr>
          <w:p w14:paraId="2C9454F1" w14:textId="77777777" w:rsidR="009B4D1C" w:rsidRPr="00CD7E52" w:rsidRDefault="009B4D1C" w:rsidP="00BD0220">
            <w:pPr>
              <w:tabs>
                <w:tab w:val="clear" w:pos="567"/>
              </w:tabs>
              <w:spacing w:line="240" w:lineRule="auto"/>
              <w:jc w:val="center"/>
              <w:rPr>
                <w:rFonts w:eastAsia="Calibri"/>
                <w:szCs w:val="22"/>
              </w:rPr>
            </w:pPr>
            <w:r w:rsidRPr="00CD7E52">
              <w:rPr>
                <w:rFonts w:eastAsia="Calibri"/>
                <w:szCs w:val="22"/>
                <w:lang w:val="lt-LT"/>
              </w:rPr>
              <w:t>20/37 (54,1)</w:t>
            </w:r>
          </w:p>
        </w:tc>
      </w:tr>
    </w:tbl>
    <w:p w14:paraId="6EFDFD84" w14:textId="77777777" w:rsidR="004B4124" w:rsidRPr="00A9366F" w:rsidRDefault="004B4124" w:rsidP="00BD0220">
      <w:pPr>
        <w:widowControl w:val="0"/>
        <w:tabs>
          <w:tab w:val="clear" w:pos="567"/>
        </w:tabs>
        <w:autoSpaceDE w:val="0"/>
        <w:autoSpaceDN w:val="0"/>
        <w:adjustRightInd w:val="0"/>
        <w:spacing w:line="240" w:lineRule="auto"/>
        <w:rPr>
          <w:szCs w:val="22"/>
          <w:lang w:val="lt-LT"/>
        </w:rPr>
      </w:pPr>
      <w:r w:rsidRPr="00A9366F">
        <w:rPr>
          <w:szCs w:val="22"/>
          <w:vertAlign w:val="superscript"/>
          <w:lang w:val="lt-LT"/>
        </w:rPr>
        <w:t>a</w:t>
      </w:r>
      <w:r w:rsidR="00DD3983" w:rsidRPr="00A9366F">
        <w:rPr>
          <w:szCs w:val="22"/>
          <w:lang w:val="lt-LT"/>
        </w:rPr>
        <w:t xml:space="preserve"> </w:t>
      </w:r>
      <w:r w:rsidRPr="00A9366F">
        <w:rPr>
          <w:szCs w:val="22"/>
          <w:lang w:val="lt-LT"/>
        </w:rPr>
        <w:t xml:space="preserve">Įtraukti tiriamieji, </w:t>
      </w:r>
      <w:r w:rsidRPr="00A9366F">
        <w:rPr>
          <w:snapToGrid/>
          <w:szCs w:val="22"/>
          <w:lang w:val="lt-LT"/>
        </w:rPr>
        <w:t>kurie</w:t>
      </w:r>
      <w:r w:rsidRPr="00A9366F">
        <w:rPr>
          <w:szCs w:val="22"/>
          <w:lang w:val="lt-LT"/>
        </w:rPr>
        <w:t xml:space="preserve"> 32</w:t>
      </w:r>
      <w:r w:rsidR="00C65C08" w:rsidRPr="00A9366F">
        <w:rPr>
          <w:szCs w:val="22"/>
          <w:lang w:val="lt-LT"/>
        </w:rPr>
        <w:t> savai</w:t>
      </w:r>
      <w:r w:rsidRPr="00A9366F">
        <w:rPr>
          <w:szCs w:val="22"/>
          <w:lang w:val="lt-LT"/>
        </w:rPr>
        <w:t xml:space="preserve">tę </w:t>
      </w:r>
      <w:r w:rsidR="00F10B3F" w:rsidRPr="00A9366F">
        <w:rPr>
          <w:snapToGrid/>
          <w:szCs w:val="22"/>
          <w:lang w:val="lt-LT"/>
        </w:rPr>
        <w:t>buvo atsitiktiniai priskirti</w:t>
      </w:r>
      <w:r w:rsidRPr="00A9366F">
        <w:rPr>
          <w:szCs w:val="22"/>
          <w:lang w:val="lt-LT"/>
        </w:rPr>
        <w:t xml:space="preserve"> vartoti APR 30 du kartus per parą</w:t>
      </w:r>
      <w:r w:rsidR="004371ED" w:rsidRPr="00A9366F">
        <w:rPr>
          <w:snapToGrid/>
          <w:szCs w:val="22"/>
          <w:lang w:val="lt-LT"/>
        </w:rPr>
        <w:t>, vertinant pradinį rodmenį</w:t>
      </w:r>
      <w:r w:rsidR="004371ED" w:rsidRPr="00A9366F">
        <w:rPr>
          <w:szCs w:val="22"/>
          <w:lang w:val="lt-LT"/>
        </w:rPr>
        <w:t xml:space="preserve"> ir </w:t>
      </w:r>
      <w:r w:rsidR="004371ED" w:rsidRPr="00A9366F">
        <w:rPr>
          <w:snapToGrid/>
          <w:szCs w:val="22"/>
          <w:lang w:val="lt-LT"/>
        </w:rPr>
        <w:t>rodmenį</w:t>
      </w:r>
      <w:r w:rsidR="004371ED" w:rsidRPr="00A9366F">
        <w:rPr>
          <w:szCs w:val="22"/>
          <w:lang w:val="lt-LT"/>
        </w:rPr>
        <w:t xml:space="preserve"> po pradinio įvertinimo</w:t>
      </w:r>
      <w:r w:rsidRPr="00A9366F">
        <w:rPr>
          <w:szCs w:val="22"/>
          <w:lang w:val="lt-LT"/>
        </w:rPr>
        <w:t xml:space="preserve"> </w:t>
      </w:r>
      <w:r w:rsidR="004371ED" w:rsidRPr="00A9366F">
        <w:rPr>
          <w:snapToGrid/>
          <w:szCs w:val="22"/>
          <w:lang w:val="lt-LT"/>
        </w:rPr>
        <w:t>vertintą</w:t>
      </w:r>
      <w:r w:rsidRPr="00A9366F">
        <w:rPr>
          <w:szCs w:val="22"/>
          <w:lang w:val="lt-LT"/>
        </w:rPr>
        <w:t xml:space="preserve"> tyrimo</w:t>
      </w:r>
      <w:r w:rsidR="004371ED" w:rsidRPr="00A9366F">
        <w:rPr>
          <w:szCs w:val="22"/>
          <w:lang w:val="lt-LT"/>
        </w:rPr>
        <w:t xml:space="preserve"> </w:t>
      </w:r>
      <w:r w:rsidR="00C65C08" w:rsidRPr="00A9366F">
        <w:rPr>
          <w:szCs w:val="22"/>
          <w:lang w:val="lt-LT"/>
        </w:rPr>
        <w:t>savai</w:t>
      </w:r>
      <w:r w:rsidRPr="00A9366F">
        <w:rPr>
          <w:szCs w:val="22"/>
          <w:lang w:val="lt-LT"/>
        </w:rPr>
        <w:t>tę.</w:t>
      </w:r>
    </w:p>
    <w:p w14:paraId="20F39AD4"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A9366F">
        <w:rPr>
          <w:szCs w:val="22"/>
          <w:vertAlign w:val="superscript"/>
          <w:lang w:val="lt-LT"/>
        </w:rPr>
        <w:t>b</w:t>
      </w:r>
      <w:r w:rsidRPr="00A9366F">
        <w:rPr>
          <w:szCs w:val="22"/>
          <w:lang w:val="lt-LT"/>
        </w:rPr>
        <w:t xml:space="preserve"> N grindžiamas tiriamaisiais, kuriems pradinio įvertinimo metu nustatyta vidutinio sunkumo arba sunkesnė galvos odos</w:t>
      </w:r>
      <w:r w:rsidR="004371ED" w:rsidRPr="00A9366F">
        <w:rPr>
          <w:szCs w:val="22"/>
          <w:lang w:val="lt-LT"/>
        </w:rPr>
        <w:t xml:space="preserve"> </w:t>
      </w:r>
      <w:r w:rsidRPr="00A9366F">
        <w:rPr>
          <w:szCs w:val="22"/>
          <w:lang w:val="lt-LT"/>
        </w:rPr>
        <w:t>psoriazė</w:t>
      </w:r>
      <w:r w:rsidR="004371ED" w:rsidRPr="00A9366F">
        <w:rPr>
          <w:snapToGrid/>
          <w:szCs w:val="22"/>
          <w:lang w:val="lt-LT"/>
        </w:rPr>
        <w:t xml:space="preserve"> ir</w:t>
      </w:r>
      <w:r w:rsidRPr="00A9366F">
        <w:rPr>
          <w:snapToGrid/>
          <w:szCs w:val="22"/>
          <w:lang w:val="lt-LT"/>
        </w:rPr>
        <w:t xml:space="preserve"> kurie</w:t>
      </w:r>
      <w:r w:rsidRPr="00A9366F">
        <w:rPr>
          <w:szCs w:val="22"/>
          <w:lang w:val="lt-LT"/>
        </w:rPr>
        <w:t xml:space="preserve"> 32</w:t>
      </w:r>
      <w:r w:rsidR="00C65C08" w:rsidRPr="00A9366F">
        <w:rPr>
          <w:szCs w:val="22"/>
          <w:lang w:val="lt-LT"/>
        </w:rPr>
        <w:t> savai</w:t>
      </w:r>
      <w:r w:rsidRPr="00A9366F">
        <w:rPr>
          <w:szCs w:val="22"/>
          <w:lang w:val="lt-LT"/>
        </w:rPr>
        <w:t xml:space="preserve">tę </w:t>
      </w:r>
      <w:r w:rsidR="00F10B3F" w:rsidRPr="00A9366F">
        <w:rPr>
          <w:snapToGrid/>
          <w:szCs w:val="22"/>
          <w:lang w:val="lt-LT"/>
        </w:rPr>
        <w:t>buvo atsitiktiniai priskirti</w:t>
      </w:r>
      <w:r w:rsidRPr="00A9366F">
        <w:rPr>
          <w:szCs w:val="22"/>
          <w:lang w:val="lt-LT"/>
        </w:rPr>
        <w:t xml:space="preserve"> vartoti APR 30 du kartus per parą. Tiriamieji,</w:t>
      </w:r>
      <w:r w:rsidR="004371ED" w:rsidRPr="00A9366F">
        <w:rPr>
          <w:szCs w:val="22"/>
          <w:lang w:val="lt-LT"/>
        </w:rPr>
        <w:t xml:space="preserve"> </w:t>
      </w:r>
      <w:r w:rsidRPr="00A9366F">
        <w:rPr>
          <w:szCs w:val="22"/>
          <w:lang w:val="lt-LT"/>
        </w:rPr>
        <w:t xml:space="preserve">apie kuriuos duomenų nebuvo, buvo </w:t>
      </w:r>
      <w:r w:rsidR="004371ED" w:rsidRPr="00A9366F">
        <w:rPr>
          <w:snapToGrid/>
          <w:szCs w:val="22"/>
          <w:lang w:val="lt-LT"/>
        </w:rPr>
        <w:t>vertinami</w:t>
      </w:r>
      <w:r w:rsidRPr="00A9366F">
        <w:rPr>
          <w:szCs w:val="22"/>
          <w:lang w:val="lt-LT"/>
        </w:rPr>
        <w:t xml:space="preserve"> kaip tiriamieji, kuriems atsako nebuvo.</w:t>
      </w:r>
    </w:p>
    <w:p w14:paraId="3C8783D1" w14:textId="77777777" w:rsidR="004371ED" w:rsidRPr="00CD7E52" w:rsidRDefault="004371ED" w:rsidP="00BD0220">
      <w:pPr>
        <w:widowControl w:val="0"/>
        <w:tabs>
          <w:tab w:val="clear" w:pos="567"/>
        </w:tabs>
        <w:autoSpaceDE w:val="0"/>
        <w:autoSpaceDN w:val="0"/>
        <w:adjustRightInd w:val="0"/>
        <w:spacing w:line="240" w:lineRule="auto"/>
        <w:rPr>
          <w:szCs w:val="22"/>
          <w:lang w:val="lt-LT"/>
        </w:rPr>
      </w:pPr>
    </w:p>
    <w:p w14:paraId="35D8C9BC"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Tyrimo </w:t>
      </w:r>
      <w:r w:rsidR="00C65635" w:rsidRPr="00CD7E52">
        <w:rPr>
          <w:szCs w:val="22"/>
          <w:lang w:val="lt-LT"/>
        </w:rPr>
        <w:t>ESTEEM</w:t>
      </w:r>
      <w:r w:rsidR="00C65635" w:rsidRPr="00CD7E52">
        <w:rPr>
          <w:snapToGrid/>
          <w:szCs w:val="22"/>
          <w:lang w:val="lt-LT"/>
        </w:rPr>
        <w:t> </w:t>
      </w:r>
      <w:r w:rsidR="00C65635" w:rsidRPr="00CD7E52">
        <w:rPr>
          <w:szCs w:val="22"/>
          <w:lang w:val="lt-LT"/>
        </w:rPr>
        <w:t>1</w:t>
      </w:r>
      <w:r w:rsidRPr="00CD7E52">
        <w:rPr>
          <w:szCs w:val="22"/>
          <w:lang w:val="lt-LT"/>
        </w:rPr>
        <w:t xml:space="preserve"> metu maždaug 61</w:t>
      </w:r>
      <w:r w:rsidR="009F17E0" w:rsidRPr="00CD7E52">
        <w:rPr>
          <w:szCs w:val="22"/>
          <w:lang w:val="lt-LT"/>
        </w:rPr>
        <w:t> %</w:t>
      </w:r>
      <w:r w:rsidRPr="00CD7E52">
        <w:rPr>
          <w:szCs w:val="22"/>
          <w:lang w:val="lt-LT"/>
        </w:rPr>
        <w:t xml:space="preserve"> pacientų, </w:t>
      </w:r>
      <w:r w:rsidRPr="00CD7E52">
        <w:rPr>
          <w:snapToGrid/>
          <w:szCs w:val="22"/>
          <w:lang w:val="lt-LT"/>
        </w:rPr>
        <w:t>kurie</w:t>
      </w:r>
      <w:r w:rsidR="00F80A22" w:rsidRPr="00CD7E52">
        <w:rPr>
          <w:snapToGrid/>
          <w:szCs w:val="22"/>
          <w:lang w:val="lt-LT"/>
        </w:rPr>
        <w:t>ms</w:t>
      </w:r>
      <w:r w:rsidRPr="00CD7E52">
        <w:rPr>
          <w:szCs w:val="22"/>
          <w:lang w:val="lt-LT"/>
        </w:rPr>
        <w:t xml:space="preserve"> 32</w:t>
      </w:r>
      <w:r w:rsidR="00C65C08" w:rsidRPr="00CD7E52">
        <w:rPr>
          <w:szCs w:val="22"/>
          <w:lang w:val="lt-LT"/>
        </w:rPr>
        <w:t> savai</w:t>
      </w:r>
      <w:r w:rsidRPr="00CD7E52">
        <w:rPr>
          <w:szCs w:val="22"/>
          <w:lang w:val="lt-LT"/>
        </w:rPr>
        <w:t xml:space="preserve">tę </w:t>
      </w:r>
      <w:r w:rsidR="00F10B3F" w:rsidRPr="00CD7E52">
        <w:rPr>
          <w:snapToGrid/>
          <w:szCs w:val="22"/>
          <w:lang w:val="lt-LT"/>
        </w:rPr>
        <w:t xml:space="preserve">buvo </w:t>
      </w:r>
      <w:r w:rsidR="00A70C4D" w:rsidRPr="00CD7E52">
        <w:rPr>
          <w:snapToGrid/>
          <w:szCs w:val="22"/>
          <w:lang w:val="lt-LT"/>
        </w:rPr>
        <w:t>atsitiktinės atrankos būdu</w:t>
      </w:r>
      <w:r w:rsidRPr="00CD7E52">
        <w:rPr>
          <w:szCs w:val="22"/>
          <w:lang w:val="lt-LT"/>
        </w:rPr>
        <w:t xml:space="preserve"> pakartotinai</w:t>
      </w:r>
      <w:r w:rsidR="004371ED" w:rsidRPr="00CD7E52">
        <w:rPr>
          <w:szCs w:val="22"/>
          <w:lang w:val="lt-LT"/>
        </w:rPr>
        <w:t xml:space="preserve"> </w:t>
      </w:r>
      <w:r w:rsidR="00F80A22" w:rsidRPr="00CD7E52">
        <w:rPr>
          <w:szCs w:val="22"/>
          <w:lang w:val="lt-LT"/>
        </w:rPr>
        <w:t xml:space="preserve">skirta </w:t>
      </w:r>
      <w:r w:rsidRPr="00CD7E52">
        <w:rPr>
          <w:szCs w:val="22"/>
          <w:lang w:val="lt-LT"/>
        </w:rPr>
        <w:t>vartoti apremilast</w:t>
      </w:r>
      <w:r w:rsidR="00F80A22" w:rsidRPr="00CD7E52">
        <w:rPr>
          <w:szCs w:val="22"/>
          <w:lang w:val="lt-LT"/>
        </w:rPr>
        <w:t>o</w:t>
      </w:r>
      <w:r w:rsidRPr="00CD7E52">
        <w:rPr>
          <w:szCs w:val="22"/>
          <w:lang w:val="lt-LT"/>
        </w:rPr>
        <w:t>, 52</w:t>
      </w:r>
      <w:r w:rsidR="00C65C08" w:rsidRPr="00CD7E52">
        <w:rPr>
          <w:szCs w:val="22"/>
          <w:lang w:val="lt-LT"/>
        </w:rPr>
        <w:t> savai</w:t>
      </w:r>
      <w:r w:rsidRPr="00CD7E52">
        <w:rPr>
          <w:szCs w:val="22"/>
          <w:lang w:val="lt-LT"/>
        </w:rPr>
        <w:t xml:space="preserve">tę nustatytas </w:t>
      </w:r>
      <w:r w:rsidR="0050207D" w:rsidRPr="00CD7E52">
        <w:rPr>
          <w:szCs w:val="22"/>
          <w:lang w:val="lt-LT"/>
        </w:rPr>
        <w:t>PASI</w:t>
      </w:r>
      <w:r w:rsidRPr="00CD7E52">
        <w:rPr>
          <w:szCs w:val="22"/>
          <w:lang w:val="lt-LT"/>
        </w:rPr>
        <w:t xml:space="preserve">-75 atsakas. </w:t>
      </w:r>
      <w:r w:rsidR="004371ED" w:rsidRPr="00CD7E52">
        <w:rPr>
          <w:snapToGrid/>
          <w:szCs w:val="22"/>
          <w:lang w:val="lt-LT"/>
        </w:rPr>
        <w:t>Vertinant p</w:t>
      </w:r>
      <w:r w:rsidRPr="00CD7E52">
        <w:rPr>
          <w:snapToGrid/>
          <w:szCs w:val="22"/>
          <w:lang w:val="lt-LT"/>
        </w:rPr>
        <w:t>acient</w:t>
      </w:r>
      <w:r w:rsidR="004371ED" w:rsidRPr="00CD7E52">
        <w:rPr>
          <w:snapToGrid/>
          <w:szCs w:val="22"/>
          <w:lang w:val="lt-LT"/>
        </w:rPr>
        <w:t>u</w:t>
      </w:r>
      <w:r w:rsidRPr="00CD7E52">
        <w:rPr>
          <w:snapToGrid/>
          <w:szCs w:val="22"/>
          <w:lang w:val="lt-LT"/>
        </w:rPr>
        <w:t>s</w:t>
      </w:r>
      <w:r w:rsidRPr="00CD7E52">
        <w:rPr>
          <w:szCs w:val="22"/>
          <w:lang w:val="lt-LT"/>
        </w:rPr>
        <w:t>, kuriems atsitiktinių imčių</w:t>
      </w:r>
      <w:r w:rsidR="004371ED" w:rsidRPr="00CD7E52">
        <w:rPr>
          <w:szCs w:val="22"/>
          <w:lang w:val="lt-LT"/>
        </w:rPr>
        <w:t xml:space="preserve"> </w:t>
      </w:r>
      <w:r w:rsidRPr="00CD7E52">
        <w:rPr>
          <w:szCs w:val="22"/>
          <w:lang w:val="lt-LT"/>
        </w:rPr>
        <w:t>gydymo nutraukimo fazėj</w:t>
      </w:r>
      <w:r w:rsidR="004371ED" w:rsidRPr="00CD7E52">
        <w:rPr>
          <w:szCs w:val="22"/>
          <w:lang w:val="lt-LT"/>
        </w:rPr>
        <w:t xml:space="preserve">e </w:t>
      </w:r>
      <w:r w:rsidR="00BD30CA" w:rsidRPr="00CD7E52">
        <w:rPr>
          <w:szCs w:val="22"/>
          <w:lang w:val="lt-LT"/>
        </w:rPr>
        <w:t>3</w:t>
      </w:r>
      <w:r w:rsidRPr="00CD7E52">
        <w:rPr>
          <w:szCs w:val="22"/>
          <w:lang w:val="lt-LT"/>
        </w:rPr>
        <w:t>2</w:t>
      </w:r>
      <w:r w:rsidR="00C65C08" w:rsidRPr="00CD7E52">
        <w:rPr>
          <w:szCs w:val="22"/>
          <w:lang w:val="lt-LT"/>
        </w:rPr>
        <w:t> savai</w:t>
      </w:r>
      <w:r w:rsidRPr="00CD7E52">
        <w:rPr>
          <w:szCs w:val="22"/>
          <w:lang w:val="lt-LT"/>
        </w:rPr>
        <w:t xml:space="preserve">tę pakartotinai </w:t>
      </w:r>
      <w:r w:rsidR="009132F1" w:rsidRPr="00CD7E52">
        <w:rPr>
          <w:szCs w:val="22"/>
          <w:lang w:val="lt-LT"/>
        </w:rPr>
        <w:t xml:space="preserve">buvo </w:t>
      </w:r>
      <w:r w:rsidR="009132F1" w:rsidRPr="00CD7E52">
        <w:rPr>
          <w:snapToGrid/>
          <w:szCs w:val="22"/>
          <w:lang w:val="lt-LT"/>
        </w:rPr>
        <w:t>atsitiktinai priskirti</w:t>
      </w:r>
      <w:r w:rsidRPr="00CD7E52">
        <w:rPr>
          <w:szCs w:val="22"/>
          <w:lang w:val="lt-LT"/>
        </w:rPr>
        <w:t xml:space="preserve"> vartoti placeb</w:t>
      </w:r>
      <w:r w:rsidR="00416868" w:rsidRPr="00CD7E52">
        <w:rPr>
          <w:szCs w:val="22"/>
          <w:lang w:val="lt-LT"/>
        </w:rPr>
        <w:t>o</w:t>
      </w:r>
      <w:r w:rsidRPr="00CD7E52">
        <w:rPr>
          <w:szCs w:val="22"/>
          <w:lang w:val="lt-LT"/>
        </w:rPr>
        <w:t xml:space="preserve"> ir</w:t>
      </w:r>
      <w:r w:rsidR="004371ED" w:rsidRPr="00CD7E52">
        <w:rPr>
          <w:szCs w:val="22"/>
          <w:lang w:val="lt-LT"/>
        </w:rPr>
        <w:t xml:space="preserve"> </w:t>
      </w:r>
      <w:r w:rsidRPr="00CD7E52">
        <w:rPr>
          <w:szCs w:val="22"/>
          <w:lang w:val="lt-LT"/>
        </w:rPr>
        <w:t xml:space="preserve">kuriems </w:t>
      </w:r>
      <w:r w:rsidR="004371ED" w:rsidRPr="00CD7E52">
        <w:rPr>
          <w:snapToGrid/>
          <w:szCs w:val="22"/>
          <w:lang w:val="lt-LT"/>
        </w:rPr>
        <w:t xml:space="preserve">nustatytas bent jau </w:t>
      </w:r>
      <w:r w:rsidR="0050207D" w:rsidRPr="00CD7E52">
        <w:rPr>
          <w:szCs w:val="22"/>
          <w:lang w:val="lt-LT"/>
        </w:rPr>
        <w:t>PASI</w:t>
      </w:r>
      <w:r w:rsidRPr="00CD7E52">
        <w:rPr>
          <w:szCs w:val="22"/>
          <w:lang w:val="lt-LT"/>
        </w:rPr>
        <w:t>-75 atsakas, 52</w:t>
      </w:r>
      <w:r w:rsidR="00C65C08" w:rsidRPr="00CD7E52">
        <w:rPr>
          <w:szCs w:val="22"/>
          <w:lang w:val="lt-LT"/>
        </w:rPr>
        <w:t> savai</w:t>
      </w:r>
      <w:r w:rsidRPr="00CD7E52">
        <w:rPr>
          <w:szCs w:val="22"/>
          <w:lang w:val="lt-LT"/>
        </w:rPr>
        <w:t xml:space="preserve">tę </w:t>
      </w:r>
      <w:r w:rsidR="0050207D" w:rsidRPr="00CD7E52">
        <w:rPr>
          <w:szCs w:val="22"/>
          <w:lang w:val="lt-LT"/>
        </w:rPr>
        <w:t>PASI</w:t>
      </w:r>
      <w:r w:rsidR="00416868" w:rsidRPr="00CD7E52">
        <w:rPr>
          <w:szCs w:val="22"/>
          <w:lang w:val="lt-LT"/>
        </w:rPr>
        <w:t> </w:t>
      </w:r>
      <w:r w:rsidRPr="00CD7E52">
        <w:rPr>
          <w:szCs w:val="22"/>
          <w:lang w:val="lt-LT"/>
        </w:rPr>
        <w:t>75 atsakas buvo 11,7</w:t>
      </w:r>
      <w:r w:rsidR="009F17E0" w:rsidRPr="00CD7E52">
        <w:rPr>
          <w:szCs w:val="22"/>
          <w:lang w:val="lt-LT"/>
        </w:rPr>
        <w:t> %</w:t>
      </w:r>
      <w:r w:rsidRPr="00CD7E52">
        <w:rPr>
          <w:szCs w:val="22"/>
          <w:lang w:val="lt-LT"/>
        </w:rPr>
        <w:t xml:space="preserve"> pacientų. Laiko iki </w:t>
      </w:r>
      <w:r w:rsidR="0050207D" w:rsidRPr="00CD7E52">
        <w:rPr>
          <w:szCs w:val="22"/>
          <w:lang w:val="lt-LT"/>
        </w:rPr>
        <w:t>PASI</w:t>
      </w:r>
      <w:r w:rsidR="00985079" w:rsidRPr="00CD7E52">
        <w:rPr>
          <w:szCs w:val="22"/>
          <w:lang w:val="lt-LT"/>
        </w:rPr>
        <w:t>-</w:t>
      </w:r>
      <w:r w:rsidRPr="00CD7E52">
        <w:rPr>
          <w:snapToGrid/>
          <w:szCs w:val="22"/>
          <w:lang w:val="lt-LT"/>
        </w:rPr>
        <w:t>75</w:t>
      </w:r>
      <w:r w:rsidRPr="00CD7E52">
        <w:rPr>
          <w:szCs w:val="22"/>
          <w:lang w:val="lt-LT"/>
        </w:rPr>
        <w:t xml:space="preserve"> atsako praradimo mediana tarp pacientų, </w:t>
      </w:r>
      <w:r w:rsidRPr="00CD7E52">
        <w:rPr>
          <w:snapToGrid/>
          <w:szCs w:val="22"/>
          <w:lang w:val="lt-LT"/>
        </w:rPr>
        <w:t>kurie</w:t>
      </w:r>
      <w:r w:rsidR="00F10B3F" w:rsidRPr="00CD7E52">
        <w:rPr>
          <w:snapToGrid/>
          <w:szCs w:val="22"/>
          <w:lang w:val="lt-LT"/>
        </w:rPr>
        <w:t xml:space="preserve"> buvo atsitiktiniai priskirti</w:t>
      </w:r>
      <w:r w:rsidR="00F10B3F" w:rsidRPr="00CD7E52">
        <w:rPr>
          <w:szCs w:val="22"/>
          <w:lang w:val="lt-LT"/>
        </w:rPr>
        <w:t xml:space="preserve"> </w:t>
      </w:r>
      <w:r w:rsidRPr="00CD7E52">
        <w:rPr>
          <w:szCs w:val="22"/>
          <w:lang w:val="lt-LT"/>
        </w:rPr>
        <w:t>pakartotinai vartoti</w:t>
      </w:r>
      <w:r w:rsidR="004371ED" w:rsidRPr="00CD7E52">
        <w:rPr>
          <w:szCs w:val="22"/>
          <w:lang w:val="lt-LT"/>
        </w:rPr>
        <w:t xml:space="preserve"> </w:t>
      </w:r>
      <w:r w:rsidRPr="00CD7E52">
        <w:rPr>
          <w:szCs w:val="22"/>
          <w:lang w:val="lt-LT"/>
        </w:rPr>
        <w:t>placeb</w:t>
      </w:r>
      <w:r w:rsidR="00416868" w:rsidRPr="00CD7E52">
        <w:rPr>
          <w:szCs w:val="22"/>
          <w:lang w:val="lt-LT"/>
        </w:rPr>
        <w:t>o</w:t>
      </w:r>
      <w:r w:rsidRPr="00CD7E52">
        <w:rPr>
          <w:szCs w:val="22"/>
          <w:lang w:val="lt-LT"/>
        </w:rPr>
        <w:t>, buvo 5,1</w:t>
      </w:r>
      <w:r w:rsidR="00C65C08" w:rsidRPr="00CD7E52">
        <w:rPr>
          <w:szCs w:val="22"/>
          <w:lang w:val="lt-LT"/>
        </w:rPr>
        <w:t> savai</w:t>
      </w:r>
      <w:r w:rsidRPr="00CD7E52">
        <w:rPr>
          <w:szCs w:val="22"/>
          <w:lang w:val="lt-LT"/>
        </w:rPr>
        <w:t>tės.</w:t>
      </w:r>
    </w:p>
    <w:p w14:paraId="58BFFED9" w14:textId="77777777" w:rsidR="004371ED" w:rsidRPr="00CD7E52" w:rsidRDefault="004371ED" w:rsidP="00BD0220">
      <w:pPr>
        <w:widowControl w:val="0"/>
        <w:tabs>
          <w:tab w:val="clear" w:pos="567"/>
        </w:tabs>
        <w:autoSpaceDE w:val="0"/>
        <w:autoSpaceDN w:val="0"/>
        <w:adjustRightInd w:val="0"/>
        <w:spacing w:line="240" w:lineRule="auto"/>
        <w:rPr>
          <w:szCs w:val="22"/>
          <w:lang w:val="lt-LT"/>
        </w:rPr>
      </w:pPr>
    </w:p>
    <w:p w14:paraId="58A0A498"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Tyrimo </w:t>
      </w:r>
      <w:r w:rsidR="00C65635" w:rsidRPr="00CD7E52">
        <w:rPr>
          <w:szCs w:val="22"/>
          <w:lang w:val="lt-LT"/>
        </w:rPr>
        <w:t>ESTEEM</w:t>
      </w:r>
      <w:r w:rsidR="00C65635" w:rsidRPr="00CD7E52">
        <w:rPr>
          <w:snapToGrid/>
          <w:szCs w:val="22"/>
          <w:lang w:val="lt-LT"/>
        </w:rPr>
        <w:t> </w:t>
      </w:r>
      <w:r w:rsidR="00C65635" w:rsidRPr="00CD7E52">
        <w:rPr>
          <w:szCs w:val="22"/>
          <w:lang w:val="lt-LT"/>
        </w:rPr>
        <w:t>2</w:t>
      </w:r>
      <w:r w:rsidRPr="00CD7E52">
        <w:rPr>
          <w:szCs w:val="22"/>
          <w:lang w:val="lt-LT"/>
        </w:rPr>
        <w:t xml:space="preserve"> metu maždaug 80,3</w:t>
      </w:r>
      <w:r w:rsidR="009F17E0" w:rsidRPr="00CD7E52">
        <w:rPr>
          <w:szCs w:val="22"/>
          <w:lang w:val="lt-LT"/>
        </w:rPr>
        <w:t> %</w:t>
      </w:r>
      <w:r w:rsidRPr="00CD7E52">
        <w:rPr>
          <w:szCs w:val="22"/>
          <w:lang w:val="lt-LT"/>
        </w:rPr>
        <w:t xml:space="preserve"> pacientų, </w:t>
      </w:r>
      <w:r w:rsidRPr="00CD7E52">
        <w:rPr>
          <w:snapToGrid/>
          <w:szCs w:val="22"/>
          <w:lang w:val="lt-LT"/>
        </w:rPr>
        <w:t>kurie</w:t>
      </w:r>
      <w:r w:rsidR="00A00303" w:rsidRPr="00CD7E52">
        <w:rPr>
          <w:snapToGrid/>
          <w:szCs w:val="22"/>
          <w:lang w:val="lt-LT"/>
        </w:rPr>
        <w:t>ms</w:t>
      </w:r>
      <w:r w:rsidRPr="00CD7E52">
        <w:rPr>
          <w:szCs w:val="22"/>
          <w:lang w:val="lt-LT"/>
        </w:rPr>
        <w:t xml:space="preserve"> 32</w:t>
      </w:r>
      <w:r w:rsidR="00C65C08" w:rsidRPr="00CD7E52">
        <w:rPr>
          <w:szCs w:val="22"/>
          <w:lang w:val="lt-LT"/>
        </w:rPr>
        <w:t> savai</w:t>
      </w:r>
      <w:r w:rsidRPr="00CD7E52">
        <w:rPr>
          <w:szCs w:val="22"/>
          <w:lang w:val="lt-LT"/>
        </w:rPr>
        <w:t xml:space="preserve">tę </w:t>
      </w:r>
      <w:r w:rsidR="00A4037D" w:rsidRPr="00CD7E52">
        <w:rPr>
          <w:snapToGrid/>
          <w:szCs w:val="22"/>
          <w:lang w:val="lt-LT"/>
        </w:rPr>
        <w:t>atsitiktinės atrankos būdu pakartotinai skirta</w:t>
      </w:r>
      <w:r w:rsidR="00D63967" w:rsidRPr="00CD7E52">
        <w:rPr>
          <w:szCs w:val="22"/>
          <w:lang w:val="lt-LT"/>
        </w:rPr>
        <w:t xml:space="preserve"> </w:t>
      </w:r>
      <w:r w:rsidRPr="00CD7E52">
        <w:rPr>
          <w:szCs w:val="22"/>
          <w:lang w:val="lt-LT"/>
        </w:rPr>
        <w:t>vartoti apremilast</w:t>
      </w:r>
      <w:r w:rsidR="00A4037D" w:rsidRPr="00CD7E52">
        <w:rPr>
          <w:szCs w:val="22"/>
          <w:lang w:val="lt-LT"/>
        </w:rPr>
        <w:t>o</w:t>
      </w:r>
      <w:r w:rsidRPr="00CD7E52">
        <w:rPr>
          <w:szCs w:val="22"/>
          <w:lang w:val="lt-LT"/>
        </w:rPr>
        <w:t>, 52</w:t>
      </w:r>
      <w:r w:rsidR="00C65C08" w:rsidRPr="00CD7E52">
        <w:rPr>
          <w:szCs w:val="22"/>
          <w:lang w:val="lt-LT"/>
        </w:rPr>
        <w:t> savai</w:t>
      </w:r>
      <w:r w:rsidRPr="00CD7E52">
        <w:rPr>
          <w:szCs w:val="22"/>
          <w:lang w:val="lt-LT"/>
        </w:rPr>
        <w:t xml:space="preserve">tę nustatytas </w:t>
      </w:r>
      <w:r w:rsidR="0050207D" w:rsidRPr="00CD7E52">
        <w:rPr>
          <w:szCs w:val="22"/>
          <w:lang w:val="lt-LT"/>
        </w:rPr>
        <w:t>PASI</w:t>
      </w:r>
      <w:r w:rsidRPr="00CD7E52">
        <w:rPr>
          <w:szCs w:val="22"/>
          <w:lang w:val="lt-LT"/>
        </w:rPr>
        <w:t xml:space="preserve">-50 atsakas. </w:t>
      </w:r>
      <w:r w:rsidR="00D63967" w:rsidRPr="00CD7E52">
        <w:rPr>
          <w:snapToGrid/>
          <w:szCs w:val="22"/>
          <w:lang w:val="lt-LT"/>
        </w:rPr>
        <w:t>Vertinant pacientus</w:t>
      </w:r>
      <w:r w:rsidRPr="00CD7E52">
        <w:rPr>
          <w:snapToGrid/>
          <w:szCs w:val="22"/>
          <w:lang w:val="lt-LT"/>
        </w:rPr>
        <w:t xml:space="preserve">, </w:t>
      </w:r>
      <w:r w:rsidR="00F10B3F" w:rsidRPr="00CD7E52">
        <w:rPr>
          <w:snapToGrid/>
          <w:szCs w:val="22"/>
          <w:lang w:val="lt-LT"/>
        </w:rPr>
        <w:t>kurie</w:t>
      </w:r>
      <w:r w:rsidR="00F10B3F" w:rsidRPr="00CD7E52">
        <w:rPr>
          <w:szCs w:val="22"/>
          <w:lang w:val="lt-LT"/>
        </w:rPr>
        <w:t xml:space="preserve"> 32 savaitę buvo </w:t>
      </w:r>
      <w:r w:rsidR="00F10B3F" w:rsidRPr="00CD7E52">
        <w:rPr>
          <w:snapToGrid/>
          <w:szCs w:val="22"/>
          <w:lang w:val="lt-LT"/>
        </w:rPr>
        <w:t xml:space="preserve">atsitiktinai priskirti pakartotinai </w:t>
      </w:r>
      <w:r w:rsidR="00F10B3F" w:rsidRPr="00CD7E52">
        <w:rPr>
          <w:szCs w:val="22"/>
          <w:lang w:val="lt-LT"/>
        </w:rPr>
        <w:t xml:space="preserve">vartoti </w:t>
      </w:r>
      <w:r w:rsidRPr="00CD7E52">
        <w:rPr>
          <w:szCs w:val="22"/>
          <w:lang w:val="lt-LT"/>
        </w:rPr>
        <w:t>placeb</w:t>
      </w:r>
      <w:r w:rsidR="00A4037D" w:rsidRPr="00CD7E52">
        <w:rPr>
          <w:szCs w:val="22"/>
          <w:lang w:val="lt-LT"/>
        </w:rPr>
        <w:t>o</w:t>
      </w:r>
      <w:r w:rsidRPr="00CD7E52">
        <w:rPr>
          <w:szCs w:val="22"/>
          <w:lang w:val="lt-LT"/>
        </w:rPr>
        <w:t xml:space="preserve"> ir </w:t>
      </w:r>
      <w:r w:rsidR="00D63967" w:rsidRPr="00CD7E52">
        <w:rPr>
          <w:szCs w:val="22"/>
          <w:lang w:val="lt-LT"/>
        </w:rPr>
        <w:t xml:space="preserve">kuriems </w:t>
      </w:r>
      <w:r w:rsidR="00D63967" w:rsidRPr="00CD7E52">
        <w:rPr>
          <w:snapToGrid/>
          <w:szCs w:val="22"/>
          <w:lang w:val="lt-LT"/>
        </w:rPr>
        <w:t xml:space="preserve">nustatytas bent jau </w:t>
      </w:r>
      <w:r w:rsidR="0050207D" w:rsidRPr="00CD7E52">
        <w:rPr>
          <w:szCs w:val="22"/>
          <w:lang w:val="lt-LT"/>
        </w:rPr>
        <w:t>PASI</w:t>
      </w:r>
      <w:r w:rsidRPr="00CD7E52">
        <w:rPr>
          <w:szCs w:val="22"/>
          <w:lang w:val="lt-LT"/>
        </w:rPr>
        <w:t>-50 atsakas, 52</w:t>
      </w:r>
      <w:r w:rsidR="00C65C08" w:rsidRPr="00CD7E52">
        <w:rPr>
          <w:szCs w:val="22"/>
          <w:lang w:val="lt-LT"/>
        </w:rPr>
        <w:t> savai</w:t>
      </w:r>
      <w:r w:rsidRPr="00CD7E52">
        <w:rPr>
          <w:szCs w:val="22"/>
          <w:lang w:val="lt-LT"/>
        </w:rPr>
        <w:t>tę</w:t>
      </w:r>
      <w:r w:rsidR="00D63967" w:rsidRPr="00CD7E52">
        <w:rPr>
          <w:szCs w:val="22"/>
          <w:lang w:val="lt-LT"/>
        </w:rPr>
        <w:t xml:space="preserve"> </w:t>
      </w:r>
      <w:r w:rsidR="0050207D" w:rsidRPr="00CD7E52">
        <w:rPr>
          <w:szCs w:val="22"/>
          <w:lang w:val="lt-LT"/>
        </w:rPr>
        <w:t>PASI</w:t>
      </w:r>
      <w:r w:rsidRPr="00CD7E52">
        <w:rPr>
          <w:szCs w:val="22"/>
          <w:lang w:val="lt-LT"/>
        </w:rPr>
        <w:t>-50 atsakas buvo 24,2</w:t>
      </w:r>
      <w:r w:rsidR="009F17E0" w:rsidRPr="00CD7E52">
        <w:rPr>
          <w:szCs w:val="22"/>
          <w:lang w:val="lt-LT"/>
        </w:rPr>
        <w:t> %</w:t>
      </w:r>
      <w:r w:rsidRPr="00CD7E52">
        <w:rPr>
          <w:szCs w:val="22"/>
          <w:lang w:val="lt-LT"/>
        </w:rPr>
        <w:t xml:space="preserve"> pacientų. Laiko iki </w:t>
      </w:r>
      <w:r w:rsidR="0050207D" w:rsidRPr="00CD7E52">
        <w:rPr>
          <w:szCs w:val="22"/>
          <w:lang w:val="lt-LT"/>
        </w:rPr>
        <w:t>PASI</w:t>
      </w:r>
      <w:r w:rsidRPr="00CD7E52">
        <w:rPr>
          <w:szCs w:val="22"/>
          <w:lang w:val="lt-LT"/>
        </w:rPr>
        <w:t xml:space="preserve"> pagerėjimo </w:t>
      </w:r>
      <w:r w:rsidR="00D63967" w:rsidRPr="00CD7E52">
        <w:rPr>
          <w:snapToGrid/>
          <w:szCs w:val="22"/>
          <w:lang w:val="lt-LT"/>
        </w:rPr>
        <w:t xml:space="preserve">32 savaitę </w:t>
      </w:r>
      <w:r w:rsidRPr="00CD7E52">
        <w:rPr>
          <w:szCs w:val="22"/>
          <w:lang w:val="lt-LT"/>
        </w:rPr>
        <w:t>sumažėjimo 50</w:t>
      </w:r>
      <w:r w:rsidR="009F17E0" w:rsidRPr="00CD7E52">
        <w:rPr>
          <w:szCs w:val="22"/>
          <w:lang w:val="lt-LT"/>
        </w:rPr>
        <w:t> %</w:t>
      </w:r>
      <w:r w:rsidRPr="00CD7E52">
        <w:rPr>
          <w:szCs w:val="22"/>
          <w:lang w:val="lt-LT"/>
        </w:rPr>
        <w:t xml:space="preserve"> </w:t>
      </w:r>
      <w:r w:rsidR="00D63967" w:rsidRPr="00CD7E52">
        <w:rPr>
          <w:snapToGrid/>
          <w:szCs w:val="22"/>
          <w:lang w:val="lt-LT"/>
        </w:rPr>
        <w:t>mediana</w:t>
      </w:r>
      <w:r w:rsidR="00D63967" w:rsidRPr="00CD7E52">
        <w:rPr>
          <w:szCs w:val="22"/>
          <w:lang w:val="lt-LT"/>
        </w:rPr>
        <w:t xml:space="preserve"> </w:t>
      </w:r>
      <w:r w:rsidRPr="00CD7E52">
        <w:rPr>
          <w:szCs w:val="22"/>
          <w:lang w:val="lt-LT"/>
        </w:rPr>
        <w:t>buvo 12,4</w:t>
      </w:r>
      <w:r w:rsidR="00C65C08" w:rsidRPr="00CD7E52">
        <w:rPr>
          <w:szCs w:val="22"/>
          <w:lang w:val="lt-LT"/>
        </w:rPr>
        <w:t> savai</w:t>
      </w:r>
      <w:r w:rsidRPr="00CD7E52">
        <w:rPr>
          <w:szCs w:val="22"/>
          <w:lang w:val="lt-LT"/>
        </w:rPr>
        <w:t>tės.</w:t>
      </w:r>
      <w:r w:rsidR="00D63967" w:rsidRPr="00CD7E52">
        <w:rPr>
          <w:snapToGrid/>
          <w:szCs w:val="22"/>
          <w:lang w:val="lt-LT"/>
        </w:rPr>
        <w:br/>
      </w:r>
    </w:p>
    <w:p w14:paraId="25D74C4A"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Po gydymo nutraukimo </w:t>
      </w:r>
      <w:r w:rsidR="00933B8D" w:rsidRPr="00CD7E52">
        <w:rPr>
          <w:snapToGrid/>
          <w:szCs w:val="22"/>
          <w:lang w:val="lt-LT"/>
        </w:rPr>
        <w:t xml:space="preserve">priskiriant atsitiktinėms imtims </w:t>
      </w:r>
      <w:r w:rsidRPr="00CD7E52">
        <w:rPr>
          <w:szCs w:val="22"/>
          <w:lang w:val="lt-LT"/>
        </w:rPr>
        <w:t>32</w:t>
      </w:r>
      <w:r w:rsidR="00C65C08" w:rsidRPr="00CD7E52">
        <w:rPr>
          <w:szCs w:val="22"/>
          <w:lang w:val="lt-LT"/>
        </w:rPr>
        <w:t> savai</w:t>
      </w:r>
      <w:r w:rsidRPr="00CD7E52">
        <w:rPr>
          <w:szCs w:val="22"/>
          <w:lang w:val="lt-LT"/>
        </w:rPr>
        <w:t>tę maždaug 70</w:t>
      </w:r>
      <w:r w:rsidR="009F17E0" w:rsidRPr="00CD7E52">
        <w:rPr>
          <w:szCs w:val="22"/>
          <w:lang w:val="lt-LT"/>
        </w:rPr>
        <w:t> %</w:t>
      </w:r>
      <w:r w:rsidRPr="00CD7E52">
        <w:rPr>
          <w:szCs w:val="22"/>
          <w:lang w:val="lt-LT"/>
        </w:rPr>
        <w:t xml:space="preserve"> tyrimo </w:t>
      </w:r>
      <w:r w:rsidR="00C65635" w:rsidRPr="00CD7E52">
        <w:rPr>
          <w:szCs w:val="22"/>
          <w:lang w:val="lt-LT"/>
        </w:rPr>
        <w:t>ESTEEM</w:t>
      </w:r>
      <w:r w:rsidR="00C65635" w:rsidRPr="00CD7E52">
        <w:rPr>
          <w:snapToGrid/>
          <w:szCs w:val="22"/>
          <w:lang w:val="lt-LT"/>
        </w:rPr>
        <w:t> </w:t>
      </w:r>
      <w:r w:rsidR="00C65635" w:rsidRPr="00CD7E52">
        <w:rPr>
          <w:szCs w:val="22"/>
          <w:lang w:val="lt-LT"/>
        </w:rPr>
        <w:t>1</w:t>
      </w:r>
      <w:r w:rsidRPr="00CD7E52">
        <w:rPr>
          <w:szCs w:val="22"/>
          <w:lang w:val="lt-LT"/>
        </w:rPr>
        <w:t xml:space="preserve"> pacientų ir 65,6</w:t>
      </w:r>
      <w:r w:rsidR="009F17E0" w:rsidRPr="00CD7E52">
        <w:rPr>
          <w:szCs w:val="22"/>
          <w:lang w:val="lt-LT"/>
        </w:rPr>
        <w:t> %</w:t>
      </w:r>
      <w:r w:rsidR="00933B8D" w:rsidRPr="00CD7E52">
        <w:rPr>
          <w:szCs w:val="22"/>
          <w:lang w:val="lt-LT"/>
        </w:rPr>
        <w:t xml:space="preserve"> </w:t>
      </w:r>
      <w:r w:rsidRPr="00CD7E52">
        <w:rPr>
          <w:szCs w:val="22"/>
          <w:lang w:val="lt-LT"/>
        </w:rPr>
        <w:t xml:space="preserve">tyrimo </w:t>
      </w:r>
      <w:r w:rsidR="00C65635" w:rsidRPr="00CD7E52">
        <w:rPr>
          <w:szCs w:val="22"/>
          <w:lang w:val="lt-LT"/>
        </w:rPr>
        <w:t>ESTEEM</w:t>
      </w:r>
      <w:r w:rsidR="00C65635" w:rsidRPr="00CD7E52">
        <w:rPr>
          <w:snapToGrid/>
          <w:szCs w:val="22"/>
          <w:lang w:val="lt-LT"/>
        </w:rPr>
        <w:t> </w:t>
      </w:r>
      <w:r w:rsidR="00C65635" w:rsidRPr="00CD7E52">
        <w:rPr>
          <w:szCs w:val="22"/>
          <w:lang w:val="lt-LT"/>
        </w:rPr>
        <w:t>2</w:t>
      </w:r>
      <w:r w:rsidRPr="00CD7E52">
        <w:rPr>
          <w:szCs w:val="22"/>
          <w:lang w:val="lt-LT"/>
        </w:rPr>
        <w:t xml:space="preserve"> pacientų pakartotinai pradėjus gydymą apremilastu, vėl pasireiškė </w:t>
      </w:r>
      <w:r w:rsidR="0050207D" w:rsidRPr="00CD7E52">
        <w:rPr>
          <w:szCs w:val="22"/>
          <w:lang w:val="lt-LT"/>
        </w:rPr>
        <w:t>PASI</w:t>
      </w:r>
      <w:r w:rsidRPr="00CD7E52">
        <w:rPr>
          <w:szCs w:val="22"/>
          <w:lang w:val="lt-LT"/>
        </w:rPr>
        <w:t>-75 (</w:t>
      </w:r>
      <w:r w:rsidR="00C65635" w:rsidRPr="00CD7E52">
        <w:rPr>
          <w:szCs w:val="22"/>
          <w:lang w:val="lt-LT"/>
        </w:rPr>
        <w:t>ESTEEM</w:t>
      </w:r>
      <w:r w:rsidR="00C65635" w:rsidRPr="00CD7E52">
        <w:rPr>
          <w:snapToGrid/>
          <w:szCs w:val="22"/>
          <w:lang w:val="lt-LT"/>
        </w:rPr>
        <w:t> </w:t>
      </w:r>
      <w:r w:rsidR="00C65635" w:rsidRPr="00CD7E52">
        <w:rPr>
          <w:szCs w:val="22"/>
          <w:lang w:val="lt-LT"/>
        </w:rPr>
        <w:t>1</w:t>
      </w:r>
      <w:r w:rsidRPr="00CD7E52">
        <w:rPr>
          <w:szCs w:val="22"/>
          <w:lang w:val="lt-LT"/>
        </w:rPr>
        <w:t>)</w:t>
      </w:r>
      <w:r w:rsidR="00933B8D" w:rsidRPr="00CD7E52">
        <w:rPr>
          <w:szCs w:val="22"/>
          <w:lang w:val="lt-LT"/>
        </w:rPr>
        <w:t xml:space="preserve"> </w:t>
      </w:r>
      <w:r w:rsidRPr="00CD7E52">
        <w:rPr>
          <w:szCs w:val="22"/>
          <w:lang w:val="lt-LT"/>
        </w:rPr>
        <w:t xml:space="preserve">arba </w:t>
      </w:r>
      <w:r w:rsidR="0050207D" w:rsidRPr="00CD7E52">
        <w:rPr>
          <w:szCs w:val="22"/>
          <w:lang w:val="lt-LT"/>
        </w:rPr>
        <w:t>PASI</w:t>
      </w:r>
      <w:r w:rsidRPr="00CD7E52">
        <w:rPr>
          <w:szCs w:val="22"/>
          <w:lang w:val="lt-LT"/>
        </w:rPr>
        <w:t>-50 (</w:t>
      </w:r>
      <w:r w:rsidR="00C65635" w:rsidRPr="00CD7E52">
        <w:rPr>
          <w:szCs w:val="22"/>
          <w:lang w:val="lt-LT"/>
        </w:rPr>
        <w:t>ESTEEM</w:t>
      </w:r>
      <w:r w:rsidR="00C65635" w:rsidRPr="00CD7E52">
        <w:rPr>
          <w:snapToGrid/>
          <w:szCs w:val="22"/>
          <w:lang w:val="lt-LT"/>
        </w:rPr>
        <w:t> </w:t>
      </w:r>
      <w:r w:rsidR="00C65635" w:rsidRPr="00CD7E52">
        <w:rPr>
          <w:szCs w:val="22"/>
          <w:lang w:val="lt-LT"/>
        </w:rPr>
        <w:t>2</w:t>
      </w:r>
      <w:r w:rsidRPr="00CD7E52">
        <w:rPr>
          <w:szCs w:val="22"/>
          <w:lang w:val="lt-LT"/>
        </w:rPr>
        <w:t xml:space="preserve">) atsakas. Dėl tyrimo </w:t>
      </w:r>
      <w:r w:rsidR="00933B8D" w:rsidRPr="00CD7E52">
        <w:rPr>
          <w:snapToGrid/>
          <w:szCs w:val="22"/>
          <w:lang w:val="lt-LT"/>
        </w:rPr>
        <w:t>struktūros</w:t>
      </w:r>
      <w:r w:rsidRPr="00CD7E52">
        <w:rPr>
          <w:szCs w:val="22"/>
          <w:lang w:val="lt-LT"/>
        </w:rPr>
        <w:t xml:space="preserve"> pakartotinio </w:t>
      </w:r>
      <w:r w:rsidR="00933B8D" w:rsidRPr="00CD7E52">
        <w:rPr>
          <w:snapToGrid/>
          <w:szCs w:val="22"/>
          <w:lang w:val="lt-LT"/>
        </w:rPr>
        <w:t>gydymo</w:t>
      </w:r>
      <w:r w:rsidRPr="00CD7E52">
        <w:rPr>
          <w:szCs w:val="22"/>
          <w:lang w:val="lt-LT"/>
        </w:rPr>
        <w:t xml:space="preserve"> trukmė buvo įvairi ir</w:t>
      </w:r>
      <w:r w:rsidR="00933B8D" w:rsidRPr="00CD7E52">
        <w:rPr>
          <w:szCs w:val="22"/>
          <w:lang w:val="lt-LT"/>
        </w:rPr>
        <w:t xml:space="preserve"> </w:t>
      </w:r>
      <w:r w:rsidRPr="00CD7E52">
        <w:rPr>
          <w:szCs w:val="22"/>
          <w:lang w:val="lt-LT"/>
        </w:rPr>
        <w:t>svyravo nuo 2,6 iki 22,1</w:t>
      </w:r>
      <w:r w:rsidR="00C65C08" w:rsidRPr="00CD7E52">
        <w:rPr>
          <w:szCs w:val="22"/>
          <w:lang w:val="lt-LT"/>
        </w:rPr>
        <w:t> savai</w:t>
      </w:r>
      <w:r w:rsidRPr="00CD7E52">
        <w:rPr>
          <w:szCs w:val="22"/>
          <w:lang w:val="lt-LT"/>
        </w:rPr>
        <w:t>tės.</w:t>
      </w:r>
    </w:p>
    <w:p w14:paraId="4F966A08" w14:textId="77777777" w:rsidR="00933B8D" w:rsidRPr="00CD7E52" w:rsidRDefault="00933B8D" w:rsidP="00BD0220">
      <w:pPr>
        <w:widowControl w:val="0"/>
        <w:tabs>
          <w:tab w:val="clear" w:pos="567"/>
        </w:tabs>
        <w:autoSpaceDE w:val="0"/>
        <w:autoSpaceDN w:val="0"/>
        <w:adjustRightInd w:val="0"/>
        <w:spacing w:line="240" w:lineRule="auto"/>
        <w:rPr>
          <w:szCs w:val="22"/>
          <w:lang w:val="lt-LT"/>
        </w:rPr>
      </w:pPr>
    </w:p>
    <w:p w14:paraId="586E82C1"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Tyrimo </w:t>
      </w:r>
      <w:r w:rsidR="00C65635" w:rsidRPr="00CD7E52">
        <w:rPr>
          <w:szCs w:val="22"/>
          <w:lang w:val="lt-LT"/>
        </w:rPr>
        <w:t>ESTEEM</w:t>
      </w:r>
      <w:r w:rsidR="00C65635" w:rsidRPr="00CD7E52">
        <w:rPr>
          <w:snapToGrid/>
          <w:szCs w:val="22"/>
          <w:lang w:val="lt-LT"/>
        </w:rPr>
        <w:t> </w:t>
      </w:r>
      <w:r w:rsidR="00C65635" w:rsidRPr="00CD7E52">
        <w:rPr>
          <w:szCs w:val="22"/>
          <w:lang w:val="lt-LT"/>
        </w:rPr>
        <w:t>1</w:t>
      </w:r>
      <w:r w:rsidRPr="00CD7E52">
        <w:rPr>
          <w:szCs w:val="22"/>
          <w:lang w:val="lt-LT"/>
        </w:rPr>
        <w:t xml:space="preserve"> metu pacientams, </w:t>
      </w:r>
      <w:r w:rsidRPr="00CD7E52">
        <w:rPr>
          <w:snapToGrid/>
          <w:szCs w:val="22"/>
          <w:lang w:val="lt-LT"/>
        </w:rPr>
        <w:t>kurie</w:t>
      </w:r>
      <w:r w:rsidRPr="00CD7E52">
        <w:rPr>
          <w:szCs w:val="22"/>
          <w:lang w:val="lt-LT"/>
        </w:rPr>
        <w:t xml:space="preserve"> tyrimo pradžioje</w:t>
      </w:r>
      <w:r w:rsidR="00F10B3F" w:rsidRPr="00CD7E52">
        <w:rPr>
          <w:szCs w:val="22"/>
          <w:lang w:val="lt-LT"/>
        </w:rPr>
        <w:t xml:space="preserve"> </w:t>
      </w:r>
      <w:r w:rsidR="00F10B3F" w:rsidRPr="00CD7E52">
        <w:rPr>
          <w:snapToGrid/>
          <w:szCs w:val="22"/>
          <w:lang w:val="lt-LT"/>
        </w:rPr>
        <w:t>buvo atsitiktinai priskirti</w:t>
      </w:r>
      <w:r w:rsidR="00F10B3F" w:rsidRPr="00CD7E52">
        <w:rPr>
          <w:szCs w:val="22"/>
          <w:lang w:val="lt-LT"/>
        </w:rPr>
        <w:t xml:space="preserve"> vartoti </w:t>
      </w:r>
      <w:r w:rsidRPr="00CD7E52">
        <w:rPr>
          <w:szCs w:val="22"/>
          <w:lang w:val="lt-LT"/>
        </w:rPr>
        <w:t>apremilast</w:t>
      </w:r>
      <w:r w:rsidR="00D560AD" w:rsidRPr="00CD7E52">
        <w:rPr>
          <w:szCs w:val="22"/>
          <w:lang w:val="lt-LT"/>
        </w:rPr>
        <w:t>o</w:t>
      </w:r>
      <w:r w:rsidRPr="00CD7E52">
        <w:rPr>
          <w:szCs w:val="22"/>
          <w:lang w:val="lt-LT"/>
        </w:rPr>
        <w:t xml:space="preserve"> ir kuriems 32</w:t>
      </w:r>
      <w:r w:rsidR="00C65C08" w:rsidRPr="00CD7E52">
        <w:rPr>
          <w:szCs w:val="22"/>
          <w:lang w:val="lt-LT"/>
        </w:rPr>
        <w:t> savai</w:t>
      </w:r>
      <w:r w:rsidRPr="00CD7E52">
        <w:rPr>
          <w:szCs w:val="22"/>
          <w:lang w:val="lt-LT"/>
        </w:rPr>
        <w:t xml:space="preserve">tę </w:t>
      </w:r>
      <w:r w:rsidR="0050207D" w:rsidRPr="00CD7E52">
        <w:rPr>
          <w:szCs w:val="22"/>
          <w:lang w:val="lt-LT"/>
        </w:rPr>
        <w:t>PASI</w:t>
      </w:r>
      <w:r w:rsidRPr="00CD7E52">
        <w:rPr>
          <w:szCs w:val="22"/>
          <w:lang w:val="lt-LT"/>
        </w:rPr>
        <w:t>-75 atsakas nepasireiškė, nuo 32 iki 52</w:t>
      </w:r>
      <w:r w:rsidR="00C65C08" w:rsidRPr="00CD7E52">
        <w:rPr>
          <w:szCs w:val="22"/>
          <w:lang w:val="lt-LT"/>
        </w:rPr>
        <w:t> savai</w:t>
      </w:r>
      <w:r w:rsidRPr="00CD7E52">
        <w:rPr>
          <w:szCs w:val="22"/>
          <w:lang w:val="lt-LT"/>
        </w:rPr>
        <w:t>tės buvo leidžiama kartu</w:t>
      </w:r>
      <w:r w:rsidR="00393CC7" w:rsidRPr="00CD7E52">
        <w:rPr>
          <w:szCs w:val="22"/>
          <w:lang w:val="lt-LT"/>
        </w:rPr>
        <w:t xml:space="preserve"> </w:t>
      </w:r>
      <w:r w:rsidRPr="00CD7E52">
        <w:rPr>
          <w:szCs w:val="22"/>
          <w:lang w:val="lt-LT"/>
        </w:rPr>
        <w:t xml:space="preserve">vartoti vietinio poveikio </w:t>
      </w:r>
      <w:r w:rsidR="00AA7F5D">
        <w:rPr>
          <w:szCs w:val="22"/>
          <w:lang w:val="lt-LT"/>
        </w:rPr>
        <w:t xml:space="preserve">vaistinių </w:t>
      </w:r>
      <w:r w:rsidRPr="00CD7E52">
        <w:rPr>
          <w:szCs w:val="22"/>
          <w:lang w:val="lt-LT"/>
        </w:rPr>
        <w:t>preparat</w:t>
      </w:r>
      <w:r w:rsidR="00D560AD" w:rsidRPr="00CD7E52">
        <w:rPr>
          <w:szCs w:val="22"/>
          <w:lang w:val="lt-LT"/>
        </w:rPr>
        <w:t>ų</w:t>
      </w:r>
      <w:r w:rsidRPr="00CD7E52">
        <w:rPr>
          <w:szCs w:val="22"/>
          <w:lang w:val="lt-LT"/>
        </w:rPr>
        <w:t xml:space="preserve"> ir (arba) taikyti UVB fototerapiją. Vartojant apremilast</w:t>
      </w:r>
      <w:r w:rsidR="00D560AD" w:rsidRPr="00CD7E52">
        <w:rPr>
          <w:szCs w:val="22"/>
          <w:lang w:val="lt-LT"/>
        </w:rPr>
        <w:t>o</w:t>
      </w:r>
      <w:r w:rsidRPr="00CD7E52">
        <w:rPr>
          <w:szCs w:val="22"/>
          <w:lang w:val="lt-LT"/>
        </w:rPr>
        <w:t xml:space="preserve"> kartu su vietinio</w:t>
      </w:r>
      <w:r w:rsidR="00393CC7" w:rsidRPr="00CD7E52">
        <w:rPr>
          <w:szCs w:val="22"/>
          <w:lang w:val="lt-LT"/>
        </w:rPr>
        <w:t xml:space="preserve"> </w:t>
      </w:r>
      <w:r w:rsidRPr="00CD7E52">
        <w:rPr>
          <w:szCs w:val="22"/>
          <w:lang w:val="lt-LT"/>
        </w:rPr>
        <w:t xml:space="preserve">poveikio </w:t>
      </w:r>
      <w:r w:rsidR="00E95243">
        <w:rPr>
          <w:szCs w:val="22"/>
          <w:lang w:val="lt-LT"/>
        </w:rPr>
        <w:t xml:space="preserve">vaistiniais </w:t>
      </w:r>
      <w:r w:rsidRPr="00CD7E52">
        <w:rPr>
          <w:szCs w:val="22"/>
          <w:lang w:val="lt-LT"/>
        </w:rPr>
        <w:t>preparatais ir (arba) taikant gydymą fototerapija, 52</w:t>
      </w:r>
      <w:r w:rsidR="00C65C08" w:rsidRPr="00CD7E52">
        <w:rPr>
          <w:szCs w:val="22"/>
          <w:lang w:val="lt-LT"/>
        </w:rPr>
        <w:t> savai</w:t>
      </w:r>
      <w:r w:rsidRPr="00CD7E52">
        <w:rPr>
          <w:szCs w:val="22"/>
          <w:lang w:val="lt-LT"/>
        </w:rPr>
        <w:t xml:space="preserve">tę </w:t>
      </w:r>
      <w:r w:rsidR="0050207D" w:rsidRPr="00CD7E52">
        <w:rPr>
          <w:szCs w:val="22"/>
          <w:lang w:val="lt-LT"/>
        </w:rPr>
        <w:t>PASI</w:t>
      </w:r>
      <w:r w:rsidRPr="00CD7E52">
        <w:rPr>
          <w:szCs w:val="22"/>
          <w:lang w:val="lt-LT"/>
        </w:rPr>
        <w:t>-75 atsakas pasireiškė 12</w:t>
      </w:r>
      <w:r w:rsidR="009F17E0" w:rsidRPr="00CD7E52">
        <w:rPr>
          <w:szCs w:val="22"/>
          <w:lang w:val="lt-LT"/>
        </w:rPr>
        <w:t> %</w:t>
      </w:r>
      <w:r w:rsidR="00393CC7" w:rsidRPr="00CD7E52">
        <w:rPr>
          <w:szCs w:val="22"/>
          <w:lang w:val="lt-LT"/>
        </w:rPr>
        <w:t xml:space="preserve"> </w:t>
      </w:r>
      <w:r w:rsidRPr="00CD7E52">
        <w:rPr>
          <w:szCs w:val="22"/>
          <w:lang w:val="lt-LT"/>
        </w:rPr>
        <w:t>pacientų.</w:t>
      </w:r>
    </w:p>
    <w:p w14:paraId="229B1BC1" w14:textId="77777777" w:rsidR="00393CC7" w:rsidRPr="00CD7E52" w:rsidRDefault="00393CC7" w:rsidP="00BD0220">
      <w:pPr>
        <w:widowControl w:val="0"/>
        <w:tabs>
          <w:tab w:val="clear" w:pos="567"/>
        </w:tabs>
        <w:autoSpaceDE w:val="0"/>
        <w:autoSpaceDN w:val="0"/>
        <w:adjustRightInd w:val="0"/>
        <w:spacing w:line="240" w:lineRule="auto"/>
        <w:rPr>
          <w:szCs w:val="22"/>
          <w:lang w:val="lt-LT"/>
        </w:rPr>
      </w:pPr>
    </w:p>
    <w:p w14:paraId="33847555"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Tyrimų </w:t>
      </w:r>
      <w:r w:rsidR="00C65635" w:rsidRPr="00CD7E52">
        <w:rPr>
          <w:szCs w:val="22"/>
          <w:lang w:val="lt-LT"/>
        </w:rPr>
        <w:t>ESTEEM</w:t>
      </w:r>
      <w:r w:rsidR="00C65635" w:rsidRPr="00CD7E52">
        <w:rPr>
          <w:snapToGrid/>
          <w:szCs w:val="22"/>
          <w:lang w:val="lt-LT"/>
        </w:rPr>
        <w:t> </w:t>
      </w:r>
      <w:r w:rsidR="00C65635" w:rsidRPr="00CD7E52">
        <w:rPr>
          <w:szCs w:val="22"/>
          <w:lang w:val="lt-LT"/>
        </w:rPr>
        <w:t>1</w:t>
      </w:r>
      <w:r w:rsidRPr="00CD7E52">
        <w:rPr>
          <w:szCs w:val="22"/>
          <w:lang w:val="lt-LT"/>
        </w:rPr>
        <w:t xml:space="preserve"> ir </w:t>
      </w:r>
      <w:r w:rsidR="00C65635" w:rsidRPr="00CD7E52">
        <w:rPr>
          <w:szCs w:val="22"/>
          <w:lang w:val="lt-LT"/>
        </w:rPr>
        <w:t>ESTEEM</w:t>
      </w:r>
      <w:r w:rsidR="00C65635" w:rsidRPr="00CD7E52">
        <w:rPr>
          <w:snapToGrid/>
          <w:szCs w:val="22"/>
          <w:lang w:val="lt-LT"/>
        </w:rPr>
        <w:t> </w:t>
      </w:r>
      <w:r w:rsidR="00C65635" w:rsidRPr="00CD7E52">
        <w:rPr>
          <w:szCs w:val="22"/>
          <w:lang w:val="lt-LT"/>
        </w:rPr>
        <w:t>2</w:t>
      </w:r>
      <w:r w:rsidRPr="00CD7E52">
        <w:rPr>
          <w:szCs w:val="22"/>
          <w:lang w:val="lt-LT"/>
        </w:rPr>
        <w:t xml:space="preserve"> metu, vertinant pagal vidutinį procentinį nagų psoriazės sunkumo indekso</w:t>
      </w:r>
      <w:r w:rsidR="00B02AD5" w:rsidRPr="00CD7E52">
        <w:rPr>
          <w:szCs w:val="22"/>
          <w:lang w:val="lt-LT"/>
        </w:rPr>
        <w:t xml:space="preserve"> </w:t>
      </w:r>
      <w:r w:rsidRPr="00CD7E52">
        <w:rPr>
          <w:szCs w:val="22"/>
          <w:lang w:val="lt-LT"/>
        </w:rPr>
        <w:t xml:space="preserve">(NPSI) pokytį nuo pradinio </w:t>
      </w:r>
      <w:r w:rsidR="00B02AD5" w:rsidRPr="00CD7E52">
        <w:rPr>
          <w:snapToGrid/>
          <w:szCs w:val="22"/>
          <w:lang w:val="lt-LT"/>
        </w:rPr>
        <w:t>rodmens</w:t>
      </w:r>
      <w:r w:rsidRPr="00CD7E52">
        <w:rPr>
          <w:szCs w:val="22"/>
          <w:lang w:val="lt-LT"/>
        </w:rPr>
        <w:t>, 16</w:t>
      </w:r>
      <w:r w:rsidR="00C65C08" w:rsidRPr="00CD7E52">
        <w:rPr>
          <w:szCs w:val="22"/>
          <w:lang w:val="lt-LT"/>
        </w:rPr>
        <w:t> savai</w:t>
      </w:r>
      <w:r w:rsidRPr="00CD7E52">
        <w:rPr>
          <w:szCs w:val="22"/>
          <w:lang w:val="lt-LT"/>
        </w:rPr>
        <w:t>tę nustatytas reikšmingas nagų psoriazės pagerėjimas</w:t>
      </w:r>
      <w:r w:rsidR="00B02AD5" w:rsidRPr="00CD7E52">
        <w:rPr>
          <w:szCs w:val="22"/>
          <w:lang w:val="lt-LT"/>
        </w:rPr>
        <w:t xml:space="preserve"> </w:t>
      </w:r>
      <w:r w:rsidRPr="00CD7E52">
        <w:rPr>
          <w:szCs w:val="22"/>
          <w:lang w:val="lt-LT"/>
        </w:rPr>
        <w:t>apremilast</w:t>
      </w:r>
      <w:r w:rsidR="00D560AD" w:rsidRPr="00CD7E52">
        <w:rPr>
          <w:szCs w:val="22"/>
          <w:lang w:val="lt-LT"/>
        </w:rPr>
        <w:t>o</w:t>
      </w:r>
      <w:r w:rsidRPr="00CD7E52">
        <w:rPr>
          <w:szCs w:val="22"/>
          <w:lang w:val="lt-LT"/>
        </w:rPr>
        <w:t xml:space="preserve"> vartojantiems pacientams, lyginant su placebu gydytais pacientais (atitinkamai</w:t>
      </w:r>
      <w:r w:rsidR="00B02AD5" w:rsidRPr="00CD7E52">
        <w:rPr>
          <w:szCs w:val="22"/>
          <w:lang w:val="lt-LT"/>
        </w:rPr>
        <w:t xml:space="preserve"> </w:t>
      </w:r>
      <w:r w:rsidRPr="00CD7E52">
        <w:rPr>
          <w:szCs w:val="22"/>
          <w:lang w:val="lt-LT"/>
        </w:rPr>
        <w:t>p</w:t>
      </w:r>
      <w:r w:rsidR="00C52967" w:rsidRPr="00CD7E52">
        <w:rPr>
          <w:szCs w:val="22"/>
          <w:lang w:val="lt-LT"/>
        </w:rPr>
        <w:t> </w:t>
      </w:r>
      <w:r w:rsidRPr="00CD7E52">
        <w:rPr>
          <w:szCs w:val="22"/>
          <w:lang w:val="lt-LT"/>
        </w:rPr>
        <w:t>&lt;</w:t>
      </w:r>
      <w:r w:rsidR="00B02AD5" w:rsidRPr="00CD7E52">
        <w:rPr>
          <w:szCs w:val="22"/>
          <w:lang w:val="lt-LT"/>
        </w:rPr>
        <w:t> </w:t>
      </w:r>
      <w:r w:rsidRPr="00CD7E52">
        <w:rPr>
          <w:szCs w:val="22"/>
          <w:lang w:val="lt-LT"/>
        </w:rPr>
        <w:t>0,0001 ir p</w:t>
      </w:r>
      <w:r w:rsidR="00C52967" w:rsidRPr="00CD7E52">
        <w:rPr>
          <w:szCs w:val="22"/>
          <w:lang w:val="lt-LT"/>
        </w:rPr>
        <w:t> </w:t>
      </w:r>
      <w:r w:rsidR="00D16B14" w:rsidRPr="00CD7E52">
        <w:rPr>
          <w:szCs w:val="22"/>
          <w:lang w:val="lt-LT"/>
        </w:rPr>
        <w:t>=</w:t>
      </w:r>
      <w:r w:rsidR="00B02AD5" w:rsidRPr="00CD7E52">
        <w:rPr>
          <w:szCs w:val="22"/>
          <w:lang w:val="lt-LT"/>
        </w:rPr>
        <w:t> </w:t>
      </w:r>
      <w:r w:rsidRPr="00CD7E52">
        <w:rPr>
          <w:szCs w:val="22"/>
          <w:lang w:val="lt-LT"/>
        </w:rPr>
        <w:t xml:space="preserve">0,0052). </w:t>
      </w:r>
      <w:r w:rsidR="00B02AD5" w:rsidRPr="00CD7E52">
        <w:rPr>
          <w:snapToGrid/>
          <w:szCs w:val="22"/>
          <w:lang w:val="lt-LT"/>
        </w:rPr>
        <w:t>Toliau</w:t>
      </w:r>
      <w:r w:rsidRPr="00CD7E52">
        <w:rPr>
          <w:szCs w:val="22"/>
          <w:lang w:val="lt-LT"/>
        </w:rPr>
        <w:t xml:space="preserve"> apremilastu gydytiems pacientams 32</w:t>
      </w:r>
      <w:r w:rsidR="00C65C08" w:rsidRPr="00CD7E52">
        <w:rPr>
          <w:szCs w:val="22"/>
          <w:lang w:val="lt-LT"/>
        </w:rPr>
        <w:t> savai</w:t>
      </w:r>
      <w:r w:rsidRPr="00CD7E52">
        <w:rPr>
          <w:szCs w:val="22"/>
          <w:lang w:val="lt-LT"/>
        </w:rPr>
        <w:t>tę nustatytas tolesnis nagų</w:t>
      </w:r>
      <w:r w:rsidR="00B02AD5" w:rsidRPr="00CD7E52">
        <w:rPr>
          <w:szCs w:val="22"/>
          <w:lang w:val="lt-LT"/>
        </w:rPr>
        <w:t xml:space="preserve"> </w:t>
      </w:r>
      <w:r w:rsidRPr="00CD7E52">
        <w:rPr>
          <w:szCs w:val="22"/>
          <w:lang w:val="lt-LT"/>
        </w:rPr>
        <w:t>psoriazės gerėjimas.</w:t>
      </w:r>
    </w:p>
    <w:p w14:paraId="7B961CE2" w14:textId="77777777" w:rsidR="00B02AD5" w:rsidRPr="00CD7E52" w:rsidRDefault="00B02AD5" w:rsidP="00BD0220">
      <w:pPr>
        <w:widowControl w:val="0"/>
        <w:tabs>
          <w:tab w:val="clear" w:pos="567"/>
        </w:tabs>
        <w:autoSpaceDE w:val="0"/>
        <w:autoSpaceDN w:val="0"/>
        <w:adjustRightInd w:val="0"/>
        <w:spacing w:line="240" w:lineRule="auto"/>
        <w:rPr>
          <w:szCs w:val="22"/>
          <w:lang w:val="lt-LT"/>
        </w:rPr>
      </w:pPr>
    </w:p>
    <w:p w14:paraId="48DF1698"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Tyrimų </w:t>
      </w:r>
      <w:r w:rsidR="00C65635" w:rsidRPr="00CD7E52">
        <w:rPr>
          <w:szCs w:val="22"/>
          <w:lang w:val="lt-LT"/>
        </w:rPr>
        <w:t>ESTEEM</w:t>
      </w:r>
      <w:r w:rsidR="00C65635" w:rsidRPr="00CD7E52">
        <w:rPr>
          <w:snapToGrid/>
          <w:szCs w:val="22"/>
          <w:lang w:val="lt-LT"/>
        </w:rPr>
        <w:t> </w:t>
      </w:r>
      <w:r w:rsidR="00C65635" w:rsidRPr="00CD7E52">
        <w:rPr>
          <w:szCs w:val="22"/>
          <w:lang w:val="lt-LT"/>
        </w:rPr>
        <w:t>1</w:t>
      </w:r>
      <w:r w:rsidRPr="00CD7E52">
        <w:rPr>
          <w:szCs w:val="22"/>
          <w:lang w:val="lt-LT"/>
        </w:rPr>
        <w:t xml:space="preserve"> ir </w:t>
      </w:r>
      <w:r w:rsidR="00C65635" w:rsidRPr="00CD7E52">
        <w:rPr>
          <w:szCs w:val="22"/>
          <w:lang w:val="lt-LT"/>
        </w:rPr>
        <w:t>ESTEEM</w:t>
      </w:r>
      <w:r w:rsidR="00C65635" w:rsidRPr="00CD7E52">
        <w:rPr>
          <w:snapToGrid/>
          <w:szCs w:val="22"/>
          <w:lang w:val="lt-LT"/>
        </w:rPr>
        <w:t> </w:t>
      </w:r>
      <w:r w:rsidR="00C65635" w:rsidRPr="00CD7E52">
        <w:rPr>
          <w:szCs w:val="22"/>
          <w:lang w:val="lt-LT"/>
        </w:rPr>
        <w:t>2</w:t>
      </w:r>
      <w:r w:rsidRPr="00CD7E52">
        <w:rPr>
          <w:szCs w:val="22"/>
          <w:lang w:val="lt-LT"/>
        </w:rPr>
        <w:t xml:space="preserve"> metu, vertinant pacientų, kuriems 16</w:t>
      </w:r>
      <w:r w:rsidR="00C65C08" w:rsidRPr="00CD7E52">
        <w:rPr>
          <w:szCs w:val="22"/>
          <w:lang w:val="lt-LT"/>
        </w:rPr>
        <w:t> savai</w:t>
      </w:r>
      <w:r w:rsidRPr="00CD7E52">
        <w:rPr>
          <w:szCs w:val="22"/>
          <w:lang w:val="lt-LT"/>
        </w:rPr>
        <w:t xml:space="preserve">tę nustatytas </w:t>
      </w:r>
      <w:r w:rsidR="00947583" w:rsidRPr="00CD7E52">
        <w:rPr>
          <w:szCs w:val="22"/>
          <w:lang w:val="lt-LT"/>
        </w:rPr>
        <w:t xml:space="preserve">galvos odos psoriazės bendras gydytojo </w:t>
      </w:r>
      <w:r w:rsidR="00947583" w:rsidRPr="00CD7E52">
        <w:rPr>
          <w:snapToGrid/>
          <w:szCs w:val="22"/>
          <w:lang w:val="lt-LT"/>
        </w:rPr>
        <w:t>vertinimas</w:t>
      </w:r>
      <w:r w:rsidR="00947583" w:rsidRPr="00CD7E52">
        <w:rPr>
          <w:szCs w:val="22"/>
          <w:lang w:val="lt-LT"/>
        </w:rPr>
        <w:t xml:space="preserve"> (angl. </w:t>
      </w:r>
      <w:r w:rsidR="00947583" w:rsidRPr="00CD7E52">
        <w:rPr>
          <w:i/>
          <w:szCs w:val="22"/>
          <w:lang w:val="lt-LT"/>
        </w:rPr>
        <w:t>Scalp Psoriasis Physician’s Global Assessment</w:t>
      </w:r>
      <w:r w:rsidR="00947583" w:rsidRPr="00CD7E52">
        <w:rPr>
          <w:szCs w:val="22"/>
          <w:lang w:val="lt-LT"/>
        </w:rPr>
        <w:t xml:space="preserve">, ScPGA) </w:t>
      </w:r>
      <w:r w:rsidR="00947583" w:rsidRPr="00CD7E52">
        <w:rPr>
          <w:snapToGrid/>
          <w:szCs w:val="22"/>
          <w:lang w:val="lt-LT"/>
        </w:rPr>
        <w:t xml:space="preserve">„švari“ </w:t>
      </w:r>
      <w:r w:rsidRPr="00CD7E52">
        <w:rPr>
          <w:snapToGrid/>
          <w:szCs w:val="22"/>
          <w:lang w:val="lt-LT"/>
        </w:rPr>
        <w:t>(0) arba</w:t>
      </w:r>
      <w:r w:rsidR="00947583" w:rsidRPr="00CD7E52">
        <w:rPr>
          <w:snapToGrid/>
          <w:szCs w:val="22"/>
          <w:lang w:val="lt-LT"/>
        </w:rPr>
        <w:t xml:space="preserve"> „</w:t>
      </w:r>
      <w:r w:rsidRPr="00CD7E52">
        <w:rPr>
          <w:snapToGrid/>
          <w:szCs w:val="22"/>
          <w:lang w:val="lt-LT"/>
        </w:rPr>
        <w:t>minimal</w:t>
      </w:r>
      <w:r w:rsidR="00947583" w:rsidRPr="00CD7E52">
        <w:rPr>
          <w:snapToGrid/>
          <w:szCs w:val="22"/>
          <w:lang w:val="lt-LT"/>
        </w:rPr>
        <w:t>i“</w:t>
      </w:r>
      <w:r w:rsidRPr="00CD7E52">
        <w:rPr>
          <w:snapToGrid/>
          <w:szCs w:val="22"/>
          <w:lang w:val="lt-LT"/>
        </w:rPr>
        <w:t xml:space="preserve"> (1) </w:t>
      </w:r>
      <w:r w:rsidR="00947583" w:rsidRPr="00CD7E52">
        <w:rPr>
          <w:snapToGrid/>
          <w:szCs w:val="22"/>
          <w:lang w:val="lt-LT"/>
        </w:rPr>
        <w:t>dalį</w:t>
      </w:r>
      <w:r w:rsidRPr="00CD7E52">
        <w:rPr>
          <w:szCs w:val="22"/>
          <w:lang w:val="lt-LT"/>
        </w:rPr>
        <w:t>, nustatytas reikšmingas mažiausiai vidutinio sunkumo galvos odos</w:t>
      </w:r>
      <w:r w:rsidR="00947583" w:rsidRPr="00CD7E52">
        <w:rPr>
          <w:szCs w:val="22"/>
          <w:lang w:val="lt-LT"/>
        </w:rPr>
        <w:t xml:space="preserve"> </w:t>
      </w:r>
      <w:r w:rsidRPr="00CD7E52">
        <w:rPr>
          <w:szCs w:val="22"/>
          <w:lang w:val="lt-LT"/>
        </w:rPr>
        <w:t>psoriazės (</w:t>
      </w:r>
      <w:r w:rsidR="009F17E0" w:rsidRPr="00FF4333">
        <w:rPr>
          <w:szCs w:val="22"/>
          <w:lang w:val="lt-LT"/>
        </w:rPr>
        <w:t>≥ </w:t>
      </w:r>
      <w:r w:rsidRPr="00CD7E52">
        <w:rPr>
          <w:szCs w:val="22"/>
          <w:lang w:val="lt-LT"/>
        </w:rPr>
        <w:t>3) pagerėjimas apremilast</w:t>
      </w:r>
      <w:r w:rsidR="007F31BB" w:rsidRPr="00CD7E52">
        <w:rPr>
          <w:szCs w:val="22"/>
          <w:lang w:val="lt-LT"/>
        </w:rPr>
        <w:t>o</w:t>
      </w:r>
      <w:r w:rsidRPr="00CD7E52">
        <w:rPr>
          <w:szCs w:val="22"/>
          <w:lang w:val="lt-LT"/>
        </w:rPr>
        <w:t xml:space="preserve"> </w:t>
      </w:r>
      <w:r w:rsidRPr="00CD7E52">
        <w:rPr>
          <w:snapToGrid/>
          <w:szCs w:val="22"/>
          <w:lang w:val="lt-LT"/>
        </w:rPr>
        <w:t>vartoj</w:t>
      </w:r>
      <w:r w:rsidR="00947583" w:rsidRPr="00CD7E52">
        <w:rPr>
          <w:snapToGrid/>
          <w:szCs w:val="22"/>
          <w:lang w:val="lt-LT"/>
        </w:rPr>
        <w:t>us</w:t>
      </w:r>
      <w:r w:rsidRPr="00CD7E52">
        <w:rPr>
          <w:snapToGrid/>
          <w:szCs w:val="22"/>
          <w:lang w:val="lt-LT"/>
        </w:rPr>
        <w:t>iems</w:t>
      </w:r>
      <w:r w:rsidRPr="00CD7E52">
        <w:rPr>
          <w:szCs w:val="22"/>
          <w:lang w:val="lt-LT"/>
        </w:rPr>
        <w:t xml:space="preserve"> pacientams, </w:t>
      </w:r>
      <w:r w:rsidR="00947583" w:rsidRPr="00CD7E52">
        <w:rPr>
          <w:snapToGrid/>
          <w:szCs w:val="22"/>
          <w:lang w:val="lt-LT"/>
        </w:rPr>
        <w:t>palyginti</w:t>
      </w:r>
      <w:r w:rsidRPr="00CD7E52">
        <w:rPr>
          <w:szCs w:val="22"/>
          <w:lang w:val="lt-LT"/>
        </w:rPr>
        <w:t xml:space="preserve"> su placeb</w:t>
      </w:r>
      <w:r w:rsidR="007F31BB" w:rsidRPr="00CD7E52">
        <w:rPr>
          <w:szCs w:val="22"/>
          <w:lang w:val="lt-LT"/>
        </w:rPr>
        <w:t>o</w:t>
      </w:r>
      <w:r w:rsidRPr="00CD7E52">
        <w:rPr>
          <w:szCs w:val="22"/>
          <w:lang w:val="lt-LT"/>
        </w:rPr>
        <w:t xml:space="preserve"> </w:t>
      </w:r>
      <w:r w:rsidR="00947583" w:rsidRPr="00CD7E52">
        <w:rPr>
          <w:snapToGrid/>
          <w:szCs w:val="22"/>
          <w:lang w:val="lt-LT"/>
        </w:rPr>
        <w:t>vartojusiais</w:t>
      </w:r>
      <w:r w:rsidRPr="00CD7E52">
        <w:rPr>
          <w:szCs w:val="22"/>
          <w:lang w:val="lt-LT"/>
        </w:rPr>
        <w:t xml:space="preserve"> pacientais</w:t>
      </w:r>
      <w:r w:rsidR="006E4EAF" w:rsidRPr="00CD7E52">
        <w:rPr>
          <w:szCs w:val="22"/>
          <w:lang w:val="lt-LT"/>
        </w:rPr>
        <w:t xml:space="preserve"> </w:t>
      </w:r>
      <w:r w:rsidRPr="00CD7E52">
        <w:rPr>
          <w:szCs w:val="22"/>
          <w:lang w:val="lt-LT"/>
        </w:rPr>
        <w:t>(p</w:t>
      </w:r>
      <w:r w:rsidRPr="00CD7E52">
        <w:rPr>
          <w:snapToGrid/>
          <w:szCs w:val="22"/>
          <w:lang w:val="lt-LT"/>
        </w:rPr>
        <w:t xml:space="preserve"> </w:t>
      </w:r>
      <w:r w:rsidRPr="00CD7E52">
        <w:rPr>
          <w:szCs w:val="22"/>
          <w:lang w:val="lt-LT"/>
        </w:rPr>
        <w:t>&lt;</w:t>
      </w:r>
      <w:r w:rsidR="006E4EAF" w:rsidRPr="00CD7E52">
        <w:rPr>
          <w:szCs w:val="22"/>
          <w:lang w:val="lt-LT"/>
        </w:rPr>
        <w:t> </w:t>
      </w:r>
      <w:r w:rsidRPr="00CD7E52">
        <w:rPr>
          <w:szCs w:val="22"/>
          <w:lang w:val="lt-LT"/>
        </w:rPr>
        <w:t>0,0001 abiejų tyrimų metu). Šis pagerėjimas išliko tiriamiesiems, kuriems nuo 32</w:t>
      </w:r>
      <w:r w:rsidR="00C65C08" w:rsidRPr="00CD7E52">
        <w:rPr>
          <w:szCs w:val="22"/>
          <w:lang w:val="lt-LT"/>
        </w:rPr>
        <w:t> savai</w:t>
      </w:r>
      <w:r w:rsidRPr="00CD7E52">
        <w:rPr>
          <w:szCs w:val="22"/>
          <w:lang w:val="lt-LT"/>
        </w:rPr>
        <w:t>tės iki</w:t>
      </w:r>
      <w:r w:rsidR="00BE2C60" w:rsidRPr="00CD7E52">
        <w:rPr>
          <w:szCs w:val="22"/>
          <w:lang w:val="lt-LT"/>
        </w:rPr>
        <w:t xml:space="preserve"> </w:t>
      </w:r>
      <w:r w:rsidRPr="00CD7E52">
        <w:rPr>
          <w:szCs w:val="22"/>
          <w:lang w:val="lt-LT"/>
        </w:rPr>
        <w:t>52</w:t>
      </w:r>
      <w:r w:rsidR="00C65C08" w:rsidRPr="00CD7E52">
        <w:rPr>
          <w:szCs w:val="22"/>
          <w:lang w:val="lt-LT"/>
        </w:rPr>
        <w:t> savai</w:t>
      </w:r>
      <w:r w:rsidRPr="00CD7E52">
        <w:rPr>
          <w:szCs w:val="22"/>
          <w:lang w:val="lt-LT"/>
        </w:rPr>
        <w:t>tės pakartotinai skirta vartoti apremilastą (</w:t>
      </w:r>
      <w:r w:rsidR="007B6DBA">
        <w:rPr>
          <w:szCs w:val="22"/>
          <w:lang w:val="lt-LT"/>
        </w:rPr>
        <w:t>6</w:t>
      </w:r>
      <w:r w:rsidR="00BE2C60" w:rsidRPr="00CD7E52">
        <w:rPr>
          <w:szCs w:val="22"/>
          <w:lang w:val="lt-LT"/>
        </w:rPr>
        <w:t> </w:t>
      </w:r>
      <w:r w:rsidRPr="00CD7E52">
        <w:rPr>
          <w:szCs w:val="22"/>
          <w:lang w:val="lt-LT"/>
        </w:rPr>
        <w:t>lentelė).</w:t>
      </w:r>
    </w:p>
    <w:p w14:paraId="31728EE0" w14:textId="77777777" w:rsidR="00BE2C60" w:rsidRPr="00CD7E52" w:rsidRDefault="00BE2C60" w:rsidP="00BD0220">
      <w:pPr>
        <w:widowControl w:val="0"/>
        <w:tabs>
          <w:tab w:val="clear" w:pos="567"/>
        </w:tabs>
        <w:autoSpaceDE w:val="0"/>
        <w:autoSpaceDN w:val="0"/>
        <w:adjustRightInd w:val="0"/>
        <w:spacing w:line="240" w:lineRule="auto"/>
        <w:rPr>
          <w:szCs w:val="22"/>
          <w:lang w:val="lt-LT"/>
        </w:rPr>
      </w:pPr>
    </w:p>
    <w:p w14:paraId="12DFF00F"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Tyrimų </w:t>
      </w:r>
      <w:r w:rsidR="00C65635" w:rsidRPr="00CD7E52">
        <w:rPr>
          <w:szCs w:val="22"/>
          <w:lang w:val="lt-LT"/>
        </w:rPr>
        <w:t>ESTEEM</w:t>
      </w:r>
      <w:r w:rsidR="00C65635" w:rsidRPr="00CD7E52">
        <w:rPr>
          <w:snapToGrid/>
          <w:szCs w:val="22"/>
          <w:lang w:val="lt-LT"/>
        </w:rPr>
        <w:t> </w:t>
      </w:r>
      <w:r w:rsidR="00C65635" w:rsidRPr="00CD7E52">
        <w:rPr>
          <w:szCs w:val="22"/>
          <w:lang w:val="lt-LT"/>
        </w:rPr>
        <w:t>1</w:t>
      </w:r>
      <w:r w:rsidRPr="00CD7E52">
        <w:rPr>
          <w:szCs w:val="22"/>
          <w:lang w:val="lt-LT"/>
        </w:rPr>
        <w:t xml:space="preserve"> ir </w:t>
      </w:r>
      <w:r w:rsidR="00C65635" w:rsidRPr="00CD7E52">
        <w:rPr>
          <w:szCs w:val="22"/>
          <w:lang w:val="lt-LT"/>
        </w:rPr>
        <w:t>ESTEEM</w:t>
      </w:r>
      <w:r w:rsidR="00C65635" w:rsidRPr="00CD7E52">
        <w:rPr>
          <w:snapToGrid/>
          <w:szCs w:val="22"/>
          <w:lang w:val="lt-LT"/>
        </w:rPr>
        <w:t> </w:t>
      </w:r>
      <w:r w:rsidR="00C65635" w:rsidRPr="00CD7E52">
        <w:rPr>
          <w:szCs w:val="22"/>
          <w:lang w:val="lt-LT"/>
        </w:rPr>
        <w:t>2</w:t>
      </w:r>
      <w:r w:rsidRPr="00CD7E52">
        <w:rPr>
          <w:szCs w:val="22"/>
          <w:lang w:val="lt-LT"/>
        </w:rPr>
        <w:t xml:space="preserve"> metu, vertinant dermatologinį gyvenimo kokybės indeksą (</w:t>
      </w:r>
      <w:r w:rsidR="00475C89" w:rsidRPr="00CD7E52">
        <w:rPr>
          <w:szCs w:val="22"/>
          <w:lang w:val="lt-LT"/>
        </w:rPr>
        <w:t>DGKI</w:t>
      </w:r>
      <w:r w:rsidRPr="00CD7E52">
        <w:rPr>
          <w:szCs w:val="22"/>
          <w:lang w:val="lt-LT"/>
        </w:rPr>
        <w:t xml:space="preserve">) ir </w:t>
      </w:r>
      <w:r w:rsidR="00754DFE" w:rsidRPr="00CD7E52">
        <w:rPr>
          <w:snapToGrid/>
          <w:szCs w:val="22"/>
          <w:lang w:val="lt-LT"/>
        </w:rPr>
        <w:t>SF36v2PSI</w:t>
      </w:r>
      <w:r w:rsidRPr="00CD7E52">
        <w:rPr>
          <w:szCs w:val="22"/>
          <w:lang w:val="lt-LT"/>
        </w:rPr>
        <w:t>, apremilast</w:t>
      </w:r>
      <w:r w:rsidR="00CD10D0" w:rsidRPr="00CD7E52">
        <w:rPr>
          <w:szCs w:val="22"/>
          <w:lang w:val="lt-LT"/>
        </w:rPr>
        <w:t>o</w:t>
      </w:r>
      <w:r w:rsidRPr="00CD7E52">
        <w:rPr>
          <w:szCs w:val="22"/>
          <w:lang w:val="lt-LT"/>
        </w:rPr>
        <w:t xml:space="preserve"> vartojantiems pacientams nustatytas reikšmingas gyvenimo kokybės pagerėjimas,</w:t>
      </w:r>
      <w:r w:rsidR="00BE2C60" w:rsidRPr="00CD7E52">
        <w:rPr>
          <w:szCs w:val="22"/>
          <w:lang w:val="lt-LT"/>
        </w:rPr>
        <w:t xml:space="preserve"> </w:t>
      </w:r>
      <w:r w:rsidRPr="00CD7E52">
        <w:rPr>
          <w:szCs w:val="22"/>
          <w:lang w:val="lt-LT"/>
        </w:rPr>
        <w:t>lyginant su placebu gydytais pacientais (</w:t>
      </w:r>
      <w:r w:rsidR="00B8507A">
        <w:rPr>
          <w:szCs w:val="22"/>
          <w:lang w:val="lt-LT"/>
        </w:rPr>
        <w:t>5</w:t>
      </w:r>
      <w:r w:rsidR="00B8507A" w:rsidRPr="00CD7E52">
        <w:rPr>
          <w:szCs w:val="22"/>
          <w:lang w:val="lt-LT"/>
        </w:rPr>
        <w:t> </w:t>
      </w:r>
      <w:r w:rsidRPr="00CD7E52">
        <w:rPr>
          <w:szCs w:val="22"/>
          <w:lang w:val="lt-LT"/>
        </w:rPr>
        <w:t xml:space="preserve">lentelė). Pagerėjimas pagal </w:t>
      </w:r>
      <w:r w:rsidR="001E25F4" w:rsidRPr="00CD7E52">
        <w:rPr>
          <w:szCs w:val="22"/>
          <w:lang w:val="lt-LT"/>
        </w:rPr>
        <w:t xml:space="preserve">DGKI </w:t>
      </w:r>
      <w:r w:rsidRPr="00CD7E52">
        <w:rPr>
          <w:szCs w:val="22"/>
          <w:lang w:val="lt-LT"/>
        </w:rPr>
        <w:t>išliko iki 52</w:t>
      </w:r>
      <w:r w:rsidR="00C65C08" w:rsidRPr="00CD7E52">
        <w:rPr>
          <w:szCs w:val="22"/>
          <w:lang w:val="lt-LT"/>
        </w:rPr>
        <w:t> savai</w:t>
      </w:r>
      <w:r w:rsidRPr="00CD7E52">
        <w:rPr>
          <w:szCs w:val="22"/>
          <w:lang w:val="lt-LT"/>
        </w:rPr>
        <w:t>tės</w:t>
      </w:r>
      <w:r w:rsidR="00BE2C60" w:rsidRPr="00CD7E52">
        <w:rPr>
          <w:szCs w:val="22"/>
          <w:lang w:val="lt-LT"/>
        </w:rPr>
        <w:t xml:space="preserve"> </w:t>
      </w:r>
      <w:r w:rsidRPr="00CD7E52">
        <w:rPr>
          <w:szCs w:val="22"/>
          <w:lang w:val="lt-LT"/>
        </w:rPr>
        <w:t xml:space="preserve">tiriamiesiems, </w:t>
      </w:r>
      <w:r w:rsidRPr="00CD7E52">
        <w:rPr>
          <w:snapToGrid/>
          <w:szCs w:val="22"/>
          <w:lang w:val="lt-LT"/>
        </w:rPr>
        <w:t>kurie</w:t>
      </w:r>
      <w:r w:rsidRPr="00CD7E52">
        <w:rPr>
          <w:szCs w:val="22"/>
          <w:lang w:val="lt-LT"/>
        </w:rPr>
        <w:t xml:space="preserve"> 32</w:t>
      </w:r>
      <w:r w:rsidR="00C65C08" w:rsidRPr="00CD7E52">
        <w:rPr>
          <w:szCs w:val="22"/>
          <w:lang w:val="lt-LT"/>
        </w:rPr>
        <w:t> savai</w:t>
      </w:r>
      <w:r w:rsidRPr="00CD7E52">
        <w:rPr>
          <w:szCs w:val="22"/>
          <w:lang w:val="lt-LT"/>
        </w:rPr>
        <w:t xml:space="preserve">tę </w:t>
      </w:r>
      <w:r w:rsidR="00F10B3F" w:rsidRPr="00CD7E52">
        <w:rPr>
          <w:snapToGrid/>
          <w:szCs w:val="22"/>
          <w:lang w:val="lt-LT"/>
        </w:rPr>
        <w:t>buvo atsitiktiniai priskirti kartotinai</w:t>
      </w:r>
      <w:r w:rsidR="00F10B3F" w:rsidRPr="00CD7E52">
        <w:rPr>
          <w:szCs w:val="22"/>
          <w:lang w:val="lt-LT"/>
        </w:rPr>
        <w:t xml:space="preserve"> vartoti </w:t>
      </w:r>
      <w:r w:rsidRPr="00CD7E52">
        <w:rPr>
          <w:szCs w:val="22"/>
          <w:lang w:val="lt-LT"/>
        </w:rPr>
        <w:t>apremilast</w:t>
      </w:r>
      <w:r w:rsidR="007043BF" w:rsidRPr="00CD7E52">
        <w:rPr>
          <w:szCs w:val="22"/>
          <w:lang w:val="lt-LT"/>
        </w:rPr>
        <w:t>o</w:t>
      </w:r>
      <w:r w:rsidRPr="00CD7E52">
        <w:rPr>
          <w:szCs w:val="22"/>
          <w:lang w:val="lt-LT"/>
        </w:rPr>
        <w:t xml:space="preserve"> (</w:t>
      </w:r>
      <w:r w:rsidR="00B8507A">
        <w:rPr>
          <w:szCs w:val="22"/>
          <w:lang w:val="lt-LT"/>
        </w:rPr>
        <w:t>6</w:t>
      </w:r>
      <w:r w:rsidR="00B8507A" w:rsidRPr="00CD7E52">
        <w:rPr>
          <w:szCs w:val="22"/>
          <w:lang w:val="lt-LT"/>
        </w:rPr>
        <w:t> </w:t>
      </w:r>
      <w:r w:rsidRPr="00CD7E52">
        <w:rPr>
          <w:szCs w:val="22"/>
          <w:lang w:val="lt-LT"/>
        </w:rPr>
        <w:t>lentelė).</w:t>
      </w:r>
      <w:r w:rsidR="00CF3803" w:rsidRPr="00CD7E52">
        <w:rPr>
          <w:szCs w:val="22"/>
          <w:lang w:val="lt-LT"/>
        </w:rPr>
        <w:t xml:space="preserve"> </w:t>
      </w:r>
      <w:r w:rsidRPr="00CD7E52">
        <w:rPr>
          <w:szCs w:val="22"/>
          <w:lang w:val="lt-LT"/>
        </w:rPr>
        <w:t xml:space="preserve">Taip pat tyrimo </w:t>
      </w:r>
      <w:r w:rsidR="00C65635" w:rsidRPr="00CD7E52">
        <w:rPr>
          <w:szCs w:val="22"/>
          <w:lang w:val="lt-LT"/>
        </w:rPr>
        <w:t>ESTEEM</w:t>
      </w:r>
      <w:r w:rsidR="00C65635" w:rsidRPr="00CD7E52">
        <w:rPr>
          <w:snapToGrid/>
          <w:szCs w:val="22"/>
          <w:lang w:val="lt-LT"/>
        </w:rPr>
        <w:t> </w:t>
      </w:r>
      <w:r w:rsidR="00C65635" w:rsidRPr="00CD7E52">
        <w:rPr>
          <w:szCs w:val="22"/>
          <w:lang w:val="lt-LT"/>
        </w:rPr>
        <w:t>1</w:t>
      </w:r>
      <w:r w:rsidRPr="00CD7E52">
        <w:rPr>
          <w:szCs w:val="22"/>
          <w:lang w:val="lt-LT"/>
        </w:rPr>
        <w:t xml:space="preserve"> metu vertinant darbinės veiklos apribojimų </w:t>
      </w:r>
      <w:r w:rsidR="00CF3803" w:rsidRPr="00CD7E52">
        <w:rPr>
          <w:snapToGrid/>
          <w:szCs w:val="22"/>
          <w:lang w:val="lt-LT"/>
        </w:rPr>
        <w:t>klausimyno</w:t>
      </w:r>
      <w:r w:rsidRPr="00CD7E52">
        <w:rPr>
          <w:szCs w:val="22"/>
          <w:lang w:val="lt-LT"/>
        </w:rPr>
        <w:t xml:space="preserve"> (angl. </w:t>
      </w:r>
      <w:r w:rsidRPr="00CD7E52">
        <w:rPr>
          <w:i/>
          <w:szCs w:val="22"/>
          <w:lang w:val="lt-LT"/>
        </w:rPr>
        <w:t>Work Limitations</w:t>
      </w:r>
      <w:r w:rsidR="00CF3803" w:rsidRPr="00CD7E52">
        <w:rPr>
          <w:i/>
          <w:szCs w:val="22"/>
          <w:lang w:val="lt-LT"/>
        </w:rPr>
        <w:t xml:space="preserve"> </w:t>
      </w:r>
      <w:r w:rsidRPr="00CD7E52">
        <w:rPr>
          <w:i/>
          <w:szCs w:val="22"/>
          <w:lang w:val="lt-LT"/>
        </w:rPr>
        <w:t>Questionnaire</w:t>
      </w:r>
      <w:r w:rsidRPr="00CD7E52">
        <w:rPr>
          <w:szCs w:val="22"/>
          <w:lang w:val="lt-LT"/>
        </w:rPr>
        <w:t>, WLQ-25) indeksą, nustatytas reikšmingas pagerėjimas apremilast</w:t>
      </w:r>
      <w:r w:rsidR="007043BF" w:rsidRPr="00CD7E52">
        <w:rPr>
          <w:szCs w:val="22"/>
          <w:lang w:val="lt-LT"/>
        </w:rPr>
        <w:t>o</w:t>
      </w:r>
      <w:r w:rsidRPr="00CD7E52">
        <w:rPr>
          <w:szCs w:val="22"/>
          <w:lang w:val="lt-LT"/>
        </w:rPr>
        <w:t xml:space="preserve"> </w:t>
      </w:r>
      <w:r w:rsidRPr="00CD7E52">
        <w:rPr>
          <w:snapToGrid/>
          <w:szCs w:val="22"/>
          <w:lang w:val="lt-LT"/>
        </w:rPr>
        <w:t>vartoj</w:t>
      </w:r>
      <w:r w:rsidR="00CF3803" w:rsidRPr="00CD7E52">
        <w:rPr>
          <w:snapToGrid/>
          <w:szCs w:val="22"/>
          <w:lang w:val="lt-LT"/>
        </w:rPr>
        <w:t>us</w:t>
      </w:r>
      <w:r w:rsidRPr="00CD7E52">
        <w:rPr>
          <w:snapToGrid/>
          <w:szCs w:val="22"/>
          <w:lang w:val="lt-LT"/>
        </w:rPr>
        <w:t>iems</w:t>
      </w:r>
      <w:r w:rsidRPr="00CD7E52">
        <w:rPr>
          <w:szCs w:val="22"/>
          <w:lang w:val="lt-LT"/>
        </w:rPr>
        <w:t xml:space="preserve"> pacientams,</w:t>
      </w:r>
      <w:r w:rsidR="00CF3803" w:rsidRPr="00CD7E52">
        <w:rPr>
          <w:szCs w:val="22"/>
          <w:lang w:val="lt-LT"/>
        </w:rPr>
        <w:t xml:space="preserve"> </w:t>
      </w:r>
      <w:r w:rsidRPr="00CD7E52">
        <w:rPr>
          <w:szCs w:val="22"/>
          <w:lang w:val="lt-LT"/>
        </w:rPr>
        <w:t>lyginant su placeb</w:t>
      </w:r>
      <w:r w:rsidR="007043BF" w:rsidRPr="00CD7E52">
        <w:rPr>
          <w:szCs w:val="22"/>
          <w:lang w:val="lt-LT"/>
        </w:rPr>
        <w:t>o</w:t>
      </w:r>
      <w:r w:rsidRPr="00CD7E52">
        <w:rPr>
          <w:szCs w:val="22"/>
          <w:lang w:val="lt-LT"/>
        </w:rPr>
        <w:t xml:space="preserve"> </w:t>
      </w:r>
      <w:r w:rsidR="00CF3803" w:rsidRPr="00CD7E52">
        <w:rPr>
          <w:snapToGrid/>
          <w:szCs w:val="22"/>
          <w:lang w:val="lt-LT"/>
        </w:rPr>
        <w:t>vartojusiais</w:t>
      </w:r>
      <w:r w:rsidRPr="00CD7E52">
        <w:rPr>
          <w:szCs w:val="22"/>
          <w:lang w:val="lt-LT"/>
        </w:rPr>
        <w:t xml:space="preserve"> pacientais.</w:t>
      </w:r>
    </w:p>
    <w:p w14:paraId="34092A45" w14:textId="77777777" w:rsidR="00CF3803" w:rsidRPr="00CD7E52" w:rsidRDefault="00CF3803" w:rsidP="00BD0220">
      <w:pPr>
        <w:widowControl w:val="0"/>
        <w:tabs>
          <w:tab w:val="clear" w:pos="567"/>
        </w:tabs>
        <w:autoSpaceDE w:val="0"/>
        <w:autoSpaceDN w:val="0"/>
        <w:adjustRightInd w:val="0"/>
        <w:spacing w:line="240" w:lineRule="auto"/>
        <w:rPr>
          <w:szCs w:val="22"/>
          <w:lang w:val="lt-LT"/>
        </w:rPr>
      </w:pPr>
    </w:p>
    <w:p w14:paraId="5EA76318" w14:textId="77777777" w:rsidR="004B4124" w:rsidRPr="00CD7E52" w:rsidRDefault="00544707" w:rsidP="00BD0220">
      <w:pPr>
        <w:widowControl w:val="0"/>
        <w:tabs>
          <w:tab w:val="clear" w:pos="567"/>
        </w:tabs>
        <w:autoSpaceDE w:val="0"/>
        <w:autoSpaceDN w:val="0"/>
        <w:adjustRightInd w:val="0"/>
        <w:spacing w:line="240" w:lineRule="auto"/>
        <w:rPr>
          <w:szCs w:val="22"/>
          <w:lang w:val="lt-LT"/>
        </w:rPr>
      </w:pPr>
      <w:r w:rsidRPr="00CD7E52">
        <w:rPr>
          <w:snapToGrid/>
          <w:szCs w:val="22"/>
          <w:lang w:val="lt-LT"/>
        </w:rPr>
        <w:t>Iš</w:t>
      </w:r>
      <w:r w:rsidR="004B4124" w:rsidRPr="00CD7E52">
        <w:rPr>
          <w:szCs w:val="22"/>
          <w:lang w:val="lt-LT"/>
        </w:rPr>
        <w:t xml:space="preserve"> 832</w:t>
      </w:r>
      <w:r w:rsidRPr="00CD7E52">
        <w:rPr>
          <w:szCs w:val="22"/>
          <w:lang w:val="lt-LT"/>
        </w:rPr>
        <w:t> </w:t>
      </w:r>
      <w:r w:rsidR="004B4124" w:rsidRPr="00CD7E52">
        <w:rPr>
          <w:szCs w:val="22"/>
          <w:lang w:val="lt-LT"/>
        </w:rPr>
        <w:t xml:space="preserve">pacientų, </w:t>
      </w:r>
      <w:r w:rsidR="004B4124" w:rsidRPr="00CD7E52">
        <w:rPr>
          <w:snapToGrid/>
          <w:szCs w:val="22"/>
          <w:lang w:val="lt-LT"/>
        </w:rPr>
        <w:t>kurie</w:t>
      </w:r>
      <w:r w:rsidR="004B4124" w:rsidRPr="00CD7E52">
        <w:rPr>
          <w:szCs w:val="22"/>
          <w:lang w:val="lt-LT"/>
        </w:rPr>
        <w:t xml:space="preserve"> iš pradžių </w:t>
      </w:r>
      <w:r w:rsidR="009132F1" w:rsidRPr="00CD7E52">
        <w:rPr>
          <w:szCs w:val="22"/>
          <w:lang w:val="lt-LT"/>
        </w:rPr>
        <w:t xml:space="preserve">buvo </w:t>
      </w:r>
      <w:r w:rsidR="009132F1" w:rsidRPr="00CD7E52">
        <w:rPr>
          <w:snapToGrid/>
          <w:szCs w:val="22"/>
          <w:lang w:val="lt-LT"/>
        </w:rPr>
        <w:t>atsitiktinai priskirti</w:t>
      </w:r>
      <w:r w:rsidR="004B4124" w:rsidRPr="00CD7E52">
        <w:rPr>
          <w:szCs w:val="22"/>
          <w:lang w:val="lt-LT"/>
        </w:rPr>
        <w:t xml:space="preserve"> vartoti 30</w:t>
      </w:r>
      <w:r w:rsidR="00A87582" w:rsidRPr="00CD7E52">
        <w:rPr>
          <w:szCs w:val="22"/>
          <w:lang w:val="lt-LT"/>
        </w:rPr>
        <w:t> mg</w:t>
      </w:r>
      <w:r w:rsidR="004B4124" w:rsidRPr="00CD7E52">
        <w:rPr>
          <w:szCs w:val="22"/>
          <w:lang w:val="lt-LT"/>
        </w:rPr>
        <w:t xml:space="preserve"> apremilasto du kartus</w:t>
      </w:r>
      <w:r w:rsidRPr="00CD7E52">
        <w:rPr>
          <w:szCs w:val="22"/>
          <w:lang w:val="lt-LT"/>
        </w:rPr>
        <w:t xml:space="preserve"> </w:t>
      </w:r>
      <w:r w:rsidR="004B4124" w:rsidRPr="00CD7E52">
        <w:rPr>
          <w:szCs w:val="22"/>
          <w:lang w:val="lt-LT"/>
        </w:rPr>
        <w:t>per parą, 443 (53</w:t>
      </w:r>
      <w:r w:rsidR="009F17E0" w:rsidRPr="00CD7E52">
        <w:rPr>
          <w:szCs w:val="22"/>
          <w:lang w:val="lt-LT"/>
        </w:rPr>
        <w:t> %</w:t>
      </w:r>
      <w:r w:rsidR="004B4124" w:rsidRPr="00CD7E52">
        <w:rPr>
          <w:szCs w:val="22"/>
          <w:lang w:val="lt-LT"/>
        </w:rPr>
        <w:t xml:space="preserve">) pacientai buvo įtraukti į atviruosius tęstinius tyrimus </w:t>
      </w:r>
      <w:r w:rsidR="00C65635" w:rsidRPr="00CD7E52">
        <w:rPr>
          <w:szCs w:val="22"/>
          <w:lang w:val="lt-LT"/>
        </w:rPr>
        <w:t>ESTEEM</w:t>
      </w:r>
      <w:r w:rsidR="00C65635" w:rsidRPr="00CD7E52">
        <w:rPr>
          <w:snapToGrid/>
          <w:szCs w:val="22"/>
          <w:lang w:val="lt-LT"/>
        </w:rPr>
        <w:t> </w:t>
      </w:r>
      <w:r w:rsidR="00C65635" w:rsidRPr="00CD7E52">
        <w:rPr>
          <w:szCs w:val="22"/>
          <w:lang w:val="lt-LT"/>
        </w:rPr>
        <w:t>1</w:t>
      </w:r>
      <w:r w:rsidR="004B4124" w:rsidRPr="00CD7E52">
        <w:rPr>
          <w:szCs w:val="22"/>
          <w:lang w:val="lt-LT"/>
        </w:rPr>
        <w:t xml:space="preserve"> ir </w:t>
      </w:r>
      <w:r w:rsidR="00C65635" w:rsidRPr="00CD7E52">
        <w:rPr>
          <w:szCs w:val="22"/>
          <w:lang w:val="lt-LT"/>
        </w:rPr>
        <w:t>ESTEEM</w:t>
      </w:r>
      <w:r w:rsidR="00C65635" w:rsidRPr="00CD7E52">
        <w:rPr>
          <w:snapToGrid/>
          <w:szCs w:val="22"/>
          <w:lang w:val="lt-LT"/>
        </w:rPr>
        <w:t> </w:t>
      </w:r>
      <w:r w:rsidR="00C65635" w:rsidRPr="00CD7E52">
        <w:rPr>
          <w:szCs w:val="22"/>
          <w:lang w:val="lt-LT"/>
        </w:rPr>
        <w:t>2</w:t>
      </w:r>
      <w:r w:rsidR="004B4124" w:rsidRPr="00CD7E52">
        <w:rPr>
          <w:szCs w:val="22"/>
          <w:lang w:val="lt-LT"/>
        </w:rPr>
        <w:t>, 115 iš</w:t>
      </w:r>
      <w:r w:rsidRPr="00CD7E52">
        <w:rPr>
          <w:szCs w:val="22"/>
          <w:lang w:val="lt-LT"/>
        </w:rPr>
        <w:t xml:space="preserve"> </w:t>
      </w:r>
      <w:r w:rsidR="004B4124" w:rsidRPr="00CD7E52">
        <w:rPr>
          <w:szCs w:val="22"/>
          <w:lang w:val="lt-LT"/>
        </w:rPr>
        <w:t>šių pacientų (26</w:t>
      </w:r>
      <w:r w:rsidR="009F17E0" w:rsidRPr="00CD7E52">
        <w:rPr>
          <w:szCs w:val="22"/>
          <w:lang w:val="lt-LT"/>
        </w:rPr>
        <w:t> %</w:t>
      </w:r>
      <w:r w:rsidR="004B4124" w:rsidRPr="00CD7E52">
        <w:rPr>
          <w:szCs w:val="22"/>
          <w:lang w:val="lt-LT"/>
        </w:rPr>
        <w:t xml:space="preserve">) </w:t>
      </w:r>
      <w:r w:rsidRPr="00CD7E52">
        <w:rPr>
          <w:snapToGrid/>
          <w:szCs w:val="22"/>
          <w:lang w:val="lt-LT"/>
        </w:rPr>
        <w:t xml:space="preserve">gydymas </w:t>
      </w:r>
      <w:r w:rsidR="004B4124" w:rsidRPr="00CD7E52">
        <w:rPr>
          <w:szCs w:val="22"/>
          <w:lang w:val="lt-LT"/>
        </w:rPr>
        <w:t>vis dar buvo taikomas 260</w:t>
      </w:r>
      <w:r w:rsidR="00C65C08" w:rsidRPr="00CD7E52">
        <w:rPr>
          <w:szCs w:val="22"/>
          <w:lang w:val="lt-LT"/>
        </w:rPr>
        <w:t> savai</w:t>
      </w:r>
      <w:r w:rsidR="004B4124" w:rsidRPr="00CD7E52">
        <w:rPr>
          <w:szCs w:val="22"/>
          <w:lang w:val="lt-LT"/>
        </w:rPr>
        <w:t>tę. Pacientams, kurie toliau vartojo apremilast</w:t>
      </w:r>
      <w:r w:rsidR="000351C1" w:rsidRPr="00CD7E52">
        <w:rPr>
          <w:szCs w:val="22"/>
          <w:lang w:val="lt-LT"/>
        </w:rPr>
        <w:t>o</w:t>
      </w:r>
      <w:r w:rsidRPr="00CD7E52">
        <w:rPr>
          <w:szCs w:val="22"/>
          <w:lang w:val="lt-LT"/>
        </w:rPr>
        <w:t xml:space="preserve"> </w:t>
      </w:r>
      <w:r w:rsidR="004B4124" w:rsidRPr="00CD7E52">
        <w:rPr>
          <w:szCs w:val="22"/>
          <w:lang w:val="lt-LT"/>
        </w:rPr>
        <w:t xml:space="preserve">tyrimų </w:t>
      </w:r>
      <w:r w:rsidR="00C65635" w:rsidRPr="00CD7E52">
        <w:rPr>
          <w:szCs w:val="22"/>
          <w:lang w:val="lt-LT"/>
        </w:rPr>
        <w:t>ESTEEM</w:t>
      </w:r>
      <w:r w:rsidR="00C65635" w:rsidRPr="00CD7E52">
        <w:rPr>
          <w:snapToGrid/>
          <w:szCs w:val="22"/>
          <w:lang w:val="lt-LT"/>
        </w:rPr>
        <w:t> </w:t>
      </w:r>
      <w:r w:rsidR="00C65635" w:rsidRPr="00CD7E52">
        <w:rPr>
          <w:szCs w:val="22"/>
          <w:lang w:val="lt-LT"/>
        </w:rPr>
        <w:t>1</w:t>
      </w:r>
      <w:r w:rsidR="004B4124" w:rsidRPr="00CD7E52">
        <w:rPr>
          <w:szCs w:val="22"/>
          <w:lang w:val="lt-LT"/>
        </w:rPr>
        <w:t xml:space="preserve"> ir </w:t>
      </w:r>
      <w:r w:rsidR="00C65635" w:rsidRPr="00CD7E52">
        <w:rPr>
          <w:szCs w:val="22"/>
          <w:lang w:val="lt-LT"/>
        </w:rPr>
        <w:t>ESTEEM</w:t>
      </w:r>
      <w:r w:rsidR="00C65635" w:rsidRPr="00CD7E52">
        <w:rPr>
          <w:snapToGrid/>
          <w:szCs w:val="22"/>
          <w:lang w:val="lt-LT"/>
        </w:rPr>
        <w:t> </w:t>
      </w:r>
      <w:r w:rsidR="00C65635" w:rsidRPr="00CD7E52">
        <w:rPr>
          <w:szCs w:val="22"/>
          <w:lang w:val="lt-LT"/>
        </w:rPr>
        <w:t>2</w:t>
      </w:r>
      <w:r w:rsidR="004B4124" w:rsidRPr="00CD7E52">
        <w:rPr>
          <w:szCs w:val="22"/>
          <w:lang w:val="lt-LT"/>
        </w:rPr>
        <w:t xml:space="preserve"> atvirųjų tęstinių fazių metu, </w:t>
      </w:r>
      <w:r w:rsidR="000351C1" w:rsidRPr="00CD7E52">
        <w:rPr>
          <w:szCs w:val="22"/>
          <w:lang w:val="lt-LT"/>
        </w:rPr>
        <w:t xml:space="preserve">PPSI </w:t>
      </w:r>
      <w:r w:rsidRPr="00CD7E52">
        <w:rPr>
          <w:snapToGrid/>
          <w:szCs w:val="22"/>
          <w:lang w:val="lt-LT"/>
        </w:rPr>
        <w:t>įvertinimo</w:t>
      </w:r>
      <w:r w:rsidR="004B4124" w:rsidRPr="00CD7E52">
        <w:rPr>
          <w:szCs w:val="22"/>
          <w:lang w:val="lt-LT"/>
        </w:rPr>
        <w:t>, pakitusio KPP, niežėjimo, nagų ir</w:t>
      </w:r>
      <w:r w:rsidRPr="00CD7E52">
        <w:rPr>
          <w:szCs w:val="22"/>
          <w:lang w:val="lt-LT"/>
        </w:rPr>
        <w:t xml:space="preserve"> </w:t>
      </w:r>
      <w:r w:rsidR="004B4124" w:rsidRPr="00CD7E52">
        <w:rPr>
          <w:szCs w:val="22"/>
          <w:lang w:val="lt-LT"/>
        </w:rPr>
        <w:t xml:space="preserve">gyvenimo kokybės </w:t>
      </w:r>
      <w:r w:rsidRPr="00CD7E52">
        <w:rPr>
          <w:snapToGrid/>
          <w:szCs w:val="22"/>
          <w:lang w:val="lt-LT"/>
        </w:rPr>
        <w:t>rodmenų</w:t>
      </w:r>
      <w:r w:rsidR="004B4124" w:rsidRPr="00CD7E52">
        <w:rPr>
          <w:szCs w:val="22"/>
          <w:lang w:val="lt-LT"/>
        </w:rPr>
        <w:t xml:space="preserve"> pagerėjimas iš esmės išliko iki 5</w:t>
      </w:r>
      <w:r w:rsidRPr="00CD7E52">
        <w:rPr>
          <w:szCs w:val="22"/>
          <w:lang w:val="lt-LT"/>
        </w:rPr>
        <w:t> </w:t>
      </w:r>
      <w:r w:rsidR="004B4124" w:rsidRPr="00CD7E52">
        <w:rPr>
          <w:szCs w:val="22"/>
          <w:lang w:val="lt-LT"/>
        </w:rPr>
        <w:t>metų.</w:t>
      </w:r>
    </w:p>
    <w:p w14:paraId="56917B3D" w14:textId="77777777" w:rsidR="00544707" w:rsidRPr="00CD7E52" w:rsidRDefault="00544707" w:rsidP="00BD0220">
      <w:pPr>
        <w:widowControl w:val="0"/>
        <w:tabs>
          <w:tab w:val="clear" w:pos="567"/>
        </w:tabs>
        <w:autoSpaceDE w:val="0"/>
        <w:autoSpaceDN w:val="0"/>
        <w:adjustRightInd w:val="0"/>
        <w:spacing w:line="240" w:lineRule="auto"/>
        <w:rPr>
          <w:szCs w:val="22"/>
          <w:lang w:val="lt-LT"/>
        </w:rPr>
      </w:pPr>
    </w:p>
    <w:p w14:paraId="2631C61A"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30</w:t>
      </w:r>
      <w:r w:rsidR="00A87582" w:rsidRPr="00CD7E52">
        <w:rPr>
          <w:szCs w:val="22"/>
          <w:lang w:val="lt-LT"/>
        </w:rPr>
        <w:t> mg</w:t>
      </w:r>
      <w:r w:rsidRPr="00CD7E52">
        <w:rPr>
          <w:szCs w:val="22"/>
          <w:lang w:val="lt-LT"/>
        </w:rPr>
        <w:t xml:space="preserve"> apremilasto du kartus per parą vartojimo ilgalaikis saugumas pacientams, sergantiems psoriaziniu</w:t>
      </w:r>
      <w:r w:rsidR="009A2F73" w:rsidRPr="00CD7E52">
        <w:rPr>
          <w:szCs w:val="22"/>
          <w:lang w:val="lt-LT"/>
        </w:rPr>
        <w:t xml:space="preserve"> </w:t>
      </w:r>
      <w:r w:rsidRPr="00CD7E52">
        <w:rPr>
          <w:szCs w:val="22"/>
          <w:lang w:val="lt-LT"/>
        </w:rPr>
        <w:t>artritu ir psoriaze, buvo vertinamas iš viso iki 5</w:t>
      </w:r>
      <w:r w:rsidR="009A2F73" w:rsidRPr="00CD7E52">
        <w:rPr>
          <w:snapToGrid/>
          <w:szCs w:val="22"/>
          <w:lang w:val="lt-LT"/>
        </w:rPr>
        <w:t> </w:t>
      </w:r>
      <w:r w:rsidRPr="00CD7E52">
        <w:rPr>
          <w:szCs w:val="22"/>
          <w:lang w:val="lt-LT"/>
        </w:rPr>
        <w:t>gydymo metų. Ilgalaikė apremilasto vartojimo patirtis</w:t>
      </w:r>
      <w:r w:rsidR="009A2F73" w:rsidRPr="00CD7E52">
        <w:rPr>
          <w:szCs w:val="22"/>
          <w:lang w:val="lt-LT"/>
        </w:rPr>
        <w:t xml:space="preserve"> </w:t>
      </w:r>
      <w:r w:rsidRPr="00CD7E52">
        <w:rPr>
          <w:szCs w:val="22"/>
          <w:lang w:val="lt-LT"/>
        </w:rPr>
        <w:t xml:space="preserve">atvirųjų tęstinių tyrimų metu iš esmės </w:t>
      </w:r>
      <w:r w:rsidR="009A2F73" w:rsidRPr="00CD7E52">
        <w:rPr>
          <w:snapToGrid/>
          <w:szCs w:val="22"/>
          <w:lang w:val="lt-LT"/>
        </w:rPr>
        <w:t>atitiko</w:t>
      </w:r>
      <w:r w:rsidR="009A2F73" w:rsidRPr="00CD7E52">
        <w:rPr>
          <w:szCs w:val="22"/>
          <w:lang w:val="lt-LT"/>
        </w:rPr>
        <w:t xml:space="preserve"> </w:t>
      </w:r>
      <w:r w:rsidRPr="00CD7E52">
        <w:rPr>
          <w:szCs w:val="22"/>
          <w:lang w:val="lt-LT"/>
        </w:rPr>
        <w:t>52</w:t>
      </w:r>
      <w:r w:rsidR="00C65C08" w:rsidRPr="00CD7E52">
        <w:rPr>
          <w:szCs w:val="22"/>
          <w:lang w:val="lt-LT"/>
        </w:rPr>
        <w:t> savai</w:t>
      </w:r>
      <w:r w:rsidRPr="00CD7E52">
        <w:rPr>
          <w:szCs w:val="22"/>
          <w:lang w:val="lt-LT"/>
        </w:rPr>
        <w:t>čių tyrimų metu</w:t>
      </w:r>
      <w:r w:rsidR="009A2F73" w:rsidRPr="00CD7E52">
        <w:rPr>
          <w:snapToGrid/>
          <w:szCs w:val="22"/>
          <w:lang w:val="lt-LT"/>
        </w:rPr>
        <w:t xml:space="preserve"> gautus duomenis</w:t>
      </w:r>
      <w:r w:rsidRPr="00CD7E52">
        <w:rPr>
          <w:szCs w:val="22"/>
          <w:lang w:val="lt-LT"/>
        </w:rPr>
        <w:t>.</w:t>
      </w:r>
    </w:p>
    <w:p w14:paraId="5E899F59" w14:textId="77777777" w:rsidR="009A2F73" w:rsidRDefault="009A2F73" w:rsidP="00BD0220">
      <w:pPr>
        <w:widowControl w:val="0"/>
        <w:tabs>
          <w:tab w:val="clear" w:pos="567"/>
        </w:tabs>
        <w:autoSpaceDE w:val="0"/>
        <w:autoSpaceDN w:val="0"/>
        <w:adjustRightInd w:val="0"/>
        <w:spacing w:line="240" w:lineRule="auto"/>
        <w:rPr>
          <w:szCs w:val="22"/>
          <w:lang w:val="lt-LT"/>
        </w:rPr>
      </w:pPr>
    </w:p>
    <w:p w14:paraId="60B2F33F" w14:textId="77777777" w:rsidR="007B6DBA" w:rsidRPr="00B8507A" w:rsidRDefault="007B6DBA" w:rsidP="007B6DBA">
      <w:pPr>
        <w:widowControl w:val="0"/>
        <w:tabs>
          <w:tab w:val="clear" w:pos="567"/>
        </w:tabs>
        <w:autoSpaceDE w:val="0"/>
        <w:autoSpaceDN w:val="0"/>
        <w:adjustRightInd w:val="0"/>
        <w:spacing w:line="240" w:lineRule="auto"/>
        <w:rPr>
          <w:szCs w:val="22"/>
          <w:lang w:val="lt-LT"/>
        </w:rPr>
      </w:pPr>
      <w:r w:rsidRPr="00DB2543">
        <w:rPr>
          <w:szCs w:val="22"/>
          <w:lang w:val="lt-LT"/>
        </w:rPr>
        <w:t>Vaikų psoriazė</w:t>
      </w:r>
    </w:p>
    <w:p w14:paraId="4C2A9087" w14:textId="77777777" w:rsidR="00AC5C7F" w:rsidRDefault="007B6DBA" w:rsidP="007B6DBA">
      <w:pPr>
        <w:widowControl w:val="0"/>
        <w:tabs>
          <w:tab w:val="clear" w:pos="567"/>
        </w:tabs>
        <w:autoSpaceDE w:val="0"/>
        <w:autoSpaceDN w:val="0"/>
        <w:adjustRightInd w:val="0"/>
        <w:spacing w:line="240" w:lineRule="auto"/>
        <w:rPr>
          <w:szCs w:val="22"/>
          <w:lang w:val="lt-LT"/>
        </w:rPr>
      </w:pPr>
      <w:r w:rsidRPr="007B6DBA">
        <w:rPr>
          <w:szCs w:val="22"/>
          <w:lang w:val="lt-LT"/>
        </w:rPr>
        <w:t xml:space="preserve">Atliktas daugiacentris, atsitiktinių imčių, dvigubai koduotas, placebu kontroliuojamas tyrimas (SPROUT) su 245 vidutinio sunkumo arba sunkia </w:t>
      </w:r>
      <w:r w:rsidR="00863E62" w:rsidRPr="00863E62">
        <w:rPr>
          <w:szCs w:val="22"/>
          <w:lang w:val="lt-LT"/>
        </w:rPr>
        <w:t>plokšteline</w:t>
      </w:r>
      <w:r w:rsidRPr="007B6DBA">
        <w:rPr>
          <w:szCs w:val="22"/>
          <w:lang w:val="lt-LT"/>
        </w:rPr>
        <w:t xml:space="preserve"> psoriaze sergančiais 6–17</w:t>
      </w:r>
      <w:r w:rsidR="002E00D6">
        <w:rPr>
          <w:szCs w:val="22"/>
          <w:lang w:val="lt-LT"/>
        </w:rPr>
        <w:t> </w:t>
      </w:r>
      <w:r w:rsidRPr="007B6DBA">
        <w:rPr>
          <w:szCs w:val="22"/>
          <w:lang w:val="lt-LT"/>
        </w:rPr>
        <w:t>metų (imtinai) vaikais, kurie buvo tinkami gydyti fototerapija arba sistemine terapija. Į tyrimą buvo įtraukti tiriamieji, kurių sPGA balas buvo ≥</w:t>
      </w:r>
      <w:r w:rsidR="002E00D6">
        <w:rPr>
          <w:szCs w:val="22"/>
          <w:lang w:val="lt-LT"/>
        </w:rPr>
        <w:t> </w:t>
      </w:r>
      <w:r w:rsidRPr="007B6DBA">
        <w:rPr>
          <w:szCs w:val="22"/>
          <w:lang w:val="lt-LT"/>
        </w:rPr>
        <w:t>3 (vidutinio sunkumo arba sunki liga), pažeistas KPP – ≥</w:t>
      </w:r>
      <w:r w:rsidR="002E00D6">
        <w:rPr>
          <w:szCs w:val="22"/>
          <w:lang w:val="lt-LT"/>
        </w:rPr>
        <w:t> </w:t>
      </w:r>
      <w:r w:rsidRPr="007B6DBA">
        <w:rPr>
          <w:szCs w:val="22"/>
          <w:lang w:val="lt-LT"/>
        </w:rPr>
        <w:t>10</w:t>
      </w:r>
      <w:r w:rsidR="002E00D6">
        <w:rPr>
          <w:szCs w:val="22"/>
          <w:lang w:val="lt-LT"/>
        </w:rPr>
        <w:t> </w:t>
      </w:r>
      <w:r w:rsidRPr="007B6DBA">
        <w:rPr>
          <w:szCs w:val="22"/>
          <w:lang w:val="lt-LT"/>
        </w:rPr>
        <w:t>%, PPSI balas – ≥</w:t>
      </w:r>
      <w:r w:rsidR="002E00D6">
        <w:rPr>
          <w:szCs w:val="22"/>
          <w:lang w:val="lt-LT"/>
        </w:rPr>
        <w:t> </w:t>
      </w:r>
      <w:r w:rsidRPr="007B6DBA">
        <w:rPr>
          <w:szCs w:val="22"/>
          <w:lang w:val="lt-LT"/>
        </w:rPr>
        <w:t>12, o psoriazė buvo nepakankamai kontroliuojama vietine terapija arba jai netinkama.</w:t>
      </w:r>
    </w:p>
    <w:p w14:paraId="17F76050" w14:textId="77777777" w:rsidR="007B6DBA" w:rsidRPr="007B6DBA" w:rsidRDefault="007B6DBA" w:rsidP="007B6DBA">
      <w:pPr>
        <w:widowControl w:val="0"/>
        <w:tabs>
          <w:tab w:val="clear" w:pos="567"/>
        </w:tabs>
        <w:autoSpaceDE w:val="0"/>
        <w:autoSpaceDN w:val="0"/>
        <w:adjustRightInd w:val="0"/>
        <w:spacing w:line="240" w:lineRule="auto"/>
        <w:rPr>
          <w:szCs w:val="22"/>
          <w:lang w:val="lt-LT"/>
        </w:rPr>
      </w:pPr>
    </w:p>
    <w:p w14:paraId="0836ABAA" w14:textId="77777777" w:rsidR="007B6DBA" w:rsidRDefault="007B6DBA" w:rsidP="007B6DBA">
      <w:pPr>
        <w:widowControl w:val="0"/>
        <w:tabs>
          <w:tab w:val="clear" w:pos="567"/>
        </w:tabs>
        <w:autoSpaceDE w:val="0"/>
        <w:autoSpaceDN w:val="0"/>
        <w:adjustRightInd w:val="0"/>
        <w:spacing w:line="240" w:lineRule="auto"/>
        <w:rPr>
          <w:szCs w:val="22"/>
          <w:lang w:val="lt-LT"/>
        </w:rPr>
      </w:pPr>
      <w:r w:rsidRPr="007B6DBA">
        <w:rPr>
          <w:szCs w:val="22"/>
          <w:lang w:val="lt-LT"/>
        </w:rPr>
        <w:t>Tiriamiesiems atsitiktinės atrankos būdu santykiu 2:1 buvo skirta 16</w:t>
      </w:r>
      <w:r w:rsidR="00646B1A">
        <w:rPr>
          <w:szCs w:val="22"/>
          <w:lang w:val="lt-LT"/>
        </w:rPr>
        <w:t> </w:t>
      </w:r>
      <w:r w:rsidRPr="007B6DBA">
        <w:rPr>
          <w:szCs w:val="22"/>
          <w:lang w:val="lt-LT"/>
        </w:rPr>
        <w:t>savaičių vartoti apremilastą (n</w:t>
      </w:r>
      <w:r w:rsidR="002E00D6">
        <w:rPr>
          <w:szCs w:val="22"/>
          <w:lang w:val="lt-LT"/>
        </w:rPr>
        <w:t> </w:t>
      </w:r>
      <w:r w:rsidRPr="007B6DBA">
        <w:rPr>
          <w:szCs w:val="22"/>
          <w:lang w:val="lt-LT"/>
        </w:rPr>
        <w:t>=</w:t>
      </w:r>
      <w:r w:rsidR="002E00D6">
        <w:rPr>
          <w:szCs w:val="22"/>
          <w:lang w:val="lt-LT"/>
        </w:rPr>
        <w:t> </w:t>
      </w:r>
      <w:r w:rsidRPr="007B6DBA">
        <w:rPr>
          <w:szCs w:val="22"/>
          <w:lang w:val="lt-LT"/>
        </w:rPr>
        <w:t>163) arba placebą (n</w:t>
      </w:r>
      <w:r w:rsidR="002E00D6">
        <w:rPr>
          <w:szCs w:val="22"/>
          <w:lang w:val="lt-LT"/>
        </w:rPr>
        <w:t> </w:t>
      </w:r>
      <w:r w:rsidRPr="007B6DBA">
        <w:rPr>
          <w:szCs w:val="22"/>
          <w:lang w:val="lt-LT"/>
        </w:rPr>
        <w:t>=</w:t>
      </w:r>
      <w:r w:rsidR="002E00D6">
        <w:rPr>
          <w:szCs w:val="22"/>
          <w:lang w:val="lt-LT"/>
        </w:rPr>
        <w:t> </w:t>
      </w:r>
      <w:r w:rsidRPr="007B6DBA">
        <w:rPr>
          <w:szCs w:val="22"/>
          <w:lang w:val="lt-LT"/>
        </w:rPr>
        <w:t>82). Tiriamiesiems, kurių pradinis svoris buvo nuo 20</w:t>
      </w:r>
      <w:r w:rsidR="002E00D6">
        <w:rPr>
          <w:szCs w:val="22"/>
          <w:lang w:val="lt-LT"/>
        </w:rPr>
        <w:t> </w:t>
      </w:r>
      <w:r w:rsidRPr="007B6DBA">
        <w:rPr>
          <w:szCs w:val="22"/>
          <w:lang w:val="lt-LT"/>
        </w:rPr>
        <w:t>kg iki &lt;</w:t>
      </w:r>
      <w:r w:rsidR="002E00D6">
        <w:rPr>
          <w:szCs w:val="22"/>
          <w:lang w:val="lt-LT"/>
        </w:rPr>
        <w:t> </w:t>
      </w:r>
      <w:r w:rsidRPr="007B6DBA">
        <w:rPr>
          <w:szCs w:val="22"/>
          <w:lang w:val="lt-LT"/>
        </w:rPr>
        <w:t>50</w:t>
      </w:r>
      <w:r w:rsidR="002E00D6">
        <w:rPr>
          <w:szCs w:val="22"/>
          <w:lang w:val="lt-LT"/>
        </w:rPr>
        <w:t> </w:t>
      </w:r>
      <w:r w:rsidRPr="007B6DBA">
        <w:rPr>
          <w:szCs w:val="22"/>
          <w:lang w:val="lt-LT"/>
        </w:rPr>
        <w:t>kg, buvo skiriama 20</w:t>
      </w:r>
      <w:r w:rsidR="00E33E34">
        <w:rPr>
          <w:szCs w:val="22"/>
          <w:lang w:val="lt-LT"/>
        </w:rPr>
        <w:t> </w:t>
      </w:r>
      <w:r w:rsidRPr="007B6DBA">
        <w:rPr>
          <w:szCs w:val="22"/>
          <w:lang w:val="lt-LT"/>
        </w:rPr>
        <w:t>mg apremilasto du kartus per parą arba placebo du kartus per parą, o tiriamiesiems, kurių pradinis svoris buvo ≥</w:t>
      </w:r>
      <w:r w:rsidR="002E00D6">
        <w:rPr>
          <w:szCs w:val="22"/>
          <w:lang w:val="lt-LT"/>
        </w:rPr>
        <w:t> </w:t>
      </w:r>
      <w:r w:rsidRPr="007B6DBA">
        <w:rPr>
          <w:szCs w:val="22"/>
          <w:lang w:val="lt-LT"/>
        </w:rPr>
        <w:t>50</w:t>
      </w:r>
      <w:r w:rsidR="002E00D6">
        <w:rPr>
          <w:szCs w:val="22"/>
          <w:lang w:val="lt-LT"/>
        </w:rPr>
        <w:t> </w:t>
      </w:r>
      <w:r w:rsidRPr="007B6DBA">
        <w:rPr>
          <w:szCs w:val="22"/>
          <w:lang w:val="lt-LT"/>
        </w:rPr>
        <w:t>kg, buvo skiriama 30</w:t>
      </w:r>
      <w:r w:rsidR="002E00D6">
        <w:rPr>
          <w:szCs w:val="22"/>
          <w:lang w:val="lt-LT"/>
        </w:rPr>
        <w:t> </w:t>
      </w:r>
      <w:r w:rsidRPr="007B6DBA">
        <w:rPr>
          <w:szCs w:val="22"/>
          <w:lang w:val="lt-LT"/>
        </w:rPr>
        <w:t>mg apremilasto du kartus per parą arba placebo du kartus per parą. 16</w:t>
      </w:r>
      <w:r w:rsidR="002E00D6">
        <w:rPr>
          <w:szCs w:val="22"/>
          <w:lang w:val="lt-LT"/>
        </w:rPr>
        <w:t> </w:t>
      </w:r>
      <w:r w:rsidRPr="007B6DBA">
        <w:rPr>
          <w:szCs w:val="22"/>
          <w:lang w:val="lt-LT"/>
        </w:rPr>
        <w:t>savaitę placebo grupei buvo skirta vartoti apremilastą (dozė nustatyta pagal pradinį svorį), o apremilasto grupė ir toliau vartojo vaistinį preparatą (pagal pradinę dozavimo tvarką) iki 52</w:t>
      </w:r>
      <w:r w:rsidR="002E00D6">
        <w:rPr>
          <w:szCs w:val="22"/>
          <w:lang w:val="lt-LT"/>
        </w:rPr>
        <w:t> </w:t>
      </w:r>
      <w:r w:rsidRPr="007B6DBA">
        <w:rPr>
          <w:szCs w:val="22"/>
          <w:lang w:val="lt-LT"/>
        </w:rPr>
        <w:t>savaitės. Tiriamiesiems buvo leista naudoti mažo stiprumo arba silpnus vietinius kortikosteroidus veidui, pažastims ir kirkšnims bei nemedikamentinius odos drėkiklius tik kūno pažeidimams.</w:t>
      </w:r>
    </w:p>
    <w:p w14:paraId="346460FD" w14:textId="77777777" w:rsidR="003C1BDC" w:rsidRPr="007B6DBA" w:rsidRDefault="003C1BDC" w:rsidP="007B6DBA">
      <w:pPr>
        <w:widowControl w:val="0"/>
        <w:tabs>
          <w:tab w:val="clear" w:pos="567"/>
        </w:tabs>
        <w:autoSpaceDE w:val="0"/>
        <w:autoSpaceDN w:val="0"/>
        <w:adjustRightInd w:val="0"/>
        <w:spacing w:line="240" w:lineRule="auto"/>
        <w:rPr>
          <w:szCs w:val="22"/>
          <w:lang w:val="lt-LT"/>
        </w:rPr>
      </w:pPr>
    </w:p>
    <w:p w14:paraId="09E9A7A6" w14:textId="77777777" w:rsidR="007B6DBA" w:rsidRDefault="007B6DBA" w:rsidP="007B6DBA">
      <w:pPr>
        <w:widowControl w:val="0"/>
        <w:tabs>
          <w:tab w:val="clear" w:pos="567"/>
        </w:tabs>
        <w:autoSpaceDE w:val="0"/>
        <w:autoSpaceDN w:val="0"/>
        <w:adjustRightInd w:val="0"/>
        <w:spacing w:line="240" w:lineRule="auto"/>
        <w:rPr>
          <w:szCs w:val="22"/>
          <w:lang w:val="lt-LT"/>
        </w:rPr>
      </w:pPr>
      <w:r w:rsidRPr="007B6DBA">
        <w:rPr>
          <w:szCs w:val="22"/>
          <w:lang w:val="lt-LT"/>
        </w:rPr>
        <w:t>Pirminė vertinamoji baigtis buvo tiriamųjų, kuriems 16</w:t>
      </w:r>
      <w:r w:rsidR="002E00D6">
        <w:rPr>
          <w:szCs w:val="22"/>
          <w:lang w:val="lt-LT"/>
        </w:rPr>
        <w:t> </w:t>
      </w:r>
      <w:r w:rsidRPr="007B6DBA">
        <w:rPr>
          <w:szCs w:val="22"/>
          <w:lang w:val="lt-LT"/>
        </w:rPr>
        <w:t>savaitę buvo pasiektas sPGA atsakas (apibrėžiamas kaip nulinis [0] arba beveik nulinis [1] balas, sumažėjęs bent 2</w:t>
      </w:r>
      <w:r w:rsidR="002E00D6">
        <w:rPr>
          <w:szCs w:val="22"/>
          <w:lang w:val="lt-LT"/>
        </w:rPr>
        <w:t> </w:t>
      </w:r>
      <w:r w:rsidRPr="007B6DBA">
        <w:rPr>
          <w:szCs w:val="22"/>
          <w:lang w:val="lt-LT"/>
        </w:rPr>
        <w:t>taškais, palyginti su pradiniu balu), dalis. Pagrindinė antrinė vertinamoji baigtis buvo tiriamųjų, kuriems 16</w:t>
      </w:r>
      <w:r w:rsidR="002E00D6">
        <w:rPr>
          <w:szCs w:val="22"/>
          <w:lang w:val="lt-LT"/>
        </w:rPr>
        <w:t> </w:t>
      </w:r>
      <w:r w:rsidRPr="007B6DBA">
        <w:rPr>
          <w:szCs w:val="22"/>
          <w:lang w:val="lt-LT"/>
        </w:rPr>
        <w:t>savaitę buvo pasiektas PPSI-75 atsakas (PPSI balas sumažėjo bent 75</w:t>
      </w:r>
      <w:r w:rsidR="002E00D6">
        <w:rPr>
          <w:szCs w:val="22"/>
          <w:lang w:val="lt-LT"/>
        </w:rPr>
        <w:t> </w:t>
      </w:r>
      <w:r w:rsidRPr="007B6DBA">
        <w:rPr>
          <w:szCs w:val="22"/>
          <w:lang w:val="lt-LT"/>
        </w:rPr>
        <w:t>%, palyginti su pradiniu balu), dalis. Kitos vertinamosios baigtys 16</w:t>
      </w:r>
      <w:r w:rsidR="002E00D6">
        <w:rPr>
          <w:szCs w:val="22"/>
          <w:lang w:val="lt-LT"/>
        </w:rPr>
        <w:t> </w:t>
      </w:r>
      <w:r w:rsidRPr="007B6DBA">
        <w:rPr>
          <w:szCs w:val="22"/>
          <w:lang w:val="lt-LT"/>
        </w:rPr>
        <w:t>savaitę buvo tiriamųjų, kurie pasiekė PPSI-50 atsaką (PPSI balas sumažėjo bent 50</w:t>
      </w:r>
      <w:r w:rsidR="002E00D6">
        <w:rPr>
          <w:szCs w:val="22"/>
          <w:lang w:val="lt-LT"/>
        </w:rPr>
        <w:t> </w:t>
      </w:r>
      <w:r w:rsidRPr="007B6DBA">
        <w:rPr>
          <w:szCs w:val="22"/>
          <w:lang w:val="lt-LT"/>
        </w:rPr>
        <w:t>%, palyginti su pradiniu balu), PPSI-90 atsaką (PPSI balas sumažėjo bent 90</w:t>
      </w:r>
      <w:r w:rsidR="002E00D6">
        <w:rPr>
          <w:szCs w:val="22"/>
          <w:lang w:val="lt-LT"/>
        </w:rPr>
        <w:t> </w:t>
      </w:r>
      <w:r w:rsidRPr="007B6DBA">
        <w:rPr>
          <w:szCs w:val="22"/>
          <w:lang w:val="lt-LT"/>
        </w:rPr>
        <w:t>%, palyginti su pradiniu balu) ir vaikų dermatologinio gyvenimo kokybės indekso (VDGKI) atsaką (bendras VDGKI balas 0 arba 1), dalys, pažeisto KPP procentinis pokytis nuo pradinio lygio, PPSI balo pokytis nuo pradinio balo ir bendro VDGKI balo pokytis nuo pradinio balo.</w:t>
      </w:r>
    </w:p>
    <w:p w14:paraId="63D147B2" w14:textId="77777777" w:rsidR="008B2801" w:rsidRPr="007B6DBA" w:rsidRDefault="008B2801" w:rsidP="007B6DBA">
      <w:pPr>
        <w:widowControl w:val="0"/>
        <w:tabs>
          <w:tab w:val="clear" w:pos="567"/>
        </w:tabs>
        <w:autoSpaceDE w:val="0"/>
        <w:autoSpaceDN w:val="0"/>
        <w:adjustRightInd w:val="0"/>
        <w:spacing w:line="240" w:lineRule="auto"/>
        <w:rPr>
          <w:szCs w:val="22"/>
          <w:lang w:val="lt-LT"/>
        </w:rPr>
      </w:pPr>
    </w:p>
    <w:p w14:paraId="6EB860F0" w14:textId="77777777" w:rsidR="007B6DBA" w:rsidRDefault="007B6DBA" w:rsidP="007B6DBA">
      <w:pPr>
        <w:widowControl w:val="0"/>
        <w:tabs>
          <w:tab w:val="clear" w:pos="567"/>
        </w:tabs>
        <w:autoSpaceDE w:val="0"/>
        <w:autoSpaceDN w:val="0"/>
        <w:adjustRightInd w:val="0"/>
        <w:spacing w:line="240" w:lineRule="auto"/>
        <w:rPr>
          <w:szCs w:val="22"/>
          <w:lang w:val="lt-LT"/>
        </w:rPr>
      </w:pPr>
      <w:r w:rsidRPr="007B6DBA">
        <w:rPr>
          <w:szCs w:val="22"/>
          <w:lang w:val="lt-LT"/>
        </w:rPr>
        <w:t>Į tyrimą įtrauktų tiriamųjų amžius svyravo nuo 6 iki 17</w:t>
      </w:r>
      <w:r w:rsidR="002E00D6">
        <w:rPr>
          <w:szCs w:val="22"/>
          <w:lang w:val="lt-LT"/>
        </w:rPr>
        <w:t> </w:t>
      </w:r>
      <w:r w:rsidRPr="007B6DBA">
        <w:rPr>
          <w:szCs w:val="22"/>
          <w:lang w:val="lt-LT"/>
        </w:rPr>
        <w:t>metų, amžiaus mediana – 13</w:t>
      </w:r>
      <w:r w:rsidR="002E00D6">
        <w:rPr>
          <w:szCs w:val="22"/>
          <w:lang w:val="lt-LT"/>
        </w:rPr>
        <w:t> </w:t>
      </w:r>
      <w:r w:rsidRPr="007B6DBA">
        <w:rPr>
          <w:szCs w:val="22"/>
          <w:lang w:val="lt-LT"/>
        </w:rPr>
        <w:t>metų; 41,2</w:t>
      </w:r>
      <w:r w:rsidR="002E00D6">
        <w:rPr>
          <w:szCs w:val="22"/>
          <w:lang w:val="lt-LT"/>
        </w:rPr>
        <w:t> </w:t>
      </w:r>
      <w:r w:rsidRPr="007B6DBA">
        <w:rPr>
          <w:szCs w:val="22"/>
          <w:lang w:val="lt-LT"/>
        </w:rPr>
        <w:t>% tiriamųjų buvo nuo 6 iki 11</w:t>
      </w:r>
      <w:r w:rsidR="002E00D6">
        <w:rPr>
          <w:szCs w:val="22"/>
          <w:lang w:val="lt-LT"/>
        </w:rPr>
        <w:t> </w:t>
      </w:r>
      <w:r w:rsidRPr="007B6DBA">
        <w:rPr>
          <w:szCs w:val="22"/>
          <w:lang w:val="lt-LT"/>
        </w:rPr>
        <w:t>metų, o 58,8</w:t>
      </w:r>
      <w:r w:rsidR="002E00D6">
        <w:rPr>
          <w:szCs w:val="22"/>
          <w:lang w:val="lt-LT"/>
        </w:rPr>
        <w:t> </w:t>
      </w:r>
      <w:r w:rsidRPr="007B6DBA">
        <w:rPr>
          <w:szCs w:val="22"/>
          <w:lang w:val="lt-LT"/>
        </w:rPr>
        <w:t>% tiriamųjų – nuo 12 iki 17</w:t>
      </w:r>
      <w:r w:rsidR="002E00D6">
        <w:rPr>
          <w:szCs w:val="22"/>
          <w:lang w:val="lt-LT"/>
        </w:rPr>
        <w:t> </w:t>
      </w:r>
      <w:r w:rsidRPr="007B6DBA">
        <w:rPr>
          <w:szCs w:val="22"/>
          <w:lang w:val="lt-LT"/>
        </w:rPr>
        <w:t>metų. Vidutinis pradinis pažeistas KPP buvo 31,5</w:t>
      </w:r>
      <w:r w:rsidR="002E00D6">
        <w:rPr>
          <w:szCs w:val="22"/>
          <w:lang w:val="lt-LT"/>
        </w:rPr>
        <w:t> </w:t>
      </w:r>
      <w:r w:rsidRPr="007B6DBA">
        <w:rPr>
          <w:szCs w:val="22"/>
          <w:lang w:val="lt-LT"/>
        </w:rPr>
        <w:t>% (mediana – 26,0</w:t>
      </w:r>
      <w:r w:rsidR="002E00D6">
        <w:rPr>
          <w:szCs w:val="22"/>
          <w:lang w:val="lt-LT"/>
        </w:rPr>
        <w:t> </w:t>
      </w:r>
      <w:r w:rsidRPr="007B6DBA">
        <w:rPr>
          <w:szCs w:val="22"/>
          <w:lang w:val="lt-LT"/>
        </w:rPr>
        <w:t>%), vidutinis pradinis PPSI balas – 19,8 (mediana – 17,2), o tiriamųjų, kurių sPGA balas buvo 3 (vidutinio sunkumo) ir 4 (sunki), dalis pradžioje buvo atitinkamai 75,5</w:t>
      </w:r>
      <w:r w:rsidR="002E00D6">
        <w:rPr>
          <w:szCs w:val="22"/>
          <w:lang w:val="lt-LT"/>
        </w:rPr>
        <w:t> </w:t>
      </w:r>
      <w:r w:rsidRPr="007B6DBA">
        <w:rPr>
          <w:szCs w:val="22"/>
          <w:lang w:val="lt-LT"/>
        </w:rPr>
        <w:t>% ir 24,5</w:t>
      </w:r>
      <w:r w:rsidR="002E00D6">
        <w:rPr>
          <w:szCs w:val="22"/>
          <w:lang w:val="lt-LT"/>
        </w:rPr>
        <w:t> </w:t>
      </w:r>
      <w:r w:rsidRPr="007B6DBA">
        <w:rPr>
          <w:szCs w:val="22"/>
          <w:lang w:val="lt-LT"/>
        </w:rPr>
        <w:t>%. Iš visų į tyrimą įtrauktų tiriamųjų 82,9 % anksčiau nebuvo taikyta tradicinė sisteminė terapija, 82,4</w:t>
      </w:r>
      <w:r w:rsidR="002E00D6">
        <w:rPr>
          <w:szCs w:val="22"/>
          <w:lang w:val="lt-LT"/>
        </w:rPr>
        <w:t> </w:t>
      </w:r>
      <w:r w:rsidRPr="007B6DBA">
        <w:rPr>
          <w:szCs w:val="22"/>
          <w:lang w:val="lt-LT"/>
        </w:rPr>
        <w:t>% – fototerapija, o 94,3</w:t>
      </w:r>
      <w:r w:rsidR="002E00D6">
        <w:rPr>
          <w:szCs w:val="22"/>
          <w:lang w:val="lt-LT"/>
        </w:rPr>
        <w:t> </w:t>
      </w:r>
      <w:r w:rsidRPr="007B6DBA">
        <w:rPr>
          <w:szCs w:val="22"/>
          <w:lang w:val="lt-LT"/>
        </w:rPr>
        <w:t>% – biologinė terapija.</w:t>
      </w:r>
    </w:p>
    <w:p w14:paraId="326BB8E5" w14:textId="77777777" w:rsidR="008B2801" w:rsidRPr="007B6DBA" w:rsidRDefault="008B2801" w:rsidP="007B6DBA">
      <w:pPr>
        <w:widowControl w:val="0"/>
        <w:tabs>
          <w:tab w:val="clear" w:pos="567"/>
        </w:tabs>
        <w:autoSpaceDE w:val="0"/>
        <w:autoSpaceDN w:val="0"/>
        <w:adjustRightInd w:val="0"/>
        <w:spacing w:line="240" w:lineRule="auto"/>
        <w:rPr>
          <w:szCs w:val="22"/>
          <w:lang w:val="lt-LT"/>
        </w:rPr>
      </w:pPr>
    </w:p>
    <w:p w14:paraId="69A0FDA2" w14:textId="77777777" w:rsidR="007B6DBA" w:rsidRDefault="007B6DBA" w:rsidP="007B6DBA">
      <w:pPr>
        <w:widowControl w:val="0"/>
        <w:tabs>
          <w:tab w:val="clear" w:pos="567"/>
        </w:tabs>
        <w:autoSpaceDE w:val="0"/>
        <w:autoSpaceDN w:val="0"/>
        <w:adjustRightInd w:val="0"/>
        <w:spacing w:line="240" w:lineRule="auto"/>
        <w:rPr>
          <w:szCs w:val="22"/>
          <w:lang w:val="lt-LT"/>
        </w:rPr>
      </w:pPr>
      <w:r w:rsidRPr="007B6DBA">
        <w:rPr>
          <w:szCs w:val="22"/>
          <w:lang w:val="lt-LT"/>
        </w:rPr>
        <w:t>Veiksmingumo rezultatai 16</w:t>
      </w:r>
      <w:r w:rsidR="002E00D6">
        <w:rPr>
          <w:szCs w:val="22"/>
          <w:lang w:val="lt-LT"/>
        </w:rPr>
        <w:t> </w:t>
      </w:r>
      <w:r w:rsidRPr="007B6DBA">
        <w:rPr>
          <w:szCs w:val="22"/>
          <w:lang w:val="lt-LT"/>
        </w:rPr>
        <w:t>savaitę pateikti 7</w:t>
      </w:r>
      <w:r w:rsidR="002E00D6">
        <w:rPr>
          <w:szCs w:val="22"/>
          <w:lang w:val="lt-LT"/>
        </w:rPr>
        <w:t> </w:t>
      </w:r>
      <w:r w:rsidRPr="007B6DBA">
        <w:rPr>
          <w:szCs w:val="22"/>
          <w:lang w:val="lt-LT"/>
        </w:rPr>
        <w:t>lentelėje.</w:t>
      </w:r>
    </w:p>
    <w:p w14:paraId="602F24E3" w14:textId="77777777" w:rsidR="002E00D6" w:rsidRPr="007B6DBA" w:rsidRDefault="002E00D6" w:rsidP="007B6DBA">
      <w:pPr>
        <w:widowControl w:val="0"/>
        <w:tabs>
          <w:tab w:val="clear" w:pos="567"/>
        </w:tabs>
        <w:autoSpaceDE w:val="0"/>
        <w:autoSpaceDN w:val="0"/>
        <w:adjustRightInd w:val="0"/>
        <w:spacing w:line="240" w:lineRule="auto"/>
        <w:rPr>
          <w:szCs w:val="22"/>
          <w:lang w:val="lt-LT"/>
        </w:rPr>
      </w:pPr>
    </w:p>
    <w:p w14:paraId="0BA70E08" w14:textId="77777777" w:rsidR="007B6DBA" w:rsidRDefault="007B6DBA" w:rsidP="00DB2543">
      <w:pPr>
        <w:widowControl w:val="0"/>
        <w:tabs>
          <w:tab w:val="clear" w:pos="567"/>
        </w:tabs>
        <w:autoSpaceDE w:val="0"/>
        <w:autoSpaceDN w:val="0"/>
        <w:adjustRightInd w:val="0"/>
        <w:spacing w:line="240" w:lineRule="auto"/>
        <w:ind w:left="993" w:hanging="993"/>
        <w:rPr>
          <w:szCs w:val="22"/>
          <w:lang w:val="lt-LT"/>
        </w:rPr>
      </w:pPr>
      <w:r w:rsidRPr="007B6DBA">
        <w:rPr>
          <w:b/>
          <w:bCs/>
          <w:szCs w:val="22"/>
          <w:lang w:val="lt-LT"/>
        </w:rPr>
        <w:t>7</w:t>
      </w:r>
      <w:r w:rsidR="002E00D6">
        <w:rPr>
          <w:b/>
          <w:bCs/>
          <w:szCs w:val="22"/>
          <w:lang w:val="lt-LT"/>
        </w:rPr>
        <w:t> </w:t>
      </w:r>
      <w:r w:rsidRPr="007B6DBA">
        <w:rPr>
          <w:b/>
          <w:bCs/>
          <w:szCs w:val="22"/>
          <w:lang w:val="lt-LT"/>
        </w:rPr>
        <w:t>lentelė.</w:t>
      </w:r>
      <w:r w:rsidR="008B2801" w:rsidRPr="008B2801">
        <w:rPr>
          <w:b/>
          <w:bCs/>
          <w:snapToGrid/>
          <w:szCs w:val="22"/>
          <w:lang w:val="lt-LT"/>
        </w:rPr>
        <w:t xml:space="preserve"> </w:t>
      </w:r>
      <w:r w:rsidR="008B2801" w:rsidRPr="00CD7E52">
        <w:rPr>
          <w:b/>
          <w:bCs/>
          <w:snapToGrid/>
          <w:szCs w:val="22"/>
          <w:lang w:val="lt-LT"/>
        </w:rPr>
        <w:tab/>
      </w:r>
      <w:r w:rsidRPr="007B6DBA">
        <w:rPr>
          <w:b/>
          <w:bCs/>
          <w:szCs w:val="22"/>
          <w:lang w:val="lt-LT"/>
        </w:rPr>
        <w:t xml:space="preserve">Vaikų, sergančių vidutinio sunkumo arba sunkia </w:t>
      </w:r>
      <w:r w:rsidR="00863E62" w:rsidRPr="00863E62">
        <w:rPr>
          <w:b/>
          <w:bCs/>
          <w:szCs w:val="22"/>
          <w:lang w:val="lt-LT"/>
        </w:rPr>
        <w:t>plokšteline</w:t>
      </w:r>
      <w:r w:rsidRPr="007B6DBA">
        <w:rPr>
          <w:b/>
          <w:bCs/>
          <w:szCs w:val="22"/>
          <w:lang w:val="lt-LT"/>
        </w:rPr>
        <w:t xml:space="preserve"> psoriaze, veiksmingumo rezultatai 16</w:t>
      </w:r>
      <w:r w:rsidR="002E00D6">
        <w:rPr>
          <w:b/>
          <w:bCs/>
          <w:szCs w:val="22"/>
          <w:lang w:val="lt-LT"/>
        </w:rPr>
        <w:t> </w:t>
      </w:r>
      <w:r w:rsidRPr="007B6DBA">
        <w:rPr>
          <w:b/>
          <w:bCs/>
          <w:szCs w:val="22"/>
          <w:lang w:val="lt-LT"/>
        </w:rPr>
        <w:t>savaitę (ITT populiacija)</w:t>
      </w:r>
    </w:p>
    <w:p w14:paraId="22D1FC29" w14:textId="77777777" w:rsidR="007B6DBA" w:rsidRDefault="007B6DBA" w:rsidP="00BD0220">
      <w:pPr>
        <w:widowControl w:val="0"/>
        <w:tabs>
          <w:tab w:val="clear" w:pos="567"/>
        </w:tabs>
        <w:autoSpaceDE w:val="0"/>
        <w:autoSpaceDN w:val="0"/>
        <w:adjustRightInd w:val="0"/>
        <w:spacing w:line="240" w:lineRule="auto"/>
        <w:rPr>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1559"/>
        <w:gridCol w:w="1694"/>
      </w:tblGrid>
      <w:tr w:rsidR="00786239" w:rsidRPr="00381F95" w14:paraId="2454C90F" w14:textId="77777777" w:rsidTr="00686BBB">
        <w:tc>
          <w:tcPr>
            <w:tcW w:w="5699" w:type="dxa"/>
          </w:tcPr>
          <w:p w14:paraId="6CC36DA9" w14:textId="77777777" w:rsidR="00786239" w:rsidRPr="00196E22" w:rsidRDefault="00786239" w:rsidP="00686BBB">
            <w:pPr>
              <w:spacing w:before="60" w:after="60"/>
              <w:rPr>
                <w:b/>
                <w:bCs/>
                <w:sz w:val="20"/>
                <w:lang w:val="lt-LT"/>
              </w:rPr>
            </w:pPr>
          </w:p>
        </w:tc>
        <w:tc>
          <w:tcPr>
            <w:tcW w:w="3253" w:type="dxa"/>
            <w:gridSpan w:val="2"/>
          </w:tcPr>
          <w:p w14:paraId="2052D226" w14:textId="77777777" w:rsidR="00786239" w:rsidRPr="00686BBB" w:rsidRDefault="00786239" w:rsidP="00686BBB">
            <w:pPr>
              <w:spacing w:before="60" w:after="60"/>
              <w:jc w:val="center"/>
              <w:rPr>
                <w:b/>
                <w:bCs/>
                <w:sz w:val="20"/>
              </w:rPr>
            </w:pPr>
            <w:r w:rsidRPr="00686BBB">
              <w:rPr>
                <w:b/>
                <w:bCs/>
                <w:sz w:val="20"/>
              </w:rPr>
              <w:t>SPROUT</w:t>
            </w:r>
          </w:p>
        </w:tc>
      </w:tr>
      <w:tr w:rsidR="00786239" w:rsidRPr="00381F95" w14:paraId="111EC76B" w14:textId="77777777" w:rsidTr="00686BBB">
        <w:tc>
          <w:tcPr>
            <w:tcW w:w="5699" w:type="dxa"/>
          </w:tcPr>
          <w:p w14:paraId="63B20257" w14:textId="77777777" w:rsidR="00786239" w:rsidRPr="00686BBB" w:rsidRDefault="00786239" w:rsidP="00686BBB">
            <w:pPr>
              <w:pStyle w:val="Default"/>
              <w:rPr>
                <w:b/>
                <w:bCs/>
                <w:sz w:val="20"/>
                <w:szCs w:val="20"/>
              </w:rPr>
            </w:pPr>
            <w:proofErr w:type="spellStart"/>
            <w:r w:rsidRPr="00686BBB">
              <w:rPr>
                <w:b/>
                <w:bCs/>
                <w:sz w:val="20"/>
                <w:szCs w:val="20"/>
              </w:rPr>
              <w:t>Vertinamoji</w:t>
            </w:r>
            <w:proofErr w:type="spellEnd"/>
            <w:r w:rsidRPr="00686BBB">
              <w:rPr>
                <w:b/>
                <w:bCs/>
                <w:sz w:val="20"/>
                <w:szCs w:val="20"/>
              </w:rPr>
              <w:t xml:space="preserve"> </w:t>
            </w:r>
            <w:proofErr w:type="spellStart"/>
            <w:r w:rsidRPr="00686BBB">
              <w:rPr>
                <w:b/>
                <w:bCs/>
                <w:sz w:val="20"/>
                <w:szCs w:val="20"/>
              </w:rPr>
              <w:t>baigtis</w:t>
            </w:r>
            <w:r w:rsidRPr="00686BBB">
              <w:rPr>
                <w:b/>
                <w:bCs/>
                <w:sz w:val="20"/>
                <w:szCs w:val="20"/>
                <w:vertAlign w:val="superscript"/>
              </w:rPr>
              <w:t>a</w:t>
            </w:r>
            <w:proofErr w:type="spellEnd"/>
          </w:p>
        </w:tc>
        <w:tc>
          <w:tcPr>
            <w:tcW w:w="1559" w:type="dxa"/>
          </w:tcPr>
          <w:p w14:paraId="3F109ECB" w14:textId="77777777" w:rsidR="00786239" w:rsidRPr="00686BBB" w:rsidRDefault="00786239" w:rsidP="00686BBB">
            <w:pPr>
              <w:spacing w:before="60" w:after="60"/>
              <w:jc w:val="center"/>
              <w:rPr>
                <w:b/>
                <w:bCs/>
                <w:sz w:val="20"/>
              </w:rPr>
            </w:pPr>
            <w:proofErr w:type="spellStart"/>
            <w:r w:rsidRPr="00686BBB">
              <w:rPr>
                <w:b/>
                <w:bCs/>
                <w:sz w:val="20"/>
              </w:rPr>
              <w:t>Placebas</w:t>
            </w:r>
            <w:proofErr w:type="spellEnd"/>
          </w:p>
        </w:tc>
        <w:tc>
          <w:tcPr>
            <w:tcW w:w="1694" w:type="dxa"/>
          </w:tcPr>
          <w:p w14:paraId="7BA8ADC1" w14:textId="77777777" w:rsidR="00786239" w:rsidRPr="00686BBB" w:rsidRDefault="00786239" w:rsidP="00686BBB">
            <w:pPr>
              <w:spacing w:before="60" w:after="60"/>
              <w:jc w:val="center"/>
              <w:rPr>
                <w:b/>
                <w:bCs/>
                <w:sz w:val="20"/>
              </w:rPr>
            </w:pPr>
            <w:proofErr w:type="spellStart"/>
            <w:r w:rsidRPr="00686BBB">
              <w:rPr>
                <w:b/>
                <w:bCs/>
                <w:sz w:val="20"/>
              </w:rPr>
              <w:t>Apremilastas</w:t>
            </w:r>
            <w:proofErr w:type="spellEnd"/>
          </w:p>
        </w:tc>
      </w:tr>
      <w:tr w:rsidR="00786239" w:rsidRPr="00381F95" w14:paraId="235ADB5D" w14:textId="77777777" w:rsidTr="00686BBB">
        <w:tc>
          <w:tcPr>
            <w:tcW w:w="5699" w:type="dxa"/>
          </w:tcPr>
          <w:p w14:paraId="64D5028D" w14:textId="77777777" w:rsidR="00786239" w:rsidRPr="00686BBB" w:rsidRDefault="00786239" w:rsidP="00686BBB">
            <w:pPr>
              <w:spacing w:before="60" w:after="60"/>
              <w:rPr>
                <w:b/>
                <w:bCs/>
                <w:sz w:val="20"/>
              </w:rPr>
            </w:pPr>
            <w:proofErr w:type="spellStart"/>
            <w:r w:rsidRPr="00686BBB">
              <w:rPr>
                <w:b/>
                <w:bCs/>
                <w:sz w:val="20"/>
              </w:rPr>
              <w:t>Atsitiktinės</w:t>
            </w:r>
            <w:proofErr w:type="spellEnd"/>
            <w:r w:rsidRPr="00686BBB">
              <w:rPr>
                <w:b/>
                <w:bCs/>
                <w:sz w:val="20"/>
              </w:rPr>
              <w:t xml:space="preserve"> </w:t>
            </w:r>
            <w:proofErr w:type="spellStart"/>
            <w:r w:rsidRPr="00686BBB">
              <w:rPr>
                <w:b/>
                <w:bCs/>
                <w:sz w:val="20"/>
              </w:rPr>
              <w:t>atrankos</w:t>
            </w:r>
            <w:proofErr w:type="spellEnd"/>
            <w:r w:rsidRPr="00686BBB">
              <w:rPr>
                <w:b/>
                <w:bCs/>
                <w:sz w:val="20"/>
              </w:rPr>
              <w:t xml:space="preserve"> </w:t>
            </w:r>
            <w:proofErr w:type="spellStart"/>
            <w:r w:rsidRPr="00686BBB">
              <w:rPr>
                <w:b/>
                <w:bCs/>
                <w:sz w:val="20"/>
              </w:rPr>
              <w:t>būdu</w:t>
            </w:r>
            <w:proofErr w:type="spellEnd"/>
            <w:r w:rsidRPr="00686BBB">
              <w:rPr>
                <w:b/>
                <w:bCs/>
                <w:sz w:val="20"/>
              </w:rPr>
              <w:t xml:space="preserve"> </w:t>
            </w:r>
            <w:proofErr w:type="spellStart"/>
            <w:r w:rsidRPr="00686BBB">
              <w:rPr>
                <w:b/>
                <w:bCs/>
                <w:sz w:val="20"/>
              </w:rPr>
              <w:t>atrinktų</w:t>
            </w:r>
            <w:proofErr w:type="spellEnd"/>
            <w:r w:rsidRPr="00686BBB">
              <w:rPr>
                <w:b/>
                <w:bCs/>
                <w:sz w:val="20"/>
              </w:rPr>
              <w:t xml:space="preserve"> </w:t>
            </w:r>
            <w:proofErr w:type="spellStart"/>
            <w:r w:rsidRPr="00686BBB">
              <w:rPr>
                <w:b/>
                <w:bCs/>
                <w:sz w:val="20"/>
              </w:rPr>
              <w:t>tiriamųjų</w:t>
            </w:r>
            <w:proofErr w:type="spellEnd"/>
            <w:r w:rsidRPr="00686BBB">
              <w:rPr>
                <w:b/>
                <w:bCs/>
                <w:sz w:val="20"/>
              </w:rPr>
              <w:t xml:space="preserve"> </w:t>
            </w:r>
            <w:proofErr w:type="spellStart"/>
            <w:r w:rsidRPr="00686BBB">
              <w:rPr>
                <w:b/>
                <w:bCs/>
                <w:sz w:val="20"/>
              </w:rPr>
              <w:t>skaičius</w:t>
            </w:r>
            <w:proofErr w:type="spellEnd"/>
          </w:p>
        </w:tc>
        <w:tc>
          <w:tcPr>
            <w:tcW w:w="1559" w:type="dxa"/>
          </w:tcPr>
          <w:p w14:paraId="5ACFBB48" w14:textId="77777777" w:rsidR="00786239" w:rsidRPr="00686BBB" w:rsidRDefault="00786239" w:rsidP="00686BBB">
            <w:pPr>
              <w:spacing w:before="60" w:after="60"/>
              <w:jc w:val="center"/>
              <w:rPr>
                <w:b/>
                <w:bCs/>
                <w:sz w:val="20"/>
              </w:rPr>
            </w:pPr>
            <w:r w:rsidRPr="00686BBB">
              <w:rPr>
                <w:b/>
                <w:bCs/>
                <w:sz w:val="20"/>
              </w:rPr>
              <w:t>N</w:t>
            </w:r>
            <w:r w:rsidR="008B2801" w:rsidRPr="00686BBB">
              <w:rPr>
                <w:b/>
                <w:bCs/>
                <w:sz w:val="20"/>
              </w:rPr>
              <w:t> </w:t>
            </w:r>
            <w:r w:rsidRPr="00686BBB">
              <w:rPr>
                <w:b/>
                <w:bCs/>
                <w:sz w:val="20"/>
              </w:rPr>
              <w:t>=</w:t>
            </w:r>
            <w:r w:rsidR="008B2801" w:rsidRPr="00686BBB">
              <w:rPr>
                <w:b/>
                <w:bCs/>
                <w:sz w:val="20"/>
              </w:rPr>
              <w:t> </w:t>
            </w:r>
            <w:r w:rsidRPr="00686BBB">
              <w:rPr>
                <w:b/>
                <w:bCs/>
                <w:sz w:val="20"/>
              </w:rPr>
              <w:t>82</w:t>
            </w:r>
          </w:p>
        </w:tc>
        <w:tc>
          <w:tcPr>
            <w:tcW w:w="1694" w:type="dxa"/>
          </w:tcPr>
          <w:p w14:paraId="6E508DBF" w14:textId="77777777" w:rsidR="00786239" w:rsidRPr="00686BBB" w:rsidRDefault="00786239" w:rsidP="00686BBB">
            <w:pPr>
              <w:spacing w:before="60" w:after="60"/>
              <w:jc w:val="center"/>
              <w:rPr>
                <w:b/>
                <w:bCs/>
                <w:sz w:val="20"/>
              </w:rPr>
            </w:pPr>
            <w:r w:rsidRPr="00686BBB">
              <w:rPr>
                <w:b/>
                <w:bCs/>
                <w:sz w:val="20"/>
              </w:rPr>
              <w:t>N</w:t>
            </w:r>
            <w:r w:rsidR="008B2801" w:rsidRPr="00686BBB">
              <w:rPr>
                <w:b/>
                <w:bCs/>
                <w:sz w:val="20"/>
              </w:rPr>
              <w:t> </w:t>
            </w:r>
            <w:r w:rsidRPr="00686BBB">
              <w:rPr>
                <w:b/>
                <w:bCs/>
                <w:sz w:val="20"/>
              </w:rPr>
              <w:t>=</w:t>
            </w:r>
            <w:r w:rsidR="008B2801" w:rsidRPr="00686BBB">
              <w:rPr>
                <w:b/>
                <w:bCs/>
                <w:sz w:val="20"/>
              </w:rPr>
              <w:t> </w:t>
            </w:r>
            <w:r w:rsidRPr="00686BBB">
              <w:rPr>
                <w:b/>
                <w:bCs/>
                <w:sz w:val="20"/>
              </w:rPr>
              <w:t>163</w:t>
            </w:r>
          </w:p>
        </w:tc>
      </w:tr>
      <w:tr w:rsidR="00786239" w:rsidRPr="00C64524" w14:paraId="0648C360" w14:textId="77777777" w:rsidTr="00686BBB">
        <w:tc>
          <w:tcPr>
            <w:tcW w:w="5699" w:type="dxa"/>
          </w:tcPr>
          <w:p w14:paraId="6F9E45BD" w14:textId="77777777" w:rsidR="00786239" w:rsidRPr="00686BBB" w:rsidRDefault="00786239" w:rsidP="00686BBB">
            <w:pPr>
              <w:tabs>
                <w:tab w:val="clear" w:pos="567"/>
                <w:tab w:val="left" w:pos="547"/>
              </w:tabs>
              <w:spacing w:before="60" w:after="60"/>
              <w:rPr>
                <w:sz w:val="20"/>
              </w:rPr>
            </w:pPr>
            <w:r w:rsidRPr="00686BBB">
              <w:rPr>
                <w:sz w:val="20"/>
              </w:rPr>
              <w:tab/>
            </w:r>
            <w:proofErr w:type="spellStart"/>
            <w:r w:rsidRPr="00686BBB">
              <w:rPr>
                <w:sz w:val="20"/>
              </w:rPr>
              <w:t>sPGA</w:t>
            </w:r>
            <w:proofErr w:type="spellEnd"/>
            <w:r w:rsidRPr="00686BBB">
              <w:rPr>
                <w:sz w:val="20"/>
              </w:rPr>
              <w:t xml:space="preserve"> </w:t>
            </w:r>
            <w:proofErr w:type="spellStart"/>
            <w:r w:rsidRPr="00686BBB">
              <w:rPr>
                <w:sz w:val="20"/>
              </w:rPr>
              <w:t>atsakas</w:t>
            </w:r>
            <w:r w:rsidRPr="00686BBB">
              <w:rPr>
                <w:sz w:val="20"/>
                <w:vertAlign w:val="superscript"/>
              </w:rPr>
              <w:t>b</w:t>
            </w:r>
            <w:proofErr w:type="spellEnd"/>
          </w:p>
        </w:tc>
        <w:tc>
          <w:tcPr>
            <w:tcW w:w="1559" w:type="dxa"/>
          </w:tcPr>
          <w:p w14:paraId="25E66464" w14:textId="77777777" w:rsidR="00786239" w:rsidRPr="00686BBB" w:rsidRDefault="00786239" w:rsidP="00686BBB">
            <w:pPr>
              <w:spacing w:before="60" w:after="60"/>
              <w:jc w:val="center"/>
              <w:rPr>
                <w:sz w:val="20"/>
              </w:rPr>
            </w:pPr>
            <w:r w:rsidRPr="00686BBB">
              <w:rPr>
                <w:sz w:val="20"/>
              </w:rPr>
              <w:t>11</w:t>
            </w:r>
            <w:r w:rsidR="002E00D6" w:rsidRPr="00686BBB">
              <w:rPr>
                <w:sz w:val="20"/>
              </w:rPr>
              <w:t>,</w:t>
            </w:r>
            <w:r w:rsidRPr="00686BBB">
              <w:rPr>
                <w:sz w:val="20"/>
              </w:rPr>
              <w:t>5 %</w:t>
            </w:r>
          </w:p>
        </w:tc>
        <w:tc>
          <w:tcPr>
            <w:tcW w:w="1694" w:type="dxa"/>
          </w:tcPr>
          <w:p w14:paraId="12A60634" w14:textId="77777777" w:rsidR="00786239" w:rsidRPr="00686BBB" w:rsidRDefault="00786239" w:rsidP="00686BBB">
            <w:pPr>
              <w:spacing w:before="60" w:after="60"/>
              <w:jc w:val="center"/>
              <w:rPr>
                <w:sz w:val="20"/>
              </w:rPr>
            </w:pPr>
            <w:r w:rsidRPr="00686BBB">
              <w:rPr>
                <w:sz w:val="20"/>
              </w:rPr>
              <w:t>33</w:t>
            </w:r>
            <w:r w:rsidR="002E00D6" w:rsidRPr="00686BBB">
              <w:rPr>
                <w:sz w:val="20"/>
              </w:rPr>
              <w:t>,</w:t>
            </w:r>
            <w:r w:rsidRPr="00686BBB">
              <w:rPr>
                <w:sz w:val="20"/>
              </w:rPr>
              <w:t>1 %</w:t>
            </w:r>
          </w:p>
        </w:tc>
      </w:tr>
      <w:tr w:rsidR="00786239" w:rsidRPr="00C64524" w14:paraId="7CA51FB8" w14:textId="77777777" w:rsidTr="00686BBB">
        <w:tc>
          <w:tcPr>
            <w:tcW w:w="5699" w:type="dxa"/>
          </w:tcPr>
          <w:p w14:paraId="307BDC1E" w14:textId="77777777" w:rsidR="00786239" w:rsidRPr="00686BBB" w:rsidRDefault="00786239" w:rsidP="00686BBB">
            <w:pPr>
              <w:tabs>
                <w:tab w:val="clear" w:pos="567"/>
                <w:tab w:val="left" w:pos="547"/>
              </w:tabs>
              <w:spacing w:before="60" w:after="60"/>
              <w:rPr>
                <w:sz w:val="20"/>
              </w:rPr>
            </w:pPr>
            <w:r w:rsidRPr="00686BBB">
              <w:rPr>
                <w:sz w:val="20"/>
              </w:rPr>
              <w:lastRenderedPageBreak/>
              <w:tab/>
              <w:t>P</w:t>
            </w:r>
            <w:r w:rsidR="00FB0FD4" w:rsidRPr="00686BBB">
              <w:rPr>
                <w:sz w:val="20"/>
              </w:rPr>
              <w:t>PSI</w:t>
            </w:r>
            <w:r w:rsidRPr="00686BBB">
              <w:rPr>
                <w:sz w:val="20"/>
              </w:rPr>
              <w:t xml:space="preserve">-75 </w:t>
            </w:r>
            <w:proofErr w:type="spellStart"/>
            <w:r w:rsidR="00FB0FD4" w:rsidRPr="00686BBB">
              <w:rPr>
                <w:sz w:val="20"/>
              </w:rPr>
              <w:t>atsakas</w:t>
            </w:r>
            <w:r w:rsidRPr="00686BBB">
              <w:rPr>
                <w:sz w:val="20"/>
                <w:vertAlign w:val="superscript"/>
              </w:rPr>
              <w:t>b</w:t>
            </w:r>
            <w:proofErr w:type="spellEnd"/>
          </w:p>
        </w:tc>
        <w:tc>
          <w:tcPr>
            <w:tcW w:w="1559" w:type="dxa"/>
          </w:tcPr>
          <w:p w14:paraId="1AB8451D" w14:textId="77777777" w:rsidR="00786239" w:rsidRPr="00686BBB" w:rsidRDefault="00786239" w:rsidP="00686BBB">
            <w:pPr>
              <w:spacing w:before="60" w:after="60"/>
              <w:jc w:val="center"/>
              <w:rPr>
                <w:sz w:val="20"/>
              </w:rPr>
            </w:pPr>
            <w:r w:rsidRPr="00686BBB">
              <w:rPr>
                <w:sz w:val="20"/>
              </w:rPr>
              <w:t>16</w:t>
            </w:r>
            <w:r w:rsidR="002E00D6" w:rsidRPr="00686BBB">
              <w:rPr>
                <w:sz w:val="20"/>
              </w:rPr>
              <w:t>,</w:t>
            </w:r>
            <w:r w:rsidRPr="00686BBB">
              <w:rPr>
                <w:sz w:val="20"/>
              </w:rPr>
              <w:t>1 %</w:t>
            </w:r>
          </w:p>
        </w:tc>
        <w:tc>
          <w:tcPr>
            <w:tcW w:w="1694" w:type="dxa"/>
          </w:tcPr>
          <w:p w14:paraId="2A4037B0" w14:textId="77777777" w:rsidR="00786239" w:rsidRPr="00686BBB" w:rsidRDefault="00786239" w:rsidP="00686BBB">
            <w:pPr>
              <w:spacing w:before="60" w:after="60"/>
              <w:jc w:val="center"/>
              <w:rPr>
                <w:sz w:val="20"/>
              </w:rPr>
            </w:pPr>
            <w:r w:rsidRPr="00686BBB">
              <w:rPr>
                <w:sz w:val="20"/>
              </w:rPr>
              <w:t>45</w:t>
            </w:r>
            <w:r w:rsidR="002E00D6" w:rsidRPr="00686BBB">
              <w:rPr>
                <w:sz w:val="20"/>
              </w:rPr>
              <w:t>,</w:t>
            </w:r>
            <w:r w:rsidRPr="00686BBB">
              <w:rPr>
                <w:sz w:val="20"/>
              </w:rPr>
              <w:t>4 %</w:t>
            </w:r>
          </w:p>
        </w:tc>
      </w:tr>
      <w:tr w:rsidR="00786239" w:rsidRPr="00C64524" w14:paraId="278A795E" w14:textId="77777777" w:rsidTr="00686BBB">
        <w:tc>
          <w:tcPr>
            <w:tcW w:w="5699" w:type="dxa"/>
          </w:tcPr>
          <w:p w14:paraId="65BECC4E" w14:textId="77777777" w:rsidR="00786239" w:rsidRPr="00686BBB" w:rsidRDefault="00786239" w:rsidP="00686BBB">
            <w:pPr>
              <w:tabs>
                <w:tab w:val="clear" w:pos="567"/>
                <w:tab w:val="left" w:pos="547"/>
              </w:tabs>
              <w:spacing w:before="60" w:after="60"/>
              <w:rPr>
                <w:sz w:val="20"/>
              </w:rPr>
            </w:pPr>
            <w:r w:rsidRPr="00686BBB">
              <w:rPr>
                <w:sz w:val="20"/>
              </w:rPr>
              <w:tab/>
            </w:r>
            <w:r w:rsidR="00FB0FD4" w:rsidRPr="00686BBB">
              <w:rPr>
                <w:sz w:val="20"/>
              </w:rPr>
              <w:t>PPSI</w:t>
            </w:r>
            <w:r w:rsidRPr="00686BBB">
              <w:rPr>
                <w:sz w:val="20"/>
              </w:rPr>
              <w:t xml:space="preserve">-50 </w:t>
            </w:r>
            <w:proofErr w:type="spellStart"/>
            <w:r w:rsidR="00FB0FD4" w:rsidRPr="00686BBB">
              <w:rPr>
                <w:sz w:val="20"/>
              </w:rPr>
              <w:t>atsakas</w:t>
            </w:r>
            <w:r w:rsidRPr="00686BBB">
              <w:rPr>
                <w:sz w:val="20"/>
                <w:vertAlign w:val="superscript"/>
              </w:rPr>
              <w:t>b</w:t>
            </w:r>
            <w:proofErr w:type="spellEnd"/>
          </w:p>
        </w:tc>
        <w:tc>
          <w:tcPr>
            <w:tcW w:w="1559" w:type="dxa"/>
          </w:tcPr>
          <w:p w14:paraId="63B0ACEB" w14:textId="77777777" w:rsidR="00786239" w:rsidRPr="00686BBB" w:rsidRDefault="00786239" w:rsidP="00686BBB">
            <w:pPr>
              <w:spacing w:before="60" w:after="60"/>
              <w:jc w:val="center"/>
              <w:rPr>
                <w:sz w:val="20"/>
              </w:rPr>
            </w:pPr>
            <w:r w:rsidRPr="00686BBB">
              <w:rPr>
                <w:sz w:val="20"/>
              </w:rPr>
              <w:t>32</w:t>
            </w:r>
            <w:r w:rsidR="002E00D6" w:rsidRPr="00686BBB">
              <w:rPr>
                <w:sz w:val="20"/>
              </w:rPr>
              <w:t>,</w:t>
            </w:r>
            <w:r w:rsidRPr="00686BBB">
              <w:rPr>
                <w:sz w:val="20"/>
              </w:rPr>
              <w:t>1 %</w:t>
            </w:r>
          </w:p>
        </w:tc>
        <w:tc>
          <w:tcPr>
            <w:tcW w:w="1694" w:type="dxa"/>
          </w:tcPr>
          <w:p w14:paraId="0BE69262" w14:textId="77777777" w:rsidR="00786239" w:rsidRPr="00686BBB" w:rsidRDefault="00786239" w:rsidP="00686BBB">
            <w:pPr>
              <w:spacing w:before="60" w:after="60"/>
              <w:jc w:val="center"/>
              <w:rPr>
                <w:sz w:val="20"/>
              </w:rPr>
            </w:pPr>
            <w:r w:rsidRPr="00686BBB">
              <w:rPr>
                <w:sz w:val="20"/>
              </w:rPr>
              <w:t>70</w:t>
            </w:r>
            <w:r w:rsidR="002E00D6" w:rsidRPr="00686BBB">
              <w:rPr>
                <w:sz w:val="20"/>
              </w:rPr>
              <w:t>,</w:t>
            </w:r>
            <w:r w:rsidRPr="00686BBB">
              <w:rPr>
                <w:sz w:val="20"/>
              </w:rPr>
              <w:t>5 %</w:t>
            </w:r>
          </w:p>
        </w:tc>
      </w:tr>
      <w:tr w:rsidR="00786239" w:rsidRPr="00C64524" w14:paraId="65C4608A" w14:textId="77777777" w:rsidTr="00686BBB">
        <w:tc>
          <w:tcPr>
            <w:tcW w:w="5699" w:type="dxa"/>
          </w:tcPr>
          <w:p w14:paraId="065ED4BB" w14:textId="77777777" w:rsidR="00786239" w:rsidRPr="00686BBB" w:rsidRDefault="00786239" w:rsidP="00686BBB">
            <w:pPr>
              <w:tabs>
                <w:tab w:val="clear" w:pos="567"/>
                <w:tab w:val="left" w:pos="547"/>
              </w:tabs>
              <w:spacing w:before="60" w:after="60"/>
              <w:rPr>
                <w:sz w:val="20"/>
              </w:rPr>
            </w:pPr>
            <w:r w:rsidRPr="00686BBB">
              <w:rPr>
                <w:sz w:val="20"/>
              </w:rPr>
              <w:tab/>
            </w:r>
            <w:r w:rsidR="00FB0FD4" w:rsidRPr="00686BBB">
              <w:rPr>
                <w:sz w:val="20"/>
              </w:rPr>
              <w:t>PPSI</w:t>
            </w:r>
            <w:r w:rsidRPr="00686BBB">
              <w:rPr>
                <w:sz w:val="20"/>
              </w:rPr>
              <w:t xml:space="preserve">-90 </w:t>
            </w:r>
            <w:proofErr w:type="spellStart"/>
            <w:r w:rsidR="00FB0FD4" w:rsidRPr="00686BBB">
              <w:rPr>
                <w:sz w:val="20"/>
              </w:rPr>
              <w:t>atsakas</w:t>
            </w:r>
            <w:r w:rsidRPr="00686BBB">
              <w:rPr>
                <w:sz w:val="20"/>
                <w:vertAlign w:val="superscript"/>
              </w:rPr>
              <w:t>b</w:t>
            </w:r>
            <w:proofErr w:type="spellEnd"/>
          </w:p>
        </w:tc>
        <w:tc>
          <w:tcPr>
            <w:tcW w:w="1559" w:type="dxa"/>
          </w:tcPr>
          <w:p w14:paraId="7F13CBA4" w14:textId="77777777" w:rsidR="00786239" w:rsidRPr="00686BBB" w:rsidRDefault="00786239" w:rsidP="00686BBB">
            <w:pPr>
              <w:spacing w:before="60" w:after="60"/>
              <w:jc w:val="center"/>
              <w:rPr>
                <w:sz w:val="20"/>
              </w:rPr>
            </w:pPr>
            <w:r w:rsidRPr="00686BBB">
              <w:rPr>
                <w:sz w:val="20"/>
              </w:rPr>
              <w:t>4</w:t>
            </w:r>
            <w:r w:rsidR="002E00D6" w:rsidRPr="00686BBB">
              <w:rPr>
                <w:sz w:val="20"/>
              </w:rPr>
              <w:t>,</w:t>
            </w:r>
            <w:r w:rsidRPr="00686BBB">
              <w:rPr>
                <w:sz w:val="20"/>
              </w:rPr>
              <w:t>9 %</w:t>
            </w:r>
          </w:p>
        </w:tc>
        <w:tc>
          <w:tcPr>
            <w:tcW w:w="1694" w:type="dxa"/>
          </w:tcPr>
          <w:p w14:paraId="35785E3F" w14:textId="77777777" w:rsidR="00786239" w:rsidRPr="00686BBB" w:rsidRDefault="00786239" w:rsidP="00686BBB">
            <w:pPr>
              <w:spacing w:before="60" w:after="60"/>
              <w:jc w:val="center"/>
              <w:rPr>
                <w:sz w:val="20"/>
              </w:rPr>
            </w:pPr>
            <w:r w:rsidRPr="00686BBB">
              <w:rPr>
                <w:sz w:val="20"/>
              </w:rPr>
              <w:t>25</w:t>
            </w:r>
            <w:r w:rsidR="002E00D6" w:rsidRPr="00686BBB">
              <w:rPr>
                <w:sz w:val="20"/>
              </w:rPr>
              <w:t>,</w:t>
            </w:r>
            <w:r w:rsidRPr="00686BBB">
              <w:rPr>
                <w:sz w:val="20"/>
              </w:rPr>
              <w:t>2 %</w:t>
            </w:r>
          </w:p>
        </w:tc>
      </w:tr>
      <w:tr w:rsidR="00786239" w:rsidRPr="00C64524" w14:paraId="0B9974DA" w14:textId="77777777" w:rsidTr="00686BBB">
        <w:tc>
          <w:tcPr>
            <w:tcW w:w="5699" w:type="dxa"/>
          </w:tcPr>
          <w:p w14:paraId="39B87D2D" w14:textId="77777777" w:rsidR="00786239" w:rsidRPr="00F27966" w:rsidRDefault="00786239" w:rsidP="00686BBB">
            <w:pPr>
              <w:tabs>
                <w:tab w:val="clear" w:pos="567"/>
                <w:tab w:val="left" w:pos="547"/>
              </w:tabs>
              <w:spacing w:before="60" w:after="60"/>
              <w:rPr>
                <w:sz w:val="20"/>
                <w:lang w:val="pt-PT"/>
              </w:rPr>
            </w:pPr>
            <w:r w:rsidRPr="00F27966">
              <w:rPr>
                <w:sz w:val="20"/>
                <w:lang w:val="pt-PT"/>
              </w:rPr>
              <w:tab/>
            </w:r>
            <w:r w:rsidR="00FB0FD4" w:rsidRPr="00F27966">
              <w:rPr>
                <w:sz w:val="20"/>
                <w:lang w:val="pt-PT"/>
              </w:rPr>
              <w:t>Pažeisto KPP</w:t>
            </w:r>
            <w:r w:rsidR="00FB0FD4" w:rsidRPr="00F27966">
              <w:rPr>
                <w:sz w:val="20"/>
                <w:vertAlign w:val="superscript"/>
                <w:lang w:val="pt-PT"/>
              </w:rPr>
              <w:t>c</w:t>
            </w:r>
            <w:r w:rsidR="00FB0FD4" w:rsidRPr="00F27966">
              <w:rPr>
                <w:sz w:val="20"/>
                <w:lang w:val="pt-PT"/>
              </w:rPr>
              <w:t xml:space="preserve"> procentinis pokytis nuo pradinio lygio</w:t>
            </w:r>
          </w:p>
        </w:tc>
        <w:tc>
          <w:tcPr>
            <w:tcW w:w="1559" w:type="dxa"/>
          </w:tcPr>
          <w:p w14:paraId="75A70887" w14:textId="77777777" w:rsidR="00786239" w:rsidRPr="00686BBB" w:rsidRDefault="00786239" w:rsidP="00686BBB">
            <w:pPr>
              <w:spacing w:before="60" w:after="60"/>
              <w:jc w:val="center"/>
              <w:rPr>
                <w:sz w:val="20"/>
              </w:rPr>
            </w:pPr>
            <w:r w:rsidRPr="00686BBB">
              <w:rPr>
                <w:sz w:val="20"/>
              </w:rPr>
              <w:t>-21</w:t>
            </w:r>
            <w:r w:rsidR="002E00D6" w:rsidRPr="00686BBB">
              <w:rPr>
                <w:sz w:val="20"/>
              </w:rPr>
              <w:t>,</w:t>
            </w:r>
            <w:r w:rsidRPr="00686BBB">
              <w:rPr>
                <w:sz w:val="20"/>
              </w:rPr>
              <w:t>82</w:t>
            </w:r>
            <w:r w:rsidR="008B2801" w:rsidRPr="00686BBB">
              <w:rPr>
                <w:sz w:val="20"/>
              </w:rPr>
              <w:t> </w:t>
            </w:r>
            <w:r w:rsidRPr="00686BBB">
              <w:rPr>
                <w:sz w:val="20"/>
              </w:rPr>
              <w:t>±</w:t>
            </w:r>
            <w:r w:rsidR="008B2801" w:rsidRPr="00686BBB">
              <w:rPr>
                <w:sz w:val="20"/>
              </w:rPr>
              <w:t> </w:t>
            </w:r>
            <w:r w:rsidRPr="00686BBB">
              <w:rPr>
                <w:sz w:val="20"/>
              </w:rPr>
              <w:t>5</w:t>
            </w:r>
            <w:r w:rsidR="002E00D6" w:rsidRPr="00686BBB">
              <w:rPr>
                <w:sz w:val="20"/>
              </w:rPr>
              <w:t>,</w:t>
            </w:r>
            <w:r w:rsidRPr="00686BBB">
              <w:rPr>
                <w:sz w:val="20"/>
              </w:rPr>
              <w:t>104</w:t>
            </w:r>
          </w:p>
        </w:tc>
        <w:tc>
          <w:tcPr>
            <w:tcW w:w="1694" w:type="dxa"/>
          </w:tcPr>
          <w:p w14:paraId="23FF1370" w14:textId="77777777" w:rsidR="00786239" w:rsidRPr="00686BBB" w:rsidRDefault="00786239" w:rsidP="00686BBB">
            <w:pPr>
              <w:spacing w:before="60" w:after="60"/>
              <w:jc w:val="center"/>
              <w:rPr>
                <w:sz w:val="20"/>
              </w:rPr>
            </w:pPr>
            <w:r w:rsidRPr="00686BBB">
              <w:rPr>
                <w:sz w:val="20"/>
              </w:rPr>
              <w:t>-56</w:t>
            </w:r>
            <w:r w:rsidR="002E00D6" w:rsidRPr="00686BBB">
              <w:rPr>
                <w:sz w:val="20"/>
              </w:rPr>
              <w:t>,</w:t>
            </w:r>
            <w:r w:rsidRPr="00686BBB">
              <w:rPr>
                <w:sz w:val="20"/>
              </w:rPr>
              <w:t>59</w:t>
            </w:r>
            <w:r w:rsidR="008B2801" w:rsidRPr="00686BBB">
              <w:rPr>
                <w:sz w:val="20"/>
              </w:rPr>
              <w:t> </w:t>
            </w:r>
            <w:r w:rsidRPr="00686BBB">
              <w:rPr>
                <w:sz w:val="20"/>
              </w:rPr>
              <w:t>±</w:t>
            </w:r>
            <w:r w:rsidR="008B2801" w:rsidRPr="00686BBB">
              <w:rPr>
                <w:sz w:val="20"/>
              </w:rPr>
              <w:t> </w:t>
            </w:r>
            <w:r w:rsidRPr="00686BBB">
              <w:rPr>
                <w:sz w:val="20"/>
              </w:rPr>
              <w:t>3</w:t>
            </w:r>
            <w:r w:rsidR="002E00D6" w:rsidRPr="00686BBB">
              <w:rPr>
                <w:sz w:val="20"/>
              </w:rPr>
              <w:t>,</w:t>
            </w:r>
            <w:r w:rsidRPr="00686BBB">
              <w:rPr>
                <w:sz w:val="20"/>
              </w:rPr>
              <w:t>558</w:t>
            </w:r>
          </w:p>
        </w:tc>
      </w:tr>
      <w:tr w:rsidR="00786239" w:rsidRPr="00C64524" w14:paraId="55FAB512" w14:textId="77777777" w:rsidTr="00686BBB">
        <w:tc>
          <w:tcPr>
            <w:tcW w:w="5699" w:type="dxa"/>
          </w:tcPr>
          <w:p w14:paraId="19247569" w14:textId="77777777" w:rsidR="00786239" w:rsidRPr="00196E22" w:rsidRDefault="00786239" w:rsidP="00686BBB">
            <w:pPr>
              <w:tabs>
                <w:tab w:val="clear" w:pos="567"/>
                <w:tab w:val="left" w:pos="547"/>
              </w:tabs>
              <w:spacing w:before="60" w:after="60"/>
              <w:rPr>
                <w:sz w:val="20"/>
                <w:lang w:val="pl-PL"/>
              </w:rPr>
            </w:pPr>
            <w:r w:rsidRPr="00196E22">
              <w:rPr>
                <w:sz w:val="20"/>
                <w:lang w:val="pl-PL"/>
              </w:rPr>
              <w:tab/>
            </w:r>
            <w:r w:rsidR="00FB0FD4" w:rsidRPr="00196E22">
              <w:rPr>
                <w:sz w:val="20"/>
                <w:lang w:val="pl-PL"/>
              </w:rPr>
              <w:t>VDGKI balo pokytis nuo pradinio balo</w:t>
            </w:r>
            <w:r w:rsidRPr="00196E22">
              <w:rPr>
                <w:sz w:val="20"/>
                <w:vertAlign w:val="superscript"/>
                <w:lang w:val="pl-PL"/>
              </w:rPr>
              <w:t>c, d</w:t>
            </w:r>
          </w:p>
        </w:tc>
        <w:tc>
          <w:tcPr>
            <w:tcW w:w="1559" w:type="dxa"/>
          </w:tcPr>
          <w:p w14:paraId="26B9090C" w14:textId="77777777" w:rsidR="00786239" w:rsidRPr="00686BBB" w:rsidRDefault="00786239" w:rsidP="00686BBB">
            <w:pPr>
              <w:spacing w:before="60" w:after="60"/>
              <w:jc w:val="center"/>
              <w:rPr>
                <w:sz w:val="20"/>
              </w:rPr>
            </w:pPr>
            <w:r w:rsidRPr="00686BBB">
              <w:rPr>
                <w:sz w:val="20"/>
              </w:rPr>
              <w:t>-3</w:t>
            </w:r>
            <w:r w:rsidR="002E00D6" w:rsidRPr="00686BBB">
              <w:rPr>
                <w:sz w:val="20"/>
              </w:rPr>
              <w:t>,</w:t>
            </w:r>
            <w:r w:rsidRPr="00686BBB">
              <w:rPr>
                <w:sz w:val="20"/>
              </w:rPr>
              <w:t>2</w:t>
            </w:r>
            <w:r w:rsidR="008B2801" w:rsidRPr="00686BBB">
              <w:rPr>
                <w:sz w:val="20"/>
              </w:rPr>
              <w:t> </w:t>
            </w:r>
            <w:r w:rsidRPr="00686BBB">
              <w:rPr>
                <w:sz w:val="20"/>
              </w:rPr>
              <w:t>±</w:t>
            </w:r>
            <w:r w:rsidR="008B2801" w:rsidRPr="00686BBB">
              <w:rPr>
                <w:sz w:val="20"/>
              </w:rPr>
              <w:t> </w:t>
            </w:r>
            <w:r w:rsidRPr="00686BBB">
              <w:rPr>
                <w:sz w:val="20"/>
              </w:rPr>
              <w:t>0</w:t>
            </w:r>
            <w:r w:rsidR="002E00D6" w:rsidRPr="00686BBB">
              <w:rPr>
                <w:sz w:val="20"/>
              </w:rPr>
              <w:t>,</w:t>
            </w:r>
            <w:r w:rsidRPr="00686BBB">
              <w:rPr>
                <w:sz w:val="20"/>
              </w:rPr>
              <w:t>45</w:t>
            </w:r>
          </w:p>
        </w:tc>
        <w:tc>
          <w:tcPr>
            <w:tcW w:w="1694" w:type="dxa"/>
          </w:tcPr>
          <w:p w14:paraId="239CEB46" w14:textId="77777777" w:rsidR="00786239" w:rsidRPr="00686BBB" w:rsidRDefault="00786239" w:rsidP="00686BBB">
            <w:pPr>
              <w:spacing w:before="60" w:after="60"/>
              <w:jc w:val="center"/>
              <w:rPr>
                <w:sz w:val="20"/>
              </w:rPr>
            </w:pPr>
            <w:r w:rsidRPr="00686BBB">
              <w:rPr>
                <w:sz w:val="20"/>
              </w:rPr>
              <w:t>-5</w:t>
            </w:r>
            <w:r w:rsidR="002E00D6" w:rsidRPr="00686BBB">
              <w:rPr>
                <w:sz w:val="20"/>
              </w:rPr>
              <w:t>,</w:t>
            </w:r>
            <w:r w:rsidRPr="00686BBB">
              <w:rPr>
                <w:sz w:val="20"/>
              </w:rPr>
              <w:t>1</w:t>
            </w:r>
            <w:r w:rsidR="008B2801" w:rsidRPr="00686BBB">
              <w:rPr>
                <w:sz w:val="20"/>
              </w:rPr>
              <w:t> </w:t>
            </w:r>
            <w:r w:rsidRPr="00686BBB">
              <w:rPr>
                <w:sz w:val="20"/>
              </w:rPr>
              <w:t>±</w:t>
            </w:r>
            <w:r w:rsidR="008B2801" w:rsidRPr="00686BBB">
              <w:rPr>
                <w:sz w:val="20"/>
              </w:rPr>
              <w:t> </w:t>
            </w:r>
            <w:r w:rsidRPr="00686BBB">
              <w:rPr>
                <w:sz w:val="20"/>
              </w:rPr>
              <w:t>0</w:t>
            </w:r>
            <w:r w:rsidR="002E00D6" w:rsidRPr="00686BBB">
              <w:rPr>
                <w:sz w:val="20"/>
              </w:rPr>
              <w:t>,</w:t>
            </w:r>
            <w:r w:rsidRPr="00686BBB">
              <w:rPr>
                <w:sz w:val="20"/>
              </w:rPr>
              <w:t>31</w:t>
            </w:r>
          </w:p>
        </w:tc>
      </w:tr>
      <w:tr w:rsidR="00786239" w:rsidRPr="00947D5E" w14:paraId="2A6B6A21" w14:textId="77777777" w:rsidTr="00686BBB">
        <w:tc>
          <w:tcPr>
            <w:tcW w:w="5699" w:type="dxa"/>
          </w:tcPr>
          <w:p w14:paraId="0E0148D0" w14:textId="77777777" w:rsidR="00786239" w:rsidRPr="00686BBB" w:rsidRDefault="00FB0FD4" w:rsidP="00686BBB">
            <w:pPr>
              <w:spacing w:before="60" w:after="60"/>
              <w:rPr>
                <w:b/>
                <w:bCs/>
                <w:sz w:val="20"/>
              </w:rPr>
            </w:pPr>
            <w:proofErr w:type="spellStart"/>
            <w:r w:rsidRPr="00686BBB">
              <w:rPr>
                <w:b/>
                <w:bCs/>
                <w:sz w:val="20"/>
              </w:rPr>
              <w:t>Tiriamųjų</w:t>
            </w:r>
            <w:proofErr w:type="spellEnd"/>
            <w:r w:rsidRPr="00686BBB">
              <w:rPr>
                <w:b/>
                <w:bCs/>
                <w:sz w:val="20"/>
              </w:rPr>
              <w:t xml:space="preserve">, </w:t>
            </w:r>
            <w:proofErr w:type="spellStart"/>
            <w:r w:rsidRPr="00686BBB">
              <w:rPr>
                <w:b/>
                <w:bCs/>
                <w:sz w:val="20"/>
              </w:rPr>
              <w:t>kurių</w:t>
            </w:r>
            <w:proofErr w:type="spellEnd"/>
            <w:r w:rsidRPr="00686BBB">
              <w:rPr>
                <w:b/>
                <w:bCs/>
                <w:sz w:val="20"/>
              </w:rPr>
              <w:t xml:space="preserve"> </w:t>
            </w:r>
            <w:proofErr w:type="spellStart"/>
            <w:r w:rsidRPr="00686BBB">
              <w:rPr>
                <w:b/>
                <w:bCs/>
                <w:sz w:val="20"/>
              </w:rPr>
              <w:t>pradinis</w:t>
            </w:r>
            <w:proofErr w:type="spellEnd"/>
            <w:r w:rsidRPr="00686BBB">
              <w:rPr>
                <w:b/>
                <w:bCs/>
                <w:sz w:val="20"/>
              </w:rPr>
              <w:t xml:space="preserve"> VDGKI </w:t>
            </w:r>
            <w:proofErr w:type="spellStart"/>
            <w:r w:rsidRPr="00686BBB">
              <w:rPr>
                <w:b/>
                <w:bCs/>
                <w:sz w:val="20"/>
              </w:rPr>
              <w:t>balas</w:t>
            </w:r>
            <w:proofErr w:type="spellEnd"/>
            <w:r w:rsidRPr="00686BBB">
              <w:rPr>
                <w:b/>
                <w:bCs/>
                <w:sz w:val="20"/>
              </w:rPr>
              <w:t xml:space="preserve"> ≥</w:t>
            </w:r>
            <w:r w:rsidR="008B2801" w:rsidRPr="00686BBB">
              <w:rPr>
                <w:b/>
                <w:bCs/>
                <w:sz w:val="20"/>
              </w:rPr>
              <w:t> </w:t>
            </w:r>
            <w:r w:rsidRPr="00686BBB">
              <w:rPr>
                <w:b/>
                <w:bCs/>
                <w:sz w:val="20"/>
              </w:rPr>
              <w:t xml:space="preserve">2, </w:t>
            </w:r>
            <w:proofErr w:type="spellStart"/>
            <w:r w:rsidRPr="00686BBB">
              <w:rPr>
                <w:b/>
                <w:bCs/>
                <w:sz w:val="20"/>
              </w:rPr>
              <w:t>skaičius</w:t>
            </w:r>
            <w:proofErr w:type="spellEnd"/>
          </w:p>
        </w:tc>
        <w:tc>
          <w:tcPr>
            <w:tcW w:w="1559" w:type="dxa"/>
          </w:tcPr>
          <w:p w14:paraId="6252FBCC" w14:textId="77777777" w:rsidR="00786239" w:rsidRPr="00686BBB" w:rsidRDefault="00786239" w:rsidP="00686BBB">
            <w:pPr>
              <w:spacing w:before="60" w:after="60"/>
              <w:jc w:val="center"/>
              <w:rPr>
                <w:b/>
                <w:bCs/>
                <w:sz w:val="20"/>
              </w:rPr>
            </w:pPr>
            <w:r w:rsidRPr="00686BBB">
              <w:rPr>
                <w:b/>
                <w:bCs/>
                <w:sz w:val="20"/>
              </w:rPr>
              <w:t>N</w:t>
            </w:r>
            <w:r w:rsidR="008B2801" w:rsidRPr="00686BBB">
              <w:rPr>
                <w:b/>
                <w:bCs/>
                <w:sz w:val="20"/>
              </w:rPr>
              <w:t> </w:t>
            </w:r>
            <w:r w:rsidRPr="00686BBB">
              <w:rPr>
                <w:b/>
                <w:bCs/>
                <w:sz w:val="20"/>
              </w:rPr>
              <w:t>=</w:t>
            </w:r>
            <w:r w:rsidR="008B2801" w:rsidRPr="00686BBB">
              <w:rPr>
                <w:b/>
                <w:bCs/>
                <w:sz w:val="20"/>
              </w:rPr>
              <w:t> </w:t>
            </w:r>
            <w:r w:rsidRPr="00686BBB">
              <w:rPr>
                <w:b/>
                <w:bCs/>
                <w:sz w:val="20"/>
              </w:rPr>
              <w:t>76</w:t>
            </w:r>
          </w:p>
        </w:tc>
        <w:tc>
          <w:tcPr>
            <w:tcW w:w="1694" w:type="dxa"/>
          </w:tcPr>
          <w:p w14:paraId="2492AFB5" w14:textId="77777777" w:rsidR="00786239" w:rsidRPr="00686BBB" w:rsidRDefault="00786239" w:rsidP="00686BBB">
            <w:pPr>
              <w:spacing w:before="60" w:after="60"/>
              <w:jc w:val="center"/>
              <w:rPr>
                <w:b/>
                <w:bCs/>
                <w:sz w:val="20"/>
              </w:rPr>
            </w:pPr>
            <w:r w:rsidRPr="00686BBB">
              <w:rPr>
                <w:b/>
                <w:bCs/>
                <w:sz w:val="20"/>
              </w:rPr>
              <w:t>N</w:t>
            </w:r>
            <w:r w:rsidR="008B2801" w:rsidRPr="00686BBB">
              <w:rPr>
                <w:b/>
                <w:bCs/>
                <w:sz w:val="20"/>
              </w:rPr>
              <w:t> </w:t>
            </w:r>
            <w:r w:rsidRPr="00686BBB">
              <w:rPr>
                <w:b/>
                <w:bCs/>
                <w:sz w:val="20"/>
              </w:rPr>
              <w:t>=</w:t>
            </w:r>
            <w:r w:rsidR="008B2801" w:rsidRPr="00686BBB">
              <w:rPr>
                <w:b/>
                <w:bCs/>
                <w:sz w:val="20"/>
              </w:rPr>
              <w:t> </w:t>
            </w:r>
            <w:r w:rsidRPr="00686BBB">
              <w:rPr>
                <w:b/>
                <w:bCs/>
                <w:sz w:val="20"/>
              </w:rPr>
              <w:t>148</w:t>
            </w:r>
          </w:p>
        </w:tc>
      </w:tr>
      <w:tr w:rsidR="00786239" w:rsidRPr="00C64524" w14:paraId="3DB320ED" w14:textId="77777777" w:rsidTr="00686BBB">
        <w:tc>
          <w:tcPr>
            <w:tcW w:w="5699" w:type="dxa"/>
          </w:tcPr>
          <w:p w14:paraId="75D33061" w14:textId="77777777" w:rsidR="00786239" w:rsidRPr="00686BBB" w:rsidRDefault="00786239" w:rsidP="00686BBB">
            <w:pPr>
              <w:tabs>
                <w:tab w:val="clear" w:pos="567"/>
                <w:tab w:val="left" w:pos="547"/>
              </w:tabs>
              <w:spacing w:before="60" w:after="60"/>
              <w:rPr>
                <w:sz w:val="20"/>
              </w:rPr>
            </w:pPr>
            <w:r w:rsidRPr="00686BBB">
              <w:rPr>
                <w:sz w:val="20"/>
              </w:rPr>
              <w:tab/>
            </w:r>
            <w:r w:rsidR="00FB0FD4" w:rsidRPr="00686BBB">
              <w:rPr>
                <w:sz w:val="20"/>
              </w:rPr>
              <w:t xml:space="preserve">VDGKI </w:t>
            </w:r>
            <w:proofErr w:type="spellStart"/>
            <w:r w:rsidR="00FB0FD4" w:rsidRPr="00686BBB">
              <w:rPr>
                <w:sz w:val="20"/>
              </w:rPr>
              <w:t>atsakas</w:t>
            </w:r>
            <w:r w:rsidRPr="00686BBB">
              <w:rPr>
                <w:sz w:val="20"/>
                <w:vertAlign w:val="superscript"/>
              </w:rPr>
              <w:t>b</w:t>
            </w:r>
            <w:proofErr w:type="spellEnd"/>
          </w:p>
        </w:tc>
        <w:tc>
          <w:tcPr>
            <w:tcW w:w="1559" w:type="dxa"/>
          </w:tcPr>
          <w:p w14:paraId="41F3E283" w14:textId="77777777" w:rsidR="00786239" w:rsidRPr="00686BBB" w:rsidRDefault="00786239" w:rsidP="00686BBB">
            <w:pPr>
              <w:spacing w:before="60" w:after="60"/>
              <w:jc w:val="center"/>
              <w:rPr>
                <w:sz w:val="20"/>
              </w:rPr>
            </w:pPr>
            <w:r w:rsidRPr="00686BBB">
              <w:rPr>
                <w:sz w:val="20"/>
              </w:rPr>
              <w:t>31</w:t>
            </w:r>
            <w:r w:rsidR="002E00D6" w:rsidRPr="00686BBB">
              <w:rPr>
                <w:sz w:val="20"/>
              </w:rPr>
              <w:t>,</w:t>
            </w:r>
            <w:r w:rsidRPr="00686BBB">
              <w:rPr>
                <w:sz w:val="20"/>
              </w:rPr>
              <w:t>3 %</w:t>
            </w:r>
          </w:p>
        </w:tc>
        <w:tc>
          <w:tcPr>
            <w:tcW w:w="1694" w:type="dxa"/>
          </w:tcPr>
          <w:p w14:paraId="44459D5F" w14:textId="77777777" w:rsidR="00786239" w:rsidRPr="00686BBB" w:rsidRDefault="00786239" w:rsidP="00686BBB">
            <w:pPr>
              <w:spacing w:before="60" w:after="60"/>
              <w:jc w:val="center"/>
              <w:rPr>
                <w:sz w:val="20"/>
              </w:rPr>
            </w:pPr>
            <w:r w:rsidRPr="00686BBB">
              <w:rPr>
                <w:sz w:val="20"/>
              </w:rPr>
              <w:t>35</w:t>
            </w:r>
            <w:r w:rsidR="002E00D6" w:rsidRPr="00686BBB">
              <w:rPr>
                <w:sz w:val="20"/>
              </w:rPr>
              <w:t>,</w:t>
            </w:r>
            <w:r w:rsidRPr="00686BBB">
              <w:rPr>
                <w:sz w:val="20"/>
              </w:rPr>
              <w:t>4 %</w:t>
            </w:r>
          </w:p>
        </w:tc>
      </w:tr>
    </w:tbl>
    <w:p w14:paraId="1C02EEA7" w14:textId="77777777" w:rsidR="007B6DBA" w:rsidRPr="007B6DBA" w:rsidRDefault="007B6DBA" w:rsidP="007B6DBA">
      <w:pPr>
        <w:widowControl w:val="0"/>
        <w:tabs>
          <w:tab w:val="clear" w:pos="567"/>
        </w:tabs>
        <w:autoSpaceDE w:val="0"/>
        <w:autoSpaceDN w:val="0"/>
        <w:adjustRightInd w:val="0"/>
        <w:spacing w:line="240" w:lineRule="auto"/>
        <w:rPr>
          <w:szCs w:val="22"/>
          <w:lang w:val="lt-LT"/>
        </w:rPr>
      </w:pPr>
      <w:r w:rsidRPr="007B6DBA">
        <w:rPr>
          <w:szCs w:val="22"/>
          <w:lang w:val="lt-LT"/>
        </w:rPr>
        <w:t>KPP</w:t>
      </w:r>
      <w:r w:rsidR="00966D40">
        <w:rPr>
          <w:szCs w:val="22"/>
          <w:lang w:val="lt-LT"/>
        </w:rPr>
        <w:t> </w:t>
      </w:r>
      <w:r w:rsidRPr="007B6DBA">
        <w:rPr>
          <w:szCs w:val="22"/>
          <w:lang w:val="lt-LT"/>
        </w:rPr>
        <w:t>=</w:t>
      </w:r>
      <w:r w:rsidR="00966D40">
        <w:rPr>
          <w:szCs w:val="22"/>
          <w:lang w:val="lt-LT"/>
        </w:rPr>
        <w:t> </w:t>
      </w:r>
      <w:r w:rsidRPr="007B6DBA">
        <w:rPr>
          <w:szCs w:val="22"/>
          <w:lang w:val="lt-LT"/>
        </w:rPr>
        <w:t>kūno paviršiaus plotas; VDGKI</w:t>
      </w:r>
      <w:r w:rsidR="00966D40">
        <w:rPr>
          <w:szCs w:val="22"/>
          <w:lang w:val="lt-LT"/>
        </w:rPr>
        <w:t> </w:t>
      </w:r>
      <w:r w:rsidRPr="007B6DBA">
        <w:rPr>
          <w:szCs w:val="22"/>
          <w:lang w:val="lt-LT"/>
        </w:rPr>
        <w:t>=</w:t>
      </w:r>
      <w:r w:rsidR="00966D40">
        <w:rPr>
          <w:szCs w:val="22"/>
          <w:lang w:val="lt-LT"/>
        </w:rPr>
        <w:t> </w:t>
      </w:r>
      <w:r w:rsidRPr="007B6DBA">
        <w:rPr>
          <w:szCs w:val="22"/>
          <w:lang w:val="lt-LT"/>
        </w:rPr>
        <w:t>vaikų dermatologinis gyvenimo kokybės indeksas; ITT</w:t>
      </w:r>
      <w:r w:rsidR="00966D40">
        <w:rPr>
          <w:szCs w:val="22"/>
          <w:lang w:val="lt-LT"/>
        </w:rPr>
        <w:t> </w:t>
      </w:r>
      <w:r w:rsidRPr="007B6DBA">
        <w:rPr>
          <w:szCs w:val="22"/>
          <w:lang w:val="lt-LT"/>
        </w:rPr>
        <w:t>=</w:t>
      </w:r>
      <w:r w:rsidR="00966D40">
        <w:rPr>
          <w:szCs w:val="22"/>
          <w:lang w:val="lt-LT"/>
        </w:rPr>
        <w:t> </w:t>
      </w:r>
      <w:r w:rsidRPr="007B6DBA">
        <w:rPr>
          <w:szCs w:val="22"/>
          <w:lang w:val="lt-LT"/>
        </w:rPr>
        <w:t xml:space="preserve">ketinimas gydytis (ang. </w:t>
      </w:r>
      <w:r w:rsidRPr="007B6DBA">
        <w:rPr>
          <w:i/>
          <w:iCs/>
          <w:szCs w:val="22"/>
          <w:lang w:val="lt-LT"/>
        </w:rPr>
        <w:t>Intent To Treat</w:t>
      </w:r>
      <w:r w:rsidRPr="007B6DBA">
        <w:rPr>
          <w:szCs w:val="22"/>
          <w:lang w:val="lt-LT"/>
        </w:rPr>
        <w:t>); PPSI</w:t>
      </w:r>
      <w:r w:rsidR="00966D40">
        <w:rPr>
          <w:szCs w:val="22"/>
          <w:lang w:val="lt-LT"/>
        </w:rPr>
        <w:t> </w:t>
      </w:r>
      <w:r w:rsidRPr="007B6DBA">
        <w:rPr>
          <w:szCs w:val="22"/>
          <w:lang w:val="lt-LT"/>
        </w:rPr>
        <w:t>=</w:t>
      </w:r>
      <w:r w:rsidR="00966D40">
        <w:rPr>
          <w:szCs w:val="22"/>
          <w:lang w:val="lt-LT"/>
        </w:rPr>
        <w:t> </w:t>
      </w:r>
      <w:r w:rsidRPr="007B6DBA">
        <w:rPr>
          <w:szCs w:val="22"/>
          <w:lang w:val="lt-LT"/>
        </w:rPr>
        <w:t>psoriazės ploto ir sunkumo indeksas; sPGA</w:t>
      </w:r>
      <w:r w:rsidR="00966D40">
        <w:rPr>
          <w:szCs w:val="22"/>
          <w:lang w:val="lt-LT"/>
        </w:rPr>
        <w:t> </w:t>
      </w:r>
      <w:r w:rsidRPr="007B6DBA">
        <w:rPr>
          <w:szCs w:val="22"/>
          <w:lang w:val="lt-LT"/>
        </w:rPr>
        <w:t>=</w:t>
      </w:r>
      <w:r w:rsidR="00966D40">
        <w:rPr>
          <w:szCs w:val="22"/>
          <w:lang w:val="lt-LT"/>
        </w:rPr>
        <w:t> </w:t>
      </w:r>
      <w:r w:rsidRPr="007B6DBA">
        <w:rPr>
          <w:szCs w:val="22"/>
          <w:lang w:val="lt-LT"/>
        </w:rPr>
        <w:t xml:space="preserve">statinis gydytojo bendras įvertinimas (ang. </w:t>
      </w:r>
      <w:r w:rsidRPr="007B6DBA">
        <w:rPr>
          <w:i/>
          <w:iCs/>
          <w:szCs w:val="22"/>
          <w:lang w:val="lt-LT"/>
        </w:rPr>
        <w:t>Static Physicians' Global Assessment</w:t>
      </w:r>
      <w:r w:rsidRPr="007B6DBA">
        <w:rPr>
          <w:szCs w:val="22"/>
          <w:lang w:val="lt-LT"/>
        </w:rPr>
        <w:t>)</w:t>
      </w:r>
    </w:p>
    <w:p w14:paraId="378A4C3E" w14:textId="77777777" w:rsidR="007B6DBA" w:rsidRPr="007B6DBA" w:rsidRDefault="007B6DBA" w:rsidP="007B6DBA">
      <w:pPr>
        <w:widowControl w:val="0"/>
        <w:tabs>
          <w:tab w:val="clear" w:pos="567"/>
        </w:tabs>
        <w:autoSpaceDE w:val="0"/>
        <w:autoSpaceDN w:val="0"/>
        <w:adjustRightInd w:val="0"/>
        <w:spacing w:line="240" w:lineRule="auto"/>
        <w:rPr>
          <w:szCs w:val="22"/>
          <w:lang w:val="lt-LT"/>
        </w:rPr>
      </w:pPr>
      <w:r w:rsidRPr="00DB2543">
        <w:rPr>
          <w:szCs w:val="22"/>
          <w:vertAlign w:val="superscript"/>
          <w:lang w:val="lt-LT"/>
        </w:rPr>
        <w:t>a</w:t>
      </w:r>
      <w:r w:rsidRPr="007B6DBA">
        <w:rPr>
          <w:szCs w:val="22"/>
          <w:lang w:val="lt-LT"/>
        </w:rPr>
        <w:t xml:space="preserve"> 20 arba 30</w:t>
      </w:r>
      <w:r w:rsidR="002E00D6">
        <w:rPr>
          <w:szCs w:val="22"/>
          <w:lang w:val="lt-LT"/>
        </w:rPr>
        <w:t> </w:t>
      </w:r>
      <w:r w:rsidRPr="007B6DBA">
        <w:rPr>
          <w:szCs w:val="22"/>
          <w:lang w:val="lt-LT"/>
        </w:rPr>
        <w:t>mg apremilasto du kartus per parą, palyginti su placebu 16</w:t>
      </w:r>
      <w:r w:rsidR="002E00D6">
        <w:rPr>
          <w:szCs w:val="22"/>
          <w:lang w:val="lt-LT"/>
        </w:rPr>
        <w:t> </w:t>
      </w:r>
      <w:r w:rsidRPr="007B6DBA">
        <w:rPr>
          <w:szCs w:val="22"/>
          <w:lang w:val="lt-LT"/>
        </w:rPr>
        <w:t>savaitę; p vertė &lt;</w:t>
      </w:r>
      <w:r w:rsidR="002E00D6">
        <w:rPr>
          <w:szCs w:val="22"/>
          <w:lang w:val="lt-LT"/>
        </w:rPr>
        <w:t> </w:t>
      </w:r>
      <w:r w:rsidRPr="007B6DBA">
        <w:rPr>
          <w:szCs w:val="22"/>
          <w:lang w:val="lt-LT"/>
        </w:rPr>
        <w:t>0,0001 vertinant sPGA atsaką ir PPSI-75 atsaką, nominali p vertė &lt;</w:t>
      </w:r>
      <w:r w:rsidR="00534633">
        <w:rPr>
          <w:szCs w:val="22"/>
          <w:lang w:val="lt-LT"/>
        </w:rPr>
        <w:t> </w:t>
      </w:r>
      <w:r w:rsidRPr="007B6DBA">
        <w:rPr>
          <w:szCs w:val="22"/>
          <w:lang w:val="lt-LT"/>
        </w:rPr>
        <w:t xml:space="preserve">0,01 vertinant visas kitas vertinamąsias baigtis, išskyrus VDGKI atsaką (nominali p vertė – 0,5616) </w:t>
      </w:r>
    </w:p>
    <w:p w14:paraId="4F9BBC9E" w14:textId="77777777" w:rsidR="007B6DBA" w:rsidRPr="007B6DBA" w:rsidRDefault="007B6DBA" w:rsidP="007B6DBA">
      <w:pPr>
        <w:widowControl w:val="0"/>
        <w:tabs>
          <w:tab w:val="clear" w:pos="567"/>
        </w:tabs>
        <w:autoSpaceDE w:val="0"/>
        <w:autoSpaceDN w:val="0"/>
        <w:adjustRightInd w:val="0"/>
        <w:spacing w:line="240" w:lineRule="auto"/>
        <w:rPr>
          <w:szCs w:val="22"/>
          <w:lang w:val="lt-LT"/>
        </w:rPr>
      </w:pPr>
      <w:r w:rsidRPr="00DB2543">
        <w:rPr>
          <w:szCs w:val="22"/>
          <w:vertAlign w:val="superscript"/>
          <w:lang w:val="lt-LT"/>
        </w:rPr>
        <w:t>b</w:t>
      </w:r>
      <w:r w:rsidRPr="007B6DBA">
        <w:rPr>
          <w:szCs w:val="22"/>
          <w:lang w:val="lt-LT"/>
        </w:rPr>
        <w:t xml:space="preserve"> Tiriamųjų, kuriems pasiektas atsakas, dalis</w:t>
      </w:r>
    </w:p>
    <w:p w14:paraId="249FC7ED" w14:textId="77777777" w:rsidR="007B6DBA" w:rsidRPr="007B6DBA" w:rsidRDefault="007B6DBA" w:rsidP="007B6DBA">
      <w:pPr>
        <w:widowControl w:val="0"/>
        <w:tabs>
          <w:tab w:val="clear" w:pos="567"/>
        </w:tabs>
        <w:autoSpaceDE w:val="0"/>
        <w:autoSpaceDN w:val="0"/>
        <w:adjustRightInd w:val="0"/>
        <w:spacing w:line="240" w:lineRule="auto"/>
        <w:rPr>
          <w:szCs w:val="22"/>
          <w:lang w:val="lt-LT"/>
        </w:rPr>
      </w:pPr>
      <w:r w:rsidRPr="00DB2543">
        <w:rPr>
          <w:szCs w:val="22"/>
          <w:vertAlign w:val="superscript"/>
          <w:lang w:val="lt-LT"/>
        </w:rPr>
        <w:t>c</w:t>
      </w:r>
      <w:r w:rsidRPr="007B6DBA">
        <w:rPr>
          <w:szCs w:val="22"/>
          <w:lang w:val="lt-LT"/>
        </w:rPr>
        <w:t xml:space="preserve"> Mažiausiųjų kvadratų vidurkis +/- standartinė paklaida</w:t>
      </w:r>
    </w:p>
    <w:p w14:paraId="20C5905D" w14:textId="77777777" w:rsidR="007B6DBA" w:rsidRDefault="007B6DBA" w:rsidP="007B6DBA">
      <w:pPr>
        <w:widowControl w:val="0"/>
        <w:tabs>
          <w:tab w:val="clear" w:pos="567"/>
        </w:tabs>
        <w:autoSpaceDE w:val="0"/>
        <w:autoSpaceDN w:val="0"/>
        <w:adjustRightInd w:val="0"/>
        <w:spacing w:line="240" w:lineRule="auto"/>
        <w:rPr>
          <w:szCs w:val="22"/>
          <w:lang w:val="lt-LT"/>
        </w:rPr>
      </w:pPr>
      <w:r w:rsidRPr="00DB2543">
        <w:rPr>
          <w:szCs w:val="22"/>
          <w:vertAlign w:val="superscript"/>
          <w:lang w:val="lt-LT"/>
        </w:rPr>
        <w:t>d</w:t>
      </w:r>
      <w:r w:rsidRPr="007B6DBA">
        <w:rPr>
          <w:szCs w:val="22"/>
          <w:lang w:val="lt-LT"/>
        </w:rPr>
        <w:t xml:space="preserve"> 0</w:t>
      </w:r>
      <w:r w:rsidR="00966D40">
        <w:rPr>
          <w:szCs w:val="22"/>
          <w:lang w:val="lt-LT"/>
        </w:rPr>
        <w:t> </w:t>
      </w:r>
      <w:r w:rsidRPr="007B6DBA">
        <w:rPr>
          <w:szCs w:val="22"/>
          <w:lang w:val="lt-LT"/>
        </w:rPr>
        <w:t>=</w:t>
      </w:r>
      <w:r w:rsidR="00966D40">
        <w:rPr>
          <w:szCs w:val="22"/>
          <w:lang w:val="lt-LT"/>
        </w:rPr>
        <w:t> </w:t>
      </w:r>
      <w:r w:rsidRPr="007B6DBA">
        <w:rPr>
          <w:szCs w:val="22"/>
          <w:lang w:val="lt-LT"/>
        </w:rPr>
        <w:t>geriausias balas, 30</w:t>
      </w:r>
      <w:r w:rsidR="00966D40">
        <w:rPr>
          <w:szCs w:val="22"/>
          <w:lang w:val="lt-LT"/>
        </w:rPr>
        <w:t> </w:t>
      </w:r>
      <w:r w:rsidRPr="007B6DBA">
        <w:rPr>
          <w:szCs w:val="22"/>
          <w:lang w:val="lt-LT"/>
        </w:rPr>
        <w:t>=</w:t>
      </w:r>
      <w:r w:rsidR="00966D40">
        <w:rPr>
          <w:szCs w:val="22"/>
          <w:lang w:val="lt-LT"/>
        </w:rPr>
        <w:t> </w:t>
      </w:r>
      <w:r w:rsidRPr="007B6DBA">
        <w:rPr>
          <w:szCs w:val="22"/>
          <w:lang w:val="lt-LT"/>
        </w:rPr>
        <w:t>blogiausias balas</w:t>
      </w:r>
    </w:p>
    <w:p w14:paraId="563FFB47" w14:textId="77777777" w:rsidR="00786239" w:rsidRPr="007B6DBA" w:rsidRDefault="00786239" w:rsidP="007B6DBA">
      <w:pPr>
        <w:widowControl w:val="0"/>
        <w:tabs>
          <w:tab w:val="clear" w:pos="567"/>
        </w:tabs>
        <w:autoSpaceDE w:val="0"/>
        <w:autoSpaceDN w:val="0"/>
        <w:adjustRightInd w:val="0"/>
        <w:spacing w:line="240" w:lineRule="auto"/>
        <w:rPr>
          <w:szCs w:val="22"/>
          <w:lang w:val="lt-LT"/>
        </w:rPr>
      </w:pPr>
    </w:p>
    <w:p w14:paraId="6F97B52C" w14:textId="77777777" w:rsidR="007B6DBA" w:rsidRPr="007B6DBA" w:rsidRDefault="007B6DBA" w:rsidP="007B6DBA">
      <w:pPr>
        <w:widowControl w:val="0"/>
        <w:tabs>
          <w:tab w:val="clear" w:pos="567"/>
        </w:tabs>
        <w:autoSpaceDE w:val="0"/>
        <w:autoSpaceDN w:val="0"/>
        <w:adjustRightInd w:val="0"/>
        <w:spacing w:line="240" w:lineRule="auto"/>
        <w:rPr>
          <w:szCs w:val="22"/>
          <w:lang w:val="lt-LT"/>
        </w:rPr>
      </w:pPr>
      <w:r w:rsidRPr="007B6DBA">
        <w:rPr>
          <w:szCs w:val="22"/>
          <w:lang w:val="lt-LT"/>
        </w:rPr>
        <w:t>Vidutinis procentinis bendro PPSI balo pokytis nuo pradinio balo apremilastu ir placebu gydytiems tiriamiesiems per placebu kontroliuojamą etapą pateiktas 2</w:t>
      </w:r>
      <w:r w:rsidR="002E00D6">
        <w:rPr>
          <w:szCs w:val="22"/>
          <w:lang w:val="lt-LT"/>
        </w:rPr>
        <w:t> </w:t>
      </w:r>
      <w:r w:rsidRPr="007B6DBA">
        <w:rPr>
          <w:szCs w:val="22"/>
          <w:lang w:val="lt-LT"/>
        </w:rPr>
        <w:t>paveiksle.</w:t>
      </w:r>
    </w:p>
    <w:p w14:paraId="2A0E45C8" w14:textId="77777777" w:rsidR="007B6DBA" w:rsidRPr="007B6DBA" w:rsidRDefault="007B6DBA" w:rsidP="007B6DBA">
      <w:pPr>
        <w:widowControl w:val="0"/>
        <w:tabs>
          <w:tab w:val="clear" w:pos="567"/>
        </w:tabs>
        <w:autoSpaceDE w:val="0"/>
        <w:autoSpaceDN w:val="0"/>
        <w:adjustRightInd w:val="0"/>
        <w:spacing w:line="240" w:lineRule="auto"/>
        <w:rPr>
          <w:szCs w:val="22"/>
          <w:lang w:val="lt-LT"/>
        </w:rPr>
      </w:pPr>
    </w:p>
    <w:p w14:paraId="0097D99C" w14:textId="77777777" w:rsidR="007B6DBA" w:rsidRDefault="007B6DBA" w:rsidP="00DB2543">
      <w:pPr>
        <w:keepNext/>
        <w:widowControl w:val="0"/>
        <w:tabs>
          <w:tab w:val="clear" w:pos="567"/>
        </w:tabs>
        <w:autoSpaceDE w:val="0"/>
        <w:autoSpaceDN w:val="0"/>
        <w:adjustRightInd w:val="0"/>
        <w:spacing w:line="240" w:lineRule="auto"/>
        <w:rPr>
          <w:szCs w:val="22"/>
          <w:lang w:val="lt-LT"/>
        </w:rPr>
      </w:pPr>
      <w:r w:rsidRPr="007B6DBA">
        <w:rPr>
          <w:b/>
          <w:bCs/>
          <w:szCs w:val="22"/>
          <w:lang w:val="lt-LT"/>
        </w:rPr>
        <w:t>2</w:t>
      </w:r>
      <w:r w:rsidR="00534633">
        <w:rPr>
          <w:b/>
          <w:bCs/>
          <w:szCs w:val="22"/>
          <w:lang w:val="lt-LT"/>
        </w:rPr>
        <w:t> </w:t>
      </w:r>
      <w:r w:rsidRPr="007B6DBA">
        <w:rPr>
          <w:b/>
          <w:bCs/>
          <w:szCs w:val="22"/>
          <w:lang w:val="lt-LT"/>
        </w:rPr>
        <w:t>paveikslas. Procentinis bendro PPSI balo pokytis nuo pradinio balo 16</w:t>
      </w:r>
      <w:r w:rsidR="00534633">
        <w:rPr>
          <w:b/>
          <w:bCs/>
          <w:szCs w:val="22"/>
          <w:lang w:val="lt-LT"/>
        </w:rPr>
        <w:t> </w:t>
      </w:r>
      <w:r w:rsidRPr="007B6DBA">
        <w:rPr>
          <w:b/>
          <w:bCs/>
          <w:szCs w:val="22"/>
          <w:lang w:val="lt-LT"/>
        </w:rPr>
        <w:t>savaitę (ITT populiacija; MI)</w:t>
      </w:r>
    </w:p>
    <w:p w14:paraId="5C83E1E1" w14:textId="77777777" w:rsidR="007B6DBA" w:rsidRDefault="007B6DBA" w:rsidP="00DB2543">
      <w:pPr>
        <w:keepNext/>
        <w:widowControl w:val="0"/>
        <w:tabs>
          <w:tab w:val="clear" w:pos="567"/>
        </w:tabs>
        <w:autoSpaceDE w:val="0"/>
        <w:autoSpaceDN w:val="0"/>
        <w:adjustRightInd w:val="0"/>
        <w:spacing w:line="240" w:lineRule="auto"/>
        <w:rPr>
          <w:szCs w:val="22"/>
          <w:lang w:val="lt-LT"/>
        </w:rPr>
      </w:pPr>
    </w:p>
    <w:p w14:paraId="4A7D5506" w14:textId="75CE9CD9" w:rsidR="007B6DBA" w:rsidRPr="00CD7E52" w:rsidRDefault="00842965" w:rsidP="00DB2543">
      <w:pPr>
        <w:keepNext/>
        <w:widowControl w:val="0"/>
        <w:tabs>
          <w:tab w:val="clear" w:pos="567"/>
        </w:tabs>
        <w:autoSpaceDE w:val="0"/>
        <w:autoSpaceDN w:val="0"/>
        <w:adjustRightInd w:val="0"/>
        <w:spacing w:line="240" w:lineRule="auto"/>
        <w:rPr>
          <w:szCs w:val="22"/>
          <w:lang w:val="lt-LT"/>
        </w:rPr>
      </w:pPr>
      <w:r>
        <w:rPr>
          <w:noProof/>
        </w:rPr>
        <mc:AlternateContent>
          <mc:Choice Requires="wps">
            <w:drawing>
              <wp:anchor distT="0" distB="0" distL="114300" distR="114300" simplePos="0" relativeHeight="251657728" behindDoc="0" locked="0" layoutInCell="1" allowOverlap="1" wp14:anchorId="6816BB9E" wp14:editId="144D5550">
                <wp:simplePos x="0" y="0"/>
                <wp:positionH relativeFrom="column">
                  <wp:posOffset>1699895</wp:posOffset>
                </wp:positionH>
                <wp:positionV relativeFrom="paragraph">
                  <wp:posOffset>2427605</wp:posOffset>
                </wp:positionV>
                <wp:extent cx="1023620" cy="259715"/>
                <wp:effectExtent l="0" t="0" r="0" b="0"/>
                <wp:wrapNone/>
                <wp:docPr id="776142142"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259715"/>
                        </a:xfrm>
                        <a:prstGeom prst="rect">
                          <a:avLst/>
                        </a:prstGeom>
                        <a:noFill/>
                        <a:ln>
                          <a:noFill/>
                        </a:ln>
                      </wps:spPr>
                      <wps:txbx>
                        <w:txbxContent>
                          <w:p w14:paraId="2182DB37" w14:textId="77777777" w:rsidR="00462DCF" w:rsidRPr="00DB2543" w:rsidRDefault="00462DCF">
                            <w:pPr>
                              <w:rPr>
                                <w:sz w:val="14"/>
                                <w:szCs w:val="14"/>
                                <w:lang w:val="lt-LT"/>
                              </w:rPr>
                            </w:pPr>
                            <w:r w:rsidRPr="00DB2543">
                              <w:rPr>
                                <w:sz w:val="14"/>
                                <w:szCs w:val="14"/>
                                <w:lang w:val="lt-LT"/>
                              </w:rPr>
                              <w:t>įterpimas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6BB9E" id="_x0000_t202" coordsize="21600,21600" o:spt="202" path="m,l,21600r21600,l21600,xe">
                <v:stroke joinstyle="miter"/>
                <v:path gradientshapeok="t" o:connecttype="rect"/>
              </v:shapetype>
              <v:shape id="Teksto laukas 1" o:spid="_x0000_s1026" type="#_x0000_t202" style="position:absolute;margin-left:133.85pt;margin-top:191.15pt;width:80.6pt;height:2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" filled="f" stroked="f">
                <v:textbox>
                  <w:txbxContent>
                    <w:p w14:paraId="2182DB37" w14:textId="77777777" w:rsidR="00462DCF" w:rsidRPr="00DB2543" w:rsidRDefault="00462DCF">
                      <w:pPr>
                        <w:rPr>
                          <w:sz w:val="14"/>
                          <w:szCs w:val="14"/>
                          <w:lang w:val="lt-LT"/>
                        </w:rPr>
                      </w:pPr>
                      <w:r w:rsidRPr="00DB2543">
                        <w:rPr>
                          <w:sz w:val="14"/>
                          <w:szCs w:val="14"/>
                          <w:lang w:val="lt-LT"/>
                        </w:rPr>
                        <w:t>įterpimas</w:t>
                      </w:r>
                    </w:p>
                  </w:txbxContent>
                </v:textbox>
              </v:shape>
            </w:pict>
          </mc:Fallback>
        </mc:AlternateContent>
      </w:r>
      <w:r w:rsidRPr="00425717">
        <w:rPr>
          <w:noProof/>
          <w:snapToGrid/>
        </w:rPr>
        <w:drawing>
          <wp:inline distT="0" distB="0" distL="0" distR="0" wp14:anchorId="093FCD45" wp14:editId="368E0F75">
            <wp:extent cx="5760720" cy="267462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674620"/>
                    </a:xfrm>
                    <a:prstGeom prst="rect">
                      <a:avLst/>
                    </a:prstGeom>
                    <a:noFill/>
                    <a:ln>
                      <a:noFill/>
                    </a:ln>
                  </pic:spPr>
                </pic:pic>
              </a:graphicData>
            </a:graphic>
          </wp:inline>
        </w:drawing>
      </w:r>
    </w:p>
    <w:p w14:paraId="453395C8" w14:textId="77777777" w:rsidR="007B6DBA" w:rsidRDefault="007B6DBA" w:rsidP="00DB2543">
      <w:pPr>
        <w:keepNext/>
        <w:widowControl w:val="0"/>
        <w:tabs>
          <w:tab w:val="clear" w:pos="567"/>
        </w:tabs>
        <w:autoSpaceDE w:val="0"/>
        <w:autoSpaceDN w:val="0"/>
        <w:adjustRightInd w:val="0"/>
        <w:spacing w:line="240" w:lineRule="auto"/>
        <w:rPr>
          <w:i/>
          <w:szCs w:val="22"/>
          <w:u w:val="single"/>
          <w:lang w:val="lt-LT"/>
        </w:rPr>
      </w:pPr>
    </w:p>
    <w:p w14:paraId="6705E1E3" w14:textId="77777777" w:rsidR="007B6DBA" w:rsidRPr="00DB2543" w:rsidRDefault="007B6DBA" w:rsidP="00BD0220">
      <w:pPr>
        <w:widowControl w:val="0"/>
        <w:tabs>
          <w:tab w:val="clear" w:pos="567"/>
        </w:tabs>
        <w:autoSpaceDE w:val="0"/>
        <w:autoSpaceDN w:val="0"/>
        <w:adjustRightInd w:val="0"/>
        <w:spacing w:line="240" w:lineRule="auto"/>
        <w:rPr>
          <w:iCs/>
          <w:szCs w:val="22"/>
          <w:lang w:val="lt-LT"/>
        </w:rPr>
      </w:pPr>
      <w:r w:rsidRPr="00DB2543">
        <w:rPr>
          <w:iCs/>
          <w:szCs w:val="22"/>
          <w:lang w:val="lt-LT"/>
        </w:rPr>
        <w:t>Pacientams, kuriems iš pradžių atsitiktinės atrankos būdu buvo paskirtas apremilastas, sPGA atsakas, PPSI-75 atsakas ir kitos vertinamosios baigtys, pasiektos 16</w:t>
      </w:r>
      <w:r w:rsidR="00AE04A9">
        <w:rPr>
          <w:iCs/>
          <w:szCs w:val="22"/>
          <w:lang w:val="lt-LT"/>
        </w:rPr>
        <w:t> </w:t>
      </w:r>
      <w:r w:rsidRPr="00DB2543">
        <w:rPr>
          <w:iCs/>
          <w:szCs w:val="22"/>
          <w:lang w:val="lt-LT"/>
        </w:rPr>
        <w:t>savaitę, išliko iki 52</w:t>
      </w:r>
      <w:r w:rsidR="00AE04A9">
        <w:rPr>
          <w:iCs/>
          <w:szCs w:val="22"/>
          <w:lang w:val="lt-LT"/>
        </w:rPr>
        <w:t> </w:t>
      </w:r>
      <w:r w:rsidRPr="00DB2543">
        <w:rPr>
          <w:iCs/>
          <w:szCs w:val="22"/>
          <w:lang w:val="lt-LT"/>
        </w:rPr>
        <w:t>savaitės.</w:t>
      </w:r>
    </w:p>
    <w:p w14:paraId="67B79F33" w14:textId="77777777" w:rsidR="007B6DBA" w:rsidRDefault="007B6DBA" w:rsidP="00BD0220">
      <w:pPr>
        <w:widowControl w:val="0"/>
        <w:tabs>
          <w:tab w:val="clear" w:pos="567"/>
        </w:tabs>
        <w:autoSpaceDE w:val="0"/>
        <w:autoSpaceDN w:val="0"/>
        <w:adjustRightInd w:val="0"/>
        <w:spacing w:line="240" w:lineRule="auto"/>
        <w:rPr>
          <w:i/>
          <w:szCs w:val="22"/>
          <w:u w:val="single"/>
          <w:lang w:val="lt-LT"/>
        </w:rPr>
      </w:pPr>
    </w:p>
    <w:p w14:paraId="0A634A49" w14:textId="77777777" w:rsidR="004B4124" w:rsidRPr="00CD7E52" w:rsidRDefault="004B4124" w:rsidP="00BD0220">
      <w:pPr>
        <w:widowControl w:val="0"/>
        <w:tabs>
          <w:tab w:val="clear" w:pos="567"/>
        </w:tabs>
        <w:autoSpaceDE w:val="0"/>
        <w:autoSpaceDN w:val="0"/>
        <w:adjustRightInd w:val="0"/>
        <w:spacing w:line="240" w:lineRule="auto"/>
        <w:rPr>
          <w:szCs w:val="22"/>
          <w:u w:val="single"/>
          <w:lang w:val="lt-LT"/>
        </w:rPr>
      </w:pPr>
      <w:r w:rsidRPr="00CD7E52">
        <w:rPr>
          <w:i/>
          <w:szCs w:val="22"/>
          <w:u w:val="single"/>
          <w:lang w:val="lt-LT"/>
        </w:rPr>
        <w:t>Bechčeto liga</w:t>
      </w:r>
    </w:p>
    <w:p w14:paraId="1E25956F"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Apremilasto saugumas ir veiksmingumas buvo įvertinti III</w:t>
      </w:r>
      <w:r w:rsidR="008D6E05" w:rsidRPr="00CD7E52">
        <w:rPr>
          <w:szCs w:val="22"/>
          <w:lang w:val="lt-LT"/>
        </w:rPr>
        <w:t> </w:t>
      </w:r>
      <w:r w:rsidRPr="00CD7E52">
        <w:rPr>
          <w:szCs w:val="22"/>
          <w:lang w:val="lt-LT"/>
        </w:rPr>
        <w:t>fazės daugiacentriame atsitiktinių imčių placebu</w:t>
      </w:r>
      <w:r w:rsidR="008D6E05" w:rsidRPr="00CD7E52">
        <w:rPr>
          <w:szCs w:val="22"/>
          <w:lang w:val="lt-LT"/>
        </w:rPr>
        <w:t xml:space="preserve"> </w:t>
      </w:r>
      <w:r w:rsidRPr="00CD7E52">
        <w:rPr>
          <w:szCs w:val="22"/>
          <w:lang w:val="lt-LT"/>
        </w:rPr>
        <w:t>kontroliuojamame tyrime (RELIEF), kuriame dalyvavo suaugusieji pacientai, sergantys aktyvia Bechčeto</w:t>
      </w:r>
      <w:r w:rsidR="008D6E05" w:rsidRPr="00CD7E52">
        <w:rPr>
          <w:szCs w:val="22"/>
          <w:lang w:val="lt-LT"/>
        </w:rPr>
        <w:t xml:space="preserve"> </w:t>
      </w:r>
      <w:r w:rsidRPr="00CD7E52">
        <w:rPr>
          <w:szCs w:val="22"/>
          <w:lang w:val="lt-LT"/>
        </w:rPr>
        <w:t xml:space="preserve">liga (BL), pasireiškiančia burnos opomis. Anksčiau pacientai buvo gydyti bent vienu nebiologiniu BL </w:t>
      </w:r>
      <w:r w:rsidRPr="00CD7E52">
        <w:rPr>
          <w:snapToGrid/>
          <w:szCs w:val="22"/>
          <w:lang w:val="lt-LT"/>
        </w:rPr>
        <w:t>vaist</w:t>
      </w:r>
      <w:r w:rsidR="008D6E05" w:rsidRPr="00CD7E52">
        <w:rPr>
          <w:snapToGrid/>
          <w:szCs w:val="22"/>
          <w:lang w:val="lt-LT"/>
        </w:rPr>
        <w:t>iniu preparatu</w:t>
      </w:r>
      <w:r w:rsidR="008D6E05" w:rsidRPr="00CD7E52">
        <w:rPr>
          <w:szCs w:val="22"/>
          <w:lang w:val="lt-LT"/>
        </w:rPr>
        <w:t xml:space="preserve"> </w:t>
      </w:r>
      <w:r w:rsidRPr="00CD7E52">
        <w:rPr>
          <w:szCs w:val="22"/>
          <w:lang w:val="lt-LT"/>
        </w:rPr>
        <w:t xml:space="preserve">nuo burnos opų ir </w:t>
      </w:r>
      <w:r w:rsidR="008D6E05" w:rsidRPr="00CD7E52">
        <w:rPr>
          <w:szCs w:val="22"/>
          <w:lang w:val="lt-LT"/>
        </w:rPr>
        <w:t>buvo tinkami</w:t>
      </w:r>
      <w:r w:rsidRPr="00CD7E52">
        <w:rPr>
          <w:szCs w:val="22"/>
          <w:lang w:val="lt-LT"/>
        </w:rPr>
        <w:t xml:space="preserve"> sisteminiam gydymui. </w:t>
      </w:r>
      <w:r w:rsidR="008D6E05" w:rsidRPr="00CD7E52">
        <w:rPr>
          <w:szCs w:val="22"/>
          <w:lang w:val="lt-LT"/>
        </w:rPr>
        <w:t>BL gydymas</w:t>
      </w:r>
      <w:r w:rsidRPr="00CD7E52">
        <w:rPr>
          <w:szCs w:val="22"/>
          <w:lang w:val="lt-LT"/>
        </w:rPr>
        <w:t xml:space="preserve"> </w:t>
      </w:r>
      <w:r w:rsidR="008D6E05" w:rsidRPr="00CD7E52">
        <w:rPr>
          <w:szCs w:val="22"/>
          <w:lang w:val="lt-LT"/>
        </w:rPr>
        <w:t xml:space="preserve">kitais vaistiniais preparatais tuo pat metu </w:t>
      </w:r>
      <w:r w:rsidRPr="00CD7E52">
        <w:rPr>
          <w:szCs w:val="22"/>
          <w:lang w:val="lt-LT"/>
        </w:rPr>
        <w:t>nebuvo leidžiamas.</w:t>
      </w:r>
      <w:r w:rsidR="008D6E05" w:rsidRPr="00CD7E52">
        <w:rPr>
          <w:szCs w:val="22"/>
          <w:lang w:val="lt-LT"/>
        </w:rPr>
        <w:t xml:space="preserve"> </w:t>
      </w:r>
      <w:r w:rsidRPr="00CD7E52">
        <w:rPr>
          <w:szCs w:val="22"/>
          <w:lang w:val="lt-LT"/>
        </w:rPr>
        <w:t xml:space="preserve">Tyrimo populiacija atitiko Tarptautinės tyrimų grupės (ang. </w:t>
      </w:r>
      <w:r w:rsidRPr="00CD7E52">
        <w:rPr>
          <w:i/>
          <w:szCs w:val="22"/>
          <w:lang w:val="lt-LT"/>
        </w:rPr>
        <w:t>International Study Group</w:t>
      </w:r>
      <w:r w:rsidRPr="00CD7E52">
        <w:rPr>
          <w:szCs w:val="22"/>
          <w:lang w:val="lt-LT"/>
        </w:rPr>
        <w:t>, ISG) BL kriterijus:</w:t>
      </w:r>
      <w:r w:rsidR="000D2EB4" w:rsidRPr="00CD7E52">
        <w:rPr>
          <w:szCs w:val="22"/>
          <w:lang w:val="lt-LT"/>
        </w:rPr>
        <w:t xml:space="preserve"> </w:t>
      </w:r>
      <w:r w:rsidRPr="00CD7E52">
        <w:rPr>
          <w:szCs w:val="22"/>
          <w:lang w:val="lt-LT"/>
        </w:rPr>
        <w:t>pacientams anksčiau buvo nustatyta odos pažeidimų (98,6</w:t>
      </w:r>
      <w:r w:rsidR="009F17E0" w:rsidRPr="00CD7E52">
        <w:rPr>
          <w:szCs w:val="22"/>
          <w:lang w:val="lt-LT"/>
        </w:rPr>
        <w:t> %</w:t>
      </w:r>
      <w:r w:rsidRPr="00CD7E52">
        <w:rPr>
          <w:szCs w:val="22"/>
          <w:lang w:val="lt-LT"/>
        </w:rPr>
        <w:t>), lytinių organų opų (90,3</w:t>
      </w:r>
      <w:r w:rsidR="009F17E0" w:rsidRPr="00CD7E52">
        <w:rPr>
          <w:szCs w:val="22"/>
          <w:lang w:val="lt-LT"/>
        </w:rPr>
        <w:t> %</w:t>
      </w:r>
      <w:r w:rsidRPr="00CD7E52">
        <w:rPr>
          <w:szCs w:val="22"/>
          <w:lang w:val="lt-LT"/>
        </w:rPr>
        <w:t>), skeleto ir</w:t>
      </w:r>
      <w:r w:rsidR="008D6E05" w:rsidRPr="00CD7E52">
        <w:rPr>
          <w:szCs w:val="22"/>
          <w:lang w:val="lt-LT"/>
        </w:rPr>
        <w:t xml:space="preserve"> </w:t>
      </w:r>
      <w:r w:rsidRPr="00CD7E52">
        <w:rPr>
          <w:szCs w:val="22"/>
          <w:lang w:val="lt-LT"/>
        </w:rPr>
        <w:t>raumenų sutrikimų (72,5</w:t>
      </w:r>
      <w:r w:rsidR="009F17E0" w:rsidRPr="00CD7E52">
        <w:rPr>
          <w:szCs w:val="22"/>
          <w:lang w:val="lt-LT"/>
        </w:rPr>
        <w:t> %</w:t>
      </w:r>
      <w:r w:rsidRPr="00CD7E52">
        <w:rPr>
          <w:szCs w:val="22"/>
          <w:lang w:val="lt-LT"/>
        </w:rPr>
        <w:t>), akių sutrikimų (17,4</w:t>
      </w:r>
      <w:r w:rsidR="009F17E0" w:rsidRPr="00CD7E52">
        <w:rPr>
          <w:szCs w:val="22"/>
          <w:lang w:val="lt-LT"/>
        </w:rPr>
        <w:t> %</w:t>
      </w:r>
      <w:r w:rsidRPr="00CD7E52">
        <w:rPr>
          <w:szCs w:val="22"/>
          <w:lang w:val="lt-LT"/>
        </w:rPr>
        <w:t>), centrinės nervų sistemos sutrikimų (9,7</w:t>
      </w:r>
      <w:r w:rsidR="009F17E0" w:rsidRPr="00CD7E52">
        <w:rPr>
          <w:szCs w:val="22"/>
          <w:lang w:val="lt-LT"/>
        </w:rPr>
        <w:t> %</w:t>
      </w:r>
      <w:r w:rsidRPr="00CD7E52">
        <w:rPr>
          <w:szCs w:val="22"/>
          <w:lang w:val="lt-LT"/>
        </w:rPr>
        <w:t>) ir</w:t>
      </w:r>
      <w:r w:rsidR="008D6E05" w:rsidRPr="00CD7E52">
        <w:rPr>
          <w:szCs w:val="22"/>
          <w:lang w:val="lt-LT"/>
        </w:rPr>
        <w:t xml:space="preserve"> </w:t>
      </w:r>
      <w:r w:rsidRPr="00CD7E52">
        <w:rPr>
          <w:szCs w:val="22"/>
          <w:lang w:val="lt-LT"/>
        </w:rPr>
        <w:t>virškinimo trakto sutrikimų (9,2</w:t>
      </w:r>
      <w:r w:rsidR="009F17E0" w:rsidRPr="00CD7E52">
        <w:rPr>
          <w:szCs w:val="22"/>
          <w:lang w:val="lt-LT"/>
        </w:rPr>
        <w:t> %</w:t>
      </w:r>
      <w:r w:rsidRPr="00CD7E52">
        <w:rPr>
          <w:szCs w:val="22"/>
          <w:lang w:val="lt-LT"/>
        </w:rPr>
        <w:t>), epididimitas (2,4</w:t>
      </w:r>
      <w:r w:rsidR="009F17E0" w:rsidRPr="00CD7E52">
        <w:rPr>
          <w:szCs w:val="22"/>
          <w:lang w:val="lt-LT"/>
        </w:rPr>
        <w:t> %</w:t>
      </w:r>
      <w:r w:rsidRPr="00CD7E52">
        <w:rPr>
          <w:szCs w:val="22"/>
          <w:lang w:val="lt-LT"/>
        </w:rPr>
        <w:t>) ir kraujagyslių pažeidimai (1,4</w:t>
      </w:r>
      <w:r w:rsidR="009F17E0" w:rsidRPr="00CD7E52">
        <w:rPr>
          <w:szCs w:val="22"/>
          <w:lang w:val="lt-LT"/>
        </w:rPr>
        <w:t> %</w:t>
      </w:r>
      <w:r w:rsidRPr="00CD7E52">
        <w:rPr>
          <w:szCs w:val="22"/>
          <w:lang w:val="lt-LT"/>
        </w:rPr>
        <w:t>).</w:t>
      </w:r>
      <w:r w:rsidR="004F0A6C" w:rsidRPr="00CD7E52">
        <w:rPr>
          <w:szCs w:val="22"/>
          <w:lang w:val="lt-LT"/>
        </w:rPr>
        <w:t xml:space="preserve"> </w:t>
      </w:r>
      <w:r w:rsidRPr="00CD7E52">
        <w:rPr>
          <w:szCs w:val="22"/>
          <w:lang w:val="lt-LT"/>
        </w:rPr>
        <w:t xml:space="preserve">Į tyrimą nebuvo įtraukti </w:t>
      </w:r>
      <w:r w:rsidR="004F0A6C" w:rsidRPr="00CD7E52">
        <w:rPr>
          <w:snapToGrid/>
          <w:szCs w:val="22"/>
          <w:lang w:val="lt-LT"/>
        </w:rPr>
        <w:lastRenderedPageBreak/>
        <w:t>pacientai,</w:t>
      </w:r>
      <w:r w:rsidR="004F0A6C" w:rsidRPr="00CD7E52">
        <w:rPr>
          <w:szCs w:val="22"/>
          <w:lang w:val="lt-LT"/>
        </w:rPr>
        <w:t xml:space="preserve"> sergantys </w:t>
      </w:r>
      <w:r w:rsidR="004F0A6C" w:rsidRPr="00CD7E52">
        <w:rPr>
          <w:snapToGrid/>
          <w:szCs w:val="22"/>
          <w:lang w:val="lt-LT"/>
        </w:rPr>
        <w:t>s</w:t>
      </w:r>
      <w:r w:rsidRPr="00CD7E52">
        <w:rPr>
          <w:snapToGrid/>
          <w:szCs w:val="22"/>
          <w:lang w:val="lt-LT"/>
        </w:rPr>
        <w:t>unkia BL</w:t>
      </w:r>
      <w:r w:rsidR="004F0A6C" w:rsidRPr="00CD7E52">
        <w:rPr>
          <w:snapToGrid/>
          <w:szCs w:val="22"/>
          <w:lang w:val="lt-LT"/>
        </w:rPr>
        <w:t>, t. y.</w:t>
      </w:r>
      <w:r w:rsidRPr="00CD7E52">
        <w:rPr>
          <w:szCs w:val="22"/>
          <w:lang w:val="lt-LT"/>
        </w:rPr>
        <w:t xml:space="preserve"> </w:t>
      </w:r>
      <w:r w:rsidR="004F0A6C" w:rsidRPr="00CD7E52">
        <w:rPr>
          <w:szCs w:val="22"/>
          <w:lang w:val="lt-LT"/>
        </w:rPr>
        <w:t xml:space="preserve">buvo </w:t>
      </w:r>
      <w:r w:rsidR="004F0A6C" w:rsidRPr="00CD7E52">
        <w:rPr>
          <w:snapToGrid/>
          <w:szCs w:val="22"/>
          <w:lang w:val="lt-LT"/>
        </w:rPr>
        <w:t>nustatyta</w:t>
      </w:r>
      <w:r w:rsidRPr="00CD7E52">
        <w:rPr>
          <w:szCs w:val="22"/>
          <w:lang w:val="lt-LT"/>
        </w:rPr>
        <w:t xml:space="preserve"> aktyvių svarbių</w:t>
      </w:r>
      <w:r w:rsidR="004F0A6C" w:rsidRPr="00CD7E52">
        <w:rPr>
          <w:szCs w:val="22"/>
          <w:lang w:val="lt-LT"/>
        </w:rPr>
        <w:t xml:space="preserve"> </w:t>
      </w:r>
      <w:r w:rsidRPr="00CD7E52">
        <w:rPr>
          <w:szCs w:val="22"/>
          <w:lang w:val="lt-LT"/>
        </w:rPr>
        <w:t xml:space="preserve">organų sutrikimų (pvz., </w:t>
      </w:r>
      <w:r w:rsidRPr="00CD7E52">
        <w:rPr>
          <w:snapToGrid/>
          <w:szCs w:val="22"/>
          <w:lang w:val="lt-LT"/>
        </w:rPr>
        <w:t>meningoencefalit</w:t>
      </w:r>
      <w:r w:rsidR="004F0A6C" w:rsidRPr="00CD7E52">
        <w:rPr>
          <w:snapToGrid/>
          <w:szCs w:val="22"/>
          <w:lang w:val="lt-LT"/>
        </w:rPr>
        <w:t>as</w:t>
      </w:r>
      <w:r w:rsidRPr="00CD7E52">
        <w:rPr>
          <w:szCs w:val="22"/>
          <w:lang w:val="lt-LT"/>
        </w:rPr>
        <w:t xml:space="preserve"> arba plaučių arterijos </w:t>
      </w:r>
      <w:r w:rsidRPr="00CD7E52">
        <w:rPr>
          <w:snapToGrid/>
          <w:szCs w:val="22"/>
          <w:lang w:val="lt-LT"/>
        </w:rPr>
        <w:t>aneurizm</w:t>
      </w:r>
      <w:r w:rsidR="004F0A6C" w:rsidRPr="00CD7E52">
        <w:rPr>
          <w:snapToGrid/>
          <w:szCs w:val="22"/>
          <w:lang w:val="lt-LT"/>
        </w:rPr>
        <w:t>a</w:t>
      </w:r>
      <w:r w:rsidRPr="00CD7E52">
        <w:rPr>
          <w:szCs w:val="22"/>
          <w:lang w:val="lt-LT"/>
        </w:rPr>
        <w:t>).</w:t>
      </w:r>
    </w:p>
    <w:p w14:paraId="22E27EAB" w14:textId="77777777" w:rsidR="006433AC" w:rsidRPr="00CD7E52" w:rsidRDefault="006433AC" w:rsidP="00BD0220">
      <w:pPr>
        <w:widowControl w:val="0"/>
        <w:tabs>
          <w:tab w:val="clear" w:pos="567"/>
        </w:tabs>
        <w:autoSpaceDE w:val="0"/>
        <w:autoSpaceDN w:val="0"/>
        <w:adjustRightInd w:val="0"/>
        <w:spacing w:line="240" w:lineRule="auto"/>
        <w:rPr>
          <w:szCs w:val="22"/>
          <w:lang w:val="lt-LT"/>
        </w:rPr>
      </w:pPr>
    </w:p>
    <w:p w14:paraId="66223A90"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Iš viso 207 BL sergantys pacientai santykiu 1:1 </w:t>
      </w:r>
      <w:r w:rsidR="009654C9" w:rsidRPr="00CD7E52">
        <w:rPr>
          <w:snapToGrid/>
          <w:szCs w:val="22"/>
          <w:lang w:val="lt-LT"/>
        </w:rPr>
        <w:t xml:space="preserve">buvo priskirti atsitiktinėms imtims ir </w:t>
      </w:r>
      <w:r w:rsidRPr="00CD7E52">
        <w:rPr>
          <w:snapToGrid/>
          <w:szCs w:val="22"/>
          <w:lang w:val="lt-LT"/>
        </w:rPr>
        <w:t>varto</w:t>
      </w:r>
      <w:r w:rsidR="009654C9" w:rsidRPr="00CD7E52">
        <w:rPr>
          <w:snapToGrid/>
          <w:szCs w:val="22"/>
          <w:lang w:val="lt-LT"/>
        </w:rPr>
        <w:t>jo</w:t>
      </w:r>
      <w:r w:rsidRPr="00CD7E52">
        <w:rPr>
          <w:szCs w:val="22"/>
          <w:lang w:val="lt-LT"/>
        </w:rPr>
        <w:t xml:space="preserve"> 30</w:t>
      </w:r>
      <w:r w:rsidR="00A87582" w:rsidRPr="00CD7E52">
        <w:rPr>
          <w:szCs w:val="22"/>
          <w:lang w:val="lt-LT"/>
        </w:rPr>
        <w:t> mg</w:t>
      </w:r>
      <w:r w:rsidR="009654C9" w:rsidRPr="00CD7E52">
        <w:rPr>
          <w:szCs w:val="22"/>
          <w:lang w:val="lt-LT"/>
        </w:rPr>
        <w:t xml:space="preserve"> </w:t>
      </w:r>
      <w:r w:rsidRPr="00CD7E52">
        <w:rPr>
          <w:szCs w:val="22"/>
          <w:lang w:val="lt-LT"/>
        </w:rPr>
        <w:t>apremilasto dozę du kartus per parą (n</w:t>
      </w:r>
      <w:r w:rsidR="0051032D" w:rsidRPr="00CD7E52">
        <w:rPr>
          <w:szCs w:val="22"/>
          <w:lang w:val="lt-LT"/>
        </w:rPr>
        <w:t> </w:t>
      </w:r>
      <w:r w:rsidR="00B97414" w:rsidRPr="00CD7E52">
        <w:rPr>
          <w:snapToGrid/>
          <w:szCs w:val="22"/>
          <w:lang w:val="lt-LT"/>
        </w:rPr>
        <w:t>=</w:t>
      </w:r>
      <w:r w:rsidR="0051032D" w:rsidRPr="00CD7E52">
        <w:rPr>
          <w:snapToGrid/>
          <w:szCs w:val="22"/>
          <w:lang w:val="lt-LT"/>
        </w:rPr>
        <w:t> </w:t>
      </w:r>
      <w:r w:rsidRPr="00CD7E52">
        <w:rPr>
          <w:szCs w:val="22"/>
          <w:lang w:val="lt-LT"/>
        </w:rPr>
        <w:t xml:space="preserve">104) arba </w:t>
      </w:r>
      <w:r w:rsidRPr="00CD7E52">
        <w:rPr>
          <w:snapToGrid/>
          <w:szCs w:val="22"/>
          <w:lang w:val="lt-LT"/>
        </w:rPr>
        <w:t>place</w:t>
      </w:r>
      <w:r w:rsidR="00355449">
        <w:rPr>
          <w:snapToGrid/>
          <w:szCs w:val="22"/>
          <w:lang w:val="lt-LT"/>
        </w:rPr>
        <w:t>bo</w:t>
      </w:r>
      <w:r w:rsidRPr="00CD7E52">
        <w:rPr>
          <w:szCs w:val="22"/>
          <w:lang w:val="lt-LT"/>
        </w:rPr>
        <w:t xml:space="preserve"> (n</w:t>
      </w:r>
      <w:r w:rsidR="0051032D" w:rsidRPr="00CD7E52">
        <w:rPr>
          <w:szCs w:val="22"/>
          <w:lang w:val="lt-LT"/>
        </w:rPr>
        <w:t> </w:t>
      </w:r>
      <w:r w:rsidR="00B97414" w:rsidRPr="00CD7E52">
        <w:rPr>
          <w:snapToGrid/>
          <w:szCs w:val="22"/>
          <w:lang w:val="lt-LT"/>
        </w:rPr>
        <w:t>=</w:t>
      </w:r>
      <w:r w:rsidR="0051032D" w:rsidRPr="00CD7E52">
        <w:rPr>
          <w:snapToGrid/>
          <w:szCs w:val="22"/>
          <w:lang w:val="lt-LT"/>
        </w:rPr>
        <w:t> </w:t>
      </w:r>
      <w:r w:rsidRPr="00CD7E52">
        <w:rPr>
          <w:szCs w:val="22"/>
          <w:lang w:val="lt-LT"/>
        </w:rPr>
        <w:t>103) 12</w:t>
      </w:r>
      <w:r w:rsidR="00C65C08" w:rsidRPr="00CD7E52">
        <w:rPr>
          <w:szCs w:val="22"/>
          <w:lang w:val="lt-LT"/>
        </w:rPr>
        <w:t> savai</w:t>
      </w:r>
      <w:r w:rsidRPr="00CD7E52">
        <w:rPr>
          <w:szCs w:val="22"/>
          <w:lang w:val="lt-LT"/>
        </w:rPr>
        <w:t>čių (placebu kontroliuojama</w:t>
      </w:r>
      <w:r w:rsidR="009654C9" w:rsidRPr="00CD7E52">
        <w:rPr>
          <w:szCs w:val="22"/>
          <w:lang w:val="lt-LT"/>
        </w:rPr>
        <w:t xml:space="preserve"> </w:t>
      </w:r>
      <w:r w:rsidRPr="00CD7E52">
        <w:rPr>
          <w:szCs w:val="22"/>
          <w:lang w:val="lt-LT"/>
        </w:rPr>
        <w:t>fazė), o nuo 12 iki 64</w:t>
      </w:r>
      <w:r w:rsidR="00C65C08" w:rsidRPr="00CD7E52">
        <w:rPr>
          <w:szCs w:val="22"/>
          <w:lang w:val="lt-LT"/>
        </w:rPr>
        <w:t> savai</w:t>
      </w:r>
      <w:r w:rsidRPr="00CD7E52">
        <w:rPr>
          <w:szCs w:val="22"/>
          <w:lang w:val="lt-LT"/>
        </w:rPr>
        <w:t>tės visiems pacientams buvo skiriama 30</w:t>
      </w:r>
      <w:r w:rsidR="00A87582" w:rsidRPr="00CD7E52">
        <w:rPr>
          <w:szCs w:val="22"/>
          <w:lang w:val="lt-LT"/>
        </w:rPr>
        <w:t> mg</w:t>
      </w:r>
      <w:r w:rsidRPr="00CD7E52">
        <w:rPr>
          <w:szCs w:val="22"/>
          <w:lang w:val="lt-LT"/>
        </w:rPr>
        <w:t xml:space="preserve"> apremilasto du kartus per parą</w:t>
      </w:r>
      <w:r w:rsidR="009654C9" w:rsidRPr="00CD7E52">
        <w:rPr>
          <w:szCs w:val="22"/>
          <w:lang w:val="lt-LT"/>
        </w:rPr>
        <w:t xml:space="preserve"> </w:t>
      </w:r>
      <w:r w:rsidRPr="00CD7E52">
        <w:rPr>
          <w:szCs w:val="22"/>
          <w:lang w:val="lt-LT"/>
        </w:rPr>
        <w:t>(aktyviojo gydymo fazė). Pacientų amžius buvo nuo 19 iki 72</w:t>
      </w:r>
      <w:r w:rsidR="009654C9" w:rsidRPr="00CD7E52">
        <w:rPr>
          <w:szCs w:val="22"/>
          <w:lang w:val="lt-LT"/>
        </w:rPr>
        <w:t> </w:t>
      </w:r>
      <w:r w:rsidRPr="00CD7E52">
        <w:rPr>
          <w:szCs w:val="22"/>
          <w:lang w:val="lt-LT"/>
        </w:rPr>
        <w:t>metų, o amžiaus vidurkis buvo 40</w:t>
      </w:r>
      <w:r w:rsidR="009654C9" w:rsidRPr="00CD7E52">
        <w:rPr>
          <w:szCs w:val="22"/>
          <w:lang w:val="lt-LT"/>
        </w:rPr>
        <w:t> </w:t>
      </w:r>
      <w:r w:rsidRPr="00CD7E52">
        <w:rPr>
          <w:szCs w:val="22"/>
          <w:lang w:val="lt-LT"/>
        </w:rPr>
        <w:t>metų.</w:t>
      </w:r>
      <w:r w:rsidR="009654C9" w:rsidRPr="00CD7E52">
        <w:rPr>
          <w:szCs w:val="22"/>
          <w:lang w:val="lt-LT"/>
        </w:rPr>
        <w:t xml:space="preserve"> </w:t>
      </w:r>
      <w:r w:rsidRPr="00CD7E52">
        <w:rPr>
          <w:szCs w:val="22"/>
          <w:lang w:val="lt-LT"/>
        </w:rPr>
        <w:t>Vidutinė BL trukmė buvo 6,84</w:t>
      </w:r>
      <w:r w:rsidR="009654C9" w:rsidRPr="00CD7E52">
        <w:rPr>
          <w:szCs w:val="22"/>
          <w:lang w:val="lt-LT"/>
        </w:rPr>
        <w:t> </w:t>
      </w:r>
      <w:r w:rsidRPr="00CD7E52">
        <w:rPr>
          <w:szCs w:val="22"/>
          <w:lang w:val="lt-LT"/>
        </w:rPr>
        <w:t xml:space="preserve">metų. Visiems pacientams anksčiau </w:t>
      </w:r>
      <w:r w:rsidR="009654C9" w:rsidRPr="00CD7E52">
        <w:rPr>
          <w:snapToGrid/>
          <w:szCs w:val="22"/>
          <w:lang w:val="lt-LT"/>
        </w:rPr>
        <w:t>buvo nustatyta</w:t>
      </w:r>
      <w:r w:rsidR="009654C9" w:rsidRPr="00CD7E52">
        <w:rPr>
          <w:szCs w:val="22"/>
          <w:lang w:val="lt-LT"/>
        </w:rPr>
        <w:t xml:space="preserve"> </w:t>
      </w:r>
      <w:r w:rsidRPr="00CD7E52">
        <w:rPr>
          <w:szCs w:val="22"/>
          <w:lang w:val="lt-LT"/>
        </w:rPr>
        <w:t>pasikartojančių burnos opų, o</w:t>
      </w:r>
      <w:r w:rsidR="009654C9" w:rsidRPr="00CD7E52">
        <w:rPr>
          <w:szCs w:val="22"/>
          <w:lang w:val="lt-LT"/>
        </w:rPr>
        <w:t xml:space="preserve"> </w:t>
      </w:r>
      <w:r w:rsidRPr="00CD7E52">
        <w:rPr>
          <w:szCs w:val="22"/>
          <w:lang w:val="lt-LT"/>
        </w:rPr>
        <w:t xml:space="preserve">atrankos ir </w:t>
      </w:r>
      <w:r w:rsidR="009654C9" w:rsidRPr="00CD7E52">
        <w:rPr>
          <w:snapToGrid/>
          <w:szCs w:val="22"/>
          <w:lang w:val="lt-LT"/>
        </w:rPr>
        <w:t>priskyrimo atsitiktinėms imtims</w:t>
      </w:r>
      <w:r w:rsidRPr="00CD7E52">
        <w:rPr>
          <w:szCs w:val="22"/>
          <w:lang w:val="lt-LT"/>
        </w:rPr>
        <w:t xml:space="preserve"> metu jie turėjo mažiausiai 2 burnos opas: vidutinis pradinis burnos opų skaičius</w:t>
      </w:r>
      <w:r w:rsidR="009654C9" w:rsidRPr="00CD7E52">
        <w:rPr>
          <w:szCs w:val="22"/>
          <w:lang w:val="lt-LT"/>
        </w:rPr>
        <w:t xml:space="preserve"> </w:t>
      </w:r>
      <w:r w:rsidRPr="00CD7E52">
        <w:rPr>
          <w:szCs w:val="22"/>
          <w:lang w:val="lt-LT"/>
        </w:rPr>
        <w:t>buvo atitinkamai 4,2 ir 3,9 apremilasto ir placebo grupėse.</w:t>
      </w:r>
    </w:p>
    <w:p w14:paraId="4A2D9B5A" w14:textId="77777777" w:rsidR="009654C9" w:rsidRPr="00CD7E52" w:rsidRDefault="009654C9" w:rsidP="00BD0220">
      <w:pPr>
        <w:widowControl w:val="0"/>
        <w:tabs>
          <w:tab w:val="clear" w:pos="567"/>
        </w:tabs>
        <w:autoSpaceDE w:val="0"/>
        <w:autoSpaceDN w:val="0"/>
        <w:adjustRightInd w:val="0"/>
        <w:spacing w:line="240" w:lineRule="auto"/>
        <w:rPr>
          <w:szCs w:val="22"/>
          <w:lang w:val="lt-LT"/>
        </w:rPr>
      </w:pPr>
    </w:p>
    <w:p w14:paraId="52AD9AE5" w14:textId="77777777" w:rsidR="004B4124" w:rsidRPr="00CD7E52" w:rsidRDefault="009654C9" w:rsidP="00BD0220">
      <w:pPr>
        <w:widowControl w:val="0"/>
        <w:tabs>
          <w:tab w:val="clear" w:pos="567"/>
        </w:tabs>
        <w:autoSpaceDE w:val="0"/>
        <w:autoSpaceDN w:val="0"/>
        <w:adjustRightInd w:val="0"/>
        <w:spacing w:line="240" w:lineRule="auto"/>
        <w:rPr>
          <w:szCs w:val="22"/>
          <w:lang w:val="lt-LT"/>
        </w:rPr>
      </w:pPr>
      <w:r w:rsidRPr="00CD7E52">
        <w:rPr>
          <w:snapToGrid/>
          <w:szCs w:val="22"/>
          <w:lang w:val="lt-LT"/>
        </w:rPr>
        <w:t>Pagrindinė</w:t>
      </w:r>
      <w:r w:rsidR="004B4124" w:rsidRPr="00CD7E52">
        <w:rPr>
          <w:szCs w:val="22"/>
          <w:lang w:val="lt-LT"/>
        </w:rPr>
        <w:t xml:space="preserve"> vertinamoji baigtis buvo burnos opų skaičiaus nuo pradinio </w:t>
      </w:r>
      <w:r w:rsidRPr="00CD7E52">
        <w:rPr>
          <w:snapToGrid/>
          <w:szCs w:val="22"/>
          <w:lang w:val="lt-LT"/>
        </w:rPr>
        <w:t>į</w:t>
      </w:r>
      <w:r w:rsidR="004B4124" w:rsidRPr="00CD7E52">
        <w:rPr>
          <w:snapToGrid/>
          <w:szCs w:val="22"/>
          <w:lang w:val="lt-LT"/>
        </w:rPr>
        <w:t>vertinimo</w:t>
      </w:r>
      <w:r w:rsidR="004B4124" w:rsidRPr="00CD7E52">
        <w:rPr>
          <w:szCs w:val="22"/>
          <w:lang w:val="lt-LT"/>
        </w:rPr>
        <w:t xml:space="preserve"> iki 12</w:t>
      </w:r>
      <w:r w:rsidR="00C65C08" w:rsidRPr="00CD7E52">
        <w:rPr>
          <w:szCs w:val="22"/>
          <w:lang w:val="lt-LT"/>
        </w:rPr>
        <w:t> savai</w:t>
      </w:r>
      <w:r w:rsidR="004B4124" w:rsidRPr="00CD7E52">
        <w:rPr>
          <w:szCs w:val="22"/>
          <w:lang w:val="lt-LT"/>
        </w:rPr>
        <w:t>tės rodmens plotas</w:t>
      </w:r>
      <w:r w:rsidRPr="00CD7E52">
        <w:rPr>
          <w:szCs w:val="22"/>
          <w:lang w:val="lt-LT"/>
        </w:rPr>
        <w:t xml:space="preserve"> </w:t>
      </w:r>
      <w:r w:rsidR="004B4124" w:rsidRPr="00CD7E52">
        <w:rPr>
          <w:szCs w:val="22"/>
          <w:lang w:val="lt-LT"/>
        </w:rPr>
        <w:t xml:space="preserve">po kreive (ang. </w:t>
      </w:r>
      <w:r w:rsidR="004B4124" w:rsidRPr="00CD7E52">
        <w:rPr>
          <w:i/>
          <w:szCs w:val="22"/>
          <w:lang w:val="lt-LT"/>
        </w:rPr>
        <w:t>Area Under the Curve</w:t>
      </w:r>
      <w:r w:rsidR="004B4124" w:rsidRPr="00CD7E52">
        <w:rPr>
          <w:szCs w:val="22"/>
          <w:lang w:val="lt-LT"/>
        </w:rPr>
        <w:t>, AUC). Antrinės vertinamosios baigtys buvo kiti burnos opų</w:t>
      </w:r>
      <w:r w:rsidRPr="00CD7E52">
        <w:rPr>
          <w:szCs w:val="22"/>
          <w:lang w:val="lt-LT"/>
        </w:rPr>
        <w:t xml:space="preserve"> </w:t>
      </w:r>
      <w:r w:rsidRPr="00CD7E52">
        <w:rPr>
          <w:snapToGrid/>
          <w:szCs w:val="22"/>
          <w:lang w:val="lt-LT"/>
        </w:rPr>
        <w:t>rodmenys</w:t>
      </w:r>
      <w:r w:rsidR="004B4124" w:rsidRPr="00CD7E52">
        <w:rPr>
          <w:szCs w:val="22"/>
          <w:lang w:val="lt-LT"/>
        </w:rPr>
        <w:t>: burnos opų skausmas pagal vizualinę analoginę skalę (VAS), pacientų be burnos opų (visiškas</w:t>
      </w:r>
      <w:r w:rsidRPr="00CD7E52">
        <w:rPr>
          <w:szCs w:val="22"/>
          <w:lang w:val="lt-LT"/>
        </w:rPr>
        <w:t xml:space="preserve"> </w:t>
      </w:r>
      <w:r w:rsidR="004B4124" w:rsidRPr="00CD7E52">
        <w:rPr>
          <w:szCs w:val="22"/>
          <w:lang w:val="lt-LT"/>
        </w:rPr>
        <w:t>atsakas) procentinė dalis, laikas iki burnos opų gijimo pradžios ir pacientų, kuriems burnos opos išgijo iki</w:t>
      </w:r>
      <w:r w:rsidRPr="00CD7E52">
        <w:rPr>
          <w:szCs w:val="22"/>
          <w:lang w:val="lt-LT"/>
        </w:rPr>
        <w:t xml:space="preserve"> </w:t>
      </w:r>
      <w:r w:rsidR="004B4124" w:rsidRPr="00CD7E52">
        <w:rPr>
          <w:szCs w:val="22"/>
          <w:lang w:val="lt-LT"/>
        </w:rPr>
        <w:t>6</w:t>
      </w:r>
      <w:r w:rsidR="00C65C08" w:rsidRPr="00CD7E52">
        <w:rPr>
          <w:szCs w:val="22"/>
          <w:lang w:val="lt-LT"/>
        </w:rPr>
        <w:t> savai</w:t>
      </w:r>
      <w:r w:rsidR="004B4124" w:rsidRPr="00CD7E52">
        <w:rPr>
          <w:szCs w:val="22"/>
          <w:lang w:val="lt-LT"/>
        </w:rPr>
        <w:t xml:space="preserve">tės ir kuriems burnos </w:t>
      </w:r>
      <w:r w:rsidR="004B4124" w:rsidRPr="00CD7E52">
        <w:rPr>
          <w:snapToGrid/>
          <w:szCs w:val="22"/>
          <w:lang w:val="lt-LT"/>
        </w:rPr>
        <w:t>op</w:t>
      </w:r>
      <w:r w:rsidRPr="00CD7E52">
        <w:rPr>
          <w:snapToGrid/>
          <w:szCs w:val="22"/>
          <w:lang w:val="lt-LT"/>
        </w:rPr>
        <w:t>ų</w:t>
      </w:r>
      <w:r w:rsidR="004B4124" w:rsidRPr="00CD7E52">
        <w:rPr>
          <w:snapToGrid/>
          <w:szCs w:val="22"/>
          <w:lang w:val="lt-LT"/>
        </w:rPr>
        <w:t xml:space="preserve"> </w:t>
      </w:r>
      <w:r w:rsidRPr="00CD7E52">
        <w:rPr>
          <w:snapToGrid/>
          <w:szCs w:val="22"/>
          <w:lang w:val="lt-LT"/>
        </w:rPr>
        <w:t>nenustatyta</w:t>
      </w:r>
      <w:r w:rsidR="004B4124" w:rsidRPr="00CD7E52">
        <w:rPr>
          <w:szCs w:val="22"/>
          <w:lang w:val="lt-LT"/>
        </w:rPr>
        <w:t xml:space="preserve"> per visus vizitus mažiausiai 6</w:t>
      </w:r>
      <w:r w:rsidR="004B4124" w:rsidRPr="00CD7E52">
        <w:rPr>
          <w:snapToGrid/>
          <w:szCs w:val="22"/>
          <w:lang w:val="lt-LT"/>
        </w:rPr>
        <w:t xml:space="preserve"> </w:t>
      </w:r>
      <w:r w:rsidR="004B4124" w:rsidRPr="00CD7E52">
        <w:rPr>
          <w:szCs w:val="22"/>
          <w:lang w:val="lt-LT"/>
        </w:rPr>
        <w:t>papildomas</w:t>
      </w:r>
      <w:r w:rsidRPr="00CD7E52">
        <w:rPr>
          <w:szCs w:val="22"/>
          <w:lang w:val="lt-LT"/>
        </w:rPr>
        <w:t xml:space="preserve"> </w:t>
      </w:r>
      <w:r w:rsidR="00C65C08" w:rsidRPr="00CD7E52">
        <w:rPr>
          <w:szCs w:val="22"/>
          <w:lang w:val="lt-LT"/>
        </w:rPr>
        <w:t>savai</w:t>
      </w:r>
      <w:r w:rsidR="004B4124" w:rsidRPr="00CD7E52">
        <w:rPr>
          <w:szCs w:val="22"/>
          <w:lang w:val="lt-LT"/>
        </w:rPr>
        <w:t>tes</w:t>
      </w:r>
      <w:r w:rsidRPr="00CD7E52">
        <w:rPr>
          <w:szCs w:val="22"/>
          <w:lang w:val="lt-LT"/>
        </w:rPr>
        <w:t xml:space="preserve"> </w:t>
      </w:r>
      <w:r w:rsidR="004B4124" w:rsidRPr="00CD7E52">
        <w:rPr>
          <w:szCs w:val="22"/>
          <w:lang w:val="lt-LT"/>
        </w:rPr>
        <w:t>12</w:t>
      </w:r>
      <w:r w:rsidR="00C65C08" w:rsidRPr="00CD7E52">
        <w:rPr>
          <w:szCs w:val="22"/>
          <w:lang w:val="lt-LT"/>
        </w:rPr>
        <w:t> savai</w:t>
      </w:r>
      <w:r w:rsidR="004B4124" w:rsidRPr="00CD7E52">
        <w:rPr>
          <w:szCs w:val="22"/>
          <w:lang w:val="lt-LT"/>
        </w:rPr>
        <w:t>čių placebu kontroliuojamos gydymo fazės metu, dalis. Kitos vertinamosios baigtys buvo Bechčeto</w:t>
      </w:r>
      <w:r w:rsidRPr="00CD7E52">
        <w:rPr>
          <w:szCs w:val="22"/>
          <w:lang w:val="lt-LT"/>
        </w:rPr>
        <w:t xml:space="preserve"> </w:t>
      </w:r>
      <w:r w:rsidR="004B4124" w:rsidRPr="00CD7E52">
        <w:rPr>
          <w:szCs w:val="22"/>
          <w:lang w:val="lt-LT"/>
        </w:rPr>
        <w:t xml:space="preserve">sindromo aktyvumo </w:t>
      </w:r>
      <w:r w:rsidRPr="00CD7E52">
        <w:rPr>
          <w:snapToGrid/>
          <w:szCs w:val="22"/>
          <w:lang w:val="lt-LT"/>
        </w:rPr>
        <w:t>įvertinimas</w:t>
      </w:r>
      <w:r w:rsidR="004B4124" w:rsidRPr="00CD7E52">
        <w:rPr>
          <w:snapToGrid/>
          <w:szCs w:val="22"/>
          <w:lang w:val="lt-LT"/>
        </w:rPr>
        <w:t xml:space="preserve"> (</w:t>
      </w:r>
      <w:r w:rsidRPr="00CD7E52">
        <w:rPr>
          <w:snapToGrid/>
          <w:szCs w:val="22"/>
          <w:lang w:val="lt-LT"/>
        </w:rPr>
        <w:t>BSAĮ</w:t>
      </w:r>
      <w:r w:rsidR="004B4124" w:rsidRPr="00CD7E52">
        <w:rPr>
          <w:szCs w:val="22"/>
          <w:lang w:val="lt-LT"/>
        </w:rPr>
        <w:t xml:space="preserve">), BL </w:t>
      </w:r>
      <w:r w:rsidRPr="00CD7E52">
        <w:rPr>
          <w:snapToGrid/>
          <w:szCs w:val="22"/>
          <w:lang w:val="lt-LT"/>
        </w:rPr>
        <w:t>esama</w:t>
      </w:r>
      <w:r w:rsidR="004B4124" w:rsidRPr="00CD7E52">
        <w:rPr>
          <w:szCs w:val="22"/>
          <w:lang w:val="lt-LT"/>
        </w:rPr>
        <w:t xml:space="preserve"> aktyvumo forma (</w:t>
      </w:r>
      <w:r w:rsidRPr="00CD7E52">
        <w:rPr>
          <w:snapToGrid/>
          <w:szCs w:val="22"/>
          <w:lang w:val="lt-LT"/>
        </w:rPr>
        <w:t>BLEAF</w:t>
      </w:r>
      <w:r w:rsidR="004B4124" w:rsidRPr="00CD7E52">
        <w:rPr>
          <w:szCs w:val="22"/>
          <w:lang w:val="lt-LT"/>
        </w:rPr>
        <w:t xml:space="preserve">), įskaitant BL </w:t>
      </w:r>
      <w:r w:rsidRPr="00CD7E52">
        <w:rPr>
          <w:snapToGrid/>
          <w:szCs w:val="22"/>
          <w:lang w:val="lt-LT"/>
        </w:rPr>
        <w:t>esamo</w:t>
      </w:r>
      <w:r w:rsidRPr="00CD7E52">
        <w:rPr>
          <w:szCs w:val="22"/>
          <w:lang w:val="lt-LT"/>
        </w:rPr>
        <w:t xml:space="preserve"> </w:t>
      </w:r>
      <w:r w:rsidR="004B4124" w:rsidRPr="00CD7E52">
        <w:rPr>
          <w:szCs w:val="22"/>
          <w:lang w:val="lt-LT"/>
        </w:rPr>
        <w:t>aktyvumo indeksą (</w:t>
      </w:r>
      <w:r w:rsidRPr="00CD7E52">
        <w:rPr>
          <w:snapToGrid/>
          <w:szCs w:val="22"/>
          <w:lang w:val="lt-LT"/>
        </w:rPr>
        <w:t>BLEAI</w:t>
      </w:r>
      <w:r w:rsidR="004B4124" w:rsidRPr="00CD7E52">
        <w:rPr>
          <w:szCs w:val="22"/>
          <w:lang w:val="lt-LT"/>
        </w:rPr>
        <w:t>), paciento suvokimas apie ligos aktyvumą, gydytojo bendras suvokimas apie</w:t>
      </w:r>
      <w:r w:rsidRPr="00CD7E52">
        <w:rPr>
          <w:szCs w:val="22"/>
          <w:lang w:val="lt-LT"/>
        </w:rPr>
        <w:t xml:space="preserve"> </w:t>
      </w:r>
      <w:r w:rsidR="004B4124" w:rsidRPr="00CD7E52">
        <w:rPr>
          <w:szCs w:val="22"/>
          <w:lang w:val="lt-LT"/>
        </w:rPr>
        <w:t>ligos aktyvumą ir BL gyvenimo kokybės klausimynas (BLGKK).</w:t>
      </w:r>
    </w:p>
    <w:p w14:paraId="691C1CCE" w14:textId="77777777" w:rsidR="009654C9" w:rsidRPr="00CD7E52" w:rsidRDefault="009654C9" w:rsidP="00BD0220">
      <w:pPr>
        <w:widowControl w:val="0"/>
        <w:tabs>
          <w:tab w:val="clear" w:pos="567"/>
        </w:tabs>
        <w:autoSpaceDE w:val="0"/>
        <w:autoSpaceDN w:val="0"/>
        <w:adjustRightInd w:val="0"/>
        <w:spacing w:line="240" w:lineRule="auto"/>
        <w:rPr>
          <w:szCs w:val="22"/>
          <w:lang w:val="lt-LT"/>
        </w:rPr>
      </w:pPr>
    </w:p>
    <w:p w14:paraId="7689EDF7" w14:textId="77777777" w:rsidR="004B4124" w:rsidRPr="00CD7E52" w:rsidRDefault="004B4124" w:rsidP="00BD0220">
      <w:pPr>
        <w:widowControl w:val="0"/>
        <w:tabs>
          <w:tab w:val="clear" w:pos="567"/>
        </w:tabs>
        <w:autoSpaceDE w:val="0"/>
        <w:autoSpaceDN w:val="0"/>
        <w:adjustRightInd w:val="0"/>
        <w:spacing w:line="240" w:lineRule="auto"/>
        <w:rPr>
          <w:szCs w:val="22"/>
          <w:u w:val="single"/>
          <w:lang w:val="lt-LT"/>
        </w:rPr>
      </w:pPr>
      <w:r w:rsidRPr="00CD7E52">
        <w:rPr>
          <w:szCs w:val="22"/>
          <w:u w:val="single"/>
          <w:lang w:val="lt-LT"/>
        </w:rPr>
        <w:t xml:space="preserve">Burnos opų </w:t>
      </w:r>
      <w:r w:rsidR="009654C9" w:rsidRPr="00CD7E52">
        <w:rPr>
          <w:snapToGrid/>
          <w:szCs w:val="22"/>
          <w:u w:val="single"/>
          <w:lang w:val="lt-LT"/>
        </w:rPr>
        <w:t>vertinimas</w:t>
      </w:r>
    </w:p>
    <w:p w14:paraId="247B027C"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Du kartus per parą vartojama 30</w:t>
      </w:r>
      <w:r w:rsidR="00A87582" w:rsidRPr="00CD7E52">
        <w:rPr>
          <w:szCs w:val="22"/>
          <w:lang w:val="lt-LT"/>
        </w:rPr>
        <w:t> mg</w:t>
      </w:r>
      <w:r w:rsidRPr="00CD7E52">
        <w:rPr>
          <w:szCs w:val="22"/>
          <w:lang w:val="lt-LT"/>
        </w:rPr>
        <w:t xml:space="preserve"> apremilasto dozė, palyginti su placebu, </w:t>
      </w:r>
      <w:r w:rsidR="004563A9" w:rsidRPr="00CD7E52">
        <w:rPr>
          <w:snapToGrid/>
          <w:szCs w:val="22"/>
          <w:lang w:val="lt-LT"/>
        </w:rPr>
        <w:t>reikšmingai</w:t>
      </w:r>
      <w:r w:rsidRPr="00CD7E52">
        <w:rPr>
          <w:szCs w:val="22"/>
          <w:lang w:val="lt-LT"/>
        </w:rPr>
        <w:t xml:space="preserve"> pagerino burnos opų</w:t>
      </w:r>
      <w:r w:rsidR="004563A9" w:rsidRPr="00CD7E52">
        <w:rPr>
          <w:szCs w:val="22"/>
          <w:lang w:val="lt-LT"/>
        </w:rPr>
        <w:t xml:space="preserve"> </w:t>
      </w:r>
      <w:r w:rsidRPr="00CD7E52">
        <w:rPr>
          <w:szCs w:val="22"/>
          <w:lang w:val="lt-LT"/>
        </w:rPr>
        <w:t xml:space="preserve">būklę, </w:t>
      </w:r>
      <w:r w:rsidR="004563A9" w:rsidRPr="00CD7E52">
        <w:rPr>
          <w:snapToGrid/>
          <w:szCs w:val="22"/>
          <w:lang w:val="lt-LT"/>
        </w:rPr>
        <w:t>remiantis</w:t>
      </w:r>
      <w:r w:rsidRPr="00CD7E52">
        <w:rPr>
          <w:szCs w:val="22"/>
          <w:lang w:val="lt-LT"/>
        </w:rPr>
        <w:t xml:space="preserve"> burnos opų skaičiaus AUC </w:t>
      </w:r>
      <w:r w:rsidRPr="00CD7E52">
        <w:rPr>
          <w:snapToGrid/>
          <w:szCs w:val="22"/>
          <w:lang w:val="lt-LT"/>
        </w:rPr>
        <w:t>rodm</w:t>
      </w:r>
      <w:r w:rsidR="004563A9" w:rsidRPr="00CD7E52">
        <w:rPr>
          <w:snapToGrid/>
          <w:szCs w:val="22"/>
          <w:lang w:val="lt-LT"/>
        </w:rPr>
        <w:t>eniu</w:t>
      </w:r>
      <w:r w:rsidRPr="00CD7E52">
        <w:rPr>
          <w:szCs w:val="22"/>
          <w:lang w:val="lt-LT"/>
        </w:rPr>
        <w:t xml:space="preserve"> nuo pradinio vertinimo iki 12</w:t>
      </w:r>
      <w:r w:rsidR="00C65C08" w:rsidRPr="00CD7E52">
        <w:rPr>
          <w:szCs w:val="22"/>
          <w:lang w:val="lt-LT"/>
        </w:rPr>
        <w:t> savai</w:t>
      </w:r>
      <w:r w:rsidRPr="00CD7E52">
        <w:rPr>
          <w:szCs w:val="22"/>
          <w:lang w:val="lt-LT"/>
        </w:rPr>
        <w:t>tės (p</w:t>
      </w:r>
      <w:r w:rsidR="00596DF4" w:rsidRPr="00CD7E52">
        <w:rPr>
          <w:szCs w:val="22"/>
          <w:lang w:val="lt-LT"/>
        </w:rPr>
        <w:t> </w:t>
      </w:r>
      <w:r w:rsidRPr="00CD7E52">
        <w:rPr>
          <w:szCs w:val="22"/>
          <w:lang w:val="lt-LT"/>
        </w:rPr>
        <w:t>&lt;</w:t>
      </w:r>
      <w:r w:rsidR="004563A9" w:rsidRPr="00CD7E52">
        <w:rPr>
          <w:szCs w:val="22"/>
          <w:lang w:val="lt-LT"/>
        </w:rPr>
        <w:t> </w:t>
      </w:r>
      <w:r w:rsidRPr="00CD7E52">
        <w:rPr>
          <w:szCs w:val="22"/>
          <w:lang w:val="lt-LT"/>
        </w:rPr>
        <w:t>0,0001).</w:t>
      </w:r>
    </w:p>
    <w:p w14:paraId="1E1B1C4D"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12</w:t>
      </w:r>
      <w:r w:rsidR="00C65C08" w:rsidRPr="00CD7E52">
        <w:rPr>
          <w:szCs w:val="22"/>
          <w:lang w:val="lt-LT"/>
        </w:rPr>
        <w:t> savai</w:t>
      </w:r>
      <w:r w:rsidRPr="00CD7E52">
        <w:rPr>
          <w:szCs w:val="22"/>
          <w:lang w:val="lt-LT"/>
        </w:rPr>
        <w:t xml:space="preserve">tę buvo stebimas reikšmingas kitų burnos opų </w:t>
      </w:r>
      <w:r w:rsidR="004563A9" w:rsidRPr="00CD7E52">
        <w:rPr>
          <w:snapToGrid/>
          <w:szCs w:val="22"/>
          <w:lang w:val="lt-LT"/>
        </w:rPr>
        <w:t>rodmenų</w:t>
      </w:r>
      <w:r w:rsidRPr="00CD7E52">
        <w:rPr>
          <w:szCs w:val="22"/>
          <w:lang w:val="lt-LT"/>
        </w:rPr>
        <w:t xml:space="preserve"> pagerėjimas.</w:t>
      </w:r>
    </w:p>
    <w:p w14:paraId="111973DE" w14:textId="77777777" w:rsidR="004563A9" w:rsidRPr="00CD7E52" w:rsidRDefault="004563A9" w:rsidP="00BD0220">
      <w:pPr>
        <w:widowControl w:val="0"/>
        <w:tabs>
          <w:tab w:val="clear" w:pos="567"/>
        </w:tabs>
        <w:autoSpaceDE w:val="0"/>
        <w:autoSpaceDN w:val="0"/>
        <w:adjustRightInd w:val="0"/>
        <w:spacing w:line="240" w:lineRule="auto"/>
        <w:rPr>
          <w:szCs w:val="22"/>
          <w:lang w:val="lt-LT"/>
        </w:rPr>
      </w:pPr>
    </w:p>
    <w:p w14:paraId="187EC07A" w14:textId="77777777" w:rsidR="004B4124" w:rsidRPr="00CD7E52" w:rsidRDefault="00FB0FD4" w:rsidP="00BD0220">
      <w:pPr>
        <w:widowControl w:val="0"/>
        <w:tabs>
          <w:tab w:val="clear" w:pos="567"/>
        </w:tabs>
        <w:autoSpaceDE w:val="0"/>
        <w:autoSpaceDN w:val="0"/>
        <w:adjustRightInd w:val="0"/>
        <w:spacing w:line="240" w:lineRule="auto"/>
        <w:rPr>
          <w:b/>
          <w:bCs/>
          <w:szCs w:val="22"/>
          <w:lang w:val="lt-LT"/>
        </w:rPr>
      </w:pPr>
      <w:r>
        <w:rPr>
          <w:b/>
          <w:bCs/>
          <w:szCs w:val="22"/>
          <w:lang w:val="lt-LT"/>
        </w:rPr>
        <w:t>8</w:t>
      </w:r>
      <w:r w:rsidR="00DE4069" w:rsidRPr="00CD7E52">
        <w:rPr>
          <w:b/>
          <w:bCs/>
          <w:szCs w:val="22"/>
          <w:lang w:val="lt-LT"/>
        </w:rPr>
        <w:t> </w:t>
      </w:r>
      <w:r w:rsidR="004B4124" w:rsidRPr="00CD7E52">
        <w:rPr>
          <w:b/>
          <w:bCs/>
          <w:szCs w:val="22"/>
          <w:lang w:val="lt-LT"/>
        </w:rPr>
        <w:t>lentelė.</w:t>
      </w:r>
      <w:r w:rsidR="004563A9" w:rsidRPr="00CD7E52">
        <w:rPr>
          <w:b/>
          <w:bCs/>
          <w:szCs w:val="22"/>
          <w:lang w:val="lt-LT"/>
        </w:rPr>
        <w:tab/>
      </w:r>
      <w:r w:rsidR="004B4124" w:rsidRPr="00CD7E52">
        <w:rPr>
          <w:b/>
          <w:bCs/>
          <w:szCs w:val="22"/>
          <w:lang w:val="lt-LT"/>
        </w:rPr>
        <w:t>Klinikinis burnos opų atsakas 12</w:t>
      </w:r>
      <w:r w:rsidR="00C65C08" w:rsidRPr="00CD7E52">
        <w:rPr>
          <w:b/>
          <w:bCs/>
          <w:szCs w:val="22"/>
          <w:lang w:val="lt-LT"/>
        </w:rPr>
        <w:t> savai</w:t>
      </w:r>
      <w:r w:rsidR="004B4124" w:rsidRPr="00CD7E52">
        <w:rPr>
          <w:b/>
          <w:bCs/>
          <w:szCs w:val="22"/>
          <w:lang w:val="lt-LT"/>
        </w:rPr>
        <w:t xml:space="preserve">tę RELIEF tyrimo metu (ITT </w:t>
      </w:r>
      <w:r w:rsidR="004B4124" w:rsidRPr="00CD7E52">
        <w:rPr>
          <w:b/>
          <w:bCs/>
          <w:snapToGrid/>
          <w:szCs w:val="22"/>
          <w:lang w:val="lt-LT"/>
        </w:rPr>
        <w:t>populiacij</w:t>
      </w:r>
      <w:r w:rsidR="004563A9" w:rsidRPr="00CD7E52">
        <w:rPr>
          <w:b/>
          <w:bCs/>
          <w:snapToGrid/>
          <w:szCs w:val="22"/>
          <w:lang w:val="lt-LT"/>
        </w:rPr>
        <w:t>a</w:t>
      </w:r>
      <w:r w:rsidR="004B4124" w:rsidRPr="00CD7E52">
        <w:rPr>
          <w:b/>
          <w:bCs/>
          <w:szCs w:val="22"/>
          <w:lang w:val="lt-LT"/>
        </w:rPr>
        <w:t>)</w:t>
      </w:r>
    </w:p>
    <w:p w14:paraId="51AABDF8" w14:textId="77777777" w:rsidR="00E63265" w:rsidRPr="00CD7E52" w:rsidRDefault="00E63265" w:rsidP="00BD0220">
      <w:pPr>
        <w:widowControl w:val="0"/>
        <w:tabs>
          <w:tab w:val="clear" w:pos="567"/>
        </w:tabs>
        <w:autoSpaceDE w:val="0"/>
        <w:autoSpaceDN w:val="0"/>
        <w:adjustRightInd w:val="0"/>
        <w:spacing w:line="240" w:lineRule="auto"/>
        <w:rPr>
          <w:b/>
          <w:bCs/>
          <w:szCs w:val="22"/>
          <w:lang w:val="lt-LT"/>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3"/>
        <w:gridCol w:w="1206"/>
        <w:gridCol w:w="1267"/>
      </w:tblGrid>
      <w:tr w:rsidR="00F64EED" w:rsidRPr="00CD7E52" w14:paraId="4FAC200F" w14:textId="77777777" w:rsidTr="0023353A">
        <w:trPr>
          <w:tblHeader/>
        </w:trPr>
        <w:tc>
          <w:tcPr>
            <w:tcW w:w="3624" w:type="pct"/>
            <w:shd w:val="clear" w:color="auto" w:fill="D9D9D9"/>
            <w:vAlign w:val="center"/>
          </w:tcPr>
          <w:p w14:paraId="1E46AF08" w14:textId="77777777" w:rsidR="00F64EED" w:rsidRPr="00CD7E52" w:rsidRDefault="00F64EED" w:rsidP="003F3291">
            <w:pPr>
              <w:tabs>
                <w:tab w:val="clear" w:pos="567"/>
              </w:tabs>
              <w:spacing w:line="240" w:lineRule="auto"/>
              <w:rPr>
                <w:rFonts w:eastAsia="Calibri"/>
                <w:b/>
                <w:bCs/>
                <w:szCs w:val="22"/>
              </w:rPr>
            </w:pPr>
            <w:r w:rsidRPr="00CD7E52">
              <w:rPr>
                <w:rFonts w:eastAsia="Calibri"/>
                <w:b/>
                <w:bCs/>
                <w:szCs w:val="22"/>
                <w:lang w:val="lt-LT"/>
              </w:rPr>
              <w:t>Vertinamoji baigtis</w:t>
            </w:r>
            <w:r w:rsidRPr="00CD7E52">
              <w:rPr>
                <w:rFonts w:eastAsia="Calibri"/>
                <w:b/>
                <w:bCs/>
                <w:szCs w:val="22"/>
                <w:vertAlign w:val="superscript"/>
                <w:lang w:val="lt-LT"/>
              </w:rPr>
              <w:t>a</w:t>
            </w:r>
          </w:p>
        </w:tc>
        <w:tc>
          <w:tcPr>
            <w:tcW w:w="671" w:type="pct"/>
            <w:shd w:val="clear" w:color="auto" w:fill="D9D9D9"/>
            <w:vAlign w:val="center"/>
          </w:tcPr>
          <w:p w14:paraId="18B59AE1" w14:textId="77777777" w:rsidR="00F64EED" w:rsidRPr="00CD7E52" w:rsidRDefault="00F64EED" w:rsidP="002F7D55">
            <w:pPr>
              <w:tabs>
                <w:tab w:val="clear" w:pos="567"/>
              </w:tabs>
              <w:spacing w:line="240" w:lineRule="auto"/>
              <w:jc w:val="center"/>
              <w:rPr>
                <w:rFonts w:eastAsia="Calibri"/>
                <w:b/>
                <w:bCs/>
                <w:snapToGrid/>
                <w:szCs w:val="22"/>
                <w:lang w:val="lt-LT" w:eastAsia="lt-LT"/>
              </w:rPr>
            </w:pPr>
            <w:r w:rsidRPr="00CD7E52">
              <w:rPr>
                <w:rFonts w:eastAsia="Calibri"/>
                <w:b/>
                <w:bCs/>
                <w:szCs w:val="22"/>
                <w:lang w:val="lt-LT"/>
              </w:rPr>
              <w:t>Placeb</w:t>
            </w:r>
            <w:r w:rsidR="004563A9" w:rsidRPr="00CD7E52">
              <w:rPr>
                <w:rFonts w:eastAsia="Calibri"/>
                <w:b/>
                <w:bCs/>
                <w:szCs w:val="22"/>
              </w:rPr>
              <w:t>as</w:t>
            </w:r>
          </w:p>
          <w:p w14:paraId="0A035C78" w14:textId="77777777" w:rsidR="00F64EED" w:rsidRPr="00CD7E52" w:rsidRDefault="00F64EED" w:rsidP="00BD0220">
            <w:pPr>
              <w:tabs>
                <w:tab w:val="clear" w:pos="567"/>
              </w:tabs>
              <w:spacing w:line="240" w:lineRule="auto"/>
              <w:jc w:val="center"/>
              <w:rPr>
                <w:rFonts w:eastAsia="Calibri"/>
                <w:b/>
                <w:bCs/>
                <w:szCs w:val="22"/>
              </w:rPr>
            </w:pPr>
            <w:r w:rsidRPr="00CD7E52">
              <w:rPr>
                <w:rFonts w:eastAsia="Calibri"/>
                <w:b/>
                <w:bCs/>
                <w:szCs w:val="22"/>
                <w:lang w:val="lt-LT"/>
              </w:rPr>
              <w:t>N</w:t>
            </w:r>
            <w:r w:rsidR="003F3291" w:rsidRPr="00CD7E52">
              <w:rPr>
                <w:rFonts w:eastAsia="Calibri"/>
                <w:b/>
                <w:bCs/>
                <w:szCs w:val="22"/>
                <w:lang w:val="lt-LT"/>
              </w:rPr>
              <w:t> </w:t>
            </w:r>
            <w:r w:rsidRPr="00CD7E52">
              <w:rPr>
                <w:rFonts w:eastAsia="Calibri"/>
                <w:b/>
                <w:bCs/>
                <w:snapToGrid/>
                <w:szCs w:val="22"/>
                <w:lang w:val="lt-LT"/>
              </w:rPr>
              <w:t>=</w:t>
            </w:r>
            <w:r w:rsidR="003F3291" w:rsidRPr="00CD7E52">
              <w:rPr>
                <w:rFonts w:eastAsia="Calibri"/>
                <w:b/>
                <w:bCs/>
                <w:snapToGrid/>
                <w:szCs w:val="22"/>
                <w:lang w:val="lt-LT"/>
              </w:rPr>
              <w:t> </w:t>
            </w:r>
            <w:r w:rsidRPr="00CD7E52">
              <w:rPr>
                <w:rFonts w:eastAsia="Calibri"/>
                <w:b/>
                <w:bCs/>
                <w:szCs w:val="22"/>
                <w:lang w:val="lt-LT"/>
              </w:rPr>
              <w:t>103</w:t>
            </w:r>
          </w:p>
        </w:tc>
        <w:tc>
          <w:tcPr>
            <w:tcW w:w="705" w:type="pct"/>
            <w:shd w:val="clear" w:color="auto" w:fill="D9D9D9"/>
            <w:vAlign w:val="center"/>
          </w:tcPr>
          <w:p w14:paraId="3DFF19F2" w14:textId="77777777" w:rsidR="00F64EED" w:rsidRPr="00CD7E52" w:rsidRDefault="00F64EED" w:rsidP="002F7D55">
            <w:pPr>
              <w:tabs>
                <w:tab w:val="clear" w:pos="567"/>
              </w:tabs>
              <w:spacing w:line="240" w:lineRule="auto"/>
              <w:jc w:val="center"/>
              <w:rPr>
                <w:rFonts w:eastAsia="Calibri"/>
                <w:b/>
                <w:bCs/>
                <w:snapToGrid/>
                <w:szCs w:val="22"/>
                <w:lang w:val="lt-LT" w:eastAsia="lt-LT"/>
              </w:rPr>
            </w:pPr>
            <w:r w:rsidRPr="00CD7E52">
              <w:rPr>
                <w:rFonts w:eastAsia="Calibri"/>
                <w:b/>
                <w:bCs/>
                <w:szCs w:val="22"/>
                <w:lang w:val="lt-LT"/>
              </w:rPr>
              <w:t>Apremilast</w:t>
            </w:r>
            <w:r w:rsidR="004563A9" w:rsidRPr="00CD7E52">
              <w:rPr>
                <w:rFonts w:eastAsia="Calibri"/>
                <w:b/>
                <w:bCs/>
                <w:szCs w:val="22"/>
              </w:rPr>
              <w:t>as</w:t>
            </w:r>
          </w:p>
          <w:p w14:paraId="7E933526" w14:textId="77777777" w:rsidR="00F64EED" w:rsidRPr="00CD7E52" w:rsidRDefault="00F64EED" w:rsidP="00BD0220">
            <w:pPr>
              <w:tabs>
                <w:tab w:val="clear" w:pos="567"/>
              </w:tabs>
              <w:spacing w:line="240" w:lineRule="auto"/>
              <w:jc w:val="center"/>
              <w:rPr>
                <w:rFonts w:eastAsia="Calibri"/>
                <w:b/>
                <w:bCs/>
                <w:szCs w:val="22"/>
              </w:rPr>
            </w:pPr>
            <w:r w:rsidRPr="00CD7E52">
              <w:rPr>
                <w:rFonts w:eastAsia="Calibri"/>
                <w:b/>
                <w:bCs/>
                <w:szCs w:val="22"/>
                <w:lang w:val="lt-LT"/>
              </w:rPr>
              <w:t>30</w:t>
            </w:r>
            <w:r w:rsidR="00A87582" w:rsidRPr="00CD7E52">
              <w:rPr>
                <w:rFonts w:eastAsia="Calibri"/>
                <w:b/>
                <w:bCs/>
                <w:szCs w:val="22"/>
                <w:lang w:val="lt-LT"/>
              </w:rPr>
              <w:t> mg</w:t>
            </w:r>
            <w:r w:rsidRPr="00CD7E52">
              <w:rPr>
                <w:rFonts w:eastAsia="Calibri"/>
                <w:b/>
                <w:bCs/>
                <w:szCs w:val="22"/>
                <w:lang w:val="lt-LT"/>
              </w:rPr>
              <w:t xml:space="preserve"> BID</w:t>
            </w:r>
          </w:p>
          <w:p w14:paraId="706AE3A5" w14:textId="77777777" w:rsidR="00F64EED" w:rsidRPr="00CD7E52" w:rsidRDefault="00F64EED" w:rsidP="00BD0220">
            <w:pPr>
              <w:tabs>
                <w:tab w:val="clear" w:pos="567"/>
              </w:tabs>
              <w:spacing w:line="240" w:lineRule="auto"/>
              <w:jc w:val="center"/>
              <w:rPr>
                <w:rFonts w:eastAsia="Calibri"/>
                <w:b/>
                <w:bCs/>
                <w:szCs w:val="22"/>
              </w:rPr>
            </w:pPr>
            <w:r w:rsidRPr="00CD7E52">
              <w:rPr>
                <w:rFonts w:eastAsia="Calibri"/>
                <w:b/>
                <w:bCs/>
                <w:szCs w:val="22"/>
                <w:lang w:val="lt-LT"/>
              </w:rPr>
              <w:t>N</w:t>
            </w:r>
            <w:r w:rsidR="003F3291" w:rsidRPr="00CD7E52">
              <w:rPr>
                <w:rFonts w:eastAsia="Calibri"/>
                <w:b/>
                <w:bCs/>
                <w:szCs w:val="22"/>
                <w:lang w:val="lt-LT"/>
              </w:rPr>
              <w:t> </w:t>
            </w:r>
            <w:r w:rsidRPr="00CD7E52">
              <w:rPr>
                <w:rFonts w:eastAsia="Calibri"/>
                <w:b/>
                <w:bCs/>
                <w:snapToGrid/>
                <w:szCs w:val="22"/>
                <w:lang w:val="lt-LT"/>
              </w:rPr>
              <w:t>=</w:t>
            </w:r>
            <w:r w:rsidR="003F3291" w:rsidRPr="00CD7E52">
              <w:rPr>
                <w:rFonts w:eastAsia="Calibri"/>
                <w:b/>
                <w:bCs/>
                <w:snapToGrid/>
                <w:szCs w:val="22"/>
                <w:lang w:val="lt-LT"/>
              </w:rPr>
              <w:t> </w:t>
            </w:r>
            <w:r w:rsidRPr="00CD7E52">
              <w:rPr>
                <w:rFonts w:eastAsia="Calibri"/>
                <w:b/>
                <w:bCs/>
                <w:szCs w:val="22"/>
                <w:lang w:val="lt-LT"/>
              </w:rPr>
              <w:t>104</w:t>
            </w:r>
          </w:p>
        </w:tc>
      </w:tr>
      <w:tr w:rsidR="00F64EED" w:rsidRPr="00CD7E52" w14:paraId="09B6048D" w14:textId="77777777" w:rsidTr="008851CB">
        <w:tc>
          <w:tcPr>
            <w:tcW w:w="3624" w:type="pct"/>
          </w:tcPr>
          <w:p w14:paraId="1956C7AD" w14:textId="77777777" w:rsidR="00F64EED" w:rsidRPr="00716E07" w:rsidRDefault="004563A9" w:rsidP="00BD0220">
            <w:pPr>
              <w:tabs>
                <w:tab w:val="clear" w:pos="567"/>
              </w:tabs>
              <w:spacing w:line="240" w:lineRule="auto"/>
              <w:ind w:right="-30"/>
              <w:rPr>
                <w:rFonts w:eastAsia="Calibri"/>
                <w:lang w:val="pt-PT"/>
              </w:rPr>
            </w:pPr>
            <w:r w:rsidRPr="00CD7E52">
              <w:rPr>
                <w:rFonts w:eastAsia="Calibri"/>
                <w:szCs w:val="22"/>
                <w:lang w:val="lt-LT"/>
              </w:rPr>
              <w:t>Burnos opų skaičiaus AUC</w:t>
            </w:r>
            <w:r w:rsidRPr="00CD7E52">
              <w:rPr>
                <w:rFonts w:eastAsia="Calibri"/>
                <w:szCs w:val="22"/>
                <w:vertAlign w:val="superscript"/>
                <w:lang w:val="lt-LT"/>
              </w:rPr>
              <w:t>b</w:t>
            </w:r>
            <w:r w:rsidRPr="00CD7E52">
              <w:rPr>
                <w:rFonts w:eastAsia="Calibri"/>
                <w:szCs w:val="22"/>
                <w:lang w:val="lt-LT"/>
              </w:rPr>
              <w:t xml:space="preserve"> rodmuo nuo pradinio vertinimo iki 12 savaitės (MI)</w:t>
            </w:r>
          </w:p>
        </w:tc>
        <w:tc>
          <w:tcPr>
            <w:tcW w:w="671" w:type="pct"/>
            <w:vAlign w:val="center"/>
          </w:tcPr>
          <w:p w14:paraId="313704BA" w14:textId="77777777" w:rsidR="00F64EED" w:rsidRPr="00CD7E52" w:rsidRDefault="00F64EED" w:rsidP="00BD0220">
            <w:pPr>
              <w:tabs>
                <w:tab w:val="clear" w:pos="567"/>
              </w:tabs>
              <w:spacing w:line="240" w:lineRule="auto"/>
              <w:jc w:val="center"/>
              <w:rPr>
                <w:rFonts w:eastAsia="Calibri"/>
                <w:szCs w:val="22"/>
              </w:rPr>
            </w:pPr>
            <w:r w:rsidRPr="00CD7E52">
              <w:rPr>
                <w:rFonts w:eastAsia="Calibri"/>
                <w:szCs w:val="22"/>
                <w:lang w:val="lt-LT"/>
              </w:rPr>
              <w:t xml:space="preserve">LS </w:t>
            </w:r>
            <w:r w:rsidR="004563A9" w:rsidRPr="00CD7E52">
              <w:rPr>
                <w:rFonts w:eastAsia="Calibri"/>
                <w:szCs w:val="22"/>
                <w:lang w:val="lt-LT"/>
              </w:rPr>
              <w:t>vidurkis</w:t>
            </w:r>
          </w:p>
          <w:p w14:paraId="26BD14FC" w14:textId="77777777" w:rsidR="00F64EED" w:rsidRPr="00CD7E52" w:rsidRDefault="00F64EED" w:rsidP="00BD0220">
            <w:pPr>
              <w:tabs>
                <w:tab w:val="clear" w:pos="567"/>
              </w:tabs>
              <w:spacing w:line="240" w:lineRule="auto"/>
              <w:jc w:val="center"/>
              <w:rPr>
                <w:rFonts w:eastAsia="Calibri"/>
                <w:szCs w:val="22"/>
              </w:rPr>
            </w:pPr>
            <w:r w:rsidRPr="00CD7E52">
              <w:rPr>
                <w:rFonts w:eastAsia="Calibri"/>
                <w:szCs w:val="22"/>
                <w:lang w:val="lt-LT"/>
              </w:rPr>
              <w:t>222</w:t>
            </w:r>
            <w:r w:rsidR="004563A9" w:rsidRPr="00CD7E52">
              <w:rPr>
                <w:rFonts w:eastAsia="Calibri"/>
                <w:szCs w:val="22"/>
                <w:lang w:val="lt-LT"/>
              </w:rPr>
              <w:t>,</w:t>
            </w:r>
            <w:r w:rsidRPr="00CD7E52">
              <w:rPr>
                <w:rFonts w:eastAsia="Calibri"/>
                <w:szCs w:val="22"/>
                <w:lang w:val="lt-LT"/>
              </w:rPr>
              <w:t>14</w:t>
            </w:r>
          </w:p>
        </w:tc>
        <w:tc>
          <w:tcPr>
            <w:tcW w:w="705" w:type="pct"/>
            <w:vAlign w:val="center"/>
          </w:tcPr>
          <w:p w14:paraId="3EDAD0FA" w14:textId="77777777" w:rsidR="00F64EED" w:rsidRPr="00CD7E52" w:rsidRDefault="00F64EED" w:rsidP="00BD0220">
            <w:pPr>
              <w:tabs>
                <w:tab w:val="clear" w:pos="567"/>
              </w:tabs>
              <w:spacing w:line="240" w:lineRule="auto"/>
              <w:jc w:val="center"/>
              <w:rPr>
                <w:rFonts w:eastAsia="Calibri"/>
                <w:szCs w:val="22"/>
              </w:rPr>
            </w:pPr>
            <w:r w:rsidRPr="00CD7E52">
              <w:rPr>
                <w:rFonts w:eastAsia="Calibri"/>
                <w:szCs w:val="22"/>
                <w:lang w:val="lt-LT"/>
              </w:rPr>
              <w:t xml:space="preserve">LS </w:t>
            </w:r>
            <w:r w:rsidR="004563A9" w:rsidRPr="00CD7E52">
              <w:rPr>
                <w:rFonts w:eastAsia="Calibri"/>
                <w:szCs w:val="22"/>
                <w:lang w:val="lt-LT"/>
              </w:rPr>
              <w:t>vidurkis</w:t>
            </w:r>
          </w:p>
          <w:p w14:paraId="6B8FE0F5" w14:textId="77777777" w:rsidR="00F64EED" w:rsidRPr="00CD7E52" w:rsidRDefault="00F64EED" w:rsidP="00BD0220">
            <w:pPr>
              <w:tabs>
                <w:tab w:val="clear" w:pos="567"/>
              </w:tabs>
              <w:spacing w:line="240" w:lineRule="auto"/>
              <w:jc w:val="center"/>
              <w:rPr>
                <w:rFonts w:eastAsia="Calibri"/>
                <w:szCs w:val="22"/>
              </w:rPr>
            </w:pPr>
            <w:r w:rsidRPr="00CD7E52">
              <w:rPr>
                <w:rFonts w:eastAsia="Calibri"/>
                <w:szCs w:val="22"/>
                <w:lang w:val="lt-LT"/>
              </w:rPr>
              <w:t>129</w:t>
            </w:r>
            <w:r w:rsidR="004563A9" w:rsidRPr="00CD7E52">
              <w:rPr>
                <w:rFonts w:eastAsia="Calibri"/>
                <w:szCs w:val="22"/>
                <w:lang w:val="lt-LT"/>
              </w:rPr>
              <w:t>,</w:t>
            </w:r>
            <w:r w:rsidRPr="00CD7E52">
              <w:rPr>
                <w:rFonts w:eastAsia="Calibri"/>
                <w:szCs w:val="22"/>
                <w:lang w:val="lt-LT"/>
              </w:rPr>
              <w:t>54</w:t>
            </w:r>
          </w:p>
        </w:tc>
      </w:tr>
      <w:tr w:rsidR="00F64EED" w:rsidRPr="00CD7E52" w14:paraId="23E365AB" w14:textId="77777777" w:rsidTr="008851CB">
        <w:tc>
          <w:tcPr>
            <w:tcW w:w="3624" w:type="pct"/>
          </w:tcPr>
          <w:p w14:paraId="26D95E48" w14:textId="77777777" w:rsidR="00F64EED" w:rsidRPr="00716E07" w:rsidRDefault="004563A9" w:rsidP="00BD0220">
            <w:pPr>
              <w:tabs>
                <w:tab w:val="clear" w:pos="567"/>
              </w:tabs>
              <w:spacing w:line="240" w:lineRule="auto"/>
              <w:rPr>
                <w:rFonts w:eastAsia="Calibri"/>
                <w:lang w:val="pt-PT"/>
              </w:rPr>
            </w:pPr>
            <w:r w:rsidRPr="00CD7E52">
              <w:rPr>
                <w:rFonts w:eastAsia="Calibri"/>
                <w:szCs w:val="22"/>
                <w:lang w:val="lt-LT"/>
              </w:rPr>
              <w:t>Burnos opų skausmo pokytis nuo pradinio vertinimo, matuojant pagal VAS</w:t>
            </w:r>
            <w:r w:rsidRPr="00CD7E52">
              <w:rPr>
                <w:rFonts w:eastAsia="Calibri"/>
                <w:szCs w:val="22"/>
                <w:vertAlign w:val="superscript"/>
                <w:lang w:val="lt-LT"/>
              </w:rPr>
              <w:t>c</w:t>
            </w:r>
            <w:r w:rsidRPr="00CD7E52">
              <w:rPr>
                <w:rFonts w:eastAsia="Calibri"/>
                <w:szCs w:val="22"/>
                <w:lang w:val="lt-LT"/>
              </w:rPr>
              <w:t xml:space="preserve"> 12 savaitę (MMRM)</w:t>
            </w:r>
          </w:p>
        </w:tc>
        <w:tc>
          <w:tcPr>
            <w:tcW w:w="671" w:type="pct"/>
            <w:vAlign w:val="center"/>
          </w:tcPr>
          <w:p w14:paraId="7C02A773" w14:textId="77777777" w:rsidR="00F64EED" w:rsidRPr="00CD7E52" w:rsidRDefault="00F64EED" w:rsidP="00BD0220">
            <w:pPr>
              <w:tabs>
                <w:tab w:val="clear" w:pos="567"/>
              </w:tabs>
              <w:spacing w:line="240" w:lineRule="auto"/>
              <w:jc w:val="center"/>
              <w:rPr>
                <w:rFonts w:eastAsia="Calibri"/>
                <w:szCs w:val="22"/>
              </w:rPr>
            </w:pPr>
            <w:r w:rsidRPr="00CD7E52">
              <w:rPr>
                <w:rFonts w:eastAsia="Calibri"/>
                <w:szCs w:val="22"/>
                <w:lang w:val="lt-LT"/>
              </w:rPr>
              <w:t xml:space="preserve">LS </w:t>
            </w:r>
            <w:r w:rsidR="004563A9" w:rsidRPr="00CD7E52">
              <w:rPr>
                <w:rFonts w:eastAsia="Calibri"/>
                <w:szCs w:val="22"/>
                <w:lang w:val="lt-LT"/>
              </w:rPr>
              <w:t>vidurkis</w:t>
            </w:r>
          </w:p>
          <w:p w14:paraId="0CDEE8EE" w14:textId="77777777" w:rsidR="00F64EED" w:rsidRPr="00CD7E52" w:rsidRDefault="00F64EED" w:rsidP="00BD0220">
            <w:pPr>
              <w:tabs>
                <w:tab w:val="clear" w:pos="567"/>
              </w:tabs>
              <w:spacing w:line="240" w:lineRule="auto"/>
              <w:jc w:val="center"/>
              <w:rPr>
                <w:rFonts w:eastAsia="Calibri"/>
                <w:szCs w:val="22"/>
              </w:rPr>
            </w:pPr>
            <w:r w:rsidRPr="00CD7E52">
              <w:rPr>
                <w:rFonts w:eastAsia="Calibri"/>
                <w:szCs w:val="22"/>
                <w:lang w:val="lt-LT"/>
              </w:rPr>
              <w:t>-18</w:t>
            </w:r>
            <w:r w:rsidR="004563A9" w:rsidRPr="00CD7E52">
              <w:rPr>
                <w:rFonts w:eastAsia="Calibri"/>
                <w:szCs w:val="22"/>
                <w:lang w:val="lt-LT"/>
              </w:rPr>
              <w:t>,</w:t>
            </w:r>
            <w:r w:rsidRPr="00CD7E52">
              <w:rPr>
                <w:rFonts w:eastAsia="Calibri"/>
                <w:szCs w:val="22"/>
                <w:lang w:val="lt-LT"/>
              </w:rPr>
              <w:t>7</w:t>
            </w:r>
          </w:p>
        </w:tc>
        <w:tc>
          <w:tcPr>
            <w:tcW w:w="705" w:type="pct"/>
            <w:vAlign w:val="center"/>
          </w:tcPr>
          <w:p w14:paraId="5E9AB991" w14:textId="77777777" w:rsidR="00F64EED" w:rsidRPr="00CD7E52" w:rsidRDefault="00F64EED" w:rsidP="00BD0220">
            <w:pPr>
              <w:tabs>
                <w:tab w:val="clear" w:pos="567"/>
              </w:tabs>
              <w:spacing w:line="240" w:lineRule="auto"/>
              <w:jc w:val="center"/>
              <w:rPr>
                <w:rFonts w:eastAsia="Calibri"/>
                <w:szCs w:val="22"/>
              </w:rPr>
            </w:pPr>
            <w:r w:rsidRPr="00CD7E52">
              <w:rPr>
                <w:rFonts w:eastAsia="Calibri"/>
                <w:szCs w:val="22"/>
                <w:lang w:val="lt-LT"/>
              </w:rPr>
              <w:t xml:space="preserve">LS </w:t>
            </w:r>
            <w:r w:rsidR="004563A9" w:rsidRPr="00CD7E52">
              <w:rPr>
                <w:rFonts w:eastAsia="Calibri"/>
                <w:szCs w:val="22"/>
                <w:lang w:val="lt-LT"/>
              </w:rPr>
              <w:t>vidurkis</w:t>
            </w:r>
          </w:p>
          <w:p w14:paraId="70CDD7F9" w14:textId="77777777" w:rsidR="00F64EED" w:rsidRPr="00CD7E52" w:rsidRDefault="00F64EED" w:rsidP="00BD0220">
            <w:pPr>
              <w:tabs>
                <w:tab w:val="clear" w:pos="567"/>
              </w:tabs>
              <w:spacing w:line="240" w:lineRule="auto"/>
              <w:jc w:val="center"/>
              <w:rPr>
                <w:rFonts w:eastAsia="Calibri"/>
                <w:szCs w:val="22"/>
              </w:rPr>
            </w:pPr>
            <w:r w:rsidRPr="00CD7E52">
              <w:rPr>
                <w:rFonts w:eastAsia="Calibri"/>
                <w:szCs w:val="22"/>
                <w:lang w:val="lt-LT"/>
              </w:rPr>
              <w:t>-42</w:t>
            </w:r>
            <w:r w:rsidR="004563A9" w:rsidRPr="00CD7E52">
              <w:rPr>
                <w:rFonts w:eastAsia="Calibri"/>
                <w:szCs w:val="22"/>
                <w:lang w:val="lt-LT"/>
              </w:rPr>
              <w:t>,</w:t>
            </w:r>
            <w:r w:rsidRPr="00CD7E52">
              <w:rPr>
                <w:rFonts w:eastAsia="Calibri"/>
                <w:szCs w:val="22"/>
                <w:lang w:val="lt-LT"/>
              </w:rPr>
              <w:t>7</w:t>
            </w:r>
          </w:p>
        </w:tc>
      </w:tr>
      <w:tr w:rsidR="00F64EED" w:rsidRPr="00CD7E52" w14:paraId="7FF9355A" w14:textId="77777777" w:rsidTr="008851CB">
        <w:tc>
          <w:tcPr>
            <w:tcW w:w="3624" w:type="pct"/>
          </w:tcPr>
          <w:p w14:paraId="65C00E7C" w14:textId="77777777" w:rsidR="00F64EED" w:rsidRPr="00CD7E52" w:rsidRDefault="004563A9" w:rsidP="00BD0220">
            <w:pPr>
              <w:tabs>
                <w:tab w:val="clear" w:pos="567"/>
              </w:tabs>
              <w:spacing w:line="240" w:lineRule="auto"/>
              <w:rPr>
                <w:rFonts w:eastAsia="Calibri"/>
                <w:szCs w:val="22"/>
              </w:rPr>
            </w:pPr>
            <w:r w:rsidRPr="00CD7E52">
              <w:rPr>
                <w:rFonts w:eastAsia="Calibri"/>
                <w:snapToGrid/>
                <w:szCs w:val="22"/>
                <w:lang w:val="lt-LT"/>
              </w:rPr>
              <w:t>Dalis tiriamųjų</w:t>
            </w:r>
            <w:r w:rsidRPr="00CD7E52">
              <w:rPr>
                <w:rFonts w:eastAsia="Calibri"/>
                <w:szCs w:val="22"/>
                <w:lang w:val="lt-LT"/>
              </w:rPr>
              <w:t xml:space="preserve">, kuriems burnos opos išgijo (pacientai be burnos opų) iki 6 savaitės ir kuriems burnos </w:t>
            </w:r>
            <w:r w:rsidRPr="00CD7E52">
              <w:rPr>
                <w:rFonts w:eastAsia="Calibri"/>
                <w:snapToGrid/>
                <w:szCs w:val="22"/>
                <w:lang w:val="lt-LT"/>
              </w:rPr>
              <w:t>opų nenustatyta</w:t>
            </w:r>
            <w:r w:rsidRPr="00CD7E52">
              <w:rPr>
                <w:rFonts w:eastAsia="Calibri"/>
                <w:szCs w:val="22"/>
                <w:lang w:val="lt-LT"/>
              </w:rPr>
              <w:t xml:space="preserve"> per visus vizitus mažiausiai 6</w:t>
            </w:r>
            <w:r w:rsidRPr="00CD7E52">
              <w:rPr>
                <w:rFonts w:eastAsia="Calibri"/>
                <w:snapToGrid/>
                <w:szCs w:val="22"/>
                <w:lang w:val="lt-LT"/>
              </w:rPr>
              <w:t> </w:t>
            </w:r>
            <w:r w:rsidRPr="00CD7E52">
              <w:rPr>
                <w:rFonts w:eastAsia="Calibri"/>
                <w:szCs w:val="22"/>
                <w:lang w:val="lt-LT"/>
              </w:rPr>
              <w:t xml:space="preserve">papildomas savaites 12 savaičių placebu </w:t>
            </w:r>
            <w:r w:rsidRPr="00CD7E52">
              <w:rPr>
                <w:rFonts w:eastAsia="Calibri"/>
                <w:snapToGrid/>
                <w:szCs w:val="22"/>
                <w:lang w:val="lt-LT"/>
              </w:rPr>
              <w:t>kontroliuotos</w:t>
            </w:r>
            <w:r w:rsidRPr="00CD7E52">
              <w:rPr>
                <w:rFonts w:eastAsia="Calibri"/>
                <w:szCs w:val="22"/>
                <w:lang w:val="lt-LT"/>
              </w:rPr>
              <w:t xml:space="preserve"> gydymo fazės metu</w:t>
            </w:r>
          </w:p>
        </w:tc>
        <w:tc>
          <w:tcPr>
            <w:tcW w:w="671" w:type="pct"/>
            <w:vAlign w:val="center"/>
          </w:tcPr>
          <w:p w14:paraId="13F8A230" w14:textId="77777777" w:rsidR="00F64EED" w:rsidRPr="00CD7E52" w:rsidRDefault="00F64EED" w:rsidP="00BD0220">
            <w:pPr>
              <w:tabs>
                <w:tab w:val="clear" w:pos="567"/>
              </w:tabs>
              <w:spacing w:line="240" w:lineRule="auto"/>
              <w:jc w:val="center"/>
              <w:rPr>
                <w:rFonts w:eastAsia="Calibri"/>
                <w:szCs w:val="22"/>
              </w:rPr>
            </w:pPr>
            <w:r w:rsidRPr="00CD7E52">
              <w:rPr>
                <w:rFonts w:eastAsia="Calibri"/>
                <w:szCs w:val="22"/>
                <w:lang w:val="lt-LT"/>
              </w:rPr>
              <w:t>4</w:t>
            </w:r>
            <w:r w:rsidR="004563A9" w:rsidRPr="00CD7E52">
              <w:rPr>
                <w:rFonts w:eastAsia="Calibri"/>
                <w:szCs w:val="22"/>
                <w:lang w:val="lt-LT"/>
              </w:rPr>
              <w:t>,</w:t>
            </w:r>
            <w:r w:rsidRPr="00CD7E52">
              <w:rPr>
                <w:rFonts w:eastAsia="Calibri"/>
                <w:szCs w:val="22"/>
                <w:lang w:val="lt-LT"/>
              </w:rPr>
              <w:t>9</w:t>
            </w:r>
            <w:r w:rsidR="004563A9" w:rsidRPr="00CD7E52">
              <w:rPr>
                <w:rFonts w:eastAsia="Calibri"/>
                <w:szCs w:val="22"/>
                <w:lang w:val="lt-LT"/>
              </w:rPr>
              <w:t> </w:t>
            </w:r>
            <w:r w:rsidRPr="00CD7E52">
              <w:rPr>
                <w:rFonts w:eastAsia="Calibri"/>
                <w:szCs w:val="22"/>
                <w:lang w:val="lt-LT"/>
              </w:rPr>
              <w:t>%</w:t>
            </w:r>
          </w:p>
        </w:tc>
        <w:tc>
          <w:tcPr>
            <w:tcW w:w="705" w:type="pct"/>
            <w:vAlign w:val="center"/>
          </w:tcPr>
          <w:p w14:paraId="4472B792" w14:textId="77777777" w:rsidR="00F64EED" w:rsidRPr="00CD7E52" w:rsidRDefault="00F64EED" w:rsidP="00BD0220">
            <w:pPr>
              <w:tabs>
                <w:tab w:val="clear" w:pos="567"/>
              </w:tabs>
              <w:spacing w:line="240" w:lineRule="auto"/>
              <w:jc w:val="center"/>
              <w:rPr>
                <w:rFonts w:eastAsia="Calibri"/>
                <w:szCs w:val="22"/>
              </w:rPr>
            </w:pPr>
            <w:r w:rsidRPr="00CD7E52">
              <w:rPr>
                <w:rFonts w:eastAsia="Calibri"/>
                <w:szCs w:val="22"/>
                <w:lang w:val="lt-LT"/>
              </w:rPr>
              <w:t>29</w:t>
            </w:r>
            <w:r w:rsidR="004563A9" w:rsidRPr="00CD7E52">
              <w:rPr>
                <w:rFonts w:eastAsia="Calibri"/>
                <w:szCs w:val="22"/>
                <w:lang w:val="lt-LT"/>
              </w:rPr>
              <w:t>,</w:t>
            </w:r>
            <w:r w:rsidRPr="00CD7E52">
              <w:rPr>
                <w:rFonts w:eastAsia="Calibri"/>
                <w:szCs w:val="22"/>
                <w:lang w:val="lt-LT"/>
              </w:rPr>
              <w:t>8</w:t>
            </w:r>
            <w:r w:rsidR="004563A9" w:rsidRPr="00CD7E52">
              <w:rPr>
                <w:rFonts w:eastAsia="Calibri"/>
                <w:szCs w:val="22"/>
                <w:lang w:val="lt-LT"/>
              </w:rPr>
              <w:t> </w:t>
            </w:r>
            <w:r w:rsidRPr="00CD7E52">
              <w:rPr>
                <w:rFonts w:eastAsia="Calibri"/>
                <w:szCs w:val="22"/>
                <w:lang w:val="lt-LT"/>
              </w:rPr>
              <w:t>%</w:t>
            </w:r>
          </w:p>
        </w:tc>
      </w:tr>
      <w:tr w:rsidR="00F64EED" w:rsidRPr="00CD7E52" w14:paraId="63F758B2" w14:textId="77777777" w:rsidTr="008851CB">
        <w:tc>
          <w:tcPr>
            <w:tcW w:w="3624" w:type="pct"/>
          </w:tcPr>
          <w:p w14:paraId="1680AB51" w14:textId="77777777" w:rsidR="00F64EED" w:rsidRPr="00716E07" w:rsidRDefault="004563A9" w:rsidP="00BD0220">
            <w:pPr>
              <w:tabs>
                <w:tab w:val="clear" w:pos="567"/>
              </w:tabs>
              <w:spacing w:line="240" w:lineRule="auto"/>
              <w:rPr>
                <w:rFonts w:eastAsia="Calibri"/>
                <w:lang w:val="pt-PT"/>
              </w:rPr>
            </w:pPr>
            <w:r w:rsidRPr="00CD7E52">
              <w:rPr>
                <w:rFonts w:eastAsia="Calibri"/>
                <w:snapToGrid/>
                <w:szCs w:val="22"/>
                <w:lang w:val="lt-LT"/>
              </w:rPr>
              <w:t>Laiko mediana</w:t>
            </w:r>
            <w:r w:rsidRPr="00CD7E52">
              <w:rPr>
                <w:rFonts w:eastAsia="Calibri"/>
                <w:szCs w:val="22"/>
                <w:lang w:val="lt-LT"/>
              </w:rPr>
              <w:t xml:space="preserve"> (savaitėmis) iki burnos opų išgijimo placebu </w:t>
            </w:r>
            <w:r w:rsidRPr="00CD7E52">
              <w:rPr>
                <w:rFonts w:eastAsia="Calibri"/>
                <w:snapToGrid/>
                <w:szCs w:val="22"/>
                <w:lang w:val="lt-LT"/>
              </w:rPr>
              <w:t>kontroliuotos</w:t>
            </w:r>
            <w:r w:rsidRPr="00CD7E52">
              <w:rPr>
                <w:rFonts w:eastAsia="Calibri"/>
                <w:szCs w:val="22"/>
                <w:lang w:val="lt-LT"/>
              </w:rPr>
              <w:t xml:space="preserve"> gydymo </w:t>
            </w:r>
            <w:r w:rsidRPr="00CD7E52">
              <w:rPr>
                <w:rFonts w:eastAsia="Calibri"/>
                <w:snapToGrid/>
                <w:szCs w:val="22"/>
                <w:lang w:val="lt-LT"/>
              </w:rPr>
              <w:t>fazės metu</w:t>
            </w:r>
          </w:p>
        </w:tc>
        <w:tc>
          <w:tcPr>
            <w:tcW w:w="671" w:type="pct"/>
            <w:vAlign w:val="center"/>
          </w:tcPr>
          <w:p w14:paraId="6139125F" w14:textId="77777777" w:rsidR="00F64EED" w:rsidRPr="00CD7E52" w:rsidRDefault="00F64EED" w:rsidP="006E48E5">
            <w:pPr>
              <w:tabs>
                <w:tab w:val="clear" w:pos="567"/>
              </w:tabs>
              <w:spacing w:line="240" w:lineRule="auto"/>
              <w:ind w:right="-120"/>
              <w:jc w:val="center"/>
              <w:rPr>
                <w:rFonts w:eastAsia="Calibri"/>
                <w:szCs w:val="22"/>
              </w:rPr>
            </w:pPr>
            <w:r w:rsidRPr="00CD7E52">
              <w:rPr>
                <w:rFonts w:eastAsia="Calibri"/>
                <w:szCs w:val="22"/>
                <w:lang w:val="lt-LT"/>
              </w:rPr>
              <w:t>8</w:t>
            </w:r>
            <w:r w:rsidR="004563A9" w:rsidRPr="00CD7E52">
              <w:rPr>
                <w:rFonts w:eastAsia="Calibri"/>
                <w:szCs w:val="22"/>
                <w:lang w:val="lt-LT"/>
              </w:rPr>
              <w:t>,</w:t>
            </w:r>
            <w:r w:rsidRPr="00CD7E52">
              <w:rPr>
                <w:rFonts w:eastAsia="Calibri"/>
                <w:szCs w:val="22"/>
                <w:lang w:val="lt-LT"/>
              </w:rPr>
              <w:t>1</w:t>
            </w:r>
            <w:r w:rsidR="004563A9" w:rsidRPr="00CD7E52">
              <w:rPr>
                <w:rFonts w:eastAsia="Calibri"/>
                <w:szCs w:val="22"/>
                <w:lang w:val="lt-LT"/>
              </w:rPr>
              <w:t> savaitės</w:t>
            </w:r>
          </w:p>
        </w:tc>
        <w:tc>
          <w:tcPr>
            <w:tcW w:w="705" w:type="pct"/>
            <w:vAlign w:val="center"/>
          </w:tcPr>
          <w:p w14:paraId="6582BF72" w14:textId="77777777" w:rsidR="00F64EED" w:rsidRPr="00CD7E52" w:rsidRDefault="00F64EED" w:rsidP="00BD0220">
            <w:pPr>
              <w:tabs>
                <w:tab w:val="clear" w:pos="567"/>
              </w:tabs>
              <w:spacing w:line="240" w:lineRule="auto"/>
              <w:jc w:val="center"/>
              <w:rPr>
                <w:rFonts w:eastAsia="Calibri"/>
                <w:szCs w:val="22"/>
              </w:rPr>
            </w:pPr>
            <w:r w:rsidRPr="00CD7E52">
              <w:rPr>
                <w:rFonts w:eastAsia="Calibri"/>
                <w:szCs w:val="22"/>
                <w:lang w:val="lt-LT"/>
              </w:rPr>
              <w:t>2</w:t>
            </w:r>
            <w:r w:rsidR="004563A9" w:rsidRPr="00CD7E52">
              <w:rPr>
                <w:rFonts w:eastAsia="Calibri"/>
                <w:szCs w:val="22"/>
                <w:lang w:val="lt-LT"/>
              </w:rPr>
              <w:t>,</w:t>
            </w:r>
            <w:r w:rsidRPr="00CD7E52">
              <w:rPr>
                <w:rFonts w:eastAsia="Calibri"/>
                <w:szCs w:val="22"/>
                <w:lang w:val="lt-LT"/>
              </w:rPr>
              <w:t>1</w:t>
            </w:r>
            <w:r w:rsidR="004563A9" w:rsidRPr="00CD7E52">
              <w:rPr>
                <w:rFonts w:eastAsia="Calibri"/>
                <w:szCs w:val="22"/>
                <w:lang w:val="lt-LT"/>
              </w:rPr>
              <w:t> savaitės</w:t>
            </w:r>
          </w:p>
        </w:tc>
      </w:tr>
      <w:tr w:rsidR="00DE6D1B" w:rsidRPr="00CD7E52" w14:paraId="79FEF67F" w14:textId="77777777" w:rsidTr="002F7D55">
        <w:tc>
          <w:tcPr>
            <w:tcW w:w="3624" w:type="pct"/>
          </w:tcPr>
          <w:p w14:paraId="23128E2A" w14:textId="77777777" w:rsidR="00F64EED" w:rsidRPr="00CD7E52" w:rsidRDefault="004563A9" w:rsidP="00BD0220">
            <w:pPr>
              <w:tabs>
                <w:tab w:val="clear" w:pos="567"/>
              </w:tabs>
              <w:spacing w:line="240" w:lineRule="auto"/>
              <w:ind w:right="-172"/>
              <w:rPr>
                <w:rFonts w:eastAsia="Calibri"/>
                <w:szCs w:val="22"/>
              </w:rPr>
            </w:pPr>
            <w:r w:rsidRPr="00CD7E52">
              <w:rPr>
                <w:rFonts w:eastAsia="Calibri"/>
                <w:szCs w:val="22"/>
                <w:lang w:val="lt-LT"/>
              </w:rPr>
              <w:t>Tiriamųjų, kurie 12 savaitę pasiekė visišką burnos opų atsaką, dalis (NRI)</w:t>
            </w:r>
          </w:p>
        </w:tc>
        <w:tc>
          <w:tcPr>
            <w:tcW w:w="671" w:type="pct"/>
            <w:vAlign w:val="center"/>
          </w:tcPr>
          <w:p w14:paraId="19E4B182" w14:textId="77777777" w:rsidR="00F64EED" w:rsidRPr="00CD7E52" w:rsidRDefault="00F64EED" w:rsidP="00BD0220">
            <w:pPr>
              <w:tabs>
                <w:tab w:val="clear" w:pos="567"/>
              </w:tabs>
              <w:spacing w:line="240" w:lineRule="auto"/>
              <w:jc w:val="center"/>
              <w:rPr>
                <w:rFonts w:eastAsia="Calibri"/>
                <w:szCs w:val="22"/>
              </w:rPr>
            </w:pPr>
            <w:r w:rsidRPr="00CD7E52">
              <w:rPr>
                <w:rFonts w:eastAsia="Calibri"/>
                <w:szCs w:val="22"/>
                <w:lang w:val="lt-LT"/>
              </w:rPr>
              <w:t>22</w:t>
            </w:r>
            <w:r w:rsidR="004563A9" w:rsidRPr="00CD7E52">
              <w:rPr>
                <w:rFonts w:eastAsia="Calibri"/>
                <w:szCs w:val="22"/>
                <w:lang w:val="lt-LT"/>
              </w:rPr>
              <w:t>,</w:t>
            </w:r>
            <w:r w:rsidRPr="00CD7E52">
              <w:rPr>
                <w:rFonts w:eastAsia="Calibri"/>
                <w:szCs w:val="22"/>
                <w:lang w:val="lt-LT"/>
              </w:rPr>
              <w:t>3</w:t>
            </w:r>
            <w:r w:rsidR="004563A9" w:rsidRPr="00CD7E52">
              <w:rPr>
                <w:rFonts w:eastAsia="Calibri"/>
                <w:szCs w:val="22"/>
                <w:lang w:val="lt-LT"/>
              </w:rPr>
              <w:t> </w:t>
            </w:r>
            <w:r w:rsidRPr="00CD7E52">
              <w:rPr>
                <w:rFonts w:eastAsia="Calibri"/>
                <w:szCs w:val="22"/>
                <w:lang w:val="lt-LT"/>
              </w:rPr>
              <w:t>%</w:t>
            </w:r>
          </w:p>
        </w:tc>
        <w:tc>
          <w:tcPr>
            <w:tcW w:w="705" w:type="pct"/>
            <w:vAlign w:val="center"/>
          </w:tcPr>
          <w:p w14:paraId="757A904E" w14:textId="77777777" w:rsidR="00F64EED" w:rsidRPr="00CD7E52" w:rsidRDefault="00F64EED" w:rsidP="00BD0220">
            <w:pPr>
              <w:tabs>
                <w:tab w:val="clear" w:pos="567"/>
              </w:tabs>
              <w:spacing w:line="240" w:lineRule="auto"/>
              <w:jc w:val="center"/>
              <w:rPr>
                <w:rFonts w:eastAsia="Calibri"/>
                <w:szCs w:val="22"/>
              </w:rPr>
            </w:pPr>
            <w:r w:rsidRPr="00CD7E52">
              <w:rPr>
                <w:rFonts w:eastAsia="Calibri"/>
                <w:szCs w:val="22"/>
                <w:lang w:val="lt-LT"/>
              </w:rPr>
              <w:t>52</w:t>
            </w:r>
            <w:r w:rsidR="004563A9" w:rsidRPr="00CD7E52">
              <w:rPr>
                <w:rFonts w:eastAsia="Calibri"/>
                <w:szCs w:val="22"/>
                <w:lang w:val="lt-LT"/>
              </w:rPr>
              <w:t>,</w:t>
            </w:r>
            <w:r w:rsidRPr="00CD7E52">
              <w:rPr>
                <w:rFonts w:eastAsia="Calibri"/>
                <w:szCs w:val="22"/>
                <w:lang w:val="lt-LT"/>
              </w:rPr>
              <w:t>9</w:t>
            </w:r>
            <w:r w:rsidR="004563A9" w:rsidRPr="00CD7E52">
              <w:rPr>
                <w:rFonts w:eastAsia="Calibri"/>
                <w:szCs w:val="22"/>
                <w:lang w:val="lt-LT"/>
              </w:rPr>
              <w:t> </w:t>
            </w:r>
            <w:r w:rsidRPr="00CD7E52">
              <w:rPr>
                <w:rFonts w:eastAsia="Calibri"/>
                <w:szCs w:val="22"/>
                <w:lang w:val="lt-LT"/>
              </w:rPr>
              <w:t>%</w:t>
            </w:r>
          </w:p>
        </w:tc>
      </w:tr>
      <w:tr w:rsidR="00F64EED" w:rsidRPr="00CD7E52" w14:paraId="1F06EEE0" w14:textId="77777777" w:rsidTr="008851CB">
        <w:tc>
          <w:tcPr>
            <w:tcW w:w="3624" w:type="pct"/>
          </w:tcPr>
          <w:p w14:paraId="45435136" w14:textId="77777777" w:rsidR="00F64EED" w:rsidRPr="00CD7E52" w:rsidRDefault="004563A9" w:rsidP="00BD0220">
            <w:pPr>
              <w:tabs>
                <w:tab w:val="clear" w:pos="567"/>
              </w:tabs>
              <w:spacing w:line="240" w:lineRule="auto"/>
              <w:ind w:right="-106"/>
              <w:rPr>
                <w:rFonts w:eastAsia="Calibri"/>
                <w:szCs w:val="22"/>
              </w:rPr>
            </w:pPr>
            <w:r w:rsidRPr="00CD7E52">
              <w:rPr>
                <w:rFonts w:eastAsia="Calibri"/>
                <w:szCs w:val="22"/>
                <w:lang w:val="lt-LT"/>
              </w:rPr>
              <w:t xml:space="preserve">Tiriamųjų, kurie 12 savaitę pasiekė dalinį burnos opų </w:t>
            </w:r>
            <w:r w:rsidRPr="00CD7E52">
              <w:rPr>
                <w:rFonts w:eastAsia="Calibri"/>
                <w:snapToGrid/>
                <w:szCs w:val="22"/>
                <w:lang w:val="lt-LT"/>
              </w:rPr>
              <w:t>atsaką</w:t>
            </w:r>
            <w:r w:rsidRPr="00CD7E52">
              <w:rPr>
                <w:rFonts w:eastAsia="Calibri"/>
                <w:szCs w:val="22"/>
                <w:lang w:val="lt-LT"/>
              </w:rPr>
              <w:t>, dalis (NRI)</w:t>
            </w:r>
          </w:p>
        </w:tc>
        <w:tc>
          <w:tcPr>
            <w:tcW w:w="671" w:type="pct"/>
            <w:vAlign w:val="center"/>
          </w:tcPr>
          <w:p w14:paraId="428F4DD3" w14:textId="77777777" w:rsidR="00F64EED" w:rsidRPr="00CD7E52" w:rsidRDefault="00F64EED" w:rsidP="00BD0220">
            <w:pPr>
              <w:tabs>
                <w:tab w:val="clear" w:pos="567"/>
              </w:tabs>
              <w:spacing w:line="240" w:lineRule="auto"/>
              <w:jc w:val="center"/>
              <w:rPr>
                <w:rFonts w:eastAsia="Calibri"/>
                <w:szCs w:val="22"/>
                <w:lang w:val="lt-LT"/>
              </w:rPr>
            </w:pPr>
            <w:r w:rsidRPr="00CD7E52">
              <w:rPr>
                <w:rFonts w:eastAsia="Calibri"/>
                <w:szCs w:val="22"/>
                <w:lang w:val="lt-LT"/>
              </w:rPr>
              <w:t>47</w:t>
            </w:r>
            <w:r w:rsidR="004563A9" w:rsidRPr="00CD7E52">
              <w:rPr>
                <w:rFonts w:eastAsia="Calibri"/>
                <w:szCs w:val="22"/>
                <w:lang w:val="lt-LT"/>
              </w:rPr>
              <w:t>,</w:t>
            </w:r>
            <w:r w:rsidRPr="00CD7E52">
              <w:rPr>
                <w:rFonts w:eastAsia="Calibri"/>
                <w:szCs w:val="22"/>
                <w:lang w:val="lt-LT"/>
              </w:rPr>
              <w:t>6</w:t>
            </w:r>
            <w:r w:rsidR="004563A9" w:rsidRPr="00CD7E52">
              <w:rPr>
                <w:rFonts w:eastAsia="Calibri"/>
                <w:szCs w:val="22"/>
                <w:lang w:val="lt-LT"/>
              </w:rPr>
              <w:t> </w:t>
            </w:r>
            <w:r w:rsidRPr="00CD7E52">
              <w:rPr>
                <w:rFonts w:eastAsia="Calibri"/>
                <w:szCs w:val="22"/>
                <w:lang w:val="lt-LT"/>
              </w:rPr>
              <w:t>%</w:t>
            </w:r>
          </w:p>
          <w:p w14:paraId="0EA95CE4" w14:textId="77777777" w:rsidR="005104C1" w:rsidRPr="00CD7E52" w:rsidRDefault="005104C1" w:rsidP="00BD0220">
            <w:pPr>
              <w:tabs>
                <w:tab w:val="clear" w:pos="567"/>
              </w:tabs>
              <w:spacing w:line="240" w:lineRule="auto"/>
              <w:jc w:val="center"/>
              <w:rPr>
                <w:rFonts w:eastAsia="Calibri"/>
                <w:szCs w:val="22"/>
              </w:rPr>
            </w:pPr>
          </w:p>
        </w:tc>
        <w:tc>
          <w:tcPr>
            <w:tcW w:w="705" w:type="pct"/>
            <w:vAlign w:val="center"/>
          </w:tcPr>
          <w:p w14:paraId="125D4403" w14:textId="77777777" w:rsidR="00F64EED" w:rsidRPr="00CD7E52" w:rsidRDefault="00F64EED" w:rsidP="00BD0220">
            <w:pPr>
              <w:tabs>
                <w:tab w:val="clear" w:pos="567"/>
              </w:tabs>
              <w:spacing w:line="240" w:lineRule="auto"/>
              <w:jc w:val="center"/>
              <w:rPr>
                <w:rFonts w:eastAsia="Calibri"/>
                <w:szCs w:val="22"/>
              </w:rPr>
            </w:pPr>
            <w:r w:rsidRPr="00CD7E52">
              <w:rPr>
                <w:rFonts w:eastAsia="Calibri"/>
                <w:szCs w:val="22"/>
                <w:lang w:val="lt-LT"/>
              </w:rPr>
              <w:t>76</w:t>
            </w:r>
            <w:r w:rsidR="004563A9" w:rsidRPr="00CD7E52">
              <w:rPr>
                <w:rFonts w:eastAsia="Calibri"/>
                <w:szCs w:val="22"/>
                <w:lang w:val="lt-LT"/>
              </w:rPr>
              <w:t>,</w:t>
            </w:r>
            <w:r w:rsidRPr="00CD7E52">
              <w:rPr>
                <w:rFonts w:eastAsia="Calibri"/>
                <w:szCs w:val="22"/>
                <w:lang w:val="lt-LT"/>
              </w:rPr>
              <w:t>0</w:t>
            </w:r>
            <w:r w:rsidR="004563A9" w:rsidRPr="00CD7E52">
              <w:rPr>
                <w:rFonts w:eastAsia="Calibri"/>
                <w:szCs w:val="22"/>
                <w:lang w:val="lt-LT"/>
              </w:rPr>
              <w:t> </w:t>
            </w:r>
            <w:r w:rsidRPr="00CD7E52">
              <w:rPr>
                <w:rFonts w:eastAsia="Calibri"/>
                <w:szCs w:val="22"/>
                <w:lang w:val="lt-LT"/>
              </w:rPr>
              <w:t>%</w:t>
            </w:r>
          </w:p>
        </w:tc>
      </w:tr>
    </w:tbl>
    <w:p w14:paraId="6806BB4C" w14:textId="77777777" w:rsidR="004B4124" w:rsidRPr="00A9366F" w:rsidRDefault="004B4124" w:rsidP="00BD0220">
      <w:pPr>
        <w:widowControl w:val="0"/>
        <w:tabs>
          <w:tab w:val="clear" w:pos="567"/>
        </w:tabs>
        <w:autoSpaceDE w:val="0"/>
        <w:autoSpaceDN w:val="0"/>
        <w:adjustRightInd w:val="0"/>
        <w:spacing w:line="240" w:lineRule="auto"/>
        <w:rPr>
          <w:szCs w:val="22"/>
          <w:lang w:val="lt-LT"/>
        </w:rPr>
      </w:pPr>
      <w:r w:rsidRPr="00A9366F">
        <w:rPr>
          <w:szCs w:val="22"/>
          <w:lang w:val="lt-LT"/>
        </w:rPr>
        <w:t>ITT</w:t>
      </w:r>
      <w:r w:rsidR="00D76A87" w:rsidRPr="00A9366F">
        <w:rPr>
          <w:szCs w:val="22"/>
          <w:lang w:val="lt-LT"/>
        </w:rPr>
        <w:t> </w:t>
      </w:r>
      <w:r w:rsidR="00B97414" w:rsidRPr="00A9366F">
        <w:rPr>
          <w:snapToGrid/>
          <w:szCs w:val="22"/>
          <w:lang w:val="lt-LT"/>
        </w:rPr>
        <w:t>=</w:t>
      </w:r>
      <w:r w:rsidR="00D76A87" w:rsidRPr="00A9366F">
        <w:rPr>
          <w:snapToGrid/>
          <w:szCs w:val="22"/>
          <w:lang w:val="lt-LT"/>
        </w:rPr>
        <w:t> </w:t>
      </w:r>
      <w:r w:rsidR="004563A9" w:rsidRPr="00A9366F">
        <w:rPr>
          <w:snapToGrid/>
          <w:szCs w:val="22"/>
          <w:lang w:val="lt-LT"/>
        </w:rPr>
        <w:t>numatyta gydyti</w:t>
      </w:r>
      <w:r w:rsidRPr="00A9366F">
        <w:rPr>
          <w:szCs w:val="22"/>
          <w:lang w:val="lt-LT"/>
        </w:rPr>
        <w:t xml:space="preserve"> (angl. </w:t>
      </w:r>
      <w:r w:rsidRPr="00A9366F">
        <w:rPr>
          <w:i/>
          <w:szCs w:val="22"/>
          <w:lang w:val="lt-LT"/>
        </w:rPr>
        <w:t>Intent To Treat</w:t>
      </w:r>
      <w:r w:rsidRPr="00A9366F">
        <w:rPr>
          <w:szCs w:val="22"/>
          <w:lang w:val="lt-LT"/>
        </w:rPr>
        <w:t>); LS</w:t>
      </w:r>
      <w:r w:rsidR="00D76A87" w:rsidRPr="00A9366F">
        <w:rPr>
          <w:szCs w:val="22"/>
          <w:lang w:val="lt-LT"/>
        </w:rPr>
        <w:t> </w:t>
      </w:r>
      <w:r w:rsidR="00B97414" w:rsidRPr="00A9366F">
        <w:rPr>
          <w:snapToGrid/>
          <w:szCs w:val="22"/>
          <w:lang w:val="lt-LT"/>
        </w:rPr>
        <w:t>=</w:t>
      </w:r>
      <w:r w:rsidR="00D76A87" w:rsidRPr="00A9366F">
        <w:rPr>
          <w:snapToGrid/>
          <w:szCs w:val="22"/>
          <w:lang w:val="lt-LT"/>
        </w:rPr>
        <w:t> </w:t>
      </w:r>
      <w:r w:rsidRPr="00A9366F">
        <w:rPr>
          <w:snapToGrid/>
          <w:szCs w:val="22"/>
          <w:lang w:val="lt-LT"/>
        </w:rPr>
        <w:t>mažiausi kvadrat</w:t>
      </w:r>
      <w:r w:rsidR="004563A9" w:rsidRPr="00A9366F">
        <w:rPr>
          <w:snapToGrid/>
          <w:szCs w:val="22"/>
          <w:lang w:val="lt-LT"/>
        </w:rPr>
        <w:t>ai</w:t>
      </w:r>
      <w:r w:rsidRPr="00A9366F">
        <w:rPr>
          <w:szCs w:val="22"/>
          <w:lang w:val="lt-LT"/>
        </w:rPr>
        <w:t xml:space="preserve"> (ang. </w:t>
      </w:r>
      <w:r w:rsidRPr="00A9366F">
        <w:rPr>
          <w:i/>
          <w:szCs w:val="22"/>
          <w:lang w:val="lt-LT"/>
        </w:rPr>
        <w:t>Least Squares</w:t>
      </w:r>
      <w:r w:rsidRPr="00A9366F">
        <w:rPr>
          <w:szCs w:val="22"/>
          <w:lang w:val="lt-LT"/>
        </w:rPr>
        <w:t>); MI</w:t>
      </w:r>
      <w:r w:rsidR="00D76A87" w:rsidRPr="00A9366F">
        <w:rPr>
          <w:szCs w:val="22"/>
          <w:lang w:val="lt-LT"/>
        </w:rPr>
        <w:t> </w:t>
      </w:r>
      <w:r w:rsidRPr="00A9366F">
        <w:rPr>
          <w:snapToGrid/>
          <w:szCs w:val="22"/>
          <w:lang w:val="lt-LT"/>
        </w:rPr>
        <w:t>=</w:t>
      </w:r>
      <w:r w:rsidR="00D76A87" w:rsidRPr="00A9366F">
        <w:rPr>
          <w:snapToGrid/>
          <w:szCs w:val="22"/>
          <w:lang w:val="lt-LT"/>
        </w:rPr>
        <w:t> </w:t>
      </w:r>
      <w:r w:rsidRPr="00A9366F">
        <w:rPr>
          <w:szCs w:val="22"/>
          <w:lang w:val="lt-LT"/>
        </w:rPr>
        <w:t xml:space="preserve">daugybinis duomenų įterpimas (ang. </w:t>
      </w:r>
      <w:r w:rsidRPr="00A9366F">
        <w:rPr>
          <w:i/>
          <w:szCs w:val="22"/>
          <w:lang w:val="lt-LT"/>
        </w:rPr>
        <w:t>Multiple Imputation</w:t>
      </w:r>
      <w:r w:rsidRPr="00A9366F">
        <w:rPr>
          <w:szCs w:val="22"/>
          <w:lang w:val="lt-LT"/>
        </w:rPr>
        <w:t>);</w:t>
      </w:r>
      <w:r w:rsidR="00A87582" w:rsidRPr="00A9366F">
        <w:rPr>
          <w:szCs w:val="22"/>
          <w:lang w:val="lt-LT"/>
        </w:rPr>
        <w:t> mm</w:t>
      </w:r>
      <w:r w:rsidRPr="00A9366F">
        <w:rPr>
          <w:szCs w:val="22"/>
          <w:lang w:val="lt-LT"/>
        </w:rPr>
        <w:t>RM</w:t>
      </w:r>
      <w:r w:rsidR="00D76A87" w:rsidRPr="00A9366F">
        <w:rPr>
          <w:szCs w:val="22"/>
          <w:lang w:val="lt-LT"/>
        </w:rPr>
        <w:t> </w:t>
      </w:r>
      <w:r w:rsidR="00B97414" w:rsidRPr="00A9366F">
        <w:rPr>
          <w:snapToGrid/>
          <w:szCs w:val="22"/>
          <w:lang w:val="lt-LT"/>
        </w:rPr>
        <w:t>=</w:t>
      </w:r>
      <w:r w:rsidR="00D76A87" w:rsidRPr="00A9366F">
        <w:rPr>
          <w:snapToGrid/>
          <w:szCs w:val="22"/>
          <w:lang w:val="lt-LT"/>
        </w:rPr>
        <w:t> </w:t>
      </w:r>
      <w:r w:rsidRPr="00A9366F">
        <w:rPr>
          <w:szCs w:val="22"/>
          <w:lang w:val="lt-LT"/>
        </w:rPr>
        <w:t>kartotinių matavimų mišraus poveikio modelis</w:t>
      </w:r>
      <w:r w:rsidR="004563A9" w:rsidRPr="00A9366F">
        <w:rPr>
          <w:szCs w:val="22"/>
          <w:lang w:val="lt-LT"/>
        </w:rPr>
        <w:t xml:space="preserve"> </w:t>
      </w:r>
      <w:r w:rsidRPr="00A9366F">
        <w:rPr>
          <w:szCs w:val="22"/>
          <w:lang w:val="lt-LT"/>
        </w:rPr>
        <w:t xml:space="preserve">(ang. </w:t>
      </w:r>
      <w:r w:rsidRPr="00A9366F">
        <w:rPr>
          <w:i/>
          <w:szCs w:val="22"/>
          <w:lang w:val="lt-LT"/>
        </w:rPr>
        <w:t>Mixed-Effects Model for Repeated Measures</w:t>
      </w:r>
      <w:r w:rsidRPr="00A9366F">
        <w:rPr>
          <w:szCs w:val="22"/>
          <w:lang w:val="lt-LT"/>
        </w:rPr>
        <w:t>); NRI</w:t>
      </w:r>
      <w:r w:rsidR="00D76A87" w:rsidRPr="00A9366F">
        <w:rPr>
          <w:szCs w:val="22"/>
          <w:lang w:val="lt-LT"/>
        </w:rPr>
        <w:t> </w:t>
      </w:r>
      <w:r w:rsidR="00B97414" w:rsidRPr="00A9366F">
        <w:rPr>
          <w:snapToGrid/>
          <w:szCs w:val="22"/>
          <w:lang w:val="lt-LT"/>
        </w:rPr>
        <w:t>=</w:t>
      </w:r>
      <w:r w:rsidR="00D76A87" w:rsidRPr="00A9366F">
        <w:rPr>
          <w:snapToGrid/>
          <w:szCs w:val="22"/>
          <w:lang w:val="lt-LT"/>
        </w:rPr>
        <w:t> </w:t>
      </w:r>
      <w:r w:rsidRPr="00A9366F">
        <w:rPr>
          <w:szCs w:val="22"/>
          <w:lang w:val="lt-LT"/>
        </w:rPr>
        <w:t>pacientų, kuriems nepasiektas atsakas, vertės įterpimas (ang.</w:t>
      </w:r>
      <w:r w:rsidR="004563A9" w:rsidRPr="00A9366F">
        <w:rPr>
          <w:szCs w:val="22"/>
          <w:lang w:val="lt-LT"/>
        </w:rPr>
        <w:t xml:space="preserve"> </w:t>
      </w:r>
      <w:r w:rsidRPr="00A9366F">
        <w:rPr>
          <w:i/>
          <w:szCs w:val="22"/>
          <w:lang w:val="lt-LT"/>
        </w:rPr>
        <w:t>non-responder imputation</w:t>
      </w:r>
      <w:r w:rsidRPr="00A9366F">
        <w:rPr>
          <w:szCs w:val="22"/>
          <w:lang w:val="lt-LT"/>
        </w:rPr>
        <w:t>); BID</w:t>
      </w:r>
      <w:r w:rsidR="00D76A87" w:rsidRPr="00A9366F">
        <w:rPr>
          <w:szCs w:val="22"/>
          <w:lang w:val="lt-LT"/>
        </w:rPr>
        <w:t> </w:t>
      </w:r>
      <w:r w:rsidR="00B97414" w:rsidRPr="00A9366F">
        <w:rPr>
          <w:snapToGrid/>
          <w:szCs w:val="22"/>
          <w:lang w:val="lt-LT"/>
        </w:rPr>
        <w:t>=</w:t>
      </w:r>
      <w:r w:rsidR="00D76A87" w:rsidRPr="00A9366F">
        <w:rPr>
          <w:snapToGrid/>
          <w:szCs w:val="22"/>
          <w:lang w:val="lt-LT"/>
        </w:rPr>
        <w:t> </w:t>
      </w:r>
      <w:r w:rsidRPr="00A9366F">
        <w:rPr>
          <w:szCs w:val="22"/>
          <w:lang w:val="lt-LT"/>
        </w:rPr>
        <w:t>du kartus per parą.</w:t>
      </w:r>
    </w:p>
    <w:p w14:paraId="654C4E17" w14:textId="77777777" w:rsidR="004B4124" w:rsidRPr="00A9366F" w:rsidRDefault="004B4124" w:rsidP="00BD0220">
      <w:pPr>
        <w:widowControl w:val="0"/>
        <w:tabs>
          <w:tab w:val="clear" w:pos="567"/>
        </w:tabs>
        <w:autoSpaceDE w:val="0"/>
        <w:autoSpaceDN w:val="0"/>
        <w:adjustRightInd w:val="0"/>
        <w:spacing w:line="240" w:lineRule="auto"/>
        <w:rPr>
          <w:szCs w:val="22"/>
          <w:lang w:val="lt-LT"/>
        </w:rPr>
      </w:pPr>
      <w:r w:rsidRPr="00A9366F">
        <w:rPr>
          <w:szCs w:val="22"/>
          <w:vertAlign w:val="superscript"/>
          <w:lang w:val="lt-LT"/>
        </w:rPr>
        <w:t>a</w:t>
      </w:r>
      <w:r w:rsidRPr="00A9366F">
        <w:rPr>
          <w:szCs w:val="22"/>
          <w:lang w:val="lt-LT"/>
        </w:rPr>
        <w:t xml:space="preserve"> p vertė &lt;</w:t>
      </w:r>
      <w:r w:rsidR="00D76A87" w:rsidRPr="00A9366F">
        <w:rPr>
          <w:szCs w:val="22"/>
          <w:lang w:val="lt-LT"/>
        </w:rPr>
        <w:t> </w:t>
      </w:r>
      <w:r w:rsidRPr="00A9366F">
        <w:rPr>
          <w:szCs w:val="22"/>
          <w:lang w:val="lt-LT"/>
        </w:rPr>
        <w:t>0,0001 visiems apremilasto vartojusiųjų grupės palyginimams su placebo grupe.</w:t>
      </w:r>
    </w:p>
    <w:p w14:paraId="3B5CAF62" w14:textId="77777777" w:rsidR="004B4124" w:rsidRPr="00A9366F" w:rsidRDefault="004B4124" w:rsidP="00BD0220">
      <w:pPr>
        <w:widowControl w:val="0"/>
        <w:tabs>
          <w:tab w:val="clear" w:pos="567"/>
        </w:tabs>
        <w:autoSpaceDE w:val="0"/>
        <w:autoSpaceDN w:val="0"/>
        <w:adjustRightInd w:val="0"/>
        <w:spacing w:line="240" w:lineRule="auto"/>
        <w:rPr>
          <w:szCs w:val="22"/>
          <w:lang w:val="lt-LT"/>
        </w:rPr>
      </w:pPr>
      <w:r w:rsidRPr="00A9366F">
        <w:rPr>
          <w:szCs w:val="22"/>
          <w:vertAlign w:val="superscript"/>
          <w:lang w:val="lt-LT"/>
        </w:rPr>
        <w:lastRenderedPageBreak/>
        <w:t>b</w:t>
      </w:r>
      <w:r w:rsidRPr="00A9366F">
        <w:rPr>
          <w:szCs w:val="22"/>
          <w:lang w:val="lt-LT"/>
        </w:rPr>
        <w:t xml:space="preserve"> AUC</w:t>
      </w:r>
      <w:r w:rsidR="00D76A87" w:rsidRPr="00A9366F">
        <w:rPr>
          <w:szCs w:val="22"/>
          <w:lang w:val="lt-LT"/>
        </w:rPr>
        <w:t> </w:t>
      </w:r>
      <w:r w:rsidR="00B97414" w:rsidRPr="00A9366F">
        <w:rPr>
          <w:snapToGrid/>
          <w:szCs w:val="22"/>
          <w:lang w:val="lt-LT"/>
        </w:rPr>
        <w:t>=</w:t>
      </w:r>
      <w:r w:rsidR="00D76A87" w:rsidRPr="00A9366F">
        <w:rPr>
          <w:snapToGrid/>
          <w:szCs w:val="22"/>
          <w:lang w:val="lt-LT"/>
        </w:rPr>
        <w:t> </w:t>
      </w:r>
      <w:r w:rsidRPr="00A9366F">
        <w:rPr>
          <w:szCs w:val="22"/>
          <w:lang w:val="lt-LT"/>
        </w:rPr>
        <w:t>plotas po kreive (ang.</w:t>
      </w:r>
      <w:r w:rsidRPr="00A9366F">
        <w:rPr>
          <w:i/>
          <w:szCs w:val="22"/>
          <w:lang w:val="lt-LT"/>
        </w:rPr>
        <w:t xml:space="preserve"> Area Under the Curve</w:t>
      </w:r>
      <w:r w:rsidRPr="00A9366F">
        <w:rPr>
          <w:szCs w:val="22"/>
          <w:lang w:val="lt-LT"/>
        </w:rPr>
        <w:t>).</w:t>
      </w:r>
    </w:p>
    <w:p w14:paraId="6DC11312" w14:textId="77777777" w:rsidR="004B4124" w:rsidRPr="00A9366F" w:rsidRDefault="004B4124" w:rsidP="00BD0220">
      <w:pPr>
        <w:widowControl w:val="0"/>
        <w:tabs>
          <w:tab w:val="clear" w:pos="567"/>
        </w:tabs>
        <w:autoSpaceDE w:val="0"/>
        <w:autoSpaceDN w:val="0"/>
        <w:adjustRightInd w:val="0"/>
        <w:spacing w:line="240" w:lineRule="auto"/>
        <w:rPr>
          <w:szCs w:val="22"/>
          <w:lang w:val="lt-LT"/>
        </w:rPr>
      </w:pPr>
      <w:r w:rsidRPr="00A9366F">
        <w:rPr>
          <w:szCs w:val="22"/>
          <w:vertAlign w:val="superscript"/>
          <w:lang w:val="lt-LT"/>
        </w:rPr>
        <w:t>c</w:t>
      </w:r>
      <w:r w:rsidRPr="00A9366F">
        <w:rPr>
          <w:szCs w:val="22"/>
          <w:lang w:val="lt-LT"/>
        </w:rPr>
        <w:t xml:space="preserve"> VAS</w:t>
      </w:r>
      <w:r w:rsidR="00D76A87" w:rsidRPr="00A9366F">
        <w:rPr>
          <w:szCs w:val="22"/>
          <w:lang w:val="lt-LT"/>
        </w:rPr>
        <w:t> </w:t>
      </w:r>
      <w:r w:rsidR="00B97414" w:rsidRPr="00A9366F">
        <w:rPr>
          <w:snapToGrid/>
          <w:szCs w:val="22"/>
          <w:lang w:val="lt-LT"/>
        </w:rPr>
        <w:t>=</w:t>
      </w:r>
      <w:r w:rsidR="00D76A87" w:rsidRPr="00A9366F">
        <w:rPr>
          <w:snapToGrid/>
          <w:szCs w:val="22"/>
          <w:lang w:val="lt-LT"/>
        </w:rPr>
        <w:t> </w:t>
      </w:r>
      <w:r w:rsidRPr="00A9366F">
        <w:rPr>
          <w:szCs w:val="22"/>
          <w:lang w:val="lt-LT"/>
        </w:rPr>
        <w:t>vizualinė analoginė skalė; 0</w:t>
      </w:r>
      <w:r w:rsidR="00D76A87" w:rsidRPr="00A9366F">
        <w:rPr>
          <w:szCs w:val="22"/>
          <w:lang w:val="lt-LT"/>
        </w:rPr>
        <w:t> </w:t>
      </w:r>
      <w:r w:rsidR="00B97414" w:rsidRPr="00A9366F">
        <w:rPr>
          <w:snapToGrid/>
          <w:szCs w:val="22"/>
          <w:lang w:val="lt-LT"/>
        </w:rPr>
        <w:t>=</w:t>
      </w:r>
      <w:r w:rsidR="00D76A87" w:rsidRPr="00A9366F">
        <w:rPr>
          <w:snapToGrid/>
          <w:szCs w:val="22"/>
          <w:lang w:val="lt-LT"/>
        </w:rPr>
        <w:t> </w:t>
      </w:r>
      <w:r w:rsidRPr="00A9366F">
        <w:rPr>
          <w:szCs w:val="22"/>
          <w:lang w:val="lt-LT"/>
        </w:rPr>
        <w:t>jokio skausmo, 100</w:t>
      </w:r>
      <w:r w:rsidR="00D76A87" w:rsidRPr="00A9366F">
        <w:rPr>
          <w:szCs w:val="22"/>
          <w:lang w:val="lt-LT"/>
        </w:rPr>
        <w:t> </w:t>
      </w:r>
      <w:r w:rsidR="00B97414" w:rsidRPr="00A9366F">
        <w:rPr>
          <w:snapToGrid/>
          <w:szCs w:val="22"/>
          <w:lang w:val="lt-LT"/>
        </w:rPr>
        <w:t>=</w:t>
      </w:r>
      <w:r w:rsidR="00D76A87" w:rsidRPr="00A9366F">
        <w:rPr>
          <w:snapToGrid/>
          <w:szCs w:val="22"/>
          <w:lang w:val="lt-LT"/>
        </w:rPr>
        <w:t> </w:t>
      </w:r>
      <w:r w:rsidRPr="00A9366F">
        <w:rPr>
          <w:szCs w:val="22"/>
          <w:lang w:val="lt-LT"/>
        </w:rPr>
        <w:t>didžiausias įmanomas skausmas.</w:t>
      </w:r>
    </w:p>
    <w:p w14:paraId="23059CE4"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A9366F">
        <w:rPr>
          <w:szCs w:val="22"/>
          <w:vertAlign w:val="superscript"/>
          <w:lang w:val="lt-LT"/>
        </w:rPr>
        <w:t>d</w:t>
      </w:r>
      <w:r w:rsidRPr="00A9366F">
        <w:rPr>
          <w:szCs w:val="22"/>
          <w:lang w:val="lt-LT"/>
        </w:rPr>
        <w:t xml:space="preserve"> Dalinis burnos opų atsakas</w:t>
      </w:r>
      <w:r w:rsidR="00D76A87" w:rsidRPr="00A9366F">
        <w:rPr>
          <w:szCs w:val="22"/>
          <w:lang w:val="lt-LT"/>
        </w:rPr>
        <w:t> </w:t>
      </w:r>
      <w:r w:rsidR="00B97414" w:rsidRPr="00A9366F">
        <w:rPr>
          <w:snapToGrid/>
          <w:szCs w:val="22"/>
          <w:lang w:val="lt-LT"/>
        </w:rPr>
        <w:t>=</w:t>
      </w:r>
      <w:r w:rsidR="00D76A87" w:rsidRPr="00A9366F">
        <w:rPr>
          <w:snapToGrid/>
          <w:szCs w:val="22"/>
          <w:lang w:val="lt-LT"/>
        </w:rPr>
        <w:t> </w:t>
      </w:r>
      <w:r w:rsidRPr="00A9366F">
        <w:rPr>
          <w:szCs w:val="22"/>
          <w:lang w:val="lt-LT"/>
        </w:rPr>
        <w:t xml:space="preserve">burnos opų skaičius sumažėjo </w:t>
      </w:r>
      <w:r w:rsidR="009F17E0" w:rsidRPr="00A9366F">
        <w:rPr>
          <w:szCs w:val="22"/>
          <w:lang w:val="lt-LT"/>
        </w:rPr>
        <w:t>≥ </w:t>
      </w:r>
      <w:r w:rsidRPr="00A9366F">
        <w:rPr>
          <w:szCs w:val="22"/>
          <w:lang w:val="lt-LT"/>
        </w:rPr>
        <w:t>50</w:t>
      </w:r>
      <w:r w:rsidR="009F17E0" w:rsidRPr="00A9366F">
        <w:rPr>
          <w:szCs w:val="22"/>
          <w:lang w:val="lt-LT"/>
        </w:rPr>
        <w:t> %</w:t>
      </w:r>
      <w:r w:rsidRPr="00A9366F">
        <w:rPr>
          <w:szCs w:val="22"/>
          <w:lang w:val="lt-LT"/>
        </w:rPr>
        <w:t xml:space="preserve"> po pradinio vertinimo (žvalgomoji analizė);</w:t>
      </w:r>
      <w:r w:rsidR="00587D7B" w:rsidRPr="00A9366F">
        <w:rPr>
          <w:szCs w:val="22"/>
          <w:lang w:val="lt-LT"/>
        </w:rPr>
        <w:t xml:space="preserve"> </w:t>
      </w:r>
      <w:r w:rsidRPr="00A9366F">
        <w:rPr>
          <w:szCs w:val="22"/>
          <w:lang w:val="lt-LT"/>
        </w:rPr>
        <w:t xml:space="preserve">nominalioji p vertė </w:t>
      </w:r>
      <w:r w:rsidR="0009387A" w:rsidRPr="00A9366F">
        <w:rPr>
          <w:szCs w:val="22"/>
          <w:lang w:val="lt-LT"/>
        </w:rPr>
        <w:t>–</w:t>
      </w:r>
      <w:r w:rsidRPr="00A9366F">
        <w:rPr>
          <w:szCs w:val="22"/>
          <w:lang w:val="lt-LT"/>
        </w:rPr>
        <w:t xml:space="preserve"> &lt;</w:t>
      </w:r>
      <w:r w:rsidR="004563A9" w:rsidRPr="00A9366F">
        <w:rPr>
          <w:szCs w:val="22"/>
          <w:lang w:val="lt-LT"/>
        </w:rPr>
        <w:t> </w:t>
      </w:r>
      <w:r w:rsidRPr="00A9366F">
        <w:rPr>
          <w:szCs w:val="22"/>
          <w:lang w:val="lt-LT"/>
        </w:rPr>
        <w:t>0,0001.</w:t>
      </w:r>
    </w:p>
    <w:p w14:paraId="29609A57" w14:textId="77777777" w:rsidR="004563A9" w:rsidRPr="00CD7E52" w:rsidRDefault="004563A9" w:rsidP="00BD0220">
      <w:pPr>
        <w:widowControl w:val="0"/>
        <w:tabs>
          <w:tab w:val="clear" w:pos="567"/>
        </w:tabs>
        <w:autoSpaceDE w:val="0"/>
        <w:autoSpaceDN w:val="0"/>
        <w:adjustRightInd w:val="0"/>
        <w:spacing w:line="240" w:lineRule="auto"/>
        <w:rPr>
          <w:szCs w:val="22"/>
          <w:lang w:val="lt-LT"/>
        </w:rPr>
      </w:pPr>
    </w:p>
    <w:p w14:paraId="7A0DC854"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Iš 104</w:t>
      </w:r>
      <w:r w:rsidR="00587D7B" w:rsidRPr="00CD7E52">
        <w:rPr>
          <w:szCs w:val="22"/>
          <w:lang w:val="lt-LT"/>
        </w:rPr>
        <w:t> </w:t>
      </w:r>
      <w:r w:rsidRPr="00CD7E52">
        <w:rPr>
          <w:szCs w:val="22"/>
          <w:lang w:val="lt-LT"/>
        </w:rPr>
        <w:t xml:space="preserve">pacientų, kurie iš pradžių buvo atsitiktinai </w:t>
      </w:r>
      <w:r w:rsidR="00587D7B" w:rsidRPr="00CD7E52">
        <w:rPr>
          <w:snapToGrid/>
          <w:szCs w:val="22"/>
          <w:lang w:val="lt-LT"/>
        </w:rPr>
        <w:t>priskirti</w:t>
      </w:r>
      <w:r w:rsidRPr="00CD7E52">
        <w:rPr>
          <w:szCs w:val="22"/>
          <w:lang w:val="lt-LT"/>
        </w:rPr>
        <w:t xml:space="preserve"> vartoti po 30</w:t>
      </w:r>
      <w:r w:rsidR="00A87582" w:rsidRPr="00CD7E52">
        <w:rPr>
          <w:szCs w:val="22"/>
          <w:lang w:val="lt-LT"/>
        </w:rPr>
        <w:t> mg</w:t>
      </w:r>
      <w:r w:rsidRPr="00CD7E52">
        <w:rPr>
          <w:szCs w:val="22"/>
          <w:lang w:val="lt-LT"/>
        </w:rPr>
        <w:t xml:space="preserve"> apremilasto dozę du kartus per</w:t>
      </w:r>
      <w:r w:rsidR="00587D7B" w:rsidRPr="00CD7E52">
        <w:rPr>
          <w:szCs w:val="22"/>
          <w:lang w:val="lt-LT"/>
        </w:rPr>
        <w:t xml:space="preserve"> </w:t>
      </w:r>
      <w:r w:rsidRPr="00CD7E52">
        <w:rPr>
          <w:szCs w:val="22"/>
          <w:lang w:val="lt-LT"/>
        </w:rPr>
        <w:t>parą, 75</w:t>
      </w:r>
      <w:r w:rsidR="00D840BA" w:rsidRPr="00CD7E52">
        <w:rPr>
          <w:szCs w:val="22"/>
          <w:lang w:val="lt-LT"/>
        </w:rPr>
        <w:t> </w:t>
      </w:r>
      <w:r w:rsidRPr="00CD7E52">
        <w:rPr>
          <w:szCs w:val="22"/>
          <w:lang w:val="lt-LT"/>
        </w:rPr>
        <w:t>pacientai (maždaug 72</w:t>
      </w:r>
      <w:r w:rsidR="009F17E0" w:rsidRPr="00CD7E52">
        <w:rPr>
          <w:szCs w:val="22"/>
          <w:lang w:val="lt-LT"/>
        </w:rPr>
        <w:t> %</w:t>
      </w:r>
      <w:r w:rsidRPr="00CD7E52">
        <w:rPr>
          <w:szCs w:val="22"/>
          <w:lang w:val="lt-LT"/>
        </w:rPr>
        <w:t>) šį gydymą tęsė 64</w:t>
      </w:r>
      <w:r w:rsidR="00C65C08" w:rsidRPr="00CD7E52">
        <w:rPr>
          <w:szCs w:val="22"/>
          <w:lang w:val="lt-LT"/>
        </w:rPr>
        <w:t> savai</w:t>
      </w:r>
      <w:r w:rsidRPr="00CD7E52">
        <w:rPr>
          <w:szCs w:val="22"/>
          <w:lang w:val="lt-LT"/>
        </w:rPr>
        <w:t>tę. Kiekvieno vizito metu 30</w:t>
      </w:r>
      <w:r w:rsidR="00A87582" w:rsidRPr="00CD7E52">
        <w:rPr>
          <w:szCs w:val="22"/>
          <w:lang w:val="lt-LT"/>
        </w:rPr>
        <w:t> mg</w:t>
      </w:r>
      <w:r w:rsidRPr="00CD7E52">
        <w:rPr>
          <w:szCs w:val="22"/>
          <w:lang w:val="lt-LT"/>
        </w:rPr>
        <w:t xml:space="preserve"> apremilasto</w:t>
      </w:r>
      <w:r w:rsidR="00587D7B" w:rsidRPr="00CD7E52">
        <w:rPr>
          <w:szCs w:val="22"/>
          <w:lang w:val="lt-LT"/>
        </w:rPr>
        <w:t xml:space="preserve"> </w:t>
      </w:r>
      <w:r w:rsidRPr="00CD7E52">
        <w:rPr>
          <w:szCs w:val="22"/>
          <w:lang w:val="lt-LT"/>
        </w:rPr>
        <w:t>du kartus per parą vartojančios grupės tiriamiesiems, palyginti su placebo grupės tiriamaisiais, buvo stebimas</w:t>
      </w:r>
      <w:r w:rsidR="00587D7B" w:rsidRPr="00CD7E52">
        <w:rPr>
          <w:szCs w:val="22"/>
          <w:lang w:val="lt-LT"/>
        </w:rPr>
        <w:t xml:space="preserve"> </w:t>
      </w:r>
      <w:r w:rsidRPr="00CD7E52">
        <w:rPr>
          <w:szCs w:val="22"/>
          <w:lang w:val="lt-LT"/>
        </w:rPr>
        <w:t>reikšmingas vidutinio burnos opų skaičiaus ir burnos opų skausmo sumažėjimas, pradedant jau nuo</w:t>
      </w:r>
      <w:r w:rsidR="00587D7B" w:rsidRPr="00CD7E52">
        <w:rPr>
          <w:szCs w:val="22"/>
          <w:lang w:val="lt-LT"/>
        </w:rPr>
        <w:t xml:space="preserve"> </w:t>
      </w:r>
      <w:r w:rsidRPr="00CD7E52">
        <w:rPr>
          <w:szCs w:val="22"/>
          <w:lang w:val="lt-LT"/>
        </w:rPr>
        <w:t>1</w:t>
      </w:r>
      <w:r w:rsidR="00C65C08" w:rsidRPr="00CD7E52">
        <w:rPr>
          <w:szCs w:val="22"/>
          <w:lang w:val="lt-LT"/>
        </w:rPr>
        <w:t> savai</w:t>
      </w:r>
      <w:r w:rsidRPr="00CD7E52">
        <w:rPr>
          <w:szCs w:val="22"/>
          <w:lang w:val="lt-LT"/>
        </w:rPr>
        <w:t>tės ir iki 12</w:t>
      </w:r>
      <w:r w:rsidR="00C65C08" w:rsidRPr="00CD7E52">
        <w:rPr>
          <w:szCs w:val="22"/>
          <w:lang w:val="lt-LT"/>
        </w:rPr>
        <w:t> savai</w:t>
      </w:r>
      <w:r w:rsidRPr="00CD7E52">
        <w:rPr>
          <w:szCs w:val="22"/>
          <w:lang w:val="lt-LT"/>
        </w:rPr>
        <w:t xml:space="preserve">tės, </w:t>
      </w:r>
      <w:r w:rsidR="00587D7B" w:rsidRPr="00CD7E52">
        <w:rPr>
          <w:snapToGrid/>
          <w:szCs w:val="22"/>
          <w:lang w:val="lt-LT"/>
        </w:rPr>
        <w:t>vertinant</w:t>
      </w:r>
      <w:r w:rsidRPr="00CD7E52">
        <w:rPr>
          <w:szCs w:val="22"/>
          <w:lang w:val="lt-LT"/>
        </w:rPr>
        <w:t xml:space="preserve"> burnos opų </w:t>
      </w:r>
      <w:r w:rsidRPr="00CD7E52">
        <w:rPr>
          <w:snapToGrid/>
          <w:szCs w:val="22"/>
          <w:lang w:val="lt-LT"/>
        </w:rPr>
        <w:t>skaiči</w:t>
      </w:r>
      <w:r w:rsidR="00587D7B" w:rsidRPr="00CD7E52">
        <w:rPr>
          <w:snapToGrid/>
          <w:szCs w:val="22"/>
          <w:lang w:val="lt-LT"/>
        </w:rPr>
        <w:t>aus</w:t>
      </w:r>
      <w:r w:rsidRPr="00CD7E52">
        <w:rPr>
          <w:szCs w:val="22"/>
          <w:lang w:val="lt-LT"/>
        </w:rPr>
        <w:t xml:space="preserve"> (p</w:t>
      </w:r>
      <w:r w:rsidR="00C6651C" w:rsidRPr="00CD7E52">
        <w:rPr>
          <w:szCs w:val="22"/>
          <w:lang w:val="lt-LT"/>
        </w:rPr>
        <w:t> </w:t>
      </w:r>
      <w:r w:rsidRPr="00FF4333">
        <w:rPr>
          <w:szCs w:val="22"/>
          <w:lang w:val="lt-LT"/>
        </w:rPr>
        <w:t>≤</w:t>
      </w:r>
      <w:r w:rsidR="00587D7B" w:rsidRPr="00CD7E52">
        <w:rPr>
          <w:szCs w:val="22"/>
          <w:lang w:val="lt-LT"/>
        </w:rPr>
        <w:t> </w:t>
      </w:r>
      <w:r w:rsidRPr="00CD7E52">
        <w:rPr>
          <w:szCs w:val="22"/>
          <w:lang w:val="lt-LT"/>
        </w:rPr>
        <w:t>0,0015) ir burnos opų</w:t>
      </w:r>
      <w:r w:rsidR="00587D7B" w:rsidRPr="00CD7E52">
        <w:rPr>
          <w:szCs w:val="22"/>
          <w:lang w:val="lt-LT"/>
        </w:rPr>
        <w:t xml:space="preserve"> </w:t>
      </w:r>
      <w:r w:rsidRPr="00CD7E52">
        <w:rPr>
          <w:snapToGrid/>
          <w:szCs w:val="22"/>
          <w:lang w:val="lt-LT"/>
        </w:rPr>
        <w:t>skausm</w:t>
      </w:r>
      <w:r w:rsidR="00350790" w:rsidRPr="00CD7E52">
        <w:rPr>
          <w:snapToGrid/>
          <w:szCs w:val="22"/>
          <w:lang w:val="lt-LT"/>
        </w:rPr>
        <w:t>o</w:t>
      </w:r>
      <w:r w:rsidRPr="00CD7E52">
        <w:rPr>
          <w:szCs w:val="22"/>
          <w:lang w:val="lt-LT"/>
        </w:rPr>
        <w:t xml:space="preserve"> (p</w:t>
      </w:r>
      <w:r w:rsidR="00C6651C" w:rsidRPr="00CD7E52">
        <w:rPr>
          <w:szCs w:val="22"/>
          <w:lang w:val="lt-LT"/>
        </w:rPr>
        <w:t> </w:t>
      </w:r>
      <w:r w:rsidRPr="00FF4333">
        <w:rPr>
          <w:szCs w:val="22"/>
          <w:lang w:val="lt-LT"/>
        </w:rPr>
        <w:t>≤</w:t>
      </w:r>
      <w:r w:rsidR="00587D7B" w:rsidRPr="00CD7E52">
        <w:rPr>
          <w:szCs w:val="22"/>
          <w:lang w:val="lt-LT"/>
        </w:rPr>
        <w:t> </w:t>
      </w:r>
      <w:r w:rsidRPr="00CD7E52">
        <w:rPr>
          <w:szCs w:val="22"/>
          <w:lang w:val="lt-LT"/>
        </w:rPr>
        <w:t>0,0035</w:t>
      </w:r>
      <w:r w:rsidRPr="00CD7E52">
        <w:rPr>
          <w:snapToGrid/>
          <w:szCs w:val="22"/>
          <w:lang w:val="lt-LT"/>
        </w:rPr>
        <w:t>)</w:t>
      </w:r>
      <w:r w:rsidR="00587D7B" w:rsidRPr="00CD7E52">
        <w:rPr>
          <w:snapToGrid/>
          <w:szCs w:val="22"/>
          <w:lang w:val="lt-LT"/>
        </w:rPr>
        <w:t xml:space="preserve"> skirtumą</w:t>
      </w:r>
      <w:r w:rsidRPr="00CD7E52">
        <w:rPr>
          <w:snapToGrid/>
          <w:szCs w:val="22"/>
          <w:lang w:val="lt-LT"/>
        </w:rPr>
        <w:t>.</w:t>
      </w:r>
      <w:r w:rsidRPr="00CD7E52">
        <w:rPr>
          <w:szCs w:val="22"/>
          <w:lang w:val="lt-LT"/>
        </w:rPr>
        <w:t xml:space="preserve"> Tarp pacientų, kurie buvo nuolat gydomi apremilastu ir kurie liko tyrime, burnos opų</w:t>
      </w:r>
      <w:r w:rsidR="00587D7B" w:rsidRPr="00CD7E52">
        <w:rPr>
          <w:szCs w:val="22"/>
          <w:lang w:val="lt-LT"/>
        </w:rPr>
        <w:t xml:space="preserve"> </w:t>
      </w:r>
      <w:r w:rsidRPr="00CD7E52">
        <w:rPr>
          <w:szCs w:val="22"/>
          <w:lang w:val="lt-LT"/>
        </w:rPr>
        <w:t>gijimas ir burnos opų skausmo mažėjimas išliko iki 64</w:t>
      </w:r>
      <w:r w:rsidR="00C65C08" w:rsidRPr="00CD7E52">
        <w:rPr>
          <w:szCs w:val="22"/>
          <w:lang w:val="lt-LT"/>
        </w:rPr>
        <w:t> savai</w:t>
      </w:r>
      <w:r w:rsidRPr="00CD7E52">
        <w:rPr>
          <w:szCs w:val="22"/>
          <w:lang w:val="lt-LT"/>
        </w:rPr>
        <w:t>tės (</w:t>
      </w:r>
      <w:r w:rsidR="00FB0FD4">
        <w:rPr>
          <w:szCs w:val="22"/>
          <w:lang w:val="lt-LT"/>
        </w:rPr>
        <w:t>3</w:t>
      </w:r>
      <w:r w:rsidRPr="00CD7E52">
        <w:rPr>
          <w:szCs w:val="22"/>
          <w:lang w:val="lt-LT"/>
        </w:rPr>
        <w:t xml:space="preserve"> ir </w:t>
      </w:r>
      <w:r w:rsidR="00FB0FD4">
        <w:rPr>
          <w:szCs w:val="22"/>
          <w:lang w:val="lt-LT"/>
        </w:rPr>
        <w:t>4</w:t>
      </w:r>
      <w:r w:rsidR="00587D7B" w:rsidRPr="00CD7E52">
        <w:rPr>
          <w:szCs w:val="22"/>
          <w:lang w:val="lt-LT"/>
        </w:rPr>
        <w:t> </w:t>
      </w:r>
      <w:r w:rsidRPr="00CD7E52">
        <w:rPr>
          <w:szCs w:val="22"/>
          <w:lang w:val="lt-LT"/>
        </w:rPr>
        <w:t>paveikslai).</w:t>
      </w:r>
    </w:p>
    <w:p w14:paraId="7DCB3EB7"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Tarp pacientų, kurie iš pradžių buvo atsitiktinai </w:t>
      </w:r>
      <w:r w:rsidR="00587D7B" w:rsidRPr="00CD7E52">
        <w:rPr>
          <w:snapToGrid/>
          <w:szCs w:val="22"/>
          <w:lang w:val="lt-LT"/>
        </w:rPr>
        <w:t>priskirti</w:t>
      </w:r>
      <w:r w:rsidRPr="00CD7E52">
        <w:rPr>
          <w:szCs w:val="22"/>
          <w:lang w:val="lt-LT"/>
        </w:rPr>
        <w:t xml:space="preserve"> vartoti 30</w:t>
      </w:r>
      <w:r w:rsidR="00A87582" w:rsidRPr="00CD7E52">
        <w:rPr>
          <w:szCs w:val="22"/>
          <w:lang w:val="lt-LT"/>
        </w:rPr>
        <w:t> mg</w:t>
      </w:r>
      <w:r w:rsidRPr="00CD7E52">
        <w:rPr>
          <w:szCs w:val="22"/>
          <w:lang w:val="lt-LT"/>
        </w:rPr>
        <w:t xml:space="preserve"> apremilasto du kartus per parą ir</w:t>
      </w:r>
      <w:r w:rsidR="00587D7B" w:rsidRPr="00CD7E52">
        <w:rPr>
          <w:szCs w:val="22"/>
          <w:lang w:val="lt-LT"/>
        </w:rPr>
        <w:t xml:space="preserve"> </w:t>
      </w:r>
      <w:r w:rsidRPr="00CD7E52">
        <w:rPr>
          <w:szCs w:val="22"/>
          <w:lang w:val="lt-LT"/>
        </w:rPr>
        <w:t>kurie liko tyrime, pacientų, kurie pasiekė visišką burnos opų atsaką, ir pacientų, kurie pasiekė dalinį atsaką,</w:t>
      </w:r>
      <w:r w:rsidR="00587D7B" w:rsidRPr="00CD7E52">
        <w:rPr>
          <w:szCs w:val="22"/>
          <w:lang w:val="lt-LT"/>
        </w:rPr>
        <w:t xml:space="preserve"> </w:t>
      </w:r>
      <w:r w:rsidRPr="00CD7E52">
        <w:rPr>
          <w:szCs w:val="22"/>
          <w:lang w:val="lt-LT"/>
        </w:rPr>
        <w:t>dalis išliko iki 64</w:t>
      </w:r>
      <w:r w:rsidR="00C65C08" w:rsidRPr="00CD7E52">
        <w:rPr>
          <w:szCs w:val="22"/>
          <w:lang w:val="lt-LT"/>
        </w:rPr>
        <w:t> savai</w:t>
      </w:r>
      <w:r w:rsidRPr="00CD7E52">
        <w:rPr>
          <w:szCs w:val="22"/>
          <w:lang w:val="lt-LT"/>
        </w:rPr>
        <w:t>tės (atitinkamai 53,3</w:t>
      </w:r>
      <w:r w:rsidR="009F17E0" w:rsidRPr="00CD7E52">
        <w:rPr>
          <w:szCs w:val="22"/>
          <w:lang w:val="lt-LT"/>
        </w:rPr>
        <w:t> %</w:t>
      </w:r>
      <w:r w:rsidRPr="00CD7E52">
        <w:rPr>
          <w:szCs w:val="22"/>
          <w:lang w:val="lt-LT"/>
        </w:rPr>
        <w:t xml:space="preserve"> ir 76,0</w:t>
      </w:r>
      <w:r w:rsidR="009F17E0" w:rsidRPr="00CD7E52">
        <w:rPr>
          <w:szCs w:val="22"/>
          <w:lang w:val="lt-LT"/>
        </w:rPr>
        <w:t> %</w:t>
      </w:r>
      <w:r w:rsidRPr="00CD7E52">
        <w:rPr>
          <w:szCs w:val="22"/>
          <w:lang w:val="lt-LT"/>
        </w:rPr>
        <w:t>).</w:t>
      </w:r>
    </w:p>
    <w:p w14:paraId="7931EA96" w14:textId="77777777" w:rsidR="00587D7B" w:rsidRPr="00CD7E52" w:rsidRDefault="00587D7B" w:rsidP="00BD0220">
      <w:pPr>
        <w:widowControl w:val="0"/>
        <w:tabs>
          <w:tab w:val="clear" w:pos="567"/>
        </w:tabs>
        <w:autoSpaceDE w:val="0"/>
        <w:autoSpaceDN w:val="0"/>
        <w:adjustRightInd w:val="0"/>
        <w:spacing w:line="240" w:lineRule="auto"/>
        <w:rPr>
          <w:szCs w:val="22"/>
          <w:lang w:val="lt-LT"/>
        </w:rPr>
      </w:pPr>
    </w:p>
    <w:p w14:paraId="0B01834B" w14:textId="77777777" w:rsidR="004B4124" w:rsidRPr="00CD7E52" w:rsidRDefault="00FB0FD4" w:rsidP="00DB2543">
      <w:pPr>
        <w:keepNext/>
        <w:widowControl w:val="0"/>
        <w:tabs>
          <w:tab w:val="clear" w:pos="567"/>
        </w:tabs>
        <w:autoSpaceDE w:val="0"/>
        <w:autoSpaceDN w:val="0"/>
        <w:adjustRightInd w:val="0"/>
        <w:spacing w:line="240" w:lineRule="auto"/>
        <w:ind w:left="1701" w:hanging="1701"/>
        <w:rPr>
          <w:b/>
          <w:bCs/>
          <w:szCs w:val="22"/>
          <w:lang w:val="lt-LT"/>
        </w:rPr>
      </w:pPr>
      <w:r>
        <w:rPr>
          <w:b/>
          <w:bCs/>
          <w:szCs w:val="22"/>
          <w:lang w:val="lt-LT"/>
        </w:rPr>
        <w:t>3</w:t>
      </w:r>
      <w:r w:rsidR="00E63265" w:rsidRPr="00CD7E52">
        <w:rPr>
          <w:b/>
          <w:bCs/>
          <w:szCs w:val="22"/>
          <w:lang w:val="lt-LT"/>
        </w:rPr>
        <w:t> </w:t>
      </w:r>
      <w:r w:rsidR="004B4124" w:rsidRPr="00CD7E52">
        <w:rPr>
          <w:b/>
          <w:bCs/>
          <w:szCs w:val="22"/>
          <w:lang w:val="lt-LT"/>
        </w:rPr>
        <w:t>paveikslas.</w:t>
      </w:r>
      <w:r w:rsidR="00587D7B" w:rsidRPr="00CD7E52">
        <w:rPr>
          <w:b/>
          <w:bCs/>
          <w:snapToGrid/>
          <w:szCs w:val="22"/>
          <w:lang w:val="lt-LT"/>
        </w:rPr>
        <w:tab/>
      </w:r>
      <w:r w:rsidR="004B4124" w:rsidRPr="00CD7E52">
        <w:rPr>
          <w:b/>
          <w:bCs/>
          <w:szCs w:val="22"/>
          <w:lang w:val="lt-LT"/>
        </w:rPr>
        <w:t xml:space="preserve">Vidutinis burnos opų skaičius pagal laiko </w:t>
      </w:r>
      <w:r w:rsidR="00587D7B" w:rsidRPr="00CD7E52">
        <w:rPr>
          <w:b/>
          <w:bCs/>
          <w:snapToGrid/>
          <w:szCs w:val="22"/>
          <w:lang w:val="lt-LT"/>
        </w:rPr>
        <w:t>taškus</w:t>
      </w:r>
      <w:r w:rsidR="004B4124" w:rsidRPr="00CD7E52">
        <w:rPr>
          <w:b/>
          <w:bCs/>
          <w:szCs w:val="22"/>
          <w:lang w:val="lt-LT"/>
        </w:rPr>
        <w:t xml:space="preserve"> iki 64</w:t>
      </w:r>
      <w:r w:rsidR="00C65C08" w:rsidRPr="00CD7E52">
        <w:rPr>
          <w:b/>
          <w:bCs/>
          <w:szCs w:val="22"/>
          <w:lang w:val="lt-LT"/>
        </w:rPr>
        <w:t> savai</w:t>
      </w:r>
      <w:r w:rsidR="004B4124" w:rsidRPr="00CD7E52">
        <w:rPr>
          <w:b/>
          <w:bCs/>
          <w:szCs w:val="22"/>
          <w:lang w:val="lt-LT"/>
        </w:rPr>
        <w:t>tės (ITT populiacija;</w:t>
      </w:r>
      <w:r w:rsidR="00587D7B" w:rsidRPr="00CD7E52">
        <w:rPr>
          <w:b/>
          <w:bCs/>
          <w:szCs w:val="22"/>
          <w:lang w:val="lt-LT"/>
        </w:rPr>
        <w:t xml:space="preserve"> </w:t>
      </w:r>
      <w:r w:rsidR="004B4124" w:rsidRPr="00CD7E52">
        <w:rPr>
          <w:b/>
          <w:bCs/>
          <w:szCs w:val="22"/>
          <w:lang w:val="lt-LT"/>
        </w:rPr>
        <w:t>DAO)</w:t>
      </w:r>
    </w:p>
    <w:p w14:paraId="54167F07" w14:textId="77777777" w:rsidR="00587D7B" w:rsidRPr="00CD7E52" w:rsidRDefault="00587D7B" w:rsidP="00DB2543">
      <w:pPr>
        <w:keepNext/>
        <w:widowControl w:val="0"/>
        <w:tabs>
          <w:tab w:val="clear" w:pos="567"/>
        </w:tabs>
        <w:autoSpaceDE w:val="0"/>
        <w:autoSpaceDN w:val="0"/>
        <w:adjustRightInd w:val="0"/>
        <w:spacing w:line="240" w:lineRule="auto"/>
        <w:rPr>
          <w:szCs w:val="22"/>
          <w:lang w:val="lt-LT"/>
        </w:rPr>
      </w:pPr>
    </w:p>
    <w:p w14:paraId="7E1424E1" w14:textId="1091F7D0" w:rsidR="004B4124" w:rsidRPr="00CD7E52" w:rsidRDefault="00842965" w:rsidP="00DB2543">
      <w:pPr>
        <w:keepNext/>
        <w:widowControl w:val="0"/>
        <w:tabs>
          <w:tab w:val="clear" w:pos="567"/>
        </w:tabs>
        <w:autoSpaceDE w:val="0"/>
        <w:autoSpaceDN w:val="0"/>
        <w:adjustRightInd w:val="0"/>
        <w:spacing w:line="240" w:lineRule="auto"/>
        <w:rPr>
          <w:snapToGrid/>
          <w:szCs w:val="22"/>
          <w:lang w:val="lt-LT" w:eastAsia="lt-LT"/>
        </w:rPr>
      </w:pPr>
      <w:r w:rsidRPr="00425717">
        <w:rPr>
          <w:noProof/>
          <w:snapToGrid/>
          <w:szCs w:val="22"/>
          <w:lang w:val="lt-LT"/>
        </w:rPr>
        <w:drawing>
          <wp:inline distT="0" distB="0" distL="0" distR="0" wp14:anchorId="6FB275AE" wp14:editId="684A970F">
            <wp:extent cx="5760720" cy="2628900"/>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628900"/>
                    </a:xfrm>
                    <a:prstGeom prst="rect">
                      <a:avLst/>
                    </a:prstGeom>
                    <a:noFill/>
                    <a:ln>
                      <a:noFill/>
                    </a:ln>
                  </pic:spPr>
                </pic:pic>
              </a:graphicData>
            </a:graphic>
          </wp:inline>
        </w:drawing>
      </w:r>
      <w:r w:rsidR="00587D7B" w:rsidRPr="00CD7E52">
        <w:rPr>
          <w:szCs w:val="22"/>
          <w:lang w:val="lt-LT"/>
        </w:rPr>
        <w:t>ITT</w:t>
      </w:r>
      <w:r w:rsidR="00D96242" w:rsidRPr="00CD7E52">
        <w:rPr>
          <w:szCs w:val="22"/>
          <w:lang w:val="lt-LT"/>
        </w:rPr>
        <w:t> </w:t>
      </w:r>
      <w:r w:rsidR="00587D7B" w:rsidRPr="00CD7E52">
        <w:rPr>
          <w:szCs w:val="22"/>
        </w:rPr>
        <w:t>=</w:t>
      </w:r>
      <w:r w:rsidR="00D96242" w:rsidRPr="00CD7E52">
        <w:rPr>
          <w:szCs w:val="22"/>
        </w:rPr>
        <w:t> </w:t>
      </w:r>
      <w:proofErr w:type="spellStart"/>
      <w:r w:rsidR="00587D7B" w:rsidRPr="00CD7E52">
        <w:rPr>
          <w:szCs w:val="22"/>
        </w:rPr>
        <w:t>numatyta</w:t>
      </w:r>
      <w:proofErr w:type="spellEnd"/>
      <w:r w:rsidR="00587D7B" w:rsidRPr="00CD7E52">
        <w:rPr>
          <w:szCs w:val="22"/>
        </w:rPr>
        <w:t xml:space="preserve"> </w:t>
      </w:r>
      <w:proofErr w:type="spellStart"/>
      <w:r w:rsidR="00587D7B" w:rsidRPr="00CD7E52">
        <w:rPr>
          <w:szCs w:val="22"/>
        </w:rPr>
        <w:t>gydyti</w:t>
      </w:r>
      <w:proofErr w:type="spellEnd"/>
      <w:r w:rsidR="00587D7B" w:rsidRPr="00CD7E52">
        <w:rPr>
          <w:szCs w:val="22"/>
        </w:rPr>
        <w:t xml:space="preserve"> (</w:t>
      </w:r>
      <w:proofErr w:type="spellStart"/>
      <w:r w:rsidR="00587D7B" w:rsidRPr="00CD7E52">
        <w:rPr>
          <w:szCs w:val="22"/>
        </w:rPr>
        <w:t>angl.</w:t>
      </w:r>
      <w:proofErr w:type="spellEnd"/>
      <w:r w:rsidR="00587D7B" w:rsidRPr="00CD7E52">
        <w:rPr>
          <w:szCs w:val="22"/>
        </w:rPr>
        <w:t xml:space="preserve"> </w:t>
      </w:r>
      <w:r w:rsidR="00587D7B" w:rsidRPr="00CD7E52">
        <w:rPr>
          <w:i/>
          <w:iCs/>
          <w:szCs w:val="22"/>
        </w:rPr>
        <w:t>Intent To Treat</w:t>
      </w:r>
      <w:r w:rsidR="00587D7B" w:rsidRPr="00CD7E52">
        <w:rPr>
          <w:szCs w:val="22"/>
        </w:rPr>
        <w:t>)</w:t>
      </w:r>
      <w:r w:rsidR="004B4124" w:rsidRPr="00CD7E52">
        <w:rPr>
          <w:szCs w:val="22"/>
        </w:rPr>
        <w:t xml:space="preserve">; </w:t>
      </w:r>
      <w:r w:rsidR="004B4124" w:rsidRPr="00CD7E52">
        <w:rPr>
          <w:szCs w:val="22"/>
          <w:lang w:val="lt-LT"/>
        </w:rPr>
        <w:t>DAO</w:t>
      </w:r>
      <w:r w:rsidR="002E3885" w:rsidRPr="00CD7E52">
        <w:rPr>
          <w:szCs w:val="22"/>
          <w:lang w:val="lt-LT"/>
        </w:rPr>
        <w:t> </w:t>
      </w:r>
      <w:r w:rsidR="00B97414" w:rsidRPr="00CD7E52">
        <w:rPr>
          <w:szCs w:val="22"/>
        </w:rPr>
        <w:t>=</w:t>
      </w:r>
      <w:r w:rsidR="002E3885" w:rsidRPr="00CD7E52">
        <w:rPr>
          <w:szCs w:val="22"/>
        </w:rPr>
        <w:t> </w:t>
      </w:r>
      <w:proofErr w:type="spellStart"/>
      <w:r w:rsidR="004B4124" w:rsidRPr="00CD7E52">
        <w:rPr>
          <w:szCs w:val="22"/>
        </w:rPr>
        <w:t>stebimi</w:t>
      </w:r>
      <w:proofErr w:type="spellEnd"/>
      <w:r w:rsidR="004B4124" w:rsidRPr="00CD7E52">
        <w:rPr>
          <w:snapToGrid/>
          <w:szCs w:val="22"/>
          <w:lang w:val="lt-LT" w:eastAsia="lt-LT"/>
        </w:rPr>
        <w:t xml:space="preserve"> </w:t>
      </w:r>
      <w:r w:rsidR="004B4124" w:rsidRPr="00CD7E52">
        <w:rPr>
          <w:szCs w:val="22"/>
          <w:lang w:val="lt-LT"/>
        </w:rPr>
        <w:t>duomenys</w:t>
      </w:r>
      <w:r w:rsidR="004B4124" w:rsidRPr="00CD7E52">
        <w:rPr>
          <w:szCs w:val="22"/>
        </w:rPr>
        <w:t xml:space="preserve"> </w:t>
      </w:r>
      <w:r w:rsidR="004B4124" w:rsidRPr="00CD7E52">
        <w:rPr>
          <w:szCs w:val="22"/>
          <w:lang w:val="lt-LT"/>
        </w:rPr>
        <w:t>(angl.</w:t>
      </w:r>
      <w:r w:rsidR="004B4124" w:rsidRPr="00CD7E52">
        <w:rPr>
          <w:szCs w:val="22"/>
        </w:rPr>
        <w:t xml:space="preserve"> </w:t>
      </w:r>
      <w:r w:rsidR="004B4124" w:rsidRPr="00CD7E52">
        <w:rPr>
          <w:i/>
          <w:szCs w:val="22"/>
          <w:lang w:val="lt-LT"/>
        </w:rPr>
        <w:t>Data</w:t>
      </w:r>
      <w:r w:rsidR="004B4124" w:rsidRPr="00716E07">
        <w:rPr>
          <w:i/>
          <w:lang w:val="pt-PT"/>
        </w:rPr>
        <w:t xml:space="preserve"> </w:t>
      </w:r>
      <w:r w:rsidR="004B4124" w:rsidRPr="00CD7E52">
        <w:rPr>
          <w:i/>
          <w:szCs w:val="22"/>
          <w:lang w:val="lt-LT"/>
        </w:rPr>
        <w:t>As</w:t>
      </w:r>
      <w:r w:rsidR="004B4124" w:rsidRPr="00716E07">
        <w:rPr>
          <w:i/>
          <w:lang w:val="pt-PT"/>
        </w:rPr>
        <w:t xml:space="preserve"> </w:t>
      </w:r>
      <w:r w:rsidR="004B4124" w:rsidRPr="00CD7E52">
        <w:rPr>
          <w:i/>
          <w:szCs w:val="22"/>
          <w:lang w:val="lt-LT"/>
        </w:rPr>
        <w:t>Observed</w:t>
      </w:r>
      <w:r w:rsidR="004B4124" w:rsidRPr="00716E07">
        <w:rPr>
          <w:lang w:val="pt-PT"/>
        </w:rPr>
        <w:t>).</w:t>
      </w:r>
    </w:p>
    <w:p w14:paraId="65D7B6CF"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APR 30 BID</w:t>
      </w:r>
      <w:r w:rsidR="00D96242" w:rsidRPr="00CD7E52">
        <w:rPr>
          <w:szCs w:val="22"/>
          <w:lang w:val="lt-LT"/>
        </w:rPr>
        <w:t> </w:t>
      </w:r>
      <w:r w:rsidR="00B97414" w:rsidRPr="00CD7E52">
        <w:rPr>
          <w:snapToGrid/>
          <w:szCs w:val="22"/>
          <w:lang w:val="lt-LT"/>
        </w:rPr>
        <w:t>=</w:t>
      </w:r>
      <w:r w:rsidR="00D96242" w:rsidRPr="00CD7E52">
        <w:rPr>
          <w:snapToGrid/>
          <w:szCs w:val="22"/>
          <w:lang w:val="lt-LT"/>
        </w:rPr>
        <w:t> </w:t>
      </w:r>
      <w:r w:rsidRPr="00CD7E52">
        <w:rPr>
          <w:szCs w:val="22"/>
          <w:lang w:val="lt-LT"/>
        </w:rPr>
        <w:t>30</w:t>
      </w:r>
      <w:r w:rsidR="00A87582" w:rsidRPr="00CD7E52">
        <w:rPr>
          <w:szCs w:val="22"/>
          <w:lang w:val="lt-LT"/>
        </w:rPr>
        <w:t> mg</w:t>
      </w:r>
      <w:r w:rsidRPr="00CD7E52">
        <w:rPr>
          <w:szCs w:val="22"/>
          <w:lang w:val="lt-LT"/>
        </w:rPr>
        <w:t xml:space="preserve"> apremilasto du kartus per parą.</w:t>
      </w:r>
    </w:p>
    <w:p w14:paraId="1F8D12C5"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Pastaba: placebas arba APR 30</w:t>
      </w:r>
      <w:r w:rsidR="00A87582" w:rsidRPr="00CD7E52">
        <w:rPr>
          <w:szCs w:val="22"/>
          <w:lang w:val="lt-LT"/>
        </w:rPr>
        <w:t> mg</w:t>
      </w:r>
      <w:r w:rsidRPr="00CD7E52">
        <w:rPr>
          <w:szCs w:val="22"/>
          <w:lang w:val="lt-LT"/>
        </w:rPr>
        <w:t xml:space="preserve"> BID nurodo gydymo grupę,</w:t>
      </w:r>
      <w:r w:rsidR="009B2A1B" w:rsidRPr="00CD7E52">
        <w:rPr>
          <w:szCs w:val="22"/>
          <w:lang w:val="lt-LT"/>
        </w:rPr>
        <w:t xml:space="preserve"> </w:t>
      </w:r>
      <w:r w:rsidR="009B2A1B" w:rsidRPr="00CD7E52">
        <w:rPr>
          <w:snapToGrid/>
          <w:szCs w:val="22"/>
          <w:lang w:val="lt-LT"/>
        </w:rPr>
        <w:t>kuriai</w:t>
      </w:r>
      <w:r w:rsidRPr="00CD7E52">
        <w:rPr>
          <w:szCs w:val="22"/>
          <w:lang w:val="lt-LT"/>
        </w:rPr>
        <w:t xml:space="preserve"> buvo atsitiktinai </w:t>
      </w:r>
      <w:r w:rsidR="009B2A1B" w:rsidRPr="00CD7E52">
        <w:rPr>
          <w:snapToGrid/>
          <w:szCs w:val="22"/>
          <w:lang w:val="lt-LT"/>
        </w:rPr>
        <w:t>priskirti</w:t>
      </w:r>
      <w:r w:rsidRPr="00CD7E52">
        <w:rPr>
          <w:szCs w:val="22"/>
          <w:lang w:val="lt-LT"/>
        </w:rPr>
        <w:t xml:space="preserve"> pacientai. Placebo grupės pacientai perėjo į</w:t>
      </w:r>
      <w:r w:rsidR="009B2A1B" w:rsidRPr="00CD7E52">
        <w:rPr>
          <w:szCs w:val="22"/>
          <w:lang w:val="lt-LT"/>
        </w:rPr>
        <w:t xml:space="preserve"> </w:t>
      </w:r>
      <w:r w:rsidRPr="00CD7E52">
        <w:rPr>
          <w:szCs w:val="22"/>
          <w:lang w:val="lt-LT"/>
        </w:rPr>
        <w:t>APR 30 BID grupę 12</w:t>
      </w:r>
      <w:r w:rsidR="009B2A1B" w:rsidRPr="00CD7E52">
        <w:rPr>
          <w:snapToGrid/>
          <w:szCs w:val="22"/>
          <w:lang w:val="lt-LT"/>
        </w:rPr>
        <w:t> </w:t>
      </w:r>
      <w:r w:rsidR="00C65C08" w:rsidRPr="00CD7E52">
        <w:rPr>
          <w:szCs w:val="22"/>
          <w:lang w:val="lt-LT"/>
        </w:rPr>
        <w:t>savai</w:t>
      </w:r>
      <w:r w:rsidRPr="00CD7E52">
        <w:rPr>
          <w:szCs w:val="22"/>
          <w:lang w:val="lt-LT"/>
        </w:rPr>
        <w:t>tę.</w:t>
      </w:r>
    </w:p>
    <w:p w14:paraId="0215D4CE"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Tolesnio stebėjimo laiko </w:t>
      </w:r>
      <w:r w:rsidR="009B2A1B" w:rsidRPr="00CD7E52">
        <w:rPr>
          <w:snapToGrid/>
          <w:szCs w:val="22"/>
          <w:lang w:val="lt-LT"/>
        </w:rPr>
        <w:t>taškas</w:t>
      </w:r>
      <w:r w:rsidRPr="00CD7E52">
        <w:rPr>
          <w:szCs w:val="22"/>
          <w:lang w:val="lt-LT"/>
        </w:rPr>
        <w:t xml:space="preserve"> buvo 4</w:t>
      </w:r>
      <w:r w:rsidR="00C65C08" w:rsidRPr="00CD7E52">
        <w:rPr>
          <w:szCs w:val="22"/>
          <w:lang w:val="lt-LT"/>
        </w:rPr>
        <w:t> savai</w:t>
      </w:r>
      <w:r w:rsidRPr="00CD7E52">
        <w:rPr>
          <w:szCs w:val="22"/>
          <w:lang w:val="lt-LT"/>
        </w:rPr>
        <w:t>tės po to, kai pacientai užbaigė tyrimą 64</w:t>
      </w:r>
      <w:r w:rsidR="00C65C08" w:rsidRPr="00CD7E52">
        <w:rPr>
          <w:szCs w:val="22"/>
          <w:lang w:val="lt-LT"/>
        </w:rPr>
        <w:t> savai</w:t>
      </w:r>
      <w:r w:rsidRPr="00CD7E52">
        <w:rPr>
          <w:szCs w:val="22"/>
          <w:lang w:val="lt-LT"/>
        </w:rPr>
        <w:t>tę arba 4</w:t>
      </w:r>
      <w:r w:rsidR="00C65C08" w:rsidRPr="00CD7E52">
        <w:rPr>
          <w:szCs w:val="22"/>
          <w:lang w:val="lt-LT"/>
        </w:rPr>
        <w:t> savai</w:t>
      </w:r>
      <w:r w:rsidRPr="00CD7E52">
        <w:rPr>
          <w:szCs w:val="22"/>
          <w:lang w:val="lt-LT"/>
        </w:rPr>
        <w:t>tės po to, kai pacientai nutraukė</w:t>
      </w:r>
      <w:r w:rsidR="009B2A1B" w:rsidRPr="00CD7E52">
        <w:rPr>
          <w:szCs w:val="22"/>
          <w:lang w:val="lt-LT"/>
        </w:rPr>
        <w:t xml:space="preserve"> </w:t>
      </w:r>
      <w:r w:rsidRPr="00CD7E52">
        <w:rPr>
          <w:szCs w:val="22"/>
          <w:lang w:val="lt-LT"/>
        </w:rPr>
        <w:t>gydymą prieš 64</w:t>
      </w:r>
      <w:r w:rsidR="00C65C08" w:rsidRPr="00CD7E52">
        <w:rPr>
          <w:szCs w:val="22"/>
          <w:lang w:val="lt-LT"/>
        </w:rPr>
        <w:t> savai</w:t>
      </w:r>
      <w:r w:rsidRPr="00CD7E52">
        <w:rPr>
          <w:szCs w:val="22"/>
          <w:lang w:val="lt-LT"/>
        </w:rPr>
        <w:t>tę.</w:t>
      </w:r>
    </w:p>
    <w:p w14:paraId="1A919005" w14:textId="77777777" w:rsidR="009B2A1B" w:rsidRPr="00CD7E52" w:rsidRDefault="009B2A1B" w:rsidP="00BD0220">
      <w:pPr>
        <w:widowControl w:val="0"/>
        <w:tabs>
          <w:tab w:val="clear" w:pos="567"/>
        </w:tabs>
        <w:autoSpaceDE w:val="0"/>
        <w:autoSpaceDN w:val="0"/>
        <w:adjustRightInd w:val="0"/>
        <w:spacing w:line="240" w:lineRule="auto"/>
        <w:rPr>
          <w:szCs w:val="22"/>
          <w:lang w:val="lt-LT"/>
        </w:rPr>
      </w:pPr>
    </w:p>
    <w:p w14:paraId="5D4ED799" w14:textId="77777777" w:rsidR="004B4124" w:rsidRPr="00CD7E52" w:rsidRDefault="00FB0FD4" w:rsidP="00DB2543">
      <w:pPr>
        <w:keepNext/>
        <w:keepLines/>
        <w:widowControl w:val="0"/>
        <w:tabs>
          <w:tab w:val="clear" w:pos="567"/>
        </w:tabs>
        <w:autoSpaceDE w:val="0"/>
        <w:autoSpaceDN w:val="0"/>
        <w:adjustRightInd w:val="0"/>
        <w:spacing w:line="240" w:lineRule="auto"/>
        <w:ind w:left="1701" w:hanging="1701"/>
        <w:rPr>
          <w:b/>
          <w:bCs/>
          <w:szCs w:val="22"/>
          <w:lang w:val="lt-LT"/>
        </w:rPr>
      </w:pPr>
      <w:r>
        <w:rPr>
          <w:b/>
          <w:bCs/>
          <w:szCs w:val="22"/>
          <w:lang w:val="lt-LT"/>
        </w:rPr>
        <w:lastRenderedPageBreak/>
        <w:t>4</w:t>
      </w:r>
      <w:r w:rsidR="009B2A1B" w:rsidRPr="00CD7E52">
        <w:rPr>
          <w:b/>
          <w:bCs/>
          <w:szCs w:val="22"/>
          <w:lang w:val="lt-LT"/>
        </w:rPr>
        <w:t> </w:t>
      </w:r>
      <w:r w:rsidR="004B4124" w:rsidRPr="00CD7E52">
        <w:rPr>
          <w:b/>
          <w:bCs/>
          <w:szCs w:val="22"/>
          <w:lang w:val="lt-LT"/>
        </w:rPr>
        <w:t>paveikslas.</w:t>
      </w:r>
      <w:r w:rsidR="009B2A1B" w:rsidRPr="00CD7E52">
        <w:rPr>
          <w:b/>
          <w:bCs/>
          <w:snapToGrid/>
          <w:szCs w:val="22"/>
          <w:lang w:val="lt-LT"/>
        </w:rPr>
        <w:tab/>
      </w:r>
      <w:r w:rsidR="004B4124" w:rsidRPr="00CD7E52">
        <w:rPr>
          <w:b/>
          <w:bCs/>
          <w:szCs w:val="22"/>
          <w:lang w:val="lt-LT"/>
        </w:rPr>
        <w:t>Vidutinis burnos opų skausmo pokytis nuo pradinio įvertinimo vizualinėje analoginėje</w:t>
      </w:r>
      <w:r w:rsidR="009B2A1B" w:rsidRPr="00CD7E52">
        <w:rPr>
          <w:b/>
          <w:bCs/>
          <w:szCs w:val="22"/>
          <w:lang w:val="lt-LT"/>
        </w:rPr>
        <w:t xml:space="preserve"> </w:t>
      </w:r>
      <w:r w:rsidR="004B4124" w:rsidRPr="00CD7E52">
        <w:rPr>
          <w:b/>
          <w:bCs/>
          <w:szCs w:val="22"/>
          <w:lang w:val="lt-LT"/>
        </w:rPr>
        <w:t xml:space="preserve">skalėje pagal laiko </w:t>
      </w:r>
      <w:r w:rsidR="009B2A1B" w:rsidRPr="00CD7E52">
        <w:rPr>
          <w:b/>
          <w:bCs/>
          <w:snapToGrid/>
          <w:szCs w:val="22"/>
          <w:lang w:val="lt-LT"/>
        </w:rPr>
        <w:t>taškus</w:t>
      </w:r>
      <w:r w:rsidR="004B4124" w:rsidRPr="00CD7E52">
        <w:rPr>
          <w:b/>
          <w:bCs/>
          <w:szCs w:val="22"/>
          <w:lang w:val="lt-LT"/>
        </w:rPr>
        <w:t xml:space="preserve"> iki 64</w:t>
      </w:r>
      <w:r w:rsidR="00C65C08" w:rsidRPr="00CD7E52">
        <w:rPr>
          <w:b/>
          <w:bCs/>
          <w:szCs w:val="22"/>
          <w:lang w:val="lt-LT"/>
        </w:rPr>
        <w:t> savai</w:t>
      </w:r>
      <w:r w:rsidR="004B4124" w:rsidRPr="00CD7E52">
        <w:rPr>
          <w:b/>
          <w:bCs/>
          <w:szCs w:val="22"/>
          <w:lang w:val="lt-LT"/>
        </w:rPr>
        <w:t>tės (ITT populiacija; DAO)</w:t>
      </w:r>
    </w:p>
    <w:p w14:paraId="34B1F9E0" w14:textId="77777777" w:rsidR="00D96242" w:rsidRPr="00CD7E52" w:rsidRDefault="00D96242" w:rsidP="00DB2543">
      <w:pPr>
        <w:keepNext/>
        <w:keepLines/>
        <w:widowControl w:val="0"/>
        <w:tabs>
          <w:tab w:val="clear" w:pos="567"/>
        </w:tabs>
        <w:autoSpaceDE w:val="0"/>
        <w:autoSpaceDN w:val="0"/>
        <w:adjustRightInd w:val="0"/>
        <w:spacing w:line="240" w:lineRule="auto"/>
        <w:ind w:left="1701" w:hanging="1701"/>
        <w:rPr>
          <w:b/>
          <w:bCs/>
          <w:szCs w:val="22"/>
          <w:lang w:val="lt-LT"/>
        </w:rPr>
      </w:pPr>
    </w:p>
    <w:p w14:paraId="2ACBD26E" w14:textId="3C927666" w:rsidR="004B4124" w:rsidRPr="00CD7E52" w:rsidRDefault="00842965" w:rsidP="00DB2543">
      <w:pPr>
        <w:keepNext/>
        <w:keepLines/>
        <w:widowControl w:val="0"/>
        <w:tabs>
          <w:tab w:val="clear" w:pos="567"/>
        </w:tabs>
        <w:autoSpaceDE w:val="0"/>
        <w:autoSpaceDN w:val="0"/>
        <w:adjustRightInd w:val="0"/>
        <w:spacing w:line="240" w:lineRule="auto"/>
        <w:rPr>
          <w:szCs w:val="22"/>
          <w:lang w:val="lt-LT"/>
        </w:rPr>
      </w:pPr>
      <w:r w:rsidRPr="00425717">
        <w:rPr>
          <w:noProof/>
          <w:snapToGrid/>
          <w:szCs w:val="22"/>
          <w:lang w:val="lt-LT"/>
        </w:rPr>
        <w:drawing>
          <wp:inline distT="0" distB="0" distL="0" distR="0" wp14:anchorId="2C597518" wp14:editId="2CBF28F1">
            <wp:extent cx="5760720" cy="2781300"/>
            <wp:effectExtent l="0" t="0" r="0"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781300"/>
                    </a:xfrm>
                    <a:prstGeom prst="rect">
                      <a:avLst/>
                    </a:prstGeom>
                    <a:noFill/>
                    <a:ln>
                      <a:noFill/>
                    </a:ln>
                  </pic:spPr>
                </pic:pic>
              </a:graphicData>
            </a:graphic>
          </wp:inline>
        </w:drawing>
      </w:r>
      <w:r w:rsidR="004B4124" w:rsidRPr="00CD7E52">
        <w:rPr>
          <w:szCs w:val="22"/>
          <w:lang w:val="lt-LT"/>
        </w:rPr>
        <w:t>APR 30 BID</w:t>
      </w:r>
      <w:r w:rsidR="000C4FD7" w:rsidRPr="00CD7E52">
        <w:rPr>
          <w:szCs w:val="22"/>
          <w:lang w:val="lt-LT"/>
        </w:rPr>
        <w:t> </w:t>
      </w:r>
      <w:r w:rsidR="00B97414" w:rsidRPr="00CD7E52">
        <w:rPr>
          <w:snapToGrid/>
          <w:szCs w:val="22"/>
          <w:lang w:val="lt-LT"/>
        </w:rPr>
        <w:t>=</w:t>
      </w:r>
      <w:r w:rsidR="000C4FD7" w:rsidRPr="00CD7E52">
        <w:rPr>
          <w:snapToGrid/>
          <w:szCs w:val="22"/>
          <w:lang w:val="lt-LT"/>
        </w:rPr>
        <w:t> </w:t>
      </w:r>
      <w:proofErr w:type="spellStart"/>
      <w:r w:rsidR="004B4124" w:rsidRPr="00CD7E52">
        <w:rPr>
          <w:szCs w:val="22"/>
          <w:lang w:val="lt-LT"/>
        </w:rPr>
        <w:t>apremilastas</w:t>
      </w:r>
      <w:proofErr w:type="spellEnd"/>
      <w:r w:rsidR="004B4124" w:rsidRPr="00CD7E52">
        <w:rPr>
          <w:szCs w:val="22"/>
          <w:lang w:val="lt-LT"/>
        </w:rPr>
        <w:t xml:space="preserve"> du kartus per parą; </w:t>
      </w:r>
      <w:r w:rsidR="00B75A65" w:rsidRPr="00CD7E52">
        <w:rPr>
          <w:szCs w:val="22"/>
          <w:lang w:val="lt-LT"/>
        </w:rPr>
        <w:t>ITT</w:t>
      </w:r>
      <w:r w:rsidR="000C4FD7" w:rsidRPr="00CD7E52">
        <w:rPr>
          <w:szCs w:val="22"/>
          <w:lang w:val="lt-LT"/>
        </w:rPr>
        <w:t> </w:t>
      </w:r>
      <w:r w:rsidR="00B75A65" w:rsidRPr="00CD7E52">
        <w:rPr>
          <w:snapToGrid/>
          <w:szCs w:val="22"/>
          <w:lang w:val="lt-LT"/>
        </w:rPr>
        <w:t>=</w:t>
      </w:r>
      <w:r w:rsidR="000C4FD7" w:rsidRPr="00CD7E52">
        <w:rPr>
          <w:snapToGrid/>
          <w:szCs w:val="22"/>
          <w:lang w:val="lt-LT"/>
        </w:rPr>
        <w:t> </w:t>
      </w:r>
      <w:r w:rsidR="009B2A1B" w:rsidRPr="00CD7E52">
        <w:rPr>
          <w:snapToGrid/>
          <w:szCs w:val="22"/>
          <w:lang w:val="lt-LT"/>
        </w:rPr>
        <w:t xml:space="preserve">numatyta gydyti (angl. </w:t>
      </w:r>
      <w:r w:rsidR="009B2A1B" w:rsidRPr="00CD7E52">
        <w:rPr>
          <w:i/>
          <w:iCs/>
          <w:snapToGrid/>
          <w:szCs w:val="22"/>
          <w:lang w:val="lt-LT"/>
        </w:rPr>
        <w:t>Intent To Treat</w:t>
      </w:r>
      <w:r w:rsidR="009B2A1B" w:rsidRPr="00CD7E52">
        <w:rPr>
          <w:snapToGrid/>
          <w:szCs w:val="22"/>
          <w:lang w:val="lt-LT"/>
        </w:rPr>
        <w:t>)</w:t>
      </w:r>
      <w:r w:rsidR="004B4124" w:rsidRPr="00CD7E52">
        <w:rPr>
          <w:snapToGrid/>
          <w:szCs w:val="22"/>
          <w:lang w:val="lt-LT"/>
        </w:rPr>
        <w:t>;</w:t>
      </w:r>
      <w:r w:rsidR="004B4124" w:rsidRPr="00CD7E52">
        <w:rPr>
          <w:szCs w:val="22"/>
          <w:lang w:val="lt-LT"/>
        </w:rPr>
        <w:t xml:space="preserve"> </w:t>
      </w:r>
      <w:r w:rsidR="009B2A1B" w:rsidRPr="00CD7E52">
        <w:rPr>
          <w:szCs w:val="22"/>
          <w:lang w:val="lt-LT"/>
        </w:rPr>
        <w:t>DAO</w:t>
      </w:r>
      <w:r w:rsidR="000C4FD7" w:rsidRPr="00CD7E52">
        <w:rPr>
          <w:szCs w:val="22"/>
          <w:lang w:val="lt-LT"/>
        </w:rPr>
        <w:t> </w:t>
      </w:r>
      <w:r w:rsidR="009B2A1B" w:rsidRPr="00CD7E52">
        <w:rPr>
          <w:snapToGrid/>
          <w:szCs w:val="22"/>
          <w:lang w:val="lt-LT"/>
        </w:rPr>
        <w:t>=</w:t>
      </w:r>
      <w:r w:rsidR="000C4FD7" w:rsidRPr="00CD7E52">
        <w:rPr>
          <w:snapToGrid/>
          <w:szCs w:val="22"/>
          <w:lang w:val="lt-LT"/>
        </w:rPr>
        <w:t> </w:t>
      </w:r>
      <w:r w:rsidR="009B2A1B" w:rsidRPr="00CD7E52">
        <w:rPr>
          <w:szCs w:val="22"/>
          <w:lang w:val="lt-LT"/>
        </w:rPr>
        <w:t>stebimi duomenys</w:t>
      </w:r>
      <w:r w:rsidR="009B2A1B" w:rsidRPr="00CD7E52">
        <w:rPr>
          <w:snapToGrid/>
          <w:szCs w:val="22"/>
          <w:lang w:val="lt-LT"/>
        </w:rPr>
        <w:t xml:space="preserve"> (angl. </w:t>
      </w:r>
      <w:r w:rsidR="009B2A1B" w:rsidRPr="00CD7E52">
        <w:rPr>
          <w:i/>
          <w:iCs/>
          <w:snapToGrid/>
          <w:szCs w:val="22"/>
          <w:lang w:val="lt-LT"/>
        </w:rPr>
        <w:t>Data As Observed</w:t>
      </w:r>
      <w:r w:rsidR="009B2A1B" w:rsidRPr="00CD7E52">
        <w:rPr>
          <w:snapToGrid/>
          <w:szCs w:val="22"/>
          <w:lang w:val="lt-LT"/>
        </w:rPr>
        <w:t>)</w:t>
      </w:r>
      <w:r w:rsidR="004B4124" w:rsidRPr="00CD7E52">
        <w:rPr>
          <w:snapToGrid/>
          <w:szCs w:val="22"/>
          <w:lang w:val="lt-LT"/>
        </w:rPr>
        <w:t>.</w:t>
      </w:r>
    </w:p>
    <w:p w14:paraId="68548772" w14:textId="77777777" w:rsidR="009B2A1B" w:rsidRPr="00CD7E52" w:rsidRDefault="009B2A1B" w:rsidP="00BD0220">
      <w:pPr>
        <w:widowControl w:val="0"/>
        <w:tabs>
          <w:tab w:val="clear" w:pos="567"/>
        </w:tabs>
        <w:autoSpaceDE w:val="0"/>
        <w:autoSpaceDN w:val="0"/>
        <w:adjustRightInd w:val="0"/>
        <w:spacing w:line="240" w:lineRule="auto"/>
        <w:rPr>
          <w:szCs w:val="22"/>
          <w:lang w:val="lt-LT"/>
        </w:rPr>
      </w:pPr>
      <w:r w:rsidRPr="00CD7E52">
        <w:rPr>
          <w:szCs w:val="22"/>
          <w:lang w:val="lt-LT"/>
        </w:rPr>
        <w:t>Pastaba: placebas arba APR 30</w:t>
      </w:r>
      <w:r w:rsidR="00A87582" w:rsidRPr="00CD7E52">
        <w:rPr>
          <w:szCs w:val="22"/>
          <w:lang w:val="lt-LT"/>
        </w:rPr>
        <w:t> mg</w:t>
      </w:r>
      <w:r w:rsidRPr="00CD7E52">
        <w:rPr>
          <w:szCs w:val="22"/>
          <w:lang w:val="lt-LT"/>
        </w:rPr>
        <w:t xml:space="preserve"> BID nurodo gydymo grupę, </w:t>
      </w:r>
      <w:r w:rsidRPr="00CD7E52">
        <w:rPr>
          <w:snapToGrid/>
          <w:szCs w:val="22"/>
          <w:lang w:val="lt-LT"/>
        </w:rPr>
        <w:t>kuriai</w:t>
      </w:r>
      <w:r w:rsidRPr="00CD7E52">
        <w:rPr>
          <w:szCs w:val="22"/>
          <w:lang w:val="lt-LT"/>
        </w:rPr>
        <w:t xml:space="preserve"> buvo atsitiktinai </w:t>
      </w:r>
      <w:r w:rsidRPr="00CD7E52">
        <w:rPr>
          <w:snapToGrid/>
          <w:szCs w:val="22"/>
          <w:lang w:val="lt-LT"/>
        </w:rPr>
        <w:t>priskirti</w:t>
      </w:r>
      <w:r w:rsidRPr="00CD7E52">
        <w:rPr>
          <w:szCs w:val="22"/>
          <w:lang w:val="lt-LT"/>
        </w:rPr>
        <w:t xml:space="preserve"> pacientai. Placebo grupės pacientai perėjo į APR 30</w:t>
      </w:r>
      <w:r w:rsidR="00A87582" w:rsidRPr="00CD7E52">
        <w:rPr>
          <w:snapToGrid/>
          <w:szCs w:val="22"/>
          <w:lang w:val="lt-LT"/>
        </w:rPr>
        <w:t> mg</w:t>
      </w:r>
      <w:r w:rsidRPr="00CD7E52">
        <w:rPr>
          <w:szCs w:val="22"/>
          <w:lang w:val="lt-LT"/>
        </w:rPr>
        <w:t xml:space="preserve"> BID grupę 12</w:t>
      </w:r>
      <w:r w:rsidRPr="00CD7E52">
        <w:rPr>
          <w:snapToGrid/>
          <w:szCs w:val="22"/>
          <w:lang w:val="lt-LT"/>
        </w:rPr>
        <w:t> </w:t>
      </w:r>
      <w:r w:rsidRPr="00CD7E52">
        <w:rPr>
          <w:szCs w:val="22"/>
          <w:lang w:val="lt-LT"/>
        </w:rPr>
        <w:t>savaitę.</w:t>
      </w:r>
    </w:p>
    <w:p w14:paraId="0DDD172E" w14:textId="77777777" w:rsidR="009B2A1B" w:rsidRPr="00CD7E52" w:rsidRDefault="009B2A1B"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Tolesnio stebėjimo laiko </w:t>
      </w:r>
      <w:r w:rsidRPr="00CD7E52">
        <w:rPr>
          <w:snapToGrid/>
          <w:szCs w:val="22"/>
          <w:lang w:val="lt-LT"/>
        </w:rPr>
        <w:t>taškas</w:t>
      </w:r>
      <w:r w:rsidRPr="00CD7E52">
        <w:rPr>
          <w:szCs w:val="22"/>
          <w:lang w:val="lt-LT"/>
        </w:rPr>
        <w:t xml:space="preserve"> buvo 4 savaitės po to, kai pacientai užbaigė tyrimą 64 savaitę, arba 4 savaitės po to, kai pacientai nutraukė gydymą prieš 64 savaitę.</w:t>
      </w:r>
    </w:p>
    <w:p w14:paraId="75CEEF5D" w14:textId="77777777" w:rsidR="009B2A1B" w:rsidRPr="00CD7E52" w:rsidRDefault="009B2A1B" w:rsidP="00BD0220">
      <w:pPr>
        <w:widowControl w:val="0"/>
        <w:tabs>
          <w:tab w:val="clear" w:pos="567"/>
        </w:tabs>
        <w:autoSpaceDE w:val="0"/>
        <w:autoSpaceDN w:val="0"/>
        <w:adjustRightInd w:val="0"/>
        <w:spacing w:line="240" w:lineRule="auto"/>
        <w:rPr>
          <w:szCs w:val="22"/>
          <w:lang w:val="lt-LT"/>
        </w:rPr>
      </w:pPr>
    </w:p>
    <w:p w14:paraId="1EC1B0B5" w14:textId="77777777" w:rsidR="004B4124" w:rsidRPr="00CD7E52" w:rsidRDefault="004B4124" w:rsidP="00BD0220">
      <w:pPr>
        <w:widowControl w:val="0"/>
        <w:tabs>
          <w:tab w:val="clear" w:pos="567"/>
        </w:tabs>
        <w:autoSpaceDE w:val="0"/>
        <w:autoSpaceDN w:val="0"/>
        <w:adjustRightInd w:val="0"/>
        <w:spacing w:line="240" w:lineRule="auto"/>
        <w:rPr>
          <w:szCs w:val="22"/>
          <w:u w:val="single"/>
          <w:lang w:val="lt-LT"/>
        </w:rPr>
      </w:pPr>
      <w:r w:rsidRPr="00CD7E52">
        <w:rPr>
          <w:szCs w:val="22"/>
          <w:u w:val="single"/>
          <w:lang w:val="lt-LT"/>
        </w:rPr>
        <w:t>Bendrojo Bechčeto ligos aktyvumo pagerėjimas</w:t>
      </w:r>
    </w:p>
    <w:p w14:paraId="07A4D537"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30</w:t>
      </w:r>
      <w:r w:rsidR="00A87582" w:rsidRPr="00CD7E52">
        <w:rPr>
          <w:szCs w:val="22"/>
          <w:lang w:val="lt-LT"/>
        </w:rPr>
        <w:t> mg</w:t>
      </w:r>
      <w:r w:rsidRPr="00CD7E52">
        <w:rPr>
          <w:szCs w:val="22"/>
          <w:lang w:val="lt-LT"/>
        </w:rPr>
        <w:t xml:space="preserve"> apremilasto </w:t>
      </w:r>
      <w:r w:rsidRPr="00CD7E52">
        <w:rPr>
          <w:snapToGrid/>
          <w:szCs w:val="22"/>
          <w:lang w:val="lt-LT"/>
        </w:rPr>
        <w:t>dozės vartojimas</w:t>
      </w:r>
      <w:r w:rsidR="009132F1" w:rsidRPr="00CD7E52">
        <w:rPr>
          <w:snapToGrid/>
          <w:szCs w:val="22"/>
          <w:lang w:val="lt-LT"/>
        </w:rPr>
        <w:t xml:space="preserve"> </w:t>
      </w:r>
      <w:r w:rsidR="009132F1" w:rsidRPr="00CD7E52">
        <w:rPr>
          <w:szCs w:val="22"/>
          <w:lang w:val="lt-LT"/>
        </w:rPr>
        <w:t>du kartus per parą</w:t>
      </w:r>
      <w:r w:rsidRPr="00CD7E52">
        <w:rPr>
          <w:szCs w:val="22"/>
          <w:lang w:val="lt-LT"/>
        </w:rPr>
        <w:t xml:space="preserve">, palyginti su </w:t>
      </w:r>
      <w:r w:rsidRPr="00CD7E52">
        <w:rPr>
          <w:snapToGrid/>
          <w:szCs w:val="22"/>
          <w:lang w:val="lt-LT"/>
        </w:rPr>
        <w:t>placeb</w:t>
      </w:r>
      <w:r w:rsidR="009132F1" w:rsidRPr="00CD7E52">
        <w:rPr>
          <w:snapToGrid/>
          <w:szCs w:val="22"/>
          <w:lang w:val="lt-LT"/>
        </w:rPr>
        <w:t>o vartojimu</w:t>
      </w:r>
      <w:r w:rsidRPr="00CD7E52">
        <w:rPr>
          <w:snapToGrid/>
          <w:szCs w:val="22"/>
          <w:lang w:val="lt-LT"/>
        </w:rPr>
        <w:t xml:space="preserve">, </w:t>
      </w:r>
      <w:r w:rsidR="009132F1" w:rsidRPr="00CD7E52">
        <w:rPr>
          <w:snapToGrid/>
          <w:szCs w:val="22"/>
          <w:lang w:val="lt-LT"/>
        </w:rPr>
        <w:t>reikšmingai</w:t>
      </w:r>
      <w:r w:rsidRPr="00CD7E52">
        <w:rPr>
          <w:szCs w:val="22"/>
          <w:lang w:val="lt-LT"/>
        </w:rPr>
        <w:t xml:space="preserve"> sumažino bendrąjį</w:t>
      </w:r>
      <w:r w:rsidR="009132F1" w:rsidRPr="00CD7E52">
        <w:rPr>
          <w:szCs w:val="22"/>
          <w:lang w:val="lt-LT"/>
        </w:rPr>
        <w:t xml:space="preserve"> </w:t>
      </w:r>
      <w:r w:rsidRPr="00CD7E52">
        <w:rPr>
          <w:szCs w:val="22"/>
          <w:lang w:val="lt-LT"/>
        </w:rPr>
        <w:t>ligos aktyvumą</w:t>
      </w:r>
      <w:r w:rsidR="009132F1" w:rsidRPr="00CD7E52">
        <w:rPr>
          <w:snapToGrid/>
          <w:szCs w:val="22"/>
          <w:lang w:val="lt-LT"/>
        </w:rPr>
        <w:t xml:space="preserve"> remiantis vidutiniu</w:t>
      </w:r>
      <w:r w:rsidRPr="00CD7E52">
        <w:rPr>
          <w:snapToGrid/>
          <w:szCs w:val="22"/>
          <w:lang w:val="lt-LT"/>
        </w:rPr>
        <w:t xml:space="preserve"> </w:t>
      </w:r>
      <w:r w:rsidR="009654C9" w:rsidRPr="00CD7E52">
        <w:rPr>
          <w:snapToGrid/>
          <w:szCs w:val="22"/>
          <w:lang w:val="lt-LT"/>
        </w:rPr>
        <w:t>BSAĮ</w:t>
      </w:r>
      <w:r w:rsidRPr="00CD7E52">
        <w:rPr>
          <w:szCs w:val="22"/>
          <w:lang w:val="lt-LT"/>
        </w:rPr>
        <w:t xml:space="preserve"> (p</w:t>
      </w:r>
      <w:r w:rsidR="005248CD" w:rsidRPr="00CD7E52">
        <w:rPr>
          <w:szCs w:val="22"/>
          <w:lang w:val="lt-LT"/>
        </w:rPr>
        <w:t> </w:t>
      </w:r>
      <w:r w:rsidRPr="00CD7E52">
        <w:rPr>
          <w:snapToGrid/>
          <w:szCs w:val="22"/>
          <w:lang w:val="lt-LT"/>
        </w:rPr>
        <w:t>&lt;</w:t>
      </w:r>
      <w:r w:rsidR="005248CD" w:rsidRPr="00CD7E52">
        <w:rPr>
          <w:snapToGrid/>
          <w:szCs w:val="22"/>
          <w:lang w:val="lt-LT"/>
        </w:rPr>
        <w:t> </w:t>
      </w:r>
      <w:r w:rsidRPr="00CD7E52">
        <w:rPr>
          <w:szCs w:val="22"/>
          <w:lang w:val="lt-LT"/>
        </w:rPr>
        <w:t xml:space="preserve">0,0001) ir </w:t>
      </w:r>
      <w:r w:rsidR="009654C9" w:rsidRPr="00CD7E52">
        <w:rPr>
          <w:snapToGrid/>
          <w:szCs w:val="22"/>
          <w:lang w:val="lt-LT"/>
        </w:rPr>
        <w:t>BLEAF</w:t>
      </w:r>
      <w:r w:rsidRPr="00CD7E52">
        <w:rPr>
          <w:snapToGrid/>
          <w:szCs w:val="22"/>
          <w:lang w:val="lt-LT"/>
        </w:rPr>
        <w:t xml:space="preserve"> (</w:t>
      </w:r>
      <w:r w:rsidR="009654C9" w:rsidRPr="00CD7E52">
        <w:rPr>
          <w:snapToGrid/>
          <w:szCs w:val="22"/>
          <w:lang w:val="lt-LT"/>
        </w:rPr>
        <w:t>BLEAI</w:t>
      </w:r>
      <w:r w:rsidRPr="00CD7E52">
        <w:rPr>
          <w:szCs w:val="22"/>
          <w:lang w:val="lt-LT"/>
        </w:rPr>
        <w:t>, paciento suvokimas apie ligos</w:t>
      </w:r>
      <w:r w:rsidR="009132F1" w:rsidRPr="00CD7E52">
        <w:rPr>
          <w:szCs w:val="22"/>
          <w:lang w:val="lt-LT"/>
        </w:rPr>
        <w:t xml:space="preserve"> </w:t>
      </w:r>
      <w:r w:rsidRPr="00CD7E52">
        <w:rPr>
          <w:szCs w:val="22"/>
          <w:lang w:val="lt-LT"/>
        </w:rPr>
        <w:t xml:space="preserve">aktyvumą ir gydytojo bendras suvokimas apie ligos aktyvumą; visų trijų komponentų p vertės </w:t>
      </w:r>
      <w:r w:rsidRPr="00FF4333">
        <w:rPr>
          <w:szCs w:val="22"/>
          <w:lang w:val="lt-LT"/>
        </w:rPr>
        <w:t>≤</w:t>
      </w:r>
      <w:r w:rsidR="009132F1" w:rsidRPr="00CD7E52">
        <w:rPr>
          <w:szCs w:val="22"/>
          <w:lang w:val="lt-LT"/>
        </w:rPr>
        <w:t> </w:t>
      </w:r>
      <w:r w:rsidRPr="00CD7E52">
        <w:rPr>
          <w:szCs w:val="22"/>
          <w:lang w:val="lt-LT"/>
        </w:rPr>
        <w:t>0,0335)</w:t>
      </w:r>
      <w:r w:rsidR="009132F1" w:rsidRPr="00CD7E52">
        <w:rPr>
          <w:szCs w:val="22"/>
          <w:lang w:val="lt-LT"/>
        </w:rPr>
        <w:t xml:space="preserve"> </w:t>
      </w:r>
      <w:r w:rsidRPr="00CD7E52">
        <w:rPr>
          <w:snapToGrid/>
          <w:szCs w:val="22"/>
          <w:lang w:val="lt-LT"/>
        </w:rPr>
        <w:t>poky</w:t>
      </w:r>
      <w:r w:rsidR="009132F1" w:rsidRPr="00CD7E52">
        <w:rPr>
          <w:snapToGrid/>
          <w:szCs w:val="22"/>
          <w:lang w:val="lt-LT"/>
        </w:rPr>
        <w:t>čiu</w:t>
      </w:r>
      <w:r w:rsidRPr="00CD7E52">
        <w:rPr>
          <w:snapToGrid/>
          <w:szCs w:val="22"/>
          <w:lang w:val="lt-LT"/>
        </w:rPr>
        <w:t>s</w:t>
      </w:r>
      <w:r w:rsidRPr="00CD7E52">
        <w:rPr>
          <w:szCs w:val="22"/>
          <w:lang w:val="lt-LT"/>
        </w:rPr>
        <w:t xml:space="preserve"> nuo pradinio įvertinimo 12-tą</w:t>
      </w:r>
      <w:r w:rsidR="00C65C08" w:rsidRPr="00CD7E52">
        <w:rPr>
          <w:snapToGrid/>
          <w:szCs w:val="22"/>
          <w:lang w:val="lt-LT"/>
        </w:rPr>
        <w:t> </w:t>
      </w:r>
      <w:r w:rsidR="00C65C08" w:rsidRPr="00CD7E52">
        <w:rPr>
          <w:szCs w:val="22"/>
          <w:lang w:val="lt-LT"/>
        </w:rPr>
        <w:t>savai</w:t>
      </w:r>
      <w:r w:rsidRPr="00CD7E52">
        <w:rPr>
          <w:szCs w:val="22"/>
          <w:lang w:val="lt-LT"/>
        </w:rPr>
        <w:t>tę.</w:t>
      </w:r>
    </w:p>
    <w:p w14:paraId="59946111" w14:textId="77777777" w:rsidR="009132F1" w:rsidRPr="00CD7E52" w:rsidRDefault="009132F1" w:rsidP="00BD0220">
      <w:pPr>
        <w:widowControl w:val="0"/>
        <w:tabs>
          <w:tab w:val="clear" w:pos="567"/>
        </w:tabs>
        <w:autoSpaceDE w:val="0"/>
        <w:autoSpaceDN w:val="0"/>
        <w:adjustRightInd w:val="0"/>
        <w:spacing w:line="240" w:lineRule="auto"/>
        <w:rPr>
          <w:szCs w:val="22"/>
          <w:lang w:val="lt-LT"/>
        </w:rPr>
      </w:pPr>
    </w:p>
    <w:p w14:paraId="2C5CAAF5"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Tarp pacientų, kurie iš pradžių buvo atsitiktinai </w:t>
      </w:r>
      <w:r w:rsidR="009132F1" w:rsidRPr="00CD7E52">
        <w:rPr>
          <w:snapToGrid/>
          <w:szCs w:val="22"/>
          <w:lang w:val="lt-LT"/>
        </w:rPr>
        <w:t>priskirti</w:t>
      </w:r>
      <w:r w:rsidRPr="00CD7E52">
        <w:rPr>
          <w:szCs w:val="22"/>
          <w:lang w:val="lt-LT"/>
        </w:rPr>
        <w:t xml:space="preserve"> vartoti 30</w:t>
      </w:r>
      <w:r w:rsidR="00A87582" w:rsidRPr="00CD7E52">
        <w:rPr>
          <w:szCs w:val="22"/>
          <w:lang w:val="lt-LT"/>
        </w:rPr>
        <w:t> mg</w:t>
      </w:r>
      <w:r w:rsidRPr="00CD7E52">
        <w:rPr>
          <w:szCs w:val="22"/>
          <w:lang w:val="lt-LT"/>
        </w:rPr>
        <w:t xml:space="preserve"> apremilasto du kartus per parą ir</w:t>
      </w:r>
      <w:r w:rsidR="00F10B3F" w:rsidRPr="00CD7E52">
        <w:rPr>
          <w:szCs w:val="22"/>
          <w:lang w:val="lt-LT"/>
        </w:rPr>
        <w:t xml:space="preserve"> </w:t>
      </w:r>
      <w:r w:rsidRPr="00CD7E52">
        <w:rPr>
          <w:szCs w:val="22"/>
          <w:lang w:val="lt-LT"/>
        </w:rPr>
        <w:t xml:space="preserve">kurie liko tyrime, </w:t>
      </w:r>
      <w:r w:rsidR="009654C9" w:rsidRPr="00CD7E52">
        <w:rPr>
          <w:snapToGrid/>
          <w:szCs w:val="22"/>
          <w:lang w:val="lt-LT"/>
        </w:rPr>
        <w:t>BSAĮ</w:t>
      </w:r>
      <w:r w:rsidRPr="00CD7E52">
        <w:rPr>
          <w:szCs w:val="22"/>
          <w:lang w:val="lt-LT"/>
        </w:rPr>
        <w:t xml:space="preserve"> ir </w:t>
      </w:r>
      <w:r w:rsidR="009654C9" w:rsidRPr="00CD7E52">
        <w:rPr>
          <w:snapToGrid/>
          <w:szCs w:val="22"/>
          <w:lang w:val="lt-LT"/>
        </w:rPr>
        <w:t>BLEAF</w:t>
      </w:r>
      <w:r w:rsidRPr="00CD7E52">
        <w:rPr>
          <w:szCs w:val="22"/>
          <w:lang w:val="lt-LT"/>
        </w:rPr>
        <w:t xml:space="preserve"> pagerėjimas (vidutinis pokytis nuo pradinio įvertinimo) išliko 64</w:t>
      </w:r>
      <w:r w:rsidR="00F10B3F" w:rsidRPr="00CD7E52">
        <w:rPr>
          <w:snapToGrid/>
          <w:szCs w:val="22"/>
          <w:lang w:val="lt-LT"/>
        </w:rPr>
        <w:t> </w:t>
      </w:r>
      <w:r w:rsidRPr="00CD7E52">
        <w:rPr>
          <w:szCs w:val="22"/>
          <w:lang w:val="lt-LT"/>
        </w:rPr>
        <w:t>savaitę.</w:t>
      </w:r>
    </w:p>
    <w:p w14:paraId="7A17546A" w14:textId="77777777" w:rsidR="009132F1" w:rsidRPr="00CD7E52" w:rsidRDefault="009132F1" w:rsidP="00BD0220">
      <w:pPr>
        <w:widowControl w:val="0"/>
        <w:tabs>
          <w:tab w:val="clear" w:pos="567"/>
        </w:tabs>
        <w:autoSpaceDE w:val="0"/>
        <w:autoSpaceDN w:val="0"/>
        <w:adjustRightInd w:val="0"/>
        <w:spacing w:line="240" w:lineRule="auto"/>
        <w:rPr>
          <w:szCs w:val="22"/>
          <w:lang w:val="lt-LT"/>
        </w:rPr>
      </w:pPr>
    </w:p>
    <w:p w14:paraId="6C0E576C" w14:textId="77777777" w:rsidR="004B4124" w:rsidRPr="00CD7E52" w:rsidRDefault="004B4124" w:rsidP="00BD0220">
      <w:pPr>
        <w:widowControl w:val="0"/>
        <w:tabs>
          <w:tab w:val="clear" w:pos="567"/>
        </w:tabs>
        <w:autoSpaceDE w:val="0"/>
        <w:autoSpaceDN w:val="0"/>
        <w:adjustRightInd w:val="0"/>
        <w:spacing w:line="240" w:lineRule="auto"/>
        <w:rPr>
          <w:szCs w:val="22"/>
          <w:u w:val="single"/>
          <w:lang w:val="lt-LT"/>
        </w:rPr>
      </w:pPr>
      <w:r w:rsidRPr="00CD7E52">
        <w:rPr>
          <w:szCs w:val="22"/>
          <w:u w:val="single"/>
          <w:lang w:val="lt-LT"/>
        </w:rPr>
        <w:t>Gyvenimo kokybės pagerėjimas</w:t>
      </w:r>
    </w:p>
    <w:p w14:paraId="7D3CC03E" w14:textId="77777777" w:rsidR="004B4124" w:rsidRPr="00CD7E52" w:rsidRDefault="004B4124" w:rsidP="00BD0220">
      <w:pPr>
        <w:widowControl w:val="0"/>
        <w:tabs>
          <w:tab w:val="clear" w:pos="567"/>
        </w:tabs>
        <w:autoSpaceDE w:val="0"/>
        <w:autoSpaceDN w:val="0"/>
        <w:adjustRightInd w:val="0"/>
        <w:spacing w:line="240" w:lineRule="auto"/>
        <w:rPr>
          <w:szCs w:val="22"/>
          <w:lang w:val="lt-LT"/>
        </w:rPr>
      </w:pPr>
      <w:r w:rsidRPr="00CD7E52">
        <w:rPr>
          <w:szCs w:val="22"/>
          <w:lang w:val="lt-LT"/>
        </w:rPr>
        <w:t>Du kartus per parą vartojama 30</w:t>
      </w:r>
      <w:r w:rsidR="00A87582" w:rsidRPr="00CD7E52">
        <w:rPr>
          <w:szCs w:val="22"/>
          <w:lang w:val="lt-LT"/>
        </w:rPr>
        <w:t> mg</w:t>
      </w:r>
      <w:r w:rsidRPr="00CD7E52">
        <w:rPr>
          <w:szCs w:val="22"/>
          <w:lang w:val="lt-LT"/>
        </w:rPr>
        <w:t xml:space="preserve"> apremilasto dozė, palyginti su placebu, 12</w:t>
      </w:r>
      <w:r w:rsidR="00C65C08" w:rsidRPr="00CD7E52">
        <w:rPr>
          <w:snapToGrid/>
          <w:szCs w:val="22"/>
          <w:lang w:val="lt-LT"/>
        </w:rPr>
        <w:t> </w:t>
      </w:r>
      <w:r w:rsidR="00C65C08" w:rsidRPr="00CD7E52">
        <w:rPr>
          <w:szCs w:val="22"/>
          <w:lang w:val="lt-LT"/>
        </w:rPr>
        <w:t>savai</w:t>
      </w:r>
      <w:r w:rsidRPr="00CD7E52">
        <w:rPr>
          <w:szCs w:val="22"/>
          <w:lang w:val="lt-LT"/>
        </w:rPr>
        <w:t xml:space="preserve">tę </w:t>
      </w:r>
      <w:r w:rsidR="00F10B3F" w:rsidRPr="00CD7E52">
        <w:rPr>
          <w:snapToGrid/>
          <w:szCs w:val="22"/>
          <w:lang w:val="lt-LT"/>
        </w:rPr>
        <w:t>reikšmingai</w:t>
      </w:r>
      <w:r w:rsidRPr="00CD7E52">
        <w:rPr>
          <w:szCs w:val="22"/>
          <w:lang w:val="lt-LT"/>
        </w:rPr>
        <w:t xml:space="preserve"> labiau</w:t>
      </w:r>
      <w:r w:rsidR="00F10B3F" w:rsidRPr="00CD7E52">
        <w:rPr>
          <w:szCs w:val="22"/>
          <w:lang w:val="lt-LT"/>
        </w:rPr>
        <w:t xml:space="preserve"> </w:t>
      </w:r>
      <w:r w:rsidRPr="00CD7E52">
        <w:rPr>
          <w:szCs w:val="22"/>
          <w:lang w:val="lt-LT"/>
        </w:rPr>
        <w:t>pagerino gyvenimo kokybę (GK</w:t>
      </w:r>
      <w:r w:rsidRPr="00CD7E52">
        <w:rPr>
          <w:snapToGrid/>
          <w:szCs w:val="22"/>
          <w:lang w:val="lt-LT"/>
        </w:rPr>
        <w:t>)</w:t>
      </w:r>
      <w:r w:rsidR="00F10B3F" w:rsidRPr="00CD7E52">
        <w:rPr>
          <w:snapToGrid/>
          <w:szCs w:val="22"/>
          <w:lang w:val="lt-LT"/>
        </w:rPr>
        <w:t xml:space="preserve"> remiantis</w:t>
      </w:r>
      <w:r w:rsidRPr="00CD7E52">
        <w:rPr>
          <w:szCs w:val="22"/>
          <w:lang w:val="lt-LT"/>
        </w:rPr>
        <w:t xml:space="preserve"> BLGKK </w:t>
      </w:r>
      <w:r w:rsidRPr="00CD7E52">
        <w:rPr>
          <w:snapToGrid/>
          <w:szCs w:val="22"/>
          <w:lang w:val="lt-LT"/>
        </w:rPr>
        <w:t>klausimyn</w:t>
      </w:r>
      <w:r w:rsidR="00F10B3F" w:rsidRPr="00CD7E52">
        <w:rPr>
          <w:snapToGrid/>
          <w:szCs w:val="22"/>
          <w:lang w:val="lt-LT"/>
        </w:rPr>
        <w:t>o įvertinimu</w:t>
      </w:r>
      <w:r w:rsidRPr="00CD7E52">
        <w:rPr>
          <w:szCs w:val="22"/>
          <w:lang w:val="lt-LT"/>
        </w:rPr>
        <w:t xml:space="preserve"> (p</w:t>
      </w:r>
      <w:r w:rsidR="00E03C5A" w:rsidRPr="00CD7E52">
        <w:rPr>
          <w:szCs w:val="22"/>
          <w:lang w:val="lt-LT"/>
        </w:rPr>
        <w:t> </w:t>
      </w:r>
      <w:r w:rsidR="00B97414" w:rsidRPr="00CD7E52">
        <w:rPr>
          <w:snapToGrid/>
          <w:szCs w:val="22"/>
          <w:lang w:val="lt-LT"/>
        </w:rPr>
        <w:t>=</w:t>
      </w:r>
      <w:r w:rsidR="00E03C5A" w:rsidRPr="00CD7E52">
        <w:rPr>
          <w:snapToGrid/>
          <w:szCs w:val="22"/>
          <w:lang w:val="lt-LT"/>
        </w:rPr>
        <w:t> </w:t>
      </w:r>
      <w:r w:rsidRPr="00CD7E52">
        <w:rPr>
          <w:szCs w:val="22"/>
          <w:lang w:val="lt-LT"/>
        </w:rPr>
        <w:t>0,0003).</w:t>
      </w:r>
    </w:p>
    <w:p w14:paraId="1EA80E06" w14:textId="77777777" w:rsidR="00F10B3F" w:rsidRPr="00CD7E52" w:rsidRDefault="00F10B3F" w:rsidP="00BD0220">
      <w:pPr>
        <w:widowControl w:val="0"/>
        <w:tabs>
          <w:tab w:val="clear" w:pos="567"/>
        </w:tabs>
        <w:autoSpaceDE w:val="0"/>
        <w:autoSpaceDN w:val="0"/>
        <w:adjustRightInd w:val="0"/>
        <w:spacing w:line="240" w:lineRule="auto"/>
        <w:rPr>
          <w:szCs w:val="22"/>
          <w:lang w:val="lt-LT"/>
        </w:rPr>
      </w:pPr>
    </w:p>
    <w:p w14:paraId="302ECDA1" w14:textId="77777777" w:rsidR="00776FBE" w:rsidRPr="00CD7E52" w:rsidRDefault="004B4124" w:rsidP="00BD0220">
      <w:pPr>
        <w:widowControl w:val="0"/>
        <w:tabs>
          <w:tab w:val="clear" w:pos="567"/>
        </w:tabs>
        <w:autoSpaceDE w:val="0"/>
        <w:autoSpaceDN w:val="0"/>
        <w:adjustRightInd w:val="0"/>
        <w:spacing w:line="240" w:lineRule="auto"/>
        <w:rPr>
          <w:rFonts w:eastAsia="TimesNewRoman"/>
          <w:szCs w:val="22"/>
          <w:lang w:val="lt-LT"/>
        </w:rPr>
      </w:pPr>
      <w:r w:rsidRPr="00CD7E52">
        <w:rPr>
          <w:szCs w:val="22"/>
          <w:lang w:val="lt-LT"/>
        </w:rPr>
        <w:t xml:space="preserve">Tarp pacientų, kurie iš pradžių buvo atsitiktinai </w:t>
      </w:r>
      <w:r w:rsidR="00F10B3F" w:rsidRPr="00CD7E52">
        <w:rPr>
          <w:snapToGrid/>
          <w:szCs w:val="22"/>
          <w:lang w:val="lt-LT"/>
        </w:rPr>
        <w:t>priskirti</w:t>
      </w:r>
      <w:r w:rsidRPr="00CD7E52">
        <w:rPr>
          <w:szCs w:val="22"/>
          <w:lang w:val="lt-LT"/>
        </w:rPr>
        <w:t xml:space="preserve"> vartoti 30</w:t>
      </w:r>
      <w:r w:rsidR="00A87582" w:rsidRPr="00CD7E52">
        <w:rPr>
          <w:szCs w:val="22"/>
          <w:lang w:val="lt-LT"/>
        </w:rPr>
        <w:t> mg</w:t>
      </w:r>
      <w:r w:rsidRPr="00CD7E52">
        <w:rPr>
          <w:szCs w:val="22"/>
          <w:lang w:val="lt-LT"/>
        </w:rPr>
        <w:t xml:space="preserve"> apremilasto du kartus per parą ir</w:t>
      </w:r>
      <w:r w:rsidR="00F10B3F" w:rsidRPr="00CD7E52">
        <w:rPr>
          <w:szCs w:val="22"/>
          <w:lang w:val="lt-LT"/>
        </w:rPr>
        <w:t xml:space="preserve"> </w:t>
      </w:r>
      <w:r w:rsidRPr="00CD7E52">
        <w:rPr>
          <w:szCs w:val="22"/>
          <w:lang w:val="lt-LT"/>
        </w:rPr>
        <w:t>kurie liko tyrime, BLGKK pagerėjimas išliko 64</w:t>
      </w:r>
      <w:r w:rsidR="00C65C08" w:rsidRPr="00CD7E52">
        <w:rPr>
          <w:snapToGrid/>
          <w:szCs w:val="22"/>
          <w:lang w:val="lt-LT"/>
        </w:rPr>
        <w:t> </w:t>
      </w:r>
      <w:r w:rsidR="00C65C08" w:rsidRPr="00CD7E52">
        <w:rPr>
          <w:szCs w:val="22"/>
          <w:lang w:val="lt-LT"/>
        </w:rPr>
        <w:t>savai</w:t>
      </w:r>
      <w:r w:rsidRPr="00CD7E52">
        <w:rPr>
          <w:szCs w:val="22"/>
          <w:lang w:val="lt-LT"/>
        </w:rPr>
        <w:t>tę</w:t>
      </w:r>
      <w:r w:rsidR="00F10B3F" w:rsidRPr="00CD7E52">
        <w:rPr>
          <w:szCs w:val="22"/>
          <w:lang w:val="lt-LT"/>
        </w:rPr>
        <w:t>.</w:t>
      </w:r>
    </w:p>
    <w:p w14:paraId="0E935DFA" w14:textId="77777777" w:rsidR="00776FBE" w:rsidRDefault="00776FBE" w:rsidP="00BD0220">
      <w:pPr>
        <w:widowControl w:val="0"/>
        <w:tabs>
          <w:tab w:val="clear" w:pos="567"/>
        </w:tabs>
        <w:spacing w:line="240" w:lineRule="auto"/>
        <w:rPr>
          <w:szCs w:val="22"/>
          <w:lang w:val="lt-LT"/>
        </w:rPr>
      </w:pPr>
    </w:p>
    <w:p w14:paraId="4688F40C" w14:textId="77777777" w:rsidR="00FB0FD4" w:rsidRPr="00FB0FD4" w:rsidRDefault="00FB0FD4" w:rsidP="00FB0FD4">
      <w:pPr>
        <w:widowControl w:val="0"/>
        <w:tabs>
          <w:tab w:val="clear" w:pos="567"/>
        </w:tabs>
        <w:spacing w:line="240" w:lineRule="auto"/>
        <w:rPr>
          <w:szCs w:val="22"/>
          <w:lang w:val="lt-LT"/>
        </w:rPr>
      </w:pPr>
      <w:r w:rsidRPr="00DB2543">
        <w:rPr>
          <w:szCs w:val="22"/>
          <w:u w:val="single"/>
          <w:lang w:val="lt-LT"/>
        </w:rPr>
        <w:t>Vaikai</w:t>
      </w:r>
    </w:p>
    <w:p w14:paraId="0F073AFE" w14:textId="77777777" w:rsidR="00FB0FD4" w:rsidRDefault="00FB0FD4" w:rsidP="00FB0FD4">
      <w:pPr>
        <w:widowControl w:val="0"/>
        <w:tabs>
          <w:tab w:val="clear" w:pos="567"/>
        </w:tabs>
        <w:spacing w:line="240" w:lineRule="auto"/>
        <w:rPr>
          <w:szCs w:val="22"/>
          <w:lang w:val="lt-LT"/>
        </w:rPr>
      </w:pPr>
      <w:r w:rsidRPr="00FB0FD4">
        <w:rPr>
          <w:szCs w:val="22"/>
          <w:lang w:val="lt-LT"/>
        </w:rPr>
        <w:t xml:space="preserve">Europos vaistų agentūra atidėjo įpareigojimą pateikti </w:t>
      </w:r>
      <w:r w:rsidR="00BE12DB" w:rsidRPr="00DB2543">
        <w:rPr>
          <w:szCs w:val="22"/>
          <w:lang w:val="lt-LT" w:eastAsia="lt-LT"/>
        </w:rPr>
        <w:t>referencinio vaistinio preparato, kurio sudėtyje yra</w:t>
      </w:r>
      <w:r w:rsidR="00BE12DB" w:rsidRPr="00FB0FD4">
        <w:rPr>
          <w:szCs w:val="22"/>
          <w:lang w:val="lt-LT"/>
        </w:rPr>
        <w:t xml:space="preserve"> </w:t>
      </w:r>
      <w:r w:rsidRPr="00FB0FD4">
        <w:rPr>
          <w:szCs w:val="22"/>
          <w:lang w:val="lt-LT"/>
        </w:rPr>
        <w:t>apremilasto</w:t>
      </w:r>
      <w:r w:rsidR="00BE12DB">
        <w:rPr>
          <w:szCs w:val="22"/>
          <w:lang w:val="lt-LT"/>
        </w:rPr>
        <w:t>,</w:t>
      </w:r>
      <w:r w:rsidRPr="00FB0FD4">
        <w:rPr>
          <w:szCs w:val="22"/>
          <w:lang w:val="lt-LT"/>
        </w:rPr>
        <w:t xml:space="preserve"> tyrimų su vienu ar daugiau vaikų, sergančių Bechčeto liga ir psoriaziniu artritu, populiacijos pogrupių duomenis (vartojimo vaikams informacija pateikiama 4.2</w:t>
      </w:r>
      <w:r>
        <w:rPr>
          <w:szCs w:val="22"/>
          <w:lang w:val="lt-LT"/>
        </w:rPr>
        <w:t> </w:t>
      </w:r>
      <w:r w:rsidRPr="00FB0FD4">
        <w:rPr>
          <w:szCs w:val="22"/>
          <w:lang w:val="lt-LT"/>
        </w:rPr>
        <w:t>skyriuje).</w:t>
      </w:r>
    </w:p>
    <w:p w14:paraId="236ED274" w14:textId="77777777" w:rsidR="00FB0FD4" w:rsidRPr="00CD7E52" w:rsidRDefault="00FB0FD4" w:rsidP="00BD0220">
      <w:pPr>
        <w:widowControl w:val="0"/>
        <w:tabs>
          <w:tab w:val="clear" w:pos="567"/>
        </w:tabs>
        <w:spacing w:line="240" w:lineRule="auto"/>
        <w:rPr>
          <w:szCs w:val="22"/>
          <w:lang w:val="lt-LT"/>
        </w:rPr>
      </w:pPr>
    </w:p>
    <w:p w14:paraId="6D8C7E1C" w14:textId="77777777" w:rsidR="00776FBE" w:rsidRPr="00CD7E52" w:rsidRDefault="00776FBE" w:rsidP="003D18C8">
      <w:pPr>
        <w:widowControl w:val="0"/>
        <w:spacing w:line="240" w:lineRule="auto"/>
        <w:ind w:left="567" w:hanging="567"/>
        <w:outlineLvl w:val="2"/>
        <w:rPr>
          <w:kern w:val="28"/>
          <w:szCs w:val="22"/>
          <w:lang w:val="lt-LT"/>
        </w:rPr>
      </w:pPr>
      <w:r w:rsidRPr="00CD7E52">
        <w:rPr>
          <w:b/>
          <w:snapToGrid/>
          <w:kern w:val="28"/>
          <w:szCs w:val="22"/>
          <w:lang w:val="lt-LT"/>
        </w:rPr>
        <w:t>5.2</w:t>
      </w:r>
      <w:r w:rsidRPr="00CD7E52">
        <w:rPr>
          <w:b/>
          <w:snapToGrid/>
          <w:kern w:val="28"/>
          <w:szCs w:val="22"/>
          <w:lang w:val="lt-LT"/>
        </w:rPr>
        <w:tab/>
      </w:r>
      <w:r w:rsidRPr="00CD7E52">
        <w:rPr>
          <w:b/>
          <w:kern w:val="28"/>
          <w:szCs w:val="22"/>
          <w:lang w:val="lt-LT"/>
        </w:rPr>
        <w:t>Farmakokinetinės savybės</w:t>
      </w:r>
    </w:p>
    <w:p w14:paraId="41CEED6F" w14:textId="77777777" w:rsidR="00776FBE" w:rsidRPr="00CD7E52" w:rsidRDefault="00776FBE" w:rsidP="00BD0220">
      <w:pPr>
        <w:widowControl w:val="0"/>
        <w:tabs>
          <w:tab w:val="clear" w:pos="567"/>
        </w:tabs>
        <w:spacing w:line="240" w:lineRule="auto"/>
        <w:ind w:left="567" w:hanging="567"/>
        <w:rPr>
          <w:szCs w:val="22"/>
          <w:lang w:val="lt-LT"/>
        </w:rPr>
      </w:pPr>
    </w:p>
    <w:p w14:paraId="3A779F81" w14:textId="77777777" w:rsidR="00776FBE" w:rsidRPr="00CD7E52" w:rsidRDefault="00776FBE" w:rsidP="00BD0220">
      <w:pPr>
        <w:widowControl w:val="0"/>
        <w:tabs>
          <w:tab w:val="clear" w:pos="567"/>
        </w:tabs>
        <w:autoSpaceDE w:val="0"/>
        <w:autoSpaceDN w:val="0"/>
        <w:adjustRightInd w:val="0"/>
        <w:spacing w:line="240" w:lineRule="auto"/>
        <w:rPr>
          <w:rFonts w:eastAsia="TimesNewRoman"/>
          <w:szCs w:val="22"/>
          <w:u w:val="single"/>
          <w:lang w:val="lt-LT"/>
        </w:rPr>
      </w:pPr>
      <w:r w:rsidRPr="00CD7E52">
        <w:rPr>
          <w:rFonts w:eastAsia="TimesNewRoman"/>
          <w:szCs w:val="22"/>
          <w:u w:val="single"/>
          <w:lang w:val="lt-LT"/>
        </w:rPr>
        <w:t>Absorbcija</w:t>
      </w:r>
    </w:p>
    <w:p w14:paraId="1A2EEC16" w14:textId="77777777" w:rsidR="003A5CF5" w:rsidRPr="00CD7E52" w:rsidRDefault="003A5CF5"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 xml:space="preserve">Apremilastas </w:t>
      </w:r>
      <w:r w:rsidR="00C42EAA" w:rsidRPr="00CD7E52">
        <w:rPr>
          <w:rFonts w:eastAsia="TimesNewRoman"/>
          <w:snapToGrid/>
          <w:szCs w:val="22"/>
          <w:lang w:val="lt-LT"/>
        </w:rPr>
        <w:t xml:space="preserve">yra </w:t>
      </w:r>
      <w:r w:rsidRPr="00CD7E52">
        <w:rPr>
          <w:rFonts w:eastAsia="TimesNewRoman"/>
          <w:szCs w:val="22"/>
          <w:lang w:val="lt-LT"/>
        </w:rPr>
        <w:t xml:space="preserve">gerai absorbuojamas, </w:t>
      </w:r>
      <w:r w:rsidR="00C42EAA" w:rsidRPr="00CD7E52">
        <w:rPr>
          <w:rFonts w:eastAsia="TimesNewRoman"/>
          <w:snapToGrid/>
          <w:szCs w:val="22"/>
          <w:lang w:val="lt-LT"/>
        </w:rPr>
        <w:t xml:space="preserve">pavartojus per burną </w:t>
      </w:r>
      <w:r w:rsidRPr="00CD7E52">
        <w:rPr>
          <w:rFonts w:eastAsia="TimesNewRoman"/>
          <w:szCs w:val="22"/>
          <w:lang w:val="lt-LT"/>
        </w:rPr>
        <w:t xml:space="preserve">jo </w:t>
      </w:r>
      <w:r w:rsidRPr="00CD7E52">
        <w:rPr>
          <w:rFonts w:eastAsia="TimesNewRoman"/>
          <w:snapToGrid/>
          <w:szCs w:val="22"/>
          <w:lang w:val="lt-LT"/>
        </w:rPr>
        <w:t>absoliutus</w:t>
      </w:r>
      <w:r w:rsidRPr="00CD7E52">
        <w:rPr>
          <w:rFonts w:eastAsia="TimesNewRoman"/>
          <w:szCs w:val="22"/>
          <w:lang w:val="lt-LT"/>
        </w:rPr>
        <w:t xml:space="preserve"> biologinis </w:t>
      </w:r>
      <w:r w:rsidR="00C42EAA" w:rsidRPr="00CD7E52">
        <w:rPr>
          <w:rFonts w:eastAsia="TimesNewRoman"/>
          <w:snapToGrid/>
          <w:szCs w:val="22"/>
          <w:lang w:val="lt-LT"/>
        </w:rPr>
        <w:t>prieinamumas</w:t>
      </w:r>
      <w:r w:rsidRPr="00CD7E52">
        <w:rPr>
          <w:rFonts w:eastAsia="TimesNewRoman"/>
          <w:snapToGrid/>
          <w:szCs w:val="22"/>
          <w:lang w:val="lt-LT"/>
        </w:rPr>
        <w:t xml:space="preserve"> </w:t>
      </w:r>
      <w:r w:rsidR="00C42EAA" w:rsidRPr="00CD7E52">
        <w:rPr>
          <w:rFonts w:eastAsia="TimesNewRoman"/>
          <w:snapToGrid/>
          <w:szCs w:val="22"/>
          <w:lang w:val="lt-LT"/>
        </w:rPr>
        <w:t>yra</w:t>
      </w:r>
      <w:r w:rsidRPr="00CD7E52">
        <w:rPr>
          <w:rFonts w:eastAsia="TimesNewRoman"/>
          <w:szCs w:val="22"/>
          <w:lang w:val="lt-LT"/>
        </w:rPr>
        <w:t xml:space="preserve"> maždaug 73</w:t>
      </w:r>
      <w:r w:rsidR="00C42EAA" w:rsidRPr="00CD7E52">
        <w:rPr>
          <w:rFonts w:eastAsia="TimesNewRoman"/>
          <w:szCs w:val="22"/>
          <w:lang w:val="lt-LT"/>
        </w:rPr>
        <w:t> </w:t>
      </w:r>
      <w:r w:rsidRPr="00CD7E52">
        <w:rPr>
          <w:rFonts w:eastAsia="TimesNewRoman"/>
          <w:szCs w:val="22"/>
          <w:lang w:val="lt-LT"/>
        </w:rPr>
        <w:t>%, didžiausia</w:t>
      </w:r>
      <w:r w:rsidR="00C42EAA" w:rsidRPr="00CD7E52">
        <w:rPr>
          <w:rFonts w:eastAsia="TimesNewRoman"/>
          <w:szCs w:val="22"/>
          <w:lang w:val="lt-LT"/>
        </w:rPr>
        <w:t xml:space="preserve"> </w:t>
      </w:r>
      <w:r w:rsidRPr="00CD7E52">
        <w:rPr>
          <w:rFonts w:eastAsia="TimesNewRoman"/>
          <w:szCs w:val="22"/>
          <w:lang w:val="lt-LT"/>
        </w:rPr>
        <w:t xml:space="preserve">koncentracija </w:t>
      </w:r>
      <w:r w:rsidR="00C42EAA" w:rsidRPr="00CD7E52">
        <w:rPr>
          <w:rFonts w:eastAsia="TimesNewRoman"/>
          <w:snapToGrid/>
          <w:szCs w:val="22"/>
          <w:lang w:val="lt-LT"/>
        </w:rPr>
        <w:t xml:space="preserve">kraujo </w:t>
      </w:r>
      <w:r w:rsidRPr="00CD7E52">
        <w:rPr>
          <w:rFonts w:eastAsia="TimesNewRoman"/>
          <w:szCs w:val="22"/>
          <w:lang w:val="lt-LT"/>
        </w:rPr>
        <w:t>plazmoje (C</w:t>
      </w:r>
      <w:r w:rsidRPr="00CD7E52">
        <w:rPr>
          <w:rFonts w:eastAsia="TimesNewRoman"/>
          <w:szCs w:val="22"/>
          <w:vertAlign w:val="subscript"/>
          <w:lang w:val="lt-LT"/>
        </w:rPr>
        <w:t>max</w:t>
      </w:r>
      <w:r w:rsidRPr="00CD7E52">
        <w:rPr>
          <w:rFonts w:eastAsia="TimesNewRoman"/>
          <w:szCs w:val="22"/>
          <w:lang w:val="lt-LT"/>
        </w:rPr>
        <w:t>) pasiekiama po 2,5</w:t>
      </w:r>
      <w:r w:rsidR="00C42EAA" w:rsidRPr="00CD7E52">
        <w:rPr>
          <w:rFonts w:eastAsia="TimesNewRoman"/>
          <w:szCs w:val="22"/>
          <w:lang w:val="lt-LT"/>
        </w:rPr>
        <w:t> </w:t>
      </w:r>
      <w:r w:rsidRPr="00CD7E52">
        <w:rPr>
          <w:rFonts w:eastAsia="TimesNewRoman"/>
          <w:szCs w:val="22"/>
          <w:lang w:val="lt-LT"/>
        </w:rPr>
        <w:t xml:space="preserve">valandų </w:t>
      </w:r>
      <w:r w:rsidR="00C42EAA" w:rsidRPr="00CD7E52">
        <w:rPr>
          <w:rFonts w:eastAsia="TimesNewRoman"/>
          <w:snapToGrid/>
          <w:szCs w:val="22"/>
          <w:lang w:val="lt-LT"/>
        </w:rPr>
        <w:t>(</w:t>
      </w:r>
      <w:r w:rsidRPr="00CD7E52">
        <w:rPr>
          <w:rFonts w:eastAsia="TimesNewRoman"/>
          <w:snapToGrid/>
          <w:szCs w:val="22"/>
          <w:lang w:val="lt-LT"/>
        </w:rPr>
        <w:t>median</w:t>
      </w:r>
      <w:r w:rsidR="00C42EAA" w:rsidRPr="00CD7E52">
        <w:rPr>
          <w:rFonts w:eastAsia="TimesNewRoman"/>
          <w:snapToGrid/>
          <w:szCs w:val="22"/>
          <w:lang w:val="lt-LT"/>
        </w:rPr>
        <w:t>a)</w:t>
      </w:r>
      <w:r w:rsidRPr="00CD7E52">
        <w:rPr>
          <w:rFonts w:eastAsia="TimesNewRoman"/>
          <w:szCs w:val="22"/>
          <w:lang w:val="lt-LT"/>
        </w:rPr>
        <w:t xml:space="preserve"> (t</w:t>
      </w:r>
      <w:r w:rsidRPr="00CD7E52">
        <w:rPr>
          <w:rFonts w:eastAsia="TimesNewRoman"/>
          <w:szCs w:val="22"/>
          <w:vertAlign w:val="subscript"/>
          <w:lang w:val="lt-LT"/>
        </w:rPr>
        <w:t>max</w:t>
      </w:r>
      <w:r w:rsidRPr="00CD7E52">
        <w:rPr>
          <w:rFonts w:eastAsia="TimesNewRoman"/>
          <w:szCs w:val="22"/>
          <w:lang w:val="lt-LT"/>
        </w:rPr>
        <w:t>). Apremilasto</w:t>
      </w:r>
      <w:r w:rsidR="00C42EAA" w:rsidRPr="00CD7E52">
        <w:rPr>
          <w:rFonts w:eastAsia="TimesNewRoman"/>
          <w:szCs w:val="22"/>
          <w:lang w:val="lt-LT"/>
        </w:rPr>
        <w:t xml:space="preserve"> </w:t>
      </w:r>
      <w:r w:rsidRPr="00CD7E52">
        <w:rPr>
          <w:rFonts w:eastAsia="TimesNewRoman"/>
          <w:szCs w:val="22"/>
          <w:lang w:val="lt-LT"/>
        </w:rPr>
        <w:t>farmakokinetika yra tiesinė</w:t>
      </w:r>
      <w:r w:rsidR="00C42EAA" w:rsidRPr="00CD7E52">
        <w:rPr>
          <w:rFonts w:eastAsia="TimesNewRoman"/>
          <w:szCs w:val="22"/>
          <w:lang w:val="lt-LT"/>
        </w:rPr>
        <w:t>,</w:t>
      </w:r>
      <w:r w:rsidRPr="00CD7E52">
        <w:rPr>
          <w:rFonts w:eastAsia="TimesNewRoman"/>
          <w:szCs w:val="22"/>
          <w:lang w:val="lt-LT"/>
        </w:rPr>
        <w:t xml:space="preserve"> vartojant 10</w:t>
      </w:r>
      <w:r w:rsidR="00CB6C74" w:rsidRPr="00CD7E52">
        <w:rPr>
          <w:rFonts w:eastAsia="TimesNewRoman"/>
          <w:szCs w:val="22"/>
          <w:lang w:val="lt-LT"/>
        </w:rPr>
        <w:t>–</w:t>
      </w:r>
      <w:r w:rsidRPr="00CD7E52">
        <w:rPr>
          <w:rFonts w:eastAsia="TimesNewRoman"/>
          <w:szCs w:val="22"/>
          <w:lang w:val="lt-LT"/>
        </w:rPr>
        <w:t>100</w:t>
      </w:r>
      <w:r w:rsidR="00A87582" w:rsidRPr="00CD7E52">
        <w:rPr>
          <w:rFonts w:eastAsia="TimesNewRoman"/>
          <w:szCs w:val="22"/>
          <w:lang w:val="lt-LT"/>
        </w:rPr>
        <w:t> mg</w:t>
      </w:r>
      <w:r w:rsidRPr="00CD7E52">
        <w:rPr>
          <w:rFonts w:eastAsia="TimesNewRoman"/>
          <w:szCs w:val="22"/>
          <w:lang w:val="lt-LT"/>
        </w:rPr>
        <w:t xml:space="preserve"> </w:t>
      </w:r>
      <w:r w:rsidR="00C42EAA" w:rsidRPr="00CD7E52">
        <w:rPr>
          <w:rFonts w:eastAsia="TimesNewRoman"/>
          <w:snapToGrid/>
          <w:szCs w:val="22"/>
          <w:lang w:val="lt-LT"/>
        </w:rPr>
        <w:t>paros</w:t>
      </w:r>
      <w:r w:rsidRPr="00CD7E52">
        <w:rPr>
          <w:rFonts w:eastAsia="TimesNewRoman"/>
          <w:szCs w:val="22"/>
          <w:lang w:val="lt-LT"/>
        </w:rPr>
        <w:t xml:space="preserve"> dozes sisteminė ekspozicija didėja proporcingai</w:t>
      </w:r>
      <w:r w:rsidR="00C42EAA" w:rsidRPr="00CD7E52">
        <w:rPr>
          <w:rFonts w:eastAsia="TimesNewRoman"/>
          <w:szCs w:val="22"/>
          <w:lang w:val="lt-LT"/>
        </w:rPr>
        <w:t xml:space="preserve"> </w:t>
      </w:r>
      <w:r w:rsidRPr="00CD7E52">
        <w:rPr>
          <w:rFonts w:eastAsia="TimesNewRoman"/>
          <w:szCs w:val="22"/>
          <w:lang w:val="lt-LT"/>
        </w:rPr>
        <w:t>dozei. Vartojant apremilast</w:t>
      </w:r>
      <w:r w:rsidR="009B79B7">
        <w:rPr>
          <w:rFonts w:eastAsia="TimesNewRoman"/>
          <w:szCs w:val="22"/>
          <w:lang w:val="lt-LT"/>
        </w:rPr>
        <w:t>o</w:t>
      </w:r>
      <w:r w:rsidRPr="00CD7E52">
        <w:rPr>
          <w:rFonts w:eastAsia="TimesNewRoman"/>
          <w:szCs w:val="22"/>
          <w:lang w:val="lt-LT"/>
        </w:rPr>
        <w:t xml:space="preserve"> kartą per parą, jis kaupiasi minimaliai; vartojant du kartus per parą, sveikų</w:t>
      </w:r>
      <w:r w:rsidR="00C42EAA" w:rsidRPr="00CD7E52">
        <w:rPr>
          <w:rFonts w:eastAsia="TimesNewRoman"/>
          <w:szCs w:val="22"/>
          <w:lang w:val="lt-LT"/>
        </w:rPr>
        <w:t xml:space="preserve"> </w:t>
      </w:r>
      <w:r w:rsidRPr="00CD7E52">
        <w:rPr>
          <w:rFonts w:eastAsia="TimesNewRoman"/>
          <w:szCs w:val="22"/>
          <w:lang w:val="lt-LT"/>
        </w:rPr>
        <w:t>tiriamųjų organizme jo kaupimasis sudaro</w:t>
      </w:r>
      <w:r w:rsidR="00831FD6" w:rsidRPr="00CD7E52">
        <w:rPr>
          <w:rFonts w:eastAsia="TimesNewRoman"/>
          <w:szCs w:val="22"/>
          <w:lang w:val="lt-LT"/>
        </w:rPr>
        <w:t xml:space="preserve"> maždaug</w:t>
      </w:r>
      <w:r w:rsidRPr="00CD7E52">
        <w:rPr>
          <w:rFonts w:eastAsia="TimesNewRoman"/>
          <w:szCs w:val="22"/>
          <w:lang w:val="lt-LT"/>
        </w:rPr>
        <w:t xml:space="preserve"> 53</w:t>
      </w:r>
      <w:r w:rsidR="00C42EAA" w:rsidRPr="00CD7E52">
        <w:rPr>
          <w:rFonts w:eastAsia="TimesNewRoman"/>
          <w:szCs w:val="22"/>
          <w:lang w:val="lt-LT"/>
        </w:rPr>
        <w:t> </w:t>
      </w:r>
      <w:r w:rsidRPr="00CD7E52">
        <w:rPr>
          <w:rFonts w:eastAsia="TimesNewRoman"/>
          <w:szCs w:val="22"/>
          <w:lang w:val="lt-LT"/>
        </w:rPr>
        <w:t xml:space="preserve">%, psoriaze sergančių </w:t>
      </w:r>
      <w:r w:rsidRPr="00CD7E52">
        <w:rPr>
          <w:rFonts w:eastAsia="TimesNewRoman"/>
          <w:szCs w:val="22"/>
          <w:lang w:val="lt-LT"/>
        </w:rPr>
        <w:lastRenderedPageBreak/>
        <w:t>pacientų – 68</w:t>
      </w:r>
      <w:r w:rsidR="00C42EAA" w:rsidRPr="00CD7E52">
        <w:rPr>
          <w:rFonts w:eastAsia="TimesNewRoman"/>
          <w:szCs w:val="22"/>
          <w:lang w:val="lt-LT"/>
        </w:rPr>
        <w:t> </w:t>
      </w:r>
      <w:r w:rsidRPr="00CD7E52">
        <w:rPr>
          <w:rFonts w:eastAsia="TimesNewRoman"/>
          <w:szCs w:val="22"/>
          <w:lang w:val="lt-LT"/>
        </w:rPr>
        <w:t>%. Vartojant kartu su</w:t>
      </w:r>
      <w:r w:rsidR="00C42EAA" w:rsidRPr="00CD7E52">
        <w:rPr>
          <w:rFonts w:eastAsia="TimesNewRoman"/>
          <w:szCs w:val="22"/>
          <w:lang w:val="lt-LT"/>
        </w:rPr>
        <w:t xml:space="preserve"> </w:t>
      </w:r>
      <w:r w:rsidRPr="00CD7E52">
        <w:rPr>
          <w:rFonts w:eastAsia="TimesNewRoman"/>
          <w:szCs w:val="22"/>
          <w:lang w:val="lt-LT"/>
        </w:rPr>
        <w:t>maistu, biologinis prieinamumas nekinta, todėl apremilast</w:t>
      </w:r>
      <w:r w:rsidR="00682A45">
        <w:rPr>
          <w:rFonts w:eastAsia="TimesNewRoman"/>
          <w:szCs w:val="22"/>
          <w:lang w:val="lt-LT"/>
        </w:rPr>
        <w:t>o</w:t>
      </w:r>
      <w:r w:rsidRPr="00CD7E52">
        <w:rPr>
          <w:rFonts w:eastAsia="TimesNewRoman"/>
          <w:szCs w:val="22"/>
          <w:lang w:val="lt-LT"/>
        </w:rPr>
        <w:t xml:space="preserve"> galima vartoti valgio metu arba </w:t>
      </w:r>
      <w:r w:rsidR="00C42EAA" w:rsidRPr="00CD7E52">
        <w:rPr>
          <w:rFonts w:eastAsia="TimesNewRoman"/>
          <w:snapToGrid/>
          <w:szCs w:val="22"/>
          <w:lang w:val="lt-LT"/>
        </w:rPr>
        <w:t>nevalgius</w:t>
      </w:r>
      <w:r w:rsidRPr="00CD7E52">
        <w:rPr>
          <w:rFonts w:eastAsia="TimesNewRoman"/>
          <w:szCs w:val="22"/>
          <w:lang w:val="lt-LT"/>
        </w:rPr>
        <w:t>.</w:t>
      </w:r>
    </w:p>
    <w:p w14:paraId="1523C1C4" w14:textId="77777777" w:rsidR="00EB289C" w:rsidRPr="00CD7E52" w:rsidRDefault="00EB289C" w:rsidP="00BD0220">
      <w:pPr>
        <w:widowControl w:val="0"/>
        <w:tabs>
          <w:tab w:val="clear" w:pos="567"/>
        </w:tabs>
        <w:autoSpaceDE w:val="0"/>
        <w:autoSpaceDN w:val="0"/>
        <w:adjustRightInd w:val="0"/>
        <w:spacing w:line="240" w:lineRule="auto"/>
        <w:rPr>
          <w:rFonts w:eastAsia="TimesNewRoman"/>
          <w:szCs w:val="22"/>
          <w:lang w:val="lt-LT"/>
        </w:rPr>
      </w:pPr>
    </w:p>
    <w:p w14:paraId="17CD3168" w14:textId="77777777" w:rsidR="003A5CF5" w:rsidRPr="00CD7E52" w:rsidRDefault="003A5CF5" w:rsidP="00BD0220">
      <w:pPr>
        <w:widowControl w:val="0"/>
        <w:tabs>
          <w:tab w:val="clear" w:pos="567"/>
        </w:tabs>
        <w:autoSpaceDE w:val="0"/>
        <w:autoSpaceDN w:val="0"/>
        <w:adjustRightInd w:val="0"/>
        <w:spacing w:line="240" w:lineRule="auto"/>
        <w:rPr>
          <w:rFonts w:eastAsia="TimesNewRoman"/>
          <w:szCs w:val="22"/>
          <w:u w:val="single"/>
          <w:lang w:val="lt-LT"/>
        </w:rPr>
      </w:pPr>
      <w:r w:rsidRPr="00CD7E52">
        <w:rPr>
          <w:rFonts w:eastAsia="TimesNewRoman"/>
          <w:szCs w:val="22"/>
          <w:u w:val="single"/>
          <w:lang w:val="lt-LT"/>
        </w:rPr>
        <w:t>Pasiskirstymas</w:t>
      </w:r>
    </w:p>
    <w:p w14:paraId="35ED14E9" w14:textId="77777777" w:rsidR="003A5CF5" w:rsidRPr="00CD7E52" w:rsidRDefault="00D2361F"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napToGrid/>
          <w:szCs w:val="22"/>
          <w:lang w:val="lt-LT"/>
        </w:rPr>
        <w:t>Maždaug 68 % a</w:t>
      </w:r>
      <w:r w:rsidR="003A5CF5" w:rsidRPr="00CD7E52">
        <w:rPr>
          <w:rFonts w:eastAsia="TimesNewRoman"/>
          <w:snapToGrid/>
          <w:szCs w:val="22"/>
          <w:lang w:val="lt-LT"/>
        </w:rPr>
        <w:t>premilasto jungi</w:t>
      </w:r>
      <w:r w:rsidRPr="00CD7E52">
        <w:rPr>
          <w:rFonts w:eastAsia="TimesNewRoman"/>
          <w:snapToGrid/>
          <w:szCs w:val="22"/>
          <w:lang w:val="lt-LT"/>
        </w:rPr>
        <w:t>asi</w:t>
      </w:r>
      <w:r w:rsidR="003A5CF5" w:rsidRPr="00CD7E52">
        <w:rPr>
          <w:rFonts w:eastAsia="TimesNewRoman"/>
          <w:szCs w:val="22"/>
          <w:lang w:val="lt-LT"/>
        </w:rPr>
        <w:t xml:space="preserve"> su žmogaus plazmos baltymais</w:t>
      </w:r>
      <w:r w:rsidR="003A5CF5" w:rsidRPr="00CD7E52">
        <w:rPr>
          <w:rFonts w:eastAsia="TimesNewRoman"/>
          <w:snapToGrid/>
          <w:szCs w:val="22"/>
          <w:lang w:val="lt-LT"/>
        </w:rPr>
        <w:t>.</w:t>
      </w:r>
      <w:r w:rsidR="003A5CF5" w:rsidRPr="00CD7E52">
        <w:rPr>
          <w:rFonts w:eastAsia="TimesNewRoman"/>
          <w:szCs w:val="22"/>
          <w:lang w:val="lt-LT"/>
        </w:rPr>
        <w:t xml:space="preserve"> Vidutinis tariamasis</w:t>
      </w:r>
      <w:r w:rsidRPr="00CD7E52">
        <w:rPr>
          <w:rFonts w:eastAsia="TimesNewRoman"/>
          <w:szCs w:val="22"/>
          <w:lang w:val="lt-LT"/>
        </w:rPr>
        <w:t xml:space="preserve"> </w:t>
      </w:r>
      <w:r w:rsidR="003A5CF5" w:rsidRPr="00CD7E52">
        <w:rPr>
          <w:rFonts w:eastAsia="TimesNewRoman"/>
          <w:szCs w:val="22"/>
          <w:lang w:val="lt-LT"/>
        </w:rPr>
        <w:t>pasiskirstymo tūris (Vd) yra 87</w:t>
      </w:r>
      <w:r w:rsidRPr="00CD7E52">
        <w:rPr>
          <w:rFonts w:eastAsia="TimesNewRoman"/>
          <w:szCs w:val="22"/>
          <w:lang w:val="lt-LT"/>
        </w:rPr>
        <w:t> </w:t>
      </w:r>
      <w:r w:rsidR="003A5CF5" w:rsidRPr="00CD7E52">
        <w:rPr>
          <w:rFonts w:eastAsia="TimesNewRoman"/>
          <w:szCs w:val="22"/>
          <w:lang w:val="lt-LT"/>
        </w:rPr>
        <w:t>l, tai rodo ekstravaskulinį pasiskirstymą.</w:t>
      </w:r>
    </w:p>
    <w:p w14:paraId="6347F5F9" w14:textId="77777777" w:rsidR="00C42EAA" w:rsidRPr="00CD7E52" w:rsidRDefault="00C42EAA" w:rsidP="00BD0220">
      <w:pPr>
        <w:widowControl w:val="0"/>
        <w:tabs>
          <w:tab w:val="clear" w:pos="567"/>
        </w:tabs>
        <w:autoSpaceDE w:val="0"/>
        <w:autoSpaceDN w:val="0"/>
        <w:adjustRightInd w:val="0"/>
        <w:spacing w:line="240" w:lineRule="auto"/>
        <w:rPr>
          <w:rFonts w:eastAsia="TimesNewRoman"/>
          <w:szCs w:val="22"/>
          <w:lang w:val="lt-LT"/>
        </w:rPr>
      </w:pPr>
    </w:p>
    <w:p w14:paraId="5AB44EA9" w14:textId="77777777" w:rsidR="003A5CF5" w:rsidRPr="00CD7E52" w:rsidRDefault="003A5CF5" w:rsidP="00BD0220">
      <w:pPr>
        <w:widowControl w:val="0"/>
        <w:tabs>
          <w:tab w:val="clear" w:pos="567"/>
        </w:tabs>
        <w:autoSpaceDE w:val="0"/>
        <w:autoSpaceDN w:val="0"/>
        <w:adjustRightInd w:val="0"/>
        <w:spacing w:line="240" w:lineRule="auto"/>
        <w:rPr>
          <w:rFonts w:eastAsia="TimesNewRoman"/>
          <w:szCs w:val="22"/>
          <w:u w:val="single"/>
          <w:lang w:val="lt-LT"/>
        </w:rPr>
      </w:pPr>
      <w:r w:rsidRPr="00CD7E52">
        <w:rPr>
          <w:rFonts w:eastAsia="TimesNewRoman"/>
          <w:szCs w:val="22"/>
          <w:u w:val="single"/>
          <w:lang w:val="lt-LT"/>
        </w:rPr>
        <w:t>Biotransformacija</w:t>
      </w:r>
    </w:p>
    <w:p w14:paraId="523A973D" w14:textId="77777777" w:rsidR="003A5CF5" w:rsidRPr="00CD7E52" w:rsidRDefault="003A5CF5"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napToGrid/>
          <w:szCs w:val="22"/>
          <w:lang w:val="lt-LT"/>
        </w:rPr>
        <w:t>Apremilast</w:t>
      </w:r>
      <w:r w:rsidR="00D2361F" w:rsidRPr="00CD7E52">
        <w:rPr>
          <w:rFonts w:eastAsia="TimesNewRoman"/>
          <w:snapToGrid/>
          <w:szCs w:val="22"/>
          <w:lang w:val="lt-LT"/>
        </w:rPr>
        <w:t>as</w:t>
      </w:r>
      <w:r w:rsidRPr="00CD7E52">
        <w:rPr>
          <w:rFonts w:eastAsia="TimesNewRoman"/>
          <w:snapToGrid/>
          <w:szCs w:val="22"/>
          <w:lang w:val="lt-LT"/>
        </w:rPr>
        <w:t xml:space="preserve"> </w:t>
      </w:r>
      <w:r w:rsidR="00D2361F" w:rsidRPr="00CD7E52">
        <w:rPr>
          <w:rFonts w:eastAsia="TimesNewRoman"/>
          <w:snapToGrid/>
          <w:szCs w:val="22"/>
          <w:lang w:val="lt-LT"/>
        </w:rPr>
        <w:t>yra ekstensyviai</w:t>
      </w:r>
      <w:r w:rsidRPr="00CD7E52">
        <w:rPr>
          <w:rFonts w:eastAsia="TimesNewRoman"/>
          <w:snapToGrid/>
          <w:szCs w:val="22"/>
          <w:lang w:val="lt-LT"/>
        </w:rPr>
        <w:t xml:space="preserve"> metabolizuo</w:t>
      </w:r>
      <w:r w:rsidR="00D2361F" w:rsidRPr="00CD7E52">
        <w:rPr>
          <w:rFonts w:eastAsia="TimesNewRoman"/>
          <w:snapToGrid/>
          <w:szCs w:val="22"/>
          <w:lang w:val="lt-LT"/>
        </w:rPr>
        <w:t>jamas tiek dalyvaujant</w:t>
      </w:r>
      <w:r w:rsidRPr="00CD7E52">
        <w:rPr>
          <w:rFonts w:eastAsia="TimesNewRoman"/>
          <w:szCs w:val="22"/>
          <w:lang w:val="lt-LT"/>
        </w:rPr>
        <w:t xml:space="preserve"> CYP</w:t>
      </w:r>
      <w:r w:rsidR="00D2361F" w:rsidRPr="00CD7E52">
        <w:rPr>
          <w:rFonts w:eastAsia="TimesNewRoman"/>
          <w:szCs w:val="22"/>
          <w:lang w:val="lt-LT"/>
        </w:rPr>
        <w:t xml:space="preserve"> </w:t>
      </w:r>
      <w:r w:rsidR="00D2361F" w:rsidRPr="00CD7E52">
        <w:rPr>
          <w:rFonts w:eastAsia="TimesNewRoman"/>
          <w:snapToGrid/>
          <w:szCs w:val="22"/>
          <w:lang w:val="lt-LT"/>
        </w:rPr>
        <w:t>izofermentams, tiek jiems nedalyvaujant</w:t>
      </w:r>
      <w:r w:rsidRPr="00CD7E52">
        <w:rPr>
          <w:rFonts w:eastAsia="TimesNewRoman"/>
          <w:szCs w:val="22"/>
          <w:lang w:val="lt-LT"/>
        </w:rPr>
        <w:t>, įskaitant oksidaciją, hidrolizę ir</w:t>
      </w:r>
      <w:r w:rsidR="00D2361F" w:rsidRPr="00CD7E52">
        <w:rPr>
          <w:rFonts w:eastAsia="TimesNewRoman"/>
          <w:szCs w:val="22"/>
          <w:lang w:val="lt-LT"/>
        </w:rPr>
        <w:t xml:space="preserve"> </w:t>
      </w:r>
      <w:r w:rsidRPr="00CD7E52">
        <w:rPr>
          <w:rFonts w:eastAsia="TimesNewRoman"/>
          <w:szCs w:val="22"/>
          <w:lang w:val="lt-LT"/>
        </w:rPr>
        <w:t xml:space="preserve">konjugaciją, tai rodo, kad </w:t>
      </w:r>
      <w:r w:rsidR="00D2361F" w:rsidRPr="00CD7E52">
        <w:rPr>
          <w:rFonts w:eastAsia="TimesNewRoman"/>
          <w:snapToGrid/>
          <w:szCs w:val="22"/>
          <w:lang w:val="lt-LT"/>
        </w:rPr>
        <w:t xml:space="preserve">užslopinus </w:t>
      </w:r>
      <w:r w:rsidRPr="00CD7E52">
        <w:rPr>
          <w:rFonts w:eastAsia="TimesNewRoman"/>
          <w:snapToGrid/>
          <w:szCs w:val="22"/>
          <w:lang w:val="lt-LT"/>
        </w:rPr>
        <w:t>vien</w:t>
      </w:r>
      <w:r w:rsidR="00D2361F" w:rsidRPr="00CD7E52">
        <w:rPr>
          <w:rFonts w:eastAsia="TimesNewRoman"/>
          <w:snapToGrid/>
          <w:szCs w:val="22"/>
          <w:lang w:val="lt-LT"/>
        </w:rPr>
        <w:t>ą</w:t>
      </w:r>
      <w:r w:rsidRPr="00CD7E52">
        <w:rPr>
          <w:rFonts w:eastAsia="TimesNewRoman"/>
          <w:szCs w:val="22"/>
          <w:lang w:val="lt-LT"/>
        </w:rPr>
        <w:t xml:space="preserve"> klirenso </w:t>
      </w:r>
      <w:r w:rsidR="00D2361F" w:rsidRPr="00CD7E52">
        <w:rPr>
          <w:rFonts w:eastAsia="TimesNewRoman"/>
          <w:snapToGrid/>
          <w:szCs w:val="22"/>
          <w:lang w:val="lt-LT"/>
        </w:rPr>
        <w:t>mechanizmą reikšminga vais</w:t>
      </w:r>
      <w:r w:rsidR="00944A47" w:rsidRPr="00CD7E52">
        <w:rPr>
          <w:rFonts w:eastAsia="TimesNewRoman"/>
          <w:snapToGrid/>
          <w:szCs w:val="22"/>
          <w:lang w:val="lt-LT"/>
        </w:rPr>
        <w:t>ti</w:t>
      </w:r>
      <w:r w:rsidR="00D2361F" w:rsidRPr="00CD7E52">
        <w:rPr>
          <w:rFonts w:eastAsia="TimesNewRoman"/>
          <w:snapToGrid/>
          <w:szCs w:val="22"/>
          <w:lang w:val="lt-LT"/>
        </w:rPr>
        <w:t>nių preparatų sąveika nėra tikėtina.</w:t>
      </w:r>
      <w:r w:rsidRPr="00CD7E52">
        <w:rPr>
          <w:rFonts w:eastAsia="TimesNewRoman"/>
          <w:szCs w:val="22"/>
          <w:lang w:val="lt-LT"/>
        </w:rPr>
        <w:t xml:space="preserve"> Apremilasto oksidacinį metabolizmą daugiausiai </w:t>
      </w:r>
      <w:r w:rsidR="00D2361F" w:rsidRPr="00CD7E52">
        <w:rPr>
          <w:rFonts w:eastAsia="TimesNewRoman"/>
          <w:snapToGrid/>
          <w:szCs w:val="22"/>
          <w:lang w:val="lt-LT"/>
        </w:rPr>
        <w:t>lemia</w:t>
      </w:r>
      <w:r w:rsidRPr="00CD7E52">
        <w:rPr>
          <w:rFonts w:eastAsia="TimesNewRoman"/>
          <w:szCs w:val="22"/>
          <w:lang w:val="lt-LT"/>
        </w:rPr>
        <w:t xml:space="preserve"> CYP3A4, kiek mažiau – CYP1A2 ir</w:t>
      </w:r>
      <w:r w:rsidR="00D2361F" w:rsidRPr="00CD7E52">
        <w:rPr>
          <w:rFonts w:eastAsia="TimesNewRoman"/>
          <w:szCs w:val="22"/>
          <w:lang w:val="lt-LT"/>
        </w:rPr>
        <w:t xml:space="preserve"> </w:t>
      </w:r>
      <w:r w:rsidRPr="00CD7E52">
        <w:rPr>
          <w:rFonts w:eastAsia="TimesNewRoman"/>
          <w:szCs w:val="22"/>
          <w:lang w:val="lt-LT"/>
        </w:rPr>
        <w:t xml:space="preserve">CYP2A6. Pavartojus per burną, apremilastas yra pagrindinis </w:t>
      </w:r>
      <w:r w:rsidR="00D2361F" w:rsidRPr="00CD7E52">
        <w:rPr>
          <w:rFonts w:eastAsia="TimesNewRoman"/>
          <w:snapToGrid/>
          <w:szCs w:val="22"/>
          <w:lang w:val="lt-LT"/>
        </w:rPr>
        <w:t>kraujyje nustatomas</w:t>
      </w:r>
      <w:r w:rsidRPr="00CD7E52">
        <w:rPr>
          <w:rFonts w:eastAsia="TimesNewRoman"/>
          <w:szCs w:val="22"/>
          <w:lang w:val="lt-LT"/>
        </w:rPr>
        <w:t xml:space="preserve"> komponentas. Apremilastas</w:t>
      </w:r>
      <w:r w:rsidR="00D2361F" w:rsidRPr="00CD7E52">
        <w:rPr>
          <w:rFonts w:eastAsia="TimesNewRoman"/>
          <w:szCs w:val="22"/>
          <w:lang w:val="lt-LT"/>
        </w:rPr>
        <w:t xml:space="preserve"> </w:t>
      </w:r>
      <w:r w:rsidR="00D2361F" w:rsidRPr="00CD7E52">
        <w:rPr>
          <w:rFonts w:eastAsia="TimesNewRoman"/>
          <w:snapToGrid/>
          <w:szCs w:val="22"/>
          <w:lang w:val="lt-LT"/>
        </w:rPr>
        <w:t>yra ekstensyviai</w:t>
      </w:r>
      <w:r w:rsidRPr="00CD7E52">
        <w:rPr>
          <w:rFonts w:eastAsia="TimesNewRoman"/>
          <w:szCs w:val="22"/>
          <w:lang w:val="lt-LT"/>
        </w:rPr>
        <w:t xml:space="preserve"> metabolizuojamas, tik 3</w:t>
      </w:r>
      <w:r w:rsidR="00D2361F" w:rsidRPr="00CD7E52">
        <w:rPr>
          <w:rFonts w:eastAsia="TimesNewRoman"/>
          <w:szCs w:val="22"/>
          <w:lang w:val="lt-LT"/>
        </w:rPr>
        <w:t> </w:t>
      </w:r>
      <w:r w:rsidRPr="00CD7E52">
        <w:rPr>
          <w:rFonts w:eastAsia="TimesNewRoman"/>
          <w:szCs w:val="22"/>
          <w:lang w:val="lt-LT"/>
        </w:rPr>
        <w:t>% ir 7</w:t>
      </w:r>
      <w:r w:rsidR="00D2361F" w:rsidRPr="00CD7E52">
        <w:rPr>
          <w:rFonts w:eastAsia="TimesNewRoman"/>
          <w:szCs w:val="22"/>
          <w:lang w:val="lt-LT"/>
        </w:rPr>
        <w:t> </w:t>
      </w:r>
      <w:r w:rsidRPr="00CD7E52">
        <w:rPr>
          <w:rFonts w:eastAsia="TimesNewRoman"/>
          <w:szCs w:val="22"/>
          <w:lang w:val="lt-LT"/>
        </w:rPr>
        <w:t xml:space="preserve">% </w:t>
      </w:r>
      <w:r w:rsidR="00D2361F" w:rsidRPr="00CD7E52">
        <w:rPr>
          <w:rFonts w:eastAsia="TimesNewRoman"/>
          <w:snapToGrid/>
          <w:szCs w:val="22"/>
          <w:lang w:val="lt-LT"/>
        </w:rPr>
        <w:t>pirminės medžiagos nustatoma atitinkamai</w:t>
      </w:r>
      <w:r w:rsidRPr="00CD7E52">
        <w:rPr>
          <w:rFonts w:eastAsia="TimesNewRoman"/>
          <w:snapToGrid/>
          <w:szCs w:val="22"/>
          <w:lang w:val="lt-LT"/>
        </w:rPr>
        <w:t xml:space="preserve"> šlapim</w:t>
      </w:r>
      <w:r w:rsidR="00D2361F" w:rsidRPr="00CD7E52">
        <w:rPr>
          <w:rFonts w:eastAsia="TimesNewRoman"/>
          <w:snapToGrid/>
          <w:szCs w:val="22"/>
          <w:lang w:val="lt-LT"/>
        </w:rPr>
        <w:t>e</w:t>
      </w:r>
      <w:r w:rsidRPr="00CD7E52">
        <w:rPr>
          <w:rFonts w:eastAsia="TimesNewRoman"/>
          <w:snapToGrid/>
          <w:szCs w:val="22"/>
          <w:lang w:val="lt-LT"/>
        </w:rPr>
        <w:t xml:space="preserve"> ir</w:t>
      </w:r>
      <w:r w:rsidR="00D2361F" w:rsidRPr="00CD7E52">
        <w:rPr>
          <w:rFonts w:eastAsia="TimesNewRoman"/>
          <w:snapToGrid/>
          <w:szCs w:val="22"/>
          <w:lang w:val="lt-LT"/>
        </w:rPr>
        <w:t xml:space="preserve"> </w:t>
      </w:r>
      <w:r w:rsidRPr="00CD7E52">
        <w:rPr>
          <w:rFonts w:eastAsia="TimesNewRoman"/>
          <w:snapToGrid/>
          <w:szCs w:val="22"/>
          <w:lang w:val="lt-LT"/>
        </w:rPr>
        <w:t>išmato</w:t>
      </w:r>
      <w:r w:rsidR="00D2361F" w:rsidRPr="00CD7E52">
        <w:rPr>
          <w:rFonts w:eastAsia="TimesNewRoman"/>
          <w:snapToGrid/>
          <w:szCs w:val="22"/>
          <w:lang w:val="lt-LT"/>
        </w:rPr>
        <w:t>se</w:t>
      </w:r>
      <w:r w:rsidRPr="00CD7E52">
        <w:rPr>
          <w:rFonts w:eastAsia="TimesNewRoman"/>
          <w:snapToGrid/>
          <w:szCs w:val="22"/>
          <w:lang w:val="lt-LT"/>
        </w:rPr>
        <w:t>.</w:t>
      </w:r>
      <w:r w:rsidRPr="00CD7E52">
        <w:rPr>
          <w:rFonts w:eastAsia="TimesNewRoman"/>
          <w:szCs w:val="22"/>
          <w:lang w:val="lt-LT"/>
        </w:rPr>
        <w:t xml:space="preserve"> Pagrindinis </w:t>
      </w:r>
      <w:r w:rsidR="00D2361F" w:rsidRPr="00CD7E52">
        <w:rPr>
          <w:rFonts w:eastAsia="TimesNewRoman"/>
          <w:snapToGrid/>
          <w:szCs w:val="22"/>
          <w:lang w:val="lt-LT"/>
        </w:rPr>
        <w:t>kraujyje esantis</w:t>
      </w:r>
      <w:r w:rsidRPr="00CD7E52">
        <w:rPr>
          <w:rFonts w:eastAsia="TimesNewRoman"/>
          <w:szCs w:val="22"/>
          <w:lang w:val="lt-LT"/>
        </w:rPr>
        <w:t xml:space="preserve"> neaktyvus metabolitas yra O-demetilinto apremilasto gliukuronido</w:t>
      </w:r>
      <w:r w:rsidR="00D2361F" w:rsidRPr="00CD7E52">
        <w:rPr>
          <w:rFonts w:eastAsia="TimesNewRoman"/>
          <w:szCs w:val="22"/>
          <w:lang w:val="lt-LT"/>
        </w:rPr>
        <w:t xml:space="preserve"> </w:t>
      </w:r>
      <w:r w:rsidRPr="00CD7E52">
        <w:rPr>
          <w:rFonts w:eastAsia="TimesNewRoman"/>
          <w:szCs w:val="22"/>
          <w:lang w:val="lt-LT"/>
        </w:rPr>
        <w:t xml:space="preserve">konjugatas (M12). </w:t>
      </w:r>
      <w:r w:rsidR="00D2361F" w:rsidRPr="00CD7E52">
        <w:rPr>
          <w:rFonts w:eastAsia="TimesNewRoman"/>
          <w:snapToGrid/>
          <w:szCs w:val="22"/>
          <w:lang w:val="lt-LT"/>
        </w:rPr>
        <w:t>A</w:t>
      </w:r>
      <w:r w:rsidRPr="00CD7E52">
        <w:rPr>
          <w:rFonts w:eastAsia="TimesNewRoman"/>
          <w:snapToGrid/>
          <w:szCs w:val="22"/>
          <w:lang w:val="lt-LT"/>
        </w:rPr>
        <w:t>premilastas</w:t>
      </w:r>
      <w:r w:rsidRPr="00CD7E52">
        <w:rPr>
          <w:rFonts w:eastAsia="TimesNewRoman"/>
          <w:szCs w:val="22"/>
          <w:lang w:val="lt-LT"/>
        </w:rPr>
        <w:t xml:space="preserve"> yra CYP3A4 substratas, </w:t>
      </w:r>
      <w:r w:rsidR="00D2361F" w:rsidRPr="00CD7E52">
        <w:rPr>
          <w:rFonts w:eastAsia="TimesNewRoman"/>
          <w:snapToGrid/>
          <w:szCs w:val="22"/>
          <w:lang w:val="lt-LT"/>
        </w:rPr>
        <w:t xml:space="preserve">todėl jo </w:t>
      </w:r>
      <w:r w:rsidRPr="00CD7E52">
        <w:rPr>
          <w:rFonts w:eastAsia="TimesNewRoman"/>
          <w:szCs w:val="22"/>
          <w:lang w:val="lt-LT"/>
        </w:rPr>
        <w:t xml:space="preserve">vartojant kartu su rifampicinu </w:t>
      </w:r>
      <w:r w:rsidR="00D2361F" w:rsidRPr="00CD7E52">
        <w:rPr>
          <w:rFonts w:eastAsia="TimesNewRoman"/>
          <w:snapToGrid/>
          <w:szCs w:val="22"/>
          <w:lang w:val="lt-LT"/>
        </w:rPr>
        <w:t>(</w:t>
      </w:r>
      <w:r w:rsidR="00D2361F" w:rsidRPr="00CD7E52">
        <w:rPr>
          <w:rFonts w:eastAsia="TimesNewRoman"/>
          <w:szCs w:val="22"/>
          <w:lang w:val="lt-LT"/>
        </w:rPr>
        <w:t xml:space="preserve">stipriu </w:t>
      </w:r>
      <w:r w:rsidRPr="00CD7E52">
        <w:rPr>
          <w:rFonts w:eastAsia="TimesNewRoman"/>
          <w:szCs w:val="22"/>
          <w:lang w:val="lt-LT"/>
        </w:rPr>
        <w:t>CYP3A4 induktoriumi</w:t>
      </w:r>
      <w:r w:rsidR="00D2361F" w:rsidRPr="00CD7E52">
        <w:rPr>
          <w:rFonts w:eastAsia="TimesNewRoman"/>
          <w:snapToGrid/>
          <w:szCs w:val="22"/>
          <w:lang w:val="lt-LT"/>
        </w:rPr>
        <w:t>)</w:t>
      </w:r>
      <w:r w:rsidRPr="00CD7E52">
        <w:rPr>
          <w:rFonts w:eastAsia="TimesNewRoman"/>
          <w:szCs w:val="22"/>
          <w:lang w:val="lt-LT"/>
        </w:rPr>
        <w:t xml:space="preserve"> apremilasto ekspozicija</w:t>
      </w:r>
      <w:r w:rsidR="00D2361F" w:rsidRPr="00CD7E52">
        <w:rPr>
          <w:rFonts w:eastAsia="TimesNewRoman"/>
          <w:snapToGrid/>
          <w:szCs w:val="22"/>
          <w:lang w:val="lt-LT"/>
        </w:rPr>
        <w:t xml:space="preserve"> sumažėja</w:t>
      </w:r>
      <w:r w:rsidRPr="00CD7E52">
        <w:rPr>
          <w:rFonts w:eastAsia="TimesNewRoman"/>
          <w:szCs w:val="22"/>
          <w:lang w:val="lt-LT"/>
        </w:rPr>
        <w:t>.</w:t>
      </w:r>
    </w:p>
    <w:p w14:paraId="2CC8E3F1" w14:textId="77777777" w:rsidR="0047233C" w:rsidRPr="00CD7E52" w:rsidRDefault="0047233C" w:rsidP="00BD0220">
      <w:pPr>
        <w:widowControl w:val="0"/>
        <w:tabs>
          <w:tab w:val="clear" w:pos="567"/>
        </w:tabs>
        <w:autoSpaceDE w:val="0"/>
        <w:autoSpaceDN w:val="0"/>
        <w:adjustRightInd w:val="0"/>
        <w:spacing w:line="240" w:lineRule="auto"/>
        <w:rPr>
          <w:rFonts w:eastAsia="TimesNewRoman"/>
          <w:szCs w:val="22"/>
          <w:lang w:val="lt-LT"/>
        </w:rPr>
      </w:pPr>
    </w:p>
    <w:p w14:paraId="31DD53CB" w14:textId="77777777" w:rsidR="003A5CF5" w:rsidRPr="00CD7E52" w:rsidRDefault="003A5CF5"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i/>
          <w:szCs w:val="22"/>
          <w:lang w:val="lt-LT"/>
        </w:rPr>
        <w:t>In vitro</w:t>
      </w:r>
      <w:r w:rsidRPr="00CD7E52">
        <w:rPr>
          <w:rFonts w:eastAsia="TimesNewRoman"/>
          <w:szCs w:val="22"/>
          <w:lang w:val="lt-LT"/>
        </w:rPr>
        <w:t xml:space="preserve"> apremilastas nėra citochromo P450 fermentų inhibitorius arba induktorius. Taigi </w:t>
      </w:r>
      <w:r w:rsidRPr="00CD7E52">
        <w:rPr>
          <w:rFonts w:eastAsia="TimesNewRoman"/>
          <w:snapToGrid/>
          <w:szCs w:val="22"/>
          <w:lang w:val="lt-LT"/>
        </w:rPr>
        <w:t>apremilast</w:t>
      </w:r>
      <w:r w:rsidR="0047233C" w:rsidRPr="00CD7E52">
        <w:rPr>
          <w:rFonts w:eastAsia="TimesNewRoman"/>
          <w:snapToGrid/>
          <w:szCs w:val="22"/>
          <w:lang w:val="lt-LT"/>
        </w:rPr>
        <w:t>o</w:t>
      </w:r>
      <w:r w:rsidRPr="00CD7E52">
        <w:rPr>
          <w:rFonts w:eastAsia="TimesNewRoman"/>
          <w:snapToGrid/>
          <w:szCs w:val="22"/>
          <w:lang w:val="lt-LT"/>
        </w:rPr>
        <w:t>,</w:t>
      </w:r>
      <w:r w:rsidR="0047233C" w:rsidRPr="00CD7E52">
        <w:rPr>
          <w:rFonts w:eastAsia="TimesNewRoman"/>
          <w:snapToGrid/>
          <w:szCs w:val="22"/>
          <w:lang w:val="lt-LT"/>
        </w:rPr>
        <w:t xml:space="preserve"> </w:t>
      </w:r>
      <w:r w:rsidRPr="00CD7E52">
        <w:rPr>
          <w:rFonts w:eastAsia="TimesNewRoman"/>
          <w:snapToGrid/>
          <w:szCs w:val="22"/>
          <w:lang w:val="lt-LT"/>
        </w:rPr>
        <w:t>vartojam</w:t>
      </w:r>
      <w:r w:rsidR="0047233C" w:rsidRPr="00CD7E52">
        <w:rPr>
          <w:rFonts w:eastAsia="TimesNewRoman"/>
          <w:snapToGrid/>
          <w:szCs w:val="22"/>
          <w:lang w:val="lt-LT"/>
        </w:rPr>
        <w:t>o</w:t>
      </w:r>
      <w:r w:rsidRPr="00CD7E52">
        <w:rPr>
          <w:rFonts w:eastAsia="TimesNewRoman"/>
          <w:szCs w:val="22"/>
          <w:lang w:val="lt-LT"/>
        </w:rPr>
        <w:t xml:space="preserve"> kartu su CYP fermentų substratais, </w:t>
      </w:r>
      <w:r w:rsidR="0047233C" w:rsidRPr="00CD7E52">
        <w:rPr>
          <w:rFonts w:eastAsia="TimesNewRoman"/>
          <w:snapToGrid/>
          <w:szCs w:val="22"/>
          <w:lang w:val="lt-LT"/>
        </w:rPr>
        <w:t>poveikis</w:t>
      </w:r>
      <w:r w:rsidRPr="00CD7E52">
        <w:rPr>
          <w:rFonts w:eastAsia="TimesNewRoman"/>
          <w:szCs w:val="22"/>
          <w:lang w:val="lt-LT"/>
        </w:rPr>
        <w:t xml:space="preserve"> veikliųjų medžiagų, kurias metabolizuoja CYP</w:t>
      </w:r>
      <w:r w:rsidR="0047233C" w:rsidRPr="00CD7E52">
        <w:rPr>
          <w:rFonts w:eastAsia="TimesNewRoman"/>
          <w:szCs w:val="22"/>
          <w:lang w:val="lt-LT"/>
        </w:rPr>
        <w:t xml:space="preserve"> </w:t>
      </w:r>
      <w:r w:rsidR="0047233C" w:rsidRPr="00CD7E52">
        <w:rPr>
          <w:rFonts w:eastAsia="TimesNewRoman"/>
          <w:snapToGrid/>
          <w:szCs w:val="22"/>
          <w:lang w:val="lt-LT"/>
        </w:rPr>
        <w:t>izo</w:t>
      </w:r>
      <w:r w:rsidRPr="00CD7E52">
        <w:rPr>
          <w:rFonts w:eastAsia="TimesNewRoman"/>
          <w:snapToGrid/>
          <w:szCs w:val="22"/>
          <w:lang w:val="lt-LT"/>
        </w:rPr>
        <w:t>fermentai, klirens</w:t>
      </w:r>
      <w:r w:rsidR="0047233C" w:rsidRPr="00CD7E52">
        <w:rPr>
          <w:rFonts w:eastAsia="TimesNewRoman"/>
          <w:snapToGrid/>
          <w:szCs w:val="22"/>
          <w:lang w:val="lt-LT"/>
        </w:rPr>
        <w:t>ui</w:t>
      </w:r>
      <w:r w:rsidRPr="00CD7E52">
        <w:rPr>
          <w:rFonts w:eastAsia="TimesNewRoman"/>
          <w:szCs w:val="22"/>
          <w:lang w:val="lt-LT"/>
        </w:rPr>
        <w:t xml:space="preserve"> ir </w:t>
      </w:r>
      <w:r w:rsidRPr="00CD7E52">
        <w:rPr>
          <w:rFonts w:eastAsia="TimesNewRoman"/>
          <w:snapToGrid/>
          <w:szCs w:val="22"/>
          <w:lang w:val="lt-LT"/>
        </w:rPr>
        <w:t>ekspozicij</w:t>
      </w:r>
      <w:r w:rsidR="0047233C" w:rsidRPr="00CD7E52">
        <w:rPr>
          <w:rFonts w:eastAsia="TimesNewRoman"/>
          <w:snapToGrid/>
          <w:szCs w:val="22"/>
          <w:lang w:val="lt-LT"/>
        </w:rPr>
        <w:t>ai nėra tikėtinas</w:t>
      </w:r>
      <w:r w:rsidRPr="00CD7E52">
        <w:rPr>
          <w:rFonts w:eastAsia="TimesNewRoman"/>
          <w:szCs w:val="22"/>
          <w:lang w:val="lt-LT"/>
        </w:rPr>
        <w:t>.</w:t>
      </w:r>
    </w:p>
    <w:p w14:paraId="12E451EA" w14:textId="77777777" w:rsidR="0047233C" w:rsidRPr="00CD7E52" w:rsidRDefault="0047233C" w:rsidP="00BD0220">
      <w:pPr>
        <w:widowControl w:val="0"/>
        <w:tabs>
          <w:tab w:val="clear" w:pos="567"/>
        </w:tabs>
        <w:autoSpaceDE w:val="0"/>
        <w:autoSpaceDN w:val="0"/>
        <w:adjustRightInd w:val="0"/>
        <w:spacing w:line="240" w:lineRule="auto"/>
        <w:rPr>
          <w:rFonts w:eastAsia="TimesNewRoman"/>
          <w:szCs w:val="22"/>
          <w:lang w:val="lt-LT"/>
        </w:rPr>
      </w:pPr>
    </w:p>
    <w:p w14:paraId="5C273634" w14:textId="77777777" w:rsidR="003A5CF5" w:rsidRPr="00CD7E52" w:rsidRDefault="003A5CF5"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i/>
          <w:szCs w:val="22"/>
          <w:lang w:val="lt-LT"/>
        </w:rPr>
        <w:t xml:space="preserve">In vitro </w:t>
      </w:r>
      <w:r w:rsidRPr="00CD7E52">
        <w:rPr>
          <w:rFonts w:eastAsia="TimesNewRoman"/>
          <w:szCs w:val="22"/>
          <w:lang w:val="lt-LT"/>
        </w:rPr>
        <w:t>apremilastas yra substratas ir silpnas P glikoproteino inhibitorius (IC</w:t>
      </w:r>
      <w:r w:rsidRPr="00CD7E52">
        <w:rPr>
          <w:rFonts w:eastAsia="TimesNewRoman"/>
          <w:szCs w:val="22"/>
          <w:vertAlign w:val="subscript"/>
          <w:lang w:val="lt-LT"/>
        </w:rPr>
        <w:t>50</w:t>
      </w:r>
      <w:r w:rsidR="00251AAC" w:rsidRPr="00CD7E52">
        <w:rPr>
          <w:rFonts w:eastAsia="TimesNewRoman"/>
          <w:szCs w:val="22"/>
          <w:vertAlign w:val="subscript"/>
          <w:lang w:val="lt-LT"/>
        </w:rPr>
        <w:t> </w:t>
      </w:r>
      <w:r w:rsidRPr="00CD7E52">
        <w:rPr>
          <w:rFonts w:eastAsia="TimesNewRoman"/>
          <w:szCs w:val="22"/>
          <w:lang w:val="lt-LT"/>
        </w:rPr>
        <w:t>&gt;</w:t>
      </w:r>
      <w:r w:rsidR="0047233C" w:rsidRPr="00CD7E52">
        <w:rPr>
          <w:rFonts w:eastAsia="TimesNewRoman"/>
          <w:szCs w:val="22"/>
          <w:lang w:val="lt-LT"/>
        </w:rPr>
        <w:t> </w:t>
      </w:r>
      <w:r w:rsidRPr="00CD7E52">
        <w:rPr>
          <w:rFonts w:eastAsia="TimesNewRoman"/>
          <w:szCs w:val="22"/>
          <w:lang w:val="lt-LT"/>
        </w:rPr>
        <w:t>50</w:t>
      </w:r>
      <w:r w:rsidR="0047233C" w:rsidRPr="00CD7E52">
        <w:rPr>
          <w:rFonts w:eastAsia="TimesNewRoman"/>
          <w:szCs w:val="22"/>
          <w:lang w:val="lt-LT"/>
        </w:rPr>
        <w:t> </w:t>
      </w:r>
      <w:r w:rsidRPr="00CD7E52">
        <w:rPr>
          <w:rFonts w:eastAsia="TimesNewRoman"/>
          <w:szCs w:val="22"/>
          <w:lang w:val="lt-LT"/>
        </w:rPr>
        <w:t>µM), tačiau kliniškai</w:t>
      </w:r>
      <w:r w:rsidR="0047233C" w:rsidRPr="00CD7E52">
        <w:rPr>
          <w:rFonts w:eastAsia="TimesNewRoman"/>
          <w:szCs w:val="22"/>
          <w:lang w:val="lt-LT"/>
        </w:rPr>
        <w:t xml:space="preserve"> </w:t>
      </w:r>
      <w:r w:rsidRPr="00CD7E52">
        <w:rPr>
          <w:rFonts w:eastAsia="TimesNewRoman"/>
          <w:szCs w:val="22"/>
          <w:lang w:val="lt-LT"/>
        </w:rPr>
        <w:t xml:space="preserve">reikšminga </w:t>
      </w:r>
      <w:r w:rsidR="0047233C" w:rsidRPr="00CD7E52">
        <w:rPr>
          <w:rFonts w:eastAsia="TimesNewRoman"/>
          <w:snapToGrid/>
          <w:szCs w:val="22"/>
          <w:lang w:val="lt-LT"/>
        </w:rPr>
        <w:t xml:space="preserve">su </w:t>
      </w:r>
      <w:r w:rsidRPr="00CD7E52">
        <w:rPr>
          <w:rFonts w:eastAsia="TimesNewRoman"/>
          <w:szCs w:val="22"/>
          <w:lang w:val="lt-LT"/>
        </w:rPr>
        <w:t xml:space="preserve">P-gp </w:t>
      </w:r>
      <w:r w:rsidR="0047233C" w:rsidRPr="00CD7E52">
        <w:rPr>
          <w:rFonts w:eastAsia="TimesNewRoman"/>
          <w:snapToGrid/>
          <w:szCs w:val="22"/>
          <w:lang w:val="lt-LT"/>
        </w:rPr>
        <w:t>susijusi vaistinių preparatų</w:t>
      </w:r>
      <w:r w:rsidR="0047233C" w:rsidRPr="00CD7E52">
        <w:rPr>
          <w:rFonts w:eastAsia="TimesNewRoman"/>
          <w:szCs w:val="22"/>
          <w:lang w:val="lt-LT"/>
        </w:rPr>
        <w:t xml:space="preserve"> </w:t>
      </w:r>
      <w:r w:rsidRPr="00CD7E52">
        <w:rPr>
          <w:rFonts w:eastAsia="TimesNewRoman"/>
          <w:szCs w:val="22"/>
          <w:lang w:val="lt-LT"/>
        </w:rPr>
        <w:t>sąveika nėra tikėtina.</w:t>
      </w:r>
    </w:p>
    <w:p w14:paraId="67574B92" w14:textId="77777777" w:rsidR="0047233C" w:rsidRPr="00CD7E52" w:rsidRDefault="0047233C" w:rsidP="00BD0220">
      <w:pPr>
        <w:widowControl w:val="0"/>
        <w:tabs>
          <w:tab w:val="clear" w:pos="567"/>
        </w:tabs>
        <w:autoSpaceDE w:val="0"/>
        <w:autoSpaceDN w:val="0"/>
        <w:adjustRightInd w:val="0"/>
        <w:spacing w:line="240" w:lineRule="auto"/>
        <w:rPr>
          <w:rFonts w:eastAsia="TimesNewRoman"/>
          <w:szCs w:val="22"/>
          <w:lang w:val="lt-LT"/>
        </w:rPr>
      </w:pPr>
    </w:p>
    <w:p w14:paraId="1AFB0259" w14:textId="77777777" w:rsidR="003A5CF5" w:rsidRPr="00CD7E52" w:rsidRDefault="003A5CF5"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i/>
          <w:szCs w:val="22"/>
          <w:lang w:val="lt-LT"/>
        </w:rPr>
        <w:t>In vitro</w:t>
      </w:r>
      <w:r w:rsidRPr="00CD7E52">
        <w:rPr>
          <w:rFonts w:eastAsia="TimesNewRoman"/>
          <w:szCs w:val="22"/>
          <w:lang w:val="lt-LT"/>
        </w:rPr>
        <w:t xml:space="preserve"> apremilastas </w:t>
      </w:r>
      <w:r w:rsidR="00941CB0" w:rsidRPr="00CD7E52">
        <w:rPr>
          <w:rFonts w:eastAsia="TimesNewRoman"/>
          <w:snapToGrid/>
          <w:szCs w:val="22"/>
          <w:lang w:val="lt-LT"/>
        </w:rPr>
        <w:t>sukelia</w:t>
      </w:r>
      <w:r w:rsidRPr="00CD7E52">
        <w:rPr>
          <w:rFonts w:eastAsia="TimesNewRoman"/>
          <w:szCs w:val="22"/>
          <w:lang w:val="lt-LT"/>
        </w:rPr>
        <w:t xml:space="preserve"> mažą </w:t>
      </w:r>
      <w:r w:rsidRPr="00CD7E52">
        <w:rPr>
          <w:rFonts w:eastAsia="TimesNewRoman"/>
          <w:snapToGrid/>
          <w:szCs w:val="22"/>
          <w:lang w:val="lt-LT"/>
        </w:rPr>
        <w:t>slopinam</w:t>
      </w:r>
      <w:r w:rsidR="00941CB0" w:rsidRPr="00CD7E52">
        <w:rPr>
          <w:rFonts w:eastAsia="TimesNewRoman"/>
          <w:snapToGrid/>
          <w:szCs w:val="22"/>
          <w:lang w:val="lt-LT"/>
        </w:rPr>
        <w:t>ąjį</w:t>
      </w:r>
      <w:r w:rsidRPr="00CD7E52">
        <w:rPr>
          <w:rFonts w:eastAsia="TimesNewRoman"/>
          <w:snapToGrid/>
          <w:szCs w:val="22"/>
          <w:lang w:val="lt-LT"/>
        </w:rPr>
        <w:t xml:space="preserve"> poveik</w:t>
      </w:r>
      <w:r w:rsidR="00941CB0" w:rsidRPr="00CD7E52">
        <w:rPr>
          <w:rFonts w:eastAsia="TimesNewRoman"/>
          <w:snapToGrid/>
          <w:szCs w:val="22"/>
          <w:lang w:val="lt-LT"/>
        </w:rPr>
        <w:t xml:space="preserve">į </w:t>
      </w:r>
      <w:r w:rsidR="00941CB0" w:rsidRPr="00CD7E52">
        <w:rPr>
          <w:rFonts w:eastAsia="TimesNewRoman"/>
          <w:szCs w:val="22"/>
          <w:lang w:val="lt-LT"/>
        </w:rPr>
        <w:t xml:space="preserve">arba </w:t>
      </w:r>
      <w:r w:rsidR="00941CB0" w:rsidRPr="00CD7E52">
        <w:rPr>
          <w:rFonts w:eastAsia="TimesNewRoman"/>
          <w:snapToGrid/>
          <w:szCs w:val="22"/>
          <w:lang w:val="lt-LT"/>
        </w:rPr>
        <w:t>jo nesukelia visai</w:t>
      </w:r>
      <w:r w:rsidRPr="00CD7E52">
        <w:rPr>
          <w:rFonts w:eastAsia="TimesNewRoman"/>
          <w:szCs w:val="22"/>
          <w:lang w:val="lt-LT"/>
        </w:rPr>
        <w:t xml:space="preserve"> (IC</w:t>
      </w:r>
      <w:r w:rsidRPr="00CD7E52">
        <w:rPr>
          <w:rFonts w:eastAsia="TimesNewRoman"/>
          <w:szCs w:val="22"/>
          <w:vertAlign w:val="subscript"/>
          <w:lang w:val="lt-LT"/>
        </w:rPr>
        <w:t>50</w:t>
      </w:r>
      <w:r w:rsidRPr="00CD7E52">
        <w:rPr>
          <w:rFonts w:eastAsia="TimesNewRoman"/>
          <w:szCs w:val="22"/>
          <w:lang w:val="lt-LT"/>
        </w:rPr>
        <w:t xml:space="preserve"> &gt;</w:t>
      </w:r>
      <w:r w:rsidR="00941CB0" w:rsidRPr="00CD7E52">
        <w:rPr>
          <w:rFonts w:eastAsia="TimesNewRoman"/>
          <w:szCs w:val="22"/>
          <w:lang w:val="lt-LT"/>
        </w:rPr>
        <w:t> </w:t>
      </w:r>
      <w:r w:rsidR="002215CC" w:rsidRPr="00CD7E52">
        <w:rPr>
          <w:rFonts w:eastAsia="TimesNewRoman"/>
          <w:szCs w:val="22"/>
          <w:lang w:val="lt-LT"/>
        </w:rPr>
        <w:t>1</w:t>
      </w:r>
      <w:r w:rsidRPr="00CD7E52">
        <w:rPr>
          <w:rFonts w:eastAsia="TimesNewRoman"/>
          <w:snapToGrid/>
          <w:szCs w:val="22"/>
          <w:lang w:val="lt-LT"/>
        </w:rPr>
        <w:t>0</w:t>
      </w:r>
      <w:r w:rsidR="00941CB0" w:rsidRPr="00CD7E52">
        <w:rPr>
          <w:rFonts w:eastAsia="TimesNewRoman"/>
          <w:szCs w:val="22"/>
          <w:lang w:val="lt-LT"/>
        </w:rPr>
        <w:t> </w:t>
      </w:r>
      <w:r w:rsidRPr="00CD7E52">
        <w:rPr>
          <w:rFonts w:eastAsia="TimesNewRoman"/>
          <w:szCs w:val="22"/>
          <w:lang w:val="lt-LT"/>
        </w:rPr>
        <w:t>µM) organiniam anijonų nešikliui</w:t>
      </w:r>
      <w:r w:rsidR="00941CB0" w:rsidRPr="00CD7E52">
        <w:rPr>
          <w:rFonts w:eastAsia="TimesNewRoman"/>
          <w:szCs w:val="22"/>
          <w:lang w:val="lt-LT"/>
        </w:rPr>
        <w:t xml:space="preserve"> </w:t>
      </w:r>
      <w:r w:rsidRPr="00CD7E52">
        <w:rPr>
          <w:rFonts w:eastAsia="TimesNewRoman"/>
          <w:snapToGrid/>
          <w:szCs w:val="22"/>
          <w:lang w:val="lt-LT"/>
        </w:rPr>
        <w:t>(</w:t>
      </w:r>
      <w:r w:rsidRPr="00CD7E52">
        <w:rPr>
          <w:rFonts w:eastAsia="TimesNewRoman"/>
          <w:szCs w:val="22"/>
          <w:lang w:val="lt-LT"/>
        </w:rPr>
        <w:t xml:space="preserve">angl. </w:t>
      </w:r>
      <w:r w:rsidRPr="00CD7E52">
        <w:rPr>
          <w:rFonts w:eastAsia="TimesNewRoman"/>
          <w:i/>
          <w:szCs w:val="22"/>
          <w:lang w:val="lt-LT"/>
        </w:rPr>
        <w:t>Organic Anion Transporte</w:t>
      </w:r>
      <w:r w:rsidRPr="00CD7E52">
        <w:rPr>
          <w:rFonts w:eastAsia="TimesNewRoman"/>
          <w:szCs w:val="22"/>
          <w:lang w:val="lt-LT"/>
        </w:rPr>
        <w:t xml:space="preserve">r, OAT)1 ir OAT3, organinių katijonų nešikliui (angl. </w:t>
      </w:r>
      <w:r w:rsidRPr="00CD7E52">
        <w:rPr>
          <w:rFonts w:eastAsia="TimesNewRoman"/>
          <w:i/>
          <w:szCs w:val="22"/>
          <w:lang w:val="lt-LT"/>
        </w:rPr>
        <w:t>Organic Cation</w:t>
      </w:r>
      <w:r w:rsidR="00941CB0" w:rsidRPr="00CD7E52">
        <w:rPr>
          <w:rFonts w:eastAsia="TimesNewRoman"/>
          <w:i/>
          <w:szCs w:val="22"/>
          <w:lang w:val="lt-LT"/>
        </w:rPr>
        <w:t xml:space="preserve"> </w:t>
      </w:r>
      <w:r w:rsidRPr="00CD7E52">
        <w:rPr>
          <w:rFonts w:eastAsia="TimesNewRoman"/>
          <w:i/>
          <w:szCs w:val="22"/>
          <w:lang w:val="lt-LT"/>
        </w:rPr>
        <w:t>Transporter</w:t>
      </w:r>
      <w:r w:rsidRPr="00CD7E52">
        <w:rPr>
          <w:rFonts w:eastAsia="TimesNewRoman"/>
          <w:szCs w:val="22"/>
          <w:lang w:val="lt-LT"/>
        </w:rPr>
        <w:t xml:space="preserve">, OCT)2, organinių anijonų pernašos polipeptidui (angl. </w:t>
      </w:r>
      <w:r w:rsidRPr="00CD7E52">
        <w:rPr>
          <w:rFonts w:eastAsia="TimesNewRoman"/>
          <w:i/>
          <w:szCs w:val="22"/>
          <w:lang w:val="lt-LT"/>
        </w:rPr>
        <w:t>Organic Anion Transporting</w:t>
      </w:r>
      <w:r w:rsidR="00941CB0" w:rsidRPr="00CD7E52">
        <w:rPr>
          <w:rFonts w:eastAsia="TimesNewRoman"/>
          <w:i/>
          <w:szCs w:val="22"/>
          <w:lang w:val="lt-LT"/>
        </w:rPr>
        <w:t xml:space="preserve"> </w:t>
      </w:r>
      <w:r w:rsidRPr="00CD7E52">
        <w:rPr>
          <w:rFonts w:eastAsia="TimesNewRoman"/>
          <w:i/>
          <w:szCs w:val="22"/>
          <w:lang w:val="lt-LT"/>
        </w:rPr>
        <w:t>Polypeptide</w:t>
      </w:r>
      <w:r w:rsidRPr="00CD7E52">
        <w:rPr>
          <w:rFonts w:eastAsia="TimesNewRoman"/>
          <w:szCs w:val="22"/>
          <w:lang w:val="lt-LT"/>
        </w:rPr>
        <w:t>, OATP)1B1 ir OATP1B3 arba krūties vėžio atsparumo baltymui (KVAB) ir nėra šių nešiklių</w:t>
      </w:r>
      <w:r w:rsidR="00941CB0" w:rsidRPr="00CD7E52">
        <w:rPr>
          <w:rFonts w:eastAsia="TimesNewRoman"/>
          <w:szCs w:val="22"/>
          <w:lang w:val="lt-LT"/>
        </w:rPr>
        <w:t xml:space="preserve"> </w:t>
      </w:r>
      <w:r w:rsidRPr="00CD7E52">
        <w:rPr>
          <w:rFonts w:eastAsia="TimesNewRoman"/>
          <w:szCs w:val="22"/>
          <w:lang w:val="lt-LT"/>
        </w:rPr>
        <w:t>substratas. Taigi vartojant apremilast</w:t>
      </w:r>
      <w:r w:rsidR="00311E40">
        <w:rPr>
          <w:rFonts w:eastAsia="TimesNewRoman"/>
          <w:szCs w:val="22"/>
          <w:lang w:val="lt-LT"/>
        </w:rPr>
        <w:t>o</w:t>
      </w:r>
      <w:r w:rsidRPr="00CD7E52">
        <w:rPr>
          <w:rFonts w:eastAsia="TimesNewRoman"/>
          <w:szCs w:val="22"/>
          <w:lang w:val="lt-LT"/>
        </w:rPr>
        <w:t xml:space="preserve"> kartu su </w:t>
      </w:r>
      <w:r w:rsidRPr="00CD7E52">
        <w:rPr>
          <w:rFonts w:eastAsia="TimesNewRoman"/>
          <w:snapToGrid/>
          <w:szCs w:val="22"/>
          <w:lang w:val="lt-LT"/>
        </w:rPr>
        <w:t>vaist</w:t>
      </w:r>
      <w:r w:rsidR="00941CB0" w:rsidRPr="00CD7E52">
        <w:rPr>
          <w:rFonts w:eastAsia="TimesNewRoman"/>
          <w:snapToGrid/>
          <w:szCs w:val="22"/>
          <w:lang w:val="lt-LT"/>
        </w:rPr>
        <w:t>iniais preparat</w:t>
      </w:r>
      <w:r w:rsidRPr="00CD7E52">
        <w:rPr>
          <w:rFonts w:eastAsia="TimesNewRoman"/>
          <w:snapToGrid/>
          <w:szCs w:val="22"/>
          <w:lang w:val="lt-LT"/>
        </w:rPr>
        <w:t>ais</w:t>
      </w:r>
      <w:r w:rsidRPr="00CD7E52">
        <w:rPr>
          <w:rFonts w:eastAsia="TimesNewRoman"/>
          <w:szCs w:val="22"/>
          <w:lang w:val="lt-LT"/>
        </w:rPr>
        <w:t>, kurie yra šių nešiklių substratai arba inhibitoriai,</w:t>
      </w:r>
      <w:r w:rsidR="00941CB0" w:rsidRPr="00CD7E52">
        <w:rPr>
          <w:rFonts w:eastAsia="TimesNewRoman"/>
          <w:szCs w:val="22"/>
          <w:lang w:val="lt-LT"/>
        </w:rPr>
        <w:t xml:space="preserve"> </w:t>
      </w:r>
      <w:r w:rsidRPr="00CD7E52">
        <w:rPr>
          <w:rFonts w:eastAsia="TimesNewRoman"/>
          <w:szCs w:val="22"/>
          <w:lang w:val="lt-LT"/>
        </w:rPr>
        <w:t xml:space="preserve">kliniškai reikšminga </w:t>
      </w:r>
      <w:r w:rsidRPr="00CD7E52">
        <w:rPr>
          <w:rFonts w:eastAsia="TimesNewRoman"/>
          <w:snapToGrid/>
          <w:szCs w:val="22"/>
          <w:lang w:val="lt-LT"/>
        </w:rPr>
        <w:t>vaist</w:t>
      </w:r>
      <w:r w:rsidR="00941CB0" w:rsidRPr="00CD7E52">
        <w:rPr>
          <w:rFonts w:eastAsia="TimesNewRoman"/>
          <w:snapToGrid/>
          <w:szCs w:val="22"/>
          <w:lang w:val="lt-LT"/>
        </w:rPr>
        <w:t>inių preparat</w:t>
      </w:r>
      <w:r w:rsidRPr="00CD7E52">
        <w:rPr>
          <w:rFonts w:eastAsia="TimesNewRoman"/>
          <w:snapToGrid/>
          <w:szCs w:val="22"/>
          <w:lang w:val="lt-LT"/>
        </w:rPr>
        <w:t>ų</w:t>
      </w:r>
      <w:r w:rsidRPr="00CD7E52">
        <w:rPr>
          <w:rFonts w:eastAsia="TimesNewRoman"/>
          <w:szCs w:val="22"/>
          <w:lang w:val="lt-LT"/>
        </w:rPr>
        <w:t xml:space="preserve"> sąveika nėra tikėtina.</w:t>
      </w:r>
    </w:p>
    <w:p w14:paraId="2A95CFCC" w14:textId="77777777" w:rsidR="00941CB0" w:rsidRPr="00CD7E52" w:rsidRDefault="00941CB0" w:rsidP="00BD0220">
      <w:pPr>
        <w:widowControl w:val="0"/>
        <w:tabs>
          <w:tab w:val="clear" w:pos="567"/>
        </w:tabs>
        <w:autoSpaceDE w:val="0"/>
        <w:autoSpaceDN w:val="0"/>
        <w:adjustRightInd w:val="0"/>
        <w:spacing w:line="240" w:lineRule="auto"/>
        <w:rPr>
          <w:rFonts w:eastAsia="TimesNewRoman"/>
          <w:szCs w:val="22"/>
          <w:lang w:val="lt-LT"/>
        </w:rPr>
      </w:pPr>
    </w:p>
    <w:p w14:paraId="5051992E" w14:textId="77777777" w:rsidR="003A5CF5" w:rsidRPr="00CD7E52" w:rsidRDefault="003A5CF5" w:rsidP="00D96242">
      <w:pPr>
        <w:keepNext/>
        <w:tabs>
          <w:tab w:val="clear" w:pos="567"/>
        </w:tabs>
        <w:autoSpaceDE w:val="0"/>
        <w:autoSpaceDN w:val="0"/>
        <w:adjustRightInd w:val="0"/>
        <w:spacing w:line="240" w:lineRule="auto"/>
        <w:rPr>
          <w:rFonts w:eastAsia="TimesNewRoman"/>
          <w:szCs w:val="22"/>
          <w:u w:val="single"/>
          <w:lang w:val="lt-LT"/>
        </w:rPr>
      </w:pPr>
      <w:r w:rsidRPr="00CD7E52">
        <w:rPr>
          <w:rFonts w:eastAsia="TimesNewRoman"/>
          <w:szCs w:val="22"/>
          <w:u w:val="single"/>
          <w:lang w:val="lt-LT"/>
        </w:rPr>
        <w:t>Eliminacija</w:t>
      </w:r>
    </w:p>
    <w:p w14:paraId="656E4BE8" w14:textId="77777777" w:rsidR="003A5CF5" w:rsidRPr="00CD7E52" w:rsidRDefault="003A5CF5" w:rsidP="00D96242">
      <w:pPr>
        <w:keepNext/>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 xml:space="preserve">Sveikiems tiriamiesiems </w:t>
      </w:r>
      <w:r w:rsidR="006155CD" w:rsidRPr="00CD7E52">
        <w:rPr>
          <w:rFonts w:eastAsia="TimesNewRoman"/>
          <w:snapToGrid/>
          <w:szCs w:val="22"/>
          <w:lang w:val="lt-LT"/>
        </w:rPr>
        <w:t xml:space="preserve">vidutinis </w:t>
      </w:r>
      <w:r w:rsidRPr="00CD7E52">
        <w:rPr>
          <w:rFonts w:eastAsia="TimesNewRoman"/>
          <w:szCs w:val="22"/>
          <w:lang w:val="lt-LT"/>
        </w:rPr>
        <w:t xml:space="preserve">apremilasto </w:t>
      </w:r>
      <w:r w:rsidR="006155CD" w:rsidRPr="00CD7E52">
        <w:rPr>
          <w:rFonts w:eastAsia="TimesNewRoman"/>
          <w:snapToGrid/>
          <w:szCs w:val="22"/>
          <w:lang w:val="lt-LT"/>
        </w:rPr>
        <w:t xml:space="preserve">kraujo plazmos </w:t>
      </w:r>
      <w:r w:rsidRPr="00CD7E52">
        <w:rPr>
          <w:rFonts w:eastAsia="TimesNewRoman"/>
          <w:szCs w:val="22"/>
          <w:lang w:val="lt-LT"/>
        </w:rPr>
        <w:t xml:space="preserve">klirensas </w:t>
      </w:r>
      <w:r w:rsidR="006155CD" w:rsidRPr="00CD7E52">
        <w:rPr>
          <w:rFonts w:eastAsia="TimesNewRoman"/>
          <w:szCs w:val="22"/>
          <w:lang w:val="lt-LT"/>
        </w:rPr>
        <w:t>yra</w:t>
      </w:r>
      <w:r w:rsidRPr="00CD7E52">
        <w:rPr>
          <w:rFonts w:eastAsia="TimesNewRoman"/>
          <w:szCs w:val="22"/>
          <w:lang w:val="lt-LT"/>
        </w:rPr>
        <w:t xml:space="preserve"> </w:t>
      </w:r>
      <w:r w:rsidR="006155CD" w:rsidRPr="00CD7E52">
        <w:rPr>
          <w:rFonts w:eastAsia="TimesNewRoman"/>
          <w:snapToGrid/>
          <w:szCs w:val="22"/>
          <w:lang w:val="lt-LT"/>
        </w:rPr>
        <w:t>maždaug</w:t>
      </w:r>
      <w:r w:rsidR="006155CD" w:rsidRPr="00CD7E52">
        <w:rPr>
          <w:rFonts w:eastAsia="TimesNewRoman"/>
          <w:szCs w:val="22"/>
          <w:lang w:val="lt-LT"/>
        </w:rPr>
        <w:t xml:space="preserve"> </w:t>
      </w:r>
      <w:r w:rsidRPr="00CD7E52">
        <w:rPr>
          <w:rFonts w:eastAsia="TimesNewRoman"/>
          <w:szCs w:val="22"/>
          <w:lang w:val="lt-LT"/>
        </w:rPr>
        <w:t>10</w:t>
      </w:r>
      <w:r w:rsidR="006155CD" w:rsidRPr="00CD7E52">
        <w:rPr>
          <w:rFonts w:eastAsia="TimesNewRoman"/>
          <w:szCs w:val="22"/>
          <w:lang w:val="lt-LT"/>
        </w:rPr>
        <w:t> </w:t>
      </w:r>
      <w:r w:rsidRPr="00CD7E52">
        <w:rPr>
          <w:rFonts w:eastAsia="TimesNewRoman"/>
          <w:szCs w:val="22"/>
          <w:lang w:val="lt-LT"/>
        </w:rPr>
        <w:t>l</w:t>
      </w:r>
      <w:r w:rsidR="00223175" w:rsidRPr="00CD7E52">
        <w:rPr>
          <w:rFonts w:eastAsia="TimesNewRoman"/>
          <w:szCs w:val="22"/>
          <w:lang w:val="lt-LT"/>
        </w:rPr>
        <w:t>/</w:t>
      </w:r>
      <w:r w:rsidR="00F778E6" w:rsidRPr="00CD7E52">
        <w:rPr>
          <w:rFonts w:eastAsia="TimesNewRoman"/>
          <w:szCs w:val="22"/>
          <w:lang w:val="lt-LT"/>
        </w:rPr>
        <w:t>val.</w:t>
      </w:r>
      <w:r w:rsidRPr="00CD7E52">
        <w:rPr>
          <w:rFonts w:eastAsia="TimesNewRoman"/>
          <w:szCs w:val="22"/>
          <w:lang w:val="lt-LT"/>
        </w:rPr>
        <w:t xml:space="preserve">, </w:t>
      </w:r>
      <w:r w:rsidRPr="00CD7E52">
        <w:rPr>
          <w:rFonts w:eastAsia="TimesNewRoman"/>
          <w:snapToGrid/>
          <w:szCs w:val="22"/>
          <w:lang w:val="lt-LT"/>
        </w:rPr>
        <w:t>galutin</w:t>
      </w:r>
      <w:r w:rsidR="006155CD" w:rsidRPr="00CD7E52">
        <w:rPr>
          <w:rFonts w:eastAsia="TimesNewRoman"/>
          <w:snapToGrid/>
          <w:szCs w:val="22"/>
          <w:lang w:val="lt-LT"/>
        </w:rPr>
        <w:t>is</w:t>
      </w:r>
      <w:r w:rsidRPr="00CD7E52">
        <w:rPr>
          <w:rFonts w:eastAsia="TimesNewRoman"/>
          <w:szCs w:val="22"/>
          <w:lang w:val="lt-LT"/>
        </w:rPr>
        <w:t xml:space="preserve"> pusinės</w:t>
      </w:r>
      <w:r w:rsidR="006155CD" w:rsidRPr="00CD7E52">
        <w:rPr>
          <w:rFonts w:eastAsia="TimesNewRoman"/>
          <w:szCs w:val="22"/>
          <w:lang w:val="lt-LT"/>
        </w:rPr>
        <w:t xml:space="preserve"> </w:t>
      </w:r>
      <w:r w:rsidRPr="00CD7E52">
        <w:rPr>
          <w:rFonts w:eastAsia="TimesNewRoman"/>
          <w:szCs w:val="22"/>
          <w:lang w:val="lt-LT"/>
        </w:rPr>
        <w:t xml:space="preserve">eliminacijos </w:t>
      </w:r>
      <w:r w:rsidR="006155CD" w:rsidRPr="00CD7E52">
        <w:rPr>
          <w:rFonts w:eastAsia="TimesNewRoman"/>
          <w:snapToGrid/>
          <w:szCs w:val="22"/>
          <w:lang w:val="lt-LT"/>
        </w:rPr>
        <w:t>laikas</w:t>
      </w:r>
      <w:r w:rsidRPr="00CD7E52">
        <w:rPr>
          <w:rFonts w:eastAsia="TimesNewRoman"/>
          <w:szCs w:val="22"/>
          <w:lang w:val="lt-LT"/>
        </w:rPr>
        <w:t xml:space="preserve"> – maždaug 9</w:t>
      </w:r>
      <w:r w:rsidR="006155CD" w:rsidRPr="00CD7E52">
        <w:rPr>
          <w:rFonts w:eastAsia="TimesNewRoman"/>
          <w:szCs w:val="22"/>
          <w:lang w:val="lt-LT"/>
        </w:rPr>
        <w:t> </w:t>
      </w:r>
      <w:r w:rsidRPr="00CD7E52">
        <w:rPr>
          <w:rFonts w:eastAsia="TimesNewRoman"/>
          <w:szCs w:val="22"/>
          <w:lang w:val="lt-LT"/>
        </w:rPr>
        <w:t xml:space="preserve">valandos. </w:t>
      </w:r>
      <w:r w:rsidR="006155CD" w:rsidRPr="00CD7E52">
        <w:rPr>
          <w:rFonts w:eastAsia="TimesNewRoman"/>
          <w:snapToGrid/>
          <w:szCs w:val="22"/>
          <w:lang w:val="lt-LT"/>
        </w:rPr>
        <w:t>Per burną pavartojus</w:t>
      </w:r>
      <w:r w:rsidRPr="00CD7E52">
        <w:rPr>
          <w:rFonts w:eastAsia="TimesNewRoman"/>
          <w:szCs w:val="22"/>
          <w:lang w:val="lt-LT"/>
        </w:rPr>
        <w:t xml:space="preserve"> radioaktyviu izotopu žymėto apremilasto, atitinkamai</w:t>
      </w:r>
      <w:r w:rsidR="006155CD" w:rsidRPr="00CD7E52">
        <w:rPr>
          <w:rFonts w:eastAsia="TimesNewRoman"/>
          <w:szCs w:val="22"/>
          <w:lang w:val="lt-LT"/>
        </w:rPr>
        <w:t xml:space="preserve"> </w:t>
      </w:r>
      <w:r w:rsidR="006155CD" w:rsidRPr="00CD7E52">
        <w:rPr>
          <w:rFonts w:eastAsia="TimesNewRoman"/>
          <w:snapToGrid/>
          <w:szCs w:val="22"/>
          <w:lang w:val="lt-LT"/>
        </w:rPr>
        <w:t>maždaug</w:t>
      </w:r>
      <w:r w:rsidR="006155CD" w:rsidRPr="00CD7E52">
        <w:rPr>
          <w:rFonts w:eastAsia="TimesNewRoman"/>
          <w:szCs w:val="22"/>
          <w:lang w:val="lt-LT"/>
        </w:rPr>
        <w:t xml:space="preserve"> </w:t>
      </w:r>
      <w:r w:rsidRPr="00CD7E52">
        <w:rPr>
          <w:rFonts w:eastAsia="TimesNewRoman"/>
          <w:szCs w:val="22"/>
          <w:lang w:val="lt-LT"/>
        </w:rPr>
        <w:t>58</w:t>
      </w:r>
      <w:r w:rsidR="006155CD" w:rsidRPr="00CD7E52">
        <w:rPr>
          <w:rFonts w:eastAsia="TimesNewRoman"/>
          <w:szCs w:val="22"/>
          <w:lang w:val="lt-LT"/>
        </w:rPr>
        <w:t> </w:t>
      </w:r>
      <w:r w:rsidRPr="00CD7E52">
        <w:rPr>
          <w:rFonts w:eastAsia="TimesNewRoman"/>
          <w:szCs w:val="22"/>
          <w:lang w:val="lt-LT"/>
        </w:rPr>
        <w:t>% ir 39</w:t>
      </w:r>
      <w:r w:rsidR="006155CD" w:rsidRPr="00CD7E52">
        <w:rPr>
          <w:rFonts w:eastAsia="TimesNewRoman"/>
          <w:szCs w:val="22"/>
          <w:lang w:val="lt-LT"/>
        </w:rPr>
        <w:t> </w:t>
      </w:r>
      <w:r w:rsidRPr="00CD7E52">
        <w:rPr>
          <w:rFonts w:eastAsia="TimesNewRoman"/>
          <w:szCs w:val="22"/>
          <w:lang w:val="lt-LT"/>
        </w:rPr>
        <w:t>% radioaktyvumo pašalinama su šlapimu ir išmatomis</w:t>
      </w:r>
      <w:r w:rsidR="006155CD" w:rsidRPr="00CD7E52">
        <w:rPr>
          <w:rFonts w:eastAsia="TimesNewRoman"/>
          <w:snapToGrid/>
          <w:szCs w:val="22"/>
          <w:lang w:val="lt-LT"/>
        </w:rPr>
        <w:t xml:space="preserve"> bei</w:t>
      </w:r>
      <w:r w:rsidRPr="00CD7E52">
        <w:rPr>
          <w:rFonts w:eastAsia="TimesNewRoman"/>
          <w:szCs w:val="22"/>
          <w:lang w:val="lt-LT"/>
        </w:rPr>
        <w:t xml:space="preserve"> atitinkamai </w:t>
      </w:r>
      <w:r w:rsidR="006155CD" w:rsidRPr="00CD7E52">
        <w:rPr>
          <w:rFonts w:eastAsia="TimesNewRoman"/>
          <w:snapToGrid/>
          <w:szCs w:val="22"/>
          <w:lang w:val="lt-LT"/>
        </w:rPr>
        <w:t>maždaug</w:t>
      </w:r>
      <w:r w:rsidR="006155CD" w:rsidRPr="00CD7E52">
        <w:rPr>
          <w:rFonts w:eastAsia="TimesNewRoman"/>
          <w:szCs w:val="22"/>
          <w:lang w:val="lt-LT"/>
        </w:rPr>
        <w:t xml:space="preserve"> </w:t>
      </w:r>
      <w:r w:rsidRPr="00CD7E52">
        <w:rPr>
          <w:rFonts w:eastAsia="TimesNewRoman"/>
          <w:szCs w:val="22"/>
          <w:lang w:val="lt-LT"/>
        </w:rPr>
        <w:t>3</w:t>
      </w:r>
      <w:r w:rsidR="006155CD" w:rsidRPr="00CD7E52">
        <w:rPr>
          <w:rFonts w:eastAsia="TimesNewRoman"/>
          <w:szCs w:val="22"/>
          <w:lang w:val="lt-LT"/>
        </w:rPr>
        <w:t> </w:t>
      </w:r>
      <w:r w:rsidRPr="00CD7E52">
        <w:rPr>
          <w:rFonts w:eastAsia="TimesNewRoman"/>
          <w:szCs w:val="22"/>
          <w:lang w:val="lt-LT"/>
        </w:rPr>
        <w:t>% ir 7</w:t>
      </w:r>
      <w:r w:rsidR="006155CD" w:rsidRPr="00CD7E52">
        <w:rPr>
          <w:rFonts w:eastAsia="TimesNewRoman"/>
          <w:szCs w:val="22"/>
          <w:lang w:val="lt-LT"/>
        </w:rPr>
        <w:t> </w:t>
      </w:r>
      <w:r w:rsidRPr="00CD7E52">
        <w:rPr>
          <w:rFonts w:eastAsia="TimesNewRoman"/>
          <w:szCs w:val="22"/>
          <w:lang w:val="lt-LT"/>
        </w:rPr>
        <w:t>%</w:t>
      </w:r>
      <w:r w:rsidR="006155CD" w:rsidRPr="00CD7E52">
        <w:rPr>
          <w:rFonts w:eastAsia="TimesNewRoman"/>
          <w:szCs w:val="22"/>
          <w:lang w:val="lt-LT"/>
        </w:rPr>
        <w:t xml:space="preserve"> </w:t>
      </w:r>
      <w:r w:rsidRPr="00CD7E52">
        <w:rPr>
          <w:rFonts w:eastAsia="TimesNewRoman"/>
          <w:szCs w:val="22"/>
          <w:lang w:val="lt-LT"/>
        </w:rPr>
        <w:t>radioaktyvios dozės apremilasto pavidalu pašalinama su šlapimu ir išmatomis.</w:t>
      </w:r>
    </w:p>
    <w:p w14:paraId="5362E716" w14:textId="77777777" w:rsidR="006155CD" w:rsidRPr="00CD7E52" w:rsidRDefault="006155CD" w:rsidP="00BD0220">
      <w:pPr>
        <w:widowControl w:val="0"/>
        <w:tabs>
          <w:tab w:val="clear" w:pos="567"/>
        </w:tabs>
        <w:autoSpaceDE w:val="0"/>
        <w:autoSpaceDN w:val="0"/>
        <w:adjustRightInd w:val="0"/>
        <w:spacing w:line="240" w:lineRule="auto"/>
        <w:rPr>
          <w:rFonts w:eastAsia="TimesNewRoman"/>
          <w:szCs w:val="22"/>
          <w:lang w:val="lt-LT"/>
        </w:rPr>
      </w:pPr>
    </w:p>
    <w:p w14:paraId="14480EBC" w14:textId="77777777" w:rsidR="003A5CF5" w:rsidRPr="00CD7E52" w:rsidRDefault="003A5CF5" w:rsidP="00BD0220">
      <w:pPr>
        <w:widowControl w:val="0"/>
        <w:tabs>
          <w:tab w:val="clear" w:pos="567"/>
        </w:tabs>
        <w:autoSpaceDE w:val="0"/>
        <w:autoSpaceDN w:val="0"/>
        <w:adjustRightInd w:val="0"/>
        <w:spacing w:line="240" w:lineRule="auto"/>
        <w:rPr>
          <w:rFonts w:eastAsia="TimesNewRoman"/>
          <w:szCs w:val="22"/>
          <w:u w:val="single"/>
          <w:lang w:val="lt-LT"/>
        </w:rPr>
      </w:pPr>
      <w:r w:rsidRPr="00CD7E52">
        <w:rPr>
          <w:rFonts w:eastAsia="TimesNewRoman"/>
          <w:szCs w:val="22"/>
          <w:u w:val="single"/>
          <w:lang w:val="lt-LT"/>
        </w:rPr>
        <w:t>Senyvi pacientai</w:t>
      </w:r>
    </w:p>
    <w:p w14:paraId="2B6A10AC" w14:textId="77777777" w:rsidR="003A5CF5" w:rsidRPr="00CD7E52" w:rsidRDefault="003A5CF5"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napToGrid/>
          <w:szCs w:val="22"/>
          <w:lang w:val="lt-LT"/>
        </w:rPr>
        <w:t>Apremilast</w:t>
      </w:r>
      <w:r w:rsidR="00944A47" w:rsidRPr="00CD7E52">
        <w:rPr>
          <w:rFonts w:eastAsia="TimesNewRoman"/>
          <w:snapToGrid/>
          <w:szCs w:val="22"/>
          <w:lang w:val="lt-LT"/>
        </w:rPr>
        <w:t>o</w:t>
      </w:r>
      <w:r w:rsidRPr="00CD7E52">
        <w:rPr>
          <w:rFonts w:eastAsia="TimesNewRoman"/>
          <w:snapToGrid/>
          <w:szCs w:val="22"/>
          <w:lang w:val="lt-LT"/>
        </w:rPr>
        <w:t xml:space="preserve"> </w:t>
      </w:r>
      <w:r w:rsidR="00AA769C" w:rsidRPr="00CD7E52">
        <w:rPr>
          <w:rFonts w:eastAsia="TimesNewRoman"/>
          <w:snapToGrid/>
          <w:szCs w:val="22"/>
          <w:lang w:val="lt-LT"/>
        </w:rPr>
        <w:t>tyrimai buvo atlikti su</w:t>
      </w:r>
      <w:r w:rsidRPr="00CD7E52">
        <w:rPr>
          <w:rFonts w:eastAsia="TimesNewRoman"/>
          <w:snapToGrid/>
          <w:szCs w:val="22"/>
          <w:lang w:val="lt-LT"/>
        </w:rPr>
        <w:t xml:space="preserve"> jaun</w:t>
      </w:r>
      <w:r w:rsidR="00AA769C" w:rsidRPr="00CD7E52">
        <w:rPr>
          <w:rFonts w:eastAsia="TimesNewRoman"/>
          <w:snapToGrid/>
          <w:szCs w:val="22"/>
          <w:lang w:val="lt-LT"/>
        </w:rPr>
        <w:t>ai</w:t>
      </w:r>
      <w:r w:rsidRPr="00CD7E52">
        <w:rPr>
          <w:rFonts w:eastAsia="TimesNewRoman"/>
          <w:snapToGrid/>
          <w:szCs w:val="22"/>
          <w:lang w:val="lt-LT"/>
        </w:rPr>
        <w:t>s</w:t>
      </w:r>
      <w:r w:rsidRPr="00CD7E52">
        <w:rPr>
          <w:rFonts w:eastAsia="TimesNewRoman"/>
          <w:szCs w:val="22"/>
          <w:lang w:val="lt-LT"/>
        </w:rPr>
        <w:t xml:space="preserve"> ir </w:t>
      </w:r>
      <w:r w:rsidRPr="00CD7E52">
        <w:rPr>
          <w:rFonts w:eastAsia="TimesNewRoman"/>
          <w:snapToGrid/>
          <w:szCs w:val="22"/>
          <w:lang w:val="lt-LT"/>
        </w:rPr>
        <w:t>senyv</w:t>
      </w:r>
      <w:r w:rsidR="00AA769C" w:rsidRPr="00CD7E52">
        <w:rPr>
          <w:rFonts w:eastAsia="TimesNewRoman"/>
          <w:snapToGrid/>
          <w:szCs w:val="22"/>
          <w:lang w:val="lt-LT"/>
        </w:rPr>
        <w:t>ai</w:t>
      </w:r>
      <w:r w:rsidRPr="00CD7E52">
        <w:rPr>
          <w:rFonts w:eastAsia="TimesNewRoman"/>
          <w:snapToGrid/>
          <w:szCs w:val="22"/>
          <w:lang w:val="lt-LT"/>
        </w:rPr>
        <w:t>s sveik</w:t>
      </w:r>
      <w:r w:rsidR="00AA769C" w:rsidRPr="00CD7E52">
        <w:rPr>
          <w:rFonts w:eastAsia="TimesNewRoman"/>
          <w:snapToGrid/>
          <w:szCs w:val="22"/>
          <w:lang w:val="lt-LT"/>
        </w:rPr>
        <w:t>ai</w:t>
      </w:r>
      <w:r w:rsidRPr="00CD7E52">
        <w:rPr>
          <w:rFonts w:eastAsia="TimesNewRoman"/>
          <w:snapToGrid/>
          <w:szCs w:val="22"/>
          <w:lang w:val="lt-LT"/>
        </w:rPr>
        <w:t>s tiriam</w:t>
      </w:r>
      <w:r w:rsidR="00AA769C" w:rsidRPr="00CD7E52">
        <w:rPr>
          <w:rFonts w:eastAsia="TimesNewRoman"/>
          <w:snapToGrid/>
          <w:szCs w:val="22"/>
          <w:lang w:val="lt-LT"/>
        </w:rPr>
        <w:t>aisiais</w:t>
      </w:r>
      <w:r w:rsidRPr="00CD7E52">
        <w:rPr>
          <w:rFonts w:eastAsia="TimesNewRoman"/>
          <w:snapToGrid/>
          <w:szCs w:val="22"/>
          <w:lang w:val="lt-LT"/>
        </w:rPr>
        <w:t>.</w:t>
      </w:r>
      <w:r w:rsidRPr="00CD7E52">
        <w:rPr>
          <w:rFonts w:eastAsia="TimesNewRoman"/>
          <w:szCs w:val="22"/>
          <w:lang w:val="lt-LT"/>
        </w:rPr>
        <w:t xml:space="preserve"> Ekspozicija </w:t>
      </w:r>
      <w:r w:rsidRPr="00CD7E52">
        <w:rPr>
          <w:rFonts w:eastAsia="TimesNewRoman"/>
          <w:snapToGrid/>
          <w:szCs w:val="22"/>
          <w:lang w:val="lt-LT"/>
        </w:rPr>
        <w:t>senyv</w:t>
      </w:r>
      <w:r w:rsidR="009D2C60" w:rsidRPr="00CD7E52">
        <w:rPr>
          <w:rFonts w:eastAsia="TimesNewRoman"/>
          <w:snapToGrid/>
          <w:szCs w:val="22"/>
          <w:lang w:val="lt-LT"/>
        </w:rPr>
        <w:t>ų</w:t>
      </w:r>
      <w:r w:rsidRPr="00CD7E52">
        <w:rPr>
          <w:rFonts w:eastAsia="TimesNewRoman"/>
          <w:snapToGrid/>
          <w:szCs w:val="22"/>
          <w:lang w:val="lt-LT"/>
        </w:rPr>
        <w:t xml:space="preserve"> tiriam</w:t>
      </w:r>
      <w:r w:rsidR="009D2C60" w:rsidRPr="00CD7E52">
        <w:rPr>
          <w:rFonts w:eastAsia="TimesNewRoman"/>
          <w:snapToGrid/>
          <w:szCs w:val="22"/>
          <w:lang w:val="lt-LT"/>
        </w:rPr>
        <w:t>ųjų</w:t>
      </w:r>
      <w:r w:rsidR="009D2C60" w:rsidRPr="00CD7E52">
        <w:rPr>
          <w:rFonts w:eastAsia="TimesNewRoman"/>
          <w:szCs w:val="22"/>
          <w:lang w:val="lt-LT"/>
        </w:rPr>
        <w:t xml:space="preserve"> </w:t>
      </w:r>
      <w:r w:rsidRPr="00CD7E52">
        <w:rPr>
          <w:rFonts w:eastAsia="TimesNewRoman"/>
          <w:szCs w:val="22"/>
          <w:lang w:val="lt-LT"/>
        </w:rPr>
        <w:t>(65</w:t>
      </w:r>
      <w:r w:rsidR="00D96242" w:rsidRPr="00CD7E52">
        <w:rPr>
          <w:rFonts w:eastAsia="TimesNewRoman"/>
          <w:szCs w:val="22"/>
          <w:lang w:val="lt-LT"/>
        </w:rPr>
        <w:t>–</w:t>
      </w:r>
      <w:r w:rsidRPr="00CD7E52">
        <w:rPr>
          <w:rFonts w:eastAsia="TimesNewRoman"/>
          <w:szCs w:val="22"/>
          <w:lang w:val="lt-LT"/>
        </w:rPr>
        <w:t>85</w:t>
      </w:r>
      <w:r w:rsidR="009D2C60" w:rsidRPr="00CD7E52">
        <w:rPr>
          <w:rFonts w:eastAsia="TimesNewRoman"/>
          <w:szCs w:val="22"/>
          <w:lang w:val="lt-LT"/>
        </w:rPr>
        <w:t> </w:t>
      </w:r>
      <w:r w:rsidRPr="00CD7E52">
        <w:rPr>
          <w:rFonts w:eastAsia="TimesNewRoman"/>
          <w:szCs w:val="22"/>
          <w:lang w:val="lt-LT"/>
        </w:rPr>
        <w:t xml:space="preserve">metų) </w:t>
      </w:r>
      <w:r w:rsidR="009D2C60" w:rsidRPr="00CD7E52">
        <w:rPr>
          <w:rFonts w:eastAsia="TimesNewRoman"/>
          <w:snapToGrid/>
          <w:szCs w:val="22"/>
          <w:lang w:val="lt-LT"/>
        </w:rPr>
        <w:t>organizme, palyginti su jaunesniais tiriamaisiais (18</w:t>
      </w:r>
      <w:r w:rsidR="00F778E6" w:rsidRPr="00CD7E52">
        <w:rPr>
          <w:rFonts w:eastAsia="TimesNewRoman"/>
          <w:snapToGrid/>
          <w:szCs w:val="22"/>
          <w:lang w:val="lt-LT"/>
        </w:rPr>
        <w:t>–</w:t>
      </w:r>
      <w:r w:rsidR="009D2C60" w:rsidRPr="00CD7E52">
        <w:rPr>
          <w:rFonts w:eastAsia="TimesNewRoman"/>
          <w:snapToGrid/>
          <w:szCs w:val="22"/>
          <w:lang w:val="lt-LT"/>
        </w:rPr>
        <w:t xml:space="preserve">55 metų) </w:t>
      </w:r>
      <w:r w:rsidRPr="00CD7E52">
        <w:rPr>
          <w:rFonts w:eastAsia="TimesNewRoman"/>
          <w:szCs w:val="22"/>
          <w:lang w:val="lt-LT"/>
        </w:rPr>
        <w:t>yra maždaug 13</w:t>
      </w:r>
      <w:r w:rsidR="009D2C60" w:rsidRPr="00CD7E52">
        <w:rPr>
          <w:rFonts w:eastAsia="TimesNewRoman"/>
          <w:szCs w:val="22"/>
          <w:lang w:val="lt-LT"/>
        </w:rPr>
        <w:t> </w:t>
      </w:r>
      <w:r w:rsidRPr="00CD7E52">
        <w:rPr>
          <w:rFonts w:eastAsia="TimesNewRoman"/>
          <w:szCs w:val="22"/>
          <w:lang w:val="lt-LT"/>
        </w:rPr>
        <w:t xml:space="preserve">% didesnė </w:t>
      </w:r>
      <w:r w:rsidR="009D2C60" w:rsidRPr="00CD7E52">
        <w:rPr>
          <w:rFonts w:eastAsia="TimesNewRoman"/>
          <w:snapToGrid/>
          <w:szCs w:val="22"/>
          <w:lang w:val="lt-LT"/>
        </w:rPr>
        <w:t>vertinant</w:t>
      </w:r>
      <w:r w:rsidRPr="00CD7E52">
        <w:rPr>
          <w:rFonts w:eastAsia="TimesNewRoman"/>
          <w:szCs w:val="22"/>
          <w:lang w:val="lt-LT"/>
        </w:rPr>
        <w:t xml:space="preserve"> apremilasto AUC ir maždaug 6</w:t>
      </w:r>
      <w:r w:rsidR="009D2C60" w:rsidRPr="00CD7E52">
        <w:rPr>
          <w:rFonts w:eastAsia="TimesNewRoman"/>
          <w:szCs w:val="22"/>
          <w:lang w:val="lt-LT"/>
        </w:rPr>
        <w:t> </w:t>
      </w:r>
      <w:r w:rsidRPr="00CD7E52">
        <w:rPr>
          <w:rFonts w:eastAsia="TimesNewRoman"/>
          <w:szCs w:val="22"/>
          <w:lang w:val="lt-LT"/>
        </w:rPr>
        <w:t xml:space="preserve">% </w:t>
      </w:r>
      <w:r w:rsidR="009D2C60" w:rsidRPr="00CD7E52">
        <w:rPr>
          <w:rFonts w:eastAsia="TimesNewRoman"/>
          <w:snapToGrid/>
          <w:szCs w:val="22"/>
          <w:lang w:val="lt-LT"/>
        </w:rPr>
        <w:t xml:space="preserve">didesnė vertinant </w:t>
      </w:r>
      <w:r w:rsidRPr="00CD7E52">
        <w:rPr>
          <w:rFonts w:eastAsia="TimesNewRoman"/>
          <w:szCs w:val="22"/>
          <w:lang w:val="lt-LT"/>
        </w:rPr>
        <w:t>pagal C</w:t>
      </w:r>
      <w:r w:rsidRPr="00CD7E52">
        <w:rPr>
          <w:rFonts w:eastAsia="TimesNewRoman"/>
          <w:szCs w:val="22"/>
          <w:vertAlign w:val="subscript"/>
          <w:lang w:val="lt-LT"/>
        </w:rPr>
        <w:t>max</w:t>
      </w:r>
      <w:r w:rsidRPr="00CD7E52">
        <w:rPr>
          <w:rFonts w:eastAsia="TimesNewRoman"/>
          <w:snapToGrid/>
          <w:szCs w:val="22"/>
          <w:lang w:val="lt-LT"/>
        </w:rPr>
        <w:t xml:space="preserve">. </w:t>
      </w:r>
      <w:r w:rsidR="009D2C60" w:rsidRPr="00CD7E52">
        <w:rPr>
          <w:rFonts w:eastAsia="TimesNewRoman"/>
          <w:snapToGrid/>
          <w:szCs w:val="22"/>
          <w:lang w:val="lt-LT"/>
        </w:rPr>
        <w:t>Klinikinių tyrimų metu gautų f</w:t>
      </w:r>
      <w:r w:rsidRPr="00CD7E52">
        <w:rPr>
          <w:rFonts w:eastAsia="TimesNewRoman"/>
          <w:snapToGrid/>
          <w:szCs w:val="22"/>
          <w:lang w:val="lt-LT"/>
        </w:rPr>
        <w:t xml:space="preserve">armakokinetikos </w:t>
      </w:r>
      <w:r w:rsidRPr="00CD7E52">
        <w:rPr>
          <w:rFonts w:eastAsia="TimesNewRoman"/>
          <w:szCs w:val="22"/>
          <w:lang w:val="lt-LT"/>
        </w:rPr>
        <w:t>duomenų apie vyresnius nei 75</w:t>
      </w:r>
      <w:r w:rsidR="009D2C60" w:rsidRPr="00CD7E52">
        <w:rPr>
          <w:rFonts w:eastAsia="TimesNewRoman"/>
          <w:szCs w:val="22"/>
          <w:lang w:val="lt-LT"/>
        </w:rPr>
        <w:t> </w:t>
      </w:r>
      <w:r w:rsidRPr="00CD7E52">
        <w:rPr>
          <w:rFonts w:eastAsia="TimesNewRoman"/>
          <w:szCs w:val="22"/>
          <w:lang w:val="lt-LT"/>
        </w:rPr>
        <w:t xml:space="preserve">metų tiriamuosius </w:t>
      </w:r>
      <w:r w:rsidR="009D2C60" w:rsidRPr="00CD7E52">
        <w:rPr>
          <w:rFonts w:eastAsia="TimesNewRoman"/>
          <w:snapToGrid/>
          <w:szCs w:val="22"/>
          <w:lang w:val="lt-LT"/>
        </w:rPr>
        <w:t>yra nedaug</w:t>
      </w:r>
      <w:r w:rsidRPr="00CD7E52">
        <w:rPr>
          <w:rFonts w:eastAsia="TimesNewRoman"/>
          <w:snapToGrid/>
          <w:szCs w:val="22"/>
          <w:lang w:val="lt-LT"/>
        </w:rPr>
        <w:t xml:space="preserve">. </w:t>
      </w:r>
      <w:r w:rsidR="009D2C60" w:rsidRPr="00CD7E52">
        <w:rPr>
          <w:rFonts w:eastAsia="TimesNewRoman"/>
          <w:snapToGrid/>
          <w:szCs w:val="22"/>
          <w:lang w:val="lt-LT"/>
        </w:rPr>
        <w:t>Senyviems</w:t>
      </w:r>
      <w:r w:rsidRPr="00CD7E52">
        <w:rPr>
          <w:rFonts w:eastAsia="TimesNewRoman"/>
          <w:szCs w:val="22"/>
          <w:lang w:val="lt-LT"/>
        </w:rPr>
        <w:t xml:space="preserve"> pacientams dozės koreguoti nereikia.</w:t>
      </w:r>
    </w:p>
    <w:p w14:paraId="1F0E702D" w14:textId="77777777" w:rsidR="009D2C60" w:rsidRDefault="009D2C60" w:rsidP="00BD0220">
      <w:pPr>
        <w:widowControl w:val="0"/>
        <w:tabs>
          <w:tab w:val="clear" w:pos="567"/>
        </w:tabs>
        <w:autoSpaceDE w:val="0"/>
        <w:autoSpaceDN w:val="0"/>
        <w:adjustRightInd w:val="0"/>
        <w:spacing w:line="240" w:lineRule="auto"/>
        <w:rPr>
          <w:rFonts w:eastAsia="TimesNewRoman"/>
          <w:szCs w:val="22"/>
          <w:lang w:val="lt-LT"/>
        </w:rPr>
      </w:pPr>
    </w:p>
    <w:p w14:paraId="07F23216" w14:textId="77777777" w:rsidR="00FB0FD4" w:rsidRPr="00DB2543" w:rsidRDefault="00FB0FD4" w:rsidP="00FB0FD4">
      <w:pPr>
        <w:widowControl w:val="0"/>
        <w:tabs>
          <w:tab w:val="clear" w:pos="567"/>
        </w:tabs>
        <w:autoSpaceDE w:val="0"/>
        <w:autoSpaceDN w:val="0"/>
        <w:adjustRightInd w:val="0"/>
        <w:spacing w:line="240" w:lineRule="auto"/>
        <w:rPr>
          <w:rFonts w:eastAsia="TimesNewRoman"/>
          <w:szCs w:val="22"/>
          <w:u w:val="single"/>
          <w:lang w:val="lt-LT"/>
        </w:rPr>
      </w:pPr>
      <w:r w:rsidRPr="00DB2543">
        <w:rPr>
          <w:rFonts w:eastAsia="TimesNewRoman"/>
          <w:szCs w:val="22"/>
          <w:u w:val="single"/>
          <w:lang w:val="lt-LT"/>
        </w:rPr>
        <w:t>Vaikai</w:t>
      </w:r>
    </w:p>
    <w:p w14:paraId="71783142" w14:textId="77777777" w:rsidR="00FB0FD4" w:rsidRDefault="00FB0FD4" w:rsidP="00FB0FD4">
      <w:pPr>
        <w:widowControl w:val="0"/>
        <w:tabs>
          <w:tab w:val="clear" w:pos="567"/>
        </w:tabs>
        <w:autoSpaceDE w:val="0"/>
        <w:autoSpaceDN w:val="0"/>
        <w:adjustRightInd w:val="0"/>
        <w:spacing w:line="240" w:lineRule="auto"/>
        <w:rPr>
          <w:rFonts w:eastAsia="TimesNewRoman"/>
          <w:szCs w:val="22"/>
          <w:lang w:val="lt-LT"/>
        </w:rPr>
      </w:pPr>
      <w:r w:rsidRPr="00FB0FD4">
        <w:rPr>
          <w:rFonts w:eastAsia="TimesNewRoman"/>
          <w:szCs w:val="22"/>
          <w:lang w:val="lt-LT"/>
        </w:rPr>
        <w:t>Apremilasto farmakokinetika buvo įvertinta klinikinio tyrimo metu su 6–17</w:t>
      </w:r>
      <w:r>
        <w:rPr>
          <w:rFonts w:eastAsia="TimesNewRoman"/>
          <w:szCs w:val="22"/>
          <w:lang w:val="lt-LT"/>
        </w:rPr>
        <w:t> </w:t>
      </w:r>
      <w:r w:rsidRPr="00FB0FD4">
        <w:rPr>
          <w:rFonts w:eastAsia="TimesNewRoman"/>
          <w:szCs w:val="22"/>
          <w:lang w:val="lt-LT"/>
        </w:rPr>
        <w:t xml:space="preserve">metų tiriamaisiais, sergančiais vidutinio sunkumo arba sunkia </w:t>
      </w:r>
      <w:r w:rsidR="00863E62" w:rsidRPr="00863E62">
        <w:rPr>
          <w:rFonts w:eastAsia="TimesNewRoman"/>
          <w:szCs w:val="22"/>
          <w:lang w:val="lt-LT"/>
        </w:rPr>
        <w:t>plokšteline</w:t>
      </w:r>
      <w:r w:rsidRPr="00FB0FD4">
        <w:rPr>
          <w:rFonts w:eastAsia="TimesNewRoman"/>
          <w:szCs w:val="22"/>
          <w:lang w:val="lt-LT"/>
        </w:rPr>
        <w:t xml:space="preserve"> psoriaze, taikant rekomenduojamą dozavimo vaikams režimą (žr. 5.1</w:t>
      </w:r>
      <w:r>
        <w:rPr>
          <w:rFonts w:eastAsia="TimesNewRoman"/>
          <w:szCs w:val="22"/>
          <w:lang w:val="lt-LT"/>
        </w:rPr>
        <w:t> </w:t>
      </w:r>
      <w:r w:rsidRPr="00FB0FD4">
        <w:rPr>
          <w:rFonts w:eastAsia="TimesNewRoman"/>
          <w:szCs w:val="22"/>
          <w:lang w:val="lt-LT"/>
        </w:rPr>
        <w:t>skyrių). Populiacijos farmakokinetinė analizė parodė, kad apremilasto nuostoviosios būsenos poveikis (AUC ir C</w:t>
      </w:r>
      <w:r w:rsidRPr="00DB2543">
        <w:rPr>
          <w:rFonts w:eastAsia="TimesNewRoman"/>
          <w:szCs w:val="22"/>
          <w:vertAlign w:val="subscript"/>
          <w:lang w:val="lt-LT"/>
        </w:rPr>
        <w:t>max</w:t>
      </w:r>
      <w:r w:rsidRPr="00FB0FD4">
        <w:rPr>
          <w:rFonts w:eastAsia="TimesNewRoman"/>
          <w:szCs w:val="22"/>
          <w:lang w:val="lt-LT"/>
        </w:rPr>
        <w:t>) vaikams, kuriems paskirtas dozavimo vaikams režimas (20</w:t>
      </w:r>
      <w:r>
        <w:rPr>
          <w:rFonts w:eastAsia="TimesNewRoman"/>
          <w:szCs w:val="22"/>
          <w:lang w:val="lt-LT"/>
        </w:rPr>
        <w:t> </w:t>
      </w:r>
      <w:r w:rsidRPr="00FB0FD4">
        <w:rPr>
          <w:rFonts w:eastAsia="TimesNewRoman"/>
          <w:szCs w:val="22"/>
          <w:lang w:val="lt-LT"/>
        </w:rPr>
        <w:t>mg arba 30</w:t>
      </w:r>
      <w:r>
        <w:rPr>
          <w:rFonts w:eastAsia="TimesNewRoman"/>
          <w:szCs w:val="22"/>
          <w:lang w:val="lt-LT"/>
        </w:rPr>
        <w:t> </w:t>
      </w:r>
      <w:r w:rsidRPr="00FB0FD4">
        <w:rPr>
          <w:rFonts w:eastAsia="TimesNewRoman"/>
          <w:szCs w:val="22"/>
          <w:lang w:val="lt-LT"/>
        </w:rPr>
        <w:t>mg du kartus per parą, atsižvelgiant į kūno svorį), buvo panašus į nuostoviosios būsenos poveikį suaugusiems pacientams, vartojusiems 30</w:t>
      </w:r>
      <w:r>
        <w:rPr>
          <w:rFonts w:eastAsia="TimesNewRoman"/>
          <w:szCs w:val="22"/>
          <w:lang w:val="lt-LT"/>
        </w:rPr>
        <w:t> </w:t>
      </w:r>
      <w:r w:rsidRPr="00FB0FD4">
        <w:rPr>
          <w:rFonts w:eastAsia="TimesNewRoman"/>
          <w:szCs w:val="22"/>
          <w:lang w:val="lt-LT"/>
        </w:rPr>
        <w:t>mg dozę du kartus per parą.</w:t>
      </w:r>
    </w:p>
    <w:p w14:paraId="2B06A4D1" w14:textId="77777777" w:rsidR="00FB0FD4" w:rsidRPr="00CD7E52" w:rsidRDefault="00FB0FD4" w:rsidP="00BD0220">
      <w:pPr>
        <w:widowControl w:val="0"/>
        <w:tabs>
          <w:tab w:val="clear" w:pos="567"/>
        </w:tabs>
        <w:autoSpaceDE w:val="0"/>
        <w:autoSpaceDN w:val="0"/>
        <w:adjustRightInd w:val="0"/>
        <w:spacing w:line="240" w:lineRule="auto"/>
        <w:rPr>
          <w:rFonts w:eastAsia="TimesNewRoman"/>
          <w:szCs w:val="22"/>
          <w:lang w:val="lt-LT"/>
        </w:rPr>
      </w:pPr>
    </w:p>
    <w:p w14:paraId="38EDB8DF" w14:textId="77777777" w:rsidR="003A5CF5" w:rsidRPr="00CD7E52" w:rsidRDefault="009C1DA9" w:rsidP="00BD0220">
      <w:pPr>
        <w:widowControl w:val="0"/>
        <w:tabs>
          <w:tab w:val="clear" w:pos="567"/>
        </w:tabs>
        <w:autoSpaceDE w:val="0"/>
        <w:autoSpaceDN w:val="0"/>
        <w:adjustRightInd w:val="0"/>
        <w:spacing w:line="240" w:lineRule="auto"/>
        <w:rPr>
          <w:rFonts w:eastAsia="TimesNewRoman"/>
          <w:szCs w:val="22"/>
          <w:u w:val="single"/>
          <w:lang w:val="lt-LT"/>
        </w:rPr>
      </w:pPr>
      <w:r w:rsidRPr="00CD7E52">
        <w:rPr>
          <w:rFonts w:eastAsia="TimesNewRoman"/>
          <w:szCs w:val="22"/>
          <w:u w:val="single"/>
          <w:lang w:val="lt-LT"/>
        </w:rPr>
        <w:t>Sutrikusi i</w:t>
      </w:r>
      <w:r w:rsidR="003A5CF5" w:rsidRPr="00CD7E52">
        <w:rPr>
          <w:rFonts w:eastAsia="TimesNewRoman"/>
          <w:szCs w:val="22"/>
          <w:u w:val="single"/>
          <w:lang w:val="lt-LT"/>
        </w:rPr>
        <w:t xml:space="preserve">nkstų </w:t>
      </w:r>
      <w:r w:rsidR="009D2C60" w:rsidRPr="00CD7E52">
        <w:rPr>
          <w:rFonts w:eastAsia="TimesNewRoman"/>
          <w:snapToGrid/>
          <w:szCs w:val="22"/>
          <w:u w:val="single"/>
          <w:lang w:val="lt-LT"/>
        </w:rPr>
        <w:t>funkcij</w:t>
      </w:r>
      <w:r w:rsidRPr="00CD7E52">
        <w:rPr>
          <w:rFonts w:eastAsia="TimesNewRoman"/>
          <w:snapToGrid/>
          <w:szCs w:val="22"/>
          <w:u w:val="single"/>
          <w:lang w:val="lt-LT"/>
        </w:rPr>
        <w:t>a</w:t>
      </w:r>
    </w:p>
    <w:p w14:paraId="12DA1FC7" w14:textId="77777777" w:rsidR="00FB0FD4" w:rsidRDefault="003A5CF5"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napToGrid/>
          <w:szCs w:val="22"/>
          <w:lang w:val="lt-LT"/>
        </w:rPr>
        <w:t>Reikšming</w:t>
      </w:r>
      <w:r w:rsidR="00944A47" w:rsidRPr="00CD7E52">
        <w:rPr>
          <w:rFonts w:eastAsia="TimesNewRoman"/>
          <w:snapToGrid/>
          <w:szCs w:val="22"/>
          <w:lang w:val="lt-LT"/>
        </w:rPr>
        <w:t>ų</w:t>
      </w:r>
      <w:r w:rsidRPr="00CD7E52">
        <w:rPr>
          <w:rFonts w:eastAsia="TimesNewRoman"/>
          <w:szCs w:val="22"/>
          <w:lang w:val="lt-LT"/>
        </w:rPr>
        <w:t xml:space="preserve"> apremilasto farmakokinetikos </w:t>
      </w:r>
      <w:r w:rsidRPr="00CD7E52">
        <w:rPr>
          <w:rFonts w:eastAsia="TimesNewRoman"/>
          <w:snapToGrid/>
          <w:szCs w:val="22"/>
          <w:lang w:val="lt-LT"/>
        </w:rPr>
        <w:t>skirtum</w:t>
      </w:r>
      <w:r w:rsidR="004516DA" w:rsidRPr="00CD7E52">
        <w:rPr>
          <w:rFonts w:eastAsia="TimesNewRoman"/>
          <w:snapToGrid/>
          <w:szCs w:val="22"/>
          <w:lang w:val="lt-LT"/>
        </w:rPr>
        <w:t>ų,</w:t>
      </w:r>
      <w:r w:rsidRPr="00CD7E52">
        <w:rPr>
          <w:rFonts w:eastAsia="TimesNewRoman"/>
          <w:snapToGrid/>
          <w:szCs w:val="22"/>
          <w:lang w:val="lt-LT"/>
        </w:rPr>
        <w:t xml:space="preserve"> </w:t>
      </w:r>
      <w:r w:rsidR="004516DA" w:rsidRPr="00CD7E52">
        <w:rPr>
          <w:rFonts w:eastAsia="TimesNewRoman"/>
          <w:snapToGrid/>
          <w:szCs w:val="22"/>
          <w:lang w:val="lt-LT"/>
        </w:rPr>
        <w:t>lyginant</w:t>
      </w:r>
      <w:r w:rsidRPr="00CD7E52">
        <w:rPr>
          <w:rFonts w:eastAsia="TimesNewRoman"/>
          <w:szCs w:val="22"/>
          <w:lang w:val="lt-LT"/>
        </w:rPr>
        <w:t xml:space="preserve"> </w:t>
      </w:r>
      <w:r w:rsidR="00FB0FD4" w:rsidRPr="00FB0FD4">
        <w:rPr>
          <w:rFonts w:eastAsia="TimesNewRoman"/>
          <w:szCs w:val="22"/>
          <w:lang w:val="lt-LT"/>
        </w:rPr>
        <w:t xml:space="preserve">suaugusių </w:t>
      </w:r>
      <w:r w:rsidRPr="00CD7E52">
        <w:rPr>
          <w:rFonts w:eastAsia="TimesNewRoman"/>
          <w:szCs w:val="22"/>
          <w:lang w:val="lt-LT"/>
        </w:rPr>
        <w:t xml:space="preserve">tiriamųjų, kuriems buvo </w:t>
      </w:r>
      <w:r w:rsidR="004516DA" w:rsidRPr="00CD7E52">
        <w:rPr>
          <w:rFonts w:eastAsia="TimesNewRoman"/>
          <w:snapToGrid/>
          <w:szCs w:val="22"/>
          <w:lang w:val="lt-LT"/>
        </w:rPr>
        <w:lastRenderedPageBreak/>
        <w:t>lengvas</w:t>
      </w:r>
      <w:r w:rsidRPr="00CD7E52">
        <w:rPr>
          <w:rFonts w:eastAsia="TimesNewRoman"/>
          <w:szCs w:val="22"/>
          <w:lang w:val="lt-LT"/>
        </w:rPr>
        <w:t xml:space="preserve"> arba vidutinio</w:t>
      </w:r>
      <w:r w:rsidR="004516DA" w:rsidRPr="00CD7E52">
        <w:rPr>
          <w:rFonts w:eastAsia="TimesNewRoman"/>
          <w:szCs w:val="22"/>
          <w:lang w:val="lt-LT"/>
        </w:rPr>
        <w:t xml:space="preserve"> </w:t>
      </w:r>
      <w:r w:rsidRPr="00CD7E52">
        <w:rPr>
          <w:rFonts w:eastAsia="TimesNewRoman"/>
          <w:szCs w:val="22"/>
          <w:lang w:val="lt-LT"/>
        </w:rPr>
        <w:t xml:space="preserve">sunkumo inkstų </w:t>
      </w:r>
      <w:r w:rsidR="004516DA" w:rsidRPr="00CD7E52">
        <w:rPr>
          <w:rFonts w:eastAsia="TimesNewRoman"/>
          <w:snapToGrid/>
          <w:szCs w:val="22"/>
          <w:lang w:val="lt-LT"/>
        </w:rPr>
        <w:t xml:space="preserve">funkcijos </w:t>
      </w:r>
      <w:r w:rsidRPr="00CD7E52">
        <w:rPr>
          <w:rFonts w:eastAsia="TimesNewRoman"/>
          <w:szCs w:val="22"/>
          <w:lang w:val="lt-LT"/>
        </w:rPr>
        <w:t>sutrikimas</w:t>
      </w:r>
      <w:r w:rsidR="004516DA" w:rsidRPr="00CD7E52">
        <w:rPr>
          <w:rFonts w:eastAsia="TimesNewRoman"/>
          <w:snapToGrid/>
          <w:szCs w:val="22"/>
          <w:lang w:val="lt-LT"/>
        </w:rPr>
        <w:t>,</w:t>
      </w:r>
      <w:r w:rsidR="004516DA" w:rsidRPr="00CD7E52">
        <w:rPr>
          <w:rFonts w:eastAsia="TimesNewRoman"/>
          <w:szCs w:val="22"/>
          <w:lang w:val="lt-LT"/>
        </w:rPr>
        <w:t xml:space="preserve"> ir </w:t>
      </w:r>
      <w:r w:rsidR="004516DA" w:rsidRPr="00CD7E52">
        <w:rPr>
          <w:rFonts w:eastAsia="TimesNewRoman"/>
          <w:snapToGrid/>
          <w:szCs w:val="22"/>
          <w:lang w:val="lt-LT"/>
        </w:rPr>
        <w:t>atitinkamų</w:t>
      </w:r>
      <w:r w:rsidRPr="00CD7E52">
        <w:rPr>
          <w:rFonts w:eastAsia="TimesNewRoman"/>
          <w:szCs w:val="22"/>
          <w:lang w:val="lt-LT"/>
        </w:rPr>
        <w:t xml:space="preserve"> sveikų tiriamųjų (N</w:t>
      </w:r>
      <w:r w:rsidR="00FE6224" w:rsidRPr="00CD7E52">
        <w:rPr>
          <w:rFonts w:eastAsia="TimesNewRoman"/>
          <w:szCs w:val="22"/>
          <w:lang w:val="lt-LT"/>
        </w:rPr>
        <w:t> </w:t>
      </w:r>
      <w:r w:rsidRPr="00CD7E52">
        <w:rPr>
          <w:rFonts w:eastAsia="TimesNewRoman"/>
          <w:snapToGrid/>
          <w:szCs w:val="22"/>
          <w:lang w:val="lt-LT"/>
        </w:rPr>
        <w:t>=</w:t>
      </w:r>
      <w:r w:rsidR="00FE6224" w:rsidRPr="00CD7E52">
        <w:rPr>
          <w:rFonts w:eastAsia="TimesNewRoman"/>
          <w:snapToGrid/>
          <w:szCs w:val="22"/>
          <w:lang w:val="lt-LT"/>
        </w:rPr>
        <w:t> </w:t>
      </w:r>
      <w:r w:rsidRPr="00CD7E52">
        <w:rPr>
          <w:rFonts w:eastAsia="TimesNewRoman"/>
          <w:szCs w:val="22"/>
          <w:lang w:val="lt-LT"/>
        </w:rPr>
        <w:t>8 kiekvienoje grupėje</w:t>
      </w:r>
      <w:r w:rsidRPr="00CD7E52">
        <w:rPr>
          <w:rFonts w:eastAsia="TimesNewRoman"/>
          <w:snapToGrid/>
          <w:szCs w:val="22"/>
          <w:lang w:val="lt-LT"/>
        </w:rPr>
        <w:t>)</w:t>
      </w:r>
      <w:r w:rsidR="004516DA" w:rsidRPr="00CD7E52">
        <w:rPr>
          <w:rFonts w:eastAsia="TimesNewRoman"/>
          <w:snapToGrid/>
          <w:szCs w:val="22"/>
          <w:lang w:val="lt-LT"/>
        </w:rPr>
        <w:t xml:space="preserve"> duomenis, nenustatyta</w:t>
      </w:r>
      <w:r w:rsidRPr="00CD7E52">
        <w:rPr>
          <w:rFonts w:eastAsia="TimesNewRoman"/>
          <w:snapToGrid/>
          <w:szCs w:val="22"/>
          <w:lang w:val="lt-LT"/>
        </w:rPr>
        <w:t>.</w:t>
      </w:r>
      <w:r w:rsidRPr="00CD7E52">
        <w:rPr>
          <w:rFonts w:eastAsia="TimesNewRoman"/>
          <w:szCs w:val="22"/>
          <w:lang w:val="lt-LT"/>
        </w:rPr>
        <w:t xml:space="preserve"> Šie rezultatai</w:t>
      </w:r>
      <w:r w:rsidR="004516DA" w:rsidRPr="00CD7E52">
        <w:rPr>
          <w:rFonts w:eastAsia="TimesNewRoman"/>
          <w:szCs w:val="22"/>
          <w:lang w:val="lt-LT"/>
        </w:rPr>
        <w:t xml:space="preserve"> </w:t>
      </w:r>
      <w:r w:rsidRPr="00CD7E52">
        <w:rPr>
          <w:rFonts w:eastAsia="TimesNewRoman"/>
          <w:szCs w:val="22"/>
          <w:lang w:val="lt-LT"/>
        </w:rPr>
        <w:t xml:space="preserve">patvirtina, kad pacientams, kuriems yra </w:t>
      </w:r>
      <w:r w:rsidR="004516DA" w:rsidRPr="00CD7E52">
        <w:rPr>
          <w:rFonts w:eastAsia="TimesNewRoman"/>
          <w:snapToGrid/>
          <w:szCs w:val="22"/>
          <w:lang w:val="lt-LT"/>
        </w:rPr>
        <w:t>lengvas</w:t>
      </w:r>
      <w:r w:rsidRPr="00CD7E52">
        <w:rPr>
          <w:rFonts w:eastAsia="TimesNewRoman"/>
          <w:szCs w:val="22"/>
          <w:lang w:val="lt-LT"/>
        </w:rPr>
        <w:t xml:space="preserve"> ir vidutinio sunkumo inkstų sutrikimas, dozės koreguoti</w:t>
      </w:r>
      <w:r w:rsidR="004516DA" w:rsidRPr="00CD7E52">
        <w:rPr>
          <w:rFonts w:eastAsia="TimesNewRoman"/>
          <w:szCs w:val="22"/>
          <w:lang w:val="lt-LT"/>
        </w:rPr>
        <w:t xml:space="preserve"> </w:t>
      </w:r>
      <w:r w:rsidRPr="00CD7E52">
        <w:rPr>
          <w:rFonts w:eastAsia="TimesNewRoman"/>
          <w:szCs w:val="22"/>
          <w:lang w:val="lt-LT"/>
        </w:rPr>
        <w:t>nereikia.</w:t>
      </w:r>
    </w:p>
    <w:p w14:paraId="5501C3D3" w14:textId="77777777" w:rsidR="00FB0FD4" w:rsidRDefault="00FB0FD4" w:rsidP="00BD0220">
      <w:pPr>
        <w:widowControl w:val="0"/>
        <w:tabs>
          <w:tab w:val="clear" w:pos="567"/>
        </w:tabs>
        <w:autoSpaceDE w:val="0"/>
        <w:autoSpaceDN w:val="0"/>
        <w:adjustRightInd w:val="0"/>
        <w:spacing w:line="240" w:lineRule="auto"/>
        <w:rPr>
          <w:rFonts w:eastAsia="TimesNewRoman"/>
          <w:szCs w:val="22"/>
          <w:lang w:val="lt-LT"/>
        </w:rPr>
      </w:pPr>
    </w:p>
    <w:p w14:paraId="3FC247C6" w14:textId="77777777" w:rsidR="00FB0FD4" w:rsidRDefault="00FB0FD4" w:rsidP="00BD0220">
      <w:pPr>
        <w:widowControl w:val="0"/>
        <w:tabs>
          <w:tab w:val="clear" w:pos="567"/>
        </w:tabs>
        <w:autoSpaceDE w:val="0"/>
        <w:autoSpaceDN w:val="0"/>
        <w:adjustRightInd w:val="0"/>
        <w:spacing w:line="240" w:lineRule="auto"/>
        <w:rPr>
          <w:rFonts w:eastAsia="TimesNewRoman"/>
          <w:szCs w:val="22"/>
          <w:lang w:val="lt-LT"/>
        </w:rPr>
      </w:pPr>
      <w:r w:rsidRPr="00FB0FD4">
        <w:rPr>
          <w:rFonts w:eastAsia="TimesNewRoman"/>
          <w:szCs w:val="22"/>
          <w:lang w:val="lt-LT"/>
        </w:rPr>
        <w:t xml:space="preserve">8 suaugusiems tiriamiesiems, kuriems buvo sunkus inkstų </w:t>
      </w:r>
      <w:r w:rsidR="00A82F78">
        <w:rPr>
          <w:rFonts w:eastAsia="TimesNewRoman"/>
          <w:szCs w:val="22"/>
          <w:lang w:val="lt-LT"/>
        </w:rPr>
        <w:t xml:space="preserve">funkcijos </w:t>
      </w:r>
      <w:r w:rsidRPr="00FB0FD4">
        <w:rPr>
          <w:rFonts w:eastAsia="TimesNewRoman"/>
          <w:szCs w:val="22"/>
          <w:lang w:val="lt-LT"/>
        </w:rPr>
        <w:t>sutrikimas ir kuriems buvo skirta vienkartinė 30</w:t>
      </w:r>
      <w:r>
        <w:rPr>
          <w:rFonts w:eastAsia="TimesNewRoman"/>
          <w:szCs w:val="22"/>
          <w:lang w:val="lt-LT"/>
        </w:rPr>
        <w:t> </w:t>
      </w:r>
      <w:r w:rsidRPr="00FB0FD4">
        <w:rPr>
          <w:rFonts w:eastAsia="TimesNewRoman"/>
          <w:szCs w:val="22"/>
          <w:lang w:val="lt-LT"/>
        </w:rPr>
        <w:t>mg apremilasto dozė, apremilasto AUC ir C</w:t>
      </w:r>
      <w:r w:rsidRPr="00DB2543">
        <w:rPr>
          <w:rFonts w:eastAsia="TimesNewRoman"/>
          <w:szCs w:val="22"/>
          <w:vertAlign w:val="subscript"/>
          <w:lang w:val="lt-LT"/>
        </w:rPr>
        <w:t>max</w:t>
      </w:r>
      <w:r w:rsidRPr="00FB0FD4">
        <w:rPr>
          <w:rFonts w:eastAsia="TimesNewRoman"/>
          <w:szCs w:val="22"/>
          <w:lang w:val="lt-LT"/>
        </w:rPr>
        <w:t xml:space="preserve"> padidėjo atitinkamai maždaug 89</w:t>
      </w:r>
      <w:r>
        <w:rPr>
          <w:rFonts w:eastAsia="TimesNewRoman"/>
          <w:szCs w:val="22"/>
          <w:lang w:val="lt-LT"/>
        </w:rPr>
        <w:t> </w:t>
      </w:r>
      <w:r w:rsidRPr="00FB0FD4">
        <w:rPr>
          <w:rFonts w:eastAsia="TimesNewRoman"/>
          <w:szCs w:val="22"/>
          <w:lang w:val="lt-LT"/>
        </w:rPr>
        <w:t>% ir 42</w:t>
      </w:r>
      <w:r>
        <w:rPr>
          <w:rFonts w:eastAsia="TimesNewRoman"/>
          <w:szCs w:val="22"/>
          <w:lang w:val="lt-LT"/>
        </w:rPr>
        <w:t> </w:t>
      </w:r>
      <w:r w:rsidRPr="00FB0FD4">
        <w:rPr>
          <w:rFonts w:eastAsia="TimesNewRoman"/>
          <w:szCs w:val="22"/>
          <w:lang w:val="lt-LT"/>
        </w:rPr>
        <w:t>%. Suaugusiems pacientams, kuriems yra sunkus inkstų</w:t>
      </w:r>
      <w:r w:rsidR="00A82F78">
        <w:rPr>
          <w:rFonts w:eastAsia="TimesNewRoman"/>
          <w:szCs w:val="22"/>
          <w:lang w:val="lt-LT"/>
        </w:rPr>
        <w:t xml:space="preserve"> funkcijos</w:t>
      </w:r>
      <w:r w:rsidRPr="00FB0FD4">
        <w:rPr>
          <w:rFonts w:eastAsia="TimesNewRoman"/>
          <w:szCs w:val="22"/>
          <w:lang w:val="lt-LT"/>
        </w:rPr>
        <w:t xml:space="preserve"> sutrikimas (mažiau nei 30</w:t>
      </w:r>
      <w:r>
        <w:rPr>
          <w:rFonts w:eastAsia="TimesNewRoman"/>
          <w:szCs w:val="22"/>
          <w:lang w:val="lt-LT"/>
        </w:rPr>
        <w:t> </w:t>
      </w:r>
      <w:r w:rsidRPr="00FB0FD4">
        <w:rPr>
          <w:rFonts w:eastAsia="TimesNewRoman"/>
          <w:szCs w:val="22"/>
          <w:lang w:val="lt-LT"/>
        </w:rPr>
        <w:t>ml/min./1,73</w:t>
      </w:r>
      <w:r>
        <w:rPr>
          <w:rFonts w:eastAsia="TimesNewRoman"/>
          <w:szCs w:val="22"/>
          <w:lang w:val="lt-LT"/>
        </w:rPr>
        <w:t> </w:t>
      </w:r>
      <w:r w:rsidRPr="00FB0FD4">
        <w:rPr>
          <w:rFonts w:eastAsia="TimesNewRoman"/>
          <w:szCs w:val="22"/>
          <w:lang w:val="lt-LT"/>
        </w:rPr>
        <w:t>m</w:t>
      </w:r>
      <w:r w:rsidRPr="00DB2543">
        <w:rPr>
          <w:rFonts w:eastAsia="TimesNewRoman"/>
          <w:szCs w:val="22"/>
          <w:vertAlign w:val="superscript"/>
          <w:lang w:val="lt-LT"/>
        </w:rPr>
        <w:t>2</w:t>
      </w:r>
      <w:r w:rsidRPr="00FB0FD4">
        <w:rPr>
          <w:rFonts w:eastAsia="TimesNewRoman"/>
          <w:szCs w:val="22"/>
          <w:lang w:val="lt-LT"/>
        </w:rPr>
        <w:t xml:space="preserve"> arba CLcr &lt;</w:t>
      </w:r>
      <w:r>
        <w:rPr>
          <w:rFonts w:eastAsia="TimesNewRoman"/>
          <w:szCs w:val="22"/>
          <w:lang w:val="lt-LT"/>
        </w:rPr>
        <w:t> </w:t>
      </w:r>
      <w:r w:rsidRPr="00FB0FD4">
        <w:rPr>
          <w:rFonts w:eastAsia="TimesNewRoman"/>
          <w:szCs w:val="22"/>
          <w:lang w:val="lt-LT"/>
        </w:rPr>
        <w:t>30</w:t>
      </w:r>
      <w:r>
        <w:rPr>
          <w:rFonts w:eastAsia="TimesNewRoman"/>
          <w:szCs w:val="22"/>
          <w:lang w:val="lt-LT"/>
        </w:rPr>
        <w:t> </w:t>
      </w:r>
      <w:r w:rsidRPr="00FB0FD4">
        <w:rPr>
          <w:rFonts w:eastAsia="TimesNewRoman"/>
          <w:szCs w:val="22"/>
          <w:lang w:val="lt-LT"/>
        </w:rPr>
        <w:t>ml/min.), apremilasto dozę reikia sumažinti iki 30</w:t>
      </w:r>
      <w:r>
        <w:rPr>
          <w:rFonts w:eastAsia="TimesNewRoman"/>
          <w:szCs w:val="22"/>
          <w:lang w:val="lt-LT"/>
        </w:rPr>
        <w:t> </w:t>
      </w:r>
      <w:r w:rsidRPr="00FB0FD4">
        <w:rPr>
          <w:rFonts w:eastAsia="TimesNewRoman"/>
          <w:szCs w:val="22"/>
          <w:lang w:val="lt-LT"/>
        </w:rPr>
        <w:t>mg dozės, vartojamos kartą per parą.</w:t>
      </w:r>
      <w:r w:rsidR="00A82F78">
        <w:rPr>
          <w:rFonts w:eastAsia="TimesNewRoman"/>
          <w:szCs w:val="22"/>
          <w:lang w:val="lt-LT"/>
        </w:rPr>
        <w:t xml:space="preserve"> </w:t>
      </w:r>
      <w:r w:rsidRPr="00FB0FD4">
        <w:rPr>
          <w:rFonts w:eastAsia="TimesNewRoman"/>
          <w:szCs w:val="22"/>
          <w:lang w:val="lt-LT"/>
        </w:rPr>
        <w:t>6</w:t>
      </w:r>
      <w:r>
        <w:rPr>
          <w:rFonts w:eastAsia="TimesNewRoman"/>
          <w:szCs w:val="22"/>
          <w:lang w:val="lt-LT"/>
        </w:rPr>
        <w:t> </w:t>
      </w:r>
      <w:r w:rsidRPr="00FB0FD4">
        <w:rPr>
          <w:rFonts w:eastAsia="TimesNewRoman"/>
          <w:szCs w:val="22"/>
          <w:lang w:val="lt-LT"/>
        </w:rPr>
        <w:t xml:space="preserve">metų ir vyresniems vaikams, kuriems yra sunkus inkstų </w:t>
      </w:r>
      <w:r w:rsidR="00A82F78">
        <w:rPr>
          <w:rFonts w:eastAsia="TimesNewRoman"/>
          <w:szCs w:val="22"/>
          <w:lang w:val="lt-LT"/>
        </w:rPr>
        <w:t xml:space="preserve">funkcijos </w:t>
      </w:r>
      <w:r w:rsidRPr="00FB0FD4">
        <w:rPr>
          <w:rFonts w:eastAsia="TimesNewRoman"/>
          <w:szCs w:val="22"/>
          <w:lang w:val="lt-LT"/>
        </w:rPr>
        <w:t>sutrikimas, sveriantiems ne mažiau kaip 50</w:t>
      </w:r>
      <w:r>
        <w:rPr>
          <w:rFonts w:eastAsia="TimesNewRoman"/>
          <w:szCs w:val="22"/>
          <w:lang w:val="lt-LT"/>
        </w:rPr>
        <w:t> </w:t>
      </w:r>
      <w:r w:rsidRPr="00FB0FD4">
        <w:rPr>
          <w:rFonts w:eastAsia="TimesNewRoman"/>
          <w:szCs w:val="22"/>
          <w:lang w:val="lt-LT"/>
        </w:rPr>
        <w:t>kg, apremilasto dozę reikia sumažinti iki 30</w:t>
      </w:r>
      <w:r>
        <w:rPr>
          <w:rFonts w:eastAsia="TimesNewRoman"/>
          <w:szCs w:val="22"/>
          <w:lang w:val="lt-LT"/>
        </w:rPr>
        <w:t> </w:t>
      </w:r>
      <w:r w:rsidRPr="00FB0FD4">
        <w:rPr>
          <w:rFonts w:eastAsia="TimesNewRoman"/>
          <w:szCs w:val="22"/>
          <w:lang w:val="lt-LT"/>
        </w:rPr>
        <w:t>mg vieną kartą per parą, o vaikams, sveriantiems nuo 20</w:t>
      </w:r>
      <w:r>
        <w:rPr>
          <w:rFonts w:eastAsia="TimesNewRoman"/>
          <w:szCs w:val="22"/>
          <w:lang w:val="lt-LT"/>
        </w:rPr>
        <w:t> </w:t>
      </w:r>
      <w:r w:rsidRPr="00FB0FD4">
        <w:rPr>
          <w:rFonts w:eastAsia="TimesNewRoman"/>
          <w:szCs w:val="22"/>
          <w:lang w:val="lt-LT"/>
        </w:rPr>
        <w:t xml:space="preserve">kg iki </w:t>
      </w:r>
      <w:r w:rsidR="00E5251F">
        <w:rPr>
          <w:rFonts w:eastAsia="TimesNewRoman"/>
          <w:szCs w:val="22"/>
          <w:lang w:val="lt-LT"/>
        </w:rPr>
        <w:t xml:space="preserve">mažiau nei </w:t>
      </w:r>
      <w:r w:rsidRPr="00FB0FD4">
        <w:rPr>
          <w:rFonts w:eastAsia="TimesNewRoman"/>
          <w:szCs w:val="22"/>
          <w:lang w:val="lt-LT"/>
        </w:rPr>
        <w:t>50</w:t>
      </w:r>
      <w:r>
        <w:rPr>
          <w:rFonts w:eastAsia="TimesNewRoman"/>
          <w:szCs w:val="22"/>
          <w:lang w:val="lt-LT"/>
        </w:rPr>
        <w:t> </w:t>
      </w:r>
      <w:r w:rsidRPr="00FB0FD4">
        <w:rPr>
          <w:rFonts w:eastAsia="TimesNewRoman"/>
          <w:szCs w:val="22"/>
          <w:lang w:val="lt-LT"/>
        </w:rPr>
        <w:t>kg, – iki 20</w:t>
      </w:r>
      <w:r>
        <w:rPr>
          <w:rFonts w:eastAsia="TimesNewRoman"/>
          <w:szCs w:val="22"/>
          <w:lang w:val="lt-LT"/>
        </w:rPr>
        <w:t> </w:t>
      </w:r>
      <w:r w:rsidRPr="00FB0FD4">
        <w:rPr>
          <w:rFonts w:eastAsia="TimesNewRoman"/>
          <w:szCs w:val="22"/>
          <w:lang w:val="lt-LT"/>
        </w:rPr>
        <w:t>mg vieną kartą per parą (žr. 4.2</w:t>
      </w:r>
      <w:r>
        <w:rPr>
          <w:rFonts w:eastAsia="TimesNewRoman"/>
          <w:szCs w:val="22"/>
          <w:lang w:val="lt-LT"/>
        </w:rPr>
        <w:t> </w:t>
      </w:r>
      <w:r w:rsidRPr="00FB0FD4">
        <w:rPr>
          <w:rFonts w:eastAsia="TimesNewRoman"/>
          <w:szCs w:val="22"/>
          <w:lang w:val="lt-LT"/>
        </w:rPr>
        <w:t>skyrių).</w:t>
      </w:r>
    </w:p>
    <w:p w14:paraId="1B4853C5" w14:textId="77777777" w:rsidR="006F188A" w:rsidRPr="00CD7E52" w:rsidRDefault="006F188A" w:rsidP="00BD0220">
      <w:pPr>
        <w:widowControl w:val="0"/>
        <w:tabs>
          <w:tab w:val="clear" w:pos="567"/>
        </w:tabs>
        <w:autoSpaceDE w:val="0"/>
        <w:autoSpaceDN w:val="0"/>
        <w:adjustRightInd w:val="0"/>
        <w:spacing w:line="240" w:lineRule="auto"/>
        <w:rPr>
          <w:rFonts w:eastAsia="TimesNewRoman"/>
          <w:szCs w:val="22"/>
          <w:lang w:val="lt-LT"/>
        </w:rPr>
      </w:pPr>
    </w:p>
    <w:p w14:paraId="40C26211" w14:textId="77777777" w:rsidR="003A5CF5" w:rsidRPr="00CD7E52" w:rsidRDefault="009C1DA9" w:rsidP="00BD0220">
      <w:pPr>
        <w:widowControl w:val="0"/>
        <w:tabs>
          <w:tab w:val="clear" w:pos="567"/>
        </w:tabs>
        <w:autoSpaceDE w:val="0"/>
        <w:autoSpaceDN w:val="0"/>
        <w:adjustRightInd w:val="0"/>
        <w:spacing w:line="240" w:lineRule="auto"/>
        <w:rPr>
          <w:rFonts w:eastAsia="TimesNewRoman"/>
          <w:szCs w:val="22"/>
          <w:u w:val="single"/>
          <w:lang w:val="lt-LT"/>
        </w:rPr>
      </w:pPr>
      <w:r w:rsidRPr="00CD7E52">
        <w:rPr>
          <w:rFonts w:eastAsia="TimesNewRoman"/>
          <w:szCs w:val="22"/>
          <w:u w:val="single"/>
          <w:lang w:val="lt-LT"/>
        </w:rPr>
        <w:t>Sutrikusi k</w:t>
      </w:r>
      <w:r w:rsidR="003A5CF5" w:rsidRPr="00CD7E52">
        <w:rPr>
          <w:rFonts w:eastAsia="TimesNewRoman"/>
          <w:szCs w:val="22"/>
          <w:u w:val="single"/>
          <w:lang w:val="lt-LT"/>
        </w:rPr>
        <w:t xml:space="preserve">epenų </w:t>
      </w:r>
      <w:r w:rsidR="006F188A" w:rsidRPr="00CD7E52">
        <w:rPr>
          <w:rFonts w:eastAsia="TimesNewRoman"/>
          <w:snapToGrid/>
          <w:szCs w:val="22"/>
          <w:u w:val="single"/>
          <w:lang w:val="lt-LT"/>
        </w:rPr>
        <w:t>funkcij</w:t>
      </w:r>
      <w:r w:rsidRPr="00CD7E52">
        <w:rPr>
          <w:rFonts w:eastAsia="TimesNewRoman"/>
          <w:snapToGrid/>
          <w:szCs w:val="22"/>
          <w:u w:val="single"/>
          <w:lang w:val="lt-LT"/>
        </w:rPr>
        <w:t>a</w:t>
      </w:r>
    </w:p>
    <w:p w14:paraId="7C38F42C" w14:textId="77777777" w:rsidR="00776FBE" w:rsidRPr="00CD7E52" w:rsidRDefault="003A5CF5"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 xml:space="preserve">Vidutinio sunkumo arba sunkus kepenų sutrikimas </w:t>
      </w:r>
      <w:r w:rsidR="0056001E" w:rsidRPr="00CD7E52">
        <w:rPr>
          <w:rFonts w:eastAsia="TimesNewRoman"/>
          <w:snapToGrid/>
          <w:szCs w:val="22"/>
          <w:lang w:val="lt-LT"/>
        </w:rPr>
        <w:t>į</w:t>
      </w:r>
      <w:r w:rsidR="002351FE" w:rsidRPr="00CD7E52">
        <w:rPr>
          <w:rFonts w:eastAsia="TimesNewRoman"/>
          <w:snapToGrid/>
          <w:szCs w:val="22"/>
          <w:lang w:val="lt-LT"/>
        </w:rPr>
        <w:t xml:space="preserve">takos </w:t>
      </w:r>
      <w:r w:rsidRPr="00CD7E52">
        <w:rPr>
          <w:rFonts w:eastAsia="TimesNewRoman"/>
          <w:szCs w:val="22"/>
          <w:lang w:val="lt-LT"/>
        </w:rPr>
        <w:t>apremilasto ir pagrindinio jo metabolito M12</w:t>
      </w:r>
      <w:r w:rsidR="002351FE" w:rsidRPr="00CD7E52">
        <w:rPr>
          <w:rFonts w:eastAsia="TimesNewRoman"/>
          <w:szCs w:val="22"/>
          <w:lang w:val="lt-LT"/>
        </w:rPr>
        <w:t xml:space="preserve"> </w:t>
      </w:r>
      <w:r w:rsidRPr="00CD7E52">
        <w:rPr>
          <w:rFonts w:eastAsia="TimesNewRoman"/>
          <w:snapToGrid/>
          <w:szCs w:val="22"/>
          <w:lang w:val="lt-LT"/>
        </w:rPr>
        <w:t>farmakokinetik</w:t>
      </w:r>
      <w:r w:rsidR="002351FE" w:rsidRPr="00CD7E52">
        <w:rPr>
          <w:rFonts w:eastAsia="TimesNewRoman"/>
          <w:snapToGrid/>
          <w:szCs w:val="22"/>
          <w:lang w:val="lt-LT"/>
        </w:rPr>
        <w:t>ai nedaro</w:t>
      </w:r>
      <w:r w:rsidRPr="00CD7E52">
        <w:rPr>
          <w:rFonts w:eastAsia="TimesNewRoman"/>
          <w:snapToGrid/>
          <w:szCs w:val="22"/>
          <w:lang w:val="lt-LT"/>
        </w:rPr>
        <w:t>.</w:t>
      </w:r>
      <w:r w:rsidRPr="00CD7E52">
        <w:rPr>
          <w:rFonts w:eastAsia="TimesNewRoman"/>
          <w:szCs w:val="22"/>
          <w:lang w:val="lt-LT"/>
        </w:rPr>
        <w:t xml:space="preserve"> Pacientams, </w:t>
      </w:r>
      <w:r w:rsidRPr="00CD7E52">
        <w:rPr>
          <w:rFonts w:eastAsia="TimesNewRoman"/>
          <w:snapToGrid/>
          <w:szCs w:val="22"/>
          <w:lang w:val="lt-LT"/>
        </w:rPr>
        <w:t>kuri</w:t>
      </w:r>
      <w:r w:rsidR="002351FE" w:rsidRPr="00CD7E52">
        <w:rPr>
          <w:rFonts w:eastAsia="TimesNewRoman"/>
          <w:snapToGrid/>
          <w:szCs w:val="22"/>
          <w:lang w:val="lt-LT"/>
        </w:rPr>
        <w:t>ų</w:t>
      </w:r>
      <w:r w:rsidRPr="00CD7E52">
        <w:rPr>
          <w:rFonts w:eastAsia="TimesNewRoman"/>
          <w:szCs w:val="22"/>
          <w:lang w:val="lt-LT"/>
        </w:rPr>
        <w:t xml:space="preserve"> kepenų </w:t>
      </w:r>
      <w:r w:rsidR="002351FE" w:rsidRPr="00CD7E52">
        <w:rPr>
          <w:rFonts w:eastAsia="TimesNewRoman"/>
          <w:snapToGrid/>
          <w:szCs w:val="22"/>
          <w:lang w:val="lt-LT"/>
        </w:rPr>
        <w:t>funkcija sutrikusi</w:t>
      </w:r>
      <w:r w:rsidRPr="00CD7E52">
        <w:rPr>
          <w:rFonts w:eastAsia="TimesNewRoman"/>
          <w:szCs w:val="22"/>
          <w:lang w:val="lt-LT"/>
        </w:rPr>
        <w:t>, dozės koreguoti nereikia.</w:t>
      </w:r>
    </w:p>
    <w:p w14:paraId="2FFC3F8F" w14:textId="77777777" w:rsidR="00776FBE" w:rsidRPr="00CD7E52" w:rsidRDefault="00776FBE" w:rsidP="00BD0220">
      <w:pPr>
        <w:widowControl w:val="0"/>
        <w:tabs>
          <w:tab w:val="clear" w:pos="567"/>
        </w:tabs>
        <w:autoSpaceDE w:val="0"/>
        <w:autoSpaceDN w:val="0"/>
        <w:adjustRightInd w:val="0"/>
        <w:spacing w:line="240" w:lineRule="auto"/>
        <w:rPr>
          <w:rFonts w:eastAsia="TimesNewRoman"/>
          <w:szCs w:val="22"/>
          <w:lang w:val="lt-LT"/>
        </w:rPr>
      </w:pPr>
    </w:p>
    <w:p w14:paraId="7B1F2949" w14:textId="77777777" w:rsidR="00776FBE" w:rsidRPr="00CD7E52" w:rsidRDefault="00776FBE" w:rsidP="003D18C8">
      <w:pPr>
        <w:widowControl w:val="0"/>
        <w:spacing w:line="240" w:lineRule="auto"/>
        <w:ind w:left="567" w:hanging="567"/>
        <w:outlineLvl w:val="2"/>
        <w:rPr>
          <w:kern w:val="28"/>
          <w:szCs w:val="22"/>
          <w:lang w:val="lt-LT"/>
        </w:rPr>
      </w:pPr>
      <w:r w:rsidRPr="00CD7E52">
        <w:rPr>
          <w:b/>
          <w:snapToGrid/>
          <w:kern w:val="28"/>
          <w:szCs w:val="22"/>
          <w:lang w:val="lt-LT"/>
        </w:rPr>
        <w:t>5.3</w:t>
      </w:r>
      <w:r w:rsidRPr="00CD7E52">
        <w:rPr>
          <w:b/>
          <w:snapToGrid/>
          <w:kern w:val="28"/>
          <w:szCs w:val="22"/>
          <w:lang w:val="lt-LT"/>
        </w:rPr>
        <w:tab/>
      </w:r>
      <w:r w:rsidRPr="00CD7E52">
        <w:rPr>
          <w:b/>
          <w:kern w:val="28"/>
          <w:szCs w:val="22"/>
          <w:lang w:val="lt-LT"/>
        </w:rPr>
        <w:t>Ikiklinikinių saugumo tyrimų duomenys</w:t>
      </w:r>
    </w:p>
    <w:p w14:paraId="757FDBA3" w14:textId="77777777" w:rsidR="00776FBE" w:rsidRPr="00CD7E52" w:rsidRDefault="00776FBE" w:rsidP="00BD0220">
      <w:pPr>
        <w:widowControl w:val="0"/>
        <w:tabs>
          <w:tab w:val="clear" w:pos="567"/>
        </w:tabs>
        <w:autoSpaceDE w:val="0"/>
        <w:autoSpaceDN w:val="0"/>
        <w:adjustRightInd w:val="0"/>
        <w:spacing w:line="240" w:lineRule="auto"/>
        <w:rPr>
          <w:rFonts w:eastAsia="TimesNewRoman"/>
          <w:szCs w:val="22"/>
          <w:lang w:val="lt-LT"/>
        </w:rPr>
      </w:pPr>
    </w:p>
    <w:p w14:paraId="451A01D0" w14:textId="77777777" w:rsidR="003A5CF5" w:rsidRPr="00CD7E52" w:rsidRDefault="003A5CF5"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Įprastų farmakologinio saugumo ir kartotinių dozių toksiškumo ikiklinikinių tyrimų duomenys specifinio</w:t>
      </w:r>
      <w:r w:rsidR="00026D8D" w:rsidRPr="00CD7E52">
        <w:rPr>
          <w:rFonts w:eastAsia="TimesNewRoman"/>
          <w:szCs w:val="22"/>
          <w:lang w:val="lt-LT"/>
        </w:rPr>
        <w:t xml:space="preserve"> </w:t>
      </w:r>
      <w:r w:rsidRPr="00CD7E52">
        <w:rPr>
          <w:rFonts w:eastAsia="TimesNewRoman"/>
          <w:szCs w:val="22"/>
          <w:lang w:val="lt-LT"/>
        </w:rPr>
        <w:t>pavojaus žmogui nerodo. Duomenų apie galimą imunotoksinį, odą dirginantį arba fototoksinį poveikį nėra.</w:t>
      </w:r>
    </w:p>
    <w:p w14:paraId="11C45D4F" w14:textId="77777777" w:rsidR="00026D8D" w:rsidRPr="00CD7E52" w:rsidRDefault="00026D8D" w:rsidP="00BD0220">
      <w:pPr>
        <w:widowControl w:val="0"/>
        <w:tabs>
          <w:tab w:val="clear" w:pos="567"/>
        </w:tabs>
        <w:autoSpaceDE w:val="0"/>
        <w:autoSpaceDN w:val="0"/>
        <w:adjustRightInd w:val="0"/>
        <w:spacing w:line="240" w:lineRule="auto"/>
        <w:rPr>
          <w:rFonts w:eastAsia="TimesNewRoman"/>
          <w:szCs w:val="22"/>
          <w:lang w:val="lt-LT"/>
        </w:rPr>
      </w:pPr>
    </w:p>
    <w:p w14:paraId="353C63E3" w14:textId="77777777" w:rsidR="003A5CF5" w:rsidRPr="00CD7E52" w:rsidRDefault="003A5CF5" w:rsidP="00BD0220">
      <w:pPr>
        <w:widowControl w:val="0"/>
        <w:tabs>
          <w:tab w:val="clear" w:pos="567"/>
        </w:tabs>
        <w:autoSpaceDE w:val="0"/>
        <w:autoSpaceDN w:val="0"/>
        <w:adjustRightInd w:val="0"/>
        <w:spacing w:line="240" w:lineRule="auto"/>
        <w:rPr>
          <w:rFonts w:eastAsia="TimesNewRoman"/>
          <w:szCs w:val="22"/>
          <w:u w:val="single"/>
          <w:lang w:val="lt-LT"/>
        </w:rPr>
      </w:pPr>
      <w:r w:rsidRPr="00CD7E52">
        <w:rPr>
          <w:rFonts w:eastAsia="TimesNewRoman"/>
          <w:szCs w:val="22"/>
          <w:u w:val="single"/>
          <w:lang w:val="lt-LT"/>
        </w:rPr>
        <w:t>Vaisingumas ir ankstyvasis embriono vystymasis</w:t>
      </w:r>
    </w:p>
    <w:p w14:paraId="68D0BA2D" w14:textId="77777777" w:rsidR="003A5CF5" w:rsidRPr="00CD7E52" w:rsidRDefault="003A5CF5"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 xml:space="preserve">Atliekant </w:t>
      </w:r>
      <w:r w:rsidR="00615AD1" w:rsidRPr="00CD7E52">
        <w:rPr>
          <w:rFonts w:eastAsia="TimesNewRoman"/>
          <w:snapToGrid/>
          <w:szCs w:val="22"/>
          <w:lang w:val="lt-LT"/>
        </w:rPr>
        <w:t xml:space="preserve">poveikio </w:t>
      </w:r>
      <w:r w:rsidRPr="00CD7E52">
        <w:rPr>
          <w:rFonts w:eastAsia="TimesNewRoman"/>
          <w:szCs w:val="22"/>
          <w:lang w:val="lt-LT"/>
        </w:rPr>
        <w:t xml:space="preserve">pelių patinų </w:t>
      </w:r>
      <w:r w:rsidR="00615AD1" w:rsidRPr="00CD7E52">
        <w:rPr>
          <w:rFonts w:eastAsia="TimesNewRoman"/>
          <w:snapToGrid/>
          <w:szCs w:val="22"/>
          <w:lang w:val="lt-LT"/>
        </w:rPr>
        <w:t>vislumui</w:t>
      </w:r>
      <w:r w:rsidRPr="00CD7E52">
        <w:rPr>
          <w:rFonts w:eastAsia="TimesNewRoman"/>
          <w:szCs w:val="22"/>
          <w:lang w:val="lt-LT"/>
        </w:rPr>
        <w:t xml:space="preserve"> tyrimą, </w:t>
      </w:r>
      <w:r w:rsidR="00615AD1" w:rsidRPr="00CD7E52">
        <w:rPr>
          <w:rFonts w:eastAsia="TimesNewRoman"/>
          <w:snapToGrid/>
          <w:szCs w:val="22"/>
          <w:lang w:val="lt-LT"/>
        </w:rPr>
        <w:t>sugirdytos</w:t>
      </w:r>
      <w:r w:rsidRPr="00CD7E52">
        <w:rPr>
          <w:rFonts w:eastAsia="TimesNewRoman"/>
          <w:szCs w:val="22"/>
          <w:lang w:val="lt-LT"/>
        </w:rPr>
        <w:t xml:space="preserve"> 1, 10, 25 ir 50</w:t>
      </w:r>
      <w:r w:rsidR="00A87582" w:rsidRPr="00CD7E52">
        <w:rPr>
          <w:rFonts w:eastAsia="TimesNewRoman"/>
          <w:szCs w:val="22"/>
          <w:lang w:val="lt-LT"/>
        </w:rPr>
        <w:t> mg</w:t>
      </w:r>
      <w:r w:rsidRPr="00CD7E52">
        <w:rPr>
          <w:rFonts w:eastAsia="TimesNewRoman"/>
          <w:szCs w:val="22"/>
          <w:lang w:val="lt-LT"/>
        </w:rPr>
        <w:t>/kg per parą apremilasto dozės</w:t>
      </w:r>
      <w:r w:rsidR="00615AD1" w:rsidRPr="00CD7E52">
        <w:rPr>
          <w:rFonts w:eastAsia="TimesNewRoman"/>
          <w:szCs w:val="22"/>
          <w:lang w:val="lt-LT"/>
        </w:rPr>
        <w:t xml:space="preserve"> </w:t>
      </w:r>
      <w:r w:rsidRPr="00CD7E52">
        <w:rPr>
          <w:rFonts w:eastAsia="TimesNewRoman"/>
          <w:szCs w:val="22"/>
          <w:lang w:val="lt-LT"/>
        </w:rPr>
        <w:t xml:space="preserve">poveikio patinų </w:t>
      </w:r>
      <w:r w:rsidR="00615AD1" w:rsidRPr="00CD7E52">
        <w:rPr>
          <w:rFonts w:eastAsia="TimesNewRoman"/>
          <w:snapToGrid/>
          <w:szCs w:val="22"/>
          <w:lang w:val="lt-LT"/>
        </w:rPr>
        <w:t>vislumui</w:t>
      </w:r>
      <w:r w:rsidRPr="00CD7E52">
        <w:rPr>
          <w:rFonts w:eastAsia="TimesNewRoman"/>
          <w:szCs w:val="22"/>
          <w:lang w:val="lt-LT"/>
        </w:rPr>
        <w:t xml:space="preserve"> neturėjo; </w:t>
      </w:r>
      <w:r w:rsidR="00615AD1" w:rsidRPr="00CD7E52">
        <w:rPr>
          <w:rFonts w:eastAsia="TimesNewRoman"/>
          <w:snapToGrid/>
          <w:szCs w:val="22"/>
          <w:lang w:val="lt-LT"/>
        </w:rPr>
        <w:t>nepageidaujamo</w:t>
      </w:r>
      <w:r w:rsidRPr="00CD7E52">
        <w:rPr>
          <w:rFonts w:eastAsia="TimesNewRoman"/>
          <w:szCs w:val="22"/>
          <w:lang w:val="lt-LT"/>
        </w:rPr>
        <w:t xml:space="preserve"> poveikio nesukelianti dozė (angl. </w:t>
      </w:r>
      <w:r w:rsidRPr="00CD7E52">
        <w:rPr>
          <w:rFonts w:eastAsia="TimesNewRoman"/>
          <w:i/>
          <w:szCs w:val="22"/>
          <w:lang w:val="lt-LT"/>
        </w:rPr>
        <w:t>No</w:t>
      </w:r>
      <w:r w:rsidR="00026D8D" w:rsidRPr="00CD7E52">
        <w:rPr>
          <w:rFonts w:eastAsia="TimesNewRoman"/>
          <w:i/>
          <w:szCs w:val="22"/>
          <w:lang w:val="lt-LT"/>
        </w:rPr>
        <w:t xml:space="preserve"> </w:t>
      </w:r>
      <w:r w:rsidRPr="00CD7E52">
        <w:rPr>
          <w:rFonts w:eastAsia="TimesNewRoman"/>
          <w:i/>
          <w:szCs w:val="22"/>
          <w:lang w:val="lt-LT"/>
        </w:rPr>
        <w:t>Observed Adverse Effect Level</w:t>
      </w:r>
      <w:r w:rsidRPr="00CD7E52">
        <w:rPr>
          <w:rFonts w:eastAsia="TimesNewRoman"/>
          <w:szCs w:val="22"/>
          <w:lang w:val="lt-LT"/>
        </w:rPr>
        <w:t xml:space="preserve">, NOAEL) </w:t>
      </w:r>
      <w:r w:rsidR="00615AD1" w:rsidRPr="00CD7E52">
        <w:rPr>
          <w:rFonts w:eastAsia="TimesNewRoman"/>
          <w:snapToGrid/>
          <w:szCs w:val="22"/>
          <w:lang w:val="lt-LT"/>
        </w:rPr>
        <w:t xml:space="preserve">pelių patinams </w:t>
      </w:r>
      <w:r w:rsidRPr="00CD7E52">
        <w:rPr>
          <w:rFonts w:eastAsia="TimesNewRoman"/>
          <w:szCs w:val="22"/>
          <w:lang w:val="lt-LT"/>
        </w:rPr>
        <w:t>buvo didesnė nei 50</w:t>
      </w:r>
      <w:r w:rsidR="00A87582" w:rsidRPr="00CD7E52">
        <w:rPr>
          <w:rFonts w:eastAsia="TimesNewRoman"/>
          <w:szCs w:val="22"/>
          <w:lang w:val="lt-LT"/>
        </w:rPr>
        <w:t> mg</w:t>
      </w:r>
      <w:r w:rsidRPr="00CD7E52">
        <w:rPr>
          <w:rFonts w:eastAsia="TimesNewRoman"/>
          <w:szCs w:val="22"/>
          <w:lang w:val="lt-LT"/>
        </w:rPr>
        <w:t>/kg per parą (3</w:t>
      </w:r>
      <w:r w:rsidR="00615AD1" w:rsidRPr="00CD7E52">
        <w:rPr>
          <w:rFonts w:eastAsia="TimesNewRoman"/>
          <w:szCs w:val="22"/>
          <w:lang w:val="lt-LT"/>
        </w:rPr>
        <w:t> </w:t>
      </w:r>
      <w:r w:rsidRPr="00CD7E52">
        <w:rPr>
          <w:rFonts w:eastAsia="TimesNewRoman"/>
          <w:szCs w:val="22"/>
          <w:lang w:val="lt-LT"/>
        </w:rPr>
        <w:t>kartus didesnė už klinikinę</w:t>
      </w:r>
      <w:r w:rsidR="00615AD1" w:rsidRPr="00CD7E52">
        <w:rPr>
          <w:rFonts w:eastAsia="TimesNewRoman"/>
          <w:szCs w:val="22"/>
          <w:lang w:val="lt-LT"/>
        </w:rPr>
        <w:t xml:space="preserve"> </w:t>
      </w:r>
      <w:r w:rsidRPr="00CD7E52">
        <w:rPr>
          <w:rFonts w:eastAsia="TimesNewRoman"/>
          <w:szCs w:val="22"/>
          <w:lang w:val="lt-LT"/>
        </w:rPr>
        <w:t>ekspoziciją).</w:t>
      </w:r>
    </w:p>
    <w:p w14:paraId="2A8351D3" w14:textId="77777777" w:rsidR="00615AD1" w:rsidRPr="00CD7E52" w:rsidRDefault="00615AD1" w:rsidP="00BD0220">
      <w:pPr>
        <w:widowControl w:val="0"/>
        <w:tabs>
          <w:tab w:val="clear" w:pos="567"/>
        </w:tabs>
        <w:autoSpaceDE w:val="0"/>
        <w:autoSpaceDN w:val="0"/>
        <w:adjustRightInd w:val="0"/>
        <w:spacing w:line="240" w:lineRule="auto"/>
        <w:rPr>
          <w:rFonts w:eastAsia="TimesNewRoman"/>
          <w:szCs w:val="22"/>
          <w:lang w:val="lt-LT"/>
        </w:rPr>
      </w:pPr>
    </w:p>
    <w:p w14:paraId="0AE6E0B3" w14:textId="77777777" w:rsidR="003A5CF5" w:rsidRPr="00CD7E52" w:rsidRDefault="003A5CF5"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 xml:space="preserve">Atliekant </w:t>
      </w:r>
      <w:r w:rsidR="00615AD1" w:rsidRPr="00CD7E52">
        <w:rPr>
          <w:rFonts w:eastAsia="TimesNewRoman"/>
          <w:snapToGrid/>
          <w:szCs w:val="22"/>
          <w:lang w:val="lt-LT"/>
        </w:rPr>
        <w:t>kombinuotą poveikio</w:t>
      </w:r>
      <w:r w:rsidR="00615AD1" w:rsidRPr="00CD7E52">
        <w:rPr>
          <w:rFonts w:eastAsia="TimesNewRoman"/>
          <w:szCs w:val="22"/>
          <w:lang w:val="lt-LT"/>
        </w:rPr>
        <w:t xml:space="preserve"> </w:t>
      </w:r>
      <w:r w:rsidRPr="00CD7E52">
        <w:rPr>
          <w:rFonts w:eastAsia="TimesNewRoman"/>
          <w:szCs w:val="22"/>
          <w:lang w:val="lt-LT"/>
        </w:rPr>
        <w:t xml:space="preserve">pelių patelių </w:t>
      </w:r>
      <w:r w:rsidR="00615AD1" w:rsidRPr="00CD7E52">
        <w:rPr>
          <w:rFonts w:eastAsia="TimesNewRoman"/>
          <w:snapToGrid/>
          <w:szCs w:val="22"/>
          <w:lang w:val="lt-LT"/>
        </w:rPr>
        <w:t>vislumui</w:t>
      </w:r>
      <w:r w:rsidRPr="00CD7E52">
        <w:rPr>
          <w:rFonts w:eastAsia="TimesNewRoman"/>
          <w:szCs w:val="22"/>
          <w:lang w:val="lt-LT"/>
        </w:rPr>
        <w:t xml:space="preserve"> ir toksinio poveikio embriono bei vaisiaus vystymuisi tyrimą,</w:t>
      </w:r>
      <w:r w:rsidR="00615AD1" w:rsidRPr="00CD7E52">
        <w:rPr>
          <w:rFonts w:eastAsia="TimesNewRoman"/>
          <w:szCs w:val="22"/>
          <w:lang w:val="lt-LT"/>
        </w:rPr>
        <w:t xml:space="preserve"> </w:t>
      </w:r>
      <w:r w:rsidRPr="00CD7E52">
        <w:rPr>
          <w:rFonts w:eastAsia="TimesNewRoman"/>
          <w:szCs w:val="22"/>
          <w:lang w:val="lt-LT"/>
        </w:rPr>
        <w:t xml:space="preserve">kurio metu buvo </w:t>
      </w:r>
      <w:r w:rsidR="00615AD1" w:rsidRPr="00CD7E52">
        <w:rPr>
          <w:rFonts w:eastAsia="TimesNewRoman"/>
          <w:snapToGrid/>
          <w:szCs w:val="22"/>
          <w:lang w:val="lt-LT"/>
        </w:rPr>
        <w:t>girdomos</w:t>
      </w:r>
      <w:r w:rsidR="00615AD1" w:rsidRPr="00CD7E52">
        <w:rPr>
          <w:rFonts w:eastAsia="TimesNewRoman"/>
          <w:szCs w:val="22"/>
          <w:lang w:val="lt-LT"/>
        </w:rPr>
        <w:t xml:space="preserve"> </w:t>
      </w:r>
      <w:r w:rsidRPr="00CD7E52">
        <w:rPr>
          <w:rFonts w:eastAsia="TimesNewRoman"/>
          <w:szCs w:val="22"/>
          <w:lang w:val="lt-LT"/>
        </w:rPr>
        <w:t>10, 20, 40 ir 80</w:t>
      </w:r>
      <w:r w:rsidR="00A87582" w:rsidRPr="00CD7E52">
        <w:rPr>
          <w:rFonts w:eastAsia="TimesNewRoman"/>
          <w:szCs w:val="22"/>
          <w:lang w:val="lt-LT"/>
        </w:rPr>
        <w:t> mg</w:t>
      </w:r>
      <w:r w:rsidRPr="00CD7E52">
        <w:rPr>
          <w:rFonts w:eastAsia="TimesNewRoman"/>
          <w:szCs w:val="22"/>
          <w:lang w:val="lt-LT"/>
        </w:rPr>
        <w:t>/kg per parą dozės, ilgesnis rujos ciklas ir ilgesnis</w:t>
      </w:r>
      <w:r w:rsidR="00615AD1" w:rsidRPr="00CD7E52">
        <w:rPr>
          <w:rFonts w:eastAsia="TimesNewRoman"/>
          <w:szCs w:val="22"/>
          <w:lang w:val="lt-LT"/>
        </w:rPr>
        <w:t xml:space="preserve"> </w:t>
      </w:r>
      <w:r w:rsidRPr="00CD7E52">
        <w:rPr>
          <w:rFonts w:eastAsia="TimesNewRoman"/>
          <w:szCs w:val="22"/>
          <w:lang w:val="lt-LT"/>
        </w:rPr>
        <w:t xml:space="preserve">laikas iki </w:t>
      </w:r>
      <w:r w:rsidR="00615AD1" w:rsidRPr="00CD7E52">
        <w:rPr>
          <w:rFonts w:eastAsia="TimesNewRoman"/>
          <w:snapToGrid/>
          <w:szCs w:val="22"/>
          <w:lang w:val="lt-LT"/>
        </w:rPr>
        <w:t>poravimosi</w:t>
      </w:r>
      <w:r w:rsidRPr="00CD7E52">
        <w:rPr>
          <w:rFonts w:eastAsia="TimesNewRoman"/>
          <w:szCs w:val="22"/>
          <w:lang w:val="lt-LT"/>
        </w:rPr>
        <w:t xml:space="preserve"> nustatytas </w:t>
      </w:r>
      <w:r w:rsidR="00615AD1" w:rsidRPr="00CD7E52">
        <w:rPr>
          <w:rFonts w:eastAsia="TimesNewRoman"/>
          <w:snapToGrid/>
          <w:szCs w:val="22"/>
          <w:lang w:val="lt-LT"/>
        </w:rPr>
        <w:t>skiriant</w:t>
      </w:r>
      <w:r w:rsidRPr="00CD7E52">
        <w:rPr>
          <w:rFonts w:eastAsia="TimesNewRoman"/>
          <w:szCs w:val="22"/>
          <w:lang w:val="lt-LT"/>
        </w:rPr>
        <w:t xml:space="preserve"> 20</w:t>
      </w:r>
      <w:r w:rsidR="00A87582" w:rsidRPr="00CD7E52">
        <w:rPr>
          <w:rFonts w:eastAsia="TimesNewRoman"/>
          <w:szCs w:val="22"/>
          <w:lang w:val="lt-LT"/>
        </w:rPr>
        <w:t> mg</w:t>
      </w:r>
      <w:r w:rsidRPr="00CD7E52">
        <w:rPr>
          <w:rFonts w:eastAsia="TimesNewRoman"/>
          <w:szCs w:val="22"/>
          <w:lang w:val="lt-LT"/>
        </w:rPr>
        <w:t xml:space="preserve">/kg ir didesnes paros dozes; vis dėlto visos pelės </w:t>
      </w:r>
      <w:r w:rsidR="00615AD1" w:rsidRPr="00CD7E52">
        <w:rPr>
          <w:rFonts w:eastAsia="TimesNewRoman"/>
          <w:snapToGrid/>
          <w:szCs w:val="22"/>
          <w:lang w:val="lt-LT"/>
        </w:rPr>
        <w:t>susiporavo</w:t>
      </w:r>
      <w:r w:rsidR="00615AD1" w:rsidRPr="00CD7E52">
        <w:rPr>
          <w:rFonts w:eastAsia="TimesNewRoman"/>
          <w:szCs w:val="22"/>
          <w:lang w:val="lt-LT"/>
        </w:rPr>
        <w:t xml:space="preserve"> </w:t>
      </w:r>
      <w:r w:rsidRPr="00CD7E52">
        <w:rPr>
          <w:rFonts w:eastAsia="TimesNewRoman"/>
          <w:szCs w:val="22"/>
          <w:lang w:val="lt-LT"/>
        </w:rPr>
        <w:t xml:space="preserve">ir vaikingumo </w:t>
      </w:r>
      <w:r w:rsidR="00615AD1" w:rsidRPr="00CD7E52">
        <w:rPr>
          <w:rFonts w:eastAsia="TimesNewRoman"/>
          <w:snapToGrid/>
          <w:szCs w:val="22"/>
          <w:lang w:val="lt-LT"/>
        </w:rPr>
        <w:t>dažnis</w:t>
      </w:r>
      <w:r w:rsidRPr="00CD7E52">
        <w:rPr>
          <w:rFonts w:eastAsia="TimesNewRoman"/>
          <w:szCs w:val="22"/>
          <w:lang w:val="lt-LT"/>
        </w:rPr>
        <w:t xml:space="preserve"> nepakito. Patelių </w:t>
      </w:r>
      <w:r w:rsidR="00615AD1" w:rsidRPr="00CD7E52">
        <w:rPr>
          <w:rFonts w:eastAsia="TimesNewRoman"/>
          <w:snapToGrid/>
          <w:szCs w:val="22"/>
          <w:lang w:val="lt-LT"/>
        </w:rPr>
        <w:t>vislumui</w:t>
      </w:r>
      <w:r w:rsidRPr="00CD7E52">
        <w:rPr>
          <w:rFonts w:eastAsia="TimesNewRoman"/>
          <w:szCs w:val="22"/>
          <w:lang w:val="lt-LT"/>
        </w:rPr>
        <w:t xml:space="preserve"> poveikio nesukelianti dozė (NOEL) buvo 10</w:t>
      </w:r>
      <w:r w:rsidR="00A87582" w:rsidRPr="00CD7E52">
        <w:rPr>
          <w:rFonts w:eastAsia="TimesNewRoman"/>
          <w:szCs w:val="22"/>
          <w:lang w:val="lt-LT"/>
        </w:rPr>
        <w:t> mg</w:t>
      </w:r>
      <w:r w:rsidRPr="00CD7E52">
        <w:rPr>
          <w:rFonts w:eastAsia="TimesNewRoman"/>
          <w:szCs w:val="22"/>
          <w:lang w:val="lt-LT"/>
        </w:rPr>
        <w:t>/kg</w:t>
      </w:r>
      <w:r w:rsidR="00615AD1" w:rsidRPr="00CD7E52">
        <w:rPr>
          <w:rFonts w:eastAsia="TimesNewRoman"/>
          <w:szCs w:val="22"/>
          <w:lang w:val="lt-LT"/>
        </w:rPr>
        <w:t xml:space="preserve"> </w:t>
      </w:r>
      <w:r w:rsidRPr="00CD7E52">
        <w:rPr>
          <w:rFonts w:eastAsia="TimesNewRoman"/>
          <w:szCs w:val="22"/>
          <w:lang w:val="lt-LT"/>
        </w:rPr>
        <w:t>per parą (1,0</w:t>
      </w:r>
      <w:r w:rsidR="00615AD1" w:rsidRPr="00CD7E52">
        <w:rPr>
          <w:rFonts w:eastAsia="TimesNewRoman"/>
          <w:szCs w:val="22"/>
          <w:lang w:val="lt-LT"/>
        </w:rPr>
        <w:t> </w:t>
      </w:r>
      <w:r w:rsidRPr="00CD7E52">
        <w:rPr>
          <w:rFonts w:eastAsia="TimesNewRoman"/>
          <w:szCs w:val="22"/>
          <w:lang w:val="lt-LT"/>
        </w:rPr>
        <w:t>karto didesnė už klinikinę ekspoziciją).</w:t>
      </w:r>
    </w:p>
    <w:p w14:paraId="5646ECB9" w14:textId="77777777" w:rsidR="00615AD1" w:rsidRPr="00CD7E52" w:rsidRDefault="00615AD1" w:rsidP="00BD0220">
      <w:pPr>
        <w:widowControl w:val="0"/>
        <w:tabs>
          <w:tab w:val="clear" w:pos="567"/>
        </w:tabs>
        <w:autoSpaceDE w:val="0"/>
        <w:autoSpaceDN w:val="0"/>
        <w:adjustRightInd w:val="0"/>
        <w:spacing w:line="240" w:lineRule="auto"/>
        <w:rPr>
          <w:rFonts w:eastAsia="TimesNewRoman"/>
          <w:szCs w:val="22"/>
          <w:lang w:val="lt-LT"/>
        </w:rPr>
      </w:pPr>
    </w:p>
    <w:p w14:paraId="79F449CC" w14:textId="77777777" w:rsidR="003A5CF5" w:rsidRPr="00CD7E52" w:rsidRDefault="003A5CF5" w:rsidP="00BD0220">
      <w:pPr>
        <w:widowControl w:val="0"/>
        <w:tabs>
          <w:tab w:val="clear" w:pos="567"/>
        </w:tabs>
        <w:autoSpaceDE w:val="0"/>
        <w:autoSpaceDN w:val="0"/>
        <w:adjustRightInd w:val="0"/>
        <w:spacing w:line="240" w:lineRule="auto"/>
        <w:rPr>
          <w:rFonts w:eastAsia="TimesNewRoman"/>
          <w:szCs w:val="22"/>
          <w:u w:val="single"/>
          <w:lang w:val="lt-LT"/>
        </w:rPr>
      </w:pPr>
      <w:r w:rsidRPr="00CD7E52">
        <w:rPr>
          <w:rFonts w:eastAsia="TimesNewRoman"/>
          <w:szCs w:val="22"/>
          <w:u w:val="single"/>
          <w:lang w:val="lt-LT"/>
        </w:rPr>
        <w:t>Embriono ir vaisiaus vystymasis</w:t>
      </w:r>
    </w:p>
    <w:p w14:paraId="2BC01A16" w14:textId="77777777" w:rsidR="003A5CF5" w:rsidRPr="00CD7E52" w:rsidRDefault="00615AD1"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 xml:space="preserve">Atliekant </w:t>
      </w:r>
      <w:r w:rsidRPr="00CD7E52">
        <w:rPr>
          <w:rFonts w:eastAsia="TimesNewRoman"/>
          <w:snapToGrid/>
          <w:szCs w:val="22"/>
          <w:lang w:val="lt-LT"/>
        </w:rPr>
        <w:t xml:space="preserve">kombinuotą poveikio </w:t>
      </w:r>
      <w:r w:rsidRPr="00CD7E52">
        <w:rPr>
          <w:rFonts w:eastAsia="TimesNewRoman"/>
          <w:szCs w:val="22"/>
          <w:lang w:val="lt-LT"/>
        </w:rPr>
        <w:t xml:space="preserve">pelių patelių </w:t>
      </w:r>
      <w:r w:rsidRPr="00CD7E52">
        <w:rPr>
          <w:rFonts w:eastAsia="TimesNewRoman"/>
          <w:snapToGrid/>
          <w:szCs w:val="22"/>
          <w:lang w:val="lt-LT"/>
        </w:rPr>
        <w:t>vislumui</w:t>
      </w:r>
      <w:r w:rsidRPr="00CD7E52">
        <w:rPr>
          <w:rFonts w:eastAsia="TimesNewRoman"/>
          <w:szCs w:val="22"/>
          <w:lang w:val="lt-LT"/>
        </w:rPr>
        <w:t xml:space="preserve"> ir toksinio poveikio embriono bei vaisiaus vystymuisi tyrimą, kurio metu buvo </w:t>
      </w:r>
      <w:r w:rsidRPr="00CD7E52">
        <w:rPr>
          <w:rFonts w:eastAsia="TimesNewRoman"/>
          <w:snapToGrid/>
          <w:szCs w:val="22"/>
          <w:lang w:val="lt-LT"/>
        </w:rPr>
        <w:t>girdomos</w:t>
      </w:r>
      <w:r w:rsidRPr="00CD7E52">
        <w:rPr>
          <w:rFonts w:eastAsia="TimesNewRoman"/>
          <w:szCs w:val="22"/>
          <w:lang w:val="lt-LT"/>
        </w:rPr>
        <w:t xml:space="preserve"> 10, 20, 40 ir 80</w:t>
      </w:r>
      <w:r w:rsidR="00A87582" w:rsidRPr="00CD7E52">
        <w:rPr>
          <w:rFonts w:eastAsia="TimesNewRoman"/>
          <w:szCs w:val="22"/>
          <w:lang w:val="lt-LT"/>
        </w:rPr>
        <w:t> mg</w:t>
      </w:r>
      <w:r w:rsidRPr="00CD7E52">
        <w:rPr>
          <w:rFonts w:eastAsia="TimesNewRoman"/>
          <w:szCs w:val="22"/>
          <w:lang w:val="lt-LT"/>
        </w:rPr>
        <w:t>/kg per parą dozės,</w:t>
      </w:r>
      <w:r w:rsidR="003A5CF5" w:rsidRPr="00CD7E52">
        <w:rPr>
          <w:rFonts w:eastAsia="TimesNewRoman"/>
          <w:szCs w:val="22"/>
          <w:lang w:val="lt-LT"/>
        </w:rPr>
        <w:t xml:space="preserve"> absoliutus ir (arba) santykinis</w:t>
      </w:r>
      <w:r w:rsidR="00EC7B4D" w:rsidRPr="00CD7E52">
        <w:rPr>
          <w:rFonts w:eastAsia="TimesNewRoman"/>
          <w:szCs w:val="22"/>
          <w:lang w:val="lt-LT"/>
        </w:rPr>
        <w:t xml:space="preserve"> </w:t>
      </w:r>
      <w:r w:rsidR="003A5CF5" w:rsidRPr="00CD7E52">
        <w:rPr>
          <w:rFonts w:eastAsia="TimesNewRoman"/>
          <w:szCs w:val="22"/>
          <w:lang w:val="lt-LT"/>
        </w:rPr>
        <w:t xml:space="preserve">vaikingų patelių širdies svoris buvo padidėjęs </w:t>
      </w:r>
      <w:r w:rsidR="00EC7B4D" w:rsidRPr="00CD7E52">
        <w:rPr>
          <w:rFonts w:eastAsia="TimesNewRoman"/>
          <w:snapToGrid/>
          <w:szCs w:val="22"/>
          <w:lang w:val="lt-LT"/>
        </w:rPr>
        <w:t>skiriant</w:t>
      </w:r>
      <w:r w:rsidR="003A5CF5" w:rsidRPr="00CD7E52">
        <w:rPr>
          <w:rFonts w:eastAsia="TimesNewRoman"/>
          <w:szCs w:val="22"/>
          <w:lang w:val="lt-LT"/>
        </w:rPr>
        <w:t xml:space="preserve"> 20, 40 ir 80</w:t>
      </w:r>
      <w:r w:rsidR="00A87582" w:rsidRPr="00CD7E52">
        <w:rPr>
          <w:rFonts w:eastAsia="TimesNewRoman"/>
          <w:szCs w:val="22"/>
          <w:lang w:val="lt-LT"/>
        </w:rPr>
        <w:t> mg</w:t>
      </w:r>
      <w:r w:rsidR="003A5CF5" w:rsidRPr="00CD7E52">
        <w:rPr>
          <w:rFonts w:eastAsia="TimesNewRoman"/>
          <w:szCs w:val="22"/>
          <w:lang w:val="lt-LT"/>
        </w:rPr>
        <w:t xml:space="preserve">/kg per parą dozes. Padidėjęs </w:t>
      </w:r>
      <w:r w:rsidR="003A5CF5" w:rsidRPr="00CD7E52">
        <w:rPr>
          <w:rFonts w:eastAsia="TimesNewRoman"/>
          <w:snapToGrid/>
          <w:szCs w:val="22"/>
          <w:lang w:val="lt-LT"/>
        </w:rPr>
        <w:t>ankstyv</w:t>
      </w:r>
      <w:r w:rsidR="00EC7B4D" w:rsidRPr="00CD7E52">
        <w:rPr>
          <w:rFonts w:eastAsia="TimesNewRoman"/>
          <w:snapToGrid/>
          <w:szCs w:val="22"/>
          <w:lang w:val="lt-LT"/>
        </w:rPr>
        <w:t xml:space="preserve">os </w:t>
      </w:r>
      <w:r w:rsidR="003A5CF5" w:rsidRPr="00CD7E52">
        <w:rPr>
          <w:rFonts w:eastAsia="TimesNewRoman"/>
          <w:snapToGrid/>
          <w:szCs w:val="22"/>
          <w:lang w:val="lt-LT"/>
        </w:rPr>
        <w:t>rezorbcij</w:t>
      </w:r>
      <w:r w:rsidR="00EC7B4D" w:rsidRPr="00CD7E52">
        <w:rPr>
          <w:rFonts w:eastAsia="TimesNewRoman"/>
          <w:snapToGrid/>
          <w:szCs w:val="22"/>
          <w:lang w:val="lt-LT"/>
        </w:rPr>
        <w:t>os</w:t>
      </w:r>
      <w:r w:rsidR="003A5CF5" w:rsidRPr="00CD7E52">
        <w:rPr>
          <w:rFonts w:eastAsia="TimesNewRoman"/>
          <w:szCs w:val="22"/>
          <w:lang w:val="lt-LT"/>
        </w:rPr>
        <w:t xml:space="preserve"> skaičius ir sumažėjęs sukaulėjusių čiurnikaulių skaičius nustatytas </w:t>
      </w:r>
      <w:r w:rsidR="00EC7B4D" w:rsidRPr="00CD7E52">
        <w:rPr>
          <w:rFonts w:eastAsia="TimesNewRoman"/>
          <w:snapToGrid/>
          <w:szCs w:val="22"/>
          <w:lang w:val="lt-LT"/>
        </w:rPr>
        <w:t>skiriant</w:t>
      </w:r>
      <w:r w:rsidR="003A5CF5" w:rsidRPr="00CD7E52">
        <w:rPr>
          <w:rFonts w:eastAsia="TimesNewRoman"/>
          <w:szCs w:val="22"/>
          <w:lang w:val="lt-LT"/>
        </w:rPr>
        <w:t xml:space="preserve"> 20, 40 ir 80</w:t>
      </w:r>
      <w:r w:rsidR="00A87582" w:rsidRPr="00CD7E52">
        <w:rPr>
          <w:rFonts w:eastAsia="TimesNewRoman"/>
          <w:szCs w:val="22"/>
          <w:lang w:val="lt-LT"/>
        </w:rPr>
        <w:t> mg</w:t>
      </w:r>
      <w:r w:rsidR="003A5CF5" w:rsidRPr="00CD7E52">
        <w:rPr>
          <w:rFonts w:eastAsia="TimesNewRoman"/>
          <w:szCs w:val="22"/>
          <w:lang w:val="lt-LT"/>
        </w:rPr>
        <w:t>/kg per</w:t>
      </w:r>
      <w:r w:rsidR="00EC7B4D" w:rsidRPr="00CD7E52">
        <w:rPr>
          <w:rFonts w:eastAsia="TimesNewRoman"/>
          <w:szCs w:val="22"/>
          <w:lang w:val="lt-LT"/>
        </w:rPr>
        <w:t xml:space="preserve"> </w:t>
      </w:r>
      <w:r w:rsidR="003A5CF5" w:rsidRPr="00CD7E52">
        <w:rPr>
          <w:rFonts w:eastAsia="TimesNewRoman"/>
          <w:szCs w:val="22"/>
          <w:lang w:val="lt-LT"/>
        </w:rPr>
        <w:t xml:space="preserve">parą dozes. </w:t>
      </w:r>
      <w:r w:rsidR="00EC7B4D" w:rsidRPr="00CD7E52">
        <w:rPr>
          <w:rFonts w:eastAsia="TimesNewRoman"/>
          <w:snapToGrid/>
          <w:szCs w:val="22"/>
          <w:lang w:val="lt-LT"/>
        </w:rPr>
        <w:t>Skiriant</w:t>
      </w:r>
      <w:r w:rsidR="003A5CF5" w:rsidRPr="00CD7E52">
        <w:rPr>
          <w:rFonts w:eastAsia="TimesNewRoman"/>
          <w:szCs w:val="22"/>
          <w:lang w:val="lt-LT"/>
        </w:rPr>
        <w:t xml:space="preserve"> 40 ir 80</w:t>
      </w:r>
      <w:r w:rsidR="00A87582" w:rsidRPr="00CD7E52">
        <w:rPr>
          <w:rFonts w:eastAsia="TimesNewRoman"/>
          <w:szCs w:val="22"/>
          <w:lang w:val="lt-LT"/>
        </w:rPr>
        <w:t> mg</w:t>
      </w:r>
      <w:r w:rsidR="003A5CF5" w:rsidRPr="00CD7E52">
        <w:rPr>
          <w:rFonts w:eastAsia="TimesNewRoman"/>
          <w:szCs w:val="22"/>
          <w:lang w:val="lt-LT"/>
        </w:rPr>
        <w:t xml:space="preserve">/kg per parą dozes, nustatytas sumažėjęs vaisiaus </w:t>
      </w:r>
      <w:r w:rsidR="00EC7B4D" w:rsidRPr="00CD7E52">
        <w:rPr>
          <w:rFonts w:eastAsia="TimesNewRoman"/>
          <w:snapToGrid/>
          <w:szCs w:val="22"/>
          <w:lang w:val="lt-LT"/>
        </w:rPr>
        <w:t xml:space="preserve">kūno </w:t>
      </w:r>
      <w:r w:rsidR="003A5CF5" w:rsidRPr="00CD7E52">
        <w:rPr>
          <w:rFonts w:eastAsia="TimesNewRoman"/>
          <w:szCs w:val="22"/>
          <w:lang w:val="lt-LT"/>
        </w:rPr>
        <w:t>svoris ir uždelstas</w:t>
      </w:r>
      <w:r w:rsidR="00EC7B4D" w:rsidRPr="00CD7E52">
        <w:rPr>
          <w:rFonts w:eastAsia="TimesNewRoman"/>
          <w:szCs w:val="22"/>
          <w:lang w:val="lt-LT"/>
        </w:rPr>
        <w:t xml:space="preserve"> </w:t>
      </w:r>
      <w:r w:rsidR="003A5CF5" w:rsidRPr="00CD7E52">
        <w:rPr>
          <w:rFonts w:eastAsia="TimesNewRoman"/>
          <w:szCs w:val="22"/>
          <w:lang w:val="lt-LT"/>
        </w:rPr>
        <w:t>kaukolės viršutinio okcipitalinio</w:t>
      </w:r>
      <w:r w:rsidR="00B11734">
        <w:rPr>
          <w:rFonts w:eastAsia="TimesNewRoman"/>
          <w:szCs w:val="22"/>
          <w:lang w:val="lt-LT"/>
        </w:rPr>
        <w:t xml:space="preserve"> (pakaušinio)</w:t>
      </w:r>
      <w:r w:rsidR="003A5CF5" w:rsidRPr="00CD7E52">
        <w:rPr>
          <w:rFonts w:eastAsia="TimesNewRoman"/>
          <w:szCs w:val="22"/>
          <w:lang w:val="lt-LT"/>
        </w:rPr>
        <w:t xml:space="preserve"> kaulo kaulėjimas. </w:t>
      </w:r>
      <w:r w:rsidR="00EC7B4D" w:rsidRPr="00CD7E52">
        <w:rPr>
          <w:rFonts w:eastAsia="TimesNewRoman"/>
          <w:snapToGrid/>
          <w:szCs w:val="22"/>
          <w:lang w:val="lt-LT"/>
        </w:rPr>
        <w:t>Su p</w:t>
      </w:r>
      <w:r w:rsidR="003A5CF5" w:rsidRPr="00CD7E52">
        <w:rPr>
          <w:rFonts w:eastAsia="TimesNewRoman"/>
          <w:snapToGrid/>
          <w:szCs w:val="22"/>
          <w:lang w:val="lt-LT"/>
        </w:rPr>
        <w:t xml:space="preserve">elių </w:t>
      </w:r>
      <w:r w:rsidR="00EC7B4D" w:rsidRPr="00CD7E52">
        <w:rPr>
          <w:rFonts w:eastAsia="TimesNewRoman"/>
          <w:snapToGrid/>
          <w:szCs w:val="22"/>
          <w:lang w:val="lt-LT"/>
        </w:rPr>
        <w:t>vislumu</w:t>
      </w:r>
      <w:r w:rsidR="003A5CF5" w:rsidRPr="00CD7E52">
        <w:rPr>
          <w:rFonts w:eastAsia="TimesNewRoman"/>
          <w:szCs w:val="22"/>
          <w:lang w:val="lt-LT"/>
        </w:rPr>
        <w:t xml:space="preserve"> ir </w:t>
      </w:r>
      <w:r w:rsidR="003A5CF5" w:rsidRPr="00CD7E52">
        <w:rPr>
          <w:rFonts w:eastAsia="TimesNewRoman"/>
          <w:snapToGrid/>
          <w:szCs w:val="22"/>
          <w:lang w:val="lt-LT"/>
        </w:rPr>
        <w:t>vystymusi</w:t>
      </w:r>
      <w:r w:rsidR="00EC7B4D" w:rsidRPr="00CD7E52">
        <w:rPr>
          <w:rFonts w:eastAsia="TimesNewRoman"/>
          <w:snapToGrid/>
          <w:szCs w:val="22"/>
          <w:lang w:val="lt-LT"/>
        </w:rPr>
        <w:t xml:space="preserve"> susijusi</w:t>
      </w:r>
      <w:r w:rsidR="003A5CF5" w:rsidRPr="00CD7E52">
        <w:rPr>
          <w:rFonts w:eastAsia="TimesNewRoman"/>
          <w:szCs w:val="22"/>
          <w:lang w:val="lt-LT"/>
        </w:rPr>
        <w:t xml:space="preserve"> NOEL buvo 10</w:t>
      </w:r>
      <w:r w:rsidR="00A87582" w:rsidRPr="00CD7E52">
        <w:rPr>
          <w:rFonts w:eastAsia="TimesNewRoman"/>
          <w:szCs w:val="22"/>
          <w:lang w:val="lt-LT"/>
        </w:rPr>
        <w:t> mg</w:t>
      </w:r>
      <w:r w:rsidR="003A5CF5" w:rsidRPr="00CD7E52">
        <w:rPr>
          <w:rFonts w:eastAsia="TimesNewRoman"/>
          <w:szCs w:val="22"/>
          <w:lang w:val="lt-LT"/>
        </w:rPr>
        <w:t>/kg</w:t>
      </w:r>
      <w:r w:rsidR="00EC7B4D" w:rsidRPr="00CD7E52">
        <w:rPr>
          <w:rFonts w:eastAsia="TimesNewRoman"/>
          <w:szCs w:val="22"/>
          <w:lang w:val="lt-LT"/>
        </w:rPr>
        <w:t xml:space="preserve"> </w:t>
      </w:r>
      <w:r w:rsidR="003A5CF5" w:rsidRPr="00CD7E52">
        <w:rPr>
          <w:rFonts w:eastAsia="TimesNewRoman"/>
          <w:szCs w:val="22"/>
          <w:lang w:val="lt-LT"/>
        </w:rPr>
        <w:t>per parą (1,3</w:t>
      </w:r>
      <w:r w:rsidR="00EC7B4D" w:rsidRPr="00CD7E52">
        <w:rPr>
          <w:rFonts w:eastAsia="TimesNewRoman"/>
          <w:szCs w:val="22"/>
          <w:lang w:val="lt-LT"/>
        </w:rPr>
        <w:t> </w:t>
      </w:r>
      <w:r w:rsidR="003A5CF5" w:rsidRPr="00CD7E52">
        <w:rPr>
          <w:rFonts w:eastAsia="TimesNewRoman"/>
          <w:szCs w:val="22"/>
          <w:lang w:val="lt-LT"/>
        </w:rPr>
        <w:t>karto didesnė už klinikinę ekspoziciją).</w:t>
      </w:r>
    </w:p>
    <w:p w14:paraId="03B584F4" w14:textId="77777777" w:rsidR="00195A86" w:rsidRPr="00CD7E52" w:rsidRDefault="00195A86" w:rsidP="00BD0220">
      <w:pPr>
        <w:widowControl w:val="0"/>
        <w:tabs>
          <w:tab w:val="clear" w:pos="567"/>
        </w:tabs>
        <w:autoSpaceDE w:val="0"/>
        <w:autoSpaceDN w:val="0"/>
        <w:adjustRightInd w:val="0"/>
        <w:spacing w:line="240" w:lineRule="auto"/>
        <w:rPr>
          <w:rFonts w:eastAsia="TimesNewRoman"/>
          <w:szCs w:val="22"/>
          <w:lang w:val="lt-LT"/>
        </w:rPr>
      </w:pPr>
    </w:p>
    <w:p w14:paraId="65BA38A4" w14:textId="77777777" w:rsidR="003A5CF5" w:rsidRPr="00CD7E52" w:rsidRDefault="003A5CF5"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Atliekant toksinio poveikio beždžionių embriono bei vaisiaus vystymuisi tyrimą</w:t>
      </w:r>
      <w:r w:rsidR="00195A86" w:rsidRPr="00CD7E52">
        <w:rPr>
          <w:rFonts w:eastAsia="TimesNewRoman"/>
          <w:snapToGrid/>
          <w:szCs w:val="22"/>
          <w:lang w:val="lt-LT"/>
        </w:rPr>
        <w:t xml:space="preserve"> buvo</w:t>
      </w:r>
      <w:r w:rsidRPr="00CD7E52">
        <w:rPr>
          <w:rFonts w:eastAsia="TimesNewRoman"/>
          <w:snapToGrid/>
          <w:szCs w:val="22"/>
          <w:lang w:val="lt-LT"/>
        </w:rPr>
        <w:t xml:space="preserve"> </w:t>
      </w:r>
      <w:r w:rsidR="00195A86" w:rsidRPr="00CD7E52">
        <w:rPr>
          <w:rFonts w:eastAsia="TimesNewRoman"/>
          <w:snapToGrid/>
          <w:szCs w:val="22"/>
          <w:lang w:val="lt-LT"/>
        </w:rPr>
        <w:t>sugirdomos</w:t>
      </w:r>
      <w:r w:rsidRPr="00CD7E52">
        <w:rPr>
          <w:rFonts w:eastAsia="TimesNewRoman"/>
          <w:szCs w:val="22"/>
          <w:lang w:val="lt-LT"/>
        </w:rPr>
        <w:t xml:space="preserve"> 20, 50, 200 ir</w:t>
      </w:r>
      <w:r w:rsidR="00195A86" w:rsidRPr="00CD7E52">
        <w:rPr>
          <w:rFonts w:eastAsia="TimesNewRoman"/>
          <w:szCs w:val="22"/>
          <w:lang w:val="lt-LT"/>
        </w:rPr>
        <w:t xml:space="preserve"> </w:t>
      </w:r>
      <w:r w:rsidRPr="00CD7E52">
        <w:rPr>
          <w:rFonts w:eastAsia="TimesNewRoman"/>
          <w:szCs w:val="22"/>
          <w:lang w:val="lt-LT"/>
        </w:rPr>
        <w:t>1</w:t>
      </w:r>
      <w:r w:rsidR="00D96242" w:rsidRPr="00CD7E52">
        <w:rPr>
          <w:rFonts w:eastAsia="TimesNewRoman"/>
          <w:szCs w:val="22"/>
          <w:lang w:val="lt-LT"/>
        </w:rPr>
        <w:t> </w:t>
      </w:r>
      <w:r w:rsidRPr="00CD7E52">
        <w:rPr>
          <w:rFonts w:eastAsia="TimesNewRoman"/>
          <w:szCs w:val="22"/>
          <w:lang w:val="lt-LT"/>
        </w:rPr>
        <w:t>000</w:t>
      </w:r>
      <w:r w:rsidR="00A87582" w:rsidRPr="00CD7E52">
        <w:rPr>
          <w:rFonts w:eastAsia="TimesNewRoman"/>
          <w:szCs w:val="22"/>
          <w:lang w:val="lt-LT"/>
        </w:rPr>
        <w:t> mg</w:t>
      </w:r>
      <w:r w:rsidRPr="00CD7E52">
        <w:rPr>
          <w:rFonts w:eastAsia="TimesNewRoman"/>
          <w:szCs w:val="22"/>
          <w:lang w:val="lt-LT"/>
        </w:rPr>
        <w:t>/kg per parą dozės</w:t>
      </w:r>
      <w:r w:rsidR="00195A86" w:rsidRPr="00CD7E52">
        <w:rPr>
          <w:rFonts w:eastAsia="TimesNewRoman"/>
          <w:snapToGrid/>
          <w:szCs w:val="22"/>
          <w:lang w:val="lt-LT"/>
        </w:rPr>
        <w:t>;</w:t>
      </w:r>
      <w:r w:rsidRPr="00CD7E52">
        <w:rPr>
          <w:rFonts w:eastAsia="TimesNewRoman"/>
          <w:szCs w:val="22"/>
          <w:lang w:val="lt-LT"/>
        </w:rPr>
        <w:t xml:space="preserve"> su doze </w:t>
      </w:r>
      <w:r w:rsidRPr="00CD7E52">
        <w:rPr>
          <w:rFonts w:eastAsia="TimesNewRoman"/>
          <w:snapToGrid/>
          <w:szCs w:val="22"/>
          <w:lang w:val="lt-LT"/>
        </w:rPr>
        <w:t>susij</w:t>
      </w:r>
      <w:r w:rsidR="00195A86" w:rsidRPr="00CD7E52">
        <w:rPr>
          <w:rFonts w:eastAsia="TimesNewRoman"/>
          <w:snapToGrid/>
          <w:szCs w:val="22"/>
          <w:lang w:val="lt-LT"/>
        </w:rPr>
        <w:t>usi</w:t>
      </w:r>
      <w:r w:rsidRPr="00CD7E52">
        <w:rPr>
          <w:rFonts w:eastAsia="TimesNewRoman"/>
          <w:snapToGrid/>
          <w:szCs w:val="22"/>
          <w:lang w:val="lt-LT"/>
        </w:rPr>
        <w:t xml:space="preserve"> prenatalin</w:t>
      </w:r>
      <w:r w:rsidR="00195A86" w:rsidRPr="00CD7E52">
        <w:rPr>
          <w:rFonts w:eastAsia="TimesNewRoman"/>
          <w:snapToGrid/>
          <w:szCs w:val="22"/>
          <w:lang w:val="lt-LT"/>
        </w:rPr>
        <w:t>ė</w:t>
      </w:r>
      <w:r w:rsidRPr="00CD7E52">
        <w:rPr>
          <w:rFonts w:eastAsia="TimesNewRoman"/>
          <w:snapToGrid/>
          <w:szCs w:val="22"/>
          <w:lang w:val="lt-LT"/>
        </w:rPr>
        <w:t xml:space="preserve"> žūt</w:t>
      </w:r>
      <w:r w:rsidR="00195A86" w:rsidRPr="00CD7E52">
        <w:rPr>
          <w:rFonts w:eastAsia="TimesNewRoman"/>
          <w:snapToGrid/>
          <w:szCs w:val="22"/>
          <w:lang w:val="lt-LT"/>
        </w:rPr>
        <w:t>is</w:t>
      </w:r>
      <w:r w:rsidRPr="00CD7E52">
        <w:rPr>
          <w:rFonts w:eastAsia="TimesNewRoman"/>
          <w:snapToGrid/>
          <w:szCs w:val="22"/>
          <w:lang w:val="lt-LT"/>
        </w:rPr>
        <w:t xml:space="preserve"> (persileidim</w:t>
      </w:r>
      <w:r w:rsidR="00195A86" w:rsidRPr="00CD7E52">
        <w:rPr>
          <w:rFonts w:eastAsia="TimesNewRoman"/>
          <w:snapToGrid/>
          <w:szCs w:val="22"/>
          <w:lang w:val="lt-LT"/>
        </w:rPr>
        <w:t>as</w:t>
      </w:r>
      <w:r w:rsidRPr="00CD7E52">
        <w:rPr>
          <w:rFonts w:eastAsia="TimesNewRoman"/>
          <w:snapToGrid/>
          <w:szCs w:val="22"/>
          <w:lang w:val="lt-LT"/>
        </w:rPr>
        <w:t>)</w:t>
      </w:r>
      <w:r w:rsidR="00195A86" w:rsidRPr="00CD7E52">
        <w:rPr>
          <w:rFonts w:eastAsia="TimesNewRoman"/>
          <w:snapToGrid/>
          <w:szCs w:val="22"/>
          <w:lang w:val="lt-LT"/>
        </w:rPr>
        <w:t xml:space="preserve"> pasireiškė skiriant</w:t>
      </w:r>
      <w:r w:rsidRPr="00CD7E52">
        <w:rPr>
          <w:rFonts w:eastAsia="TimesNewRoman"/>
          <w:szCs w:val="22"/>
          <w:lang w:val="lt-LT"/>
        </w:rPr>
        <w:t xml:space="preserve"> 50</w:t>
      </w:r>
      <w:r w:rsidR="00A87582" w:rsidRPr="00CD7E52">
        <w:rPr>
          <w:rFonts w:eastAsia="TimesNewRoman"/>
          <w:szCs w:val="22"/>
          <w:lang w:val="lt-LT"/>
        </w:rPr>
        <w:t> mg</w:t>
      </w:r>
      <w:r w:rsidRPr="00CD7E52">
        <w:rPr>
          <w:rFonts w:eastAsia="TimesNewRoman"/>
          <w:szCs w:val="22"/>
          <w:lang w:val="lt-LT"/>
        </w:rPr>
        <w:t>/kg per</w:t>
      </w:r>
      <w:r w:rsidR="00195A86" w:rsidRPr="00CD7E52">
        <w:rPr>
          <w:rFonts w:eastAsia="TimesNewRoman"/>
          <w:szCs w:val="22"/>
          <w:lang w:val="lt-LT"/>
        </w:rPr>
        <w:t xml:space="preserve"> </w:t>
      </w:r>
      <w:r w:rsidRPr="00CD7E52">
        <w:rPr>
          <w:rFonts w:eastAsia="TimesNewRoman"/>
          <w:szCs w:val="22"/>
          <w:lang w:val="lt-LT"/>
        </w:rPr>
        <w:t xml:space="preserve">parą ir didesnes dozes; su </w:t>
      </w:r>
      <w:r w:rsidRPr="00CD7E52">
        <w:rPr>
          <w:rFonts w:eastAsia="TimesNewRoman"/>
          <w:snapToGrid/>
          <w:szCs w:val="22"/>
          <w:lang w:val="lt-LT"/>
        </w:rPr>
        <w:t>tiriam</w:t>
      </w:r>
      <w:r w:rsidR="00195A86" w:rsidRPr="00CD7E52">
        <w:rPr>
          <w:rFonts w:eastAsia="TimesNewRoman"/>
          <w:snapToGrid/>
          <w:szCs w:val="22"/>
          <w:lang w:val="lt-LT"/>
        </w:rPr>
        <w:t>uoj</w:t>
      </w:r>
      <w:r w:rsidRPr="00CD7E52">
        <w:rPr>
          <w:rFonts w:eastAsia="TimesNewRoman"/>
          <w:snapToGrid/>
          <w:szCs w:val="22"/>
          <w:lang w:val="lt-LT"/>
        </w:rPr>
        <w:t xml:space="preserve">u </w:t>
      </w:r>
      <w:r w:rsidR="00195A86" w:rsidRPr="00CD7E52">
        <w:rPr>
          <w:rFonts w:eastAsia="TimesNewRoman"/>
          <w:snapToGrid/>
          <w:szCs w:val="22"/>
          <w:lang w:val="lt-LT"/>
        </w:rPr>
        <w:t>vaistiniu</w:t>
      </w:r>
      <w:r w:rsidR="00195A86" w:rsidRPr="00CD7E52">
        <w:rPr>
          <w:rFonts w:eastAsia="TimesNewRoman"/>
          <w:szCs w:val="22"/>
          <w:lang w:val="lt-LT"/>
        </w:rPr>
        <w:t xml:space="preserve"> </w:t>
      </w:r>
      <w:r w:rsidRPr="00CD7E52">
        <w:rPr>
          <w:rFonts w:eastAsia="TimesNewRoman"/>
          <w:szCs w:val="22"/>
          <w:lang w:val="lt-LT"/>
        </w:rPr>
        <w:t xml:space="preserve">preparatu susijusio poveikio </w:t>
      </w:r>
      <w:r w:rsidR="00195A86" w:rsidRPr="00CD7E52">
        <w:rPr>
          <w:rFonts w:eastAsia="TimesNewRoman"/>
          <w:snapToGrid/>
          <w:szCs w:val="22"/>
          <w:lang w:val="lt-LT"/>
        </w:rPr>
        <w:t>skiriant</w:t>
      </w:r>
      <w:r w:rsidRPr="00CD7E52">
        <w:rPr>
          <w:rFonts w:eastAsia="TimesNewRoman"/>
          <w:szCs w:val="22"/>
          <w:lang w:val="lt-LT"/>
        </w:rPr>
        <w:t xml:space="preserve"> 20</w:t>
      </w:r>
      <w:r w:rsidR="00A87582" w:rsidRPr="00CD7E52">
        <w:rPr>
          <w:rFonts w:eastAsia="TimesNewRoman"/>
          <w:szCs w:val="22"/>
          <w:lang w:val="lt-LT"/>
        </w:rPr>
        <w:t> mg</w:t>
      </w:r>
      <w:r w:rsidRPr="00CD7E52">
        <w:rPr>
          <w:rFonts w:eastAsia="TimesNewRoman"/>
          <w:szCs w:val="22"/>
          <w:lang w:val="lt-LT"/>
        </w:rPr>
        <w:t>/kg per parą dozę (1,4</w:t>
      </w:r>
      <w:r w:rsidR="00195A86" w:rsidRPr="00CD7E52">
        <w:rPr>
          <w:rFonts w:eastAsia="TimesNewRoman"/>
          <w:szCs w:val="22"/>
          <w:lang w:val="lt-LT"/>
        </w:rPr>
        <w:t> </w:t>
      </w:r>
      <w:r w:rsidRPr="00CD7E52">
        <w:rPr>
          <w:rFonts w:eastAsia="TimesNewRoman"/>
          <w:szCs w:val="22"/>
          <w:lang w:val="lt-LT"/>
        </w:rPr>
        <w:t>karto</w:t>
      </w:r>
      <w:r w:rsidR="00195A86" w:rsidRPr="00CD7E52">
        <w:rPr>
          <w:rFonts w:eastAsia="TimesNewRoman"/>
          <w:szCs w:val="22"/>
          <w:lang w:val="lt-LT"/>
        </w:rPr>
        <w:t xml:space="preserve"> </w:t>
      </w:r>
      <w:r w:rsidRPr="00CD7E52">
        <w:rPr>
          <w:rFonts w:eastAsia="TimesNewRoman"/>
          <w:szCs w:val="22"/>
          <w:lang w:val="lt-LT"/>
        </w:rPr>
        <w:t>didesnę už klinikinę ekspoziciją) nenustatyta.</w:t>
      </w:r>
    </w:p>
    <w:p w14:paraId="341BC7AB" w14:textId="77777777" w:rsidR="00EC7B4D" w:rsidRPr="00CD7E52" w:rsidRDefault="00EC7B4D" w:rsidP="00BD0220">
      <w:pPr>
        <w:widowControl w:val="0"/>
        <w:tabs>
          <w:tab w:val="clear" w:pos="567"/>
        </w:tabs>
        <w:autoSpaceDE w:val="0"/>
        <w:autoSpaceDN w:val="0"/>
        <w:adjustRightInd w:val="0"/>
        <w:spacing w:line="240" w:lineRule="auto"/>
        <w:rPr>
          <w:rFonts w:eastAsia="TimesNewRoman"/>
          <w:szCs w:val="22"/>
          <w:lang w:val="lt-LT"/>
        </w:rPr>
      </w:pPr>
    </w:p>
    <w:p w14:paraId="28C7A7AA" w14:textId="77777777" w:rsidR="003A5CF5" w:rsidRPr="00CD7E52" w:rsidRDefault="003A5CF5" w:rsidP="00BD0220">
      <w:pPr>
        <w:widowControl w:val="0"/>
        <w:tabs>
          <w:tab w:val="clear" w:pos="567"/>
        </w:tabs>
        <w:autoSpaceDE w:val="0"/>
        <w:autoSpaceDN w:val="0"/>
        <w:adjustRightInd w:val="0"/>
        <w:spacing w:line="240" w:lineRule="auto"/>
        <w:rPr>
          <w:rFonts w:eastAsia="TimesNewRoman"/>
          <w:szCs w:val="22"/>
          <w:u w:val="single"/>
          <w:lang w:val="lt-LT"/>
        </w:rPr>
      </w:pPr>
      <w:r w:rsidRPr="00CD7E52">
        <w:rPr>
          <w:rFonts w:eastAsia="TimesNewRoman"/>
          <w:szCs w:val="22"/>
          <w:u w:val="single"/>
          <w:lang w:val="lt-LT"/>
        </w:rPr>
        <w:t>Prenatalinis ir postnatalinis vystymasis</w:t>
      </w:r>
    </w:p>
    <w:p w14:paraId="0E77F59C" w14:textId="77777777" w:rsidR="003A5CF5" w:rsidRPr="00CD7E52" w:rsidRDefault="003A5CF5"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Atliekant prenatalinį ir postnatalinį tyrimą, apremilast</w:t>
      </w:r>
      <w:r w:rsidR="00EE6D20" w:rsidRPr="00CD7E52">
        <w:rPr>
          <w:rFonts w:eastAsia="TimesNewRoman"/>
          <w:szCs w:val="22"/>
          <w:lang w:val="lt-LT"/>
        </w:rPr>
        <w:t>o</w:t>
      </w:r>
      <w:r w:rsidRPr="00CD7E52">
        <w:rPr>
          <w:rFonts w:eastAsia="TimesNewRoman"/>
          <w:szCs w:val="22"/>
          <w:lang w:val="lt-LT"/>
        </w:rPr>
        <w:t xml:space="preserve"> buvo sugirdoma vaikingoms pelių patelėms 10, 80</w:t>
      </w:r>
      <w:r w:rsidR="005D37A7" w:rsidRPr="00CD7E52">
        <w:rPr>
          <w:rFonts w:eastAsia="TimesNewRoman"/>
          <w:szCs w:val="22"/>
          <w:lang w:val="lt-LT"/>
        </w:rPr>
        <w:t xml:space="preserve"> </w:t>
      </w:r>
      <w:r w:rsidRPr="00CD7E52">
        <w:rPr>
          <w:rFonts w:eastAsia="TimesNewRoman"/>
          <w:szCs w:val="22"/>
          <w:lang w:val="lt-LT"/>
        </w:rPr>
        <w:t>ir 300</w:t>
      </w:r>
      <w:r w:rsidR="00A87582" w:rsidRPr="00CD7E52">
        <w:rPr>
          <w:rFonts w:eastAsia="TimesNewRoman"/>
          <w:szCs w:val="22"/>
          <w:lang w:val="lt-LT"/>
        </w:rPr>
        <w:t> mg</w:t>
      </w:r>
      <w:r w:rsidRPr="00CD7E52">
        <w:rPr>
          <w:rFonts w:eastAsia="TimesNewRoman"/>
          <w:szCs w:val="22"/>
          <w:lang w:val="lt-LT"/>
        </w:rPr>
        <w:t xml:space="preserve">/kg per parą dozėmis nuo 6-osios gestacijos dienos (GD) iki 20-osios laktacijos dienos. </w:t>
      </w:r>
      <w:r w:rsidR="005D37A7" w:rsidRPr="00CD7E52">
        <w:rPr>
          <w:rFonts w:eastAsia="TimesNewRoman"/>
          <w:snapToGrid/>
          <w:szCs w:val="22"/>
          <w:lang w:val="lt-LT"/>
        </w:rPr>
        <w:t>Skiriant</w:t>
      </w:r>
      <w:r w:rsidR="005D37A7" w:rsidRPr="00CD7E52">
        <w:rPr>
          <w:rFonts w:eastAsia="TimesNewRoman"/>
          <w:szCs w:val="22"/>
          <w:lang w:val="lt-LT"/>
        </w:rPr>
        <w:t xml:space="preserve"> </w:t>
      </w:r>
      <w:r w:rsidRPr="00CD7E52">
        <w:rPr>
          <w:rFonts w:eastAsia="TimesNewRoman"/>
          <w:szCs w:val="22"/>
          <w:lang w:val="lt-LT"/>
        </w:rPr>
        <w:t>300</w:t>
      </w:r>
      <w:r w:rsidR="00A87582" w:rsidRPr="00CD7E52">
        <w:rPr>
          <w:rFonts w:eastAsia="TimesNewRoman"/>
          <w:szCs w:val="22"/>
          <w:lang w:val="lt-LT"/>
        </w:rPr>
        <w:t> mg</w:t>
      </w:r>
      <w:r w:rsidRPr="00CD7E52">
        <w:rPr>
          <w:rFonts w:eastAsia="TimesNewRoman"/>
          <w:szCs w:val="22"/>
          <w:lang w:val="lt-LT"/>
        </w:rPr>
        <w:t xml:space="preserve">/kg per parą, nustatytas sumažėjęs vaikingų patelių kūno svoris ir svorio prieaugis bei viena </w:t>
      </w:r>
      <w:r w:rsidR="005D37A7" w:rsidRPr="00CD7E52">
        <w:rPr>
          <w:rFonts w:eastAsia="TimesNewRoman"/>
          <w:snapToGrid/>
          <w:szCs w:val="22"/>
          <w:lang w:val="lt-LT"/>
        </w:rPr>
        <w:t>žūtis</w:t>
      </w:r>
      <w:r w:rsidRPr="00CD7E52">
        <w:rPr>
          <w:rFonts w:eastAsia="TimesNewRoman"/>
          <w:szCs w:val="22"/>
          <w:lang w:val="lt-LT"/>
        </w:rPr>
        <w:t>,</w:t>
      </w:r>
      <w:r w:rsidR="005D37A7" w:rsidRPr="00CD7E52">
        <w:rPr>
          <w:rFonts w:eastAsia="TimesNewRoman"/>
          <w:szCs w:val="22"/>
          <w:lang w:val="lt-LT"/>
        </w:rPr>
        <w:t xml:space="preserve"> </w:t>
      </w:r>
      <w:r w:rsidRPr="00CD7E52">
        <w:rPr>
          <w:rFonts w:eastAsia="TimesNewRoman"/>
          <w:szCs w:val="22"/>
          <w:lang w:val="lt-LT"/>
        </w:rPr>
        <w:t>susijusi su sunkiu jauniklių atsivedimu. Taip pat nustatyti su jauniklių atsivedimu susijusio toksinio poveikio</w:t>
      </w:r>
      <w:r w:rsidR="005D37A7" w:rsidRPr="00CD7E52">
        <w:rPr>
          <w:rFonts w:eastAsia="TimesNewRoman"/>
          <w:szCs w:val="22"/>
          <w:lang w:val="lt-LT"/>
        </w:rPr>
        <w:t xml:space="preserve"> </w:t>
      </w:r>
      <w:r w:rsidRPr="00CD7E52">
        <w:rPr>
          <w:rFonts w:eastAsia="TimesNewRoman"/>
          <w:szCs w:val="22"/>
          <w:lang w:val="lt-LT"/>
        </w:rPr>
        <w:t xml:space="preserve">vaikingoms patelėms fiziniai požymiai vienai pelei, </w:t>
      </w:r>
      <w:r w:rsidR="005D37A7" w:rsidRPr="00CD7E52">
        <w:rPr>
          <w:rFonts w:eastAsia="TimesNewRoman"/>
          <w:snapToGrid/>
          <w:szCs w:val="22"/>
          <w:lang w:val="lt-LT"/>
        </w:rPr>
        <w:t>skiriant</w:t>
      </w:r>
      <w:r w:rsidRPr="00CD7E52">
        <w:rPr>
          <w:rFonts w:eastAsia="TimesNewRoman"/>
          <w:szCs w:val="22"/>
          <w:lang w:val="lt-LT"/>
        </w:rPr>
        <w:t xml:space="preserve"> po 80 ir 300</w:t>
      </w:r>
      <w:r w:rsidR="00A87582" w:rsidRPr="00CD7E52">
        <w:rPr>
          <w:rFonts w:eastAsia="TimesNewRoman"/>
          <w:szCs w:val="22"/>
          <w:lang w:val="lt-LT"/>
        </w:rPr>
        <w:t> mg</w:t>
      </w:r>
      <w:r w:rsidRPr="00CD7E52">
        <w:rPr>
          <w:rFonts w:eastAsia="TimesNewRoman"/>
          <w:szCs w:val="22"/>
          <w:lang w:val="lt-LT"/>
        </w:rPr>
        <w:t>/kg per parą. Padidėjęs</w:t>
      </w:r>
      <w:r w:rsidR="005D37A7" w:rsidRPr="00CD7E52">
        <w:rPr>
          <w:rFonts w:eastAsia="TimesNewRoman"/>
          <w:szCs w:val="22"/>
          <w:lang w:val="lt-LT"/>
        </w:rPr>
        <w:t xml:space="preserve"> </w:t>
      </w:r>
      <w:r w:rsidRPr="00CD7E52">
        <w:rPr>
          <w:rFonts w:eastAsia="TimesNewRoman"/>
          <w:szCs w:val="22"/>
          <w:lang w:val="lt-LT"/>
        </w:rPr>
        <w:t xml:space="preserve">perinatalinių ir postnatalinių jauniklių </w:t>
      </w:r>
      <w:r w:rsidR="005D37A7" w:rsidRPr="00CD7E52">
        <w:rPr>
          <w:rFonts w:eastAsia="TimesNewRoman"/>
          <w:snapToGrid/>
          <w:szCs w:val="22"/>
          <w:lang w:val="lt-LT"/>
        </w:rPr>
        <w:t>žūčių</w:t>
      </w:r>
      <w:r w:rsidRPr="00CD7E52">
        <w:rPr>
          <w:rFonts w:eastAsia="TimesNewRoman"/>
          <w:szCs w:val="22"/>
          <w:lang w:val="lt-LT"/>
        </w:rPr>
        <w:t xml:space="preserve"> skaičius bei </w:t>
      </w:r>
      <w:r w:rsidRPr="00CD7E52">
        <w:rPr>
          <w:rFonts w:eastAsia="TimesNewRoman"/>
          <w:szCs w:val="22"/>
          <w:lang w:val="lt-LT"/>
        </w:rPr>
        <w:lastRenderedPageBreak/>
        <w:t>sumažėjęs jauniklių kūno svoris pirmąją laktacijos</w:t>
      </w:r>
      <w:r w:rsidR="005D37A7" w:rsidRPr="00CD7E52">
        <w:rPr>
          <w:rFonts w:eastAsia="TimesNewRoman"/>
          <w:szCs w:val="22"/>
          <w:lang w:val="lt-LT"/>
        </w:rPr>
        <w:t xml:space="preserve"> </w:t>
      </w:r>
      <w:r w:rsidRPr="00CD7E52">
        <w:rPr>
          <w:rFonts w:eastAsia="TimesNewRoman"/>
          <w:szCs w:val="22"/>
          <w:lang w:val="lt-LT"/>
        </w:rPr>
        <w:t xml:space="preserve">savaitę nustatytas </w:t>
      </w:r>
      <w:r w:rsidR="005D37A7" w:rsidRPr="00CD7E52">
        <w:rPr>
          <w:rFonts w:eastAsia="TimesNewRoman"/>
          <w:snapToGrid/>
          <w:szCs w:val="22"/>
          <w:lang w:val="lt-LT"/>
        </w:rPr>
        <w:t>skiriant</w:t>
      </w:r>
      <w:r w:rsidRPr="00CD7E52">
        <w:rPr>
          <w:rFonts w:eastAsia="TimesNewRoman"/>
          <w:szCs w:val="22"/>
          <w:lang w:val="lt-LT"/>
        </w:rPr>
        <w:t xml:space="preserve"> ≥</w:t>
      </w:r>
      <w:r w:rsidR="005D37A7" w:rsidRPr="00CD7E52">
        <w:rPr>
          <w:rFonts w:eastAsia="TimesNewRoman"/>
          <w:szCs w:val="22"/>
          <w:lang w:val="lt-LT"/>
        </w:rPr>
        <w:t> </w:t>
      </w:r>
      <w:r w:rsidRPr="00CD7E52">
        <w:rPr>
          <w:rFonts w:eastAsia="TimesNewRoman"/>
          <w:szCs w:val="22"/>
          <w:lang w:val="lt-LT"/>
        </w:rPr>
        <w:t>80</w:t>
      </w:r>
      <w:r w:rsidR="00A87582" w:rsidRPr="00CD7E52">
        <w:rPr>
          <w:rFonts w:eastAsia="TimesNewRoman"/>
          <w:szCs w:val="22"/>
          <w:lang w:val="lt-LT"/>
        </w:rPr>
        <w:t> mg</w:t>
      </w:r>
      <w:r w:rsidRPr="00CD7E52">
        <w:rPr>
          <w:rFonts w:eastAsia="TimesNewRoman"/>
          <w:szCs w:val="22"/>
          <w:lang w:val="lt-LT"/>
        </w:rPr>
        <w:t>/kg per parą dozę (≥</w:t>
      </w:r>
      <w:r w:rsidR="005D37A7" w:rsidRPr="00CD7E52">
        <w:rPr>
          <w:rFonts w:eastAsia="TimesNewRoman"/>
          <w:szCs w:val="22"/>
          <w:lang w:val="lt-LT"/>
        </w:rPr>
        <w:t> </w:t>
      </w:r>
      <w:r w:rsidRPr="00CD7E52">
        <w:rPr>
          <w:rFonts w:eastAsia="TimesNewRoman"/>
          <w:szCs w:val="22"/>
          <w:lang w:val="lt-LT"/>
        </w:rPr>
        <w:t>4,0</w:t>
      </w:r>
      <w:r w:rsidR="005D37A7" w:rsidRPr="00CD7E52">
        <w:rPr>
          <w:rFonts w:eastAsia="TimesNewRoman"/>
          <w:szCs w:val="22"/>
          <w:lang w:val="lt-LT"/>
        </w:rPr>
        <w:t> </w:t>
      </w:r>
      <w:r w:rsidRPr="00CD7E52">
        <w:rPr>
          <w:rFonts w:eastAsia="TimesNewRoman"/>
          <w:szCs w:val="22"/>
          <w:lang w:val="lt-LT"/>
        </w:rPr>
        <w:t>karto didesnę už klinikinę ekspoziciją). Su</w:t>
      </w:r>
      <w:r w:rsidR="005D37A7" w:rsidRPr="00CD7E52">
        <w:rPr>
          <w:rFonts w:eastAsia="TimesNewRoman"/>
          <w:szCs w:val="22"/>
          <w:lang w:val="lt-LT"/>
        </w:rPr>
        <w:t xml:space="preserve"> </w:t>
      </w:r>
      <w:r w:rsidRPr="00CD7E52">
        <w:rPr>
          <w:rFonts w:eastAsia="TimesNewRoman"/>
          <w:szCs w:val="22"/>
          <w:lang w:val="lt-LT"/>
        </w:rPr>
        <w:t>apremilastu susijusio poveikio vaikingumo trukmei, vaikingų pelių skaičiui gestacijos laikotarpio pabaigoje,</w:t>
      </w:r>
      <w:r w:rsidR="005D37A7" w:rsidRPr="00CD7E52">
        <w:rPr>
          <w:rFonts w:eastAsia="TimesNewRoman"/>
          <w:szCs w:val="22"/>
          <w:lang w:val="lt-LT"/>
        </w:rPr>
        <w:t xml:space="preserve"> </w:t>
      </w:r>
      <w:r w:rsidRPr="00CD7E52">
        <w:rPr>
          <w:rFonts w:eastAsia="TimesNewRoman"/>
          <w:szCs w:val="22"/>
          <w:lang w:val="lt-LT"/>
        </w:rPr>
        <w:t>jauniklių vadą atsivedusių pelių skaičiui arba bet kokiam poveikiui jauniklių vystymuisi po 7-osios</w:t>
      </w:r>
      <w:r w:rsidR="005D37A7" w:rsidRPr="00CD7E52">
        <w:rPr>
          <w:rFonts w:eastAsia="TimesNewRoman"/>
          <w:szCs w:val="22"/>
          <w:lang w:val="lt-LT"/>
        </w:rPr>
        <w:t xml:space="preserve"> </w:t>
      </w:r>
      <w:r w:rsidRPr="00CD7E52">
        <w:rPr>
          <w:rFonts w:eastAsia="TimesNewRoman"/>
          <w:szCs w:val="22"/>
          <w:lang w:val="lt-LT"/>
        </w:rPr>
        <w:t>postnatalinės dienos nenustatyta. Tikėtina, kad pirmąją postnatalinio laikotarpio savaitę nustatytas poveikis</w:t>
      </w:r>
      <w:r w:rsidR="005D37A7" w:rsidRPr="00CD7E52">
        <w:rPr>
          <w:rFonts w:eastAsia="TimesNewRoman"/>
          <w:szCs w:val="22"/>
          <w:lang w:val="lt-LT"/>
        </w:rPr>
        <w:t xml:space="preserve"> </w:t>
      </w:r>
      <w:r w:rsidRPr="00CD7E52">
        <w:rPr>
          <w:rFonts w:eastAsia="TimesNewRoman"/>
          <w:szCs w:val="22"/>
          <w:lang w:val="lt-LT"/>
        </w:rPr>
        <w:t>jauniklių vystymuisi buvo susijęs su apremilasto sukeliamu toksiniu poveikiu (sumažėjusiu jauniklių svoriu</w:t>
      </w:r>
      <w:r w:rsidR="005D37A7" w:rsidRPr="00CD7E52">
        <w:rPr>
          <w:rFonts w:eastAsia="TimesNewRoman"/>
          <w:szCs w:val="22"/>
          <w:lang w:val="lt-LT"/>
        </w:rPr>
        <w:t xml:space="preserve"> </w:t>
      </w:r>
      <w:r w:rsidRPr="00CD7E52">
        <w:rPr>
          <w:rFonts w:eastAsia="TimesNewRoman"/>
          <w:szCs w:val="22"/>
          <w:lang w:val="lt-LT"/>
        </w:rPr>
        <w:t>ir gyvybingumu) ir (arba) nepakankama patelių priežiūra (didesniu pieno nebuvimo jauniklių skrandyje</w:t>
      </w:r>
      <w:r w:rsidR="005D37A7" w:rsidRPr="00CD7E52">
        <w:rPr>
          <w:rFonts w:eastAsia="TimesNewRoman"/>
          <w:szCs w:val="22"/>
          <w:lang w:val="lt-LT"/>
        </w:rPr>
        <w:t xml:space="preserve"> </w:t>
      </w:r>
      <w:r w:rsidRPr="00CD7E52">
        <w:rPr>
          <w:rFonts w:eastAsia="TimesNewRoman"/>
          <w:szCs w:val="22"/>
          <w:lang w:val="lt-LT"/>
        </w:rPr>
        <w:t>dažniu). Visas poveikis vystymuisi nustatytas pirmąją postnatalinio laikotarpio savaitę; likusiais laikotarpiais</w:t>
      </w:r>
      <w:r w:rsidR="005D37A7" w:rsidRPr="00CD7E52">
        <w:rPr>
          <w:rFonts w:eastAsia="TimesNewRoman"/>
          <w:szCs w:val="22"/>
          <w:lang w:val="lt-LT"/>
        </w:rPr>
        <w:t xml:space="preserve"> </w:t>
      </w:r>
      <w:r w:rsidRPr="00CD7E52">
        <w:rPr>
          <w:rFonts w:eastAsia="TimesNewRoman"/>
          <w:szCs w:val="22"/>
          <w:lang w:val="lt-LT"/>
        </w:rPr>
        <w:t xml:space="preserve">iki ir po </w:t>
      </w:r>
      <w:r w:rsidR="005D37A7" w:rsidRPr="00CD7E52">
        <w:rPr>
          <w:rFonts w:eastAsia="TimesNewRoman"/>
          <w:snapToGrid/>
          <w:szCs w:val="22"/>
          <w:lang w:val="lt-LT"/>
        </w:rPr>
        <w:t>laktacijos pabaigos</w:t>
      </w:r>
      <w:r w:rsidRPr="00CD7E52">
        <w:rPr>
          <w:rFonts w:eastAsia="TimesNewRoman"/>
          <w:szCs w:val="22"/>
          <w:lang w:val="lt-LT"/>
        </w:rPr>
        <w:t xml:space="preserve"> su apremilastu susijusio poveikio, įskaitant </w:t>
      </w:r>
      <w:r w:rsidR="005D37A7" w:rsidRPr="00CD7E52">
        <w:rPr>
          <w:rFonts w:eastAsia="TimesNewRoman"/>
          <w:snapToGrid/>
          <w:szCs w:val="22"/>
          <w:lang w:val="lt-LT"/>
        </w:rPr>
        <w:t xml:space="preserve">poveikį </w:t>
      </w:r>
      <w:r w:rsidRPr="00CD7E52">
        <w:rPr>
          <w:rFonts w:eastAsia="TimesNewRoman"/>
          <w:snapToGrid/>
          <w:szCs w:val="22"/>
          <w:lang w:val="lt-LT"/>
        </w:rPr>
        <w:t>lytin</w:t>
      </w:r>
      <w:r w:rsidR="005D37A7" w:rsidRPr="00CD7E52">
        <w:rPr>
          <w:rFonts w:eastAsia="TimesNewRoman"/>
          <w:snapToGrid/>
          <w:szCs w:val="22"/>
          <w:lang w:val="lt-LT"/>
        </w:rPr>
        <w:t>ei</w:t>
      </w:r>
      <w:r w:rsidRPr="00CD7E52">
        <w:rPr>
          <w:rFonts w:eastAsia="TimesNewRoman"/>
          <w:snapToGrid/>
          <w:szCs w:val="22"/>
          <w:lang w:val="lt-LT"/>
        </w:rPr>
        <w:t xml:space="preserve"> brand</w:t>
      </w:r>
      <w:r w:rsidR="005D37A7" w:rsidRPr="00CD7E52">
        <w:rPr>
          <w:rFonts w:eastAsia="TimesNewRoman"/>
          <w:snapToGrid/>
          <w:szCs w:val="22"/>
          <w:lang w:val="lt-LT"/>
        </w:rPr>
        <w:t>ai</w:t>
      </w:r>
      <w:r w:rsidRPr="00CD7E52">
        <w:rPr>
          <w:rFonts w:eastAsia="TimesNewRoman"/>
          <w:snapToGrid/>
          <w:szCs w:val="22"/>
          <w:lang w:val="lt-LT"/>
        </w:rPr>
        <w:t>, elgsen</w:t>
      </w:r>
      <w:r w:rsidR="005D37A7" w:rsidRPr="00CD7E52">
        <w:rPr>
          <w:rFonts w:eastAsia="TimesNewRoman"/>
          <w:snapToGrid/>
          <w:szCs w:val="22"/>
          <w:lang w:val="lt-LT"/>
        </w:rPr>
        <w:t>ai</w:t>
      </w:r>
      <w:r w:rsidRPr="00CD7E52">
        <w:rPr>
          <w:rFonts w:eastAsia="TimesNewRoman"/>
          <w:snapToGrid/>
          <w:szCs w:val="22"/>
          <w:lang w:val="lt-LT"/>
        </w:rPr>
        <w:t>,</w:t>
      </w:r>
      <w:r w:rsidR="005D37A7" w:rsidRPr="00CD7E52">
        <w:rPr>
          <w:rFonts w:eastAsia="TimesNewRoman"/>
          <w:snapToGrid/>
          <w:szCs w:val="22"/>
          <w:lang w:val="lt-LT"/>
        </w:rPr>
        <w:t xml:space="preserve"> </w:t>
      </w:r>
      <w:r w:rsidRPr="00CD7E52">
        <w:rPr>
          <w:rFonts w:eastAsia="TimesNewRoman"/>
          <w:snapToGrid/>
          <w:szCs w:val="22"/>
          <w:lang w:val="lt-LT"/>
        </w:rPr>
        <w:t>poravim</w:t>
      </w:r>
      <w:r w:rsidR="005D37A7" w:rsidRPr="00CD7E52">
        <w:rPr>
          <w:rFonts w:eastAsia="TimesNewRoman"/>
          <w:snapToGrid/>
          <w:szCs w:val="22"/>
          <w:lang w:val="lt-LT"/>
        </w:rPr>
        <w:t>uis</w:t>
      </w:r>
      <w:r w:rsidRPr="00CD7E52">
        <w:rPr>
          <w:rFonts w:eastAsia="TimesNewRoman"/>
          <w:snapToGrid/>
          <w:szCs w:val="22"/>
          <w:lang w:val="lt-LT"/>
        </w:rPr>
        <w:t>i, vaisingum</w:t>
      </w:r>
      <w:r w:rsidR="005D37A7" w:rsidRPr="00CD7E52">
        <w:rPr>
          <w:rFonts w:eastAsia="TimesNewRoman"/>
          <w:snapToGrid/>
          <w:szCs w:val="22"/>
          <w:lang w:val="lt-LT"/>
        </w:rPr>
        <w:t>ui</w:t>
      </w:r>
      <w:r w:rsidRPr="00CD7E52">
        <w:rPr>
          <w:rFonts w:eastAsia="TimesNewRoman"/>
          <w:szCs w:val="22"/>
          <w:lang w:val="lt-LT"/>
        </w:rPr>
        <w:t xml:space="preserve"> ir gimdos </w:t>
      </w:r>
      <w:r w:rsidR="005D37A7" w:rsidRPr="00CD7E52">
        <w:rPr>
          <w:rFonts w:eastAsia="TimesNewRoman"/>
          <w:snapToGrid/>
          <w:szCs w:val="22"/>
          <w:lang w:val="lt-LT"/>
        </w:rPr>
        <w:t>rodmenims, nenustatyta</w:t>
      </w:r>
      <w:r w:rsidRPr="00CD7E52">
        <w:rPr>
          <w:rFonts w:eastAsia="TimesNewRoman"/>
          <w:szCs w:val="22"/>
          <w:lang w:val="lt-LT"/>
        </w:rPr>
        <w:t>. Toksiniam poveikiui vaikingoms pelių patelėms ir F1 kartai</w:t>
      </w:r>
      <w:r w:rsidR="005D37A7" w:rsidRPr="00CD7E52">
        <w:rPr>
          <w:rFonts w:eastAsia="TimesNewRoman"/>
          <w:szCs w:val="22"/>
          <w:lang w:val="lt-LT"/>
        </w:rPr>
        <w:t xml:space="preserve"> </w:t>
      </w:r>
      <w:r w:rsidRPr="00CD7E52">
        <w:rPr>
          <w:rFonts w:eastAsia="TimesNewRoman"/>
          <w:szCs w:val="22"/>
          <w:lang w:val="lt-LT"/>
        </w:rPr>
        <w:t>NOEL buvo 10</w:t>
      </w:r>
      <w:r w:rsidR="00A87582" w:rsidRPr="00CD7E52">
        <w:rPr>
          <w:rFonts w:eastAsia="TimesNewRoman"/>
          <w:szCs w:val="22"/>
          <w:lang w:val="lt-LT"/>
        </w:rPr>
        <w:t> mg</w:t>
      </w:r>
      <w:r w:rsidRPr="00CD7E52">
        <w:rPr>
          <w:rFonts w:eastAsia="TimesNewRoman"/>
          <w:szCs w:val="22"/>
          <w:lang w:val="lt-LT"/>
        </w:rPr>
        <w:t>/kg per parą dozė (1,3</w:t>
      </w:r>
      <w:r w:rsidR="005D37A7" w:rsidRPr="00CD7E52">
        <w:rPr>
          <w:rFonts w:eastAsia="TimesNewRoman"/>
          <w:szCs w:val="22"/>
          <w:lang w:val="lt-LT"/>
        </w:rPr>
        <w:t> </w:t>
      </w:r>
      <w:r w:rsidRPr="00CD7E52">
        <w:rPr>
          <w:rFonts w:eastAsia="TimesNewRoman"/>
          <w:szCs w:val="22"/>
          <w:lang w:val="lt-LT"/>
        </w:rPr>
        <w:t xml:space="preserve">karto didesnė už </w:t>
      </w:r>
      <w:r w:rsidRPr="00CD7E52">
        <w:rPr>
          <w:rFonts w:eastAsia="TimesNewRoman"/>
          <w:snapToGrid/>
          <w:szCs w:val="22"/>
          <w:lang w:val="lt-LT"/>
        </w:rPr>
        <w:t>klinikin</w:t>
      </w:r>
      <w:r w:rsidR="005D37A7" w:rsidRPr="00CD7E52">
        <w:rPr>
          <w:rFonts w:eastAsia="TimesNewRoman"/>
          <w:snapToGrid/>
          <w:szCs w:val="22"/>
          <w:lang w:val="lt-LT"/>
        </w:rPr>
        <w:t>į</w:t>
      </w:r>
      <w:r w:rsidRPr="00CD7E52">
        <w:rPr>
          <w:rFonts w:eastAsia="TimesNewRoman"/>
          <w:szCs w:val="22"/>
          <w:lang w:val="lt-LT"/>
        </w:rPr>
        <w:t xml:space="preserve"> AUC</w:t>
      </w:r>
      <w:r w:rsidR="005D37A7" w:rsidRPr="00CD7E52">
        <w:rPr>
          <w:rFonts w:eastAsia="TimesNewRoman"/>
          <w:snapToGrid/>
          <w:szCs w:val="22"/>
          <w:lang w:val="lt-LT"/>
        </w:rPr>
        <w:t xml:space="preserve"> rodmenį</w:t>
      </w:r>
      <w:r w:rsidRPr="00CD7E52">
        <w:rPr>
          <w:rFonts w:eastAsia="TimesNewRoman"/>
          <w:szCs w:val="22"/>
          <w:lang w:val="lt-LT"/>
        </w:rPr>
        <w:t>).</w:t>
      </w:r>
    </w:p>
    <w:p w14:paraId="2B1614C6" w14:textId="77777777" w:rsidR="00715E14" w:rsidRPr="00CD7E52" w:rsidRDefault="00715E14" w:rsidP="00BD0220">
      <w:pPr>
        <w:widowControl w:val="0"/>
        <w:tabs>
          <w:tab w:val="clear" w:pos="567"/>
        </w:tabs>
        <w:autoSpaceDE w:val="0"/>
        <w:autoSpaceDN w:val="0"/>
        <w:adjustRightInd w:val="0"/>
        <w:spacing w:line="240" w:lineRule="auto"/>
        <w:rPr>
          <w:rFonts w:eastAsia="TimesNewRoman"/>
          <w:szCs w:val="22"/>
          <w:lang w:val="lt-LT"/>
        </w:rPr>
      </w:pPr>
    </w:p>
    <w:p w14:paraId="0927C520" w14:textId="77777777" w:rsidR="003A5CF5" w:rsidRPr="00CD7E52" w:rsidRDefault="003A5CF5" w:rsidP="00BD0220">
      <w:pPr>
        <w:widowControl w:val="0"/>
        <w:tabs>
          <w:tab w:val="clear" w:pos="567"/>
        </w:tabs>
        <w:autoSpaceDE w:val="0"/>
        <w:autoSpaceDN w:val="0"/>
        <w:adjustRightInd w:val="0"/>
        <w:spacing w:line="240" w:lineRule="auto"/>
        <w:rPr>
          <w:rFonts w:eastAsia="TimesNewRoman"/>
          <w:szCs w:val="22"/>
          <w:u w:val="single"/>
          <w:lang w:val="lt-LT"/>
        </w:rPr>
      </w:pPr>
      <w:r w:rsidRPr="00CD7E52">
        <w:rPr>
          <w:rFonts w:eastAsia="TimesNewRoman"/>
          <w:snapToGrid/>
          <w:szCs w:val="22"/>
          <w:u w:val="single"/>
          <w:lang w:val="lt-LT"/>
        </w:rPr>
        <w:t>Kancerogeni</w:t>
      </w:r>
      <w:r w:rsidR="00715E14" w:rsidRPr="00CD7E52">
        <w:rPr>
          <w:rFonts w:eastAsia="TimesNewRoman"/>
          <w:snapToGrid/>
          <w:szCs w:val="22"/>
          <w:u w:val="single"/>
          <w:lang w:val="lt-LT"/>
        </w:rPr>
        <w:t>nio poveiki</w:t>
      </w:r>
      <w:r w:rsidRPr="00CD7E52">
        <w:rPr>
          <w:rFonts w:eastAsia="TimesNewRoman"/>
          <w:snapToGrid/>
          <w:szCs w:val="22"/>
          <w:u w:val="single"/>
          <w:lang w:val="lt-LT"/>
        </w:rPr>
        <w:t>o</w:t>
      </w:r>
      <w:r w:rsidRPr="00CD7E52">
        <w:rPr>
          <w:rFonts w:eastAsia="TimesNewRoman"/>
          <w:szCs w:val="22"/>
          <w:u w:val="single"/>
          <w:lang w:val="lt-LT"/>
        </w:rPr>
        <w:t xml:space="preserve"> tyrimai</w:t>
      </w:r>
    </w:p>
    <w:p w14:paraId="55C22441" w14:textId="77777777" w:rsidR="003A5CF5" w:rsidRPr="00CD7E52" w:rsidRDefault="003A5CF5"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 xml:space="preserve">Su pelėmis ir žiurkėmis atlikti </w:t>
      </w:r>
      <w:r w:rsidRPr="00CD7E52">
        <w:rPr>
          <w:rFonts w:eastAsia="TimesNewRoman"/>
          <w:snapToGrid/>
          <w:szCs w:val="22"/>
          <w:lang w:val="lt-LT"/>
        </w:rPr>
        <w:t>kancerogeni</w:t>
      </w:r>
      <w:r w:rsidR="00715E14" w:rsidRPr="00CD7E52">
        <w:rPr>
          <w:rFonts w:eastAsia="TimesNewRoman"/>
          <w:snapToGrid/>
          <w:szCs w:val="22"/>
          <w:lang w:val="lt-LT"/>
        </w:rPr>
        <w:t>nio poveikio</w:t>
      </w:r>
      <w:r w:rsidRPr="00CD7E52">
        <w:rPr>
          <w:rFonts w:eastAsia="TimesNewRoman"/>
          <w:szCs w:val="22"/>
          <w:lang w:val="lt-LT"/>
        </w:rPr>
        <w:t xml:space="preserve"> tyrimai su </w:t>
      </w:r>
      <w:r w:rsidRPr="00CD7E52">
        <w:rPr>
          <w:rFonts w:eastAsia="TimesNewRoman"/>
          <w:snapToGrid/>
          <w:szCs w:val="22"/>
          <w:lang w:val="lt-LT"/>
        </w:rPr>
        <w:t>apremilast</w:t>
      </w:r>
      <w:r w:rsidR="00715E14" w:rsidRPr="00CD7E52">
        <w:rPr>
          <w:rFonts w:eastAsia="TimesNewRoman"/>
          <w:snapToGrid/>
          <w:szCs w:val="22"/>
          <w:lang w:val="lt-LT"/>
        </w:rPr>
        <w:t>o vartojimu</w:t>
      </w:r>
      <w:r w:rsidRPr="00CD7E52">
        <w:rPr>
          <w:rFonts w:eastAsia="TimesNewRoman"/>
          <w:szCs w:val="22"/>
          <w:lang w:val="lt-LT"/>
        </w:rPr>
        <w:t xml:space="preserve"> susijusio</w:t>
      </w:r>
      <w:r w:rsidR="00715E14" w:rsidRPr="00CD7E52">
        <w:rPr>
          <w:rFonts w:eastAsia="TimesNewRoman"/>
          <w:szCs w:val="22"/>
          <w:lang w:val="lt-LT"/>
        </w:rPr>
        <w:t xml:space="preserve"> </w:t>
      </w:r>
      <w:r w:rsidR="00715E14" w:rsidRPr="00CD7E52">
        <w:rPr>
          <w:rFonts w:eastAsia="TimesNewRoman"/>
          <w:snapToGrid/>
          <w:szCs w:val="22"/>
          <w:lang w:val="lt-LT"/>
        </w:rPr>
        <w:t>kancerogeninio poveikio</w:t>
      </w:r>
      <w:r w:rsidR="00715E14" w:rsidRPr="00CD7E52">
        <w:rPr>
          <w:rFonts w:eastAsia="TimesNewRoman"/>
          <w:szCs w:val="22"/>
          <w:lang w:val="lt-LT"/>
        </w:rPr>
        <w:t xml:space="preserve"> </w:t>
      </w:r>
      <w:r w:rsidRPr="00CD7E52">
        <w:rPr>
          <w:rFonts w:eastAsia="TimesNewRoman"/>
          <w:szCs w:val="22"/>
          <w:lang w:val="lt-LT"/>
        </w:rPr>
        <w:t>neparodė.</w:t>
      </w:r>
    </w:p>
    <w:p w14:paraId="13F5C455" w14:textId="77777777" w:rsidR="00715E14" w:rsidRPr="00CD7E52" w:rsidRDefault="00715E14" w:rsidP="00BD0220">
      <w:pPr>
        <w:widowControl w:val="0"/>
        <w:tabs>
          <w:tab w:val="clear" w:pos="567"/>
        </w:tabs>
        <w:autoSpaceDE w:val="0"/>
        <w:autoSpaceDN w:val="0"/>
        <w:adjustRightInd w:val="0"/>
        <w:spacing w:line="240" w:lineRule="auto"/>
        <w:rPr>
          <w:rFonts w:eastAsia="TimesNewRoman"/>
          <w:szCs w:val="22"/>
          <w:lang w:val="lt-LT"/>
        </w:rPr>
      </w:pPr>
    </w:p>
    <w:p w14:paraId="5679A7E0" w14:textId="77777777" w:rsidR="003A5CF5" w:rsidRPr="00CD7E52" w:rsidRDefault="003A5CF5" w:rsidP="00BD0220">
      <w:pPr>
        <w:widowControl w:val="0"/>
        <w:tabs>
          <w:tab w:val="clear" w:pos="567"/>
        </w:tabs>
        <w:autoSpaceDE w:val="0"/>
        <w:autoSpaceDN w:val="0"/>
        <w:adjustRightInd w:val="0"/>
        <w:spacing w:line="240" w:lineRule="auto"/>
        <w:rPr>
          <w:rFonts w:eastAsia="TimesNewRoman"/>
          <w:szCs w:val="22"/>
          <w:u w:val="single"/>
          <w:lang w:val="lt-LT"/>
        </w:rPr>
      </w:pPr>
      <w:r w:rsidRPr="00CD7E52">
        <w:rPr>
          <w:rFonts w:eastAsia="TimesNewRoman"/>
          <w:snapToGrid/>
          <w:szCs w:val="22"/>
          <w:u w:val="single"/>
          <w:lang w:val="lt-LT"/>
        </w:rPr>
        <w:t>Genotoksi</w:t>
      </w:r>
      <w:r w:rsidR="00715E14" w:rsidRPr="00CD7E52">
        <w:rPr>
          <w:rFonts w:eastAsia="TimesNewRoman"/>
          <w:snapToGrid/>
          <w:szCs w:val="22"/>
          <w:u w:val="single"/>
          <w:lang w:val="lt-LT"/>
        </w:rPr>
        <w:t>nio poveikio</w:t>
      </w:r>
      <w:r w:rsidRPr="00CD7E52">
        <w:rPr>
          <w:rFonts w:eastAsia="TimesNewRoman"/>
          <w:szCs w:val="22"/>
          <w:u w:val="single"/>
          <w:lang w:val="lt-LT"/>
        </w:rPr>
        <w:t xml:space="preserve"> tyrimai</w:t>
      </w:r>
    </w:p>
    <w:p w14:paraId="142A22A8" w14:textId="77777777" w:rsidR="003A5CF5" w:rsidRPr="00CD7E52" w:rsidRDefault="003A5CF5"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 xml:space="preserve">Apremilastas </w:t>
      </w:r>
      <w:r w:rsidR="00A6559A" w:rsidRPr="00CD7E52">
        <w:rPr>
          <w:rFonts w:eastAsia="TimesNewRoman"/>
          <w:snapToGrid/>
          <w:szCs w:val="22"/>
          <w:lang w:val="lt-LT"/>
        </w:rPr>
        <w:t>genotoksinio poveikio nesukelia</w:t>
      </w:r>
      <w:r w:rsidRPr="00CD7E52">
        <w:rPr>
          <w:rFonts w:eastAsia="TimesNewRoman"/>
          <w:snapToGrid/>
          <w:szCs w:val="22"/>
          <w:lang w:val="lt-LT"/>
        </w:rPr>
        <w:t>.</w:t>
      </w:r>
      <w:r w:rsidRPr="00CD7E52">
        <w:rPr>
          <w:rFonts w:eastAsia="TimesNewRoman"/>
          <w:szCs w:val="22"/>
          <w:lang w:val="lt-LT"/>
        </w:rPr>
        <w:t xml:space="preserve"> Apremilastas nesukėlė mutacijų atliekant </w:t>
      </w:r>
      <w:r w:rsidRPr="00CD7E52">
        <w:rPr>
          <w:rFonts w:eastAsia="TimesNewRoman"/>
          <w:i/>
          <w:szCs w:val="22"/>
          <w:lang w:val="lt-LT"/>
        </w:rPr>
        <w:t>Ames</w:t>
      </w:r>
      <w:r w:rsidRPr="00CD7E52">
        <w:rPr>
          <w:rFonts w:eastAsia="TimesNewRoman"/>
          <w:szCs w:val="22"/>
          <w:lang w:val="lt-LT"/>
        </w:rPr>
        <w:t xml:space="preserve"> tyrimą </w:t>
      </w:r>
      <w:r w:rsidRPr="00CD7E52">
        <w:rPr>
          <w:rFonts w:eastAsia="TimesNewRoman"/>
          <w:snapToGrid/>
          <w:szCs w:val="22"/>
          <w:lang w:val="lt-LT"/>
        </w:rPr>
        <w:t>ar</w:t>
      </w:r>
      <w:r w:rsidRPr="00CD7E52">
        <w:rPr>
          <w:rFonts w:eastAsia="TimesNewRoman"/>
          <w:szCs w:val="22"/>
          <w:lang w:val="lt-LT"/>
        </w:rPr>
        <w:t xml:space="preserve"> chromosomų</w:t>
      </w:r>
      <w:r w:rsidR="005D37A7" w:rsidRPr="00CD7E52">
        <w:rPr>
          <w:rFonts w:eastAsia="TimesNewRoman"/>
          <w:szCs w:val="22"/>
          <w:lang w:val="lt-LT"/>
        </w:rPr>
        <w:t xml:space="preserve"> </w:t>
      </w:r>
      <w:r w:rsidRPr="00CD7E52">
        <w:rPr>
          <w:rFonts w:eastAsia="TimesNewRoman"/>
          <w:szCs w:val="22"/>
          <w:lang w:val="lt-LT"/>
        </w:rPr>
        <w:t xml:space="preserve">aberacijų laboratorijoje išaugintuose žmogaus periferinio kraujo limfocituose, esant </w:t>
      </w:r>
      <w:r w:rsidRPr="00CD7E52">
        <w:rPr>
          <w:rFonts w:eastAsia="TimesNewRoman"/>
          <w:snapToGrid/>
          <w:szCs w:val="22"/>
          <w:lang w:val="lt-LT"/>
        </w:rPr>
        <w:t>metabolin</w:t>
      </w:r>
      <w:r w:rsidR="005D37A7" w:rsidRPr="00CD7E52">
        <w:rPr>
          <w:rFonts w:eastAsia="TimesNewRoman"/>
          <w:snapToGrid/>
          <w:szCs w:val="22"/>
          <w:lang w:val="lt-LT"/>
        </w:rPr>
        <w:t>iam suaktyvinimui</w:t>
      </w:r>
      <w:r w:rsidR="005D37A7" w:rsidRPr="00CD7E52">
        <w:rPr>
          <w:rFonts w:eastAsia="TimesNewRoman"/>
          <w:szCs w:val="22"/>
          <w:lang w:val="lt-LT"/>
        </w:rPr>
        <w:t xml:space="preserve"> </w:t>
      </w:r>
      <w:r w:rsidRPr="00CD7E52">
        <w:rPr>
          <w:rFonts w:eastAsia="TimesNewRoman"/>
          <w:szCs w:val="22"/>
          <w:lang w:val="lt-LT"/>
        </w:rPr>
        <w:t xml:space="preserve">arba </w:t>
      </w:r>
      <w:r w:rsidRPr="00CD7E52">
        <w:rPr>
          <w:rFonts w:eastAsia="TimesNewRoman"/>
          <w:snapToGrid/>
          <w:szCs w:val="22"/>
          <w:lang w:val="lt-LT"/>
        </w:rPr>
        <w:t>jo</w:t>
      </w:r>
      <w:r w:rsidRPr="00CD7E52">
        <w:rPr>
          <w:rFonts w:eastAsia="TimesNewRoman"/>
          <w:szCs w:val="22"/>
          <w:lang w:val="lt-LT"/>
        </w:rPr>
        <w:t xml:space="preserve"> nesant. Atliekant pelių mikrobranduolių tyrimą</w:t>
      </w:r>
      <w:r w:rsidR="005D37A7" w:rsidRPr="00CD7E52">
        <w:rPr>
          <w:rFonts w:eastAsia="TimesNewRoman"/>
          <w:snapToGrid/>
          <w:szCs w:val="22"/>
          <w:lang w:val="lt-LT"/>
        </w:rPr>
        <w:t xml:space="preserve"> </w:t>
      </w:r>
      <w:r w:rsidR="005D37A7" w:rsidRPr="00CD7E52">
        <w:rPr>
          <w:rFonts w:eastAsia="TimesNewRoman"/>
          <w:i/>
          <w:iCs/>
          <w:snapToGrid/>
          <w:szCs w:val="22"/>
          <w:lang w:val="lt-LT"/>
        </w:rPr>
        <w:t>in vivo</w:t>
      </w:r>
      <w:r w:rsidRPr="00CD7E52">
        <w:rPr>
          <w:rFonts w:eastAsia="TimesNewRoman"/>
          <w:szCs w:val="22"/>
          <w:lang w:val="lt-LT"/>
        </w:rPr>
        <w:t xml:space="preserve">, </w:t>
      </w:r>
      <w:r w:rsidR="005D37A7" w:rsidRPr="00CD7E52">
        <w:rPr>
          <w:rFonts w:eastAsia="TimesNewRoman"/>
          <w:szCs w:val="22"/>
          <w:lang w:val="lt-LT"/>
        </w:rPr>
        <w:t>apremilast</w:t>
      </w:r>
      <w:r w:rsidR="003C0232" w:rsidRPr="00CD7E52">
        <w:rPr>
          <w:rFonts w:eastAsia="TimesNewRoman"/>
          <w:szCs w:val="22"/>
          <w:lang w:val="lt-LT"/>
        </w:rPr>
        <w:t>as</w:t>
      </w:r>
      <w:r w:rsidR="005D37A7" w:rsidRPr="00CD7E52">
        <w:rPr>
          <w:rFonts w:eastAsia="TimesNewRoman"/>
          <w:szCs w:val="22"/>
          <w:lang w:val="lt-LT"/>
        </w:rPr>
        <w:t xml:space="preserve"> klastogeninio poveikio </w:t>
      </w:r>
      <w:r w:rsidR="005D37A7" w:rsidRPr="00CD7E52">
        <w:rPr>
          <w:rFonts w:eastAsia="TimesNewRoman"/>
          <w:snapToGrid/>
          <w:szCs w:val="22"/>
          <w:lang w:val="lt-LT"/>
        </w:rPr>
        <w:t>nesukėlė skiriant</w:t>
      </w:r>
      <w:r w:rsidRPr="00CD7E52">
        <w:rPr>
          <w:rFonts w:eastAsia="TimesNewRoman"/>
          <w:snapToGrid/>
          <w:szCs w:val="22"/>
          <w:lang w:val="lt-LT"/>
        </w:rPr>
        <w:t xml:space="preserve"> iki 2</w:t>
      </w:r>
      <w:r w:rsidR="00D96242" w:rsidRPr="00CD7E52">
        <w:rPr>
          <w:rFonts w:eastAsia="TimesNewRoman"/>
          <w:snapToGrid/>
          <w:szCs w:val="22"/>
          <w:lang w:val="lt-LT"/>
        </w:rPr>
        <w:t> </w:t>
      </w:r>
      <w:r w:rsidRPr="00CD7E52">
        <w:rPr>
          <w:rFonts w:eastAsia="TimesNewRoman"/>
          <w:snapToGrid/>
          <w:szCs w:val="22"/>
          <w:lang w:val="lt-LT"/>
        </w:rPr>
        <w:t>000</w:t>
      </w:r>
      <w:r w:rsidR="00A87582" w:rsidRPr="00CD7E52">
        <w:rPr>
          <w:rFonts w:eastAsia="TimesNewRoman"/>
          <w:snapToGrid/>
          <w:szCs w:val="22"/>
          <w:lang w:val="lt-LT"/>
        </w:rPr>
        <w:t> mg</w:t>
      </w:r>
      <w:r w:rsidRPr="00CD7E52">
        <w:rPr>
          <w:rFonts w:eastAsia="TimesNewRoman"/>
          <w:snapToGrid/>
          <w:szCs w:val="22"/>
          <w:lang w:val="lt-LT"/>
        </w:rPr>
        <w:t>/kg paros dozes</w:t>
      </w:r>
      <w:r w:rsidRPr="00CD7E52">
        <w:rPr>
          <w:rFonts w:eastAsia="TimesNewRoman"/>
          <w:szCs w:val="22"/>
          <w:lang w:val="lt-LT"/>
        </w:rPr>
        <w:t>.</w:t>
      </w:r>
    </w:p>
    <w:p w14:paraId="2F80382F" w14:textId="77777777" w:rsidR="00544084" w:rsidRPr="00CD7E52" w:rsidRDefault="00544084" w:rsidP="00BD0220">
      <w:pPr>
        <w:widowControl w:val="0"/>
        <w:tabs>
          <w:tab w:val="clear" w:pos="567"/>
        </w:tabs>
        <w:autoSpaceDE w:val="0"/>
        <w:autoSpaceDN w:val="0"/>
        <w:adjustRightInd w:val="0"/>
        <w:spacing w:line="240" w:lineRule="auto"/>
        <w:rPr>
          <w:rFonts w:eastAsia="TimesNewRoman"/>
          <w:szCs w:val="22"/>
          <w:lang w:val="lt-LT"/>
        </w:rPr>
      </w:pPr>
    </w:p>
    <w:p w14:paraId="64F842E8" w14:textId="77777777" w:rsidR="003A5CF5" w:rsidRPr="00CD7E52" w:rsidRDefault="003A5CF5" w:rsidP="003A5CF5">
      <w:pPr>
        <w:widowControl w:val="0"/>
        <w:tabs>
          <w:tab w:val="clear" w:pos="567"/>
        </w:tabs>
        <w:autoSpaceDE w:val="0"/>
        <w:autoSpaceDN w:val="0"/>
        <w:adjustRightInd w:val="0"/>
        <w:spacing w:line="240" w:lineRule="auto"/>
        <w:rPr>
          <w:rFonts w:eastAsia="TimesNewRoman"/>
          <w:snapToGrid/>
          <w:szCs w:val="22"/>
          <w:u w:val="single"/>
          <w:lang w:val="lt-LT" w:eastAsia="lt-LT"/>
        </w:rPr>
      </w:pPr>
      <w:r w:rsidRPr="00CD7E52">
        <w:rPr>
          <w:rFonts w:eastAsia="TimesNewRoman"/>
          <w:szCs w:val="22"/>
          <w:u w:val="single"/>
          <w:lang w:val="lt-LT"/>
        </w:rPr>
        <w:t>Kiti tyrimai</w:t>
      </w:r>
    </w:p>
    <w:p w14:paraId="232BA456" w14:textId="77777777" w:rsidR="00776FBE" w:rsidRPr="00CD7E52" w:rsidRDefault="003A5CF5" w:rsidP="00BD0220">
      <w:pPr>
        <w:widowControl w:val="0"/>
        <w:tabs>
          <w:tab w:val="clear" w:pos="567"/>
        </w:tabs>
        <w:autoSpaceDE w:val="0"/>
        <w:autoSpaceDN w:val="0"/>
        <w:adjustRightInd w:val="0"/>
        <w:spacing w:line="240" w:lineRule="auto"/>
        <w:rPr>
          <w:rFonts w:eastAsia="TimesNewRoman"/>
          <w:szCs w:val="22"/>
          <w:lang w:val="lt-LT"/>
        </w:rPr>
      </w:pPr>
      <w:r w:rsidRPr="00CD7E52">
        <w:rPr>
          <w:rFonts w:eastAsia="TimesNewRoman"/>
          <w:szCs w:val="22"/>
          <w:lang w:val="lt-LT"/>
        </w:rPr>
        <w:t>Duomenų apie galimą imunotoksinį, odą dirginantį arba fototoksinį poveikį nėra.</w:t>
      </w:r>
    </w:p>
    <w:p w14:paraId="5C4C39DA" w14:textId="77777777" w:rsidR="00776FBE" w:rsidRPr="00CD7E52" w:rsidRDefault="00776FBE" w:rsidP="00BD0220">
      <w:pPr>
        <w:widowControl w:val="0"/>
        <w:tabs>
          <w:tab w:val="clear" w:pos="567"/>
        </w:tabs>
        <w:autoSpaceDE w:val="0"/>
        <w:autoSpaceDN w:val="0"/>
        <w:adjustRightInd w:val="0"/>
        <w:spacing w:line="240" w:lineRule="auto"/>
        <w:rPr>
          <w:rFonts w:eastAsia="TimesNewRoman"/>
          <w:szCs w:val="22"/>
          <w:lang w:val="lt-LT"/>
        </w:rPr>
      </w:pPr>
    </w:p>
    <w:p w14:paraId="73544C64"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p>
    <w:p w14:paraId="04037D43" w14:textId="77777777" w:rsidR="008D14F2" w:rsidRPr="00CD7E52" w:rsidRDefault="008D14F2" w:rsidP="00DB2543">
      <w:pPr>
        <w:keepNext/>
        <w:widowControl w:val="0"/>
        <w:numPr>
          <w:ilvl w:val="0"/>
          <w:numId w:val="23"/>
        </w:numPr>
        <w:tabs>
          <w:tab w:val="clear" w:pos="567"/>
        </w:tabs>
        <w:kinsoku w:val="0"/>
        <w:overflowPunct w:val="0"/>
        <w:autoSpaceDE w:val="0"/>
        <w:autoSpaceDN w:val="0"/>
        <w:adjustRightInd w:val="0"/>
        <w:spacing w:line="240" w:lineRule="auto"/>
        <w:ind w:left="567" w:hanging="567"/>
        <w:outlineLvl w:val="0"/>
        <w:rPr>
          <w:spacing w:val="-2"/>
          <w:szCs w:val="22"/>
          <w:lang w:val="lt-LT"/>
        </w:rPr>
      </w:pPr>
      <w:r w:rsidRPr="00CD7E52">
        <w:rPr>
          <w:b/>
          <w:spacing w:val="-2"/>
          <w:szCs w:val="22"/>
          <w:lang w:val="lt-LT"/>
        </w:rPr>
        <w:t>FARMACINĖ INFORMACIJA</w:t>
      </w:r>
    </w:p>
    <w:p w14:paraId="14E91A3B" w14:textId="77777777" w:rsidR="008D14F2" w:rsidRPr="00CD7E52" w:rsidRDefault="008D14F2" w:rsidP="00DB2543">
      <w:pPr>
        <w:keepNext/>
        <w:widowControl w:val="0"/>
        <w:tabs>
          <w:tab w:val="clear" w:pos="567"/>
        </w:tabs>
        <w:kinsoku w:val="0"/>
        <w:overflowPunct w:val="0"/>
        <w:autoSpaceDE w:val="0"/>
        <w:autoSpaceDN w:val="0"/>
        <w:adjustRightInd w:val="0"/>
        <w:spacing w:line="240" w:lineRule="auto"/>
        <w:rPr>
          <w:szCs w:val="22"/>
          <w:lang w:val="lt-LT"/>
        </w:rPr>
      </w:pPr>
    </w:p>
    <w:p w14:paraId="4DA00753" w14:textId="77777777" w:rsidR="008D14F2" w:rsidRPr="00CD7E52" w:rsidRDefault="008D14F2" w:rsidP="00DB2543">
      <w:pPr>
        <w:keepNext/>
        <w:widowControl w:val="0"/>
        <w:numPr>
          <w:ilvl w:val="1"/>
          <w:numId w:val="23"/>
        </w:numPr>
        <w:kinsoku w:val="0"/>
        <w:overflowPunct w:val="0"/>
        <w:autoSpaceDE w:val="0"/>
        <w:autoSpaceDN w:val="0"/>
        <w:adjustRightInd w:val="0"/>
        <w:spacing w:line="240" w:lineRule="auto"/>
        <w:ind w:left="0" w:firstLine="0"/>
        <w:outlineLvl w:val="1"/>
        <w:rPr>
          <w:spacing w:val="-2"/>
          <w:szCs w:val="22"/>
          <w:lang w:val="lt-LT"/>
        </w:rPr>
      </w:pPr>
      <w:r w:rsidRPr="00CD7E52">
        <w:rPr>
          <w:b/>
          <w:szCs w:val="22"/>
          <w:lang w:val="lt-LT"/>
        </w:rPr>
        <w:t>Pagalbinių</w:t>
      </w:r>
      <w:r w:rsidRPr="00CD7E52">
        <w:rPr>
          <w:b/>
          <w:spacing w:val="-14"/>
          <w:szCs w:val="22"/>
          <w:lang w:val="lt-LT"/>
        </w:rPr>
        <w:t xml:space="preserve"> </w:t>
      </w:r>
      <w:r w:rsidRPr="00CD7E52">
        <w:rPr>
          <w:b/>
          <w:szCs w:val="22"/>
          <w:lang w:val="lt-LT"/>
        </w:rPr>
        <w:t>medžiagų</w:t>
      </w:r>
      <w:r w:rsidRPr="00CD7E52">
        <w:rPr>
          <w:b/>
          <w:spacing w:val="-14"/>
          <w:szCs w:val="22"/>
          <w:lang w:val="lt-LT"/>
        </w:rPr>
        <w:t xml:space="preserve"> </w:t>
      </w:r>
      <w:r w:rsidRPr="00CD7E52">
        <w:rPr>
          <w:b/>
          <w:spacing w:val="-2"/>
          <w:szCs w:val="22"/>
          <w:lang w:val="lt-LT"/>
        </w:rPr>
        <w:t>sąrašas</w:t>
      </w:r>
    </w:p>
    <w:p w14:paraId="0F45D658" w14:textId="77777777" w:rsidR="008D14F2" w:rsidRPr="00CD7E52" w:rsidRDefault="008D14F2" w:rsidP="00DB2543">
      <w:pPr>
        <w:keepNext/>
        <w:widowControl w:val="0"/>
        <w:tabs>
          <w:tab w:val="clear" w:pos="567"/>
        </w:tabs>
        <w:kinsoku w:val="0"/>
        <w:overflowPunct w:val="0"/>
        <w:autoSpaceDE w:val="0"/>
        <w:autoSpaceDN w:val="0"/>
        <w:adjustRightInd w:val="0"/>
        <w:spacing w:line="240" w:lineRule="auto"/>
        <w:rPr>
          <w:b/>
          <w:szCs w:val="22"/>
          <w:lang w:val="lt-LT"/>
        </w:rPr>
      </w:pPr>
    </w:p>
    <w:p w14:paraId="053CA39F" w14:textId="77777777" w:rsidR="008D14F2" w:rsidRPr="00CD7E52" w:rsidRDefault="008D14F2" w:rsidP="00DB2543">
      <w:pPr>
        <w:keepNext/>
        <w:widowControl w:val="0"/>
        <w:tabs>
          <w:tab w:val="clear" w:pos="567"/>
        </w:tabs>
        <w:kinsoku w:val="0"/>
        <w:overflowPunct w:val="0"/>
        <w:autoSpaceDE w:val="0"/>
        <w:autoSpaceDN w:val="0"/>
        <w:adjustRightInd w:val="0"/>
        <w:spacing w:line="240" w:lineRule="auto"/>
        <w:rPr>
          <w:szCs w:val="22"/>
          <w:lang w:val="lt-LT"/>
        </w:rPr>
      </w:pPr>
      <w:r w:rsidRPr="00CD7E52">
        <w:rPr>
          <w:szCs w:val="22"/>
          <w:u w:val="single"/>
          <w:lang w:val="lt-LT"/>
        </w:rPr>
        <w:t>Tabletės</w:t>
      </w:r>
      <w:r w:rsidRPr="00CD7E52">
        <w:rPr>
          <w:spacing w:val="-12"/>
          <w:szCs w:val="22"/>
          <w:u w:val="single"/>
          <w:lang w:val="lt-LT"/>
        </w:rPr>
        <w:t xml:space="preserve"> </w:t>
      </w:r>
      <w:r w:rsidRPr="00CD7E52">
        <w:rPr>
          <w:spacing w:val="-2"/>
          <w:szCs w:val="22"/>
          <w:u w:val="single"/>
          <w:lang w:val="lt-LT"/>
        </w:rPr>
        <w:t>šerdis</w:t>
      </w:r>
    </w:p>
    <w:p w14:paraId="025DC057" w14:textId="77777777" w:rsidR="00C124FE" w:rsidRPr="00CD7E52" w:rsidRDefault="00C16C3B"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Celiuliozės milteliai</w:t>
      </w:r>
    </w:p>
    <w:p w14:paraId="61A87836" w14:textId="77777777" w:rsidR="00C16C3B" w:rsidRPr="00CD7E52" w:rsidRDefault="00C16C3B"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Laktozė monohidratas</w:t>
      </w:r>
    </w:p>
    <w:p w14:paraId="171888B6" w14:textId="77777777" w:rsidR="00F2174E"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Kalcio karbonatas</w:t>
      </w:r>
    </w:p>
    <w:p w14:paraId="23417779" w14:textId="77777777" w:rsidR="008D14F2" w:rsidRPr="00CD7E52" w:rsidRDefault="00E4742F"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Pregelifikuotas kukurūzų krakmolas</w:t>
      </w:r>
    </w:p>
    <w:p w14:paraId="21913021"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Krospovidonas</w:t>
      </w:r>
    </w:p>
    <w:p w14:paraId="59F02D4A"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Natrio stearilfumaratas</w:t>
      </w:r>
    </w:p>
    <w:p w14:paraId="6E065EC6"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p>
    <w:p w14:paraId="056ECB8B"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pacing w:val="-2"/>
          <w:szCs w:val="22"/>
          <w:u w:val="single"/>
          <w:lang w:val="lt-LT"/>
        </w:rPr>
      </w:pPr>
      <w:r w:rsidRPr="00CD7E52">
        <w:rPr>
          <w:szCs w:val="22"/>
          <w:u w:val="single"/>
          <w:lang w:val="lt-LT"/>
        </w:rPr>
        <w:t>Tabletės</w:t>
      </w:r>
      <w:r w:rsidRPr="00CD7E52">
        <w:rPr>
          <w:spacing w:val="-9"/>
          <w:szCs w:val="22"/>
          <w:u w:val="single"/>
          <w:lang w:val="lt-LT"/>
        </w:rPr>
        <w:t xml:space="preserve"> </w:t>
      </w:r>
      <w:r w:rsidRPr="00CD7E52">
        <w:rPr>
          <w:spacing w:val="-2"/>
          <w:szCs w:val="22"/>
          <w:u w:val="single"/>
          <w:lang w:val="lt-LT"/>
        </w:rPr>
        <w:t>plėvelė</w:t>
      </w:r>
    </w:p>
    <w:p w14:paraId="06833F7C" w14:textId="77777777" w:rsidR="00FE374E" w:rsidRPr="00CD7E52" w:rsidRDefault="00FE374E" w:rsidP="00BD0220">
      <w:pPr>
        <w:widowControl w:val="0"/>
        <w:tabs>
          <w:tab w:val="clear" w:pos="567"/>
        </w:tabs>
        <w:kinsoku w:val="0"/>
        <w:overflowPunct w:val="0"/>
        <w:autoSpaceDE w:val="0"/>
        <w:autoSpaceDN w:val="0"/>
        <w:adjustRightInd w:val="0"/>
        <w:spacing w:line="240" w:lineRule="auto"/>
        <w:rPr>
          <w:szCs w:val="22"/>
          <w:lang w:val="lt-LT"/>
        </w:rPr>
      </w:pPr>
    </w:p>
    <w:p w14:paraId="74271D0F" w14:textId="77777777" w:rsidR="008D14F2" w:rsidRPr="00CD7E52" w:rsidRDefault="005A4193" w:rsidP="00BD0220">
      <w:pPr>
        <w:widowControl w:val="0"/>
        <w:tabs>
          <w:tab w:val="clear" w:pos="567"/>
        </w:tabs>
        <w:kinsoku w:val="0"/>
        <w:overflowPunct w:val="0"/>
        <w:autoSpaceDE w:val="0"/>
        <w:autoSpaceDN w:val="0"/>
        <w:adjustRightInd w:val="0"/>
        <w:spacing w:line="240" w:lineRule="auto"/>
        <w:rPr>
          <w:i/>
          <w:iCs/>
          <w:szCs w:val="22"/>
          <w:lang w:val="lt-LT"/>
        </w:rPr>
      </w:pPr>
      <w:r w:rsidRPr="00CD7E52">
        <w:rPr>
          <w:i/>
          <w:iCs/>
          <w:szCs w:val="22"/>
          <w:lang w:val="lt-LT"/>
        </w:rPr>
        <w:t>Apremilast STADA</w:t>
      </w:r>
      <w:r w:rsidR="008D14F2" w:rsidRPr="00CD7E52">
        <w:rPr>
          <w:i/>
          <w:iCs/>
          <w:szCs w:val="22"/>
          <w:lang w:val="lt-LT"/>
        </w:rPr>
        <w:t xml:space="preserve"> 10 mg plėvele dengtos tabletės</w:t>
      </w:r>
    </w:p>
    <w:p w14:paraId="1B92BE50"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Hipromeliozė (E464)</w:t>
      </w:r>
    </w:p>
    <w:p w14:paraId="679BD242"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Makrogolis (E1521)</w:t>
      </w:r>
    </w:p>
    <w:p w14:paraId="5FDE2DF4"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Titano dioksidas (E171)</w:t>
      </w:r>
    </w:p>
    <w:p w14:paraId="6995CCC5" w14:textId="77777777" w:rsidR="008D14F2" w:rsidRPr="00CD7E52" w:rsidRDefault="00D54C94"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 xml:space="preserve">Raudonasis </w:t>
      </w:r>
      <w:r w:rsidR="008D14F2" w:rsidRPr="00CD7E52">
        <w:rPr>
          <w:szCs w:val="22"/>
          <w:lang w:val="lt-LT"/>
        </w:rPr>
        <w:t>geležies oksidas (E172)</w:t>
      </w:r>
    </w:p>
    <w:p w14:paraId="32DD8752"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p>
    <w:p w14:paraId="779D21E3" w14:textId="77777777" w:rsidR="008D14F2" w:rsidRPr="00CD7E52" w:rsidRDefault="005A4193" w:rsidP="00BD0220">
      <w:pPr>
        <w:widowControl w:val="0"/>
        <w:tabs>
          <w:tab w:val="clear" w:pos="567"/>
        </w:tabs>
        <w:kinsoku w:val="0"/>
        <w:overflowPunct w:val="0"/>
        <w:autoSpaceDE w:val="0"/>
        <w:autoSpaceDN w:val="0"/>
        <w:adjustRightInd w:val="0"/>
        <w:spacing w:line="240" w:lineRule="auto"/>
        <w:rPr>
          <w:i/>
          <w:iCs/>
          <w:szCs w:val="22"/>
          <w:lang w:val="lt-LT"/>
        </w:rPr>
      </w:pPr>
      <w:r w:rsidRPr="00CD7E52">
        <w:rPr>
          <w:i/>
          <w:iCs/>
          <w:szCs w:val="22"/>
          <w:lang w:val="lt-LT"/>
        </w:rPr>
        <w:t>Apremilast STADA</w:t>
      </w:r>
      <w:r w:rsidR="008D14F2" w:rsidRPr="00CD7E52">
        <w:rPr>
          <w:i/>
          <w:iCs/>
          <w:szCs w:val="22"/>
          <w:lang w:val="lt-LT"/>
        </w:rPr>
        <w:t xml:space="preserve"> 20 mg plėvele dengtos tabletės</w:t>
      </w:r>
    </w:p>
    <w:p w14:paraId="6229FE25"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Hipromeliozė (E464)</w:t>
      </w:r>
    </w:p>
    <w:p w14:paraId="0007B4E0"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Makrogolis (E1521)</w:t>
      </w:r>
    </w:p>
    <w:p w14:paraId="42B2AA46"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Titano dioksidas (E171)</w:t>
      </w:r>
    </w:p>
    <w:p w14:paraId="5B3B2269"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Geltonasis geležies oksidas (E172)</w:t>
      </w:r>
    </w:p>
    <w:p w14:paraId="06A3FB9A"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Raudonasis geležies oksidas (E172)</w:t>
      </w:r>
    </w:p>
    <w:p w14:paraId="5BF7F42C"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p>
    <w:p w14:paraId="525F22C9" w14:textId="77777777" w:rsidR="008D14F2" w:rsidRPr="00CD7E52" w:rsidRDefault="005A4193" w:rsidP="00BD0220">
      <w:pPr>
        <w:widowControl w:val="0"/>
        <w:tabs>
          <w:tab w:val="clear" w:pos="567"/>
        </w:tabs>
        <w:kinsoku w:val="0"/>
        <w:overflowPunct w:val="0"/>
        <w:autoSpaceDE w:val="0"/>
        <w:autoSpaceDN w:val="0"/>
        <w:adjustRightInd w:val="0"/>
        <w:spacing w:line="240" w:lineRule="auto"/>
        <w:rPr>
          <w:i/>
          <w:iCs/>
          <w:szCs w:val="22"/>
          <w:lang w:val="lt-LT"/>
        </w:rPr>
      </w:pPr>
      <w:r w:rsidRPr="00CD7E52">
        <w:rPr>
          <w:i/>
          <w:iCs/>
          <w:szCs w:val="22"/>
          <w:lang w:val="lt-LT"/>
        </w:rPr>
        <w:t>Apremilast STADA</w:t>
      </w:r>
      <w:r w:rsidR="008D14F2" w:rsidRPr="00CD7E52">
        <w:rPr>
          <w:i/>
          <w:iCs/>
          <w:szCs w:val="22"/>
          <w:lang w:val="lt-LT"/>
        </w:rPr>
        <w:t xml:space="preserve"> 30 mg plėvele dengtos tabletės</w:t>
      </w:r>
    </w:p>
    <w:p w14:paraId="26C65AF4"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Hipromeliozė (E464)</w:t>
      </w:r>
    </w:p>
    <w:p w14:paraId="229C05A1"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Titano dioksidas (E171)</w:t>
      </w:r>
    </w:p>
    <w:p w14:paraId="5690B3CC"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lastRenderedPageBreak/>
        <w:t>Makrogolis (E1521)</w:t>
      </w:r>
    </w:p>
    <w:p w14:paraId="084E8FCD"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Raudonasis geležies oksidas (E172)</w:t>
      </w:r>
    </w:p>
    <w:p w14:paraId="48EF5429"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Geltonasis geležies oksidas (E172)</w:t>
      </w:r>
    </w:p>
    <w:p w14:paraId="207C7493"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Juodasis geležies oksidas (E172)</w:t>
      </w:r>
    </w:p>
    <w:p w14:paraId="6190F069"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p>
    <w:p w14:paraId="1063D127" w14:textId="77777777" w:rsidR="008D14F2" w:rsidRPr="00CD7E52" w:rsidRDefault="008D14F2" w:rsidP="00BD0220">
      <w:pPr>
        <w:widowControl w:val="0"/>
        <w:numPr>
          <w:ilvl w:val="1"/>
          <w:numId w:val="23"/>
        </w:numPr>
        <w:kinsoku w:val="0"/>
        <w:overflowPunct w:val="0"/>
        <w:autoSpaceDE w:val="0"/>
        <w:autoSpaceDN w:val="0"/>
        <w:adjustRightInd w:val="0"/>
        <w:spacing w:line="240" w:lineRule="auto"/>
        <w:ind w:left="0" w:firstLine="0"/>
        <w:outlineLvl w:val="1"/>
        <w:rPr>
          <w:spacing w:val="-2"/>
          <w:szCs w:val="22"/>
          <w:lang w:val="lt-LT"/>
        </w:rPr>
      </w:pPr>
      <w:r w:rsidRPr="00CD7E52">
        <w:rPr>
          <w:b/>
          <w:spacing w:val="-2"/>
          <w:szCs w:val="22"/>
          <w:lang w:val="lt-LT"/>
        </w:rPr>
        <w:t>Nesuderinamumas</w:t>
      </w:r>
    </w:p>
    <w:p w14:paraId="605B72F3"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2F55AD71"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pacing w:val="-2"/>
          <w:szCs w:val="22"/>
          <w:lang w:val="lt-LT"/>
        </w:rPr>
      </w:pPr>
      <w:r w:rsidRPr="00CD7E52">
        <w:rPr>
          <w:szCs w:val="22"/>
          <w:lang w:val="lt-LT"/>
        </w:rPr>
        <w:t>Duomenys</w:t>
      </w:r>
      <w:r w:rsidRPr="00CD7E52">
        <w:rPr>
          <w:spacing w:val="-12"/>
          <w:szCs w:val="22"/>
          <w:lang w:val="lt-LT"/>
        </w:rPr>
        <w:t xml:space="preserve"> </w:t>
      </w:r>
      <w:r w:rsidRPr="00CD7E52">
        <w:rPr>
          <w:spacing w:val="-2"/>
          <w:szCs w:val="22"/>
          <w:lang w:val="lt-LT"/>
        </w:rPr>
        <w:t>nebūtini.</w:t>
      </w:r>
    </w:p>
    <w:p w14:paraId="04EBA7BD"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p>
    <w:p w14:paraId="5F8EAF69" w14:textId="77777777" w:rsidR="008D14F2" w:rsidRPr="00CD7E52" w:rsidRDefault="008D14F2" w:rsidP="00BD0220">
      <w:pPr>
        <w:widowControl w:val="0"/>
        <w:numPr>
          <w:ilvl w:val="1"/>
          <w:numId w:val="23"/>
        </w:numPr>
        <w:kinsoku w:val="0"/>
        <w:overflowPunct w:val="0"/>
        <w:autoSpaceDE w:val="0"/>
        <w:autoSpaceDN w:val="0"/>
        <w:adjustRightInd w:val="0"/>
        <w:spacing w:line="240" w:lineRule="auto"/>
        <w:ind w:left="0" w:firstLine="0"/>
        <w:outlineLvl w:val="1"/>
        <w:rPr>
          <w:spacing w:val="-2"/>
          <w:szCs w:val="22"/>
          <w:lang w:val="lt-LT"/>
        </w:rPr>
      </w:pPr>
      <w:r w:rsidRPr="00CD7E52">
        <w:rPr>
          <w:b/>
          <w:szCs w:val="22"/>
          <w:lang w:val="lt-LT"/>
        </w:rPr>
        <w:t>Tinkamumo</w:t>
      </w:r>
      <w:r w:rsidRPr="00CD7E52">
        <w:rPr>
          <w:b/>
          <w:spacing w:val="-11"/>
          <w:szCs w:val="22"/>
          <w:lang w:val="lt-LT"/>
        </w:rPr>
        <w:t xml:space="preserve"> </w:t>
      </w:r>
      <w:r w:rsidRPr="00CD7E52">
        <w:rPr>
          <w:b/>
          <w:spacing w:val="-2"/>
          <w:szCs w:val="22"/>
          <w:lang w:val="lt-LT"/>
        </w:rPr>
        <w:t>laikas</w:t>
      </w:r>
    </w:p>
    <w:p w14:paraId="7FEC405C"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256DF4DF"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pacing w:val="-2"/>
          <w:szCs w:val="22"/>
          <w:lang w:val="lt-LT"/>
        </w:rPr>
      </w:pPr>
      <w:r w:rsidRPr="00CD7E52">
        <w:rPr>
          <w:szCs w:val="22"/>
          <w:lang w:val="lt-LT"/>
        </w:rPr>
        <w:t>5 </w:t>
      </w:r>
      <w:r w:rsidRPr="00CD7E52">
        <w:rPr>
          <w:spacing w:val="-2"/>
          <w:szCs w:val="22"/>
          <w:lang w:val="lt-LT"/>
        </w:rPr>
        <w:t>metai.</w:t>
      </w:r>
    </w:p>
    <w:p w14:paraId="0657D4C6"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p>
    <w:p w14:paraId="728A6786" w14:textId="77777777" w:rsidR="008D14F2" w:rsidRPr="00CD7E52" w:rsidRDefault="008D14F2" w:rsidP="00BD0220">
      <w:pPr>
        <w:widowControl w:val="0"/>
        <w:numPr>
          <w:ilvl w:val="1"/>
          <w:numId w:val="23"/>
        </w:numPr>
        <w:kinsoku w:val="0"/>
        <w:overflowPunct w:val="0"/>
        <w:autoSpaceDE w:val="0"/>
        <w:autoSpaceDN w:val="0"/>
        <w:adjustRightInd w:val="0"/>
        <w:spacing w:line="240" w:lineRule="auto"/>
        <w:ind w:left="0" w:firstLine="0"/>
        <w:outlineLvl w:val="1"/>
        <w:rPr>
          <w:spacing w:val="-2"/>
          <w:szCs w:val="22"/>
          <w:lang w:val="lt-LT"/>
        </w:rPr>
      </w:pPr>
      <w:r w:rsidRPr="00CD7E52">
        <w:rPr>
          <w:b/>
          <w:szCs w:val="22"/>
          <w:lang w:val="lt-LT"/>
        </w:rPr>
        <w:t>Specialios</w:t>
      </w:r>
      <w:r w:rsidRPr="00CD7E52">
        <w:rPr>
          <w:b/>
          <w:spacing w:val="-11"/>
          <w:szCs w:val="22"/>
          <w:lang w:val="lt-LT"/>
        </w:rPr>
        <w:t xml:space="preserve"> </w:t>
      </w:r>
      <w:r w:rsidRPr="00CD7E52">
        <w:rPr>
          <w:b/>
          <w:szCs w:val="22"/>
          <w:lang w:val="lt-LT"/>
        </w:rPr>
        <w:t>laikymo</w:t>
      </w:r>
      <w:r w:rsidRPr="00CD7E52">
        <w:rPr>
          <w:b/>
          <w:spacing w:val="-10"/>
          <w:szCs w:val="22"/>
          <w:lang w:val="lt-LT"/>
        </w:rPr>
        <w:t xml:space="preserve"> </w:t>
      </w:r>
      <w:r w:rsidRPr="00CD7E52">
        <w:rPr>
          <w:b/>
          <w:spacing w:val="-2"/>
          <w:szCs w:val="22"/>
          <w:lang w:val="lt-LT"/>
        </w:rPr>
        <w:t>sąlygos</w:t>
      </w:r>
    </w:p>
    <w:p w14:paraId="42B27757"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b/>
          <w:szCs w:val="22"/>
          <w:lang w:val="lt-LT"/>
        </w:rPr>
      </w:pPr>
    </w:p>
    <w:p w14:paraId="53992197"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pacing w:val="-2"/>
          <w:szCs w:val="22"/>
          <w:lang w:val="lt-LT"/>
        </w:rPr>
      </w:pPr>
      <w:r w:rsidRPr="00CD7E52">
        <w:rPr>
          <w:szCs w:val="22"/>
          <w:lang w:val="lt-LT"/>
        </w:rPr>
        <w:t>Šiam vaistiniam preparatui specialių laikymo sąlygų nereikia.</w:t>
      </w:r>
    </w:p>
    <w:p w14:paraId="34AA87A8"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pacing w:val="-2"/>
          <w:szCs w:val="22"/>
          <w:lang w:val="lt-LT"/>
        </w:rPr>
      </w:pPr>
    </w:p>
    <w:p w14:paraId="0D22FDCB" w14:textId="77777777" w:rsidR="008D14F2" w:rsidRPr="00CD7E52" w:rsidRDefault="008D14F2" w:rsidP="00BD0220">
      <w:pPr>
        <w:widowControl w:val="0"/>
        <w:numPr>
          <w:ilvl w:val="1"/>
          <w:numId w:val="23"/>
        </w:numPr>
        <w:tabs>
          <w:tab w:val="clear" w:pos="567"/>
        </w:tabs>
        <w:kinsoku w:val="0"/>
        <w:overflowPunct w:val="0"/>
        <w:autoSpaceDE w:val="0"/>
        <w:autoSpaceDN w:val="0"/>
        <w:adjustRightInd w:val="0"/>
        <w:spacing w:line="240" w:lineRule="auto"/>
        <w:ind w:left="0" w:firstLine="0"/>
        <w:outlineLvl w:val="1"/>
        <w:rPr>
          <w:spacing w:val="-2"/>
          <w:szCs w:val="22"/>
          <w:lang w:val="lt-LT"/>
        </w:rPr>
      </w:pPr>
      <w:r w:rsidRPr="00CD7E52">
        <w:rPr>
          <w:b/>
          <w:szCs w:val="22"/>
          <w:lang w:val="lt-LT"/>
        </w:rPr>
        <w:t>Talpyklės</w:t>
      </w:r>
      <w:r w:rsidRPr="00CD7E52">
        <w:rPr>
          <w:b/>
          <w:spacing w:val="-8"/>
          <w:szCs w:val="22"/>
          <w:lang w:val="lt-LT"/>
        </w:rPr>
        <w:t xml:space="preserve"> </w:t>
      </w:r>
      <w:r w:rsidRPr="00CD7E52">
        <w:rPr>
          <w:b/>
          <w:szCs w:val="22"/>
          <w:lang w:val="lt-LT"/>
        </w:rPr>
        <w:t>pobūdis</w:t>
      </w:r>
      <w:r w:rsidRPr="00CD7E52">
        <w:rPr>
          <w:b/>
          <w:spacing w:val="-8"/>
          <w:szCs w:val="22"/>
          <w:lang w:val="lt-LT"/>
        </w:rPr>
        <w:t xml:space="preserve"> </w:t>
      </w:r>
      <w:r w:rsidRPr="00CD7E52">
        <w:rPr>
          <w:b/>
          <w:szCs w:val="22"/>
          <w:lang w:val="lt-LT"/>
        </w:rPr>
        <w:t>ir</w:t>
      </w:r>
      <w:r w:rsidRPr="00CD7E52">
        <w:rPr>
          <w:b/>
          <w:spacing w:val="-8"/>
          <w:szCs w:val="22"/>
          <w:lang w:val="lt-LT"/>
        </w:rPr>
        <w:t xml:space="preserve"> </w:t>
      </w:r>
      <w:r w:rsidRPr="00CD7E52">
        <w:rPr>
          <w:b/>
          <w:szCs w:val="22"/>
          <w:lang w:val="lt-LT"/>
        </w:rPr>
        <w:t>jos</w:t>
      </w:r>
      <w:r w:rsidRPr="00CD7E52">
        <w:rPr>
          <w:b/>
          <w:spacing w:val="-7"/>
          <w:szCs w:val="22"/>
          <w:lang w:val="lt-LT"/>
        </w:rPr>
        <w:t xml:space="preserve"> </w:t>
      </w:r>
      <w:r w:rsidRPr="00CD7E52">
        <w:rPr>
          <w:b/>
          <w:spacing w:val="-2"/>
          <w:szCs w:val="22"/>
          <w:lang w:val="lt-LT"/>
        </w:rPr>
        <w:t>turinys</w:t>
      </w:r>
    </w:p>
    <w:p w14:paraId="126F0C59"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b/>
          <w:szCs w:val="22"/>
          <w:lang w:val="lt-LT"/>
        </w:rPr>
      </w:pPr>
    </w:p>
    <w:p w14:paraId="49395D44" w14:textId="77777777" w:rsidR="008D14F2" w:rsidRPr="00CD7E52" w:rsidRDefault="005A4193"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Apremilast STADA</w:t>
      </w:r>
      <w:r w:rsidR="008D14F2" w:rsidRPr="00CD7E52">
        <w:rPr>
          <w:szCs w:val="22"/>
          <w:lang w:val="lt-LT"/>
        </w:rPr>
        <w:t xml:space="preserve"> 30 mg</w:t>
      </w:r>
      <w:r w:rsidR="0057198B" w:rsidRPr="00CD7E52">
        <w:rPr>
          <w:szCs w:val="22"/>
          <w:lang w:val="lt-LT"/>
        </w:rPr>
        <w:t xml:space="preserve"> tiekiamas </w:t>
      </w:r>
      <w:r w:rsidR="00220737" w:rsidRPr="00CD7E52">
        <w:rPr>
          <w:szCs w:val="22"/>
          <w:lang w:val="lt-LT"/>
        </w:rPr>
        <w:t xml:space="preserve">PVC/aliuminio </w:t>
      </w:r>
      <w:r w:rsidR="00A33F93" w:rsidRPr="00CD7E52">
        <w:rPr>
          <w:szCs w:val="22"/>
          <w:lang w:val="lt-LT"/>
        </w:rPr>
        <w:t>folijos lizdinėse plokštelėse, kuriose yra 56 arba 168 plėvele dengtos tabletės</w:t>
      </w:r>
      <w:r w:rsidR="00051C70" w:rsidRPr="00CD7E52">
        <w:rPr>
          <w:szCs w:val="22"/>
          <w:lang w:val="lt-LT"/>
        </w:rPr>
        <w:t xml:space="preserve"> arba PVC/aliuminio folijos dalomosiose lizdinėse plokštelėse</w:t>
      </w:r>
      <w:r w:rsidR="00386F59" w:rsidRPr="00CD7E52">
        <w:rPr>
          <w:szCs w:val="22"/>
          <w:lang w:val="lt-LT"/>
        </w:rPr>
        <w:t xml:space="preserve">, kuriose yra </w:t>
      </w:r>
      <w:r w:rsidR="00CE33AD" w:rsidRPr="00CD7E52">
        <w:rPr>
          <w:szCs w:val="22"/>
          <w:lang w:val="lt-LT"/>
        </w:rPr>
        <w:t>56x1 arba 168x1 plėvele dengtos tabletės.</w:t>
      </w:r>
    </w:p>
    <w:p w14:paraId="38BBD69D"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p>
    <w:p w14:paraId="192527DE" w14:textId="77777777" w:rsidR="008D14F2" w:rsidRPr="00CD7E52" w:rsidRDefault="005A4193"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Apremilast STADA</w:t>
      </w:r>
      <w:r w:rsidR="008D14F2" w:rsidRPr="00CD7E52">
        <w:rPr>
          <w:szCs w:val="22"/>
          <w:lang w:val="lt-LT"/>
        </w:rPr>
        <w:t xml:space="preserve"> 10 mg</w:t>
      </w:r>
      <w:r w:rsidR="008D5A16" w:rsidRPr="00CD7E52">
        <w:rPr>
          <w:szCs w:val="22"/>
          <w:lang w:val="lt-LT"/>
        </w:rPr>
        <w:t xml:space="preserve"> + </w:t>
      </w:r>
      <w:r w:rsidR="008D14F2" w:rsidRPr="00CD7E52">
        <w:rPr>
          <w:szCs w:val="22"/>
          <w:lang w:val="lt-LT"/>
        </w:rPr>
        <w:t xml:space="preserve">20 mg </w:t>
      </w:r>
      <w:r w:rsidR="008D5A16" w:rsidRPr="00CD7E52">
        <w:rPr>
          <w:szCs w:val="22"/>
          <w:lang w:val="lt-LT"/>
        </w:rPr>
        <w:t>+</w:t>
      </w:r>
      <w:r w:rsidR="008D14F2" w:rsidRPr="00CD7E52">
        <w:rPr>
          <w:szCs w:val="22"/>
          <w:lang w:val="lt-LT"/>
        </w:rPr>
        <w:t xml:space="preserve"> 30 mg</w:t>
      </w:r>
      <w:r w:rsidR="008D5A16" w:rsidRPr="00CD7E52">
        <w:rPr>
          <w:szCs w:val="22"/>
          <w:lang w:val="lt-LT"/>
        </w:rPr>
        <w:t xml:space="preserve"> ti</w:t>
      </w:r>
      <w:r w:rsidR="001E40CD" w:rsidRPr="00CD7E52">
        <w:rPr>
          <w:szCs w:val="22"/>
          <w:lang w:val="lt-LT"/>
        </w:rPr>
        <w:t>ekiamas PVC/aliuminio folijos lizdinėse plokštelėse</w:t>
      </w:r>
      <w:r w:rsidR="00D7642B" w:rsidRPr="00CD7E52">
        <w:rPr>
          <w:szCs w:val="22"/>
          <w:lang w:val="lt-LT"/>
        </w:rPr>
        <w:t>, kuriose yra 27 pl</w:t>
      </w:r>
      <w:r w:rsidR="007B2E78" w:rsidRPr="00CD7E52">
        <w:rPr>
          <w:szCs w:val="22"/>
          <w:lang w:val="lt-LT"/>
        </w:rPr>
        <w:t>ė</w:t>
      </w:r>
      <w:r w:rsidR="00D7642B" w:rsidRPr="00CD7E52">
        <w:rPr>
          <w:szCs w:val="22"/>
          <w:lang w:val="lt-LT"/>
        </w:rPr>
        <w:t>vele dengtos tablet</w:t>
      </w:r>
      <w:r w:rsidR="007B2E78" w:rsidRPr="00CD7E52">
        <w:rPr>
          <w:szCs w:val="22"/>
          <w:lang w:val="lt-LT"/>
        </w:rPr>
        <w:t>ė</w:t>
      </w:r>
      <w:r w:rsidR="00D7642B" w:rsidRPr="00CD7E52">
        <w:rPr>
          <w:szCs w:val="22"/>
          <w:lang w:val="lt-LT"/>
        </w:rPr>
        <w:t>s (</w:t>
      </w:r>
      <w:r w:rsidR="007B2E78" w:rsidRPr="00CD7E52">
        <w:rPr>
          <w:szCs w:val="22"/>
          <w:lang w:val="lt-LT"/>
        </w:rPr>
        <w:t>4 x 10 mg, 4 x 20 mg, 19 x 30 mg) arba</w:t>
      </w:r>
      <w:r w:rsidR="001305B9" w:rsidRPr="00CD7E52">
        <w:rPr>
          <w:szCs w:val="22"/>
          <w:lang w:val="lt-LT"/>
        </w:rPr>
        <w:t xml:space="preserve"> PVC/aliuminio folijos dalomosiose lizdinėse plokštelėse</w:t>
      </w:r>
      <w:r w:rsidR="0054139E" w:rsidRPr="00CD7E52">
        <w:rPr>
          <w:szCs w:val="22"/>
          <w:lang w:val="lt-LT"/>
        </w:rPr>
        <w:t>, kuriose yra 27x1 plėvele dengtos tabletės (</w:t>
      </w:r>
      <w:r w:rsidR="00C7359C" w:rsidRPr="00CD7E52">
        <w:rPr>
          <w:szCs w:val="22"/>
          <w:lang w:val="lt-LT"/>
        </w:rPr>
        <w:t>4 x 10 mg, 4</w:t>
      </w:r>
      <w:r w:rsidR="00EB45FD" w:rsidRPr="00CD7E52">
        <w:rPr>
          <w:szCs w:val="22"/>
          <w:lang w:val="lt-LT"/>
        </w:rPr>
        <w:t> </w:t>
      </w:r>
      <w:r w:rsidR="00C7359C" w:rsidRPr="00CD7E52">
        <w:rPr>
          <w:szCs w:val="22"/>
          <w:lang w:val="lt-LT"/>
        </w:rPr>
        <w:t>x</w:t>
      </w:r>
      <w:r w:rsidR="00EB45FD" w:rsidRPr="00CD7E52">
        <w:rPr>
          <w:szCs w:val="22"/>
          <w:lang w:val="lt-LT"/>
        </w:rPr>
        <w:t> </w:t>
      </w:r>
      <w:r w:rsidR="00C7359C" w:rsidRPr="00CD7E52">
        <w:rPr>
          <w:szCs w:val="22"/>
          <w:lang w:val="lt-LT"/>
        </w:rPr>
        <w:t>20</w:t>
      </w:r>
      <w:r w:rsidR="00EB45FD" w:rsidRPr="00CD7E52">
        <w:rPr>
          <w:szCs w:val="22"/>
          <w:lang w:val="lt-LT"/>
        </w:rPr>
        <w:t> </w:t>
      </w:r>
      <w:r w:rsidR="00C7359C" w:rsidRPr="00CD7E52">
        <w:rPr>
          <w:szCs w:val="22"/>
          <w:lang w:val="lt-LT"/>
        </w:rPr>
        <w:t xml:space="preserve">mg, </w:t>
      </w:r>
      <w:r w:rsidR="00A9366F" w:rsidRPr="00CD7E52">
        <w:rPr>
          <w:szCs w:val="22"/>
          <w:lang w:val="lt-LT"/>
        </w:rPr>
        <w:t>19</w:t>
      </w:r>
      <w:r w:rsidR="00A9366F">
        <w:rPr>
          <w:szCs w:val="22"/>
          <w:lang w:val="lt-LT"/>
        </w:rPr>
        <w:t> </w:t>
      </w:r>
      <w:r w:rsidR="00C7359C" w:rsidRPr="00CD7E52">
        <w:rPr>
          <w:szCs w:val="22"/>
          <w:lang w:val="lt-LT"/>
        </w:rPr>
        <w:t>x 30 mg).</w:t>
      </w:r>
    </w:p>
    <w:p w14:paraId="41773987"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p>
    <w:p w14:paraId="15E6CDA2"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pacing w:val="-2"/>
          <w:szCs w:val="22"/>
          <w:lang w:val="lt-LT"/>
        </w:rPr>
      </w:pPr>
      <w:r w:rsidRPr="00CD7E52">
        <w:rPr>
          <w:szCs w:val="22"/>
          <w:lang w:val="lt-LT"/>
        </w:rPr>
        <w:t>Gali</w:t>
      </w:r>
      <w:r w:rsidRPr="00CD7E52">
        <w:rPr>
          <w:spacing w:val="-7"/>
          <w:szCs w:val="22"/>
          <w:lang w:val="lt-LT"/>
        </w:rPr>
        <w:t xml:space="preserve"> </w:t>
      </w:r>
      <w:r w:rsidRPr="00CD7E52">
        <w:rPr>
          <w:szCs w:val="22"/>
          <w:lang w:val="lt-LT"/>
        </w:rPr>
        <w:t>būti</w:t>
      </w:r>
      <w:r w:rsidRPr="00CD7E52">
        <w:rPr>
          <w:spacing w:val="-6"/>
          <w:szCs w:val="22"/>
          <w:lang w:val="lt-LT"/>
        </w:rPr>
        <w:t xml:space="preserve"> </w:t>
      </w:r>
      <w:r w:rsidRPr="00CD7E52">
        <w:rPr>
          <w:szCs w:val="22"/>
          <w:lang w:val="lt-LT"/>
        </w:rPr>
        <w:t>tiekiamos</w:t>
      </w:r>
      <w:r w:rsidRPr="00CD7E52">
        <w:rPr>
          <w:spacing w:val="-5"/>
          <w:szCs w:val="22"/>
          <w:lang w:val="lt-LT"/>
        </w:rPr>
        <w:t xml:space="preserve"> </w:t>
      </w:r>
      <w:r w:rsidRPr="00CD7E52">
        <w:rPr>
          <w:szCs w:val="22"/>
          <w:lang w:val="lt-LT"/>
        </w:rPr>
        <w:t>ne</w:t>
      </w:r>
      <w:r w:rsidRPr="00CD7E52">
        <w:rPr>
          <w:spacing w:val="-6"/>
          <w:szCs w:val="22"/>
          <w:lang w:val="lt-LT"/>
        </w:rPr>
        <w:t xml:space="preserve"> </w:t>
      </w:r>
      <w:r w:rsidRPr="00CD7E52">
        <w:rPr>
          <w:szCs w:val="22"/>
          <w:lang w:val="lt-LT"/>
        </w:rPr>
        <w:t>visų</w:t>
      </w:r>
      <w:r w:rsidRPr="00CD7E52">
        <w:rPr>
          <w:spacing w:val="-5"/>
          <w:szCs w:val="22"/>
          <w:lang w:val="lt-LT"/>
        </w:rPr>
        <w:t xml:space="preserve"> </w:t>
      </w:r>
      <w:r w:rsidRPr="00CD7E52">
        <w:rPr>
          <w:szCs w:val="22"/>
          <w:lang w:val="lt-LT"/>
        </w:rPr>
        <w:t>dydžių</w:t>
      </w:r>
      <w:r w:rsidRPr="00CD7E52">
        <w:rPr>
          <w:spacing w:val="-6"/>
          <w:szCs w:val="22"/>
          <w:lang w:val="lt-LT"/>
        </w:rPr>
        <w:t xml:space="preserve"> </w:t>
      </w:r>
      <w:r w:rsidRPr="00CD7E52">
        <w:rPr>
          <w:spacing w:val="-2"/>
          <w:szCs w:val="22"/>
          <w:lang w:val="lt-LT"/>
        </w:rPr>
        <w:t>pakuotės.</w:t>
      </w:r>
    </w:p>
    <w:p w14:paraId="526B6E4E"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p>
    <w:p w14:paraId="7E7397D9" w14:textId="77777777" w:rsidR="008D14F2" w:rsidRPr="00CD7E52" w:rsidRDefault="008D14F2" w:rsidP="003812EB">
      <w:pPr>
        <w:widowControl w:val="0"/>
        <w:numPr>
          <w:ilvl w:val="1"/>
          <w:numId w:val="23"/>
        </w:numPr>
        <w:tabs>
          <w:tab w:val="left" w:pos="801"/>
        </w:tabs>
        <w:kinsoku w:val="0"/>
        <w:overflowPunct w:val="0"/>
        <w:autoSpaceDE w:val="0"/>
        <w:autoSpaceDN w:val="0"/>
        <w:adjustRightInd w:val="0"/>
        <w:spacing w:line="240" w:lineRule="auto"/>
        <w:ind w:left="0" w:firstLine="0"/>
        <w:outlineLvl w:val="1"/>
        <w:rPr>
          <w:spacing w:val="-2"/>
          <w:szCs w:val="22"/>
          <w:lang w:val="lt-LT"/>
        </w:rPr>
      </w:pPr>
      <w:r w:rsidRPr="00CD7E52">
        <w:rPr>
          <w:b/>
          <w:szCs w:val="22"/>
          <w:lang w:val="lt-LT"/>
        </w:rPr>
        <w:t>Specialūs</w:t>
      </w:r>
      <w:r w:rsidRPr="00CD7E52">
        <w:rPr>
          <w:b/>
          <w:spacing w:val="-13"/>
          <w:szCs w:val="22"/>
          <w:lang w:val="lt-LT"/>
        </w:rPr>
        <w:t xml:space="preserve"> </w:t>
      </w:r>
      <w:r w:rsidRPr="00CD7E52">
        <w:rPr>
          <w:b/>
          <w:szCs w:val="22"/>
          <w:lang w:val="lt-LT"/>
        </w:rPr>
        <w:t>reikalavimai</w:t>
      </w:r>
      <w:r w:rsidRPr="00CD7E52">
        <w:rPr>
          <w:b/>
          <w:spacing w:val="-12"/>
          <w:szCs w:val="22"/>
          <w:lang w:val="lt-LT"/>
        </w:rPr>
        <w:t xml:space="preserve"> </w:t>
      </w:r>
      <w:r w:rsidRPr="00CD7E52">
        <w:rPr>
          <w:b/>
          <w:szCs w:val="22"/>
          <w:lang w:val="lt-LT"/>
        </w:rPr>
        <w:t>atliekoms</w:t>
      </w:r>
      <w:r w:rsidRPr="00CD7E52">
        <w:rPr>
          <w:b/>
          <w:spacing w:val="-12"/>
          <w:szCs w:val="22"/>
          <w:lang w:val="lt-LT"/>
        </w:rPr>
        <w:t xml:space="preserve"> </w:t>
      </w:r>
      <w:r w:rsidRPr="00CD7E52">
        <w:rPr>
          <w:b/>
          <w:spacing w:val="-2"/>
          <w:szCs w:val="22"/>
          <w:lang w:val="lt-LT"/>
        </w:rPr>
        <w:t>tvarkyti</w:t>
      </w:r>
    </w:p>
    <w:p w14:paraId="33956727"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p>
    <w:p w14:paraId="05A31ECF"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pacing w:val="-2"/>
          <w:szCs w:val="22"/>
          <w:lang w:val="lt-LT"/>
        </w:rPr>
      </w:pPr>
      <w:r w:rsidRPr="00CD7E52">
        <w:rPr>
          <w:szCs w:val="22"/>
          <w:lang w:val="lt-LT"/>
        </w:rPr>
        <w:t>Nesuvartotą</w:t>
      </w:r>
      <w:r w:rsidRPr="00CD7E52">
        <w:rPr>
          <w:spacing w:val="-9"/>
          <w:szCs w:val="22"/>
          <w:lang w:val="lt-LT"/>
        </w:rPr>
        <w:t xml:space="preserve"> </w:t>
      </w:r>
      <w:r w:rsidRPr="00CD7E52">
        <w:rPr>
          <w:szCs w:val="22"/>
          <w:lang w:val="lt-LT"/>
        </w:rPr>
        <w:t>vaistinį</w:t>
      </w:r>
      <w:r w:rsidRPr="00CD7E52">
        <w:rPr>
          <w:spacing w:val="-8"/>
          <w:szCs w:val="22"/>
          <w:lang w:val="lt-LT"/>
        </w:rPr>
        <w:t xml:space="preserve"> </w:t>
      </w:r>
      <w:r w:rsidRPr="00CD7E52">
        <w:rPr>
          <w:szCs w:val="22"/>
          <w:lang w:val="lt-LT"/>
        </w:rPr>
        <w:t>preparatą</w:t>
      </w:r>
      <w:r w:rsidRPr="00CD7E52">
        <w:rPr>
          <w:spacing w:val="-9"/>
          <w:szCs w:val="22"/>
          <w:lang w:val="lt-LT"/>
        </w:rPr>
        <w:t xml:space="preserve"> </w:t>
      </w:r>
      <w:r w:rsidRPr="00CD7E52">
        <w:rPr>
          <w:szCs w:val="22"/>
          <w:lang w:val="lt-LT"/>
        </w:rPr>
        <w:t>ar</w:t>
      </w:r>
      <w:r w:rsidRPr="00CD7E52">
        <w:rPr>
          <w:spacing w:val="-8"/>
          <w:szCs w:val="22"/>
          <w:lang w:val="lt-LT"/>
        </w:rPr>
        <w:t xml:space="preserve"> </w:t>
      </w:r>
      <w:r w:rsidRPr="00CD7E52">
        <w:rPr>
          <w:szCs w:val="22"/>
          <w:lang w:val="lt-LT"/>
        </w:rPr>
        <w:t>atliekas</w:t>
      </w:r>
      <w:r w:rsidRPr="00CD7E52">
        <w:rPr>
          <w:spacing w:val="-7"/>
          <w:szCs w:val="22"/>
          <w:lang w:val="lt-LT"/>
        </w:rPr>
        <w:t xml:space="preserve"> </w:t>
      </w:r>
      <w:r w:rsidRPr="00CD7E52">
        <w:rPr>
          <w:szCs w:val="22"/>
          <w:lang w:val="lt-LT"/>
        </w:rPr>
        <w:t>reikia</w:t>
      </w:r>
      <w:r w:rsidRPr="00CD7E52">
        <w:rPr>
          <w:spacing w:val="-9"/>
          <w:szCs w:val="22"/>
          <w:lang w:val="lt-LT"/>
        </w:rPr>
        <w:t xml:space="preserve"> </w:t>
      </w:r>
      <w:r w:rsidRPr="00CD7E52">
        <w:rPr>
          <w:szCs w:val="22"/>
          <w:lang w:val="lt-LT"/>
        </w:rPr>
        <w:t>tvarkyti</w:t>
      </w:r>
      <w:r w:rsidRPr="00CD7E52">
        <w:rPr>
          <w:spacing w:val="-8"/>
          <w:szCs w:val="22"/>
          <w:lang w:val="lt-LT"/>
        </w:rPr>
        <w:t xml:space="preserve"> </w:t>
      </w:r>
      <w:r w:rsidRPr="00CD7E52">
        <w:rPr>
          <w:szCs w:val="22"/>
          <w:lang w:val="lt-LT"/>
        </w:rPr>
        <w:t>laikantis</w:t>
      </w:r>
      <w:r w:rsidRPr="00CD7E52">
        <w:rPr>
          <w:spacing w:val="-8"/>
          <w:szCs w:val="22"/>
          <w:lang w:val="lt-LT"/>
        </w:rPr>
        <w:t xml:space="preserve"> </w:t>
      </w:r>
      <w:r w:rsidRPr="00CD7E52">
        <w:rPr>
          <w:szCs w:val="22"/>
          <w:lang w:val="lt-LT"/>
        </w:rPr>
        <w:t>vietinių</w:t>
      </w:r>
      <w:r w:rsidRPr="00CD7E52">
        <w:rPr>
          <w:spacing w:val="-7"/>
          <w:szCs w:val="22"/>
          <w:lang w:val="lt-LT"/>
        </w:rPr>
        <w:t xml:space="preserve"> </w:t>
      </w:r>
      <w:r w:rsidRPr="00CD7E52">
        <w:rPr>
          <w:spacing w:val="-2"/>
          <w:szCs w:val="22"/>
          <w:lang w:val="lt-LT"/>
        </w:rPr>
        <w:t>reikalavimų.</w:t>
      </w:r>
    </w:p>
    <w:p w14:paraId="5DE1A44B" w14:textId="77777777" w:rsidR="008D14F2" w:rsidRPr="00CD7E52" w:rsidRDefault="008D14F2" w:rsidP="00BD0220">
      <w:pPr>
        <w:widowControl w:val="0"/>
        <w:tabs>
          <w:tab w:val="clear" w:pos="567"/>
        </w:tabs>
        <w:kinsoku w:val="0"/>
        <w:overflowPunct w:val="0"/>
        <w:autoSpaceDE w:val="0"/>
        <w:autoSpaceDN w:val="0"/>
        <w:adjustRightInd w:val="0"/>
        <w:spacing w:line="240" w:lineRule="auto"/>
        <w:rPr>
          <w:szCs w:val="22"/>
          <w:lang w:val="lt-LT"/>
        </w:rPr>
      </w:pPr>
    </w:p>
    <w:p w14:paraId="3468BAD2"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30D3E182" w14:textId="77777777" w:rsidR="008D14F2" w:rsidRPr="00CD7E52" w:rsidRDefault="008D14F2" w:rsidP="00BD0220">
      <w:pPr>
        <w:keepNext/>
        <w:widowControl w:val="0"/>
        <w:numPr>
          <w:ilvl w:val="0"/>
          <w:numId w:val="24"/>
        </w:numPr>
        <w:tabs>
          <w:tab w:val="num" w:pos="567"/>
        </w:tabs>
        <w:autoSpaceDE w:val="0"/>
        <w:autoSpaceDN w:val="0"/>
        <w:adjustRightInd w:val="0"/>
        <w:spacing w:line="240" w:lineRule="auto"/>
        <w:ind w:left="567"/>
        <w:outlineLvl w:val="0"/>
        <w:rPr>
          <w:szCs w:val="22"/>
          <w:lang w:val="lt-LT"/>
        </w:rPr>
      </w:pPr>
      <w:r w:rsidRPr="00CD7E52">
        <w:rPr>
          <w:b/>
          <w:spacing w:val="-2"/>
          <w:szCs w:val="22"/>
          <w:lang w:val="lt-LT"/>
        </w:rPr>
        <w:t>REGISTRUOTOJAS</w:t>
      </w:r>
    </w:p>
    <w:p w14:paraId="4B7EFC30" w14:textId="77777777" w:rsidR="008D14F2" w:rsidRPr="00CD7E52" w:rsidRDefault="008D14F2" w:rsidP="00BD0220">
      <w:pPr>
        <w:keepNext/>
        <w:tabs>
          <w:tab w:val="clear" w:pos="567"/>
        </w:tabs>
        <w:autoSpaceDE w:val="0"/>
        <w:autoSpaceDN w:val="0"/>
        <w:adjustRightInd w:val="0"/>
        <w:spacing w:line="240" w:lineRule="auto"/>
        <w:rPr>
          <w:b/>
          <w:szCs w:val="22"/>
          <w:lang w:val="lt-LT"/>
        </w:rPr>
      </w:pPr>
    </w:p>
    <w:p w14:paraId="619D8D9C" w14:textId="77777777" w:rsidR="008D14F2" w:rsidRPr="00CD7E52" w:rsidRDefault="008D14F2" w:rsidP="00BD0220">
      <w:pPr>
        <w:keepNext/>
        <w:numPr>
          <w:ilvl w:val="12"/>
          <w:numId w:val="0"/>
        </w:numPr>
        <w:tabs>
          <w:tab w:val="clear" w:pos="567"/>
          <w:tab w:val="left" w:pos="1296"/>
        </w:tabs>
        <w:autoSpaceDE w:val="0"/>
        <w:autoSpaceDN w:val="0"/>
        <w:adjustRightInd w:val="0"/>
        <w:snapToGrid w:val="0"/>
        <w:spacing w:line="240" w:lineRule="auto"/>
        <w:ind w:right="-2"/>
        <w:rPr>
          <w:snapToGrid/>
          <w:szCs w:val="22"/>
          <w:lang w:val="lt-LT" w:eastAsia="lt-LT"/>
        </w:rPr>
      </w:pPr>
      <w:r w:rsidRPr="00CD7E52">
        <w:rPr>
          <w:szCs w:val="22"/>
          <w:lang w:val="lt-LT"/>
        </w:rPr>
        <w:t>STADA Arzneimittel AG</w:t>
      </w:r>
    </w:p>
    <w:p w14:paraId="744E8125" w14:textId="77777777" w:rsidR="008D14F2" w:rsidRPr="00CD7E52" w:rsidRDefault="008D14F2" w:rsidP="00BD0220">
      <w:pPr>
        <w:keepNext/>
        <w:numPr>
          <w:ilvl w:val="12"/>
          <w:numId w:val="0"/>
        </w:numPr>
        <w:tabs>
          <w:tab w:val="clear" w:pos="567"/>
          <w:tab w:val="left" w:pos="1296"/>
        </w:tabs>
        <w:autoSpaceDE w:val="0"/>
        <w:autoSpaceDN w:val="0"/>
        <w:adjustRightInd w:val="0"/>
        <w:snapToGrid w:val="0"/>
        <w:spacing w:line="240" w:lineRule="auto"/>
        <w:ind w:right="-2"/>
        <w:rPr>
          <w:snapToGrid/>
          <w:szCs w:val="22"/>
          <w:lang w:val="lt-LT" w:eastAsia="lt-LT"/>
        </w:rPr>
      </w:pPr>
      <w:r w:rsidRPr="00CD7E52">
        <w:rPr>
          <w:szCs w:val="22"/>
          <w:lang w:val="lt-LT"/>
        </w:rPr>
        <w:t>Stadastrasse 2-18</w:t>
      </w:r>
    </w:p>
    <w:p w14:paraId="02BD62BA" w14:textId="77777777" w:rsidR="008D14F2" w:rsidRPr="00CD7E52" w:rsidRDefault="008D14F2" w:rsidP="00BD0220">
      <w:pPr>
        <w:keepNext/>
        <w:numPr>
          <w:ilvl w:val="12"/>
          <w:numId w:val="0"/>
        </w:numPr>
        <w:tabs>
          <w:tab w:val="clear" w:pos="567"/>
          <w:tab w:val="left" w:pos="1296"/>
        </w:tabs>
        <w:autoSpaceDE w:val="0"/>
        <w:autoSpaceDN w:val="0"/>
        <w:adjustRightInd w:val="0"/>
        <w:snapToGrid w:val="0"/>
        <w:spacing w:line="240" w:lineRule="auto"/>
        <w:ind w:right="-2"/>
        <w:rPr>
          <w:snapToGrid/>
          <w:szCs w:val="22"/>
          <w:lang w:val="lt-LT" w:eastAsia="lt-LT"/>
        </w:rPr>
      </w:pPr>
      <w:r w:rsidRPr="00CD7E52">
        <w:rPr>
          <w:szCs w:val="22"/>
          <w:lang w:val="lt-LT"/>
        </w:rPr>
        <w:t>61118 Bad Vilbel</w:t>
      </w:r>
    </w:p>
    <w:p w14:paraId="36813DD5" w14:textId="77777777" w:rsidR="008D14F2" w:rsidRPr="00CD7E52" w:rsidRDefault="008D14F2" w:rsidP="00BD0220">
      <w:pPr>
        <w:keepNext/>
        <w:numPr>
          <w:ilvl w:val="12"/>
          <w:numId w:val="0"/>
        </w:numPr>
        <w:tabs>
          <w:tab w:val="clear" w:pos="567"/>
          <w:tab w:val="left" w:pos="1296"/>
        </w:tabs>
        <w:autoSpaceDE w:val="0"/>
        <w:autoSpaceDN w:val="0"/>
        <w:adjustRightInd w:val="0"/>
        <w:snapToGrid w:val="0"/>
        <w:spacing w:line="240" w:lineRule="auto"/>
        <w:ind w:right="-2"/>
        <w:rPr>
          <w:snapToGrid/>
          <w:szCs w:val="22"/>
          <w:lang w:val="lt-LT" w:eastAsia="lt-LT"/>
        </w:rPr>
      </w:pPr>
      <w:r w:rsidRPr="00CD7E52">
        <w:rPr>
          <w:szCs w:val="22"/>
          <w:lang w:val="lt-LT"/>
        </w:rPr>
        <w:t>Vokietija</w:t>
      </w:r>
    </w:p>
    <w:p w14:paraId="172DDA11"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551385CE"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6901228D" w14:textId="77777777" w:rsidR="008D14F2" w:rsidRPr="00CD7E52" w:rsidRDefault="008D14F2" w:rsidP="00BD0220">
      <w:pPr>
        <w:keepNext/>
        <w:widowControl w:val="0"/>
        <w:numPr>
          <w:ilvl w:val="0"/>
          <w:numId w:val="24"/>
        </w:numPr>
        <w:tabs>
          <w:tab w:val="num" w:pos="567"/>
          <w:tab w:val="left" w:pos="964"/>
        </w:tabs>
        <w:autoSpaceDE w:val="0"/>
        <w:autoSpaceDN w:val="0"/>
        <w:adjustRightInd w:val="0"/>
        <w:spacing w:line="240" w:lineRule="auto"/>
        <w:ind w:left="0" w:firstLine="0"/>
        <w:outlineLvl w:val="0"/>
        <w:rPr>
          <w:szCs w:val="22"/>
          <w:lang w:val="lt-LT"/>
        </w:rPr>
      </w:pPr>
      <w:r w:rsidRPr="00CD7E52">
        <w:rPr>
          <w:b/>
          <w:szCs w:val="22"/>
          <w:lang w:val="lt-LT"/>
        </w:rPr>
        <w:t>REGISTRACIJOS</w:t>
      </w:r>
      <w:r w:rsidRPr="00CD7E52">
        <w:rPr>
          <w:b/>
          <w:spacing w:val="-10"/>
          <w:szCs w:val="22"/>
          <w:lang w:val="lt-LT"/>
        </w:rPr>
        <w:t xml:space="preserve"> </w:t>
      </w:r>
      <w:r w:rsidRPr="00CD7E52">
        <w:rPr>
          <w:b/>
          <w:szCs w:val="22"/>
          <w:lang w:val="lt-LT"/>
        </w:rPr>
        <w:t>PAŽYMĖJIMO</w:t>
      </w:r>
      <w:r w:rsidRPr="00CD7E52">
        <w:rPr>
          <w:b/>
          <w:spacing w:val="-9"/>
          <w:szCs w:val="22"/>
          <w:lang w:val="lt-LT"/>
        </w:rPr>
        <w:t xml:space="preserve"> </w:t>
      </w:r>
      <w:r w:rsidRPr="00CD7E52">
        <w:rPr>
          <w:b/>
          <w:szCs w:val="22"/>
          <w:lang w:val="lt-LT"/>
        </w:rPr>
        <w:t>NUMERIS</w:t>
      </w:r>
      <w:r w:rsidRPr="00CD7E52">
        <w:rPr>
          <w:b/>
          <w:spacing w:val="-11"/>
          <w:szCs w:val="22"/>
          <w:lang w:val="lt-LT"/>
        </w:rPr>
        <w:t xml:space="preserve"> </w:t>
      </w:r>
      <w:r w:rsidRPr="00CD7E52">
        <w:rPr>
          <w:b/>
          <w:szCs w:val="22"/>
          <w:lang w:val="lt-LT"/>
        </w:rPr>
        <w:t>(-</w:t>
      </w:r>
      <w:r w:rsidRPr="00CD7E52">
        <w:rPr>
          <w:b/>
          <w:spacing w:val="-4"/>
          <w:szCs w:val="22"/>
          <w:lang w:val="lt-LT"/>
        </w:rPr>
        <w:t>IAI)</w:t>
      </w:r>
    </w:p>
    <w:p w14:paraId="6B975895" w14:textId="77777777" w:rsidR="008D14F2" w:rsidRPr="00CD7E52" w:rsidRDefault="008D14F2" w:rsidP="00BD0220">
      <w:pPr>
        <w:keepNext/>
        <w:tabs>
          <w:tab w:val="clear" w:pos="567"/>
        </w:tabs>
        <w:autoSpaceDE w:val="0"/>
        <w:autoSpaceDN w:val="0"/>
        <w:adjustRightInd w:val="0"/>
        <w:spacing w:line="240" w:lineRule="auto"/>
        <w:rPr>
          <w:szCs w:val="22"/>
          <w:lang w:val="lt-LT"/>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15"/>
        <w:gridCol w:w="4245"/>
      </w:tblGrid>
      <w:tr w:rsidR="00AF3A9C" w:rsidRPr="00F27966" w14:paraId="5ECB46B4" w14:textId="77777777" w:rsidTr="0023353A">
        <w:tc>
          <w:tcPr>
            <w:tcW w:w="4815" w:type="dxa"/>
          </w:tcPr>
          <w:p w14:paraId="282E3268" w14:textId="77777777" w:rsidR="00AF3A9C" w:rsidRPr="0023353A" w:rsidRDefault="00AF3A9C" w:rsidP="0023353A">
            <w:pPr>
              <w:ind w:left="-108" w:right="-107"/>
              <w:rPr>
                <w:szCs w:val="22"/>
                <w:u w:val="single"/>
                <w:lang w:val="lt-LT"/>
              </w:rPr>
            </w:pPr>
            <w:r w:rsidRPr="0023353A">
              <w:rPr>
                <w:szCs w:val="22"/>
                <w:u w:val="single"/>
                <w:lang w:val="lt-LT"/>
              </w:rPr>
              <w:t xml:space="preserve">10 mg+20 mg+30 mg (gydymo </w:t>
            </w:r>
            <w:r w:rsidRPr="0023353A">
              <w:rPr>
                <w:rFonts w:eastAsia="Calibri"/>
                <w:u w:val="single"/>
                <w:lang w:val="lt-LT"/>
              </w:rPr>
              <w:t>pradžios</w:t>
            </w:r>
            <w:r w:rsidRPr="0023353A">
              <w:rPr>
                <w:szCs w:val="22"/>
                <w:u w:val="single"/>
                <w:lang w:val="lt-LT"/>
              </w:rPr>
              <w:t xml:space="preserve"> pakuotė)</w:t>
            </w:r>
          </w:p>
          <w:p w14:paraId="0F509760" w14:textId="77777777" w:rsidR="00AF3A9C" w:rsidRPr="0023353A" w:rsidRDefault="00AF3A9C" w:rsidP="0023353A">
            <w:pPr>
              <w:ind w:left="-108" w:right="-107"/>
              <w:rPr>
                <w:rFonts w:eastAsia="Calibri"/>
                <w:lang w:val="lt-LT"/>
              </w:rPr>
            </w:pPr>
            <w:r w:rsidRPr="0023353A">
              <w:rPr>
                <w:rFonts w:eastAsia="Calibri"/>
                <w:u w:val="single"/>
                <w:lang w:val="lt-LT"/>
              </w:rPr>
              <w:t>Lizdinė plokštelė</w:t>
            </w:r>
            <w:r w:rsidRPr="0023353A">
              <w:rPr>
                <w:rFonts w:eastAsia="Calibri"/>
                <w:lang w:val="lt-LT"/>
              </w:rPr>
              <w:t>:</w:t>
            </w:r>
          </w:p>
          <w:p w14:paraId="21CBFE51" w14:textId="77777777" w:rsidR="00AF3A9C" w:rsidRPr="0023353A" w:rsidRDefault="00AF3A9C" w:rsidP="0023353A">
            <w:pPr>
              <w:ind w:left="-108" w:right="-107"/>
              <w:rPr>
                <w:rFonts w:eastAsia="Calibri"/>
                <w:lang w:val="lt-LT"/>
              </w:rPr>
            </w:pPr>
            <w:r w:rsidRPr="0023353A">
              <w:rPr>
                <w:rFonts w:eastAsia="Calibri"/>
                <w:lang w:val="lt-LT"/>
              </w:rPr>
              <w:t>LT/1/24/5623/001 – N27 (N4x10 mg + N4x20 mg + N19x30 mg)</w:t>
            </w:r>
          </w:p>
          <w:p w14:paraId="29E824FF" w14:textId="77777777" w:rsidR="00AF3A9C" w:rsidRPr="0023353A" w:rsidRDefault="00AF3A9C" w:rsidP="0023353A">
            <w:pPr>
              <w:ind w:left="-108" w:right="-107"/>
              <w:rPr>
                <w:rFonts w:eastAsia="Calibri"/>
                <w:lang w:val="lt-LT"/>
              </w:rPr>
            </w:pPr>
            <w:r w:rsidRPr="0023353A">
              <w:rPr>
                <w:rFonts w:eastAsia="Calibri"/>
                <w:u w:val="single"/>
                <w:lang w:val="lt-LT"/>
              </w:rPr>
              <w:t>Dalomoji lizdinė plokštelė</w:t>
            </w:r>
            <w:r w:rsidRPr="0023353A">
              <w:rPr>
                <w:rFonts w:eastAsia="Calibri"/>
                <w:lang w:val="lt-LT"/>
              </w:rPr>
              <w:t>:</w:t>
            </w:r>
          </w:p>
          <w:p w14:paraId="49E00D9F" w14:textId="77777777" w:rsidR="00AF3A9C" w:rsidRPr="0023353A" w:rsidRDefault="00AF3A9C" w:rsidP="0023353A">
            <w:pPr>
              <w:ind w:left="-108" w:right="-107"/>
              <w:rPr>
                <w:szCs w:val="22"/>
                <w:lang w:val="lt-LT"/>
              </w:rPr>
            </w:pPr>
            <w:r w:rsidRPr="0023353A">
              <w:rPr>
                <w:rFonts w:eastAsia="Calibri"/>
                <w:lang w:val="lt-LT"/>
              </w:rPr>
              <w:t>LT/1/24/5623/002 – N27x1 (N4x10 mg + N4x20 mg + N19x30 mg)</w:t>
            </w:r>
          </w:p>
        </w:tc>
        <w:tc>
          <w:tcPr>
            <w:tcW w:w="4245" w:type="dxa"/>
          </w:tcPr>
          <w:p w14:paraId="33777570" w14:textId="77777777" w:rsidR="00AF3A9C" w:rsidRPr="0023353A" w:rsidRDefault="00AF3A9C" w:rsidP="0023353A">
            <w:pPr>
              <w:ind w:left="-108" w:right="-107"/>
              <w:rPr>
                <w:szCs w:val="22"/>
                <w:u w:val="single"/>
                <w:lang w:val="lt-LT"/>
              </w:rPr>
            </w:pPr>
            <w:r w:rsidRPr="0023353A">
              <w:rPr>
                <w:szCs w:val="22"/>
                <w:u w:val="single"/>
                <w:lang w:val="lt-LT"/>
              </w:rPr>
              <w:t>30 mg</w:t>
            </w:r>
          </w:p>
          <w:p w14:paraId="08E11A04" w14:textId="77777777" w:rsidR="00AF3A9C" w:rsidRPr="0023353A" w:rsidRDefault="00AF3A9C" w:rsidP="0023353A">
            <w:pPr>
              <w:ind w:left="-108" w:right="-107"/>
              <w:rPr>
                <w:rFonts w:eastAsia="Calibri"/>
                <w:lang w:val="lt-LT"/>
              </w:rPr>
            </w:pPr>
            <w:r w:rsidRPr="0023353A">
              <w:rPr>
                <w:rFonts w:eastAsia="Calibri"/>
                <w:u w:val="single"/>
                <w:lang w:val="lt-LT"/>
              </w:rPr>
              <w:t>Lizdinė plokštelė</w:t>
            </w:r>
            <w:r w:rsidRPr="0023353A">
              <w:rPr>
                <w:rFonts w:eastAsia="Calibri"/>
                <w:lang w:val="lt-LT"/>
              </w:rPr>
              <w:t>:</w:t>
            </w:r>
          </w:p>
          <w:p w14:paraId="3EAFB424" w14:textId="77777777" w:rsidR="00AF3A9C" w:rsidRPr="0023353A" w:rsidRDefault="00AF3A9C" w:rsidP="0023353A">
            <w:pPr>
              <w:ind w:left="-108" w:right="-107"/>
              <w:rPr>
                <w:rFonts w:eastAsia="Calibri"/>
                <w:lang w:val="lt-LT"/>
              </w:rPr>
            </w:pPr>
            <w:r w:rsidRPr="0023353A">
              <w:rPr>
                <w:rFonts w:eastAsia="Calibri"/>
                <w:lang w:val="lt-LT"/>
              </w:rPr>
              <w:t>LT/1/24/5624/001 – N56</w:t>
            </w:r>
          </w:p>
          <w:p w14:paraId="759E94C1" w14:textId="77777777" w:rsidR="00AF3A9C" w:rsidRPr="0023353A" w:rsidRDefault="00AF3A9C" w:rsidP="0023353A">
            <w:pPr>
              <w:ind w:left="-108" w:right="-107"/>
              <w:rPr>
                <w:rFonts w:eastAsia="Calibri"/>
                <w:lang w:val="lt-LT"/>
              </w:rPr>
            </w:pPr>
            <w:r w:rsidRPr="0023353A">
              <w:rPr>
                <w:rFonts w:eastAsia="Calibri"/>
                <w:lang w:val="lt-LT"/>
              </w:rPr>
              <w:t>LT/1/24/5624/002 – N168</w:t>
            </w:r>
          </w:p>
          <w:p w14:paraId="5FBD9B7C" w14:textId="77777777" w:rsidR="00AF3A9C" w:rsidRPr="0023353A" w:rsidRDefault="00AF3A9C" w:rsidP="0023353A">
            <w:pPr>
              <w:ind w:left="-108" w:right="-107"/>
              <w:rPr>
                <w:rFonts w:eastAsia="Calibri"/>
                <w:lang w:val="lt-LT"/>
              </w:rPr>
            </w:pPr>
            <w:r w:rsidRPr="0023353A">
              <w:rPr>
                <w:rFonts w:eastAsia="Calibri"/>
                <w:u w:val="single"/>
                <w:lang w:val="lt-LT"/>
              </w:rPr>
              <w:t>Dalomoji lizdinė plokštelė</w:t>
            </w:r>
            <w:r w:rsidRPr="0023353A">
              <w:rPr>
                <w:rFonts w:eastAsia="Calibri"/>
                <w:lang w:val="lt-LT"/>
              </w:rPr>
              <w:t>:</w:t>
            </w:r>
          </w:p>
          <w:p w14:paraId="0802C921" w14:textId="77777777" w:rsidR="00AF3A9C" w:rsidRPr="0023353A" w:rsidRDefault="00AF3A9C" w:rsidP="0023353A">
            <w:pPr>
              <w:ind w:left="-108" w:right="-107"/>
              <w:rPr>
                <w:rFonts w:eastAsia="Calibri"/>
                <w:lang w:val="lt-LT"/>
              </w:rPr>
            </w:pPr>
            <w:r w:rsidRPr="0023353A">
              <w:rPr>
                <w:rFonts w:eastAsia="Calibri"/>
                <w:lang w:val="lt-LT"/>
              </w:rPr>
              <w:t>LT/1/24/5624/003 – N56x1</w:t>
            </w:r>
          </w:p>
          <w:p w14:paraId="6DEAABBC" w14:textId="77777777" w:rsidR="00AF3A9C" w:rsidRPr="0023353A" w:rsidRDefault="00AF3A9C" w:rsidP="0023353A">
            <w:pPr>
              <w:ind w:left="-108" w:right="-107"/>
              <w:rPr>
                <w:szCs w:val="22"/>
                <w:lang w:val="lt-LT"/>
              </w:rPr>
            </w:pPr>
            <w:r w:rsidRPr="0023353A">
              <w:rPr>
                <w:rFonts w:eastAsia="Calibri"/>
                <w:lang w:val="lt-LT"/>
              </w:rPr>
              <w:t>LT/1/24/5624/004 – N168x1</w:t>
            </w:r>
          </w:p>
        </w:tc>
      </w:tr>
    </w:tbl>
    <w:p w14:paraId="37644786"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1D18BB3F"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58D41203" w14:textId="77777777" w:rsidR="008D14F2" w:rsidRPr="00CD7E52" w:rsidRDefault="008D14F2" w:rsidP="00BD0220">
      <w:pPr>
        <w:widowControl w:val="0"/>
        <w:numPr>
          <w:ilvl w:val="0"/>
          <w:numId w:val="24"/>
        </w:numPr>
        <w:tabs>
          <w:tab w:val="num" w:pos="567"/>
          <w:tab w:val="left" w:pos="964"/>
        </w:tabs>
        <w:autoSpaceDE w:val="0"/>
        <w:autoSpaceDN w:val="0"/>
        <w:adjustRightInd w:val="0"/>
        <w:spacing w:line="240" w:lineRule="auto"/>
        <w:ind w:left="0" w:firstLine="0"/>
        <w:outlineLvl w:val="0"/>
        <w:rPr>
          <w:szCs w:val="22"/>
          <w:lang w:val="lt-LT"/>
        </w:rPr>
      </w:pPr>
      <w:r w:rsidRPr="00CD7E52">
        <w:rPr>
          <w:b/>
          <w:szCs w:val="22"/>
          <w:lang w:val="lt-LT"/>
        </w:rPr>
        <w:t>REGISTRAVIMO</w:t>
      </w:r>
      <w:r w:rsidRPr="00CD7E52">
        <w:rPr>
          <w:b/>
          <w:spacing w:val="-9"/>
          <w:szCs w:val="22"/>
          <w:lang w:val="lt-LT"/>
        </w:rPr>
        <w:t xml:space="preserve"> </w:t>
      </w:r>
      <w:r w:rsidRPr="00CD7E52">
        <w:rPr>
          <w:b/>
          <w:szCs w:val="22"/>
          <w:lang w:val="lt-LT"/>
        </w:rPr>
        <w:t>/</w:t>
      </w:r>
      <w:r w:rsidRPr="00CD7E52">
        <w:rPr>
          <w:b/>
          <w:spacing w:val="-10"/>
          <w:szCs w:val="22"/>
          <w:lang w:val="lt-LT"/>
        </w:rPr>
        <w:t xml:space="preserve"> </w:t>
      </w:r>
      <w:r w:rsidRPr="00CD7E52">
        <w:rPr>
          <w:b/>
          <w:szCs w:val="22"/>
          <w:lang w:val="lt-LT"/>
        </w:rPr>
        <w:t>PERREGISTRAVIMO</w:t>
      </w:r>
      <w:r w:rsidRPr="00CD7E52">
        <w:rPr>
          <w:b/>
          <w:spacing w:val="-8"/>
          <w:szCs w:val="22"/>
          <w:lang w:val="lt-LT"/>
        </w:rPr>
        <w:t xml:space="preserve"> </w:t>
      </w:r>
      <w:r w:rsidRPr="00CD7E52">
        <w:rPr>
          <w:b/>
          <w:spacing w:val="-4"/>
          <w:szCs w:val="22"/>
          <w:lang w:val="lt-LT"/>
        </w:rPr>
        <w:t>DATA</w:t>
      </w:r>
    </w:p>
    <w:p w14:paraId="5AC3EAC9" w14:textId="77777777" w:rsidR="008D14F2" w:rsidRPr="00CD7E52" w:rsidRDefault="008D14F2" w:rsidP="00BD0220">
      <w:pPr>
        <w:widowControl w:val="0"/>
        <w:tabs>
          <w:tab w:val="clear" w:pos="567"/>
        </w:tabs>
        <w:autoSpaceDE w:val="0"/>
        <w:autoSpaceDN w:val="0"/>
        <w:adjustRightInd w:val="0"/>
        <w:spacing w:line="240" w:lineRule="auto"/>
        <w:rPr>
          <w:b/>
          <w:szCs w:val="22"/>
          <w:lang w:val="lt-LT"/>
        </w:rPr>
      </w:pPr>
    </w:p>
    <w:p w14:paraId="2912F7DD"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r w:rsidRPr="00CD7E52">
        <w:rPr>
          <w:szCs w:val="22"/>
          <w:lang w:val="lt-LT"/>
        </w:rPr>
        <w:t>Registravimo</w:t>
      </w:r>
      <w:r w:rsidRPr="00CD7E52">
        <w:rPr>
          <w:spacing w:val="-6"/>
          <w:szCs w:val="22"/>
          <w:lang w:val="lt-LT"/>
        </w:rPr>
        <w:t xml:space="preserve"> </w:t>
      </w:r>
      <w:r w:rsidRPr="00CD7E52">
        <w:rPr>
          <w:szCs w:val="22"/>
          <w:lang w:val="lt-LT"/>
        </w:rPr>
        <w:t xml:space="preserve">data </w:t>
      </w:r>
      <w:r w:rsidR="00AF3A9C">
        <w:rPr>
          <w:szCs w:val="22"/>
          <w:lang w:val="lt-LT"/>
        </w:rPr>
        <w:t>2024 m. spalio 22 d.</w:t>
      </w:r>
    </w:p>
    <w:p w14:paraId="57BBA0C4"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541363FB"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06EF79CA" w14:textId="77777777" w:rsidR="008D14F2" w:rsidRPr="00CD7E52" w:rsidRDefault="008D14F2" w:rsidP="00BD0220">
      <w:pPr>
        <w:widowControl w:val="0"/>
        <w:numPr>
          <w:ilvl w:val="0"/>
          <w:numId w:val="24"/>
        </w:numPr>
        <w:tabs>
          <w:tab w:val="num" w:pos="567"/>
          <w:tab w:val="left" w:pos="964"/>
        </w:tabs>
        <w:autoSpaceDE w:val="0"/>
        <w:autoSpaceDN w:val="0"/>
        <w:adjustRightInd w:val="0"/>
        <w:spacing w:line="240" w:lineRule="auto"/>
        <w:ind w:left="0" w:firstLine="0"/>
        <w:outlineLvl w:val="0"/>
        <w:rPr>
          <w:szCs w:val="22"/>
          <w:lang w:val="lt-LT"/>
        </w:rPr>
      </w:pPr>
      <w:r w:rsidRPr="00CD7E52">
        <w:rPr>
          <w:b/>
          <w:szCs w:val="22"/>
          <w:lang w:val="lt-LT"/>
        </w:rPr>
        <w:t>TEKSTO</w:t>
      </w:r>
      <w:r w:rsidRPr="00CD7E52">
        <w:rPr>
          <w:b/>
          <w:spacing w:val="-8"/>
          <w:szCs w:val="22"/>
          <w:lang w:val="lt-LT"/>
        </w:rPr>
        <w:t xml:space="preserve"> </w:t>
      </w:r>
      <w:r w:rsidRPr="00CD7E52">
        <w:rPr>
          <w:b/>
          <w:szCs w:val="22"/>
          <w:lang w:val="lt-LT"/>
        </w:rPr>
        <w:t>PERŽIŪROS</w:t>
      </w:r>
      <w:r w:rsidRPr="00CD7E52">
        <w:rPr>
          <w:b/>
          <w:spacing w:val="-7"/>
          <w:szCs w:val="22"/>
          <w:lang w:val="lt-LT"/>
        </w:rPr>
        <w:t xml:space="preserve"> </w:t>
      </w:r>
      <w:r w:rsidRPr="00CD7E52">
        <w:rPr>
          <w:b/>
          <w:spacing w:val="-4"/>
          <w:szCs w:val="22"/>
          <w:lang w:val="lt-LT"/>
        </w:rPr>
        <w:t>DATA</w:t>
      </w:r>
    </w:p>
    <w:p w14:paraId="2C1FF98D" w14:textId="77777777" w:rsidR="008D14F2" w:rsidRPr="00CD7E52" w:rsidRDefault="008D14F2" w:rsidP="00BD0220">
      <w:pPr>
        <w:widowControl w:val="0"/>
        <w:tabs>
          <w:tab w:val="clear" w:pos="567"/>
        </w:tabs>
        <w:autoSpaceDE w:val="0"/>
        <w:autoSpaceDN w:val="0"/>
        <w:adjustRightInd w:val="0"/>
        <w:spacing w:line="240" w:lineRule="auto"/>
        <w:rPr>
          <w:b/>
          <w:szCs w:val="22"/>
          <w:lang w:val="lt-LT"/>
        </w:rPr>
      </w:pPr>
    </w:p>
    <w:p w14:paraId="61B54E6B" w14:textId="0C1FF7CD" w:rsidR="008D14F2" w:rsidRPr="00CD7E52" w:rsidRDefault="00274D31" w:rsidP="00BD0220">
      <w:pPr>
        <w:widowControl w:val="0"/>
        <w:tabs>
          <w:tab w:val="clear" w:pos="567"/>
        </w:tabs>
        <w:autoSpaceDE w:val="0"/>
        <w:autoSpaceDN w:val="0"/>
        <w:adjustRightInd w:val="0"/>
        <w:spacing w:line="240" w:lineRule="auto"/>
        <w:rPr>
          <w:szCs w:val="22"/>
          <w:lang w:val="lt-LT"/>
        </w:rPr>
      </w:pPr>
      <w:r>
        <w:rPr>
          <w:szCs w:val="22"/>
          <w:lang w:val="lt-LT"/>
        </w:rPr>
        <w:t>2026 m. balandžio 10 d.</w:t>
      </w:r>
    </w:p>
    <w:p w14:paraId="038E418E"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0375A088"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529C40DF" w14:textId="77777777" w:rsidR="0068202A" w:rsidRPr="00CD7E52" w:rsidRDefault="0068202A" w:rsidP="0068202A">
      <w:pPr>
        <w:tabs>
          <w:tab w:val="center" w:pos="4819"/>
          <w:tab w:val="right" w:pos="9638"/>
        </w:tabs>
        <w:rPr>
          <w:szCs w:val="22"/>
          <w:lang w:val="lt-LT"/>
        </w:rPr>
      </w:pPr>
      <w:r w:rsidRPr="00CD7E52">
        <w:rPr>
          <w:szCs w:val="22"/>
          <w:lang w:val="lt-LT" w:eastAsia="lt-LT"/>
        </w:rPr>
        <w:t xml:space="preserve">Išsami informacija apie šį vaistinį preparatą pateikiama Valstybinės vaistų kontrolės tarnybos prie Lietuvos Respublikos sveikatos apsaugos ministerijos tinklalapyje </w:t>
      </w:r>
      <w:r w:rsidRPr="00CD7E52">
        <w:rPr>
          <w:color w:val="0000EE"/>
          <w:szCs w:val="22"/>
          <w:u w:val="single"/>
          <w:lang w:val="lt-LT" w:eastAsia="lt-LT"/>
        </w:rPr>
        <w:t>https://vvkt.lrv.lt/lt/.</w:t>
      </w:r>
    </w:p>
    <w:p w14:paraId="4F717F15"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50251AD3"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3A82F475"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r w:rsidRPr="00CD7E52">
        <w:rPr>
          <w:szCs w:val="22"/>
          <w:lang w:val="lt-LT"/>
        </w:rPr>
        <w:br w:type="page"/>
      </w:r>
    </w:p>
    <w:p w14:paraId="4CE9043F"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2254B344"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266DEB08"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61DE55A4"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29885636"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6E602317"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792F2283"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204BF0DB"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1C63BF60"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39B19A18"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6D716AD9"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331D08C2"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7BE5D31D"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3AE0FB2B"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64106F5E"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658D65AD"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7C8299B3"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394F71E5"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37D1406C" w14:textId="77777777" w:rsidR="008D14F2" w:rsidRPr="00CD7E52" w:rsidRDefault="008D14F2" w:rsidP="00BD0220">
      <w:pPr>
        <w:widowControl w:val="0"/>
        <w:tabs>
          <w:tab w:val="clear" w:pos="567"/>
        </w:tabs>
        <w:autoSpaceDE w:val="0"/>
        <w:autoSpaceDN w:val="0"/>
        <w:adjustRightInd w:val="0"/>
        <w:spacing w:line="240" w:lineRule="auto"/>
        <w:jc w:val="center"/>
        <w:rPr>
          <w:b/>
          <w:snapToGrid/>
          <w:szCs w:val="22"/>
          <w:lang w:val="lt-LT" w:eastAsia="lt-LT"/>
        </w:rPr>
      </w:pPr>
      <w:r w:rsidRPr="00CD7E52">
        <w:rPr>
          <w:b/>
          <w:szCs w:val="22"/>
          <w:lang w:val="lt-LT"/>
        </w:rPr>
        <w:t>II</w:t>
      </w:r>
      <w:r w:rsidRPr="00CD7E52">
        <w:rPr>
          <w:b/>
          <w:spacing w:val="-2"/>
          <w:szCs w:val="22"/>
          <w:lang w:val="lt-LT"/>
        </w:rPr>
        <w:t xml:space="preserve"> PRIEDAS</w:t>
      </w:r>
    </w:p>
    <w:p w14:paraId="71A14E17" w14:textId="77777777" w:rsidR="008D14F2" w:rsidRPr="00CD7E52" w:rsidRDefault="008D14F2" w:rsidP="00BD0220">
      <w:pPr>
        <w:widowControl w:val="0"/>
        <w:tabs>
          <w:tab w:val="clear" w:pos="567"/>
        </w:tabs>
        <w:autoSpaceDE w:val="0"/>
        <w:autoSpaceDN w:val="0"/>
        <w:adjustRightInd w:val="0"/>
        <w:spacing w:line="240" w:lineRule="auto"/>
        <w:rPr>
          <w:b/>
          <w:szCs w:val="22"/>
          <w:lang w:val="lt-LT"/>
        </w:rPr>
      </w:pPr>
    </w:p>
    <w:p w14:paraId="543DC6E9" w14:textId="77777777" w:rsidR="008D14F2" w:rsidRPr="00CD7E52" w:rsidRDefault="008D14F2" w:rsidP="00BD0220">
      <w:pPr>
        <w:widowControl w:val="0"/>
        <w:tabs>
          <w:tab w:val="left" w:pos="2694"/>
        </w:tabs>
        <w:autoSpaceDE w:val="0"/>
        <w:autoSpaceDN w:val="0"/>
        <w:adjustRightInd w:val="0"/>
        <w:jc w:val="center"/>
        <w:rPr>
          <w:i/>
          <w:snapToGrid/>
          <w:szCs w:val="22"/>
          <w:lang w:val="lt-LT" w:eastAsia="lt-LT"/>
        </w:rPr>
      </w:pPr>
      <w:r w:rsidRPr="00CD7E52">
        <w:rPr>
          <w:b/>
          <w:szCs w:val="22"/>
          <w:lang w:val="lt-LT"/>
        </w:rPr>
        <w:t>REGISTRACIJOS SĄLYGOS</w:t>
      </w:r>
    </w:p>
    <w:p w14:paraId="6104AA8A" w14:textId="77777777" w:rsidR="008D14F2" w:rsidRPr="00CD7E52" w:rsidRDefault="008D14F2" w:rsidP="00BD0220">
      <w:pPr>
        <w:widowControl w:val="0"/>
        <w:autoSpaceDE w:val="0"/>
        <w:autoSpaceDN w:val="0"/>
        <w:adjustRightInd w:val="0"/>
        <w:ind w:left="1701"/>
        <w:rPr>
          <w:szCs w:val="22"/>
          <w:lang w:val="lt-LT"/>
        </w:rPr>
      </w:pPr>
    </w:p>
    <w:p w14:paraId="0B0F5E6E" w14:textId="77777777" w:rsidR="008D14F2" w:rsidRPr="00CD7E52" w:rsidRDefault="008D14F2" w:rsidP="00BD0220">
      <w:pPr>
        <w:widowControl w:val="0"/>
        <w:numPr>
          <w:ilvl w:val="0"/>
          <w:numId w:val="25"/>
        </w:numPr>
        <w:tabs>
          <w:tab w:val="clear" w:pos="567"/>
          <w:tab w:val="left" w:pos="2268"/>
        </w:tabs>
        <w:autoSpaceDE w:val="0"/>
        <w:autoSpaceDN w:val="0"/>
        <w:adjustRightInd w:val="0"/>
        <w:spacing w:line="240" w:lineRule="auto"/>
        <w:ind w:left="2268" w:right="567"/>
        <w:rPr>
          <w:b/>
          <w:snapToGrid/>
          <w:szCs w:val="22"/>
          <w:lang w:val="lt-LT" w:eastAsia="lt-LT"/>
        </w:rPr>
      </w:pPr>
      <w:r w:rsidRPr="00CD7E52">
        <w:rPr>
          <w:b/>
          <w:szCs w:val="22"/>
          <w:lang w:val="lt-LT"/>
        </w:rPr>
        <w:t>GAMINTOJAS (-AI), ATSAKINGAS (-I) UŽ SERIJŲ IŠLEIDIMĄ</w:t>
      </w:r>
    </w:p>
    <w:p w14:paraId="67A663D2" w14:textId="77777777" w:rsidR="008D14F2" w:rsidRPr="00CD7E52" w:rsidRDefault="008D14F2" w:rsidP="00BD0220">
      <w:pPr>
        <w:widowControl w:val="0"/>
        <w:tabs>
          <w:tab w:val="clear" w:pos="567"/>
          <w:tab w:val="left" w:pos="1701"/>
        </w:tabs>
        <w:autoSpaceDE w:val="0"/>
        <w:autoSpaceDN w:val="0"/>
        <w:adjustRightInd w:val="0"/>
        <w:ind w:left="1701" w:right="567"/>
        <w:rPr>
          <w:szCs w:val="22"/>
          <w:lang w:val="lt-LT"/>
        </w:rPr>
      </w:pPr>
    </w:p>
    <w:p w14:paraId="75506287" w14:textId="77777777" w:rsidR="008D14F2" w:rsidRPr="00CD7E52" w:rsidRDefault="008D14F2" w:rsidP="00BD0220">
      <w:pPr>
        <w:widowControl w:val="0"/>
        <w:numPr>
          <w:ilvl w:val="0"/>
          <w:numId w:val="25"/>
        </w:numPr>
        <w:tabs>
          <w:tab w:val="clear" w:pos="567"/>
          <w:tab w:val="left" w:pos="1701"/>
        </w:tabs>
        <w:autoSpaceDE w:val="0"/>
        <w:autoSpaceDN w:val="0"/>
        <w:adjustRightInd w:val="0"/>
        <w:spacing w:line="240" w:lineRule="auto"/>
        <w:ind w:left="1701" w:right="567" w:firstLine="0"/>
        <w:rPr>
          <w:b/>
          <w:snapToGrid/>
          <w:szCs w:val="22"/>
          <w:lang w:val="lt-LT" w:eastAsia="lt-LT"/>
        </w:rPr>
      </w:pPr>
      <w:r w:rsidRPr="00CD7E52">
        <w:rPr>
          <w:b/>
          <w:szCs w:val="22"/>
          <w:lang w:val="lt-LT"/>
        </w:rPr>
        <w:t>TIEKIMO IR VARTOJIMO SĄLYGOS AR APRIBOJIMAI</w:t>
      </w:r>
    </w:p>
    <w:p w14:paraId="27E0BCD2" w14:textId="77777777" w:rsidR="008D14F2" w:rsidRPr="00CD7E52" w:rsidRDefault="008D14F2" w:rsidP="00BD0220">
      <w:pPr>
        <w:widowControl w:val="0"/>
        <w:tabs>
          <w:tab w:val="clear" w:pos="567"/>
        </w:tabs>
        <w:autoSpaceDE w:val="0"/>
        <w:autoSpaceDN w:val="0"/>
        <w:adjustRightInd w:val="0"/>
        <w:spacing w:line="240" w:lineRule="auto"/>
        <w:ind w:left="801" w:hanging="567"/>
        <w:rPr>
          <w:b/>
          <w:szCs w:val="22"/>
          <w:lang w:val="lt-LT"/>
        </w:rPr>
      </w:pPr>
    </w:p>
    <w:p w14:paraId="73B88DCA" w14:textId="77777777" w:rsidR="008D14F2" w:rsidRPr="00CD7E52" w:rsidRDefault="008D14F2" w:rsidP="00BD0220">
      <w:pPr>
        <w:widowControl w:val="0"/>
        <w:autoSpaceDE w:val="0"/>
        <w:autoSpaceDN w:val="0"/>
        <w:adjustRightInd w:val="0"/>
        <w:ind w:left="567" w:hanging="567"/>
        <w:rPr>
          <w:b/>
          <w:szCs w:val="22"/>
          <w:lang w:val="lt-LT"/>
        </w:rPr>
      </w:pPr>
      <w:r w:rsidRPr="00CD7E52">
        <w:rPr>
          <w:b/>
          <w:szCs w:val="22"/>
          <w:lang w:val="lt-LT"/>
        </w:rPr>
        <w:br w:type="page"/>
      </w:r>
      <w:bookmarkStart w:id="2" w:name="A._GAMINTOJAS_(-AI),_ATSAKINGAS_(-I)_UŽ_"/>
      <w:bookmarkEnd w:id="2"/>
      <w:r w:rsidRPr="00CD7E52">
        <w:rPr>
          <w:b/>
          <w:szCs w:val="22"/>
          <w:lang w:val="lt-LT"/>
        </w:rPr>
        <w:lastRenderedPageBreak/>
        <w:t>A.</w:t>
      </w:r>
      <w:r w:rsidRPr="00CD7E52">
        <w:rPr>
          <w:b/>
          <w:szCs w:val="22"/>
          <w:lang w:val="lt-LT"/>
        </w:rPr>
        <w:tab/>
        <w:t>GAMINTOJAS (-AI), ATSAKINGAS (-I) UŽ SERIJŲ IŠLEIDIMĄ</w:t>
      </w:r>
    </w:p>
    <w:p w14:paraId="0A2485DB" w14:textId="77777777" w:rsidR="008D14F2" w:rsidRPr="00CD7E52" w:rsidRDefault="008D14F2" w:rsidP="00BD0220">
      <w:pPr>
        <w:widowControl w:val="0"/>
        <w:autoSpaceDE w:val="0"/>
        <w:autoSpaceDN w:val="0"/>
        <w:adjustRightInd w:val="0"/>
        <w:rPr>
          <w:szCs w:val="22"/>
          <w:lang w:val="lt-LT"/>
        </w:rPr>
      </w:pPr>
    </w:p>
    <w:p w14:paraId="362FE59F" w14:textId="77777777" w:rsidR="008D14F2" w:rsidRPr="00CD7E52" w:rsidRDefault="008D14F2" w:rsidP="00BD0220">
      <w:pPr>
        <w:widowControl w:val="0"/>
        <w:autoSpaceDE w:val="0"/>
        <w:autoSpaceDN w:val="0"/>
        <w:adjustRightInd w:val="0"/>
        <w:spacing w:line="240" w:lineRule="auto"/>
        <w:jc w:val="both"/>
        <w:rPr>
          <w:snapToGrid/>
          <w:szCs w:val="22"/>
          <w:lang w:val="lt-LT" w:eastAsia="lt-LT"/>
        </w:rPr>
      </w:pPr>
      <w:r w:rsidRPr="00CD7E52">
        <w:rPr>
          <w:szCs w:val="22"/>
          <w:u w:val="single"/>
          <w:lang w:val="lt-LT"/>
        </w:rPr>
        <w:t>Gamintojo (-ų), atsakingo (-ų) už serijų išleidimą, pavadinimas (-ai) ir adresas (-ai)</w:t>
      </w:r>
    </w:p>
    <w:p w14:paraId="6688CE0A" w14:textId="77777777" w:rsidR="008D14F2" w:rsidRPr="00CD7E52" w:rsidRDefault="008D14F2" w:rsidP="00BD0220">
      <w:pPr>
        <w:widowControl w:val="0"/>
        <w:autoSpaceDE w:val="0"/>
        <w:autoSpaceDN w:val="0"/>
        <w:adjustRightInd w:val="0"/>
        <w:rPr>
          <w:szCs w:val="22"/>
          <w:lang w:val="lt-LT"/>
        </w:rPr>
      </w:pPr>
    </w:p>
    <w:p w14:paraId="29554833" w14:textId="77777777" w:rsidR="00AE4CE9" w:rsidRPr="00CD7E52" w:rsidRDefault="00AE4CE9" w:rsidP="00AE4CE9">
      <w:pPr>
        <w:keepNext/>
        <w:numPr>
          <w:ilvl w:val="12"/>
          <w:numId w:val="0"/>
        </w:numPr>
        <w:tabs>
          <w:tab w:val="clear" w:pos="567"/>
          <w:tab w:val="left" w:pos="1296"/>
        </w:tabs>
        <w:autoSpaceDE w:val="0"/>
        <w:autoSpaceDN w:val="0"/>
        <w:adjustRightInd w:val="0"/>
        <w:snapToGrid w:val="0"/>
        <w:spacing w:line="240" w:lineRule="auto"/>
        <w:ind w:right="-2"/>
        <w:rPr>
          <w:snapToGrid/>
          <w:szCs w:val="22"/>
          <w:lang w:val="lt-LT" w:eastAsia="lt-LT"/>
        </w:rPr>
      </w:pPr>
      <w:r w:rsidRPr="00CD7E52">
        <w:rPr>
          <w:szCs w:val="22"/>
          <w:lang w:val="lt-LT"/>
        </w:rPr>
        <w:t>STADA Arzneimittel AG</w:t>
      </w:r>
    </w:p>
    <w:p w14:paraId="47BF9BF4" w14:textId="77777777" w:rsidR="00AE4CE9" w:rsidRPr="00CD7E52" w:rsidRDefault="00AE4CE9" w:rsidP="00AE4CE9">
      <w:pPr>
        <w:keepNext/>
        <w:numPr>
          <w:ilvl w:val="12"/>
          <w:numId w:val="0"/>
        </w:numPr>
        <w:tabs>
          <w:tab w:val="clear" w:pos="567"/>
          <w:tab w:val="left" w:pos="1296"/>
        </w:tabs>
        <w:autoSpaceDE w:val="0"/>
        <w:autoSpaceDN w:val="0"/>
        <w:adjustRightInd w:val="0"/>
        <w:snapToGrid w:val="0"/>
        <w:spacing w:line="240" w:lineRule="auto"/>
        <w:ind w:right="-2"/>
        <w:rPr>
          <w:snapToGrid/>
          <w:szCs w:val="22"/>
          <w:lang w:val="lt-LT" w:eastAsia="lt-LT"/>
        </w:rPr>
      </w:pPr>
      <w:r w:rsidRPr="00CD7E52">
        <w:rPr>
          <w:szCs w:val="22"/>
          <w:lang w:val="lt-LT"/>
        </w:rPr>
        <w:t>Stadastrasse 2-18</w:t>
      </w:r>
    </w:p>
    <w:p w14:paraId="1CCEA7CD" w14:textId="77777777" w:rsidR="00AE4CE9" w:rsidRPr="00CD7E52" w:rsidRDefault="00AE4CE9" w:rsidP="00AE4CE9">
      <w:pPr>
        <w:keepNext/>
        <w:numPr>
          <w:ilvl w:val="12"/>
          <w:numId w:val="0"/>
        </w:numPr>
        <w:tabs>
          <w:tab w:val="clear" w:pos="567"/>
          <w:tab w:val="left" w:pos="1296"/>
        </w:tabs>
        <w:autoSpaceDE w:val="0"/>
        <w:autoSpaceDN w:val="0"/>
        <w:adjustRightInd w:val="0"/>
        <w:snapToGrid w:val="0"/>
        <w:spacing w:line="240" w:lineRule="auto"/>
        <w:ind w:right="-2"/>
        <w:rPr>
          <w:snapToGrid/>
          <w:szCs w:val="22"/>
          <w:lang w:val="lt-LT" w:eastAsia="lt-LT"/>
        </w:rPr>
      </w:pPr>
      <w:r w:rsidRPr="00CD7E52">
        <w:rPr>
          <w:szCs w:val="22"/>
          <w:lang w:val="lt-LT"/>
        </w:rPr>
        <w:t>61118 Bad Vilbel</w:t>
      </w:r>
    </w:p>
    <w:p w14:paraId="3F0813E0" w14:textId="77777777" w:rsidR="008D14F2" w:rsidRPr="00CD7E52" w:rsidRDefault="00AE4CE9" w:rsidP="00AE4CE9">
      <w:pPr>
        <w:widowControl w:val="0"/>
        <w:autoSpaceDE w:val="0"/>
        <w:autoSpaceDN w:val="0"/>
        <w:adjustRightInd w:val="0"/>
        <w:rPr>
          <w:szCs w:val="22"/>
          <w:lang w:val="lt-LT"/>
        </w:rPr>
      </w:pPr>
      <w:r w:rsidRPr="00CD7E52">
        <w:rPr>
          <w:szCs w:val="22"/>
          <w:lang w:val="lt-LT"/>
        </w:rPr>
        <w:t>Vokietija</w:t>
      </w:r>
    </w:p>
    <w:p w14:paraId="33EF5F41" w14:textId="77777777" w:rsidR="00AE4CE9" w:rsidRPr="00CD7E52" w:rsidRDefault="00AE4CE9" w:rsidP="00AE4CE9">
      <w:pPr>
        <w:widowControl w:val="0"/>
        <w:autoSpaceDE w:val="0"/>
        <w:autoSpaceDN w:val="0"/>
        <w:adjustRightInd w:val="0"/>
        <w:rPr>
          <w:szCs w:val="22"/>
          <w:lang w:val="lt-LT"/>
        </w:rPr>
      </w:pPr>
    </w:p>
    <w:p w14:paraId="01260327" w14:textId="77777777" w:rsidR="008D14F2" w:rsidRPr="00CD7E52" w:rsidRDefault="008D14F2" w:rsidP="00BD0220">
      <w:pPr>
        <w:widowControl w:val="0"/>
        <w:autoSpaceDE w:val="0"/>
        <w:autoSpaceDN w:val="0"/>
        <w:adjustRightInd w:val="0"/>
        <w:rPr>
          <w:szCs w:val="22"/>
          <w:lang w:val="lt-LT"/>
        </w:rPr>
      </w:pPr>
    </w:p>
    <w:p w14:paraId="2A53AE09" w14:textId="77777777" w:rsidR="008D14F2" w:rsidRPr="00CD7E52" w:rsidRDefault="008D14F2" w:rsidP="00BD0220">
      <w:pPr>
        <w:widowControl w:val="0"/>
        <w:autoSpaceDE w:val="0"/>
        <w:autoSpaceDN w:val="0"/>
        <w:adjustRightInd w:val="0"/>
        <w:spacing w:line="240" w:lineRule="auto"/>
        <w:ind w:left="567" w:hanging="567"/>
        <w:rPr>
          <w:snapToGrid/>
          <w:szCs w:val="22"/>
          <w:lang w:val="lt-LT" w:eastAsia="lt-LT"/>
        </w:rPr>
      </w:pPr>
      <w:r w:rsidRPr="00CD7E52">
        <w:rPr>
          <w:b/>
          <w:szCs w:val="22"/>
          <w:lang w:val="lt-LT"/>
        </w:rPr>
        <w:t>B.</w:t>
      </w:r>
      <w:r w:rsidRPr="00CD7E52">
        <w:rPr>
          <w:b/>
          <w:szCs w:val="22"/>
          <w:lang w:val="lt-LT"/>
        </w:rPr>
        <w:tab/>
        <w:t>TIEKIMO IR VARTOJIMO SĄLYGOS AR APRIBOJIMAI</w:t>
      </w:r>
    </w:p>
    <w:p w14:paraId="674851F4" w14:textId="77777777" w:rsidR="008D14F2" w:rsidRPr="00CD7E52" w:rsidRDefault="008D14F2" w:rsidP="00BD0220">
      <w:pPr>
        <w:widowControl w:val="0"/>
        <w:autoSpaceDE w:val="0"/>
        <w:autoSpaceDN w:val="0"/>
        <w:adjustRightInd w:val="0"/>
        <w:rPr>
          <w:szCs w:val="22"/>
          <w:lang w:val="lt-LT"/>
        </w:rPr>
      </w:pPr>
    </w:p>
    <w:p w14:paraId="5C7CFC4E" w14:textId="77777777" w:rsidR="008D14F2" w:rsidRPr="00CD7E52" w:rsidRDefault="008D14F2" w:rsidP="00BD0220">
      <w:pPr>
        <w:widowControl w:val="0"/>
        <w:autoSpaceDE w:val="0"/>
        <w:autoSpaceDN w:val="0"/>
        <w:adjustRightInd w:val="0"/>
        <w:rPr>
          <w:snapToGrid/>
          <w:szCs w:val="22"/>
          <w:lang w:val="lt-LT" w:eastAsia="lt-LT"/>
        </w:rPr>
      </w:pPr>
      <w:r w:rsidRPr="00CD7E52">
        <w:rPr>
          <w:szCs w:val="22"/>
          <w:lang w:val="lt-LT"/>
        </w:rPr>
        <w:t>Receptinis vaistinis preparatas.</w:t>
      </w:r>
    </w:p>
    <w:p w14:paraId="41E82BD4" w14:textId="77777777" w:rsidR="008D14F2" w:rsidRPr="00CD7E52" w:rsidRDefault="008D14F2" w:rsidP="00BD0220">
      <w:pPr>
        <w:widowControl w:val="0"/>
        <w:autoSpaceDE w:val="0"/>
        <w:autoSpaceDN w:val="0"/>
        <w:adjustRightInd w:val="0"/>
        <w:rPr>
          <w:szCs w:val="22"/>
          <w:lang w:val="lt-LT"/>
        </w:rPr>
      </w:pPr>
    </w:p>
    <w:p w14:paraId="02E648A6"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577DB99B"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r w:rsidRPr="00CD7E52">
        <w:rPr>
          <w:szCs w:val="22"/>
          <w:lang w:val="lt-LT"/>
        </w:rPr>
        <w:br w:type="page"/>
      </w:r>
    </w:p>
    <w:p w14:paraId="0D465D16"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5F6DBD14"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0FFB88ED"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3FC0ABB6"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5D88471F"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501D6094"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120EF253"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6273047C"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717FFAEF"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55CAA69F"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5A670F15"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3EBA72FE"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11DA565D"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002FEA55"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493D695D"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53FFEE40"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1C63F0D5"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411ADE37"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3ECBBEB8" w14:textId="77777777" w:rsidR="008D14F2" w:rsidRPr="00CD7E52" w:rsidRDefault="008D14F2" w:rsidP="00BD0220">
      <w:pPr>
        <w:widowControl w:val="0"/>
        <w:tabs>
          <w:tab w:val="clear" w:pos="567"/>
        </w:tabs>
        <w:autoSpaceDE w:val="0"/>
        <w:autoSpaceDN w:val="0"/>
        <w:adjustRightInd w:val="0"/>
        <w:spacing w:line="240" w:lineRule="auto"/>
        <w:rPr>
          <w:szCs w:val="22"/>
          <w:lang w:val="lt-LT"/>
        </w:rPr>
      </w:pPr>
    </w:p>
    <w:p w14:paraId="29607169" w14:textId="77777777" w:rsidR="008D14F2" w:rsidRPr="00CD7E52" w:rsidRDefault="008D14F2" w:rsidP="00C00052">
      <w:pPr>
        <w:keepNext/>
        <w:widowControl w:val="0"/>
        <w:autoSpaceDE w:val="0"/>
        <w:autoSpaceDN w:val="0"/>
        <w:adjustRightInd w:val="0"/>
        <w:spacing w:line="240" w:lineRule="auto"/>
        <w:jc w:val="center"/>
        <w:outlineLvl w:val="1"/>
        <w:rPr>
          <w:i/>
          <w:snapToGrid/>
          <w:szCs w:val="22"/>
          <w:lang w:val="lt-LT" w:eastAsia="lt-LT"/>
        </w:rPr>
      </w:pPr>
      <w:r w:rsidRPr="00CD7E52">
        <w:rPr>
          <w:b/>
          <w:szCs w:val="22"/>
          <w:lang w:val="lt-LT"/>
        </w:rPr>
        <w:t>III PRIEDAS</w:t>
      </w:r>
    </w:p>
    <w:p w14:paraId="73EB9771" w14:textId="77777777" w:rsidR="008D14F2" w:rsidRPr="00CD7E52" w:rsidRDefault="008D14F2" w:rsidP="00C00052">
      <w:pPr>
        <w:widowControl w:val="0"/>
        <w:autoSpaceDE w:val="0"/>
        <w:autoSpaceDN w:val="0"/>
        <w:adjustRightInd w:val="0"/>
        <w:rPr>
          <w:szCs w:val="22"/>
          <w:lang w:val="lt-LT"/>
        </w:rPr>
      </w:pPr>
    </w:p>
    <w:p w14:paraId="301DC323" w14:textId="77777777" w:rsidR="008D14F2" w:rsidRPr="00CD7E52" w:rsidRDefault="008D14F2" w:rsidP="00C00052">
      <w:pPr>
        <w:keepNext/>
        <w:widowControl w:val="0"/>
        <w:autoSpaceDE w:val="0"/>
        <w:autoSpaceDN w:val="0"/>
        <w:adjustRightInd w:val="0"/>
        <w:spacing w:line="240" w:lineRule="auto"/>
        <w:jc w:val="center"/>
        <w:outlineLvl w:val="1"/>
        <w:rPr>
          <w:i/>
          <w:snapToGrid/>
          <w:szCs w:val="22"/>
          <w:lang w:val="lt-LT" w:eastAsia="lt-LT"/>
        </w:rPr>
      </w:pPr>
      <w:r w:rsidRPr="00CD7E52">
        <w:rPr>
          <w:b/>
          <w:szCs w:val="22"/>
          <w:lang w:val="lt-LT"/>
        </w:rPr>
        <w:t>ŽENKLINIMAS IR PAKUOTĖS LAPELIS</w:t>
      </w:r>
    </w:p>
    <w:p w14:paraId="00D3DD93" w14:textId="77777777" w:rsidR="008D14F2" w:rsidRPr="00CD7E52" w:rsidRDefault="008D14F2" w:rsidP="00C00052">
      <w:pPr>
        <w:widowControl w:val="0"/>
        <w:tabs>
          <w:tab w:val="clear" w:pos="567"/>
        </w:tabs>
        <w:autoSpaceDE w:val="0"/>
        <w:autoSpaceDN w:val="0"/>
        <w:adjustRightInd w:val="0"/>
        <w:spacing w:line="240" w:lineRule="auto"/>
        <w:rPr>
          <w:szCs w:val="22"/>
          <w:lang w:val="lt-LT"/>
        </w:rPr>
      </w:pPr>
    </w:p>
    <w:p w14:paraId="5AE80B4B" w14:textId="77777777" w:rsidR="008D14F2" w:rsidRPr="00CD7E52" w:rsidRDefault="008D14F2" w:rsidP="00C00052">
      <w:pPr>
        <w:widowControl w:val="0"/>
        <w:tabs>
          <w:tab w:val="clear" w:pos="567"/>
        </w:tabs>
        <w:autoSpaceDE w:val="0"/>
        <w:autoSpaceDN w:val="0"/>
        <w:adjustRightInd w:val="0"/>
        <w:spacing w:line="240" w:lineRule="auto"/>
        <w:rPr>
          <w:szCs w:val="22"/>
          <w:lang w:val="lt-LT"/>
        </w:rPr>
      </w:pPr>
    </w:p>
    <w:p w14:paraId="1306339C" w14:textId="77777777" w:rsidR="008D14F2" w:rsidRPr="00CD7E52" w:rsidRDefault="008D14F2" w:rsidP="00C00052">
      <w:pPr>
        <w:widowControl w:val="0"/>
        <w:tabs>
          <w:tab w:val="clear" w:pos="567"/>
        </w:tabs>
        <w:autoSpaceDE w:val="0"/>
        <w:autoSpaceDN w:val="0"/>
        <w:adjustRightInd w:val="0"/>
        <w:spacing w:line="240" w:lineRule="auto"/>
        <w:rPr>
          <w:b/>
          <w:szCs w:val="22"/>
          <w:lang w:val="lt-LT"/>
        </w:rPr>
      </w:pPr>
      <w:r w:rsidRPr="00CD7E52">
        <w:rPr>
          <w:szCs w:val="22"/>
          <w:lang w:val="lt-LT"/>
        </w:rPr>
        <w:br w:type="page"/>
      </w:r>
    </w:p>
    <w:p w14:paraId="6FF6B42C" w14:textId="77777777" w:rsidR="008D14F2" w:rsidRPr="00CD7E52" w:rsidRDefault="008D14F2" w:rsidP="00C00052">
      <w:pPr>
        <w:widowControl w:val="0"/>
        <w:tabs>
          <w:tab w:val="clear" w:pos="567"/>
        </w:tabs>
        <w:autoSpaceDE w:val="0"/>
        <w:autoSpaceDN w:val="0"/>
        <w:adjustRightInd w:val="0"/>
        <w:spacing w:line="240" w:lineRule="auto"/>
        <w:rPr>
          <w:b/>
          <w:szCs w:val="22"/>
          <w:lang w:val="lt-LT"/>
        </w:rPr>
      </w:pPr>
    </w:p>
    <w:p w14:paraId="666AE748" w14:textId="77777777" w:rsidR="008D14F2" w:rsidRPr="00CD7E52" w:rsidRDefault="008D14F2" w:rsidP="00C00052">
      <w:pPr>
        <w:widowControl w:val="0"/>
        <w:tabs>
          <w:tab w:val="clear" w:pos="567"/>
        </w:tabs>
        <w:autoSpaceDE w:val="0"/>
        <w:autoSpaceDN w:val="0"/>
        <w:adjustRightInd w:val="0"/>
        <w:spacing w:line="240" w:lineRule="auto"/>
        <w:rPr>
          <w:b/>
          <w:szCs w:val="22"/>
          <w:lang w:val="lt-LT"/>
        </w:rPr>
      </w:pPr>
    </w:p>
    <w:p w14:paraId="2E379331" w14:textId="77777777" w:rsidR="008D14F2" w:rsidRPr="00CD7E52" w:rsidRDefault="008D14F2" w:rsidP="00C00052">
      <w:pPr>
        <w:widowControl w:val="0"/>
        <w:tabs>
          <w:tab w:val="clear" w:pos="567"/>
        </w:tabs>
        <w:autoSpaceDE w:val="0"/>
        <w:autoSpaceDN w:val="0"/>
        <w:adjustRightInd w:val="0"/>
        <w:spacing w:line="240" w:lineRule="auto"/>
        <w:rPr>
          <w:b/>
          <w:szCs w:val="22"/>
          <w:lang w:val="lt-LT"/>
        </w:rPr>
      </w:pPr>
    </w:p>
    <w:p w14:paraId="25169711" w14:textId="77777777" w:rsidR="008D14F2" w:rsidRPr="00CD7E52" w:rsidRDefault="008D14F2" w:rsidP="00C00052">
      <w:pPr>
        <w:widowControl w:val="0"/>
        <w:tabs>
          <w:tab w:val="clear" w:pos="567"/>
        </w:tabs>
        <w:autoSpaceDE w:val="0"/>
        <w:autoSpaceDN w:val="0"/>
        <w:adjustRightInd w:val="0"/>
        <w:spacing w:line="240" w:lineRule="auto"/>
        <w:rPr>
          <w:b/>
          <w:szCs w:val="22"/>
          <w:lang w:val="lt-LT"/>
        </w:rPr>
      </w:pPr>
    </w:p>
    <w:p w14:paraId="6EAE3FF7" w14:textId="77777777" w:rsidR="008D14F2" w:rsidRPr="00CD7E52" w:rsidRDefault="008D14F2" w:rsidP="00C00052">
      <w:pPr>
        <w:widowControl w:val="0"/>
        <w:tabs>
          <w:tab w:val="clear" w:pos="567"/>
        </w:tabs>
        <w:autoSpaceDE w:val="0"/>
        <w:autoSpaceDN w:val="0"/>
        <w:adjustRightInd w:val="0"/>
        <w:spacing w:line="240" w:lineRule="auto"/>
        <w:rPr>
          <w:b/>
          <w:szCs w:val="22"/>
          <w:lang w:val="lt-LT"/>
        </w:rPr>
      </w:pPr>
    </w:p>
    <w:p w14:paraId="2DD8C9F0" w14:textId="77777777" w:rsidR="008D14F2" w:rsidRPr="00CD7E52" w:rsidRDefault="008D14F2" w:rsidP="00C00052">
      <w:pPr>
        <w:widowControl w:val="0"/>
        <w:tabs>
          <w:tab w:val="clear" w:pos="567"/>
        </w:tabs>
        <w:autoSpaceDE w:val="0"/>
        <w:autoSpaceDN w:val="0"/>
        <w:adjustRightInd w:val="0"/>
        <w:spacing w:line="240" w:lineRule="auto"/>
        <w:rPr>
          <w:b/>
          <w:szCs w:val="22"/>
          <w:lang w:val="lt-LT"/>
        </w:rPr>
      </w:pPr>
    </w:p>
    <w:p w14:paraId="70C7C28B" w14:textId="77777777" w:rsidR="008D14F2" w:rsidRPr="00CD7E52" w:rsidRDefault="008D14F2" w:rsidP="00C00052">
      <w:pPr>
        <w:widowControl w:val="0"/>
        <w:tabs>
          <w:tab w:val="clear" w:pos="567"/>
        </w:tabs>
        <w:autoSpaceDE w:val="0"/>
        <w:autoSpaceDN w:val="0"/>
        <w:adjustRightInd w:val="0"/>
        <w:spacing w:line="240" w:lineRule="auto"/>
        <w:rPr>
          <w:b/>
          <w:szCs w:val="22"/>
          <w:lang w:val="lt-LT"/>
        </w:rPr>
      </w:pPr>
    </w:p>
    <w:p w14:paraId="3A7F3DD7" w14:textId="77777777" w:rsidR="008D14F2" w:rsidRPr="00CD7E52" w:rsidRDefault="008D14F2" w:rsidP="00C00052">
      <w:pPr>
        <w:widowControl w:val="0"/>
        <w:tabs>
          <w:tab w:val="clear" w:pos="567"/>
        </w:tabs>
        <w:autoSpaceDE w:val="0"/>
        <w:autoSpaceDN w:val="0"/>
        <w:adjustRightInd w:val="0"/>
        <w:spacing w:line="240" w:lineRule="auto"/>
        <w:rPr>
          <w:b/>
          <w:szCs w:val="22"/>
          <w:lang w:val="lt-LT"/>
        </w:rPr>
      </w:pPr>
    </w:p>
    <w:p w14:paraId="3E7437F3" w14:textId="77777777" w:rsidR="008D14F2" w:rsidRPr="00CD7E52" w:rsidRDefault="008D14F2" w:rsidP="00C00052">
      <w:pPr>
        <w:widowControl w:val="0"/>
        <w:tabs>
          <w:tab w:val="clear" w:pos="567"/>
        </w:tabs>
        <w:autoSpaceDE w:val="0"/>
        <w:autoSpaceDN w:val="0"/>
        <w:adjustRightInd w:val="0"/>
        <w:spacing w:line="240" w:lineRule="auto"/>
        <w:rPr>
          <w:b/>
          <w:szCs w:val="22"/>
          <w:lang w:val="lt-LT"/>
        </w:rPr>
      </w:pPr>
    </w:p>
    <w:p w14:paraId="0B932CC3" w14:textId="77777777" w:rsidR="008D14F2" w:rsidRPr="00CD7E52" w:rsidRDefault="008D14F2" w:rsidP="00C00052">
      <w:pPr>
        <w:widowControl w:val="0"/>
        <w:tabs>
          <w:tab w:val="clear" w:pos="567"/>
        </w:tabs>
        <w:autoSpaceDE w:val="0"/>
        <w:autoSpaceDN w:val="0"/>
        <w:adjustRightInd w:val="0"/>
        <w:spacing w:line="240" w:lineRule="auto"/>
        <w:rPr>
          <w:b/>
          <w:szCs w:val="22"/>
          <w:lang w:val="lt-LT"/>
        </w:rPr>
      </w:pPr>
    </w:p>
    <w:p w14:paraId="2828F342" w14:textId="77777777" w:rsidR="008D14F2" w:rsidRPr="00CD7E52" w:rsidRDefault="008D14F2" w:rsidP="00C00052">
      <w:pPr>
        <w:widowControl w:val="0"/>
        <w:tabs>
          <w:tab w:val="clear" w:pos="567"/>
        </w:tabs>
        <w:autoSpaceDE w:val="0"/>
        <w:autoSpaceDN w:val="0"/>
        <w:adjustRightInd w:val="0"/>
        <w:spacing w:line="240" w:lineRule="auto"/>
        <w:rPr>
          <w:b/>
          <w:szCs w:val="22"/>
          <w:lang w:val="lt-LT"/>
        </w:rPr>
      </w:pPr>
    </w:p>
    <w:p w14:paraId="4608EA37" w14:textId="77777777" w:rsidR="008D14F2" w:rsidRPr="00CD7E52" w:rsidRDefault="008D14F2" w:rsidP="00C00052">
      <w:pPr>
        <w:widowControl w:val="0"/>
        <w:tabs>
          <w:tab w:val="clear" w:pos="567"/>
        </w:tabs>
        <w:autoSpaceDE w:val="0"/>
        <w:autoSpaceDN w:val="0"/>
        <w:adjustRightInd w:val="0"/>
        <w:spacing w:line="240" w:lineRule="auto"/>
        <w:rPr>
          <w:b/>
          <w:szCs w:val="22"/>
          <w:lang w:val="lt-LT"/>
        </w:rPr>
      </w:pPr>
    </w:p>
    <w:p w14:paraId="5F0E2582" w14:textId="77777777" w:rsidR="008D14F2" w:rsidRPr="00CD7E52" w:rsidRDefault="008D14F2" w:rsidP="00C00052">
      <w:pPr>
        <w:widowControl w:val="0"/>
        <w:tabs>
          <w:tab w:val="clear" w:pos="567"/>
        </w:tabs>
        <w:autoSpaceDE w:val="0"/>
        <w:autoSpaceDN w:val="0"/>
        <w:adjustRightInd w:val="0"/>
        <w:spacing w:line="240" w:lineRule="auto"/>
        <w:rPr>
          <w:b/>
          <w:szCs w:val="22"/>
          <w:lang w:val="lt-LT"/>
        </w:rPr>
      </w:pPr>
    </w:p>
    <w:p w14:paraId="3CC1CAC9" w14:textId="77777777" w:rsidR="008D14F2" w:rsidRPr="00CD7E52" w:rsidRDefault="008D14F2" w:rsidP="00C00052">
      <w:pPr>
        <w:widowControl w:val="0"/>
        <w:tabs>
          <w:tab w:val="clear" w:pos="567"/>
        </w:tabs>
        <w:autoSpaceDE w:val="0"/>
        <w:autoSpaceDN w:val="0"/>
        <w:adjustRightInd w:val="0"/>
        <w:spacing w:line="240" w:lineRule="auto"/>
        <w:rPr>
          <w:b/>
          <w:szCs w:val="22"/>
          <w:lang w:val="lt-LT"/>
        </w:rPr>
      </w:pPr>
    </w:p>
    <w:p w14:paraId="718D63B3" w14:textId="77777777" w:rsidR="008D14F2" w:rsidRPr="00CD7E52" w:rsidRDefault="008D14F2" w:rsidP="00C00052">
      <w:pPr>
        <w:widowControl w:val="0"/>
        <w:tabs>
          <w:tab w:val="clear" w:pos="567"/>
        </w:tabs>
        <w:autoSpaceDE w:val="0"/>
        <w:autoSpaceDN w:val="0"/>
        <w:adjustRightInd w:val="0"/>
        <w:spacing w:line="240" w:lineRule="auto"/>
        <w:rPr>
          <w:b/>
          <w:szCs w:val="22"/>
          <w:lang w:val="lt-LT"/>
        </w:rPr>
      </w:pPr>
    </w:p>
    <w:p w14:paraId="5836AC55" w14:textId="77777777" w:rsidR="008D14F2" w:rsidRPr="00CD7E52" w:rsidRDefault="008D14F2" w:rsidP="00C00052">
      <w:pPr>
        <w:widowControl w:val="0"/>
        <w:tabs>
          <w:tab w:val="clear" w:pos="567"/>
        </w:tabs>
        <w:autoSpaceDE w:val="0"/>
        <w:autoSpaceDN w:val="0"/>
        <w:adjustRightInd w:val="0"/>
        <w:spacing w:line="240" w:lineRule="auto"/>
        <w:rPr>
          <w:b/>
          <w:szCs w:val="22"/>
          <w:lang w:val="lt-LT"/>
        </w:rPr>
      </w:pPr>
    </w:p>
    <w:p w14:paraId="447E1EB5" w14:textId="77777777" w:rsidR="008D14F2" w:rsidRPr="00CD7E52" w:rsidRDefault="008D14F2" w:rsidP="00C00052">
      <w:pPr>
        <w:widowControl w:val="0"/>
        <w:tabs>
          <w:tab w:val="clear" w:pos="567"/>
        </w:tabs>
        <w:autoSpaceDE w:val="0"/>
        <w:autoSpaceDN w:val="0"/>
        <w:adjustRightInd w:val="0"/>
        <w:spacing w:line="240" w:lineRule="auto"/>
        <w:rPr>
          <w:b/>
          <w:szCs w:val="22"/>
          <w:lang w:val="lt-LT"/>
        </w:rPr>
      </w:pPr>
    </w:p>
    <w:p w14:paraId="356CD9D3" w14:textId="77777777" w:rsidR="008D14F2" w:rsidRPr="00CD7E52" w:rsidRDefault="008D14F2" w:rsidP="00C00052">
      <w:pPr>
        <w:widowControl w:val="0"/>
        <w:autoSpaceDE w:val="0"/>
        <w:autoSpaceDN w:val="0"/>
        <w:adjustRightInd w:val="0"/>
        <w:rPr>
          <w:szCs w:val="22"/>
          <w:lang w:val="lt-LT"/>
        </w:rPr>
      </w:pPr>
    </w:p>
    <w:p w14:paraId="2BED45DA" w14:textId="77777777" w:rsidR="008D14F2" w:rsidRPr="00CD7E52" w:rsidRDefault="008D14F2" w:rsidP="00C00052">
      <w:pPr>
        <w:keepNext/>
        <w:widowControl w:val="0"/>
        <w:autoSpaceDE w:val="0"/>
        <w:autoSpaceDN w:val="0"/>
        <w:adjustRightInd w:val="0"/>
        <w:spacing w:line="240" w:lineRule="auto"/>
        <w:jc w:val="center"/>
        <w:outlineLvl w:val="1"/>
        <w:rPr>
          <w:i/>
          <w:snapToGrid/>
          <w:szCs w:val="22"/>
          <w:lang w:val="lt-LT" w:eastAsia="lt-LT"/>
        </w:rPr>
      </w:pPr>
      <w:r w:rsidRPr="00CD7E52">
        <w:rPr>
          <w:b/>
          <w:szCs w:val="22"/>
          <w:lang w:val="lt-LT"/>
        </w:rPr>
        <w:t>A. ŽENKLINIMAS</w:t>
      </w:r>
    </w:p>
    <w:p w14:paraId="489D79A3"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zCs w:val="22"/>
          <w:lang w:val="lt-LT"/>
        </w:rPr>
      </w:pPr>
      <w:r w:rsidRPr="00CD7E52">
        <w:rPr>
          <w:szCs w:val="22"/>
          <w:lang w:val="lt-LT"/>
        </w:rPr>
        <w:br w:type="page"/>
      </w:r>
      <w:r w:rsidRPr="00CD7E52">
        <w:rPr>
          <w:b/>
          <w:szCs w:val="22"/>
          <w:lang w:val="lt-LT"/>
        </w:rPr>
        <w:lastRenderedPageBreak/>
        <w:t>INFORMACIJA ANT IŠORINĖS PAKUOTĖS – PAKUOTĖ GYDYMUI PRADĖTI</w:t>
      </w:r>
    </w:p>
    <w:p w14:paraId="5C5039F4" w14:textId="77777777" w:rsidR="00643848" w:rsidRPr="00CD7E52" w:rsidRDefault="00643848"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zCs w:val="22"/>
          <w:lang w:val="lt-LT"/>
        </w:rPr>
      </w:pPr>
    </w:p>
    <w:p w14:paraId="0CCC3A62" w14:textId="77777777" w:rsidR="008D14F2" w:rsidRPr="00CD7E52" w:rsidRDefault="00643848" w:rsidP="00643848">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zCs w:val="22"/>
          <w:lang w:val="lt-LT"/>
        </w:rPr>
      </w:pPr>
      <w:r w:rsidRPr="00CD7E52">
        <w:rPr>
          <w:b/>
          <w:szCs w:val="22"/>
          <w:lang w:val="lt-LT"/>
        </w:rPr>
        <w:t>IŠORINĖ KARTONO DĖŽUTĖ</w:t>
      </w:r>
    </w:p>
    <w:p w14:paraId="11E874EE" w14:textId="77777777" w:rsidR="008D14F2" w:rsidRPr="00CD7E52" w:rsidRDefault="008D14F2" w:rsidP="00C00052">
      <w:pPr>
        <w:widowControl w:val="0"/>
        <w:autoSpaceDE w:val="0"/>
        <w:autoSpaceDN w:val="0"/>
        <w:adjustRightInd w:val="0"/>
        <w:rPr>
          <w:szCs w:val="22"/>
          <w:lang w:val="lt-LT"/>
        </w:rPr>
      </w:pPr>
    </w:p>
    <w:p w14:paraId="1DDA9233" w14:textId="77777777" w:rsidR="008D14F2" w:rsidRPr="00CD7E52" w:rsidRDefault="008D14F2" w:rsidP="00C00052">
      <w:pPr>
        <w:widowControl w:val="0"/>
        <w:autoSpaceDE w:val="0"/>
        <w:autoSpaceDN w:val="0"/>
        <w:adjustRightInd w:val="0"/>
        <w:rPr>
          <w:szCs w:val="22"/>
          <w:lang w:val="lt-LT"/>
        </w:rPr>
      </w:pPr>
    </w:p>
    <w:p w14:paraId="652769CB"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snapToGrid/>
          <w:szCs w:val="22"/>
          <w:lang w:val="lt-LT" w:eastAsia="lt-LT"/>
        </w:rPr>
      </w:pPr>
      <w:r w:rsidRPr="00CD7E52">
        <w:rPr>
          <w:b/>
          <w:szCs w:val="22"/>
          <w:lang w:val="lt-LT"/>
        </w:rPr>
        <w:t>1.</w:t>
      </w:r>
      <w:r w:rsidRPr="00CD7E52">
        <w:rPr>
          <w:b/>
          <w:szCs w:val="22"/>
          <w:lang w:val="lt-LT"/>
        </w:rPr>
        <w:tab/>
      </w:r>
      <w:r w:rsidRPr="00CD7E52">
        <w:rPr>
          <w:b/>
          <w:caps/>
          <w:szCs w:val="22"/>
          <w:lang w:val="lt-LT"/>
        </w:rPr>
        <w:t>VAISTINIO</w:t>
      </w:r>
      <w:r w:rsidRPr="00CD7E52">
        <w:rPr>
          <w:b/>
          <w:szCs w:val="22"/>
          <w:lang w:val="lt-LT"/>
        </w:rPr>
        <w:t xml:space="preserve"> PREPARATO PAVADINIMAS</w:t>
      </w:r>
    </w:p>
    <w:p w14:paraId="34128496" w14:textId="77777777" w:rsidR="008D14F2" w:rsidRPr="00CD7E52" w:rsidRDefault="008D14F2" w:rsidP="00C00052">
      <w:pPr>
        <w:widowControl w:val="0"/>
        <w:autoSpaceDE w:val="0"/>
        <w:autoSpaceDN w:val="0"/>
        <w:adjustRightInd w:val="0"/>
        <w:rPr>
          <w:szCs w:val="22"/>
          <w:lang w:val="lt-LT"/>
        </w:rPr>
      </w:pPr>
    </w:p>
    <w:p w14:paraId="4575414A" w14:textId="77777777" w:rsidR="008D14F2" w:rsidRPr="00CD7E52" w:rsidRDefault="005A4193" w:rsidP="00C00052">
      <w:pPr>
        <w:widowControl w:val="0"/>
        <w:autoSpaceDE w:val="0"/>
        <w:autoSpaceDN w:val="0"/>
        <w:adjustRightInd w:val="0"/>
        <w:rPr>
          <w:snapToGrid/>
          <w:szCs w:val="22"/>
          <w:lang w:val="lt-LT" w:eastAsia="lt-LT"/>
        </w:rPr>
      </w:pPr>
      <w:r w:rsidRPr="00CD7E52">
        <w:rPr>
          <w:szCs w:val="22"/>
          <w:lang w:val="lt-LT"/>
        </w:rPr>
        <w:t>Apremilast STADA</w:t>
      </w:r>
      <w:r w:rsidR="00D6703D" w:rsidRPr="00CD7E52">
        <w:rPr>
          <w:szCs w:val="22"/>
          <w:lang w:val="lt-LT"/>
        </w:rPr>
        <w:t xml:space="preserve"> </w:t>
      </w:r>
      <w:r w:rsidR="008D14F2" w:rsidRPr="00CD7E52">
        <w:rPr>
          <w:szCs w:val="22"/>
          <w:lang w:val="lt-LT"/>
        </w:rPr>
        <w:t xml:space="preserve">10 mg </w:t>
      </w:r>
      <w:r w:rsidR="00D6703D" w:rsidRPr="00CD7E52">
        <w:rPr>
          <w:szCs w:val="22"/>
          <w:lang w:val="lt-LT"/>
        </w:rPr>
        <w:t xml:space="preserve">+ 20 mg + 30 mg </w:t>
      </w:r>
      <w:r w:rsidR="008D14F2" w:rsidRPr="00CD7E52">
        <w:rPr>
          <w:szCs w:val="22"/>
          <w:lang w:val="lt-LT"/>
        </w:rPr>
        <w:t>plėvele dengtos tabletės</w:t>
      </w:r>
    </w:p>
    <w:p w14:paraId="3E5682B5" w14:textId="77777777" w:rsidR="008D14F2" w:rsidRPr="00CD7E52" w:rsidRDefault="008D14F2" w:rsidP="00C00052">
      <w:pPr>
        <w:tabs>
          <w:tab w:val="clear" w:pos="567"/>
        </w:tabs>
        <w:autoSpaceDE w:val="0"/>
        <w:autoSpaceDN w:val="0"/>
        <w:adjustRightInd w:val="0"/>
        <w:spacing w:line="240" w:lineRule="auto"/>
        <w:rPr>
          <w:i/>
          <w:szCs w:val="22"/>
          <w:lang w:val="lt-LT"/>
        </w:rPr>
      </w:pPr>
      <w:r w:rsidRPr="00CD7E52">
        <w:rPr>
          <w:i/>
          <w:color w:val="000000"/>
          <w:szCs w:val="22"/>
          <w:lang w:val="lt-LT"/>
        </w:rPr>
        <w:t>apremilastum</w:t>
      </w:r>
    </w:p>
    <w:p w14:paraId="17E136E4" w14:textId="77777777" w:rsidR="008D14F2" w:rsidRPr="00CD7E52" w:rsidRDefault="008D14F2" w:rsidP="00C00052">
      <w:pPr>
        <w:widowControl w:val="0"/>
        <w:autoSpaceDE w:val="0"/>
        <w:autoSpaceDN w:val="0"/>
        <w:adjustRightInd w:val="0"/>
        <w:rPr>
          <w:szCs w:val="22"/>
          <w:lang w:val="lt-LT"/>
        </w:rPr>
      </w:pPr>
    </w:p>
    <w:p w14:paraId="36039A34" w14:textId="77777777" w:rsidR="008D14F2" w:rsidRPr="00CD7E52" w:rsidRDefault="008D14F2" w:rsidP="00C00052">
      <w:pPr>
        <w:widowControl w:val="0"/>
        <w:autoSpaceDE w:val="0"/>
        <w:autoSpaceDN w:val="0"/>
        <w:adjustRightInd w:val="0"/>
        <w:rPr>
          <w:szCs w:val="22"/>
          <w:lang w:val="lt-LT"/>
        </w:rPr>
      </w:pPr>
    </w:p>
    <w:p w14:paraId="433F7A68"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
          <w:snapToGrid/>
          <w:szCs w:val="22"/>
          <w:lang w:val="lt-LT" w:eastAsia="lt-LT"/>
        </w:rPr>
      </w:pPr>
      <w:r w:rsidRPr="00CD7E52">
        <w:rPr>
          <w:b/>
          <w:szCs w:val="22"/>
          <w:lang w:val="lt-LT"/>
        </w:rPr>
        <w:t>2.</w:t>
      </w:r>
      <w:r w:rsidRPr="00CD7E52">
        <w:rPr>
          <w:b/>
          <w:szCs w:val="22"/>
          <w:lang w:val="lt-LT"/>
        </w:rPr>
        <w:tab/>
        <w:t>VEIKLIOJI (-IOS) MEDŽIAGA (-OS) IR JOS (-Ų) KIEKIS (-IAI)</w:t>
      </w:r>
    </w:p>
    <w:p w14:paraId="7547C67D" w14:textId="77777777" w:rsidR="008D14F2" w:rsidRPr="00CD7E52" w:rsidRDefault="008D14F2" w:rsidP="00C00052">
      <w:pPr>
        <w:widowControl w:val="0"/>
        <w:autoSpaceDE w:val="0"/>
        <w:autoSpaceDN w:val="0"/>
        <w:adjustRightInd w:val="0"/>
        <w:rPr>
          <w:szCs w:val="22"/>
          <w:lang w:val="lt-LT"/>
        </w:rPr>
      </w:pPr>
    </w:p>
    <w:p w14:paraId="5D969A07" w14:textId="77777777" w:rsidR="008D14F2" w:rsidRPr="00CD7E52" w:rsidRDefault="008D14F2" w:rsidP="00C00052">
      <w:pPr>
        <w:widowControl w:val="0"/>
        <w:autoSpaceDE w:val="0"/>
        <w:autoSpaceDN w:val="0"/>
        <w:adjustRightInd w:val="0"/>
        <w:rPr>
          <w:snapToGrid/>
          <w:szCs w:val="22"/>
          <w:lang w:val="lt-LT" w:eastAsia="lt-LT"/>
        </w:rPr>
      </w:pPr>
      <w:r w:rsidRPr="00CD7E52">
        <w:rPr>
          <w:szCs w:val="22"/>
          <w:lang w:val="lt-LT"/>
        </w:rPr>
        <w:t>Kiekvienoje tabletėje yra 10 mg, 20 mg ar 30 mg apremilasto.</w:t>
      </w:r>
    </w:p>
    <w:p w14:paraId="759FD8AE" w14:textId="77777777" w:rsidR="008D14F2" w:rsidRPr="00CD7E52" w:rsidRDefault="008D14F2" w:rsidP="00C00052">
      <w:pPr>
        <w:widowControl w:val="0"/>
        <w:autoSpaceDE w:val="0"/>
        <w:autoSpaceDN w:val="0"/>
        <w:adjustRightInd w:val="0"/>
        <w:rPr>
          <w:szCs w:val="22"/>
          <w:lang w:val="lt-LT"/>
        </w:rPr>
      </w:pPr>
    </w:p>
    <w:p w14:paraId="104878C2" w14:textId="77777777" w:rsidR="008D14F2" w:rsidRPr="00CD7E52" w:rsidRDefault="008D14F2" w:rsidP="00C00052">
      <w:pPr>
        <w:widowControl w:val="0"/>
        <w:autoSpaceDE w:val="0"/>
        <w:autoSpaceDN w:val="0"/>
        <w:adjustRightInd w:val="0"/>
        <w:rPr>
          <w:szCs w:val="22"/>
          <w:lang w:val="lt-LT"/>
        </w:rPr>
      </w:pPr>
    </w:p>
    <w:p w14:paraId="474D7388"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snapToGrid/>
          <w:szCs w:val="22"/>
          <w:lang w:val="lt-LT" w:eastAsia="lt-LT"/>
        </w:rPr>
      </w:pPr>
      <w:r w:rsidRPr="00CD7E52">
        <w:rPr>
          <w:b/>
          <w:szCs w:val="22"/>
          <w:lang w:val="lt-LT"/>
        </w:rPr>
        <w:t>3.</w:t>
      </w:r>
      <w:r w:rsidRPr="00CD7E52">
        <w:rPr>
          <w:b/>
          <w:szCs w:val="22"/>
          <w:lang w:val="lt-LT"/>
        </w:rPr>
        <w:tab/>
        <w:t>PAGALBINIŲ MEDŽIAGŲ SĄRAŠAS</w:t>
      </w:r>
    </w:p>
    <w:p w14:paraId="01560612" w14:textId="77777777" w:rsidR="008D14F2" w:rsidRPr="00CD7E52" w:rsidRDefault="008D14F2" w:rsidP="00C00052">
      <w:pPr>
        <w:widowControl w:val="0"/>
        <w:autoSpaceDE w:val="0"/>
        <w:autoSpaceDN w:val="0"/>
        <w:adjustRightInd w:val="0"/>
        <w:rPr>
          <w:szCs w:val="22"/>
          <w:lang w:val="lt-LT"/>
        </w:rPr>
      </w:pPr>
    </w:p>
    <w:p w14:paraId="5C3395F6" w14:textId="77777777" w:rsidR="008D14F2" w:rsidRPr="00CD7E52" w:rsidRDefault="008D14F2" w:rsidP="00C00052">
      <w:pPr>
        <w:widowControl w:val="0"/>
        <w:autoSpaceDE w:val="0"/>
        <w:autoSpaceDN w:val="0"/>
        <w:adjustRightInd w:val="0"/>
        <w:rPr>
          <w:snapToGrid/>
          <w:szCs w:val="22"/>
          <w:lang w:val="lt-LT" w:eastAsia="lt-LT"/>
        </w:rPr>
      </w:pPr>
      <w:r w:rsidRPr="00CD7E52">
        <w:rPr>
          <w:szCs w:val="22"/>
          <w:lang w:val="lt-LT"/>
        </w:rPr>
        <w:t>Sudėtyje yra laktozės.</w:t>
      </w:r>
    </w:p>
    <w:p w14:paraId="420CEBC4" w14:textId="77777777" w:rsidR="008D14F2" w:rsidRPr="00CD7E52" w:rsidRDefault="008D14F2" w:rsidP="00C00052">
      <w:pPr>
        <w:widowControl w:val="0"/>
        <w:autoSpaceDE w:val="0"/>
        <w:autoSpaceDN w:val="0"/>
        <w:adjustRightInd w:val="0"/>
        <w:rPr>
          <w:snapToGrid/>
          <w:szCs w:val="22"/>
          <w:lang w:val="lt-LT" w:eastAsia="lt-LT"/>
        </w:rPr>
      </w:pPr>
      <w:r w:rsidRPr="00425717">
        <w:rPr>
          <w:szCs w:val="22"/>
          <w:highlight w:val="lightGray"/>
          <w:lang w:val="lt-LT"/>
        </w:rPr>
        <w:t xml:space="preserve">Daugiau informacijos </w:t>
      </w:r>
      <w:r w:rsidR="00621A90" w:rsidRPr="00425717">
        <w:rPr>
          <w:szCs w:val="22"/>
          <w:highlight w:val="lightGray"/>
          <w:lang w:val="lt-LT"/>
        </w:rPr>
        <w:t xml:space="preserve">žr. </w:t>
      </w:r>
      <w:r w:rsidRPr="00425717">
        <w:rPr>
          <w:szCs w:val="22"/>
          <w:highlight w:val="lightGray"/>
          <w:lang w:val="lt-LT"/>
        </w:rPr>
        <w:t>pakuotės lapelyje.</w:t>
      </w:r>
    </w:p>
    <w:p w14:paraId="04BD84A4" w14:textId="77777777" w:rsidR="008D14F2" w:rsidRPr="00CD7E52" w:rsidRDefault="008D14F2" w:rsidP="00C00052">
      <w:pPr>
        <w:widowControl w:val="0"/>
        <w:autoSpaceDE w:val="0"/>
        <w:autoSpaceDN w:val="0"/>
        <w:adjustRightInd w:val="0"/>
        <w:rPr>
          <w:szCs w:val="22"/>
          <w:lang w:val="lt-LT"/>
        </w:rPr>
      </w:pPr>
    </w:p>
    <w:p w14:paraId="75963129" w14:textId="77777777" w:rsidR="008D14F2" w:rsidRPr="00CD7E52" w:rsidRDefault="008D14F2" w:rsidP="00C00052">
      <w:pPr>
        <w:widowControl w:val="0"/>
        <w:autoSpaceDE w:val="0"/>
        <w:autoSpaceDN w:val="0"/>
        <w:adjustRightInd w:val="0"/>
        <w:rPr>
          <w:szCs w:val="22"/>
          <w:lang w:val="lt-LT"/>
        </w:rPr>
      </w:pPr>
    </w:p>
    <w:p w14:paraId="1DE8EAD5"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snapToGrid/>
          <w:szCs w:val="22"/>
          <w:lang w:val="lt-LT" w:eastAsia="lt-LT"/>
        </w:rPr>
      </w:pPr>
      <w:r w:rsidRPr="00CD7E52">
        <w:rPr>
          <w:b/>
          <w:szCs w:val="22"/>
          <w:lang w:val="lt-LT"/>
        </w:rPr>
        <w:t>4.</w:t>
      </w:r>
      <w:r w:rsidRPr="00CD7E52">
        <w:rPr>
          <w:b/>
          <w:szCs w:val="22"/>
          <w:lang w:val="lt-LT"/>
        </w:rPr>
        <w:tab/>
        <w:t>FARMACINĖ FORMA IR KIEKIS PAKUOTĖJE</w:t>
      </w:r>
    </w:p>
    <w:p w14:paraId="0B85A774" w14:textId="77777777" w:rsidR="008D14F2" w:rsidRPr="00CD7E52" w:rsidRDefault="008D14F2" w:rsidP="00C00052">
      <w:pPr>
        <w:widowControl w:val="0"/>
        <w:autoSpaceDE w:val="0"/>
        <w:autoSpaceDN w:val="0"/>
        <w:adjustRightInd w:val="0"/>
        <w:rPr>
          <w:szCs w:val="22"/>
          <w:lang w:val="lt-LT"/>
        </w:rPr>
      </w:pPr>
    </w:p>
    <w:p w14:paraId="2175B7DA" w14:textId="77777777" w:rsidR="008D14F2" w:rsidRPr="00CD7E52" w:rsidRDefault="008D14F2" w:rsidP="00C00052">
      <w:pPr>
        <w:widowControl w:val="0"/>
        <w:autoSpaceDE w:val="0"/>
        <w:autoSpaceDN w:val="0"/>
        <w:adjustRightInd w:val="0"/>
        <w:rPr>
          <w:szCs w:val="22"/>
          <w:lang w:val="lt-LT"/>
        </w:rPr>
      </w:pPr>
      <w:r w:rsidRPr="00425717">
        <w:rPr>
          <w:szCs w:val="22"/>
          <w:highlight w:val="lightGray"/>
          <w:lang w:val="lt-LT"/>
        </w:rPr>
        <w:t>Plėvele dengta tabletė</w:t>
      </w:r>
    </w:p>
    <w:p w14:paraId="3C1AEE34" w14:textId="77777777" w:rsidR="00577C36" w:rsidRPr="00CD7E52" w:rsidRDefault="00577C36" w:rsidP="00C00052">
      <w:pPr>
        <w:widowControl w:val="0"/>
        <w:autoSpaceDE w:val="0"/>
        <w:autoSpaceDN w:val="0"/>
        <w:adjustRightInd w:val="0"/>
        <w:rPr>
          <w:szCs w:val="22"/>
          <w:lang w:val="lt-LT"/>
        </w:rPr>
      </w:pPr>
    </w:p>
    <w:p w14:paraId="703109B8" w14:textId="77777777" w:rsidR="00577C36" w:rsidRPr="00CD7E52" w:rsidRDefault="00577C36" w:rsidP="00C00052">
      <w:pPr>
        <w:widowControl w:val="0"/>
        <w:autoSpaceDE w:val="0"/>
        <w:autoSpaceDN w:val="0"/>
        <w:adjustRightInd w:val="0"/>
        <w:rPr>
          <w:snapToGrid/>
          <w:szCs w:val="22"/>
          <w:lang w:val="lt-LT" w:eastAsia="lt-LT"/>
        </w:rPr>
      </w:pPr>
      <w:r w:rsidRPr="00CD7E52">
        <w:rPr>
          <w:szCs w:val="22"/>
          <w:lang w:val="lt-LT"/>
        </w:rPr>
        <w:t>[</w:t>
      </w:r>
      <w:r w:rsidR="007C20FD" w:rsidRPr="00CD7E52">
        <w:rPr>
          <w:szCs w:val="22"/>
          <w:lang w:val="lt-LT"/>
        </w:rPr>
        <w:t>Lizdinė plokštelė]</w:t>
      </w:r>
    </w:p>
    <w:p w14:paraId="244EC6F7" w14:textId="77777777" w:rsidR="008D14F2" w:rsidRPr="00CD7E52" w:rsidRDefault="008D14F2" w:rsidP="00C00052">
      <w:pPr>
        <w:widowControl w:val="0"/>
        <w:autoSpaceDE w:val="0"/>
        <w:autoSpaceDN w:val="0"/>
        <w:adjustRightInd w:val="0"/>
        <w:rPr>
          <w:szCs w:val="22"/>
          <w:lang w:val="lt-LT"/>
        </w:rPr>
      </w:pPr>
    </w:p>
    <w:p w14:paraId="7D33B397" w14:textId="77777777" w:rsidR="003B5E25" w:rsidRPr="00CD7E52" w:rsidRDefault="0078578A" w:rsidP="00026972">
      <w:pPr>
        <w:widowControl w:val="0"/>
        <w:autoSpaceDE w:val="0"/>
        <w:autoSpaceDN w:val="0"/>
        <w:adjustRightInd w:val="0"/>
        <w:rPr>
          <w:szCs w:val="22"/>
          <w:lang w:val="lt-LT"/>
        </w:rPr>
      </w:pPr>
      <w:r w:rsidRPr="00CD7E52">
        <w:rPr>
          <w:szCs w:val="22"/>
          <w:lang w:val="lt-LT"/>
        </w:rPr>
        <w:t>Gydymo pradžios pakuotė</w:t>
      </w:r>
      <w:r w:rsidR="007C20FD" w:rsidRPr="00CD7E52">
        <w:rPr>
          <w:szCs w:val="22"/>
          <w:lang w:val="lt-LT"/>
        </w:rPr>
        <w:t xml:space="preserve">. </w:t>
      </w:r>
      <w:r w:rsidR="00256824" w:rsidRPr="00CD7E52">
        <w:rPr>
          <w:szCs w:val="22"/>
          <w:lang w:val="lt-LT"/>
        </w:rPr>
        <w:t>Kiekvienoje 27 plėvele dengtų tablečių pakuotėje, skirtoje 2 savaičių gydymui</w:t>
      </w:r>
      <w:r w:rsidR="00353A7E" w:rsidRPr="00CD7E52">
        <w:rPr>
          <w:szCs w:val="22"/>
          <w:lang w:val="lt-LT"/>
        </w:rPr>
        <w:t>,</w:t>
      </w:r>
      <w:r w:rsidR="00256824" w:rsidRPr="00CD7E52">
        <w:rPr>
          <w:szCs w:val="22"/>
          <w:lang w:val="lt-LT"/>
        </w:rPr>
        <w:t xml:space="preserve"> yra:</w:t>
      </w:r>
    </w:p>
    <w:p w14:paraId="437D9B18" w14:textId="77777777" w:rsidR="0058730E" w:rsidRPr="00CD7E52" w:rsidRDefault="0058730E" w:rsidP="0058730E">
      <w:pPr>
        <w:widowControl w:val="0"/>
        <w:autoSpaceDE w:val="0"/>
        <w:autoSpaceDN w:val="0"/>
        <w:adjustRightInd w:val="0"/>
        <w:rPr>
          <w:snapToGrid/>
          <w:szCs w:val="22"/>
          <w:lang w:val="lt-LT" w:eastAsia="lt-LT"/>
        </w:rPr>
      </w:pPr>
      <w:r w:rsidRPr="00CD7E52">
        <w:rPr>
          <w:szCs w:val="22"/>
          <w:lang w:val="lt-LT"/>
        </w:rPr>
        <w:t xml:space="preserve">4 x 10 mg plėvele dengtos tabletės </w:t>
      </w:r>
      <w:r w:rsidRPr="00CD7E52">
        <w:rPr>
          <w:noProof/>
          <w:szCs w:val="22"/>
          <w:lang w:val="lt-LT"/>
        </w:rPr>
        <w:t>(vartoti 1 – 3 dieną)</w:t>
      </w:r>
    </w:p>
    <w:p w14:paraId="44B3CFA5" w14:textId="77777777" w:rsidR="0058730E" w:rsidRPr="00CD7E52" w:rsidRDefault="0058730E" w:rsidP="0058730E">
      <w:pPr>
        <w:widowControl w:val="0"/>
        <w:autoSpaceDE w:val="0"/>
        <w:autoSpaceDN w:val="0"/>
        <w:adjustRightInd w:val="0"/>
        <w:rPr>
          <w:szCs w:val="22"/>
          <w:lang w:val="lt-LT" w:eastAsia="lt-LT"/>
        </w:rPr>
      </w:pPr>
      <w:r w:rsidRPr="00CD7E52">
        <w:rPr>
          <w:szCs w:val="22"/>
          <w:lang w:val="lt-LT"/>
        </w:rPr>
        <w:t xml:space="preserve">4 x 20 mg plėvele dengtos tabletės </w:t>
      </w:r>
      <w:r w:rsidRPr="00CD7E52">
        <w:rPr>
          <w:noProof/>
          <w:szCs w:val="22"/>
          <w:lang w:val="lt-LT"/>
        </w:rPr>
        <w:t>(vartoti 3 – 5 dieną)</w:t>
      </w:r>
    </w:p>
    <w:p w14:paraId="4131C44F" w14:textId="77777777" w:rsidR="0058730E" w:rsidRPr="00CD7E52" w:rsidRDefault="0058730E" w:rsidP="0058730E">
      <w:pPr>
        <w:widowControl w:val="0"/>
        <w:autoSpaceDE w:val="0"/>
        <w:autoSpaceDN w:val="0"/>
        <w:adjustRightInd w:val="0"/>
        <w:rPr>
          <w:szCs w:val="22"/>
          <w:lang w:val="lt-LT" w:eastAsia="lt-LT"/>
        </w:rPr>
      </w:pPr>
      <w:r w:rsidRPr="00CD7E52">
        <w:rPr>
          <w:szCs w:val="22"/>
          <w:lang w:val="lt-LT"/>
        </w:rPr>
        <w:t xml:space="preserve">19 x 30 mg plėvele dengtų tablečių </w:t>
      </w:r>
      <w:r w:rsidRPr="00CD7E52">
        <w:rPr>
          <w:noProof/>
          <w:szCs w:val="22"/>
          <w:lang w:val="lt-LT"/>
        </w:rPr>
        <w:t>(vartoti 5 –14 dieną)</w:t>
      </w:r>
    </w:p>
    <w:p w14:paraId="2D44DC99" w14:textId="77777777" w:rsidR="0058730E" w:rsidRPr="00CD7E52" w:rsidRDefault="0058730E" w:rsidP="00026972">
      <w:pPr>
        <w:widowControl w:val="0"/>
        <w:autoSpaceDE w:val="0"/>
        <w:autoSpaceDN w:val="0"/>
        <w:adjustRightInd w:val="0"/>
        <w:rPr>
          <w:szCs w:val="22"/>
          <w:lang w:val="lt-LT"/>
        </w:rPr>
      </w:pPr>
    </w:p>
    <w:p w14:paraId="45CFA183" w14:textId="77777777" w:rsidR="003B5E25" w:rsidRPr="00CD7E52" w:rsidRDefault="003B5E25" w:rsidP="00026972">
      <w:pPr>
        <w:widowControl w:val="0"/>
        <w:autoSpaceDE w:val="0"/>
        <w:autoSpaceDN w:val="0"/>
        <w:adjustRightInd w:val="0"/>
        <w:rPr>
          <w:snapToGrid/>
          <w:szCs w:val="22"/>
          <w:lang w:val="lt-LT" w:eastAsia="lt-LT"/>
        </w:rPr>
      </w:pPr>
      <w:r w:rsidRPr="00CD7E52">
        <w:rPr>
          <w:szCs w:val="22"/>
          <w:lang w:val="lt-LT"/>
        </w:rPr>
        <w:t>[</w:t>
      </w:r>
      <w:r w:rsidR="001274AB" w:rsidRPr="00CD7E52">
        <w:rPr>
          <w:szCs w:val="22"/>
          <w:lang w:val="lt-LT"/>
        </w:rPr>
        <w:t>Dalomoji</w:t>
      </w:r>
      <w:r w:rsidR="00F81CD7" w:rsidRPr="00CD7E52">
        <w:rPr>
          <w:szCs w:val="22"/>
          <w:lang w:val="lt-LT"/>
        </w:rPr>
        <w:t xml:space="preserve"> lizdinė plokštelė]</w:t>
      </w:r>
    </w:p>
    <w:p w14:paraId="497406D1" w14:textId="77777777" w:rsidR="00AC6991" w:rsidRPr="00CD7E52" w:rsidRDefault="00975ED9" w:rsidP="00C00052">
      <w:pPr>
        <w:widowControl w:val="0"/>
        <w:autoSpaceDE w:val="0"/>
        <w:autoSpaceDN w:val="0"/>
        <w:adjustRightInd w:val="0"/>
        <w:rPr>
          <w:szCs w:val="22"/>
          <w:lang w:val="lt-LT"/>
        </w:rPr>
      </w:pPr>
      <w:r w:rsidRPr="00CD7E52">
        <w:rPr>
          <w:szCs w:val="22"/>
          <w:lang w:val="lt-LT"/>
        </w:rPr>
        <w:t xml:space="preserve">Gydymo pradžios pakuotė. </w:t>
      </w:r>
      <w:r w:rsidR="00C062B8" w:rsidRPr="00CD7E52">
        <w:rPr>
          <w:szCs w:val="22"/>
          <w:lang w:val="lt-LT"/>
        </w:rPr>
        <w:t>Kiekvienoje 27x1 plėvele dengtų tablečių pakuotėje, skirtoje 2 savaičių gydymui</w:t>
      </w:r>
      <w:r w:rsidR="00353A7E" w:rsidRPr="00CD7E52">
        <w:rPr>
          <w:szCs w:val="22"/>
          <w:lang w:val="lt-LT"/>
        </w:rPr>
        <w:t>,</w:t>
      </w:r>
      <w:r w:rsidR="00C062B8" w:rsidRPr="00CD7E52">
        <w:rPr>
          <w:szCs w:val="22"/>
          <w:lang w:val="lt-LT"/>
        </w:rPr>
        <w:t xml:space="preserve"> yra:</w:t>
      </w:r>
    </w:p>
    <w:p w14:paraId="03364CCE" w14:textId="77777777" w:rsidR="006A4718" w:rsidRPr="00CD7E52" w:rsidRDefault="006A4718" w:rsidP="006A4718">
      <w:pPr>
        <w:widowControl w:val="0"/>
        <w:autoSpaceDE w:val="0"/>
        <w:autoSpaceDN w:val="0"/>
        <w:adjustRightInd w:val="0"/>
        <w:rPr>
          <w:snapToGrid/>
          <w:szCs w:val="22"/>
          <w:lang w:val="lt-LT" w:eastAsia="lt-LT"/>
        </w:rPr>
      </w:pPr>
      <w:r w:rsidRPr="00CD7E52">
        <w:rPr>
          <w:szCs w:val="22"/>
          <w:lang w:val="lt-LT"/>
        </w:rPr>
        <w:t xml:space="preserve">4 x 10 mg plėvele dengtos tabletės </w:t>
      </w:r>
      <w:r w:rsidRPr="00CD7E52">
        <w:rPr>
          <w:noProof/>
          <w:szCs w:val="22"/>
          <w:lang w:val="lt-LT"/>
        </w:rPr>
        <w:t>(</w:t>
      </w:r>
      <w:r w:rsidR="008F60F8" w:rsidRPr="00CD7E52">
        <w:rPr>
          <w:noProof/>
          <w:szCs w:val="22"/>
          <w:lang w:val="lt-LT"/>
        </w:rPr>
        <w:t>vartoti</w:t>
      </w:r>
      <w:r w:rsidRPr="00CD7E52">
        <w:rPr>
          <w:noProof/>
          <w:szCs w:val="22"/>
          <w:lang w:val="lt-LT"/>
        </w:rPr>
        <w:t xml:space="preserve"> 1 </w:t>
      </w:r>
      <w:r w:rsidR="00D37778" w:rsidRPr="00CD7E52">
        <w:rPr>
          <w:noProof/>
          <w:szCs w:val="22"/>
          <w:lang w:val="lt-LT"/>
        </w:rPr>
        <w:t>–</w:t>
      </w:r>
      <w:r w:rsidRPr="00CD7E52">
        <w:rPr>
          <w:noProof/>
          <w:szCs w:val="22"/>
          <w:lang w:val="lt-LT"/>
        </w:rPr>
        <w:t xml:space="preserve"> 3</w:t>
      </w:r>
      <w:r w:rsidR="00D37778" w:rsidRPr="00CD7E52">
        <w:rPr>
          <w:noProof/>
          <w:szCs w:val="22"/>
          <w:lang w:val="lt-LT"/>
        </w:rPr>
        <w:t xml:space="preserve"> dieną</w:t>
      </w:r>
      <w:r w:rsidRPr="00CD7E52">
        <w:rPr>
          <w:noProof/>
          <w:szCs w:val="22"/>
          <w:lang w:val="lt-LT"/>
        </w:rPr>
        <w:t>)</w:t>
      </w:r>
    </w:p>
    <w:p w14:paraId="552D3C3F" w14:textId="77777777" w:rsidR="006A4718" w:rsidRPr="00CD7E52" w:rsidRDefault="006A4718" w:rsidP="006A4718">
      <w:pPr>
        <w:widowControl w:val="0"/>
        <w:autoSpaceDE w:val="0"/>
        <w:autoSpaceDN w:val="0"/>
        <w:adjustRightInd w:val="0"/>
        <w:rPr>
          <w:szCs w:val="22"/>
          <w:lang w:val="lt-LT" w:eastAsia="lt-LT"/>
        </w:rPr>
      </w:pPr>
      <w:r w:rsidRPr="00CD7E52">
        <w:rPr>
          <w:szCs w:val="22"/>
          <w:lang w:val="lt-LT"/>
        </w:rPr>
        <w:t xml:space="preserve">4 x 20 mg plėvele dengtos tabletės </w:t>
      </w:r>
      <w:r w:rsidRPr="00CD7E52">
        <w:rPr>
          <w:noProof/>
          <w:szCs w:val="22"/>
          <w:lang w:val="lt-LT"/>
        </w:rPr>
        <w:t>(</w:t>
      </w:r>
      <w:r w:rsidR="00D37778" w:rsidRPr="00CD7E52">
        <w:rPr>
          <w:noProof/>
          <w:szCs w:val="22"/>
          <w:lang w:val="lt-LT"/>
        </w:rPr>
        <w:t>vartoti</w:t>
      </w:r>
      <w:r w:rsidRPr="00CD7E52">
        <w:rPr>
          <w:noProof/>
          <w:szCs w:val="22"/>
          <w:lang w:val="lt-LT"/>
        </w:rPr>
        <w:t xml:space="preserve"> 3 </w:t>
      </w:r>
      <w:r w:rsidR="00D37778" w:rsidRPr="00CD7E52">
        <w:rPr>
          <w:noProof/>
          <w:szCs w:val="22"/>
          <w:lang w:val="lt-LT"/>
        </w:rPr>
        <w:t>–</w:t>
      </w:r>
      <w:r w:rsidRPr="00CD7E52">
        <w:rPr>
          <w:noProof/>
          <w:szCs w:val="22"/>
          <w:lang w:val="lt-LT"/>
        </w:rPr>
        <w:t xml:space="preserve"> 5</w:t>
      </w:r>
      <w:r w:rsidR="00D37778" w:rsidRPr="00CD7E52">
        <w:rPr>
          <w:noProof/>
          <w:szCs w:val="22"/>
          <w:lang w:val="lt-LT"/>
        </w:rPr>
        <w:t xml:space="preserve"> dieną</w:t>
      </w:r>
      <w:r w:rsidRPr="00CD7E52">
        <w:rPr>
          <w:noProof/>
          <w:szCs w:val="22"/>
          <w:lang w:val="lt-LT"/>
        </w:rPr>
        <w:t>)</w:t>
      </w:r>
    </w:p>
    <w:p w14:paraId="436D2CAF" w14:textId="77777777" w:rsidR="006A4718" w:rsidRPr="00CD7E52" w:rsidRDefault="006A4718" w:rsidP="006A4718">
      <w:pPr>
        <w:widowControl w:val="0"/>
        <w:autoSpaceDE w:val="0"/>
        <w:autoSpaceDN w:val="0"/>
        <w:adjustRightInd w:val="0"/>
        <w:rPr>
          <w:szCs w:val="22"/>
          <w:lang w:val="lt-LT" w:eastAsia="lt-LT"/>
        </w:rPr>
      </w:pPr>
      <w:r w:rsidRPr="00CD7E52">
        <w:rPr>
          <w:szCs w:val="22"/>
          <w:lang w:val="lt-LT"/>
        </w:rPr>
        <w:t xml:space="preserve">19 x 30 mg plėvele dengtų tablečių </w:t>
      </w:r>
      <w:r w:rsidRPr="00CD7E52">
        <w:rPr>
          <w:noProof/>
          <w:szCs w:val="22"/>
          <w:lang w:val="lt-LT"/>
        </w:rPr>
        <w:t>(</w:t>
      </w:r>
      <w:r w:rsidR="00D37778" w:rsidRPr="00CD7E52">
        <w:rPr>
          <w:noProof/>
          <w:szCs w:val="22"/>
          <w:lang w:val="lt-LT"/>
        </w:rPr>
        <w:t>vartoti</w:t>
      </w:r>
      <w:r w:rsidRPr="00CD7E52">
        <w:rPr>
          <w:noProof/>
          <w:szCs w:val="22"/>
          <w:lang w:val="lt-LT"/>
        </w:rPr>
        <w:t xml:space="preserve"> 5 –14</w:t>
      </w:r>
      <w:r w:rsidR="00D37778" w:rsidRPr="00CD7E52">
        <w:rPr>
          <w:noProof/>
          <w:szCs w:val="22"/>
          <w:lang w:val="lt-LT"/>
        </w:rPr>
        <w:t xml:space="preserve"> dieną</w:t>
      </w:r>
      <w:r w:rsidRPr="00CD7E52">
        <w:rPr>
          <w:noProof/>
          <w:szCs w:val="22"/>
          <w:lang w:val="lt-LT"/>
        </w:rPr>
        <w:t>)</w:t>
      </w:r>
    </w:p>
    <w:p w14:paraId="4E58005A" w14:textId="77777777" w:rsidR="00F8440B" w:rsidRPr="00CD7E52" w:rsidRDefault="00F8440B" w:rsidP="00C00052">
      <w:pPr>
        <w:widowControl w:val="0"/>
        <w:autoSpaceDE w:val="0"/>
        <w:autoSpaceDN w:val="0"/>
        <w:adjustRightInd w:val="0"/>
        <w:rPr>
          <w:szCs w:val="22"/>
          <w:lang w:val="lt-LT"/>
        </w:rPr>
      </w:pPr>
    </w:p>
    <w:p w14:paraId="2112612D" w14:textId="77777777" w:rsidR="008D14F2" w:rsidRPr="00CD7E52" w:rsidRDefault="008D14F2" w:rsidP="00C00052">
      <w:pPr>
        <w:widowControl w:val="0"/>
        <w:autoSpaceDE w:val="0"/>
        <w:autoSpaceDN w:val="0"/>
        <w:adjustRightInd w:val="0"/>
        <w:rPr>
          <w:szCs w:val="22"/>
          <w:lang w:val="lt-LT"/>
        </w:rPr>
      </w:pPr>
    </w:p>
    <w:p w14:paraId="5926C513"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snapToGrid/>
          <w:szCs w:val="22"/>
          <w:lang w:val="lt-LT" w:eastAsia="lt-LT"/>
        </w:rPr>
      </w:pPr>
      <w:r w:rsidRPr="00CD7E52">
        <w:rPr>
          <w:b/>
          <w:szCs w:val="22"/>
          <w:lang w:val="lt-LT"/>
        </w:rPr>
        <w:t>5.</w:t>
      </w:r>
      <w:r w:rsidRPr="00CD7E52">
        <w:rPr>
          <w:b/>
          <w:szCs w:val="22"/>
          <w:lang w:val="lt-LT"/>
        </w:rPr>
        <w:tab/>
        <w:t>VARTOJIMO METODAS IR BŪDAS (-AI)</w:t>
      </w:r>
    </w:p>
    <w:p w14:paraId="3F635FEA" w14:textId="77777777" w:rsidR="008D14F2" w:rsidRPr="00CD7E52" w:rsidRDefault="008D14F2" w:rsidP="00C00052">
      <w:pPr>
        <w:widowControl w:val="0"/>
        <w:autoSpaceDE w:val="0"/>
        <w:autoSpaceDN w:val="0"/>
        <w:adjustRightInd w:val="0"/>
        <w:rPr>
          <w:szCs w:val="22"/>
          <w:lang w:val="lt-LT"/>
        </w:rPr>
      </w:pPr>
    </w:p>
    <w:p w14:paraId="62637111" w14:textId="77777777" w:rsidR="008D14F2" w:rsidRPr="00CD7E52" w:rsidRDefault="008D14F2" w:rsidP="00C00052">
      <w:pPr>
        <w:widowControl w:val="0"/>
        <w:autoSpaceDE w:val="0"/>
        <w:autoSpaceDN w:val="0"/>
        <w:adjustRightInd w:val="0"/>
        <w:rPr>
          <w:snapToGrid/>
          <w:szCs w:val="22"/>
          <w:lang w:val="lt-LT" w:eastAsia="lt-LT"/>
        </w:rPr>
      </w:pPr>
      <w:r w:rsidRPr="00CD7E52">
        <w:rPr>
          <w:szCs w:val="22"/>
          <w:lang w:val="lt-LT"/>
        </w:rPr>
        <w:t>Prieš vartojimą perskaitykite pakuotės lapelį.</w:t>
      </w:r>
    </w:p>
    <w:p w14:paraId="1BF589F2" w14:textId="77777777" w:rsidR="008D14F2" w:rsidRPr="00CD7E52" w:rsidRDefault="008D14F2" w:rsidP="00C00052">
      <w:pPr>
        <w:widowControl w:val="0"/>
        <w:autoSpaceDE w:val="0"/>
        <w:autoSpaceDN w:val="0"/>
        <w:adjustRightInd w:val="0"/>
        <w:rPr>
          <w:snapToGrid/>
          <w:szCs w:val="22"/>
          <w:lang w:val="lt-LT" w:eastAsia="lt-LT"/>
        </w:rPr>
      </w:pPr>
      <w:r w:rsidRPr="00425717">
        <w:rPr>
          <w:szCs w:val="22"/>
          <w:highlight w:val="darkGray"/>
          <w:lang w:val="lt-LT"/>
        </w:rPr>
        <w:t>Vartoti per burną.</w:t>
      </w:r>
    </w:p>
    <w:p w14:paraId="35B9CA8D" w14:textId="77777777" w:rsidR="008D14F2" w:rsidRPr="00CD7E52" w:rsidRDefault="008D14F2" w:rsidP="00C00052">
      <w:pPr>
        <w:widowControl w:val="0"/>
        <w:autoSpaceDE w:val="0"/>
        <w:autoSpaceDN w:val="0"/>
        <w:adjustRightInd w:val="0"/>
        <w:rPr>
          <w:szCs w:val="22"/>
          <w:lang w:val="lt-LT"/>
        </w:rPr>
      </w:pPr>
    </w:p>
    <w:p w14:paraId="339C618F" w14:textId="77777777" w:rsidR="008D14F2" w:rsidRPr="00CD7E52" w:rsidRDefault="008D14F2" w:rsidP="00C00052">
      <w:pPr>
        <w:widowControl w:val="0"/>
        <w:autoSpaceDE w:val="0"/>
        <w:autoSpaceDN w:val="0"/>
        <w:adjustRightInd w:val="0"/>
        <w:rPr>
          <w:szCs w:val="22"/>
          <w:lang w:val="lt-LT"/>
        </w:rPr>
      </w:pPr>
    </w:p>
    <w:p w14:paraId="115778BA"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snapToGrid/>
          <w:szCs w:val="22"/>
          <w:lang w:val="lt-LT" w:eastAsia="lt-LT"/>
        </w:rPr>
      </w:pPr>
      <w:r w:rsidRPr="00CD7E52">
        <w:rPr>
          <w:b/>
          <w:szCs w:val="22"/>
          <w:lang w:val="lt-LT"/>
        </w:rPr>
        <w:t>6.</w:t>
      </w:r>
      <w:r w:rsidRPr="00CD7E52">
        <w:rPr>
          <w:b/>
          <w:szCs w:val="22"/>
          <w:lang w:val="lt-LT"/>
        </w:rPr>
        <w:tab/>
        <w:t>SPECIALUS ĮSPĖJIMAS, KAD VAISTINĮ PREPARATĄ BŪTINA LAIKYTI VAIKAMS NEPASTEBIMOJE IR NEPASIEKIAMOJE VIETOJE</w:t>
      </w:r>
    </w:p>
    <w:p w14:paraId="63BF3FE0" w14:textId="77777777" w:rsidR="008D14F2" w:rsidRPr="00CD7E52" w:rsidRDefault="008D14F2" w:rsidP="00C00052">
      <w:pPr>
        <w:widowControl w:val="0"/>
        <w:autoSpaceDE w:val="0"/>
        <w:autoSpaceDN w:val="0"/>
        <w:adjustRightInd w:val="0"/>
        <w:rPr>
          <w:szCs w:val="22"/>
          <w:lang w:val="lt-LT"/>
        </w:rPr>
      </w:pPr>
    </w:p>
    <w:p w14:paraId="3B025914" w14:textId="77777777" w:rsidR="008D14F2" w:rsidRPr="00CD7E52" w:rsidRDefault="008D14F2" w:rsidP="00C00052">
      <w:pPr>
        <w:widowControl w:val="0"/>
        <w:autoSpaceDE w:val="0"/>
        <w:autoSpaceDN w:val="0"/>
        <w:adjustRightInd w:val="0"/>
        <w:rPr>
          <w:snapToGrid/>
          <w:szCs w:val="22"/>
          <w:lang w:val="lt-LT" w:eastAsia="lt-LT"/>
        </w:rPr>
      </w:pPr>
      <w:r w:rsidRPr="00CD7E52">
        <w:rPr>
          <w:szCs w:val="22"/>
          <w:lang w:val="lt-LT"/>
        </w:rPr>
        <w:t>Laikyti vaikams nepastebimoje ir nepasiekiamoje vietoje.</w:t>
      </w:r>
    </w:p>
    <w:p w14:paraId="642032E6" w14:textId="77777777" w:rsidR="008D14F2" w:rsidRPr="00CD7E52" w:rsidRDefault="008D14F2" w:rsidP="00C00052">
      <w:pPr>
        <w:widowControl w:val="0"/>
        <w:autoSpaceDE w:val="0"/>
        <w:autoSpaceDN w:val="0"/>
        <w:adjustRightInd w:val="0"/>
        <w:rPr>
          <w:szCs w:val="22"/>
          <w:lang w:val="lt-LT"/>
        </w:rPr>
      </w:pPr>
    </w:p>
    <w:p w14:paraId="424D8B34" w14:textId="77777777" w:rsidR="008D14F2" w:rsidRPr="00CD7E52" w:rsidRDefault="008D14F2" w:rsidP="00C00052">
      <w:pPr>
        <w:widowControl w:val="0"/>
        <w:autoSpaceDE w:val="0"/>
        <w:autoSpaceDN w:val="0"/>
        <w:adjustRightInd w:val="0"/>
        <w:rPr>
          <w:szCs w:val="22"/>
          <w:lang w:val="lt-LT"/>
        </w:rPr>
      </w:pPr>
    </w:p>
    <w:p w14:paraId="33E22814" w14:textId="77777777" w:rsidR="008D14F2" w:rsidRPr="00CD7E52" w:rsidRDefault="008D14F2" w:rsidP="00C00052">
      <w:pPr>
        <w:keepNext/>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snapToGrid/>
          <w:szCs w:val="22"/>
          <w:lang w:val="lt-LT" w:eastAsia="lt-LT"/>
        </w:rPr>
      </w:pPr>
      <w:r w:rsidRPr="00CD7E52">
        <w:rPr>
          <w:b/>
          <w:szCs w:val="22"/>
          <w:lang w:val="lt-LT"/>
        </w:rPr>
        <w:lastRenderedPageBreak/>
        <w:t>7.</w:t>
      </w:r>
      <w:r w:rsidRPr="00CD7E52">
        <w:rPr>
          <w:b/>
          <w:szCs w:val="22"/>
          <w:lang w:val="lt-LT"/>
        </w:rPr>
        <w:tab/>
        <w:t>KITAS (-I) SPECIALUS (-ŪS) ĮSPĖJIMAS (-AI) (JEI REIKIA)</w:t>
      </w:r>
    </w:p>
    <w:p w14:paraId="0628471C" w14:textId="77777777" w:rsidR="008D14F2" w:rsidRPr="00CD7E52" w:rsidRDefault="008D14F2" w:rsidP="00C00052">
      <w:pPr>
        <w:keepNext/>
        <w:autoSpaceDE w:val="0"/>
        <w:autoSpaceDN w:val="0"/>
        <w:adjustRightInd w:val="0"/>
        <w:rPr>
          <w:szCs w:val="22"/>
          <w:lang w:val="lt-LT"/>
        </w:rPr>
      </w:pPr>
    </w:p>
    <w:p w14:paraId="523CA75B" w14:textId="77777777" w:rsidR="008D14F2" w:rsidRPr="00CD7E52" w:rsidRDefault="008D14F2" w:rsidP="00C00052">
      <w:pPr>
        <w:keepNext/>
        <w:autoSpaceDE w:val="0"/>
        <w:autoSpaceDN w:val="0"/>
        <w:adjustRightInd w:val="0"/>
        <w:rPr>
          <w:szCs w:val="22"/>
          <w:lang w:val="lt-LT"/>
        </w:rPr>
      </w:pPr>
    </w:p>
    <w:p w14:paraId="7BED3202"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snapToGrid/>
          <w:szCs w:val="22"/>
          <w:lang w:val="lt-LT" w:eastAsia="lt-LT"/>
        </w:rPr>
      </w:pPr>
      <w:r w:rsidRPr="00CD7E52">
        <w:rPr>
          <w:b/>
          <w:szCs w:val="22"/>
          <w:lang w:val="lt-LT"/>
        </w:rPr>
        <w:t>8.</w:t>
      </w:r>
      <w:r w:rsidRPr="00CD7E52">
        <w:rPr>
          <w:b/>
          <w:szCs w:val="22"/>
          <w:lang w:val="lt-LT"/>
        </w:rPr>
        <w:tab/>
        <w:t>TINKAMUMO LAIKAS</w:t>
      </w:r>
    </w:p>
    <w:p w14:paraId="55A482C4" w14:textId="77777777" w:rsidR="008D14F2" w:rsidRPr="00CD7E52" w:rsidRDefault="008D14F2" w:rsidP="00C00052">
      <w:pPr>
        <w:widowControl w:val="0"/>
        <w:autoSpaceDE w:val="0"/>
        <w:autoSpaceDN w:val="0"/>
        <w:adjustRightInd w:val="0"/>
        <w:rPr>
          <w:szCs w:val="22"/>
          <w:lang w:val="lt-LT"/>
        </w:rPr>
      </w:pPr>
    </w:p>
    <w:p w14:paraId="233985C7" w14:textId="77777777" w:rsidR="008D14F2" w:rsidRPr="00CD7E52" w:rsidRDefault="008D14F2" w:rsidP="00C00052">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 xml:space="preserve">EXP </w:t>
      </w:r>
      <w:r w:rsidRPr="00425717">
        <w:rPr>
          <w:szCs w:val="22"/>
          <w:highlight w:val="lightGray"/>
          <w:lang w:val="lt-LT"/>
        </w:rPr>
        <w:t>{mm/MMMM}</w:t>
      </w:r>
    </w:p>
    <w:p w14:paraId="70CDDE55" w14:textId="77777777" w:rsidR="008D14F2" w:rsidRPr="00CD7E52" w:rsidRDefault="008D14F2" w:rsidP="00C00052">
      <w:pPr>
        <w:widowControl w:val="0"/>
        <w:autoSpaceDE w:val="0"/>
        <w:autoSpaceDN w:val="0"/>
        <w:adjustRightInd w:val="0"/>
        <w:rPr>
          <w:szCs w:val="22"/>
          <w:lang w:val="lt-LT"/>
        </w:rPr>
      </w:pPr>
    </w:p>
    <w:p w14:paraId="24D7682E" w14:textId="77777777" w:rsidR="008D14F2" w:rsidRPr="00CD7E52" w:rsidRDefault="008D14F2" w:rsidP="00C00052">
      <w:pPr>
        <w:widowControl w:val="0"/>
        <w:autoSpaceDE w:val="0"/>
        <w:autoSpaceDN w:val="0"/>
        <w:adjustRightInd w:val="0"/>
        <w:rPr>
          <w:szCs w:val="22"/>
          <w:lang w:val="lt-LT"/>
        </w:rPr>
      </w:pPr>
    </w:p>
    <w:p w14:paraId="76C46594" w14:textId="77777777" w:rsidR="008D14F2" w:rsidRPr="00CD7E52" w:rsidRDefault="008D14F2" w:rsidP="00C00052">
      <w:pPr>
        <w:keepNext/>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snapToGrid/>
          <w:szCs w:val="22"/>
          <w:lang w:val="lt-LT" w:eastAsia="lt-LT"/>
        </w:rPr>
      </w:pPr>
      <w:r w:rsidRPr="00CD7E52">
        <w:rPr>
          <w:b/>
          <w:szCs w:val="22"/>
          <w:lang w:val="lt-LT"/>
        </w:rPr>
        <w:t>9.</w:t>
      </w:r>
      <w:r w:rsidRPr="00CD7E52">
        <w:rPr>
          <w:b/>
          <w:szCs w:val="22"/>
          <w:lang w:val="lt-LT"/>
        </w:rPr>
        <w:tab/>
        <w:t>SPECIALIOS LAIKYMO SĄLYGOS</w:t>
      </w:r>
    </w:p>
    <w:p w14:paraId="6779D9CC" w14:textId="77777777" w:rsidR="008D14F2" w:rsidRPr="00CD7E52" w:rsidRDefault="008D14F2" w:rsidP="00C00052">
      <w:pPr>
        <w:widowControl w:val="0"/>
        <w:autoSpaceDE w:val="0"/>
        <w:autoSpaceDN w:val="0"/>
        <w:adjustRightInd w:val="0"/>
        <w:rPr>
          <w:szCs w:val="22"/>
          <w:lang w:val="lt-LT"/>
        </w:rPr>
      </w:pPr>
    </w:p>
    <w:p w14:paraId="48A54AD7" w14:textId="77777777" w:rsidR="008D14F2" w:rsidRPr="00CD7E52" w:rsidRDefault="008D14F2" w:rsidP="00C00052">
      <w:pPr>
        <w:widowControl w:val="0"/>
        <w:autoSpaceDE w:val="0"/>
        <w:autoSpaceDN w:val="0"/>
        <w:adjustRightInd w:val="0"/>
        <w:rPr>
          <w:szCs w:val="22"/>
          <w:lang w:val="lt-LT"/>
        </w:rPr>
      </w:pPr>
    </w:p>
    <w:p w14:paraId="0834EAE2"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
          <w:snapToGrid/>
          <w:szCs w:val="22"/>
          <w:lang w:val="lt-LT" w:eastAsia="lt-LT"/>
        </w:rPr>
      </w:pPr>
      <w:r w:rsidRPr="00CD7E52">
        <w:rPr>
          <w:b/>
          <w:szCs w:val="22"/>
          <w:lang w:val="lt-LT"/>
        </w:rPr>
        <w:t>10.</w:t>
      </w:r>
      <w:r w:rsidRPr="00CD7E52">
        <w:rPr>
          <w:b/>
          <w:szCs w:val="22"/>
          <w:lang w:val="lt-LT"/>
        </w:rPr>
        <w:tab/>
        <w:t>SPECIALIOS ATSARGUMO PRIEMONĖS DĖL NESUVARTOTO VAISTINIO PREPARATO AR JO ATLIEKŲ TV</w:t>
      </w:r>
      <w:r w:rsidR="006E6907" w:rsidRPr="00CD7E52">
        <w:rPr>
          <w:b/>
          <w:szCs w:val="22"/>
          <w:lang w:val="lt-LT"/>
        </w:rPr>
        <w:t>AR</w:t>
      </w:r>
      <w:r w:rsidR="006520C9" w:rsidRPr="00CD7E52">
        <w:rPr>
          <w:b/>
          <w:szCs w:val="22"/>
          <w:lang w:val="lt-LT"/>
        </w:rPr>
        <w:t>K</w:t>
      </w:r>
      <w:r w:rsidRPr="00CD7E52">
        <w:rPr>
          <w:b/>
          <w:szCs w:val="22"/>
          <w:lang w:val="lt-LT"/>
        </w:rPr>
        <w:t>YMO (JEI REIKIA)</w:t>
      </w:r>
    </w:p>
    <w:p w14:paraId="71238C3B" w14:textId="77777777" w:rsidR="008D14F2" w:rsidRPr="00CD7E52" w:rsidRDefault="008D14F2" w:rsidP="00C00052">
      <w:pPr>
        <w:widowControl w:val="0"/>
        <w:autoSpaceDE w:val="0"/>
        <w:autoSpaceDN w:val="0"/>
        <w:adjustRightInd w:val="0"/>
        <w:rPr>
          <w:szCs w:val="22"/>
          <w:lang w:val="lt-LT"/>
        </w:rPr>
      </w:pPr>
    </w:p>
    <w:p w14:paraId="7BC7B31C" w14:textId="77777777" w:rsidR="008D14F2" w:rsidRPr="00CD7E52" w:rsidRDefault="008D14F2" w:rsidP="00C00052">
      <w:pPr>
        <w:widowControl w:val="0"/>
        <w:autoSpaceDE w:val="0"/>
        <w:autoSpaceDN w:val="0"/>
        <w:adjustRightInd w:val="0"/>
        <w:rPr>
          <w:szCs w:val="22"/>
          <w:lang w:val="lt-LT"/>
        </w:rPr>
      </w:pPr>
    </w:p>
    <w:p w14:paraId="372F26CB"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2"/>
          <w:lang w:val="lt-LT" w:eastAsia="lt-LT"/>
        </w:rPr>
      </w:pPr>
      <w:r w:rsidRPr="00CD7E52">
        <w:rPr>
          <w:b/>
          <w:szCs w:val="22"/>
          <w:lang w:val="lt-LT"/>
        </w:rPr>
        <w:t>11.</w:t>
      </w:r>
      <w:r w:rsidRPr="00CD7E52">
        <w:rPr>
          <w:b/>
          <w:szCs w:val="22"/>
          <w:lang w:val="lt-LT"/>
        </w:rPr>
        <w:tab/>
      </w:r>
      <w:r w:rsidRPr="00CD7E52">
        <w:rPr>
          <w:b/>
          <w:caps/>
          <w:szCs w:val="22"/>
          <w:lang w:val="lt-LT"/>
        </w:rPr>
        <w:t>REGISTRUOTOJO PAVADINIMAS IR ADRESAS</w:t>
      </w:r>
    </w:p>
    <w:p w14:paraId="26F009B2" w14:textId="77777777" w:rsidR="008D14F2" w:rsidRPr="00CD7E52" w:rsidRDefault="008D14F2" w:rsidP="00C00052">
      <w:pPr>
        <w:widowControl w:val="0"/>
        <w:autoSpaceDE w:val="0"/>
        <w:autoSpaceDN w:val="0"/>
        <w:adjustRightInd w:val="0"/>
        <w:rPr>
          <w:szCs w:val="22"/>
          <w:lang w:val="lt-LT"/>
        </w:rPr>
      </w:pPr>
    </w:p>
    <w:p w14:paraId="61B0C43C" w14:textId="77777777" w:rsidR="008D14F2" w:rsidRPr="00CD7E52" w:rsidRDefault="008D14F2" w:rsidP="00C00052">
      <w:pPr>
        <w:widowControl w:val="0"/>
        <w:numPr>
          <w:ilvl w:val="12"/>
          <w:numId w:val="0"/>
        </w:numPr>
        <w:tabs>
          <w:tab w:val="clear" w:pos="567"/>
          <w:tab w:val="left" w:pos="1296"/>
        </w:tabs>
        <w:autoSpaceDE w:val="0"/>
        <w:autoSpaceDN w:val="0"/>
        <w:adjustRightInd w:val="0"/>
        <w:snapToGrid w:val="0"/>
        <w:spacing w:line="240" w:lineRule="auto"/>
        <w:ind w:right="-2"/>
        <w:rPr>
          <w:snapToGrid/>
          <w:szCs w:val="22"/>
          <w:lang w:val="lt-LT" w:eastAsia="lt-LT"/>
        </w:rPr>
      </w:pPr>
      <w:r w:rsidRPr="00CD7E52">
        <w:rPr>
          <w:szCs w:val="22"/>
          <w:lang w:val="lt-LT"/>
        </w:rPr>
        <w:t>STADA Arzneimittel AG</w:t>
      </w:r>
    </w:p>
    <w:p w14:paraId="55651214" w14:textId="77777777" w:rsidR="008D14F2" w:rsidRPr="00CD7E52" w:rsidRDefault="008D14F2" w:rsidP="00C00052">
      <w:pPr>
        <w:widowControl w:val="0"/>
        <w:numPr>
          <w:ilvl w:val="12"/>
          <w:numId w:val="0"/>
        </w:numPr>
        <w:tabs>
          <w:tab w:val="clear" w:pos="567"/>
          <w:tab w:val="left" w:pos="1296"/>
        </w:tabs>
        <w:autoSpaceDE w:val="0"/>
        <w:autoSpaceDN w:val="0"/>
        <w:adjustRightInd w:val="0"/>
        <w:snapToGrid w:val="0"/>
        <w:spacing w:line="240" w:lineRule="auto"/>
        <w:ind w:right="-2"/>
        <w:rPr>
          <w:snapToGrid/>
          <w:szCs w:val="22"/>
          <w:lang w:val="lt-LT" w:eastAsia="lt-LT"/>
        </w:rPr>
      </w:pPr>
      <w:r w:rsidRPr="00CD7E52">
        <w:rPr>
          <w:szCs w:val="22"/>
          <w:lang w:val="lt-LT"/>
        </w:rPr>
        <w:t>Stadastrasse 2-18</w:t>
      </w:r>
    </w:p>
    <w:p w14:paraId="217372C4" w14:textId="77777777" w:rsidR="008D14F2" w:rsidRPr="00CD7E52" w:rsidRDefault="008D14F2" w:rsidP="00C00052">
      <w:pPr>
        <w:widowControl w:val="0"/>
        <w:numPr>
          <w:ilvl w:val="12"/>
          <w:numId w:val="0"/>
        </w:numPr>
        <w:tabs>
          <w:tab w:val="clear" w:pos="567"/>
          <w:tab w:val="left" w:pos="1296"/>
        </w:tabs>
        <w:autoSpaceDE w:val="0"/>
        <w:autoSpaceDN w:val="0"/>
        <w:adjustRightInd w:val="0"/>
        <w:snapToGrid w:val="0"/>
        <w:spacing w:line="240" w:lineRule="auto"/>
        <w:ind w:right="-2"/>
        <w:rPr>
          <w:snapToGrid/>
          <w:szCs w:val="22"/>
          <w:lang w:val="lt-LT" w:eastAsia="lt-LT"/>
        </w:rPr>
      </w:pPr>
      <w:r w:rsidRPr="00CD7E52">
        <w:rPr>
          <w:szCs w:val="22"/>
          <w:lang w:val="lt-LT"/>
        </w:rPr>
        <w:t>61118 Bad Vilbel</w:t>
      </w:r>
    </w:p>
    <w:p w14:paraId="65069973" w14:textId="77777777" w:rsidR="008D14F2" w:rsidRPr="00CD7E52" w:rsidRDefault="008D14F2" w:rsidP="00C00052">
      <w:pPr>
        <w:widowControl w:val="0"/>
        <w:numPr>
          <w:ilvl w:val="12"/>
          <w:numId w:val="0"/>
        </w:numPr>
        <w:tabs>
          <w:tab w:val="clear" w:pos="567"/>
          <w:tab w:val="left" w:pos="1296"/>
        </w:tabs>
        <w:autoSpaceDE w:val="0"/>
        <w:autoSpaceDN w:val="0"/>
        <w:adjustRightInd w:val="0"/>
        <w:snapToGrid w:val="0"/>
        <w:spacing w:line="240" w:lineRule="auto"/>
        <w:ind w:right="-2"/>
        <w:rPr>
          <w:snapToGrid/>
          <w:szCs w:val="22"/>
          <w:lang w:val="lt-LT" w:eastAsia="lt-LT"/>
        </w:rPr>
      </w:pPr>
      <w:r w:rsidRPr="00CD7E52">
        <w:rPr>
          <w:szCs w:val="22"/>
          <w:lang w:val="lt-LT"/>
        </w:rPr>
        <w:t>Vokietija</w:t>
      </w:r>
    </w:p>
    <w:p w14:paraId="4939BF39" w14:textId="77777777" w:rsidR="008D14F2" w:rsidRPr="00CD7E52" w:rsidRDefault="008D14F2" w:rsidP="00C00052">
      <w:pPr>
        <w:widowControl w:val="0"/>
        <w:autoSpaceDE w:val="0"/>
        <w:autoSpaceDN w:val="0"/>
        <w:adjustRightInd w:val="0"/>
        <w:rPr>
          <w:szCs w:val="22"/>
          <w:lang w:val="lt-LT"/>
        </w:rPr>
      </w:pPr>
    </w:p>
    <w:p w14:paraId="4769BD81" w14:textId="77777777" w:rsidR="008D14F2" w:rsidRPr="00CD7E52" w:rsidRDefault="008D14F2" w:rsidP="00C00052">
      <w:pPr>
        <w:widowControl w:val="0"/>
        <w:autoSpaceDE w:val="0"/>
        <w:autoSpaceDN w:val="0"/>
        <w:adjustRightInd w:val="0"/>
        <w:rPr>
          <w:szCs w:val="22"/>
          <w:lang w:val="lt-LT"/>
        </w:rPr>
      </w:pPr>
    </w:p>
    <w:p w14:paraId="3E97E8DC"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napToGrid/>
          <w:szCs w:val="22"/>
          <w:lang w:val="lt-LT" w:eastAsia="lt-LT"/>
        </w:rPr>
      </w:pPr>
      <w:r w:rsidRPr="00CD7E52">
        <w:rPr>
          <w:b/>
          <w:szCs w:val="22"/>
          <w:lang w:val="lt-LT"/>
        </w:rPr>
        <w:t>12.</w:t>
      </w:r>
      <w:r w:rsidRPr="00CD7E52">
        <w:rPr>
          <w:b/>
          <w:szCs w:val="22"/>
          <w:lang w:val="lt-LT"/>
        </w:rPr>
        <w:tab/>
        <w:t>REGISTRACIJOS PAŽYMĖJIMO NUMERIS (-IAI)</w:t>
      </w:r>
    </w:p>
    <w:p w14:paraId="64CD2872" w14:textId="77777777" w:rsidR="008D14F2" w:rsidRPr="00CD7E52" w:rsidRDefault="008D14F2" w:rsidP="00C00052">
      <w:pPr>
        <w:widowControl w:val="0"/>
        <w:autoSpaceDE w:val="0"/>
        <w:autoSpaceDN w:val="0"/>
        <w:adjustRightInd w:val="0"/>
        <w:rPr>
          <w:szCs w:val="22"/>
          <w:lang w:val="lt-LT"/>
        </w:rPr>
      </w:pPr>
    </w:p>
    <w:p w14:paraId="2D95862A" w14:textId="77777777" w:rsidR="00854768" w:rsidRPr="00425717" w:rsidRDefault="00854768" w:rsidP="00854768">
      <w:pPr>
        <w:widowControl w:val="0"/>
        <w:autoSpaceDE w:val="0"/>
        <w:autoSpaceDN w:val="0"/>
        <w:adjustRightInd w:val="0"/>
        <w:rPr>
          <w:szCs w:val="22"/>
          <w:highlight w:val="lightGray"/>
          <w:u w:val="single"/>
          <w:lang w:val="lt-LT"/>
        </w:rPr>
      </w:pPr>
      <w:r w:rsidRPr="00425717">
        <w:rPr>
          <w:szCs w:val="22"/>
          <w:highlight w:val="lightGray"/>
          <w:u w:val="single"/>
          <w:lang w:val="lt-LT"/>
        </w:rPr>
        <w:t>&lt;10 mg+20 mg+30 mg (gydymo pradžios pakuotė)&gt;</w:t>
      </w:r>
    </w:p>
    <w:p w14:paraId="5C48D08C" w14:textId="77777777" w:rsidR="00854768" w:rsidRPr="00854768" w:rsidRDefault="00854768" w:rsidP="00854768">
      <w:pPr>
        <w:widowControl w:val="0"/>
        <w:autoSpaceDE w:val="0"/>
        <w:autoSpaceDN w:val="0"/>
        <w:adjustRightInd w:val="0"/>
        <w:rPr>
          <w:szCs w:val="22"/>
          <w:lang w:val="lt-LT"/>
        </w:rPr>
      </w:pPr>
      <w:r w:rsidRPr="00425717">
        <w:rPr>
          <w:szCs w:val="22"/>
          <w:highlight w:val="lightGray"/>
          <w:u w:val="single"/>
          <w:lang w:val="lt-LT"/>
        </w:rPr>
        <w:t>Lizdinė plokštelė</w:t>
      </w:r>
      <w:r w:rsidRPr="00854768">
        <w:rPr>
          <w:szCs w:val="22"/>
          <w:lang w:val="lt-LT"/>
        </w:rPr>
        <w:t>:</w:t>
      </w:r>
    </w:p>
    <w:p w14:paraId="70757C26" w14:textId="77777777" w:rsidR="00854768" w:rsidRPr="00854768" w:rsidRDefault="00854768" w:rsidP="00854768">
      <w:pPr>
        <w:widowControl w:val="0"/>
        <w:autoSpaceDE w:val="0"/>
        <w:autoSpaceDN w:val="0"/>
        <w:adjustRightInd w:val="0"/>
        <w:rPr>
          <w:szCs w:val="22"/>
          <w:lang w:val="lt-LT"/>
        </w:rPr>
      </w:pPr>
      <w:r w:rsidRPr="00854768">
        <w:rPr>
          <w:szCs w:val="22"/>
          <w:lang w:val="lt-LT"/>
        </w:rPr>
        <w:t xml:space="preserve">LT/1/24/5623/001 </w:t>
      </w:r>
      <w:r w:rsidRPr="00425717">
        <w:rPr>
          <w:szCs w:val="22"/>
          <w:highlight w:val="lightGray"/>
          <w:lang w:val="lt-LT"/>
        </w:rPr>
        <w:t>– N27 (N4x10 mg + N4x20 mg + N19x30 mg)</w:t>
      </w:r>
    </w:p>
    <w:p w14:paraId="6628B038" w14:textId="77777777" w:rsidR="00854768" w:rsidRPr="00854768" w:rsidRDefault="00854768" w:rsidP="00854768">
      <w:pPr>
        <w:widowControl w:val="0"/>
        <w:autoSpaceDE w:val="0"/>
        <w:autoSpaceDN w:val="0"/>
        <w:adjustRightInd w:val="0"/>
        <w:rPr>
          <w:szCs w:val="22"/>
          <w:lang w:val="lt-LT"/>
        </w:rPr>
      </w:pPr>
      <w:r w:rsidRPr="00425717">
        <w:rPr>
          <w:szCs w:val="22"/>
          <w:highlight w:val="lightGray"/>
          <w:u w:val="single"/>
          <w:lang w:val="lt-LT"/>
        </w:rPr>
        <w:t>Dalomoji lizdinė plokštelė</w:t>
      </w:r>
      <w:r w:rsidRPr="00425717">
        <w:rPr>
          <w:szCs w:val="22"/>
          <w:highlight w:val="lightGray"/>
          <w:lang w:val="lt-LT"/>
        </w:rPr>
        <w:t>:</w:t>
      </w:r>
    </w:p>
    <w:p w14:paraId="41FD3C45" w14:textId="77777777" w:rsidR="008D14F2" w:rsidRDefault="00854768" w:rsidP="00854768">
      <w:pPr>
        <w:widowControl w:val="0"/>
        <w:autoSpaceDE w:val="0"/>
        <w:autoSpaceDN w:val="0"/>
        <w:adjustRightInd w:val="0"/>
        <w:rPr>
          <w:szCs w:val="22"/>
          <w:lang w:val="lt-LT"/>
        </w:rPr>
      </w:pPr>
      <w:r w:rsidRPr="00854768">
        <w:rPr>
          <w:szCs w:val="22"/>
          <w:lang w:val="lt-LT"/>
        </w:rPr>
        <w:t xml:space="preserve">LT/1/24/5623/002 </w:t>
      </w:r>
      <w:r w:rsidRPr="00425717">
        <w:rPr>
          <w:szCs w:val="22"/>
          <w:highlight w:val="lightGray"/>
          <w:lang w:val="lt-LT"/>
        </w:rPr>
        <w:t>– N27x1 (N4x10 mg + N4x20 mg + N19x30 mg)</w:t>
      </w:r>
      <w:r w:rsidRPr="00854768">
        <w:rPr>
          <w:szCs w:val="22"/>
          <w:lang w:val="lt-LT"/>
        </w:rPr>
        <w:tab/>
      </w:r>
    </w:p>
    <w:p w14:paraId="2AFDFA6F" w14:textId="77777777" w:rsidR="00854768" w:rsidRPr="00CD7E52" w:rsidRDefault="00854768" w:rsidP="00854768">
      <w:pPr>
        <w:widowControl w:val="0"/>
        <w:autoSpaceDE w:val="0"/>
        <w:autoSpaceDN w:val="0"/>
        <w:adjustRightInd w:val="0"/>
        <w:rPr>
          <w:szCs w:val="22"/>
          <w:lang w:val="lt-LT"/>
        </w:rPr>
      </w:pPr>
    </w:p>
    <w:p w14:paraId="6C7D4638" w14:textId="77777777" w:rsidR="008D14F2" w:rsidRPr="00CD7E52" w:rsidRDefault="008D14F2" w:rsidP="00C00052">
      <w:pPr>
        <w:widowControl w:val="0"/>
        <w:autoSpaceDE w:val="0"/>
        <w:autoSpaceDN w:val="0"/>
        <w:adjustRightInd w:val="0"/>
        <w:rPr>
          <w:szCs w:val="22"/>
          <w:lang w:val="lt-LT"/>
        </w:rPr>
      </w:pPr>
    </w:p>
    <w:p w14:paraId="1CFBC0A4"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napToGrid/>
          <w:szCs w:val="22"/>
          <w:lang w:val="lt-LT" w:eastAsia="lt-LT"/>
        </w:rPr>
      </w:pPr>
      <w:r w:rsidRPr="00CD7E52">
        <w:rPr>
          <w:b/>
          <w:szCs w:val="22"/>
          <w:lang w:val="lt-LT"/>
        </w:rPr>
        <w:t>13.</w:t>
      </w:r>
      <w:r w:rsidRPr="00CD7E52">
        <w:rPr>
          <w:b/>
          <w:szCs w:val="22"/>
          <w:lang w:val="lt-LT"/>
        </w:rPr>
        <w:tab/>
        <w:t>SERIJOS NUMERIS</w:t>
      </w:r>
    </w:p>
    <w:p w14:paraId="011A1572" w14:textId="77777777" w:rsidR="008D14F2" w:rsidRPr="00CD7E52" w:rsidRDefault="008D14F2" w:rsidP="00C00052">
      <w:pPr>
        <w:widowControl w:val="0"/>
        <w:autoSpaceDE w:val="0"/>
        <w:autoSpaceDN w:val="0"/>
        <w:adjustRightInd w:val="0"/>
        <w:rPr>
          <w:szCs w:val="22"/>
          <w:lang w:val="lt-LT"/>
        </w:rPr>
      </w:pPr>
    </w:p>
    <w:p w14:paraId="60B55CED" w14:textId="77777777" w:rsidR="008D14F2" w:rsidRPr="00CD7E52" w:rsidRDefault="008D14F2" w:rsidP="00C00052">
      <w:pPr>
        <w:widowControl w:val="0"/>
        <w:autoSpaceDE w:val="0"/>
        <w:autoSpaceDN w:val="0"/>
        <w:adjustRightInd w:val="0"/>
        <w:rPr>
          <w:snapToGrid/>
          <w:szCs w:val="22"/>
          <w:lang w:val="lt-LT" w:eastAsia="lt-LT"/>
        </w:rPr>
      </w:pPr>
      <w:r w:rsidRPr="00CD7E52">
        <w:rPr>
          <w:szCs w:val="22"/>
          <w:lang w:val="lt-LT"/>
        </w:rPr>
        <w:t xml:space="preserve">Lot </w:t>
      </w:r>
      <w:r w:rsidRPr="00425717">
        <w:rPr>
          <w:szCs w:val="22"/>
          <w:highlight w:val="lightGray"/>
          <w:lang w:val="lt-LT"/>
        </w:rPr>
        <w:t>{numeris}</w:t>
      </w:r>
    </w:p>
    <w:p w14:paraId="28BAD7E0" w14:textId="77777777" w:rsidR="008D14F2" w:rsidRPr="00CD7E52" w:rsidRDefault="008D14F2" w:rsidP="00C00052">
      <w:pPr>
        <w:widowControl w:val="0"/>
        <w:autoSpaceDE w:val="0"/>
        <w:autoSpaceDN w:val="0"/>
        <w:adjustRightInd w:val="0"/>
        <w:rPr>
          <w:szCs w:val="22"/>
          <w:lang w:val="lt-LT"/>
        </w:rPr>
      </w:pPr>
    </w:p>
    <w:p w14:paraId="22F88145" w14:textId="77777777" w:rsidR="008D14F2" w:rsidRPr="00CD7E52" w:rsidRDefault="008D14F2" w:rsidP="00C00052">
      <w:pPr>
        <w:widowControl w:val="0"/>
        <w:autoSpaceDE w:val="0"/>
        <w:autoSpaceDN w:val="0"/>
        <w:adjustRightInd w:val="0"/>
        <w:rPr>
          <w:szCs w:val="22"/>
          <w:lang w:val="lt-LT"/>
        </w:rPr>
      </w:pPr>
    </w:p>
    <w:p w14:paraId="32840630"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napToGrid/>
          <w:szCs w:val="22"/>
          <w:lang w:val="lt-LT" w:eastAsia="lt-LT"/>
        </w:rPr>
      </w:pPr>
      <w:r w:rsidRPr="00CD7E52">
        <w:rPr>
          <w:b/>
          <w:szCs w:val="22"/>
          <w:lang w:val="lt-LT"/>
        </w:rPr>
        <w:t>14.</w:t>
      </w:r>
      <w:r w:rsidRPr="00CD7E52">
        <w:rPr>
          <w:b/>
          <w:szCs w:val="22"/>
          <w:lang w:val="lt-LT"/>
        </w:rPr>
        <w:tab/>
        <w:t>PARDAVIMO (IŠDAVIMO) TV</w:t>
      </w:r>
      <w:r w:rsidR="006E6907" w:rsidRPr="00CD7E52">
        <w:rPr>
          <w:b/>
          <w:szCs w:val="22"/>
          <w:lang w:val="lt-LT"/>
        </w:rPr>
        <w:t>A</w:t>
      </w:r>
      <w:r w:rsidR="00193250" w:rsidRPr="00CD7E52">
        <w:rPr>
          <w:b/>
          <w:szCs w:val="22"/>
          <w:lang w:val="lt-LT"/>
        </w:rPr>
        <w:t>RK</w:t>
      </w:r>
      <w:r w:rsidRPr="00CD7E52">
        <w:rPr>
          <w:b/>
          <w:szCs w:val="22"/>
          <w:lang w:val="lt-LT"/>
        </w:rPr>
        <w:t>A</w:t>
      </w:r>
    </w:p>
    <w:p w14:paraId="0DEE3C47" w14:textId="77777777" w:rsidR="008D14F2" w:rsidRPr="00CD7E52" w:rsidRDefault="008D14F2" w:rsidP="00C00052">
      <w:pPr>
        <w:widowControl w:val="0"/>
        <w:autoSpaceDE w:val="0"/>
        <w:autoSpaceDN w:val="0"/>
        <w:adjustRightInd w:val="0"/>
        <w:rPr>
          <w:szCs w:val="22"/>
          <w:lang w:val="lt-LT"/>
        </w:rPr>
      </w:pPr>
    </w:p>
    <w:p w14:paraId="078B254C" w14:textId="77777777" w:rsidR="008D14F2" w:rsidRPr="00CD7E52" w:rsidRDefault="008D14F2" w:rsidP="00C00052">
      <w:pPr>
        <w:widowControl w:val="0"/>
        <w:autoSpaceDE w:val="0"/>
        <w:autoSpaceDN w:val="0"/>
        <w:adjustRightInd w:val="0"/>
        <w:rPr>
          <w:snapToGrid/>
          <w:szCs w:val="22"/>
          <w:lang w:val="lt-LT" w:eastAsia="lt-LT"/>
        </w:rPr>
      </w:pPr>
      <w:r w:rsidRPr="00CD7E52">
        <w:rPr>
          <w:szCs w:val="22"/>
          <w:lang w:val="lt-LT"/>
        </w:rPr>
        <w:t>Receptinis vaistas.</w:t>
      </w:r>
    </w:p>
    <w:p w14:paraId="00227C40" w14:textId="77777777" w:rsidR="008D14F2" w:rsidRPr="00CD7E52" w:rsidRDefault="008D14F2" w:rsidP="00C00052">
      <w:pPr>
        <w:widowControl w:val="0"/>
        <w:autoSpaceDE w:val="0"/>
        <w:autoSpaceDN w:val="0"/>
        <w:adjustRightInd w:val="0"/>
        <w:rPr>
          <w:szCs w:val="22"/>
          <w:lang w:val="lt-LT"/>
        </w:rPr>
      </w:pPr>
    </w:p>
    <w:p w14:paraId="46055A19" w14:textId="77777777" w:rsidR="008D14F2" w:rsidRPr="00CD7E52" w:rsidRDefault="008D14F2" w:rsidP="00C00052">
      <w:pPr>
        <w:widowControl w:val="0"/>
        <w:autoSpaceDE w:val="0"/>
        <w:autoSpaceDN w:val="0"/>
        <w:adjustRightInd w:val="0"/>
        <w:rPr>
          <w:szCs w:val="22"/>
          <w:lang w:val="lt-LT"/>
        </w:rPr>
      </w:pPr>
    </w:p>
    <w:p w14:paraId="565E496C" w14:textId="77777777" w:rsidR="008D14F2" w:rsidRPr="00CD7E52" w:rsidRDefault="008D14F2" w:rsidP="00C00052">
      <w:pPr>
        <w:widowControl w:val="0"/>
        <w:pBdr>
          <w:top w:val="single" w:sz="4" w:space="2" w:color="auto"/>
          <w:left w:val="single" w:sz="4" w:space="4" w:color="auto"/>
          <w:bottom w:val="single" w:sz="4" w:space="1" w:color="auto"/>
          <w:right w:val="single" w:sz="4" w:space="4" w:color="auto"/>
        </w:pBdr>
        <w:autoSpaceDE w:val="0"/>
        <w:autoSpaceDN w:val="0"/>
        <w:adjustRightInd w:val="0"/>
        <w:spacing w:line="240" w:lineRule="auto"/>
        <w:rPr>
          <w:snapToGrid/>
          <w:szCs w:val="22"/>
          <w:lang w:val="lt-LT" w:eastAsia="lt-LT"/>
        </w:rPr>
      </w:pPr>
      <w:r w:rsidRPr="00CD7E52">
        <w:rPr>
          <w:b/>
          <w:szCs w:val="22"/>
          <w:lang w:val="lt-LT"/>
        </w:rPr>
        <w:t>15.</w:t>
      </w:r>
      <w:r w:rsidRPr="00CD7E52">
        <w:rPr>
          <w:b/>
          <w:szCs w:val="22"/>
          <w:lang w:val="lt-LT"/>
        </w:rPr>
        <w:tab/>
        <w:t>VARTOJIMO INSTRUKCIJA</w:t>
      </w:r>
    </w:p>
    <w:p w14:paraId="7A33A260" w14:textId="77777777" w:rsidR="008D14F2" w:rsidRPr="00CD7E52" w:rsidRDefault="008D14F2" w:rsidP="00C00052">
      <w:pPr>
        <w:widowControl w:val="0"/>
        <w:autoSpaceDE w:val="0"/>
        <w:autoSpaceDN w:val="0"/>
        <w:adjustRightInd w:val="0"/>
        <w:rPr>
          <w:szCs w:val="22"/>
          <w:lang w:val="lt-LT"/>
        </w:rPr>
      </w:pPr>
    </w:p>
    <w:p w14:paraId="29E93D87" w14:textId="77777777" w:rsidR="008D14F2" w:rsidRPr="00CD7E52" w:rsidRDefault="008D14F2" w:rsidP="00C00052">
      <w:pPr>
        <w:widowControl w:val="0"/>
        <w:autoSpaceDE w:val="0"/>
        <w:autoSpaceDN w:val="0"/>
        <w:adjustRightInd w:val="0"/>
        <w:rPr>
          <w:szCs w:val="22"/>
          <w:lang w:val="lt-LT"/>
        </w:rPr>
      </w:pPr>
    </w:p>
    <w:p w14:paraId="73EA393C" w14:textId="77777777" w:rsidR="008D14F2" w:rsidRPr="00CD7E52" w:rsidRDefault="008D14F2" w:rsidP="00C00052">
      <w:pPr>
        <w:widowControl w:val="0"/>
        <w:pBdr>
          <w:top w:val="single" w:sz="4" w:space="1" w:color="auto"/>
          <w:left w:val="single" w:sz="4" w:space="4" w:color="auto"/>
          <w:bottom w:val="single" w:sz="4" w:space="0" w:color="auto"/>
          <w:right w:val="single" w:sz="4" w:space="4" w:color="auto"/>
        </w:pBdr>
        <w:autoSpaceDE w:val="0"/>
        <w:autoSpaceDN w:val="0"/>
        <w:adjustRightInd w:val="0"/>
        <w:spacing w:line="240" w:lineRule="auto"/>
        <w:rPr>
          <w:snapToGrid/>
          <w:szCs w:val="22"/>
          <w:lang w:val="lt-LT" w:eastAsia="lt-LT"/>
        </w:rPr>
      </w:pPr>
      <w:r w:rsidRPr="00CD7E52">
        <w:rPr>
          <w:b/>
          <w:szCs w:val="22"/>
          <w:lang w:val="lt-LT"/>
        </w:rPr>
        <w:t>16.</w:t>
      </w:r>
      <w:r w:rsidRPr="00CD7E52">
        <w:rPr>
          <w:b/>
          <w:szCs w:val="22"/>
          <w:lang w:val="lt-LT"/>
        </w:rPr>
        <w:tab/>
        <w:t>INFORMACIJA BRAILIO RAŠTU</w:t>
      </w:r>
    </w:p>
    <w:p w14:paraId="7BA2A0CA" w14:textId="77777777" w:rsidR="008D14F2" w:rsidRPr="00CD7E52" w:rsidRDefault="008D14F2" w:rsidP="00C00052">
      <w:pPr>
        <w:widowControl w:val="0"/>
        <w:autoSpaceDE w:val="0"/>
        <w:autoSpaceDN w:val="0"/>
        <w:adjustRightInd w:val="0"/>
        <w:rPr>
          <w:szCs w:val="22"/>
          <w:lang w:val="lt-LT"/>
        </w:rPr>
      </w:pPr>
    </w:p>
    <w:p w14:paraId="28FF581A" w14:textId="77777777" w:rsidR="008D14F2" w:rsidRPr="00CD7E52" w:rsidRDefault="008D14F2" w:rsidP="00C00052">
      <w:pPr>
        <w:widowControl w:val="0"/>
        <w:autoSpaceDE w:val="0"/>
        <w:autoSpaceDN w:val="0"/>
        <w:adjustRightInd w:val="0"/>
        <w:rPr>
          <w:snapToGrid/>
          <w:szCs w:val="22"/>
          <w:lang w:val="lt-LT" w:eastAsia="lt-LT"/>
        </w:rPr>
      </w:pPr>
      <w:r w:rsidRPr="00425717">
        <w:rPr>
          <w:szCs w:val="22"/>
          <w:highlight w:val="lightGray"/>
          <w:lang w:val="lt-LT"/>
        </w:rPr>
        <w:t>Priimtas pagrindimas informacijos Brailio raštu nepateikti.</w:t>
      </w:r>
    </w:p>
    <w:p w14:paraId="66E39484" w14:textId="77777777" w:rsidR="008D14F2" w:rsidRPr="00CD7E52" w:rsidRDefault="008D14F2" w:rsidP="00C00052">
      <w:pPr>
        <w:widowControl w:val="0"/>
        <w:autoSpaceDE w:val="0"/>
        <w:autoSpaceDN w:val="0"/>
        <w:adjustRightInd w:val="0"/>
        <w:rPr>
          <w:szCs w:val="22"/>
          <w:lang w:val="lt-LT"/>
        </w:rPr>
      </w:pPr>
    </w:p>
    <w:p w14:paraId="43C57933" w14:textId="77777777" w:rsidR="008D14F2" w:rsidRPr="00CD7E52" w:rsidRDefault="008D14F2" w:rsidP="00C00052">
      <w:pPr>
        <w:widowControl w:val="0"/>
        <w:autoSpaceDE w:val="0"/>
        <w:autoSpaceDN w:val="0"/>
        <w:adjustRightInd w:val="0"/>
        <w:rPr>
          <w:szCs w:val="22"/>
          <w:shd w:val="clear" w:color="auto" w:fill="CCCCCC"/>
          <w:lang w:val="lt-LT"/>
        </w:rPr>
      </w:pPr>
    </w:p>
    <w:p w14:paraId="09C76CED" w14:textId="77777777" w:rsidR="008D14F2" w:rsidRPr="00CD7E52" w:rsidRDefault="008D14F2" w:rsidP="00C00052">
      <w:pPr>
        <w:keepNext/>
        <w:widowControl w:val="0"/>
        <w:pBdr>
          <w:top w:val="single" w:sz="4" w:space="1" w:color="auto"/>
          <w:left w:val="single" w:sz="4" w:space="4" w:color="auto"/>
          <w:bottom w:val="single" w:sz="4" w:space="1" w:color="auto"/>
          <w:right w:val="single" w:sz="4" w:space="4" w:color="auto"/>
        </w:pBdr>
        <w:tabs>
          <w:tab w:val="left" w:pos="0"/>
        </w:tabs>
        <w:autoSpaceDE w:val="0"/>
        <w:autoSpaceDN w:val="0"/>
        <w:adjustRightInd w:val="0"/>
        <w:rPr>
          <w:i/>
          <w:snapToGrid/>
          <w:szCs w:val="22"/>
          <w:lang w:val="lt-LT" w:eastAsia="lt-LT"/>
        </w:rPr>
      </w:pPr>
      <w:r w:rsidRPr="00CD7E52">
        <w:rPr>
          <w:b/>
          <w:szCs w:val="22"/>
          <w:lang w:val="lt-LT"/>
        </w:rPr>
        <w:t>17.</w:t>
      </w:r>
      <w:r w:rsidRPr="00CD7E52">
        <w:rPr>
          <w:b/>
          <w:szCs w:val="22"/>
          <w:lang w:val="lt-LT"/>
        </w:rPr>
        <w:tab/>
        <w:t>UNIKALUS IDENTIFIKATORIUS – 2D BRŪKŠNINIS KODAS</w:t>
      </w:r>
    </w:p>
    <w:p w14:paraId="42AA79F1" w14:textId="77777777" w:rsidR="00206995" w:rsidRPr="00CD7E52" w:rsidRDefault="00206995" w:rsidP="00C00052">
      <w:pPr>
        <w:widowControl w:val="0"/>
        <w:autoSpaceDE w:val="0"/>
        <w:autoSpaceDN w:val="0"/>
        <w:adjustRightInd w:val="0"/>
        <w:rPr>
          <w:szCs w:val="22"/>
          <w:lang w:val="lt-LT"/>
        </w:rPr>
      </w:pPr>
    </w:p>
    <w:p w14:paraId="2114F515" w14:textId="77777777" w:rsidR="008D14F2" w:rsidRPr="00CD7E52" w:rsidRDefault="00206995" w:rsidP="00C00052">
      <w:pPr>
        <w:widowControl w:val="0"/>
        <w:autoSpaceDE w:val="0"/>
        <w:autoSpaceDN w:val="0"/>
        <w:adjustRightInd w:val="0"/>
        <w:rPr>
          <w:szCs w:val="22"/>
          <w:lang w:val="lt-LT"/>
        </w:rPr>
      </w:pPr>
      <w:r w:rsidRPr="00CD7E52">
        <w:rPr>
          <w:szCs w:val="22"/>
          <w:lang w:val="lt-LT"/>
        </w:rPr>
        <w:t>2D brūkšninis kodas su nurodytu unikaliu identifikatoriumi.</w:t>
      </w:r>
    </w:p>
    <w:p w14:paraId="3C0AFB00" w14:textId="77777777" w:rsidR="008D14F2" w:rsidRPr="00CD7E52" w:rsidRDefault="008D14F2" w:rsidP="00C00052">
      <w:pPr>
        <w:widowControl w:val="0"/>
        <w:autoSpaceDE w:val="0"/>
        <w:autoSpaceDN w:val="0"/>
        <w:adjustRightInd w:val="0"/>
        <w:rPr>
          <w:szCs w:val="22"/>
          <w:lang w:val="lt-LT"/>
        </w:rPr>
      </w:pPr>
    </w:p>
    <w:p w14:paraId="0C4BF6B6" w14:textId="77777777" w:rsidR="00D72F59" w:rsidRPr="00CD7E52" w:rsidRDefault="00D72F59" w:rsidP="00C00052">
      <w:pPr>
        <w:widowControl w:val="0"/>
        <w:autoSpaceDE w:val="0"/>
        <w:autoSpaceDN w:val="0"/>
        <w:adjustRightInd w:val="0"/>
        <w:rPr>
          <w:szCs w:val="22"/>
          <w:lang w:val="lt-LT"/>
        </w:rPr>
      </w:pPr>
    </w:p>
    <w:p w14:paraId="59445113" w14:textId="77777777" w:rsidR="008D14F2" w:rsidRPr="00CD7E52" w:rsidRDefault="008D14F2" w:rsidP="00C00052">
      <w:pPr>
        <w:keepNext/>
        <w:pBdr>
          <w:top w:val="single" w:sz="4" w:space="1" w:color="auto"/>
          <w:left w:val="single" w:sz="4" w:space="4" w:color="auto"/>
          <w:bottom w:val="single" w:sz="4" w:space="1" w:color="auto"/>
          <w:right w:val="single" w:sz="4" w:space="4" w:color="auto"/>
        </w:pBdr>
        <w:tabs>
          <w:tab w:val="left" w:pos="0"/>
        </w:tabs>
        <w:autoSpaceDE w:val="0"/>
        <w:autoSpaceDN w:val="0"/>
        <w:adjustRightInd w:val="0"/>
        <w:rPr>
          <w:i/>
          <w:snapToGrid/>
          <w:szCs w:val="22"/>
          <w:lang w:val="lt-LT" w:eastAsia="lt-LT"/>
        </w:rPr>
      </w:pPr>
      <w:r w:rsidRPr="00CD7E52">
        <w:rPr>
          <w:b/>
          <w:szCs w:val="22"/>
          <w:lang w:val="lt-LT"/>
        </w:rPr>
        <w:t>18.</w:t>
      </w:r>
      <w:r w:rsidRPr="00CD7E52">
        <w:rPr>
          <w:b/>
          <w:szCs w:val="22"/>
          <w:lang w:val="lt-LT"/>
        </w:rPr>
        <w:tab/>
        <w:t>UNIKALUS IDENTIFIKATORIUS – ŽMONĖMS SUPRANTAMI DUOMENYS</w:t>
      </w:r>
    </w:p>
    <w:p w14:paraId="2CE71F25" w14:textId="77777777" w:rsidR="008D14F2" w:rsidRPr="00CD7E52" w:rsidRDefault="008D14F2" w:rsidP="00C00052">
      <w:pPr>
        <w:keepNext/>
        <w:autoSpaceDE w:val="0"/>
        <w:autoSpaceDN w:val="0"/>
        <w:adjustRightInd w:val="0"/>
        <w:rPr>
          <w:szCs w:val="22"/>
          <w:lang w:val="lt-LT"/>
        </w:rPr>
      </w:pPr>
    </w:p>
    <w:p w14:paraId="39A28EBB" w14:textId="77777777" w:rsidR="008D14F2" w:rsidRPr="00CD7E52" w:rsidRDefault="008D14F2" w:rsidP="00C00052">
      <w:pPr>
        <w:keepNext/>
        <w:autoSpaceDE w:val="0"/>
        <w:autoSpaceDN w:val="0"/>
        <w:adjustRightInd w:val="0"/>
        <w:rPr>
          <w:szCs w:val="22"/>
          <w:highlight w:val="yellow"/>
          <w:lang w:val="lt-LT"/>
        </w:rPr>
      </w:pPr>
      <w:r w:rsidRPr="00CD7E52">
        <w:rPr>
          <w:szCs w:val="22"/>
          <w:lang w:val="lt-LT"/>
        </w:rPr>
        <w:t xml:space="preserve">PC </w:t>
      </w:r>
      <w:r w:rsidRPr="00425717">
        <w:rPr>
          <w:szCs w:val="22"/>
          <w:highlight w:val="lightGray"/>
          <w:lang w:val="lt-LT"/>
        </w:rPr>
        <w:t>{numeris}</w:t>
      </w:r>
    </w:p>
    <w:p w14:paraId="2C4A6FEE" w14:textId="77777777" w:rsidR="008D14F2" w:rsidRPr="00425717" w:rsidRDefault="008D14F2" w:rsidP="00C00052">
      <w:pPr>
        <w:widowControl w:val="0"/>
        <w:autoSpaceDE w:val="0"/>
        <w:autoSpaceDN w:val="0"/>
        <w:adjustRightInd w:val="0"/>
        <w:rPr>
          <w:szCs w:val="22"/>
          <w:highlight w:val="lightGray"/>
          <w:lang w:val="lt-LT"/>
        </w:rPr>
      </w:pPr>
      <w:r w:rsidRPr="00CD7E52">
        <w:rPr>
          <w:szCs w:val="22"/>
          <w:lang w:val="lt-LT"/>
        </w:rPr>
        <w:t xml:space="preserve">SN </w:t>
      </w:r>
      <w:r w:rsidRPr="00425717">
        <w:rPr>
          <w:szCs w:val="22"/>
          <w:highlight w:val="lightGray"/>
          <w:lang w:val="lt-LT"/>
        </w:rPr>
        <w:t>{numeris}</w:t>
      </w:r>
    </w:p>
    <w:p w14:paraId="3EB4C8B0" w14:textId="77777777" w:rsidR="008D14F2" w:rsidRPr="00CD7E52" w:rsidRDefault="008D14F2" w:rsidP="00C00052">
      <w:pPr>
        <w:widowControl w:val="0"/>
        <w:autoSpaceDE w:val="0"/>
        <w:autoSpaceDN w:val="0"/>
        <w:adjustRightInd w:val="0"/>
        <w:rPr>
          <w:szCs w:val="22"/>
          <w:lang w:val="lt-LT"/>
        </w:rPr>
      </w:pPr>
      <w:r w:rsidRPr="00425717">
        <w:rPr>
          <w:szCs w:val="22"/>
          <w:highlight w:val="lightGray"/>
          <w:lang w:val="lt-LT"/>
        </w:rPr>
        <w:t>NN {numeris}</w:t>
      </w:r>
    </w:p>
    <w:p w14:paraId="3883EFDD" w14:textId="77777777" w:rsidR="008D14F2" w:rsidRPr="00CD7E52" w:rsidRDefault="008D14F2" w:rsidP="00C00052">
      <w:pPr>
        <w:widowControl w:val="0"/>
        <w:autoSpaceDE w:val="0"/>
        <w:autoSpaceDN w:val="0"/>
        <w:adjustRightInd w:val="0"/>
        <w:rPr>
          <w:b/>
          <w:spacing w:val="-2"/>
          <w:szCs w:val="22"/>
          <w:lang w:val="lt-LT"/>
        </w:rPr>
      </w:pPr>
      <w:r w:rsidRPr="00425717">
        <w:rPr>
          <w:szCs w:val="22"/>
          <w:highlight w:val="lightGray"/>
          <w:lang w:val="lt-LT"/>
        </w:rPr>
        <w:br w:type="page"/>
      </w:r>
    </w:p>
    <w:p w14:paraId="3895C8A7"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tabs>
          <w:tab w:val="clear" w:pos="567"/>
          <w:tab w:val="left" w:pos="0"/>
        </w:tabs>
        <w:autoSpaceDE w:val="0"/>
        <w:autoSpaceDN w:val="0"/>
        <w:adjustRightInd w:val="0"/>
        <w:rPr>
          <w:b/>
          <w:snapToGrid/>
          <w:szCs w:val="22"/>
          <w:lang w:val="lt-LT" w:eastAsia="lt-LT"/>
        </w:rPr>
      </w:pPr>
      <w:r w:rsidRPr="00CD7E52">
        <w:rPr>
          <w:b/>
          <w:szCs w:val="22"/>
          <w:lang w:val="lt-LT"/>
        </w:rPr>
        <w:lastRenderedPageBreak/>
        <w:t xml:space="preserve">MINIMALI INFORMACIJA ANT LIZDINIŲ PLOKŠTELIŲ </w:t>
      </w:r>
    </w:p>
    <w:p w14:paraId="653F8090"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rPr>
          <w:b/>
          <w:szCs w:val="22"/>
          <w:lang w:val="lt-LT"/>
        </w:rPr>
      </w:pPr>
    </w:p>
    <w:p w14:paraId="5034029B" w14:textId="77777777" w:rsidR="008D14F2" w:rsidRPr="00CD7E52" w:rsidRDefault="008D14F2" w:rsidP="000E0C6A">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rPr>
          <w:b/>
          <w:snapToGrid/>
          <w:szCs w:val="22"/>
          <w:lang w:val="lt-LT" w:eastAsia="lt-LT"/>
        </w:rPr>
      </w:pPr>
      <w:r w:rsidRPr="00CD7E52">
        <w:rPr>
          <w:b/>
          <w:szCs w:val="22"/>
          <w:lang w:val="lt-LT"/>
        </w:rPr>
        <w:t>LIZDINĖ PLOKŠTELĖ</w:t>
      </w:r>
      <w:r w:rsidR="000E0C6A" w:rsidRPr="00CD7E52">
        <w:rPr>
          <w:b/>
          <w:snapToGrid/>
          <w:szCs w:val="22"/>
          <w:lang w:val="lt-LT" w:eastAsia="lt-LT"/>
        </w:rPr>
        <w:t xml:space="preserve">, </w:t>
      </w:r>
      <w:r w:rsidRPr="00CD7E52">
        <w:rPr>
          <w:b/>
          <w:szCs w:val="22"/>
          <w:lang w:val="lt-LT"/>
        </w:rPr>
        <w:t>DALOMOJI LIZDINĖ PLOKŠTELĖ</w:t>
      </w:r>
      <w:r w:rsidR="00D662D8" w:rsidRPr="00CD7E52">
        <w:rPr>
          <w:b/>
          <w:szCs w:val="22"/>
          <w:lang w:val="lt-LT"/>
        </w:rPr>
        <w:t xml:space="preserve"> - 10 mg + 20 mg + 30 mg</w:t>
      </w:r>
    </w:p>
    <w:p w14:paraId="7654DC88" w14:textId="77777777" w:rsidR="008D14F2" w:rsidRPr="00CD7E52" w:rsidRDefault="008D14F2" w:rsidP="00C00052">
      <w:pPr>
        <w:widowControl w:val="0"/>
        <w:autoSpaceDE w:val="0"/>
        <w:autoSpaceDN w:val="0"/>
        <w:adjustRightInd w:val="0"/>
        <w:rPr>
          <w:szCs w:val="22"/>
          <w:lang w:val="lt-LT"/>
        </w:rPr>
      </w:pPr>
    </w:p>
    <w:p w14:paraId="309D40A6" w14:textId="77777777" w:rsidR="008D14F2" w:rsidRPr="00CD7E52" w:rsidRDefault="008D14F2" w:rsidP="00C00052">
      <w:pPr>
        <w:widowControl w:val="0"/>
        <w:autoSpaceDE w:val="0"/>
        <w:autoSpaceDN w:val="0"/>
        <w:adjustRightInd w:val="0"/>
        <w:rPr>
          <w:szCs w:val="22"/>
          <w:lang w:val="lt-LT"/>
        </w:rPr>
      </w:pPr>
    </w:p>
    <w:p w14:paraId="1BC5E1DF"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2"/>
          <w:lang w:val="lt-LT" w:eastAsia="lt-LT"/>
        </w:rPr>
      </w:pPr>
      <w:r w:rsidRPr="00CD7E52">
        <w:rPr>
          <w:b/>
          <w:szCs w:val="22"/>
          <w:lang w:val="lt-LT"/>
        </w:rPr>
        <w:t>1.</w:t>
      </w:r>
      <w:r w:rsidRPr="00CD7E52">
        <w:rPr>
          <w:b/>
          <w:szCs w:val="22"/>
          <w:lang w:val="lt-LT"/>
        </w:rPr>
        <w:tab/>
      </w:r>
      <w:r w:rsidRPr="00CD7E52">
        <w:rPr>
          <w:b/>
          <w:caps/>
          <w:szCs w:val="22"/>
          <w:lang w:val="lt-LT"/>
        </w:rPr>
        <w:t>VAISTINIO</w:t>
      </w:r>
      <w:r w:rsidRPr="00CD7E52">
        <w:rPr>
          <w:b/>
          <w:szCs w:val="22"/>
          <w:lang w:val="lt-LT"/>
        </w:rPr>
        <w:t xml:space="preserve"> PREPARATO PAVADINIMAS</w:t>
      </w:r>
    </w:p>
    <w:p w14:paraId="1176D905" w14:textId="77777777" w:rsidR="008D14F2" w:rsidRPr="00CD7E52" w:rsidRDefault="008D14F2" w:rsidP="00C00052">
      <w:pPr>
        <w:widowControl w:val="0"/>
        <w:autoSpaceDE w:val="0"/>
        <w:autoSpaceDN w:val="0"/>
        <w:adjustRightInd w:val="0"/>
        <w:rPr>
          <w:szCs w:val="22"/>
          <w:lang w:val="lt-LT"/>
        </w:rPr>
      </w:pPr>
    </w:p>
    <w:p w14:paraId="1770405A" w14:textId="77777777" w:rsidR="008D14F2" w:rsidRPr="00CD7E52" w:rsidRDefault="005A4193" w:rsidP="00C00052">
      <w:pPr>
        <w:widowControl w:val="0"/>
        <w:autoSpaceDE w:val="0"/>
        <w:autoSpaceDN w:val="0"/>
        <w:adjustRightInd w:val="0"/>
        <w:rPr>
          <w:snapToGrid/>
          <w:szCs w:val="22"/>
          <w:lang w:val="lt-LT" w:eastAsia="lt-LT"/>
        </w:rPr>
      </w:pPr>
      <w:r w:rsidRPr="00CD7E52">
        <w:rPr>
          <w:szCs w:val="22"/>
          <w:lang w:val="lt-LT"/>
        </w:rPr>
        <w:t>Apremilast STADA</w:t>
      </w:r>
      <w:r w:rsidR="008D14F2" w:rsidRPr="00CD7E52">
        <w:rPr>
          <w:szCs w:val="22"/>
          <w:lang w:val="lt-LT"/>
        </w:rPr>
        <w:t xml:space="preserve"> 10 mg plėvele dengtos tabletės</w:t>
      </w:r>
    </w:p>
    <w:p w14:paraId="486184A0" w14:textId="77777777" w:rsidR="008D14F2" w:rsidRPr="00CD7E52" w:rsidRDefault="005A4193" w:rsidP="00C00052">
      <w:pPr>
        <w:widowControl w:val="0"/>
        <w:autoSpaceDE w:val="0"/>
        <w:autoSpaceDN w:val="0"/>
        <w:adjustRightInd w:val="0"/>
        <w:rPr>
          <w:snapToGrid/>
          <w:szCs w:val="22"/>
          <w:lang w:val="lt-LT" w:eastAsia="lt-LT"/>
        </w:rPr>
      </w:pPr>
      <w:r w:rsidRPr="00CD7E52">
        <w:rPr>
          <w:szCs w:val="22"/>
          <w:lang w:val="lt-LT"/>
        </w:rPr>
        <w:t>Apremilast STADA</w:t>
      </w:r>
      <w:r w:rsidR="008D14F2" w:rsidRPr="00CD7E52">
        <w:rPr>
          <w:szCs w:val="22"/>
          <w:lang w:val="lt-LT"/>
        </w:rPr>
        <w:t xml:space="preserve"> 20 mg plėvele dengtos tabletės</w:t>
      </w:r>
    </w:p>
    <w:p w14:paraId="6029D659" w14:textId="77777777" w:rsidR="008D14F2" w:rsidRPr="00CD7E52" w:rsidRDefault="005A4193" w:rsidP="00C00052">
      <w:pPr>
        <w:widowControl w:val="0"/>
        <w:autoSpaceDE w:val="0"/>
        <w:autoSpaceDN w:val="0"/>
        <w:adjustRightInd w:val="0"/>
        <w:rPr>
          <w:snapToGrid/>
          <w:szCs w:val="22"/>
          <w:lang w:val="lt-LT" w:eastAsia="lt-LT"/>
        </w:rPr>
      </w:pPr>
      <w:r w:rsidRPr="00CD7E52">
        <w:rPr>
          <w:szCs w:val="22"/>
          <w:lang w:val="lt-LT"/>
        </w:rPr>
        <w:t>Apremilast STADA</w:t>
      </w:r>
      <w:r w:rsidR="008D14F2" w:rsidRPr="00CD7E52">
        <w:rPr>
          <w:szCs w:val="22"/>
          <w:lang w:val="lt-LT"/>
        </w:rPr>
        <w:t xml:space="preserve"> 30 mg plėvele dengtos tabletės</w:t>
      </w:r>
    </w:p>
    <w:p w14:paraId="40110792" w14:textId="77777777" w:rsidR="008D14F2" w:rsidRPr="00CD7E52" w:rsidRDefault="008D14F2" w:rsidP="00C00052">
      <w:pPr>
        <w:tabs>
          <w:tab w:val="clear" w:pos="567"/>
        </w:tabs>
        <w:autoSpaceDE w:val="0"/>
        <w:autoSpaceDN w:val="0"/>
        <w:adjustRightInd w:val="0"/>
        <w:spacing w:line="240" w:lineRule="auto"/>
        <w:rPr>
          <w:i/>
          <w:szCs w:val="22"/>
          <w:lang w:val="lt-LT"/>
        </w:rPr>
      </w:pPr>
    </w:p>
    <w:p w14:paraId="685C53D0" w14:textId="77777777" w:rsidR="008D14F2" w:rsidRPr="00CD7E52" w:rsidRDefault="008D14F2" w:rsidP="00C00052">
      <w:pPr>
        <w:tabs>
          <w:tab w:val="clear" w:pos="567"/>
        </w:tabs>
        <w:autoSpaceDE w:val="0"/>
        <w:autoSpaceDN w:val="0"/>
        <w:adjustRightInd w:val="0"/>
        <w:spacing w:line="240" w:lineRule="auto"/>
        <w:rPr>
          <w:i/>
          <w:szCs w:val="22"/>
          <w:lang w:val="lt-LT"/>
        </w:rPr>
      </w:pPr>
      <w:r w:rsidRPr="00CD7E52">
        <w:rPr>
          <w:i/>
          <w:color w:val="000000"/>
          <w:szCs w:val="22"/>
          <w:lang w:val="lt-LT"/>
        </w:rPr>
        <w:t>apremilastum</w:t>
      </w:r>
    </w:p>
    <w:p w14:paraId="3908425B" w14:textId="77777777" w:rsidR="008D14F2" w:rsidRPr="00CD7E52" w:rsidRDefault="008D14F2" w:rsidP="00C00052">
      <w:pPr>
        <w:widowControl w:val="0"/>
        <w:autoSpaceDE w:val="0"/>
        <w:autoSpaceDN w:val="0"/>
        <w:adjustRightInd w:val="0"/>
        <w:rPr>
          <w:szCs w:val="22"/>
          <w:lang w:val="lt-LT"/>
        </w:rPr>
      </w:pPr>
    </w:p>
    <w:p w14:paraId="0CE67733" w14:textId="77777777" w:rsidR="008D14F2" w:rsidRPr="00CD7E52" w:rsidRDefault="008D14F2" w:rsidP="00C00052">
      <w:pPr>
        <w:widowControl w:val="0"/>
        <w:autoSpaceDE w:val="0"/>
        <w:autoSpaceDN w:val="0"/>
        <w:adjustRightInd w:val="0"/>
        <w:rPr>
          <w:szCs w:val="22"/>
          <w:lang w:val="lt-LT"/>
        </w:rPr>
      </w:pPr>
    </w:p>
    <w:p w14:paraId="0077A6B7"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2"/>
          <w:lang w:val="lt-LT" w:eastAsia="lt-LT"/>
        </w:rPr>
      </w:pPr>
      <w:r w:rsidRPr="00CD7E52">
        <w:rPr>
          <w:b/>
          <w:szCs w:val="22"/>
          <w:lang w:val="lt-LT"/>
        </w:rPr>
        <w:t>2.</w:t>
      </w:r>
      <w:r w:rsidRPr="00CD7E52">
        <w:rPr>
          <w:b/>
          <w:szCs w:val="22"/>
          <w:lang w:val="lt-LT"/>
        </w:rPr>
        <w:tab/>
      </w:r>
      <w:r w:rsidRPr="00CD7E52">
        <w:rPr>
          <w:b/>
          <w:caps/>
          <w:szCs w:val="22"/>
          <w:lang w:val="lt-LT"/>
        </w:rPr>
        <w:t>REGISTRUOTOJO pavadinimas</w:t>
      </w:r>
    </w:p>
    <w:p w14:paraId="09435D07" w14:textId="77777777" w:rsidR="008D14F2" w:rsidRPr="00CD7E52" w:rsidRDefault="008D14F2" w:rsidP="00C00052">
      <w:pPr>
        <w:widowControl w:val="0"/>
        <w:autoSpaceDE w:val="0"/>
        <w:autoSpaceDN w:val="0"/>
        <w:adjustRightInd w:val="0"/>
        <w:rPr>
          <w:szCs w:val="22"/>
          <w:lang w:val="lt-LT"/>
        </w:rPr>
      </w:pPr>
    </w:p>
    <w:p w14:paraId="78547EE7" w14:textId="77777777" w:rsidR="008D14F2" w:rsidRPr="00CD7E52" w:rsidRDefault="008D14F2" w:rsidP="00C00052">
      <w:pPr>
        <w:widowControl w:val="0"/>
        <w:numPr>
          <w:ilvl w:val="12"/>
          <w:numId w:val="0"/>
        </w:numPr>
        <w:tabs>
          <w:tab w:val="clear" w:pos="567"/>
          <w:tab w:val="left" w:pos="1296"/>
        </w:tabs>
        <w:autoSpaceDE w:val="0"/>
        <w:autoSpaceDN w:val="0"/>
        <w:adjustRightInd w:val="0"/>
        <w:snapToGrid w:val="0"/>
        <w:spacing w:line="240" w:lineRule="auto"/>
        <w:ind w:right="-2"/>
        <w:rPr>
          <w:snapToGrid/>
          <w:szCs w:val="22"/>
          <w:lang w:val="lt-LT" w:eastAsia="lt-LT"/>
        </w:rPr>
      </w:pPr>
      <w:r w:rsidRPr="00CD7E52">
        <w:rPr>
          <w:szCs w:val="22"/>
          <w:lang w:val="lt-LT"/>
        </w:rPr>
        <w:t>STADA Arzneimittel AG</w:t>
      </w:r>
    </w:p>
    <w:p w14:paraId="5C955373" w14:textId="77777777" w:rsidR="008D14F2" w:rsidRPr="00CD7E52" w:rsidRDefault="008D14F2" w:rsidP="00C00052">
      <w:pPr>
        <w:widowControl w:val="0"/>
        <w:autoSpaceDE w:val="0"/>
        <w:autoSpaceDN w:val="0"/>
        <w:adjustRightInd w:val="0"/>
        <w:rPr>
          <w:szCs w:val="22"/>
          <w:lang w:val="lt-LT"/>
        </w:rPr>
      </w:pPr>
    </w:p>
    <w:p w14:paraId="67AF37D2" w14:textId="77777777" w:rsidR="008D14F2" w:rsidRPr="00CD7E52" w:rsidRDefault="008D14F2" w:rsidP="00C00052">
      <w:pPr>
        <w:widowControl w:val="0"/>
        <w:autoSpaceDE w:val="0"/>
        <w:autoSpaceDN w:val="0"/>
        <w:adjustRightInd w:val="0"/>
        <w:rPr>
          <w:szCs w:val="22"/>
          <w:lang w:val="lt-LT"/>
        </w:rPr>
      </w:pPr>
    </w:p>
    <w:p w14:paraId="47FD5359" w14:textId="77777777" w:rsidR="008D14F2" w:rsidRPr="00CD7E52" w:rsidRDefault="008D14F2" w:rsidP="00C00052">
      <w:pPr>
        <w:widowControl w:val="0"/>
        <w:pBdr>
          <w:top w:val="single" w:sz="4" w:space="1" w:color="auto"/>
          <w:left w:val="single" w:sz="4" w:space="4" w:color="auto"/>
          <w:bottom w:val="single" w:sz="4" w:space="2" w:color="auto"/>
          <w:right w:val="single" w:sz="4" w:space="4" w:color="auto"/>
        </w:pBdr>
        <w:autoSpaceDE w:val="0"/>
        <w:autoSpaceDN w:val="0"/>
        <w:adjustRightInd w:val="0"/>
        <w:spacing w:line="240" w:lineRule="auto"/>
        <w:rPr>
          <w:b/>
          <w:snapToGrid/>
          <w:szCs w:val="22"/>
          <w:lang w:val="lt-LT" w:eastAsia="lt-LT"/>
        </w:rPr>
      </w:pPr>
      <w:r w:rsidRPr="00CD7E52">
        <w:rPr>
          <w:b/>
          <w:szCs w:val="22"/>
          <w:lang w:val="lt-LT"/>
        </w:rPr>
        <w:t>3.</w:t>
      </w:r>
      <w:r w:rsidRPr="00CD7E52">
        <w:rPr>
          <w:b/>
          <w:szCs w:val="22"/>
          <w:lang w:val="lt-LT"/>
        </w:rPr>
        <w:tab/>
        <w:t>TINKAMUMO LAIKAS</w:t>
      </w:r>
    </w:p>
    <w:p w14:paraId="5C7351ED" w14:textId="77777777" w:rsidR="008D14F2" w:rsidRPr="00CD7E52" w:rsidRDefault="008D14F2" w:rsidP="00C00052">
      <w:pPr>
        <w:widowControl w:val="0"/>
        <w:autoSpaceDE w:val="0"/>
        <w:autoSpaceDN w:val="0"/>
        <w:adjustRightInd w:val="0"/>
        <w:rPr>
          <w:szCs w:val="22"/>
          <w:lang w:val="lt-LT"/>
        </w:rPr>
      </w:pPr>
    </w:p>
    <w:p w14:paraId="4F1ACDB5" w14:textId="77777777" w:rsidR="008D14F2" w:rsidRPr="00CD7E52" w:rsidRDefault="008D14F2" w:rsidP="00C00052">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 xml:space="preserve">EXP </w:t>
      </w:r>
      <w:r w:rsidRPr="00425717">
        <w:rPr>
          <w:szCs w:val="22"/>
          <w:highlight w:val="lightGray"/>
          <w:lang w:val="lt-LT"/>
        </w:rPr>
        <w:t>{mm/MMMM}</w:t>
      </w:r>
    </w:p>
    <w:p w14:paraId="52528613" w14:textId="77777777" w:rsidR="008D14F2" w:rsidRPr="00CD7E52" w:rsidRDefault="008D14F2" w:rsidP="00C00052">
      <w:pPr>
        <w:widowControl w:val="0"/>
        <w:autoSpaceDE w:val="0"/>
        <w:autoSpaceDN w:val="0"/>
        <w:adjustRightInd w:val="0"/>
        <w:rPr>
          <w:szCs w:val="22"/>
          <w:lang w:val="lt-LT"/>
        </w:rPr>
      </w:pPr>
    </w:p>
    <w:p w14:paraId="42EE6144" w14:textId="77777777" w:rsidR="008D14F2" w:rsidRPr="00CD7E52" w:rsidRDefault="008D14F2" w:rsidP="00C00052">
      <w:pPr>
        <w:widowControl w:val="0"/>
        <w:autoSpaceDE w:val="0"/>
        <w:autoSpaceDN w:val="0"/>
        <w:adjustRightInd w:val="0"/>
        <w:rPr>
          <w:szCs w:val="22"/>
          <w:lang w:val="lt-LT"/>
        </w:rPr>
      </w:pPr>
    </w:p>
    <w:p w14:paraId="4E1649CA" w14:textId="77777777" w:rsidR="008D14F2" w:rsidRPr="00CD7E52" w:rsidRDefault="008D14F2" w:rsidP="00C00052">
      <w:pPr>
        <w:widowControl w:val="0"/>
        <w:suppressLineNumbers/>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2"/>
          <w:lang w:val="lt-LT" w:eastAsia="lt-LT"/>
        </w:rPr>
      </w:pPr>
      <w:r w:rsidRPr="00CD7E52">
        <w:rPr>
          <w:b/>
          <w:szCs w:val="22"/>
          <w:lang w:val="lt-LT"/>
        </w:rPr>
        <w:t>4.</w:t>
      </w:r>
      <w:r w:rsidRPr="00CD7E52">
        <w:rPr>
          <w:b/>
          <w:szCs w:val="22"/>
          <w:lang w:val="lt-LT"/>
        </w:rPr>
        <w:tab/>
        <w:t>SERIJOS NUMERIS</w:t>
      </w:r>
    </w:p>
    <w:p w14:paraId="4819AD4A" w14:textId="77777777" w:rsidR="008D14F2" w:rsidRPr="00CD7E52" w:rsidRDefault="008D14F2" w:rsidP="00C00052">
      <w:pPr>
        <w:widowControl w:val="0"/>
        <w:autoSpaceDE w:val="0"/>
        <w:autoSpaceDN w:val="0"/>
        <w:adjustRightInd w:val="0"/>
        <w:rPr>
          <w:szCs w:val="22"/>
          <w:lang w:val="lt-LT"/>
        </w:rPr>
      </w:pPr>
    </w:p>
    <w:p w14:paraId="1C19C0BC" w14:textId="77777777" w:rsidR="008D14F2" w:rsidRPr="00CD7E52" w:rsidRDefault="008D14F2" w:rsidP="00C00052">
      <w:pPr>
        <w:widowControl w:val="0"/>
        <w:autoSpaceDE w:val="0"/>
        <w:autoSpaceDN w:val="0"/>
        <w:adjustRightInd w:val="0"/>
        <w:rPr>
          <w:snapToGrid/>
          <w:szCs w:val="22"/>
          <w:lang w:val="lt-LT" w:eastAsia="lt-LT"/>
        </w:rPr>
      </w:pPr>
      <w:r w:rsidRPr="00CD7E52">
        <w:rPr>
          <w:szCs w:val="22"/>
          <w:lang w:val="lt-LT"/>
        </w:rPr>
        <w:t xml:space="preserve">Lot </w:t>
      </w:r>
      <w:r w:rsidRPr="00425717">
        <w:rPr>
          <w:szCs w:val="22"/>
          <w:highlight w:val="lightGray"/>
          <w:lang w:val="lt-LT"/>
        </w:rPr>
        <w:t>{numeris}</w:t>
      </w:r>
    </w:p>
    <w:p w14:paraId="23039F66" w14:textId="77777777" w:rsidR="008D14F2" w:rsidRPr="00CD7E52" w:rsidRDefault="008D14F2" w:rsidP="00C00052">
      <w:pPr>
        <w:widowControl w:val="0"/>
        <w:autoSpaceDE w:val="0"/>
        <w:autoSpaceDN w:val="0"/>
        <w:adjustRightInd w:val="0"/>
        <w:rPr>
          <w:szCs w:val="22"/>
          <w:lang w:val="lt-LT"/>
        </w:rPr>
      </w:pPr>
    </w:p>
    <w:p w14:paraId="5D06E13F" w14:textId="77777777" w:rsidR="008D14F2" w:rsidRPr="00CD7E52" w:rsidRDefault="008D14F2" w:rsidP="00C00052">
      <w:pPr>
        <w:widowControl w:val="0"/>
        <w:autoSpaceDE w:val="0"/>
        <w:autoSpaceDN w:val="0"/>
        <w:adjustRightInd w:val="0"/>
        <w:rPr>
          <w:szCs w:val="22"/>
          <w:lang w:val="lt-LT"/>
        </w:rPr>
      </w:pPr>
    </w:p>
    <w:p w14:paraId="6BFC1BE1"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2"/>
          <w:lang w:val="lt-LT" w:eastAsia="lt-LT"/>
        </w:rPr>
      </w:pPr>
      <w:r w:rsidRPr="00CD7E52">
        <w:rPr>
          <w:b/>
          <w:szCs w:val="22"/>
          <w:lang w:val="lt-LT"/>
        </w:rPr>
        <w:t>5.</w:t>
      </w:r>
      <w:r w:rsidRPr="00CD7E52">
        <w:rPr>
          <w:b/>
          <w:szCs w:val="22"/>
          <w:lang w:val="lt-LT"/>
        </w:rPr>
        <w:tab/>
        <w:t>KITA</w:t>
      </w:r>
    </w:p>
    <w:p w14:paraId="41C67974" w14:textId="77777777" w:rsidR="008D14F2" w:rsidRPr="00CD7E52" w:rsidRDefault="008D14F2" w:rsidP="00C00052">
      <w:pPr>
        <w:widowControl w:val="0"/>
        <w:autoSpaceDE w:val="0"/>
        <w:autoSpaceDN w:val="0"/>
        <w:adjustRightInd w:val="0"/>
        <w:rPr>
          <w:szCs w:val="22"/>
          <w:lang w:val="lt-LT"/>
        </w:rPr>
      </w:pPr>
    </w:p>
    <w:p w14:paraId="762E3493" w14:textId="77777777" w:rsidR="008D14F2" w:rsidRPr="00CD7E52" w:rsidRDefault="008D14F2" w:rsidP="00C00052">
      <w:pPr>
        <w:widowControl w:val="0"/>
        <w:autoSpaceDE w:val="0"/>
        <w:autoSpaceDN w:val="0"/>
        <w:adjustRightInd w:val="0"/>
        <w:rPr>
          <w:szCs w:val="22"/>
          <w:lang w:val="lt-LT"/>
        </w:rPr>
      </w:pPr>
    </w:p>
    <w:p w14:paraId="65A3D8A5"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zCs w:val="22"/>
          <w:lang w:val="lt-LT"/>
        </w:rPr>
      </w:pPr>
      <w:r w:rsidRPr="00CD7E52">
        <w:rPr>
          <w:b/>
          <w:spacing w:val="-2"/>
          <w:szCs w:val="22"/>
          <w:lang w:val="lt-LT"/>
        </w:rPr>
        <w:br w:type="page"/>
      </w:r>
      <w:r w:rsidRPr="00CD7E52">
        <w:rPr>
          <w:b/>
          <w:szCs w:val="22"/>
          <w:lang w:val="lt-LT"/>
        </w:rPr>
        <w:lastRenderedPageBreak/>
        <w:t>INFORMACIJA ANT IŠORINĖS PAKUOTĖS</w:t>
      </w:r>
    </w:p>
    <w:p w14:paraId="59BB2BD9"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
          <w:szCs w:val="22"/>
          <w:lang w:val="lt-LT"/>
        </w:rPr>
      </w:pPr>
    </w:p>
    <w:p w14:paraId="7C8E11F9" w14:textId="77777777" w:rsidR="008D14F2" w:rsidRPr="00CD7E52" w:rsidRDefault="00FC65A8"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2"/>
          <w:lang w:val="lt-LT" w:eastAsia="lt-LT"/>
        </w:rPr>
      </w:pPr>
      <w:r w:rsidRPr="00CD7E52">
        <w:rPr>
          <w:b/>
          <w:szCs w:val="22"/>
          <w:lang w:val="lt-LT"/>
        </w:rPr>
        <w:t xml:space="preserve">IŠORINĖ </w:t>
      </w:r>
      <w:r w:rsidR="008D14F2" w:rsidRPr="00CD7E52">
        <w:rPr>
          <w:b/>
          <w:szCs w:val="22"/>
          <w:lang w:val="lt-LT"/>
        </w:rPr>
        <w:t>KARTONO DĖŽUTĖ</w:t>
      </w:r>
      <w:r w:rsidRPr="00CD7E52">
        <w:rPr>
          <w:b/>
          <w:szCs w:val="22"/>
          <w:lang w:val="lt-LT"/>
        </w:rPr>
        <w:t xml:space="preserve"> - </w:t>
      </w:r>
      <w:bookmarkStart w:id="3" w:name="_Hlk174083455"/>
      <w:r w:rsidRPr="00CD7E52">
        <w:rPr>
          <w:b/>
          <w:szCs w:val="22"/>
          <w:lang w:val="lt-LT"/>
        </w:rPr>
        <w:t>30</w:t>
      </w:r>
      <w:r w:rsidR="00C764EE" w:rsidRPr="00CD7E52">
        <w:rPr>
          <w:b/>
          <w:szCs w:val="22"/>
          <w:lang w:val="lt-LT"/>
        </w:rPr>
        <w:t> </w:t>
      </w:r>
      <w:r w:rsidRPr="00CD7E52">
        <w:rPr>
          <w:b/>
          <w:szCs w:val="22"/>
          <w:lang w:val="lt-LT"/>
        </w:rPr>
        <w:t>mg</w:t>
      </w:r>
    </w:p>
    <w:bookmarkEnd w:id="3"/>
    <w:p w14:paraId="71547E1B" w14:textId="77777777" w:rsidR="008D14F2" w:rsidRPr="00CD7E52" w:rsidRDefault="008D14F2" w:rsidP="00C00052">
      <w:pPr>
        <w:widowControl w:val="0"/>
        <w:autoSpaceDE w:val="0"/>
        <w:autoSpaceDN w:val="0"/>
        <w:adjustRightInd w:val="0"/>
        <w:rPr>
          <w:szCs w:val="22"/>
          <w:lang w:val="lt-LT"/>
        </w:rPr>
      </w:pPr>
    </w:p>
    <w:p w14:paraId="5176CD5D" w14:textId="77777777" w:rsidR="008D14F2" w:rsidRPr="00CD7E52" w:rsidRDefault="008D14F2" w:rsidP="00C00052">
      <w:pPr>
        <w:widowControl w:val="0"/>
        <w:autoSpaceDE w:val="0"/>
        <w:autoSpaceDN w:val="0"/>
        <w:adjustRightInd w:val="0"/>
        <w:rPr>
          <w:szCs w:val="22"/>
          <w:lang w:val="lt-LT"/>
        </w:rPr>
      </w:pPr>
    </w:p>
    <w:p w14:paraId="55B156DB"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snapToGrid/>
          <w:szCs w:val="22"/>
          <w:lang w:val="lt-LT" w:eastAsia="lt-LT"/>
        </w:rPr>
      </w:pPr>
      <w:r w:rsidRPr="00CD7E52">
        <w:rPr>
          <w:b/>
          <w:szCs w:val="22"/>
          <w:lang w:val="lt-LT"/>
        </w:rPr>
        <w:t>1.</w:t>
      </w:r>
      <w:r w:rsidRPr="00CD7E52">
        <w:rPr>
          <w:b/>
          <w:szCs w:val="22"/>
          <w:lang w:val="lt-LT"/>
        </w:rPr>
        <w:tab/>
      </w:r>
      <w:r w:rsidRPr="00CD7E52">
        <w:rPr>
          <w:b/>
          <w:caps/>
          <w:szCs w:val="22"/>
          <w:lang w:val="lt-LT"/>
        </w:rPr>
        <w:t>VAISTINIO</w:t>
      </w:r>
      <w:r w:rsidRPr="00CD7E52">
        <w:rPr>
          <w:b/>
          <w:szCs w:val="22"/>
          <w:lang w:val="lt-LT"/>
        </w:rPr>
        <w:t xml:space="preserve"> PREPARATO PAVADINIMAS</w:t>
      </w:r>
    </w:p>
    <w:p w14:paraId="0F5DE2E2" w14:textId="77777777" w:rsidR="008D14F2" w:rsidRPr="00CD7E52" w:rsidRDefault="008D14F2" w:rsidP="00C00052">
      <w:pPr>
        <w:widowControl w:val="0"/>
        <w:autoSpaceDE w:val="0"/>
        <w:autoSpaceDN w:val="0"/>
        <w:adjustRightInd w:val="0"/>
        <w:rPr>
          <w:szCs w:val="22"/>
          <w:lang w:val="lt-LT"/>
        </w:rPr>
      </w:pPr>
    </w:p>
    <w:p w14:paraId="1FD5AAFB" w14:textId="77777777" w:rsidR="008D14F2" w:rsidRPr="00CD7E52" w:rsidRDefault="005A4193" w:rsidP="00C00052">
      <w:pPr>
        <w:widowControl w:val="0"/>
        <w:autoSpaceDE w:val="0"/>
        <w:autoSpaceDN w:val="0"/>
        <w:adjustRightInd w:val="0"/>
        <w:rPr>
          <w:snapToGrid/>
          <w:szCs w:val="22"/>
          <w:lang w:val="lt-LT" w:eastAsia="lt-LT"/>
        </w:rPr>
      </w:pPr>
      <w:r w:rsidRPr="00CD7E52">
        <w:rPr>
          <w:szCs w:val="22"/>
          <w:lang w:val="lt-LT"/>
        </w:rPr>
        <w:t>Apremilast STADA</w:t>
      </w:r>
      <w:r w:rsidR="008D14F2" w:rsidRPr="00CD7E52">
        <w:rPr>
          <w:szCs w:val="22"/>
          <w:lang w:val="lt-LT"/>
        </w:rPr>
        <w:t xml:space="preserve"> 30 mg plėvele dengtos tabletės</w:t>
      </w:r>
    </w:p>
    <w:p w14:paraId="630D1F78" w14:textId="77777777" w:rsidR="008D14F2" w:rsidRPr="00CD7E52" w:rsidRDefault="008D14F2" w:rsidP="00C00052">
      <w:pPr>
        <w:tabs>
          <w:tab w:val="clear" w:pos="567"/>
        </w:tabs>
        <w:autoSpaceDE w:val="0"/>
        <w:autoSpaceDN w:val="0"/>
        <w:adjustRightInd w:val="0"/>
        <w:spacing w:line="240" w:lineRule="auto"/>
        <w:rPr>
          <w:i/>
          <w:szCs w:val="22"/>
          <w:lang w:val="lt-LT"/>
        </w:rPr>
      </w:pPr>
      <w:r w:rsidRPr="00CD7E52">
        <w:rPr>
          <w:i/>
          <w:color w:val="000000"/>
          <w:szCs w:val="22"/>
          <w:lang w:val="lt-LT"/>
        </w:rPr>
        <w:t>apremilastum</w:t>
      </w:r>
    </w:p>
    <w:p w14:paraId="097D38F5" w14:textId="77777777" w:rsidR="008D14F2" w:rsidRPr="00CD7E52" w:rsidRDefault="008D14F2" w:rsidP="00C00052">
      <w:pPr>
        <w:widowControl w:val="0"/>
        <w:autoSpaceDE w:val="0"/>
        <w:autoSpaceDN w:val="0"/>
        <w:adjustRightInd w:val="0"/>
        <w:rPr>
          <w:szCs w:val="22"/>
          <w:lang w:val="lt-LT"/>
        </w:rPr>
      </w:pPr>
    </w:p>
    <w:p w14:paraId="23FEB3DF" w14:textId="77777777" w:rsidR="008D14F2" w:rsidRPr="00CD7E52" w:rsidRDefault="008D14F2" w:rsidP="00C00052">
      <w:pPr>
        <w:widowControl w:val="0"/>
        <w:autoSpaceDE w:val="0"/>
        <w:autoSpaceDN w:val="0"/>
        <w:adjustRightInd w:val="0"/>
        <w:rPr>
          <w:szCs w:val="22"/>
          <w:lang w:val="lt-LT"/>
        </w:rPr>
      </w:pPr>
    </w:p>
    <w:p w14:paraId="7D473392"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
          <w:snapToGrid/>
          <w:szCs w:val="22"/>
          <w:lang w:val="lt-LT" w:eastAsia="lt-LT"/>
        </w:rPr>
      </w:pPr>
      <w:r w:rsidRPr="00CD7E52">
        <w:rPr>
          <w:b/>
          <w:szCs w:val="22"/>
          <w:lang w:val="lt-LT"/>
        </w:rPr>
        <w:t>2.</w:t>
      </w:r>
      <w:r w:rsidRPr="00CD7E52">
        <w:rPr>
          <w:b/>
          <w:szCs w:val="22"/>
          <w:lang w:val="lt-LT"/>
        </w:rPr>
        <w:tab/>
        <w:t>VEIKLIOJI (-IOS) MEDŽIAGA (-OS) IR JOS (-Ų) KIEKIS (-IAI)</w:t>
      </w:r>
    </w:p>
    <w:p w14:paraId="2F9265C5" w14:textId="77777777" w:rsidR="008D14F2" w:rsidRPr="00CD7E52" w:rsidRDefault="008D14F2" w:rsidP="00C00052">
      <w:pPr>
        <w:widowControl w:val="0"/>
        <w:autoSpaceDE w:val="0"/>
        <w:autoSpaceDN w:val="0"/>
        <w:adjustRightInd w:val="0"/>
        <w:rPr>
          <w:szCs w:val="22"/>
          <w:lang w:val="lt-LT"/>
        </w:rPr>
      </w:pPr>
    </w:p>
    <w:p w14:paraId="1E57089E" w14:textId="77777777" w:rsidR="008D14F2" w:rsidRPr="00CD7E52" w:rsidRDefault="008D14F2" w:rsidP="00C00052">
      <w:pPr>
        <w:widowControl w:val="0"/>
        <w:autoSpaceDE w:val="0"/>
        <w:autoSpaceDN w:val="0"/>
        <w:adjustRightInd w:val="0"/>
        <w:rPr>
          <w:snapToGrid/>
          <w:szCs w:val="22"/>
          <w:lang w:val="lt-LT" w:eastAsia="lt-LT"/>
        </w:rPr>
      </w:pPr>
      <w:r w:rsidRPr="00CD7E52">
        <w:rPr>
          <w:szCs w:val="22"/>
          <w:lang w:val="lt-LT"/>
        </w:rPr>
        <w:t>Kiekvienoje tabletėje yra 30 mg apremilasto.</w:t>
      </w:r>
    </w:p>
    <w:p w14:paraId="0BF244E8" w14:textId="77777777" w:rsidR="008D14F2" w:rsidRPr="00CD7E52" w:rsidRDefault="008D14F2" w:rsidP="00C00052">
      <w:pPr>
        <w:widowControl w:val="0"/>
        <w:autoSpaceDE w:val="0"/>
        <w:autoSpaceDN w:val="0"/>
        <w:adjustRightInd w:val="0"/>
        <w:rPr>
          <w:szCs w:val="22"/>
          <w:lang w:val="lt-LT"/>
        </w:rPr>
      </w:pPr>
    </w:p>
    <w:p w14:paraId="684A31E6" w14:textId="77777777" w:rsidR="008D14F2" w:rsidRPr="00CD7E52" w:rsidRDefault="008D14F2" w:rsidP="00C00052">
      <w:pPr>
        <w:widowControl w:val="0"/>
        <w:autoSpaceDE w:val="0"/>
        <w:autoSpaceDN w:val="0"/>
        <w:adjustRightInd w:val="0"/>
        <w:rPr>
          <w:szCs w:val="22"/>
          <w:lang w:val="lt-LT"/>
        </w:rPr>
      </w:pPr>
    </w:p>
    <w:p w14:paraId="0169388C"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snapToGrid/>
          <w:szCs w:val="22"/>
          <w:lang w:val="lt-LT" w:eastAsia="lt-LT"/>
        </w:rPr>
      </w:pPr>
      <w:r w:rsidRPr="00CD7E52">
        <w:rPr>
          <w:b/>
          <w:szCs w:val="22"/>
          <w:lang w:val="lt-LT"/>
        </w:rPr>
        <w:t>3.</w:t>
      </w:r>
      <w:r w:rsidRPr="00CD7E52">
        <w:rPr>
          <w:b/>
          <w:szCs w:val="22"/>
          <w:lang w:val="lt-LT"/>
        </w:rPr>
        <w:tab/>
        <w:t>PAGALBINIŲ MEDŽIAGŲ SĄRAŠAS</w:t>
      </w:r>
    </w:p>
    <w:p w14:paraId="3CAB0D3B" w14:textId="77777777" w:rsidR="008D14F2" w:rsidRPr="00CD7E52" w:rsidRDefault="008D14F2" w:rsidP="00C00052">
      <w:pPr>
        <w:widowControl w:val="0"/>
        <w:autoSpaceDE w:val="0"/>
        <w:autoSpaceDN w:val="0"/>
        <w:adjustRightInd w:val="0"/>
        <w:rPr>
          <w:szCs w:val="22"/>
          <w:lang w:val="lt-LT"/>
        </w:rPr>
      </w:pPr>
    </w:p>
    <w:p w14:paraId="09275705" w14:textId="77777777" w:rsidR="008D14F2" w:rsidRPr="00CD7E52" w:rsidRDefault="008D14F2" w:rsidP="00C00052">
      <w:pPr>
        <w:widowControl w:val="0"/>
        <w:autoSpaceDE w:val="0"/>
        <w:autoSpaceDN w:val="0"/>
        <w:adjustRightInd w:val="0"/>
        <w:rPr>
          <w:snapToGrid/>
          <w:szCs w:val="22"/>
          <w:lang w:val="lt-LT" w:eastAsia="lt-LT"/>
        </w:rPr>
      </w:pPr>
      <w:r w:rsidRPr="00CD7E52">
        <w:rPr>
          <w:szCs w:val="22"/>
          <w:lang w:val="lt-LT"/>
        </w:rPr>
        <w:t>Sudėtyje yra laktozės.</w:t>
      </w:r>
    </w:p>
    <w:p w14:paraId="45421DCD" w14:textId="77777777" w:rsidR="008D14F2" w:rsidRPr="00CD7E52" w:rsidRDefault="008D14F2" w:rsidP="00C00052">
      <w:pPr>
        <w:widowControl w:val="0"/>
        <w:autoSpaceDE w:val="0"/>
        <w:autoSpaceDN w:val="0"/>
        <w:adjustRightInd w:val="0"/>
        <w:rPr>
          <w:snapToGrid/>
          <w:szCs w:val="22"/>
          <w:lang w:val="lt-LT" w:eastAsia="lt-LT"/>
        </w:rPr>
      </w:pPr>
      <w:r w:rsidRPr="00425717">
        <w:rPr>
          <w:szCs w:val="22"/>
          <w:highlight w:val="lightGray"/>
          <w:lang w:val="lt-LT"/>
        </w:rPr>
        <w:t xml:space="preserve">Daugiau informacijos </w:t>
      </w:r>
      <w:r w:rsidR="00C66617" w:rsidRPr="00425717">
        <w:rPr>
          <w:szCs w:val="22"/>
          <w:highlight w:val="lightGray"/>
          <w:lang w:val="lt-LT"/>
        </w:rPr>
        <w:t xml:space="preserve">žr. </w:t>
      </w:r>
      <w:r w:rsidRPr="00425717">
        <w:rPr>
          <w:szCs w:val="22"/>
          <w:highlight w:val="lightGray"/>
          <w:lang w:val="lt-LT"/>
        </w:rPr>
        <w:t>pakuotės lapelyje.</w:t>
      </w:r>
    </w:p>
    <w:p w14:paraId="147E2A27" w14:textId="77777777" w:rsidR="008D14F2" w:rsidRPr="00CD7E52" w:rsidRDefault="008D14F2" w:rsidP="00C00052">
      <w:pPr>
        <w:widowControl w:val="0"/>
        <w:autoSpaceDE w:val="0"/>
        <w:autoSpaceDN w:val="0"/>
        <w:adjustRightInd w:val="0"/>
        <w:rPr>
          <w:szCs w:val="22"/>
          <w:lang w:val="lt-LT"/>
        </w:rPr>
      </w:pPr>
    </w:p>
    <w:p w14:paraId="4723C421" w14:textId="77777777" w:rsidR="008D14F2" w:rsidRPr="00CD7E52" w:rsidRDefault="008D14F2" w:rsidP="00C00052">
      <w:pPr>
        <w:widowControl w:val="0"/>
        <w:autoSpaceDE w:val="0"/>
        <w:autoSpaceDN w:val="0"/>
        <w:adjustRightInd w:val="0"/>
        <w:rPr>
          <w:szCs w:val="22"/>
          <w:lang w:val="lt-LT"/>
        </w:rPr>
      </w:pPr>
    </w:p>
    <w:p w14:paraId="4227F50A"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snapToGrid/>
          <w:szCs w:val="22"/>
          <w:lang w:val="lt-LT" w:eastAsia="lt-LT"/>
        </w:rPr>
      </w:pPr>
      <w:r w:rsidRPr="00CD7E52">
        <w:rPr>
          <w:b/>
          <w:szCs w:val="22"/>
          <w:lang w:val="lt-LT"/>
        </w:rPr>
        <w:t>4.</w:t>
      </w:r>
      <w:r w:rsidRPr="00CD7E52">
        <w:rPr>
          <w:b/>
          <w:szCs w:val="22"/>
          <w:lang w:val="lt-LT"/>
        </w:rPr>
        <w:tab/>
        <w:t>FARMACINĖ FORMA IR KIEKIS PAKUOTĖJE</w:t>
      </w:r>
    </w:p>
    <w:p w14:paraId="11F04C50" w14:textId="77777777" w:rsidR="008D14F2" w:rsidRPr="00CD7E52" w:rsidRDefault="008D14F2" w:rsidP="00C00052">
      <w:pPr>
        <w:widowControl w:val="0"/>
        <w:autoSpaceDE w:val="0"/>
        <w:autoSpaceDN w:val="0"/>
        <w:adjustRightInd w:val="0"/>
        <w:rPr>
          <w:szCs w:val="22"/>
          <w:lang w:val="lt-LT"/>
        </w:rPr>
      </w:pPr>
    </w:p>
    <w:p w14:paraId="4AAC5E12" w14:textId="77777777" w:rsidR="008D14F2" w:rsidRPr="00CD7E52" w:rsidRDefault="008D14F2" w:rsidP="00C00052">
      <w:pPr>
        <w:widowControl w:val="0"/>
        <w:autoSpaceDE w:val="0"/>
        <w:autoSpaceDN w:val="0"/>
        <w:adjustRightInd w:val="0"/>
        <w:rPr>
          <w:snapToGrid/>
          <w:szCs w:val="22"/>
          <w:lang w:val="lt-LT" w:eastAsia="lt-LT"/>
        </w:rPr>
      </w:pPr>
      <w:r w:rsidRPr="00425717">
        <w:rPr>
          <w:szCs w:val="22"/>
          <w:highlight w:val="lightGray"/>
          <w:lang w:val="lt-LT"/>
        </w:rPr>
        <w:t>Plėvele dengta tabletė</w:t>
      </w:r>
    </w:p>
    <w:p w14:paraId="51A1BD8B" w14:textId="77777777" w:rsidR="008D14F2" w:rsidRPr="00CD7E52" w:rsidRDefault="008D14F2" w:rsidP="00C00052">
      <w:pPr>
        <w:widowControl w:val="0"/>
        <w:autoSpaceDE w:val="0"/>
        <w:autoSpaceDN w:val="0"/>
        <w:adjustRightInd w:val="0"/>
        <w:rPr>
          <w:szCs w:val="22"/>
          <w:lang w:val="lt-LT"/>
        </w:rPr>
      </w:pPr>
    </w:p>
    <w:p w14:paraId="44F151A4" w14:textId="77777777" w:rsidR="008D14F2" w:rsidRPr="00CD7E52" w:rsidRDefault="008D14F2" w:rsidP="00C00052">
      <w:pPr>
        <w:widowControl w:val="0"/>
        <w:autoSpaceDE w:val="0"/>
        <w:autoSpaceDN w:val="0"/>
        <w:adjustRightInd w:val="0"/>
        <w:rPr>
          <w:snapToGrid/>
          <w:szCs w:val="22"/>
          <w:lang w:val="lt-LT" w:eastAsia="lt-LT"/>
        </w:rPr>
      </w:pPr>
      <w:r w:rsidRPr="00CD7E52">
        <w:rPr>
          <w:szCs w:val="22"/>
          <w:lang w:val="lt-LT"/>
        </w:rPr>
        <w:t>[Lizdinė plokštelė]</w:t>
      </w:r>
    </w:p>
    <w:p w14:paraId="78D5D9BD" w14:textId="77777777" w:rsidR="008D14F2" w:rsidRPr="00CD7E52" w:rsidRDefault="008D14F2" w:rsidP="00C00052">
      <w:pPr>
        <w:widowControl w:val="0"/>
        <w:autoSpaceDE w:val="0"/>
        <w:autoSpaceDN w:val="0"/>
        <w:adjustRightInd w:val="0"/>
        <w:rPr>
          <w:snapToGrid/>
          <w:szCs w:val="22"/>
          <w:lang w:val="lt-LT" w:eastAsia="lt-LT"/>
        </w:rPr>
      </w:pPr>
      <w:r w:rsidRPr="00CD7E52">
        <w:rPr>
          <w:szCs w:val="22"/>
          <w:lang w:val="lt-LT"/>
        </w:rPr>
        <w:t>56</w:t>
      </w:r>
      <w:r w:rsidR="000A5533" w:rsidRPr="00CD7E52">
        <w:rPr>
          <w:szCs w:val="22"/>
          <w:lang w:val="lt-LT"/>
        </w:rPr>
        <w:t> </w:t>
      </w:r>
      <w:r w:rsidRPr="00CD7E52">
        <w:rPr>
          <w:szCs w:val="22"/>
          <w:lang w:val="lt-LT"/>
        </w:rPr>
        <w:t>plėvele dengtos tabletės</w:t>
      </w:r>
    </w:p>
    <w:p w14:paraId="3F0F2DB5" w14:textId="77777777" w:rsidR="008D14F2" w:rsidRPr="00CD7E52" w:rsidRDefault="008D14F2" w:rsidP="00C00052">
      <w:pPr>
        <w:widowControl w:val="0"/>
        <w:autoSpaceDE w:val="0"/>
        <w:autoSpaceDN w:val="0"/>
        <w:adjustRightInd w:val="0"/>
        <w:rPr>
          <w:snapToGrid/>
          <w:szCs w:val="22"/>
          <w:lang w:val="lt-LT" w:eastAsia="lt-LT"/>
        </w:rPr>
      </w:pPr>
      <w:r w:rsidRPr="00425717">
        <w:rPr>
          <w:szCs w:val="22"/>
          <w:highlight w:val="lightGray"/>
          <w:lang w:val="lt-LT"/>
        </w:rPr>
        <w:t>168</w:t>
      </w:r>
      <w:r w:rsidR="000A5533" w:rsidRPr="00425717">
        <w:rPr>
          <w:szCs w:val="22"/>
          <w:highlight w:val="lightGray"/>
          <w:lang w:val="lt-LT"/>
        </w:rPr>
        <w:t> </w:t>
      </w:r>
      <w:r w:rsidRPr="00425717">
        <w:rPr>
          <w:szCs w:val="22"/>
          <w:highlight w:val="lightGray"/>
          <w:lang w:val="lt-LT"/>
        </w:rPr>
        <w:t>plėvele dengtos tabletės</w:t>
      </w:r>
    </w:p>
    <w:p w14:paraId="445950F2" w14:textId="77777777" w:rsidR="008D14F2" w:rsidRPr="00CD7E52" w:rsidRDefault="008D14F2" w:rsidP="00C00052">
      <w:pPr>
        <w:widowControl w:val="0"/>
        <w:autoSpaceDE w:val="0"/>
        <w:autoSpaceDN w:val="0"/>
        <w:adjustRightInd w:val="0"/>
        <w:rPr>
          <w:szCs w:val="22"/>
          <w:lang w:val="lt-LT"/>
        </w:rPr>
      </w:pPr>
    </w:p>
    <w:p w14:paraId="318325BD" w14:textId="77777777" w:rsidR="008D14F2" w:rsidRPr="00CD7E52" w:rsidRDefault="008D14F2" w:rsidP="00C00052">
      <w:pPr>
        <w:widowControl w:val="0"/>
        <w:autoSpaceDE w:val="0"/>
        <w:autoSpaceDN w:val="0"/>
        <w:adjustRightInd w:val="0"/>
        <w:rPr>
          <w:snapToGrid/>
          <w:szCs w:val="22"/>
          <w:lang w:val="lt-LT" w:eastAsia="lt-LT"/>
        </w:rPr>
      </w:pPr>
      <w:r w:rsidRPr="00CD7E52">
        <w:rPr>
          <w:szCs w:val="22"/>
          <w:lang w:val="lt-LT"/>
        </w:rPr>
        <w:t>[Dalomoji lizdinė plokštelė]</w:t>
      </w:r>
    </w:p>
    <w:p w14:paraId="0F4B84A0" w14:textId="77777777" w:rsidR="008D14F2" w:rsidRPr="00CD7E52" w:rsidRDefault="008D14F2" w:rsidP="00C00052">
      <w:pPr>
        <w:widowControl w:val="0"/>
        <w:autoSpaceDE w:val="0"/>
        <w:autoSpaceDN w:val="0"/>
        <w:adjustRightInd w:val="0"/>
        <w:rPr>
          <w:snapToGrid/>
          <w:szCs w:val="22"/>
          <w:lang w:val="lt-LT" w:eastAsia="lt-LT"/>
        </w:rPr>
      </w:pPr>
      <w:r w:rsidRPr="00CD7E52">
        <w:rPr>
          <w:szCs w:val="22"/>
          <w:lang w:val="lt-LT"/>
        </w:rPr>
        <w:t>56 x 1 plėvele dengtos tabletės</w:t>
      </w:r>
    </w:p>
    <w:p w14:paraId="5F2BB41B" w14:textId="77777777" w:rsidR="008D14F2" w:rsidRPr="00CD7E52" w:rsidRDefault="008D14F2" w:rsidP="00C00052">
      <w:pPr>
        <w:widowControl w:val="0"/>
        <w:autoSpaceDE w:val="0"/>
        <w:autoSpaceDN w:val="0"/>
        <w:adjustRightInd w:val="0"/>
        <w:rPr>
          <w:snapToGrid/>
          <w:szCs w:val="22"/>
          <w:lang w:val="lt-LT" w:eastAsia="lt-LT"/>
        </w:rPr>
      </w:pPr>
      <w:r w:rsidRPr="00425717">
        <w:rPr>
          <w:szCs w:val="22"/>
          <w:highlight w:val="lightGray"/>
          <w:lang w:val="lt-LT"/>
        </w:rPr>
        <w:t>168 x 1 plėvele dengtos tab</w:t>
      </w:r>
      <w:r w:rsidR="000A5533" w:rsidRPr="00425717">
        <w:rPr>
          <w:szCs w:val="22"/>
          <w:highlight w:val="lightGray"/>
          <w:lang w:val="lt-LT"/>
        </w:rPr>
        <w:t>l</w:t>
      </w:r>
      <w:r w:rsidRPr="00425717">
        <w:rPr>
          <w:szCs w:val="22"/>
          <w:highlight w:val="lightGray"/>
          <w:lang w:val="lt-LT"/>
        </w:rPr>
        <w:t>etės</w:t>
      </w:r>
    </w:p>
    <w:p w14:paraId="2AA962AD" w14:textId="77777777" w:rsidR="008D14F2" w:rsidRPr="00CD7E52" w:rsidRDefault="008D14F2" w:rsidP="00C00052">
      <w:pPr>
        <w:widowControl w:val="0"/>
        <w:autoSpaceDE w:val="0"/>
        <w:autoSpaceDN w:val="0"/>
        <w:adjustRightInd w:val="0"/>
        <w:rPr>
          <w:szCs w:val="22"/>
          <w:lang w:val="lt-LT"/>
        </w:rPr>
      </w:pPr>
    </w:p>
    <w:p w14:paraId="3F3B4BC8" w14:textId="77777777" w:rsidR="008D14F2" w:rsidRPr="00CD7E52" w:rsidRDefault="008D14F2" w:rsidP="00C00052">
      <w:pPr>
        <w:widowControl w:val="0"/>
        <w:autoSpaceDE w:val="0"/>
        <w:autoSpaceDN w:val="0"/>
        <w:adjustRightInd w:val="0"/>
        <w:rPr>
          <w:szCs w:val="22"/>
          <w:lang w:val="lt-LT"/>
        </w:rPr>
      </w:pPr>
    </w:p>
    <w:p w14:paraId="60D715B1"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snapToGrid/>
          <w:szCs w:val="22"/>
          <w:lang w:val="lt-LT" w:eastAsia="lt-LT"/>
        </w:rPr>
      </w:pPr>
      <w:r w:rsidRPr="00CD7E52">
        <w:rPr>
          <w:b/>
          <w:szCs w:val="22"/>
          <w:lang w:val="lt-LT"/>
        </w:rPr>
        <w:t>5.</w:t>
      </w:r>
      <w:r w:rsidRPr="00CD7E52">
        <w:rPr>
          <w:b/>
          <w:szCs w:val="22"/>
          <w:lang w:val="lt-LT"/>
        </w:rPr>
        <w:tab/>
        <w:t>VARTOJIMO METODAS IR BŪDAS (-AI)</w:t>
      </w:r>
    </w:p>
    <w:p w14:paraId="3667FF91" w14:textId="77777777" w:rsidR="008D14F2" w:rsidRPr="00CD7E52" w:rsidRDefault="008D14F2" w:rsidP="00C00052">
      <w:pPr>
        <w:widowControl w:val="0"/>
        <w:autoSpaceDE w:val="0"/>
        <w:autoSpaceDN w:val="0"/>
        <w:adjustRightInd w:val="0"/>
        <w:rPr>
          <w:szCs w:val="22"/>
          <w:lang w:val="lt-LT"/>
        </w:rPr>
      </w:pPr>
    </w:p>
    <w:p w14:paraId="4EC43677" w14:textId="77777777" w:rsidR="008D14F2" w:rsidRPr="00CD7E52" w:rsidRDefault="008D14F2" w:rsidP="00C00052">
      <w:pPr>
        <w:widowControl w:val="0"/>
        <w:autoSpaceDE w:val="0"/>
        <w:autoSpaceDN w:val="0"/>
        <w:adjustRightInd w:val="0"/>
        <w:rPr>
          <w:snapToGrid/>
          <w:szCs w:val="22"/>
          <w:lang w:val="lt-LT" w:eastAsia="lt-LT"/>
        </w:rPr>
      </w:pPr>
      <w:r w:rsidRPr="00CD7E52">
        <w:rPr>
          <w:szCs w:val="22"/>
          <w:lang w:val="lt-LT"/>
        </w:rPr>
        <w:t>Prieš vartojimą perskaitykite pakuotės lapelį.</w:t>
      </w:r>
    </w:p>
    <w:p w14:paraId="586A566F" w14:textId="77777777" w:rsidR="008D14F2" w:rsidRPr="00CD7E52" w:rsidRDefault="008D14F2" w:rsidP="00C00052">
      <w:pPr>
        <w:widowControl w:val="0"/>
        <w:autoSpaceDE w:val="0"/>
        <w:autoSpaceDN w:val="0"/>
        <w:adjustRightInd w:val="0"/>
        <w:rPr>
          <w:snapToGrid/>
          <w:szCs w:val="22"/>
          <w:lang w:val="lt-LT" w:eastAsia="lt-LT"/>
        </w:rPr>
      </w:pPr>
      <w:r w:rsidRPr="00425717">
        <w:rPr>
          <w:szCs w:val="22"/>
          <w:highlight w:val="lightGray"/>
          <w:lang w:val="lt-LT"/>
        </w:rPr>
        <w:t>Vartoti per burną.</w:t>
      </w:r>
    </w:p>
    <w:p w14:paraId="0282CD0D" w14:textId="77777777" w:rsidR="008D14F2" w:rsidRPr="00CD7E52" w:rsidRDefault="008D14F2" w:rsidP="00C00052">
      <w:pPr>
        <w:widowControl w:val="0"/>
        <w:autoSpaceDE w:val="0"/>
        <w:autoSpaceDN w:val="0"/>
        <w:adjustRightInd w:val="0"/>
        <w:rPr>
          <w:szCs w:val="22"/>
          <w:lang w:val="lt-LT"/>
        </w:rPr>
      </w:pPr>
    </w:p>
    <w:p w14:paraId="6F010E56" w14:textId="77777777" w:rsidR="008D14F2" w:rsidRPr="00CD7E52" w:rsidRDefault="008D14F2" w:rsidP="00C00052">
      <w:pPr>
        <w:widowControl w:val="0"/>
        <w:autoSpaceDE w:val="0"/>
        <w:autoSpaceDN w:val="0"/>
        <w:adjustRightInd w:val="0"/>
        <w:rPr>
          <w:szCs w:val="22"/>
          <w:lang w:val="lt-LT"/>
        </w:rPr>
      </w:pPr>
    </w:p>
    <w:p w14:paraId="168FF64D"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snapToGrid/>
          <w:szCs w:val="22"/>
          <w:lang w:val="lt-LT" w:eastAsia="lt-LT"/>
        </w:rPr>
      </w:pPr>
      <w:r w:rsidRPr="00CD7E52">
        <w:rPr>
          <w:b/>
          <w:szCs w:val="22"/>
          <w:lang w:val="lt-LT"/>
        </w:rPr>
        <w:t>6.</w:t>
      </w:r>
      <w:r w:rsidRPr="00CD7E52">
        <w:rPr>
          <w:b/>
          <w:szCs w:val="22"/>
          <w:lang w:val="lt-LT"/>
        </w:rPr>
        <w:tab/>
        <w:t>SPECIALUS ĮSPĖJIMAS, KAD VAISTINĮ PREPARATĄ BŪTINA LAIKYTI VAIKAMS NEPASTEBIMOJE IR NEPASIEKIAMOJE VIETOJE</w:t>
      </w:r>
    </w:p>
    <w:p w14:paraId="2BE8B886" w14:textId="77777777" w:rsidR="008D14F2" w:rsidRPr="00CD7E52" w:rsidRDefault="008D14F2" w:rsidP="00C00052">
      <w:pPr>
        <w:widowControl w:val="0"/>
        <w:autoSpaceDE w:val="0"/>
        <w:autoSpaceDN w:val="0"/>
        <w:adjustRightInd w:val="0"/>
        <w:rPr>
          <w:szCs w:val="22"/>
          <w:lang w:val="lt-LT"/>
        </w:rPr>
      </w:pPr>
    </w:p>
    <w:p w14:paraId="19FBAA46" w14:textId="77777777" w:rsidR="008D14F2" w:rsidRPr="00CD7E52" w:rsidRDefault="008D14F2" w:rsidP="00C00052">
      <w:pPr>
        <w:widowControl w:val="0"/>
        <w:autoSpaceDE w:val="0"/>
        <w:autoSpaceDN w:val="0"/>
        <w:adjustRightInd w:val="0"/>
        <w:rPr>
          <w:snapToGrid/>
          <w:szCs w:val="22"/>
          <w:lang w:val="lt-LT" w:eastAsia="lt-LT"/>
        </w:rPr>
      </w:pPr>
      <w:r w:rsidRPr="00CD7E52">
        <w:rPr>
          <w:szCs w:val="22"/>
          <w:lang w:val="lt-LT"/>
        </w:rPr>
        <w:t>Laikyti vaikams nepastebimoje ir nepasiekiamoje vietoje.</w:t>
      </w:r>
    </w:p>
    <w:p w14:paraId="66BFFEBE" w14:textId="77777777" w:rsidR="008D14F2" w:rsidRPr="00CD7E52" w:rsidRDefault="008D14F2" w:rsidP="00C00052">
      <w:pPr>
        <w:widowControl w:val="0"/>
        <w:autoSpaceDE w:val="0"/>
        <w:autoSpaceDN w:val="0"/>
        <w:adjustRightInd w:val="0"/>
        <w:rPr>
          <w:szCs w:val="22"/>
          <w:lang w:val="lt-LT"/>
        </w:rPr>
      </w:pPr>
    </w:p>
    <w:p w14:paraId="6E9CAB84" w14:textId="77777777" w:rsidR="008D14F2" w:rsidRPr="00CD7E52" w:rsidRDefault="008D14F2" w:rsidP="00C00052">
      <w:pPr>
        <w:widowControl w:val="0"/>
        <w:autoSpaceDE w:val="0"/>
        <w:autoSpaceDN w:val="0"/>
        <w:adjustRightInd w:val="0"/>
        <w:rPr>
          <w:szCs w:val="22"/>
          <w:lang w:val="lt-LT"/>
        </w:rPr>
      </w:pPr>
    </w:p>
    <w:p w14:paraId="0B6CE7C2" w14:textId="77777777" w:rsidR="008D14F2" w:rsidRPr="00CD7E52" w:rsidRDefault="008D14F2" w:rsidP="00C00052">
      <w:pPr>
        <w:keepNext/>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snapToGrid/>
          <w:szCs w:val="22"/>
          <w:lang w:val="lt-LT" w:eastAsia="lt-LT"/>
        </w:rPr>
      </w:pPr>
      <w:r w:rsidRPr="00CD7E52">
        <w:rPr>
          <w:b/>
          <w:szCs w:val="22"/>
          <w:lang w:val="lt-LT"/>
        </w:rPr>
        <w:t>7.</w:t>
      </w:r>
      <w:r w:rsidRPr="00CD7E52">
        <w:rPr>
          <w:b/>
          <w:szCs w:val="22"/>
          <w:lang w:val="lt-LT"/>
        </w:rPr>
        <w:tab/>
        <w:t>KITAS (-I) SPECIALUS (-ŪS) ĮSPĖJIMAS (-AI) (JEI REIKIA)</w:t>
      </w:r>
    </w:p>
    <w:p w14:paraId="6C03BA3E" w14:textId="77777777" w:rsidR="008D14F2" w:rsidRPr="00CD7E52" w:rsidRDefault="008D14F2" w:rsidP="00C00052">
      <w:pPr>
        <w:keepNext/>
        <w:autoSpaceDE w:val="0"/>
        <w:autoSpaceDN w:val="0"/>
        <w:adjustRightInd w:val="0"/>
        <w:rPr>
          <w:szCs w:val="22"/>
          <w:lang w:val="lt-LT"/>
        </w:rPr>
      </w:pPr>
    </w:p>
    <w:p w14:paraId="660CC246" w14:textId="77777777" w:rsidR="008D14F2" w:rsidRPr="00CD7E52" w:rsidRDefault="008D14F2" w:rsidP="00C00052">
      <w:pPr>
        <w:keepNext/>
        <w:autoSpaceDE w:val="0"/>
        <w:autoSpaceDN w:val="0"/>
        <w:adjustRightInd w:val="0"/>
        <w:rPr>
          <w:szCs w:val="22"/>
          <w:lang w:val="lt-LT"/>
        </w:rPr>
      </w:pPr>
    </w:p>
    <w:p w14:paraId="1285EB0C"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snapToGrid/>
          <w:szCs w:val="22"/>
          <w:lang w:val="lt-LT" w:eastAsia="lt-LT"/>
        </w:rPr>
      </w:pPr>
      <w:r w:rsidRPr="00CD7E52">
        <w:rPr>
          <w:b/>
          <w:szCs w:val="22"/>
          <w:lang w:val="lt-LT"/>
        </w:rPr>
        <w:t>8.</w:t>
      </w:r>
      <w:r w:rsidRPr="00CD7E52">
        <w:rPr>
          <w:b/>
          <w:szCs w:val="22"/>
          <w:lang w:val="lt-LT"/>
        </w:rPr>
        <w:tab/>
        <w:t>TINKAMUMO LAIKAS</w:t>
      </w:r>
    </w:p>
    <w:p w14:paraId="3696E940" w14:textId="77777777" w:rsidR="008D14F2" w:rsidRPr="00CD7E52" w:rsidRDefault="008D14F2" w:rsidP="00C00052">
      <w:pPr>
        <w:widowControl w:val="0"/>
        <w:autoSpaceDE w:val="0"/>
        <w:autoSpaceDN w:val="0"/>
        <w:adjustRightInd w:val="0"/>
        <w:rPr>
          <w:szCs w:val="22"/>
          <w:lang w:val="lt-LT"/>
        </w:rPr>
      </w:pPr>
    </w:p>
    <w:p w14:paraId="567F1770" w14:textId="77777777" w:rsidR="008D14F2" w:rsidRPr="00CD7E52" w:rsidRDefault="008D14F2" w:rsidP="00C00052">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 xml:space="preserve">EXP </w:t>
      </w:r>
      <w:r w:rsidRPr="00425717">
        <w:rPr>
          <w:szCs w:val="22"/>
          <w:highlight w:val="lightGray"/>
          <w:lang w:val="lt-LT"/>
        </w:rPr>
        <w:t>{mm/MMMM}</w:t>
      </w:r>
    </w:p>
    <w:p w14:paraId="64B2FFB3" w14:textId="77777777" w:rsidR="008D14F2" w:rsidRPr="00CD7E52" w:rsidRDefault="008D14F2" w:rsidP="00C00052">
      <w:pPr>
        <w:widowControl w:val="0"/>
        <w:autoSpaceDE w:val="0"/>
        <w:autoSpaceDN w:val="0"/>
        <w:adjustRightInd w:val="0"/>
        <w:rPr>
          <w:szCs w:val="22"/>
          <w:lang w:val="lt-LT"/>
        </w:rPr>
      </w:pPr>
    </w:p>
    <w:p w14:paraId="420851F7" w14:textId="77777777" w:rsidR="008D14F2" w:rsidRPr="00CD7E52" w:rsidRDefault="008D14F2" w:rsidP="00C00052">
      <w:pPr>
        <w:widowControl w:val="0"/>
        <w:autoSpaceDE w:val="0"/>
        <w:autoSpaceDN w:val="0"/>
        <w:adjustRightInd w:val="0"/>
        <w:rPr>
          <w:szCs w:val="22"/>
          <w:lang w:val="lt-LT"/>
        </w:rPr>
      </w:pPr>
    </w:p>
    <w:p w14:paraId="543D45B3" w14:textId="77777777" w:rsidR="008D14F2" w:rsidRPr="00CD7E52" w:rsidRDefault="008D14F2" w:rsidP="00C00052">
      <w:pPr>
        <w:keepNext/>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snapToGrid/>
          <w:szCs w:val="22"/>
          <w:lang w:val="lt-LT" w:eastAsia="lt-LT"/>
        </w:rPr>
      </w:pPr>
      <w:r w:rsidRPr="00CD7E52">
        <w:rPr>
          <w:b/>
          <w:szCs w:val="22"/>
          <w:lang w:val="lt-LT"/>
        </w:rPr>
        <w:t>9.</w:t>
      </w:r>
      <w:r w:rsidRPr="00CD7E52">
        <w:rPr>
          <w:b/>
          <w:szCs w:val="22"/>
          <w:lang w:val="lt-LT"/>
        </w:rPr>
        <w:tab/>
        <w:t>SPECIALIOS LAIKYMO SĄLYGOS</w:t>
      </w:r>
    </w:p>
    <w:p w14:paraId="4DA7BD1E" w14:textId="77777777" w:rsidR="008D14F2" w:rsidRPr="00CD7E52" w:rsidRDefault="008D14F2" w:rsidP="00C00052">
      <w:pPr>
        <w:widowControl w:val="0"/>
        <w:autoSpaceDE w:val="0"/>
        <w:autoSpaceDN w:val="0"/>
        <w:adjustRightInd w:val="0"/>
        <w:rPr>
          <w:szCs w:val="22"/>
          <w:lang w:val="lt-LT"/>
        </w:rPr>
      </w:pPr>
    </w:p>
    <w:p w14:paraId="370F009D" w14:textId="77777777" w:rsidR="008D14F2" w:rsidRPr="00CD7E52" w:rsidRDefault="008D14F2" w:rsidP="00C00052">
      <w:pPr>
        <w:widowControl w:val="0"/>
        <w:autoSpaceDE w:val="0"/>
        <w:autoSpaceDN w:val="0"/>
        <w:adjustRightInd w:val="0"/>
        <w:rPr>
          <w:szCs w:val="22"/>
          <w:lang w:val="lt-LT"/>
        </w:rPr>
      </w:pPr>
    </w:p>
    <w:p w14:paraId="55976345"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
          <w:snapToGrid/>
          <w:szCs w:val="22"/>
          <w:lang w:val="lt-LT" w:eastAsia="lt-LT"/>
        </w:rPr>
      </w:pPr>
      <w:r w:rsidRPr="00CD7E52">
        <w:rPr>
          <w:b/>
          <w:szCs w:val="22"/>
          <w:lang w:val="lt-LT"/>
        </w:rPr>
        <w:t>10.</w:t>
      </w:r>
      <w:r w:rsidRPr="00CD7E52">
        <w:rPr>
          <w:b/>
          <w:szCs w:val="22"/>
          <w:lang w:val="lt-LT"/>
        </w:rPr>
        <w:tab/>
        <w:t>SPECIALIOS ATSARGUMO PRIEMONĖS DĖL NESUVARTOTO VAISTINIO PREPARATO AR JO ATLIEKŲ TV</w:t>
      </w:r>
      <w:r w:rsidR="006E6907" w:rsidRPr="00CD7E52">
        <w:rPr>
          <w:b/>
          <w:szCs w:val="22"/>
          <w:lang w:val="lt-LT"/>
        </w:rPr>
        <w:t>A</w:t>
      </w:r>
      <w:r w:rsidR="00286374" w:rsidRPr="00CD7E52">
        <w:rPr>
          <w:b/>
          <w:szCs w:val="22"/>
          <w:lang w:val="lt-LT"/>
        </w:rPr>
        <w:t>RK</w:t>
      </w:r>
      <w:r w:rsidRPr="00CD7E52">
        <w:rPr>
          <w:b/>
          <w:szCs w:val="22"/>
          <w:lang w:val="lt-LT"/>
        </w:rPr>
        <w:t>YMO (JEI REIKIA)</w:t>
      </w:r>
    </w:p>
    <w:p w14:paraId="2BC83EE9" w14:textId="77777777" w:rsidR="008D14F2" w:rsidRPr="00186B0B" w:rsidRDefault="008D14F2" w:rsidP="00C00052">
      <w:pPr>
        <w:widowControl w:val="0"/>
        <w:autoSpaceDE w:val="0"/>
        <w:autoSpaceDN w:val="0"/>
        <w:adjustRightInd w:val="0"/>
        <w:rPr>
          <w:sz w:val="16"/>
          <w:szCs w:val="16"/>
          <w:lang w:val="lt-LT"/>
        </w:rPr>
      </w:pPr>
    </w:p>
    <w:p w14:paraId="3C223940" w14:textId="77777777" w:rsidR="008D14F2" w:rsidRPr="00CD7E52" w:rsidRDefault="008D14F2" w:rsidP="00C00052">
      <w:pPr>
        <w:widowControl w:val="0"/>
        <w:autoSpaceDE w:val="0"/>
        <w:autoSpaceDN w:val="0"/>
        <w:adjustRightInd w:val="0"/>
        <w:rPr>
          <w:szCs w:val="22"/>
          <w:lang w:val="lt-LT"/>
        </w:rPr>
      </w:pPr>
    </w:p>
    <w:p w14:paraId="07FB2678"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2"/>
          <w:lang w:val="lt-LT" w:eastAsia="lt-LT"/>
        </w:rPr>
      </w:pPr>
      <w:r w:rsidRPr="00CD7E52">
        <w:rPr>
          <w:b/>
          <w:szCs w:val="22"/>
          <w:lang w:val="lt-LT"/>
        </w:rPr>
        <w:t>11.</w:t>
      </w:r>
      <w:r w:rsidRPr="00CD7E52">
        <w:rPr>
          <w:b/>
          <w:szCs w:val="22"/>
          <w:lang w:val="lt-LT"/>
        </w:rPr>
        <w:tab/>
      </w:r>
      <w:r w:rsidRPr="00CD7E52">
        <w:rPr>
          <w:b/>
          <w:caps/>
          <w:szCs w:val="22"/>
          <w:lang w:val="lt-LT"/>
        </w:rPr>
        <w:t>REGISTRUOTOJO PAVADINIMAS IR ADRESAS</w:t>
      </w:r>
    </w:p>
    <w:p w14:paraId="48FF7161" w14:textId="77777777" w:rsidR="008D14F2" w:rsidRPr="00CD7E52" w:rsidRDefault="008D14F2" w:rsidP="00C00052">
      <w:pPr>
        <w:widowControl w:val="0"/>
        <w:autoSpaceDE w:val="0"/>
        <w:autoSpaceDN w:val="0"/>
        <w:adjustRightInd w:val="0"/>
        <w:rPr>
          <w:szCs w:val="22"/>
          <w:lang w:val="lt-LT"/>
        </w:rPr>
      </w:pPr>
    </w:p>
    <w:p w14:paraId="0AAD8164" w14:textId="77777777" w:rsidR="008D14F2" w:rsidRPr="00CD7E52" w:rsidRDefault="008D14F2" w:rsidP="00C00052">
      <w:pPr>
        <w:widowControl w:val="0"/>
        <w:numPr>
          <w:ilvl w:val="12"/>
          <w:numId w:val="0"/>
        </w:numPr>
        <w:tabs>
          <w:tab w:val="clear" w:pos="567"/>
          <w:tab w:val="left" w:pos="1296"/>
        </w:tabs>
        <w:autoSpaceDE w:val="0"/>
        <w:autoSpaceDN w:val="0"/>
        <w:adjustRightInd w:val="0"/>
        <w:snapToGrid w:val="0"/>
        <w:spacing w:line="240" w:lineRule="auto"/>
        <w:ind w:right="-2"/>
        <w:rPr>
          <w:snapToGrid/>
          <w:szCs w:val="22"/>
          <w:lang w:val="lt-LT" w:eastAsia="lt-LT"/>
        </w:rPr>
      </w:pPr>
      <w:r w:rsidRPr="00CD7E52">
        <w:rPr>
          <w:szCs w:val="22"/>
          <w:lang w:val="lt-LT"/>
        </w:rPr>
        <w:t>STADA Arzneimittel AG</w:t>
      </w:r>
    </w:p>
    <w:p w14:paraId="3D498310" w14:textId="77777777" w:rsidR="008D14F2" w:rsidRPr="00CD7E52" w:rsidRDefault="008D14F2" w:rsidP="00C00052">
      <w:pPr>
        <w:widowControl w:val="0"/>
        <w:numPr>
          <w:ilvl w:val="12"/>
          <w:numId w:val="0"/>
        </w:numPr>
        <w:tabs>
          <w:tab w:val="clear" w:pos="567"/>
          <w:tab w:val="left" w:pos="1296"/>
        </w:tabs>
        <w:autoSpaceDE w:val="0"/>
        <w:autoSpaceDN w:val="0"/>
        <w:adjustRightInd w:val="0"/>
        <w:snapToGrid w:val="0"/>
        <w:spacing w:line="240" w:lineRule="auto"/>
        <w:ind w:right="-2"/>
        <w:rPr>
          <w:snapToGrid/>
          <w:szCs w:val="22"/>
          <w:lang w:val="lt-LT" w:eastAsia="lt-LT"/>
        </w:rPr>
      </w:pPr>
      <w:r w:rsidRPr="00CD7E52">
        <w:rPr>
          <w:szCs w:val="22"/>
          <w:lang w:val="lt-LT"/>
        </w:rPr>
        <w:t>Stadastrasse 2-18</w:t>
      </w:r>
    </w:p>
    <w:p w14:paraId="4835DD52" w14:textId="77777777" w:rsidR="008D14F2" w:rsidRPr="00CD7E52" w:rsidRDefault="008D14F2" w:rsidP="00C00052">
      <w:pPr>
        <w:widowControl w:val="0"/>
        <w:numPr>
          <w:ilvl w:val="12"/>
          <w:numId w:val="0"/>
        </w:numPr>
        <w:tabs>
          <w:tab w:val="clear" w:pos="567"/>
          <w:tab w:val="left" w:pos="1296"/>
        </w:tabs>
        <w:autoSpaceDE w:val="0"/>
        <w:autoSpaceDN w:val="0"/>
        <w:adjustRightInd w:val="0"/>
        <w:snapToGrid w:val="0"/>
        <w:spacing w:line="240" w:lineRule="auto"/>
        <w:ind w:right="-2"/>
        <w:rPr>
          <w:snapToGrid/>
          <w:szCs w:val="22"/>
          <w:lang w:val="lt-LT" w:eastAsia="lt-LT"/>
        </w:rPr>
      </w:pPr>
      <w:r w:rsidRPr="00CD7E52">
        <w:rPr>
          <w:szCs w:val="22"/>
          <w:lang w:val="lt-LT"/>
        </w:rPr>
        <w:t>61118 Bad Vilbel</w:t>
      </w:r>
    </w:p>
    <w:p w14:paraId="55786AD4" w14:textId="77777777" w:rsidR="008D14F2" w:rsidRPr="00CD7E52" w:rsidRDefault="008D14F2" w:rsidP="00C00052">
      <w:pPr>
        <w:widowControl w:val="0"/>
        <w:numPr>
          <w:ilvl w:val="12"/>
          <w:numId w:val="0"/>
        </w:numPr>
        <w:tabs>
          <w:tab w:val="clear" w:pos="567"/>
          <w:tab w:val="left" w:pos="1296"/>
        </w:tabs>
        <w:autoSpaceDE w:val="0"/>
        <w:autoSpaceDN w:val="0"/>
        <w:adjustRightInd w:val="0"/>
        <w:snapToGrid w:val="0"/>
        <w:spacing w:line="240" w:lineRule="auto"/>
        <w:ind w:right="-2"/>
        <w:rPr>
          <w:snapToGrid/>
          <w:szCs w:val="22"/>
          <w:lang w:val="lt-LT" w:eastAsia="lt-LT"/>
        </w:rPr>
      </w:pPr>
      <w:r w:rsidRPr="00CD7E52">
        <w:rPr>
          <w:szCs w:val="22"/>
          <w:lang w:val="lt-LT"/>
        </w:rPr>
        <w:t>Vokietija</w:t>
      </w:r>
    </w:p>
    <w:p w14:paraId="07A73145" w14:textId="77777777" w:rsidR="008D14F2" w:rsidRPr="00186B0B" w:rsidRDefault="008D14F2" w:rsidP="00C00052">
      <w:pPr>
        <w:widowControl w:val="0"/>
        <w:autoSpaceDE w:val="0"/>
        <w:autoSpaceDN w:val="0"/>
        <w:adjustRightInd w:val="0"/>
        <w:rPr>
          <w:sz w:val="16"/>
          <w:szCs w:val="16"/>
          <w:lang w:val="lt-LT"/>
        </w:rPr>
      </w:pPr>
    </w:p>
    <w:p w14:paraId="3419C6E9" w14:textId="77777777" w:rsidR="008D14F2" w:rsidRPr="00CD7E52" w:rsidRDefault="008D14F2" w:rsidP="00C00052">
      <w:pPr>
        <w:widowControl w:val="0"/>
        <w:autoSpaceDE w:val="0"/>
        <w:autoSpaceDN w:val="0"/>
        <w:adjustRightInd w:val="0"/>
        <w:rPr>
          <w:szCs w:val="22"/>
          <w:lang w:val="lt-LT"/>
        </w:rPr>
      </w:pPr>
    </w:p>
    <w:p w14:paraId="5BF09DE0"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napToGrid/>
          <w:szCs w:val="22"/>
          <w:lang w:val="lt-LT" w:eastAsia="lt-LT"/>
        </w:rPr>
      </w:pPr>
      <w:r w:rsidRPr="00CD7E52">
        <w:rPr>
          <w:b/>
          <w:szCs w:val="22"/>
          <w:lang w:val="lt-LT"/>
        </w:rPr>
        <w:t>12.</w:t>
      </w:r>
      <w:r w:rsidRPr="00CD7E52">
        <w:rPr>
          <w:b/>
          <w:szCs w:val="22"/>
          <w:lang w:val="lt-LT"/>
        </w:rPr>
        <w:tab/>
        <w:t>REGISTRACIJOS PAŽYMĖJIMO NUMERIS (-IAI)</w:t>
      </w:r>
    </w:p>
    <w:p w14:paraId="38E59449" w14:textId="77777777" w:rsidR="008D14F2" w:rsidRPr="00CD7E52" w:rsidRDefault="008D14F2" w:rsidP="00C00052">
      <w:pPr>
        <w:widowControl w:val="0"/>
        <w:autoSpaceDE w:val="0"/>
        <w:autoSpaceDN w:val="0"/>
        <w:adjustRightInd w:val="0"/>
        <w:rPr>
          <w:szCs w:val="22"/>
          <w:lang w:val="lt-LT"/>
        </w:rPr>
      </w:pPr>
    </w:p>
    <w:p w14:paraId="5A767C4D" w14:textId="77777777" w:rsidR="00854768" w:rsidRPr="00854768" w:rsidRDefault="00854768" w:rsidP="00854768">
      <w:pPr>
        <w:widowControl w:val="0"/>
        <w:autoSpaceDE w:val="0"/>
        <w:autoSpaceDN w:val="0"/>
        <w:adjustRightInd w:val="0"/>
        <w:rPr>
          <w:szCs w:val="22"/>
          <w:lang w:val="lt-LT"/>
        </w:rPr>
      </w:pPr>
      <w:r w:rsidRPr="00425717">
        <w:rPr>
          <w:szCs w:val="22"/>
          <w:highlight w:val="lightGray"/>
          <w:u w:val="single"/>
          <w:lang w:val="lt-LT"/>
        </w:rPr>
        <w:t>Lizdinė plokštelė</w:t>
      </w:r>
      <w:r w:rsidRPr="00854768">
        <w:rPr>
          <w:szCs w:val="22"/>
          <w:lang w:val="lt-LT"/>
        </w:rPr>
        <w:t>:</w:t>
      </w:r>
    </w:p>
    <w:p w14:paraId="0E8B7044" w14:textId="77777777" w:rsidR="00854768" w:rsidRPr="00854768" w:rsidRDefault="00854768" w:rsidP="00854768">
      <w:pPr>
        <w:widowControl w:val="0"/>
        <w:autoSpaceDE w:val="0"/>
        <w:autoSpaceDN w:val="0"/>
        <w:adjustRightInd w:val="0"/>
        <w:rPr>
          <w:szCs w:val="22"/>
          <w:lang w:val="lt-LT"/>
        </w:rPr>
      </w:pPr>
      <w:r w:rsidRPr="00854768">
        <w:rPr>
          <w:szCs w:val="22"/>
          <w:lang w:val="lt-LT"/>
        </w:rPr>
        <w:t xml:space="preserve">LT/1/24/5624/001 </w:t>
      </w:r>
      <w:r w:rsidRPr="00425717">
        <w:rPr>
          <w:szCs w:val="22"/>
          <w:highlight w:val="lightGray"/>
          <w:lang w:val="lt-LT"/>
        </w:rPr>
        <w:t>– N56</w:t>
      </w:r>
    </w:p>
    <w:p w14:paraId="165E8F76" w14:textId="77777777" w:rsidR="00854768" w:rsidRPr="00854768" w:rsidRDefault="00854768" w:rsidP="00854768">
      <w:pPr>
        <w:widowControl w:val="0"/>
        <w:autoSpaceDE w:val="0"/>
        <w:autoSpaceDN w:val="0"/>
        <w:adjustRightInd w:val="0"/>
        <w:rPr>
          <w:szCs w:val="22"/>
          <w:lang w:val="lt-LT"/>
        </w:rPr>
      </w:pPr>
      <w:r w:rsidRPr="00425717">
        <w:rPr>
          <w:szCs w:val="22"/>
          <w:highlight w:val="lightGray"/>
          <w:lang w:val="lt-LT"/>
        </w:rPr>
        <w:t>LT/1/24/5624/002 – N168</w:t>
      </w:r>
    </w:p>
    <w:p w14:paraId="44B26288" w14:textId="77777777" w:rsidR="00854768" w:rsidRPr="00854768" w:rsidRDefault="00854768" w:rsidP="00854768">
      <w:pPr>
        <w:widowControl w:val="0"/>
        <w:autoSpaceDE w:val="0"/>
        <w:autoSpaceDN w:val="0"/>
        <w:adjustRightInd w:val="0"/>
        <w:rPr>
          <w:szCs w:val="22"/>
          <w:u w:val="single"/>
          <w:lang w:val="lt-LT"/>
        </w:rPr>
      </w:pPr>
      <w:r w:rsidRPr="00425717">
        <w:rPr>
          <w:szCs w:val="22"/>
          <w:highlight w:val="lightGray"/>
          <w:u w:val="single"/>
          <w:lang w:val="lt-LT"/>
        </w:rPr>
        <w:t>Dalomoji lizdinė plokštelė</w:t>
      </w:r>
      <w:r w:rsidRPr="00425717">
        <w:rPr>
          <w:szCs w:val="22"/>
          <w:highlight w:val="lightGray"/>
          <w:lang w:val="lt-LT"/>
        </w:rPr>
        <w:t>:</w:t>
      </w:r>
    </w:p>
    <w:p w14:paraId="0A7ACBE2" w14:textId="77777777" w:rsidR="00854768" w:rsidRPr="00425717" w:rsidRDefault="00854768" w:rsidP="00854768">
      <w:pPr>
        <w:widowControl w:val="0"/>
        <w:autoSpaceDE w:val="0"/>
        <w:autoSpaceDN w:val="0"/>
        <w:adjustRightInd w:val="0"/>
        <w:rPr>
          <w:szCs w:val="22"/>
          <w:highlight w:val="lightGray"/>
          <w:lang w:val="lt-LT"/>
        </w:rPr>
      </w:pPr>
      <w:r w:rsidRPr="00854768">
        <w:rPr>
          <w:szCs w:val="22"/>
          <w:lang w:val="lt-LT"/>
        </w:rPr>
        <w:t xml:space="preserve">LT/1/24/5624/003 – </w:t>
      </w:r>
      <w:r w:rsidRPr="00425717">
        <w:rPr>
          <w:szCs w:val="22"/>
          <w:highlight w:val="lightGray"/>
          <w:lang w:val="lt-LT"/>
        </w:rPr>
        <w:t>N56x1</w:t>
      </w:r>
    </w:p>
    <w:p w14:paraId="23EC53BA" w14:textId="77777777" w:rsidR="008D14F2" w:rsidRDefault="00854768" w:rsidP="00854768">
      <w:pPr>
        <w:widowControl w:val="0"/>
        <w:autoSpaceDE w:val="0"/>
        <w:autoSpaceDN w:val="0"/>
        <w:adjustRightInd w:val="0"/>
        <w:rPr>
          <w:szCs w:val="22"/>
          <w:lang w:val="lt-LT"/>
        </w:rPr>
      </w:pPr>
      <w:r w:rsidRPr="00425717">
        <w:rPr>
          <w:szCs w:val="22"/>
          <w:highlight w:val="lightGray"/>
          <w:lang w:val="lt-LT"/>
        </w:rPr>
        <w:t>LT/1/24/5624/004 – N168x1</w:t>
      </w:r>
    </w:p>
    <w:p w14:paraId="3C54CA02" w14:textId="77777777" w:rsidR="00854768" w:rsidRPr="00CD7E52" w:rsidRDefault="00854768" w:rsidP="00854768">
      <w:pPr>
        <w:widowControl w:val="0"/>
        <w:autoSpaceDE w:val="0"/>
        <w:autoSpaceDN w:val="0"/>
        <w:adjustRightInd w:val="0"/>
        <w:rPr>
          <w:szCs w:val="22"/>
          <w:lang w:val="lt-LT"/>
        </w:rPr>
      </w:pPr>
    </w:p>
    <w:p w14:paraId="1BD6747D" w14:textId="77777777" w:rsidR="008D14F2" w:rsidRPr="00CD7E52" w:rsidRDefault="008D14F2" w:rsidP="00C00052">
      <w:pPr>
        <w:widowControl w:val="0"/>
        <w:autoSpaceDE w:val="0"/>
        <w:autoSpaceDN w:val="0"/>
        <w:adjustRightInd w:val="0"/>
        <w:rPr>
          <w:szCs w:val="22"/>
          <w:lang w:val="lt-LT"/>
        </w:rPr>
      </w:pPr>
    </w:p>
    <w:p w14:paraId="0D3F9703"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napToGrid/>
          <w:szCs w:val="22"/>
          <w:lang w:val="lt-LT" w:eastAsia="lt-LT"/>
        </w:rPr>
      </w:pPr>
      <w:r w:rsidRPr="00CD7E52">
        <w:rPr>
          <w:b/>
          <w:szCs w:val="22"/>
          <w:lang w:val="lt-LT"/>
        </w:rPr>
        <w:t>13.</w:t>
      </w:r>
      <w:r w:rsidRPr="00CD7E52">
        <w:rPr>
          <w:b/>
          <w:szCs w:val="22"/>
          <w:lang w:val="lt-LT"/>
        </w:rPr>
        <w:tab/>
        <w:t>SERIJOS NUMERIS</w:t>
      </w:r>
    </w:p>
    <w:p w14:paraId="5B90F906" w14:textId="77777777" w:rsidR="008D14F2" w:rsidRPr="00CD7E52" w:rsidRDefault="008D14F2" w:rsidP="00C00052">
      <w:pPr>
        <w:widowControl w:val="0"/>
        <w:autoSpaceDE w:val="0"/>
        <w:autoSpaceDN w:val="0"/>
        <w:adjustRightInd w:val="0"/>
        <w:rPr>
          <w:szCs w:val="22"/>
          <w:lang w:val="lt-LT"/>
        </w:rPr>
      </w:pPr>
    </w:p>
    <w:p w14:paraId="63AE3817" w14:textId="77777777" w:rsidR="008D14F2" w:rsidRPr="00CD7E52" w:rsidRDefault="008D14F2" w:rsidP="00C00052">
      <w:pPr>
        <w:widowControl w:val="0"/>
        <w:autoSpaceDE w:val="0"/>
        <w:autoSpaceDN w:val="0"/>
        <w:adjustRightInd w:val="0"/>
        <w:rPr>
          <w:snapToGrid/>
          <w:szCs w:val="22"/>
          <w:lang w:val="lt-LT" w:eastAsia="lt-LT"/>
        </w:rPr>
      </w:pPr>
      <w:r w:rsidRPr="00CD7E52">
        <w:rPr>
          <w:szCs w:val="22"/>
          <w:lang w:val="lt-LT"/>
        </w:rPr>
        <w:t xml:space="preserve">Lot </w:t>
      </w:r>
      <w:r w:rsidRPr="00425717">
        <w:rPr>
          <w:szCs w:val="22"/>
          <w:highlight w:val="lightGray"/>
          <w:lang w:val="lt-LT"/>
        </w:rPr>
        <w:t>{numeris}</w:t>
      </w:r>
    </w:p>
    <w:p w14:paraId="2DAAAD30" w14:textId="77777777" w:rsidR="008D14F2" w:rsidRPr="00CD7E52" w:rsidRDefault="008D14F2" w:rsidP="00C00052">
      <w:pPr>
        <w:widowControl w:val="0"/>
        <w:autoSpaceDE w:val="0"/>
        <w:autoSpaceDN w:val="0"/>
        <w:adjustRightInd w:val="0"/>
        <w:rPr>
          <w:szCs w:val="22"/>
          <w:lang w:val="lt-LT"/>
        </w:rPr>
      </w:pPr>
    </w:p>
    <w:p w14:paraId="07C2D452" w14:textId="77777777" w:rsidR="008D14F2" w:rsidRPr="00CD7E52" w:rsidRDefault="008D14F2" w:rsidP="00C00052">
      <w:pPr>
        <w:widowControl w:val="0"/>
        <w:autoSpaceDE w:val="0"/>
        <w:autoSpaceDN w:val="0"/>
        <w:adjustRightInd w:val="0"/>
        <w:rPr>
          <w:szCs w:val="22"/>
          <w:lang w:val="lt-LT"/>
        </w:rPr>
      </w:pPr>
    </w:p>
    <w:p w14:paraId="58580503"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napToGrid/>
          <w:szCs w:val="22"/>
          <w:lang w:val="lt-LT" w:eastAsia="lt-LT"/>
        </w:rPr>
      </w:pPr>
      <w:r w:rsidRPr="00CD7E52">
        <w:rPr>
          <w:b/>
          <w:szCs w:val="22"/>
          <w:lang w:val="lt-LT"/>
        </w:rPr>
        <w:t>14.</w:t>
      </w:r>
      <w:r w:rsidRPr="00CD7E52">
        <w:rPr>
          <w:b/>
          <w:szCs w:val="22"/>
          <w:lang w:val="lt-LT"/>
        </w:rPr>
        <w:tab/>
        <w:t>PARDAVIMO (IŠDAVIMO) TV</w:t>
      </w:r>
      <w:r w:rsidR="006E6907" w:rsidRPr="00CD7E52">
        <w:rPr>
          <w:b/>
          <w:szCs w:val="22"/>
          <w:lang w:val="lt-LT"/>
        </w:rPr>
        <w:t>A</w:t>
      </w:r>
      <w:r w:rsidR="00286374" w:rsidRPr="00CD7E52">
        <w:rPr>
          <w:b/>
          <w:szCs w:val="22"/>
          <w:lang w:val="lt-LT"/>
        </w:rPr>
        <w:t>RK</w:t>
      </w:r>
      <w:r w:rsidRPr="00CD7E52">
        <w:rPr>
          <w:b/>
          <w:szCs w:val="22"/>
          <w:lang w:val="lt-LT"/>
        </w:rPr>
        <w:t>A</w:t>
      </w:r>
    </w:p>
    <w:p w14:paraId="43C518E9" w14:textId="77777777" w:rsidR="008D14F2" w:rsidRPr="00CD7E52" w:rsidRDefault="008D14F2" w:rsidP="00C00052">
      <w:pPr>
        <w:widowControl w:val="0"/>
        <w:autoSpaceDE w:val="0"/>
        <w:autoSpaceDN w:val="0"/>
        <w:adjustRightInd w:val="0"/>
        <w:rPr>
          <w:szCs w:val="22"/>
          <w:lang w:val="lt-LT"/>
        </w:rPr>
      </w:pPr>
    </w:p>
    <w:p w14:paraId="7B596DCB" w14:textId="77777777" w:rsidR="008D14F2" w:rsidRPr="00CD7E52" w:rsidRDefault="008D14F2" w:rsidP="00C00052">
      <w:pPr>
        <w:widowControl w:val="0"/>
        <w:autoSpaceDE w:val="0"/>
        <w:autoSpaceDN w:val="0"/>
        <w:adjustRightInd w:val="0"/>
        <w:rPr>
          <w:snapToGrid/>
          <w:szCs w:val="22"/>
          <w:lang w:val="lt-LT" w:eastAsia="lt-LT"/>
        </w:rPr>
      </w:pPr>
      <w:r w:rsidRPr="00CD7E52">
        <w:rPr>
          <w:szCs w:val="22"/>
          <w:lang w:val="lt-LT"/>
        </w:rPr>
        <w:t>Receptinis vaistas.</w:t>
      </w:r>
    </w:p>
    <w:p w14:paraId="30D60C11" w14:textId="77777777" w:rsidR="008D14F2" w:rsidRPr="00CD7E52" w:rsidRDefault="008D14F2" w:rsidP="00C00052">
      <w:pPr>
        <w:widowControl w:val="0"/>
        <w:autoSpaceDE w:val="0"/>
        <w:autoSpaceDN w:val="0"/>
        <w:adjustRightInd w:val="0"/>
        <w:rPr>
          <w:szCs w:val="22"/>
          <w:lang w:val="lt-LT"/>
        </w:rPr>
      </w:pPr>
    </w:p>
    <w:p w14:paraId="1E99C3D1" w14:textId="77777777" w:rsidR="008D14F2" w:rsidRPr="00CD7E52" w:rsidRDefault="008D14F2" w:rsidP="00C00052">
      <w:pPr>
        <w:widowControl w:val="0"/>
        <w:autoSpaceDE w:val="0"/>
        <w:autoSpaceDN w:val="0"/>
        <w:adjustRightInd w:val="0"/>
        <w:rPr>
          <w:szCs w:val="22"/>
          <w:lang w:val="lt-LT"/>
        </w:rPr>
      </w:pPr>
    </w:p>
    <w:p w14:paraId="0BF9E206" w14:textId="77777777" w:rsidR="008D14F2" w:rsidRPr="00CD7E52" w:rsidRDefault="008D14F2" w:rsidP="00C00052">
      <w:pPr>
        <w:widowControl w:val="0"/>
        <w:pBdr>
          <w:top w:val="single" w:sz="4" w:space="2" w:color="auto"/>
          <w:left w:val="single" w:sz="4" w:space="4" w:color="auto"/>
          <w:bottom w:val="single" w:sz="4" w:space="1" w:color="auto"/>
          <w:right w:val="single" w:sz="4" w:space="4" w:color="auto"/>
        </w:pBdr>
        <w:autoSpaceDE w:val="0"/>
        <w:autoSpaceDN w:val="0"/>
        <w:adjustRightInd w:val="0"/>
        <w:spacing w:line="240" w:lineRule="auto"/>
        <w:rPr>
          <w:snapToGrid/>
          <w:szCs w:val="22"/>
          <w:lang w:val="lt-LT" w:eastAsia="lt-LT"/>
        </w:rPr>
      </w:pPr>
      <w:r w:rsidRPr="00CD7E52">
        <w:rPr>
          <w:b/>
          <w:szCs w:val="22"/>
          <w:lang w:val="lt-LT"/>
        </w:rPr>
        <w:t>15.</w:t>
      </w:r>
      <w:r w:rsidRPr="00CD7E52">
        <w:rPr>
          <w:b/>
          <w:szCs w:val="22"/>
          <w:lang w:val="lt-LT"/>
        </w:rPr>
        <w:tab/>
        <w:t>VARTOJIMO INSTRUKCIJA</w:t>
      </w:r>
    </w:p>
    <w:p w14:paraId="0C60C365" w14:textId="77777777" w:rsidR="008D14F2" w:rsidRPr="00CD7E52" w:rsidRDefault="008D14F2" w:rsidP="00C00052">
      <w:pPr>
        <w:widowControl w:val="0"/>
        <w:autoSpaceDE w:val="0"/>
        <w:autoSpaceDN w:val="0"/>
        <w:adjustRightInd w:val="0"/>
        <w:rPr>
          <w:szCs w:val="22"/>
          <w:lang w:val="lt-LT"/>
        </w:rPr>
      </w:pPr>
    </w:p>
    <w:p w14:paraId="7734AA8B" w14:textId="77777777" w:rsidR="008D14F2" w:rsidRPr="00CD7E52" w:rsidRDefault="008D14F2" w:rsidP="00C00052">
      <w:pPr>
        <w:widowControl w:val="0"/>
        <w:autoSpaceDE w:val="0"/>
        <w:autoSpaceDN w:val="0"/>
        <w:adjustRightInd w:val="0"/>
        <w:rPr>
          <w:szCs w:val="22"/>
          <w:lang w:val="lt-LT"/>
        </w:rPr>
      </w:pPr>
    </w:p>
    <w:p w14:paraId="3A7F80D2" w14:textId="77777777" w:rsidR="008D14F2" w:rsidRPr="00CD7E52" w:rsidRDefault="008D14F2" w:rsidP="00C00052">
      <w:pPr>
        <w:widowControl w:val="0"/>
        <w:pBdr>
          <w:top w:val="single" w:sz="4" w:space="1" w:color="auto"/>
          <w:left w:val="single" w:sz="4" w:space="4" w:color="auto"/>
          <w:bottom w:val="single" w:sz="4" w:space="0" w:color="auto"/>
          <w:right w:val="single" w:sz="4" w:space="4" w:color="auto"/>
        </w:pBdr>
        <w:autoSpaceDE w:val="0"/>
        <w:autoSpaceDN w:val="0"/>
        <w:adjustRightInd w:val="0"/>
        <w:spacing w:line="240" w:lineRule="auto"/>
        <w:rPr>
          <w:snapToGrid/>
          <w:szCs w:val="22"/>
          <w:lang w:val="lt-LT" w:eastAsia="lt-LT"/>
        </w:rPr>
      </w:pPr>
      <w:r w:rsidRPr="00CD7E52">
        <w:rPr>
          <w:b/>
          <w:szCs w:val="22"/>
          <w:lang w:val="lt-LT"/>
        </w:rPr>
        <w:t>16.</w:t>
      </w:r>
      <w:r w:rsidRPr="00CD7E52">
        <w:rPr>
          <w:b/>
          <w:szCs w:val="22"/>
          <w:lang w:val="lt-LT"/>
        </w:rPr>
        <w:tab/>
        <w:t>INFORMACIJA BRAILIO RAŠTU</w:t>
      </w:r>
    </w:p>
    <w:p w14:paraId="487DC889" w14:textId="77777777" w:rsidR="008D14F2" w:rsidRPr="00CD7E52" w:rsidRDefault="008D14F2" w:rsidP="00C00052">
      <w:pPr>
        <w:widowControl w:val="0"/>
        <w:autoSpaceDE w:val="0"/>
        <w:autoSpaceDN w:val="0"/>
        <w:adjustRightInd w:val="0"/>
        <w:rPr>
          <w:szCs w:val="22"/>
          <w:lang w:val="lt-LT"/>
        </w:rPr>
      </w:pPr>
    </w:p>
    <w:p w14:paraId="1C831E37" w14:textId="77777777" w:rsidR="008D14F2" w:rsidRPr="00CD7E52" w:rsidRDefault="005A4193" w:rsidP="00C00052">
      <w:pPr>
        <w:widowControl w:val="0"/>
        <w:autoSpaceDE w:val="0"/>
        <w:autoSpaceDN w:val="0"/>
        <w:adjustRightInd w:val="0"/>
        <w:rPr>
          <w:snapToGrid/>
          <w:szCs w:val="22"/>
          <w:lang w:val="lt-LT" w:eastAsia="lt-LT"/>
        </w:rPr>
      </w:pPr>
      <w:r w:rsidRPr="00CD7E52">
        <w:rPr>
          <w:szCs w:val="22"/>
          <w:lang w:val="lt-LT"/>
        </w:rPr>
        <w:t>Apremilast STADA</w:t>
      </w:r>
      <w:r w:rsidR="008D14F2" w:rsidRPr="00CD7E52">
        <w:rPr>
          <w:szCs w:val="22"/>
          <w:lang w:val="lt-LT"/>
        </w:rPr>
        <w:t xml:space="preserve"> 30 mg </w:t>
      </w:r>
      <w:r w:rsidR="008D14F2" w:rsidRPr="00425717">
        <w:rPr>
          <w:szCs w:val="22"/>
          <w:highlight w:val="lightGray"/>
          <w:lang w:val="lt-LT"/>
        </w:rPr>
        <w:t>plėvele dengtos tabletės</w:t>
      </w:r>
    </w:p>
    <w:p w14:paraId="6D2AF3C7" w14:textId="77777777" w:rsidR="008D14F2" w:rsidRPr="00CD7E52" w:rsidRDefault="008D14F2" w:rsidP="00C00052">
      <w:pPr>
        <w:widowControl w:val="0"/>
        <w:autoSpaceDE w:val="0"/>
        <w:autoSpaceDN w:val="0"/>
        <w:adjustRightInd w:val="0"/>
        <w:rPr>
          <w:szCs w:val="22"/>
          <w:lang w:val="lt-LT"/>
        </w:rPr>
      </w:pPr>
    </w:p>
    <w:p w14:paraId="23D7044B" w14:textId="77777777" w:rsidR="008D14F2" w:rsidRPr="00CD7E52" w:rsidRDefault="008D14F2" w:rsidP="00C00052">
      <w:pPr>
        <w:widowControl w:val="0"/>
        <w:autoSpaceDE w:val="0"/>
        <w:autoSpaceDN w:val="0"/>
        <w:adjustRightInd w:val="0"/>
        <w:rPr>
          <w:szCs w:val="22"/>
          <w:shd w:val="clear" w:color="auto" w:fill="CCCCCC"/>
          <w:lang w:val="lt-LT"/>
        </w:rPr>
      </w:pPr>
    </w:p>
    <w:p w14:paraId="0ACC7369" w14:textId="77777777" w:rsidR="008D14F2" w:rsidRPr="00CD7E52" w:rsidRDefault="008D14F2" w:rsidP="00C00052">
      <w:pPr>
        <w:keepNext/>
        <w:widowControl w:val="0"/>
        <w:pBdr>
          <w:top w:val="single" w:sz="4" w:space="1" w:color="auto"/>
          <w:left w:val="single" w:sz="4" w:space="4" w:color="auto"/>
          <w:bottom w:val="single" w:sz="4" w:space="1" w:color="auto"/>
          <w:right w:val="single" w:sz="4" w:space="4" w:color="auto"/>
        </w:pBdr>
        <w:tabs>
          <w:tab w:val="left" w:pos="0"/>
        </w:tabs>
        <w:autoSpaceDE w:val="0"/>
        <w:autoSpaceDN w:val="0"/>
        <w:adjustRightInd w:val="0"/>
        <w:rPr>
          <w:i/>
          <w:snapToGrid/>
          <w:szCs w:val="22"/>
          <w:lang w:val="lt-LT" w:eastAsia="lt-LT"/>
        </w:rPr>
      </w:pPr>
      <w:r w:rsidRPr="00CD7E52">
        <w:rPr>
          <w:b/>
          <w:szCs w:val="22"/>
          <w:lang w:val="lt-LT"/>
        </w:rPr>
        <w:t>17.</w:t>
      </w:r>
      <w:r w:rsidRPr="00CD7E52">
        <w:rPr>
          <w:b/>
          <w:szCs w:val="22"/>
          <w:lang w:val="lt-LT"/>
        </w:rPr>
        <w:tab/>
        <w:t>UNIKALUS IDENTIFIKATORIUS – 2D BRŪKŠNINIS KODAS</w:t>
      </w:r>
    </w:p>
    <w:p w14:paraId="60744588" w14:textId="77777777" w:rsidR="00197364" w:rsidRPr="00CD7E52" w:rsidRDefault="00197364" w:rsidP="00C00052">
      <w:pPr>
        <w:widowControl w:val="0"/>
        <w:autoSpaceDE w:val="0"/>
        <w:autoSpaceDN w:val="0"/>
        <w:adjustRightInd w:val="0"/>
        <w:rPr>
          <w:szCs w:val="22"/>
          <w:lang w:val="lt-LT"/>
        </w:rPr>
      </w:pPr>
    </w:p>
    <w:p w14:paraId="679C49B2" w14:textId="77777777" w:rsidR="008D14F2" w:rsidRPr="00CD7E52" w:rsidRDefault="00197364" w:rsidP="00C00052">
      <w:pPr>
        <w:widowControl w:val="0"/>
        <w:autoSpaceDE w:val="0"/>
        <w:autoSpaceDN w:val="0"/>
        <w:adjustRightInd w:val="0"/>
        <w:rPr>
          <w:szCs w:val="22"/>
          <w:lang w:val="lt-LT"/>
        </w:rPr>
      </w:pPr>
      <w:r w:rsidRPr="00CD7E52">
        <w:rPr>
          <w:szCs w:val="22"/>
          <w:lang w:val="lt-LT"/>
        </w:rPr>
        <w:t>2D brūkšninis kodas su nurodytu unikaliu identifikatoriumi.</w:t>
      </w:r>
    </w:p>
    <w:p w14:paraId="71C422F4" w14:textId="77777777" w:rsidR="008D14F2" w:rsidRPr="00CD7E52" w:rsidRDefault="008D14F2" w:rsidP="00C00052">
      <w:pPr>
        <w:widowControl w:val="0"/>
        <w:autoSpaceDE w:val="0"/>
        <w:autoSpaceDN w:val="0"/>
        <w:adjustRightInd w:val="0"/>
        <w:rPr>
          <w:szCs w:val="22"/>
          <w:lang w:val="lt-LT"/>
        </w:rPr>
      </w:pPr>
    </w:p>
    <w:p w14:paraId="0C7DDD0F" w14:textId="77777777" w:rsidR="008D14F2" w:rsidRPr="00CD7E52" w:rsidRDefault="008D14F2" w:rsidP="00C00052">
      <w:pPr>
        <w:widowControl w:val="0"/>
        <w:autoSpaceDE w:val="0"/>
        <w:autoSpaceDN w:val="0"/>
        <w:adjustRightInd w:val="0"/>
        <w:rPr>
          <w:szCs w:val="22"/>
          <w:lang w:val="lt-LT"/>
        </w:rPr>
      </w:pPr>
    </w:p>
    <w:p w14:paraId="53964A03" w14:textId="77777777" w:rsidR="008D14F2" w:rsidRPr="00CD7E52" w:rsidRDefault="008D14F2" w:rsidP="00C00052">
      <w:pPr>
        <w:keepNext/>
        <w:pBdr>
          <w:top w:val="single" w:sz="4" w:space="1" w:color="auto"/>
          <w:left w:val="single" w:sz="4" w:space="4" w:color="auto"/>
          <w:bottom w:val="single" w:sz="4" w:space="1" w:color="auto"/>
          <w:right w:val="single" w:sz="4" w:space="4" w:color="auto"/>
        </w:pBdr>
        <w:tabs>
          <w:tab w:val="left" w:pos="0"/>
        </w:tabs>
        <w:autoSpaceDE w:val="0"/>
        <w:autoSpaceDN w:val="0"/>
        <w:adjustRightInd w:val="0"/>
        <w:rPr>
          <w:i/>
          <w:snapToGrid/>
          <w:szCs w:val="22"/>
          <w:lang w:val="lt-LT" w:eastAsia="lt-LT"/>
        </w:rPr>
      </w:pPr>
      <w:r w:rsidRPr="00CD7E52">
        <w:rPr>
          <w:b/>
          <w:szCs w:val="22"/>
          <w:lang w:val="lt-LT"/>
        </w:rPr>
        <w:t>18.</w:t>
      </w:r>
      <w:r w:rsidRPr="00CD7E52">
        <w:rPr>
          <w:b/>
          <w:szCs w:val="22"/>
          <w:lang w:val="lt-LT"/>
        </w:rPr>
        <w:tab/>
        <w:t>UNIKALUS IDENTIFIKATORIUS – ŽMONĖMS SUPRANTAMI DUOMENYS</w:t>
      </w:r>
    </w:p>
    <w:p w14:paraId="47A22C75" w14:textId="77777777" w:rsidR="008D14F2" w:rsidRPr="00CD7E52" w:rsidRDefault="008D14F2" w:rsidP="00C00052">
      <w:pPr>
        <w:keepNext/>
        <w:autoSpaceDE w:val="0"/>
        <w:autoSpaceDN w:val="0"/>
        <w:adjustRightInd w:val="0"/>
        <w:rPr>
          <w:szCs w:val="22"/>
          <w:lang w:val="lt-LT"/>
        </w:rPr>
      </w:pPr>
    </w:p>
    <w:p w14:paraId="33905667" w14:textId="77777777" w:rsidR="008D14F2" w:rsidRPr="00CD7E52" w:rsidRDefault="008D14F2" w:rsidP="00C00052">
      <w:pPr>
        <w:keepNext/>
        <w:autoSpaceDE w:val="0"/>
        <w:autoSpaceDN w:val="0"/>
        <w:adjustRightInd w:val="0"/>
        <w:rPr>
          <w:snapToGrid/>
          <w:szCs w:val="22"/>
          <w:highlight w:val="yellow"/>
          <w:lang w:val="lt-LT" w:eastAsia="lt-LT"/>
        </w:rPr>
      </w:pPr>
      <w:r w:rsidRPr="00CD7E52">
        <w:rPr>
          <w:szCs w:val="22"/>
          <w:lang w:val="lt-LT"/>
        </w:rPr>
        <w:t xml:space="preserve">PC </w:t>
      </w:r>
      <w:r w:rsidRPr="00425717">
        <w:rPr>
          <w:szCs w:val="22"/>
          <w:highlight w:val="lightGray"/>
          <w:lang w:val="lt-LT"/>
        </w:rPr>
        <w:t>{numeris}</w:t>
      </w:r>
    </w:p>
    <w:p w14:paraId="434F7559" w14:textId="77777777" w:rsidR="008D14F2" w:rsidRPr="00425717" w:rsidRDefault="008D14F2" w:rsidP="00C00052">
      <w:pPr>
        <w:widowControl w:val="0"/>
        <w:autoSpaceDE w:val="0"/>
        <w:autoSpaceDN w:val="0"/>
        <w:adjustRightInd w:val="0"/>
        <w:rPr>
          <w:szCs w:val="22"/>
          <w:highlight w:val="lightGray"/>
          <w:lang w:val="lt-LT"/>
        </w:rPr>
      </w:pPr>
      <w:r w:rsidRPr="00CD7E52">
        <w:rPr>
          <w:szCs w:val="22"/>
          <w:lang w:val="lt-LT"/>
        </w:rPr>
        <w:t xml:space="preserve">SN </w:t>
      </w:r>
      <w:r w:rsidRPr="00425717">
        <w:rPr>
          <w:szCs w:val="22"/>
          <w:highlight w:val="lightGray"/>
          <w:lang w:val="lt-LT"/>
        </w:rPr>
        <w:t>{numeris}</w:t>
      </w:r>
    </w:p>
    <w:p w14:paraId="5A55BF8E" w14:textId="77777777" w:rsidR="008D14F2" w:rsidRPr="00CD7E52" w:rsidRDefault="008D14F2" w:rsidP="00C00052">
      <w:pPr>
        <w:widowControl w:val="0"/>
        <w:autoSpaceDE w:val="0"/>
        <w:autoSpaceDN w:val="0"/>
        <w:adjustRightInd w:val="0"/>
        <w:rPr>
          <w:b/>
          <w:spacing w:val="-2"/>
          <w:szCs w:val="22"/>
          <w:lang w:val="lt-LT"/>
        </w:rPr>
      </w:pPr>
      <w:r w:rsidRPr="00425717">
        <w:rPr>
          <w:szCs w:val="22"/>
          <w:highlight w:val="lightGray"/>
          <w:lang w:val="lt-LT"/>
        </w:rPr>
        <w:t>NN {numeris}</w:t>
      </w:r>
      <w:r w:rsidRPr="00425717">
        <w:rPr>
          <w:szCs w:val="22"/>
          <w:highlight w:val="lightGray"/>
          <w:lang w:val="lt-LT"/>
        </w:rPr>
        <w:br w:type="page"/>
      </w:r>
    </w:p>
    <w:p w14:paraId="26A29DD4"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tabs>
          <w:tab w:val="clear" w:pos="567"/>
          <w:tab w:val="left" w:pos="0"/>
        </w:tabs>
        <w:autoSpaceDE w:val="0"/>
        <w:autoSpaceDN w:val="0"/>
        <w:adjustRightInd w:val="0"/>
        <w:rPr>
          <w:b/>
          <w:snapToGrid/>
          <w:szCs w:val="22"/>
          <w:lang w:val="lt-LT" w:eastAsia="lt-LT"/>
        </w:rPr>
      </w:pPr>
      <w:r w:rsidRPr="00CD7E52">
        <w:rPr>
          <w:b/>
          <w:szCs w:val="22"/>
          <w:lang w:val="lt-LT"/>
        </w:rPr>
        <w:lastRenderedPageBreak/>
        <w:t xml:space="preserve">MINIMALI INFORMACIJA ANT LIZDINIŲ PLOKŠTELIŲ </w:t>
      </w:r>
    </w:p>
    <w:p w14:paraId="478D8F6E"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rPr>
          <w:b/>
          <w:szCs w:val="22"/>
          <w:lang w:val="lt-LT"/>
        </w:rPr>
      </w:pPr>
    </w:p>
    <w:p w14:paraId="1CC43865" w14:textId="77777777" w:rsidR="008D14F2" w:rsidRPr="00CD7E52" w:rsidRDefault="008D14F2" w:rsidP="00E407A7">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rPr>
          <w:b/>
          <w:snapToGrid/>
          <w:szCs w:val="22"/>
          <w:lang w:val="lt-LT" w:eastAsia="lt-LT"/>
        </w:rPr>
      </w:pPr>
      <w:r w:rsidRPr="00CD7E52">
        <w:rPr>
          <w:b/>
          <w:szCs w:val="22"/>
          <w:lang w:val="lt-LT"/>
        </w:rPr>
        <w:t>LIZDINĖ PLOKŠTELĖ</w:t>
      </w:r>
      <w:r w:rsidR="00E407A7" w:rsidRPr="00CD7E52">
        <w:rPr>
          <w:b/>
          <w:szCs w:val="22"/>
          <w:lang w:val="lt-LT"/>
        </w:rPr>
        <w:t xml:space="preserve">, </w:t>
      </w:r>
      <w:r w:rsidRPr="00CD7E52">
        <w:rPr>
          <w:b/>
          <w:szCs w:val="22"/>
          <w:lang w:val="lt-LT"/>
        </w:rPr>
        <w:t>DALOMOJI LIZDINĖ PLOKŠTELĖ</w:t>
      </w:r>
      <w:r w:rsidR="00FE154F" w:rsidRPr="00CD7E52">
        <w:rPr>
          <w:b/>
          <w:szCs w:val="22"/>
          <w:lang w:val="lt-LT"/>
        </w:rPr>
        <w:t xml:space="preserve"> - 30 mg</w:t>
      </w:r>
    </w:p>
    <w:p w14:paraId="2EB42E78" w14:textId="77777777" w:rsidR="008D14F2" w:rsidRPr="00CD7E52" w:rsidRDefault="008D14F2" w:rsidP="00C00052">
      <w:pPr>
        <w:widowControl w:val="0"/>
        <w:autoSpaceDE w:val="0"/>
        <w:autoSpaceDN w:val="0"/>
        <w:adjustRightInd w:val="0"/>
        <w:rPr>
          <w:szCs w:val="22"/>
          <w:lang w:val="lt-LT"/>
        </w:rPr>
      </w:pPr>
    </w:p>
    <w:p w14:paraId="516778C6" w14:textId="77777777" w:rsidR="008D14F2" w:rsidRPr="00CD7E52" w:rsidRDefault="008D14F2" w:rsidP="00C00052">
      <w:pPr>
        <w:widowControl w:val="0"/>
        <w:autoSpaceDE w:val="0"/>
        <w:autoSpaceDN w:val="0"/>
        <w:adjustRightInd w:val="0"/>
        <w:rPr>
          <w:szCs w:val="22"/>
          <w:lang w:val="lt-LT"/>
        </w:rPr>
      </w:pPr>
    </w:p>
    <w:p w14:paraId="09913334"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2"/>
          <w:lang w:val="lt-LT" w:eastAsia="lt-LT"/>
        </w:rPr>
      </w:pPr>
      <w:r w:rsidRPr="00CD7E52">
        <w:rPr>
          <w:b/>
          <w:szCs w:val="22"/>
          <w:lang w:val="lt-LT"/>
        </w:rPr>
        <w:t>1.</w:t>
      </w:r>
      <w:r w:rsidRPr="00CD7E52">
        <w:rPr>
          <w:b/>
          <w:szCs w:val="22"/>
          <w:lang w:val="lt-LT"/>
        </w:rPr>
        <w:tab/>
      </w:r>
      <w:r w:rsidRPr="00CD7E52">
        <w:rPr>
          <w:b/>
          <w:caps/>
          <w:szCs w:val="22"/>
          <w:lang w:val="lt-LT"/>
        </w:rPr>
        <w:t>VAISTINIO</w:t>
      </w:r>
      <w:r w:rsidRPr="00CD7E52">
        <w:rPr>
          <w:b/>
          <w:szCs w:val="22"/>
          <w:lang w:val="lt-LT"/>
        </w:rPr>
        <w:t xml:space="preserve"> PREPARATO PAVADINIMAS</w:t>
      </w:r>
    </w:p>
    <w:p w14:paraId="2265FB41" w14:textId="77777777" w:rsidR="008D14F2" w:rsidRPr="00CD7E52" w:rsidRDefault="008D14F2" w:rsidP="00C00052">
      <w:pPr>
        <w:widowControl w:val="0"/>
        <w:autoSpaceDE w:val="0"/>
        <w:autoSpaceDN w:val="0"/>
        <w:adjustRightInd w:val="0"/>
        <w:rPr>
          <w:szCs w:val="22"/>
          <w:lang w:val="lt-LT"/>
        </w:rPr>
      </w:pPr>
    </w:p>
    <w:p w14:paraId="3D64AA48" w14:textId="77777777" w:rsidR="008D14F2" w:rsidRPr="00CD7E52" w:rsidRDefault="005A4193" w:rsidP="00C00052">
      <w:pPr>
        <w:widowControl w:val="0"/>
        <w:autoSpaceDE w:val="0"/>
        <w:autoSpaceDN w:val="0"/>
        <w:adjustRightInd w:val="0"/>
        <w:rPr>
          <w:snapToGrid/>
          <w:szCs w:val="22"/>
          <w:lang w:val="lt-LT" w:eastAsia="lt-LT"/>
        </w:rPr>
      </w:pPr>
      <w:r w:rsidRPr="00CD7E52">
        <w:rPr>
          <w:szCs w:val="22"/>
          <w:lang w:val="lt-LT"/>
        </w:rPr>
        <w:t>Apremilast STADA</w:t>
      </w:r>
      <w:r w:rsidR="008D14F2" w:rsidRPr="00CD7E52">
        <w:rPr>
          <w:szCs w:val="22"/>
          <w:lang w:val="lt-LT"/>
        </w:rPr>
        <w:t xml:space="preserve"> 30 mg plėvele dengtos tabletės</w:t>
      </w:r>
    </w:p>
    <w:p w14:paraId="59E55270" w14:textId="77777777" w:rsidR="008D14F2" w:rsidRPr="00CD7E52" w:rsidRDefault="008D14F2" w:rsidP="00C00052">
      <w:pPr>
        <w:tabs>
          <w:tab w:val="clear" w:pos="567"/>
        </w:tabs>
        <w:autoSpaceDE w:val="0"/>
        <w:autoSpaceDN w:val="0"/>
        <w:adjustRightInd w:val="0"/>
        <w:spacing w:line="240" w:lineRule="auto"/>
        <w:rPr>
          <w:i/>
          <w:szCs w:val="22"/>
          <w:lang w:val="lt-LT"/>
        </w:rPr>
      </w:pPr>
      <w:r w:rsidRPr="00CD7E52">
        <w:rPr>
          <w:i/>
          <w:color w:val="000000"/>
          <w:szCs w:val="22"/>
          <w:lang w:val="lt-LT"/>
        </w:rPr>
        <w:t>apremilastum</w:t>
      </w:r>
    </w:p>
    <w:p w14:paraId="4D987B10" w14:textId="77777777" w:rsidR="008D14F2" w:rsidRPr="00CD7E52" w:rsidRDefault="008D14F2" w:rsidP="00C00052">
      <w:pPr>
        <w:widowControl w:val="0"/>
        <w:autoSpaceDE w:val="0"/>
        <w:autoSpaceDN w:val="0"/>
        <w:adjustRightInd w:val="0"/>
        <w:rPr>
          <w:szCs w:val="22"/>
          <w:lang w:val="lt-LT"/>
        </w:rPr>
      </w:pPr>
    </w:p>
    <w:p w14:paraId="6DB5EFA0" w14:textId="77777777" w:rsidR="008D14F2" w:rsidRPr="00CD7E52" w:rsidRDefault="008D14F2" w:rsidP="00C00052">
      <w:pPr>
        <w:widowControl w:val="0"/>
        <w:autoSpaceDE w:val="0"/>
        <w:autoSpaceDN w:val="0"/>
        <w:adjustRightInd w:val="0"/>
        <w:rPr>
          <w:szCs w:val="22"/>
          <w:lang w:val="lt-LT"/>
        </w:rPr>
      </w:pPr>
    </w:p>
    <w:p w14:paraId="77B6ACA8"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2"/>
          <w:lang w:val="lt-LT" w:eastAsia="lt-LT"/>
        </w:rPr>
      </w:pPr>
      <w:r w:rsidRPr="00CD7E52">
        <w:rPr>
          <w:b/>
          <w:szCs w:val="22"/>
          <w:lang w:val="lt-LT"/>
        </w:rPr>
        <w:t>2.</w:t>
      </w:r>
      <w:r w:rsidRPr="00CD7E52">
        <w:rPr>
          <w:b/>
          <w:szCs w:val="22"/>
          <w:lang w:val="lt-LT"/>
        </w:rPr>
        <w:tab/>
      </w:r>
      <w:r w:rsidRPr="00CD7E52">
        <w:rPr>
          <w:b/>
          <w:caps/>
          <w:szCs w:val="22"/>
          <w:lang w:val="lt-LT"/>
        </w:rPr>
        <w:t>REGISTRUOTOJO pavadinimas</w:t>
      </w:r>
    </w:p>
    <w:p w14:paraId="360A99A6" w14:textId="77777777" w:rsidR="008D14F2" w:rsidRPr="00CD7E52" w:rsidRDefault="008D14F2" w:rsidP="00C00052">
      <w:pPr>
        <w:widowControl w:val="0"/>
        <w:autoSpaceDE w:val="0"/>
        <w:autoSpaceDN w:val="0"/>
        <w:adjustRightInd w:val="0"/>
        <w:rPr>
          <w:szCs w:val="22"/>
          <w:lang w:val="lt-LT"/>
        </w:rPr>
      </w:pPr>
    </w:p>
    <w:p w14:paraId="4FB54F71" w14:textId="77777777" w:rsidR="008D14F2" w:rsidRPr="00CD7E52" w:rsidRDefault="008D14F2" w:rsidP="00C00052">
      <w:pPr>
        <w:widowControl w:val="0"/>
        <w:numPr>
          <w:ilvl w:val="12"/>
          <w:numId w:val="0"/>
        </w:numPr>
        <w:tabs>
          <w:tab w:val="clear" w:pos="567"/>
          <w:tab w:val="left" w:pos="1296"/>
        </w:tabs>
        <w:autoSpaceDE w:val="0"/>
        <w:autoSpaceDN w:val="0"/>
        <w:adjustRightInd w:val="0"/>
        <w:snapToGrid w:val="0"/>
        <w:spacing w:line="240" w:lineRule="auto"/>
        <w:ind w:right="-2"/>
        <w:rPr>
          <w:snapToGrid/>
          <w:szCs w:val="22"/>
          <w:lang w:val="lt-LT" w:eastAsia="lt-LT"/>
        </w:rPr>
      </w:pPr>
      <w:r w:rsidRPr="00CD7E52">
        <w:rPr>
          <w:szCs w:val="22"/>
          <w:lang w:val="lt-LT"/>
        </w:rPr>
        <w:t>STADA Arzneimittel AG</w:t>
      </w:r>
    </w:p>
    <w:p w14:paraId="79B58F98" w14:textId="77777777" w:rsidR="008D14F2" w:rsidRPr="00CD7E52" w:rsidRDefault="008D14F2" w:rsidP="00C00052">
      <w:pPr>
        <w:widowControl w:val="0"/>
        <w:autoSpaceDE w:val="0"/>
        <w:autoSpaceDN w:val="0"/>
        <w:adjustRightInd w:val="0"/>
        <w:rPr>
          <w:szCs w:val="22"/>
          <w:lang w:val="lt-LT"/>
        </w:rPr>
      </w:pPr>
    </w:p>
    <w:p w14:paraId="4552A97D" w14:textId="77777777" w:rsidR="008D14F2" w:rsidRPr="00CD7E52" w:rsidRDefault="008D14F2" w:rsidP="00C00052">
      <w:pPr>
        <w:widowControl w:val="0"/>
        <w:autoSpaceDE w:val="0"/>
        <w:autoSpaceDN w:val="0"/>
        <w:adjustRightInd w:val="0"/>
        <w:rPr>
          <w:szCs w:val="22"/>
          <w:lang w:val="lt-LT"/>
        </w:rPr>
      </w:pPr>
    </w:p>
    <w:p w14:paraId="0F3CF036" w14:textId="77777777" w:rsidR="008D14F2" w:rsidRPr="00CD7E52" w:rsidRDefault="008D14F2" w:rsidP="00C00052">
      <w:pPr>
        <w:widowControl w:val="0"/>
        <w:pBdr>
          <w:top w:val="single" w:sz="4" w:space="1" w:color="auto"/>
          <w:left w:val="single" w:sz="4" w:space="4" w:color="auto"/>
          <w:bottom w:val="single" w:sz="4" w:space="2" w:color="auto"/>
          <w:right w:val="single" w:sz="4" w:space="4" w:color="auto"/>
        </w:pBdr>
        <w:autoSpaceDE w:val="0"/>
        <w:autoSpaceDN w:val="0"/>
        <w:adjustRightInd w:val="0"/>
        <w:spacing w:line="240" w:lineRule="auto"/>
        <w:rPr>
          <w:b/>
          <w:snapToGrid/>
          <w:szCs w:val="22"/>
          <w:lang w:val="lt-LT" w:eastAsia="lt-LT"/>
        </w:rPr>
      </w:pPr>
      <w:r w:rsidRPr="00CD7E52">
        <w:rPr>
          <w:b/>
          <w:szCs w:val="22"/>
          <w:lang w:val="lt-LT"/>
        </w:rPr>
        <w:t>3.</w:t>
      </w:r>
      <w:r w:rsidRPr="00CD7E52">
        <w:rPr>
          <w:b/>
          <w:szCs w:val="22"/>
          <w:lang w:val="lt-LT"/>
        </w:rPr>
        <w:tab/>
        <w:t>TINKAMUMO LAIKAS</w:t>
      </w:r>
    </w:p>
    <w:p w14:paraId="2FD80C41" w14:textId="77777777" w:rsidR="008D14F2" w:rsidRPr="00CD7E52" w:rsidRDefault="008D14F2" w:rsidP="00C00052">
      <w:pPr>
        <w:widowControl w:val="0"/>
        <w:autoSpaceDE w:val="0"/>
        <w:autoSpaceDN w:val="0"/>
        <w:adjustRightInd w:val="0"/>
        <w:rPr>
          <w:szCs w:val="22"/>
          <w:lang w:val="lt-LT"/>
        </w:rPr>
      </w:pPr>
    </w:p>
    <w:p w14:paraId="0E5ADBC7" w14:textId="77777777" w:rsidR="008D14F2" w:rsidRPr="00CD7E52" w:rsidRDefault="008D14F2" w:rsidP="00C00052">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 xml:space="preserve">EXP </w:t>
      </w:r>
      <w:r w:rsidRPr="00425717">
        <w:rPr>
          <w:szCs w:val="22"/>
          <w:highlight w:val="lightGray"/>
          <w:lang w:val="lt-LT"/>
        </w:rPr>
        <w:t>{mm/MMMM}</w:t>
      </w:r>
    </w:p>
    <w:p w14:paraId="4EAE23AE" w14:textId="77777777" w:rsidR="008D14F2" w:rsidRPr="00CD7E52" w:rsidRDefault="008D14F2" w:rsidP="00C00052">
      <w:pPr>
        <w:widowControl w:val="0"/>
        <w:autoSpaceDE w:val="0"/>
        <w:autoSpaceDN w:val="0"/>
        <w:adjustRightInd w:val="0"/>
        <w:rPr>
          <w:szCs w:val="22"/>
          <w:lang w:val="lt-LT"/>
        </w:rPr>
      </w:pPr>
    </w:p>
    <w:p w14:paraId="099BA182" w14:textId="77777777" w:rsidR="008D14F2" w:rsidRPr="00CD7E52" w:rsidRDefault="008D14F2" w:rsidP="00C00052">
      <w:pPr>
        <w:widowControl w:val="0"/>
        <w:autoSpaceDE w:val="0"/>
        <w:autoSpaceDN w:val="0"/>
        <w:adjustRightInd w:val="0"/>
        <w:rPr>
          <w:szCs w:val="22"/>
          <w:lang w:val="lt-LT"/>
        </w:rPr>
      </w:pPr>
    </w:p>
    <w:p w14:paraId="328F9CCB" w14:textId="77777777" w:rsidR="008D14F2" w:rsidRPr="00CD7E52" w:rsidRDefault="008D14F2" w:rsidP="00C00052">
      <w:pPr>
        <w:widowControl w:val="0"/>
        <w:suppressLineNumbers/>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2"/>
          <w:lang w:val="lt-LT" w:eastAsia="lt-LT"/>
        </w:rPr>
      </w:pPr>
      <w:r w:rsidRPr="00CD7E52">
        <w:rPr>
          <w:b/>
          <w:szCs w:val="22"/>
          <w:lang w:val="lt-LT"/>
        </w:rPr>
        <w:t>4.</w:t>
      </w:r>
      <w:r w:rsidRPr="00CD7E52">
        <w:rPr>
          <w:b/>
          <w:szCs w:val="22"/>
          <w:lang w:val="lt-LT"/>
        </w:rPr>
        <w:tab/>
        <w:t>SERIJOS NUMERIS</w:t>
      </w:r>
    </w:p>
    <w:p w14:paraId="4A7EE3CC" w14:textId="77777777" w:rsidR="008D14F2" w:rsidRPr="00CD7E52" w:rsidRDefault="008D14F2" w:rsidP="00C00052">
      <w:pPr>
        <w:widowControl w:val="0"/>
        <w:autoSpaceDE w:val="0"/>
        <w:autoSpaceDN w:val="0"/>
        <w:adjustRightInd w:val="0"/>
        <w:rPr>
          <w:szCs w:val="22"/>
          <w:lang w:val="lt-LT"/>
        </w:rPr>
      </w:pPr>
    </w:p>
    <w:p w14:paraId="00F5F0F7" w14:textId="77777777" w:rsidR="008D14F2" w:rsidRPr="00CD7E52" w:rsidRDefault="008D14F2" w:rsidP="00C00052">
      <w:pPr>
        <w:widowControl w:val="0"/>
        <w:autoSpaceDE w:val="0"/>
        <w:autoSpaceDN w:val="0"/>
        <w:adjustRightInd w:val="0"/>
        <w:rPr>
          <w:snapToGrid/>
          <w:szCs w:val="22"/>
          <w:lang w:val="lt-LT" w:eastAsia="lt-LT"/>
        </w:rPr>
      </w:pPr>
      <w:r w:rsidRPr="00CD7E52">
        <w:rPr>
          <w:szCs w:val="22"/>
          <w:lang w:val="lt-LT"/>
        </w:rPr>
        <w:t xml:space="preserve">Lot </w:t>
      </w:r>
      <w:r w:rsidRPr="00425717">
        <w:rPr>
          <w:szCs w:val="22"/>
          <w:highlight w:val="lightGray"/>
          <w:lang w:val="lt-LT"/>
        </w:rPr>
        <w:t>{numeris}</w:t>
      </w:r>
    </w:p>
    <w:p w14:paraId="7629DDC3" w14:textId="77777777" w:rsidR="008D14F2" w:rsidRPr="00CD7E52" w:rsidRDefault="008D14F2" w:rsidP="00C00052">
      <w:pPr>
        <w:widowControl w:val="0"/>
        <w:autoSpaceDE w:val="0"/>
        <w:autoSpaceDN w:val="0"/>
        <w:adjustRightInd w:val="0"/>
        <w:rPr>
          <w:szCs w:val="22"/>
          <w:lang w:val="lt-LT"/>
        </w:rPr>
      </w:pPr>
    </w:p>
    <w:p w14:paraId="3F2D7E39" w14:textId="77777777" w:rsidR="008D14F2" w:rsidRPr="00CD7E52" w:rsidRDefault="008D14F2" w:rsidP="00C00052">
      <w:pPr>
        <w:widowControl w:val="0"/>
        <w:autoSpaceDE w:val="0"/>
        <w:autoSpaceDN w:val="0"/>
        <w:adjustRightInd w:val="0"/>
        <w:rPr>
          <w:szCs w:val="22"/>
          <w:lang w:val="lt-LT"/>
        </w:rPr>
      </w:pPr>
    </w:p>
    <w:p w14:paraId="4F5023CD" w14:textId="77777777" w:rsidR="008D14F2" w:rsidRPr="00CD7E52" w:rsidRDefault="008D14F2" w:rsidP="00C0005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napToGrid/>
          <w:szCs w:val="22"/>
          <w:lang w:val="lt-LT" w:eastAsia="lt-LT"/>
        </w:rPr>
      </w:pPr>
      <w:r w:rsidRPr="00CD7E52">
        <w:rPr>
          <w:b/>
          <w:szCs w:val="22"/>
          <w:lang w:val="lt-LT"/>
        </w:rPr>
        <w:t>5.</w:t>
      </w:r>
      <w:r w:rsidRPr="00CD7E52">
        <w:rPr>
          <w:b/>
          <w:szCs w:val="22"/>
          <w:lang w:val="lt-LT"/>
        </w:rPr>
        <w:tab/>
        <w:t>KITA</w:t>
      </w:r>
    </w:p>
    <w:p w14:paraId="507A5A2B" w14:textId="77777777" w:rsidR="008D14F2" w:rsidRPr="00CD7E52" w:rsidRDefault="008D14F2" w:rsidP="00C00052">
      <w:pPr>
        <w:widowControl w:val="0"/>
        <w:autoSpaceDE w:val="0"/>
        <w:autoSpaceDN w:val="0"/>
        <w:adjustRightInd w:val="0"/>
        <w:rPr>
          <w:szCs w:val="22"/>
          <w:lang w:val="lt-LT"/>
        </w:rPr>
      </w:pPr>
    </w:p>
    <w:p w14:paraId="00E216A4" w14:textId="77777777" w:rsidR="008D14F2" w:rsidRPr="00CD7E52" w:rsidRDefault="008D14F2" w:rsidP="00C00052">
      <w:pPr>
        <w:widowControl w:val="0"/>
        <w:autoSpaceDE w:val="0"/>
        <w:autoSpaceDN w:val="0"/>
        <w:adjustRightInd w:val="0"/>
        <w:rPr>
          <w:szCs w:val="22"/>
          <w:lang w:val="lt-LT"/>
        </w:rPr>
      </w:pPr>
    </w:p>
    <w:p w14:paraId="7C8B3E15" w14:textId="77777777" w:rsidR="008D14F2" w:rsidRPr="0016281D" w:rsidRDefault="008D14F2" w:rsidP="00C00052">
      <w:pPr>
        <w:widowControl w:val="0"/>
        <w:autoSpaceDE w:val="0"/>
        <w:autoSpaceDN w:val="0"/>
        <w:adjustRightInd w:val="0"/>
        <w:rPr>
          <w:szCs w:val="22"/>
          <w:lang w:val="lt-LT"/>
        </w:rPr>
      </w:pPr>
      <w:r w:rsidRPr="00CD7E52">
        <w:rPr>
          <w:b/>
          <w:spacing w:val="-2"/>
          <w:szCs w:val="22"/>
          <w:lang w:val="lt-LT"/>
        </w:rPr>
        <w:br w:type="page"/>
      </w:r>
    </w:p>
    <w:p w14:paraId="04D9A7CA" w14:textId="77777777" w:rsidR="008D14F2" w:rsidRPr="00CD7E52" w:rsidRDefault="008D14F2" w:rsidP="00C00052">
      <w:pPr>
        <w:widowControl w:val="0"/>
        <w:autoSpaceDE w:val="0"/>
        <w:autoSpaceDN w:val="0"/>
        <w:adjustRightInd w:val="0"/>
        <w:rPr>
          <w:szCs w:val="22"/>
          <w:lang w:val="lt-LT"/>
        </w:rPr>
      </w:pPr>
    </w:p>
    <w:p w14:paraId="2D06AEA6" w14:textId="77777777" w:rsidR="008D14F2" w:rsidRPr="00CD7E52" w:rsidRDefault="008D14F2" w:rsidP="00C00052">
      <w:pPr>
        <w:widowControl w:val="0"/>
        <w:autoSpaceDE w:val="0"/>
        <w:autoSpaceDN w:val="0"/>
        <w:adjustRightInd w:val="0"/>
        <w:rPr>
          <w:szCs w:val="22"/>
          <w:lang w:val="lt-LT"/>
        </w:rPr>
      </w:pPr>
    </w:p>
    <w:p w14:paraId="7466EDF8" w14:textId="77777777" w:rsidR="008D14F2" w:rsidRPr="00CD7E52" w:rsidRDefault="008D14F2" w:rsidP="00C00052">
      <w:pPr>
        <w:widowControl w:val="0"/>
        <w:autoSpaceDE w:val="0"/>
        <w:autoSpaceDN w:val="0"/>
        <w:adjustRightInd w:val="0"/>
        <w:rPr>
          <w:szCs w:val="22"/>
          <w:lang w:val="lt-LT"/>
        </w:rPr>
      </w:pPr>
    </w:p>
    <w:p w14:paraId="2BC430DE" w14:textId="77777777" w:rsidR="008D14F2" w:rsidRPr="00CD7E52" w:rsidRDefault="008D14F2" w:rsidP="00C00052">
      <w:pPr>
        <w:widowControl w:val="0"/>
        <w:autoSpaceDE w:val="0"/>
        <w:autoSpaceDN w:val="0"/>
        <w:adjustRightInd w:val="0"/>
        <w:rPr>
          <w:szCs w:val="22"/>
          <w:lang w:val="lt-LT"/>
        </w:rPr>
      </w:pPr>
    </w:p>
    <w:p w14:paraId="20936C2C" w14:textId="77777777" w:rsidR="008D14F2" w:rsidRPr="00CD7E52" w:rsidRDefault="008D14F2" w:rsidP="00C00052">
      <w:pPr>
        <w:widowControl w:val="0"/>
        <w:autoSpaceDE w:val="0"/>
        <w:autoSpaceDN w:val="0"/>
        <w:adjustRightInd w:val="0"/>
        <w:rPr>
          <w:szCs w:val="22"/>
          <w:lang w:val="lt-LT"/>
        </w:rPr>
      </w:pPr>
    </w:p>
    <w:p w14:paraId="52A99E50" w14:textId="77777777" w:rsidR="008D14F2" w:rsidRPr="00CD7E52" w:rsidRDefault="008D14F2" w:rsidP="00C00052">
      <w:pPr>
        <w:widowControl w:val="0"/>
        <w:autoSpaceDE w:val="0"/>
        <w:autoSpaceDN w:val="0"/>
        <w:adjustRightInd w:val="0"/>
        <w:rPr>
          <w:szCs w:val="22"/>
          <w:lang w:val="lt-LT"/>
        </w:rPr>
      </w:pPr>
    </w:p>
    <w:p w14:paraId="502B4418" w14:textId="77777777" w:rsidR="008D14F2" w:rsidRPr="00CD7E52" w:rsidRDefault="008D14F2" w:rsidP="00C00052">
      <w:pPr>
        <w:widowControl w:val="0"/>
        <w:autoSpaceDE w:val="0"/>
        <w:autoSpaceDN w:val="0"/>
        <w:adjustRightInd w:val="0"/>
        <w:rPr>
          <w:szCs w:val="22"/>
          <w:lang w:val="lt-LT"/>
        </w:rPr>
      </w:pPr>
    </w:p>
    <w:p w14:paraId="26E02F2D" w14:textId="77777777" w:rsidR="008D14F2" w:rsidRPr="00CD7E52" w:rsidRDefault="008D14F2" w:rsidP="00C00052">
      <w:pPr>
        <w:widowControl w:val="0"/>
        <w:autoSpaceDE w:val="0"/>
        <w:autoSpaceDN w:val="0"/>
        <w:adjustRightInd w:val="0"/>
        <w:rPr>
          <w:szCs w:val="22"/>
          <w:lang w:val="lt-LT"/>
        </w:rPr>
      </w:pPr>
    </w:p>
    <w:p w14:paraId="017E9EC1" w14:textId="77777777" w:rsidR="008D14F2" w:rsidRPr="00CD7E52" w:rsidRDefault="008D14F2" w:rsidP="00C00052">
      <w:pPr>
        <w:widowControl w:val="0"/>
        <w:autoSpaceDE w:val="0"/>
        <w:autoSpaceDN w:val="0"/>
        <w:adjustRightInd w:val="0"/>
        <w:rPr>
          <w:szCs w:val="22"/>
          <w:lang w:val="lt-LT"/>
        </w:rPr>
      </w:pPr>
    </w:p>
    <w:p w14:paraId="719CF793" w14:textId="77777777" w:rsidR="008D14F2" w:rsidRPr="00CD7E52" w:rsidRDefault="008D14F2" w:rsidP="00C00052">
      <w:pPr>
        <w:widowControl w:val="0"/>
        <w:autoSpaceDE w:val="0"/>
        <w:autoSpaceDN w:val="0"/>
        <w:adjustRightInd w:val="0"/>
        <w:rPr>
          <w:szCs w:val="22"/>
          <w:lang w:val="lt-LT"/>
        </w:rPr>
      </w:pPr>
    </w:p>
    <w:p w14:paraId="2DD2BBB7" w14:textId="77777777" w:rsidR="008D14F2" w:rsidRPr="00CD7E52" w:rsidRDefault="008D14F2" w:rsidP="00C00052">
      <w:pPr>
        <w:widowControl w:val="0"/>
        <w:autoSpaceDE w:val="0"/>
        <w:autoSpaceDN w:val="0"/>
        <w:adjustRightInd w:val="0"/>
        <w:rPr>
          <w:szCs w:val="22"/>
          <w:lang w:val="lt-LT"/>
        </w:rPr>
      </w:pPr>
    </w:p>
    <w:p w14:paraId="08781D7F" w14:textId="77777777" w:rsidR="008D14F2" w:rsidRPr="00CD7E52" w:rsidRDefault="008D14F2" w:rsidP="00C00052">
      <w:pPr>
        <w:widowControl w:val="0"/>
        <w:autoSpaceDE w:val="0"/>
        <w:autoSpaceDN w:val="0"/>
        <w:adjustRightInd w:val="0"/>
        <w:rPr>
          <w:szCs w:val="22"/>
          <w:lang w:val="lt-LT"/>
        </w:rPr>
      </w:pPr>
    </w:p>
    <w:p w14:paraId="03104597" w14:textId="77777777" w:rsidR="008D14F2" w:rsidRPr="00CD7E52" w:rsidRDefault="008D14F2" w:rsidP="00C00052">
      <w:pPr>
        <w:widowControl w:val="0"/>
        <w:autoSpaceDE w:val="0"/>
        <w:autoSpaceDN w:val="0"/>
        <w:adjustRightInd w:val="0"/>
        <w:rPr>
          <w:szCs w:val="22"/>
          <w:lang w:val="lt-LT"/>
        </w:rPr>
      </w:pPr>
    </w:p>
    <w:p w14:paraId="224A6B07" w14:textId="77777777" w:rsidR="008D14F2" w:rsidRPr="00CD7E52" w:rsidRDefault="008D14F2" w:rsidP="00C00052">
      <w:pPr>
        <w:widowControl w:val="0"/>
        <w:autoSpaceDE w:val="0"/>
        <w:autoSpaceDN w:val="0"/>
        <w:adjustRightInd w:val="0"/>
        <w:rPr>
          <w:szCs w:val="22"/>
          <w:lang w:val="lt-LT"/>
        </w:rPr>
      </w:pPr>
    </w:p>
    <w:p w14:paraId="1BF8B5BA" w14:textId="77777777" w:rsidR="008D14F2" w:rsidRPr="00CD7E52" w:rsidRDefault="008D14F2" w:rsidP="00C00052">
      <w:pPr>
        <w:widowControl w:val="0"/>
        <w:autoSpaceDE w:val="0"/>
        <w:autoSpaceDN w:val="0"/>
        <w:adjustRightInd w:val="0"/>
        <w:rPr>
          <w:szCs w:val="22"/>
          <w:lang w:val="lt-LT"/>
        </w:rPr>
      </w:pPr>
    </w:p>
    <w:p w14:paraId="2F60644F" w14:textId="77777777" w:rsidR="008D14F2" w:rsidRPr="00CD7E52" w:rsidRDefault="008D14F2" w:rsidP="00C00052">
      <w:pPr>
        <w:widowControl w:val="0"/>
        <w:autoSpaceDE w:val="0"/>
        <w:autoSpaceDN w:val="0"/>
        <w:adjustRightInd w:val="0"/>
        <w:rPr>
          <w:szCs w:val="22"/>
          <w:lang w:val="lt-LT"/>
        </w:rPr>
      </w:pPr>
    </w:p>
    <w:p w14:paraId="1FF4E5F8" w14:textId="77777777" w:rsidR="008D14F2" w:rsidRPr="00CD7E52" w:rsidRDefault="008D14F2" w:rsidP="00C00052">
      <w:pPr>
        <w:widowControl w:val="0"/>
        <w:autoSpaceDE w:val="0"/>
        <w:autoSpaceDN w:val="0"/>
        <w:adjustRightInd w:val="0"/>
        <w:rPr>
          <w:szCs w:val="22"/>
          <w:lang w:val="lt-LT"/>
        </w:rPr>
      </w:pPr>
    </w:p>
    <w:p w14:paraId="11272893" w14:textId="77777777" w:rsidR="008D14F2" w:rsidRPr="00CD7E52" w:rsidRDefault="008D14F2" w:rsidP="00C00052">
      <w:pPr>
        <w:widowControl w:val="0"/>
        <w:autoSpaceDE w:val="0"/>
        <w:autoSpaceDN w:val="0"/>
        <w:adjustRightInd w:val="0"/>
        <w:rPr>
          <w:szCs w:val="22"/>
          <w:lang w:val="lt-LT"/>
        </w:rPr>
      </w:pPr>
    </w:p>
    <w:p w14:paraId="264C3BD6" w14:textId="77777777" w:rsidR="008D14F2" w:rsidRPr="00CD7E52" w:rsidRDefault="008D14F2" w:rsidP="00C00052">
      <w:pPr>
        <w:widowControl w:val="0"/>
        <w:autoSpaceDE w:val="0"/>
        <w:autoSpaceDN w:val="0"/>
        <w:adjustRightInd w:val="0"/>
        <w:rPr>
          <w:szCs w:val="22"/>
          <w:lang w:val="lt-LT"/>
        </w:rPr>
      </w:pPr>
    </w:p>
    <w:p w14:paraId="55A04F91" w14:textId="77777777" w:rsidR="008D14F2" w:rsidRPr="00CD7E52" w:rsidRDefault="008D14F2" w:rsidP="00C00052">
      <w:pPr>
        <w:widowControl w:val="0"/>
        <w:autoSpaceDE w:val="0"/>
        <w:autoSpaceDN w:val="0"/>
        <w:adjustRightInd w:val="0"/>
        <w:rPr>
          <w:szCs w:val="22"/>
          <w:lang w:val="lt-LT"/>
        </w:rPr>
      </w:pPr>
    </w:p>
    <w:p w14:paraId="02194AD1" w14:textId="77777777" w:rsidR="008D14F2" w:rsidRPr="00CD7E52" w:rsidRDefault="008D14F2" w:rsidP="00C00052">
      <w:pPr>
        <w:widowControl w:val="0"/>
        <w:autoSpaceDE w:val="0"/>
        <w:autoSpaceDN w:val="0"/>
        <w:adjustRightInd w:val="0"/>
        <w:rPr>
          <w:szCs w:val="22"/>
          <w:lang w:val="lt-LT"/>
        </w:rPr>
      </w:pPr>
    </w:p>
    <w:p w14:paraId="1F57DEF0" w14:textId="77777777" w:rsidR="008D14F2" w:rsidRPr="00CD7E52" w:rsidRDefault="008D14F2" w:rsidP="00C00052">
      <w:pPr>
        <w:widowControl w:val="0"/>
        <w:autoSpaceDE w:val="0"/>
        <w:autoSpaceDN w:val="0"/>
        <w:adjustRightInd w:val="0"/>
        <w:rPr>
          <w:szCs w:val="22"/>
          <w:lang w:val="lt-LT"/>
        </w:rPr>
      </w:pPr>
    </w:p>
    <w:p w14:paraId="09105AB6" w14:textId="77777777" w:rsidR="008D14F2" w:rsidRPr="00CD7E52" w:rsidRDefault="008D14F2" w:rsidP="00C00052">
      <w:pPr>
        <w:widowControl w:val="0"/>
        <w:autoSpaceDE w:val="0"/>
        <w:autoSpaceDN w:val="0"/>
        <w:adjustRightInd w:val="0"/>
        <w:jc w:val="center"/>
        <w:rPr>
          <w:b/>
          <w:snapToGrid/>
          <w:szCs w:val="22"/>
          <w:lang w:val="lt-LT" w:eastAsia="lt-LT"/>
        </w:rPr>
      </w:pPr>
      <w:r w:rsidRPr="00CD7E52">
        <w:rPr>
          <w:b/>
          <w:szCs w:val="22"/>
          <w:lang w:val="lt-LT"/>
        </w:rPr>
        <w:t>B. PAKUOTĖS LAPELIS</w:t>
      </w:r>
    </w:p>
    <w:p w14:paraId="5374A11A" w14:textId="77777777" w:rsidR="00776FBE" w:rsidRPr="00CD7E52" w:rsidRDefault="00776FBE" w:rsidP="00C00052">
      <w:pPr>
        <w:widowControl w:val="0"/>
        <w:tabs>
          <w:tab w:val="clear" w:pos="567"/>
        </w:tabs>
        <w:spacing w:line="240" w:lineRule="auto"/>
        <w:ind w:left="567" w:hanging="567"/>
        <w:jc w:val="center"/>
        <w:rPr>
          <w:szCs w:val="22"/>
          <w:lang w:val="lt-LT"/>
        </w:rPr>
      </w:pPr>
      <w:r w:rsidRPr="00CD7E52">
        <w:rPr>
          <w:b/>
          <w:szCs w:val="22"/>
          <w:lang w:val="lt-LT"/>
        </w:rPr>
        <w:br w:type="page"/>
      </w:r>
      <w:r w:rsidRPr="00CD7E52">
        <w:rPr>
          <w:b/>
          <w:szCs w:val="22"/>
          <w:lang w:val="lt-LT"/>
        </w:rPr>
        <w:lastRenderedPageBreak/>
        <w:t xml:space="preserve">Pakuotės lapelis: informacija </w:t>
      </w:r>
      <w:r w:rsidR="007A2F87">
        <w:rPr>
          <w:b/>
          <w:szCs w:val="22"/>
          <w:lang w:val="lt-LT"/>
        </w:rPr>
        <w:t>vartotojui</w:t>
      </w:r>
    </w:p>
    <w:p w14:paraId="3C5549FF" w14:textId="77777777" w:rsidR="00177C0B" w:rsidRPr="00CD7E52" w:rsidRDefault="00177C0B" w:rsidP="00C00052">
      <w:pPr>
        <w:widowControl w:val="0"/>
        <w:tabs>
          <w:tab w:val="clear" w:pos="567"/>
        </w:tabs>
        <w:spacing w:line="240" w:lineRule="auto"/>
        <w:ind w:left="567" w:hanging="567"/>
        <w:jc w:val="center"/>
        <w:rPr>
          <w:b/>
          <w:szCs w:val="22"/>
          <w:lang w:val="lt-LT"/>
        </w:rPr>
      </w:pPr>
    </w:p>
    <w:p w14:paraId="2F049687" w14:textId="77777777" w:rsidR="00776FBE" w:rsidRPr="00CD7E52" w:rsidRDefault="005A4193" w:rsidP="00C00052">
      <w:pPr>
        <w:widowControl w:val="0"/>
        <w:tabs>
          <w:tab w:val="clear" w:pos="567"/>
        </w:tabs>
        <w:autoSpaceDE w:val="0"/>
        <w:autoSpaceDN w:val="0"/>
        <w:adjustRightInd w:val="0"/>
        <w:spacing w:line="240" w:lineRule="auto"/>
        <w:jc w:val="center"/>
        <w:rPr>
          <w:b/>
          <w:color w:val="000000"/>
          <w:szCs w:val="22"/>
          <w:lang w:val="lt-LT"/>
        </w:rPr>
      </w:pPr>
      <w:r w:rsidRPr="00CD7E52">
        <w:rPr>
          <w:b/>
          <w:color w:val="000000"/>
          <w:szCs w:val="22"/>
          <w:lang w:val="lt-LT"/>
        </w:rPr>
        <w:t>Apremilast STADA</w:t>
      </w:r>
      <w:r w:rsidR="00776FBE" w:rsidRPr="00CD7E52">
        <w:rPr>
          <w:b/>
          <w:color w:val="000000"/>
          <w:szCs w:val="22"/>
          <w:lang w:val="lt-LT"/>
        </w:rPr>
        <w:t xml:space="preserve"> </w:t>
      </w:r>
      <w:r w:rsidR="004139CA" w:rsidRPr="00CD7E52">
        <w:rPr>
          <w:b/>
          <w:color w:val="000000"/>
          <w:szCs w:val="22"/>
          <w:lang w:val="lt-LT"/>
        </w:rPr>
        <w:t>10</w:t>
      </w:r>
      <w:r w:rsidR="00A87582" w:rsidRPr="00CD7E52">
        <w:rPr>
          <w:b/>
          <w:color w:val="000000"/>
          <w:szCs w:val="22"/>
          <w:lang w:val="lt-LT"/>
        </w:rPr>
        <w:t> mg</w:t>
      </w:r>
      <w:r w:rsidR="00776FBE" w:rsidRPr="00CD7E52">
        <w:rPr>
          <w:b/>
          <w:color w:val="000000"/>
          <w:szCs w:val="22"/>
          <w:lang w:val="lt-LT"/>
        </w:rPr>
        <w:t xml:space="preserve"> plėvele dengtos tabletės</w:t>
      </w:r>
    </w:p>
    <w:p w14:paraId="5E0F792E" w14:textId="77777777" w:rsidR="00776FBE" w:rsidRPr="00CD7E52" w:rsidRDefault="005A4193" w:rsidP="00C00052">
      <w:pPr>
        <w:widowControl w:val="0"/>
        <w:tabs>
          <w:tab w:val="clear" w:pos="567"/>
        </w:tabs>
        <w:autoSpaceDE w:val="0"/>
        <w:autoSpaceDN w:val="0"/>
        <w:adjustRightInd w:val="0"/>
        <w:spacing w:line="240" w:lineRule="auto"/>
        <w:jc w:val="center"/>
        <w:rPr>
          <w:b/>
          <w:color w:val="000000"/>
          <w:szCs w:val="22"/>
          <w:lang w:val="lt-LT"/>
        </w:rPr>
      </w:pPr>
      <w:r w:rsidRPr="00CD7E52">
        <w:rPr>
          <w:b/>
          <w:color w:val="000000"/>
          <w:szCs w:val="22"/>
          <w:lang w:val="lt-LT"/>
        </w:rPr>
        <w:t>Apremilast STADA</w:t>
      </w:r>
      <w:r w:rsidR="00776FBE" w:rsidRPr="00CD7E52">
        <w:rPr>
          <w:b/>
          <w:color w:val="000000"/>
          <w:szCs w:val="22"/>
          <w:lang w:val="lt-LT"/>
        </w:rPr>
        <w:t xml:space="preserve"> </w:t>
      </w:r>
      <w:r w:rsidR="004139CA" w:rsidRPr="00CD7E52">
        <w:rPr>
          <w:b/>
          <w:color w:val="000000"/>
          <w:szCs w:val="22"/>
          <w:lang w:val="lt-LT"/>
        </w:rPr>
        <w:t>2</w:t>
      </w:r>
      <w:r w:rsidR="00776FBE" w:rsidRPr="00CD7E52">
        <w:rPr>
          <w:b/>
          <w:color w:val="000000"/>
          <w:szCs w:val="22"/>
          <w:lang w:val="lt-LT"/>
        </w:rPr>
        <w:t>0</w:t>
      </w:r>
      <w:r w:rsidR="00A87582" w:rsidRPr="00CD7E52">
        <w:rPr>
          <w:b/>
          <w:color w:val="000000"/>
          <w:szCs w:val="22"/>
          <w:lang w:val="lt-LT"/>
        </w:rPr>
        <w:t> mg</w:t>
      </w:r>
      <w:r w:rsidR="00776FBE" w:rsidRPr="00CD7E52">
        <w:rPr>
          <w:b/>
          <w:color w:val="000000"/>
          <w:szCs w:val="22"/>
          <w:lang w:val="lt-LT"/>
        </w:rPr>
        <w:t xml:space="preserve"> plėvele dengtos tabletės</w:t>
      </w:r>
    </w:p>
    <w:p w14:paraId="12A8C623" w14:textId="77777777" w:rsidR="00776FBE" w:rsidRPr="00CD7E52" w:rsidRDefault="005A4193" w:rsidP="00C00052">
      <w:pPr>
        <w:widowControl w:val="0"/>
        <w:tabs>
          <w:tab w:val="clear" w:pos="567"/>
        </w:tabs>
        <w:spacing w:line="240" w:lineRule="auto"/>
        <w:ind w:left="567" w:hanging="567"/>
        <w:jc w:val="center"/>
        <w:rPr>
          <w:szCs w:val="22"/>
          <w:lang w:val="lt-LT"/>
        </w:rPr>
      </w:pPr>
      <w:r w:rsidRPr="00CD7E52">
        <w:rPr>
          <w:b/>
          <w:szCs w:val="22"/>
          <w:lang w:val="lt-LT"/>
        </w:rPr>
        <w:t>Apremilast STADA</w:t>
      </w:r>
      <w:r w:rsidR="00776FBE" w:rsidRPr="00CD7E52">
        <w:rPr>
          <w:b/>
          <w:szCs w:val="22"/>
          <w:lang w:val="lt-LT"/>
        </w:rPr>
        <w:t xml:space="preserve"> </w:t>
      </w:r>
      <w:r w:rsidR="004139CA" w:rsidRPr="00CD7E52">
        <w:rPr>
          <w:b/>
          <w:szCs w:val="22"/>
          <w:lang w:val="lt-LT"/>
        </w:rPr>
        <w:t>3</w:t>
      </w:r>
      <w:r w:rsidR="00776FBE" w:rsidRPr="00CD7E52">
        <w:rPr>
          <w:b/>
          <w:szCs w:val="22"/>
          <w:lang w:val="lt-LT"/>
        </w:rPr>
        <w:t>0</w:t>
      </w:r>
      <w:r w:rsidR="00A87582" w:rsidRPr="00CD7E52">
        <w:rPr>
          <w:b/>
          <w:szCs w:val="22"/>
          <w:lang w:val="lt-LT"/>
        </w:rPr>
        <w:t> mg</w:t>
      </w:r>
      <w:r w:rsidR="00776FBE" w:rsidRPr="00CD7E52">
        <w:rPr>
          <w:b/>
          <w:szCs w:val="22"/>
          <w:lang w:val="lt-LT"/>
        </w:rPr>
        <w:t xml:space="preserve"> plėvele dengtos tabletės</w:t>
      </w:r>
    </w:p>
    <w:p w14:paraId="6FC5D9D2" w14:textId="77777777" w:rsidR="00776FBE" w:rsidRPr="00CD7E52" w:rsidRDefault="00064C3A" w:rsidP="00C00052">
      <w:pPr>
        <w:widowControl w:val="0"/>
        <w:tabs>
          <w:tab w:val="clear" w:pos="567"/>
        </w:tabs>
        <w:spacing w:line="240" w:lineRule="auto"/>
        <w:ind w:left="567" w:hanging="567"/>
        <w:jc w:val="center"/>
        <w:rPr>
          <w:szCs w:val="22"/>
          <w:lang w:val="lt-LT"/>
        </w:rPr>
      </w:pPr>
      <w:r w:rsidRPr="00CD7E52">
        <w:rPr>
          <w:szCs w:val="22"/>
          <w:lang w:val="lt-LT"/>
        </w:rPr>
        <w:t>apremilastas</w:t>
      </w:r>
    </w:p>
    <w:p w14:paraId="14423478" w14:textId="77777777" w:rsidR="00776FBE" w:rsidRPr="00CD7E52" w:rsidRDefault="00776FBE" w:rsidP="00C00052">
      <w:pPr>
        <w:widowControl w:val="0"/>
        <w:tabs>
          <w:tab w:val="clear" w:pos="567"/>
        </w:tabs>
        <w:spacing w:line="240" w:lineRule="auto"/>
        <w:rPr>
          <w:szCs w:val="22"/>
          <w:lang w:val="lt-LT"/>
        </w:rPr>
      </w:pPr>
    </w:p>
    <w:p w14:paraId="4AE397B7" w14:textId="77777777" w:rsidR="00776FBE" w:rsidRPr="00CD7E52" w:rsidRDefault="00776FBE" w:rsidP="00C00052">
      <w:pPr>
        <w:widowControl w:val="0"/>
        <w:tabs>
          <w:tab w:val="clear" w:pos="567"/>
        </w:tabs>
        <w:autoSpaceDE w:val="0"/>
        <w:autoSpaceDN w:val="0"/>
        <w:adjustRightInd w:val="0"/>
        <w:spacing w:line="240" w:lineRule="auto"/>
        <w:rPr>
          <w:rFonts w:eastAsia="TimesNewRoman,Bold"/>
          <w:b/>
          <w:szCs w:val="22"/>
          <w:lang w:val="lt-LT"/>
        </w:rPr>
      </w:pPr>
      <w:r w:rsidRPr="00CD7E52">
        <w:rPr>
          <w:rFonts w:eastAsia="TimesNewRoman,Bold"/>
          <w:b/>
          <w:szCs w:val="22"/>
          <w:lang w:val="lt-LT"/>
        </w:rPr>
        <w:t>Atidžiai perskaitykite visą šį lapelį, prieš pradėdami vartoti vaistą, nes jame pateikiama Jums svarbi informacija.</w:t>
      </w:r>
    </w:p>
    <w:p w14:paraId="18402332" w14:textId="77777777" w:rsidR="00776FBE" w:rsidRPr="00CD7E52" w:rsidRDefault="00776FBE" w:rsidP="00C00052">
      <w:pPr>
        <w:widowControl w:val="0"/>
        <w:autoSpaceDE w:val="0"/>
        <w:autoSpaceDN w:val="0"/>
        <w:adjustRightInd w:val="0"/>
        <w:spacing w:line="240" w:lineRule="auto"/>
        <w:rPr>
          <w:rFonts w:eastAsia="TimesNewRoman,Bold"/>
          <w:szCs w:val="22"/>
          <w:lang w:val="lt-LT"/>
        </w:rPr>
      </w:pPr>
      <w:r w:rsidRPr="00CD7E52">
        <w:rPr>
          <w:rFonts w:eastAsia="TimesNewRoman,Bold"/>
          <w:snapToGrid/>
          <w:szCs w:val="22"/>
          <w:lang w:val="lt-LT"/>
        </w:rPr>
        <w:t>-</w:t>
      </w:r>
      <w:r w:rsidRPr="00CD7E52">
        <w:rPr>
          <w:rFonts w:eastAsia="TimesNewRoman,Bold"/>
          <w:snapToGrid/>
          <w:szCs w:val="22"/>
          <w:lang w:val="lt-LT"/>
        </w:rPr>
        <w:tab/>
      </w:r>
      <w:r w:rsidRPr="00CD7E52">
        <w:rPr>
          <w:rFonts w:eastAsia="TimesNewRoman,Bold"/>
          <w:szCs w:val="22"/>
          <w:lang w:val="lt-LT"/>
        </w:rPr>
        <w:t>Neišmeskite šio lapelio, nes vėl gali prireikti jį perskaityti.</w:t>
      </w:r>
    </w:p>
    <w:p w14:paraId="6F92F53A" w14:textId="77777777" w:rsidR="00776FBE" w:rsidRPr="00CD7E52" w:rsidRDefault="00776FBE" w:rsidP="00C00052">
      <w:pPr>
        <w:widowControl w:val="0"/>
        <w:autoSpaceDE w:val="0"/>
        <w:autoSpaceDN w:val="0"/>
        <w:adjustRightInd w:val="0"/>
        <w:spacing w:line="240" w:lineRule="auto"/>
        <w:rPr>
          <w:rFonts w:eastAsia="TimesNewRoman,Bold"/>
          <w:szCs w:val="22"/>
          <w:lang w:val="lt-LT"/>
        </w:rPr>
      </w:pPr>
      <w:r w:rsidRPr="00CD7E52">
        <w:rPr>
          <w:rFonts w:eastAsia="TimesNewRoman,Bold"/>
          <w:snapToGrid/>
          <w:szCs w:val="22"/>
          <w:lang w:val="lt-LT"/>
        </w:rPr>
        <w:t>-</w:t>
      </w:r>
      <w:r w:rsidRPr="00CD7E52">
        <w:rPr>
          <w:rFonts w:eastAsia="TimesNewRoman,Bold"/>
          <w:snapToGrid/>
          <w:szCs w:val="22"/>
          <w:lang w:val="lt-LT"/>
        </w:rPr>
        <w:tab/>
      </w:r>
      <w:r w:rsidRPr="00CD7E52">
        <w:rPr>
          <w:rFonts w:eastAsia="TimesNewRoman,Bold"/>
          <w:szCs w:val="22"/>
          <w:lang w:val="lt-LT"/>
        </w:rPr>
        <w:t xml:space="preserve">Jeigu kiltų daugiau klausimų, kreipkitės į </w:t>
      </w:r>
      <w:r w:rsidR="00FB2E50" w:rsidRPr="00CD7E52">
        <w:rPr>
          <w:rFonts w:eastAsia="TimesNewRoman,Bold"/>
          <w:szCs w:val="22"/>
          <w:lang w:val="lt-LT"/>
        </w:rPr>
        <w:t>gydytoją, vaistininką arba slaugytoją</w:t>
      </w:r>
      <w:r w:rsidRPr="00CD7E52">
        <w:rPr>
          <w:rFonts w:eastAsia="TimesNewRoman,Bold"/>
          <w:szCs w:val="22"/>
          <w:lang w:val="lt-LT"/>
        </w:rPr>
        <w:t>.</w:t>
      </w:r>
    </w:p>
    <w:p w14:paraId="73D69785" w14:textId="77777777" w:rsidR="00776FBE" w:rsidRPr="00CD7E52" w:rsidRDefault="00776FBE" w:rsidP="00C00052">
      <w:pPr>
        <w:widowControl w:val="0"/>
        <w:autoSpaceDE w:val="0"/>
        <w:autoSpaceDN w:val="0"/>
        <w:adjustRightInd w:val="0"/>
        <w:spacing w:line="240" w:lineRule="auto"/>
        <w:ind w:left="567" w:hanging="567"/>
        <w:rPr>
          <w:rFonts w:eastAsia="TimesNewRoman,Bold"/>
          <w:szCs w:val="22"/>
          <w:lang w:val="lt-LT"/>
        </w:rPr>
      </w:pPr>
      <w:r w:rsidRPr="00CD7E52">
        <w:rPr>
          <w:rFonts w:eastAsia="TimesNewRoman,Bold"/>
          <w:snapToGrid/>
          <w:szCs w:val="22"/>
          <w:lang w:val="lt-LT"/>
        </w:rPr>
        <w:t>-</w:t>
      </w:r>
      <w:r w:rsidRPr="00CD7E52">
        <w:rPr>
          <w:rFonts w:eastAsia="TimesNewRoman,Bold"/>
          <w:snapToGrid/>
          <w:szCs w:val="22"/>
          <w:lang w:val="lt-LT"/>
        </w:rPr>
        <w:tab/>
      </w:r>
      <w:r w:rsidRPr="00CD7E52">
        <w:rPr>
          <w:rFonts w:eastAsia="TimesNewRoman,Bold"/>
          <w:szCs w:val="22"/>
          <w:lang w:val="lt-LT"/>
        </w:rPr>
        <w:t>Šis vaistas skirtas tik Jums, todėl kitiems žmonėms jo duoti negalima. Vaistas gali jiems pakenkti (net tiems, kurių ligos požymiai yra tokie patys kaip Jūsų).</w:t>
      </w:r>
    </w:p>
    <w:p w14:paraId="0A7FC76D" w14:textId="77777777" w:rsidR="00776FBE" w:rsidRPr="00CD7E52" w:rsidRDefault="00776FBE" w:rsidP="00C00052">
      <w:pPr>
        <w:widowControl w:val="0"/>
        <w:autoSpaceDE w:val="0"/>
        <w:autoSpaceDN w:val="0"/>
        <w:adjustRightInd w:val="0"/>
        <w:spacing w:line="240" w:lineRule="auto"/>
        <w:ind w:left="567" w:hanging="567"/>
        <w:rPr>
          <w:rFonts w:eastAsia="TimesNewRoman,Bold"/>
          <w:szCs w:val="22"/>
          <w:lang w:val="lt-LT"/>
        </w:rPr>
      </w:pPr>
      <w:r w:rsidRPr="00CD7E52">
        <w:rPr>
          <w:rFonts w:eastAsia="TimesNewRoman,Bold"/>
          <w:snapToGrid/>
          <w:szCs w:val="22"/>
          <w:lang w:val="lt-LT"/>
        </w:rPr>
        <w:t>-</w:t>
      </w:r>
      <w:r w:rsidRPr="00CD7E52">
        <w:rPr>
          <w:rFonts w:eastAsia="TimesNewRoman,Bold"/>
          <w:snapToGrid/>
          <w:szCs w:val="22"/>
          <w:lang w:val="lt-LT"/>
        </w:rPr>
        <w:tab/>
      </w:r>
      <w:r w:rsidRPr="00CD7E52">
        <w:rPr>
          <w:rFonts w:eastAsia="TimesNewRoman,Bold"/>
          <w:szCs w:val="22"/>
          <w:lang w:val="lt-LT"/>
        </w:rPr>
        <w:t xml:space="preserve">Jeigu pasireiškė šalutinis poveikis (net jeigu jis šiame lapelyje nenurodytas), kreipkitės į </w:t>
      </w:r>
      <w:r w:rsidR="00FB2E50" w:rsidRPr="00CD7E52">
        <w:rPr>
          <w:rFonts w:eastAsia="TimesNewRoman,Bold"/>
          <w:szCs w:val="22"/>
          <w:lang w:val="lt-LT"/>
        </w:rPr>
        <w:t>gydytoją, vaistininką arba slaugytoją</w:t>
      </w:r>
      <w:r w:rsidRPr="00CD7E52">
        <w:rPr>
          <w:rFonts w:eastAsia="TimesNewRoman,Bold"/>
          <w:szCs w:val="22"/>
          <w:lang w:val="lt-LT"/>
        </w:rPr>
        <w:t>. Žr.</w:t>
      </w:r>
      <w:r w:rsidRPr="00CD7E52">
        <w:rPr>
          <w:rFonts w:eastAsia="TimesNewRoman,Bold"/>
          <w:snapToGrid/>
          <w:szCs w:val="22"/>
          <w:lang w:val="lt-LT"/>
        </w:rPr>
        <w:t> </w:t>
      </w:r>
      <w:r w:rsidRPr="00CD7E52">
        <w:rPr>
          <w:rFonts w:eastAsia="TimesNewRoman,Bold"/>
          <w:szCs w:val="22"/>
          <w:lang w:val="lt-LT"/>
        </w:rPr>
        <w:t>4 skyrių.</w:t>
      </w:r>
    </w:p>
    <w:p w14:paraId="631248AF" w14:textId="77777777" w:rsidR="00776FBE" w:rsidRPr="00CD7E52" w:rsidRDefault="00776FBE" w:rsidP="00C00052">
      <w:pPr>
        <w:widowControl w:val="0"/>
        <w:autoSpaceDE w:val="0"/>
        <w:autoSpaceDN w:val="0"/>
        <w:adjustRightInd w:val="0"/>
        <w:spacing w:line="240" w:lineRule="auto"/>
        <w:ind w:left="567" w:hanging="567"/>
        <w:rPr>
          <w:szCs w:val="22"/>
          <w:lang w:val="lt-LT"/>
        </w:rPr>
      </w:pPr>
    </w:p>
    <w:p w14:paraId="4F7B423B" w14:textId="77777777" w:rsidR="00776FBE" w:rsidRPr="00CD7E52" w:rsidRDefault="00776FBE" w:rsidP="00C00052">
      <w:pPr>
        <w:widowControl w:val="0"/>
        <w:tabs>
          <w:tab w:val="clear" w:pos="567"/>
        </w:tabs>
        <w:spacing w:line="240" w:lineRule="auto"/>
        <w:ind w:left="567" w:hanging="567"/>
        <w:rPr>
          <w:szCs w:val="22"/>
          <w:lang w:val="lt-LT"/>
        </w:rPr>
      </w:pPr>
      <w:r w:rsidRPr="00CD7E52">
        <w:rPr>
          <w:b/>
          <w:szCs w:val="22"/>
          <w:lang w:val="lt-LT"/>
        </w:rPr>
        <w:t>Apie ką rašoma šiame lapelyje?</w:t>
      </w:r>
    </w:p>
    <w:p w14:paraId="46A8B769" w14:textId="77777777" w:rsidR="00776FBE" w:rsidRPr="00CD7E52" w:rsidRDefault="00776FBE" w:rsidP="00C00052">
      <w:pPr>
        <w:widowControl w:val="0"/>
        <w:tabs>
          <w:tab w:val="clear" w:pos="567"/>
        </w:tabs>
        <w:spacing w:line="240" w:lineRule="auto"/>
        <w:rPr>
          <w:szCs w:val="22"/>
          <w:lang w:val="lt-LT"/>
        </w:rPr>
      </w:pPr>
    </w:p>
    <w:p w14:paraId="51911926" w14:textId="77777777" w:rsidR="00776FBE" w:rsidRPr="00CD7E52" w:rsidRDefault="00776FBE" w:rsidP="00C00052">
      <w:pPr>
        <w:widowControl w:val="0"/>
        <w:tabs>
          <w:tab w:val="clear" w:pos="567"/>
        </w:tabs>
        <w:spacing w:line="240" w:lineRule="auto"/>
        <w:ind w:left="567" w:hanging="567"/>
        <w:rPr>
          <w:szCs w:val="22"/>
          <w:lang w:val="lt-LT"/>
        </w:rPr>
      </w:pPr>
      <w:r w:rsidRPr="00CD7E52">
        <w:rPr>
          <w:snapToGrid/>
          <w:szCs w:val="22"/>
          <w:lang w:val="lt-LT"/>
        </w:rPr>
        <w:t>1.</w:t>
      </w:r>
      <w:r w:rsidRPr="00CD7E52">
        <w:rPr>
          <w:snapToGrid/>
          <w:szCs w:val="22"/>
          <w:lang w:val="lt-LT"/>
        </w:rPr>
        <w:tab/>
      </w:r>
      <w:r w:rsidRPr="00CD7E52">
        <w:rPr>
          <w:szCs w:val="22"/>
          <w:lang w:val="lt-LT"/>
        </w:rPr>
        <w:t xml:space="preserve">Kas yra </w:t>
      </w:r>
      <w:r w:rsidR="005A4193" w:rsidRPr="00CD7E52">
        <w:rPr>
          <w:szCs w:val="22"/>
          <w:lang w:val="lt-LT"/>
        </w:rPr>
        <w:t>Apremilast STADA</w:t>
      </w:r>
      <w:r w:rsidRPr="00CD7E52">
        <w:rPr>
          <w:szCs w:val="22"/>
          <w:lang w:val="lt-LT"/>
        </w:rPr>
        <w:t xml:space="preserve"> ir kam jis vartojamas</w:t>
      </w:r>
    </w:p>
    <w:p w14:paraId="467EB71F" w14:textId="77777777" w:rsidR="00776FBE" w:rsidRPr="00CD7E52" w:rsidRDefault="00776FBE" w:rsidP="00C00052">
      <w:pPr>
        <w:widowControl w:val="0"/>
        <w:tabs>
          <w:tab w:val="clear" w:pos="567"/>
        </w:tabs>
        <w:spacing w:line="240" w:lineRule="auto"/>
        <w:ind w:left="567" w:hanging="567"/>
        <w:rPr>
          <w:szCs w:val="22"/>
          <w:lang w:val="lt-LT"/>
        </w:rPr>
      </w:pPr>
      <w:r w:rsidRPr="00CD7E52">
        <w:rPr>
          <w:snapToGrid/>
          <w:szCs w:val="22"/>
          <w:lang w:val="lt-LT"/>
        </w:rPr>
        <w:t>2.</w:t>
      </w:r>
      <w:r w:rsidRPr="00CD7E52">
        <w:rPr>
          <w:snapToGrid/>
          <w:szCs w:val="22"/>
          <w:lang w:val="lt-LT"/>
        </w:rPr>
        <w:tab/>
      </w:r>
      <w:r w:rsidRPr="00CD7E52">
        <w:rPr>
          <w:szCs w:val="22"/>
          <w:lang w:val="lt-LT"/>
        </w:rPr>
        <w:t xml:space="preserve">Kas žinotina prieš vartojant </w:t>
      </w:r>
      <w:r w:rsidR="005A4193" w:rsidRPr="00CD7E52">
        <w:rPr>
          <w:szCs w:val="22"/>
          <w:lang w:val="lt-LT"/>
        </w:rPr>
        <w:t>Apremilast STADA</w:t>
      </w:r>
    </w:p>
    <w:p w14:paraId="064404D2" w14:textId="77777777" w:rsidR="00776FBE" w:rsidRPr="00CD7E52" w:rsidRDefault="00776FBE" w:rsidP="00C00052">
      <w:pPr>
        <w:widowControl w:val="0"/>
        <w:tabs>
          <w:tab w:val="clear" w:pos="567"/>
        </w:tabs>
        <w:spacing w:line="240" w:lineRule="auto"/>
        <w:ind w:left="567" w:hanging="567"/>
        <w:rPr>
          <w:szCs w:val="22"/>
          <w:lang w:val="lt-LT"/>
        </w:rPr>
      </w:pPr>
      <w:r w:rsidRPr="00CD7E52">
        <w:rPr>
          <w:snapToGrid/>
          <w:szCs w:val="22"/>
          <w:lang w:val="lt-LT"/>
        </w:rPr>
        <w:t>3.</w:t>
      </w:r>
      <w:r w:rsidRPr="00CD7E52">
        <w:rPr>
          <w:snapToGrid/>
          <w:szCs w:val="22"/>
          <w:lang w:val="lt-LT"/>
        </w:rPr>
        <w:tab/>
      </w:r>
      <w:r w:rsidRPr="00CD7E52">
        <w:rPr>
          <w:szCs w:val="22"/>
          <w:lang w:val="lt-LT"/>
        </w:rPr>
        <w:t xml:space="preserve">Kaip vartoti </w:t>
      </w:r>
      <w:r w:rsidR="005A4193" w:rsidRPr="00CD7E52">
        <w:rPr>
          <w:szCs w:val="22"/>
          <w:lang w:val="lt-LT"/>
        </w:rPr>
        <w:t>Apremilast STADA</w:t>
      </w:r>
    </w:p>
    <w:p w14:paraId="7A79969F" w14:textId="77777777" w:rsidR="00776FBE" w:rsidRPr="00CD7E52" w:rsidRDefault="00776FBE" w:rsidP="00C00052">
      <w:pPr>
        <w:widowControl w:val="0"/>
        <w:tabs>
          <w:tab w:val="clear" w:pos="567"/>
        </w:tabs>
        <w:spacing w:line="240" w:lineRule="auto"/>
        <w:ind w:left="567" w:hanging="567"/>
        <w:rPr>
          <w:szCs w:val="22"/>
          <w:lang w:val="lt-LT"/>
        </w:rPr>
      </w:pPr>
      <w:r w:rsidRPr="00CD7E52">
        <w:rPr>
          <w:snapToGrid/>
          <w:szCs w:val="22"/>
          <w:lang w:val="lt-LT"/>
        </w:rPr>
        <w:t>4.</w:t>
      </w:r>
      <w:r w:rsidRPr="00CD7E52">
        <w:rPr>
          <w:snapToGrid/>
          <w:szCs w:val="22"/>
          <w:lang w:val="lt-LT"/>
        </w:rPr>
        <w:tab/>
      </w:r>
      <w:r w:rsidRPr="00CD7E52">
        <w:rPr>
          <w:szCs w:val="22"/>
          <w:lang w:val="lt-LT"/>
        </w:rPr>
        <w:t>Galimas šalutinis poveikis</w:t>
      </w:r>
    </w:p>
    <w:p w14:paraId="259443A8" w14:textId="77777777" w:rsidR="00776FBE" w:rsidRPr="00CD7E52" w:rsidRDefault="00776FBE" w:rsidP="00C00052">
      <w:pPr>
        <w:widowControl w:val="0"/>
        <w:tabs>
          <w:tab w:val="clear" w:pos="567"/>
        </w:tabs>
        <w:spacing w:line="240" w:lineRule="auto"/>
        <w:ind w:left="567" w:hanging="567"/>
        <w:rPr>
          <w:szCs w:val="22"/>
          <w:lang w:val="lt-LT"/>
        </w:rPr>
      </w:pPr>
      <w:r w:rsidRPr="00CD7E52">
        <w:rPr>
          <w:snapToGrid/>
          <w:szCs w:val="22"/>
          <w:lang w:val="lt-LT"/>
        </w:rPr>
        <w:t>5.</w:t>
      </w:r>
      <w:r w:rsidRPr="00CD7E52">
        <w:rPr>
          <w:snapToGrid/>
          <w:szCs w:val="22"/>
          <w:lang w:val="lt-LT"/>
        </w:rPr>
        <w:tab/>
      </w:r>
      <w:r w:rsidRPr="00CD7E52">
        <w:rPr>
          <w:szCs w:val="22"/>
          <w:lang w:val="lt-LT"/>
        </w:rPr>
        <w:t xml:space="preserve">Kaip laikyti </w:t>
      </w:r>
      <w:r w:rsidR="005A4193" w:rsidRPr="00CD7E52">
        <w:rPr>
          <w:szCs w:val="22"/>
          <w:lang w:val="lt-LT"/>
        </w:rPr>
        <w:t>Apremilast STADA</w:t>
      </w:r>
    </w:p>
    <w:p w14:paraId="43F43B1B" w14:textId="77777777" w:rsidR="00776FBE" w:rsidRPr="00CD7E52" w:rsidRDefault="00776FBE" w:rsidP="00C00052">
      <w:pPr>
        <w:widowControl w:val="0"/>
        <w:tabs>
          <w:tab w:val="clear" w:pos="567"/>
        </w:tabs>
        <w:spacing w:line="240" w:lineRule="auto"/>
        <w:ind w:left="567" w:hanging="567"/>
        <w:rPr>
          <w:szCs w:val="22"/>
          <w:lang w:val="lt-LT"/>
        </w:rPr>
      </w:pPr>
      <w:r w:rsidRPr="00CD7E52">
        <w:rPr>
          <w:snapToGrid/>
          <w:szCs w:val="22"/>
          <w:lang w:val="lt-LT"/>
        </w:rPr>
        <w:t>6.</w:t>
      </w:r>
      <w:r w:rsidRPr="00CD7E52">
        <w:rPr>
          <w:snapToGrid/>
          <w:szCs w:val="22"/>
          <w:lang w:val="lt-LT"/>
        </w:rPr>
        <w:tab/>
      </w:r>
      <w:r w:rsidRPr="00CD7E52">
        <w:rPr>
          <w:szCs w:val="22"/>
          <w:lang w:val="lt-LT"/>
        </w:rPr>
        <w:t>Pakuotės turinys ir kita informacija</w:t>
      </w:r>
    </w:p>
    <w:p w14:paraId="0B8C41B2" w14:textId="77777777" w:rsidR="00776FBE" w:rsidRPr="00CD7E52" w:rsidRDefault="00776FBE" w:rsidP="00C00052">
      <w:pPr>
        <w:widowControl w:val="0"/>
        <w:numPr>
          <w:ilvl w:val="12"/>
          <w:numId w:val="0"/>
        </w:numPr>
        <w:tabs>
          <w:tab w:val="clear" w:pos="567"/>
        </w:tabs>
        <w:spacing w:line="240" w:lineRule="auto"/>
        <w:rPr>
          <w:szCs w:val="22"/>
          <w:lang w:val="lt-LT"/>
        </w:rPr>
      </w:pPr>
    </w:p>
    <w:p w14:paraId="1EC0F6B3" w14:textId="77777777" w:rsidR="00776FBE" w:rsidRPr="00CD7E52" w:rsidRDefault="00776FBE" w:rsidP="00C00052">
      <w:pPr>
        <w:widowControl w:val="0"/>
        <w:numPr>
          <w:ilvl w:val="12"/>
          <w:numId w:val="0"/>
        </w:numPr>
        <w:tabs>
          <w:tab w:val="clear" w:pos="567"/>
        </w:tabs>
        <w:spacing w:line="240" w:lineRule="auto"/>
        <w:rPr>
          <w:szCs w:val="22"/>
          <w:lang w:val="lt-LT"/>
        </w:rPr>
      </w:pPr>
    </w:p>
    <w:p w14:paraId="6BC4EADF" w14:textId="77777777" w:rsidR="00776FBE" w:rsidRPr="00CD7E52" w:rsidRDefault="00776FBE" w:rsidP="00C00052">
      <w:pPr>
        <w:widowControl w:val="0"/>
        <w:numPr>
          <w:ilvl w:val="12"/>
          <w:numId w:val="0"/>
        </w:numPr>
        <w:tabs>
          <w:tab w:val="clear" w:pos="567"/>
        </w:tabs>
        <w:spacing w:line="240" w:lineRule="auto"/>
        <w:ind w:left="567" w:hanging="567"/>
        <w:outlineLvl w:val="0"/>
        <w:rPr>
          <w:caps/>
          <w:szCs w:val="22"/>
          <w:lang w:val="lt-LT"/>
        </w:rPr>
      </w:pPr>
      <w:r w:rsidRPr="00CD7E52">
        <w:rPr>
          <w:b/>
          <w:snapToGrid/>
          <w:szCs w:val="22"/>
          <w:lang w:val="lt-LT"/>
        </w:rPr>
        <w:t>1.</w:t>
      </w:r>
      <w:r w:rsidRPr="00CD7E52">
        <w:rPr>
          <w:b/>
          <w:snapToGrid/>
          <w:szCs w:val="22"/>
          <w:lang w:val="lt-LT"/>
        </w:rPr>
        <w:tab/>
      </w:r>
      <w:r w:rsidRPr="00CD7E52">
        <w:rPr>
          <w:b/>
          <w:szCs w:val="22"/>
          <w:lang w:val="lt-LT"/>
        </w:rPr>
        <w:t xml:space="preserve">Kas yra </w:t>
      </w:r>
      <w:r w:rsidR="005A4193" w:rsidRPr="00CD7E52">
        <w:rPr>
          <w:b/>
          <w:szCs w:val="22"/>
          <w:lang w:val="lt-LT"/>
        </w:rPr>
        <w:t>Apremilast STADA</w:t>
      </w:r>
      <w:r w:rsidRPr="00CD7E52">
        <w:rPr>
          <w:b/>
          <w:szCs w:val="22"/>
          <w:lang w:val="lt-LT"/>
        </w:rPr>
        <w:t xml:space="preserve"> ir kam jis vartojamas</w:t>
      </w:r>
    </w:p>
    <w:p w14:paraId="7C734F8A" w14:textId="77777777" w:rsidR="00776FBE" w:rsidRPr="00CD7E52" w:rsidRDefault="00776FBE" w:rsidP="00C00052">
      <w:pPr>
        <w:widowControl w:val="0"/>
        <w:tabs>
          <w:tab w:val="clear" w:pos="567"/>
        </w:tabs>
        <w:spacing w:line="240" w:lineRule="auto"/>
        <w:ind w:left="567" w:hanging="567"/>
        <w:rPr>
          <w:szCs w:val="22"/>
          <w:lang w:val="lt-LT"/>
        </w:rPr>
      </w:pPr>
    </w:p>
    <w:p w14:paraId="6EBF5BF0" w14:textId="77777777" w:rsidR="009144A4" w:rsidRPr="00CD7E52" w:rsidRDefault="009144A4" w:rsidP="00C00052">
      <w:pPr>
        <w:widowControl w:val="0"/>
        <w:numPr>
          <w:ilvl w:val="12"/>
          <w:numId w:val="0"/>
        </w:numPr>
        <w:tabs>
          <w:tab w:val="clear" w:pos="567"/>
        </w:tabs>
        <w:spacing w:line="240" w:lineRule="auto"/>
        <w:rPr>
          <w:szCs w:val="22"/>
          <w:lang w:val="lt-LT"/>
        </w:rPr>
      </w:pPr>
      <w:r w:rsidRPr="00CD7E52">
        <w:rPr>
          <w:b/>
          <w:szCs w:val="22"/>
          <w:lang w:val="lt-LT"/>
        </w:rPr>
        <w:t xml:space="preserve">Kas yra </w:t>
      </w:r>
      <w:r w:rsidR="005A4193" w:rsidRPr="00CD7E52">
        <w:rPr>
          <w:b/>
          <w:szCs w:val="22"/>
          <w:lang w:val="lt-LT"/>
        </w:rPr>
        <w:t>Apremilast STADA</w:t>
      </w:r>
    </w:p>
    <w:p w14:paraId="3E36FB4D" w14:textId="77777777" w:rsidR="00FB2E50" w:rsidRPr="00CD7E52" w:rsidRDefault="00FB2E50" w:rsidP="00C00052">
      <w:pPr>
        <w:widowControl w:val="0"/>
        <w:numPr>
          <w:ilvl w:val="12"/>
          <w:numId w:val="0"/>
        </w:numPr>
        <w:tabs>
          <w:tab w:val="clear" w:pos="567"/>
        </w:tabs>
        <w:spacing w:line="240" w:lineRule="auto"/>
        <w:rPr>
          <w:szCs w:val="22"/>
          <w:lang w:val="lt-LT"/>
        </w:rPr>
      </w:pPr>
    </w:p>
    <w:p w14:paraId="5E538F37" w14:textId="77777777" w:rsidR="009144A4" w:rsidRPr="00CD7E52" w:rsidRDefault="005A4193" w:rsidP="00BD0220">
      <w:pPr>
        <w:widowControl w:val="0"/>
        <w:numPr>
          <w:ilvl w:val="12"/>
          <w:numId w:val="0"/>
        </w:numPr>
        <w:tabs>
          <w:tab w:val="clear" w:pos="567"/>
        </w:tabs>
        <w:spacing w:line="240" w:lineRule="auto"/>
        <w:rPr>
          <w:szCs w:val="22"/>
          <w:lang w:val="lt-LT"/>
        </w:rPr>
      </w:pPr>
      <w:r w:rsidRPr="00CD7E52">
        <w:rPr>
          <w:szCs w:val="22"/>
          <w:lang w:val="lt-LT"/>
        </w:rPr>
        <w:t>Apremilast STADA</w:t>
      </w:r>
      <w:r w:rsidR="009144A4" w:rsidRPr="00CD7E52">
        <w:rPr>
          <w:szCs w:val="22"/>
          <w:lang w:val="lt-LT"/>
        </w:rPr>
        <w:t xml:space="preserve"> sudėtyje yra veikliosios medžiagos apremilasto. Ji priklauso </w:t>
      </w:r>
      <w:r w:rsidR="009144A4" w:rsidRPr="00CD7E52">
        <w:rPr>
          <w:snapToGrid/>
          <w:szCs w:val="22"/>
          <w:lang w:val="lt-LT"/>
        </w:rPr>
        <w:t xml:space="preserve">uždegimą </w:t>
      </w:r>
      <w:r w:rsidR="00711E34" w:rsidRPr="00CD7E52">
        <w:rPr>
          <w:snapToGrid/>
          <w:szCs w:val="22"/>
          <w:lang w:val="lt-LT"/>
        </w:rPr>
        <w:t xml:space="preserve">mažinti padedančių </w:t>
      </w:r>
      <w:r w:rsidR="00711E34" w:rsidRPr="00CD7E52">
        <w:rPr>
          <w:szCs w:val="22"/>
          <w:lang w:val="lt-LT"/>
        </w:rPr>
        <w:t>vaistų</w:t>
      </w:r>
      <w:r w:rsidR="009144A4" w:rsidRPr="00CD7E52">
        <w:rPr>
          <w:szCs w:val="22"/>
          <w:lang w:val="lt-LT"/>
        </w:rPr>
        <w:t>, vadinamų fosfodiesterazės 4 inhibitoriais, grupei.</w:t>
      </w:r>
    </w:p>
    <w:p w14:paraId="46AA0D71" w14:textId="77777777" w:rsidR="00711E34" w:rsidRPr="00CD7E52" w:rsidRDefault="00711E34" w:rsidP="00BD0220">
      <w:pPr>
        <w:widowControl w:val="0"/>
        <w:numPr>
          <w:ilvl w:val="12"/>
          <w:numId w:val="0"/>
        </w:numPr>
        <w:tabs>
          <w:tab w:val="clear" w:pos="567"/>
        </w:tabs>
        <w:spacing w:line="240" w:lineRule="auto"/>
        <w:rPr>
          <w:szCs w:val="22"/>
          <w:lang w:val="lt-LT"/>
        </w:rPr>
      </w:pPr>
    </w:p>
    <w:p w14:paraId="04D28770" w14:textId="77777777" w:rsidR="009144A4" w:rsidRPr="00CD7E52" w:rsidRDefault="009144A4" w:rsidP="00BD0220">
      <w:pPr>
        <w:widowControl w:val="0"/>
        <w:numPr>
          <w:ilvl w:val="12"/>
          <w:numId w:val="0"/>
        </w:numPr>
        <w:tabs>
          <w:tab w:val="clear" w:pos="567"/>
        </w:tabs>
        <w:spacing w:line="240" w:lineRule="auto"/>
        <w:rPr>
          <w:szCs w:val="22"/>
          <w:lang w:val="lt-LT"/>
        </w:rPr>
      </w:pPr>
      <w:r w:rsidRPr="00CD7E52">
        <w:rPr>
          <w:b/>
          <w:szCs w:val="22"/>
          <w:lang w:val="lt-LT"/>
        </w:rPr>
        <w:t xml:space="preserve">Kam </w:t>
      </w:r>
      <w:r w:rsidR="005A4193" w:rsidRPr="00CD7E52">
        <w:rPr>
          <w:b/>
          <w:szCs w:val="22"/>
          <w:lang w:val="lt-LT"/>
        </w:rPr>
        <w:t>Apremilast STADA</w:t>
      </w:r>
      <w:r w:rsidRPr="00CD7E52">
        <w:rPr>
          <w:b/>
          <w:szCs w:val="22"/>
          <w:lang w:val="lt-LT"/>
        </w:rPr>
        <w:t xml:space="preserve"> vartojamas</w:t>
      </w:r>
    </w:p>
    <w:p w14:paraId="1BA28FEF" w14:textId="77777777" w:rsidR="00FB2E50" w:rsidRPr="00CD7E52" w:rsidRDefault="00FB2E50" w:rsidP="00BD0220">
      <w:pPr>
        <w:widowControl w:val="0"/>
        <w:numPr>
          <w:ilvl w:val="12"/>
          <w:numId w:val="0"/>
        </w:numPr>
        <w:tabs>
          <w:tab w:val="clear" w:pos="567"/>
        </w:tabs>
        <w:spacing w:line="240" w:lineRule="auto"/>
        <w:rPr>
          <w:szCs w:val="22"/>
          <w:lang w:val="lt-LT"/>
        </w:rPr>
      </w:pPr>
    </w:p>
    <w:p w14:paraId="467878CC" w14:textId="77777777" w:rsidR="009144A4" w:rsidRPr="00CD7E52" w:rsidRDefault="005A4193" w:rsidP="00BD0220">
      <w:pPr>
        <w:widowControl w:val="0"/>
        <w:numPr>
          <w:ilvl w:val="12"/>
          <w:numId w:val="0"/>
        </w:numPr>
        <w:tabs>
          <w:tab w:val="clear" w:pos="567"/>
        </w:tabs>
        <w:spacing w:line="240" w:lineRule="auto"/>
        <w:rPr>
          <w:szCs w:val="22"/>
          <w:lang w:val="lt-LT"/>
        </w:rPr>
      </w:pPr>
      <w:r w:rsidRPr="00CD7E52">
        <w:rPr>
          <w:szCs w:val="22"/>
          <w:lang w:val="lt-LT"/>
        </w:rPr>
        <w:t>Apremilast STADA</w:t>
      </w:r>
      <w:r w:rsidR="009144A4" w:rsidRPr="00CD7E52">
        <w:rPr>
          <w:szCs w:val="22"/>
          <w:lang w:val="lt-LT"/>
        </w:rPr>
        <w:t xml:space="preserve"> vartojamas </w:t>
      </w:r>
      <w:r w:rsidR="000850E2" w:rsidRPr="00CD7E52">
        <w:rPr>
          <w:snapToGrid/>
          <w:szCs w:val="22"/>
          <w:lang w:val="lt-LT"/>
        </w:rPr>
        <w:t xml:space="preserve">toliau išvardytoms </w:t>
      </w:r>
      <w:r w:rsidR="009144A4" w:rsidRPr="00CD7E52">
        <w:rPr>
          <w:snapToGrid/>
          <w:szCs w:val="22"/>
          <w:lang w:val="lt-LT"/>
        </w:rPr>
        <w:t>būklė</w:t>
      </w:r>
      <w:r w:rsidR="000850E2" w:rsidRPr="00CD7E52">
        <w:rPr>
          <w:snapToGrid/>
          <w:szCs w:val="22"/>
          <w:lang w:val="lt-LT"/>
        </w:rPr>
        <w:t>m</w:t>
      </w:r>
      <w:r w:rsidR="009144A4" w:rsidRPr="00CD7E52">
        <w:rPr>
          <w:snapToGrid/>
          <w:szCs w:val="22"/>
          <w:lang w:val="lt-LT"/>
        </w:rPr>
        <w:t>s gydyti</w:t>
      </w:r>
      <w:r w:rsidR="000850E2" w:rsidRPr="00CD7E52">
        <w:rPr>
          <w:snapToGrid/>
          <w:szCs w:val="22"/>
          <w:lang w:val="lt-LT"/>
        </w:rPr>
        <w:t xml:space="preserve"> </w:t>
      </w:r>
      <w:r w:rsidR="000850E2" w:rsidRPr="00CD7E52">
        <w:rPr>
          <w:szCs w:val="22"/>
          <w:lang w:val="lt-LT"/>
        </w:rPr>
        <w:t>suaugusiesiems</w:t>
      </w:r>
      <w:r w:rsidR="000850E2" w:rsidRPr="00CD7E52">
        <w:rPr>
          <w:snapToGrid/>
          <w:szCs w:val="22"/>
          <w:lang w:val="lt-LT"/>
        </w:rPr>
        <w:t>.</w:t>
      </w:r>
    </w:p>
    <w:p w14:paraId="16BF1410" w14:textId="77777777" w:rsidR="009144A4" w:rsidRPr="00CD7E52" w:rsidRDefault="009144A4" w:rsidP="00BD0220">
      <w:pPr>
        <w:widowControl w:val="0"/>
        <w:numPr>
          <w:ilvl w:val="0"/>
          <w:numId w:val="14"/>
        </w:numPr>
        <w:tabs>
          <w:tab w:val="clear" w:pos="567"/>
        </w:tabs>
        <w:spacing w:line="240" w:lineRule="auto"/>
        <w:ind w:left="567" w:hanging="567"/>
        <w:rPr>
          <w:szCs w:val="22"/>
          <w:lang w:val="lt-LT"/>
        </w:rPr>
      </w:pPr>
      <w:r w:rsidRPr="00CD7E52">
        <w:rPr>
          <w:b/>
          <w:szCs w:val="22"/>
          <w:lang w:val="lt-LT"/>
        </w:rPr>
        <w:t>Aktyvus psoriazinis artritas</w:t>
      </w:r>
      <w:r w:rsidR="000850E2" w:rsidRPr="00CD7E52">
        <w:rPr>
          <w:b/>
          <w:szCs w:val="22"/>
          <w:lang w:val="lt-LT"/>
        </w:rPr>
        <w:t xml:space="preserve"> </w:t>
      </w:r>
      <w:r w:rsidR="000850E2" w:rsidRPr="00CD7E52">
        <w:rPr>
          <w:szCs w:val="22"/>
          <w:lang w:val="lt-LT"/>
        </w:rPr>
        <w:t>–</w:t>
      </w:r>
      <w:r w:rsidRPr="00CD7E52">
        <w:rPr>
          <w:szCs w:val="22"/>
          <w:lang w:val="lt-LT"/>
        </w:rPr>
        <w:t xml:space="preserve"> jei negalite vartoti kito tipo vaisto, vadinamo „ligos eigą</w:t>
      </w:r>
      <w:r w:rsidR="000850E2" w:rsidRPr="00CD7E52">
        <w:rPr>
          <w:szCs w:val="22"/>
          <w:lang w:val="lt-LT"/>
        </w:rPr>
        <w:t xml:space="preserve"> </w:t>
      </w:r>
      <w:r w:rsidRPr="00CD7E52">
        <w:rPr>
          <w:szCs w:val="22"/>
          <w:lang w:val="lt-LT"/>
        </w:rPr>
        <w:t>modifikuojančiais vaistais nuo reumato“ (LEMVNR), arba jei išbandėte vieną iš šių vaistų ir jis</w:t>
      </w:r>
      <w:r w:rsidR="000850E2" w:rsidRPr="00CD7E52">
        <w:rPr>
          <w:szCs w:val="22"/>
          <w:lang w:val="lt-LT"/>
        </w:rPr>
        <w:t xml:space="preserve"> </w:t>
      </w:r>
      <w:r w:rsidRPr="00CD7E52">
        <w:rPr>
          <w:szCs w:val="22"/>
          <w:lang w:val="lt-LT"/>
        </w:rPr>
        <w:t>nebuvo veiksmingas.</w:t>
      </w:r>
    </w:p>
    <w:p w14:paraId="3B715725" w14:textId="77777777" w:rsidR="009144A4" w:rsidRPr="00CD7E52" w:rsidRDefault="009144A4" w:rsidP="00BD0220">
      <w:pPr>
        <w:widowControl w:val="0"/>
        <w:numPr>
          <w:ilvl w:val="0"/>
          <w:numId w:val="14"/>
        </w:numPr>
        <w:tabs>
          <w:tab w:val="clear" w:pos="567"/>
        </w:tabs>
        <w:spacing w:line="240" w:lineRule="auto"/>
        <w:ind w:left="567" w:hanging="567"/>
        <w:rPr>
          <w:szCs w:val="22"/>
          <w:lang w:val="lt-LT"/>
        </w:rPr>
      </w:pPr>
      <w:r w:rsidRPr="00CD7E52">
        <w:rPr>
          <w:b/>
          <w:szCs w:val="22"/>
          <w:lang w:val="lt-LT"/>
        </w:rPr>
        <w:t xml:space="preserve">Vidutinio sunkumo arba sunki lėtinė </w:t>
      </w:r>
      <w:r w:rsidR="000850E2" w:rsidRPr="00CD7E52">
        <w:rPr>
          <w:b/>
          <w:bCs/>
          <w:snapToGrid/>
          <w:szCs w:val="22"/>
          <w:lang w:val="lt-LT"/>
        </w:rPr>
        <w:t>plokštelinė</w:t>
      </w:r>
      <w:r w:rsidRPr="00CD7E52">
        <w:rPr>
          <w:b/>
          <w:szCs w:val="22"/>
          <w:lang w:val="lt-LT"/>
        </w:rPr>
        <w:t xml:space="preserve"> psoriazė</w:t>
      </w:r>
      <w:r w:rsidR="000850E2" w:rsidRPr="00CD7E52">
        <w:rPr>
          <w:b/>
          <w:szCs w:val="22"/>
          <w:lang w:val="lt-LT"/>
        </w:rPr>
        <w:t xml:space="preserve"> </w:t>
      </w:r>
      <w:r w:rsidR="000850E2" w:rsidRPr="00CD7E52">
        <w:rPr>
          <w:szCs w:val="22"/>
          <w:lang w:val="lt-LT"/>
        </w:rPr>
        <w:t>–</w:t>
      </w:r>
      <w:r w:rsidRPr="00CD7E52">
        <w:rPr>
          <w:szCs w:val="22"/>
          <w:lang w:val="lt-LT"/>
        </w:rPr>
        <w:t xml:space="preserve"> jeigu Jums negalima taikyti vieno iš</w:t>
      </w:r>
      <w:r w:rsidR="000850E2" w:rsidRPr="00CD7E52">
        <w:rPr>
          <w:szCs w:val="22"/>
          <w:lang w:val="lt-LT"/>
        </w:rPr>
        <w:t xml:space="preserve"> </w:t>
      </w:r>
      <w:r w:rsidRPr="00CD7E52">
        <w:rPr>
          <w:szCs w:val="22"/>
          <w:lang w:val="lt-LT"/>
        </w:rPr>
        <w:t>toliau nurodytų gydymo būdų arba jeigu vieną iš jų išbandėte ir jis nebuvo veiksmingas:</w:t>
      </w:r>
    </w:p>
    <w:p w14:paraId="0628FC2A" w14:textId="77777777" w:rsidR="009144A4" w:rsidRPr="00CD7E52" w:rsidRDefault="009144A4" w:rsidP="00BD0220">
      <w:pPr>
        <w:widowControl w:val="0"/>
        <w:numPr>
          <w:ilvl w:val="0"/>
          <w:numId w:val="26"/>
        </w:numPr>
        <w:tabs>
          <w:tab w:val="clear" w:pos="567"/>
        </w:tabs>
        <w:spacing w:line="240" w:lineRule="auto"/>
        <w:ind w:left="1134" w:hanging="567"/>
        <w:rPr>
          <w:szCs w:val="22"/>
          <w:lang w:val="lt-LT"/>
        </w:rPr>
      </w:pPr>
      <w:r w:rsidRPr="00CD7E52">
        <w:rPr>
          <w:szCs w:val="22"/>
          <w:lang w:val="lt-LT"/>
        </w:rPr>
        <w:t>fototerapija – gydymas, kurio metu tam tikros odos sritys veikiamos ultravioletiniais</w:t>
      </w:r>
      <w:r w:rsidR="000850E2" w:rsidRPr="00CD7E52">
        <w:rPr>
          <w:szCs w:val="22"/>
          <w:lang w:val="lt-LT"/>
        </w:rPr>
        <w:t xml:space="preserve"> </w:t>
      </w:r>
      <w:r w:rsidRPr="00CD7E52">
        <w:rPr>
          <w:szCs w:val="22"/>
          <w:lang w:val="lt-LT"/>
        </w:rPr>
        <w:t>spinduliais;</w:t>
      </w:r>
    </w:p>
    <w:p w14:paraId="6D5E82F0" w14:textId="77777777" w:rsidR="009144A4" w:rsidRPr="00CD7E52" w:rsidRDefault="000850E2" w:rsidP="00BD0220">
      <w:pPr>
        <w:widowControl w:val="0"/>
        <w:numPr>
          <w:ilvl w:val="0"/>
          <w:numId w:val="26"/>
        </w:numPr>
        <w:tabs>
          <w:tab w:val="clear" w:pos="567"/>
        </w:tabs>
        <w:spacing w:line="240" w:lineRule="auto"/>
        <w:ind w:left="1134" w:hanging="567"/>
        <w:rPr>
          <w:szCs w:val="22"/>
          <w:lang w:val="lt-LT"/>
        </w:rPr>
      </w:pPr>
      <w:r w:rsidRPr="00CD7E52">
        <w:rPr>
          <w:snapToGrid/>
          <w:szCs w:val="22"/>
          <w:lang w:val="lt-LT"/>
        </w:rPr>
        <w:t>gydymas sisteminio poveikio vaistais</w:t>
      </w:r>
      <w:r w:rsidR="009144A4" w:rsidRPr="00CD7E52">
        <w:rPr>
          <w:szCs w:val="22"/>
          <w:lang w:val="lt-LT"/>
        </w:rPr>
        <w:t xml:space="preserve"> – gydymas, kuris veikia visą kūną, o ne tik vieną sritį, pvz., </w:t>
      </w:r>
      <w:r w:rsidR="009144A4" w:rsidRPr="00CD7E52">
        <w:rPr>
          <w:snapToGrid/>
          <w:szCs w:val="22"/>
          <w:lang w:val="lt-LT"/>
        </w:rPr>
        <w:t>„ciklosporin</w:t>
      </w:r>
      <w:r w:rsidRPr="00CD7E52">
        <w:rPr>
          <w:snapToGrid/>
          <w:szCs w:val="22"/>
          <w:lang w:val="lt-LT"/>
        </w:rPr>
        <w:t>u</w:t>
      </w:r>
      <w:r w:rsidR="009144A4" w:rsidRPr="00CD7E52">
        <w:rPr>
          <w:snapToGrid/>
          <w:szCs w:val="22"/>
          <w:lang w:val="lt-LT"/>
        </w:rPr>
        <w:t>“,</w:t>
      </w:r>
      <w:r w:rsidRPr="00CD7E52">
        <w:rPr>
          <w:snapToGrid/>
          <w:szCs w:val="22"/>
          <w:lang w:val="lt-LT"/>
        </w:rPr>
        <w:t xml:space="preserve"> </w:t>
      </w:r>
      <w:r w:rsidR="009144A4" w:rsidRPr="00CD7E52">
        <w:rPr>
          <w:snapToGrid/>
          <w:szCs w:val="22"/>
          <w:lang w:val="lt-LT"/>
        </w:rPr>
        <w:t>„metotreksat</w:t>
      </w:r>
      <w:r w:rsidRPr="00CD7E52">
        <w:rPr>
          <w:snapToGrid/>
          <w:szCs w:val="22"/>
          <w:lang w:val="lt-LT"/>
        </w:rPr>
        <w:t>u</w:t>
      </w:r>
      <w:r w:rsidR="009144A4" w:rsidRPr="00CD7E52">
        <w:rPr>
          <w:szCs w:val="22"/>
          <w:lang w:val="lt-LT"/>
        </w:rPr>
        <w:t>“ arba „</w:t>
      </w:r>
      <w:r w:rsidR="009144A4" w:rsidRPr="00CD7E52">
        <w:rPr>
          <w:snapToGrid/>
          <w:szCs w:val="22"/>
          <w:lang w:val="lt-LT"/>
        </w:rPr>
        <w:t>psoralen</w:t>
      </w:r>
      <w:r w:rsidRPr="00CD7E52">
        <w:rPr>
          <w:snapToGrid/>
          <w:szCs w:val="22"/>
          <w:lang w:val="lt-LT"/>
        </w:rPr>
        <w:t>u</w:t>
      </w:r>
      <w:r w:rsidR="009144A4" w:rsidRPr="00CD7E52">
        <w:rPr>
          <w:szCs w:val="22"/>
          <w:lang w:val="lt-LT"/>
        </w:rPr>
        <w:t>“.</w:t>
      </w:r>
    </w:p>
    <w:p w14:paraId="5DD22D6B" w14:textId="77777777" w:rsidR="009144A4" w:rsidRPr="00CD7E52" w:rsidRDefault="009144A4" w:rsidP="00BD0220">
      <w:pPr>
        <w:widowControl w:val="0"/>
        <w:numPr>
          <w:ilvl w:val="0"/>
          <w:numId w:val="14"/>
        </w:numPr>
        <w:tabs>
          <w:tab w:val="clear" w:pos="567"/>
        </w:tabs>
        <w:spacing w:line="240" w:lineRule="auto"/>
        <w:ind w:left="567" w:hanging="567"/>
        <w:rPr>
          <w:szCs w:val="22"/>
          <w:lang w:val="lt-LT"/>
        </w:rPr>
      </w:pPr>
      <w:r w:rsidRPr="00CD7E52">
        <w:rPr>
          <w:b/>
          <w:szCs w:val="22"/>
          <w:lang w:val="lt-LT"/>
        </w:rPr>
        <w:t xml:space="preserve">Bechčeto liga (BL) </w:t>
      </w:r>
      <w:r w:rsidRPr="00CD7E52">
        <w:rPr>
          <w:szCs w:val="22"/>
          <w:lang w:val="lt-LT"/>
        </w:rPr>
        <w:t>– burnos opoms gydyti; tai yra dažna šia liga sergančių žmonių problema.</w:t>
      </w:r>
    </w:p>
    <w:p w14:paraId="63254201" w14:textId="77777777" w:rsidR="000850E2" w:rsidRDefault="000850E2" w:rsidP="00BD0220">
      <w:pPr>
        <w:widowControl w:val="0"/>
        <w:numPr>
          <w:ilvl w:val="12"/>
          <w:numId w:val="0"/>
        </w:numPr>
        <w:tabs>
          <w:tab w:val="clear" w:pos="567"/>
        </w:tabs>
        <w:spacing w:line="240" w:lineRule="auto"/>
        <w:rPr>
          <w:szCs w:val="22"/>
          <w:lang w:val="lt-LT"/>
        </w:rPr>
      </w:pPr>
    </w:p>
    <w:p w14:paraId="2761FBED" w14:textId="77777777" w:rsidR="00422F25" w:rsidRPr="00422F25" w:rsidRDefault="00422F25" w:rsidP="00422F25">
      <w:pPr>
        <w:widowControl w:val="0"/>
        <w:numPr>
          <w:ilvl w:val="12"/>
          <w:numId w:val="0"/>
        </w:numPr>
        <w:tabs>
          <w:tab w:val="clear" w:pos="567"/>
        </w:tabs>
        <w:spacing w:line="240" w:lineRule="auto"/>
        <w:rPr>
          <w:szCs w:val="22"/>
          <w:lang w:val="lt-LT"/>
        </w:rPr>
      </w:pPr>
      <w:r>
        <w:rPr>
          <w:szCs w:val="22"/>
          <w:lang w:val="lt-LT"/>
        </w:rPr>
        <w:t>Apremilastas</w:t>
      </w:r>
      <w:r w:rsidRPr="00422F25">
        <w:rPr>
          <w:szCs w:val="22"/>
          <w:lang w:val="lt-LT"/>
        </w:rPr>
        <w:t xml:space="preserve"> skiriamas 6</w:t>
      </w:r>
      <w:r>
        <w:rPr>
          <w:szCs w:val="22"/>
          <w:lang w:val="lt-LT"/>
        </w:rPr>
        <w:t> </w:t>
      </w:r>
      <w:r w:rsidRPr="00422F25">
        <w:rPr>
          <w:szCs w:val="22"/>
          <w:lang w:val="lt-LT"/>
        </w:rPr>
        <w:t>metų ir vyresniems bei mažiausiai 20</w:t>
      </w:r>
      <w:r>
        <w:rPr>
          <w:szCs w:val="22"/>
          <w:lang w:val="lt-LT"/>
        </w:rPr>
        <w:t> </w:t>
      </w:r>
      <w:r w:rsidRPr="00422F25">
        <w:rPr>
          <w:szCs w:val="22"/>
          <w:lang w:val="lt-LT"/>
        </w:rPr>
        <w:t>kg sveriantiems vaikams ir paaugliams, sergantiems toliau nurodyta liga, gydyti.</w:t>
      </w:r>
    </w:p>
    <w:p w14:paraId="750A8B96" w14:textId="77777777" w:rsidR="00422F25" w:rsidRPr="00422F25" w:rsidRDefault="00422F25" w:rsidP="00DB2543">
      <w:pPr>
        <w:widowControl w:val="0"/>
        <w:numPr>
          <w:ilvl w:val="0"/>
          <w:numId w:val="43"/>
        </w:numPr>
        <w:tabs>
          <w:tab w:val="clear" w:pos="567"/>
        </w:tabs>
        <w:spacing w:line="240" w:lineRule="auto"/>
        <w:ind w:left="567" w:hanging="567"/>
        <w:rPr>
          <w:szCs w:val="22"/>
          <w:lang w:val="lt-LT"/>
        </w:rPr>
      </w:pPr>
      <w:r w:rsidRPr="00422F25">
        <w:rPr>
          <w:b/>
          <w:bCs/>
          <w:szCs w:val="22"/>
          <w:lang w:val="lt-LT"/>
        </w:rPr>
        <w:t xml:space="preserve">Vidutinio sunkumo arba sunki </w:t>
      </w:r>
      <w:r w:rsidRPr="00CD7E52">
        <w:rPr>
          <w:b/>
          <w:bCs/>
          <w:snapToGrid/>
          <w:szCs w:val="22"/>
          <w:lang w:val="lt-LT"/>
        </w:rPr>
        <w:t>plokštelinė</w:t>
      </w:r>
      <w:r w:rsidRPr="00422F25">
        <w:rPr>
          <w:b/>
          <w:bCs/>
          <w:szCs w:val="22"/>
          <w:lang w:val="lt-LT"/>
        </w:rPr>
        <w:t xml:space="preserve"> psoriazė </w:t>
      </w:r>
      <w:r w:rsidRPr="00DB2543">
        <w:rPr>
          <w:szCs w:val="22"/>
          <w:lang w:val="lt-LT"/>
        </w:rPr>
        <w:t>– jei</w:t>
      </w:r>
      <w:r>
        <w:rPr>
          <w:szCs w:val="22"/>
          <w:lang w:val="lt-LT"/>
        </w:rPr>
        <w:t>gu</w:t>
      </w:r>
      <w:r w:rsidRPr="00DB2543">
        <w:rPr>
          <w:szCs w:val="22"/>
          <w:lang w:val="lt-LT"/>
        </w:rPr>
        <w:t xml:space="preserve"> gydytojas nusprendžia, kad Jums galima skirti sisteminį gydymą, pavyzdžiui, </w:t>
      </w:r>
      <w:r w:rsidRPr="00CD7E52">
        <w:rPr>
          <w:szCs w:val="22"/>
          <w:lang w:val="lt-LT"/>
        </w:rPr>
        <w:t>Apremilast STADA</w:t>
      </w:r>
      <w:r w:rsidRPr="00DB2543">
        <w:rPr>
          <w:szCs w:val="22"/>
          <w:lang w:val="lt-LT"/>
        </w:rPr>
        <w:t>.</w:t>
      </w:r>
    </w:p>
    <w:p w14:paraId="3099E730" w14:textId="77777777" w:rsidR="00422F25" w:rsidRPr="00CD7E52" w:rsidRDefault="00422F25" w:rsidP="00BD0220">
      <w:pPr>
        <w:widowControl w:val="0"/>
        <w:numPr>
          <w:ilvl w:val="12"/>
          <w:numId w:val="0"/>
        </w:numPr>
        <w:tabs>
          <w:tab w:val="clear" w:pos="567"/>
        </w:tabs>
        <w:spacing w:line="240" w:lineRule="auto"/>
        <w:rPr>
          <w:szCs w:val="22"/>
          <w:lang w:val="lt-LT"/>
        </w:rPr>
      </w:pPr>
    </w:p>
    <w:p w14:paraId="1B46F348" w14:textId="77777777" w:rsidR="009144A4" w:rsidRPr="00CD7E52" w:rsidRDefault="009144A4" w:rsidP="00BD0220">
      <w:pPr>
        <w:widowControl w:val="0"/>
        <w:numPr>
          <w:ilvl w:val="12"/>
          <w:numId w:val="0"/>
        </w:numPr>
        <w:tabs>
          <w:tab w:val="clear" w:pos="567"/>
        </w:tabs>
        <w:spacing w:line="240" w:lineRule="auto"/>
        <w:rPr>
          <w:szCs w:val="22"/>
          <w:lang w:val="lt-LT"/>
        </w:rPr>
      </w:pPr>
      <w:r w:rsidRPr="00CD7E52">
        <w:rPr>
          <w:b/>
          <w:szCs w:val="22"/>
          <w:lang w:val="lt-LT"/>
        </w:rPr>
        <w:t>Kas yra psoriazinis artritas</w:t>
      </w:r>
    </w:p>
    <w:p w14:paraId="0BEFD8A4" w14:textId="77777777" w:rsidR="009144A4" w:rsidRPr="00CD7E52" w:rsidRDefault="009144A4" w:rsidP="00BD0220">
      <w:pPr>
        <w:widowControl w:val="0"/>
        <w:numPr>
          <w:ilvl w:val="12"/>
          <w:numId w:val="0"/>
        </w:numPr>
        <w:tabs>
          <w:tab w:val="clear" w:pos="567"/>
        </w:tabs>
        <w:spacing w:line="240" w:lineRule="auto"/>
        <w:rPr>
          <w:szCs w:val="22"/>
          <w:lang w:val="lt-LT"/>
        </w:rPr>
      </w:pPr>
      <w:r w:rsidRPr="00CD7E52">
        <w:rPr>
          <w:szCs w:val="22"/>
          <w:lang w:val="lt-LT"/>
        </w:rPr>
        <w:t xml:space="preserve">Psoriazinis artritas yra uždegiminė sąnarių liga, </w:t>
      </w:r>
      <w:r w:rsidR="009A7C50" w:rsidRPr="00CD7E52">
        <w:rPr>
          <w:szCs w:val="22"/>
          <w:lang w:val="lt-LT"/>
        </w:rPr>
        <w:t>pa</w:t>
      </w:r>
      <w:r w:rsidR="00875A9E" w:rsidRPr="00CD7E52">
        <w:rPr>
          <w:szCs w:val="22"/>
          <w:lang w:val="lt-LT"/>
        </w:rPr>
        <w:t>p</w:t>
      </w:r>
      <w:r w:rsidR="009A7C50" w:rsidRPr="00CD7E52">
        <w:rPr>
          <w:szCs w:val="22"/>
          <w:lang w:val="lt-LT"/>
        </w:rPr>
        <w:t xml:space="preserve">rastai </w:t>
      </w:r>
      <w:r w:rsidR="009A7C50" w:rsidRPr="00CD7E52">
        <w:rPr>
          <w:snapToGrid/>
          <w:szCs w:val="22"/>
          <w:lang w:val="lt-LT"/>
        </w:rPr>
        <w:t>pasireiškianti kartu su psoriaze (</w:t>
      </w:r>
      <w:r w:rsidRPr="00CD7E52">
        <w:rPr>
          <w:snapToGrid/>
          <w:szCs w:val="22"/>
          <w:lang w:val="lt-LT"/>
        </w:rPr>
        <w:t>uždegimin</w:t>
      </w:r>
      <w:r w:rsidR="009A7C50" w:rsidRPr="00CD7E52">
        <w:rPr>
          <w:snapToGrid/>
          <w:szCs w:val="22"/>
          <w:lang w:val="lt-LT"/>
        </w:rPr>
        <w:t>e</w:t>
      </w:r>
      <w:r w:rsidRPr="00CD7E52">
        <w:rPr>
          <w:szCs w:val="22"/>
          <w:lang w:val="lt-LT"/>
        </w:rPr>
        <w:t xml:space="preserve"> odos liga</w:t>
      </w:r>
      <w:r w:rsidR="009A7C50" w:rsidRPr="00CD7E52">
        <w:rPr>
          <w:snapToGrid/>
          <w:szCs w:val="22"/>
          <w:lang w:val="lt-LT"/>
        </w:rPr>
        <w:t>)</w:t>
      </w:r>
      <w:r w:rsidRPr="00CD7E52">
        <w:rPr>
          <w:snapToGrid/>
          <w:szCs w:val="22"/>
          <w:lang w:val="lt-LT"/>
        </w:rPr>
        <w:t>.</w:t>
      </w:r>
    </w:p>
    <w:p w14:paraId="0B56C9FF" w14:textId="77777777" w:rsidR="009A7C50" w:rsidRPr="00CD7E52" w:rsidRDefault="009A7C50" w:rsidP="00BD0220">
      <w:pPr>
        <w:widowControl w:val="0"/>
        <w:numPr>
          <w:ilvl w:val="12"/>
          <w:numId w:val="0"/>
        </w:numPr>
        <w:tabs>
          <w:tab w:val="clear" w:pos="567"/>
        </w:tabs>
        <w:spacing w:line="240" w:lineRule="auto"/>
        <w:rPr>
          <w:szCs w:val="22"/>
          <w:lang w:val="lt-LT"/>
        </w:rPr>
      </w:pPr>
    </w:p>
    <w:p w14:paraId="1B8FFAE1" w14:textId="77777777" w:rsidR="009144A4" w:rsidRPr="00CD7E52" w:rsidRDefault="009144A4" w:rsidP="00BD0220">
      <w:pPr>
        <w:widowControl w:val="0"/>
        <w:numPr>
          <w:ilvl w:val="12"/>
          <w:numId w:val="0"/>
        </w:numPr>
        <w:tabs>
          <w:tab w:val="clear" w:pos="567"/>
        </w:tabs>
        <w:spacing w:line="240" w:lineRule="auto"/>
        <w:rPr>
          <w:szCs w:val="22"/>
          <w:lang w:val="lt-LT"/>
        </w:rPr>
      </w:pPr>
      <w:r w:rsidRPr="00CD7E52">
        <w:rPr>
          <w:b/>
          <w:szCs w:val="22"/>
          <w:lang w:val="lt-LT"/>
        </w:rPr>
        <w:lastRenderedPageBreak/>
        <w:t xml:space="preserve">Kas yra </w:t>
      </w:r>
      <w:r w:rsidR="009A7C50" w:rsidRPr="00CD7E52">
        <w:rPr>
          <w:b/>
          <w:bCs/>
          <w:snapToGrid/>
          <w:szCs w:val="22"/>
          <w:lang w:val="lt-LT"/>
        </w:rPr>
        <w:t>plokštelinė</w:t>
      </w:r>
      <w:r w:rsidRPr="00CD7E52">
        <w:rPr>
          <w:b/>
          <w:szCs w:val="22"/>
          <w:lang w:val="lt-LT"/>
        </w:rPr>
        <w:t xml:space="preserve"> psoriazė</w:t>
      </w:r>
    </w:p>
    <w:p w14:paraId="7D9848E6" w14:textId="77777777" w:rsidR="009144A4" w:rsidRPr="00CD7E52" w:rsidRDefault="009144A4" w:rsidP="00BD0220">
      <w:pPr>
        <w:widowControl w:val="0"/>
        <w:numPr>
          <w:ilvl w:val="12"/>
          <w:numId w:val="0"/>
        </w:numPr>
        <w:tabs>
          <w:tab w:val="clear" w:pos="567"/>
        </w:tabs>
        <w:spacing w:line="240" w:lineRule="auto"/>
        <w:rPr>
          <w:szCs w:val="22"/>
          <w:lang w:val="lt-LT"/>
        </w:rPr>
      </w:pPr>
      <w:r w:rsidRPr="00CD7E52">
        <w:rPr>
          <w:szCs w:val="22"/>
          <w:lang w:val="lt-LT"/>
        </w:rPr>
        <w:t xml:space="preserve">Psoriazė yra uždegiminė odos liga, dėl kurios ant odos gali atsirasti </w:t>
      </w:r>
      <w:r w:rsidRPr="00CD7E52">
        <w:rPr>
          <w:snapToGrid/>
          <w:szCs w:val="22"/>
          <w:lang w:val="lt-LT"/>
        </w:rPr>
        <w:t>raudon</w:t>
      </w:r>
      <w:r w:rsidR="009A7C50" w:rsidRPr="00CD7E52">
        <w:rPr>
          <w:snapToGrid/>
          <w:szCs w:val="22"/>
          <w:lang w:val="lt-LT"/>
        </w:rPr>
        <w:t>ų</w:t>
      </w:r>
      <w:r w:rsidRPr="00CD7E52">
        <w:rPr>
          <w:snapToGrid/>
          <w:szCs w:val="22"/>
          <w:lang w:val="lt-LT"/>
        </w:rPr>
        <w:t>, žvynuot</w:t>
      </w:r>
      <w:r w:rsidR="009A7C50" w:rsidRPr="00CD7E52">
        <w:rPr>
          <w:snapToGrid/>
          <w:szCs w:val="22"/>
          <w:lang w:val="lt-LT"/>
        </w:rPr>
        <w:t>ų</w:t>
      </w:r>
      <w:r w:rsidRPr="00CD7E52">
        <w:rPr>
          <w:snapToGrid/>
          <w:szCs w:val="22"/>
          <w:lang w:val="lt-LT"/>
        </w:rPr>
        <w:t>, stor</w:t>
      </w:r>
      <w:r w:rsidR="009A7C50" w:rsidRPr="00CD7E52">
        <w:rPr>
          <w:snapToGrid/>
          <w:szCs w:val="22"/>
          <w:lang w:val="lt-LT"/>
        </w:rPr>
        <w:t>ų</w:t>
      </w:r>
      <w:r w:rsidRPr="00CD7E52">
        <w:rPr>
          <w:snapToGrid/>
          <w:szCs w:val="22"/>
          <w:lang w:val="lt-LT"/>
        </w:rPr>
        <w:t>, niež</w:t>
      </w:r>
      <w:r w:rsidR="00741FEB">
        <w:rPr>
          <w:snapToGrid/>
          <w:szCs w:val="22"/>
          <w:lang w:val="lt-LT"/>
        </w:rPr>
        <w:t>t</w:t>
      </w:r>
      <w:r w:rsidRPr="00CD7E52">
        <w:rPr>
          <w:snapToGrid/>
          <w:szCs w:val="22"/>
          <w:lang w:val="lt-LT"/>
        </w:rPr>
        <w:t>in</w:t>
      </w:r>
      <w:r w:rsidR="009A7C50" w:rsidRPr="00CD7E52">
        <w:rPr>
          <w:snapToGrid/>
          <w:szCs w:val="22"/>
          <w:lang w:val="lt-LT"/>
        </w:rPr>
        <w:t>čių</w:t>
      </w:r>
      <w:r w:rsidRPr="00CD7E52">
        <w:rPr>
          <w:snapToGrid/>
          <w:szCs w:val="22"/>
          <w:lang w:val="lt-LT"/>
        </w:rPr>
        <w:t>,</w:t>
      </w:r>
      <w:r w:rsidR="009A7C50" w:rsidRPr="00CD7E52">
        <w:rPr>
          <w:snapToGrid/>
          <w:szCs w:val="22"/>
          <w:lang w:val="lt-LT"/>
        </w:rPr>
        <w:t xml:space="preserve"> </w:t>
      </w:r>
      <w:r w:rsidRPr="00CD7E52">
        <w:rPr>
          <w:snapToGrid/>
          <w:szCs w:val="22"/>
          <w:lang w:val="lt-LT"/>
        </w:rPr>
        <w:t>skausming</w:t>
      </w:r>
      <w:r w:rsidR="009A7C50" w:rsidRPr="00CD7E52">
        <w:rPr>
          <w:snapToGrid/>
          <w:szCs w:val="22"/>
          <w:lang w:val="lt-LT"/>
        </w:rPr>
        <w:t>ų</w:t>
      </w:r>
      <w:r w:rsidRPr="00CD7E52">
        <w:rPr>
          <w:snapToGrid/>
          <w:szCs w:val="22"/>
          <w:lang w:val="lt-LT"/>
        </w:rPr>
        <w:t xml:space="preserve"> </w:t>
      </w:r>
      <w:r w:rsidR="009A7C50" w:rsidRPr="00CD7E52">
        <w:rPr>
          <w:snapToGrid/>
          <w:szCs w:val="22"/>
          <w:lang w:val="lt-LT"/>
        </w:rPr>
        <w:t>dėmių</w:t>
      </w:r>
      <w:r w:rsidRPr="00CD7E52">
        <w:rPr>
          <w:snapToGrid/>
          <w:szCs w:val="22"/>
          <w:lang w:val="lt-LT"/>
        </w:rPr>
        <w:t>,</w:t>
      </w:r>
      <w:r w:rsidRPr="00CD7E52">
        <w:rPr>
          <w:szCs w:val="22"/>
          <w:lang w:val="lt-LT"/>
        </w:rPr>
        <w:t xml:space="preserve"> </w:t>
      </w:r>
      <w:r w:rsidR="009A7C50" w:rsidRPr="00CD7E52">
        <w:rPr>
          <w:szCs w:val="22"/>
          <w:lang w:val="lt-LT"/>
        </w:rPr>
        <w:t xml:space="preserve">taip pat gali </w:t>
      </w:r>
      <w:r w:rsidR="009A7C50" w:rsidRPr="00CD7E52">
        <w:rPr>
          <w:snapToGrid/>
          <w:szCs w:val="22"/>
          <w:lang w:val="lt-LT"/>
        </w:rPr>
        <w:t>pasireikšti</w:t>
      </w:r>
      <w:r w:rsidRPr="00CD7E52">
        <w:rPr>
          <w:szCs w:val="22"/>
          <w:lang w:val="lt-LT"/>
        </w:rPr>
        <w:t xml:space="preserve"> galvos </w:t>
      </w:r>
      <w:r w:rsidRPr="00CD7E52">
        <w:rPr>
          <w:snapToGrid/>
          <w:szCs w:val="22"/>
          <w:lang w:val="lt-LT"/>
        </w:rPr>
        <w:t>od</w:t>
      </w:r>
      <w:r w:rsidR="009A7C50" w:rsidRPr="00CD7E52">
        <w:rPr>
          <w:snapToGrid/>
          <w:szCs w:val="22"/>
          <w:lang w:val="lt-LT"/>
        </w:rPr>
        <w:t>os</w:t>
      </w:r>
      <w:r w:rsidRPr="00CD7E52">
        <w:rPr>
          <w:szCs w:val="22"/>
          <w:lang w:val="lt-LT"/>
        </w:rPr>
        <w:t xml:space="preserve"> ir </w:t>
      </w:r>
      <w:r w:rsidRPr="00CD7E52">
        <w:rPr>
          <w:snapToGrid/>
          <w:szCs w:val="22"/>
          <w:lang w:val="lt-LT"/>
        </w:rPr>
        <w:t>nag</w:t>
      </w:r>
      <w:r w:rsidR="009A7C50" w:rsidRPr="00CD7E52">
        <w:rPr>
          <w:snapToGrid/>
          <w:szCs w:val="22"/>
          <w:lang w:val="lt-LT"/>
        </w:rPr>
        <w:t>ų pažeidimas</w:t>
      </w:r>
      <w:r w:rsidR="009A7C50" w:rsidRPr="00CD7E52">
        <w:rPr>
          <w:szCs w:val="22"/>
          <w:lang w:val="lt-LT"/>
        </w:rPr>
        <w:t>.</w:t>
      </w:r>
    </w:p>
    <w:p w14:paraId="5631A47A" w14:textId="77777777" w:rsidR="009A7C50" w:rsidRPr="00CD7E52" w:rsidRDefault="009A7C50" w:rsidP="00BD0220">
      <w:pPr>
        <w:widowControl w:val="0"/>
        <w:numPr>
          <w:ilvl w:val="12"/>
          <w:numId w:val="0"/>
        </w:numPr>
        <w:tabs>
          <w:tab w:val="clear" w:pos="567"/>
        </w:tabs>
        <w:spacing w:line="240" w:lineRule="auto"/>
        <w:rPr>
          <w:szCs w:val="22"/>
          <w:lang w:val="lt-LT"/>
        </w:rPr>
      </w:pPr>
    </w:p>
    <w:p w14:paraId="497FBF27" w14:textId="77777777" w:rsidR="00BB2BF3" w:rsidRPr="00CD7E52" w:rsidRDefault="00BB2BF3" w:rsidP="00BD0220">
      <w:pPr>
        <w:widowControl w:val="0"/>
        <w:numPr>
          <w:ilvl w:val="12"/>
          <w:numId w:val="0"/>
        </w:numPr>
        <w:tabs>
          <w:tab w:val="clear" w:pos="567"/>
        </w:tabs>
        <w:spacing w:line="240" w:lineRule="auto"/>
        <w:rPr>
          <w:b/>
          <w:szCs w:val="22"/>
          <w:lang w:val="lt-LT"/>
        </w:rPr>
      </w:pPr>
    </w:p>
    <w:p w14:paraId="44D5050C" w14:textId="77777777" w:rsidR="009144A4" w:rsidRPr="00CD7E52" w:rsidRDefault="009144A4" w:rsidP="00BD0220">
      <w:pPr>
        <w:widowControl w:val="0"/>
        <w:numPr>
          <w:ilvl w:val="12"/>
          <w:numId w:val="0"/>
        </w:numPr>
        <w:tabs>
          <w:tab w:val="clear" w:pos="567"/>
        </w:tabs>
        <w:spacing w:line="240" w:lineRule="auto"/>
        <w:rPr>
          <w:szCs w:val="22"/>
          <w:lang w:val="lt-LT"/>
        </w:rPr>
      </w:pPr>
      <w:r w:rsidRPr="00CD7E52">
        <w:rPr>
          <w:b/>
          <w:szCs w:val="22"/>
          <w:lang w:val="lt-LT"/>
        </w:rPr>
        <w:t>Kas yra Bechčeto liga</w:t>
      </w:r>
    </w:p>
    <w:p w14:paraId="3B2F7AF2" w14:textId="77777777" w:rsidR="009144A4" w:rsidRPr="00CD7E52" w:rsidRDefault="009144A4" w:rsidP="00BD0220">
      <w:pPr>
        <w:widowControl w:val="0"/>
        <w:numPr>
          <w:ilvl w:val="12"/>
          <w:numId w:val="0"/>
        </w:numPr>
        <w:tabs>
          <w:tab w:val="clear" w:pos="567"/>
        </w:tabs>
        <w:spacing w:line="240" w:lineRule="auto"/>
        <w:rPr>
          <w:szCs w:val="22"/>
          <w:lang w:val="lt-LT"/>
        </w:rPr>
      </w:pPr>
      <w:r w:rsidRPr="00CD7E52">
        <w:rPr>
          <w:szCs w:val="22"/>
          <w:lang w:val="lt-LT"/>
        </w:rPr>
        <w:t>Bechčeto liga yra reta uždegiminė liga, paveikianti daugelį kūno dalių. Dažniausia problema yra burnos</w:t>
      </w:r>
      <w:r w:rsidR="009A7C50" w:rsidRPr="00CD7E52">
        <w:rPr>
          <w:szCs w:val="22"/>
          <w:lang w:val="lt-LT"/>
        </w:rPr>
        <w:t xml:space="preserve"> </w:t>
      </w:r>
      <w:r w:rsidRPr="00CD7E52">
        <w:rPr>
          <w:szCs w:val="22"/>
          <w:lang w:val="lt-LT"/>
        </w:rPr>
        <w:t>opos.</w:t>
      </w:r>
    </w:p>
    <w:p w14:paraId="278C6ABC" w14:textId="77777777" w:rsidR="00FB2E50" w:rsidRPr="00CD7E52" w:rsidRDefault="00FB2E50" w:rsidP="00BD0220">
      <w:pPr>
        <w:widowControl w:val="0"/>
        <w:numPr>
          <w:ilvl w:val="12"/>
          <w:numId w:val="0"/>
        </w:numPr>
        <w:tabs>
          <w:tab w:val="clear" w:pos="567"/>
        </w:tabs>
        <w:spacing w:line="240" w:lineRule="auto"/>
        <w:rPr>
          <w:szCs w:val="22"/>
          <w:lang w:val="lt-LT"/>
        </w:rPr>
      </w:pPr>
    </w:p>
    <w:p w14:paraId="50E77973" w14:textId="77777777" w:rsidR="009144A4" w:rsidRPr="00CD7E52" w:rsidRDefault="009144A4" w:rsidP="00BD0220">
      <w:pPr>
        <w:widowControl w:val="0"/>
        <w:numPr>
          <w:ilvl w:val="12"/>
          <w:numId w:val="0"/>
        </w:numPr>
        <w:tabs>
          <w:tab w:val="clear" w:pos="567"/>
        </w:tabs>
        <w:spacing w:line="240" w:lineRule="auto"/>
        <w:rPr>
          <w:szCs w:val="22"/>
          <w:lang w:val="lt-LT"/>
        </w:rPr>
      </w:pPr>
      <w:r w:rsidRPr="00CD7E52">
        <w:rPr>
          <w:b/>
          <w:szCs w:val="22"/>
          <w:lang w:val="lt-LT"/>
        </w:rPr>
        <w:t xml:space="preserve">Kaip veikia </w:t>
      </w:r>
      <w:r w:rsidR="005A4193" w:rsidRPr="00CD7E52">
        <w:rPr>
          <w:b/>
          <w:szCs w:val="22"/>
          <w:lang w:val="lt-LT"/>
        </w:rPr>
        <w:t>Apremilast STADA</w:t>
      </w:r>
    </w:p>
    <w:p w14:paraId="5B2B11BC" w14:textId="77777777" w:rsidR="009144A4" w:rsidRPr="00CD7E52" w:rsidRDefault="009144A4" w:rsidP="00BD0220">
      <w:pPr>
        <w:widowControl w:val="0"/>
        <w:numPr>
          <w:ilvl w:val="12"/>
          <w:numId w:val="0"/>
        </w:numPr>
        <w:tabs>
          <w:tab w:val="clear" w:pos="567"/>
        </w:tabs>
        <w:spacing w:line="240" w:lineRule="auto"/>
        <w:rPr>
          <w:szCs w:val="22"/>
          <w:lang w:val="lt-LT"/>
        </w:rPr>
      </w:pPr>
      <w:r w:rsidRPr="00CD7E52">
        <w:rPr>
          <w:szCs w:val="22"/>
          <w:lang w:val="lt-LT"/>
        </w:rPr>
        <w:t xml:space="preserve">Psoriazinis artritas, psoriazė ir Bechčeto liga paprastai </w:t>
      </w:r>
      <w:r w:rsidR="003E5EA8" w:rsidRPr="00CD7E52">
        <w:rPr>
          <w:snapToGrid/>
          <w:szCs w:val="22"/>
          <w:lang w:val="lt-LT"/>
        </w:rPr>
        <w:t>tęsiasi</w:t>
      </w:r>
      <w:r w:rsidRPr="00CD7E52">
        <w:rPr>
          <w:szCs w:val="22"/>
          <w:lang w:val="lt-LT"/>
        </w:rPr>
        <w:t xml:space="preserve"> visą gyvenimą ir kol kas nėra išgydomos.</w:t>
      </w:r>
      <w:r w:rsidR="00A64664" w:rsidRPr="00CD7E52">
        <w:rPr>
          <w:szCs w:val="22"/>
          <w:lang w:val="lt-LT"/>
        </w:rPr>
        <w:t xml:space="preserve"> </w:t>
      </w:r>
      <w:r w:rsidR="005A4193" w:rsidRPr="00CD7E52">
        <w:rPr>
          <w:szCs w:val="22"/>
          <w:lang w:val="lt-LT"/>
        </w:rPr>
        <w:t>Apremilast STADA</w:t>
      </w:r>
      <w:r w:rsidRPr="00CD7E52">
        <w:rPr>
          <w:szCs w:val="22"/>
          <w:lang w:val="lt-LT"/>
        </w:rPr>
        <w:t xml:space="preserve"> veikia mažindamas organizmo fermento, vadinamo „fosfodiesteraze 4</w:t>
      </w:r>
      <w:r w:rsidRPr="00CD7E52">
        <w:rPr>
          <w:snapToGrid/>
          <w:szCs w:val="22"/>
          <w:lang w:val="lt-LT"/>
        </w:rPr>
        <w:t>“</w:t>
      </w:r>
      <w:r w:rsidR="003E5EA8" w:rsidRPr="00CD7E52">
        <w:rPr>
          <w:snapToGrid/>
          <w:szCs w:val="22"/>
          <w:lang w:val="lt-LT"/>
        </w:rPr>
        <w:t xml:space="preserve"> ir</w:t>
      </w:r>
      <w:r w:rsidRPr="00CD7E52">
        <w:rPr>
          <w:szCs w:val="22"/>
          <w:lang w:val="lt-LT"/>
        </w:rPr>
        <w:t xml:space="preserve"> dalyvaujančio uždegimo</w:t>
      </w:r>
      <w:r w:rsidR="00A64664" w:rsidRPr="00CD7E52">
        <w:rPr>
          <w:szCs w:val="22"/>
          <w:lang w:val="lt-LT"/>
        </w:rPr>
        <w:t xml:space="preserve"> </w:t>
      </w:r>
      <w:r w:rsidRPr="00CD7E52">
        <w:rPr>
          <w:szCs w:val="22"/>
          <w:lang w:val="lt-LT"/>
        </w:rPr>
        <w:t xml:space="preserve">procese, aktyvumą. Mažindamas šio fermento aktyvumą, </w:t>
      </w:r>
      <w:r w:rsidR="005A4193" w:rsidRPr="00CD7E52">
        <w:rPr>
          <w:szCs w:val="22"/>
          <w:lang w:val="lt-LT"/>
        </w:rPr>
        <w:t>Apremilast STADA</w:t>
      </w:r>
      <w:r w:rsidRPr="00CD7E52">
        <w:rPr>
          <w:szCs w:val="22"/>
          <w:lang w:val="lt-LT"/>
        </w:rPr>
        <w:t xml:space="preserve"> gali padėti kontroliuoti uždegimą, susijusį</w:t>
      </w:r>
      <w:r w:rsidR="00A64664" w:rsidRPr="00CD7E52">
        <w:rPr>
          <w:szCs w:val="22"/>
          <w:lang w:val="lt-LT"/>
        </w:rPr>
        <w:t xml:space="preserve"> </w:t>
      </w:r>
      <w:r w:rsidRPr="00CD7E52">
        <w:rPr>
          <w:szCs w:val="22"/>
          <w:lang w:val="lt-LT"/>
        </w:rPr>
        <w:t xml:space="preserve">su psoriaziniu artritu, psoriaze ir Bechčeto liga, ir taip </w:t>
      </w:r>
      <w:r w:rsidR="003E5EA8" w:rsidRPr="00CD7E52">
        <w:rPr>
          <w:snapToGrid/>
          <w:szCs w:val="22"/>
          <w:lang w:val="lt-LT"/>
        </w:rPr>
        <w:t>lengvinti</w:t>
      </w:r>
      <w:r w:rsidRPr="00CD7E52">
        <w:rPr>
          <w:szCs w:val="22"/>
          <w:lang w:val="lt-LT"/>
        </w:rPr>
        <w:t xml:space="preserve"> šių būklių požymius bei simptomus.</w:t>
      </w:r>
    </w:p>
    <w:p w14:paraId="1E5434C9" w14:textId="77777777" w:rsidR="00A64664" w:rsidRPr="00CD7E52" w:rsidRDefault="00A64664" w:rsidP="00BD0220">
      <w:pPr>
        <w:widowControl w:val="0"/>
        <w:numPr>
          <w:ilvl w:val="12"/>
          <w:numId w:val="0"/>
        </w:numPr>
        <w:tabs>
          <w:tab w:val="clear" w:pos="567"/>
        </w:tabs>
        <w:spacing w:line="240" w:lineRule="auto"/>
        <w:rPr>
          <w:szCs w:val="22"/>
          <w:lang w:val="lt-LT"/>
        </w:rPr>
      </w:pPr>
    </w:p>
    <w:p w14:paraId="1F79D48B" w14:textId="77777777" w:rsidR="009144A4" w:rsidRPr="00CD7E52" w:rsidRDefault="00422F25" w:rsidP="00BD0220">
      <w:pPr>
        <w:widowControl w:val="0"/>
        <w:numPr>
          <w:ilvl w:val="12"/>
          <w:numId w:val="0"/>
        </w:numPr>
        <w:tabs>
          <w:tab w:val="clear" w:pos="567"/>
        </w:tabs>
        <w:spacing w:line="240" w:lineRule="auto"/>
        <w:rPr>
          <w:szCs w:val="22"/>
          <w:lang w:val="lt-LT"/>
        </w:rPr>
      </w:pPr>
      <w:r w:rsidRPr="00422F25">
        <w:rPr>
          <w:szCs w:val="22"/>
          <w:lang w:val="lt-LT"/>
        </w:rPr>
        <w:t xml:space="preserve">Suaugusiesiems, </w:t>
      </w:r>
      <w:r>
        <w:rPr>
          <w:szCs w:val="22"/>
          <w:lang w:val="lt-LT"/>
        </w:rPr>
        <w:t>s</w:t>
      </w:r>
      <w:r w:rsidR="009144A4" w:rsidRPr="00CD7E52">
        <w:rPr>
          <w:szCs w:val="22"/>
          <w:lang w:val="lt-LT"/>
        </w:rPr>
        <w:t>ergant</w:t>
      </w:r>
      <w:r>
        <w:rPr>
          <w:szCs w:val="22"/>
          <w:lang w:val="lt-LT"/>
        </w:rPr>
        <w:t>iems</w:t>
      </w:r>
      <w:r w:rsidR="009144A4" w:rsidRPr="00CD7E52">
        <w:rPr>
          <w:szCs w:val="22"/>
          <w:lang w:val="lt-LT"/>
        </w:rPr>
        <w:t xml:space="preserve"> psoriaziniu artritu, gydymas </w:t>
      </w:r>
      <w:r w:rsidR="005A4193" w:rsidRPr="00CD7E52">
        <w:rPr>
          <w:szCs w:val="22"/>
          <w:lang w:val="lt-LT"/>
        </w:rPr>
        <w:t>Apremilast STADA</w:t>
      </w:r>
      <w:r w:rsidR="009144A4" w:rsidRPr="00CD7E52">
        <w:rPr>
          <w:szCs w:val="22"/>
          <w:lang w:val="lt-LT"/>
        </w:rPr>
        <w:t xml:space="preserve"> gali pagerinti patinusių ir skausmingų sąnarių būklę bei bendrą</w:t>
      </w:r>
      <w:r w:rsidR="00A64664" w:rsidRPr="00CD7E52">
        <w:rPr>
          <w:szCs w:val="22"/>
          <w:lang w:val="lt-LT"/>
        </w:rPr>
        <w:t xml:space="preserve"> </w:t>
      </w:r>
      <w:r w:rsidR="009144A4" w:rsidRPr="00CD7E52">
        <w:rPr>
          <w:szCs w:val="22"/>
          <w:lang w:val="lt-LT"/>
        </w:rPr>
        <w:t>fizinę būklę.</w:t>
      </w:r>
    </w:p>
    <w:p w14:paraId="1FDBA3F4" w14:textId="77777777" w:rsidR="00A64664" w:rsidRPr="00CD7E52" w:rsidRDefault="00A64664" w:rsidP="00BD0220">
      <w:pPr>
        <w:widowControl w:val="0"/>
        <w:numPr>
          <w:ilvl w:val="12"/>
          <w:numId w:val="0"/>
        </w:numPr>
        <w:tabs>
          <w:tab w:val="clear" w:pos="567"/>
        </w:tabs>
        <w:spacing w:line="240" w:lineRule="auto"/>
        <w:rPr>
          <w:szCs w:val="22"/>
          <w:lang w:val="lt-LT"/>
        </w:rPr>
      </w:pPr>
    </w:p>
    <w:p w14:paraId="482D77BF" w14:textId="77777777" w:rsidR="009144A4" w:rsidRPr="00CD7E52" w:rsidRDefault="00422F25" w:rsidP="00BD0220">
      <w:pPr>
        <w:widowControl w:val="0"/>
        <w:numPr>
          <w:ilvl w:val="12"/>
          <w:numId w:val="0"/>
        </w:numPr>
        <w:tabs>
          <w:tab w:val="clear" w:pos="567"/>
        </w:tabs>
        <w:spacing w:line="240" w:lineRule="auto"/>
        <w:rPr>
          <w:szCs w:val="22"/>
          <w:lang w:val="lt-LT"/>
        </w:rPr>
      </w:pPr>
      <w:r w:rsidRPr="00422F25">
        <w:rPr>
          <w:szCs w:val="22"/>
          <w:lang w:val="lt-LT"/>
        </w:rPr>
        <w:t>Suaugusiesiems ir vaikams bei paaugliams nuo 6</w:t>
      </w:r>
      <w:r>
        <w:rPr>
          <w:szCs w:val="22"/>
          <w:lang w:val="lt-LT"/>
        </w:rPr>
        <w:t> </w:t>
      </w:r>
      <w:r w:rsidRPr="00422F25">
        <w:rPr>
          <w:szCs w:val="22"/>
          <w:lang w:val="lt-LT"/>
        </w:rPr>
        <w:t>metų ir sveriantiems ne mažiau kaip 20</w:t>
      </w:r>
      <w:r>
        <w:rPr>
          <w:szCs w:val="22"/>
          <w:lang w:val="lt-LT"/>
        </w:rPr>
        <w:t> </w:t>
      </w:r>
      <w:r w:rsidRPr="00422F25">
        <w:rPr>
          <w:szCs w:val="22"/>
          <w:lang w:val="lt-LT"/>
        </w:rPr>
        <w:t xml:space="preserve">kg, sergantiems </w:t>
      </w:r>
      <w:r w:rsidR="009144A4" w:rsidRPr="00CD7E52">
        <w:rPr>
          <w:szCs w:val="22"/>
          <w:lang w:val="lt-LT"/>
        </w:rPr>
        <w:t xml:space="preserve">psoriaze, gydymas </w:t>
      </w:r>
      <w:r w:rsidR="00D04625">
        <w:rPr>
          <w:szCs w:val="22"/>
          <w:lang w:val="lt-LT"/>
        </w:rPr>
        <w:t>a</w:t>
      </w:r>
      <w:r w:rsidR="005A4193" w:rsidRPr="00CD7E52">
        <w:rPr>
          <w:szCs w:val="22"/>
          <w:lang w:val="lt-LT"/>
        </w:rPr>
        <w:t>premilast</w:t>
      </w:r>
      <w:r w:rsidR="00D04625">
        <w:rPr>
          <w:szCs w:val="22"/>
          <w:lang w:val="lt-LT"/>
        </w:rPr>
        <w:t>u</w:t>
      </w:r>
      <w:r w:rsidR="009144A4" w:rsidRPr="00CD7E52">
        <w:rPr>
          <w:szCs w:val="22"/>
          <w:lang w:val="lt-LT"/>
        </w:rPr>
        <w:t xml:space="preserve"> sumažina psoriazės pažeistos odos </w:t>
      </w:r>
      <w:r w:rsidR="003E5EA8" w:rsidRPr="00CD7E52">
        <w:rPr>
          <w:snapToGrid/>
          <w:szCs w:val="22"/>
          <w:lang w:val="lt-LT"/>
        </w:rPr>
        <w:t>plokšteles</w:t>
      </w:r>
      <w:r w:rsidR="009144A4" w:rsidRPr="00CD7E52">
        <w:rPr>
          <w:szCs w:val="22"/>
          <w:lang w:val="lt-LT"/>
        </w:rPr>
        <w:t xml:space="preserve"> ir</w:t>
      </w:r>
      <w:r w:rsidR="009144A4" w:rsidRPr="00CD7E52">
        <w:rPr>
          <w:snapToGrid/>
          <w:szCs w:val="22"/>
          <w:lang w:val="lt-LT"/>
        </w:rPr>
        <w:t xml:space="preserve"> </w:t>
      </w:r>
      <w:r w:rsidR="003E5EA8" w:rsidRPr="00CD7E52">
        <w:rPr>
          <w:snapToGrid/>
          <w:szCs w:val="22"/>
          <w:lang w:val="lt-LT"/>
        </w:rPr>
        <w:t>palengvina</w:t>
      </w:r>
      <w:r w:rsidR="003E5EA8" w:rsidRPr="00CD7E52">
        <w:rPr>
          <w:szCs w:val="22"/>
          <w:lang w:val="lt-LT"/>
        </w:rPr>
        <w:t xml:space="preserve"> </w:t>
      </w:r>
      <w:r w:rsidR="009144A4" w:rsidRPr="00CD7E52">
        <w:rPr>
          <w:szCs w:val="22"/>
          <w:lang w:val="lt-LT"/>
        </w:rPr>
        <w:t>kitus šios ligos požymius bei</w:t>
      </w:r>
      <w:r w:rsidR="00A64664" w:rsidRPr="00CD7E52">
        <w:rPr>
          <w:szCs w:val="22"/>
          <w:lang w:val="lt-LT"/>
        </w:rPr>
        <w:t xml:space="preserve"> </w:t>
      </w:r>
      <w:r w:rsidR="009144A4" w:rsidRPr="00CD7E52">
        <w:rPr>
          <w:szCs w:val="22"/>
          <w:lang w:val="lt-LT"/>
        </w:rPr>
        <w:t>simptomus.</w:t>
      </w:r>
    </w:p>
    <w:p w14:paraId="1357A565" w14:textId="77777777" w:rsidR="00A64664" w:rsidRPr="00CD7E52" w:rsidRDefault="00A64664" w:rsidP="00BD0220">
      <w:pPr>
        <w:widowControl w:val="0"/>
        <w:numPr>
          <w:ilvl w:val="12"/>
          <w:numId w:val="0"/>
        </w:numPr>
        <w:tabs>
          <w:tab w:val="clear" w:pos="567"/>
        </w:tabs>
        <w:spacing w:line="240" w:lineRule="auto"/>
        <w:rPr>
          <w:szCs w:val="22"/>
          <w:lang w:val="lt-LT"/>
        </w:rPr>
      </w:pPr>
    </w:p>
    <w:p w14:paraId="2470C05A" w14:textId="77777777" w:rsidR="009144A4" w:rsidRPr="00CD7E52" w:rsidRDefault="00D04625" w:rsidP="00BD0220">
      <w:pPr>
        <w:widowControl w:val="0"/>
        <w:numPr>
          <w:ilvl w:val="12"/>
          <w:numId w:val="0"/>
        </w:numPr>
        <w:tabs>
          <w:tab w:val="clear" w:pos="567"/>
        </w:tabs>
        <w:spacing w:line="240" w:lineRule="auto"/>
        <w:rPr>
          <w:szCs w:val="22"/>
          <w:lang w:val="lt-LT"/>
        </w:rPr>
      </w:pPr>
      <w:r w:rsidRPr="00422F25">
        <w:rPr>
          <w:szCs w:val="22"/>
          <w:lang w:val="lt-LT"/>
        </w:rPr>
        <w:t xml:space="preserve">Suaugusiesiems, </w:t>
      </w:r>
      <w:r>
        <w:rPr>
          <w:szCs w:val="22"/>
          <w:lang w:val="lt-LT"/>
        </w:rPr>
        <w:t>s</w:t>
      </w:r>
      <w:r w:rsidRPr="00CD7E52">
        <w:rPr>
          <w:szCs w:val="22"/>
          <w:lang w:val="lt-LT"/>
        </w:rPr>
        <w:t>ergant</w:t>
      </w:r>
      <w:r>
        <w:rPr>
          <w:szCs w:val="22"/>
          <w:lang w:val="lt-LT"/>
        </w:rPr>
        <w:t>iems</w:t>
      </w:r>
      <w:r w:rsidRPr="00CD7E52" w:rsidDel="00D04625">
        <w:rPr>
          <w:snapToGrid/>
          <w:szCs w:val="22"/>
          <w:lang w:val="lt-LT"/>
        </w:rPr>
        <w:t xml:space="preserve"> </w:t>
      </w:r>
      <w:r w:rsidR="009144A4" w:rsidRPr="00CD7E52">
        <w:rPr>
          <w:szCs w:val="22"/>
          <w:lang w:val="lt-LT"/>
        </w:rPr>
        <w:t xml:space="preserve">Bechčeto </w:t>
      </w:r>
      <w:r w:rsidR="009144A4" w:rsidRPr="00CD7E52">
        <w:rPr>
          <w:snapToGrid/>
          <w:szCs w:val="22"/>
          <w:lang w:val="lt-LT"/>
        </w:rPr>
        <w:t>lig</w:t>
      </w:r>
      <w:r w:rsidR="003E5EA8" w:rsidRPr="00CD7E52">
        <w:rPr>
          <w:snapToGrid/>
          <w:szCs w:val="22"/>
          <w:lang w:val="lt-LT"/>
        </w:rPr>
        <w:t>a,</w:t>
      </w:r>
      <w:r w:rsidR="009144A4" w:rsidRPr="00CD7E52">
        <w:rPr>
          <w:szCs w:val="22"/>
          <w:lang w:val="lt-LT"/>
        </w:rPr>
        <w:t xml:space="preserve"> </w:t>
      </w:r>
      <w:r w:rsidR="00EA316D" w:rsidRPr="00CD7E52">
        <w:rPr>
          <w:szCs w:val="22"/>
          <w:lang w:val="lt-LT"/>
        </w:rPr>
        <w:t xml:space="preserve">gydymas </w:t>
      </w:r>
      <w:r w:rsidR="005A4193" w:rsidRPr="00CD7E52">
        <w:rPr>
          <w:szCs w:val="22"/>
          <w:lang w:val="lt-LT"/>
        </w:rPr>
        <w:t>Apremilast STADA</w:t>
      </w:r>
      <w:r w:rsidR="009144A4" w:rsidRPr="00CD7E52">
        <w:rPr>
          <w:szCs w:val="22"/>
          <w:lang w:val="lt-LT"/>
        </w:rPr>
        <w:t xml:space="preserve"> sumažina burnos opų skaičių ir gali jas visiškai išgydyti. Vaistas taip</w:t>
      </w:r>
      <w:r w:rsidR="00A64664" w:rsidRPr="00CD7E52">
        <w:rPr>
          <w:szCs w:val="22"/>
          <w:lang w:val="lt-LT"/>
        </w:rPr>
        <w:t xml:space="preserve"> </w:t>
      </w:r>
      <w:r w:rsidR="009144A4" w:rsidRPr="00CD7E52">
        <w:rPr>
          <w:szCs w:val="22"/>
          <w:lang w:val="lt-LT"/>
        </w:rPr>
        <w:t>pat gali sumažinti su tuo susijusį skausmą.</w:t>
      </w:r>
    </w:p>
    <w:p w14:paraId="148FFA11" w14:textId="77777777" w:rsidR="00A64664" w:rsidRPr="00CD7E52" w:rsidRDefault="00A64664" w:rsidP="00BD0220">
      <w:pPr>
        <w:widowControl w:val="0"/>
        <w:numPr>
          <w:ilvl w:val="12"/>
          <w:numId w:val="0"/>
        </w:numPr>
        <w:tabs>
          <w:tab w:val="clear" w:pos="567"/>
        </w:tabs>
        <w:spacing w:line="240" w:lineRule="auto"/>
        <w:rPr>
          <w:szCs w:val="22"/>
          <w:lang w:val="lt-LT"/>
        </w:rPr>
      </w:pPr>
    </w:p>
    <w:p w14:paraId="72790895" w14:textId="77777777" w:rsidR="00776FBE" w:rsidRPr="00CD7E52" w:rsidRDefault="00275966" w:rsidP="00BD0220">
      <w:pPr>
        <w:widowControl w:val="0"/>
        <w:numPr>
          <w:ilvl w:val="12"/>
          <w:numId w:val="0"/>
        </w:numPr>
        <w:tabs>
          <w:tab w:val="clear" w:pos="567"/>
        </w:tabs>
        <w:spacing w:line="240" w:lineRule="auto"/>
        <w:rPr>
          <w:szCs w:val="22"/>
          <w:lang w:val="lt-LT"/>
        </w:rPr>
      </w:pPr>
      <w:r w:rsidRPr="00CD7E52">
        <w:rPr>
          <w:szCs w:val="22"/>
          <w:lang w:val="lt-LT"/>
        </w:rPr>
        <w:t>Taip pat n</w:t>
      </w:r>
      <w:r w:rsidR="009144A4" w:rsidRPr="00CD7E52">
        <w:rPr>
          <w:szCs w:val="22"/>
          <w:lang w:val="lt-LT"/>
        </w:rPr>
        <w:t xml:space="preserve">ustatyta, kad </w:t>
      </w:r>
      <w:r w:rsidR="005A4193" w:rsidRPr="00CD7E52">
        <w:rPr>
          <w:szCs w:val="22"/>
          <w:lang w:val="lt-LT"/>
        </w:rPr>
        <w:t>Apremilast STADA</w:t>
      </w:r>
      <w:r w:rsidR="00A55D4D" w:rsidRPr="00CD7E52">
        <w:rPr>
          <w:szCs w:val="22"/>
          <w:lang w:val="lt-LT"/>
        </w:rPr>
        <w:t xml:space="preserve"> </w:t>
      </w:r>
      <w:r w:rsidR="009144A4" w:rsidRPr="00CD7E52">
        <w:rPr>
          <w:szCs w:val="22"/>
          <w:lang w:val="lt-LT"/>
        </w:rPr>
        <w:t>pagerina psoriaze</w:t>
      </w:r>
      <w:r w:rsidR="00D04625" w:rsidRPr="00D04625">
        <w:rPr>
          <w:rFonts w:eastAsia="Calibri"/>
          <w:snapToGrid/>
          <w:color w:val="000000"/>
          <w:szCs w:val="22"/>
          <w:lang w:val="lt-LT" w:eastAsia="lt-LT"/>
        </w:rPr>
        <w:t xml:space="preserve"> </w:t>
      </w:r>
      <w:r w:rsidR="00D04625" w:rsidRPr="00D04625">
        <w:rPr>
          <w:szCs w:val="22"/>
          <w:lang w:val="lt-LT"/>
        </w:rPr>
        <w:t>sergančių suaugusių pacientų ir vaikų</w:t>
      </w:r>
      <w:r w:rsidR="009144A4" w:rsidRPr="00CD7E52">
        <w:rPr>
          <w:szCs w:val="22"/>
          <w:lang w:val="lt-LT"/>
        </w:rPr>
        <w:t xml:space="preserve">, psoriaziniu artritu </w:t>
      </w:r>
      <w:r w:rsidR="00D04625" w:rsidRPr="00D04625">
        <w:rPr>
          <w:szCs w:val="22"/>
          <w:lang w:val="lt-LT"/>
        </w:rPr>
        <w:t xml:space="preserve">sergančių suaugusių pacientų </w:t>
      </w:r>
      <w:r w:rsidR="00D04625">
        <w:rPr>
          <w:szCs w:val="22"/>
          <w:lang w:val="lt-LT"/>
        </w:rPr>
        <w:t>i</w:t>
      </w:r>
      <w:r w:rsidR="009144A4" w:rsidRPr="00CD7E52">
        <w:rPr>
          <w:szCs w:val="22"/>
          <w:lang w:val="lt-LT"/>
        </w:rPr>
        <w:t xml:space="preserve">r Bechčeto liga sergančių </w:t>
      </w:r>
      <w:r w:rsidR="00D04625" w:rsidRPr="00D04625">
        <w:rPr>
          <w:szCs w:val="22"/>
          <w:lang w:val="lt-LT"/>
        </w:rPr>
        <w:t xml:space="preserve">suaugusių </w:t>
      </w:r>
      <w:r w:rsidR="009144A4" w:rsidRPr="00CD7E52">
        <w:rPr>
          <w:szCs w:val="22"/>
          <w:lang w:val="lt-LT"/>
        </w:rPr>
        <w:t>pacientų gyvenimo</w:t>
      </w:r>
      <w:r w:rsidR="00A64664" w:rsidRPr="00CD7E52">
        <w:rPr>
          <w:szCs w:val="22"/>
          <w:lang w:val="lt-LT"/>
        </w:rPr>
        <w:t xml:space="preserve"> </w:t>
      </w:r>
      <w:r w:rsidR="009144A4" w:rsidRPr="00CD7E52">
        <w:rPr>
          <w:szCs w:val="22"/>
          <w:lang w:val="lt-LT"/>
        </w:rPr>
        <w:t xml:space="preserve">kokybę. Tai reiškia, kad </w:t>
      </w:r>
      <w:r w:rsidR="007731C6" w:rsidRPr="00CD7E52">
        <w:rPr>
          <w:szCs w:val="22"/>
          <w:lang w:val="lt-LT"/>
        </w:rPr>
        <w:t xml:space="preserve">Jūsų būklės </w:t>
      </w:r>
      <w:r w:rsidR="009144A4" w:rsidRPr="00CD7E52">
        <w:rPr>
          <w:szCs w:val="22"/>
          <w:lang w:val="lt-LT"/>
        </w:rPr>
        <w:t xml:space="preserve">poveikis kasdienei veiklai, santykiams ir kitiems veiksniams </w:t>
      </w:r>
      <w:r w:rsidR="00AB5C0C" w:rsidRPr="00CD7E52">
        <w:rPr>
          <w:szCs w:val="22"/>
          <w:lang w:val="lt-LT"/>
        </w:rPr>
        <w:t xml:space="preserve">turėtų būti </w:t>
      </w:r>
      <w:r w:rsidR="009144A4" w:rsidRPr="00CD7E52">
        <w:rPr>
          <w:szCs w:val="22"/>
          <w:lang w:val="lt-LT"/>
        </w:rPr>
        <w:t>mažesnis</w:t>
      </w:r>
      <w:r w:rsidR="00A64664" w:rsidRPr="00CD7E52">
        <w:rPr>
          <w:szCs w:val="22"/>
          <w:lang w:val="lt-LT"/>
        </w:rPr>
        <w:t xml:space="preserve"> </w:t>
      </w:r>
      <w:r w:rsidR="009144A4" w:rsidRPr="00CD7E52">
        <w:rPr>
          <w:szCs w:val="22"/>
          <w:lang w:val="lt-LT"/>
        </w:rPr>
        <w:t>nei prieš tai.</w:t>
      </w:r>
    </w:p>
    <w:p w14:paraId="284B34FD" w14:textId="77777777" w:rsidR="009144A4" w:rsidRPr="00CD7E52" w:rsidRDefault="009144A4" w:rsidP="00BD0220">
      <w:pPr>
        <w:widowControl w:val="0"/>
        <w:numPr>
          <w:ilvl w:val="12"/>
          <w:numId w:val="0"/>
        </w:numPr>
        <w:tabs>
          <w:tab w:val="clear" w:pos="567"/>
        </w:tabs>
        <w:spacing w:line="240" w:lineRule="auto"/>
        <w:rPr>
          <w:szCs w:val="22"/>
          <w:lang w:val="lt-LT"/>
        </w:rPr>
      </w:pPr>
    </w:p>
    <w:p w14:paraId="683CA74C" w14:textId="77777777" w:rsidR="00776FBE" w:rsidRPr="00CD7E52" w:rsidRDefault="00776FBE" w:rsidP="00BD0220">
      <w:pPr>
        <w:widowControl w:val="0"/>
        <w:numPr>
          <w:ilvl w:val="12"/>
          <w:numId w:val="0"/>
        </w:numPr>
        <w:tabs>
          <w:tab w:val="clear" w:pos="567"/>
        </w:tabs>
        <w:spacing w:line="240" w:lineRule="auto"/>
        <w:rPr>
          <w:szCs w:val="22"/>
          <w:lang w:val="lt-LT"/>
        </w:rPr>
      </w:pPr>
    </w:p>
    <w:p w14:paraId="79EB0332" w14:textId="77777777" w:rsidR="00776FBE" w:rsidRPr="00CD7E52" w:rsidRDefault="00776FBE" w:rsidP="00C00052">
      <w:pPr>
        <w:widowControl w:val="0"/>
        <w:numPr>
          <w:ilvl w:val="12"/>
          <w:numId w:val="0"/>
        </w:numPr>
        <w:tabs>
          <w:tab w:val="clear" w:pos="567"/>
        </w:tabs>
        <w:spacing w:line="240" w:lineRule="auto"/>
        <w:ind w:left="567" w:hanging="567"/>
        <w:outlineLvl w:val="0"/>
        <w:rPr>
          <w:caps/>
          <w:szCs w:val="22"/>
          <w:lang w:val="lt-LT"/>
        </w:rPr>
      </w:pPr>
      <w:r w:rsidRPr="00CD7E52">
        <w:rPr>
          <w:b/>
          <w:snapToGrid/>
          <w:szCs w:val="22"/>
          <w:lang w:val="lt-LT"/>
        </w:rPr>
        <w:t>2.</w:t>
      </w:r>
      <w:r w:rsidRPr="00CD7E52">
        <w:rPr>
          <w:b/>
          <w:snapToGrid/>
          <w:szCs w:val="22"/>
          <w:lang w:val="lt-LT"/>
        </w:rPr>
        <w:tab/>
      </w:r>
      <w:r w:rsidRPr="00CD7E52">
        <w:rPr>
          <w:b/>
          <w:szCs w:val="22"/>
          <w:lang w:val="lt-LT"/>
        </w:rPr>
        <w:t xml:space="preserve">Kas žinotina prieš vartojant </w:t>
      </w:r>
      <w:r w:rsidR="005A4193" w:rsidRPr="00CD7E52">
        <w:rPr>
          <w:b/>
          <w:szCs w:val="22"/>
          <w:lang w:val="lt-LT"/>
        </w:rPr>
        <w:t>Apremilast STADA</w:t>
      </w:r>
    </w:p>
    <w:p w14:paraId="47E68748" w14:textId="77777777" w:rsidR="00776FBE" w:rsidRPr="00CD7E52" w:rsidRDefault="00776FBE" w:rsidP="00BD0220">
      <w:pPr>
        <w:widowControl w:val="0"/>
        <w:tabs>
          <w:tab w:val="clear" w:pos="567"/>
        </w:tabs>
        <w:spacing w:line="240" w:lineRule="auto"/>
        <w:ind w:left="567" w:hanging="567"/>
        <w:rPr>
          <w:szCs w:val="22"/>
          <w:lang w:val="lt-LT"/>
        </w:rPr>
      </w:pPr>
    </w:p>
    <w:p w14:paraId="71E0A135" w14:textId="77777777" w:rsidR="00776FBE" w:rsidRPr="00CD7E52" w:rsidRDefault="005A4193" w:rsidP="00BD0220">
      <w:pPr>
        <w:widowControl w:val="0"/>
        <w:tabs>
          <w:tab w:val="clear" w:pos="567"/>
        </w:tabs>
        <w:spacing w:line="240" w:lineRule="auto"/>
        <w:ind w:left="567" w:hanging="567"/>
        <w:rPr>
          <w:caps/>
          <w:szCs w:val="22"/>
          <w:lang w:val="lt-LT"/>
        </w:rPr>
      </w:pPr>
      <w:r w:rsidRPr="00CD7E52">
        <w:rPr>
          <w:b/>
          <w:szCs w:val="22"/>
          <w:lang w:val="lt-LT"/>
        </w:rPr>
        <w:t>Apremilast STADA</w:t>
      </w:r>
      <w:r w:rsidR="00776FBE" w:rsidRPr="00CD7E52">
        <w:rPr>
          <w:b/>
          <w:szCs w:val="22"/>
          <w:lang w:val="lt-LT"/>
        </w:rPr>
        <w:t xml:space="preserve"> vartoti </w:t>
      </w:r>
      <w:r w:rsidR="00B93BE9" w:rsidRPr="00CD7E52">
        <w:rPr>
          <w:b/>
          <w:bCs/>
          <w:snapToGrid/>
          <w:szCs w:val="22"/>
          <w:lang w:val="lt-LT"/>
        </w:rPr>
        <w:t>DRAUDŽIAMA</w:t>
      </w:r>
      <w:r w:rsidR="00776FBE" w:rsidRPr="00CD7E52">
        <w:rPr>
          <w:b/>
          <w:szCs w:val="22"/>
          <w:lang w:val="lt-LT"/>
        </w:rPr>
        <w:t>:</w:t>
      </w:r>
    </w:p>
    <w:p w14:paraId="5195561B" w14:textId="77777777" w:rsidR="003E5EA8" w:rsidRPr="00CD7E52" w:rsidRDefault="00776FBE" w:rsidP="00BD0220">
      <w:pPr>
        <w:widowControl w:val="0"/>
        <w:numPr>
          <w:ilvl w:val="0"/>
          <w:numId w:val="9"/>
        </w:numPr>
        <w:tabs>
          <w:tab w:val="clear" w:pos="567"/>
        </w:tabs>
        <w:autoSpaceDE w:val="0"/>
        <w:autoSpaceDN w:val="0"/>
        <w:adjustRightInd w:val="0"/>
        <w:spacing w:line="240" w:lineRule="auto"/>
        <w:ind w:left="567" w:hanging="567"/>
        <w:rPr>
          <w:szCs w:val="22"/>
          <w:lang w:val="lt-LT"/>
        </w:rPr>
      </w:pPr>
      <w:r w:rsidRPr="00CD7E52">
        <w:rPr>
          <w:szCs w:val="22"/>
          <w:lang w:val="lt-LT"/>
        </w:rPr>
        <w:t xml:space="preserve">jeigu yra alergija </w:t>
      </w:r>
      <w:r w:rsidR="003E5EA8" w:rsidRPr="00CD7E52">
        <w:rPr>
          <w:szCs w:val="22"/>
          <w:lang w:val="lt-LT"/>
        </w:rPr>
        <w:t>apremilastui</w:t>
      </w:r>
      <w:r w:rsidRPr="00CD7E52">
        <w:rPr>
          <w:szCs w:val="22"/>
          <w:lang w:val="lt-LT"/>
        </w:rPr>
        <w:t xml:space="preserve"> arba bet kuriai pagalbinei šio vaisto medžiagai (jos išvardytos 6 skyriuje)</w:t>
      </w:r>
      <w:r w:rsidR="003E5EA8" w:rsidRPr="00CD7E52">
        <w:rPr>
          <w:szCs w:val="22"/>
          <w:lang w:val="lt-LT"/>
        </w:rPr>
        <w:t>;</w:t>
      </w:r>
    </w:p>
    <w:p w14:paraId="69151A5B" w14:textId="77777777" w:rsidR="00776FBE" w:rsidRPr="00CD7E52" w:rsidRDefault="003E5EA8" w:rsidP="00BD0220">
      <w:pPr>
        <w:widowControl w:val="0"/>
        <w:numPr>
          <w:ilvl w:val="0"/>
          <w:numId w:val="9"/>
        </w:numPr>
        <w:tabs>
          <w:tab w:val="clear" w:pos="567"/>
        </w:tabs>
        <w:autoSpaceDE w:val="0"/>
        <w:autoSpaceDN w:val="0"/>
        <w:adjustRightInd w:val="0"/>
        <w:spacing w:line="240" w:lineRule="auto"/>
        <w:ind w:left="567" w:hanging="567"/>
        <w:rPr>
          <w:szCs w:val="22"/>
          <w:lang w:val="lt-LT"/>
        </w:rPr>
      </w:pPr>
      <w:r w:rsidRPr="00B86D97">
        <w:rPr>
          <w:rStyle w:val="fontstyle01"/>
          <w:rFonts w:ascii="Times New Roman" w:eastAsia="SimSun" w:hAnsi="Times New Roman"/>
          <w:lang w:val="lt-LT"/>
        </w:rPr>
        <w:t>jeigu esate n</w:t>
      </w:r>
      <w:r w:rsidRPr="00B86D97">
        <w:rPr>
          <w:rStyle w:val="fontstyle01"/>
          <w:rFonts w:ascii="Times New Roman" w:eastAsia="SimSun" w:hAnsi="Times New Roman" w:hint="cs"/>
          <w:lang w:val="lt-LT"/>
        </w:rPr>
        <w:t>ė</w:t>
      </w:r>
      <w:r w:rsidRPr="00B86D97">
        <w:rPr>
          <w:rStyle w:val="fontstyle01"/>
          <w:rFonts w:ascii="Times New Roman" w:eastAsia="SimSun" w:hAnsi="Times New Roman" w:hint="eastAsia"/>
          <w:lang w:val="lt-LT"/>
        </w:rPr>
        <w:t>š</w:t>
      </w:r>
      <w:r w:rsidRPr="00B86D97">
        <w:rPr>
          <w:rStyle w:val="fontstyle01"/>
          <w:rFonts w:ascii="Times New Roman" w:eastAsia="SimSun" w:hAnsi="Times New Roman" w:hint="cs"/>
          <w:lang w:val="lt-LT"/>
        </w:rPr>
        <w:t>č</w:t>
      </w:r>
      <w:r w:rsidRPr="00B86D97">
        <w:rPr>
          <w:rStyle w:val="fontstyle01"/>
          <w:rFonts w:ascii="Times New Roman" w:eastAsia="SimSun" w:hAnsi="Times New Roman"/>
          <w:lang w:val="lt-LT"/>
        </w:rPr>
        <w:t>ia arba manote, kad galite b</w:t>
      </w:r>
      <w:r w:rsidR="00377566">
        <w:rPr>
          <w:rStyle w:val="fontstyle01"/>
          <w:rFonts w:ascii="Times New Roman" w:eastAsia="SimSun" w:hAnsi="Times New Roman"/>
          <w:lang w:val="lt-LT"/>
        </w:rPr>
        <w:t>ū</w:t>
      </w:r>
      <w:r w:rsidRPr="00B86D97">
        <w:rPr>
          <w:rStyle w:val="fontstyle01"/>
          <w:rFonts w:ascii="Times New Roman" w:eastAsia="SimSun" w:hAnsi="Times New Roman"/>
          <w:lang w:val="lt-LT"/>
        </w:rPr>
        <w:t>ti n</w:t>
      </w:r>
      <w:r w:rsidRPr="00B86D97">
        <w:rPr>
          <w:rStyle w:val="fontstyle01"/>
          <w:rFonts w:ascii="Times New Roman" w:eastAsia="SimSun" w:hAnsi="Times New Roman" w:hint="cs"/>
          <w:lang w:val="lt-LT"/>
        </w:rPr>
        <w:t>ė</w:t>
      </w:r>
      <w:r w:rsidRPr="00B86D97">
        <w:rPr>
          <w:rStyle w:val="fontstyle01"/>
          <w:rFonts w:ascii="Times New Roman" w:eastAsia="SimSun" w:hAnsi="Times New Roman" w:hint="eastAsia"/>
          <w:lang w:val="lt-LT"/>
        </w:rPr>
        <w:t>š</w:t>
      </w:r>
      <w:r w:rsidRPr="00B86D97">
        <w:rPr>
          <w:rStyle w:val="fontstyle01"/>
          <w:rFonts w:ascii="Times New Roman" w:eastAsia="SimSun" w:hAnsi="Times New Roman" w:hint="cs"/>
          <w:lang w:val="lt-LT"/>
        </w:rPr>
        <w:t>č</w:t>
      </w:r>
      <w:r w:rsidRPr="00B86D97">
        <w:rPr>
          <w:rStyle w:val="fontstyle01"/>
          <w:rFonts w:ascii="Times New Roman" w:eastAsia="SimSun" w:hAnsi="Times New Roman"/>
          <w:lang w:val="lt-LT"/>
        </w:rPr>
        <w:t>ia</w:t>
      </w:r>
      <w:r w:rsidR="00776FBE" w:rsidRPr="00CD7E52">
        <w:rPr>
          <w:szCs w:val="22"/>
          <w:lang w:val="lt-LT"/>
        </w:rPr>
        <w:t>.</w:t>
      </w:r>
    </w:p>
    <w:p w14:paraId="69A0F903" w14:textId="77777777" w:rsidR="00776FBE" w:rsidRPr="00CD7E52" w:rsidRDefault="00776FBE" w:rsidP="00BD0220">
      <w:pPr>
        <w:widowControl w:val="0"/>
        <w:tabs>
          <w:tab w:val="clear" w:pos="567"/>
        </w:tabs>
        <w:autoSpaceDE w:val="0"/>
        <w:autoSpaceDN w:val="0"/>
        <w:adjustRightInd w:val="0"/>
        <w:spacing w:line="240" w:lineRule="auto"/>
        <w:rPr>
          <w:szCs w:val="22"/>
          <w:lang w:val="lt-LT"/>
        </w:rPr>
      </w:pPr>
    </w:p>
    <w:p w14:paraId="5F7DCDC4" w14:textId="77777777" w:rsidR="00776FBE" w:rsidRPr="00CD7E52" w:rsidRDefault="00776FBE" w:rsidP="00BD0220">
      <w:pPr>
        <w:widowControl w:val="0"/>
        <w:tabs>
          <w:tab w:val="clear" w:pos="567"/>
        </w:tabs>
        <w:spacing w:line="240" w:lineRule="auto"/>
        <w:ind w:left="567" w:hanging="567"/>
        <w:rPr>
          <w:szCs w:val="22"/>
          <w:lang w:val="lt-LT"/>
        </w:rPr>
      </w:pPr>
      <w:r w:rsidRPr="00CD7E52">
        <w:rPr>
          <w:b/>
          <w:szCs w:val="22"/>
          <w:lang w:val="lt-LT"/>
        </w:rPr>
        <w:t>Įspėjimai ir atsargumo priemonės</w:t>
      </w:r>
    </w:p>
    <w:p w14:paraId="784BC4B2" w14:textId="77777777" w:rsidR="00A72CCB" w:rsidRPr="00CD7E52" w:rsidRDefault="00A72CCB"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Pasitarkite su gydytoju arba vaistininku, prieš pradėdami vartoti </w:t>
      </w:r>
      <w:r w:rsidR="005A4193" w:rsidRPr="00CD7E52">
        <w:rPr>
          <w:szCs w:val="22"/>
          <w:lang w:val="lt-LT"/>
        </w:rPr>
        <w:t>Apremilast STADA</w:t>
      </w:r>
      <w:r w:rsidRPr="00CD7E52">
        <w:rPr>
          <w:szCs w:val="22"/>
          <w:lang w:val="lt-LT"/>
        </w:rPr>
        <w:t>.</w:t>
      </w:r>
    </w:p>
    <w:p w14:paraId="0DC5E178" w14:textId="77777777" w:rsidR="00A72CCB" w:rsidRPr="00CD7E52" w:rsidRDefault="00A72CCB" w:rsidP="00BD0220">
      <w:pPr>
        <w:widowControl w:val="0"/>
        <w:tabs>
          <w:tab w:val="clear" w:pos="567"/>
        </w:tabs>
        <w:autoSpaceDE w:val="0"/>
        <w:autoSpaceDN w:val="0"/>
        <w:adjustRightInd w:val="0"/>
        <w:spacing w:line="240" w:lineRule="auto"/>
        <w:rPr>
          <w:szCs w:val="22"/>
          <w:lang w:val="lt-LT"/>
        </w:rPr>
      </w:pPr>
    </w:p>
    <w:p w14:paraId="7B67755B" w14:textId="77777777" w:rsidR="00A72CCB" w:rsidRPr="00CD7E52" w:rsidRDefault="00A72CCB" w:rsidP="00BD0220">
      <w:pPr>
        <w:widowControl w:val="0"/>
        <w:tabs>
          <w:tab w:val="clear" w:pos="567"/>
        </w:tabs>
        <w:autoSpaceDE w:val="0"/>
        <w:autoSpaceDN w:val="0"/>
        <w:adjustRightInd w:val="0"/>
        <w:spacing w:line="240" w:lineRule="auto"/>
        <w:rPr>
          <w:szCs w:val="22"/>
          <w:lang w:val="lt-LT"/>
        </w:rPr>
      </w:pPr>
      <w:r w:rsidRPr="00CD7E52">
        <w:rPr>
          <w:b/>
          <w:szCs w:val="22"/>
          <w:lang w:val="lt-LT"/>
        </w:rPr>
        <w:t>Depresija ir mintys apie savižudybę</w:t>
      </w:r>
    </w:p>
    <w:p w14:paraId="4B0E302D" w14:textId="77777777" w:rsidR="00A72CCB" w:rsidRPr="00CD7E52" w:rsidRDefault="00A72CCB"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Prieš pradėdami vartoti </w:t>
      </w:r>
      <w:r w:rsidR="005A4193" w:rsidRPr="00CD7E52">
        <w:rPr>
          <w:szCs w:val="22"/>
          <w:lang w:val="lt-LT"/>
        </w:rPr>
        <w:t>Apremilast STADA</w:t>
      </w:r>
      <w:r w:rsidRPr="00CD7E52">
        <w:rPr>
          <w:szCs w:val="22"/>
          <w:lang w:val="lt-LT"/>
        </w:rPr>
        <w:t xml:space="preserve"> pasakykite gydytojui, jei sergate depresija, kuri sunkėja ir </w:t>
      </w:r>
      <w:r w:rsidRPr="00CD7E52">
        <w:rPr>
          <w:snapToGrid/>
          <w:szCs w:val="22"/>
          <w:lang w:val="lt-LT"/>
        </w:rPr>
        <w:t>atsiranda</w:t>
      </w:r>
      <w:r w:rsidRPr="00CD7E52">
        <w:rPr>
          <w:szCs w:val="22"/>
          <w:lang w:val="lt-LT"/>
        </w:rPr>
        <w:t xml:space="preserve"> minčių apie savižudybę.</w:t>
      </w:r>
    </w:p>
    <w:p w14:paraId="7A5AFB98" w14:textId="77777777" w:rsidR="00B93BE9" w:rsidRPr="00CD7E52" w:rsidRDefault="00B93BE9" w:rsidP="00BD0220">
      <w:pPr>
        <w:widowControl w:val="0"/>
        <w:tabs>
          <w:tab w:val="clear" w:pos="567"/>
        </w:tabs>
        <w:autoSpaceDE w:val="0"/>
        <w:autoSpaceDN w:val="0"/>
        <w:adjustRightInd w:val="0"/>
        <w:spacing w:line="240" w:lineRule="auto"/>
        <w:rPr>
          <w:szCs w:val="22"/>
          <w:lang w:val="lt-LT"/>
        </w:rPr>
      </w:pPr>
    </w:p>
    <w:p w14:paraId="0F7300D7" w14:textId="77777777" w:rsidR="00A72CCB" w:rsidRPr="00CD7E52" w:rsidRDefault="00A72CCB"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Jūs arba Jūsų globėjas taip pat turėtumėte nedelsdami pasakyti gydytojui apie </w:t>
      </w:r>
      <w:r w:rsidR="00B3344B" w:rsidRPr="00CD7E52">
        <w:rPr>
          <w:szCs w:val="22"/>
          <w:lang w:val="lt-LT"/>
        </w:rPr>
        <w:t>bet kokius</w:t>
      </w:r>
      <w:r w:rsidRPr="00CD7E52">
        <w:rPr>
          <w:szCs w:val="22"/>
          <w:lang w:val="lt-LT"/>
        </w:rPr>
        <w:t xml:space="preserve"> elgesio ar nuotaikos pokyčius, depresijos </w:t>
      </w:r>
      <w:r w:rsidRPr="00CD7E52">
        <w:rPr>
          <w:snapToGrid/>
          <w:szCs w:val="22"/>
          <w:lang w:val="lt-LT"/>
        </w:rPr>
        <w:t>pojūtį</w:t>
      </w:r>
      <w:r w:rsidRPr="00CD7E52">
        <w:rPr>
          <w:szCs w:val="22"/>
          <w:lang w:val="lt-LT"/>
        </w:rPr>
        <w:t xml:space="preserve"> ir visas mintis apie savižudybę, </w:t>
      </w:r>
      <w:r w:rsidRPr="00CD7E52">
        <w:rPr>
          <w:snapToGrid/>
          <w:szCs w:val="22"/>
          <w:lang w:val="lt-LT"/>
        </w:rPr>
        <w:t>kurių</w:t>
      </w:r>
      <w:r w:rsidRPr="00CD7E52">
        <w:rPr>
          <w:szCs w:val="22"/>
          <w:lang w:val="lt-LT"/>
        </w:rPr>
        <w:t xml:space="preserve"> gali kilti </w:t>
      </w:r>
      <w:r w:rsidRPr="00CD7E52">
        <w:rPr>
          <w:snapToGrid/>
          <w:szCs w:val="22"/>
          <w:lang w:val="lt-LT"/>
        </w:rPr>
        <w:t>pavartojus</w:t>
      </w:r>
      <w:r w:rsidRPr="00CD7E52">
        <w:rPr>
          <w:szCs w:val="22"/>
          <w:lang w:val="lt-LT"/>
        </w:rPr>
        <w:t xml:space="preserve"> </w:t>
      </w:r>
      <w:r w:rsidR="005A4193" w:rsidRPr="00CD7E52">
        <w:rPr>
          <w:szCs w:val="22"/>
          <w:lang w:val="lt-LT"/>
        </w:rPr>
        <w:t>Apremilast STADA</w:t>
      </w:r>
      <w:r w:rsidRPr="00CD7E52">
        <w:rPr>
          <w:szCs w:val="22"/>
          <w:lang w:val="lt-LT"/>
        </w:rPr>
        <w:t>.</w:t>
      </w:r>
    </w:p>
    <w:p w14:paraId="49F3ED14" w14:textId="77777777" w:rsidR="00A72CCB" w:rsidRPr="00CD7E52" w:rsidRDefault="00A72CCB" w:rsidP="00BD0220">
      <w:pPr>
        <w:widowControl w:val="0"/>
        <w:tabs>
          <w:tab w:val="clear" w:pos="567"/>
        </w:tabs>
        <w:autoSpaceDE w:val="0"/>
        <w:autoSpaceDN w:val="0"/>
        <w:adjustRightInd w:val="0"/>
        <w:spacing w:line="240" w:lineRule="auto"/>
        <w:rPr>
          <w:szCs w:val="22"/>
          <w:lang w:val="lt-LT"/>
        </w:rPr>
      </w:pPr>
    </w:p>
    <w:p w14:paraId="2DDB0237" w14:textId="77777777" w:rsidR="00A72CCB" w:rsidRPr="00CD7E52" w:rsidRDefault="00A72CCB" w:rsidP="00BD0220">
      <w:pPr>
        <w:widowControl w:val="0"/>
        <w:tabs>
          <w:tab w:val="clear" w:pos="567"/>
        </w:tabs>
        <w:autoSpaceDE w:val="0"/>
        <w:autoSpaceDN w:val="0"/>
        <w:adjustRightInd w:val="0"/>
        <w:spacing w:line="240" w:lineRule="auto"/>
        <w:rPr>
          <w:szCs w:val="22"/>
          <w:lang w:val="lt-LT"/>
        </w:rPr>
      </w:pPr>
      <w:r w:rsidRPr="00CD7E52">
        <w:rPr>
          <w:b/>
          <w:szCs w:val="22"/>
          <w:lang w:val="lt-LT"/>
        </w:rPr>
        <w:t>Sunkūs inkstų sutrikimai</w:t>
      </w:r>
    </w:p>
    <w:p w14:paraId="45F0CBAD" w14:textId="77777777" w:rsidR="00A72CCB" w:rsidRPr="00CD7E52" w:rsidRDefault="00A72CCB" w:rsidP="00BD0220">
      <w:pPr>
        <w:widowControl w:val="0"/>
        <w:tabs>
          <w:tab w:val="clear" w:pos="567"/>
        </w:tabs>
        <w:autoSpaceDE w:val="0"/>
        <w:autoSpaceDN w:val="0"/>
        <w:adjustRightInd w:val="0"/>
        <w:spacing w:line="240" w:lineRule="auto"/>
        <w:rPr>
          <w:szCs w:val="22"/>
          <w:lang w:val="lt-LT"/>
        </w:rPr>
      </w:pPr>
      <w:r w:rsidRPr="00CD7E52">
        <w:rPr>
          <w:szCs w:val="22"/>
          <w:lang w:val="lt-LT"/>
        </w:rPr>
        <w:t>Jei</w:t>
      </w:r>
      <w:r w:rsidR="00094B57" w:rsidRPr="00CD7E52">
        <w:rPr>
          <w:szCs w:val="22"/>
          <w:lang w:val="lt-LT"/>
        </w:rPr>
        <w:t>gu</w:t>
      </w:r>
      <w:r w:rsidRPr="00CD7E52">
        <w:rPr>
          <w:szCs w:val="22"/>
          <w:lang w:val="lt-LT"/>
        </w:rPr>
        <w:t xml:space="preserve"> </w:t>
      </w:r>
      <w:r w:rsidRPr="00CD7E52">
        <w:rPr>
          <w:snapToGrid/>
          <w:szCs w:val="22"/>
          <w:lang w:val="lt-LT"/>
        </w:rPr>
        <w:t>Jums yra</w:t>
      </w:r>
      <w:r w:rsidRPr="00CD7E52">
        <w:rPr>
          <w:szCs w:val="22"/>
          <w:lang w:val="lt-LT"/>
        </w:rPr>
        <w:t xml:space="preserve"> sunkių inkstų sutrikimų, dozė bus kitokia – žr. 3 skyrių.</w:t>
      </w:r>
    </w:p>
    <w:p w14:paraId="41C28191" w14:textId="77777777" w:rsidR="00A72CCB" w:rsidRPr="00CD7E52" w:rsidRDefault="00A72CCB" w:rsidP="00BD0220">
      <w:pPr>
        <w:widowControl w:val="0"/>
        <w:tabs>
          <w:tab w:val="clear" w:pos="567"/>
        </w:tabs>
        <w:autoSpaceDE w:val="0"/>
        <w:autoSpaceDN w:val="0"/>
        <w:adjustRightInd w:val="0"/>
        <w:spacing w:line="240" w:lineRule="auto"/>
        <w:rPr>
          <w:szCs w:val="22"/>
          <w:lang w:val="lt-LT"/>
        </w:rPr>
      </w:pPr>
    </w:p>
    <w:p w14:paraId="5DF169B9" w14:textId="77777777" w:rsidR="00A72CCB" w:rsidRPr="00CD7E52" w:rsidRDefault="00A72CCB" w:rsidP="00BD0220">
      <w:pPr>
        <w:widowControl w:val="0"/>
        <w:tabs>
          <w:tab w:val="clear" w:pos="567"/>
        </w:tabs>
        <w:autoSpaceDE w:val="0"/>
        <w:autoSpaceDN w:val="0"/>
        <w:adjustRightInd w:val="0"/>
        <w:spacing w:line="240" w:lineRule="auto"/>
        <w:rPr>
          <w:szCs w:val="22"/>
          <w:lang w:val="lt-LT"/>
        </w:rPr>
      </w:pPr>
      <w:r w:rsidRPr="00CD7E52">
        <w:rPr>
          <w:b/>
          <w:szCs w:val="22"/>
          <w:lang w:val="lt-LT"/>
        </w:rPr>
        <w:t>Jei</w:t>
      </w:r>
      <w:r w:rsidR="009725B7" w:rsidRPr="00CD7E52">
        <w:rPr>
          <w:b/>
          <w:szCs w:val="22"/>
          <w:lang w:val="lt-LT"/>
        </w:rPr>
        <w:t>gu</w:t>
      </w:r>
      <w:r w:rsidRPr="00CD7E52">
        <w:rPr>
          <w:b/>
          <w:szCs w:val="22"/>
          <w:lang w:val="lt-LT"/>
        </w:rPr>
        <w:t xml:space="preserve"> Jūsų </w:t>
      </w:r>
      <w:r w:rsidRPr="00CD7E52">
        <w:rPr>
          <w:b/>
          <w:bCs/>
          <w:snapToGrid/>
          <w:szCs w:val="22"/>
          <w:lang w:val="lt-LT"/>
        </w:rPr>
        <w:t xml:space="preserve">kūno </w:t>
      </w:r>
      <w:r w:rsidRPr="00CD7E52">
        <w:rPr>
          <w:b/>
          <w:szCs w:val="22"/>
          <w:lang w:val="lt-LT"/>
        </w:rPr>
        <w:t xml:space="preserve">svoris </w:t>
      </w:r>
      <w:r w:rsidRPr="00CD7E52">
        <w:rPr>
          <w:b/>
          <w:bCs/>
          <w:snapToGrid/>
          <w:szCs w:val="22"/>
          <w:lang w:val="lt-LT"/>
        </w:rPr>
        <w:t>per mažas</w:t>
      </w:r>
    </w:p>
    <w:p w14:paraId="1171B414" w14:textId="77777777" w:rsidR="00A72CCB" w:rsidRPr="00CD7E52" w:rsidRDefault="00A72CCB"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Vartodami </w:t>
      </w:r>
      <w:r w:rsidR="005A4193" w:rsidRPr="00CD7E52">
        <w:rPr>
          <w:szCs w:val="22"/>
          <w:lang w:val="lt-LT"/>
        </w:rPr>
        <w:t>Apremilast STADA</w:t>
      </w:r>
      <w:r w:rsidRPr="00CD7E52">
        <w:rPr>
          <w:szCs w:val="22"/>
          <w:lang w:val="lt-LT"/>
        </w:rPr>
        <w:t xml:space="preserve">, </w:t>
      </w:r>
      <w:r w:rsidR="00F314C5" w:rsidRPr="00CD7E52">
        <w:rPr>
          <w:snapToGrid/>
          <w:szCs w:val="22"/>
          <w:lang w:val="lt-LT"/>
        </w:rPr>
        <w:t>pasitarkite</w:t>
      </w:r>
      <w:r w:rsidRPr="00CD7E52">
        <w:rPr>
          <w:szCs w:val="22"/>
          <w:lang w:val="lt-LT"/>
        </w:rPr>
        <w:t xml:space="preserve"> su gydytoju, jei </w:t>
      </w:r>
      <w:r w:rsidRPr="00CD7E52">
        <w:rPr>
          <w:snapToGrid/>
          <w:szCs w:val="22"/>
          <w:lang w:val="lt-LT"/>
        </w:rPr>
        <w:t>neplanuotai mažėja kūno svoris</w:t>
      </w:r>
      <w:r w:rsidRPr="00CD7E52">
        <w:rPr>
          <w:szCs w:val="22"/>
          <w:lang w:val="lt-LT"/>
        </w:rPr>
        <w:t>.</w:t>
      </w:r>
    </w:p>
    <w:p w14:paraId="52161CE2" w14:textId="77777777" w:rsidR="00A72CCB" w:rsidRPr="00CD7E52" w:rsidRDefault="00A72CCB" w:rsidP="00BD0220">
      <w:pPr>
        <w:widowControl w:val="0"/>
        <w:tabs>
          <w:tab w:val="clear" w:pos="567"/>
        </w:tabs>
        <w:autoSpaceDE w:val="0"/>
        <w:autoSpaceDN w:val="0"/>
        <w:adjustRightInd w:val="0"/>
        <w:spacing w:line="240" w:lineRule="auto"/>
        <w:rPr>
          <w:szCs w:val="22"/>
          <w:lang w:val="lt-LT"/>
        </w:rPr>
      </w:pPr>
    </w:p>
    <w:p w14:paraId="355EFE17" w14:textId="77777777" w:rsidR="00A72CCB" w:rsidRPr="00CD7E52" w:rsidRDefault="00A72CCB" w:rsidP="00DB2543">
      <w:pPr>
        <w:keepNext/>
        <w:keepLines/>
        <w:widowControl w:val="0"/>
        <w:tabs>
          <w:tab w:val="clear" w:pos="567"/>
        </w:tabs>
        <w:autoSpaceDE w:val="0"/>
        <w:autoSpaceDN w:val="0"/>
        <w:adjustRightInd w:val="0"/>
        <w:spacing w:line="240" w:lineRule="auto"/>
        <w:rPr>
          <w:szCs w:val="22"/>
          <w:lang w:val="lt-LT"/>
        </w:rPr>
      </w:pPr>
      <w:r w:rsidRPr="00CD7E52">
        <w:rPr>
          <w:b/>
          <w:szCs w:val="22"/>
          <w:lang w:val="lt-LT"/>
        </w:rPr>
        <w:lastRenderedPageBreak/>
        <w:t>Žarnyno sutrikimai</w:t>
      </w:r>
    </w:p>
    <w:p w14:paraId="18469917" w14:textId="77777777" w:rsidR="00776FBE" w:rsidRPr="00CD7E52" w:rsidRDefault="00A72CCB" w:rsidP="00DB2543">
      <w:pPr>
        <w:keepNext/>
        <w:keepLines/>
        <w:widowControl w:val="0"/>
        <w:numPr>
          <w:ilvl w:val="12"/>
          <w:numId w:val="0"/>
        </w:numPr>
        <w:tabs>
          <w:tab w:val="clear" w:pos="567"/>
        </w:tabs>
        <w:spacing w:line="240" w:lineRule="auto"/>
        <w:rPr>
          <w:szCs w:val="22"/>
          <w:lang w:val="lt-LT"/>
        </w:rPr>
      </w:pPr>
      <w:r w:rsidRPr="00CD7E52">
        <w:rPr>
          <w:szCs w:val="22"/>
          <w:lang w:val="lt-LT"/>
        </w:rPr>
        <w:t>Jeigu Jums pasireiškia sunkus viduriavimas, pykinimas arba vėmimas, pasitarkite su gydytoju.</w:t>
      </w:r>
    </w:p>
    <w:p w14:paraId="676BCDF0" w14:textId="77777777" w:rsidR="00A72CCB" w:rsidRPr="00CD7E52" w:rsidRDefault="00A72CCB" w:rsidP="00BD0220">
      <w:pPr>
        <w:widowControl w:val="0"/>
        <w:numPr>
          <w:ilvl w:val="12"/>
          <w:numId w:val="0"/>
        </w:numPr>
        <w:tabs>
          <w:tab w:val="clear" w:pos="567"/>
        </w:tabs>
        <w:spacing w:line="240" w:lineRule="auto"/>
        <w:rPr>
          <w:szCs w:val="22"/>
          <w:lang w:val="lt-LT"/>
        </w:rPr>
      </w:pPr>
    </w:p>
    <w:p w14:paraId="2DC84E13" w14:textId="77777777" w:rsidR="00776FBE" w:rsidRPr="00CD7E52" w:rsidRDefault="00776FBE" w:rsidP="00BD0220">
      <w:pPr>
        <w:widowControl w:val="0"/>
        <w:tabs>
          <w:tab w:val="clear" w:pos="567"/>
        </w:tabs>
        <w:autoSpaceDE w:val="0"/>
        <w:autoSpaceDN w:val="0"/>
        <w:adjustRightInd w:val="0"/>
        <w:spacing w:line="240" w:lineRule="auto"/>
        <w:rPr>
          <w:rFonts w:eastAsia="TimesNewRoman,Bold"/>
          <w:szCs w:val="22"/>
          <w:lang w:val="lt-LT"/>
        </w:rPr>
      </w:pPr>
      <w:r w:rsidRPr="00CD7E52">
        <w:rPr>
          <w:rFonts w:eastAsia="TimesNewRoman,Bold"/>
          <w:b/>
          <w:szCs w:val="22"/>
          <w:lang w:val="lt-LT"/>
        </w:rPr>
        <w:t>Vaikams ir paaugliams</w:t>
      </w:r>
    </w:p>
    <w:p w14:paraId="7867F93A" w14:textId="77777777" w:rsidR="00D04625" w:rsidRPr="00D04625" w:rsidRDefault="00D04625" w:rsidP="00D04625">
      <w:pPr>
        <w:widowControl w:val="0"/>
        <w:tabs>
          <w:tab w:val="clear" w:pos="567"/>
        </w:tabs>
        <w:autoSpaceDE w:val="0"/>
        <w:autoSpaceDN w:val="0"/>
        <w:adjustRightInd w:val="0"/>
        <w:spacing w:line="240" w:lineRule="auto"/>
        <w:rPr>
          <w:rFonts w:eastAsia="TimesNewRoman,Bold"/>
          <w:szCs w:val="22"/>
          <w:lang w:val="lt-LT"/>
        </w:rPr>
      </w:pPr>
      <w:r w:rsidRPr="00CD7E52">
        <w:rPr>
          <w:szCs w:val="22"/>
          <w:lang w:val="lt-LT"/>
        </w:rPr>
        <w:t>Apremilast STADA</w:t>
      </w:r>
      <w:r w:rsidRPr="00D04625">
        <w:rPr>
          <w:rFonts w:eastAsia="TimesNewRoman,Bold"/>
          <w:szCs w:val="22"/>
          <w:lang w:val="lt-LT"/>
        </w:rPr>
        <w:t xml:space="preserve"> nerekomenduojama vartoti vaikams, kurie serga vidutinio sunkumo arba sunkia plokštelin</w:t>
      </w:r>
      <w:r>
        <w:rPr>
          <w:rFonts w:eastAsia="TimesNewRoman,Bold"/>
          <w:szCs w:val="22"/>
          <w:lang w:val="lt-LT"/>
        </w:rPr>
        <w:t>e</w:t>
      </w:r>
      <w:r w:rsidRPr="00D04625">
        <w:rPr>
          <w:rFonts w:eastAsia="TimesNewRoman,Bold"/>
          <w:szCs w:val="22"/>
          <w:lang w:val="lt-LT"/>
        </w:rPr>
        <w:t xml:space="preserve"> psoriaze ir yra jaunesni kaip 6</w:t>
      </w:r>
      <w:r>
        <w:rPr>
          <w:rFonts w:eastAsia="TimesNewRoman,Bold"/>
          <w:szCs w:val="22"/>
          <w:lang w:val="lt-LT"/>
        </w:rPr>
        <w:t> </w:t>
      </w:r>
      <w:r w:rsidRPr="00D04625">
        <w:rPr>
          <w:rFonts w:eastAsia="TimesNewRoman,Bold"/>
          <w:szCs w:val="22"/>
          <w:lang w:val="lt-LT"/>
        </w:rPr>
        <w:t>metų arba sveria mažiau kaip 20</w:t>
      </w:r>
      <w:r>
        <w:rPr>
          <w:rFonts w:eastAsia="TimesNewRoman,Bold"/>
          <w:szCs w:val="22"/>
          <w:lang w:val="lt-LT"/>
        </w:rPr>
        <w:t> </w:t>
      </w:r>
      <w:r w:rsidRPr="00D04625">
        <w:rPr>
          <w:rFonts w:eastAsia="TimesNewRoman,Bold"/>
          <w:szCs w:val="22"/>
          <w:lang w:val="lt-LT"/>
        </w:rPr>
        <w:t xml:space="preserve">kg, nes jis nebuvo tirtas šiose amžiaus ir svorio grupėse. </w:t>
      </w:r>
    </w:p>
    <w:p w14:paraId="47D12D77" w14:textId="77777777" w:rsidR="00776FBE" w:rsidRPr="00CD7E52" w:rsidRDefault="00D04625" w:rsidP="00D04625">
      <w:pPr>
        <w:widowControl w:val="0"/>
        <w:tabs>
          <w:tab w:val="clear" w:pos="567"/>
        </w:tabs>
        <w:autoSpaceDE w:val="0"/>
        <w:autoSpaceDN w:val="0"/>
        <w:adjustRightInd w:val="0"/>
        <w:spacing w:line="240" w:lineRule="auto"/>
        <w:rPr>
          <w:rFonts w:eastAsia="TimesNewRoman,Bold"/>
          <w:szCs w:val="22"/>
          <w:lang w:val="lt-LT"/>
        </w:rPr>
      </w:pPr>
      <w:r w:rsidRPr="00CD7E52">
        <w:rPr>
          <w:szCs w:val="22"/>
          <w:lang w:val="lt-LT"/>
        </w:rPr>
        <w:t>Apremilast STADA</w:t>
      </w:r>
      <w:r w:rsidRPr="00D04625">
        <w:rPr>
          <w:rFonts w:eastAsia="TimesNewRoman,Bold"/>
          <w:szCs w:val="22"/>
          <w:lang w:val="lt-LT"/>
        </w:rPr>
        <w:t xml:space="preserve"> nerekomenduojama vartoti vaikams ir jaunesniems nei 18</w:t>
      </w:r>
      <w:r>
        <w:rPr>
          <w:rFonts w:eastAsia="TimesNewRoman,Bold"/>
          <w:szCs w:val="22"/>
          <w:lang w:val="lt-LT"/>
        </w:rPr>
        <w:t> </w:t>
      </w:r>
      <w:r w:rsidRPr="00D04625">
        <w:rPr>
          <w:rFonts w:eastAsia="TimesNewRoman,Bold"/>
          <w:szCs w:val="22"/>
          <w:lang w:val="lt-LT"/>
        </w:rPr>
        <w:t>metų paaugliams pagal kitas indikacijas, nes saugumas ir veiksmingumas šioje amžiaus grupėje nenustatytas.</w:t>
      </w:r>
    </w:p>
    <w:p w14:paraId="3ECA10C3" w14:textId="77777777" w:rsidR="00BB2BF3" w:rsidRPr="00CD7E52" w:rsidRDefault="00BB2BF3" w:rsidP="00BD0220">
      <w:pPr>
        <w:widowControl w:val="0"/>
        <w:numPr>
          <w:ilvl w:val="12"/>
          <w:numId w:val="0"/>
        </w:numPr>
        <w:tabs>
          <w:tab w:val="clear" w:pos="567"/>
        </w:tabs>
        <w:spacing w:line="240" w:lineRule="auto"/>
        <w:rPr>
          <w:b/>
          <w:szCs w:val="22"/>
          <w:lang w:val="lt-LT"/>
        </w:rPr>
      </w:pPr>
    </w:p>
    <w:p w14:paraId="68F1DD35" w14:textId="77777777" w:rsidR="00776FBE" w:rsidRPr="00CD7E52" w:rsidRDefault="00776FBE" w:rsidP="00BD0220">
      <w:pPr>
        <w:widowControl w:val="0"/>
        <w:numPr>
          <w:ilvl w:val="12"/>
          <w:numId w:val="0"/>
        </w:numPr>
        <w:tabs>
          <w:tab w:val="clear" w:pos="567"/>
        </w:tabs>
        <w:spacing w:line="240" w:lineRule="auto"/>
        <w:rPr>
          <w:szCs w:val="22"/>
          <w:lang w:val="lt-LT"/>
        </w:rPr>
      </w:pPr>
      <w:r w:rsidRPr="00CD7E52">
        <w:rPr>
          <w:b/>
          <w:szCs w:val="22"/>
          <w:lang w:val="lt-LT"/>
        </w:rPr>
        <w:t xml:space="preserve">Kiti vaistai ir </w:t>
      </w:r>
      <w:r w:rsidR="005A4193" w:rsidRPr="00CD7E52">
        <w:rPr>
          <w:b/>
          <w:szCs w:val="22"/>
          <w:lang w:val="lt-LT"/>
        </w:rPr>
        <w:t>Apremilast STADA</w:t>
      </w:r>
    </w:p>
    <w:p w14:paraId="21C02853" w14:textId="77777777" w:rsidR="00A72CCB" w:rsidRPr="00CD7E52" w:rsidRDefault="00776FBE"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Jeigu vartojate ar neseniai vartojote kitų vaistų arba </w:t>
      </w:r>
      <w:r w:rsidR="00D22D22" w:rsidRPr="00CD7E52">
        <w:rPr>
          <w:szCs w:val="22"/>
          <w:lang w:val="lt-LT"/>
        </w:rPr>
        <w:t>dėl to</w:t>
      </w:r>
      <w:r w:rsidR="00D22D22" w:rsidRPr="00CD7E52">
        <w:rPr>
          <w:snapToGrid/>
          <w:szCs w:val="22"/>
          <w:lang w:val="lt-LT"/>
        </w:rPr>
        <w:t xml:space="preserve"> </w:t>
      </w:r>
      <w:r w:rsidRPr="00CD7E52">
        <w:rPr>
          <w:snapToGrid/>
          <w:szCs w:val="22"/>
          <w:lang w:val="lt-LT"/>
        </w:rPr>
        <w:t xml:space="preserve">nesate </w:t>
      </w:r>
      <w:r w:rsidRPr="00CD7E52">
        <w:rPr>
          <w:szCs w:val="22"/>
          <w:lang w:val="lt-LT"/>
        </w:rPr>
        <w:t>tikri, apie tai pasakykite gydytojui arba vaistininkui.</w:t>
      </w:r>
      <w:r w:rsidR="00975BA5" w:rsidRPr="00CD7E52">
        <w:rPr>
          <w:szCs w:val="22"/>
          <w:lang w:val="lt-LT"/>
        </w:rPr>
        <w:t xml:space="preserve"> </w:t>
      </w:r>
      <w:r w:rsidR="00A72CCB" w:rsidRPr="00CD7E52">
        <w:rPr>
          <w:szCs w:val="22"/>
          <w:lang w:val="lt-LT"/>
        </w:rPr>
        <w:t xml:space="preserve">Tai taikoma ir vaistams, </w:t>
      </w:r>
      <w:r w:rsidR="00A72CCB" w:rsidRPr="00CD7E52">
        <w:rPr>
          <w:snapToGrid/>
          <w:szCs w:val="22"/>
          <w:lang w:val="lt-LT"/>
        </w:rPr>
        <w:t>kuri</w:t>
      </w:r>
      <w:r w:rsidR="00975BA5" w:rsidRPr="00CD7E52">
        <w:rPr>
          <w:snapToGrid/>
          <w:szCs w:val="22"/>
          <w:lang w:val="lt-LT"/>
        </w:rPr>
        <w:t>ų</w:t>
      </w:r>
      <w:r w:rsidR="00A72CCB" w:rsidRPr="00CD7E52">
        <w:rPr>
          <w:szCs w:val="22"/>
          <w:lang w:val="lt-LT"/>
        </w:rPr>
        <w:t xml:space="preserve"> galima įsigyti be recepto, </w:t>
      </w:r>
      <w:r w:rsidR="00975BA5" w:rsidRPr="00CD7E52">
        <w:rPr>
          <w:snapToGrid/>
          <w:szCs w:val="22"/>
          <w:lang w:val="lt-LT"/>
        </w:rPr>
        <w:t>bei</w:t>
      </w:r>
      <w:r w:rsidR="00A72CCB" w:rsidRPr="00CD7E52">
        <w:rPr>
          <w:szCs w:val="22"/>
          <w:lang w:val="lt-LT"/>
        </w:rPr>
        <w:t xml:space="preserve"> augaliniams vaistams. </w:t>
      </w:r>
      <w:r w:rsidR="00A72CCB" w:rsidRPr="00CD7E52">
        <w:rPr>
          <w:snapToGrid/>
          <w:szCs w:val="22"/>
          <w:lang w:val="lt-LT"/>
        </w:rPr>
        <w:t>Tai</w:t>
      </w:r>
      <w:r w:rsidR="00975BA5" w:rsidRPr="00CD7E52">
        <w:rPr>
          <w:snapToGrid/>
          <w:szCs w:val="22"/>
          <w:lang w:val="lt-LT"/>
        </w:rPr>
        <w:t xml:space="preserve"> būtina</w:t>
      </w:r>
      <w:r w:rsidR="00A72CCB" w:rsidRPr="00CD7E52">
        <w:rPr>
          <w:szCs w:val="22"/>
          <w:lang w:val="lt-LT"/>
        </w:rPr>
        <w:t xml:space="preserve"> dėl</w:t>
      </w:r>
      <w:r w:rsidR="00975BA5" w:rsidRPr="00CD7E52">
        <w:rPr>
          <w:szCs w:val="22"/>
          <w:lang w:val="lt-LT"/>
        </w:rPr>
        <w:t xml:space="preserve"> t</w:t>
      </w:r>
      <w:r w:rsidR="00A72CCB" w:rsidRPr="00CD7E52">
        <w:rPr>
          <w:szCs w:val="22"/>
          <w:lang w:val="lt-LT"/>
        </w:rPr>
        <w:t xml:space="preserve">o, kad </w:t>
      </w:r>
      <w:r w:rsidR="005A4193" w:rsidRPr="00CD7E52">
        <w:rPr>
          <w:szCs w:val="22"/>
          <w:lang w:val="lt-LT"/>
        </w:rPr>
        <w:t>Apremilast STADA</w:t>
      </w:r>
      <w:r w:rsidR="00A72CCB" w:rsidRPr="00CD7E52">
        <w:rPr>
          <w:szCs w:val="22"/>
          <w:lang w:val="lt-LT"/>
        </w:rPr>
        <w:t xml:space="preserve"> gali turėti įtakos kitų vaistų </w:t>
      </w:r>
      <w:r w:rsidR="00975BA5" w:rsidRPr="00CD7E52">
        <w:rPr>
          <w:snapToGrid/>
          <w:szCs w:val="22"/>
          <w:lang w:val="lt-LT"/>
        </w:rPr>
        <w:t>poveikiui</w:t>
      </w:r>
      <w:r w:rsidR="00A72CCB" w:rsidRPr="00CD7E52">
        <w:rPr>
          <w:szCs w:val="22"/>
          <w:lang w:val="lt-LT"/>
        </w:rPr>
        <w:t xml:space="preserve">. Taip pat kai kurie kiti vaistai gali turėti įtakos </w:t>
      </w:r>
      <w:r w:rsidR="005A4193" w:rsidRPr="00CD7E52">
        <w:rPr>
          <w:szCs w:val="22"/>
          <w:lang w:val="lt-LT"/>
        </w:rPr>
        <w:t>Apremilast STADA</w:t>
      </w:r>
      <w:r w:rsidR="00975BA5" w:rsidRPr="00CD7E52">
        <w:rPr>
          <w:szCs w:val="22"/>
          <w:lang w:val="lt-LT"/>
        </w:rPr>
        <w:t xml:space="preserve"> </w:t>
      </w:r>
      <w:r w:rsidR="00975BA5" w:rsidRPr="00CD7E52">
        <w:rPr>
          <w:snapToGrid/>
          <w:szCs w:val="22"/>
          <w:lang w:val="lt-LT"/>
        </w:rPr>
        <w:t>poveikiui</w:t>
      </w:r>
      <w:r w:rsidR="00A72CCB" w:rsidRPr="00CD7E52">
        <w:rPr>
          <w:szCs w:val="22"/>
          <w:lang w:val="lt-LT"/>
        </w:rPr>
        <w:t>.</w:t>
      </w:r>
    </w:p>
    <w:p w14:paraId="63D7CB79" w14:textId="77777777" w:rsidR="00975BA5" w:rsidRPr="00CD7E52" w:rsidRDefault="00975BA5" w:rsidP="00BD0220">
      <w:pPr>
        <w:widowControl w:val="0"/>
        <w:tabs>
          <w:tab w:val="clear" w:pos="567"/>
        </w:tabs>
        <w:autoSpaceDE w:val="0"/>
        <w:autoSpaceDN w:val="0"/>
        <w:adjustRightInd w:val="0"/>
        <w:spacing w:line="240" w:lineRule="auto"/>
        <w:rPr>
          <w:szCs w:val="22"/>
          <w:lang w:val="lt-LT"/>
        </w:rPr>
      </w:pPr>
    </w:p>
    <w:p w14:paraId="68A5BA32" w14:textId="77777777" w:rsidR="00A72CCB" w:rsidRPr="00CD7E52" w:rsidRDefault="00A72CCB"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Prieš pradedant vartoti </w:t>
      </w:r>
      <w:r w:rsidR="005A4193" w:rsidRPr="00CD7E52">
        <w:rPr>
          <w:szCs w:val="22"/>
          <w:lang w:val="lt-LT"/>
        </w:rPr>
        <w:t>Apremilast STADA</w:t>
      </w:r>
      <w:r w:rsidRPr="00CD7E52">
        <w:rPr>
          <w:szCs w:val="22"/>
          <w:lang w:val="lt-LT"/>
        </w:rPr>
        <w:t>, ypač svarbu pasakyti gydytojui arba vaistininkui, jeigu vartojate kurį nors iš</w:t>
      </w:r>
      <w:r w:rsidR="00B66D0D" w:rsidRPr="00CD7E52">
        <w:rPr>
          <w:szCs w:val="22"/>
          <w:lang w:val="lt-LT"/>
        </w:rPr>
        <w:t xml:space="preserve"> </w:t>
      </w:r>
      <w:r w:rsidRPr="00CD7E52">
        <w:rPr>
          <w:szCs w:val="22"/>
          <w:lang w:val="lt-LT"/>
        </w:rPr>
        <w:t>šių vaistų:</w:t>
      </w:r>
    </w:p>
    <w:p w14:paraId="38E4F6D1" w14:textId="77777777" w:rsidR="00A72CCB" w:rsidRPr="00CD7E52" w:rsidRDefault="00A72CCB" w:rsidP="00BD0220">
      <w:pPr>
        <w:widowControl w:val="0"/>
        <w:numPr>
          <w:ilvl w:val="0"/>
          <w:numId w:val="14"/>
        </w:numPr>
        <w:tabs>
          <w:tab w:val="clear" w:pos="567"/>
        </w:tabs>
        <w:spacing w:line="240" w:lineRule="auto"/>
        <w:ind w:left="567" w:hanging="567"/>
        <w:rPr>
          <w:szCs w:val="22"/>
          <w:lang w:val="lt-LT"/>
        </w:rPr>
      </w:pPr>
      <w:r w:rsidRPr="00CD7E52">
        <w:rPr>
          <w:szCs w:val="22"/>
          <w:lang w:val="lt-LT"/>
        </w:rPr>
        <w:t>rifampicin</w:t>
      </w:r>
      <w:r w:rsidR="00F62ACE" w:rsidRPr="00CD7E52">
        <w:rPr>
          <w:szCs w:val="22"/>
          <w:lang w:val="lt-LT"/>
        </w:rPr>
        <w:t>o</w:t>
      </w:r>
      <w:r w:rsidRPr="00CD7E52">
        <w:rPr>
          <w:szCs w:val="22"/>
          <w:lang w:val="lt-LT"/>
        </w:rPr>
        <w:t xml:space="preserve"> – antibiotik</w:t>
      </w:r>
      <w:r w:rsidR="00F62ACE" w:rsidRPr="00CD7E52">
        <w:rPr>
          <w:szCs w:val="22"/>
          <w:lang w:val="lt-LT"/>
        </w:rPr>
        <w:t>o</w:t>
      </w:r>
      <w:r w:rsidRPr="00CD7E52">
        <w:rPr>
          <w:szCs w:val="22"/>
          <w:lang w:val="lt-LT"/>
        </w:rPr>
        <w:t>, vartojam</w:t>
      </w:r>
      <w:r w:rsidR="00F62ACE" w:rsidRPr="00CD7E52">
        <w:rPr>
          <w:szCs w:val="22"/>
          <w:lang w:val="lt-LT"/>
        </w:rPr>
        <w:t>o</w:t>
      </w:r>
      <w:r w:rsidRPr="00CD7E52">
        <w:rPr>
          <w:szCs w:val="22"/>
          <w:lang w:val="lt-LT"/>
        </w:rPr>
        <w:t xml:space="preserve"> tuberkuliozei gydyti;</w:t>
      </w:r>
    </w:p>
    <w:p w14:paraId="42DD83EC" w14:textId="77777777" w:rsidR="00A72CCB" w:rsidRPr="00CD7E52" w:rsidRDefault="00B66D0D" w:rsidP="00BD0220">
      <w:pPr>
        <w:widowControl w:val="0"/>
        <w:numPr>
          <w:ilvl w:val="0"/>
          <w:numId w:val="14"/>
        </w:numPr>
        <w:tabs>
          <w:tab w:val="clear" w:pos="567"/>
        </w:tabs>
        <w:spacing w:line="240" w:lineRule="auto"/>
        <w:ind w:left="567" w:hanging="567"/>
        <w:rPr>
          <w:szCs w:val="22"/>
          <w:lang w:val="lt-LT"/>
        </w:rPr>
      </w:pPr>
      <w:r w:rsidRPr="00CD7E52">
        <w:rPr>
          <w:szCs w:val="22"/>
          <w:lang w:val="lt-LT"/>
        </w:rPr>
        <w:t>f</w:t>
      </w:r>
      <w:r w:rsidR="00A72CCB" w:rsidRPr="00CD7E52">
        <w:rPr>
          <w:szCs w:val="22"/>
          <w:lang w:val="lt-LT"/>
        </w:rPr>
        <w:t>enitoin</w:t>
      </w:r>
      <w:r w:rsidR="00F62ACE" w:rsidRPr="00CD7E52">
        <w:rPr>
          <w:szCs w:val="22"/>
          <w:lang w:val="lt-LT"/>
        </w:rPr>
        <w:t>o</w:t>
      </w:r>
      <w:r w:rsidR="00A72CCB" w:rsidRPr="00CD7E52">
        <w:rPr>
          <w:szCs w:val="22"/>
          <w:lang w:val="lt-LT"/>
        </w:rPr>
        <w:t>, fenobarbital</w:t>
      </w:r>
      <w:r w:rsidR="00F62ACE" w:rsidRPr="00CD7E52">
        <w:rPr>
          <w:szCs w:val="22"/>
          <w:lang w:val="lt-LT"/>
        </w:rPr>
        <w:t>io</w:t>
      </w:r>
      <w:r w:rsidR="00A72CCB" w:rsidRPr="00CD7E52">
        <w:rPr>
          <w:szCs w:val="22"/>
          <w:lang w:val="lt-LT"/>
        </w:rPr>
        <w:t xml:space="preserve"> ir karbamazepin</w:t>
      </w:r>
      <w:r w:rsidR="00F62ACE" w:rsidRPr="00CD7E52">
        <w:rPr>
          <w:szCs w:val="22"/>
          <w:lang w:val="lt-LT"/>
        </w:rPr>
        <w:t>o</w:t>
      </w:r>
      <w:r w:rsidR="00A72CCB" w:rsidRPr="00CD7E52">
        <w:rPr>
          <w:szCs w:val="22"/>
          <w:lang w:val="lt-LT"/>
        </w:rPr>
        <w:t xml:space="preserve"> – vaist</w:t>
      </w:r>
      <w:r w:rsidR="00F62ACE" w:rsidRPr="00CD7E52">
        <w:rPr>
          <w:szCs w:val="22"/>
          <w:lang w:val="lt-LT"/>
        </w:rPr>
        <w:t>ų</w:t>
      </w:r>
      <w:r w:rsidR="00A72CCB" w:rsidRPr="00CD7E52">
        <w:rPr>
          <w:szCs w:val="22"/>
          <w:lang w:val="lt-LT"/>
        </w:rPr>
        <w:t xml:space="preserve">, kurie vartojami </w:t>
      </w:r>
      <w:r w:rsidRPr="00CD7E52">
        <w:rPr>
          <w:snapToGrid/>
          <w:szCs w:val="22"/>
          <w:lang w:val="lt-LT"/>
        </w:rPr>
        <w:t>traukuliams</w:t>
      </w:r>
      <w:r w:rsidR="00A72CCB" w:rsidRPr="00CD7E52">
        <w:rPr>
          <w:szCs w:val="22"/>
          <w:lang w:val="lt-LT"/>
        </w:rPr>
        <w:t xml:space="preserve"> arba epilepsijai</w:t>
      </w:r>
      <w:r w:rsidRPr="00CD7E52">
        <w:rPr>
          <w:szCs w:val="22"/>
          <w:lang w:val="lt-LT"/>
        </w:rPr>
        <w:t xml:space="preserve"> </w:t>
      </w:r>
      <w:r w:rsidR="00A72CCB" w:rsidRPr="00CD7E52">
        <w:rPr>
          <w:szCs w:val="22"/>
          <w:lang w:val="lt-LT"/>
        </w:rPr>
        <w:t>gydyti;</w:t>
      </w:r>
    </w:p>
    <w:p w14:paraId="471ABFF6" w14:textId="77777777" w:rsidR="00776FBE" w:rsidRPr="00CD7E52" w:rsidRDefault="00B66D0D" w:rsidP="00BD0220">
      <w:pPr>
        <w:widowControl w:val="0"/>
        <w:numPr>
          <w:ilvl w:val="0"/>
          <w:numId w:val="14"/>
        </w:numPr>
        <w:tabs>
          <w:tab w:val="clear" w:pos="567"/>
        </w:tabs>
        <w:spacing w:line="240" w:lineRule="auto"/>
        <w:ind w:left="567" w:hanging="567"/>
        <w:rPr>
          <w:szCs w:val="22"/>
          <w:lang w:val="lt-LT"/>
        </w:rPr>
      </w:pPr>
      <w:r w:rsidRPr="00CD7E52">
        <w:rPr>
          <w:snapToGrid/>
          <w:szCs w:val="22"/>
          <w:lang w:val="lt-LT"/>
        </w:rPr>
        <w:t xml:space="preserve">paprastosios </w:t>
      </w:r>
      <w:r w:rsidR="00A72CCB" w:rsidRPr="00CD7E52">
        <w:rPr>
          <w:szCs w:val="22"/>
          <w:lang w:val="lt-LT"/>
        </w:rPr>
        <w:t>jonažolės– augalin</w:t>
      </w:r>
      <w:r w:rsidR="000505C2">
        <w:rPr>
          <w:szCs w:val="22"/>
          <w:lang w:val="lt-LT"/>
        </w:rPr>
        <w:t>io</w:t>
      </w:r>
      <w:r w:rsidR="00A72CCB" w:rsidRPr="00CD7E52">
        <w:rPr>
          <w:szCs w:val="22"/>
          <w:lang w:val="lt-LT"/>
        </w:rPr>
        <w:t xml:space="preserve"> vaist</w:t>
      </w:r>
      <w:r w:rsidR="000505C2">
        <w:rPr>
          <w:szCs w:val="22"/>
          <w:lang w:val="lt-LT"/>
        </w:rPr>
        <w:t>o</w:t>
      </w:r>
      <w:r w:rsidR="00A72CCB" w:rsidRPr="00CD7E52">
        <w:rPr>
          <w:szCs w:val="22"/>
          <w:lang w:val="lt-LT"/>
        </w:rPr>
        <w:t>, vartojam</w:t>
      </w:r>
      <w:r w:rsidR="000505C2">
        <w:rPr>
          <w:szCs w:val="22"/>
          <w:lang w:val="lt-LT"/>
        </w:rPr>
        <w:t>o</w:t>
      </w:r>
      <w:r w:rsidR="00A72CCB" w:rsidRPr="00CD7E52">
        <w:rPr>
          <w:snapToGrid/>
          <w:szCs w:val="22"/>
          <w:lang w:val="lt-LT"/>
        </w:rPr>
        <w:t xml:space="preserve"> </w:t>
      </w:r>
      <w:r w:rsidRPr="00CD7E52">
        <w:rPr>
          <w:snapToGrid/>
          <w:szCs w:val="22"/>
          <w:lang w:val="lt-LT"/>
        </w:rPr>
        <w:t>lengvam</w:t>
      </w:r>
      <w:r w:rsidRPr="00CD7E52">
        <w:rPr>
          <w:szCs w:val="22"/>
          <w:lang w:val="lt-LT"/>
        </w:rPr>
        <w:t xml:space="preserve"> </w:t>
      </w:r>
      <w:r w:rsidR="00A72CCB" w:rsidRPr="00CD7E52">
        <w:rPr>
          <w:szCs w:val="22"/>
          <w:lang w:val="lt-LT"/>
        </w:rPr>
        <w:t>nerimui ir depresijai gydyti.</w:t>
      </w:r>
    </w:p>
    <w:p w14:paraId="6843284A" w14:textId="77777777" w:rsidR="00A72CCB" w:rsidRPr="00CD7E52" w:rsidRDefault="00A72CCB" w:rsidP="00BD0220">
      <w:pPr>
        <w:widowControl w:val="0"/>
        <w:tabs>
          <w:tab w:val="clear" w:pos="567"/>
        </w:tabs>
        <w:autoSpaceDE w:val="0"/>
        <w:autoSpaceDN w:val="0"/>
        <w:adjustRightInd w:val="0"/>
        <w:spacing w:line="240" w:lineRule="auto"/>
        <w:rPr>
          <w:szCs w:val="22"/>
          <w:lang w:val="lt-LT"/>
        </w:rPr>
      </w:pPr>
    </w:p>
    <w:p w14:paraId="736D9C9C" w14:textId="77777777" w:rsidR="00776FBE" w:rsidRPr="00CD7E52" w:rsidRDefault="00776FBE" w:rsidP="00BD0220">
      <w:pPr>
        <w:widowControl w:val="0"/>
        <w:tabs>
          <w:tab w:val="clear" w:pos="567"/>
        </w:tabs>
        <w:autoSpaceDE w:val="0"/>
        <w:autoSpaceDN w:val="0"/>
        <w:adjustRightInd w:val="0"/>
        <w:spacing w:line="240" w:lineRule="auto"/>
        <w:rPr>
          <w:rFonts w:eastAsia="TimesNewRoman,Bold"/>
          <w:szCs w:val="22"/>
          <w:lang w:val="lt-LT"/>
        </w:rPr>
      </w:pPr>
      <w:r w:rsidRPr="00CD7E52">
        <w:rPr>
          <w:rFonts w:eastAsia="TimesNewRoman,Bold"/>
          <w:b/>
          <w:szCs w:val="22"/>
          <w:lang w:val="lt-LT"/>
        </w:rPr>
        <w:t>Nėštumas ir žindymo laikotarpis</w:t>
      </w:r>
    </w:p>
    <w:p w14:paraId="4F1E04EE" w14:textId="77777777" w:rsidR="00D04625" w:rsidRDefault="00D04625" w:rsidP="00BD0220">
      <w:pPr>
        <w:widowControl w:val="0"/>
        <w:tabs>
          <w:tab w:val="clear" w:pos="567"/>
        </w:tabs>
        <w:autoSpaceDE w:val="0"/>
        <w:autoSpaceDN w:val="0"/>
        <w:adjustRightInd w:val="0"/>
        <w:spacing w:line="240" w:lineRule="auto"/>
        <w:rPr>
          <w:rFonts w:eastAsia="TimesNewRoman,Bold"/>
          <w:szCs w:val="22"/>
          <w:lang w:val="lt-LT"/>
        </w:rPr>
      </w:pPr>
    </w:p>
    <w:p w14:paraId="4DB00CD4" w14:textId="77777777" w:rsidR="00D04625" w:rsidRDefault="00D04625" w:rsidP="00BD0220">
      <w:pPr>
        <w:widowControl w:val="0"/>
        <w:tabs>
          <w:tab w:val="clear" w:pos="567"/>
        </w:tabs>
        <w:autoSpaceDE w:val="0"/>
        <w:autoSpaceDN w:val="0"/>
        <w:adjustRightInd w:val="0"/>
        <w:spacing w:line="240" w:lineRule="auto"/>
        <w:rPr>
          <w:rFonts w:eastAsia="TimesNewRoman,Bold"/>
          <w:szCs w:val="22"/>
          <w:lang w:val="lt-LT"/>
        </w:rPr>
      </w:pPr>
      <w:r w:rsidRPr="00D04625">
        <w:rPr>
          <w:rFonts w:eastAsia="TimesNewRoman,Bold"/>
          <w:b/>
          <w:bCs/>
          <w:szCs w:val="22"/>
          <w:lang w:val="lt-LT"/>
        </w:rPr>
        <w:t>Apremilast STADA vartoti negalima, jeigu esate nėščia arba manote, kad galbūt esate nėščia.</w:t>
      </w:r>
    </w:p>
    <w:p w14:paraId="75E91035" w14:textId="77777777" w:rsidR="00D04625" w:rsidRDefault="00D04625" w:rsidP="00BD0220">
      <w:pPr>
        <w:widowControl w:val="0"/>
        <w:tabs>
          <w:tab w:val="clear" w:pos="567"/>
        </w:tabs>
        <w:autoSpaceDE w:val="0"/>
        <w:autoSpaceDN w:val="0"/>
        <w:adjustRightInd w:val="0"/>
        <w:spacing w:line="240" w:lineRule="auto"/>
        <w:rPr>
          <w:rFonts w:eastAsia="TimesNewRoman,Bold"/>
          <w:szCs w:val="22"/>
          <w:lang w:val="lt-LT"/>
        </w:rPr>
      </w:pPr>
    </w:p>
    <w:p w14:paraId="091FB060" w14:textId="77777777" w:rsidR="00776FBE" w:rsidRPr="00CD7E52" w:rsidRDefault="00776FBE" w:rsidP="00BD0220">
      <w:pPr>
        <w:widowControl w:val="0"/>
        <w:tabs>
          <w:tab w:val="clear" w:pos="567"/>
        </w:tabs>
        <w:autoSpaceDE w:val="0"/>
        <w:autoSpaceDN w:val="0"/>
        <w:adjustRightInd w:val="0"/>
        <w:spacing w:line="240" w:lineRule="auto"/>
        <w:rPr>
          <w:rFonts w:eastAsia="TimesNewRoman,Bold"/>
          <w:szCs w:val="22"/>
          <w:lang w:val="lt-LT"/>
        </w:rPr>
      </w:pPr>
      <w:r w:rsidRPr="00CD7E52">
        <w:rPr>
          <w:rFonts w:eastAsia="TimesNewRoman,Bold"/>
          <w:szCs w:val="22"/>
          <w:lang w:val="lt-LT"/>
        </w:rPr>
        <w:t>Jeigu esate nėščia, žindote kūdikį, manote, kad galbūt esate nėščia</w:t>
      </w:r>
      <w:r w:rsidRPr="00CD7E52">
        <w:rPr>
          <w:rFonts w:eastAsia="TimesNewRoman,Bold"/>
          <w:snapToGrid/>
          <w:szCs w:val="22"/>
          <w:lang w:val="lt-LT"/>
        </w:rPr>
        <w:t>,</w:t>
      </w:r>
      <w:r w:rsidRPr="00CD7E52">
        <w:rPr>
          <w:rFonts w:eastAsia="TimesNewRoman,Bold"/>
          <w:szCs w:val="22"/>
          <w:lang w:val="lt-LT"/>
        </w:rPr>
        <w:t xml:space="preserve"> arba planuojate pastoti, tai prieš vartodama šį vaistą pasitarkite su gydytoju arba vaistininku.</w:t>
      </w:r>
    </w:p>
    <w:p w14:paraId="1FBE14BD" w14:textId="77777777" w:rsidR="00A72CCB" w:rsidRPr="00CD7E52" w:rsidRDefault="00F97567" w:rsidP="00BD0220">
      <w:pPr>
        <w:widowControl w:val="0"/>
        <w:tabs>
          <w:tab w:val="clear" w:pos="567"/>
        </w:tabs>
        <w:autoSpaceDE w:val="0"/>
        <w:autoSpaceDN w:val="0"/>
        <w:adjustRightInd w:val="0"/>
        <w:spacing w:line="240" w:lineRule="auto"/>
        <w:rPr>
          <w:rFonts w:eastAsia="TimesNewRoman,Bold"/>
          <w:szCs w:val="22"/>
          <w:lang w:val="lt-LT"/>
        </w:rPr>
      </w:pPr>
      <w:r>
        <w:rPr>
          <w:rFonts w:eastAsia="TimesNewRoman,Bold"/>
          <w:szCs w:val="22"/>
          <w:lang w:val="lt-LT"/>
        </w:rPr>
        <w:t>Duomenų</w:t>
      </w:r>
      <w:r w:rsidRPr="00CD7E52">
        <w:rPr>
          <w:rFonts w:eastAsia="TimesNewRoman,Bold"/>
          <w:szCs w:val="22"/>
          <w:lang w:val="lt-LT"/>
        </w:rPr>
        <w:t xml:space="preserve"> </w:t>
      </w:r>
      <w:r w:rsidR="00A72CCB" w:rsidRPr="00CD7E52">
        <w:rPr>
          <w:rFonts w:eastAsia="TimesNewRoman,Bold"/>
          <w:szCs w:val="22"/>
          <w:lang w:val="lt-LT"/>
        </w:rPr>
        <w:t xml:space="preserve">apie </w:t>
      </w:r>
      <w:r w:rsidR="005A4193" w:rsidRPr="00CD7E52">
        <w:rPr>
          <w:rFonts w:eastAsia="TimesNewRoman,Bold"/>
          <w:szCs w:val="22"/>
          <w:lang w:val="lt-LT"/>
        </w:rPr>
        <w:t>Apremilast STADA</w:t>
      </w:r>
      <w:r w:rsidR="00A72CCB" w:rsidRPr="00CD7E52">
        <w:rPr>
          <w:rFonts w:eastAsia="TimesNewRoman,Bold"/>
          <w:szCs w:val="22"/>
          <w:lang w:val="lt-LT"/>
        </w:rPr>
        <w:t xml:space="preserve"> vartojimą nėštumo metu </w:t>
      </w:r>
      <w:r>
        <w:rPr>
          <w:rFonts w:eastAsia="TimesNewRoman,Bold"/>
          <w:szCs w:val="22"/>
          <w:lang w:val="lt-LT"/>
        </w:rPr>
        <w:t>nėra arba jų yra nedaug</w:t>
      </w:r>
      <w:r w:rsidR="00A72CCB" w:rsidRPr="00CD7E52">
        <w:rPr>
          <w:rFonts w:eastAsia="TimesNewRoman,Bold"/>
          <w:szCs w:val="22"/>
          <w:lang w:val="lt-LT"/>
        </w:rPr>
        <w:t xml:space="preserve">. </w:t>
      </w:r>
      <w:r w:rsidR="00835CC5" w:rsidRPr="00CD7E52">
        <w:rPr>
          <w:rFonts w:eastAsia="TimesNewRoman,Bold"/>
          <w:snapToGrid/>
          <w:szCs w:val="22"/>
          <w:lang w:val="lt-LT"/>
        </w:rPr>
        <w:t>Vartojant</w:t>
      </w:r>
      <w:r w:rsidR="00835CC5" w:rsidRPr="00CD7E52">
        <w:rPr>
          <w:rFonts w:eastAsia="TimesNewRoman,Bold"/>
          <w:szCs w:val="22"/>
          <w:lang w:val="lt-LT"/>
        </w:rPr>
        <w:t xml:space="preserve"> š</w:t>
      </w:r>
      <w:r w:rsidR="005F054A" w:rsidRPr="00CD7E52">
        <w:rPr>
          <w:rFonts w:eastAsia="TimesNewRoman,Bold"/>
          <w:szCs w:val="22"/>
          <w:lang w:val="lt-LT"/>
        </w:rPr>
        <w:t>io</w:t>
      </w:r>
      <w:r w:rsidR="00835CC5" w:rsidRPr="00CD7E52">
        <w:rPr>
          <w:rFonts w:eastAsia="TimesNewRoman,Bold"/>
          <w:szCs w:val="22"/>
          <w:lang w:val="lt-LT"/>
        </w:rPr>
        <w:t xml:space="preserve"> vaist</w:t>
      </w:r>
      <w:r w:rsidR="005F054A" w:rsidRPr="00CD7E52">
        <w:rPr>
          <w:rFonts w:eastAsia="TimesNewRoman,Bold"/>
          <w:szCs w:val="22"/>
          <w:lang w:val="lt-LT"/>
        </w:rPr>
        <w:t>o</w:t>
      </w:r>
      <w:r w:rsidR="00A72CCB" w:rsidRPr="00CD7E52">
        <w:rPr>
          <w:rFonts w:eastAsia="TimesNewRoman,Bold"/>
          <w:szCs w:val="22"/>
          <w:lang w:val="lt-LT"/>
        </w:rPr>
        <w:t xml:space="preserve"> pastoti negalima, todėl</w:t>
      </w:r>
      <w:r w:rsidR="00835CC5" w:rsidRPr="00CD7E52">
        <w:rPr>
          <w:rFonts w:eastAsia="TimesNewRoman,Bold"/>
          <w:szCs w:val="22"/>
          <w:lang w:val="lt-LT"/>
        </w:rPr>
        <w:t xml:space="preserve"> </w:t>
      </w:r>
      <w:r w:rsidR="00835CC5" w:rsidRPr="00CD7E52">
        <w:rPr>
          <w:rFonts w:eastAsia="TimesNewRoman,Bold"/>
          <w:snapToGrid/>
          <w:szCs w:val="22"/>
          <w:lang w:val="lt-LT"/>
        </w:rPr>
        <w:t xml:space="preserve">gydymo </w:t>
      </w:r>
      <w:r w:rsidR="005A4193" w:rsidRPr="00CD7E52">
        <w:rPr>
          <w:rFonts w:eastAsia="TimesNewRoman,Bold"/>
          <w:snapToGrid/>
          <w:szCs w:val="22"/>
          <w:lang w:val="lt-LT"/>
        </w:rPr>
        <w:t>Apremilast STADA</w:t>
      </w:r>
      <w:r w:rsidR="00835CC5" w:rsidRPr="00CD7E52">
        <w:rPr>
          <w:rFonts w:eastAsia="TimesNewRoman,Bold"/>
          <w:snapToGrid/>
          <w:szCs w:val="22"/>
          <w:lang w:val="lt-LT"/>
        </w:rPr>
        <w:t xml:space="preserve"> metu </w:t>
      </w:r>
      <w:r w:rsidR="00A72CCB" w:rsidRPr="00CD7E52">
        <w:rPr>
          <w:rFonts w:eastAsia="TimesNewRoman,Bold"/>
          <w:szCs w:val="22"/>
          <w:lang w:val="lt-LT"/>
        </w:rPr>
        <w:t>reikia naudoti veiksmingą kontracepcijos metodą.</w:t>
      </w:r>
    </w:p>
    <w:p w14:paraId="5A2E6389" w14:textId="77777777" w:rsidR="00776FBE" w:rsidRPr="00CD7E52" w:rsidRDefault="00A72CCB" w:rsidP="00BD0220">
      <w:pPr>
        <w:widowControl w:val="0"/>
        <w:tabs>
          <w:tab w:val="clear" w:pos="567"/>
        </w:tabs>
        <w:autoSpaceDE w:val="0"/>
        <w:autoSpaceDN w:val="0"/>
        <w:adjustRightInd w:val="0"/>
        <w:spacing w:line="240" w:lineRule="auto"/>
        <w:rPr>
          <w:rFonts w:eastAsia="TimesNewRoman,Bold"/>
          <w:szCs w:val="22"/>
          <w:lang w:val="lt-LT"/>
        </w:rPr>
      </w:pPr>
      <w:r w:rsidRPr="00CD7E52">
        <w:rPr>
          <w:rFonts w:eastAsia="TimesNewRoman,Bold"/>
          <w:szCs w:val="22"/>
          <w:lang w:val="lt-LT"/>
        </w:rPr>
        <w:t xml:space="preserve">Nežinoma, ar šis vaistas išsiskiria į </w:t>
      </w:r>
      <w:r w:rsidR="00DD6D28">
        <w:rPr>
          <w:rFonts w:eastAsia="TimesNewRoman,Bold"/>
          <w:szCs w:val="22"/>
          <w:lang w:val="lt-LT"/>
        </w:rPr>
        <w:t>gydytų moterų</w:t>
      </w:r>
      <w:r w:rsidR="00DD6D28" w:rsidRPr="00CD7E52">
        <w:rPr>
          <w:rFonts w:eastAsia="TimesNewRoman,Bold"/>
          <w:szCs w:val="22"/>
          <w:lang w:val="lt-LT"/>
        </w:rPr>
        <w:t xml:space="preserve"> </w:t>
      </w:r>
      <w:r w:rsidRPr="00CD7E52">
        <w:rPr>
          <w:rFonts w:eastAsia="TimesNewRoman,Bold"/>
          <w:szCs w:val="22"/>
          <w:lang w:val="lt-LT"/>
        </w:rPr>
        <w:t xml:space="preserve">pieną. </w:t>
      </w:r>
      <w:r w:rsidR="005A4193" w:rsidRPr="00CD7E52">
        <w:rPr>
          <w:rFonts w:eastAsia="TimesNewRoman,Bold"/>
          <w:szCs w:val="22"/>
          <w:lang w:val="lt-LT"/>
        </w:rPr>
        <w:t>Apremilast STADA</w:t>
      </w:r>
      <w:r w:rsidRPr="00CD7E52">
        <w:rPr>
          <w:rFonts w:eastAsia="TimesNewRoman,Bold"/>
          <w:szCs w:val="22"/>
          <w:lang w:val="lt-LT"/>
        </w:rPr>
        <w:t xml:space="preserve"> </w:t>
      </w:r>
      <w:r w:rsidR="00ED0518">
        <w:rPr>
          <w:rFonts w:eastAsia="TimesNewRoman,Bold"/>
          <w:szCs w:val="22"/>
          <w:lang w:val="lt-LT"/>
        </w:rPr>
        <w:t>draudžiama</w:t>
      </w:r>
      <w:r w:rsidR="00ED0518" w:rsidRPr="00CD7E52">
        <w:rPr>
          <w:rFonts w:eastAsia="TimesNewRoman,Bold"/>
          <w:szCs w:val="22"/>
          <w:lang w:val="lt-LT"/>
        </w:rPr>
        <w:t xml:space="preserve"> </w:t>
      </w:r>
      <w:r w:rsidRPr="00CD7E52">
        <w:rPr>
          <w:rFonts w:eastAsia="TimesNewRoman,Bold"/>
          <w:szCs w:val="22"/>
          <w:lang w:val="lt-LT"/>
        </w:rPr>
        <w:t>vartoti žindym</w:t>
      </w:r>
      <w:r w:rsidR="00835CC5" w:rsidRPr="00CD7E52">
        <w:rPr>
          <w:rFonts w:eastAsia="TimesNewRoman,Bold"/>
          <w:szCs w:val="22"/>
          <w:lang w:val="lt-LT"/>
        </w:rPr>
        <w:t xml:space="preserve">o </w:t>
      </w:r>
      <w:r w:rsidR="00835CC5" w:rsidRPr="00CD7E52">
        <w:rPr>
          <w:rFonts w:eastAsia="TimesNewRoman,Bold"/>
          <w:snapToGrid/>
          <w:szCs w:val="22"/>
          <w:lang w:val="lt-LT"/>
        </w:rPr>
        <w:t>laikotarpiu</w:t>
      </w:r>
      <w:r w:rsidR="00835CC5" w:rsidRPr="00CD7E52">
        <w:rPr>
          <w:rFonts w:eastAsia="TimesNewRoman,Bold"/>
          <w:szCs w:val="22"/>
          <w:lang w:val="lt-LT"/>
        </w:rPr>
        <w:t>.</w:t>
      </w:r>
    </w:p>
    <w:p w14:paraId="40AD668C" w14:textId="77777777" w:rsidR="00776FBE" w:rsidRPr="00CD7E52" w:rsidRDefault="00776FBE" w:rsidP="00BD0220">
      <w:pPr>
        <w:widowControl w:val="0"/>
        <w:numPr>
          <w:ilvl w:val="12"/>
          <w:numId w:val="0"/>
        </w:numPr>
        <w:tabs>
          <w:tab w:val="clear" w:pos="567"/>
        </w:tabs>
        <w:spacing w:line="240" w:lineRule="auto"/>
        <w:ind w:right="-2"/>
        <w:rPr>
          <w:szCs w:val="22"/>
          <w:lang w:val="lt-LT"/>
        </w:rPr>
      </w:pPr>
    </w:p>
    <w:p w14:paraId="5743D24A" w14:textId="77777777" w:rsidR="00776FBE" w:rsidRPr="00CD7E52" w:rsidRDefault="00776FBE" w:rsidP="00BD0220">
      <w:pPr>
        <w:widowControl w:val="0"/>
        <w:tabs>
          <w:tab w:val="clear" w:pos="567"/>
        </w:tabs>
        <w:autoSpaceDE w:val="0"/>
        <w:autoSpaceDN w:val="0"/>
        <w:adjustRightInd w:val="0"/>
        <w:spacing w:line="240" w:lineRule="auto"/>
        <w:rPr>
          <w:rFonts w:eastAsia="TimesNewRoman,Bold"/>
          <w:szCs w:val="22"/>
          <w:lang w:val="lt-LT"/>
        </w:rPr>
      </w:pPr>
      <w:r w:rsidRPr="00CD7E52">
        <w:rPr>
          <w:rFonts w:eastAsia="TimesNewRoman,Bold"/>
          <w:b/>
          <w:szCs w:val="22"/>
          <w:lang w:val="lt-LT"/>
        </w:rPr>
        <w:t>Vairavimas ir mechanizmų valdymas</w:t>
      </w:r>
    </w:p>
    <w:p w14:paraId="5FE73B05" w14:textId="77777777" w:rsidR="00776FBE" w:rsidRPr="00CD7E52" w:rsidRDefault="005A4193" w:rsidP="00BD0220">
      <w:pPr>
        <w:widowControl w:val="0"/>
        <w:tabs>
          <w:tab w:val="clear" w:pos="567"/>
        </w:tabs>
        <w:autoSpaceDE w:val="0"/>
        <w:autoSpaceDN w:val="0"/>
        <w:adjustRightInd w:val="0"/>
        <w:spacing w:line="240" w:lineRule="auto"/>
        <w:rPr>
          <w:rFonts w:eastAsia="TimesNewRoman,Bold"/>
          <w:szCs w:val="22"/>
          <w:lang w:val="lt-LT"/>
        </w:rPr>
      </w:pPr>
      <w:r w:rsidRPr="00CD7E52">
        <w:rPr>
          <w:rFonts w:eastAsia="TimesNewRoman,Bold"/>
          <w:szCs w:val="22"/>
          <w:lang w:val="lt-LT"/>
        </w:rPr>
        <w:t>Apremilast STADA</w:t>
      </w:r>
      <w:r w:rsidR="00776FBE" w:rsidRPr="00CD7E52">
        <w:rPr>
          <w:rFonts w:eastAsia="TimesNewRoman,Bold"/>
          <w:szCs w:val="22"/>
          <w:lang w:val="lt-LT"/>
        </w:rPr>
        <w:t xml:space="preserve"> gebėjimo vairuoti ir valdyti mechanizmus neveikia</w:t>
      </w:r>
      <w:r w:rsidR="00DD3FE8">
        <w:rPr>
          <w:rFonts w:eastAsia="TimesNewRoman,Bold"/>
          <w:szCs w:val="22"/>
          <w:lang w:val="lt-LT"/>
        </w:rPr>
        <w:t xml:space="preserve"> arba veikia nereikšmingai</w:t>
      </w:r>
      <w:r w:rsidR="00776FBE" w:rsidRPr="00CD7E52">
        <w:rPr>
          <w:rFonts w:eastAsia="TimesNewRoman,Bold"/>
          <w:szCs w:val="22"/>
          <w:lang w:val="lt-LT"/>
        </w:rPr>
        <w:t>.</w:t>
      </w:r>
    </w:p>
    <w:p w14:paraId="44D01C5D" w14:textId="77777777" w:rsidR="00864883" w:rsidRPr="00CD7E52" w:rsidRDefault="00864883" w:rsidP="00BD0220">
      <w:pPr>
        <w:widowControl w:val="0"/>
        <w:tabs>
          <w:tab w:val="clear" w:pos="567"/>
        </w:tabs>
        <w:autoSpaceDE w:val="0"/>
        <w:autoSpaceDN w:val="0"/>
        <w:adjustRightInd w:val="0"/>
        <w:spacing w:line="240" w:lineRule="auto"/>
        <w:rPr>
          <w:rFonts w:eastAsia="TimesNewRoman,Bold"/>
          <w:szCs w:val="22"/>
          <w:lang w:val="lt-LT"/>
        </w:rPr>
      </w:pPr>
    </w:p>
    <w:p w14:paraId="7EDCE4B0" w14:textId="77777777" w:rsidR="007A185E" w:rsidRPr="00CD7E52" w:rsidRDefault="005A4193" w:rsidP="00BD0220">
      <w:pPr>
        <w:widowControl w:val="0"/>
        <w:tabs>
          <w:tab w:val="clear" w:pos="567"/>
        </w:tabs>
        <w:kinsoku w:val="0"/>
        <w:overflowPunct w:val="0"/>
        <w:autoSpaceDE w:val="0"/>
        <w:autoSpaceDN w:val="0"/>
        <w:adjustRightInd w:val="0"/>
        <w:spacing w:line="240" w:lineRule="auto"/>
        <w:outlineLvl w:val="1"/>
        <w:rPr>
          <w:spacing w:val="-2"/>
          <w:szCs w:val="22"/>
          <w:lang w:val="lt-LT"/>
        </w:rPr>
      </w:pPr>
      <w:r w:rsidRPr="00CD7E52">
        <w:rPr>
          <w:b/>
          <w:szCs w:val="22"/>
          <w:lang w:val="lt-LT"/>
        </w:rPr>
        <w:t>Apremilast STADA</w:t>
      </w:r>
      <w:r w:rsidR="007A185E" w:rsidRPr="00CD7E52">
        <w:rPr>
          <w:b/>
          <w:spacing w:val="-6"/>
          <w:szCs w:val="22"/>
          <w:lang w:val="lt-LT"/>
        </w:rPr>
        <w:t xml:space="preserve"> </w:t>
      </w:r>
      <w:r w:rsidR="007A185E" w:rsidRPr="00CD7E52">
        <w:rPr>
          <w:b/>
          <w:szCs w:val="22"/>
          <w:lang w:val="lt-LT"/>
        </w:rPr>
        <w:t>sudėtyje</w:t>
      </w:r>
      <w:r w:rsidR="007A185E" w:rsidRPr="00CD7E52">
        <w:rPr>
          <w:b/>
          <w:spacing w:val="-7"/>
          <w:szCs w:val="22"/>
          <w:lang w:val="lt-LT"/>
        </w:rPr>
        <w:t xml:space="preserve"> </w:t>
      </w:r>
      <w:r w:rsidR="007A185E" w:rsidRPr="00CD7E52">
        <w:rPr>
          <w:b/>
          <w:szCs w:val="22"/>
          <w:lang w:val="lt-LT"/>
        </w:rPr>
        <w:t>yra</w:t>
      </w:r>
      <w:r w:rsidR="007A185E" w:rsidRPr="00CD7E52">
        <w:rPr>
          <w:b/>
          <w:spacing w:val="-6"/>
          <w:szCs w:val="22"/>
          <w:lang w:val="lt-LT"/>
        </w:rPr>
        <w:t xml:space="preserve"> </w:t>
      </w:r>
      <w:r w:rsidR="007A185E" w:rsidRPr="00CD7E52">
        <w:rPr>
          <w:b/>
          <w:spacing w:val="-2"/>
          <w:szCs w:val="22"/>
          <w:lang w:val="lt-LT"/>
        </w:rPr>
        <w:t>laktozės ir natrio</w:t>
      </w:r>
    </w:p>
    <w:p w14:paraId="7B3E2A05" w14:textId="77777777" w:rsidR="007A185E" w:rsidRPr="00CD7E52" w:rsidRDefault="005A4193"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Apremilast STADA</w:t>
      </w:r>
      <w:r w:rsidR="007A185E" w:rsidRPr="00CD7E52">
        <w:rPr>
          <w:spacing w:val="-3"/>
          <w:szCs w:val="22"/>
          <w:lang w:val="lt-LT"/>
        </w:rPr>
        <w:t xml:space="preserve"> </w:t>
      </w:r>
      <w:r w:rsidR="007A185E" w:rsidRPr="00CD7E52">
        <w:rPr>
          <w:szCs w:val="22"/>
          <w:lang w:val="lt-LT"/>
        </w:rPr>
        <w:t>sudėtyje</w:t>
      </w:r>
      <w:r w:rsidR="007A185E" w:rsidRPr="00CD7E52">
        <w:rPr>
          <w:spacing w:val="-4"/>
          <w:szCs w:val="22"/>
          <w:lang w:val="lt-LT"/>
        </w:rPr>
        <w:t xml:space="preserve"> </w:t>
      </w:r>
      <w:r w:rsidR="007A185E" w:rsidRPr="00CD7E52">
        <w:rPr>
          <w:szCs w:val="22"/>
          <w:lang w:val="lt-LT"/>
        </w:rPr>
        <w:t>yra</w:t>
      </w:r>
      <w:r w:rsidR="007A185E" w:rsidRPr="00CD7E52">
        <w:rPr>
          <w:spacing w:val="-4"/>
          <w:szCs w:val="22"/>
          <w:lang w:val="lt-LT"/>
        </w:rPr>
        <w:t xml:space="preserve"> </w:t>
      </w:r>
      <w:r w:rsidR="007A185E" w:rsidRPr="00CD7E52">
        <w:rPr>
          <w:szCs w:val="22"/>
          <w:lang w:val="lt-LT"/>
        </w:rPr>
        <w:t>laktozės</w:t>
      </w:r>
      <w:r w:rsidR="007A185E" w:rsidRPr="00CD7E52">
        <w:rPr>
          <w:spacing w:val="-4"/>
          <w:szCs w:val="22"/>
          <w:lang w:val="lt-LT"/>
        </w:rPr>
        <w:t xml:space="preserve"> </w:t>
      </w:r>
      <w:r w:rsidR="007A185E" w:rsidRPr="00CD7E52">
        <w:rPr>
          <w:szCs w:val="22"/>
          <w:lang w:val="lt-LT"/>
        </w:rPr>
        <w:t>(tam</w:t>
      </w:r>
      <w:r w:rsidR="007A185E" w:rsidRPr="00CD7E52">
        <w:rPr>
          <w:spacing w:val="-4"/>
          <w:szCs w:val="22"/>
          <w:lang w:val="lt-LT"/>
        </w:rPr>
        <w:t xml:space="preserve"> </w:t>
      </w:r>
      <w:r w:rsidR="007A185E" w:rsidRPr="00CD7E52">
        <w:rPr>
          <w:szCs w:val="22"/>
          <w:lang w:val="lt-LT"/>
        </w:rPr>
        <w:t>tikro</w:t>
      </w:r>
      <w:r w:rsidR="007A185E" w:rsidRPr="00CD7E52">
        <w:rPr>
          <w:spacing w:val="-3"/>
          <w:szCs w:val="22"/>
          <w:lang w:val="lt-LT"/>
        </w:rPr>
        <w:t xml:space="preserve"> </w:t>
      </w:r>
      <w:r w:rsidR="007A185E" w:rsidRPr="00CD7E52">
        <w:rPr>
          <w:szCs w:val="22"/>
          <w:lang w:val="lt-LT"/>
        </w:rPr>
        <w:t>tipo</w:t>
      </w:r>
      <w:r w:rsidR="007A185E" w:rsidRPr="00CD7E52">
        <w:rPr>
          <w:spacing w:val="-3"/>
          <w:szCs w:val="22"/>
          <w:lang w:val="lt-LT"/>
        </w:rPr>
        <w:t xml:space="preserve"> </w:t>
      </w:r>
      <w:r w:rsidR="007A185E" w:rsidRPr="00CD7E52">
        <w:rPr>
          <w:snapToGrid/>
          <w:szCs w:val="22"/>
          <w:lang w:val="lt-LT" w:eastAsia="lt-LT"/>
        </w:rPr>
        <w:t>angliavandenio</w:t>
      </w:r>
      <w:r w:rsidR="007A185E" w:rsidRPr="00CD7E52">
        <w:rPr>
          <w:szCs w:val="22"/>
          <w:lang w:val="lt-LT"/>
        </w:rPr>
        <w:t>). Jeigu</w:t>
      </w:r>
      <w:r w:rsidR="007A185E" w:rsidRPr="00CD7E52">
        <w:rPr>
          <w:spacing w:val="-4"/>
          <w:szCs w:val="22"/>
          <w:lang w:val="lt-LT"/>
        </w:rPr>
        <w:t xml:space="preserve"> </w:t>
      </w:r>
      <w:r w:rsidR="007A185E" w:rsidRPr="00CD7E52">
        <w:rPr>
          <w:szCs w:val="22"/>
          <w:lang w:val="lt-LT"/>
        </w:rPr>
        <w:t>gydytojas</w:t>
      </w:r>
      <w:r w:rsidR="007A185E" w:rsidRPr="00CD7E52">
        <w:rPr>
          <w:spacing w:val="-4"/>
          <w:szCs w:val="22"/>
          <w:lang w:val="lt-LT"/>
        </w:rPr>
        <w:t xml:space="preserve"> </w:t>
      </w:r>
      <w:r w:rsidR="007A185E" w:rsidRPr="00CD7E52">
        <w:rPr>
          <w:szCs w:val="22"/>
          <w:lang w:val="lt-LT"/>
        </w:rPr>
        <w:t>Jums</w:t>
      </w:r>
      <w:r w:rsidR="007A185E" w:rsidRPr="00CD7E52">
        <w:rPr>
          <w:spacing w:val="-4"/>
          <w:szCs w:val="22"/>
          <w:lang w:val="lt-LT"/>
        </w:rPr>
        <w:t xml:space="preserve"> </w:t>
      </w:r>
      <w:r w:rsidR="007A185E" w:rsidRPr="00CD7E52">
        <w:rPr>
          <w:szCs w:val="22"/>
          <w:lang w:val="lt-LT"/>
        </w:rPr>
        <w:t>yra</w:t>
      </w:r>
      <w:r w:rsidR="007A185E" w:rsidRPr="00CD7E52">
        <w:rPr>
          <w:spacing w:val="-4"/>
          <w:szCs w:val="22"/>
          <w:lang w:val="lt-LT"/>
        </w:rPr>
        <w:t xml:space="preserve"> </w:t>
      </w:r>
      <w:r w:rsidR="007A185E" w:rsidRPr="00CD7E52">
        <w:rPr>
          <w:szCs w:val="22"/>
          <w:lang w:val="lt-LT"/>
        </w:rPr>
        <w:t>sakęs,</w:t>
      </w:r>
      <w:r w:rsidR="007A185E" w:rsidRPr="00CD7E52">
        <w:rPr>
          <w:spacing w:val="-2"/>
          <w:szCs w:val="22"/>
          <w:lang w:val="lt-LT"/>
        </w:rPr>
        <w:t xml:space="preserve"> </w:t>
      </w:r>
      <w:r w:rsidR="007A185E" w:rsidRPr="00CD7E52">
        <w:rPr>
          <w:szCs w:val="22"/>
          <w:lang w:val="lt-LT"/>
        </w:rPr>
        <w:t>kad netoleruojate kokių nors angliavandenių, kreipkitės į jį prieš pradėdami vartoti šį vaistą.</w:t>
      </w:r>
    </w:p>
    <w:p w14:paraId="1ADF0C36" w14:textId="77777777" w:rsidR="007A185E" w:rsidRPr="00CD7E52" w:rsidRDefault="007A185E" w:rsidP="00BD0220">
      <w:pPr>
        <w:widowControl w:val="0"/>
        <w:tabs>
          <w:tab w:val="clear" w:pos="567"/>
        </w:tabs>
        <w:kinsoku w:val="0"/>
        <w:overflowPunct w:val="0"/>
        <w:autoSpaceDE w:val="0"/>
        <w:autoSpaceDN w:val="0"/>
        <w:adjustRightInd w:val="0"/>
        <w:spacing w:line="240" w:lineRule="auto"/>
        <w:rPr>
          <w:szCs w:val="22"/>
          <w:lang w:val="lt-LT"/>
        </w:rPr>
      </w:pPr>
    </w:p>
    <w:p w14:paraId="79E439F9" w14:textId="77777777" w:rsidR="007A185E" w:rsidRPr="00CD7E52" w:rsidRDefault="007A185E"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 xml:space="preserve">Šio vaisto </w:t>
      </w:r>
      <w:r w:rsidR="00A818BC" w:rsidRPr="00CD7E52">
        <w:rPr>
          <w:szCs w:val="22"/>
          <w:lang w:val="lt-LT"/>
        </w:rPr>
        <w:t>rekomenduojamoje dozėje (30 mg du kartus per parą</w:t>
      </w:r>
      <w:r w:rsidR="007974DA" w:rsidRPr="00CD7E52">
        <w:rPr>
          <w:szCs w:val="22"/>
          <w:lang w:val="lt-LT"/>
        </w:rPr>
        <w:t>)</w:t>
      </w:r>
      <w:r w:rsidRPr="00CD7E52">
        <w:rPr>
          <w:szCs w:val="22"/>
          <w:lang w:val="lt-LT"/>
        </w:rPr>
        <w:t xml:space="preserve"> yra mažiau kaip 1 mmol (23 mg) natrio, t. y. jis beveik neturi reikšmės.</w:t>
      </w:r>
    </w:p>
    <w:p w14:paraId="4390F4CD" w14:textId="77777777" w:rsidR="00776FBE" w:rsidRPr="00CD7E52" w:rsidRDefault="00776FBE" w:rsidP="00BD0220">
      <w:pPr>
        <w:widowControl w:val="0"/>
        <w:tabs>
          <w:tab w:val="clear" w:pos="567"/>
        </w:tabs>
        <w:spacing w:line="240" w:lineRule="auto"/>
        <w:rPr>
          <w:szCs w:val="22"/>
          <w:lang w:val="lt-LT"/>
        </w:rPr>
      </w:pPr>
    </w:p>
    <w:p w14:paraId="2B0C3351" w14:textId="77777777" w:rsidR="00901097" w:rsidRPr="00CD7E52" w:rsidRDefault="00901097" w:rsidP="00BD0220">
      <w:pPr>
        <w:widowControl w:val="0"/>
        <w:numPr>
          <w:ilvl w:val="12"/>
          <w:numId w:val="0"/>
        </w:numPr>
        <w:tabs>
          <w:tab w:val="clear" w:pos="567"/>
        </w:tabs>
        <w:spacing w:line="240" w:lineRule="auto"/>
        <w:ind w:right="-2"/>
        <w:rPr>
          <w:szCs w:val="22"/>
          <w:lang w:val="lt-LT"/>
        </w:rPr>
      </w:pPr>
    </w:p>
    <w:p w14:paraId="0E1971E9" w14:textId="77777777" w:rsidR="00776FBE" w:rsidRPr="00CD7E52" w:rsidRDefault="00776FBE" w:rsidP="00C00052">
      <w:pPr>
        <w:widowControl w:val="0"/>
        <w:numPr>
          <w:ilvl w:val="12"/>
          <w:numId w:val="0"/>
        </w:numPr>
        <w:tabs>
          <w:tab w:val="clear" w:pos="567"/>
        </w:tabs>
        <w:spacing w:line="240" w:lineRule="auto"/>
        <w:ind w:left="567" w:hanging="567"/>
        <w:outlineLvl w:val="0"/>
        <w:rPr>
          <w:caps/>
          <w:szCs w:val="22"/>
          <w:lang w:val="lt-LT"/>
        </w:rPr>
      </w:pPr>
      <w:r w:rsidRPr="00CD7E52">
        <w:rPr>
          <w:b/>
          <w:snapToGrid/>
          <w:szCs w:val="22"/>
          <w:lang w:val="lt-LT"/>
        </w:rPr>
        <w:t>3.</w:t>
      </w:r>
      <w:r w:rsidRPr="00CD7E52">
        <w:rPr>
          <w:b/>
          <w:snapToGrid/>
          <w:szCs w:val="22"/>
          <w:lang w:val="lt-LT"/>
        </w:rPr>
        <w:tab/>
      </w:r>
      <w:r w:rsidRPr="00CD7E52">
        <w:rPr>
          <w:b/>
          <w:szCs w:val="22"/>
          <w:lang w:val="lt-LT"/>
        </w:rPr>
        <w:t xml:space="preserve">Kaip vartoti </w:t>
      </w:r>
      <w:r w:rsidR="005A4193" w:rsidRPr="00CD7E52">
        <w:rPr>
          <w:b/>
          <w:szCs w:val="22"/>
          <w:lang w:val="lt-LT"/>
        </w:rPr>
        <w:t>Apremilast STADA</w:t>
      </w:r>
    </w:p>
    <w:p w14:paraId="0133B610" w14:textId="77777777" w:rsidR="00776FBE" w:rsidRPr="00CD7E52" w:rsidRDefault="00776FBE" w:rsidP="00BD0220">
      <w:pPr>
        <w:widowControl w:val="0"/>
        <w:tabs>
          <w:tab w:val="clear" w:pos="567"/>
        </w:tabs>
        <w:spacing w:line="240" w:lineRule="auto"/>
        <w:ind w:left="567" w:hanging="567"/>
        <w:rPr>
          <w:szCs w:val="22"/>
          <w:lang w:val="lt-LT"/>
        </w:rPr>
      </w:pPr>
    </w:p>
    <w:p w14:paraId="37DC430E" w14:textId="77777777" w:rsidR="00776FBE" w:rsidRPr="00CD7E52" w:rsidRDefault="00776FBE" w:rsidP="00BD0220">
      <w:pPr>
        <w:widowControl w:val="0"/>
        <w:tabs>
          <w:tab w:val="clear" w:pos="567"/>
        </w:tabs>
        <w:autoSpaceDE w:val="0"/>
        <w:autoSpaceDN w:val="0"/>
        <w:adjustRightInd w:val="0"/>
        <w:spacing w:line="240" w:lineRule="auto"/>
        <w:rPr>
          <w:szCs w:val="22"/>
          <w:lang w:val="lt-LT"/>
        </w:rPr>
      </w:pPr>
      <w:r w:rsidRPr="00CD7E52">
        <w:rPr>
          <w:szCs w:val="22"/>
          <w:lang w:val="lt-LT"/>
        </w:rPr>
        <w:t>Visada vartokite šį vaistą tiksliai, kaip nurodė gydytojas. Jeigu abejojate, kreipkitės į gydytoją arba vaistininką.</w:t>
      </w:r>
    </w:p>
    <w:p w14:paraId="18052F41" w14:textId="77777777" w:rsidR="00776FBE" w:rsidRPr="00CD7E52" w:rsidRDefault="00776FBE" w:rsidP="00BD0220">
      <w:pPr>
        <w:widowControl w:val="0"/>
        <w:tabs>
          <w:tab w:val="clear" w:pos="567"/>
        </w:tabs>
        <w:autoSpaceDE w:val="0"/>
        <w:autoSpaceDN w:val="0"/>
        <w:adjustRightInd w:val="0"/>
        <w:spacing w:line="240" w:lineRule="auto"/>
        <w:rPr>
          <w:szCs w:val="22"/>
          <w:lang w:val="lt-LT"/>
        </w:rPr>
      </w:pPr>
    </w:p>
    <w:p w14:paraId="19F29447" w14:textId="77777777" w:rsidR="00666C27" w:rsidRPr="00CD7E52" w:rsidRDefault="00666C27" w:rsidP="00BD0220">
      <w:pPr>
        <w:widowControl w:val="0"/>
        <w:tabs>
          <w:tab w:val="clear" w:pos="567"/>
        </w:tabs>
        <w:autoSpaceDE w:val="0"/>
        <w:autoSpaceDN w:val="0"/>
        <w:adjustRightInd w:val="0"/>
        <w:spacing w:line="240" w:lineRule="auto"/>
        <w:rPr>
          <w:szCs w:val="22"/>
          <w:lang w:val="lt-LT"/>
        </w:rPr>
      </w:pPr>
      <w:r w:rsidRPr="00CD7E52">
        <w:rPr>
          <w:b/>
          <w:szCs w:val="22"/>
          <w:lang w:val="lt-LT"/>
        </w:rPr>
        <w:t>Kiek vaisto vartoti</w:t>
      </w:r>
    </w:p>
    <w:p w14:paraId="0A2F1C19" w14:textId="77777777" w:rsidR="00666C27" w:rsidRPr="00CD7E52" w:rsidRDefault="00666C27" w:rsidP="00BD0220">
      <w:pPr>
        <w:widowControl w:val="0"/>
        <w:numPr>
          <w:ilvl w:val="0"/>
          <w:numId w:val="14"/>
        </w:numPr>
        <w:tabs>
          <w:tab w:val="clear" w:pos="567"/>
        </w:tabs>
        <w:spacing w:line="240" w:lineRule="auto"/>
        <w:ind w:left="567" w:hanging="567"/>
        <w:rPr>
          <w:szCs w:val="22"/>
          <w:lang w:val="lt-LT"/>
        </w:rPr>
      </w:pPr>
      <w:r w:rsidRPr="00CD7E52">
        <w:rPr>
          <w:szCs w:val="22"/>
          <w:lang w:val="lt-LT"/>
        </w:rPr>
        <w:t xml:space="preserve">Pirmą kartą pradėję vartoti </w:t>
      </w:r>
      <w:r w:rsidR="005A4193" w:rsidRPr="00CD7E52">
        <w:rPr>
          <w:szCs w:val="22"/>
          <w:lang w:val="lt-LT"/>
        </w:rPr>
        <w:t>Apremilast STADA</w:t>
      </w:r>
      <w:r w:rsidRPr="00CD7E52">
        <w:rPr>
          <w:szCs w:val="22"/>
          <w:lang w:val="lt-LT"/>
        </w:rPr>
        <w:t>, gausite „</w:t>
      </w:r>
      <w:r w:rsidR="00693CA5" w:rsidRPr="00CD7E52">
        <w:rPr>
          <w:szCs w:val="22"/>
          <w:lang w:val="lt-LT"/>
        </w:rPr>
        <w:t xml:space="preserve">gydymo pradžios </w:t>
      </w:r>
      <w:r w:rsidR="00915CDD" w:rsidRPr="00CD7E52">
        <w:rPr>
          <w:snapToGrid/>
          <w:szCs w:val="22"/>
          <w:lang w:val="lt-LT"/>
        </w:rPr>
        <w:t>pakuotę</w:t>
      </w:r>
      <w:r w:rsidRPr="00CD7E52">
        <w:rPr>
          <w:szCs w:val="22"/>
          <w:lang w:val="lt-LT"/>
        </w:rPr>
        <w:t xml:space="preserve">“, kurioje </w:t>
      </w:r>
      <w:r w:rsidRPr="00CD7E52">
        <w:rPr>
          <w:snapToGrid/>
          <w:szCs w:val="22"/>
          <w:lang w:val="lt-LT"/>
        </w:rPr>
        <w:t>yra</w:t>
      </w:r>
      <w:r w:rsidRPr="00CD7E52">
        <w:rPr>
          <w:szCs w:val="22"/>
          <w:lang w:val="lt-LT"/>
        </w:rPr>
        <w:t xml:space="preserve"> </w:t>
      </w:r>
      <w:r w:rsidR="00D04625" w:rsidRPr="00D04625">
        <w:rPr>
          <w:szCs w:val="22"/>
          <w:lang w:val="lt-LT"/>
        </w:rPr>
        <w:t>pakankamai tablečių dviem gydymo savaitėms</w:t>
      </w:r>
      <w:r w:rsidRPr="00CD7E52">
        <w:rPr>
          <w:szCs w:val="22"/>
          <w:lang w:val="lt-LT"/>
        </w:rPr>
        <w:t>.</w:t>
      </w:r>
    </w:p>
    <w:p w14:paraId="4C559651" w14:textId="77777777" w:rsidR="00666C27" w:rsidRPr="00CD7E52" w:rsidRDefault="00666C27" w:rsidP="00BD0220">
      <w:pPr>
        <w:widowControl w:val="0"/>
        <w:numPr>
          <w:ilvl w:val="0"/>
          <w:numId w:val="14"/>
        </w:numPr>
        <w:tabs>
          <w:tab w:val="clear" w:pos="567"/>
        </w:tabs>
        <w:spacing w:line="240" w:lineRule="auto"/>
        <w:ind w:left="567" w:hanging="567"/>
        <w:rPr>
          <w:szCs w:val="22"/>
          <w:lang w:val="lt-LT"/>
        </w:rPr>
      </w:pPr>
      <w:r w:rsidRPr="00CD7E52">
        <w:rPr>
          <w:snapToGrid/>
          <w:szCs w:val="22"/>
          <w:lang w:val="lt-LT"/>
        </w:rPr>
        <w:t>„</w:t>
      </w:r>
      <w:r w:rsidR="00693CA5" w:rsidRPr="00CD7E52">
        <w:rPr>
          <w:snapToGrid/>
          <w:szCs w:val="22"/>
          <w:lang w:val="lt-LT"/>
        </w:rPr>
        <w:t>Gydymo pradžios p</w:t>
      </w:r>
      <w:r w:rsidR="00915CDD" w:rsidRPr="00CD7E52">
        <w:rPr>
          <w:snapToGrid/>
          <w:szCs w:val="22"/>
          <w:lang w:val="lt-LT"/>
        </w:rPr>
        <w:t>akuotė</w:t>
      </w:r>
      <w:r w:rsidRPr="00CD7E52">
        <w:rPr>
          <w:szCs w:val="22"/>
          <w:lang w:val="lt-LT"/>
        </w:rPr>
        <w:t>“ yra aiškiai paženklinta, siekiant užtikrinti, kad vartotumėte reikiamą tabletę reikiamu metu.</w:t>
      </w:r>
    </w:p>
    <w:p w14:paraId="0A7473DA" w14:textId="77777777" w:rsidR="00666C27" w:rsidRPr="00CD7E52" w:rsidRDefault="00666C27" w:rsidP="00DB2543">
      <w:pPr>
        <w:keepNext/>
        <w:keepLines/>
        <w:widowControl w:val="0"/>
        <w:numPr>
          <w:ilvl w:val="0"/>
          <w:numId w:val="14"/>
        </w:numPr>
        <w:tabs>
          <w:tab w:val="clear" w:pos="567"/>
        </w:tabs>
        <w:spacing w:line="240" w:lineRule="auto"/>
        <w:ind w:left="567" w:hanging="567"/>
        <w:rPr>
          <w:szCs w:val="22"/>
          <w:lang w:val="lt-LT"/>
        </w:rPr>
      </w:pPr>
      <w:r w:rsidRPr="00CD7E52">
        <w:rPr>
          <w:szCs w:val="22"/>
          <w:lang w:val="lt-LT"/>
        </w:rPr>
        <w:lastRenderedPageBreak/>
        <w:t xml:space="preserve">Gydymas bus pradedamas nuo mažesnės dozės, kuri per </w:t>
      </w:r>
      <w:r w:rsidR="00D04625" w:rsidRPr="00D04625">
        <w:rPr>
          <w:szCs w:val="22"/>
          <w:lang w:val="lt-LT"/>
        </w:rPr>
        <w:t>pirmąją gydymo savaitę (titravimo fazę) palaipsniui bus</w:t>
      </w:r>
      <w:r w:rsidRPr="00CD7E52">
        <w:rPr>
          <w:szCs w:val="22"/>
          <w:lang w:val="lt-LT"/>
        </w:rPr>
        <w:t xml:space="preserve"> didinama.</w:t>
      </w:r>
    </w:p>
    <w:p w14:paraId="308D1E2E" w14:textId="77777777" w:rsidR="00666C27" w:rsidRPr="00CD7E52" w:rsidRDefault="00666C27" w:rsidP="00BD0220">
      <w:pPr>
        <w:widowControl w:val="0"/>
        <w:numPr>
          <w:ilvl w:val="0"/>
          <w:numId w:val="14"/>
        </w:numPr>
        <w:tabs>
          <w:tab w:val="clear" w:pos="567"/>
        </w:tabs>
        <w:spacing w:line="240" w:lineRule="auto"/>
        <w:ind w:left="567" w:hanging="567"/>
        <w:rPr>
          <w:szCs w:val="22"/>
          <w:lang w:val="lt-LT"/>
        </w:rPr>
      </w:pPr>
      <w:r w:rsidRPr="00CD7E52">
        <w:rPr>
          <w:szCs w:val="22"/>
          <w:lang w:val="lt-LT"/>
        </w:rPr>
        <w:t>„</w:t>
      </w:r>
      <w:r w:rsidR="00E64301" w:rsidRPr="00CD7E52">
        <w:rPr>
          <w:szCs w:val="22"/>
          <w:lang w:val="lt-LT"/>
        </w:rPr>
        <w:t xml:space="preserve">Gydymo pradžios </w:t>
      </w:r>
      <w:r w:rsidR="00E64301" w:rsidRPr="00CD7E52">
        <w:rPr>
          <w:snapToGrid/>
          <w:szCs w:val="22"/>
          <w:lang w:val="lt-LT"/>
        </w:rPr>
        <w:t>p</w:t>
      </w:r>
      <w:r w:rsidR="00915CDD" w:rsidRPr="00CD7E52">
        <w:rPr>
          <w:snapToGrid/>
          <w:szCs w:val="22"/>
          <w:lang w:val="lt-LT"/>
        </w:rPr>
        <w:t>akuotėje</w:t>
      </w:r>
      <w:r w:rsidRPr="00CD7E52">
        <w:rPr>
          <w:szCs w:val="22"/>
          <w:lang w:val="lt-LT"/>
        </w:rPr>
        <w:t>“ taip pat bus pakankamai tablečių dar</w:t>
      </w:r>
      <w:r w:rsidR="00D04625">
        <w:rPr>
          <w:szCs w:val="22"/>
          <w:lang w:val="lt-LT"/>
        </w:rPr>
        <w:t xml:space="preserve"> savaitei</w:t>
      </w:r>
      <w:r w:rsidRPr="00CD7E52">
        <w:rPr>
          <w:szCs w:val="22"/>
          <w:lang w:val="lt-LT"/>
        </w:rPr>
        <w:t>, vartojant rekomenduojamą dozę.</w:t>
      </w:r>
    </w:p>
    <w:p w14:paraId="30CB9617" w14:textId="77777777" w:rsidR="00D04625" w:rsidRDefault="00666C27" w:rsidP="00BD0220">
      <w:pPr>
        <w:widowControl w:val="0"/>
        <w:numPr>
          <w:ilvl w:val="0"/>
          <w:numId w:val="14"/>
        </w:numPr>
        <w:tabs>
          <w:tab w:val="clear" w:pos="567"/>
        </w:tabs>
        <w:spacing w:line="240" w:lineRule="auto"/>
        <w:ind w:left="567" w:hanging="567"/>
        <w:rPr>
          <w:szCs w:val="22"/>
          <w:lang w:val="lt-LT"/>
        </w:rPr>
      </w:pPr>
      <w:r w:rsidRPr="00CD7E52">
        <w:rPr>
          <w:szCs w:val="22"/>
          <w:lang w:val="lt-LT"/>
        </w:rPr>
        <w:t xml:space="preserve">Pasiekus rekomenduojamą dozę, Jums skiriamose pakuotėse bus tik </w:t>
      </w:r>
      <w:r w:rsidR="00D04625" w:rsidRPr="00D04625">
        <w:rPr>
          <w:szCs w:val="22"/>
          <w:lang w:val="lt-LT"/>
        </w:rPr>
        <w:t>vieno stiprumo</w:t>
      </w:r>
      <w:r w:rsidR="00D04625" w:rsidRPr="00D04625" w:rsidDel="00D04625">
        <w:rPr>
          <w:szCs w:val="22"/>
          <w:lang w:val="lt-LT"/>
        </w:rPr>
        <w:t xml:space="preserve"> </w:t>
      </w:r>
      <w:r w:rsidRPr="00CD7E52">
        <w:rPr>
          <w:szCs w:val="22"/>
          <w:lang w:val="lt-LT"/>
        </w:rPr>
        <w:t>tabletės.</w:t>
      </w:r>
    </w:p>
    <w:p w14:paraId="0D49BFDC" w14:textId="77777777" w:rsidR="00666C27" w:rsidRPr="00CD7E52" w:rsidRDefault="00666C27" w:rsidP="00BD0220">
      <w:pPr>
        <w:widowControl w:val="0"/>
        <w:numPr>
          <w:ilvl w:val="0"/>
          <w:numId w:val="14"/>
        </w:numPr>
        <w:tabs>
          <w:tab w:val="clear" w:pos="567"/>
        </w:tabs>
        <w:spacing w:line="240" w:lineRule="auto"/>
        <w:ind w:left="567" w:hanging="567"/>
        <w:rPr>
          <w:szCs w:val="22"/>
          <w:lang w:val="lt-LT"/>
        </w:rPr>
      </w:pPr>
      <w:r w:rsidRPr="00CD7E52">
        <w:rPr>
          <w:snapToGrid/>
          <w:szCs w:val="22"/>
          <w:lang w:val="lt-LT"/>
        </w:rPr>
        <w:t>Toks</w:t>
      </w:r>
      <w:r w:rsidRPr="00CD7E52">
        <w:rPr>
          <w:szCs w:val="22"/>
          <w:lang w:val="lt-LT"/>
        </w:rPr>
        <w:t xml:space="preserve"> laipsniškas dozės didinimo etapas bus tik vieną kartą</w:t>
      </w:r>
      <w:r w:rsidRPr="00CD7E52">
        <w:rPr>
          <w:snapToGrid/>
          <w:szCs w:val="22"/>
          <w:lang w:val="lt-LT"/>
        </w:rPr>
        <w:t>, net jei gydymą atnaujinsite</w:t>
      </w:r>
      <w:r w:rsidRPr="00CD7E52">
        <w:rPr>
          <w:szCs w:val="22"/>
          <w:lang w:val="lt-LT"/>
        </w:rPr>
        <w:t>.</w:t>
      </w:r>
    </w:p>
    <w:p w14:paraId="615203AE" w14:textId="77777777" w:rsidR="005A105B" w:rsidRPr="00CD7E52" w:rsidRDefault="005A105B" w:rsidP="005A105B">
      <w:pPr>
        <w:widowControl w:val="0"/>
        <w:tabs>
          <w:tab w:val="clear" w:pos="567"/>
        </w:tabs>
        <w:spacing w:line="240" w:lineRule="auto"/>
        <w:ind w:left="567"/>
        <w:rPr>
          <w:szCs w:val="22"/>
          <w:lang w:val="lt-LT"/>
        </w:rPr>
      </w:pPr>
    </w:p>
    <w:p w14:paraId="22642339" w14:textId="77777777" w:rsidR="00D04625" w:rsidRPr="00DB2543" w:rsidRDefault="00D04625" w:rsidP="00DB2543">
      <w:pPr>
        <w:widowControl w:val="0"/>
        <w:tabs>
          <w:tab w:val="clear" w:pos="567"/>
        </w:tabs>
        <w:spacing w:line="240" w:lineRule="auto"/>
        <w:ind w:left="567" w:hanging="567"/>
        <w:rPr>
          <w:szCs w:val="22"/>
          <w:u w:val="single"/>
          <w:lang w:val="lt-LT"/>
        </w:rPr>
      </w:pPr>
      <w:r w:rsidRPr="00DB2543">
        <w:rPr>
          <w:szCs w:val="22"/>
          <w:u w:val="single"/>
          <w:lang w:val="lt-LT"/>
        </w:rPr>
        <w:t>Suaugusiesiems</w:t>
      </w:r>
    </w:p>
    <w:p w14:paraId="76A80298" w14:textId="77777777" w:rsidR="00D04625" w:rsidRPr="00D04625" w:rsidRDefault="00D04625" w:rsidP="00DB2543">
      <w:pPr>
        <w:widowControl w:val="0"/>
        <w:numPr>
          <w:ilvl w:val="0"/>
          <w:numId w:val="44"/>
        </w:numPr>
        <w:tabs>
          <w:tab w:val="clear" w:pos="567"/>
        </w:tabs>
        <w:spacing w:line="240" w:lineRule="auto"/>
        <w:ind w:left="567" w:hanging="567"/>
        <w:rPr>
          <w:szCs w:val="22"/>
          <w:lang w:val="lt-LT"/>
        </w:rPr>
      </w:pPr>
      <w:r w:rsidRPr="00D04625">
        <w:rPr>
          <w:szCs w:val="22"/>
          <w:lang w:val="lt-LT"/>
        </w:rPr>
        <w:t xml:space="preserve">Rekomenduojama </w:t>
      </w:r>
      <w:r w:rsidR="00250DDA" w:rsidRPr="00250DDA">
        <w:rPr>
          <w:szCs w:val="22"/>
          <w:lang w:val="lt-LT"/>
        </w:rPr>
        <w:t>Apremilast STADA</w:t>
      </w:r>
      <w:r w:rsidRPr="00D04625">
        <w:rPr>
          <w:szCs w:val="22"/>
          <w:lang w:val="lt-LT"/>
        </w:rPr>
        <w:t xml:space="preserve"> dozė suaugusiems pacientams yra 30</w:t>
      </w:r>
      <w:r>
        <w:rPr>
          <w:szCs w:val="22"/>
          <w:lang w:val="lt-LT"/>
        </w:rPr>
        <w:t> </w:t>
      </w:r>
      <w:r w:rsidRPr="00D04625">
        <w:rPr>
          <w:szCs w:val="22"/>
          <w:lang w:val="lt-LT"/>
        </w:rPr>
        <w:t>mg, vartojama du kartus per parą, pasibaigus titravimo fazei, kaip parodyta toliau pateiktoje lentelėje, – viena 30</w:t>
      </w:r>
      <w:r>
        <w:rPr>
          <w:szCs w:val="22"/>
          <w:lang w:val="lt-LT"/>
        </w:rPr>
        <w:t> </w:t>
      </w:r>
      <w:r w:rsidRPr="00D04625">
        <w:rPr>
          <w:szCs w:val="22"/>
          <w:lang w:val="lt-LT"/>
        </w:rPr>
        <w:t>mg dozė ryte ir viena 30</w:t>
      </w:r>
      <w:r>
        <w:rPr>
          <w:szCs w:val="22"/>
          <w:lang w:val="lt-LT"/>
        </w:rPr>
        <w:t> </w:t>
      </w:r>
      <w:r w:rsidRPr="00D04625">
        <w:rPr>
          <w:szCs w:val="22"/>
          <w:lang w:val="lt-LT"/>
        </w:rPr>
        <w:t>mg dozė vakare, su maždaug 12</w:t>
      </w:r>
      <w:r>
        <w:rPr>
          <w:szCs w:val="22"/>
          <w:lang w:val="lt-LT"/>
        </w:rPr>
        <w:t> </w:t>
      </w:r>
      <w:r w:rsidRPr="00D04625">
        <w:rPr>
          <w:szCs w:val="22"/>
          <w:lang w:val="lt-LT"/>
        </w:rPr>
        <w:t>valandų pertrauka, nepriklausomai nuo valgio. Tai sudaro bendrą 60</w:t>
      </w:r>
      <w:r>
        <w:rPr>
          <w:szCs w:val="22"/>
          <w:lang w:val="lt-LT"/>
        </w:rPr>
        <w:t> </w:t>
      </w:r>
      <w:r w:rsidRPr="00D04625">
        <w:rPr>
          <w:szCs w:val="22"/>
          <w:lang w:val="lt-LT"/>
        </w:rPr>
        <w:t>mg paros dozę.</w:t>
      </w:r>
    </w:p>
    <w:p w14:paraId="26786699" w14:textId="77777777" w:rsidR="00666C27" w:rsidRPr="00CD7E52" w:rsidRDefault="00666C27" w:rsidP="00BD0220">
      <w:pPr>
        <w:widowControl w:val="0"/>
        <w:tabs>
          <w:tab w:val="clear" w:pos="567"/>
        </w:tabs>
        <w:autoSpaceDE w:val="0"/>
        <w:autoSpaceDN w:val="0"/>
        <w:adjustRightInd w:val="0"/>
        <w:spacing w:line="240" w:lineRule="auto"/>
        <w:rPr>
          <w:szCs w:val="22"/>
          <w:lang w:val="lt-LT"/>
        </w:rPr>
      </w:pPr>
    </w:p>
    <w:tbl>
      <w:tblPr>
        <w:tblW w:w="8789" w:type="dxa"/>
        <w:tblInd w:w="15" w:type="dxa"/>
        <w:tblLayout w:type="fixed"/>
        <w:tblCellMar>
          <w:left w:w="0" w:type="dxa"/>
          <w:right w:w="0" w:type="dxa"/>
        </w:tblCellMar>
        <w:tblLook w:val="0000" w:firstRow="0" w:lastRow="0" w:firstColumn="0" w:lastColumn="0" w:noHBand="0" w:noVBand="0"/>
      </w:tblPr>
      <w:tblGrid>
        <w:gridCol w:w="2197"/>
        <w:gridCol w:w="2197"/>
        <w:gridCol w:w="2197"/>
        <w:gridCol w:w="2198"/>
      </w:tblGrid>
      <w:tr w:rsidR="005958AC" w:rsidRPr="00CD7E52" w14:paraId="25013CBA" w14:textId="77777777" w:rsidTr="00854180">
        <w:trPr>
          <w:trHeight w:val="330"/>
        </w:trPr>
        <w:tc>
          <w:tcPr>
            <w:tcW w:w="2197" w:type="dxa"/>
            <w:tcBorders>
              <w:top w:val="single" w:sz="2" w:space="0" w:color="auto"/>
              <w:left w:val="single" w:sz="2" w:space="0" w:color="auto"/>
              <w:bottom w:val="single" w:sz="2" w:space="0" w:color="auto"/>
              <w:right w:val="single" w:sz="4" w:space="0" w:color="000000"/>
            </w:tcBorders>
            <w:shd w:val="clear" w:color="auto" w:fill="F2F2F2"/>
          </w:tcPr>
          <w:p w14:paraId="7404CC47" w14:textId="77777777" w:rsidR="005958AC" w:rsidRPr="00CD7E52" w:rsidRDefault="005958AC" w:rsidP="00854180">
            <w:pPr>
              <w:pStyle w:val="TableParagraph"/>
              <w:kinsoku w:val="0"/>
              <w:overflowPunct w:val="0"/>
              <w:rPr>
                <w:b/>
                <w:bCs/>
                <w:spacing w:val="-2"/>
                <w:sz w:val="22"/>
                <w:szCs w:val="22"/>
              </w:rPr>
            </w:pPr>
            <w:r w:rsidRPr="00CD7E52">
              <w:rPr>
                <w:b/>
                <w:bCs/>
                <w:spacing w:val="-2"/>
                <w:sz w:val="22"/>
                <w:szCs w:val="22"/>
              </w:rPr>
              <w:t>Diena</w:t>
            </w:r>
          </w:p>
        </w:tc>
        <w:tc>
          <w:tcPr>
            <w:tcW w:w="2197" w:type="dxa"/>
            <w:tcBorders>
              <w:top w:val="single" w:sz="2" w:space="0" w:color="auto"/>
              <w:left w:val="single" w:sz="4" w:space="0" w:color="000000"/>
              <w:bottom w:val="single" w:sz="2" w:space="0" w:color="auto"/>
              <w:right w:val="single" w:sz="4" w:space="0" w:color="000000"/>
            </w:tcBorders>
            <w:shd w:val="clear" w:color="auto" w:fill="F2F2F2"/>
          </w:tcPr>
          <w:p w14:paraId="771DB1AE" w14:textId="77777777" w:rsidR="005958AC" w:rsidRPr="00CD7E52" w:rsidRDefault="005958AC" w:rsidP="00854180">
            <w:pPr>
              <w:pStyle w:val="TableParagraph"/>
              <w:kinsoku w:val="0"/>
              <w:overflowPunct w:val="0"/>
              <w:rPr>
                <w:b/>
                <w:bCs/>
                <w:spacing w:val="-4"/>
                <w:sz w:val="22"/>
                <w:szCs w:val="22"/>
              </w:rPr>
            </w:pPr>
            <w:r w:rsidRPr="00CD7E52">
              <w:rPr>
                <w:b/>
                <w:bCs/>
                <w:sz w:val="22"/>
                <w:szCs w:val="22"/>
              </w:rPr>
              <w:t>Rytinė</w:t>
            </w:r>
            <w:r w:rsidRPr="00CD7E52">
              <w:rPr>
                <w:b/>
                <w:bCs/>
                <w:spacing w:val="-8"/>
                <w:sz w:val="22"/>
                <w:szCs w:val="22"/>
              </w:rPr>
              <w:t xml:space="preserve"> </w:t>
            </w:r>
            <w:r w:rsidRPr="00CD7E52">
              <w:rPr>
                <w:b/>
                <w:bCs/>
                <w:spacing w:val="-4"/>
                <w:sz w:val="22"/>
                <w:szCs w:val="22"/>
              </w:rPr>
              <w:t>dozė</w:t>
            </w:r>
          </w:p>
        </w:tc>
        <w:tc>
          <w:tcPr>
            <w:tcW w:w="2197" w:type="dxa"/>
            <w:tcBorders>
              <w:top w:val="single" w:sz="2" w:space="0" w:color="auto"/>
              <w:left w:val="single" w:sz="4" w:space="0" w:color="000000"/>
              <w:bottom w:val="single" w:sz="2" w:space="0" w:color="auto"/>
              <w:right w:val="single" w:sz="4" w:space="0" w:color="000000"/>
            </w:tcBorders>
            <w:shd w:val="clear" w:color="auto" w:fill="F2F2F2"/>
          </w:tcPr>
          <w:p w14:paraId="49366402" w14:textId="77777777" w:rsidR="005958AC" w:rsidRPr="00CD7E52" w:rsidRDefault="005958AC" w:rsidP="00854180">
            <w:pPr>
              <w:pStyle w:val="TableParagraph"/>
              <w:kinsoku w:val="0"/>
              <w:overflowPunct w:val="0"/>
              <w:rPr>
                <w:b/>
                <w:bCs/>
                <w:spacing w:val="-4"/>
                <w:sz w:val="22"/>
                <w:szCs w:val="22"/>
              </w:rPr>
            </w:pPr>
            <w:r w:rsidRPr="00CD7E52">
              <w:rPr>
                <w:b/>
                <w:bCs/>
                <w:spacing w:val="-2"/>
                <w:sz w:val="22"/>
                <w:szCs w:val="22"/>
              </w:rPr>
              <w:t>Vakarinė</w:t>
            </w:r>
            <w:r w:rsidRPr="00CD7E52">
              <w:rPr>
                <w:b/>
                <w:bCs/>
                <w:spacing w:val="1"/>
                <w:sz w:val="22"/>
                <w:szCs w:val="22"/>
              </w:rPr>
              <w:t xml:space="preserve"> </w:t>
            </w:r>
            <w:r w:rsidRPr="00CD7E52">
              <w:rPr>
                <w:b/>
                <w:bCs/>
                <w:spacing w:val="-4"/>
                <w:sz w:val="22"/>
                <w:szCs w:val="22"/>
              </w:rPr>
              <w:t>dozė</w:t>
            </w:r>
          </w:p>
        </w:tc>
        <w:tc>
          <w:tcPr>
            <w:tcW w:w="2198" w:type="dxa"/>
            <w:tcBorders>
              <w:top w:val="single" w:sz="2" w:space="0" w:color="auto"/>
              <w:left w:val="single" w:sz="4" w:space="0" w:color="000000"/>
              <w:bottom w:val="single" w:sz="2" w:space="0" w:color="auto"/>
              <w:right w:val="single" w:sz="2" w:space="0" w:color="auto"/>
            </w:tcBorders>
            <w:shd w:val="clear" w:color="auto" w:fill="F2F2F2"/>
          </w:tcPr>
          <w:p w14:paraId="46A78E0C" w14:textId="77777777" w:rsidR="005958AC" w:rsidRPr="00CD7E52" w:rsidRDefault="005958AC" w:rsidP="00854180">
            <w:pPr>
              <w:pStyle w:val="TableParagraph"/>
              <w:kinsoku w:val="0"/>
              <w:overflowPunct w:val="0"/>
              <w:rPr>
                <w:b/>
                <w:bCs/>
                <w:spacing w:val="-4"/>
                <w:sz w:val="22"/>
                <w:szCs w:val="22"/>
              </w:rPr>
            </w:pPr>
            <w:r w:rsidRPr="00CD7E52">
              <w:rPr>
                <w:b/>
                <w:bCs/>
                <w:sz w:val="22"/>
                <w:szCs w:val="22"/>
              </w:rPr>
              <w:t>Bendra</w:t>
            </w:r>
            <w:r w:rsidRPr="00CD7E52">
              <w:rPr>
                <w:b/>
                <w:bCs/>
                <w:spacing w:val="-8"/>
                <w:sz w:val="22"/>
                <w:szCs w:val="22"/>
              </w:rPr>
              <w:t xml:space="preserve"> </w:t>
            </w:r>
            <w:r w:rsidRPr="00CD7E52">
              <w:rPr>
                <w:b/>
                <w:bCs/>
                <w:sz w:val="22"/>
                <w:szCs w:val="22"/>
              </w:rPr>
              <w:t>paros</w:t>
            </w:r>
            <w:r w:rsidRPr="00CD7E52">
              <w:rPr>
                <w:b/>
                <w:bCs/>
                <w:spacing w:val="-8"/>
                <w:sz w:val="22"/>
                <w:szCs w:val="22"/>
              </w:rPr>
              <w:t xml:space="preserve"> </w:t>
            </w:r>
            <w:r w:rsidRPr="00CD7E52">
              <w:rPr>
                <w:b/>
                <w:bCs/>
                <w:spacing w:val="-4"/>
                <w:sz w:val="22"/>
                <w:szCs w:val="22"/>
              </w:rPr>
              <w:t>dozė</w:t>
            </w:r>
          </w:p>
        </w:tc>
      </w:tr>
      <w:tr w:rsidR="005958AC" w:rsidRPr="00CD7E52" w14:paraId="602BF890" w14:textId="77777777" w:rsidTr="00854180">
        <w:trPr>
          <w:trHeight w:val="255"/>
        </w:trPr>
        <w:tc>
          <w:tcPr>
            <w:tcW w:w="2197" w:type="dxa"/>
            <w:tcBorders>
              <w:top w:val="single" w:sz="2" w:space="0" w:color="auto"/>
              <w:left w:val="single" w:sz="2" w:space="0" w:color="auto"/>
              <w:bottom w:val="single" w:sz="2" w:space="0" w:color="auto"/>
              <w:right w:val="single" w:sz="2" w:space="0" w:color="auto"/>
            </w:tcBorders>
            <w:shd w:val="clear" w:color="auto" w:fill="EAEAEA"/>
          </w:tcPr>
          <w:p w14:paraId="3B83614B" w14:textId="77777777" w:rsidR="005958AC" w:rsidRPr="00CD7E52" w:rsidRDefault="005958AC" w:rsidP="00854180">
            <w:pPr>
              <w:pStyle w:val="TableParagraph"/>
              <w:kinsoku w:val="0"/>
              <w:overflowPunct w:val="0"/>
              <w:rPr>
                <w:b/>
                <w:bCs/>
                <w:spacing w:val="-2"/>
                <w:sz w:val="22"/>
                <w:szCs w:val="22"/>
              </w:rPr>
            </w:pPr>
            <w:r w:rsidRPr="00CD7E52">
              <w:rPr>
                <w:b/>
                <w:bCs/>
                <w:sz w:val="22"/>
                <w:szCs w:val="22"/>
              </w:rPr>
              <w:t>1 </w:t>
            </w:r>
            <w:r w:rsidRPr="00CD7E52">
              <w:rPr>
                <w:b/>
                <w:bCs/>
                <w:spacing w:val="-2"/>
                <w:sz w:val="22"/>
                <w:szCs w:val="22"/>
              </w:rPr>
              <w:t>diena</w:t>
            </w:r>
          </w:p>
        </w:tc>
        <w:tc>
          <w:tcPr>
            <w:tcW w:w="2197" w:type="dxa"/>
            <w:tcBorders>
              <w:top w:val="single" w:sz="2" w:space="0" w:color="auto"/>
              <w:left w:val="single" w:sz="2" w:space="0" w:color="auto"/>
              <w:bottom w:val="single" w:sz="2" w:space="0" w:color="auto"/>
              <w:right w:val="single" w:sz="4" w:space="0" w:color="000000"/>
            </w:tcBorders>
          </w:tcPr>
          <w:p w14:paraId="3A385D27" w14:textId="77777777" w:rsidR="005958AC" w:rsidRPr="00CD7E52" w:rsidRDefault="005958AC" w:rsidP="00854180">
            <w:pPr>
              <w:pStyle w:val="TableParagraph"/>
              <w:kinsoku w:val="0"/>
              <w:overflowPunct w:val="0"/>
              <w:rPr>
                <w:spacing w:val="-2"/>
                <w:sz w:val="22"/>
                <w:szCs w:val="22"/>
              </w:rPr>
            </w:pPr>
            <w:r w:rsidRPr="00CD7E52">
              <w:rPr>
                <w:sz w:val="22"/>
                <w:szCs w:val="22"/>
              </w:rPr>
              <w:t>10</w:t>
            </w:r>
            <w:r w:rsidRPr="00CD7E52">
              <w:rPr>
                <w:spacing w:val="-3"/>
                <w:sz w:val="22"/>
                <w:szCs w:val="22"/>
              </w:rPr>
              <w:t> mg</w:t>
            </w:r>
            <w:r w:rsidRPr="00CD7E52">
              <w:rPr>
                <w:spacing w:val="-4"/>
                <w:sz w:val="22"/>
                <w:szCs w:val="22"/>
              </w:rPr>
              <w:t xml:space="preserve"> </w:t>
            </w:r>
            <w:r w:rsidRPr="00CD7E52">
              <w:rPr>
                <w:spacing w:val="-2"/>
                <w:sz w:val="22"/>
                <w:szCs w:val="22"/>
              </w:rPr>
              <w:t>(rausva)</w:t>
            </w:r>
          </w:p>
        </w:tc>
        <w:tc>
          <w:tcPr>
            <w:tcW w:w="2197" w:type="dxa"/>
            <w:tcBorders>
              <w:top w:val="single" w:sz="2" w:space="0" w:color="auto"/>
              <w:left w:val="single" w:sz="4" w:space="0" w:color="000000"/>
              <w:bottom w:val="single" w:sz="2" w:space="0" w:color="auto"/>
              <w:right w:val="single" w:sz="2" w:space="0" w:color="auto"/>
            </w:tcBorders>
            <w:shd w:val="clear" w:color="auto" w:fill="808080"/>
          </w:tcPr>
          <w:p w14:paraId="1F5A7205" w14:textId="77777777" w:rsidR="005958AC" w:rsidRPr="00CD7E52" w:rsidRDefault="005958AC" w:rsidP="00854180">
            <w:pPr>
              <w:pStyle w:val="TableParagraph"/>
              <w:kinsoku w:val="0"/>
              <w:overflowPunct w:val="0"/>
              <w:rPr>
                <w:color w:val="FFFFFF"/>
                <w:spacing w:val="-2"/>
                <w:sz w:val="22"/>
                <w:szCs w:val="22"/>
              </w:rPr>
            </w:pPr>
            <w:r w:rsidRPr="00CD7E52">
              <w:rPr>
                <w:color w:val="FFFFFF"/>
                <w:sz w:val="22"/>
                <w:szCs w:val="22"/>
              </w:rPr>
              <w:t>Dozės</w:t>
            </w:r>
            <w:r w:rsidRPr="00CD7E52">
              <w:rPr>
                <w:color w:val="FFFFFF"/>
                <w:spacing w:val="-11"/>
                <w:sz w:val="22"/>
                <w:szCs w:val="22"/>
              </w:rPr>
              <w:t xml:space="preserve"> </w:t>
            </w:r>
            <w:r w:rsidRPr="00CD7E52">
              <w:rPr>
                <w:color w:val="FFFFFF"/>
                <w:spacing w:val="-2"/>
                <w:sz w:val="22"/>
                <w:szCs w:val="22"/>
              </w:rPr>
              <w:t>nevartokite</w:t>
            </w:r>
          </w:p>
        </w:tc>
        <w:tc>
          <w:tcPr>
            <w:tcW w:w="2198" w:type="dxa"/>
            <w:tcBorders>
              <w:top w:val="single" w:sz="2" w:space="0" w:color="auto"/>
              <w:left w:val="single" w:sz="2" w:space="0" w:color="auto"/>
              <w:bottom w:val="single" w:sz="2" w:space="0" w:color="auto"/>
              <w:right w:val="single" w:sz="2" w:space="0" w:color="auto"/>
            </w:tcBorders>
            <w:shd w:val="clear" w:color="auto" w:fill="EAEAEA"/>
          </w:tcPr>
          <w:p w14:paraId="6BD4DCEA" w14:textId="77777777" w:rsidR="005958AC" w:rsidRPr="00CD7E52" w:rsidRDefault="005958AC" w:rsidP="00854180">
            <w:pPr>
              <w:pStyle w:val="TableParagraph"/>
              <w:kinsoku w:val="0"/>
              <w:overflowPunct w:val="0"/>
              <w:rPr>
                <w:spacing w:val="-5"/>
                <w:sz w:val="22"/>
                <w:szCs w:val="22"/>
              </w:rPr>
            </w:pPr>
            <w:r w:rsidRPr="00CD7E52">
              <w:rPr>
                <w:sz w:val="22"/>
                <w:szCs w:val="22"/>
              </w:rPr>
              <w:t>10</w:t>
            </w:r>
            <w:r w:rsidRPr="00CD7E52">
              <w:rPr>
                <w:spacing w:val="-3"/>
                <w:sz w:val="22"/>
                <w:szCs w:val="22"/>
              </w:rPr>
              <w:t> mg</w:t>
            </w:r>
          </w:p>
        </w:tc>
      </w:tr>
      <w:tr w:rsidR="005958AC" w:rsidRPr="00CD7E52" w14:paraId="0299AB52" w14:textId="77777777" w:rsidTr="00854180">
        <w:trPr>
          <w:trHeight w:val="255"/>
        </w:trPr>
        <w:tc>
          <w:tcPr>
            <w:tcW w:w="2197" w:type="dxa"/>
            <w:tcBorders>
              <w:top w:val="single" w:sz="4" w:space="0" w:color="000000"/>
              <w:left w:val="single" w:sz="2" w:space="0" w:color="auto"/>
              <w:bottom w:val="single" w:sz="4" w:space="0" w:color="000000"/>
              <w:right w:val="single" w:sz="2" w:space="0" w:color="auto"/>
            </w:tcBorders>
            <w:shd w:val="clear" w:color="auto" w:fill="EAEAEA"/>
          </w:tcPr>
          <w:p w14:paraId="11EB9A63" w14:textId="77777777" w:rsidR="005958AC" w:rsidRPr="00CD7E52" w:rsidRDefault="005958AC" w:rsidP="00854180">
            <w:pPr>
              <w:pStyle w:val="TableParagraph"/>
              <w:kinsoku w:val="0"/>
              <w:overflowPunct w:val="0"/>
              <w:rPr>
                <w:b/>
                <w:bCs/>
                <w:spacing w:val="-2"/>
                <w:sz w:val="22"/>
                <w:szCs w:val="22"/>
              </w:rPr>
            </w:pPr>
            <w:r w:rsidRPr="00CD7E52">
              <w:rPr>
                <w:b/>
                <w:bCs/>
                <w:sz w:val="22"/>
                <w:szCs w:val="22"/>
              </w:rPr>
              <w:t>2 </w:t>
            </w:r>
            <w:r w:rsidRPr="00CD7E52">
              <w:rPr>
                <w:b/>
                <w:bCs/>
                <w:spacing w:val="-2"/>
                <w:sz w:val="22"/>
                <w:szCs w:val="22"/>
              </w:rPr>
              <w:t>diena</w:t>
            </w:r>
          </w:p>
        </w:tc>
        <w:tc>
          <w:tcPr>
            <w:tcW w:w="2197" w:type="dxa"/>
            <w:tcBorders>
              <w:top w:val="single" w:sz="4" w:space="0" w:color="000000"/>
              <w:left w:val="single" w:sz="2" w:space="0" w:color="auto"/>
              <w:bottom w:val="single" w:sz="4" w:space="0" w:color="000000"/>
              <w:right w:val="single" w:sz="4" w:space="0" w:color="000000"/>
            </w:tcBorders>
          </w:tcPr>
          <w:p w14:paraId="168E74ED" w14:textId="77777777" w:rsidR="005958AC" w:rsidRPr="00CD7E52" w:rsidRDefault="005958AC" w:rsidP="00854180">
            <w:pPr>
              <w:pStyle w:val="TableParagraph"/>
              <w:kinsoku w:val="0"/>
              <w:overflowPunct w:val="0"/>
              <w:rPr>
                <w:spacing w:val="-2"/>
                <w:sz w:val="22"/>
                <w:szCs w:val="22"/>
              </w:rPr>
            </w:pPr>
            <w:r w:rsidRPr="00CD7E52">
              <w:rPr>
                <w:sz w:val="22"/>
                <w:szCs w:val="22"/>
              </w:rPr>
              <w:t>10</w:t>
            </w:r>
            <w:r w:rsidRPr="00CD7E52">
              <w:rPr>
                <w:spacing w:val="-3"/>
                <w:sz w:val="22"/>
                <w:szCs w:val="22"/>
              </w:rPr>
              <w:t> mg</w:t>
            </w:r>
            <w:r w:rsidRPr="00CD7E52">
              <w:rPr>
                <w:spacing w:val="-4"/>
                <w:sz w:val="22"/>
                <w:szCs w:val="22"/>
              </w:rPr>
              <w:t xml:space="preserve"> </w:t>
            </w:r>
            <w:r w:rsidRPr="00CD7E52">
              <w:rPr>
                <w:spacing w:val="-2"/>
                <w:sz w:val="22"/>
                <w:szCs w:val="22"/>
              </w:rPr>
              <w:t>(rausva)</w:t>
            </w:r>
          </w:p>
        </w:tc>
        <w:tc>
          <w:tcPr>
            <w:tcW w:w="2197" w:type="dxa"/>
            <w:tcBorders>
              <w:top w:val="none" w:sz="6" w:space="0" w:color="auto"/>
              <w:left w:val="single" w:sz="4" w:space="0" w:color="000000"/>
              <w:bottom w:val="single" w:sz="2" w:space="0" w:color="auto"/>
              <w:right w:val="single" w:sz="2" w:space="0" w:color="auto"/>
            </w:tcBorders>
          </w:tcPr>
          <w:p w14:paraId="72285AF9" w14:textId="77777777" w:rsidR="005958AC" w:rsidRPr="00CD7E52" w:rsidRDefault="005958AC" w:rsidP="00854180">
            <w:pPr>
              <w:pStyle w:val="TableParagraph"/>
              <w:kinsoku w:val="0"/>
              <w:overflowPunct w:val="0"/>
              <w:rPr>
                <w:spacing w:val="-2"/>
                <w:sz w:val="22"/>
                <w:szCs w:val="22"/>
              </w:rPr>
            </w:pPr>
            <w:r w:rsidRPr="00CD7E52">
              <w:rPr>
                <w:sz w:val="22"/>
                <w:szCs w:val="22"/>
              </w:rPr>
              <w:t>10</w:t>
            </w:r>
            <w:r w:rsidRPr="00CD7E52">
              <w:rPr>
                <w:spacing w:val="-3"/>
                <w:sz w:val="22"/>
                <w:szCs w:val="22"/>
              </w:rPr>
              <w:t> mg</w:t>
            </w:r>
            <w:r w:rsidRPr="00CD7E52">
              <w:rPr>
                <w:spacing w:val="-4"/>
                <w:sz w:val="22"/>
                <w:szCs w:val="22"/>
              </w:rPr>
              <w:t xml:space="preserve"> </w:t>
            </w:r>
            <w:r w:rsidRPr="00CD7E52">
              <w:rPr>
                <w:spacing w:val="-2"/>
                <w:sz w:val="22"/>
                <w:szCs w:val="22"/>
              </w:rPr>
              <w:t>(rausva)</w:t>
            </w:r>
          </w:p>
        </w:tc>
        <w:tc>
          <w:tcPr>
            <w:tcW w:w="2198" w:type="dxa"/>
            <w:tcBorders>
              <w:top w:val="single" w:sz="4" w:space="0" w:color="000000"/>
              <w:left w:val="single" w:sz="2" w:space="0" w:color="auto"/>
              <w:bottom w:val="single" w:sz="2" w:space="0" w:color="auto"/>
              <w:right w:val="single" w:sz="2" w:space="0" w:color="auto"/>
            </w:tcBorders>
            <w:shd w:val="clear" w:color="auto" w:fill="EAEAEA"/>
          </w:tcPr>
          <w:p w14:paraId="1136E91D" w14:textId="77777777" w:rsidR="005958AC" w:rsidRPr="00CD7E52" w:rsidRDefault="005958AC" w:rsidP="00854180">
            <w:pPr>
              <w:pStyle w:val="TableParagraph"/>
              <w:kinsoku w:val="0"/>
              <w:overflowPunct w:val="0"/>
              <w:rPr>
                <w:spacing w:val="-5"/>
                <w:sz w:val="22"/>
                <w:szCs w:val="22"/>
              </w:rPr>
            </w:pPr>
            <w:r w:rsidRPr="00CD7E52">
              <w:rPr>
                <w:sz w:val="22"/>
                <w:szCs w:val="22"/>
              </w:rPr>
              <w:t>20</w:t>
            </w:r>
            <w:r w:rsidRPr="00CD7E52">
              <w:rPr>
                <w:spacing w:val="-3"/>
                <w:sz w:val="22"/>
                <w:szCs w:val="22"/>
              </w:rPr>
              <w:t> mg</w:t>
            </w:r>
          </w:p>
        </w:tc>
      </w:tr>
      <w:tr w:rsidR="005958AC" w:rsidRPr="00CD7E52" w14:paraId="76C22853" w14:textId="77777777" w:rsidTr="00854180">
        <w:trPr>
          <w:trHeight w:val="255"/>
        </w:trPr>
        <w:tc>
          <w:tcPr>
            <w:tcW w:w="2197" w:type="dxa"/>
            <w:tcBorders>
              <w:top w:val="single" w:sz="4" w:space="0" w:color="000000"/>
              <w:left w:val="single" w:sz="2" w:space="0" w:color="auto"/>
              <w:bottom w:val="single" w:sz="4" w:space="0" w:color="000000"/>
              <w:right w:val="single" w:sz="2" w:space="0" w:color="auto"/>
            </w:tcBorders>
            <w:shd w:val="clear" w:color="auto" w:fill="EAEAEA"/>
          </w:tcPr>
          <w:p w14:paraId="5C4E1B97" w14:textId="77777777" w:rsidR="005958AC" w:rsidRPr="00CD7E52" w:rsidRDefault="005958AC" w:rsidP="00854180">
            <w:pPr>
              <w:pStyle w:val="TableParagraph"/>
              <w:kinsoku w:val="0"/>
              <w:overflowPunct w:val="0"/>
              <w:rPr>
                <w:b/>
                <w:bCs/>
                <w:spacing w:val="-2"/>
                <w:sz w:val="22"/>
                <w:szCs w:val="22"/>
              </w:rPr>
            </w:pPr>
            <w:r w:rsidRPr="00CD7E52">
              <w:rPr>
                <w:b/>
                <w:bCs/>
                <w:sz w:val="22"/>
                <w:szCs w:val="22"/>
              </w:rPr>
              <w:t>3 </w:t>
            </w:r>
            <w:r w:rsidRPr="00CD7E52">
              <w:rPr>
                <w:b/>
                <w:bCs/>
                <w:spacing w:val="-2"/>
                <w:sz w:val="22"/>
                <w:szCs w:val="22"/>
              </w:rPr>
              <w:t>diena</w:t>
            </w:r>
          </w:p>
        </w:tc>
        <w:tc>
          <w:tcPr>
            <w:tcW w:w="2197" w:type="dxa"/>
            <w:tcBorders>
              <w:top w:val="single" w:sz="4" w:space="0" w:color="000000"/>
              <w:left w:val="single" w:sz="2" w:space="0" w:color="auto"/>
              <w:bottom w:val="single" w:sz="4" w:space="0" w:color="000000"/>
              <w:right w:val="single" w:sz="4" w:space="0" w:color="000000"/>
            </w:tcBorders>
          </w:tcPr>
          <w:p w14:paraId="3B854F8B" w14:textId="77777777" w:rsidR="005958AC" w:rsidRPr="00CD7E52" w:rsidRDefault="005958AC" w:rsidP="00854180">
            <w:pPr>
              <w:pStyle w:val="TableParagraph"/>
              <w:kinsoku w:val="0"/>
              <w:overflowPunct w:val="0"/>
              <w:rPr>
                <w:spacing w:val="-2"/>
                <w:sz w:val="22"/>
                <w:szCs w:val="22"/>
              </w:rPr>
            </w:pPr>
            <w:r w:rsidRPr="00CD7E52">
              <w:rPr>
                <w:sz w:val="22"/>
                <w:szCs w:val="22"/>
              </w:rPr>
              <w:t>10</w:t>
            </w:r>
            <w:r w:rsidRPr="00CD7E52">
              <w:rPr>
                <w:spacing w:val="-3"/>
                <w:sz w:val="22"/>
                <w:szCs w:val="22"/>
              </w:rPr>
              <w:t> mg</w:t>
            </w:r>
            <w:r w:rsidRPr="00CD7E52">
              <w:rPr>
                <w:spacing w:val="-4"/>
                <w:sz w:val="22"/>
                <w:szCs w:val="22"/>
              </w:rPr>
              <w:t xml:space="preserve"> </w:t>
            </w:r>
            <w:r w:rsidRPr="00CD7E52">
              <w:rPr>
                <w:spacing w:val="-2"/>
                <w:sz w:val="22"/>
                <w:szCs w:val="22"/>
              </w:rPr>
              <w:t>(rausva)</w:t>
            </w:r>
          </w:p>
        </w:tc>
        <w:tc>
          <w:tcPr>
            <w:tcW w:w="2197" w:type="dxa"/>
            <w:tcBorders>
              <w:top w:val="single" w:sz="4" w:space="0" w:color="000000"/>
              <w:left w:val="single" w:sz="4" w:space="0" w:color="000000"/>
              <w:bottom w:val="single" w:sz="4" w:space="0" w:color="000000"/>
              <w:right w:val="single" w:sz="2" w:space="0" w:color="auto"/>
            </w:tcBorders>
          </w:tcPr>
          <w:p w14:paraId="04495041" w14:textId="77777777" w:rsidR="005958AC" w:rsidRPr="00CD7E52" w:rsidRDefault="005958AC" w:rsidP="00854180">
            <w:pPr>
              <w:pStyle w:val="TableParagraph"/>
              <w:kinsoku w:val="0"/>
              <w:overflowPunct w:val="0"/>
              <w:rPr>
                <w:spacing w:val="-2"/>
                <w:sz w:val="22"/>
                <w:szCs w:val="22"/>
              </w:rPr>
            </w:pPr>
            <w:r w:rsidRPr="00CD7E52">
              <w:rPr>
                <w:sz w:val="22"/>
                <w:szCs w:val="22"/>
              </w:rPr>
              <w:t>20</w:t>
            </w:r>
            <w:r w:rsidRPr="00CD7E52">
              <w:rPr>
                <w:spacing w:val="-3"/>
                <w:sz w:val="22"/>
                <w:szCs w:val="22"/>
              </w:rPr>
              <w:t> mg</w:t>
            </w:r>
            <w:r w:rsidRPr="00CD7E52">
              <w:rPr>
                <w:spacing w:val="-4"/>
                <w:sz w:val="22"/>
                <w:szCs w:val="22"/>
              </w:rPr>
              <w:t xml:space="preserve"> </w:t>
            </w:r>
            <w:r w:rsidRPr="00CD7E52">
              <w:rPr>
                <w:spacing w:val="-2"/>
                <w:sz w:val="22"/>
                <w:szCs w:val="22"/>
              </w:rPr>
              <w:t>(ruda)</w:t>
            </w:r>
          </w:p>
        </w:tc>
        <w:tc>
          <w:tcPr>
            <w:tcW w:w="2198" w:type="dxa"/>
            <w:tcBorders>
              <w:top w:val="single" w:sz="4" w:space="0" w:color="000000"/>
              <w:left w:val="single" w:sz="2" w:space="0" w:color="auto"/>
              <w:bottom w:val="single" w:sz="4" w:space="0" w:color="000000"/>
              <w:right w:val="single" w:sz="2" w:space="0" w:color="auto"/>
            </w:tcBorders>
            <w:shd w:val="clear" w:color="auto" w:fill="EAEAEA"/>
          </w:tcPr>
          <w:p w14:paraId="0B988F67" w14:textId="77777777" w:rsidR="005958AC" w:rsidRPr="00CD7E52" w:rsidRDefault="005958AC" w:rsidP="00854180">
            <w:pPr>
              <w:pStyle w:val="TableParagraph"/>
              <w:kinsoku w:val="0"/>
              <w:overflowPunct w:val="0"/>
              <w:rPr>
                <w:spacing w:val="-5"/>
                <w:sz w:val="22"/>
                <w:szCs w:val="22"/>
              </w:rPr>
            </w:pPr>
            <w:r w:rsidRPr="00CD7E52">
              <w:rPr>
                <w:sz w:val="22"/>
                <w:szCs w:val="22"/>
              </w:rPr>
              <w:t>30</w:t>
            </w:r>
            <w:r w:rsidRPr="00CD7E52">
              <w:rPr>
                <w:spacing w:val="-3"/>
                <w:sz w:val="22"/>
                <w:szCs w:val="22"/>
              </w:rPr>
              <w:t> mg</w:t>
            </w:r>
          </w:p>
        </w:tc>
      </w:tr>
      <w:tr w:rsidR="005958AC" w:rsidRPr="00CD7E52" w14:paraId="7008B0FE" w14:textId="77777777" w:rsidTr="00854180">
        <w:trPr>
          <w:trHeight w:val="254"/>
        </w:trPr>
        <w:tc>
          <w:tcPr>
            <w:tcW w:w="2197" w:type="dxa"/>
            <w:tcBorders>
              <w:top w:val="single" w:sz="4" w:space="0" w:color="000000"/>
              <w:left w:val="single" w:sz="2" w:space="0" w:color="auto"/>
              <w:bottom w:val="single" w:sz="4" w:space="0" w:color="000000"/>
              <w:right w:val="single" w:sz="2" w:space="0" w:color="auto"/>
            </w:tcBorders>
            <w:shd w:val="clear" w:color="auto" w:fill="EAEAEA"/>
          </w:tcPr>
          <w:p w14:paraId="1191E40D" w14:textId="77777777" w:rsidR="005958AC" w:rsidRPr="00CD7E52" w:rsidRDefault="005958AC" w:rsidP="00854180">
            <w:pPr>
              <w:pStyle w:val="TableParagraph"/>
              <w:kinsoku w:val="0"/>
              <w:overflowPunct w:val="0"/>
              <w:rPr>
                <w:b/>
                <w:bCs/>
                <w:spacing w:val="-2"/>
                <w:sz w:val="22"/>
                <w:szCs w:val="22"/>
              </w:rPr>
            </w:pPr>
            <w:r w:rsidRPr="00CD7E52">
              <w:rPr>
                <w:b/>
                <w:bCs/>
                <w:sz w:val="22"/>
                <w:szCs w:val="22"/>
              </w:rPr>
              <w:t>4 </w:t>
            </w:r>
            <w:r w:rsidRPr="00CD7E52">
              <w:rPr>
                <w:b/>
                <w:bCs/>
                <w:spacing w:val="-2"/>
                <w:sz w:val="22"/>
                <w:szCs w:val="22"/>
              </w:rPr>
              <w:t>diena</w:t>
            </w:r>
          </w:p>
        </w:tc>
        <w:tc>
          <w:tcPr>
            <w:tcW w:w="2197" w:type="dxa"/>
            <w:tcBorders>
              <w:top w:val="single" w:sz="4" w:space="0" w:color="000000"/>
              <w:left w:val="single" w:sz="2" w:space="0" w:color="auto"/>
              <w:bottom w:val="single" w:sz="4" w:space="0" w:color="000000"/>
              <w:right w:val="single" w:sz="4" w:space="0" w:color="000000"/>
            </w:tcBorders>
          </w:tcPr>
          <w:p w14:paraId="24E68FC8" w14:textId="77777777" w:rsidR="005958AC" w:rsidRPr="00CD7E52" w:rsidRDefault="005958AC" w:rsidP="00854180">
            <w:pPr>
              <w:pStyle w:val="TableParagraph"/>
              <w:kinsoku w:val="0"/>
              <w:overflowPunct w:val="0"/>
              <w:rPr>
                <w:spacing w:val="-2"/>
                <w:sz w:val="22"/>
                <w:szCs w:val="22"/>
              </w:rPr>
            </w:pPr>
            <w:r w:rsidRPr="00CD7E52">
              <w:rPr>
                <w:sz w:val="22"/>
                <w:szCs w:val="22"/>
              </w:rPr>
              <w:t>20</w:t>
            </w:r>
            <w:r w:rsidRPr="00CD7E52">
              <w:rPr>
                <w:spacing w:val="-3"/>
                <w:sz w:val="22"/>
                <w:szCs w:val="22"/>
              </w:rPr>
              <w:t> mg</w:t>
            </w:r>
            <w:r w:rsidRPr="00CD7E52">
              <w:rPr>
                <w:spacing w:val="-4"/>
                <w:sz w:val="22"/>
                <w:szCs w:val="22"/>
              </w:rPr>
              <w:t xml:space="preserve"> </w:t>
            </w:r>
            <w:r w:rsidRPr="00CD7E52">
              <w:rPr>
                <w:spacing w:val="-2"/>
                <w:sz w:val="22"/>
                <w:szCs w:val="22"/>
              </w:rPr>
              <w:t>(ruda)</w:t>
            </w:r>
          </w:p>
        </w:tc>
        <w:tc>
          <w:tcPr>
            <w:tcW w:w="2197" w:type="dxa"/>
            <w:tcBorders>
              <w:top w:val="single" w:sz="4" w:space="0" w:color="000000"/>
              <w:left w:val="single" w:sz="4" w:space="0" w:color="000000"/>
              <w:bottom w:val="single" w:sz="4" w:space="0" w:color="000000"/>
              <w:right w:val="single" w:sz="2" w:space="0" w:color="auto"/>
            </w:tcBorders>
          </w:tcPr>
          <w:p w14:paraId="3C26A2F4" w14:textId="77777777" w:rsidR="005958AC" w:rsidRPr="00CD7E52" w:rsidRDefault="005958AC" w:rsidP="00854180">
            <w:pPr>
              <w:pStyle w:val="TableParagraph"/>
              <w:kinsoku w:val="0"/>
              <w:overflowPunct w:val="0"/>
              <w:rPr>
                <w:spacing w:val="-2"/>
                <w:sz w:val="22"/>
                <w:szCs w:val="22"/>
              </w:rPr>
            </w:pPr>
            <w:r w:rsidRPr="00CD7E52">
              <w:rPr>
                <w:sz w:val="22"/>
                <w:szCs w:val="22"/>
              </w:rPr>
              <w:t>20</w:t>
            </w:r>
            <w:r w:rsidRPr="00CD7E52">
              <w:rPr>
                <w:spacing w:val="-3"/>
                <w:sz w:val="22"/>
                <w:szCs w:val="22"/>
              </w:rPr>
              <w:t> mg</w:t>
            </w:r>
            <w:r w:rsidRPr="00CD7E52">
              <w:rPr>
                <w:spacing w:val="-4"/>
                <w:sz w:val="22"/>
                <w:szCs w:val="22"/>
              </w:rPr>
              <w:t xml:space="preserve"> </w:t>
            </w:r>
            <w:r w:rsidRPr="00CD7E52">
              <w:rPr>
                <w:spacing w:val="-2"/>
                <w:sz w:val="22"/>
                <w:szCs w:val="22"/>
              </w:rPr>
              <w:t>(ruda)</w:t>
            </w:r>
          </w:p>
        </w:tc>
        <w:tc>
          <w:tcPr>
            <w:tcW w:w="2198" w:type="dxa"/>
            <w:tcBorders>
              <w:top w:val="single" w:sz="4" w:space="0" w:color="000000"/>
              <w:left w:val="single" w:sz="2" w:space="0" w:color="auto"/>
              <w:bottom w:val="single" w:sz="4" w:space="0" w:color="000000"/>
              <w:right w:val="single" w:sz="2" w:space="0" w:color="auto"/>
            </w:tcBorders>
            <w:shd w:val="clear" w:color="auto" w:fill="EAEAEA"/>
          </w:tcPr>
          <w:p w14:paraId="3146466E" w14:textId="77777777" w:rsidR="005958AC" w:rsidRPr="00CD7E52" w:rsidRDefault="005958AC" w:rsidP="00854180">
            <w:pPr>
              <w:pStyle w:val="TableParagraph"/>
              <w:kinsoku w:val="0"/>
              <w:overflowPunct w:val="0"/>
              <w:rPr>
                <w:spacing w:val="-5"/>
                <w:sz w:val="22"/>
                <w:szCs w:val="22"/>
              </w:rPr>
            </w:pPr>
            <w:r w:rsidRPr="00CD7E52">
              <w:rPr>
                <w:sz w:val="22"/>
                <w:szCs w:val="22"/>
              </w:rPr>
              <w:t>40</w:t>
            </w:r>
            <w:r w:rsidRPr="00CD7E52">
              <w:rPr>
                <w:spacing w:val="-3"/>
                <w:sz w:val="22"/>
                <w:szCs w:val="22"/>
              </w:rPr>
              <w:t> mg</w:t>
            </w:r>
          </w:p>
        </w:tc>
      </w:tr>
      <w:tr w:rsidR="005958AC" w:rsidRPr="00CD7E52" w14:paraId="2EA27C7A" w14:textId="77777777" w:rsidTr="00854180">
        <w:trPr>
          <w:trHeight w:val="255"/>
        </w:trPr>
        <w:tc>
          <w:tcPr>
            <w:tcW w:w="2197" w:type="dxa"/>
            <w:tcBorders>
              <w:top w:val="single" w:sz="4" w:space="0" w:color="000000"/>
              <w:left w:val="single" w:sz="2" w:space="0" w:color="auto"/>
              <w:bottom w:val="single" w:sz="4" w:space="0" w:color="000000"/>
              <w:right w:val="single" w:sz="2" w:space="0" w:color="auto"/>
            </w:tcBorders>
            <w:shd w:val="clear" w:color="auto" w:fill="EAEAEA"/>
          </w:tcPr>
          <w:p w14:paraId="187AE19C" w14:textId="77777777" w:rsidR="005958AC" w:rsidRPr="00CD7E52" w:rsidRDefault="005958AC" w:rsidP="00854180">
            <w:pPr>
              <w:pStyle w:val="TableParagraph"/>
              <w:kinsoku w:val="0"/>
              <w:overflowPunct w:val="0"/>
              <w:rPr>
                <w:b/>
                <w:bCs/>
                <w:spacing w:val="-2"/>
                <w:sz w:val="22"/>
                <w:szCs w:val="22"/>
              </w:rPr>
            </w:pPr>
            <w:r w:rsidRPr="00CD7E52">
              <w:rPr>
                <w:b/>
                <w:bCs/>
                <w:sz w:val="22"/>
                <w:szCs w:val="22"/>
              </w:rPr>
              <w:t>5 </w:t>
            </w:r>
            <w:r w:rsidRPr="00CD7E52">
              <w:rPr>
                <w:b/>
                <w:bCs/>
                <w:spacing w:val="-2"/>
                <w:sz w:val="22"/>
                <w:szCs w:val="22"/>
              </w:rPr>
              <w:t>diena</w:t>
            </w:r>
          </w:p>
        </w:tc>
        <w:tc>
          <w:tcPr>
            <w:tcW w:w="2197" w:type="dxa"/>
            <w:tcBorders>
              <w:top w:val="single" w:sz="4" w:space="0" w:color="000000"/>
              <w:left w:val="single" w:sz="2" w:space="0" w:color="auto"/>
              <w:bottom w:val="single" w:sz="4" w:space="0" w:color="000000"/>
              <w:right w:val="single" w:sz="4" w:space="0" w:color="000000"/>
            </w:tcBorders>
          </w:tcPr>
          <w:p w14:paraId="3D2DCF5A" w14:textId="77777777" w:rsidR="005958AC" w:rsidRPr="00CD7E52" w:rsidRDefault="005958AC" w:rsidP="00854180">
            <w:pPr>
              <w:pStyle w:val="TableParagraph"/>
              <w:kinsoku w:val="0"/>
              <w:overflowPunct w:val="0"/>
              <w:rPr>
                <w:spacing w:val="-2"/>
                <w:sz w:val="22"/>
                <w:szCs w:val="22"/>
              </w:rPr>
            </w:pPr>
            <w:r w:rsidRPr="00CD7E52">
              <w:rPr>
                <w:sz w:val="22"/>
                <w:szCs w:val="22"/>
              </w:rPr>
              <w:t>20</w:t>
            </w:r>
            <w:r w:rsidRPr="00CD7E52">
              <w:rPr>
                <w:spacing w:val="-3"/>
                <w:sz w:val="22"/>
                <w:szCs w:val="22"/>
              </w:rPr>
              <w:t> mg</w:t>
            </w:r>
            <w:r w:rsidRPr="00CD7E52">
              <w:rPr>
                <w:spacing w:val="-4"/>
                <w:sz w:val="22"/>
                <w:szCs w:val="22"/>
              </w:rPr>
              <w:t xml:space="preserve"> </w:t>
            </w:r>
            <w:r w:rsidRPr="00CD7E52">
              <w:rPr>
                <w:spacing w:val="-2"/>
                <w:sz w:val="22"/>
                <w:szCs w:val="22"/>
              </w:rPr>
              <w:t>(ruda)</w:t>
            </w:r>
          </w:p>
        </w:tc>
        <w:tc>
          <w:tcPr>
            <w:tcW w:w="2197" w:type="dxa"/>
            <w:tcBorders>
              <w:top w:val="single" w:sz="4" w:space="0" w:color="000000"/>
              <w:left w:val="single" w:sz="4" w:space="0" w:color="000000"/>
              <w:bottom w:val="single" w:sz="4" w:space="0" w:color="000000"/>
              <w:right w:val="single" w:sz="2" w:space="0" w:color="auto"/>
            </w:tcBorders>
          </w:tcPr>
          <w:p w14:paraId="21787395" w14:textId="77777777" w:rsidR="005958AC" w:rsidRPr="00CD7E52" w:rsidRDefault="005958AC" w:rsidP="00854180">
            <w:pPr>
              <w:pStyle w:val="TableParagraph"/>
              <w:kinsoku w:val="0"/>
              <w:overflowPunct w:val="0"/>
              <w:rPr>
                <w:spacing w:val="-2"/>
                <w:sz w:val="22"/>
                <w:szCs w:val="22"/>
              </w:rPr>
            </w:pPr>
            <w:r w:rsidRPr="00CD7E52">
              <w:rPr>
                <w:sz w:val="22"/>
                <w:szCs w:val="22"/>
              </w:rPr>
              <w:t>30</w:t>
            </w:r>
            <w:r w:rsidRPr="00CD7E52">
              <w:rPr>
                <w:spacing w:val="-5"/>
                <w:sz w:val="22"/>
                <w:szCs w:val="22"/>
              </w:rPr>
              <w:t xml:space="preserve"> mg </w:t>
            </w:r>
            <w:r w:rsidRPr="00CD7E52">
              <w:rPr>
                <w:sz w:val="22"/>
                <w:szCs w:val="22"/>
              </w:rPr>
              <w:t>(</w:t>
            </w:r>
            <w:r w:rsidR="00020B81" w:rsidRPr="00CD7E52">
              <w:rPr>
                <w:sz w:val="22"/>
                <w:szCs w:val="22"/>
              </w:rPr>
              <w:t>rusvai gelsva</w:t>
            </w:r>
            <w:r w:rsidRPr="00CD7E52">
              <w:rPr>
                <w:spacing w:val="-2"/>
                <w:sz w:val="22"/>
                <w:szCs w:val="22"/>
              </w:rPr>
              <w:t>)</w:t>
            </w:r>
          </w:p>
        </w:tc>
        <w:tc>
          <w:tcPr>
            <w:tcW w:w="2198" w:type="dxa"/>
            <w:tcBorders>
              <w:top w:val="single" w:sz="4" w:space="0" w:color="000000"/>
              <w:left w:val="single" w:sz="2" w:space="0" w:color="auto"/>
              <w:bottom w:val="single" w:sz="4" w:space="0" w:color="000000"/>
              <w:right w:val="single" w:sz="2" w:space="0" w:color="auto"/>
            </w:tcBorders>
            <w:shd w:val="clear" w:color="auto" w:fill="EAEAEA"/>
          </w:tcPr>
          <w:p w14:paraId="24F6E456" w14:textId="77777777" w:rsidR="005958AC" w:rsidRPr="00CD7E52" w:rsidRDefault="005958AC" w:rsidP="00854180">
            <w:pPr>
              <w:pStyle w:val="TableParagraph"/>
              <w:kinsoku w:val="0"/>
              <w:overflowPunct w:val="0"/>
              <w:rPr>
                <w:spacing w:val="-5"/>
                <w:sz w:val="22"/>
                <w:szCs w:val="22"/>
              </w:rPr>
            </w:pPr>
            <w:r w:rsidRPr="00CD7E52">
              <w:rPr>
                <w:sz w:val="22"/>
                <w:szCs w:val="22"/>
              </w:rPr>
              <w:t>50</w:t>
            </w:r>
            <w:r w:rsidRPr="00CD7E52">
              <w:rPr>
                <w:spacing w:val="-3"/>
                <w:sz w:val="22"/>
                <w:szCs w:val="22"/>
              </w:rPr>
              <w:t> mg</w:t>
            </w:r>
          </w:p>
        </w:tc>
      </w:tr>
      <w:tr w:rsidR="005958AC" w:rsidRPr="00CD7E52" w14:paraId="17D3D22D" w14:textId="77777777" w:rsidTr="00854180">
        <w:trPr>
          <w:trHeight w:val="255"/>
        </w:trPr>
        <w:tc>
          <w:tcPr>
            <w:tcW w:w="2197" w:type="dxa"/>
            <w:tcBorders>
              <w:top w:val="single" w:sz="4" w:space="0" w:color="000000"/>
              <w:left w:val="single" w:sz="2" w:space="0" w:color="auto"/>
              <w:bottom w:val="single" w:sz="2" w:space="0" w:color="auto"/>
              <w:right w:val="single" w:sz="2" w:space="0" w:color="auto"/>
            </w:tcBorders>
            <w:shd w:val="clear" w:color="auto" w:fill="EAEAEA"/>
          </w:tcPr>
          <w:p w14:paraId="2A8E27DE" w14:textId="77777777" w:rsidR="005958AC" w:rsidRPr="00CD7E52" w:rsidRDefault="005958AC" w:rsidP="00854180">
            <w:pPr>
              <w:pStyle w:val="TableParagraph"/>
              <w:kinsoku w:val="0"/>
              <w:overflowPunct w:val="0"/>
              <w:rPr>
                <w:b/>
                <w:bCs/>
                <w:spacing w:val="-2"/>
                <w:sz w:val="22"/>
                <w:szCs w:val="22"/>
              </w:rPr>
            </w:pPr>
            <w:r w:rsidRPr="00CD7E52">
              <w:rPr>
                <w:b/>
                <w:bCs/>
                <w:sz w:val="22"/>
                <w:szCs w:val="22"/>
              </w:rPr>
              <w:t>Nuo</w:t>
            </w:r>
            <w:r w:rsidRPr="00CD7E52">
              <w:rPr>
                <w:b/>
                <w:bCs/>
                <w:spacing w:val="-3"/>
                <w:sz w:val="22"/>
                <w:szCs w:val="22"/>
              </w:rPr>
              <w:t xml:space="preserve"> </w:t>
            </w:r>
            <w:r w:rsidRPr="00CD7E52">
              <w:rPr>
                <w:b/>
                <w:bCs/>
                <w:sz w:val="22"/>
                <w:szCs w:val="22"/>
              </w:rPr>
              <w:t>6 </w:t>
            </w:r>
            <w:r w:rsidRPr="00CD7E52">
              <w:rPr>
                <w:b/>
                <w:bCs/>
                <w:spacing w:val="-2"/>
                <w:sz w:val="22"/>
                <w:szCs w:val="22"/>
              </w:rPr>
              <w:t xml:space="preserve"> dienos</w:t>
            </w:r>
          </w:p>
        </w:tc>
        <w:tc>
          <w:tcPr>
            <w:tcW w:w="2197" w:type="dxa"/>
            <w:tcBorders>
              <w:top w:val="single" w:sz="4" w:space="0" w:color="000000"/>
              <w:left w:val="single" w:sz="2" w:space="0" w:color="auto"/>
              <w:bottom w:val="single" w:sz="2" w:space="0" w:color="auto"/>
              <w:right w:val="single" w:sz="4" w:space="0" w:color="000000"/>
            </w:tcBorders>
          </w:tcPr>
          <w:p w14:paraId="2A9C376E" w14:textId="77777777" w:rsidR="005958AC" w:rsidRPr="00CD7E52" w:rsidRDefault="005958AC" w:rsidP="00854180">
            <w:pPr>
              <w:pStyle w:val="TableParagraph"/>
              <w:kinsoku w:val="0"/>
              <w:overflowPunct w:val="0"/>
              <w:rPr>
                <w:spacing w:val="-2"/>
                <w:sz w:val="22"/>
                <w:szCs w:val="22"/>
              </w:rPr>
            </w:pPr>
            <w:r w:rsidRPr="00CD7E52">
              <w:rPr>
                <w:sz w:val="22"/>
                <w:szCs w:val="22"/>
              </w:rPr>
              <w:t>30</w:t>
            </w:r>
            <w:r w:rsidRPr="00CD7E52">
              <w:rPr>
                <w:spacing w:val="-5"/>
                <w:sz w:val="22"/>
                <w:szCs w:val="22"/>
              </w:rPr>
              <w:t xml:space="preserve"> mg </w:t>
            </w:r>
            <w:r w:rsidRPr="00CD7E52">
              <w:rPr>
                <w:sz w:val="22"/>
                <w:szCs w:val="22"/>
              </w:rPr>
              <w:t>(</w:t>
            </w:r>
            <w:r w:rsidR="00020B81" w:rsidRPr="00CD7E52">
              <w:rPr>
                <w:sz w:val="22"/>
                <w:szCs w:val="22"/>
              </w:rPr>
              <w:t>rusvai gelsva</w:t>
            </w:r>
            <w:r w:rsidRPr="00CD7E52">
              <w:rPr>
                <w:spacing w:val="-2"/>
                <w:sz w:val="22"/>
                <w:szCs w:val="22"/>
              </w:rPr>
              <w:t>)</w:t>
            </w:r>
          </w:p>
        </w:tc>
        <w:tc>
          <w:tcPr>
            <w:tcW w:w="2197" w:type="dxa"/>
            <w:tcBorders>
              <w:top w:val="single" w:sz="4" w:space="0" w:color="000000"/>
              <w:left w:val="single" w:sz="4" w:space="0" w:color="000000"/>
              <w:bottom w:val="single" w:sz="2" w:space="0" w:color="auto"/>
              <w:right w:val="single" w:sz="2" w:space="0" w:color="auto"/>
            </w:tcBorders>
          </w:tcPr>
          <w:p w14:paraId="46075140" w14:textId="77777777" w:rsidR="005958AC" w:rsidRPr="00CD7E52" w:rsidRDefault="005958AC" w:rsidP="00854180">
            <w:pPr>
              <w:pStyle w:val="TableParagraph"/>
              <w:kinsoku w:val="0"/>
              <w:overflowPunct w:val="0"/>
              <w:rPr>
                <w:spacing w:val="-2"/>
                <w:sz w:val="22"/>
                <w:szCs w:val="22"/>
              </w:rPr>
            </w:pPr>
            <w:r w:rsidRPr="00CD7E52">
              <w:rPr>
                <w:sz w:val="22"/>
                <w:szCs w:val="22"/>
              </w:rPr>
              <w:t>30</w:t>
            </w:r>
            <w:r w:rsidRPr="00CD7E52">
              <w:rPr>
                <w:spacing w:val="-5"/>
                <w:sz w:val="22"/>
                <w:szCs w:val="22"/>
              </w:rPr>
              <w:t xml:space="preserve"> mg </w:t>
            </w:r>
            <w:r w:rsidRPr="00CD7E52">
              <w:rPr>
                <w:sz w:val="22"/>
                <w:szCs w:val="22"/>
              </w:rPr>
              <w:t>(</w:t>
            </w:r>
            <w:r w:rsidR="00020B81" w:rsidRPr="00CD7E52">
              <w:rPr>
                <w:sz w:val="22"/>
                <w:szCs w:val="22"/>
              </w:rPr>
              <w:t>rusvai gelsva</w:t>
            </w:r>
            <w:r w:rsidRPr="00CD7E52">
              <w:rPr>
                <w:spacing w:val="-2"/>
                <w:sz w:val="22"/>
                <w:szCs w:val="22"/>
              </w:rPr>
              <w:t>)</w:t>
            </w:r>
          </w:p>
        </w:tc>
        <w:tc>
          <w:tcPr>
            <w:tcW w:w="2198" w:type="dxa"/>
            <w:tcBorders>
              <w:top w:val="single" w:sz="4" w:space="0" w:color="000000"/>
              <w:left w:val="single" w:sz="2" w:space="0" w:color="auto"/>
              <w:bottom w:val="single" w:sz="2" w:space="0" w:color="auto"/>
              <w:right w:val="single" w:sz="2" w:space="0" w:color="auto"/>
            </w:tcBorders>
            <w:shd w:val="clear" w:color="auto" w:fill="EAEAEA"/>
          </w:tcPr>
          <w:p w14:paraId="21C4D95F" w14:textId="77777777" w:rsidR="005958AC" w:rsidRPr="00CD7E52" w:rsidRDefault="005958AC" w:rsidP="00854180">
            <w:pPr>
              <w:pStyle w:val="TableParagraph"/>
              <w:kinsoku w:val="0"/>
              <w:overflowPunct w:val="0"/>
              <w:rPr>
                <w:spacing w:val="-5"/>
                <w:sz w:val="22"/>
                <w:szCs w:val="22"/>
              </w:rPr>
            </w:pPr>
            <w:r w:rsidRPr="00CD7E52">
              <w:rPr>
                <w:sz w:val="22"/>
                <w:szCs w:val="22"/>
              </w:rPr>
              <w:t>60</w:t>
            </w:r>
            <w:r w:rsidRPr="00CD7E52">
              <w:rPr>
                <w:spacing w:val="-3"/>
                <w:sz w:val="22"/>
                <w:szCs w:val="22"/>
              </w:rPr>
              <w:t> mg</w:t>
            </w:r>
          </w:p>
        </w:tc>
      </w:tr>
    </w:tbl>
    <w:p w14:paraId="3432D8D2" w14:textId="77777777" w:rsidR="005958AC" w:rsidRDefault="005958AC" w:rsidP="00BD0220">
      <w:pPr>
        <w:widowControl w:val="0"/>
        <w:tabs>
          <w:tab w:val="clear" w:pos="567"/>
        </w:tabs>
        <w:autoSpaceDE w:val="0"/>
        <w:autoSpaceDN w:val="0"/>
        <w:adjustRightInd w:val="0"/>
        <w:spacing w:line="240" w:lineRule="auto"/>
        <w:rPr>
          <w:szCs w:val="22"/>
          <w:lang w:val="lt-LT"/>
        </w:rPr>
      </w:pPr>
    </w:p>
    <w:p w14:paraId="1DB4CD47" w14:textId="77777777" w:rsidR="00250DDA" w:rsidRPr="00DB2543" w:rsidRDefault="00250DDA" w:rsidP="00250DDA">
      <w:pPr>
        <w:widowControl w:val="0"/>
        <w:tabs>
          <w:tab w:val="clear" w:pos="567"/>
        </w:tabs>
        <w:autoSpaceDE w:val="0"/>
        <w:autoSpaceDN w:val="0"/>
        <w:adjustRightInd w:val="0"/>
        <w:spacing w:line="240" w:lineRule="auto"/>
        <w:rPr>
          <w:szCs w:val="22"/>
          <w:u w:val="single"/>
          <w:lang w:val="lt-LT"/>
        </w:rPr>
      </w:pPr>
      <w:r w:rsidRPr="00DB2543">
        <w:rPr>
          <w:szCs w:val="22"/>
          <w:u w:val="single"/>
          <w:lang w:val="lt-LT"/>
        </w:rPr>
        <w:t>Vaikams ir paaugliams nuo 6 metų</w:t>
      </w:r>
    </w:p>
    <w:p w14:paraId="3C33E03B" w14:textId="77777777" w:rsidR="00250DDA" w:rsidRPr="00250DDA" w:rsidRDefault="00250DDA" w:rsidP="00DB2543">
      <w:pPr>
        <w:widowControl w:val="0"/>
        <w:numPr>
          <w:ilvl w:val="0"/>
          <w:numId w:val="45"/>
        </w:numPr>
        <w:autoSpaceDE w:val="0"/>
        <w:autoSpaceDN w:val="0"/>
        <w:adjustRightInd w:val="0"/>
        <w:spacing w:line="240" w:lineRule="auto"/>
        <w:rPr>
          <w:szCs w:val="22"/>
          <w:lang w:val="lt-LT"/>
        </w:rPr>
      </w:pPr>
      <w:r w:rsidRPr="00250DDA">
        <w:rPr>
          <w:szCs w:val="22"/>
          <w:lang w:val="lt-LT"/>
        </w:rPr>
        <w:t>Apremilast STADA dozė bus skiriama atsižvelgiant į kūno svorį.</w:t>
      </w:r>
    </w:p>
    <w:p w14:paraId="2D2DFD31" w14:textId="77777777" w:rsidR="00250DDA" w:rsidRPr="00250DDA" w:rsidRDefault="00250DDA" w:rsidP="00250DDA">
      <w:pPr>
        <w:widowControl w:val="0"/>
        <w:tabs>
          <w:tab w:val="clear" w:pos="567"/>
        </w:tabs>
        <w:autoSpaceDE w:val="0"/>
        <w:autoSpaceDN w:val="0"/>
        <w:adjustRightInd w:val="0"/>
        <w:spacing w:line="240" w:lineRule="auto"/>
        <w:rPr>
          <w:szCs w:val="22"/>
          <w:lang w:val="lt-LT"/>
        </w:rPr>
      </w:pPr>
    </w:p>
    <w:p w14:paraId="58571EC2" w14:textId="77777777" w:rsidR="00250DDA" w:rsidRDefault="00250DDA" w:rsidP="00250DDA">
      <w:pPr>
        <w:widowControl w:val="0"/>
        <w:tabs>
          <w:tab w:val="clear" w:pos="567"/>
        </w:tabs>
        <w:autoSpaceDE w:val="0"/>
        <w:autoSpaceDN w:val="0"/>
        <w:adjustRightInd w:val="0"/>
        <w:spacing w:line="240" w:lineRule="auto"/>
        <w:rPr>
          <w:szCs w:val="22"/>
          <w:lang w:val="lt-LT"/>
        </w:rPr>
      </w:pPr>
      <w:r w:rsidRPr="00DB2543">
        <w:rPr>
          <w:i/>
          <w:iCs/>
          <w:szCs w:val="22"/>
          <w:u w:val="single"/>
          <w:lang w:val="lt-LT"/>
        </w:rPr>
        <w:t xml:space="preserve">Pacientams, sveriantiems nuo 20 kg iki </w:t>
      </w:r>
      <w:r w:rsidR="00E5251F">
        <w:rPr>
          <w:i/>
          <w:iCs/>
          <w:szCs w:val="22"/>
          <w:u w:val="single"/>
          <w:lang w:val="lt-LT"/>
        </w:rPr>
        <w:t xml:space="preserve">mažiau nei </w:t>
      </w:r>
      <w:r w:rsidRPr="00DB2543">
        <w:rPr>
          <w:i/>
          <w:iCs/>
          <w:szCs w:val="22"/>
          <w:u w:val="single"/>
          <w:lang w:val="lt-LT"/>
        </w:rPr>
        <w:t>50 kg</w:t>
      </w:r>
      <w:r>
        <w:rPr>
          <w:i/>
          <w:iCs/>
          <w:szCs w:val="22"/>
          <w:u w:val="single"/>
          <w:lang w:val="lt-LT"/>
        </w:rPr>
        <w:t>*</w:t>
      </w:r>
      <w:r w:rsidRPr="00DB2543">
        <w:rPr>
          <w:i/>
          <w:iCs/>
          <w:szCs w:val="22"/>
          <w:u w:val="single"/>
          <w:lang w:val="lt-LT"/>
        </w:rPr>
        <w:t>.</w:t>
      </w:r>
      <w:r w:rsidRPr="00250DDA">
        <w:rPr>
          <w:i/>
          <w:iCs/>
          <w:szCs w:val="22"/>
          <w:lang w:val="lt-LT"/>
        </w:rPr>
        <w:t xml:space="preserve"> </w:t>
      </w:r>
      <w:r w:rsidRPr="00250DDA">
        <w:rPr>
          <w:szCs w:val="22"/>
          <w:lang w:val="lt-LT"/>
        </w:rPr>
        <w:t xml:space="preserve">Rekomenduojama </w:t>
      </w:r>
      <w:r>
        <w:rPr>
          <w:szCs w:val="22"/>
          <w:lang w:val="lt-LT"/>
        </w:rPr>
        <w:t>a</w:t>
      </w:r>
      <w:r w:rsidRPr="00250DDA">
        <w:rPr>
          <w:szCs w:val="22"/>
          <w:lang w:val="lt-LT"/>
        </w:rPr>
        <w:t>premilast</w:t>
      </w:r>
      <w:r>
        <w:rPr>
          <w:szCs w:val="22"/>
          <w:lang w:val="lt-LT"/>
        </w:rPr>
        <w:t>o</w:t>
      </w:r>
      <w:r w:rsidRPr="00250DDA">
        <w:rPr>
          <w:szCs w:val="22"/>
          <w:lang w:val="lt-LT"/>
        </w:rPr>
        <w:t xml:space="preserve"> dozė yra 20</w:t>
      </w:r>
      <w:r>
        <w:rPr>
          <w:szCs w:val="22"/>
          <w:lang w:val="lt-LT"/>
        </w:rPr>
        <w:t> </w:t>
      </w:r>
      <w:r w:rsidRPr="00250DDA">
        <w:rPr>
          <w:szCs w:val="22"/>
          <w:lang w:val="lt-LT"/>
        </w:rPr>
        <w:t>mg, vartojama du kartus per parą, pasibaigus titravimo fazei, kaip parodyta toliau pateiktoje lentelėje, – viena 20</w:t>
      </w:r>
      <w:r>
        <w:rPr>
          <w:szCs w:val="22"/>
          <w:lang w:val="lt-LT"/>
        </w:rPr>
        <w:t> </w:t>
      </w:r>
      <w:r w:rsidRPr="00250DDA">
        <w:rPr>
          <w:szCs w:val="22"/>
          <w:lang w:val="lt-LT"/>
        </w:rPr>
        <w:t>mg dozė ryte ir viena 20</w:t>
      </w:r>
      <w:r>
        <w:rPr>
          <w:szCs w:val="22"/>
          <w:lang w:val="lt-LT"/>
        </w:rPr>
        <w:t> </w:t>
      </w:r>
      <w:r w:rsidRPr="00250DDA">
        <w:rPr>
          <w:szCs w:val="22"/>
          <w:lang w:val="lt-LT"/>
        </w:rPr>
        <w:t>mg dozė vakare, su maždaug 12</w:t>
      </w:r>
      <w:r>
        <w:rPr>
          <w:szCs w:val="22"/>
          <w:lang w:val="lt-LT"/>
        </w:rPr>
        <w:t> </w:t>
      </w:r>
      <w:r w:rsidRPr="00250DDA">
        <w:rPr>
          <w:szCs w:val="22"/>
          <w:lang w:val="lt-LT"/>
        </w:rPr>
        <w:t>valandų pertrauka, nepriklausomai nuo valgio. Tai sudaro bendrą 40</w:t>
      </w:r>
      <w:r>
        <w:rPr>
          <w:szCs w:val="22"/>
          <w:lang w:val="lt-LT"/>
        </w:rPr>
        <w:t> </w:t>
      </w:r>
      <w:r w:rsidRPr="00250DDA">
        <w:rPr>
          <w:szCs w:val="22"/>
          <w:lang w:val="lt-LT"/>
        </w:rPr>
        <w:t>mg paros dozę.</w:t>
      </w:r>
    </w:p>
    <w:p w14:paraId="2143F024" w14:textId="77777777" w:rsidR="00250DDA" w:rsidRDefault="00250DDA" w:rsidP="00250DDA">
      <w:pPr>
        <w:widowControl w:val="0"/>
        <w:tabs>
          <w:tab w:val="clear" w:pos="567"/>
        </w:tabs>
        <w:autoSpaceDE w:val="0"/>
        <w:autoSpaceDN w:val="0"/>
        <w:adjustRightInd w:val="0"/>
        <w:spacing w:line="240" w:lineRule="auto"/>
        <w:rPr>
          <w:szCs w:val="22"/>
          <w:lang w:val="lt-LT"/>
        </w:rPr>
      </w:pPr>
    </w:p>
    <w:tbl>
      <w:tblPr>
        <w:tblW w:w="8789" w:type="dxa"/>
        <w:tblInd w:w="15" w:type="dxa"/>
        <w:tblLayout w:type="fixed"/>
        <w:tblCellMar>
          <w:left w:w="0" w:type="dxa"/>
          <w:right w:w="0" w:type="dxa"/>
        </w:tblCellMar>
        <w:tblLook w:val="0000" w:firstRow="0" w:lastRow="0" w:firstColumn="0" w:lastColumn="0" w:noHBand="0" w:noVBand="0"/>
      </w:tblPr>
      <w:tblGrid>
        <w:gridCol w:w="2197"/>
        <w:gridCol w:w="2197"/>
        <w:gridCol w:w="2197"/>
        <w:gridCol w:w="2198"/>
      </w:tblGrid>
      <w:tr w:rsidR="00250DDA" w:rsidRPr="00CD7E52" w14:paraId="3E374FE2" w14:textId="77777777" w:rsidTr="00DB2543">
        <w:trPr>
          <w:trHeight w:val="330"/>
        </w:trPr>
        <w:tc>
          <w:tcPr>
            <w:tcW w:w="2197" w:type="dxa"/>
            <w:tcBorders>
              <w:top w:val="single" w:sz="2" w:space="0" w:color="auto"/>
              <w:left w:val="single" w:sz="2" w:space="0" w:color="auto"/>
              <w:bottom w:val="single" w:sz="2" w:space="0" w:color="auto"/>
              <w:right w:val="single" w:sz="4" w:space="0" w:color="000000"/>
            </w:tcBorders>
            <w:shd w:val="clear" w:color="auto" w:fill="F2F2F2"/>
          </w:tcPr>
          <w:p w14:paraId="46604BA0" w14:textId="77777777" w:rsidR="00250DDA" w:rsidRPr="00CD7E52" w:rsidRDefault="00250DDA" w:rsidP="00686BBB">
            <w:pPr>
              <w:pStyle w:val="TableParagraph"/>
              <w:kinsoku w:val="0"/>
              <w:overflowPunct w:val="0"/>
              <w:rPr>
                <w:b/>
                <w:bCs/>
                <w:spacing w:val="-2"/>
                <w:sz w:val="22"/>
                <w:szCs w:val="22"/>
              </w:rPr>
            </w:pPr>
          </w:p>
        </w:tc>
        <w:tc>
          <w:tcPr>
            <w:tcW w:w="6592" w:type="dxa"/>
            <w:gridSpan w:val="3"/>
            <w:tcBorders>
              <w:top w:val="single" w:sz="2" w:space="0" w:color="auto"/>
              <w:left w:val="single" w:sz="4" w:space="0" w:color="000000"/>
              <w:bottom w:val="single" w:sz="2" w:space="0" w:color="auto"/>
              <w:right w:val="single" w:sz="2" w:space="0" w:color="auto"/>
            </w:tcBorders>
            <w:shd w:val="clear" w:color="auto" w:fill="F2F2F2"/>
            <w:vAlign w:val="center"/>
          </w:tcPr>
          <w:p w14:paraId="77421BF4" w14:textId="77777777" w:rsidR="00250DDA" w:rsidRPr="00CD7E52" w:rsidRDefault="00250DDA" w:rsidP="00DB2543">
            <w:pPr>
              <w:pStyle w:val="Default"/>
              <w:jc w:val="center"/>
              <w:rPr>
                <w:b/>
                <w:bCs/>
                <w:sz w:val="22"/>
                <w:szCs w:val="22"/>
              </w:rPr>
            </w:pPr>
            <w:proofErr w:type="spellStart"/>
            <w:r>
              <w:rPr>
                <w:b/>
                <w:bCs/>
                <w:sz w:val="22"/>
                <w:szCs w:val="22"/>
              </w:rPr>
              <w:t>Svoris</w:t>
            </w:r>
            <w:proofErr w:type="spellEnd"/>
            <w:r>
              <w:rPr>
                <w:b/>
                <w:bCs/>
                <w:sz w:val="22"/>
                <w:szCs w:val="22"/>
              </w:rPr>
              <w:t xml:space="preserve"> </w:t>
            </w:r>
            <w:proofErr w:type="spellStart"/>
            <w:r>
              <w:rPr>
                <w:b/>
                <w:bCs/>
                <w:sz w:val="22"/>
                <w:szCs w:val="22"/>
              </w:rPr>
              <w:t>nuo</w:t>
            </w:r>
            <w:proofErr w:type="spellEnd"/>
            <w:r>
              <w:rPr>
                <w:b/>
                <w:bCs/>
                <w:sz w:val="22"/>
                <w:szCs w:val="22"/>
              </w:rPr>
              <w:t xml:space="preserve"> 20 kg </w:t>
            </w:r>
            <w:proofErr w:type="spellStart"/>
            <w:r>
              <w:rPr>
                <w:b/>
                <w:bCs/>
                <w:sz w:val="22"/>
                <w:szCs w:val="22"/>
              </w:rPr>
              <w:t>iki</w:t>
            </w:r>
            <w:proofErr w:type="spellEnd"/>
            <w:r>
              <w:rPr>
                <w:b/>
                <w:bCs/>
                <w:sz w:val="22"/>
                <w:szCs w:val="22"/>
              </w:rPr>
              <w:t xml:space="preserve"> 50 kg (</w:t>
            </w:r>
            <w:proofErr w:type="spellStart"/>
            <w:r>
              <w:rPr>
                <w:b/>
                <w:bCs/>
                <w:sz w:val="22"/>
                <w:szCs w:val="22"/>
              </w:rPr>
              <w:t>neimtinai</w:t>
            </w:r>
            <w:proofErr w:type="spellEnd"/>
            <w:r>
              <w:rPr>
                <w:b/>
                <w:bCs/>
                <w:sz w:val="22"/>
                <w:szCs w:val="22"/>
              </w:rPr>
              <w:t>)*</w:t>
            </w:r>
          </w:p>
        </w:tc>
      </w:tr>
      <w:tr w:rsidR="00250DDA" w:rsidRPr="00CD7E52" w14:paraId="4A8B276C" w14:textId="77777777" w:rsidTr="00686BBB">
        <w:trPr>
          <w:trHeight w:val="330"/>
        </w:trPr>
        <w:tc>
          <w:tcPr>
            <w:tcW w:w="2197" w:type="dxa"/>
            <w:tcBorders>
              <w:top w:val="single" w:sz="2" w:space="0" w:color="auto"/>
              <w:left w:val="single" w:sz="2" w:space="0" w:color="auto"/>
              <w:bottom w:val="single" w:sz="2" w:space="0" w:color="auto"/>
              <w:right w:val="single" w:sz="4" w:space="0" w:color="000000"/>
            </w:tcBorders>
            <w:shd w:val="clear" w:color="auto" w:fill="F2F2F2"/>
          </w:tcPr>
          <w:p w14:paraId="6B006ED6" w14:textId="77777777" w:rsidR="00250DDA" w:rsidRPr="00CD7E52" w:rsidRDefault="00250DDA" w:rsidP="00686BBB">
            <w:pPr>
              <w:pStyle w:val="TableParagraph"/>
              <w:kinsoku w:val="0"/>
              <w:overflowPunct w:val="0"/>
              <w:rPr>
                <w:b/>
                <w:bCs/>
                <w:spacing w:val="-2"/>
                <w:sz w:val="22"/>
                <w:szCs w:val="22"/>
              </w:rPr>
            </w:pPr>
            <w:r w:rsidRPr="00CD7E52">
              <w:rPr>
                <w:b/>
                <w:bCs/>
                <w:spacing w:val="-2"/>
                <w:sz w:val="22"/>
                <w:szCs w:val="22"/>
              </w:rPr>
              <w:t>Diena</w:t>
            </w:r>
          </w:p>
        </w:tc>
        <w:tc>
          <w:tcPr>
            <w:tcW w:w="2197" w:type="dxa"/>
            <w:tcBorders>
              <w:top w:val="single" w:sz="2" w:space="0" w:color="auto"/>
              <w:left w:val="single" w:sz="4" w:space="0" w:color="000000"/>
              <w:bottom w:val="single" w:sz="2" w:space="0" w:color="auto"/>
              <w:right w:val="single" w:sz="4" w:space="0" w:color="000000"/>
            </w:tcBorders>
            <w:shd w:val="clear" w:color="auto" w:fill="F2F2F2"/>
          </w:tcPr>
          <w:p w14:paraId="0AA8EA80" w14:textId="77777777" w:rsidR="00250DDA" w:rsidRPr="00CD7E52" w:rsidRDefault="00250DDA" w:rsidP="00686BBB">
            <w:pPr>
              <w:pStyle w:val="TableParagraph"/>
              <w:kinsoku w:val="0"/>
              <w:overflowPunct w:val="0"/>
              <w:rPr>
                <w:b/>
                <w:bCs/>
                <w:spacing w:val="-4"/>
                <w:sz w:val="22"/>
                <w:szCs w:val="22"/>
              </w:rPr>
            </w:pPr>
            <w:r w:rsidRPr="00CD7E52">
              <w:rPr>
                <w:b/>
                <w:bCs/>
                <w:sz w:val="22"/>
                <w:szCs w:val="22"/>
              </w:rPr>
              <w:t>Rytinė</w:t>
            </w:r>
            <w:r w:rsidRPr="00CD7E52">
              <w:rPr>
                <w:b/>
                <w:bCs/>
                <w:spacing w:val="-8"/>
                <w:sz w:val="22"/>
                <w:szCs w:val="22"/>
              </w:rPr>
              <w:t xml:space="preserve"> </w:t>
            </w:r>
            <w:r w:rsidRPr="00CD7E52">
              <w:rPr>
                <w:b/>
                <w:bCs/>
                <w:spacing w:val="-4"/>
                <w:sz w:val="22"/>
                <w:szCs w:val="22"/>
              </w:rPr>
              <w:t>dozė</w:t>
            </w:r>
          </w:p>
        </w:tc>
        <w:tc>
          <w:tcPr>
            <w:tcW w:w="2197" w:type="dxa"/>
            <w:tcBorders>
              <w:top w:val="single" w:sz="2" w:space="0" w:color="auto"/>
              <w:left w:val="single" w:sz="4" w:space="0" w:color="000000"/>
              <w:bottom w:val="single" w:sz="2" w:space="0" w:color="auto"/>
              <w:right w:val="single" w:sz="4" w:space="0" w:color="000000"/>
            </w:tcBorders>
            <w:shd w:val="clear" w:color="auto" w:fill="F2F2F2"/>
          </w:tcPr>
          <w:p w14:paraId="0D38F390" w14:textId="77777777" w:rsidR="00250DDA" w:rsidRPr="00CD7E52" w:rsidRDefault="00250DDA" w:rsidP="00686BBB">
            <w:pPr>
              <w:pStyle w:val="TableParagraph"/>
              <w:kinsoku w:val="0"/>
              <w:overflowPunct w:val="0"/>
              <w:rPr>
                <w:b/>
                <w:bCs/>
                <w:spacing w:val="-4"/>
                <w:sz w:val="22"/>
                <w:szCs w:val="22"/>
              </w:rPr>
            </w:pPr>
            <w:r w:rsidRPr="00CD7E52">
              <w:rPr>
                <w:b/>
                <w:bCs/>
                <w:spacing w:val="-2"/>
                <w:sz w:val="22"/>
                <w:szCs w:val="22"/>
              </w:rPr>
              <w:t>Vakarinė</w:t>
            </w:r>
            <w:r w:rsidRPr="00CD7E52">
              <w:rPr>
                <w:b/>
                <w:bCs/>
                <w:spacing w:val="1"/>
                <w:sz w:val="22"/>
                <w:szCs w:val="22"/>
              </w:rPr>
              <w:t xml:space="preserve"> </w:t>
            </w:r>
            <w:r w:rsidRPr="00CD7E52">
              <w:rPr>
                <w:b/>
                <w:bCs/>
                <w:spacing w:val="-4"/>
                <w:sz w:val="22"/>
                <w:szCs w:val="22"/>
              </w:rPr>
              <w:t>dozė</w:t>
            </w:r>
          </w:p>
        </w:tc>
        <w:tc>
          <w:tcPr>
            <w:tcW w:w="2198" w:type="dxa"/>
            <w:tcBorders>
              <w:top w:val="single" w:sz="2" w:space="0" w:color="auto"/>
              <w:left w:val="single" w:sz="4" w:space="0" w:color="000000"/>
              <w:bottom w:val="single" w:sz="2" w:space="0" w:color="auto"/>
              <w:right w:val="single" w:sz="2" w:space="0" w:color="auto"/>
            </w:tcBorders>
            <w:shd w:val="clear" w:color="auto" w:fill="F2F2F2"/>
          </w:tcPr>
          <w:p w14:paraId="5CE4A497" w14:textId="77777777" w:rsidR="00250DDA" w:rsidRPr="00CD7E52" w:rsidRDefault="00250DDA" w:rsidP="00686BBB">
            <w:pPr>
              <w:pStyle w:val="TableParagraph"/>
              <w:kinsoku w:val="0"/>
              <w:overflowPunct w:val="0"/>
              <w:rPr>
                <w:b/>
                <w:bCs/>
                <w:spacing w:val="-4"/>
                <w:sz w:val="22"/>
                <w:szCs w:val="22"/>
              </w:rPr>
            </w:pPr>
            <w:r w:rsidRPr="00CD7E52">
              <w:rPr>
                <w:b/>
                <w:bCs/>
                <w:sz w:val="22"/>
                <w:szCs w:val="22"/>
              </w:rPr>
              <w:t>Bendra</w:t>
            </w:r>
            <w:r w:rsidRPr="00CD7E52">
              <w:rPr>
                <w:b/>
                <w:bCs/>
                <w:spacing w:val="-8"/>
                <w:sz w:val="22"/>
                <w:szCs w:val="22"/>
              </w:rPr>
              <w:t xml:space="preserve"> </w:t>
            </w:r>
            <w:r w:rsidRPr="00CD7E52">
              <w:rPr>
                <w:b/>
                <w:bCs/>
                <w:sz w:val="22"/>
                <w:szCs w:val="22"/>
              </w:rPr>
              <w:t>paros</w:t>
            </w:r>
            <w:r w:rsidRPr="00CD7E52">
              <w:rPr>
                <w:b/>
                <w:bCs/>
                <w:spacing w:val="-8"/>
                <w:sz w:val="22"/>
                <w:szCs w:val="22"/>
              </w:rPr>
              <w:t xml:space="preserve"> </w:t>
            </w:r>
            <w:r w:rsidRPr="00CD7E52">
              <w:rPr>
                <w:b/>
                <w:bCs/>
                <w:spacing w:val="-4"/>
                <w:sz w:val="22"/>
                <w:szCs w:val="22"/>
              </w:rPr>
              <w:t>dozė</w:t>
            </w:r>
          </w:p>
        </w:tc>
      </w:tr>
      <w:tr w:rsidR="00250DDA" w:rsidRPr="00CD7E52" w14:paraId="01B186EC" w14:textId="77777777" w:rsidTr="00686BBB">
        <w:trPr>
          <w:trHeight w:val="255"/>
        </w:trPr>
        <w:tc>
          <w:tcPr>
            <w:tcW w:w="2197" w:type="dxa"/>
            <w:tcBorders>
              <w:top w:val="single" w:sz="2" w:space="0" w:color="auto"/>
              <w:left w:val="single" w:sz="2" w:space="0" w:color="auto"/>
              <w:bottom w:val="single" w:sz="2" w:space="0" w:color="auto"/>
              <w:right w:val="single" w:sz="2" w:space="0" w:color="auto"/>
            </w:tcBorders>
            <w:shd w:val="clear" w:color="auto" w:fill="EAEAEA"/>
          </w:tcPr>
          <w:p w14:paraId="577429A8" w14:textId="77777777" w:rsidR="00250DDA" w:rsidRPr="00CD7E52" w:rsidRDefault="00250DDA" w:rsidP="00686BBB">
            <w:pPr>
              <w:pStyle w:val="TableParagraph"/>
              <w:kinsoku w:val="0"/>
              <w:overflowPunct w:val="0"/>
              <w:rPr>
                <w:b/>
                <w:bCs/>
                <w:spacing w:val="-2"/>
                <w:sz w:val="22"/>
                <w:szCs w:val="22"/>
              </w:rPr>
            </w:pPr>
            <w:r w:rsidRPr="00CD7E52">
              <w:rPr>
                <w:b/>
                <w:bCs/>
                <w:sz w:val="22"/>
                <w:szCs w:val="22"/>
              </w:rPr>
              <w:t>1 </w:t>
            </w:r>
            <w:r w:rsidRPr="00CD7E52">
              <w:rPr>
                <w:b/>
                <w:bCs/>
                <w:spacing w:val="-2"/>
                <w:sz w:val="22"/>
                <w:szCs w:val="22"/>
              </w:rPr>
              <w:t>diena</w:t>
            </w:r>
          </w:p>
        </w:tc>
        <w:tc>
          <w:tcPr>
            <w:tcW w:w="2197" w:type="dxa"/>
            <w:tcBorders>
              <w:top w:val="single" w:sz="2" w:space="0" w:color="auto"/>
              <w:left w:val="single" w:sz="2" w:space="0" w:color="auto"/>
              <w:bottom w:val="single" w:sz="2" w:space="0" w:color="auto"/>
              <w:right w:val="single" w:sz="4" w:space="0" w:color="000000"/>
            </w:tcBorders>
          </w:tcPr>
          <w:p w14:paraId="1E6F008E" w14:textId="77777777" w:rsidR="00250DDA" w:rsidRPr="00CD7E52" w:rsidRDefault="00250DDA" w:rsidP="00686BBB">
            <w:pPr>
              <w:pStyle w:val="TableParagraph"/>
              <w:kinsoku w:val="0"/>
              <w:overflowPunct w:val="0"/>
              <w:rPr>
                <w:spacing w:val="-2"/>
                <w:sz w:val="22"/>
                <w:szCs w:val="22"/>
              </w:rPr>
            </w:pPr>
            <w:r w:rsidRPr="00CD7E52">
              <w:rPr>
                <w:sz w:val="22"/>
                <w:szCs w:val="22"/>
              </w:rPr>
              <w:t>10</w:t>
            </w:r>
            <w:r w:rsidRPr="00CD7E52">
              <w:rPr>
                <w:spacing w:val="-3"/>
                <w:sz w:val="22"/>
                <w:szCs w:val="22"/>
              </w:rPr>
              <w:t> mg</w:t>
            </w:r>
          </w:p>
        </w:tc>
        <w:tc>
          <w:tcPr>
            <w:tcW w:w="2197" w:type="dxa"/>
            <w:tcBorders>
              <w:top w:val="single" w:sz="2" w:space="0" w:color="auto"/>
              <w:left w:val="single" w:sz="4" w:space="0" w:color="000000"/>
              <w:bottom w:val="single" w:sz="2" w:space="0" w:color="auto"/>
              <w:right w:val="single" w:sz="2" w:space="0" w:color="auto"/>
            </w:tcBorders>
            <w:shd w:val="clear" w:color="auto" w:fill="808080"/>
          </w:tcPr>
          <w:p w14:paraId="2374F7FE" w14:textId="77777777" w:rsidR="00250DDA" w:rsidRPr="00CD7E52" w:rsidRDefault="00250DDA" w:rsidP="00686BBB">
            <w:pPr>
              <w:pStyle w:val="TableParagraph"/>
              <w:kinsoku w:val="0"/>
              <w:overflowPunct w:val="0"/>
              <w:rPr>
                <w:color w:val="FFFFFF"/>
                <w:spacing w:val="-2"/>
                <w:sz w:val="22"/>
                <w:szCs w:val="22"/>
              </w:rPr>
            </w:pPr>
            <w:r w:rsidRPr="00CD7E52">
              <w:rPr>
                <w:color w:val="FFFFFF"/>
                <w:sz w:val="22"/>
                <w:szCs w:val="22"/>
              </w:rPr>
              <w:t>Dozės</w:t>
            </w:r>
            <w:r w:rsidRPr="00CD7E52">
              <w:rPr>
                <w:color w:val="FFFFFF"/>
                <w:spacing w:val="-11"/>
                <w:sz w:val="22"/>
                <w:szCs w:val="22"/>
              </w:rPr>
              <w:t xml:space="preserve"> </w:t>
            </w:r>
            <w:r w:rsidRPr="00CD7E52">
              <w:rPr>
                <w:color w:val="FFFFFF"/>
                <w:spacing w:val="-2"/>
                <w:sz w:val="22"/>
                <w:szCs w:val="22"/>
              </w:rPr>
              <w:t>nevartokite</w:t>
            </w:r>
          </w:p>
        </w:tc>
        <w:tc>
          <w:tcPr>
            <w:tcW w:w="2198" w:type="dxa"/>
            <w:tcBorders>
              <w:top w:val="single" w:sz="2" w:space="0" w:color="auto"/>
              <w:left w:val="single" w:sz="2" w:space="0" w:color="auto"/>
              <w:bottom w:val="single" w:sz="2" w:space="0" w:color="auto"/>
              <w:right w:val="single" w:sz="2" w:space="0" w:color="auto"/>
            </w:tcBorders>
            <w:shd w:val="clear" w:color="auto" w:fill="EAEAEA"/>
          </w:tcPr>
          <w:p w14:paraId="595A8BC9" w14:textId="77777777" w:rsidR="00250DDA" w:rsidRPr="00CD7E52" w:rsidRDefault="00250DDA" w:rsidP="00686BBB">
            <w:pPr>
              <w:pStyle w:val="TableParagraph"/>
              <w:kinsoku w:val="0"/>
              <w:overflowPunct w:val="0"/>
              <w:rPr>
                <w:spacing w:val="-5"/>
                <w:sz w:val="22"/>
                <w:szCs w:val="22"/>
              </w:rPr>
            </w:pPr>
            <w:r w:rsidRPr="00CD7E52">
              <w:rPr>
                <w:sz w:val="22"/>
                <w:szCs w:val="22"/>
              </w:rPr>
              <w:t>10</w:t>
            </w:r>
            <w:r w:rsidRPr="00CD7E52">
              <w:rPr>
                <w:spacing w:val="-3"/>
                <w:sz w:val="22"/>
                <w:szCs w:val="22"/>
              </w:rPr>
              <w:t> mg</w:t>
            </w:r>
          </w:p>
        </w:tc>
      </w:tr>
      <w:tr w:rsidR="00250DDA" w:rsidRPr="00CD7E52" w14:paraId="2CF1004E" w14:textId="77777777" w:rsidTr="00686BBB">
        <w:trPr>
          <w:trHeight w:val="255"/>
        </w:trPr>
        <w:tc>
          <w:tcPr>
            <w:tcW w:w="2197" w:type="dxa"/>
            <w:tcBorders>
              <w:top w:val="single" w:sz="4" w:space="0" w:color="000000"/>
              <w:left w:val="single" w:sz="2" w:space="0" w:color="auto"/>
              <w:bottom w:val="single" w:sz="4" w:space="0" w:color="000000"/>
              <w:right w:val="single" w:sz="2" w:space="0" w:color="auto"/>
            </w:tcBorders>
            <w:shd w:val="clear" w:color="auto" w:fill="EAEAEA"/>
          </w:tcPr>
          <w:p w14:paraId="1291CA9A" w14:textId="77777777" w:rsidR="00250DDA" w:rsidRPr="00CD7E52" w:rsidRDefault="00250DDA" w:rsidP="00686BBB">
            <w:pPr>
              <w:pStyle w:val="TableParagraph"/>
              <w:kinsoku w:val="0"/>
              <w:overflowPunct w:val="0"/>
              <w:rPr>
                <w:b/>
                <w:bCs/>
                <w:spacing w:val="-2"/>
                <w:sz w:val="22"/>
                <w:szCs w:val="22"/>
              </w:rPr>
            </w:pPr>
            <w:r w:rsidRPr="00CD7E52">
              <w:rPr>
                <w:b/>
                <w:bCs/>
                <w:sz w:val="22"/>
                <w:szCs w:val="22"/>
              </w:rPr>
              <w:t>2 </w:t>
            </w:r>
            <w:r w:rsidRPr="00CD7E52">
              <w:rPr>
                <w:b/>
                <w:bCs/>
                <w:spacing w:val="-2"/>
                <w:sz w:val="22"/>
                <w:szCs w:val="22"/>
              </w:rPr>
              <w:t>diena</w:t>
            </w:r>
          </w:p>
        </w:tc>
        <w:tc>
          <w:tcPr>
            <w:tcW w:w="2197" w:type="dxa"/>
            <w:tcBorders>
              <w:top w:val="single" w:sz="4" w:space="0" w:color="000000"/>
              <w:left w:val="single" w:sz="2" w:space="0" w:color="auto"/>
              <w:bottom w:val="single" w:sz="4" w:space="0" w:color="000000"/>
              <w:right w:val="single" w:sz="4" w:space="0" w:color="000000"/>
            </w:tcBorders>
          </w:tcPr>
          <w:p w14:paraId="7E1638A1" w14:textId="77777777" w:rsidR="00250DDA" w:rsidRPr="00CD7E52" w:rsidRDefault="00250DDA" w:rsidP="00686BBB">
            <w:pPr>
              <w:pStyle w:val="TableParagraph"/>
              <w:kinsoku w:val="0"/>
              <w:overflowPunct w:val="0"/>
              <w:rPr>
                <w:spacing w:val="-2"/>
                <w:sz w:val="22"/>
                <w:szCs w:val="22"/>
              </w:rPr>
            </w:pPr>
            <w:r w:rsidRPr="00CD7E52">
              <w:rPr>
                <w:sz w:val="22"/>
                <w:szCs w:val="22"/>
              </w:rPr>
              <w:t>10</w:t>
            </w:r>
            <w:r w:rsidRPr="00CD7E52">
              <w:rPr>
                <w:spacing w:val="-3"/>
                <w:sz w:val="22"/>
                <w:szCs w:val="22"/>
              </w:rPr>
              <w:t> mg</w:t>
            </w:r>
          </w:p>
        </w:tc>
        <w:tc>
          <w:tcPr>
            <w:tcW w:w="2197" w:type="dxa"/>
            <w:tcBorders>
              <w:top w:val="none" w:sz="6" w:space="0" w:color="auto"/>
              <w:left w:val="single" w:sz="4" w:space="0" w:color="000000"/>
              <w:bottom w:val="single" w:sz="2" w:space="0" w:color="auto"/>
              <w:right w:val="single" w:sz="2" w:space="0" w:color="auto"/>
            </w:tcBorders>
          </w:tcPr>
          <w:p w14:paraId="358782A8" w14:textId="77777777" w:rsidR="00250DDA" w:rsidRPr="00CD7E52" w:rsidRDefault="00250DDA" w:rsidP="00686BBB">
            <w:pPr>
              <w:pStyle w:val="TableParagraph"/>
              <w:kinsoku w:val="0"/>
              <w:overflowPunct w:val="0"/>
              <w:rPr>
                <w:spacing w:val="-2"/>
                <w:sz w:val="22"/>
                <w:szCs w:val="22"/>
              </w:rPr>
            </w:pPr>
            <w:r w:rsidRPr="00CD7E52">
              <w:rPr>
                <w:sz w:val="22"/>
                <w:szCs w:val="22"/>
              </w:rPr>
              <w:t>10</w:t>
            </w:r>
            <w:r w:rsidRPr="00CD7E52">
              <w:rPr>
                <w:spacing w:val="-3"/>
                <w:sz w:val="22"/>
                <w:szCs w:val="22"/>
              </w:rPr>
              <w:t> mg</w:t>
            </w:r>
          </w:p>
        </w:tc>
        <w:tc>
          <w:tcPr>
            <w:tcW w:w="2198" w:type="dxa"/>
            <w:tcBorders>
              <w:top w:val="single" w:sz="4" w:space="0" w:color="000000"/>
              <w:left w:val="single" w:sz="2" w:space="0" w:color="auto"/>
              <w:bottom w:val="single" w:sz="2" w:space="0" w:color="auto"/>
              <w:right w:val="single" w:sz="2" w:space="0" w:color="auto"/>
            </w:tcBorders>
            <w:shd w:val="clear" w:color="auto" w:fill="EAEAEA"/>
          </w:tcPr>
          <w:p w14:paraId="2AAC3EC6" w14:textId="77777777" w:rsidR="00250DDA" w:rsidRPr="00CD7E52" w:rsidRDefault="00250DDA" w:rsidP="00686BBB">
            <w:pPr>
              <w:pStyle w:val="TableParagraph"/>
              <w:kinsoku w:val="0"/>
              <w:overflowPunct w:val="0"/>
              <w:rPr>
                <w:spacing w:val="-5"/>
                <w:sz w:val="22"/>
                <w:szCs w:val="22"/>
              </w:rPr>
            </w:pPr>
            <w:r w:rsidRPr="00CD7E52">
              <w:rPr>
                <w:sz w:val="22"/>
                <w:szCs w:val="22"/>
              </w:rPr>
              <w:t>20</w:t>
            </w:r>
            <w:r w:rsidRPr="00CD7E52">
              <w:rPr>
                <w:spacing w:val="-3"/>
                <w:sz w:val="22"/>
                <w:szCs w:val="22"/>
              </w:rPr>
              <w:t> mg</w:t>
            </w:r>
          </w:p>
        </w:tc>
      </w:tr>
      <w:tr w:rsidR="00250DDA" w:rsidRPr="00CD7E52" w14:paraId="3CF089D9" w14:textId="77777777" w:rsidTr="00686BBB">
        <w:trPr>
          <w:trHeight w:val="255"/>
        </w:trPr>
        <w:tc>
          <w:tcPr>
            <w:tcW w:w="2197" w:type="dxa"/>
            <w:tcBorders>
              <w:top w:val="single" w:sz="4" w:space="0" w:color="000000"/>
              <w:left w:val="single" w:sz="2" w:space="0" w:color="auto"/>
              <w:bottom w:val="single" w:sz="4" w:space="0" w:color="000000"/>
              <w:right w:val="single" w:sz="2" w:space="0" w:color="auto"/>
            </w:tcBorders>
            <w:shd w:val="clear" w:color="auto" w:fill="EAEAEA"/>
          </w:tcPr>
          <w:p w14:paraId="34A58A07" w14:textId="77777777" w:rsidR="00250DDA" w:rsidRPr="00CD7E52" w:rsidRDefault="00250DDA" w:rsidP="00686BBB">
            <w:pPr>
              <w:pStyle w:val="TableParagraph"/>
              <w:kinsoku w:val="0"/>
              <w:overflowPunct w:val="0"/>
              <w:rPr>
                <w:b/>
                <w:bCs/>
                <w:spacing w:val="-2"/>
                <w:sz w:val="22"/>
                <w:szCs w:val="22"/>
              </w:rPr>
            </w:pPr>
            <w:r w:rsidRPr="00CD7E52">
              <w:rPr>
                <w:b/>
                <w:bCs/>
                <w:sz w:val="22"/>
                <w:szCs w:val="22"/>
              </w:rPr>
              <w:t>3 </w:t>
            </w:r>
            <w:r w:rsidRPr="00CD7E52">
              <w:rPr>
                <w:b/>
                <w:bCs/>
                <w:spacing w:val="-2"/>
                <w:sz w:val="22"/>
                <w:szCs w:val="22"/>
              </w:rPr>
              <w:t>diena</w:t>
            </w:r>
          </w:p>
        </w:tc>
        <w:tc>
          <w:tcPr>
            <w:tcW w:w="2197" w:type="dxa"/>
            <w:tcBorders>
              <w:top w:val="single" w:sz="4" w:space="0" w:color="000000"/>
              <w:left w:val="single" w:sz="2" w:space="0" w:color="auto"/>
              <w:bottom w:val="single" w:sz="4" w:space="0" w:color="000000"/>
              <w:right w:val="single" w:sz="4" w:space="0" w:color="000000"/>
            </w:tcBorders>
          </w:tcPr>
          <w:p w14:paraId="4DACF247" w14:textId="77777777" w:rsidR="00250DDA" w:rsidRPr="00CD7E52" w:rsidRDefault="00250DDA" w:rsidP="00686BBB">
            <w:pPr>
              <w:pStyle w:val="TableParagraph"/>
              <w:kinsoku w:val="0"/>
              <w:overflowPunct w:val="0"/>
              <w:rPr>
                <w:spacing w:val="-2"/>
                <w:sz w:val="22"/>
                <w:szCs w:val="22"/>
              </w:rPr>
            </w:pPr>
            <w:r w:rsidRPr="00CD7E52">
              <w:rPr>
                <w:sz w:val="22"/>
                <w:szCs w:val="22"/>
              </w:rPr>
              <w:t>10</w:t>
            </w:r>
            <w:r w:rsidRPr="00CD7E52">
              <w:rPr>
                <w:spacing w:val="-3"/>
                <w:sz w:val="22"/>
                <w:szCs w:val="22"/>
              </w:rPr>
              <w:t> mg</w:t>
            </w:r>
          </w:p>
        </w:tc>
        <w:tc>
          <w:tcPr>
            <w:tcW w:w="2197" w:type="dxa"/>
            <w:tcBorders>
              <w:top w:val="single" w:sz="4" w:space="0" w:color="000000"/>
              <w:left w:val="single" w:sz="4" w:space="0" w:color="000000"/>
              <w:bottom w:val="single" w:sz="4" w:space="0" w:color="000000"/>
              <w:right w:val="single" w:sz="2" w:space="0" w:color="auto"/>
            </w:tcBorders>
          </w:tcPr>
          <w:p w14:paraId="7ED76F6C" w14:textId="77777777" w:rsidR="00250DDA" w:rsidRPr="00CD7E52" w:rsidRDefault="00250DDA" w:rsidP="00686BBB">
            <w:pPr>
              <w:pStyle w:val="TableParagraph"/>
              <w:kinsoku w:val="0"/>
              <w:overflowPunct w:val="0"/>
              <w:rPr>
                <w:spacing w:val="-2"/>
                <w:sz w:val="22"/>
                <w:szCs w:val="22"/>
              </w:rPr>
            </w:pPr>
            <w:r w:rsidRPr="00CD7E52">
              <w:rPr>
                <w:sz w:val="22"/>
                <w:szCs w:val="22"/>
              </w:rPr>
              <w:t>20</w:t>
            </w:r>
            <w:r w:rsidRPr="00CD7E52">
              <w:rPr>
                <w:spacing w:val="-3"/>
                <w:sz w:val="22"/>
                <w:szCs w:val="22"/>
              </w:rPr>
              <w:t> mg</w:t>
            </w:r>
          </w:p>
        </w:tc>
        <w:tc>
          <w:tcPr>
            <w:tcW w:w="2198" w:type="dxa"/>
            <w:tcBorders>
              <w:top w:val="single" w:sz="4" w:space="0" w:color="000000"/>
              <w:left w:val="single" w:sz="2" w:space="0" w:color="auto"/>
              <w:bottom w:val="single" w:sz="4" w:space="0" w:color="000000"/>
              <w:right w:val="single" w:sz="2" w:space="0" w:color="auto"/>
            </w:tcBorders>
            <w:shd w:val="clear" w:color="auto" w:fill="EAEAEA"/>
          </w:tcPr>
          <w:p w14:paraId="29DA7613" w14:textId="77777777" w:rsidR="00250DDA" w:rsidRPr="00CD7E52" w:rsidRDefault="00250DDA" w:rsidP="00686BBB">
            <w:pPr>
              <w:pStyle w:val="TableParagraph"/>
              <w:kinsoku w:val="0"/>
              <w:overflowPunct w:val="0"/>
              <w:rPr>
                <w:spacing w:val="-5"/>
                <w:sz w:val="22"/>
                <w:szCs w:val="22"/>
              </w:rPr>
            </w:pPr>
            <w:r w:rsidRPr="00CD7E52">
              <w:rPr>
                <w:sz w:val="22"/>
                <w:szCs w:val="22"/>
              </w:rPr>
              <w:t>30</w:t>
            </w:r>
            <w:r w:rsidRPr="00CD7E52">
              <w:rPr>
                <w:spacing w:val="-3"/>
                <w:sz w:val="22"/>
                <w:szCs w:val="22"/>
              </w:rPr>
              <w:t> mg</w:t>
            </w:r>
          </w:p>
        </w:tc>
      </w:tr>
      <w:tr w:rsidR="00250DDA" w:rsidRPr="00CD7E52" w14:paraId="7B07DB66" w14:textId="77777777" w:rsidTr="00686BBB">
        <w:trPr>
          <w:trHeight w:val="254"/>
        </w:trPr>
        <w:tc>
          <w:tcPr>
            <w:tcW w:w="2197" w:type="dxa"/>
            <w:tcBorders>
              <w:top w:val="single" w:sz="4" w:space="0" w:color="000000"/>
              <w:left w:val="single" w:sz="2" w:space="0" w:color="auto"/>
              <w:bottom w:val="single" w:sz="4" w:space="0" w:color="000000"/>
              <w:right w:val="single" w:sz="2" w:space="0" w:color="auto"/>
            </w:tcBorders>
            <w:shd w:val="clear" w:color="auto" w:fill="EAEAEA"/>
          </w:tcPr>
          <w:p w14:paraId="72E52697" w14:textId="77777777" w:rsidR="00250DDA" w:rsidRPr="00CD7E52" w:rsidRDefault="00250DDA" w:rsidP="00686BBB">
            <w:pPr>
              <w:pStyle w:val="TableParagraph"/>
              <w:kinsoku w:val="0"/>
              <w:overflowPunct w:val="0"/>
              <w:rPr>
                <w:b/>
                <w:bCs/>
                <w:spacing w:val="-2"/>
                <w:sz w:val="22"/>
                <w:szCs w:val="22"/>
              </w:rPr>
            </w:pPr>
            <w:r w:rsidRPr="00CD7E52">
              <w:rPr>
                <w:b/>
                <w:bCs/>
                <w:sz w:val="22"/>
                <w:szCs w:val="22"/>
              </w:rPr>
              <w:t>4 </w:t>
            </w:r>
            <w:r w:rsidRPr="00CD7E52">
              <w:rPr>
                <w:b/>
                <w:bCs/>
                <w:spacing w:val="-2"/>
                <w:sz w:val="22"/>
                <w:szCs w:val="22"/>
              </w:rPr>
              <w:t>diena</w:t>
            </w:r>
          </w:p>
        </w:tc>
        <w:tc>
          <w:tcPr>
            <w:tcW w:w="2197" w:type="dxa"/>
            <w:tcBorders>
              <w:top w:val="single" w:sz="4" w:space="0" w:color="000000"/>
              <w:left w:val="single" w:sz="2" w:space="0" w:color="auto"/>
              <w:bottom w:val="single" w:sz="4" w:space="0" w:color="000000"/>
              <w:right w:val="single" w:sz="4" w:space="0" w:color="000000"/>
            </w:tcBorders>
          </w:tcPr>
          <w:p w14:paraId="5C066A1C" w14:textId="77777777" w:rsidR="00250DDA" w:rsidRPr="00CD7E52" w:rsidRDefault="00250DDA" w:rsidP="00686BBB">
            <w:pPr>
              <w:pStyle w:val="TableParagraph"/>
              <w:kinsoku w:val="0"/>
              <w:overflowPunct w:val="0"/>
              <w:rPr>
                <w:spacing w:val="-2"/>
                <w:sz w:val="22"/>
                <w:szCs w:val="22"/>
              </w:rPr>
            </w:pPr>
            <w:r w:rsidRPr="00CD7E52">
              <w:rPr>
                <w:sz w:val="22"/>
                <w:szCs w:val="22"/>
              </w:rPr>
              <w:t>20</w:t>
            </w:r>
            <w:r w:rsidRPr="00CD7E52">
              <w:rPr>
                <w:spacing w:val="-3"/>
                <w:sz w:val="22"/>
                <w:szCs w:val="22"/>
              </w:rPr>
              <w:t> mg</w:t>
            </w:r>
          </w:p>
        </w:tc>
        <w:tc>
          <w:tcPr>
            <w:tcW w:w="2197" w:type="dxa"/>
            <w:tcBorders>
              <w:top w:val="single" w:sz="4" w:space="0" w:color="000000"/>
              <w:left w:val="single" w:sz="4" w:space="0" w:color="000000"/>
              <w:bottom w:val="single" w:sz="4" w:space="0" w:color="000000"/>
              <w:right w:val="single" w:sz="2" w:space="0" w:color="auto"/>
            </w:tcBorders>
          </w:tcPr>
          <w:p w14:paraId="7D21ACBA" w14:textId="77777777" w:rsidR="00250DDA" w:rsidRPr="00CD7E52" w:rsidRDefault="00250DDA" w:rsidP="00686BBB">
            <w:pPr>
              <w:pStyle w:val="TableParagraph"/>
              <w:kinsoku w:val="0"/>
              <w:overflowPunct w:val="0"/>
              <w:rPr>
                <w:spacing w:val="-2"/>
                <w:sz w:val="22"/>
                <w:szCs w:val="22"/>
              </w:rPr>
            </w:pPr>
            <w:r w:rsidRPr="00CD7E52">
              <w:rPr>
                <w:sz w:val="22"/>
                <w:szCs w:val="22"/>
              </w:rPr>
              <w:t>20</w:t>
            </w:r>
            <w:r w:rsidRPr="00CD7E52">
              <w:rPr>
                <w:spacing w:val="-3"/>
                <w:sz w:val="22"/>
                <w:szCs w:val="22"/>
              </w:rPr>
              <w:t> mg</w:t>
            </w:r>
          </w:p>
        </w:tc>
        <w:tc>
          <w:tcPr>
            <w:tcW w:w="2198" w:type="dxa"/>
            <w:tcBorders>
              <w:top w:val="single" w:sz="4" w:space="0" w:color="000000"/>
              <w:left w:val="single" w:sz="2" w:space="0" w:color="auto"/>
              <w:bottom w:val="single" w:sz="4" w:space="0" w:color="000000"/>
              <w:right w:val="single" w:sz="2" w:space="0" w:color="auto"/>
            </w:tcBorders>
            <w:shd w:val="clear" w:color="auto" w:fill="EAEAEA"/>
          </w:tcPr>
          <w:p w14:paraId="0FEC65BE" w14:textId="77777777" w:rsidR="00250DDA" w:rsidRPr="00CD7E52" w:rsidRDefault="00250DDA" w:rsidP="00686BBB">
            <w:pPr>
              <w:pStyle w:val="TableParagraph"/>
              <w:kinsoku w:val="0"/>
              <w:overflowPunct w:val="0"/>
              <w:rPr>
                <w:spacing w:val="-5"/>
                <w:sz w:val="22"/>
                <w:szCs w:val="22"/>
              </w:rPr>
            </w:pPr>
            <w:r w:rsidRPr="00CD7E52">
              <w:rPr>
                <w:sz w:val="22"/>
                <w:szCs w:val="22"/>
              </w:rPr>
              <w:t>40</w:t>
            </w:r>
            <w:r w:rsidRPr="00CD7E52">
              <w:rPr>
                <w:spacing w:val="-3"/>
                <w:sz w:val="22"/>
                <w:szCs w:val="22"/>
              </w:rPr>
              <w:t> mg</w:t>
            </w:r>
          </w:p>
        </w:tc>
      </w:tr>
      <w:tr w:rsidR="00250DDA" w:rsidRPr="00CD7E52" w14:paraId="21009D4B" w14:textId="77777777" w:rsidTr="00686BBB">
        <w:trPr>
          <w:trHeight w:val="255"/>
        </w:trPr>
        <w:tc>
          <w:tcPr>
            <w:tcW w:w="2197" w:type="dxa"/>
            <w:tcBorders>
              <w:top w:val="single" w:sz="4" w:space="0" w:color="000000"/>
              <w:left w:val="single" w:sz="2" w:space="0" w:color="auto"/>
              <w:bottom w:val="single" w:sz="4" w:space="0" w:color="000000"/>
              <w:right w:val="single" w:sz="2" w:space="0" w:color="auto"/>
            </w:tcBorders>
            <w:shd w:val="clear" w:color="auto" w:fill="EAEAEA"/>
          </w:tcPr>
          <w:p w14:paraId="7778CCCA" w14:textId="77777777" w:rsidR="00250DDA" w:rsidRPr="00CD7E52" w:rsidRDefault="00250DDA" w:rsidP="00686BBB">
            <w:pPr>
              <w:pStyle w:val="TableParagraph"/>
              <w:kinsoku w:val="0"/>
              <w:overflowPunct w:val="0"/>
              <w:rPr>
                <w:b/>
                <w:bCs/>
                <w:spacing w:val="-2"/>
                <w:sz w:val="22"/>
                <w:szCs w:val="22"/>
              </w:rPr>
            </w:pPr>
            <w:r w:rsidRPr="00CD7E52">
              <w:rPr>
                <w:b/>
                <w:bCs/>
                <w:sz w:val="22"/>
                <w:szCs w:val="22"/>
              </w:rPr>
              <w:t>5 </w:t>
            </w:r>
            <w:r w:rsidRPr="00CD7E52">
              <w:rPr>
                <w:b/>
                <w:bCs/>
                <w:spacing w:val="-2"/>
                <w:sz w:val="22"/>
                <w:szCs w:val="22"/>
              </w:rPr>
              <w:t>diena</w:t>
            </w:r>
          </w:p>
        </w:tc>
        <w:tc>
          <w:tcPr>
            <w:tcW w:w="2197" w:type="dxa"/>
            <w:tcBorders>
              <w:top w:val="single" w:sz="4" w:space="0" w:color="000000"/>
              <w:left w:val="single" w:sz="2" w:space="0" w:color="auto"/>
              <w:bottom w:val="single" w:sz="4" w:space="0" w:color="000000"/>
              <w:right w:val="single" w:sz="4" w:space="0" w:color="000000"/>
            </w:tcBorders>
          </w:tcPr>
          <w:p w14:paraId="70556195" w14:textId="77777777" w:rsidR="00250DDA" w:rsidRPr="00CD7E52" w:rsidRDefault="00250DDA" w:rsidP="00686BBB">
            <w:pPr>
              <w:pStyle w:val="TableParagraph"/>
              <w:kinsoku w:val="0"/>
              <w:overflowPunct w:val="0"/>
              <w:rPr>
                <w:spacing w:val="-2"/>
                <w:sz w:val="22"/>
                <w:szCs w:val="22"/>
              </w:rPr>
            </w:pPr>
            <w:r w:rsidRPr="00CD7E52">
              <w:rPr>
                <w:sz w:val="22"/>
                <w:szCs w:val="22"/>
              </w:rPr>
              <w:t>20</w:t>
            </w:r>
            <w:r w:rsidRPr="00CD7E52">
              <w:rPr>
                <w:spacing w:val="-3"/>
                <w:sz w:val="22"/>
                <w:szCs w:val="22"/>
              </w:rPr>
              <w:t> mg</w:t>
            </w:r>
          </w:p>
        </w:tc>
        <w:tc>
          <w:tcPr>
            <w:tcW w:w="2197" w:type="dxa"/>
            <w:tcBorders>
              <w:top w:val="single" w:sz="4" w:space="0" w:color="000000"/>
              <w:left w:val="single" w:sz="4" w:space="0" w:color="000000"/>
              <w:bottom w:val="single" w:sz="4" w:space="0" w:color="000000"/>
              <w:right w:val="single" w:sz="2" w:space="0" w:color="auto"/>
            </w:tcBorders>
          </w:tcPr>
          <w:p w14:paraId="168D893E" w14:textId="77777777" w:rsidR="00250DDA" w:rsidRPr="00CD7E52" w:rsidRDefault="00222910" w:rsidP="00686BBB">
            <w:pPr>
              <w:pStyle w:val="TableParagraph"/>
              <w:kinsoku w:val="0"/>
              <w:overflowPunct w:val="0"/>
              <w:rPr>
                <w:spacing w:val="-2"/>
                <w:sz w:val="22"/>
                <w:szCs w:val="22"/>
              </w:rPr>
            </w:pPr>
            <w:r>
              <w:rPr>
                <w:sz w:val="22"/>
                <w:szCs w:val="22"/>
              </w:rPr>
              <w:t>2</w:t>
            </w:r>
            <w:r w:rsidR="00250DDA" w:rsidRPr="00CD7E52">
              <w:rPr>
                <w:sz w:val="22"/>
                <w:szCs w:val="22"/>
              </w:rPr>
              <w:t>0</w:t>
            </w:r>
            <w:r w:rsidR="00250DDA" w:rsidRPr="00CD7E52">
              <w:rPr>
                <w:spacing w:val="-5"/>
                <w:sz w:val="22"/>
                <w:szCs w:val="22"/>
              </w:rPr>
              <w:t> mg</w:t>
            </w:r>
          </w:p>
        </w:tc>
        <w:tc>
          <w:tcPr>
            <w:tcW w:w="2198" w:type="dxa"/>
            <w:tcBorders>
              <w:top w:val="single" w:sz="4" w:space="0" w:color="000000"/>
              <w:left w:val="single" w:sz="2" w:space="0" w:color="auto"/>
              <w:bottom w:val="single" w:sz="4" w:space="0" w:color="000000"/>
              <w:right w:val="single" w:sz="2" w:space="0" w:color="auto"/>
            </w:tcBorders>
            <w:shd w:val="clear" w:color="auto" w:fill="EAEAEA"/>
          </w:tcPr>
          <w:p w14:paraId="4ED6C998" w14:textId="77777777" w:rsidR="00250DDA" w:rsidRPr="00CD7E52" w:rsidRDefault="00222910" w:rsidP="00686BBB">
            <w:pPr>
              <w:pStyle w:val="TableParagraph"/>
              <w:kinsoku w:val="0"/>
              <w:overflowPunct w:val="0"/>
              <w:rPr>
                <w:spacing w:val="-5"/>
                <w:sz w:val="22"/>
                <w:szCs w:val="22"/>
              </w:rPr>
            </w:pPr>
            <w:r>
              <w:rPr>
                <w:sz w:val="22"/>
                <w:szCs w:val="22"/>
              </w:rPr>
              <w:t>4</w:t>
            </w:r>
            <w:r w:rsidR="00250DDA" w:rsidRPr="00CD7E52">
              <w:rPr>
                <w:sz w:val="22"/>
                <w:szCs w:val="22"/>
              </w:rPr>
              <w:t>0</w:t>
            </w:r>
            <w:r w:rsidR="00250DDA" w:rsidRPr="00CD7E52">
              <w:rPr>
                <w:spacing w:val="-3"/>
                <w:sz w:val="22"/>
                <w:szCs w:val="22"/>
              </w:rPr>
              <w:t> mg</w:t>
            </w:r>
          </w:p>
        </w:tc>
      </w:tr>
      <w:tr w:rsidR="00250DDA" w:rsidRPr="00CD7E52" w14:paraId="7B5E20D6" w14:textId="77777777" w:rsidTr="00686BBB">
        <w:trPr>
          <w:trHeight w:val="255"/>
        </w:trPr>
        <w:tc>
          <w:tcPr>
            <w:tcW w:w="2197" w:type="dxa"/>
            <w:tcBorders>
              <w:top w:val="single" w:sz="4" w:space="0" w:color="000000"/>
              <w:left w:val="single" w:sz="2" w:space="0" w:color="auto"/>
              <w:bottom w:val="single" w:sz="2" w:space="0" w:color="auto"/>
              <w:right w:val="single" w:sz="2" w:space="0" w:color="auto"/>
            </w:tcBorders>
            <w:shd w:val="clear" w:color="auto" w:fill="EAEAEA"/>
          </w:tcPr>
          <w:p w14:paraId="2F9F0E41" w14:textId="77777777" w:rsidR="00250DDA" w:rsidRPr="00CD7E52" w:rsidRDefault="00250DDA" w:rsidP="00686BBB">
            <w:pPr>
              <w:pStyle w:val="TableParagraph"/>
              <w:kinsoku w:val="0"/>
              <w:overflowPunct w:val="0"/>
              <w:rPr>
                <w:b/>
                <w:bCs/>
                <w:spacing w:val="-2"/>
                <w:sz w:val="22"/>
                <w:szCs w:val="22"/>
              </w:rPr>
            </w:pPr>
            <w:r w:rsidRPr="00CD7E52">
              <w:rPr>
                <w:b/>
                <w:bCs/>
                <w:sz w:val="22"/>
                <w:szCs w:val="22"/>
              </w:rPr>
              <w:t>Nuo</w:t>
            </w:r>
            <w:r w:rsidRPr="00CD7E52">
              <w:rPr>
                <w:b/>
                <w:bCs/>
                <w:spacing w:val="-3"/>
                <w:sz w:val="22"/>
                <w:szCs w:val="22"/>
              </w:rPr>
              <w:t xml:space="preserve"> </w:t>
            </w:r>
            <w:r w:rsidRPr="00CD7E52">
              <w:rPr>
                <w:b/>
                <w:bCs/>
                <w:sz w:val="22"/>
                <w:szCs w:val="22"/>
              </w:rPr>
              <w:t>6 </w:t>
            </w:r>
            <w:r w:rsidRPr="00CD7E52">
              <w:rPr>
                <w:b/>
                <w:bCs/>
                <w:spacing w:val="-2"/>
                <w:sz w:val="22"/>
                <w:szCs w:val="22"/>
              </w:rPr>
              <w:t>dienos</w:t>
            </w:r>
          </w:p>
        </w:tc>
        <w:tc>
          <w:tcPr>
            <w:tcW w:w="2197" w:type="dxa"/>
            <w:tcBorders>
              <w:top w:val="single" w:sz="4" w:space="0" w:color="000000"/>
              <w:left w:val="single" w:sz="2" w:space="0" w:color="auto"/>
              <w:bottom w:val="single" w:sz="2" w:space="0" w:color="auto"/>
              <w:right w:val="single" w:sz="4" w:space="0" w:color="000000"/>
            </w:tcBorders>
          </w:tcPr>
          <w:p w14:paraId="03F29C73" w14:textId="77777777" w:rsidR="00250DDA" w:rsidRPr="00CD7E52" w:rsidRDefault="00222910" w:rsidP="00686BBB">
            <w:pPr>
              <w:pStyle w:val="TableParagraph"/>
              <w:kinsoku w:val="0"/>
              <w:overflowPunct w:val="0"/>
              <w:rPr>
                <w:spacing w:val="-2"/>
                <w:sz w:val="22"/>
                <w:szCs w:val="22"/>
              </w:rPr>
            </w:pPr>
            <w:r>
              <w:rPr>
                <w:sz w:val="22"/>
                <w:szCs w:val="22"/>
              </w:rPr>
              <w:t>2</w:t>
            </w:r>
            <w:r w:rsidR="00250DDA" w:rsidRPr="00CD7E52">
              <w:rPr>
                <w:sz w:val="22"/>
                <w:szCs w:val="22"/>
              </w:rPr>
              <w:t>0</w:t>
            </w:r>
            <w:r w:rsidR="00250DDA" w:rsidRPr="00CD7E52">
              <w:rPr>
                <w:spacing w:val="-5"/>
                <w:sz w:val="22"/>
                <w:szCs w:val="22"/>
              </w:rPr>
              <w:t> mg</w:t>
            </w:r>
          </w:p>
        </w:tc>
        <w:tc>
          <w:tcPr>
            <w:tcW w:w="2197" w:type="dxa"/>
            <w:tcBorders>
              <w:top w:val="single" w:sz="4" w:space="0" w:color="000000"/>
              <w:left w:val="single" w:sz="4" w:space="0" w:color="000000"/>
              <w:bottom w:val="single" w:sz="2" w:space="0" w:color="auto"/>
              <w:right w:val="single" w:sz="2" w:space="0" w:color="auto"/>
            </w:tcBorders>
          </w:tcPr>
          <w:p w14:paraId="0D688A2C" w14:textId="77777777" w:rsidR="00250DDA" w:rsidRPr="00CD7E52" w:rsidRDefault="00222910" w:rsidP="00686BBB">
            <w:pPr>
              <w:pStyle w:val="TableParagraph"/>
              <w:kinsoku w:val="0"/>
              <w:overflowPunct w:val="0"/>
              <w:rPr>
                <w:spacing w:val="-2"/>
                <w:sz w:val="22"/>
                <w:szCs w:val="22"/>
              </w:rPr>
            </w:pPr>
            <w:r>
              <w:rPr>
                <w:sz w:val="22"/>
                <w:szCs w:val="22"/>
              </w:rPr>
              <w:t>2</w:t>
            </w:r>
            <w:r w:rsidR="00250DDA" w:rsidRPr="00CD7E52">
              <w:rPr>
                <w:sz w:val="22"/>
                <w:szCs w:val="22"/>
              </w:rPr>
              <w:t>0</w:t>
            </w:r>
            <w:r w:rsidR="00250DDA" w:rsidRPr="00CD7E52">
              <w:rPr>
                <w:spacing w:val="-5"/>
                <w:sz w:val="22"/>
                <w:szCs w:val="22"/>
              </w:rPr>
              <w:t> mg</w:t>
            </w:r>
          </w:p>
        </w:tc>
        <w:tc>
          <w:tcPr>
            <w:tcW w:w="2198" w:type="dxa"/>
            <w:tcBorders>
              <w:top w:val="single" w:sz="4" w:space="0" w:color="000000"/>
              <w:left w:val="single" w:sz="2" w:space="0" w:color="auto"/>
              <w:bottom w:val="single" w:sz="2" w:space="0" w:color="auto"/>
              <w:right w:val="single" w:sz="2" w:space="0" w:color="auto"/>
            </w:tcBorders>
            <w:shd w:val="clear" w:color="auto" w:fill="EAEAEA"/>
          </w:tcPr>
          <w:p w14:paraId="7E897BC5" w14:textId="77777777" w:rsidR="00250DDA" w:rsidRPr="00CD7E52" w:rsidRDefault="00222910" w:rsidP="00686BBB">
            <w:pPr>
              <w:pStyle w:val="TableParagraph"/>
              <w:kinsoku w:val="0"/>
              <w:overflowPunct w:val="0"/>
              <w:rPr>
                <w:spacing w:val="-5"/>
                <w:sz w:val="22"/>
                <w:szCs w:val="22"/>
              </w:rPr>
            </w:pPr>
            <w:r>
              <w:rPr>
                <w:sz w:val="22"/>
                <w:szCs w:val="22"/>
              </w:rPr>
              <w:t>4</w:t>
            </w:r>
            <w:r w:rsidR="00250DDA" w:rsidRPr="00CD7E52">
              <w:rPr>
                <w:sz w:val="22"/>
                <w:szCs w:val="22"/>
              </w:rPr>
              <w:t>0</w:t>
            </w:r>
            <w:r w:rsidR="00250DDA" w:rsidRPr="00CD7E52">
              <w:rPr>
                <w:spacing w:val="-3"/>
                <w:sz w:val="22"/>
                <w:szCs w:val="22"/>
              </w:rPr>
              <w:t> mg</w:t>
            </w:r>
          </w:p>
        </w:tc>
      </w:tr>
    </w:tbl>
    <w:p w14:paraId="651E9DB6" w14:textId="77777777" w:rsidR="00222910" w:rsidRDefault="00222910" w:rsidP="00222910">
      <w:pPr>
        <w:tabs>
          <w:tab w:val="left" w:pos="284"/>
        </w:tabs>
        <w:ind w:left="284" w:hanging="284"/>
      </w:pPr>
      <w:r w:rsidRPr="004644F3">
        <w:t>*</w:t>
      </w:r>
      <w:r w:rsidRPr="004644F3">
        <w:tab/>
      </w:r>
      <w:proofErr w:type="spellStart"/>
      <w:r w:rsidR="00CD56E7">
        <w:t>Nėra</w:t>
      </w:r>
      <w:proofErr w:type="spellEnd"/>
      <w:r w:rsidR="00CD56E7">
        <w:t xml:space="preserve"> </w:t>
      </w:r>
      <w:r w:rsidR="00CD56E7" w:rsidRPr="00FF0C6B">
        <w:t>Apremilast STADA</w:t>
      </w:r>
      <w:r w:rsidR="00CD56E7" w:rsidRPr="007C5D58">
        <w:t xml:space="preserve"> </w:t>
      </w:r>
      <w:proofErr w:type="spellStart"/>
      <w:r w:rsidR="00CD56E7">
        <w:t>pakuočių</w:t>
      </w:r>
      <w:proofErr w:type="spellEnd"/>
      <w:r w:rsidR="00CD56E7" w:rsidRPr="007C5D58">
        <w:t xml:space="preserve"> </w:t>
      </w:r>
      <w:proofErr w:type="spellStart"/>
      <w:r w:rsidR="00CD56E7" w:rsidRPr="007C5D58">
        <w:t>doz</w:t>
      </w:r>
      <w:r w:rsidR="00CD56E7">
        <w:t>ėmis</w:t>
      </w:r>
      <w:proofErr w:type="spellEnd"/>
      <w:r w:rsidR="00CD56E7" w:rsidRPr="007C5D58">
        <w:t xml:space="preserve">, </w:t>
      </w:r>
      <w:proofErr w:type="spellStart"/>
      <w:r w:rsidR="00CD56E7">
        <w:t>kurias</w:t>
      </w:r>
      <w:proofErr w:type="spellEnd"/>
      <w:r w:rsidR="00CD56E7">
        <w:t xml:space="preserve"> </w:t>
      </w:r>
      <w:proofErr w:type="spellStart"/>
      <w:r w:rsidR="00CD56E7">
        <w:t>būtų</w:t>
      </w:r>
      <w:proofErr w:type="spellEnd"/>
      <w:r w:rsidR="00CD56E7">
        <w:t xml:space="preserve"> </w:t>
      </w:r>
      <w:proofErr w:type="spellStart"/>
      <w:r w:rsidR="00CD56E7">
        <w:t>galima</w:t>
      </w:r>
      <w:proofErr w:type="spellEnd"/>
      <w:r w:rsidR="00CD56E7">
        <w:t xml:space="preserve"> </w:t>
      </w:r>
      <w:proofErr w:type="spellStart"/>
      <w:r w:rsidR="00CD56E7" w:rsidRPr="007C5D58">
        <w:t>titruoti</w:t>
      </w:r>
      <w:proofErr w:type="spellEnd"/>
      <w:r w:rsidR="00CD56E7" w:rsidRPr="007C5D58">
        <w:t xml:space="preserve"> </w:t>
      </w:r>
      <w:proofErr w:type="spellStart"/>
      <w:r w:rsidR="00CD56E7" w:rsidRPr="007C5D58">
        <w:t>ir</w:t>
      </w:r>
      <w:proofErr w:type="spellEnd"/>
      <w:r w:rsidR="00CD56E7" w:rsidRPr="007C5D58">
        <w:t xml:space="preserve"> </w:t>
      </w:r>
      <w:proofErr w:type="spellStart"/>
      <w:r w:rsidR="00CD56E7" w:rsidRPr="007C5D58">
        <w:t>palaikyti</w:t>
      </w:r>
      <w:proofErr w:type="spellEnd"/>
      <w:r w:rsidR="00CD56E7" w:rsidRPr="007C5D58">
        <w:t xml:space="preserve"> </w:t>
      </w:r>
      <w:proofErr w:type="spellStart"/>
      <w:r w:rsidR="00CD56E7" w:rsidRPr="007C5D58">
        <w:t>gydymą</w:t>
      </w:r>
      <w:proofErr w:type="spellEnd"/>
      <w:r w:rsidR="00CD56E7" w:rsidRPr="007C5D58">
        <w:t xml:space="preserve"> </w:t>
      </w:r>
      <w:proofErr w:type="spellStart"/>
      <w:r w:rsidR="00CD56E7" w:rsidRPr="007C5D58">
        <w:t>vaikams</w:t>
      </w:r>
      <w:proofErr w:type="spellEnd"/>
      <w:r w:rsidR="00CD56E7" w:rsidRPr="007C5D58">
        <w:t xml:space="preserve">, </w:t>
      </w:r>
      <w:proofErr w:type="spellStart"/>
      <w:r w:rsidR="00CD56E7" w:rsidRPr="007C5D58">
        <w:t>sveriantiems</w:t>
      </w:r>
      <w:proofErr w:type="spellEnd"/>
      <w:r w:rsidR="00CD56E7" w:rsidRPr="007C5D58">
        <w:t xml:space="preserve"> </w:t>
      </w:r>
      <w:proofErr w:type="spellStart"/>
      <w:r w:rsidR="00CD56E7" w:rsidRPr="007C5D58">
        <w:t>nuo</w:t>
      </w:r>
      <w:proofErr w:type="spellEnd"/>
      <w:r w:rsidR="00CD56E7" w:rsidRPr="007C5D58">
        <w:t xml:space="preserve"> 20</w:t>
      </w:r>
      <w:r w:rsidR="00CD56E7">
        <w:t> </w:t>
      </w:r>
      <w:r w:rsidR="00CD56E7" w:rsidRPr="007C5D58">
        <w:t xml:space="preserve">kg </w:t>
      </w:r>
      <w:proofErr w:type="spellStart"/>
      <w:r w:rsidR="00CD56E7" w:rsidRPr="007C5D58">
        <w:t>iki</w:t>
      </w:r>
      <w:proofErr w:type="spellEnd"/>
      <w:r w:rsidR="00CD56E7" w:rsidRPr="007C5D58">
        <w:t xml:space="preserve"> </w:t>
      </w:r>
      <w:proofErr w:type="spellStart"/>
      <w:r w:rsidR="009367CC">
        <w:t>mažiau</w:t>
      </w:r>
      <w:proofErr w:type="spellEnd"/>
      <w:r w:rsidR="009367CC">
        <w:t xml:space="preserve"> </w:t>
      </w:r>
      <w:proofErr w:type="spellStart"/>
      <w:r w:rsidR="009367CC">
        <w:t>nei</w:t>
      </w:r>
      <w:proofErr w:type="spellEnd"/>
      <w:r w:rsidR="009367CC">
        <w:t xml:space="preserve"> </w:t>
      </w:r>
      <w:r w:rsidR="00CD56E7" w:rsidRPr="007C5D58">
        <w:t>50</w:t>
      </w:r>
      <w:r w:rsidR="00CD56E7">
        <w:t> </w:t>
      </w:r>
      <w:r w:rsidR="00CD56E7" w:rsidRPr="007C5D58">
        <w:t>kg. Taigi</w:t>
      </w:r>
      <w:r w:rsidR="00CD56E7" w:rsidRPr="003A5547">
        <w:t xml:space="preserve"> </w:t>
      </w:r>
      <w:r w:rsidR="00CD56E7" w:rsidRPr="00FF0C6B">
        <w:t>Apremilast STADA</w:t>
      </w:r>
      <w:r w:rsidR="00CD56E7" w:rsidRPr="007C5D58">
        <w:t xml:space="preserve"> </w:t>
      </w:r>
      <w:proofErr w:type="spellStart"/>
      <w:r w:rsidR="00CD56E7" w:rsidRPr="007C5D58">
        <w:t>negalima</w:t>
      </w:r>
      <w:proofErr w:type="spellEnd"/>
      <w:r w:rsidR="00CD56E7" w:rsidRPr="003A5547">
        <w:t xml:space="preserve"> </w:t>
      </w:r>
      <w:proofErr w:type="spellStart"/>
      <w:r w:rsidR="00CD56E7" w:rsidRPr="007C5D58">
        <w:t>gydyti</w:t>
      </w:r>
      <w:proofErr w:type="spellEnd"/>
      <w:r w:rsidR="00CD56E7" w:rsidRPr="007C5D58">
        <w:t xml:space="preserve"> </w:t>
      </w:r>
      <w:proofErr w:type="spellStart"/>
      <w:r w:rsidR="00CD56E7" w:rsidRPr="007C5D58">
        <w:t>vaikų</w:t>
      </w:r>
      <w:proofErr w:type="spellEnd"/>
      <w:r w:rsidR="00CD56E7" w:rsidRPr="007C5D58">
        <w:t xml:space="preserve">, </w:t>
      </w:r>
      <w:proofErr w:type="spellStart"/>
      <w:r w:rsidR="00CD56E7" w:rsidRPr="007C5D58">
        <w:t>sveriančių</w:t>
      </w:r>
      <w:proofErr w:type="spellEnd"/>
      <w:r w:rsidR="00CD56E7" w:rsidRPr="007C5D58">
        <w:t xml:space="preserve"> </w:t>
      </w:r>
      <w:proofErr w:type="spellStart"/>
      <w:r w:rsidR="00CD56E7" w:rsidRPr="007C5D58">
        <w:t>nuo</w:t>
      </w:r>
      <w:proofErr w:type="spellEnd"/>
      <w:r w:rsidR="00CD56E7" w:rsidRPr="007C5D58">
        <w:t xml:space="preserve"> 20</w:t>
      </w:r>
      <w:r w:rsidR="00CD56E7">
        <w:t> </w:t>
      </w:r>
      <w:r w:rsidR="00CD56E7" w:rsidRPr="007C5D58">
        <w:t xml:space="preserve">kg </w:t>
      </w:r>
      <w:proofErr w:type="spellStart"/>
      <w:r w:rsidR="00CD56E7" w:rsidRPr="007C5D58">
        <w:t>iki</w:t>
      </w:r>
      <w:proofErr w:type="spellEnd"/>
      <w:r w:rsidR="00CD56E7" w:rsidRPr="007C5D58">
        <w:t xml:space="preserve"> </w:t>
      </w:r>
      <w:proofErr w:type="spellStart"/>
      <w:r w:rsidR="009367CC">
        <w:t>mažiau</w:t>
      </w:r>
      <w:proofErr w:type="spellEnd"/>
      <w:r w:rsidR="009367CC">
        <w:t xml:space="preserve"> </w:t>
      </w:r>
      <w:proofErr w:type="spellStart"/>
      <w:r w:rsidR="009367CC">
        <w:t>nei</w:t>
      </w:r>
      <w:proofErr w:type="spellEnd"/>
      <w:r w:rsidR="009367CC">
        <w:t xml:space="preserve"> </w:t>
      </w:r>
      <w:r w:rsidR="00CD56E7" w:rsidRPr="007C5D58">
        <w:t>50</w:t>
      </w:r>
      <w:r w:rsidR="00CD56E7">
        <w:t> </w:t>
      </w:r>
      <w:r w:rsidR="00CD56E7" w:rsidRPr="007C5D58">
        <w:t xml:space="preserve">kg; </w:t>
      </w:r>
      <w:proofErr w:type="spellStart"/>
      <w:r w:rsidR="00CD56E7">
        <w:t>v</w:t>
      </w:r>
      <w:r w:rsidR="00CD56E7" w:rsidRPr="007C5D58">
        <w:t>ietoj</w:t>
      </w:r>
      <w:r w:rsidR="00CD56E7">
        <w:t>e</w:t>
      </w:r>
      <w:proofErr w:type="spellEnd"/>
      <w:r w:rsidR="00CD56E7" w:rsidRPr="007C5D58">
        <w:t xml:space="preserve"> </w:t>
      </w:r>
      <w:r w:rsidR="00CD56E7">
        <w:t>jo</w:t>
      </w:r>
      <w:r w:rsidR="00CD56E7" w:rsidRPr="007C5D58">
        <w:t xml:space="preserve"> </w:t>
      </w:r>
      <w:proofErr w:type="spellStart"/>
      <w:r w:rsidR="00CD56E7" w:rsidRPr="007C5D58">
        <w:t>reikia</w:t>
      </w:r>
      <w:proofErr w:type="spellEnd"/>
      <w:r w:rsidR="00CD56E7" w:rsidRPr="007C5D58">
        <w:t xml:space="preserve"> </w:t>
      </w:r>
      <w:proofErr w:type="spellStart"/>
      <w:r w:rsidR="00CD56E7">
        <w:t>vart</w:t>
      </w:r>
      <w:r w:rsidR="00CD56E7" w:rsidRPr="007C5D58">
        <w:t>oti</w:t>
      </w:r>
      <w:proofErr w:type="spellEnd"/>
      <w:r w:rsidR="00CD56E7" w:rsidRPr="007C5D58">
        <w:t xml:space="preserve"> </w:t>
      </w:r>
      <w:proofErr w:type="spellStart"/>
      <w:r w:rsidR="00CD56E7" w:rsidRPr="007C5D58">
        <w:t>kitus</w:t>
      </w:r>
      <w:proofErr w:type="spellEnd"/>
      <w:r w:rsidR="00CD56E7" w:rsidRPr="007C5D58">
        <w:t xml:space="preserve"> </w:t>
      </w:r>
      <w:proofErr w:type="spellStart"/>
      <w:r w:rsidR="00CD56E7" w:rsidRPr="007C5D58">
        <w:t>apremilast</w:t>
      </w:r>
      <w:r w:rsidR="00CD56E7">
        <w:t>o</w:t>
      </w:r>
      <w:proofErr w:type="spellEnd"/>
      <w:r w:rsidR="00CD56E7">
        <w:t xml:space="preserve"> </w:t>
      </w:r>
      <w:proofErr w:type="spellStart"/>
      <w:r w:rsidR="00CD56E7">
        <w:t>vaistus</w:t>
      </w:r>
      <w:proofErr w:type="spellEnd"/>
      <w:r w:rsidR="00CD56E7">
        <w:t xml:space="preserve">, </w:t>
      </w:r>
      <w:proofErr w:type="spellStart"/>
      <w:r w:rsidR="00CD56E7">
        <w:t>tiekiamus</w:t>
      </w:r>
      <w:proofErr w:type="spellEnd"/>
      <w:r w:rsidR="00CD56E7">
        <w:t xml:space="preserve"> </w:t>
      </w:r>
      <w:proofErr w:type="spellStart"/>
      <w:r w:rsidR="00CD56E7">
        <w:t>tokių</w:t>
      </w:r>
      <w:proofErr w:type="spellEnd"/>
      <w:r w:rsidR="00CD56E7">
        <w:t xml:space="preserve"> </w:t>
      </w:r>
      <w:proofErr w:type="spellStart"/>
      <w:r w:rsidR="00CD56E7">
        <w:t>dozių</w:t>
      </w:r>
      <w:proofErr w:type="spellEnd"/>
      <w:r w:rsidR="00CD56E7">
        <w:t xml:space="preserve"> </w:t>
      </w:r>
      <w:proofErr w:type="spellStart"/>
      <w:r w:rsidR="00CD56E7">
        <w:t>pakuotėmis</w:t>
      </w:r>
      <w:proofErr w:type="spellEnd"/>
      <w:r w:rsidR="00CD56E7" w:rsidRPr="007C5D58">
        <w:t>.</w:t>
      </w:r>
    </w:p>
    <w:p w14:paraId="62954594" w14:textId="77777777" w:rsidR="00222910" w:rsidRDefault="00222910" w:rsidP="00250DDA">
      <w:pPr>
        <w:widowControl w:val="0"/>
        <w:tabs>
          <w:tab w:val="clear" w:pos="567"/>
        </w:tabs>
        <w:autoSpaceDE w:val="0"/>
        <w:autoSpaceDN w:val="0"/>
        <w:adjustRightInd w:val="0"/>
        <w:spacing w:line="240" w:lineRule="auto"/>
        <w:rPr>
          <w:i/>
          <w:iCs/>
          <w:szCs w:val="22"/>
          <w:lang w:val="lt-LT"/>
        </w:rPr>
      </w:pPr>
    </w:p>
    <w:p w14:paraId="139B1F47" w14:textId="77777777" w:rsidR="00250DDA" w:rsidRDefault="00222910" w:rsidP="00250DDA">
      <w:pPr>
        <w:widowControl w:val="0"/>
        <w:tabs>
          <w:tab w:val="clear" w:pos="567"/>
        </w:tabs>
        <w:autoSpaceDE w:val="0"/>
        <w:autoSpaceDN w:val="0"/>
        <w:adjustRightInd w:val="0"/>
        <w:spacing w:line="240" w:lineRule="auto"/>
        <w:rPr>
          <w:szCs w:val="22"/>
          <w:lang w:val="lt-LT"/>
        </w:rPr>
      </w:pPr>
      <w:r w:rsidRPr="00DB2543">
        <w:rPr>
          <w:i/>
          <w:iCs/>
          <w:szCs w:val="22"/>
          <w:u w:val="single"/>
          <w:lang w:val="lt-LT"/>
        </w:rPr>
        <w:t>Pacientams, sveriantiems ne mažiau kaip 50 kg.</w:t>
      </w:r>
      <w:r w:rsidRPr="00222910">
        <w:rPr>
          <w:i/>
          <w:iCs/>
          <w:szCs w:val="22"/>
          <w:lang w:val="lt-LT"/>
        </w:rPr>
        <w:t xml:space="preserve"> </w:t>
      </w:r>
      <w:r w:rsidRPr="00222910">
        <w:rPr>
          <w:szCs w:val="22"/>
          <w:lang w:val="lt-LT"/>
        </w:rPr>
        <w:t xml:space="preserve">Rekomenduojama </w:t>
      </w:r>
      <w:r w:rsidRPr="00CD7E52">
        <w:rPr>
          <w:szCs w:val="22"/>
          <w:lang w:val="lt-LT"/>
        </w:rPr>
        <w:t>Apremilast STADA</w:t>
      </w:r>
      <w:r w:rsidRPr="00222910">
        <w:rPr>
          <w:szCs w:val="22"/>
          <w:lang w:val="lt-LT"/>
        </w:rPr>
        <w:t xml:space="preserve"> dozė yra 30</w:t>
      </w:r>
      <w:r>
        <w:rPr>
          <w:szCs w:val="22"/>
          <w:lang w:val="lt-LT"/>
        </w:rPr>
        <w:t> </w:t>
      </w:r>
      <w:r w:rsidRPr="00222910">
        <w:rPr>
          <w:szCs w:val="22"/>
          <w:lang w:val="lt-LT"/>
        </w:rPr>
        <w:t>mg, vartojama du kartus per parą, pasibaigus titravimo fazei (taip pat, kaip ir dozė suaugusiesiems), kaip parodyta</w:t>
      </w:r>
      <w:r>
        <w:rPr>
          <w:szCs w:val="22"/>
          <w:lang w:val="lt-LT"/>
        </w:rPr>
        <w:t xml:space="preserve"> </w:t>
      </w:r>
      <w:r w:rsidRPr="00222910">
        <w:rPr>
          <w:szCs w:val="22"/>
          <w:lang w:val="lt-LT"/>
        </w:rPr>
        <w:t>toliau pateiktoje lentelėje, – viena 30</w:t>
      </w:r>
      <w:r>
        <w:rPr>
          <w:szCs w:val="22"/>
          <w:lang w:val="lt-LT"/>
        </w:rPr>
        <w:t> </w:t>
      </w:r>
      <w:r w:rsidRPr="00222910">
        <w:rPr>
          <w:szCs w:val="22"/>
          <w:lang w:val="lt-LT"/>
        </w:rPr>
        <w:t>mg dozė ryte ir viena 30</w:t>
      </w:r>
      <w:r>
        <w:rPr>
          <w:szCs w:val="22"/>
          <w:lang w:val="lt-LT"/>
        </w:rPr>
        <w:t> </w:t>
      </w:r>
      <w:r w:rsidRPr="00222910">
        <w:rPr>
          <w:szCs w:val="22"/>
          <w:lang w:val="lt-LT"/>
        </w:rPr>
        <w:t>mg dozė vakare, su maždaug 12</w:t>
      </w:r>
      <w:r>
        <w:rPr>
          <w:szCs w:val="22"/>
          <w:lang w:val="lt-LT"/>
        </w:rPr>
        <w:t> </w:t>
      </w:r>
      <w:r w:rsidRPr="00222910">
        <w:rPr>
          <w:szCs w:val="22"/>
          <w:lang w:val="lt-LT"/>
        </w:rPr>
        <w:t>valandų pertrauka, nepriklausomai nuo valgio. Tai sudaro bendrą 60</w:t>
      </w:r>
      <w:r>
        <w:rPr>
          <w:szCs w:val="22"/>
          <w:lang w:val="lt-LT"/>
        </w:rPr>
        <w:t> </w:t>
      </w:r>
      <w:r w:rsidRPr="00222910">
        <w:rPr>
          <w:szCs w:val="22"/>
          <w:lang w:val="lt-LT"/>
        </w:rPr>
        <w:t>mg paros dozę.</w:t>
      </w:r>
    </w:p>
    <w:p w14:paraId="410B9878" w14:textId="77777777" w:rsidR="00222910" w:rsidRDefault="00222910" w:rsidP="00250DDA">
      <w:pPr>
        <w:widowControl w:val="0"/>
        <w:tabs>
          <w:tab w:val="clear" w:pos="567"/>
        </w:tabs>
        <w:autoSpaceDE w:val="0"/>
        <w:autoSpaceDN w:val="0"/>
        <w:adjustRightInd w:val="0"/>
        <w:spacing w:line="240" w:lineRule="auto"/>
        <w:rPr>
          <w:szCs w:val="22"/>
          <w:lang w:val="lt-LT"/>
        </w:rPr>
      </w:pPr>
    </w:p>
    <w:tbl>
      <w:tblPr>
        <w:tblW w:w="8789" w:type="dxa"/>
        <w:tblInd w:w="15" w:type="dxa"/>
        <w:tblLayout w:type="fixed"/>
        <w:tblCellMar>
          <w:left w:w="0" w:type="dxa"/>
          <w:right w:w="0" w:type="dxa"/>
        </w:tblCellMar>
        <w:tblLook w:val="0000" w:firstRow="0" w:lastRow="0" w:firstColumn="0" w:lastColumn="0" w:noHBand="0" w:noVBand="0"/>
      </w:tblPr>
      <w:tblGrid>
        <w:gridCol w:w="2197"/>
        <w:gridCol w:w="2197"/>
        <w:gridCol w:w="2197"/>
        <w:gridCol w:w="2198"/>
      </w:tblGrid>
      <w:tr w:rsidR="00C60259" w:rsidRPr="00CD7E52" w14:paraId="3FA4A228" w14:textId="77777777" w:rsidTr="00686BBB">
        <w:trPr>
          <w:trHeight w:val="330"/>
        </w:trPr>
        <w:tc>
          <w:tcPr>
            <w:tcW w:w="2197" w:type="dxa"/>
            <w:tcBorders>
              <w:top w:val="single" w:sz="2" w:space="0" w:color="auto"/>
              <w:left w:val="single" w:sz="2" w:space="0" w:color="auto"/>
              <w:bottom w:val="single" w:sz="2" w:space="0" w:color="auto"/>
              <w:right w:val="single" w:sz="4" w:space="0" w:color="000000"/>
            </w:tcBorders>
            <w:shd w:val="clear" w:color="auto" w:fill="F2F2F2"/>
          </w:tcPr>
          <w:p w14:paraId="74E51DD7" w14:textId="77777777" w:rsidR="00C60259" w:rsidRPr="00CD7E52" w:rsidRDefault="00C60259" w:rsidP="00686BBB">
            <w:pPr>
              <w:pStyle w:val="TableParagraph"/>
              <w:kinsoku w:val="0"/>
              <w:overflowPunct w:val="0"/>
              <w:rPr>
                <w:b/>
                <w:bCs/>
                <w:spacing w:val="-2"/>
                <w:sz w:val="22"/>
                <w:szCs w:val="22"/>
              </w:rPr>
            </w:pPr>
          </w:p>
        </w:tc>
        <w:tc>
          <w:tcPr>
            <w:tcW w:w="6592" w:type="dxa"/>
            <w:gridSpan w:val="3"/>
            <w:tcBorders>
              <w:top w:val="single" w:sz="2" w:space="0" w:color="auto"/>
              <w:left w:val="single" w:sz="4" w:space="0" w:color="000000"/>
              <w:bottom w:val="single" w:sz="2" w:space="0" w:color="auto"/>
              <w:right w:val="single" w:sz="2" w:space="0" w:color="auto"/>
            </w:tcBorders>
            <w:shd w:val="clear" w:color="auto" w:fill="F2F2F2"/>
            <w:vAlign w:val="center"/>
          </w:tcPr>
          <w:p w14:paraId="14B6B0AD" w14:textId="77777777" w:rsidR="00C60259" w:rsidRPr="00CD7E52" w:rsidRDefault="00C60259" w:rsidP="00686BBB">
            <w:pPr>
              <w:pStyle w:val="Default"/>
              <w:jc w:val="center"/>
              <w:rPr>
                <w:b/>
                <w:bCs/>
                <w:sz w:val="22"/>
                <w:szCs w:val="22"/>
              </w:rPr>
            </w:pPr>
            <w:r>
              <w:rPr>
                <w:b/>
                <w:bCs/>
                <w:sz w:val="22"/>
                <w:szCs w:val="22"/>
              </w:rPr>
              <w:t xml:space="preserve">50 kg </w:t>
            </w:r>
            <w:proofErr w:type="spellStart"/>
            <w:r>
              <w:rPr>
                <w:b/>
                <w:bCs/>
                <w:sz w:val="22"/>
                <w:szCs w:val="22"/>
              </w:rPr>
              <w:t>arba</w:t>
            </w:r>
            <w:proofErr w:type="spellEnd"/>
            <w:r>
              <w:rPr>
                <w:b/>
                <w:bCs/>
                <w:sz w:val="22"/>
                <w:szCs w:val="22"/>
              </w:rPr>
              <w:t xml:space="preserve"> </w:t>
            </w:r>
            <w:proofErr w:type="spellStart"/>
            <w:r>
              <w:rPr>
                <w:b/>
                <w:bCs/>
                <w:sz w:val="22"/>
                <w:szCs w:val="22"/>
              </w:rPr>
              <w:t>didesnis</w:t>
            </w:r>
            <w:proofErr w:type="spellEnd"/>
            <w:r>
              <w:rPr>
                <w:b/>
                <w:bCs/>
                <w:sz w:val="22"/>
                <w:szCs w:val="22"/>
              </w:rPr>
              <w:t xml:space="preserve"> </w:t>
            </w:r>
            <w:proofErr w:type="spellStart"/>
            <w:r>
              <w:rPr>
                <w:b/>
                <w:bCs/>
                <w:sz w:val="22"/>
                <w:szCs w:val="22"/>
              </w:rPr>
              <w:t>svoris</w:t>
            </w:r>
            <w:proofErr w:type="spellEnd"/>
          </w:p>
        </w:tc>
      </w:tr>
      <w:tr w:rsidR="00C60259" w:rsidRPr="00CD7E52" w14:paraId="1D2EB994" w14:textId="77777777" w:rsidTr="00686BBB">
        <w:trPr>
          <w:trHeight w:val="330"/>
        </w:trPr>
        <w:tc>
          <w:tcPr>
            <w:tcW w:w="2197" w:type="dxa"/>
            <w:tcBorders>
              <w:top w:val="single" w:sz="2" w:space="0" w:color="auto"/>
              <w:left w:val="single" w:sz="2" w:space="0" w:color="auto"/>
              <w:bottom w:val="single" w:sz="2" w:space="0" w:color="auto"/>
              <w:right w:val="single" w:sz="4" w:space="0" w:color="000000"/>
            </w:tcBorders>
            <w:shd w:val="clear" w:color="auto" w:fill="F2F2F2"/>
          </w:tcPr>
          <w:p w14:paraId="29EDB30C" w14:textId="77777777" w:rsidR="00C60259" w:rsidRPr="00CD7E52" w:rsidRDefault="00C60259" w:rsidP="00686BBB">
            <w:pPr>
              <w:pStyle w:val="TableParagraph"/>
              <w:kinsoku w:val="0"/>
              <w:overflowPunct w:val="0"/>
              <w:rPr>
                <w:b/>
                <w:bCs/>
                <w:spacing w:val="-2"/>
                <w:sz w:val="22"/>
                <w:szCs w:val="22"/>
              </w:rPr>
            </w:pPr>
            <w:r w:rsidRPr="00CD7E52">
              <w:rPr>
                <w:b/>
                <w:bCs/>
                <w:spacing w:val="-2"/>
                <w:sz w:val="22"/>
                <w:szCs w:val="22"/>
              </w:rPr>
              <w:t>Diena</w:t>
            </w:r>
          </w:p>
        </w:tc>
        <w:tc>
          <w:tcPr>
            <w:tcW w:w="2197" w:type="dxa"/>
            <w:tcBorders>
              <w:top w:val="single" w:sz="2" w:space="0" w:color="auto"/>
              <w:left w:val="single" w:sz="4" w:space="0" w:color="000000"/>
              <w:bottom w:val="single" w:sz="2" w:space="0" w:color="auto"/>
              <w:right w:val="single" w:sz="4" w:space="0" w:color="000000"/>
            </w:tcBorders>
            <w:shd w:val="clear" w:color="auto" w:fill="F2F2F2"/>
          </w:tcPr>
          <w:p w14:paraId="1EFA9706" w14:textId="77777777" w:rsidR="00C60259" w:rsidRPr="00CD7E52" w:rsidRDefault="00C60259" w:rsidP="00686BBB">
            <w:pPr>
              <w:pStyle w:val="TableParagraph"/>
              <w:kinsoku w:val="0"/>
              <w:overflowPunct w:val="0"/>
              <w:rPr>
                <w:b/>
                <w:bCs/>
                <w:spacing w:val="-4"/>
                <w:sz w:val="22"/>
                <w:szCs w:val="22"/>
              </w:rPr>
            </w:pPr>
            <w:r w:rsidRPr="00CD7E52">
              <w:rPr>
                <w:b/>
                <w:bCs/>
                <w:sz w:val="22"/>
                <w:szCs w:val="22"/>
              </w:rPr>
              <w:t>Rytinė</w:t>
            </w:r>
            <w:r w:rsidRPr="00CD7E52">
              <w:rPr>
                <w:b/>
                <w:bCs/>
                <w:spacing w:val="-8"/>
                <w:sz w:val="22"/>
                <w:szCs w:val="22"/>
              </w:rPr>
              <w:t xml:space="preserve"> </w:t>
            </w:r>
            <w:r w:rsidRPr="00CD7E52">
              <w:rPr>
                <w:b/>
                <w:bCs/>
                <w:spacing w:val="-4"/>
                <w:sz w:val="22"/>
                <w:szCs w:val="22"/>
              </w:rPr>
              <w:t>dozė</w:t>
            </w:r>
          </w:p>
        </w:tc>
        <w:tc>
          <w:tcPr>
            <w:tcW w:w="2197" w:type="dxa"/>
            <w:tcBorders>
              <w:top w:val="single" w:sz="2" w:space="0" w:color="auto"/>
              <w:left w:val="single" w:sz="4" w:space="0" w:color="000000"/>
              <w:bottom w:val="single" w:sz="2" w:space="0" w:color="auto"/>
              <w:right w:val="single" w:sz="4" w:space="0" w:color="000000"/>
            </w:tcBorders>
            <w:shd w:val="clear" w:color="auto" w:fill="F2F2F2"/>
          </w:tcPr>
          <w:p w14:paraId="0E80757C" w14:textId="77777777" w:rsidR="00C60259" w:rsidRPr="00CD7E52" w:rsidRDefault="00C60259" w:rsidP="00686BBB">
            <w:pPr>
              <w:pStyle w:val="TableParagraph"/>
              <w:kinsoku w:val="0"/>
              <w:overflowPunct w:val="0"/>
              <w:rPr>
                <w:b/>
                <w:bCs/>
                <w:spacing w:val="-4"/>
                <w:sz w:val="22"/>
                <w:szCs w:val="22"/>
              </w:rPr>
            </w:pPr>
            <w:r w:rsidRPr="00CD7E52">
              <w:rPr>
                <w:b/>
                <w:bCs/>
                <w:spacing w:val="-2"/>
                <w:sz w:val="22"/>
                <w:szCs w:val="22"/>
              </w:rPr>
              <w:t>Vakarinė</w:t>
            </w:r>
            <w:r w:rsidRPr="00CD7E52">
              <w:rPr>
                <w:b/>
                <w:bCs/>
                <w:spacing w:val="1"/>
                <w:sz w:val="22"/>
                <w:szCs w:val="22"/>
              </w:rPr>
              <w:t xml:space="preserve"> </w:t>
            </w:r>
            <w:r w:rsidRPr="00CD7E52">
              <w:rPr>
                <w:b/>
                <w:bCs/>
                <w:spacing w:val="-4"/>
                <w:sz w:val="22"/>
                <w:szCs w:val="22"/>
              </w:rPr>
              <w:t>dozė</w:t>
            </w:r>
          </w:p>
        </w:tc>
        <w:tc>
          <w:tcPr>
            <w:tcW w:w="2198" w:type="dxa"/>
            <w:tcBorders>
              <w:top w:val="single" w:sz="2" w:space="0" w:color="auto"/>
              <w:left w:val="single" w:sz="4" w:space="0" w:color="000000"/>
              <w:bottom w:val="single" w:sz="2" w:space="0" w:color="auto"/>
              <w:right w:val="single" w:sz="2" w:space="0" w:color="auto"/>
            </w:tcBorders>
            <w:shd w:val="clear" w:color="auto" w:fill="F2F2F2"/>
          </w:tcPr>
          <w:p w14:paraId="7127C147" w14:textId="77777777" w:rsidR="00C60259" w:rsidRPr="00CD7E52" w:rsidRDefault="00C60259" w:rsidP="00686BBB">
            <w:pPr>
              <w:pStyle w:val="TableParagraph"/>
              <w:kinsoku w:val="0"/>
              <w:overflowPunct w:val="0"/>
              <w:rPr>
                <w:b/>
                <w:bCs/>
                <w:spacing w:val="-4"/>
                <w:sz w:val="22"/>
                <w:szCs w:val="22"/>
              </w:rPr>
            </w:pPr>
            <w:r w:rsidRPr="00CD7E52">
              <w:rPr>
                <w:b/>
                <w:bCs/>
                <w:sz w:val="22"/>
                <w:szCs w:val="22"/>
              </w:rPr>
              <w:t>Bendra</w:t>
            </w:r>
            <w:r w:rsidRPr="00CD7E52">
              <w:rPr>
                <w:b/>
                <w:bCs/>
                <w:spacing w:val="-8"/>
                <w:sz w:val="22"/>
                <w:szCs w:val="22"/>
              </w:rPr>
              <w:t xml:space="preserve"> </w:t>
            </w:r>
            <w:r w:rsidRPr="00CD7E52">
              <w:rPr>
                <w:b/>
                <w:bCs/>
                <w:sz w:val="22"/>
                <w:szCs w:val="22"/>
              </w:rPr>
              <w:t>paros</w:t>
            </w:r>
            <w:r w:rsidRPr="00CD7E52">
              <w:rPr>
                <w:b/>
                <w:bCs/>
                <w:spacing w:val="-8"/>
                <w:sz w:val="22"/>
                <w:szCs w:val="22"/>
              </w:rPr>
              <w:t xml:space="preserve"> </w:t>
            </w:r>
            <w:r w:rsidRPr="00CD7E52">
              <w:rPr>
                <w:b/>
                <w:bCs/>
                <w:spacing w:val="-4"/>
                <w:sz w:val="22"/>
                <w:szCs w:val="22"/>
              </w:rPr>
              <w:t>dozė</w:t>
            </w:r>
          </w:p>
        </w:tc>
      </w:tr>
      <w:tr w:rsidR="00C60259" w:rsidRPr="00CD7E52" w14:paraId="24260558" w14:textId="77777777" w:rsidTr="00686BBB">
        <w:trPr>
          <w:trHeight w:val="255"/>
        </w:trPr>
        <w:tc>
          <w:tcPr>
            <w:tcW w:w="2197" w:type="dxa"/>
            <w:tcBorders>
              <w:top w:val="single" w:sz="2" w:space="0" w:color="auto"/>
              <w:left w:val="single" w:sz="2" w:space="0" w:color="auto"/>
              <w:bottom w:val="single" w:sz="2" w:space="0" w:color="auto"/>
              <w:right w:val="single" w:sz="2" w:space="0" w:color="auto"/>
            </w:tcBorders>
            <w:shd w:val="clear" w:color="auto" w:fill="EAEAEA"/>
          </w:tcPr>
          <w:p w14:paraId="2492351D" w14:textId="77777777" w:rsidR="00C60259" w:rsidRPr="00CD7E52" w:rsidRDefault="00C60259" w:rsidP="00686BBB">
            <w:pPr>
              <w:pStyle w:val="TableParagraph"/>
              <w:kinsoku w:val="0"/>
              <w:overflowPunct w:val="0"/>
              <w:rPr>
                <w:b/>
                <w:bCs/>
                <w:spacing w:val="-2"/>
                <w:sz w:val="22"/>
                <w:szCs w:val="22"/>
              </w:rPr>
            </w:pPr>
            <w:r w:rsidRPr="00CD7E52">
              <w:rPr>
                <w:b/>
                <w:bCs/>
                <w:sz w:val="22"/>
                <w:szCs w:val="22"/>
              </w:rPr>
              <w:t>1 </w:t>
            </w:r>
            <w:r w:rsidRPr="00CD7E52">
              <w:rPr>
                <w:b/>
                <w:bCs/>
                <w:spacing w:val="-2"/>
                <w:sz w:val="22"/>
                <w:szCs w:val="22"/>
              </w:rPr>
              <w:t>diena</w:t>
            </w:r>
          </w:p>
        </w:tc>
        <w:tc>
          <w:tcPr>
            <w:tcW w:w="2197" w:type="dxa"/>
            <w:tcBorders>
              <w:top w:val="single" w:sz="2" w:space="0" w:color="auto"/>
              <w:left w:val="single" w:sz="2" w:space="0" w:color="auto"/>
              <w:bottom w:val="single" w:sz="2" w:space="0" w:color="auto"/>
              <w:right w:val="single" w:sz="4" w:space="0" w:color="000000"/>
            </w:tcBorders>
          </w:tcPr>
          <w:p w14:paraId="180C64EA" w14:textId="77777777" w:rsidR="00C60259" w:rsidRPr="00CD7E52" w:rsidRDefault="00C60259" w:rsidP="00686BBB">
            <w:pPr>
              <w:pStyle w:val="TableParagraph"/>
              <w:kinsoku w:val="0"/>
              <w:overflowPunct w:val="0"/>
              <w:rPr>
                <w:spacing w:val="-2"/>
                <w:sz w:val="22"/>
                <w:szCs w:val="22"/>
              </w:rPr>
            </w:pPr>
            <w:r w:rsidRPr="00CD7E52">
              <w:rPr>
                <w:sz w:val="22"/>
                <w:szCs w:val="22"/>
              </w:rPr>
              <w:t>10</w:t>
            </w:r>
            <w:r w:rsidRPr="00CD7E52">
              <w:rPr>
                <w:spacing w:val="-3"/>
                <w:sz w:val="22"/>
                <w:szCs w:val="22"/>
              </w:rPr>
              <w:t> mg</w:t>
            </w:r>
            <w:r>
              <w:rPr>
                <w:spacing w:val="-3"/>
                <w:sz w:val="22"/>
                <w:szCs w:val="22"/>
              </w:rPr>
              <w:t xml:space="preserve"> </w:t>
            </w:r>
            <w:r w:rsidRPr="00CD7E52">
              <w:rPr>
                <w:spacing w:val="-2"/>
                <w:sz w:val="22"/>
                <w:szCs w:val="22"/>
              </w:rPr>
              <w:t>(rausva)</w:t>
            </w:r>
          </w:p>
        </w:tc>
        <w:tc>
          <w:tcPr>
            <w:tcW w:w="2197" w:type="dxa"/>
            <w:tcBorders>
              <w:top w:val="single" w:sz="2" w:space="0" w:color="auto"/>
              <w:left w:val="single" w:sz="4" w:space="0" w:color="000000"/>
              <w:bottom w:val="single" w:sz="2" w:space="0" w:color="auto"/>
              <w:right w:val="single" w:sz="2" w:space="0" w:color="auto"/>
            </w:tcBorders>
            <w:shd w:val="clear" w:color="auto" w:fill="808080"/>
          </w:tcPr>
          <w:p w14:paraId="2E883482" w14:textId="77777777" w:rsidR="00C60259" w:rsidRPr="00CD7E52" w:rsidRDefault="00C60259" w:rsidP="00686BBB">
            <w:pPr>
              <w:pStyle w:val="TableParagraph"/>
              <w:kinsoku w:val="0"/>
              <w:overflowPunct w:val="0"/>
              <w:rPr>
                <w:color w:val="FFFFFF"/>
                <w:spacing w:val="-2"/>
                <w:sz w:val="22"/>
                <w:szCs w:val="22"/>
              </w:rPr>
            </w:pPr>
            <w:r w:rsidRPr="00CD7E52">
              <w:rPr>
                <w:color w:val="FFFFFF"/>
                <w:sz w:val="22"/>
                <w:szCs w:val="22"/>
              </w:rPr>
              <w:t>Dozės</w:t>
            </w:r>
            <w:r w:rsidRPr="00CD7E52">
              <w:rPr>
                <w:color w:val="FFFFFF"/>
                <w:spacing w:val="-11"/>
                <w:sz w:val="22"/>
                <w:szCs w:val="22"/>
              </w:rPr>
              <w:t xml:space="preserve"> </w:t>
            </w:r>
            <w:r w:rsidRPr="00CD7E52">
              <w:rPr>
                <w:color w:val="FFFFFF"/>
                <w:spacing w:val="-2"/>
                <w:sz w:val="22"/>
                <w:szCs w:val="22"/>
              </w:rPr>
              <w:t>nevartokite</w:t>
            </w:r>
          </w:p>
        </w:tc>
        <w:tc>
          <w:tcPr>
            <w:tcW w:w="2198" w:type="dxa"/>
            <w:tcBorders>
              <w:top w:val="single" w:sz="2" w:space="0" w:color="auto"/>
              <w:left w:val="single" w:sz="2" w:space="0" w:color="auto"/>
              <w:bottom w:val="single" w:sz="2" w:space="0" w:color="auto"/>
              <w:right w:val="single" w:sz="2" w:space="0" w:color="auto"/>
            </w:tcBorders>
            <w:shd w:val="clear" w:color="auto" w:fill="EAEAEA"/>
          </w:tcPr>
          <w:p w14:paraId="3A532E5A" w14:textId="77777777" w:rsidR="00C60259" w:rsidRPr="00CD7E52" w:rsidRDefault="00C60259" w:rsidP="00686BBB">
            <w:pPr>
              <w:pStyle w:val="TableParagraph"/>
              <w:kinsoku w:val="0"/>
              <w:overflowPunct w:val="0"/>
              <w:rPr>
                <w:spacing w:val="-5"/>
                <w:sz w:val="22"/>
                <w:szCs w:val="22"/>
              </w:rPr>
            </w:pPr>
            <w:r w:rsidRPr="00CD7E52">
              <w:rPr>
                <w:sz w:val="22"/>
                <w:szCs w:val="22"/>
              </w:rPr>
              <w:t>10</w:t>
            </w:r>
            <w:r w:rsidRPr="00CD7E52">
              <w:rPr>
                <w:spacing w:val="-3"/>
                <w:sz w:val="22"/>
                <w:szCs w:val="22"/>
              </w:rPr>
              <w:t> mg</w:t>
            </w:r>
          </w:p>
        </w:tc>
      </w:tr>
      <w:tr w:rsidR="00C60259" w:rsidRPr="00CD7E52" w14:paraId="6D8F14D1" w14:textId="77777777" w:rsidTr="00686BBB">
        <w:trPr>
          <w:trHeight w:val="255"/>
        </w:trPr>
        <w:tc>
          <w:tcPr>
            <w:tcW w:w="2197" w:type="dxa"/>
            <w:tcBorders>
              <w:top w:val="single" w:sz="4" w:space="0" w:color="000000"/>
              <w:left w:val="single" w:sz="2" w:space="0" w:color="auto"/>
              <w:bottom w:val="single" w:sz="4" w:space="0" w:color="000000"/>
              <w:right w:val="single" w:sz="2" w:space="0" w:color="auto"/>
            </w:tcBorders>
            <w:shd w:val="clear" w:color="auto" w:fill="EAEAEA"/>
          </w:tcPr>
          <w:p w14:paraId="61A7C1DB" w14:textId="77777777" w:rsidR="00C60259" w:rsidRPr="00CD7E52" w:rsidRDefault="00C60259" w:rsidP="00686BBB">
            <w:pPr>
              <w:pStyle w:val="TableParagraph"/>
              <w:kinsoku w:val="0"/>
              <w:overflowPunct w:val="0"/>
              <w:rPr>
                <w:b/>
                <w:bCs/>
                <w:spacing w:val="-2"/>
                <w:sz w:val="22"/>
                <w:szCs w:val="22"/>
              </w:rPr>
            </w:pPr>
            <w:r w:rsidRPr="00CD7E52">
              <w:rPr>
                <w:b/>
                <w:bCs/>
                <w:sz w:val="22"/>
                <w:szCs w:val="22"/>
              </w:rPr>
              <w:t>2 </w:t>
            </w:r>
            <w:r w:rsidRPr="00CD7E52">
              <w:rPr>
                <w:b/>
                <w:bCs/>
                <w:spacing w:val="-2"/>
                <w:sz w:val="22"/>
                <w:szCs w:val="22"/>
              </w:rPr>
              <w:t>diena</w:t>
            </w:r>
          </w:p>
        </w:tc>
        <w:tc>
          <w:tcPr>
            <w:tcW w:w="2197" w:type="dxa"/>
            <w:tcBorders>
              <w:top w:val="single" w:sz="4" w:space="0" w:color="000000"/>
              <w:left w:val="single" w:sz="2" w:space="0" w:color="auto"/>
              <w:bottom w:val="single" w:sz="4" w:space="0" w:color="000000"/>
              <w:right w:val="single" w:sz="4" w:space="0" w:color="000000"/>
            </w:tcBorders>
          </w:tcPr>
          <w:p w14:paraId="7BC4D3EF" w14:textId="77777777" w:rsidR="00C60259" w:rsidRPr="00CD7E52" w:rsidRDefault="00C60259" w:rsidP="00686BBB">
            <w:pPr>
              <w:pStyle w:val="TableParagraph"/>
              <w:kinsoku w:val="0"/>
              <w:overflowPunct w:val="0"/>
              <w:rPr>
                <w:spacing w:val="-2"/>
                <w:sz w:val="22"/>
                <w:szCs w:val="22"/>
              </w:rPr>
            </w:pPr>
            <w:r w:rsidRPr="00CD7E52">
              <w:rPr>
                <w:sz w:val="22"/>
                <w:szCs w:val="22"/>
              </w:rPr>
              <w:t>10</w:t>
            </w:r>
            <w:r w:rsidRPr="00CD7E52">
              <w:rPr>
                <w:spacing w:val="-3"/>
                <w:sz w:val="22"/>
                <w:szCs w:val="22"/>
              </w:rPr>
              <w:t> mg</w:t>
            </w:r>
            <w:r>
              <w:rPr>
                <w:spacing w:val="-3"/>
                <w:sz w:val="22"/>
                <w:szCs w:val="22"/>
              </w:rPr>
              <w:t xml:space="preserve"> </w:t>
            </w:r>
            <w:r w:rsidRPr="00CD7E52">
              <w:rPr>
                <w:spacing w:val="-2"/>
                <w:sz w:val="22"/>
                <w:szCs w:val="22"/>
              </w:rPr>
              <w:t>(rausva)</w:t>
            </w:r>
          </w:p>
        </w:tc>
        <w:tc>
          <w:tcPr>
            <w:tcW w:w="2197" w:type="dxa"/>
            <w:tcBorders>
              <w:top w:val="none" w:sz="6" w:space="0" w:color="auto"/>
              <w:left w:val="single" w:sz="4" w:space="0" w:color="000000"/>
              <w:bottom w:val="single" w:sz="2" w:space="0" w:color="auto"/>
              <w:right w:val="single" w:sz="2" w:space="0" w:color="auto"/>
            </w:tcBorders>
          </w:tcPr>
          <w:p w14:paraId="49036ECF" w14:textId="77777777" w:rsidR="00C60259" w:rsidRPr="00CD7E52" w:rsidRDefault="00C60259" w:rsidP="00686BBB">
            <w:pPr>
              <w:pStyle w:val="TableParagraph"/>
              <w:kinsoku w:val="0"/>
              <w:overflowPunct w:val="0"/>
              <w:rPr>
                <w:spacing w:val="-2"/>
                <w:sz w:val="22"/>
                <w:szCs w:val="22"/>
              </w:rPr>
            </w:pPr>
            <w:r w:rsidRPr="00CD7E52">
              <w:rPr>
                <w:sz w:val="22"/>
                <w:szCs w:val="22"/>
              </w:rPr>
              <w:t>10</w:t>
            </w:r>
            <w:r w:rsidRPr="00CD7E52">
              <w:rPr>
                <w:spacing w:val="-3"/>
                <w:sz w:val="22"/>
                <w:szCs w:val="22"/>
              </w:rPr>
              <w:t> mg</w:t>
            </w:r>
            <w:r>
              <w:rPr>
                <w:spacing w:val="-3"/>
                <w:sz w:val="22"/>
                <w:szCs w:val="22"/>
              </w:rPr>
              <w:t xml:space="preserve"> </w:t>
            </w:r>
            <w:r w:rsidRPr="00CD7E52">
              <w:rPr>
                <w:spacing w:val="-2"/>
                <w:sz w:val="22"/>
                <w:szCs w:val="22"/>
              </w:rPr>
              <w:t>(rausva)</w:t>
            </w:r>
          </w:p>
        </w:tc>
        <w:tc>
          <w:tcPr>
            <w:tcW w:w="2198" w:type="dxa"/>
            <w:tcBorders>
              <w:top w:val="single" w:sz="4" w:space="0" w:color="000000"/>
              <w:left w:val="single" w:sz="2" w:space="0" w:color="auto"/>
              <w:bottom w:val="single" w:sz="2" w:space="0" w:color="auto"/>
              <w:right w:val="single" w:sz="2" w:space="0" w:color="auto"/>
            </w:tcBorders>
            <w:shd w:val="clear" w:color="auto" w:fill="EAEAEA"/>
          </w:tcPr>
          <w:p w14:paraId="23BEE620" w14:textId="77777777" w:rsidR="00C60259" w:rsidRPr="00CD7E52" w:rsidRDefault="00C60259" w:rsidP="00686BBB">
            <w:pPr>
              <w:pStyle w:val="TableParagraph"/>
              <w:kinsoku w:val="0"/>
              <w:overflowPunct w:val="0"/>
              <w:rPr>
                <w:spacing w:val="-5"/>
                <w:sz w:val="22"/>
                <w:szCs w:val="22"/>
              </w:rPr>
            </w:pPr>
            <w:r w:rsidRPr="00CD7E52">
              <w:rPr>
                <w:sz w:val="22"/>
                <w:szCs w:val="22"/>
              </w:rPr>
              <w:t>20</w:t>
            </w:r>
            <w:r w:rsidRPr="00CD7E52">
              <w:rPr>
                <w:spacing w:val="-3"/>
                <w:sz w:val="22"/>
                <w:szCs w:val="22"/>
              </w:rPr>
              <w:t> mg</w:t>
            </w:r>
          </w:p>
        </w:tc>
      </w:tr>
      <w:tr w:rsidR="00C60259" w:rsidRPr="00CD7E52" w14:paraId="7E8769A3" w14:textId="77777777" w:rsidTr="00686BBB">
        <w:trPr>
          <w:trHeight w:val="255"/>
        </w:trPr>
        <w:tc>
          <w:tcPr>
            <w:tcW w:w="2197" w:type="dxa"/>
            <w:tcBorders>
              <w:top w:val="single" w:sz="4" w:space="0" w:color="000000"/>
              <w:left w:val="single" w:sz="2" w:space="0" w:color="auto"/>
              <w:bottom w:val="single" w:sz="4" w:space="0" w:color="000000"/>
              <w:right w:val="single" w:sz="2" w:space="0" w:color="auto"/>
            </w:tcBorders>
            <w:shd w:val="clear" w:color="auto" w:fill="EAEAEA"/>
          </w:tcPr>
          <w:p w14:paraId="251E82CC" w14:textId="77777777" w:rsidR="00C60259" w:rsidRPr="00CD7E52" w:rsidRDefault="00C60259" w:rsidP="00686BBB">
            <w:pPr>
              <w:pStyle w:val="TableParagraph"/>
              <w:kinsoku w:val="0"/>
              <w:overflowPunct w:val="0"/>
              <w:rPr>
                <w:b/>
                <w:bCs/>
                <w:spacing w:val="-2"/>
                <w:sz w:val="22"/>
                <w:szCs w:val="22"/>
              </w:rPr>
            </w:pPr>
            <w:r w:rsidRPr="00CD7E52">
              <w:rPr>
                <w:b/>
                <w:bCs/>
                <w:sz w:val="22"/>
                <w:szCs w:val="22"/>
              </w:rPr>
              <w:t>3 </w:t>
            </w:r>
            <w:r w:rsidRPr="00CD7E52">
              <w:rPr>
                <w:b/>
                <w:bCs/>
                <w:spacing w:val="-2"/>
                <w:sz w:val="22"/>
                <w:szCs w:val="22"/>
              </w:rPr>
              <w:t>diena</w:t>
            </w:r>
          </w:p>
        </w:tc>
        <w:tc>
          <w:tcPr>
            <w:tcW w:w="2197" w:type="dxa"/>
            <w:tcBorders>
              <w:top w:val="single" w:sz="4" w:space="0" w:color="000000"/>
              <w:left w:val="single" w:sz="2" w:space="0" w:color="auto"/>
              <w:bottom w:val="single" w:sz="4" w:space="0" w:color="000000"/>
              <w:right w:val="single" w:sz="4" w:space="0" w:color="000000"/>
            </w:tcBorders>
          </w:tcPr>
          <w:p w14:paraId="1E8CA31A" w14:textId="77777777" w:rsidR="00C60259" w:rsidRPr="00CD7E52" w:rsidRDefault="00C60259" w:rsidP="00686BBB">
            <w:pPr>
              <w:pStyle w:val="TableParagraph"/>
              <w:kinsoku w:val="0"/>
              <w:overflowPunct w:val="0"/>
              <w:rPr>
                <w:spacing w:val="-2"/>
                <w:sz w:val="22"/>
                <w:szCs w:val="22"/>
              </w:rPr>
            </w:pPr>
            <w:r w:rsidRPr="00CD7E52">
              <w:rPr>
                <w:sz w:val="22"/>
                <w:szCs w:val="22"/>
              </w:rPr>
              <w:t>10</w:t>
            </w:r>
            <w:r w:rsidRPr="00CD7E52">
              <w:rPr>
                <w:spacing w:val="-3"/>
                <w:sz w:val="22"/>
                <w:szCs w:val="22"/>
              </w:rPr>
              <w:t> mg</w:t>
            </w:r>
            <w:r>
              <w:rPr>
                <w:spacing w:val="-3"/>
                <w:sz w:val="22"/>
                <w:szCs w:val="22"/>
              </w:rPr>
              <w:t xml:space="preserve"> </w:t>
            </w:r>
            <w:r w:rsidRPr="00CD7E52">
              <w:rPr>
                <w:spacing w:val="-2"/>
                <w:sz w:val="22"/>
                <w:szCs w:val="22"/>
              </w:rPr>
              <w:t>(rausva)</w:t>
            </w:r>
          </w:p>
        </w:tc>
        <w:tc>
          <w:tcPr>
            <w:tcW w:w="2197" w:type="dxa"/>
            <w:tcBorders>
              <w:top w:val="single" w:sz="4" w:space="0" w:color="000000"/>
              <w:left w:val="single" w:sz="4" w:space="0" w:color="000000"/>
              <w:bottom w:val="single" w:sz="4" w:space="0" w:color="000000"/>
              <w:right w:val="single" w:sz="2" w:space="0" w:color="auto"/>
            </w:tcBorders>
          </w:tcPr>
          <w:p w14:paraId="1459F1DE" w14:textId="77777777" w:rsidR="00C60259" w:rsidRPr="00CD7E52" w:rsidRDefault="00C60259" w:rsidP="00686BBB">
            <w:pPr>
              <w:pStyle w:val="TableParagraph"/>
              <w:kinsoku w:val="0"/>
              <w:overflowPunct w:val="0"/>
              <w:rPr>
                <w:spacing w:val="-2"/>
                <w:sz w:val="22"/>
                <w:szCs w:val="22"/>
              </w:rPr>
            </w:pPr>
            <w:r w:rsidRPr="00CD7E52">
              <w:rPr>
                <w:sz w:val="22"/>
                <w:szCs w:val="22"/>
              </w:rPr>
              <w:t>20</w:t>
            </w:r>
            <w:r w:rsidRPr="00CD7E52">
              <w:rPr>
                <w:spacing w:val="-3"/>
                <w:sz w:val="22"/>
                <w:szCs w:val="22"/>
              </w:rPr>
              <w:t> mg</w:t>
            </w:r>
            <w:r>
              <w:rPr>
                <w:spacing w:val="-3"/>
                <w:sz w:val="22"/>
                <w:szCs w:val="22"/>
              </w:rPr>
              <w:t xml:space="preserve"> </w:t>
            </w:r>
            <w:r w:rsidRPr="00CD7E52">
              <w:rPr>
                <w:spacing w:val="-2"/>
                <w:sz w:val="22"/>
                <w:szCs w:val="22"/>
              </w:rPr>
              <w:t>(ruda)</w:t>
            </w:r>
          </w:p>
        </w:tc>
        <w:tc>
          <w:tcPr>
            <w:tcW w:w="2198" w:type="dxa"/>
            <w:tcBorders>
              <w:top w:val="single" w:sz="4" w:space="0" w:color="000000"/>
              <w:left w:val="single" w:sz="2" w:space="0" w:color="auto"/>
              <w:bottom w:val="single" w:sz="4" w:space="0" w:color="000000"/>
              <w:right w:val="single" w:sz="2" w:space="0" w:color="auto"/>
            </w:tcBorders>
            <w:shd w:val="clear" w:color="auto" w:fill="EAEAEA"/>
          </w:tcPr>
          <w:p w14:paraId="59A087D2" w14:textId="77777777" w:rsidR="00C60259" w:rsidRPr="00CD7E52" w:rsidRDefault="00C60259" w:rsidP="00686BBB">
            <w:pPr>
              <w:pStyle w:val="TableParagraph"/>
              <w:kinsoku w:val="0"/>
              <w:overflowPunct w:val="0"/>
              <w:rPr>
                <w:spacing w:val="-5"/>
                <w:sz w:val="22"/>
                <w:szCs w:val="22"/>
              </w:rPr>
            </w:pPr>
            <w:r w:rsidRPr="00CD7E52">
              <w:rPr>
                <w:sz w:val="22"/>
                <w:szCs w:val="22"/>
              </w:rPr>
              <w:t>30</w:t>
            </w:r>
            <w:r w:rsidRPr="00CD7E52">
              <w:rPr>
                <w:spacing w:val="-3"/>
                <w:sz w:val="22"/>
                <w:szCs w:val="22"/>
              </w:rPr>
              <w:t> mg</w:t>
            </w:r>
          </w:p>
        </w:tc>
      </w:tr>
      <w:tr w:rsidR="00C60259" w:rsidRPr="00CD7E52" w14:paraId="54815E22" w14:textId="77777777" w:rsidTr="00686BBB">
        <w:trPr>
          <w:trHeight w:val="254"/>
        </w:trPr>
        <w:tc>
          <w:tcPr>
            <w:tcW w:w="2197" w:type="dxa"/>
            <w:tcBorders>
              <w:top w:val="single" w:sz="4" w:space="0" w:color="000000"/>
              <w:left w:val="single" w:sz="2" w:space="0" w:color="auto"/>
              <w:bottom w:val="single" w:sz="4" w:space="0" w:color="000000"/>
              <w:right w:val="single" w:sz="2" w:space="0" w:color="auto"/>
            </w:tcBorders>
            <w:shd w:val="clear" w:color="auto" w:fill="EAEAEA"/>
          </w:tcPr>
          <w:p w14:paraId="2BEC9710" w14:textId="77777777" w:rsidR="00C60259" w:rsidRPr="00CD7E52" w:rsidRDefault="00C60259" w:rsidP="00686BBB">
            <w:pPr>
              <w:pStyle w:val="TableParagraph"/>
              <w:kinsoku w:val="0"/>
              <w:overflowPunct w:val="0"/>
              <w:rPr>
                <w:b/>
                <w:bCs/>
                <w:spacing w:val="-2"/>
                <w:sz w:val="22"/>
                <w:szCs w:val="22"/>
              </w:rPr>
            </w:pPr>
            <w:r w:rsidRPr="00CD7E52">
              <w:rPr>
                <w:b/>
                <w:bCs/>
                <w:sz w:val="22"/>
                <w:szCs w:val="22"/>
              </w:rPr>
              <w:t>4 </w:t>
            </w:r>
            <w:r w:rsidRPr="00CD7E52">
              <w:rPr>
                <w:b/>
                <w:bCs/>
                <w:spacing w:val="-2"/>
                <w:sz w:val="22"/>
                <w:szCs w:val="22"/>
              </w:rPr>
              <w:t>diena</w:t>
            </w:r>
          </w:p>
        </w:tc>
        <w:tc>
          <w:tcPr>
            <w:tcW w:w="2197" w:type="dxa"/>
            <w:tcBorders>
              <w:top w:val="single" w:sz="4" w:space="0" w:color="000000"/>
              <w:left w:val="single" w:sz="2" w:space="0" w:color="auto"/>
              <w:bottom w:val="single" w:sz="4" w:space="0" w:color="000000"/>
              <w:right w:val="single" w:sz="4" w:space="0" w:color="000000"/>
            </w:tcBorders>
          </w:tcPr>
          <w:p w14:paraId="2E6C1C9A" w14:textId="77777777" w:rsidR="00C60259" w:rsidRPr="00CD7E52" w:rsidRDefault="00C60259" w:rsidP="00686BBB">
            <w:pPr>
              <w:pStyle w:val="TableParagraph"/>
              <w:kinsoku w:val="0"/>
              <w:overflowPunct w:val="0"/>
              <w:rPr>
                <w:spacing w:val="-2"/>
                <w:sz w:val="22"/>
                <w:szCs w:val="22"/>
              </w:rPr>
            </w:pPr>
            <w:r w:rsidRPr="00CD7E52">
              <w:rPr>
                <w:sz w:val="22"/>
                <w:szCs w:val="22"/>
              </w:rPr>
              <w:t>20</w:t>
            </w:r>
            <w:r w:rsidRPr="00CD7E52">
              <w:rPr>
                <w:spacing w:val="-3"/>
                <w:sz w:val="22"/>
                <w:szCs w:val="22"/>
              </w:rPr>
              <w:t> mg</w:t>
            </w:r>
            <w:r>
              <w:rPr>
                <w:spacing w:val="-3"/>
                <w:sz w:val="22"/>
                <w:szCs w:val="22"/>
              </w:rPr>
              <w:t xml:space="preserve"> </w:t>
            </w:r>
            <w:r w:rsidRPr="00CD7E52">
              <w:rPr>
                <w:spacing w:val="-2"/>
                <w:sz w:val="22"/>
                <w:szCs w:val="22"/>
              </w:rPr>
              <w:t>(ruda)</w:t>
            </w:r>
          </w:p>
        </w:tc>
        <w:tc>
          <w:tcPr>
            <w:tcW w:w="2197" w:type="dxa"/>
            <w:tcBorders>
              <w:top w:val="single" w:sz="4" w:space="0" w:color="000000"/>
              <w:left w:val="single" w:sz="4" w:space="0" w:color="000000"/>
              <w:bottom w:val="single" w:sz="4" w:space="0" w:color="000000"/>
              <w:right w:val="single" w:sz="2" w:space="0" w:color="auto"/>
            </w:tcBorders>
          </w:tcPr>
          <w:p w14:paraId="049206FB" w14:textId="77777777" w:rsidR="00C60259" w:rsidRPr="00CD7E52" w:rsidRDefault="00C60259" w:rsidP="00686BBB">
            <w:pPr>
              <w:pStyle w:val="TableParagraph"/>
              <w:kinsoku w:val="0"/>
              <w:overflowPunct w:val="0"/>
              <w:rPr>
                <w:spacing w:val="-2"/>
                <w:sz w:val="22"/>
                <w:szCs w:val="22"/>
              </w:rPr>
            </w:pPr>
            <w:r w:rsidRPr="00CD7E52">
              <w:rPr>
                <w:sz w:val="22"/>
                <w:szCs w:val="22"/>
              </w:rPr>
              <w:t>20</w:t>
            </w:r>
            <w:r w:rsidRPr="00CD7E52">
              <w:rPr>
                <w:spacing w:val="-3"/>
                <w:sz w:val="22"/>
                <w:szCs w:val="22"/>
              </w:rPr>
              <w:t> mg</w:t>
            </w:r>
            <w:r>
              <w:rPr>
                <w:spacing w:val="-3"/>
                <w:sz w:val="22"/>
                <w:szCs w:val="22"/>
              </w:rPr>
              <w:t xml:space="preserve"> </w:t>
            </w:r>
            <w:r w:rsidRPr="00CD7E52">
              <w:rPr>
                <w:spacing w:val="-2"/>
                <w:sz w:val="22"/>
                <w:szCs w:val="22"/>
              </w:rPr>
              <w:t>(ruda)</w:t>
            </w:r>
          </w:p>
        </w:tc>
        <w:tc>
          <w:tcPr>
            <w:tcW w:w="2198" w:type="dxa"/>
            <w:tcBorders>
              <w:top w:val="single" w:sz="4" w:space="0" w:color="000000"/>
              <w:left w:val="single" w:sz="2" w:space="0" w:color="auto"/>
              <w:bottom w:val="single" w:sz="4" w:space="0" w:color="000000"/>
              <w:right w:val="single" w:sz="2" w:space="0" w:color="auto"/>
            </w:tcBorders>
            <w:shd w:val="clear" w:color="auto" w:fill="EAEAEA"/>
          </w:tcPr>
          <w:p w14:paraId="71228626" w14:textId="77777777" w:rsidR="00C60259" w:rsidRPr="00CD7E52" w:rsidRDefault="00C60259" w:rsidP="00686BBB">
            <w:pPr>
              <w:pStyle w:val="TableParagraph"/>
              <w:kinsoku w:val="0"/>
              <w:overflowPunct w:val="0"/>
              <w:rPr>
                <w:spacing w:val="-5"/>
                <w:sz w:val="22"/>
                <w:szCs w:val="22"/>
              </w:rPr>
            </w:pPr>
            <w:r w:rsidRPr="00CD7E52">
              <w:rPr>
                <w:sz w:val="22"/>
                <w:szCs w:val="22"/>
              </w:rPr>
              <w:t>40</w:t>
            </w:r>
            <w:r w:rsidRPr="00CD7E52">
              <w:rPr>
                <w:spacing w:val="-3"/>
                <w:sz w:val="22"/>
                <w:szCs w:val="22"/>
              </w:rPr>
              <w:t> mg</w:t>
            </w:r>
          </w:p>
        </w:tc>
      </w:tr>
      <w:tr w:rsidR="00C60259" w:rsidRPr="00CD7E52" w14:paraId="5DB6ED3B" w14:textId="77777777" w:rsidTr="00686BBB">
        <w:trPr>
          <w:trHeight w:val="255"/>
        </w:trPr>
        <w:tc>
          <w:tcPr>
            <w:tcW w:w="2197" w:type="dxa"/>
            <w:tcBorders>
              <w:top w:val="single" w:sz="4" w:space="0" w:color="000000"/>
              <w:left w:val="single" w:sz="2" w:space="0" w:color="auto"/>
              <w:bottom w:val="single" w:sz="4" w:space="0" w:color="000000"/>
              <w:right w:val="single" w:sz="2" w:space="0" w:color="auto"/>
            </w:tcBorders>
            <w:shd w:val="clear" w:color="auto" w:fill="EAEAEA"/>
          </w:tcPr>
          <w:p w14:paraId="020521C9" w14:textId="77777777" w:rsidR="00C60259" w:rsidRPr="00CD7E52" w:rsidRDefault="00C60259" w:rsidP="00686BBB">
            <w:pPr>
              <w:pStyle w:val="TableParagraph"/>
              <w:kinsoku w:val="0"/>
              <w:overflowPunct w:val="0"/>
              <w:rPr>
                <w:b/>
                <w:bCs/>
                <w:spacing w:val="-2"/>
                <w:sz w:val="22"/>
                <w:szCs w:val="22"/>
              </w:rPr>
            </w:pPr>
            <w:r w:rsidRPr="00CD7E52">
              <w:rPr>
                <w:b/>
                <w:bCs/>
                <w:sz w:val="22"/>
                <w:szCs w:val="22"/>
              </w:rPr>
              <w:t>5 </w:t>
            </w:r>
            <w:r w:rsidRPr="00CD7E52">
              <w:rPr>
                <w:b/>
                <w:bCs/>
                <w:spacing w:val="-2"/>
                <w:sz w:val="22"/>
                <w:szCs w:val="22"/>
              </w:rPr>
              <w:t>diena</w:t>
            </w:r>
          </w:p>
        </w:tc>
        <w:tc>
          <w:tcPr>
            <w:tcW w:w="2197" w:type="dxa"/>
            <w:tcBorders>
              <w:top w:val="single" w:sz="4" w:space="0" w:color="000000"/>
              <w:left w:val="single" w:sz="2" w:space="0" w:color="auto"/>
              <w:bottom w:val="single" w:sz="4" w:space="0" w:color="000000"/>
              <w:right w:val="single" w:sz="4" w:space="0" w:color="000000"/>
            </w:tcBorders>
          </w:tcPr>
          <w:p w14:paraId="19EDD0EC" w14:textId="77777777" w:rsidR="00C60259" w:rsidRPr="00CD7E52" w:rsidRDefault="00C60259" w:rsidP="00686BBB">
            <w:pPr>
              <w:pStyle w:val="TableParagraph"/>
              <w:kinsoku w:val="0"/>
              <w:overflowPunct w:val="0"/>
              <w:rPr>
                <w:spacing w:val="-2"/>
                <w:sz w:val="22"/>
                <w:szCs w:val="22"/>
              </w:rPr>
            </w:pPr>
            <w:r w:rsidRPr="00CD7E52">
              <w:rPr>
                <w:sz w:val="22"/>
                <w:szCs w:val="22"/>
              </w:rPr>
              <w:t>20</w:t>
            </w:r>
            <w:r w:rsidRPr="00CD7E52">
              <w:rPr>
                <w:spacing w:val="-3"/>
                <w:sz w:val="22"/>
                <w:szCs w:val="22"/>
              </w:rPr>
              <w:t> mg</w:t>
            </w:r>
            <w:r>
              <w:rPr>
                <w:spacing w:val="-3"/>
                <w:sz w:val="22"/>
                <w:szCs w:val="22"/>
              </w:rPr>
              <w:t xml:space="preserve"> </w:t>
            </w:r>
            <w:r w:rsidRPr="00CD7E52">
              <w:rPr>
                <w:spacing w:val="-2"/>
                <w:sz w:val="22"/>
                <w:szCs w:val="22"/>
              </w:rPr>
              <w:t>(ruda)</w:t>
            </w:r>
          </w:p>
        </w:tc>
        <w:tc>
          <w:tcPr>
            <w:tcW w:w="2197" w:type="dxa"/>
            <w:tcBorders>
              <w:top w:val="single" w:sz="4" w:space="0" w:color="000000"/>
              <w:left w:val="single" w:sz="4" w:space="0" w:color="000000"/>
              <w:bottom w:val="single" w:sz="4" w:space="0" w:color="000000"/>
              <w:right w:val="single" w:sz="2" w:space="0" w:color="auto"/>
            </w:tcBorders>
          </w:tcPr>
          <w:p w14:paraId="5374AA5A" w14:textId="77777777" w:rsidR="00C60259" w:rsidRPr="00CD7E52" w:rsidRDefault="00C60259" w:rsidP="00686BBB">
            <w:pPr>
              <w:pStyle w:val="TableParagraph"/>
              <w:kinsoku w:val="0"/>
              <w:overflowPunct w:val="0"/>
              <w:rPr>
                <w:spacing w:val="-2"/>
                <w:sz w:val="22"/>
                <w:szCs w:val="22"/>
              </w:rPr>
            </w:pPr>
            <w:r>
              <w:rPr>
                <w:sz w:val="22"/>
                <w:szCs w:val="22"/>
              </w:rPr>
              <w:t>3</w:t>
            </w:r>
            <w:r w:rsidRPr="00CD7E52">
              <w:rPr>
                <w:sz w:val="22"/>
                <w:szCs w:val="22"/>
              </w:rPr>
              <w:t>0</w:t>
            </w:r>
            <w:r w:rsidRPr="00CD7E52">
              <w:rPr>
                <w:spacing w:val="-5"/>
                <w:sz w:val="22"/>
                <w:szCs w:val="22"/>
              </w:rPr>
              <w:t> mg</w:t>
            </w:r>
            <w:r>
              <w:rPr>
                <w:spacing w:val="-5"/>
                <w:sz w:val="22"/>
                <w:szCs w:val="22"/>
              </w:rPr>
              <w:t xml:space="preserve"> </w:t>
            </w:r>
            <w:r w:rsidRPr="00CD7E52">
              <w:rPr>
                <w:sz w:val="22"/>
                <w:szCs w:val="22"/>
              </w:rPr>
              <w:t>(rusvai gelsva</w:t>
            </w:r>
            <w:r w:rsidRPr="00CD7E52">
              <w:rPr>
                <w:spacing w:val="-2"/>
                <w:sz w:val="22"/>
                <w:szCs w:val="22"/>
              </w:rPr>
              <w:t>)</w:t>
            </w:r>
          </w:p>
        </w:tc>
        <w:tc>
          <w:tcPr>
            <w:tcW w:w="2198" w:type="dxa"/>
            <w:tcBorders>
              <w:top w:val="single" w:sz="4" w:space="0" w:color="000000"/>
              <w:left w:val="single" w:sz="2" w:space="0" w:color="auto"/>
              <w:bottom w:val="single" w:sz="4" w:space="0" w:color="000000"/>
              <w:right w:val="single" w:sz="2" w:space="0" w:color="auto"/>
            </w:tcBorders>
            <w:shd w:val="clear" w:color="auto" w:fill="EAEAEA"/>
          </w:tcPr>
          <w:p w14:paraId="3DB82D84" w14:textId="77777777" w:rsidR="00C60259" w:rsidRPr="00CD7E52" w:rsidRDefault="00C60259" w:rsidP="00686BBB">
            <w:pPr>
              <w:pStyle w:val="TableParagraph"/>
              <w:kinsoku w:val="0"/>
              <w:overflowPunct w:val="0"/>
              <w:rPr>
                <w:spacing w:val="-5"/>
                <w:sz w:val="22"/>
                <w:szCs w:val="22"/>
              </w:rPr>
            </w:pPr>
            <w:r>
              <w:rPr>
                <w:sz w:val="22"/>
                <w:szCs w:val="22"/>
              </w:rPr>
              <w:t>5</w:t>
            </w:r>
            <w:r w:rsidRPr="00CD7E52">
              <w:rPr>
                <w:sz w:val="22"/>
                <w:szCs w:val="22"/>
              </w:rPr>
              <w:t>0</w:t>
            </w:r>
            <w:r w:rsidRPr="00CD7E52">
              <w:rPr>
                <w:spacing w:val="-3"/>
                <w:sz w:val="22"/>
                <w:szCs w:val="22"/>
              </w:rPr>
              <w:t> mg</w:t>
            </w:r>
          </w:p>
        </w:tc>
      </w:tr>
      <w:tr w:rsidR="00C60259" w:rsidRPr="00CD7E52" w14:paraId="509BE8E0" w14:textId="77777777" w:rsidTr="00686BBB">
        <w:trPr>
          <w:trHeight w:val="255"/>
        </w:trPr>
        <w:tc>
          <w:tcPr>
            <w:tcW w:w="2197" w:type="dxa"/>
            <w:tcBorders>
              <w:top w:val="single" w:sz="4" w:space="0" w:color="000000"/>
              <w:left w:val="single" w:sz="2" w:space="0" w:color="auto"/>
              <w:bottom w:val="single" w:sz="2" w:space="0" w:color="auto"/>
              <w:right w:val="single" w:sz="2" w:space="0" w:color="auto"/>
            </w:tcBorders>
            <w:shd w:val="clear" w:color="auto" w:fill="EAEAEA"/>
          </w:tcPr>
          <w:p w14:paraId="4DB7C6D3" w14:textId="77777777" w:rsidR="00C60259" w:rsidRPr="00CD7E52" w:rsidRDefault="00C60259" w:rsidP="00686BBB">
            <w:pPr>
              <w:pStyle w:val="TableParagraph"/>
              <w:kinsoku w:val="0"/>
              <w:overflowPunct w:val="0"/>
              <w:rPr>
                <w:b/>
                <w:bCs/>
                <w:spacing w:val="-2"/>
                <w:sz w:val="22"/>
                <w:szCs w:val="22"/>
              </w:rPr>
            </w:pPr>
            <w:r w:rsidRPr="00CD7E52">
              <w:rPr>
                <w:b/>
                <w:bCs/>
                <w:sz w:val="22"/>
                <w:szCs w:val="22"/>
              </w:rPr>
              <w:lastRenderedPageBreak/>
              <w:t>Nuo</w:t>
            </w:r>
            <w:r w:rsidRPr="00CD7E52">
              <w:rPr>
                <w:b/>
                <w:bCs/>
                <w:spacing w:val="-3"/>
                <w:sz w:val="22"/>
                <w:szCs w:val="22"/>
              </w:rPr>
              <w:t xml:space="preserve"> </w:t>
            </w:r>
            <w:r w:rsidRPr="00CD7E52">
              <w:rPr>
                <w:b/>
                <w:bCs/>
                <w:sz w:val="22"/>
                <w:szCs w:val="22"/>
              </w:rPr>
              <w:t>6 </w:t>
            </w:r>
            <w:r w:rsidRPr="00CD7E52">
              <w:rPr>
                <w:b/>
                <w:bCs/>
                <w:spacing w:val="-2"/>
                <w:sz w:val="22"/>
                <w:szCs w:val="22"/>
              </w:rPr>
              <w:t>dienos</w:t>
            </w:r>
          </w:p>
        </w:tc>
        <w:tc>
          <w:tcPr>
            <w:tcW w:w="2197" w:type="dxa"/>
            <w:tcBorders>
              <w:top w:val="single" w:sz="4" w:space="0" w:color="000000"/>
              <w:left w:val="single" w:sz="2" w:space="0" w:color="auto"/>
              <w:bottom w:val="single" w:sz="2" w:space="0" w:color="auto"/>
              <w:right w:val="single" w:sz="4" w:space="0" w:color="000000"/>
            </w:tcBorders>
          </w:tcPr>
          <w:p w14:paraId="1E53770E" w14:textId="77777777" w:rsidR="00C60259" w:rsidRPr="00CD7E52" w:rsidRDefault="00C60259" w:rsidP="00686BBB">
            <w:pPr>
              <w:pStyle w:val="TableParagraph"/>
              <w:kinsoku w:val="0"/>
              <w:overflowPunct w:val="0"/>
              <w:rPr>
                <w:spacing w:val="-2"/>
                <w:sz w:val="22"/>
                <w:szCs w:val="22"/>
              </w:rPr>
            </w:pPr>
            <w:r>
              <w:rPr>
                <w:sz w:val="22"/>
                <w:szCs w:val="22"/>
              </w:rPr>
              <w:t>3</w:t>
            </w:r>
            <w:r w:rsidRPr="00CD7E52">
              <w:rPr>
                <w:sz w:val="22"/>
                <w:szCs w:val="22"/>
              </w:rPr>
              <w:t>0</w:t>
            </w:r>
            <w:r w:rsidRPr="00CD7E52">
              <w:rPr>
                <w:spacing w:val="-5"/>
                <w:sz w:val="22"/>
                <w:szCs w:val="22"/>
              </w:rPr>
              <w:t> mg</w:t>
            </w:r>
            <w:r>
              <w:rPr>
                <w:spacing w:val="-5"/>
                <w:sz w:val="22"/>
                <w:szCs w:val="22"/>
              </w:rPr>
              <w:t xml:space="preserve"> </w:t>
            </w:r>
            <w:r w:rsidRPr="00CD7E52">
              <w:rPr>
                <w:sz w:val="22"/>
                <w:szCs w:val="22"/>
              </w:rPr>
              <w:t>(rusvai gelsva</w:t>
            </w:r>
            <w:r w:rsidRPr="00CD7E52">
              <w:rPr>
                <w:spacing w:val="-2"/>
                <w:sz w:val="22"/>
                <w:szCs w:val="22"/>
              </w:rPr>
              <w:t>)</w:t>
            </w:r>
          </w:p>
        </w:tc>
        <w:tc>
          <w:tcPr>
            <w:tcW w:w="2197" w:type="dxa"/>
            <w:tcBorders>
              <w:top w:val="single" w:sz="4" w:space="0" w:color="000000"/>
              <w:left w:val="single" w:sz="4" w:space="0" w:color="000000"/>
              <w:bottom w:val="single" w:sz="2" w:space="0" w:color="auto"/>
              <w:right w:val="single" w:sz="2" w:space="0" w:color="auto"/>
            </w:tcBorders>
          </w:tcPr>
          <w:p w14:paraId="030B04DE" w14:textId="77777777" w:rsidR="00C60259" w:rsidRPr="00CD7E52" w:rsidRDefault="00C60259" w:rsidP="00686BBB">
            <w:pPr>
              <w:pStyle w:val="TableParagraph"/>
              <w:kinsoku w:val="0"/>
              <w:overflowPunct w:val="0"/>
              <w:rPr>
                <w:spacing w:val="-2"/>
                <w:sz w:val="22"/>
                <w:szCs w:val="22"/>
              </w:rPr>
            </w:pPr>
            <w:r>
              <w:rPr>
                <w:sz w:val="22"/>
                <w:szCs w:val="22"/>
              </w:rPr>
              <w:t>3</w:t>
            </w:r>
            <w:r w:rsidRPr="00CD7E52">
              <w:rPr>
                <w:sz w:val="22"/>
                <w:szCs w:val="22"/>
              </w:rPr>
              <w:t>0</w:t>
            </w:r>
            <w:r w:rsidRPr="00CD7E52">
              <w:rPr>
                <w:spacing w:val="-5"/>
                <w:sz w:val="22"/>
                <w:szCs w:val="22"/>
              </w:rPr>
              <w:t> mg</w:t>
            </w:r>
            <w:r>
              <w:rPr>
                <w:spacing w:val="-5"/>
                <w:sz w:val="22"/>
                <w:szCs w:val="22"/>
              </w:rPr>
              <w:t xml:space="preserve"> </w:t>
            </w:r>
            <w:r w:rsidRPr="00CD7E52">
              <w:rPr>
                <w:sz w:val="22"/>
                <w:szCs w:val="22"/>
              </w:rPr>
              <w:t>(rusvai gelsva</w:t>
            </w:r>
            <w:r w:rsidRPr="00CD7E52">
              <w:rPr>
                <w:spacing w:val="-2"/>
                <w:sz w:val="22"/>
                <w:szCs w:val="22"/>
              </w:rPr>
              <w:t>)</w:t>
            </w:r>
          </w:p>
        </w:tc>
        <w:tc>
          <w:tcPr>
            <w:tcW w:w="2198" w:type="dxa"/>
            <w:tcBorders>
              <w:top w:val="single" w:sz="4" w:space="0" w:color="000000"/>
              <w:left w:val="single" w:sz="2" w:space="0" w:color="auto"/>
              <w:bottom w:val="single" w:sz="2" w:space="0" w:color="auto"/>
              <w:right w:val="single" w:sz="2" w:space="0" w:color="auto"/>
            </w:tcBorders>
            <w:shd w:val="clear" w:color="auto" w:fill="EAEAEA"/>
          </w:tcPr>
          <w:p w14:paraId="58C675A4" w14:textId="77777777" w:rsidR="00C60259" w:rsidRPr="00CD7E52" w:rsidRDefault="00C60259" w:rsidP="00686BBB">
            <w:pPr>
              <w:pStyle w:val="TableParagraph"/>
              <w:kinsoku w:val="0"/>
              <w:overflowPunct w:val="0"/>
              <w:rPr>
                <w:spacing w:val="-5"/>
                <w:sz w:val="22"/>
                <w:szCs w:val="22"/>
              </w:rPr>
            </w:pPr>
            <w:r>
              <w:rPr>
                <w:sz w:val="22"/>
                <w:szCs w:val="22"/>
              </w:rPr>
              <w:t>6</w:t>
            </w:r>
            <w:r w:rsidRPr="00CD7E52">
              <w:rPr>
                <w:sz w:val="22"/>
                <w:szCs w:val="22"/>
              </w:rPr>
              <w:t>0</w:t>
            </w:r>
            <w:r w:rsidRPr="00CD7E52">
              <w:rPr>
                <w:spacing w:val="-3"/>
                <w:sz w:val="22"/>
                <w:szCs w:val="22"/>
              </w:rPr>
              <w:t> mg</w:t>
            </w:r>
          </w:p>
        </w:tc>
      </w:tr>
    </w:tbl>
    <w:p w14:paraId="0841B11F" w14:textId="77777777" w:rsidR="00C60259" w:rsidRPr="00CD7E52" w:rsidRDefault="00C60259" w:rsidP="00250DDA">
      <w:pPr>
        <w:widowControl w:val="0"/>
        <w:tabs>
          <w:tab w:val="clear" w:pos="567"/>
        </w:tabs>
        <w:autoSpaceDE w:val="0"/>
        <w:autoSpaceDN w:val="0"/>
        <w:adjustRightInd w:val="0"/>
        <w:spacing w:line="240" w:lineRule="auto"/>
        <w:rPr>
          <w:szCs w:val="22"/>
          <w:lang w:val="lt-LT"/>
        </w:rPr>
      </w:pPr>
    </w:p>
    <w:p w14:paraId="5B349A46" w14:textId="77777777" w:rsidR="00666C27" w:rsidRPr="00CD7E52" w:rsidRDefault="00C60259" w:rsidP="00BD0220">
      <w:pPr>
        <w:widowControl w:val="0"/>
        <w:tabs>
          <w:tab w:val="clear" w:pos="567"/>
        </w:tabs>
        <w:autoSpaceDE w:val="0"/>
        <w:autoSpaceDN w:val="0"/>
        <w:adjustRightInd w:val="0"/>
        <w:spacing w:line="240" w:lineRule="auto"/>
        <w:rPr>
          <w:szCs w:val="22"/>
          <w:lang w:val="lt-LT"/>
        </w:rPr>
      </w:pPr>
      <w:r w:rsidRPr="00C60259">
        <w:rPr>
          <w:b/>
          <w:szCs w:val="22"/>
          <w:lang w:val="lt-LT"/>
        </w:rPr>
        <w:t>Pacientai</w:t>
      </w:r>
      <w:r w:rsidR="00666C27" w:rsidRPr="00CD7E52">
        <w:rPr>
          <w:b/>
          <w:szCs w:val="22"/>
          <w:lang w:val="lt-LT"/>
        </w:rPr>
        <w:t>, kuriems yra sunkių inkstų sutrikimų</w:t>
      </w:r>
    </w:p>
    <w:p w14:paraId="0C0F491F" w14:textId="77777777" w:rsidR="00C60259" w:rsidRDefault="00666C27"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Jeigu </w:t>
      </w:r>
      <w:r w:rsidR="00C60259" w:rsidRPr="00C60259">
        <w:rPr>
          <w:szCs w:val="22"/>
          <w:lang w:val="lt-LT"/>
        </w:rPr>
        <w:t xml:space="preserve">esate suaugusysis ir </w:t>
      </w:r>
      <w:r w:rsidRPr="00CD7E52">
        <w:rPr>
          <w:szCs w:val="22"/>
          <w:lang w:val="lt-LT"/>
        </w:rPr>
        <w:t xml:space="preserve">Jums yra sunkių inkstų sutrikimų, rekomenduojama </w:t>
      </w:r>
      <w:r w:rsidR="005A4193" w:rsidRPr="00CD7E52">
        <w:rPr>
          <w:szCs w:val="22"/>
          <w:lang w:val="lt-LT"/>
        </w:rPr>
        <w:t>Apremilast STADA</w:t>
      </w:r>
      <w:r w:rsidRPr="00CD7E52">
        <w:rPr>
          <w:szCs w:val="22"/>
          <w:lang w:val="lt-LT"/>
        </w:rPr>
        <w:t xml:space="preserve"> dozė yra 30</w:t>
      </w:r>
      <w:r w:rsidR="00A87582" w:rsidRPr="00CD7E52">
        <w:rPr>
          <w:szCs w:val="22"/>
          <w:lang w:val="lt-LT"/>
        </w:rPr>
        <w:t> mg</w:t>
      </w:r>
      <w:r w:rsidRPr="00CD7E52">
        <w:rPr>
          <w:szCs w:val="22"/>
          <w:lang w:val="lt-LT"/>
        </w:rPr>
        <w:t xml:space="preserve"> </w:t>
      </w:r>
      <w:r w:rsidR="0026643B" w:rsidRPr="00CD7E52">
        <w:rPr>
          <w:b/>
          <w:bCs/>
          <w:szCs w:val="22"/>
          <w:lang w:val="lt-LT"/>
        </w:rPr>
        <w:t xml:space="preserve">vieną </w:t>
      </w:r>
      <w:r w:rsidRPr="00CD7E52">
        <w:rPr>
          <w:b/>
          <w:bCs/>
          <w:szCs w:val="22"/>
          <w:lang w:val="lt-LT"/>
        </w:rPr>
        <w:t>kartą per parą (rytinė</w:t>
      </w:r>
      <w:r w:rsidR="00AC2491" w:rsidRPr="00CD7E52">
        <w:rPr>
          <w:b/>
          <w:bCs/>
          <w:szCs w:val="22"/>
          <w:lang w:val="lt-LT"/>
        </w:rPr>
        <w:t xml:space="preserve"> </w:t>
      </w:r>
      <w:r w:rsidRPr="00CD7E52">
        <w:rPr>
          <w:b/>
          <w:bCs/>
          <w:szCs w:val="22"/>
          <w:lang w:val="lt-LT"/>
        </w:rPr>
        <w:t>dozė)</w:t>
      </w:r>
      <w:r w:rsidRPr="00CD7E52">
        <w:rPr>
          <w:szCs w:val="22"/>
          <w:lang w:val="lt-LT"/>
        </w:rPr>
        <w:t>.</w:t>
      </w:r>
    </w:p>
    <w:p w14:paraId="4174EDFF" w14:textId="77777777" w:rsidR="00C60259" w:rsidRDefault="00C60259" w:rsidP="00BD0220">
      <w:pPr>
        <w:widowControl w:val="0"/>
        <w:tabs>
          <w:tab w:val="clear" w:pos="567"/>
        </w:tabs>
        <w:autoSpaceDE w:val="0"/>
        <w:autoSpaceDN w:val="0"/>
        <w:adjustRightInd w:val="0"/>
        <w:spacing w:line="240" w:lineRule="auto"/>
        <w:rPr>
          <w:szCs w:val="22"/>
          <w:lang w:val="lt-LT"/>
        </w:rPr>
      </w:pPr>
    </w:p>
    <w:p w14:paraId="3DDB3145" w14:textId="77777777" w:rsidR="00C60259" w:rsidRDefault="00C60259" w:rsidP="00C60259">
      <w:pPr>
        <w:widowControl w:val="0"/>
        <w:tabs>
          <w:tab w:val="clear" w:pos="567"/>
        </w:tabs>
        <w:autoSpaceDE w:val="0"/>
        <w:autoSpaceDN w:val="0"/>
        <w:adjustRightInd w:val="0"/>
        <w:spacing w:line="240" w:lineRule="auto"/>
        <w:rPr>
          <w:szCs w:val="22"/>
          <w:lang w:val="lt-LT"/>
        </w:rPr>
      </w:pPr>
      <w:r w:rsidRPr="00C60259">
        <w:rPr>
          <w:szCs w:val="22"/>
          <w:lang w:val="lt-LT"/>
        </w:rPr>
        <w:t>Vaikams ir paaugliams nuo 6</w:t>
      </w:r>
      <w:r>
        <w:rPr>
          <w:szCs w:val="22"/>
          <w:lang w:val="lt-LT"/>
        </w:rPr>
        <w:t> </w:t>
      </w:r>
      <w:r w:rsidRPr="00C60259">
        <w:rPr>
          <w:szCs w:val="22"/>
          <w:lang w:val="lt-LT"/>
        </w:rPr>
        <w:t>metų, kuriems yra sunkių inkstų sutrikimų, sveriantiems ne mažiau kaip 50</w:t>
      </w:r>
      <w:r>
        <w:rPr>
          <w:szCs w:val="22"/>
          <w:lang w:val="lt-LT"/>
        </w:rPr>
        <w:t> </w:t>
      </w:r>
      <w:r w:rsidRPr="00C60259">
        <w:rPr>
          <w:szCs w:val="22"/>
          <w:lang w:val="lt-LT"/>
        </w:rPr>
        <w:t xml:space="preserve">kg, rekomenduojama </w:t>
      </w:r>
      <w:r w:rsidR="00CD56E7" w:rsidRPr="00CD7E52">
        <w:rPr>
          <w:szCs w:val="22"/>
          <w:lang w:val="lt-LT"/>
        </w:rPr>
        <w:t>Apremilast STADA</w:t>
      </w:r>
      <w:r w:rsidRPr="00C60259">
        <w:rPr>
          <w:szCs w:val="22"/>
          <w:lang w:val="lt-LT"/>
        </w:rPr>
        <w:t xml:space="preserve"> dozė yra 30</w:t>
      </w:r>
      <w:r>
        <w:rPr>
          <w:szCs w:val="22"/>
          <w:lang w:val="lt-LT"/>
        </w:rPr>
        <w:t> </w:t>
      </w:r>
      <w:r w:rsidRPr="00C60259">
        <w:rPr>
          <w:szCs w:val="22"/>
          <w:lang w:val="lt-LT"/>
        </w:rPr>
        <w:t xml:space="preserve">mg </w:t>
      </w:r>
      <w:r w:rsidRPr="00DB2543">
        <w:rPr>
          <w:b/>
          <w:bCs/>
          <w:szCs w:val="22"/>
          <w:lang w:val="lt-LT"/>
        </w:rPr>
        <w:t>vieną kartą per parą (rytinė dozė)</w:t>
      </w:r>
      <w:r w:rsidRPr="00C60259">
        <w:rPr>
          <w:szCs w:val="22"/>
          <w:lang w:val="lt-LT"/>
        </w:rPr>
        <w:t>, vaikams, sveriantiems nuo 20</w:t>
      </w:r>
      <w:r>
        <w:rPr>
          <w:szCs w:val="22"/>
          <w:lang w:val="lt-LT"/>
        </w:rPr>
        <w:t> </w:t>
      </w:r>
      <w:r w:rsidRPr="00C60259">
        <w:rPr>
          <w:szCs w:val="22"/>
          <w:lang w:val="lt-LT"/>
        </w:rPr>
        <w:t xml:space="preserve">kg iki </w:t>
      </w:r>
      <w:r w:rsidR="009367CC">
        <w:rPr>
          <w:szCs w:val="22"/>
          <w:lang w:val="lt-LT"/>
        </w:rPr>
        <w:t xml:space="preserve">mažiau nei </w:t>
      </w:r>
      <w:r w:rsidRPr="00C60259">
        <w:rPr>
          <w:szCs w:val="22"/>
          <w:lang w:val="lt-LT"/>
        </w:rPr>
        <w:t>50</w:t>
      </w:r>
      <w:r>
        <w:rPr>
          <w:szCs w:val="22"/>
          <w:lang w:val="lt-LT"/>
        </w:rPr>
        <w:t> </w:t>
      </w:r>
      <w:r w:rsidRPr="00C60259">
        <w:rPr>
          <w:szCs w:val="22"/>
          <w:lang w:val="lt-LT"/>
        </w:rPr>
        <w:t>kg</w:t>
      </w:r>
      <w:r w:rsidR="009367CC">
        <w:rPr>
          <w:szCs w:val="22"/>
          <w:lang w:val="lt-LT"/>
        </w:rPr>
        <w:t>,</w:t>
      </w:r>
      <w:r w:rsidR="006B0972">
        <w:rPr>
          <w:szCs w:val="22"/>
          <w:lang w:val="lt-LT"/>
        </w:rPr>
        <w:t xml:space="preserve"> </w:t>
      </w:r>
      <w:r w:rsidR="006B0972" w:rsidRPr="00C60259">
        <w:rPr>
          <w:szCs w:val="22"/>
          <w:lang w:val="lt-LT"/>
        </w:rPr>
        <w:t xml:space="preserve">rekomenduojama </w:t>
      </w:r>
      <w:r w:rsidR="006B0972">
        <w:rPr>
          <w:szCs w:val="22"/>
          <w:lang w:val="lt-LT"/>
        </w:rPr>
        <w:t>a</w:t>
      </w:r>
      <w:r w:rsidR="006B0972" w:rsidRPr="00CD7E52">
        <w:rPr>
          <w:szCs w:val="22"/>
          <w:lang w:val="lt-LT"/>
        </w:rPr>
        <w:t>premilast</w:t>
      </w:r>
      <w:r w:rsidR="006B0972">
        <w:rPr>
          <w:szCs w:val="22"/>
          <w:lang w:val="lt-LT"/>
        </w:rPr>
        <w:t>o</w:t>
      </w:r>
      <w:r w:rsidR="006B0972" w:rsidRPr="00C60259">
        <w:rPr>
          <w:szCs w:val="22"/>
          <w:lang w:val="lt-LT"/>
        </w:rPr>
        <w:t xml:space="preserve"> dozė yra</w:t>
      </w:r>
      <w:r w:rsidRPr="00C60259">
        <w:rPr>
          <w:szCs w:val="22"/>
          <w:lang w:val="lt-LT"/>
        </w:rPr>
        <w:t xml:space="preserve"> </w:t>
      </w:r>
      <w:r w:rsidRPr="00DB2543">
        <w:rPr>
          <w:b/>
          <w:bCs/>
          <w:szCs w:val="22"/>
          <w:lang w:val="lt-LT"/>
        </w:rPr>
        <w:t>20 mg vieną kartą per parą (rytinė dozė)</w:t>
      </w:r>
      <w:r w:rsidRPr="00C60259">
        <w:rPr>
          <w:szCs w:val="22"/>
          <w:lang w:val="lt-LT"/>
        </w:rPr>
        <w:t>.</w:t>
      </w:r>
    </w:p>
    <w:p w14:paraId="1CFDF18B" w14:textId="77777777" w:rsidR="00C60259" w:rsidRPr="00C60259" w:rsidRDefault="00C60259" w:rsidP="00C60259">
      <w:pPr>
        <w:widowControl w:val="0"/>
        <w:tabs>
          <w:tab w:val="clear" w:pos="567"/>
        </w:tabs>
        <w:autoSpaceDE w:val="0"/>
        <w:autoSpaceDN w:val="0"/>
        <w:adjustRightInd w:val="0"/>
        <w:spacing w:line="240" w:lineRule="auto"/>
        <w:rPr>
          <w:szCs w:val="22"/>
          <w:lang w:val="lt-LT"/>
        </w:rPr>
      </w:pPr>
    </w:p>
    <w:p w14:paraId="5528344A" w14:textId="77777777" w:rsidR="00666C27" w:rsidRPr="00CD7E52" w:rsidRDefault="00666C27" w:rsidP="00BD0220">
      <w:pPr>
        <w:widowControl w:val="0"/>
        <w:tabs>
          <w:tab w:val="clear" w:pos="567"/>
        </w:tabs>
        <w:autoSpaceDE w:val="0"/>
        <w:autoSpaceDN w:val="0"/>
        <w:adjustRightInd w:val="0"/>
        <w:spacing w:line="240" w:lineRule="auto"/>
        <w:rPr>
          <w:szCs w:val="22"/>
          <w:lang w:val="lt-LT"/>
        </w:rPr>
      </w:pPr>
      <w:r w:rsidRPr="00CD7E52">
        <w:rPr>
          <w:szCs w:val="22"/>
          <w:lang w:val="lt-LT"/>
        </w:rPr>
        <w:t xml:space="preserve">Gydytojas </w:t>
      </w:r>
      <w:r w:rsidR="00AC2491" w:rsidRPr="00CD7E52">
        <w:rPr>
          <w:snapToGrid/>
          <w:szCs w:val="22"/>
          <w:lang w:val="lt-LT"/>
        </w:rPr>
        <w:t xml:space="preserve">Jums </w:t>
      </w:r>
      <w:r w:rsidRPr="00CD7E52">
        <w:rPr>
          <w:szCs w:val="22"/>
          <w:lang w:val="lt-LT"/>
        </w:rPr>
        <w:t xml:space="preserve">nurodys, kaip didinti dozę pirmą kartą pradėjus vartoti </w:t>
      </w:r>
      <w:r w:rsidR="005A4193" w:rsidRPr="00CD7E52">
        <w:rPr>
          <w:szCs w:val="22"/>
          <w:lang w:val="lt-LT"/>
        </w:rPr>
        <w:t>Apremilast STADA</w:t>
      </w:r>
      <w:r w:rsidRPr="00CD7E52">
        <w:rPr>
          <w:szCs w:val="22"/>
          <w:lang w:val="lt-LT"/>
        </w:rPr>
        <w:t>.</w:t>
      </w:r>
    </w:p>
    <w:p w14:paraId="026AF013" w14:textId="77777777" w:rsidR="00AC2491" w:rsidRPr="00CD7E52" w:rsidRDefault="00C60259" w:rsidP="00BD0220">
      <w:pPr>
        <w:widowControl w:val="0"/>
        <w:tabs>
          <w:tab w:val="clear" w:pos="567"/>
        </w:tabs>
        <w:autoSpaceDE w:val="0"/>
        <w:autoSpaceDN w:val="0"/>
        <w:adjustRightInd w:val="0"/>
        <w:spacing w:line="240" w:lineRule="auto"/>
        <w:rPr>
          <w:szCs w:val="22"/>
          <w:lang w:val="lt-LT"/>
        </w:rPr>
      </w:pPr>
      <w:r w:rsidRPr="00C60259">
        <w:rPr>
          <w:szCs w:val="22"/>
          <w:lang w:val="lt-LT"/>
        </w:rPr>
        <w:t>Gydytojas gali patarti vartoti tik pirmiau pateiktoje lentelėje nurodytą Jums taikomą rytinę dozę (suaugusiesiems arba vaikams / paaugliams), o vakarinę dozę praleisti.</w:t>
      </w:r>
    </w:p>
    <w:p w14:paraId="5B88BFAC" w14:textId="77777777" w:rsidR="005A2CEF" w:rsidRDefault="005A2CEF" w:rsidP="00BD0220">
      <w:pPr>
        <w:widowControl w:val="0"/>
        <w:tabs>
          <w:tab w:val="clear" w:pos="567"/>
        </w:tabs>
        <w:autoSpaceDE w:val="0"/>
        <w:autoSpaceDN w:val="0"/>
        <w:adjustRightInd w:val="0"/>
        <w:spacing w:line="240" w:lineRule="auto"/>
        <w:rPr>
          <w:b/>
          <w:szCs w:val="22"/>
          <w:lang w:val="lt-LT"/>
        </w:rPr>
      </w:pPr>
    </w:p>
    <w:p w14:paraId="282E2139" w14:textId="77777777" w:rsidR="00DC659F" w:rsidRPr="00CD7E52" w:rsidRDefault="00666C27" w:rsidP="00BD0220">
      <w:pPr>
        <w:widowControl w:val="0"/>
        <w:tabs>
          <w:tab w:val="clear" w:pos="567"/>
        </w:tabs>
        <w:autoSpaceDE w:val="0"/>
        <w:autoSpaceDN w:val="0"/>
        <w:adjustRightInd w:val="0"/>
        <w:spacing w:line="240" w:lineRule="auto"/>
        <w:rPr>
          <w:b/>
          <w:szCs w:val="22"/>
          <w:lang w:val="lt-LT"/>
        </w:rPr>
      </w:pPr>
      <w:r w:rsidRPr="00CD7E52">
        <w:rPr>
          <w:b/>
          <w:szCs w:val="22"/>
          <w:lang w:val="lt-LT"/>
        </w:rPr>
        <w:t xml:space="preserve">Kaip ir kada vartoti </w:t>
      </w:r>
      <w:r w:rsidR="005A4193" w:rsidRPr="00CD7E52">
        <w:rPr>
          <w:b/>
          <w:szCs w:val="22"/>
          <w:lang w:val="lt-LT"/>
        </w:rPr>
        <w:t>Apremilast STADA</w:t>
      </w:r>
    </w:p>
    <w:p w14:paraId="0CBD5C3B" w14:textId="77777777" w:rsidR="00666C27" w:rsidRPr="00CD7E52" w:rsidRDefault="005A4193" w:rsidP="00BD0220">
      <w:pPr>
        <w:widowControl w:val="0"/>
        <w:numPr>
          <w:ilvl w:val="0"/>
          <w:numId w:val="14"/>
        </w:numPr>
        <w:tabs>
          <w:tab w:val="clear" w:pos="567"/>
        </w:tabs>
        <w:spacing w:line="240" w:lineRule="auto"/>
        <w:ind w:left="567" w:hanging="567"/>
        <w:rPr>
          <w:szCs w:val="22"/>
          <w:lang w:val="sv-SE"/>
        </w:rPr>
      </w:pPr>
      <w:r w:rsidRPr="00CD7E52">
        <w:rPr>
          <w:szCs w:val="22"/>
          <w:lang w:val="lt-LT"/>
        </w:rPr>
        <w:t>Apremilast STADA</w:t>
      </w:r>
      <w:r w:rsidR="00666C27" w:rsidRPr="00CD7E52">
        <w:rPr>
          <w:szCs w:val="22"/>
          <w:lang w:val="lt-LT"/>
        </w:rPr>
        <w:t xml:space="preserve"> skirtas vartoti per burną.</w:t>
      </w:r>
    </w:p>
    <w:p w14:paraId="5787F2B6" w14:textId="77777777" w:rsidR="00666C27" w:rsidRPr="00CD7E52" w:rsidRDefault="00AC2491" w:rsidP="00BD0220">
      <w:pPr>
        <w:widowControl w:val="0"/>
        <w:numPr>
          <w:ilvl w:val="0"/>
          <w:numId w:val="14"/>
        </w:numPr>
        <w:tabs>
          <w:tab w:val="clear" w:pos="567"/>
        </w:tabs>
        <w:spacing w:line="240" w:lineRule="auto"/>
        <w:ind w:left="567" w:hanging="567"/>
        <w:rPr>
          <w:szCs w:val="22"/>
          <w:lang w:val="sv-SE"/>
        </w:rPr>
      </w:pPr>
      <w:r w:rsidRPr="00CD7E52">
        <w:rPr>
          <w:snapToGrid/>
          <w:szCs w:val="22"/>
          <w:lang w:val="lt-LT"/>
        </w:rPr>
        <w:t>Tabletę nu</w:t>
      </w:r>
      <w:r w:rsidR="00666C27" w:rsidRPr="00CD7E52">
        <w:rPr>
          <w:snapToGrid/>
          <w:szCs w:val="22"/>
          <w:lang w:val="lt-LT"/>
        </w:rPr>
        <w:t>rykite</w:t>
      </w:r>
      <w:r w:rsidR="00666C27" w:rsidRPr="00CD7E52">
        <w:rPr>
          <w:szCs w:val="22"/>
          <w:lang w:val="lt-LT"/>
        </w:rPr>
        <w:t xml:space="preserve"> visą, geriau užgerdami vandeniu</w:t>
      </w:r>
      <w:r w:rsidR="001E4825" w:rsidRPr="00CD7E52">
        <w:rPr>
          <w:szCs w:val="22"/>
          <w:lang w:val="lt-LT"/>
        </w:rPr>
        <w:t>, kad nebū</w:t>
      </w:r>
      <w:r w:rsidR="004873E8" w:rsidRPr="00CD7E52">
        <w:rPr>
          <w:szCs w:val="22"/>
          <w:lang w:val="lt-LT"/>
        </w:rPr>
        <w:t>t</w:t>
      </w:r>
      <w:r w:rsidR="001E4825" w:rsidRPr="00CD7E52">
        <w:rPr>
          <w:szCs w:val="22"/>
          <w:lang w:val="lt-LT"/>
        </w:rPr>
        <w:t xml:space="preserve">ų pažeista </w:t>
      </w:r>
      <w:r w:rsidR="00687E75" w:rsidRPr="00CD7E52">
        <w:rPr>
          <w:szCs w:val="22"/>
          <w:lang w:val="lt-LT"/>
        </w:rPr>
        <w:t>tabletės plėvelė</w:t>
      </w:r>
      <w:r w:rsidR="00666C27" w:rsidRPr="00CD7E52">
        <w:rPr>
          <w:szCs w:val="22"/>
          <w:lang w:val="lt-LT"/>
        </w:rPr>
        <w:t>.</w:t>
      </w:r>
    </w:p>
    <w:p w14:paraId="15772190" w14:textId="77777777" w:rsidR="00666C27" w:rsidRPr="00CD7E52" w:rsidRDefault="00666C27" w:rsidP="00BD0220">
      <w:pPr>
        <w:widowControl w:val="0"/>
        <w:numPr>
          <w:ilvl w:val="0"/>
          <w:numId w:val="14"/>
        </w:numPr>
        <w:tabs>
          <w:tab w:val="clear" w:pos="567"/>
        </w:tabs>
        <w:spacing w:line="240" w:lineRule="auto"/>
        <w:ind w:left="567" w:hanging="567"/>
        <w:rPr>
          <w:szCs w:val="22"/>
          <w:lang w:val="sv-SE"/>
        </w:rPr>
      </w:pPr>
      <w:r w:rsidRPr="00CD7E52">
        <w:rPr>
          <w:szCs w:val="22"/>
          <w:lang w:val="lt-LT"/>
        </w:rPr>
        <w:t xml:space="preserve">Tabletes galite vartoti valgio metu arba </w:t>
      </w:r>
      <w:r w:rsidR="004873E8" w:rsidRPr="00CD7E52">
        <w:rPr>
          <w:snapToGrid/>
          <w:szCs w:val="22"/>
          <w:lang w:val="lt-LT"/>
        </w:rPr>
        <w:t>nevalgius</w:t>
      </w:r>
      <w:r w:rsidRPr="00CD7E52">
        <w:rPr>
          <w:szCs w:val="22"/>
          <w:lang w:val="lt-LT"/>
        </w:rPr>
        <w:t>.</w:t>
      </w:r>
    </w:p>
    <w:p w14:paraId="164F44F1" w14:textId="77777777" w:rsidR="00666C27" w:rsidRPr="00CD7E52" w:rsidRDefault="005A4193" w:rsidP="00BD0220">
      <w:pPr>
        <w:widowControl w:val="0"/>
        <w:numPr>
          <w:ilvl w:val="0"/>
          <w:numId w:val="14"/>
        </w:numPr>
        <w:tabs>
          <w:tab w:val="clear" w:pos="567"/>
        </w:tabs>
        <w:spacing w:line="240" w:lineRule="auto"/>
        <w:ind w:left="567" w:hanging="567"/>
        <w:rPr>
          <w:szCs w:val="22"/>
          <w:lang w:val="sv-SE"/>
        </w:rPr>
      </w:pPr>
      <w:r w:rsidRPr="00CD7E52">
        <w:rPr>
          <w:szCs w:val="22"/>
          <w:lang w:val="lt-LT"/>
        </w:rPr>
        <w:t>Apremilast STADA</w:t>
      </w:r>
      <w:r w:rsidR="00666C27" w:rsidRPr="00CD7E52">
        <w:rPr>
          <w:szCs w:val="22"/>
          <w:lang w:val="lt-LT"/>
        </w:rPr>
        <w:t xml:space="preserve"> </w:t>
      </w:r>
      <w:r w:rsidR="00AC2491" w:rsidRPr="00CD7E52">
        <w:rPr>
          <w:snapToGrid/>
          <w:szCs w:val="22"/>
          <w:lang w:val="lt-LT"/>
        </w:rPr>
        <w:t xml:space="preserve">vartokite kasdien </w:t>
      </w:r>
      <w:r w:rsidR="00666C27" w:rsidRPr="00CD7E52">
        <w:rPr>
          <w:szCs w:val="22"/>
          <w:lang w:val="lt-LT"/>
        </w:rPr>
        <w:t>maždaug tuo pat metu, vieną tabletę ryte ir vieną tabletę vakare.</w:t>
      </w:r>
    </w:p>
    <w:p w14:paraId="7A148ACB" w14:textId="77777777" w:rsidR="00AC2491" w:rsidRPr="00CD7E52" w:rsidRDefault="00AC2491" w:rsidP="00BD0220">
      <w:pPr>
        <w:widowControl w:val="0"/>
        <w:tabs>
          <w:tab w:val="clear" w:pos="567"/>
        </w:tabs>
        <w:autoSpaceDE w:val="0"/>
        <w:autoSpaceDN w:val="0"/>
        <w:adjustRightInd w:val="0"/>
        <w:spacing w:line="240" w:lineRule="auto"/>
        <w:rPr>
          <w:szCs w:val="22"/>
          <w:lang w:val="lt-LT"/>
        </w:rPr>
      </w:pPr>
    </w:p>
    <w:p w14:paraId="011D8543" w14:textId="77777777" w:rsidR="00EF3BDF" w:rsidRPr="00CD7E52" w:rsidRDefault="00666C27" w:rsidP="00BD0220">
      <w:pPr>
        <w:widowControl w:val="0"/>
        <w:tabs>
          <w:tab w:val="clear" w:pos="567"/>
        </w:tabs>
        <w:autoSpaceDE w:val="0"/>
        <w:autoSpaceDN w:val="0"/>
        <w:adjustRightInd w:val="0"/>
        <w:spacing w:line="240" w:lineRule="auto"/>
        <w:rPr>
          <w:szCs w:val="22"/>
          <w:lang w:val="lt-LT"/>
        </w:rPr>
      </w:pPr>
      <w:r w:rsidRPr="00CD7E52">
        <w:rPr>
          <w:szCs w:val="22"/>
          <w:lang w:val="lt-LT"/>
        </w:rPr>
        <w:t>Jeigu po šešių gydymo mėnesių Jūsų būklė nepagerėjo, pasitarkite su gydytoj</w:t>
      </w:r>
      <w:r w:rsidR="00AC2491" w:rsidRPr="00CD7E52">
        <w:rPr>
          <w:szCs w:val="22"/>
          <w:lang w:val="lt-LT"/>
        </w:rPr>
        <w:t>u.</w:t>
      </w:r>
    </w:p>
    <w:p w14:paraId="648E0406" w14:textId="77777777" w:rsidR="00AC2491" w:rsidRPr="00CD7E52" w:rsidRDefault="00AC2491" w:rsidP="00BD0220">
      <w:pPr>
        <w:widowControl w:val="0"/>
        <w:tabs>
          <w:tab w:val="clear" w:pos="567"/>
        </w:tabs>
        <w:autoSpaceDE w:val="0"/>
        <w:autoSpaceDN w:val="0"/>
        <w:adjustRightInd w:val="0"/>
        <w:spacing w:line="240" w:lineRule="auto"/>
        <w:rPr>
          <w:szCs w:val="22"/>
          <w:lang w:val="lt-LT"/>
        </w:rPr>
      </w:pPr>
    </w:p>
    <w:p w14:paraId="373D4C39" w14:textId="77777777" w:rsidR="00776FBE" w:rsidRPr="00CD7E52" w:rsidRDefault="00776FBE" w:rsidP="00BD0220">
      <w:pPr>
        <w:widowControl w:val="0"/>
        <w:tabs>
          <w:tab w:val="clear" w:pos="567"/>
        </w:tabs>
        <w:autoSpaceDE w:val="0"/>
        <w:autoSpaceDN w:val="0"/>
        <w:adjustRightInd w:val="0"/>
        <w:spacing w:line="240" w:lineRule="auto"/>
        <w:rPr>
          <w:rFonts w:eastAsia="TimesNewRoman,Bold"/>
          <w:szCs w:val="22"/>
          <w:lang w:val="lt-LT"/>
        </w:rPr>
      </w:pPr>
      <w:r w:rsidRPr="00CD7E52">
        <w:rPr>
          <w:rFonts w:eastAsia="TimesNewRoman,Bold"/>
          <w:b/>
          <w:szCs w:val="22"/>
          <w:lang w:val="lt-LT"/>
        </w:rPr>
        <w:t xml:space="preserve">Ką daryti pavartojus per didelę </w:t>
      </w:r>
      <w:r w:rsidR="005A4193" w:rsidRPr="00CD7E52">
        <w:rPr>
          <w:rFonts w:eastAsia="TimesNewRoman,Bold"/>
          <w:b/>
          <w:szCs w:val="22"/>
          <w:lang w:val="lt-LT"/>
        </w:rPr>
        <w:t>Apremilast STADA</w:t>
      </w:r>
      <w:r w:rsidRPr="00CD7E52">
        <w:rPr>
          <w:rFonts w:eastAsia="TimesNewRoman,Bold"/>
          <w:b/>
          <w:szCs w:val="22"/>
          <w:lang w:val="lt-LT"/>
        </w:rPr>
        <w:t xml:space="preserve"> dozę</w:t>
      </w:r>
    </w:p>
    <w:p w14:paraId="45A1F72E" w14:textId="77777777" w:rsidR="00776FBE" w:rsidRPr="00CD7E52" w:rsidRDefault="00666C27" w:rsidP="00BD0220">
      <w:pPr>
        <w:widowControl w:val="0"/>
        <w:tabs>
          <w:tab w:val="clear" w:pos="567"/>
        </w:tabs>
        <w:autoSpaceDE w:val="0"/>
        <w:autoSpaceDN w:val="0"/>
        <w:adjustRightInd w:val="0"/>
        <w:spacing w:line="240" w:lineRule="auto"/>
        <w:rPr>
          <w:rFonts w:eastAsia="TimesNewRoman,Bold"/>
          <w:szCs w:val="22"/>
          <w:lang w:val="lt-LT"/>
        </w:rPr>
      </w:pPr>
      <w:r w:rsidRPr="00CD7E52">
        <w:rPr>
          <w:rFonts w:eastAsia="TimesNewRoman,Bold"/>
          <w:szCs w:val="22"/>
          <w:lang w:val="lt-LT"/>
        </w:rPr>
        <w:t xml:space="preserve">Pavartojus per didelę </w:t>
      </w:r>
      <w:r w:rsidR="005A4193" w:rsidRPr="00CD7E52">
        <w:rPr>
          <w:rFonts w:eastAsia="TimesNewRoman,Bold"/>
          <w:szCs w:val="22"/>
          <w:lang w:val="lt-LT"/>
        </w:rPr>
        <w:t>Apremilast STADA</w:t>
      </w:r>
      <w:r w:rsidRPr="00CD7E52">
        <w:rPr>
          <w:rFonts w:eastAsia="TimesNewRoman,Bold"/>
          <w:szCs w:val="22"/>
          <w:lang w:val="lt-LT"/>
        </w:rPr>
        <w:t xml:space="preserve"> dozę, reikia nedelsiant kreiptis į gydytoją arba vykti į ligoninę. </w:t>
      </w:r>
      <w:r w:rsidR="00AC2491" w:rsidRPr="00CD7E52">
        <w:rPr>
          <w:rFonts w:eastAsia="TimesNewRoman,Bold"/>
          <w:snapToGrid/>
          <w:szCs w:val="22"/>
          <w:lang w:val="lt-LT"/>
        </w:rPr>
        <w:t>Būtina pasiimti</w:t>
      </w:r>
      <w:r w:rsidRPr="00CD7E52">
        <w:rPr>
          <w:rFonts w:eastAsia="TimesNewRoman,Bold"/>
          <w:szCs w:val="22"/>
          <w:lang w:val="lt-LT"/>
        </w:rPr>
        <w:t xml:space="preserve"> vaisto pakuotę ir šį lapelį.</w:t>
      </w:r>
    </w:p>
    <w:p w14:paraId="71947CB2" w14:textId="77777777" w:rsidR="00AC2491" w:rsidRPr="00CD7E52" w:rsidRDefault="00AC2491" w:rsidP="00BD0220">
      <w:pPr>
        <w:widowControl w:val="0"/>
        <w:tabs>
          <w:tab w:val="clear" w:pos="567"/>
        </w:tabs>
        <w:autoSpaceDE w:val="0"/>
        <w:autoSpaceDN w:val="0"/>
        <w:adjustRightInd w:val="0"/>
        <w:spacing w:line="240" w:lineRule="auto"/>
        <w:rPr>
          <w:rFonts w:eastAsia="TimesNewRoman,Bold"/>
          <w:szCs w:val="22"/>
          <w:lang w:val="lt-LT"/>
        </w:rPr>
      </w:pPr>
    </w:p>
    <w:p w14:paraId="6880A276" w14:textId="77777777" w:rsidR="00DC659F" w:rsidRPr="00CD7E52" w:rsidRDefault="00776FBE" w:rsidP="00BD0220">
      <w:pPr>
        <w:widowControl w:val="0"/>
        <w:tabs>
          <w:tab w:val="clear" w:pos="567"/>
        </w:tabs>
        <w:autoSpaceDE w:val="0"/>
        <w:autoSpaceDN w:val="0"/>
        <w:adjustRightInd w:val="0"/>
        <w:spacing w:line="240" w:lineRule="auto"/>
        <w:rPr>
          <w:szCs w:val="22"/>
          <w:lang w:val="lt-LT"/>
        </w:rPr>
      </w:pPr>
      <w:r w:rsidRPr="00CD7E52">
        <w:rPr>
          <w:rFonts w:eastAsia="TimesNewRoman,Bold"/>
          <w:b/>
          <w:szCs w:val="22"/>
          <w:lang w:val="lt-LT"/>
        </w:rPr>
        <w:t xml:space="preserve">Pamiršus pavartoti </w:t>
      </w:r>
      <w:r w:rsidR="005A4193" w:rsidRPr="00CD7E52">
        <w:rPr>
          <w:rFonts w:eastAsia="TimesNewRoman,Bold"/>
          <w:b/>
          <w:szCs w:val="22"/>
          <w:lang w:val="lt-LT"/>
        </w:rPr>
        <w:t>Apremilast STADA</w:t>
      </w:r>
    </w:p>
    <w:p w14:paraId="29E574FE" w14:textId="77777777" w:rsidR="00666C27" w:rsidRPr="00CD7E52" w:rsidRDefault="00666C27" w:rsidP="00BD0220">
      <w:pPr>
        <w:widowControl w:val="0"/>
        <w:numPr>
          <w:ilvl w:val="0"/>
          <w:numId w:val="14"/>
        </w:numPr>
        <w:tabs>
          <w:tab w:val="clear" w:pos="567"/>
        </w:tabs>
        <w:spacing w:line="240" w:lineRule="auto"/>
        <w:ind w:left="567" w:hanging="567"/>
        <w:rPr>
          <w:szCs w:val="22"/>
          <w:lang w:val="lt-LT"/>
        </w:rPr>
      </w:pPr>
      <w:r w:rsidRPr="00CD7E52">
        <w:rPr>
          <w:szCs w:val="22"/>
          <w:lang w:val="lt-LT"/>
        </w:rPr>
        <w:t xml:space="preserve">Pamiršę pavartoti </w:t>
      </w:r>
      <w:r w:rsidR="005A4193" w:rsidRPr="00CD7E52">
        <w:rPr>
          <w:szCs w:val="22"/>
          <w:lang w:val="lt-LT"/>
        </w:rPr>
        <w:t>Apremilast STADA</w:t>
      </w:r>
      <w:r w:rsidRPr="00CD7E52">
        <w:rPr>
          <w:szCs w:val="22"/>
          <w:lang w:val="lt-LT"/>
        </w:rPr>
        <w:t xml:space="preserve"> dozę, </w:t>
      </w:r>
      <w:r w:rsidR="00AC2491" w:rsidRPr="00CD7E52">
        <w:rPr>
          <w:snapToGrid/>
          <w:szCs w:val="22"/>
          <w:lang w:val="lt-LT"/>
        </w:rPr>
        <w:t>su</w:t>
      </w:r>
      <w:r w:rsidRPr="00CD7E52">
        <w:rPr>
          <w:snapToGrid/>
          <w:szCs w:val="22"/>
          <w:lang w:val="lt-LT"/>
        </w:rPr>
        <w:t>vartokite</w:t>
      </w:r>
      <w:r w:rsidRPr="00CD7E52">
        <w:rPr>
          <w:szCs w:val="22"/>
          <w:lang w:val="lt-LT"/>
        </w:rPr>
        <w:t xml:space="preserve"> ją iš karto, kai prisiminsite. Jeigu netrukus reikės vartoti kitą</w:t>
      </w:r>
      <w:r w:rsidR="00AC2491" w:rsidRPr="00CD7E52">
        <w:rPr>
          <w:szCs w:val="22"/>
          <w:lang w:val="lt-LT"/>
        </w:rPr>
        <w:t xml:space="preserve"> </w:t>
      </w:r>
      <w:r w:rsidRPr="00CD7E52">
        <w:rPr>
          <w:szCs w:val="22"/>
          <w:lang w:val="lt-LT"/>
        </w:rPr>
        <w:t xml:space="preserve">dozę, praleistos dozės nebevartokite. </w:t>
      </w:r>
      <w:r w:rsidR="00AC2491" w:rsidRPr="00CD7E52">
        <w:rPr>
          <w:snapToGrid/>
          <w:szCs w:val="22"/>
          <w:lang w:val="lt-LT"/>
        </w:rPr>
        <w:t>K</w:t>
      </w:r>
      <w:r w:rsidRPr="00CD7E52">
        <w:rPr>
          <w:snapToGrid/>
          <w:szCs w:val="22"/>
          <w:lang w:val="lt-LT"/>
        </w:rPr>
        <w:t>itą</w:t>
      </w:r>
      <w:r w:rsidR="00AC2491" w:rsidRPr="00CD7E52">
        <w:rPr>
          <w:szCs w:val="22"/>
          <w:lang w:val="lt-LT"/>
        </w:rPr>
        <w:t xml:space="preserve"> </w:t>
      </w:r>
      <w:r w:rsidRPr="00CD7E52">
        <w:rPr>
          <w:szCs w:val="22"/>
          <w:lang w:val="lt-LT"/>
        </w:rPr>
        <w:t>dozę</w:t>
      </w:r>
      <w:r w:rsidR="00AC2491" w:rsidRPr="00CD7E52">
        <w:rPr>
          <w:snapToGrid/>
          <w:szCs w:val="22"/>
          <w:lang w:val="lt-LT"/>
        </w:rPr>
        <w:t xml:space="preserve"> vartokite</w:t>
      </w:r>
      <w:r w:rsidRPr="00CD7E52">
        <w:rPr>
          <w:szCs w:val="22"/>
          <w:lang w:val="lt-LT"/>
        </w:rPr>
        <w:t xml:space="preserve"> įprastu laiku.</w:t>
      </w:r>
    </w:p>
    <w:p w14:paraId="62C5EBDE" w14:textId="77777777" w:rsidR="00776FBE" w:rsidRPr="00CD7E52" w:rsidRDefault="00666C27" w:rsidP="00BD0220">
      <w:pPr>
        <w:widowControl w:val="0"/>
        <w:numPr>
          <w:ilvl w:val="0"/>
          <w:numId w:val="14"/>
        </w:numPr>
        <w:tabs>
          <w:tab w:val="clear" w:pos="567"/>
        </w:tabs>
        <w:spacing w:line="240" w:lineRule="auto"/>
        <w:ind w:left="567" w:hanging="567"/>
        <w:rPr>
          <w:rFonts w:eastAsia="TimesNewRoman,Bold"/>
          <w:szCs w:val="22"/>
          <w:lang w:val="lt-LT"/>
        </w:rPr>
      </w:pPr>
      <w:r w:rsidRPr="00CD7E52">
        <w:rPr>
          <w:szCs w:val="22"/>
          <w:lang w:val="lt-LT"/>
        </w:rPr>
        <w:t>Negalima vartoti dvigubos dozės norint kompensuoti praleistą dozę.</w:t>
      </w:r>
    </w:p>
    <w:p w14:paraId="5DF69B4F" w14:textId="77777777" w:rsidR="00776FBE" w:rsidRPr="00CD7E52" w:rsidRDefault="00776FBE" w:rsidP="00BD0220">
      <w:pPr>
        <w:widowControl w:val="0"/>
        <w:tabs>
          <w:tab w:val="clear" w:pos="567"/>
        </w:tabs>
        <w:autoSpaceDE w:val="0"/>
        <w:autoSpaceDN w:val="0"/>
        <w:adjustRightInd w:val="0"/>
        <w:spacing w:line="240" w:lineRule="auto"/>
        <w:rPr>
          <w:rFonts w:eastAsia="TimesNewRoman,Bold"/>
          <w:szCs w:val="22"/>
          <w:lang w:val="lt-LT"/>
        </w:rPr>
      </w:pPr>
    </w:p>
    <w:p w14:paraId="58B1029C" w14:textId="77777777" w:rsidR="00DC659F" w:rsidRPr="00CD7E52" w:rsidRDefault="00776FBE" w:rsidP="00BD0220">
      <w:pPr>
        <w:widowControl w:val="0"/>
        <w:tabs>
          <w:tab w:val="clear" w:pos="567"/>
        </w:tabs>
        <w:autoSpaceDE w:val="0"/>
        <w:autoSpaceDN w:val="0"/>
        <w:adjustRightInd w:val="0"/>
        <w:spacing w:line="240" w:lineRule="auto"/>
        <w:rPr>
          <w:rFonts w:eastAsia="TimesNewRoman,Bold"/>
          <w:szCs w:val="22"/>
          <w:lang w:val="lt-LT"/>
        </w:rPr>
      </w:pPr>
      <w:r w:rsidRPr="00CD7E52">
        <w:rPr>
          <w:rFonts w:eastAsia="TimesNewRoman,Bold"/>
          <w:b/>
          <w:szCs w:val="22"/>
          <w:lang w:val="lt-LT"/>
        </w:rPr>
        <w:t xml:space="preserve">Nustojus vartoti </w:t>
      </w:r>
      <w:r w:rsidR="005A4193" w:rsidRPr="00CD7E52">
        <w:rPr>
          <w:rFonts w:eastAsia="TimesNewRoman,Bold"/>
          <w:b/>
          <w:szCs w:val="22"/>
          <w:lang w:val="lt-LT"/>
        </w:rPr>
        <w:t>Apremilast STADA</w:t>
      </w:r>
    </w:p>
    <w:p w14:paraId="19BDFD81" w14:textId="77777777" w:rsidR="00666C27" w:rsidRPr="00CD7E52" w:rsidRDefault="00666C27" w:rsidP="00BD0220">
      <w:pPr>
        <w:widowControl w:val="0"/>
        <w:numPr>
          <w:ilvl w:val="0"/>
          <w:numId w:val="14"/>
        </w:numPr>
        <w:tabs>
          <w:tab w:val="clear" w:pos="567"/>
        </w:tabs>
        <w:spacing w:line="240" w:lineRule="auto"/>
        <w:ind w:left="567" w:hanging="567"/>
        <w:rPr>
          <w:szCs w:val="22"/>
          <w:lang w:val="sv-SE"/>
        </w:rPr>
      </w:pPr>
      <w:r w:rsidRPr="00CD7E52">
        <w:rPr>
          <w:szCs w:val="22"/>
          <w:lang w:val="lt-LT"/>
        </w:rPr>
        <w:t xml:space="preserve">Turite vartoti </w:t>
      </w:r>
      <w:r w:rsidR="005A4193" w:rsidRPr="00CD7E52">
        <w:rPr>
          <w:szCs w:val="22"/>
          <w:lang w:val="lt-LT"/>
        </w:rPr>
        <w:t>Apremilast STADA</w:t>
      </w:r>
      <w:r w:rsidRPr="00CD7E52">
        <w:rPr>
          <w:szCs w:val="22"/>
          <w:lang w:val="lt-LT"/>
        </w:rPr>
        <w:t xml:space="preserve"> tol, kol gydytojas nurodys </w:t>
      </w:r>
      <w:r w:rsidR="00AC2491" w:rsidRPr="00CD7E52">
        <w:rPr>
          <w:snapToGrid/>
          <w:szCs w:val="22"/>
          <w:lang w:val="lt-LT"/>
        </w:rPr>
        <w:t>nutraukti vartojimą</w:t>
      </w:r>
      <w:r w:rsidRPr="00CD7E52">
        <w:rPr>
          <w:szCs w:val="22"/>
          <w:lang w:val="lt-LT"/>
        </w:rPr>
        <w:t>.</w:t>
      </w:r>
    </w:p>
    <w:p w14:paraId="28B307BF" w14:textId="77777777" w:rsidR="00776FBE" w:rsidRPr="00CD7E52" w:rsidRDefault="00666C27" w:rsidP="00BD0220">
      <w:pPr>
        <w:widowControl w:val="0"/>
        <w:numPr>
          <w:ilvl w:val="0"/>
          <w:numId w:val="14"/>
        </w:numPr>
        <w:tabs>
          <w:tab w:val="clear" w:pos="567"/>
        </w:tabs>
        <w:spacing w:line="240" w:lineRule="auto"/>
        <w:ind w:left="567" w:hanging="567"/>
        <w:rPr>
          <w:rFonts w:eastAsia="TimesNewRoman,Bold"/>
          <w:szCs w:val="22"/>
          <w:lang w:val="sv-SE"/>
        </w:rPr>
      </w:pPr>
      <w:r w:rsidRPr="00CD7E52">
        <w:rPr>
          <w:szCs w:val="22"/>
          <w:lang w:val="lt-LT"/>
        </w:rPr>
        <w:t xml:space="preserve">Nenustokite vartoti </w:t>
      </w:r>
      <w:r w:rsidR="005A4193" w:rsidRPr="00CD7E52">
        <w:rPr>
          <w:szCs w:val="22"/>
          <w:lang w:val="lt-LT"/>
        </w:rPr>
        <w:t>Apremilast STADA</w:t>
      </w:r>
      <w:r w:rsidRPr="00CD7E52">
        <w:rPr>
          <w:szCs w:val="22"/>
          <w:lang w:val="lt-LT"/>
        </w:rPr>
        <w:t xml:space="preserve"> nepasitarę su gydytoju</w:t>
      </w:r>
      <w:r w:rsidR="008A0C7E" w:rsidRPr="00CD7E52">
        <w:rPr>
          <w:szCs w:val="22"/>
          <w:lang w:val="lt-LT"/>
        </w:rPr>
        <w:t>.</w:t>
      </w:r>
    </w:p>
    <w:p w14:paraId="773CE19B" w14:textId="77777777" w:rsidR="00776FBE" w:rsidRPr="00CD7E52" w:rsidRDefault="00776FBE" w:rsidP="00BD0220">
      <w:pPr>
        <w:widowControl w:val="0"/>
        <w:numPr>
          <w:ilvl w:val="12"/>
          <w:numId w:val="0"/>
        </w:numPr>
        <w:tabs>
          <w:tab w:val="clear" w:pos="567"/>
        </w:tabs>
        <w:spacing w:line="240" w:lineRule="auto"/>
        <w:ind w:right="-2"/>
        <w:rPr>
          <w:rFonts w:eastAsia="TimesNewRoman,Bold"/>
          <w:szCs w:val="22"/>
          <w:lang w:val="lt-LT"/>
        </w:rPr>
      </w:pPr>
    </w:p>
    <w:p w14:paraId="75A7F27D" w14:textId="77777777" w:rsidR="00776FBE" w:rsidRPr="00CD7E52" w:rsidRDefault="00776FBE" w:rsidP="00BD0220">
      <w:pPr>
        <w:widowControl w:val="0"/>
        <w:numPr>
          <w:ilvl w:val="12"/>
          <w:numId w:val="0"/>
        </w:numPr>
        <w:tabs>
          <w:tab w:val="clear" w:pos="567"/>
        </w:tabs>
        <w:spacing w:line="240" w:lineRule="auto"/>
        <w:ind w:right="-2"/>
        <w:rPr>
          <w:szCs w:val="22"/>
          <w:lang w:val="lt-LT"/>
        </w:rPr>
      </w:pPr>
      <w:r w:rsidRPr="00CD7E52">
        <w:rPr>
          <w:rFonts w:eastAsia="TimesNewRoman,Bold"/>
          <w:szCs w:val="22"/>
          <w:lang w:val="lt-LT"/>
        </w:rPr>
        <w:t>Jeigu kiltų daugiau klausimų dėl šio vaisto vartojimo, kreipkitės į gydytoją arba vaistininką.</w:t>
      </w:r>
    </w:p>
    <w:p w14:paraId="470E96ED" w14:textId="77777777" w:rsidR="00776FBE" w:rsidRPr="00CD7E52" w:rsidRDefault="00776FBE" w:rsidP="00BD0220">
      <w:pPr>
        <w:widowControl w:val="0"/>
        <w:numPr>
          <w:ilvl w:val="12"/>
          <w:numId w:val="0"/>
        </w:numPr>
        <w:tabs>
          <w:tab w:val="clear" w:pos="567"/>
        </w:tabs>
        <w:spacing w:line="240" w:lineRule="auto"/>
        <w:ind w:right="-2"/>
        <w:rPr>
          <w:szCs w:val="22"/>
          <w:lang w:val="lt-LT"/>
        </w:rPr>
      </w:pPr>
    </w:p>
    <w:p w14:paraId="15C0E322" w14:textId="77777777" w:rsidR="00776FBE" w:rsidRPr="00CD7E52" w:rsidRDefault="00776FBE" w:rsidP="00BD0220">
      <w:pPr>
        <w:widowControl w:val="0"/>
        <w:numPr>
          <w:ilvl w:val="12"/>
          <w:numId w:val="0"/>
        </w:numPr>
        <w:tabs>
          <w:tab w:val="clear" w:pos="567"/>
        </w:tabs>
        <w:spacing w:line="240" w:lineRule="auto"/>
        <w:ind w:right="-2"/>
        <w:rPr>
          <w:szCs w:val="22"/>
          <w:lang w:val="lt-LT"/>
        </w:rPr>
      </w:pPr>
    </w:p>
    <w:p w14:paraId="23D64B72" w14:textId="77777777" w:rsidR="00776FBE" w:rsidRPr="00CD7E52" w:rsidRDefault="00776FBE" w:rsidP="00C00052">
      <w:pPr>
        <w:widowControl w:val="0"/>
        <w:numPr>
          <w:ilvl w:val="12"/>
          <w:numId w:val="0"/>
        </w:numPr>
        <w:tabs>
          <w:tab w:val="clear" w:pos="567"/>
        </w:tabs>
        <w:spacing w:line="240" w:lineRule="auto"/>
        <w:ind w:left="567" w:hanging="567"/>
        <w:outlineLvl w:val="0"/>
        <w:rPr>
          <w:caps/>
          <w:szCs w:val="22"/>
          <w:lang w:val="lt-LT"/>
        </w:rPr>
      </w:pPr>
      <w:r w:rsidRPr="00CD7E52">
        <w:rPr>
          <w:b/>
          <w:caps/>
          <w:snapToGrid/>
          <w:szCs w:val="22"/>
          <w:lang w:val="lt-LT"/>
        </w:rPr>
        <w:t>4.</w:t>
      </w:r>
      <w:r w:rsidRPr="00CD7E52">
        <w:rPr>
          <w:b/>
          <w:caps/>
          <w:snapToGrid/>
          <w:szCs w:val="22"/>
          <w:lang w:val="lt-LT"/>
        </w:rPr>
        <w:tab/>
      </w:r>
      <w:r w:rsidRPr="00CD7E52">
        <w:rPr>
          <w:b/>
          <w:szCs w:val="22"/>
          <w:lang w:val="lt-LT"/>
        </w:rPr>
        <w:t>Galimas šalutinis poveikis</w:t>
      </w:r>
    </w:p>
    <w:p w14:paraId="6F1921D0" w14:textId="77777777" w:rsidR="00776FBE" w:rsidRPr="00CD7E52" w:rsidRDefault="00776FBE" w:rsidP="00BD0220">
      <w:pPr>
        <w:widowControl w:val="0"/>
        <w:tabs>
          <w:tab w:val="clear" w:pos="567"/>
        </w:tabs>
        <w:spacing w:line="240" w:lineRule="auto"/>
        <w:ind w:left="567" w:hanging="567"/>
        <w:rPr>
          <w:szCs w:val="22"/>
          <w:lang w:val="lt-LT"/>
        </w:rPr>
      </w:pPr>
    </w:p>
    <w:p w14:paraId="32331AC1" w14:textId="77777777" w:rsidR="00776FBE" w:rsidRPr="00CD7E52" w:rsidRDefault="00776FBE" w:rsidP="00BD0220">
      <w:pPr>
        <w:widowControl w:val="0"/>
        <w:tabs>
          <w:tab w:val="clear" w:pos="567"/>
        </w:tabs>
        <w:autoSpaceDE w:val="0"/>
        <w:autoSpaceDN w:val="0"/>
        <w:adjustRightInd w:val="0"/>
        <w:spacing w:line="240" w:lineRule="auto"/>
        <w:rPr>
          <w:szCs w:val="22"/>
          <w:lang w:val="lt-LT"/>
        </w:rPr>
      </w:pPr>
      <w:r w:rsidRPr="00CD7E52">
        <w:rPr>
          <w:szCs w:val="22"/>
          <w:lang w:val="lt-LT"/>
        </w:rPr>
        <w:t>Šis vaistas, kaip ir visi kiti, gali sukelti šalutinį poveikį, nors jis pasireiškia ne visiems žmonėms.</w:t>
      </w:r>
    </w:p>
    <w:p w14:paraId="6D96310E" w14:textId="77777777" w:rsidR="00776FBE" w:rsidRPr="00CD7E52" w:rsidRDefault="00776FBE" w:rsidP="00BD0220">
      <w:pPr>
        <w:widowControl w:val="0"/>
        <w:tabs>
          <w:tab w:val="clear" w:pos="567"/>
        </w:tabs>
        <w:autoSpaceDE w:val="0"/>
        <w:autoSpaceDN w:val="0"/>
        <w:adjustRightInd w:val="0"/>
        <w:spacing w:line="240" w:lineRule="auto"/>
        <w:rPr>
          <w:szCs w:val="22"/>
          <w:lang w:val="lt-LT"/>
        </w:rPr>
      </w:pPr>
    </w:p>
    <w:p w14:paraId="35E4E936" w14:textId="77777777" w:rsidR="00F54278" w:rsidRPr="00CD7E52" w:rsidRDefault="00F54278" w:rsidP="00144A6C">
      <w:pPr>
        <w:keepNext/>
        <w:tabs>
          <w:tab w:val="clear" w:pos="567"/>
        </w:tabs>
        <w:autoSpaceDE w:val="0"/>
        <w:autoSpaceDN w:val="0"/>
        <w:adjustRightInd w:val="0"/>
        <w:spacing w:line="240" w:lineRule="auto"/>
        <w:rPr>
          <w:b/>
          <w:szCs w:val="22"/>
          <w:lang w:val="lt-LT"/>
        </w:rPr>
      </w:pPr>
      <w:r w:rsidRPr="00CD7E52">
        <w:rPr>
          <w:b/>
          <w:szCs w:val="22"/>
          <w:lang w:val="lt-LT"/>
        </w:rPr>
        <w:t>Sunkus šalutinis poveikis – depresija ir mintys apie savižudybę</w:t>
      </w:r>
    </w:p>
    <w:p w14:paraId="29D391AA" w14:textId="77777777" w:rsidR="00475D8B" w:rsidRPr="00CD7E52" w:rsidRDefault="00475D8B" w:rsidP="00144A6C">
      <w:pPr>
        <w:keepNext/>
        <w:tabs>
          <w:tab w:val="clear" w:pos="567"/>
        </w:tabs>
        <w:autoSpaceDE w:val="0"/>
        <w:autoSpaceDN w:val="0"/>
        <w:adjustRightInd w:val="0"/>
        <w:spacing w:line="240" w:lineRule="auto"/>
        <w:rPr>
          <w:szCs w:val="22"/>
          <w:lang w:val="lt-LT"/>
        </w:rPr>
      </w:pPr>
    </w:p>
    <w:p w14:paraId="3487E074" w14:textId="77777777" w:rsidR="00F54278" w:rsidRPr="00CD7E52" w:rsidRDefault="00F54278" w:rsidP="00144A6C">
      <w:pPr>
        <w:keepNext/>
        <w:tabs>
          <w:tab w:val="clear" w:pos="567"/>
        </w:tabs>
        <w:autoSpaceDE w:val="0"/>
        <w:autoSpaceDN w:val="0"/>
        <w:adjustRightInd w:val="0"/>
        <w:spacing w:line="240" w:lineRule="auto"/>
        <w:rPr>
          <w:szCs w:val="22"/>
          <w:lang w:val="lt-LT"/>
        </w:rPr>
      </w:pPr>
      <w:r w:rsidRPr="00CD7E52">
        <w:rPr>
          <w:szCs w:val="22"/>
          <w:lang w:val="lt-LT"/>
        </w:rPr>
        <w:t xml:space="preserve">Nedelsdami pasakykite gydytojui apie </w:t>
      </w:r>
      <w:r w:rsidR="000B0C21" w:rsidRPr="00CD7E52">
        <w:rPr>
          <w:szCs w:val="22"/>
          <w:lang w:val="lt-LT"/>
        </w:rPr>
        <w:t>bet kokius</w:t>
      </w:r>
      <w:r w:rsidRPr="00CD7E52">
        <w:rPr>
          <w:szCs w:val="22"/>
          <w:lang w:val="lt-LT"/>
        </w:rPr>
        <w:t xml:space="preserve"> elgesio ar nuotaikos pokyčius, depresijos </w:t>
      </w:r>
      <w:r w:rsidRPr="00CD7E52">
        <w:rPr>
          <w:snapToGrid/>
          <w:szCs w:val="22"/>
          <w:lang w:val="lt-LT"/>
        </w:rPr>
        <w:t>pojūtį</w:t>
      </w:r>
      <w:r w:rsidRPr="00CD7E52">
        <w:rPr>
          <w:szCs w:val="22"/>
          <w:lang w:val="lt-LT"/>
        </w:rPr>
        <w:t xml:space="preserve">, mintis apie savižudybę ar </w:t>
      </w:r>
      <w:r w:rsidRPr="00CD7E52">
        <w:rPr>
          <w:snapToGrid/>
          <w:szCs w:val="22"/>
          <w:lang w:val="lt-LT"/>
        </w:rPr>
        <w:t>su savižudybe susijusį</w:t>
      </w:r>
      <w:r w:rsidRPr="00CD7E52">
        <w:rPr>
          <w:szCs w:val="22"/>
          <w:lang w:val="lt-LT"/>
        </w:rPr>
        <w:t xml:space="preserve"> elgesį (</w:t>
      </w:r>
      <w:r w:rsidRPr="00CD7E52">
        <w:rPr>
          <w:snapToGrid/>
          <w:szCs w:val="22"/>
          <w:lang w:val="lt-LT"/>
        </w:rPr>
        <w:t>toks poveikis yra nedažnas</w:t>
      </w:r>
      <w:r w:rsidRPr="00CD7E52">
        <w:rPr>
          <w:szCs w:val="22"/>
          <w:lang w:val="lt-LT"/>
        </w:rPr>
        <w:t>).</w:t>
      </w:r>
    </w:p>
    <w:p w14:paraId="5BBA96BC" w14:textId="77777777" w:rsidR="00F54278" w:rsidRPr="00CD7E52" w:rsidRDefault="00F54278" w:rsidP="00BD0220">
      <w:pPr>
        <w:widowControl w:val="0"/>
        <w:tabs>
          <w:tab w:val="clear" w:pos="567"/>
        </w:tabs>
        <w:autoSpaceDE w:val="0"/>
        <w:autoSpaceDN w:val="0"/>
        <w:adjustRightInd w:val="0"/>
        <w:spacing w:line="240" w:lineRule="auto"/>
        <w:rPr>
          <w:szCs w:val="22"/>
          <w:lang w:val="lt-LT"/>
        </w:rPr>
      </w:pPr>
    </w:p>
    <w:p w14:paraId="203586E9" w14:textId="77777777" w:rsidR="00F54278" w:rsidRPr="00CD7E52" w:rsidRDefault="005B0310" w:rsidP="00BD0220">
      <w:pPr>
        <w:widowControl w:val="0"/>
        <w:tabs>
          <w:tab w:val="clear" w:pos="567"/>
        </w:tabs>
        <w:autoSpaceDE w:val="0"/>
        <w:autoSpaceDN w:val="0"/>
        <w:adjustRightInd w:val="0"/>
        <w:spacing w:line="240" w:lineRule="auto"/>
        <w:rPr>
          <w:szCs w:val="22"/>
          <w:lang w:val="lt-LT"/>
        </w:rPr>
      </w:pPr>
      <w:r w:rsidRPr="00CD7E52">
        <w:rPr>
          <w:b/>
          <w:szCs w:val="22"/>
          <w:lang w:val="lt-LT"/>
        </w:rPr>
        <w:t>Labai dažni šalutinio poveikio reiškiniai</w:t>
      </w:r>
      <w:r w:rsidRPr="00CD7E52">
        <w:rPr>
          <w:szCs w:val="22"/>
          <w:lang w:val="lt-LT"/>
        </w:rPr>
        <w:t xml:space="preserve"> (gali pasireikšti ne rečiau kaip 1 iš 10</w:t>
      </w:r>
      <w:r w:rsidR="005650A6" w:rsidRPr="00CD7E52">
        <w:rPr>
          <w:szCs w:val="22"/>
          <w:lang w:val="lt-LT"/>
        </w:rPr>
        <w:t> </w:t>
      </w:r>
      <w:r w:rsidRPr="00CD7E52">
        <w:rPr>
          <w:szCs w:val="22"/>
          <w:lang w:val="lt-LT"/>
        </w:rPr>
        <w:t>asmenų):</w:t>
      </w:r>
    </w:p>
    <w:p w14:paraId="40855F9A" w14:textId="77777777" w:rsidR="00F54278" w:rsidRPr="00CD7E52" w:rsidRDefault="00F54278" w:rsidP="00BD0220">
      <w:pPr>
        <w:widowControl w:val="0"/>
        <w:numPr>
          <w:ilvl w:val="0"/>
          <w:numId w:val="14"/>
        </w:numPr>
        <w:tabs>
          <w:tab w:val="clear" w:pos="567"/>
        </w:tabs>
        <w:spacing w:line="240" w:lineRule="auto"/>
        <w:ind w:left="567" w:hanging="567"/>
        <w:rPr>
          <w:szCs w:val="22"/>
        </w:rPr>
      </w:pPr>
      <w:r w:rsidRPr="00CD7E52">
        <w:rPr>
          <w:szCs w:val="22"/>
          <w:lang w:val="lt-LT"/>
        </w:rPr>
        <w:t>viduriavimas;</w:t>
      </w:r>
    </w:p>
    <w:p w14:paraId="57B1714F" w14:textId="77777777" w:rsidR="00F54278" w:rsidRPr="00CD7E52" w:rsidRDefault="00F54278" w:rsidP="00BD0220">
      <w:pPr>
        <w:widowControl w:val="0"/>
        <w:numPr>
          <w:ilvl w:val="0"/>
          <w:numId w:val="14"/>
        </w:numPr>
        <w:tabs>
          <w:tab w:val="clear" w:pos="567"/>
        </w:tabs>
        <w:spacing w:line="240" w:lineRule="auto"/>
        <w:ind w:left="567" w:hanging="567"/>
        <w:rPr>
          <w:szCs w:val="22"/>
        </w:rPr>
      </w:pPr>
      <w:r w:rsidRPr="00CD7E52">
        <w:rPr>
          <w:szCs w:val="22"/>
          <w:lang w:val="lt-LT"/>
        </w:rPr>
        <w:t>pykinimas;</w:t>
      </w:r>
    </w:p>
    <w:p w14:paraId="4D54BFC9" w14:textId="77777777" w:rsidR="00F54278" w:rsidRPr="00CD7E52" w:rsidRDefault="00F54278" w:rsidP="00BD0220">
      <w:pPr>
        <w:widowControl w:val="0"/>
        <w:numPr>
          <w:ilvl w:val="0"/>
          <w:numId w:val="14"/>
        </w:numPr>
        <w:tabs>
          <w:tab w:val="clear" w:pos="567"/>
        </w:tabs>
        <w:spacing w:line="240" w:lineRule="auto"/>
        <w:ind w:left="567" w:hanging="567"/>
        <w:rPr>
          <w:szCs w:val="22"/>
        </w:rPr>
      </w:pPr>
      <w:r w:rsidRPr="00CD7E52">
        <w:rPr>
          <w:szCs w:val="22"/>
          <w:lang w:val="lt-LT"/>
        </w:rPr>
        <w:t>galvos skausmas;</w:t>
      </w:r>
    </w:p>
    <w:p w14:paraId="474E64ED" w14:textId="77777777" w:rsidR="00F54278" w:rsidRPr="00CD7E52" w:rsidRDefault="00F54278" w:rsidP="00BD0220">
      <w:pPr>
        <w:widowControl w:val="0"/>
        <w:numPr>
          <w:ilvl w:val="0"/>
          <w:numId w:val="14"/>
        </w:numPr>
        <w:tabs>
          <w:tab w:val="clear" w:pos="567"/>
        </w:tabs>
        <w:spacing w:line="240" w:lineRule="auto"/>
        <w:ind w:left="567" w:hanging="567"/>
        <w:rPr>
          <w:szCs w:val="22"/>
        </w:rPr>
      </w:pPr>
      <w:r w:rsidRPr="00CD7E52">
        <w:rPr>
          <w:szCs w:val="22"/>
          <w:lang w:val="lt-LT"/>
        </w:rPr>
        <w:t>viršutinių kvėpavimo takų infekcijos, pvz., peršalimas, sloga, sinusų infekcija.</w:t>
      </w:r>
    </w:p>
    <w:p w14:paraId="2582A8F2" w14:textId="77777777" w:rsidR="005B0310" w:rsidRPr="00CD7E52" w:rsidRDefault="005B0310" w:rsidP="00BD0220">
      <w:pPr>
        <w:widowControl w:val="0"/>
        <w:tabs>
          <w:tab w:val="clear" w:pos="567"/>
        </w:tabs>
        <w:autoSpaceDE w:val="0"/>
        <w:autoSpaceDN w:val="0"/>
        <w:adjustRightInd w:val="0"/>
        <w:spacing w:line="240" w:lineRule="auto"/>
        <w:rPr>
          <w:szCs w:val="22"/>
          <w:lang w:val="lt-LT"/>
        </w:rPr>
      </w:pPr>
    </w:p>
    <w:p w14:paraId="20982561" w14:textId="77777777" w:rsidR="00F54278" w:rsidRPr="00CD7E52" w:rsidRDefault="005B0310" w:rsidP="00BD0220">
      <w:pPr>
        <w:widowControl w:val="0"/>
        <w:tabs>
          <w:tab w:val="clear" w:pos="567"/>
        </w:tabs>
        <w:autoSpaceDE w:val="0"/>
        <w:autoSpaceDN w:val="0"/>
        <w:adjustRightInd w:val="0"/>
        <w:spacing w:line="240" w:lineRule="auto"/>
        <w:rPr>
          <w:szCs w:val="22"/>
          <w:lang w:val="lt-LT"/>
        </w:rPr>
      </w:pPr>
      <w:r w:rsidRPr="00CD7E52">
        <w:rPr>
          <w:b/>
          <w:szCs w:val="22"/>
          <w:lang w:val="lt-LT"/>
        </w:rPr>
        <w:lastRenderedPageBreak/>
        <w:t xml:space="preserve">Dažni šalutinio poveikio reiškiniai </w:t>
      </w:r>
      <w:r w:rsidRPr="00CD7E52">
        <w:rPr>
          <w:szCs w:val="22"/>
          <w:lang w:val="lt-LT"/>
        </w:rPr>
        <w:t>(gali pasireikšti rečiau kaip 1 iš 10</w:t>
      </w:r>
      <w:r w:rsidR="00A062B1" w:rsidRPr="00CD7E52">
        <w:rPr>
          <w:szCs w:val="22"/>
          <w:lang w:val="lt-LT"/>
        </w:rPr>
        <w:t> </w:t>
      </w:r>
      <w:r w:rsidRPr="00CD7E52">
        <w:rPr>
          <w:szCs w:val="22"/>
          <w:lang w:val="lt-LT"/>
        </w:rPr>
        <w:t>asmenų)</w:t>
      </w:r>
      <w:r w:rsidR="00F54278" w:rsidRPr="00CD7E52">
        <w:rPr>
          <w:szCs w:val="22"/>
          <w:lang w:val="lt-LT"/>
        </w:rPr>
        <w:t>:</w:t>
      </w:r>
    </w:p>
    <w:p w14:paraId="07DECF6F" w14:textId="77777777" w:rsidR="00F54278" w:rsidRPr="00CD7E52" w:rsidRDefault="00F54278" w:rsidP="00BD0220">
      <w:pPr>
        <w:widowControl w:val="0"/>
        <w:numPr>
          <w:ilvl w:val="0"/>
          <w:numId w:val="14"/>
        </w:numPr>
        <w:tabs>
          <w:tab w:val="clear" w:pos="567"/>
        </w:tabs>
        <w:spacing w:line="240" w:lineRule="auto"/>
        <w:ind w:left="567" w:hanging="567"/>
        <w:rPr>
          <w:szCs w:val="22"/>
        </w:rPr>
      </w:pPr>
      <w:r w:rsidRPr="00CD7E52">
        <w:rPr>
          <w:szCs w:val="22"/>
          <w:lang w:val="lt-LT"/>
        </w:rPr>
        <w:t>kosulys;</w:t>
      </w:r>
    </w:p>
    <w:p w14:paraId="09C89CF6" w14:textId="77777777" w:rsidR="00F54278" w:rsidRPr="00CD7E52" w:rsidRDefault="00F54278" w:rsidP="00BD0220">
      <w:pPr>
        <w:widowControl w:val="0"/>
        <w:numPr>
          <w:ilvl w:val="0"/>
          <w:numId w:val="14"/>
        </w:numPr>
        <w:tabs>
          <w:tab w:val="clear" w:pos="567"/>
        </w:tabs>
        <w:spacing w:line="240" w:lineRule="auto"/>
        <w:ind w:left="567" w:hanging="567"/>
        <w:rPr>
          <w:szCs w:val="22"/>
        </w:rPr>
      </w:pPr>
      <w:r w:rsidRPr="00CD7E52">
        <w:rPr>
          <w:szCs w:val="22"/>
          <w:lang w:val="lt-LT"/>
        </w:rPr>
        <w:t>nugaros skausmas;</w:t>
      </w:r>
    </w:p>
    <w:p w14:paraId="703A2F5A" w14:textId="77777777" w:rsidR="00F54278" w:rsidRPr="00CD7E52" w:rsidRDefault="00F54278" w:rsidP="00BD0220">
      <w:pPr>
        <w:widowControl w:val="0"/>
        <w:numPr>
          <w:ilvl w:val="0"/>
          <w:numId w:val="14"/>
        </w:numPr>
        <w:tabs>
          <w:tab w:val="clear" w:pos="567"/>
        </w:tabs>
        <w:spacing w:line="240" w:lineRule="auto"/>
        <w:ind w:left="567" w:hanging="567"/>
        <w:rPr>
          <w:szCs w:val="22"/>
        </w:rPr>
      </w:pPr>
      <w:r w:rsidRPr="00CD7E52">
        <w:rPr>
          <w:szCs w:val="22"/>
          <w:lang w:val="lt-LT"/>
        </w:rPr>
        <w:t>vėmimas;</w:t>
      </w:r>
    </w:p>
    <w:p w14:paraId="0337936C" w14:textId="77777777" w:rsidR="00F54278" w:rsidRPr="00CD7E52" w:rsidRDefault="00F54278" w:rsidP="00BD0220">
      <w:pPr>
        <w:widowControl w:val="0"/>
        <w:numPr>
          <w:ilvl w:val="0"/>
          <w:numId w:val="14"/>
        </w:numPr>
        <w:tabs>
          <w:tab w:val="clear" w:pos="567"/>
        </w:tabs>
        <w:spacing w:line="240" w:lineRule="auto"/>
        <w:ind w:left="567" w:hanging="567"/>
        <w:rPr>
          <w:szCs w:val="22"/>
        </w:rPr>
      </w:pPr>
      <w:r w:rsidRPr="00CD7E52">
        <w:rPr>
          <w:szCs w:val="22"/>
          <w:lang w:val="lt-LT"/>
        </w:rPr>
        <w:t>nuovargio pojūtis;</w:t>
      </w:r>
    </w:p>
    <w:p w14:paraId="061F564D" w14:textId="77777777" w:rsidR="00F54278" w:rsidRPr="00CD7E52" w:rsidRDefault="00F54278" w:rsidP="00BD0220">
      <w:pPr>
        <w:widowControl w:val="0"/>
        <w:numPr>
          <w:ilvl w:val="0"/>
          <w:numId w:val="14"/>
        </w:numPr>
        <w:tabs>
          <w:tab w:val="clear" w:pos="567"/>
        </w:tabs>
        <w:spacing w:line="240" w:lineRule="auto"/>
        <w:ind w:left="567" w:hanging="567"/>
        <w:rPr>
          <w:szCs w:val="22"/>
        </w:rPr>
      </w:pPr>
      <w:r w:rsidRPr="00CD7E52">
        <w:rPr>
          <w:szCs w:val="22"/>
          <w:lang w:val="lt-LT"/>
        </w:rPr>
        <w:t>skrandžio skausmas;</w:t>
      </w:r>
    </w:p>
    <w:p w14:paraId="7B3E8710" w14:textId="77777777" w:rsidR="00F54278" w:rsidRPr="00CD7E52" w:rsidRDefault="00F54278" w:rsidP="00BD0220">
      <w:pPr>
        <w:widowControl w:val="0"/>
        <w:numPr>
          <w:ilvl w:val="0"/>
          <w:numId w:val="14"/>
        </w:numPr>
        <w:tabs>
          <w:tab w:val="clear" w:pos="567"/>
        </w:tabs>
        <w:spacing w:line="240" w:lineRule="auto"/>
        <w:ind w:left="567" w:hanging="567"/>
        <w:rPr>
          <w:szCs w:val="22"/>
        </w:rPr>
      </w:pPr>
      <w:r w:rsidRPr="00CD7E52">
        <w:rPr>
          <w:szCs w:val="22"/>
          <w:lang w:val="lt-LT"/>
        </w:rPr>
        <w:t>apetito praradimas;</w:t>
      </w:r>
    </w:p>
    <w:p w14:paraId="28D05F66" w14:textId="77777777" w:rsidR="00F54278" w:rsidRPr="00CD7E52" w:rsidRDefault="00F54278" w:rsidP="00BD0220">
      <w:pPr>
        <w:widowControl w:val="0"/>
        <w:numPr>
          <w:ilvl w:val="0"/>
          <w:numId w:val="14"/>
        </w:numPr>
        <w:tabs>
          <w:tab w:val="clear" w:pos="567"/>
        </w:tabs>
        <w:spacing w:line="240" w:lineRule="auto"/>
        <w:ind w:left="567" w:hanging="567"/>
        <w:rPr>
          <w:szCs w:val="22"/>
        </w:rPr>
      </w:pPr>
      <w:r w:rsidRPr="00CD7E52">
        <w:rPr>
          <w:szCs w:val="22"/>
          <w:lang w:val="lt-LT"/>
        </w:rPr>
        <w:t>dažnas tuštinimasis;</w:t>
      </w:r>
    </w:p>
    <w:p w14:paraId="5CE89AA7" w14:textId="77777777" w:rsidR="00F54278" w:rsidRPr="00CD7E52" w:rsidRDefault="00F54278" w:rsidP="00BD0220">
      <w:pPr>
        <w:widowControl w:val="0"/>
        <w:numPr>
          <w:ilvl w:val="0"/>
          <w:numId w:val="14"/>
        </w:numPr>
        <w:tabs>
          <w:tab w:val="clear" w:pos="567"/>
        </w:tabs>
        <w:spacing w:line="240" w:lineRule="auto"/>
        <w:ind w:left="567" w:hanging="567"/>
        <w:rPr>
          <w:szCs w:val="22"/>
        </w:rPr>
      </w:pPr>
      <w:r w:rsidRPr="00CD7E52">
        <w:rPr>
          <w:szCs w:val="22"/>
          <w:lang w:val="lt-LT"/>
        </w:rPr>
        <w:t>sutrikęs miegas (nemiga);</w:t>
      </w:r>
    </w:p>
    <w:p w14:paraId="6281E743" w14:textId="77777777" w:rsidR="00F54278" w:rsidRPr="00CD7E52" w:rsidRDefault="00F54278" w:rsidP="00BD0220">
      <w:pPr>
        <w:widowControl w:val="0"/>
        <w:numPr>
          <w:ilvl w:val="0"/>
          <w:numId w:val="14"/>
        </w:numPr>
        <w:tabs>
          <w:tab w:val="clear" w:pos="567"/>
        </w:tabs>
        <w:spacing w:line="240" w:lineRule="auto"/>
        <w:ind w:left="567" w:hanging="567"/>
        <w:rPr>
          <w:szCs w:val="22"/>
        </w:rPr>
      </w:pPr>
      <w:r w:rsidRPr="00CD7E52">
        <w:rPr>
          <w:szCs w:val="22"/>
          <w:lang w:val="lt-LT"/>
        </w:rPr>
        <w:t>nevirškinimas arba rėmuo;</w:t>
      </w:r>
    </w:p>
    <w:p w14:paraId="2C91D314" w14:textId="77777777" w:rsidR="00F54278" w:rsidRPr="00716E07" w:rsidRDefault="00F54278" w:rsidP="00BD0220">
      <w:pPr>
        <w:widowControl w:val="0"/>
        <w:numPr>
          <w:ilvl w:val="0"/>
          <w:numId w:val="14"/>
        </w:numPr>
        <w:tabs>
          <w:tab w:val="clear" w:pos="567"/>
        </w:tabs>
        <w:spacing w:line="240" w:lineRule="auto"/>
        <w:ind w:left="567" w:hanging="567"/>
        <w:rPr>
          <w:lang w:val="pt-PT"/>
        </w:rPr>
      </w:pPr>
      <w:r w:rsidRPr="00CD7E52">
        <w:rPr>
          <w:szCs w:val="22"/>
          <w:lang w:val="lt-LT"/>
        </w:rPr>
        <w:t>plauči</w:t>
      </w:r>
      <w:r w:rsidR="0075403F" w:rsidRPr="00CD7E52">
        <w:rPr>
          <w:szCs w:val="22"/>
          <w:lang w:val="lt-LT"/>
        </w:rPr>
        <w:t xml:space="preserve">ų </w:t>
      </w:r>
      <w:r w:rsidR="0075403F" w:rsidRPr="00CD7E52">
        <w:rPr>
          <w:snapToGrid/>
          <w:szCs w:val="22"/>
          <w:lang w:val="lt-LT"/>
        </w:rPr>
        <w:t>takų</w:t>
      </w:r>
      <w:r w:rsidR="00BC6A54">
        <w:rPr>
          <w:snapToGrid/>
          <w:szCs w:val="22"/>
          <w:lang w:val="lt-LT"/>
        </w:rPr>
        <w:t>/vamzdelių (</w:t>
      </w:r>
      <w:r w:rsidR="00DB6460">
        <w:rPr>
          <w:szCs w:val="22"/>
          <w:lang w:val="lt-LT"/>
        </w:rPr>
        <w:t>bronchų</w:t>
      </w:r>
      <w:r w:rsidR="00BC6A54">
        <w:rPr>
          <w:szCs w:val="22"/>
          <w:lang w:val="lt-LT"/>
        </w:rPr>
        <w:t>)</w:t>
      </w:r>
      <w:r w:rsidRPr="00CD7E52">
        <w:rPr>
          <w:szCs w:val="22"/>
          <w:lang w:val="lt-LT"/>
        </w:rPr>
        <w:t xml:space="preserve"> uždegimas ir patinimas (bronchitas);</w:t>
      </w:r>
    </w:p>
    <w:p w14:paraId="715B62A8" w14:textId="77777777" w:rsidR="00F54278" w:rsidRPr="00CD7E52" w:rsidRDefault="0075403F" w:rsidP="00BD0220">
      <w:pPr>
        <w:widowControl w:val="0"/>
        <w:numPr>
          <w:ilvl w:val="0"/>
          <w:numId w:val="14"/>
        </w:numPr>
        <w:tabs>
          <w:tab w:val="clear" w:pos="567"/>
        </w:tabs>
        <w:spacing w:line="240" w:lineRule="auto"/>
        <w:ind w:left="567" w:hanging="567"/>
        <w:rPr>
          <w:szCs w:val="22"/>
        </w:rPr>
      </w:pPr>
      <w:r w:rsidRPr="00CD7E52">
        <w:rPr>
          <w:snapToGrid/>
          <w:szCs w:val="22"/>
          <w:lang w:val="lt-LT"/>
        </w:rPr>
        <w:t>paprastas</w:t>
      </w:r>
      <w:r w:rsidR="00F54278" w:rsidRPr="00CD7E52">
        <w:rPr>
          <w:szCs w:val="22"/>
          <w:lang w:val="lt-LT"/>
        </w:rPr>
        <w:t xml:space="preserve"> peršalimas (nosiaryklės uždegimas);</w:t>
      </w:r>
    </w:p>
    <w:p w14:paraId="59E4B04E" w14:textId="77777777" w:rsidR="00F54278" w:rsidRPr="00CD7E52" w:rsidRDefault="00F54278" w:rsidP="00BD0220">
      <w:pPr>
        <w:widowControl w:val="0"/>
        <w:numPr>
          <w:ilvl w:val="0"/>
          <w:numId w:val="14"/>
        </w:numPr>
        <w:tabs>
          <w:tab w:val="clear" w:pos="567"/>
        </w:tabs>
        <w:spacing w:line="240" w:lineRule="auto"/>
        <w:ind w:left="567" w:hanging="567"/>
        <w:rPr>
          <w:szCs w:val="22"/>
        </w:rPr>
      </w:pPr>
      <w:r w:rsidRPr="00CD7E52">
        <w:rPr>
          <w:szCs w:val="22"/>
          <w:lang w:val="lt-LT"/>
        </w:rPr>
        <w:t>depresija;</w:t>
      </w:r>
    </w:p>
    <w:p w14:paraId="354C821E" w14:textId="77777777" w:rsidR="00F54278" w:rsidRPr="00CD7E52" w:rsidRDefault="00F54278" w:rsidP="00BD0220">
      <w:pPr>
        <w:widowControl w:val="0"/>
        <w:numPr>
          <w:ilvl w:val="0"/>
          <w:numId w:val="14"/>
        </w:numPr>
        <w:tabs>
          <w:tab w:val="clear" w:pos="567"/>
        </w:tabs>
        <w:spacing w:line="240" w:lineRule="auto"/>
        <w:ind w:left="567" w:hanging="567"/>
        <w:rPr>
          <w:szCs w:val="22"/>
        </w:rPr>
      </w:pPr>
      <w:r w:rsidRPr="00CD7E52">
        <w:rPr>
          <w:szCs w:val="22"/>
          <w:lang w:val="lt-LT"/>
        </w:rPr>
        <w:t>migrena;</w:t>
      </w:r>
    </w:p>
    <w:p w14:paraId="5328944F" w14:textId="77777777" w:rsidR="00F54278" w:rsidRPr="00CD7E52" w:rsidRDefault="00F54278" w:rsidP="00BD0220">
      <w:pPr>
        <w:widowControl w:val="0"/>
        <w:numPr>
          <w:ilvl w:val="0"/>
          <w:numId w:val="14"/>
        </w:numPr>
        <w:tabs>
          <w:tab w:val="clear" w:pos="567"/>
        </w:tabs>
        <w:spacing w:line="240" w:lineRule="auto"/>
        <w:ind w:left="567" w:hanging="567"/>
        <w:rPr>
          <w:szCs w:val="22"/>
        </w:rPr>
      </w:pPr>
      <w:r w:rsidRPr="00CD7E52">
        <w:rPr>
          <w:szCs w:val="22"/>
          <w:lang w:val="lt-LT"/>
        </w:rPr>
        <w:t>įtampos tipo galvos skausmas.</w:t>
      </w:r>
    </w:p>
    <w:p w14:paraId="56CE8B9D" w14:textId="77777777" w:rsidR="005B0310" w:rsidRPr="00CD7E52" w:rsidRDefault="005B0310" w:rsidP="00BD0220">
      <w:pPr>
        <w:widowControl w:val="0"/>
        <w:tabs>
          <w:tab w:val="clear" w:pos="567"/>
        </w:tabs>
        <w:autoSpaceDE w:val="0"/>
        <w:autoSpaceDN w:val="0"/>
        <w:adjustRightInd w:val="0"/>
        <w:spacing w:line="240" w:lineRule="auto"/>
        <w:rPr>
          <w:szCs w:val="22"/>
          <w:lang w:val="lt-LT"/>
        </w:rPr>
      </w:pPr>
    </w:p>
    <w:p w14:paraId="4CCEFBF9" w14:textId="77777777" w:rsidR="00F54278" w:rsidRPr="00CD7E52" w:rsidRDefault="005B0310" w:rsidP="00BD0220">
      <w:pPr>
        <w:widowControl w:val="0"/>
        <w:tabs>
          <w:tab w:val="clear" w:pos="567"/>
        </w:tabs>
        <w:autoSpaceDE w:val="0"/>
        <w:autoSpaceDN w:val="0"/>
        <w:adjustRightInd w:val="0"/>
        <w:spacing w:line="240" w:lineRule="auto"/>
        <w:rPr>
          <w:szCs w:val="22"/>
          <w:lang w:val="lt-LT"/>
        </w:rPr>
      </w:pPr>
      <w:r w:rsidRPr="00CD7E52">
        <w:rPr>
          <w:b/>
          <w:szCs w:val="22"/>
          <w:lang w:val="lt-LT"/>
        </w:rPr>
        <w:t>Nedažni šalutinio poveikio reiškiniai</w:t>
      </w:r>
      <w:r w:rsidRPr="00CD7E52">
        <w:rPr>
          <w:szCs w:val="22"/>
          <w:lang w:val="lt-LT"/>
        </w:rPr>
        <w:t xml:space="preserve"> (gali pasireikšti rečiau kaip 1 iš 100</w:t>
      </w:r>
      <w:r w:rsidR="00A062B1" w:rsidRPr="00CD7E52">
        <w:rPr>
          <w:szCs w:val="22"/>
          <w:lang w:val="lt-LT"/>
        </w:rPr>
        <w:t> </w:t>
      </w:r>
      <w:r w:rsidRPr="00CD7E52">
        <w:rPr>
          <w:szCs w:val="22"/>
          <w:lang w:val="lt-LT"/>
        </w:rPr>
        <w:t>asmenų)</w:t>
      </w:r>
      <w:r w:rsidR="005A5A9E" w:rsidRPr="00CD7E52">
        <w:rPr>
          <w:szCs w:val="22"/>
          <w:lang w:val="lt-LT"/>
        </w:rPr>
        <w:t>:</w:t>
      </w:r>
    </w:p>
    <w:p w14:paraId="3BA5558D" w14:textId="77777777" w:rsidR="00F54278" w:rsidRPr="00CD7E52" w:rsidRDefault="00F54278" w:rsidP="00BD0220">
      <w:pPr>
        <w:widowControl w:val="0"/>
        <w:numPr>
          <w:ilvl w:val="0"/>
          <w:numId w:val="14"/>
        </w:numPr>
        <w:tabs>
          <w:tab w:val="clear" w:pos="567"/>
        </w:tabs>
        <w:spacing w:line="240" w:lineRule="auto"/>
        <w:ind w:left="567" w:hanging="567"/>
        <w:rPr>
          <w:szCs w:val="22"/>
          <w:lang w:val="lt-LT"/>
        </w:rPr>
      </w:pPr>
      <w:r w:rsidRPr="00CD7E52">
        <w:rPr>
          <w:szCs w:val="22"/>
          <w:lang w:val="lt-LT"/>
        </w:rPr>
        <w:t>išbėrimas;</w:t>
      </w:r>
    </w:p>
    <w:p w14:paraId="50CFD0BF" w14:textId="77777777" w:rsidR="00F54278" w:rsidRPr="00CD7E52" w:rsidRDefault="00F54278" w:rsidP="00BD0220">
      <w:pPr>
        <w:widowControl w:val="0"/>
        <w:numPr>
          <w:ilvl w:val="0"/>
          <w:numId w:val="14"/>
        </w:numPr>
        <w:tabs>
          <w:tab w:val="clear" w:pos="567"/>
        </w:tabs>
        <w:spacing w:line="240" w:lineRule="auto"/>
        <w:ind w:left="567" w:hanging="567"/>
        <w:rPr>
          <w:szCs w:val="22"/>
          <w:lang w:val="lt-LT"/>
        </w:rPr>
      </w:pPr>
      <w:r w:rsidRPr="00CD7E52">
        <w:rPr>
          <w:szCs w:val="22"/>
          <w:lang w:val="lt-LT"/>
        </w:rPr>
        <w:t>dilgėlinė (</w:t>
      </w:r>
      <w:r w:rsidR="00926935" w:rsidRPr="00C000F2">
        <w:rPr>
          <w:i/>
          <w:iCs/>
          <w:snapToGrid/>
          <w:szCs w:val="22"/>
          <w:lang w:val="lt-LT"/>
        </w:rPr>
        <w:t>urti</w:t>
      </w:r>
      <w:r w:rsidR="00B52506" w:rsidRPr="00C000F2">
        <w:rPr>
          <w:i/>
          <w:iCs/>
          <w:snapToGrid/>
          <w:szCs w:val="22"/>
          <w:lang w:val="lt-LT"/>
        </w:rPr>
        <w:t>caria</w:t>
      </w:r>
      <w:r w:rsidRPr="00CD7E52">
        <w:rPr>
          <w:szCs w:val="22"/>
          <w:lang w:val="lt-LT"/>
        </w:rPr>
        <w:t>);</w:t>
      </w:r>
    </w:p>
    <w:p w14:paraId="4F881703" w14:textId="77777777" w:rsidR="00F54278" w:rsidRPr="00CD7E52" w:rsidRDefault="0075403F" w:rsidP="00BD0220">
      <w:pPr>
        <w:widowControl w:val="0"/>
        <w:numPr>
          <w:ilvl w:val="0"/>
          <w:numId w:val="14"/>
        </w:numPr>
        <w:tabs>
          <w:tab w:val="clear" w:pos="567"/>
        </w:tabs>
        <w:spacing w:line="240" w:lineRule="auto"/>
        <w:ind w:left="567" w:hanging="567"/>
        <w:rPr>
          <w:szCs w:val="22"/>
          <w:lang w:val="lt-LT"/>
        </w:rPr>
      </w:pPr>
      <w:r w:rsidRPr="00CD7E52">
        <w:rPr>
          <w:snapToGrid/>
          <w:szCs w:val="22"/>
          <w:lang w:val="lt-LT"/>
        </w:rPr>
        <w:t xml:space="preserve">kūno </w:t>
      </w:r>
      <w:r w:rsidR="00F54278" w:rsidRPr="00CD7E52">
        <w:rPr>
          <w:szCs w:val="22"/>
          <w:lang w:val="lt-LT"/>
        </w:rPr>
        <w:t>svorio mažėjimas;</w:t>
      </w:r>
    </w:p>
    <w:p w14:paraId="32E7AFF3" w14:textId="77777777" w:rsidR="00F54278" w:rsidRPr="00CD7E52" w:rsidRDefault="00F54278" w:rsidP="00BD0220">
      <w:pPr>
        <w:widowControl w:val="0"/>
        <w:numPr>
          <w:ilvl w:val="0"/>
          <w:numId w:val="14"/>
        </w:numPr>
        <w:tabs>
          <w:tab w:val="clear" w:pos="567"/>
        </w:tabs>
        <w:spacing w:line="240" w:lineRule="auto"/>
        <w:ind w:left="567" w:hanging="567"/>
        <w:rPr>
          <w:szCs w:val="22"/>
          <w:lang w:val="lt-LT"/>
        </w:rPr>
      </w:pPr>
      <w:r w:rsidRPr="00CD7E52">
        <w:rPr>
          <w:szCs w:val="22"/>
          <w:lang w:val="lt-LT"/>
        </w:rPr>
        <w:t>alerginė reakcija;</w:t>
      </w:r>
    </w:p>
    <w:p w14:paraId="7D55B94B" w14:textId="77777777" w:rsidR="00F54278" w:rsidRPr="00CD7E52" w:rsidRDefault="00F54278" w:rsidP="00BD0220">
      <w:pPr>
        <w:widowControl w:val="0"/>
        <w:numPr>
          <w:ilvl w:val="0"/>
          <w:numId w:val="14"/>
        </w:numPr>
        <w:tabs>
          <w:tab w:val="clear" w:pos="567"/>
        </w:tabs>
        <w:spacing w:line="240" w:lineRule="auto"/>
        <w:ind w:left="567" w:hanging="567"/>
        <w:rPr>
          <w:szCs w:val="22"/>
          <w:lang w:val="lt-LT"/>
        </w:rPr>
      </w:pPr>
      <w:r w:rsidRPr="00CD7E52">
        <w:rPr>
          <w:szCs w:val="22"/>
          <w:lang w:val="lt-LT"/>
        </w:rPr>
        <w:t>kraujavimas iš žarnyno arba skrandžio;</w:t>
      </w:r>
    </w:p>
    <w:p w14:paraId="5CB25F0A" w14:textId="77777777" w:rsidR="003417B4" w:rsidRPr="00F27966" w:rsidRDefault="00F54278" w:rsidP="00BD0220">
      <w:pPr>
        <w:widowControl w:val="0"/>
        <w:numPr>
          <w:ilvl w:val="0"/>
          <w:numId w:val="14"/>
        </w:numPr>
        <w:tabs>
          <w:tab w:val="clear" w:pos="567"/>
        </w:tabs>
        <w:spacing w:line="240" w:lineRule="auto"/>
        <w:ind w:left="567" w:hanging="567"/>
        <w:rPr>
          <w:szCs w:val="22"/>
          <w:lang w:val="lt-LT"/>
        </w:rPr>
      </w:pPr>
      <w:r w:rsidRPr="00CD7E52">
        <w:rPr>
          <w:szCs w:val="22"/>
          <w:lang w:val="lt-LT"/>
        </w:rPr>
        <w:t xml:space="preserve">mintys apie savižudybę arba </w:t>
      </w:r>
      <w:r w:rsidR="0075403F" w:rsidRPr="00CD7E52">
        <w:rPr>
          <w:snapToGrid/>
          <w:szCs w:val="22"/>
          <w:lang w:val="lt-LT"/>
        </w:rPr>
        <w:t>su savižudybe susijęs elgesys</w:t>
      </w:r>
      <w:r w:rsidR="003417B4">
        <w:rPr>
          <w:snapToGrid/>
          <w:szCs w:val="22"/>
          <w:lang w:val="lt-LT"/>
        </w:rPr>
        <w:t>;</w:t>
      </w:r>
    </w:p>
    <w:p w14:paraId="41F4F8F2" w14:textId="77777777" w:rsidR="003417B4" w:rsidRDefault="003417B4" w:rsidP="00BD0220">
      <w:pPr>
        <w:widowControl w:val="0"/>
        <w:numPr>
          <w:ilvl w:val="0"/>
          <w:numId w:val="14"/>
        </w:numPr>
        <w:tabs>
          <w:tab w:val="clear" w:pos="567"/>
        </w:tabs>
        <w:spacing w:line="240" w:lineRule="auto"/>
        <w:ind w:left="567" w:hanging="567"/>
        <w:rPr>
          <w:szCs w:val="22"/>
          <w:lang w:val="lt-LT"/>
        </w:rPr>
      </w:pPr>
      <w:r w:rsidRPr="003417B4">
        <w:rPr>
          <w:szCs w:val="22"/>
          <w:lang w:val="lt-LT"/>
        </w:rPr>
        <w:t>nerimas</w:t>
      </w:r>
      <w:r w:rsidR="00265C2E">
        <w:rPr>
          <w:szCs w:val="22"/>
          <w:lang w:val="lt-LT"/>
        </w:rPr>
        <w:t>;</w:t>
      </w:r>
    </w:p>
    <w:p w14:paraId="6DFF2E7C" w14:textId="77777777" w:rsidR="00F54278" w:rsidRPr="00CD7E52" w:rsidRDefault="003417B4" w:rsidP="00BD0220">
      <w:pPr>
        <w:widowControl w:val="0"/>
        <w:numPr>
          <w:ilvl w:val="0"/>
          <w:numId w:val="14"/>
        </w:numPr>
        <w:tabs>
          <w:tab w:val="clear" w:pos="567"/>
        </w:tabs>
        <w:spacing w:line="240" w:lineRule="auto"/>
        <w:ind w:left="567" w:hanging="567"/>
        <w:rPr>
          <w:szCs w:val="22"/>
          <w:lang w:val="lt-LT"/>
        </w:rPr>
      </w:pPr>
      <w:r w:rsidRPr="003417B4">
        <w:rPr>
          <w:szCs w:val="22"/>
          <w:lang w:val="lt-LT"/>
        </w:rPr>
        <w:t>nuotaik</w:t>
      </w:r>
      <w:r>
        <w:rPr>
          <w:szCs w:val="22"/>
          <w:lang w:val="lt-LT"/>
        </w:rPr>
        <w:t>os</w:t>
      </w:r>
      <w:r w:rsidRPr="003417B4">
        <w:rPr>
          <w:szCs w:val="22"/>
          <w:lang w:val="lt-LT"/>
        </w:rPr>
        <w:t xml:space="preserve"> pakit</w:t>
      </w:r>
      <w:r>
        <w:rPr>
          <w:szCs w:val="22"/>
          <w:lang w:val="lt-LT"/>
        </w:rPr>
        <w:t>imai</w:t>
      </w:r>
      <w:r w:rsidR="00F54278" w:rsidRPr="00CD7E52">
        <w:rPr>
          <w:szCs w:val="22"/>
          <w:lang w:val="lt-LT"/>
        </w:rPr>
        <w:t>.</w:t>
      </w:r>
    </w:p>
    <w:p w14:paraId="71A72B54" w14:textId="77777777" w:rsidR="005B0310" w:rsidRPr="00CD7E52" w:rsidRDefault="005B0310" w:rsidP="00BD0220">
      <w:pPr>
        <w:widowControl w:val="0"/>
        <w:tabs>
          <w:tab w:val="clear" w:pos="567"/>
        </w:tabs>
        <w:autoSpaceDE w:val="0"/>
        <w:autoSpaceDN w:val="0"/>
        <w:adjustRightInd w:val="0"/>
        <w:spacing w:line="240" w:lineRule="auto"/>
        <w:rPr>
          <w:szCs w:val="22"/>
          <w:lang w:val="lt-LT"/>
        </w:rPr>
      </w:pPr>
    </w:p>
    <w:p w14:paraId="35361F17" w14:textId="77777777" w:rsidR="005B0310" w:rsidRPr="00CD7E52" w:rsidRDefault="005B0310" w:rsidP="00BD0220">
      <w:pPr>
        <w:widowControl w:val="0"/>
        <w:tabs>
          <w:tab w:val="clear" w:pos="567"/>
        </w:tabs>
        <w:autoSpaceDE w:val="0"/>
        <w:autoSpaceDN w:val="0"/>
        <w:adjustRightInd w:val="0"/>
        <w:spacing w:line="240" w:lineRule="auto"/>
        <w:rPr>
          <w:szCs w:val="22"/>
          <w:lang w:val="lt-LT"/>
        </w:rPr>
      </w:pPr>
      <w:r w:rsidRPr="00CD7E52">
        <w:rPr>
          <w:b/>
          <w:szCs w:val="22"/>
          <w:lang w:val="lt-LT"/>
        </w:rPr>
        <w:t xml:space="preserve">Šalutinio poveikio reiškiniai, kurių dažnis nežinomas </w:t>
      </w:r>
      <w:r w:rsidRPr="00CD7E52">
        <w:rPr>
          <w:szCs w:val="22"/>
          <w:lang w:val="lt-LT"/>
        </w:rPr>
        <w:t>(negali būti apskaičiuotas pagal turimus duomenis):</w:t>
      </w:r>
    </w:p>
    <w:p w14:paraId="78538CA5" w14:textId="77777777" w:rsidR="00F54278" w:rsidRPr="00CD7E52" w:rsidRDefault="00F54278" w:rsidP="00BD0220">
      <w:pPr>
        <w:widowControl w:val="0"/>
        <w:numPr>
          <w:ilvl w:val="0"/>
          <w:numId w:val="14"/>
        </w:numPr>
        <w:tabs>
          <w:tab w:val="clear" w:pos="567"/>
        </w:tabs>
        <w:spacing w:line="240" w:lineRule="auto"/>
        <w:ind w:left="567" w:hanging="567"/>
        <w:rPr>
          <w:szCs w:val="22"/>
          <w:lang w:val="lt-LT"/>
        </w:rPr>
      </w:pPr>
      <w:r w:rsidRPr="00CD7E52">
        <w:rPr>
          <w:szCs w:val="22"/>
          <w:lang w:val="lt-LT"/>
        </w:rPr>
        <w:t>sunki alerginė reakcija (</w:t>
      </w:r>
      <w:r w:rsidR="0075403F" w:rsidRPr="00CD7E52">
        <w:rPr>
          <w:snapToGrid/>
          <w:szCs w:val="22"/>
          <w:lang w:val="lt-LT"/>
        </w:rPr>
        <w:t xml:space="preserve">ji </w:t>
      </w:r>
      <w:r w:rsidRPr="00CD7E52">
        <w:rPr>
          <w:szCs w:val="22"/>
          <w:lang w:val="lt-LT"/>
        </w:rPr>
        <w:t>gali apimti veido, lūpų, burnos, liežuvio ar gerklės</w:t>
      </w:r>
      <w:r w:rsidR="005A3895">
        <w:rPr>
          <w:szCs w:val="22"/>
          <w:lang w:val="lt-LT"/>
        </w:rPr>
        <w:t xml:space="preserve"> (ryklės)</w:t>
      </w:r>
      <w:r w:rsidRPr="00CD7E52">
        <w:rPr>
          <w:szCs w:val="22"/>
          <w:lang w:val="lt-LT"/>
        </w:rPr>
        <w:t xml:space="preserve"> patinimą, dėl kurio gali būti</w:t>
      </w:r>
      <w:r w:rsidR="0075403F" w:rsidRPr="00CD7E52">
        <w:rPr>
          <w:szCs w:val="22"/>
          <w:lang w:val="lt-LT"/>
        </w:rPr>
        <w:t xml:space="preserve"> </w:t>
      </w:r>
      <w:r w:rsidRPr="00CD7E52">
        <w:rPr>
          <w:szCs w:val="22"/>
          <w:lang w:val="lt-LT"/>
        </w:rPr>
        <w:t>sunku kvėpuoti arba ryti).</w:t>
      </w:r>
    </w:p>
    <w:p w14:paraId="3847873C" w14:textId="77777777" w:rsidR="0075403F" w:rsidRPr="00CD7E52" w:rsidRDefault="0075403F" w:rsidP="00BD0220">
      <w:pPr>
        <w:widowControl w:val="0"/>
        <w:tabs>
          <w:tab w:val="clear" w:pos="567"/>
        </w:tabs>
        <w:autoSpaceDE w:val="0"/>
        <w:autoSpaceDN w:val="0"/>
        <w:adjustRightInd w:val="0"/>
        <w:spacing w:line="240" w:lineRule="auto"/>
        <w:rPr>
          <w:szCs w:val="22"/>
          <w:lang w:val="lt-LT"/>
        </w:rPr>
      </w:pPr>
    </w:p>
    <w:p w14:paraId="2B1BD4DA" w14:textId="77777777" w:rsidR="00776FBE" w:rsidRPr="00CD7E52" w:rsidRDefault="00F54278" w:rsidP="00BD0220">
      <w:pPr>
        <w:widowControl w:val="0"/>
        <w:tabs>
          <w:tab w:val="clear" w:pos="567"/>
        </w:tabs>
        <w:autoSpaceDE w:val="0"/>
        <w:autoSpaceDN w:val="0"/>
        <w:adjustRightInd w:val="0"/>
        <w:spacing w:line="240" w:lineRule="auto"/>
        <w:rPr>
          <w:szCs w:val="22"/>
          <w:lang w:val="lt-LT"/>
        </w:rPr>
      </w:pPr>
      <w:r w:rsidRPr="00CD7E52">
        <w:rPr>
          <w:szCs w:val="22"/>
          <w:lang w:val="lt-LT"/>
        </w:rPr>
        <w:t>Sunkaus viduriavimo, pykinimo ir vėmimo komplikacijų rizika gali būti didesnė, jei esate 65</w:t>
      </w:r>
      <w:r w:rsidR="00126626" w:rsidRPr="00CD7E52">
        <w:rPr>
          <w:szCs w:val="22"/>
          <w:lang w:val="lt-LT"/>
        </w:rPr>
        <w:t> </w:t>
      </w:r>
      <w:r w:rsidRPr="00CD7E52">
        <w:rPr>
          <w:szCs w:val="22"/>
          <w:lang w:val="lt-LT"/>
        </w:rPr>
        <w:t>metų ar</w:t>
      </w:r>
      <w:r w:rsidR="00126626" w:rsidRPr="00CD7E52">
        <w:rPr>
          <w:szCs w:val="22"/>
          <w:lang w:val="lt-LT"/>
        </w:rPr>
        <w:t xml:space="preserve"> </w:t>
      </w:r>
      <w:r w:rsidRPr="00CD7E52">
        <w:rPr>
          <w:szCs w:val="22"/>
          <w:lang w:val="lt-LT"/>
        </w:rPr>
        <w:t>vyresnis. Jei Jūsų žarnyno sutrikimai tampa sunkūs,</w:t>
      </w:r>
      <w:r w:rsidR="00126626" w:rsidRPr="00CD7E52">
        <w:rPr>
          <w:szCs w:val="22"/>
          <w:lang w:val="lt-LT"/>
        </w:rPr>
        <w:t xml:space="preserve"> </w:t>
      </w:r>
      <w:r w:rsidR="00126626" w:rsidRPr="00CD7E52">
        <w:rPr>
          <w:snapToGrid/>
          <w:szCs w:val="22"/>
          <w:lang w:val="lt-LT"/>
        </w:rPr>
        <w:t>turite</w:t>
      </w:r>
      <w:r w:rsidR="00126626" w:rsidRPr="00CD7E52">
        <w:rPr>
          <w:szCs w:val="22"/>
          <w:lang w:val="lt-LT"/>
        </w:rPr>
        <w:t xml:space="preserve"> pasitarti su gydytoju.</w:t>
      </w:r>
    </w:p>
    <w:p w14:paraId="65C170AE" w14:textId="77777777" w:rsidR="00776FBE" w:rsidRPr="00CD7E52" w:rsidRDefault="00776FBE" w:rsidP="00BD0220">
      <w:pPr>
        <w:widowControl w:val="0"/>
        <w:tabs>
          <w:tab w:val="clear" w:pos="567"/>
        </w:tabs>
        <w:autoSpaceDE w:val="0"/>
        <w:autoSpaceDN w:val="0"/>
        <w:adjustRightInd w:val="0"/>
        <w:spacing w:line="240" w:lineRule="auto"/>
        <w:rPr>
          <w:szCs w:val="22"/>
          <w:lang w:val="lt-LT"/>
        </w:rPr>
      </w:pPr>
    </w:p>
    <w:p w14:paraId="490CB9F9" w14:textId="77777777" w:rsidR="00776FBE" w:rsidRPr="00CD7E52" w:rsidRDefault="00776FBE" w:rsidP="00BD0220">
      <w:pPr>
        <w:widowControl w:val="0"/>
        <w:tabs>
          <w:tab w:val="clear" w:pos="567"/>
          <w:tab w:val="left" w:pos="540"/>
        </w:tabs>
        <w:spacing w:line="240" w:lineRule="auto"/>
        <w:rPr>
          <w:rFonts w:eastAsia="Calibri"/>
          <w:b/>
          <w:snapToGrid/>
          <w:szCs w:val="22"/>
          <w:lang w:val="lt-LT" w:eastAsia="lt-LT"/>
        </w:rPr>
      </w:pPr>
      <w:r w:rsidRPr="00CD7E52">
        <w:rPr>
          <w:rFonts w:eastAsia="Calibri"/>
          <w:b/>
          <w:szCs w:val="22"/>
          <w:lang w:val="lt-LT"/>
        </w:rPr>
        <w:t>Pranešimas apie šalutinį poveikį</w:t>
      </w:r>
    </w:p>
    <w:p w14:paraId="08475B7A" w14:textId="77777777" w:rsidR="00776FBE" w:rsidRPr="00CD7E52" w:rsidRDefault="00776FBE" w:rsidP="00BD0220">
      <w:pPr>
        <w:widowControl w:val="0"/>
        <w:tabs>
          <w:tab w:val="clear" w:pos="567"/>
          <w:tab w:val="left" w:pos="540"/>
        </w:tabs>
        <w:spacing w:line="240" w:lineRule="auto"/>
        <w:rPr>
          <w:rFonts w:eastAsia="Calibri"/>
          <w:snapToGrid/>
          <w:szCs w:val="22"/>
          <w:lang w:val="lt-LT" w:eastAsia="lt-LT"/>
        </w:rPr>
      </w:pPr>
      <w:r w:rsidRPr="00CD7E52">
        <w:rPr>
          <w:rFonts w:eastAsia="Calibri"/>
          <w:szCs w:val="22"/>
          <w:lang w:val="lt-LT"/>
        </w:rPr>
        <w:t>Jeigu pasireiškė šalutinis poveikis, įskaitant šiame lapelyje nenurodytą, pasakykite gydytojui</w:t>
      </w:r>
      <w:r w:rsidR="008B3993" w:rsidRPr="00CD7E52">
        <w:rPr>
          <w:rFonts w:eastAsia="Calibri"/>
          <w:szCs w:val="22"/>
          <w:lang w:val="lt-LT"/>
        </w:rPr>
        <w:t>,</w:t>
      </w:r>
      <w:r w:rsidR="0011038B" w:rsidRPr="00CD7E52">
        <w:rPr>
          <w:rFonts w:eastAsia="Calibri"/>
          <w:szCs w:val="22"/>
          <w:lang w:val="lt-LT"/>
        </w:rPr>
        <w:t xml:space="preserve"> </w:t>
      </w:r>
      <w:r w:rsidR="0075403F" w:rsidRPr="00CD7E52">
        <w:rPr>
          <w:rFonts w:eastAsia="Calibri"/>
          <w:szCs w:val="22"/>
          <w:lang w:val="lt-LT"/>
        </w:rPr>
        <w:t>vaistininkui</w:t>
      </w:r>
      <w:r w:rsidR="008B3993" w:rsidRPr="00CD7E52">
        <w:rPr>
          <w:rFonts w:eastAsia="Calibri"/>
          <w:szCs w:val="22"/>
          <w:lang w:val="lt-LT"/>
        </w:rPr>
        <w:t xml:space="preserve"> arba slaugytojui</w:t>
      </w:r>
      <w:r w:rsidRPr="00CD7E52">
        <w:rPr>
          <w:rFonts w:eastAsia="Calibri"/>
          <w:szCs w:val="22"/>
          <w:lang w:val="lt-LT"/>
        </w:rPr>
        <w:t xml:space="preserve">. </w:t>
      </w:r>
      <w:r w:rsidR="00560168" w:rsidRPr="00CD7E52">
        <w:rPr>
          <w:szCs w:val="22"/>
          <w:lang w:val="lt-LT" w:eastAsia="lt-LT"/>
        </w:rPr>
        <w:t xml:space="preserve">Pranešimą apie šalutinį poveikį galite užpildyti ir pateikti Valstybinės vaistų kontrolės tarnybos prie Lietuvos Respublikos sveikatos apsaugos ministerijos tinklalapyje </w:t>
      </w:r>
      <w:r w:rsidR="00560168" w:rsidRPr="00CD7E52">
        <w:rPr>
          <w:color w:val="0000EE"/>
          <w:szCs w:val="22"/>
          <w:u w:val="single"/>
          <w:lang w:val="lt-LT" w:eastAsia="lt-LT"/>
        </w:rPr>
        <w:t>https://vvkt.lrv.lt/lt/</w:t>
      </w:r>
      <w:r w:rsidR="00560168" w:rsidRPr="00CD7E52">
        <w:rPr>
          <w:szCs w:val="22"/>
          <w:lang w:val="lt-LT" w:eastAsia="lt-LT"/>
        </w:rPr>
        <w:t xml:space="preserve"> nurodytais būdais arba paskambinti nemokamu telefonu </w:t>
      </w:r>
      <w:r w:rsidR="007638FF" w:rsidRPr="007638FF">
        <w:rPr>
          <w:szCs w:val="22"/>
          <w:lang w:val="lt-LT" w:eastAsia="lt-LT"/>
        </w:rPr>
        <w:t>+370</w:t>
      </w:r>
      <w:r w:rsidR="00560168" w:rsidRPr="00CD7E52">
        <w:rPr>
          <w:szCs w:val="22"/>
          <w:lang w:val="lt-LT" w:eastAsia="lt-LT"/>
        </w:rPr>
        <w:t xml:space="preserve"> 800 73 568. Pranešdami apie šalutinį poveikį galite mums padėti gauti daugiau informacijos apie šio vaisto saugumą</w:t>
      </w:r>
      <w:r w:rsidR="00560168" w:rsidRPr="00CD7E52">
        <w:rPr>
          <w:szCs w:val="22"/>
          <w:lang w:val="lt-LT"/>
        </w:rPr>
        <w:t>.</w:t>
      </w:r>
    </w:p>
    <w:p w14:paraId="348D1EE1" w14:textId="77777777" w:rsidR="00776FBE" w:rsidRPr="00CD7E52" w:rsidRDefault="00776FBE" w:rsidP="00BD0220">
      <w:pPr>
        <w:widowControl w:val="0"/>
        <w:numPr>
          <w:ilvl w:val="12"/>
          <w:numId w:val="0"/>
        </w:numPr>
        <w:tabs>
          <w:tab w:val="clear" w:pos="567"/>
        </w:tabs>
        <w:spacing w:line="240" w:lineRule="auto"/>
        <w:ind w:right="-2"/>
        <w:rPr>
          <w:szCs w:val="22"/>
          <w:lang w:val="lt-LT"/>
        </w:rPr>
      </w:pPr>
    </w:p>
    <w:p w14:paraId="24E66320" w14:textId="77777777" w:rsidR="00CF15E3" w:rsidRPr="00CD7E52" w:rsidRDefault="00CF15E3" w:rsidP="00BD0220">
      <w:pPr>
        <w:widowControl w:val="0"/>
        <w:tabs>
          <w:tab w:val="clear" w:pos="567"/>
        </w:tabs>
        <w:kinsoku w:val="0"/>
        <w:overflowPunct w:val="0"/>
        <w:autoSpaceDE w:val="0"/>
        <w:autoSpaceDN w:val="0"/>
        <w:adjustRightInd w:val="0"/>
        <w:spacing w:line="240" w:lineRule="auto"/>
        <w:rPr>
          <w:szCs w:val="22"/>
          <w:lang w:val="lt-LT"/>
        </w:rPr>
      </w:pPr>
    </w:p>
    <w:p w14:paraId="35757DBF" w14:textId="77777777" w:rsidR="00CF15E3" w:rsidRPr="00CD7E52" w:rsidRDefault="00CF15E3" w:rsidP="00C00052">
      <w:pPr>
        <w:widowControl w:val="0"/>
        <w:numPr>
          <w:ilvl w:val="12"/>
          <w:numId w:val="0"/>
        </w:numPr>
        <w:tabs>
          <w:tab w:val="clear" w:pos="567"/>
        </w:tabs>
        <w:spacing w:line="240" w:lineRule="auto"/>
        <w:ind w:left="567" w:hanging="567"/>
        <w:outlineLvl w:val="0"/>
        <w:rPr>
          <w:caps/>
          <w:szCs w:val="22"/>
          <w:lang w:val="lt-LT"/>
        </w:rPr>
      </w:pPr>
      <w:r w:rsidRPr="00CD7E52">
        <w:rPr>
          <w:b/>
          <w:caps/>
          <w:snapToGrid/>
          <w:szCs w:val="22"/>
          <w:lang w:val="lt-LT"/>
        </w:rPr>
        <w:t>5.</w:t>
      </w:r>
      <w:r w:rsidRPr="00CD7E52">
        <w:rPr>
          <w:b/>
          <w:caps/>
          <w:snapToGrid/>
          <w:szCs w:val="22"/>
          <w:lang w:val="lt-LT"/>
        </w:rPr>
        <w:tab/>
      </w:r>
      <w:r w:rsidRPr="00CD7E52">
        <w:rPr>
          <w:b/>
          <w:szCs w:val="22"/>
          <w:lang w:val="lt-LT"/>
        </w:rPr>
        <w:t>Kaip</w:t>
      </w:r>
      <w:r w:rsidRPr="00CD7E52">
        <w:rPr>
          <w:b/>
          <w:spacing w:val="-6"/>
          <w:szCs w:val="22"/>
          <w:lang w:val="lt-LT"/>
        </w:rPr>
        <w:t xml:space="preserve"> </w:t>
      </w:r>
      <w:r w:rsidRPr="00CD7E52">
        <w:rPr>
          <w:b/>
          <w:szCs w:val="22"/>
          <w:lang w:val="lt-LT"/>
        </w:rPr>
        <w:t>laikyti</w:t>
      </w:r>
      <w:r w:rsidRPr="00CD7E52">
        <w:rPr>
          <w:b/>
          <w:spacing w:val="-6"/>
          <w:szCs w:val="22"/>
          <w:lang w:val="lt-LT"/>
        </w:rPr>
        <w:t xml:space="preserve"> </w:t>
      </w:r>
      <w:r w:rsidR="005A4193" w:rsidRPr="00CD7E52">
        <w:rPr>
          <w:b/>
          <w:spacing w:val="-2"/>
          <w:szCs w:val="22"/>
          <w:lang w:val="lt-LT"/>
        </w:rPr>
        <w:t>Apremilast STADA</w:t>
      </w:r>
    </w:p>
    <w:p w14:paraId="7765C7EC" w14:textId="77777777" w:rsidR="00CF15E3" w:rsidRPr="00CD7E52" w:rsidRDefault="00CF15E3" w:rsidP="00BD0220">
      <w:pPr>
        <w:widowControl w:val="0"/>
        <w:tabs>
          <w:tab w:val="clear" w:pos="567"/>
        </w:tabs>
        <w:kinsoku w:val="0"/>
        <w:overflowPunct w:val="0"/>
        <w:autoSpaceDE w:val="0"/>
        <w:autoSpaceDN w:val="0"/>
        <w:adjustRightInd w:val="0"/>
        <w:spacing w:line="240" w:lineRule="auto"/>
        <w:rPr>
          <w:szCs w:val="22"/>
          <w:lang w:val="lt-LT"/>
        </w:rPr>
      </w:pPr>
    </w:p>
    <w:p w14:paraId="16B3AA23" w14:textId="77777777" w:rsidR="00CF15E3" w:rsidRPr="00CD7E52" w:rsidRDefault="00CF15E3" w:rsidP="00BD0220">
      <w:pPr>
        <w:widowControl w:val="0"/>
        <w:tabs>
          <w:tab w:val="clear" w:pos="567"/>
          <w:tab w:val="left" w:pos="801"/>
        </w:tabs>
        <w:kinsoku w:val="0"/>
        <w:overflowPunct w:val="0"/>
        <w:autoSpaceDE w:val="0"/>
        <w:autoSpaceDN w:val="0"/>
        <w:adjustRightInd w:val="0"/>
        <w:spacing w:line="240" w:lineRule="auto"/>
        <w:rPr>
          <w:spacing w:val="-2"/>
          <w:szCs w:val="22"/>
          <w:lang w:val="lt-LT"/>
        </w:rPr>
      </w:pPr>
      <w:r w:rsidRPr="00CD7E52">
        <w:rPr>
          <w:szCs w:val="22"/>
          <w:lang w:val="lt-LT"/>
        </w:rPr>
        <w:t>Šį</w:t>
      </w:r>
      <w:r w:rsidRPr="00CD7E52">
        <w:rPr>
          <w:spacing w:val="-9"/>
          <w:szCs w:val="22"/>
          <w:lang w:val="lt-LT"/>
        </w:rPr>
        <w:t xml:space="preserve"> </w:t>
      </w:r>
      <w:r w:rsidRPr="00CD7E52">
        <w:rPr>
          <w:szCs w:val="22"/>
          <w:lang w:val="lt-LT"/>
        </w:rPr>
        <w:t>vaistą</w:t>
      </w:r>
      <w:r w:rsidRPr="00CD7E52">
        <w:rPr>
          <w:spacing w:val="-9"/>
          <w:szCs w:val="22"/>
          <w:lang w:val="lt-LT"/>
        </w:rPr>
        <w:t xml:space="preserve"> </w:t>
      </w:r>
      <w:r w:rsidRPr="00CD7E52">
        <w:rPr>
          <w:szCs w:val="22"/>
          <w:lang w:val="lt-LT"/>
        </w:rPr>
        <w:t>laikykite</w:t>
      </w:r>
      <w:r w:rsidRPr="00CD7E52">
        <w:rPr>
          <w:spacing w:val="-9"/>
          <w:szCs w:val="22"/>
          <w:lang w:val="lt-LT"/>
        </w:rPr>
        <w:t xml:space="preserve"> </w:t>
      </w:r>
      <w:r w:rsidRPr="00CD7E52">
        <w:rPr>
          <w:szCs w:val="22"/>
          <w:lang w:val="lt-LT"/>
        </w:rPr>
        <w:t>vaikams</w:t>
      </w:r>
      <w:r w:rsidRPr="00CD7E52">
        <w:rPr>
          <w:spacing w:val="-9"/>
          <w:szCs w:val="22"/>
          <w:lang w:val="lt-LT"/>
        </w:rPr>
        <w:t xml:space="preserve"> </w:t>
      </w:r>
      <w:r w:rsidRPr="00CD7E52">
        <w:rPr>
          <w:szCs w:val="22"/>
          <w:lang w:val="lt-LT"/>
        </w:rPr>
        <w:t>nepastebimoje</w:t>
      </w:r>
      <w:r w:rsidRPr="00CD7E52">
        <w:rPr>
          <w:spacing w:val="-10"/>
          <w:szCs w:val="22"/>
          <w:lang w:val="lt-LT"/>
        </w:rPr>
        <w:t xml:space="preserve"> </w:t>
      </w:r>
      <w:r w:rsidRPr="00CD7E52">
        <w:rPr>
          <w:szCs w:val="22"/>
          <w:lang w:val="lt-LT"/>
        </w:rPr>
        <w:t>ir</w:t>
      </w:r>
      <w:r w:rsidRPr="00CD7E52">
        <w:rPr>
          <w:spacing w:val="-8"/>
          <w:szCs w:val="22"/>
          <w:lang w:val="lt-LT"/>
        </w:rPr>
        <w:t xml:space="preserve"> </w:t>
      </w:r>
      <w:r w:rsidRPr="00CD7E52">
        <w:rPr>
          <w:szCs w:val="22"/>
          <w:lang w:val="lt-LT"/>
        </w:rPr>
        <w:t>nepasiekiamoje</w:t>
      </w:r>
      <w:r w:rsidRPr="00CD7E52">
        <w:rPr>
          <w:spacing w:val="-9"/>
          <w:szCs w:val="22"/>
          <w:lang w:val="lt-LT"/>
        </w:rPr>
        <w:t xml:space="preserve"> </w:t>
      </w:r>
      <w:r w:rsidRPr="00CD7E52">
        <w:rPr>
          <w:spacing w:val="-2"/>
          <w:szCs w:val="22"/>
          <w:lang w:val="lt-LT"/>
        </w:rPr>
        <w:t>vietoje.</w:t>
      </w:r>
    </w:p>
    <w:p w14:paraId="0592CEDE" w14:textId="77777777" w:rsidR="00CF15E3" w:rsidRPr="00CD7E52" w:rsidRDefault="00CF15E3" w:rsidP="00BD0220">
      <w:pPr>
        <w:widowControl w:val="0"/>
        <w:tabs>
          <w:tab w:val="clear" w:pos="567"/>
          <w:tab w:val="left" w:pos="801"/>
        </w:tabs>
        <w:kinsoku w:val="0"/>
        <w:overflowPunct w:val="0"/>
        <w:autoSpaceDE w:val="0"/>
        <w:autoSpaceDN w:val="0"/>
        <w:adjustRightInd w:val="0"/>
        <w:spacing w:line="240" w:lineRule="auto"/>
        <w:rPr>
          <w:spacing w:val="-2"/>
          <w:szCs w:val="22"/>
          <w:lang w:val="lt-LT"/>
        </w:rPr>
      </w:pPr>
    </w:p>
    <w:p w14:paraId="6C16DF6E" w14:textId="77777777" w:rsidR="00CF15E3" w:rsidRPr="00CD7E52" w:rsidRDefault="00CF15E3" w:rsidP="00BD0220">
      <w:pPr>
        <w:widowControl w:val="0"/>
        <w:tabs>
          <w:tab w:val="clear" w:pos="567"/>
          <w:tab w:val="left" w:pos="801"/>
        </w:tabs>
        <w:kinsoku w:val="0"/>
        <w:overflowPunct w:val="0"/>
        <w:autoSpaceDE w:val="0"/>
        <w:autoSpaceDN w:val="0"/>
        <w:adjustRightInd w:val="0"/>
        <w:spacing w:line="240" w:lineRule="auto"/>
        <w:rPr>
          <w:spacing w:val="-2"/>
          <w:szCs w:val="22"/>
          <w:lang w:val="lt-LT"/>
        </w:rPr>
      </w:pPr>
      <w:r w:rsidRPr="00CD7E52">
        <w:rPr>
          <w:szCs w:val="22"/>
          <w:lang w:val="lt-LT"/>
        </w:rPr>
        <w:t>Ant lizdinės plokštelės ir kartono dėžutės po „EXP“ nurodytam tinkamumo laikui pasibaigus,</w:t>
      </w:r>
      <w:r w:rsidRPr="00CD7E52">
        <w:rPr>
          <w:spacing w:val="-3"/>
          <w:szCs w:val="22"/>
          <w:lang w:val="lt-LT"/>
        </w:rPr>
        <w:t xml:space="preserve"> </w:t>
      </w:r>
      <w:r w:rsidRPr="00CD7E52">
        <w:rPr>
          <w:szCs w:val="22"/>
          <w:lang w:val="lt-LT"/>
        </w:rPr>
        <w:t>šio</w:t>
      </w:r>
      <w:r w:rsidRPr="00CD7E52">
        <w:rPr>
          <w:spacing w:val="-3"/>
          <w:szCs w:val="22"/>
          <w:lang w:val="lt-LT"/>
        </w:rPr>
        <w:t xml:space="preserve"> </w:t>
      </w:r>
      <w:r w:rsidRPr="00CD7E52">
        <w:rPr>
          <w:szCs w:val="22"/>
          <w:lang w:val="lt-LT"/>
        </w:rPr>
        <w:t>vaisto</w:t>
      </w:r>
      <w:r w:rsidRPr="00CD7E52">
        <w:rPr>
          <w:spacing w:val="-3"/>
          <w:szCs w:val="22"/>
          <w:lang w:val="lt-LT"/>
        </w:rPr>
        <w:t xml:space="preserve"> </w:t>
      </w:r>
      <w:r w:rsidRPr="00CD7E52">
        <w:rPr>
          <w:szCs w:val="22"/>
          <w:lang w:val="lt-LT"/>
        </w:rPr>
        <w:t>vartoti</w:t>
      </w:r>
      <w:r w:rsidRPr="00CD7E52">
        <w:rPr>
          <w:spacing w:val="-4"/>
          <w:szCs w:val="22"/>
          <w:lang w:val="lt-LT"/>
        </w:rPr>
        <w:t xml:space="preserve"> </w:t>
      </w:r>
      <w:r w:rsidRPr="00CD7E52">
        <w:rPr>
          <w:szCs w:val="22"/>
          <w:lang w:val="lt-LT"/>
        </w:rPr>
        <w:t>negalima.</w:t>
      </w:r>
      <w:r w:rsidRPr="00CD7E52">
        <w:rPr>
          <w:spacing w:val="-4"/>
          <w:szCs w:val="22"/>
          <w:lang w:val="lt-LT"/>
        </w:rPr>
        <w:t xml:space="preserve"> </w:t>
      </w:r>
      <w:r w:rsidRPr="00CD7E52">
        <w:rPr>
          <w:szCs w:val="22"/>
          <w:lang w:val="lt-LT"/>
        </w:rPr>
        <w:t>Vaistas</w:t>
      </w:r>
      <w:r w:rsidRPr="00CD7E52">
        <w:rPr>
          <w:spacing w:val="-4"/>
          <w:szCs w:val="22"/>
          <w:lang w:val="lt-LT"/>
        </w:rPr>
        <w:t xml:space="preserve"> </w:t>
      </w:r>
      <w:r w:rsidRPr="00CD7E52">
        <w:rPr>
          <w:szCs w:val="22"/>
          <w:lang w:val="lt-LT"/>
        </w:rPr>
        <w:t>tinkamas</w:t>
      </w:r>
      <w:r w:rsidRPr="00CD7E52">
        <w:rPr>
          <w:spacing w:val="-3"/>
          <w:szCs w:val="22"/>
          <w:lang w:val="lt-LT"/>
        </w:rPr>
        <w:t xml:space="preserve"> </w:t>
      </w:r>
      <w:r w:rsidRPr="00CD7E52">
        <w:rPr>
          <w:szCs w:val="22"/>
          <w:lang w:val="lt-LT"/>
        </w:rPr>
        <w:t>vartoti</w:t>
      </w:r>
      <w:r w:rsidRPr="00CD7E52">
        <w:rPr>
          <w:spacing w:val="-4"/>
          <w:szCs w:val="22"/>
          <w:lang w:val="lt-LT"/>
        </w:rPr>
        <w:t xml:space="preserve"> </w:t>
      </w:r>
      <w:r w:rsidRPr="00CD7E52">
        <w:rPr>
          <w:szCs w:val="22"/>
          <w:lang w:val="lt-LT"/>
        </w:rPr>
        <w:t>iki</w:t>
      </w:r>
      <w:r w:rsidRPr="00CD7E52">
        <w:rPr>
          <w:spacing w:val="-3"/>
          <w:szCs w:val="22"/>
          <w:lang w:val="lt-LT"/>
        </w:rPr>
        <w:t xml:space="preserve"> </w:t>
      </w:r>
      <w:r w:rsidRPr="00CD7E52">
        <w:rPr>
          <w:szCs w:val="22"/>
          <w:lang w:val="lt-LT"/>
        </w:rPr>
        <w:t>paskutinės</w:t>
      </w:r>
      <w:r w:rsidRPr="00CD7E52">
        <w:rPr>
          <w:spacing w:val="-4"/>
          <w:szCs w:val="22"/>
          <w:lang w:val="lt-LT"/>
        </w:rPr>
        <w:t xml:space="preserve"> </w:t>
      </w:r>
      <w:r w:rsidRPr="00CD7E52">
        <w:rPr>
          <w:szCs w:val="22"/>
          <w:lang w:val="lt-LT"/>
        </w:rPr>
        <w:t>nurodyto</w:t>
      </w:r>
      <w:r w:rsidRPr="00CD7E52">
        <w:rPr>
          <w:spacing w:val="-4"/>
          <w:szCs w:val="22"/>
          <w:lang w:val="lt-LT"/>
        </w:rPr>
        <w:t xml:space="preserve"> </w:t>
      </w:r>
      <w:r w:rsidRPr="00CD7E52">
        <w:rPr>
          <w:szCs w:val="22"/>
          <w:lang w:val="lt-LT"/>
        </w:rPr>
        <w:t xml:space="preserve">mėnesio </w:t>
      </w:r>
      <w:r w:rsidRPr="00CD7E52">
        <w:rPr>
          <w:spacing w:val="-2"/>
          <w:szCs w:val="22"/>
          <w:lang w:val="lt-LT"/>
        </w:rPr>
        <w:t>dienos.</w:t>
      </w:r>
    </w:p>
    <w:p w14:paraId="4486756C" w14:textId="77777777" w:rsidR="00CF15E3" w:rsidRPr="00CD7E52" w:rsidRDefault="00CF15E3" w:rsidP="00BD0220">
      <w:pPr>
        <w:widowControl w:val="0"/>
        <w:tabs>
          <w:tab w:val="clear" w:pos="567"/>
          <w:tab w:val="left" w:pos="801"/>
        </w:tabs>
        <w:kinsoku w:val="0"/>
        <w:overflowPunct w:val="0"/>
        <w:autoSpaceDE w:val="0"/>
        <w:autoSpaceDN w:val="0"/>
        <w:adjustRightInd w:val="0"/>
        <w:spacing w:line="240" w:lineRule="auto"/>
        <w:rPr>
          <w:spacing w:val="-2"/>
          <w:szCs w:val="22"/>
          <w:lang w:val="lt-LT"/>
        </w:rPr>
      </w:pPr>
    </w:p>
    <w:p w14:paraId="755390D0" w14:textId="77777777" w:rsidR="00CF15E3" w:rsidRPr="00CD7E52" w:rsidRDefault="00CF15E3" w:rsidP="00BD0220">
      <w:pPr>
        <w:widowControl w:val="0"/>
        <w:tabs>
          <w:tab w:val="clear" w:pos="567"/>
          <w:tab w:val="left" w:pos="801"/>
        </w:tabs>
        <w:kinsoku w:val="0"/>
        <w:overflowPunct w:val="0"/>
        <w:autoSpaceDE w:val="0"/>
        <w:autoSpaceDN w:val="0"/>
        <w:adjustRightInd w:val="0"/>
        <w:spacing w:line="240" w:lineRule="auto"/>
        <w:rPr>
          <w:szCs w:val="22"/>
          <w:lang w:val="lt-LT"/>
        </w:rPr>
      </w:pPr>
      <w:r w:rsidRPr="00CD7E52">
        <w:rPr>
          <w:szCs w:val="22"/>
          <w:lang w:val="lt-LT"/>
        </w:rPr>
        <w:t>Šiam vaistui specialių laikymo sąlygų nereikia.</w:t>
      </w:r>
    </w:p>
    <w:p w14:paraId="21E780F0" w14:textId="77777777" w:rsidR="00CF15E3" w:rsidRPr="00CD7E52" w:rsidRDefault="00CF15E3" w:rsidP="00BD0220">
      <w:pPr>
        <w:widowControl w:val="0"/>
        <w:tabs>
          <w:tab w:val="clear" w:pos="567"/>
          <w:tab w:val="left" w:pos="801"/>
        </w:tabs>
        <w:kinsoku w:val="0"/>
        <w:overflowPunct w:val="0"/>
        <w:autoSpaceDE w:val="0"/>
        <w:autoSpaceDN w:val="0"/>
        <w:adjustRightInd w:val="0"/>
        <w:spacing w:line="240" w:lineRule="auto"/>
        <w:rPr>
          <w:spacing w:val="-2"/>
          <w:szCs w:val="22"/>
          <w:lang w:val="lt-LT"/>
        </w:rPr>
      </w:pPr>
    </w:p>
    <w:p w14:paraId="494A36F4" w14:textId="77777777" w:rsidR="00CF15E3" w:rsidRPr="00CD7E52" w:rsidRDefault="00CF15E3"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Vaistų</w:t>
      </w:r>
      <w:r w:rsidRPr="00CD7E52">
        <w:rPr>
          <w:spacing w:val="-4"/>
          <w:szCs w:val="22"/>
          <w:lang w:val="lt-LT"/>
        </w:rPr>
        <w:t xml:space="preserve"> </w:t>
      </w:r>
      <w:r w:rsidRPr="00CD7E52">
        <w:rPr>
          <w:szCs w:val="22"/>
          <w:lang w:val="lt-LT"/>
        </w:rPr>
        <w:t>negalima</w:t>
      </w:r>
      <w:r w:rsidRPr="00CD7E52">
        <w:rPr>
          <w:spacing w:val="-4"/>
          <w:szCs w:val="22"/>
          <w:lang w:val="lt-LT"/>
        </w:rPr>
        <w:t xml:space="preserve"> </w:t>
      </w:r>
      <w:r w:rsidRPr="00CD7E52">
        <w:rPr>
          <w:szCs w:val="22"/>
          <w:lang w:val="lt-LT"/>
        </w:rPr>
        <w:t>išmesti</w:t>
      </w:r>
      <w:r w:rsidRPr="00CD7E52">
        <w:rPr>
          <w:spacing w:val="-4"/>
          <w:szCs w:val="22"/>
          <w:lang w:val="lt-LT"/>
        </w:rPr>
        <w:t xml:space="preserve"> </w:t>
      </w:r>
      <w:r w:rsidRPr="00CD7E52">
        <w:rPr>
          <w:szCs w:val="22"/>
          <w:lang w:val="lt-LT"/>
        </w:rPr>
        <w:t>į</w:t>
      </w:r>
      <w:r w:rsidRPr="00CD7E52">
        <w:rPr>
          <w:spacing w:val="-2"/>
          <w:szCs w:val="22"/>
          <w:lang w:val="lt-LT"/>
        </w:rPr>
        <w:t xml:space="preserve"> </w:t>
      </w:r>
      <w:r w:rsidRPr="00CD7E52">
        <w:rPr>
          <w:szCs w:val="22"/>
          <w:lang w:val="lt-LT"/>
        </w:rPr>
        <w:t>kanalizaciją</w:t>
      </w:r>
      <w:r w:rsidRPr="00CD7E52">
        <w:rPr>
          <w:spacing w:val="-4"/>
          <w:szCs w:val="22"/>
          <w:lang w:val="lt-LT"/>
        </w:rPr>
        <w:t xml:space="preserve"> </w:t>
      </w:r>
      <w:r w:rsidRPr="00CD7E52">
        <w:rPr>
          <w:szCs w:val="22"/>
          <w:lang w:val="lt-LT"/>
        </w:rPr>
        <w:t>arba</w:t>
      </w:r>
      <w:r w:rsidRPr="00CD7E52">
        <w:rPr>
          <w:spacing w:val="-4"/>
          <w:szCs w:val="22"/>
          <w:lang w:val="lt-LT"/>
        </w:rPr>
        <w:t xml:space="preserve"> </w:t>
      </w:r>
      <w:r w:rsidRPr="00CD7E52">
        <w:rPr>
          <w:szCs w:val="22"/>
          <w:lang w:val="lt-LT"/>
        </w:rPr>
        <w:t>su</w:t>
      </w:r>
      <w:r w:rsidRPr="00CD7E52">
        <w:rPr>
          <w:spacing w:val="-3"/>
          <w:szCs w:val="22"/>
          <w:lang w:val="lt-LT"/>
        </w:rPr>
        <w:t xml:space="preserve"> </w:t>
      </w:r>
      <w:r w:rsidRPr="00CD7E52">
        <w:rPr>
          <w:szCs w:val="22"/>
          <w:lang w:val="lt-LT"/>
        </w:rPr>
        <w:t>buitinėmis</w:t>
      </w:r>
      <w:r w:rsidRPr="00CD7E52">
        <w:rPr>
          <w:spacing w:val="-4"/>
          <w:szCs w:val="22"/>
          <w:lang w:val="lt-LT"/>
        </w:rPr>
        <w:t xml:space="preserve"> </w:t>
      </w:r>
      <w:r w:rsidRPr="00CD7E52">
        <w:rPr>
          <w:szCs w:val="22"/>
          <w:lang w:val="lt-LT"/>
        </w:rPr>
        <w:t>atliekomis.</w:t>
      </w:r>
      <w:r w:rsidRPr="00CD7E52">
        <w:rPr>
          <w:spacing w:val="-4"/>
          <w:szCs w:val="22"/>
          <w:lang w:val="lt-LT"/>
        </w:rPr>
        <w:t xml:space="preserve"> </w:t>
      </w:r>
      <w:r w:rsidRPr="00CD7E52">
        <w:rPr>
          <w:szCs w:val="22"/>
          <w:lang w:val="lt-LT"/>
        </w:rPr>
        <w:t>Kaip</w:t>
      </w:r>
      <w:r w:rsidRPr="00CD7E52">
        <w:rPr>
          <w:spacing w:val="-3"/>
          <w:szCs w:val="22"/>
          <w:lang w:val="lt-LT"/>
        </w:rPr>
        <w:t xml:space="preserve"> </w:t>
      </w:r>
      <w:r w:rsidRPr="00CD7E52">
        <w:rPr>
          <w:szCs w:val="22"/>
          <w:lang w:val="lt-LT"/>
        </w:rPr>
        <w:t>išmesti</w:t>
      </w:r>
      <w:r w:rsidRPr="00CD7E52">
        <w:rPr>
          <w:spacing w:val="-4"/>
          <w:szCs w:val="22"/>
          <w:lang w:val="lt-LT"/>
        </w:rPr>
        <w:t xml:space="preserve"> </w:t>
      </w:r>
      <w:r w:rsidRPr="00CD7E52">
        <w:rPr>
          <w:szCs w:val="22"/>
          <w:lang w:val="lt-LT"/>
        </w:rPr>
        <w:t>nereikalingus</w:t>
      </w:r>
      <w:r w:rsidRPr="00CD7E52">
        <w:rPr>
          <w:spacing w:val="-4"/>
          <w:szCs w:val="22"/>
          <w:lang w:val="lt-LT"/>
        </w:rPr>
        <w:t xml:space="preserve"> </w:t>
      </w:r>
      <w:r w:rsidRPr="00CD7E52">
        <w:rPr>
          <w:szCs w:val="22"/>
          <w:lang w:val="lt-LT"/>
        </w:rPr>
        <w:t>vaistus, klauskite vaistininko. Šios priemonės padės apsaugoti aplinką.</w:t>
      </w:r>
    </w:p>
    <w:p w14:paraId="3F2AF838" w14:textId="77777777" w:rsidR="00CF15E3" w:rsidRPr="00CD7E52" w:rsidRDefault="00CF15E3" w:rsidP="00BD0220">
      <w:pPr>
        <w:widowControl w:val="0"/>
        <w:tabs>
          <w:tab w:val="clear" w:pos="567"/>
        </w:tabs>
        <w:kinsoku w:val="0"/>
        <w:overflowPunct w:val="0"/>
        <w:autoSpaceDE w:val="0"/>
        <w:autoSpaceDN w:val="0"/>
        <w:adjustRightInd w:val="0"/>
        <w:spacing w:line="240" w:lineRule="auto"/>
        <w:rPr>
          <w:szCs w:val="22"/>
          <w:lang w:val="lt-LT"/>
        </w:rPr>
      </w:pPr>
    </w:p>
    <w:p w14:paraId="6E81646B" w14:textId="77777777" w:rsidR="00CF15E3" w:rsidRPr="00CD7E52" w:rsidRDefault="00CF15E3" w:rsidP="00BD0220">
      <w:pPr>
        <w:widowControl w:val="0"/>
        <w:tabs>
          <w:tab w:val="clear" w:pos="567"/>
        </w:tabs>
        <w:kinsoku w:val="0"/>
        <w:overflowPunct w:val="0"/>
        <w:autoSpaceDE w:val="0"/>
        <w:autoSpaceDN w:val="0"/>
        <w:adjustRightInd w:val="0"/>
        <w:spacing w:line="240" w:lineRule="auto"/>
        <w:rPr>
          <w:szCs w:val="22"/>
          <w:lang w:val="lt-LT"/>
        </w:rPr>
      </w:pPr>
    </w:p>
    <w:p w14:paraId="74F6422C" w14:textId="77777777" w:rsidR="00CF15E3" w:rsidRPr="00CD7E52" w:rsidRDefault="00CF15E3" w:rsidP="00C00052">
      <w:pPr>
        <w:widowControl w:val="0"/>
        <w:numPr>
          <w:ilvl w:val="12"/>
          <w:numId w:val="0"/>
        </w:numPr>
        <w:tabs>
          <w:tab w:val="clear" w:pos="567"/>
        </w:tabs>
        <w:spacing w:line="240" w:lineRule="auto"/>
        <w:ind w:left="567" w:hanging="567"/>
        <w:outlineLvl w:val="0"/>
        <w:rPr>
          <w:szCs w:val="22"/>
          <w:lang w:val="lt-LT"/>
        </w:rPr>
      </w:pPr>
      <w:r w:rsidRPr="00CD7E52">
        <w:rPr>
          <w:b/>
          <w:caps/>
          <w:snapToGrid/>
          <w:szCs w:val="22"/>
          <w:lang w:val="lt-LT"/>
        </w:rPr>
        <w:lastRenderedPageBreak/>
        <w:t>6.</w:t>
      </w:r>
      <w:r w:rsidRPr="00CD7E52">
        <w:rPr>
          <w:b/>
          <w:caps/>
          <w:snapToGrid/>
          <w:szCs w:val="22"/>
          <w:lang w:val="lt-LT"/>
        </w:rPr>
        <w:tab/>
      </w:r>
      <w:r w:rsidRPr="00CD7E52">
        <w:rPr>
          <w:b/>
          <w:szCs w:val="22"/>
          <w:lang w:val="lt-LT"/>
        </w:rPr>
        <w:t>Pakuotės</w:t>
      </w:r>
      <w:r w:rsidRPr="00CD7E52">
        <w:rPr>
          <w:b/>
          <w:spacing w:val="-10"/>
          <w:szCs w:val="22"/>
          <w:lang w:val="lt-LT"/>
        </w:rPr>
        <w:t xml:space="preserve"> </w:t>
      </w:r>
      <w:r w:rsidRPr="00CD7E52">
        <w:rPr>
          <w:b/>
          <w:szCs w:val="22"/>
          <w:lang w:val="lt-LT"/>
        </w:rPr>
        <w:t>turinys</w:t>
      </w:r>
      <w:r w:rsidRPr="00CD7E52">
        <w:rPr>
          <w:b/>
          <w:spacing w:val="-10"/>
          <w:szCs w:val="22"/>
          <w:lang w:val="lt-LT"/>
        </w:rPr>
        <w:t xml:space="preserve"> </w:t>
      </w:r>
      <w:r w:rsidRPr="00CD7E52">
        <w:rPr>
          <w:b/>
          <w:szCs w:val="22"/>
          <w:lang w:val="lt-LT"/>
        </w:rPr>
        <w:t>ir</w:t>
      </w:r>
      <w:r w:rsidRPr="00CD7E52">
        <w:rPr>
          <w:b/>
          <w:spacing w:val="-10"/>
          <w:szCs w:val="22"/>
          <w:lang w:val="lt-LT"/>
        </w:rPr>
        <w:t xml:space="preserve"> </w:t>
      </w:r>
      <w:r w:rsidRPr="00CD7E52">
        <w:rPr>
          <w:b/>
          <w:szCs w:val="22"/>
          <w:lang w:val="lt-LT"/>
        </w:rPr>
        <w:t>kita</w:t>
      </w:r>
      <w:r w:rsidRPr="00CD7E52">
        <w:rPr>
          <w:b/>
          <w:spacing w:val="-9"/>
          <w:szCs w:val="22"/>
          <w:lang w:val="lt-LT"/>
        </w:rPr>
        <w:t xml:space="preserve"> </w:t>
      </w:r>
      <w:r w:rsidRPr="00CD7E52">
        <w:rPr>
          <w:b/>
          <w:szCs w:val="22"/>
          <w:lang w:val="lt-LT"/>
        </w:rPr>
        <w:t>informacija</w:t>
      </w:r>
    </w:p>
    <w:p w14:paraId="26558201" w14:textId="77777777" w:rsidR="00CF15E3" w:rsidRPr="00CD7E52" w:rsidRDefault="00CF15E3" w:rsidP="00BD0220">
      <w:pPr>
        <w:widowControl w:val="0"/>
        <w:kinsoku w:val="0"/>
        <w:overflowPunct w:val="0"/>
        <w:autoSpaceDE w:val="0"/>
        <w:autoSpaceDN w:val="0"/>
        <w:adjustRightInd w:val="0"/>
        <w:spacing w:line="240" w:lineRule="auto"/>
        <w:outlineLvl w:val="1"/>
        <w:rPr>
          <w:szCs w:val="22"/>
          <w:lang w:val="lt-LT"/>
        </w:rPr>
      </w:pPr>
    </w:p>
    <w:p w14:paraId="3969291F" w14:textId="77777777" w:rsidR="00CF15E3" w:rsidRPr="00CD7E52" w:rsidRDefault="005A4193" w:rsidP="00BD0220">
      <w:pPr>
        <w:widowControl w:val="0"/>
        <w:kinsoku w:val="0"/>
        <w:overflowPunct w:val="0"/>
        <w:autoSpaceDE w:val="0"/>
        <w:autoSpaceDN w:val="0"/>
        <w:adjustRightInd w:val="0"/>
        <w:spacing w:line="240" w:lineRule="auto"/>
        <w:outlineLvl w:val="1"/>
        <w:rPr>
          <w:b/>
          <w:szCs w:val="22"/>
          <w:lang w:val="lt-LT"/>
        </w:rPr>
      </w:pPr>
      <w:r w:rsidRPr="00CD7E52">
        <w:rPr>
          <w:b/>
          <w:szCs w:val="22"/>
          <w:lang w:val="lt-LT"/>
        </w:rPr>
        <w:t>Apremilast STADA</w:t>
      </w:r>
      <w:r w:rsidR="00CF15E3" w:rsidRPr="00CD7E52">
        <w:rPr>
          <w:b/>
          <w:szCs w:val="22"/>
          <w:lang w:val="lt-LT"/>
        </w:rPr>
        <w:t xml:space="preserve"> sudėtis</w:t>
      </w:r>
    </w:p>
    <w:p w14:paraId="125B4C0D" w14:textId="77777777" w:rsidR="006A120F" w:rsidRPr="00CD7E52" w:rsidRDefault="006A120F" w:rsidP="00BD0220">
      <w:pPr>
        <w:widowControl w:val="0"/>
        <w:kinsoku w:val="0"/>
        <w:overflowPunct w:val="0"/>
        <w:autoSpaceDE w:val="0"/>
        <w:autoSpaceDN w:val="0"/>
        <w:adjustRightInd w:val="0"/>
        <w:spacing w:line="240" w:lineRule="auto"/>
        <w:outlineLvl w:val="1"/>
        <w:rPr>
          <w:szCs w:val="22"/>
          <w:lang w:val="lt-LT"/>
        </w:rPr>
      </w:pPr>
    </w:p>
    <w:p w14:paraId="538154A1" w14:textId="77777777" w:rsidR="00CF15E3" w:rsidRPr="00C000F2" w:rsidRDefault="00CF15E3" w:rsidP="005A105B">
      <w:pPr>
        <w:pStyle w:val="Sraopastraipa"/>
        <w:numPr>
          <w:ilvl w:val="0"/>
          <w:numId w:val="40"/>
        </w:numPr>
        <w:kinsoku w:val="0"/>
        <w:overflowPunct w:val="0"/>
        <w:ind w:left="540" w:hanging="540"/>
        <w:rPr>
          <w:spacing w:val="-2"/>
          <w:sz w:val="22"/>
          <w:szCs w:val="22"/>
        </w:rPr>
      </w:pPr>
      <w:r w:rsidRPr="00C000F2">
        <w:rPr>
          <w:sz w:val="22"/>
          <w:szCs w:val="22"/>
        </w:rPr>
        <w:t>Veiklioji</w:t>
      </w:r>
      <w:r w:rsidRPr="00C000F2">
        <w:rPr>
          <w:spacing w:val="-8"/>
          <w:sz w:val="22"/>
          <w:szCs w:val="22"/>
        </w:rPr>
        <w:t xml:space="preserve"> </w:t>
      </w:r>
      <w:r w:rsidRPr="00C000F2">
        <w:rPr>
          <w:sz w:val="22"/>
          <w:szCs w:val="22"/>
        </w:rPr>
        <w:t>medžiaga</w:t>
      </w:r>
      <w:r w:rsidRPr="00C000F2">
        <w:rPr>
          <w:spacing w:val="-7"/>
          <w:sz w:val="22"/>
          <w:szCs w:val="22"/>
        </w:rPr>
        <w:t xml:space="preserve"> </w:t>
      </w:r>
      <w:r w:rsidRPr="00C000F2">
        <w:rPr>
          <w:sz w:val="22"/>
          <w:szCs w:val="22"/>
        </w:rPr>
        <w:t>yra</w:t>
      </w:r>
      <w:r w:rsidRPr="00C000F2">
        <w:rPr>
          <w:spacing w:val="-8"/>
          <w:sz w:val="22"/>
          <w:szCs w:val="22"/>
        </w:rPr>
        <w:t xml:space="preserve"> </w:t>
      </w:r>
      <w:r w:rsidRPr="00C000F2">
        <w:rPr>
          <w:spacing w:val="-2"/>
          <w:sz w:val="22"/>
          <w:szCs w:val="22"/>
        </w:rPr>
        <w:t>apremilastas.</w:t>
      </w:r>
      <w:r w:rsidR="00B2587D" w:rsidRPr="00C000F2">
        <w:rPr>
          <w:spacing w:val="-2"/>
          <w:sz w:val="22"/>
          <w:szCs w:val="22"/>
        </w:rPr>
        <w:t xml:space="preserve"> </w:t>
      </w:r>
      <w:r w:rsidRPr="00C000F2">
        <w:rPr>
          <w:spacing w:val="-2"/>
          <w:sz w:val="22"/>
          <w:szCs w:val="22"/>
        </w:rPr>
        <w:t>Kiekvienoje tabletėje yra 10 mg, 20 mg arba 30 mg apremilasto.</w:t>
      </w:r>
    </w:p>
    <w:p w14:paraId="23989063" w14:textId="77777777" w:rsidR="00CF15E3" w:rsidRPr="00CD7E52" w:rsidRDefault="00CF15E3" w:rsidP="00BD0220">
      <w:pPr>
        <w:widowControl w:val="0"/>
        <w:tabs>
          <w:tab w:val="clear" w:pos="567"/>
        </w:tabs>
        <w:kinsoku w:val="0"/>
        <w:overflowPunct w:val="0"/>
        <w:autoSpaceDE w:val="0"/>
        <w:autoSpaceDN w:val="0"/>
        <w:adjustRightInd w:val="0"/>
        <w:spacing w:line="240" w:lineRule="auto"/>
        <w:rPr>
          <w:spacing w:val="-2"/>
          <w:szCs w:val="22"/>
          <w:lang w:val="lt-LT"/>
        </w:rPr>
      </w:pPr>
    </w:p>
    <w:p w14:paraId="2EE7EF05" w14:textId="77777777" w:rsidR="00CF15E3" w:rsidRPr="00C000F2" w:rsidRDefault="00CF15E3" w:rsidP="005A105B">
      <w:pPr>
        <w:pStyle w:val="Sraopastraipa"/>
        <w:numPr>
          <w:ilvl w:val="0"/>
          <w:numId w:val="40"/>
        </w:numPr>
        <w:kinsoku w:val="0"/>
        <w:overflowPunct w:val="0"/>
        <w:ind w:left="540" w:hanging="540"/>
        <w:rPr>
          <w:spacing w:val="-2"/>
          <w:sz w:val="22"/>
          <w:szCs w:val="22"/>
        </w:rPr>
      </w:pPr>
      <w:r w:rsidRPr="00C000F2">
        <w:rPr>
          <w:spacing w:val="-2"/>
          <w:sz w:val="22"/>
          <w:szCs w:val="22"/>
        </w:rPr>
        <w:t>Pagalbinės medžiagos yra:</w:t>
      </w:r>
    </w:p>
    <w:p w14:paraId="12C9707B" w14:textId="77777777" w:rsidR="00CF15E3" w:rsidRPr="00CD7E52" w:rsidRDefault="00CF15E3" w:rsidP="00BD0220">
      <w:pPr>
        <w:widowControl w:val="0"/>
        <w:tabs>
          <w:tab w:val="clear" w:pos="567"/>
        </w:tabs>
        <w:kinsoku w:val="0"/>
        <w:overflowPunct w:val="0"/>
        <w:autoSpaceDE w:val="0"/>
        <w:autoSpaceDN w:val="0"/>
        <w:adjustRightInd w:val="0"/>
        <w:spacing w:line="240" w:lineRule="auto"/>
        <w:rPr>
          <w:szCs w:val="22"/>
          <w:lang w:val="lt-LT"/>
        </w:rPr>
      </w:pPr>
      <w:r w:rsidRPr="00CD7E52">
        <w:rPr>
          <w:spacing w:val="-2"/>
          <w:szCs w:val="22"/>
          <w:u w:val="single"/>
          <w:lang w:val="lt-LT"/>
        </w:rPr>
        <w:t>Tabletės šerdis</w:t>
      </w:r>
      <w:r w:rsidRPr="00CD7E52">
        <w:rPr>
          <w:spacing w:val="-2"/>
          <w:szCs w:val="22"/>
          <w:lang w:val="lt-LT"/>
        </w:rPr>
        <w:t xml:space="preserve">: </w:t>
      </w:r>
      <w:r w:rsidRPr="00CD7E52">
        <w:rPr>
          <w:szCs w:val="22"/>
          <w:lang w:val="lt-LT"/>
        </w:rPr>
        <w:t>celiuliozės milteli</w:t>
      </w:r>
      <w:r w:rsidR="008C11E1" w:rsidRPr="00CD7E52">
        <w:rPr>
          <w:szCs w:val="22"/>
          <w:lang w:val="lt-LT"/>
        </w:rPr>
        <w:t>ai,</w:t>
      </w:r>
      <w:r w:rsidRPr="00CD7E52">
        <w:rPr>
          <w:szCs w:val="22"/>
          <w:lang w:val="lt-LT"/>
        </w:rPr>
        <w:t xml:space="preserve"> laktozė monohidrat</w:t>
      </w:r>
      <w:r w:rsidR="004756FF" w:rsidRPr="00CD7E52">
        <w:rPr>
          <w:szCs w:val="22"/>
          <w:lang w:val="lt-LT"/>
        </w:rPr>
        <w:t>as</w:t>
      </w:r>
      <w:r w:rsidRPr="00CD7E52">
        <w:rPr>
          <w:szCs w:val="22"/>
          <w:lang w:val="lt-LT"/>
        </w:rPr>
        <w:t>, kalcio karbonatas</w:t>
      </w:r>
      <w:r w:rsidR="004756FF" w:rsidRPr="00CD7E52">
        <w:rPr>
          <w:szCs w:val="22"/>
          <w:lang w:val="lt-LT"/>
        </w:rPr>
        <w:t>,</w:t>
      </w:r>
      <w:r w:rsidRPr="00CD7E52">
        <w:rPr>
          <w:szCs w:val="22"/>
          <w:lang w:val="lt-LT"/>
        </w:rPr>
        <w:t xml:space="preserve"> pregelifikuot</w:t>
      </w:r>
      <w:r w:rsidR="004756FF" w:rsidRPr="00CD7E52">
        <w:rPr>
          <w:szCs w:val="22"/>
          <w:lang w:val="lt-LT"/>
        </w:rPr>
        <w:t>as</w:t>
      </w:r>
      <w:r w:rsidRPr="00CD7E52">
        <w:rPr>
          <w:szCs w:val="22"/>
          <w:lang w:val="lt-LT"/>
        </w:rPr>
        <w:t xml:space="preserve"> kukurūzų krakmol</w:t>
      </w:r>
      <w:r w:rsidR="004756FF" w:rsidRPr="00CD7E52">
        <w:rPr>
          <w:szCs w:val="22"/>
          <w:lang w:val="lt-LT"/>
        </w:rPr>
        <w:t>as</w:t>
      </w:r>
      <w:r w:rsidRPr="00CD7E52">
        <w:rPr>
          <w:szCs w:val="22"/>
          <w:lang w:val="lt-LT"/>
        </w:rPr>
        <w:t>, krospovidonas, natrio stearilfumaratas.</w:t>
      </w:r>
    </w:p>
    <w:p w14:paraId="54ECD41B" w14:textId="77777777" w:rsidR="00CF15E3" w:rsidRPr="00CD7E52" w:rsidRDefault="00CF15E3" w:rsidP="00BD0220">
      <w:pPr>
        <w:widowControl w:val="0"/>
        <w:tabs>
          <w:tab w:val="clear" w:pos="567"/>
        </w:tabs>
        <w:kinsoku w:val="0"/>
        <w:overflowPunct w:val="0"/>
        <w:autoSpaceDE w:val="0"/>
        <w:autoSpaceDN w:val="0"/>
        <w:adjustRightInd w:val="0"/>
        <w:spacing w:line="240" w:lineRule="auto"/>
        <w:rPr>
          <w:szCs w:val="22"/>
          <w:lang w:val="lt-LT"/>
        </w:rPr>
      </w:pPr>
    </w:p>
    <w:p w14:paraId="1C91FD35" w14:textId="77777777" w:rsidR="00CF15E3" w:rsidRPr="00CD7E52" w:rsidRDefault="00CF15E3"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u w:val="single"/>
          <w:lang w:val="lt-LT"/>
        </w:rPr>
        <w:t>10 mg tablečių plėvelė</w:t>
      </w:r>
      <w:r w:rsidRPr="00CD7E52">
        <w:rPr>
          <w:szCs w:val="22"/>
          <w:lang w:val="lt-LT"/>
        </w:rPr>
        <w:t xml:space="preserve">: hipromeliozė (E464), makrogolis (E1521), titano dioksidas (E171), </w:t>
      </w:r>
      <w:r w:rsidR="00001894" w:rsidRPr="00CD7E52">
        <w:rPr>
          <w:szCs w:val="22"/>
          <w:lang w:val="lt-LT"/>
        </w:rPr>
        <w:t xml:space="preserve">raudonasis </w:t>
      </w:r>
      <w:r w:rsidRPr="00CD7E52">
        <w:rPr>
          <w:szCs w:val="22"/>
          <w:lang w:val="lt-LT"/>
        </w:rPr>
        <w:t>geležies oksidas (E172).</w:t>
      </w:r>
    </w:p>
    <w:p w14:paraId="27AB9539" w14:textId="77777777" w:rsidR="00CF15E3" w:rsidRPr="00CD7E52" w:rsidRDefault="00CF15E3" w:rsidP="00BD0220">
      <w:pPr>
        <w:widowControl w:val="0"/>
        <w:tabs>
          <w:tab w:val="clear" w:pos="567"/>
        </w:tabs>
        <w:kinsoku w:val="0"/>
        <w:overflowPunct w:val="0"/>
        <w:autoSpaceDE w:val="0"/>
        <w:autoSpaceDN w:val="0"/>
        <w:adjustRightInd w:val="0"/>
        <w:spacing w:line="240" w:lineRule="auto"/>
        <w:rPr>
          <w:szCs w:val="22"/>
          <w:lang w:val="lt-LT"/>
        </w:rPr>
      </w:pPr>
    </w:p>
    <w:p w14:paraId="7C8883AB" w14:textId="77777777" w:rsidR="00CF15E3" w:rsidRPr="00CD7E52" w:rsidRDefault="00CF15E3"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u w:val="single"/>
          <w:lang w:val="lt-LT"/>
        </w:rPr>
        <w:t>20 mg tablečių plėvelė</w:t>
      </w:r>
      <w:r w:rsidRPr="00CD7E52">
        <w:rPr>
          <w:szCs w:val="22"/>
          <w:lang w:val="lt-LT"/>
        </w:rPr>
        <w:t>: hipromeliozė (E464), makrogolis (E1521), titano dioksidas (E171), geltonasis geležies oksidas (E172), raudonasis geležies oksidas (E172).</w:t>
      </w:r>
    </w:p>
    <w:p w14:paraId="1C3040C4" w14:textId="77777777" w:rsidR="00CF15E3" w:rsidRPr="00CD7E52" w:rsidRDefault="00CF15E3" w:rsidP="00BD0220">
      <w:pPr>
        <w:widowControl w:val="0"/>
        <w:tabs>
          <w:tab w:val="clear" w:pos="567"/>
        </w:tabs>
        <w:kinsoku w:val="0"/>
        <w:overflowPunct w:val="0"/>
        <w:autoSpaceDE w:val="0"/>
        <w:autoSpaceDN w:val="0"/>
        <w:adjustRightInd w:val="0"/>
        <w:spacing w:line="240" w:lineRule="auto"/>
        <w:rPr>
          <w:szCs w:val="22"/>
          <w:lang w:val="lt-LT"/>
        </w:rPr>
      </w:pPr>
    </w:p>
    <w:p w14:paraId="02316C9C" w14:textId="77777777" w:rsidR="00CF15E3" w:rsidRPr="00CD7E52" w:rsidRDefault="00CF15E3"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u w:val="single"/>
          <w:lang w:val="lt-LT"/>
        </w:rPr>
        <w:t>30 mg tablečių plėvelė</w:t>
      </w:r>
      <w:r w:rsidRPr="00CD7E52">
        <w:rPr>
          <w:szCs w:val="22"/>
          <w:lang w:val="lt-LT"/>
        </w:rPr>
        <w:t>: hipromeliozė (E464), titano dioksidas (E171), makrogolis (E1521), raudonasis geležies oksidas (E172), geltonasis geležies oksidas (E172), juodasis geležies oksidas (E172).</w:t>
      </w:r>
    </w:p>
    <w:p w14:paraId="3D204223" w14:textId="77777777" w:rsidR="00CF15E3" w:rsidRPr="00CD7E52" w:rsidRDefault="00CF15E3" w:rsidP="00BD0220">
      <w:pPr>
        <w:widowControl w:val="0"/>
        <w:tabs>
          <w:tab w:val="clear" w:pos="567"/>
        </w:tabs>
        <w:kinsoku w:val="0"/>
        <w:overflowPunct w:val="0"/>
        <w:autoSpaceDE w:val="0"/>
        <w:autoSpaceDN w:val="0"/>
        <w:adjustRightInd w:val="0"/>
        <w:spacing w:line="240" w:lineRule="auto"/>
        <w:rPr>
          <w:spacing w:val="-2"/>
          <w:szCs w:val="22"/>
          <w:lang w:val="lt-LT"/>
        </w:rPr>
      </w:pPr>
    </w:p>
    <w:p w14:paraId="19960BAA" w14:textId="77777777" w:rsidR="00CF15E3" w:rsidRPr="00CD7E52" w:rsidRDefault="005A4193" w:rsidP="00BD0220">
      <w:pPr>
        <w:widowControl w:val="0"/>
        <w:tabs>
          <w:tab w:val="clear" w:pos="567"/>
        </w:tabs>
        <w:kinsoku w:val="0"/>
        <w:overflowPunct w:val="0"/>
        <w:autoSpaceDE w:val="0"/>
        <w:autoSpaceDN w:val="0"/>
        <w:adjustRightInd w:val="0"/>
        <w:spacing w:line="240" w:lineRule="auto"/>
        <w:outlineLvl w:val="1"/>
        <w:rPr>
          <w:spacing w:val="-2"/>
          <w:szCs w:val="22"/>
          <w:lang w:val="lt-LT"/>
        </w:rPr>
      </w:pPr>
      <w:r w:rsidRPr="00CD7E52">
        <w:rPr>
          <w:b/>
          <w:szCs w:val="22"/>
          <w:lang w:val="lt-LT"/>
        </w:rPr>
        <w:t>Apremilast STADA</w:t>
      </w:r>
      <w:r w:rsidR="00CF15E3" w:rsidRPr="00CD7E52">
        <w:rPr>
          <w:b/>
          <w:spacing w:val="-7"/>
          <w:szCs w:val="22"/>
          <w:lang w:val="lt-LT"/>
        </w:rPr>
        <w:t xml:space="preserve"> </w:t>
      </w:r>
      <w:r w:rsidR="00CF15E3" w:rsidRPr="00CD7E52">
        <w:rPr>
          <w:b/>
          <w:szCs w:val="22"/>
          <w:lang w:val="lt-LT"/>
        </w:rPr>
        <w:t>išvaizda</w:t>
      </w:r>
      <w:r w:rsidR="00CF15E3" w:rsidRPr="00CD7E52">
        <w:rPr>
          <w:b/>
          <w:spacing w:val="-6"/>
          <w:szCs w:val="22"/>
          <w:lang w:val="lt-LT"/>
        </w:rPr>
        <w:t xml:space="preserve"> </w:t>
      </w:r>
      <w:r w:rsidR="00CF15E3" w:rsidRPr="00CD7E52">
        <w:rPr>
          <w:b/>
          <w:szCs w:val="22"/>
          <w:lang w:val="lt-LT"/>
        </w:rPr>
        <w:t>ir</w:t>
      </w:r>
      <w:r w:rsidR="00CF15E3" w:rsidRPr="00CD7E52">
        <w:rPr>
          <w:b/>
          <w:spacing w:val="-8"/>
          <w:szCs w:val="22"/>
          <w:lang w:val="lt-LT"/>
        </w:rPr>
        <w:t xml:space="preserve"> </w:t>
      </w:r>
      <w:r w:rsidR="00CF15E3" w:rsidRPr="00CD7E52">
        <w:rPr>
          <w:b/>
          <w:szCs w:val="22"/>
          <w:lang w:val="lt-LT"/>
        </w:rPr>
        <w:t>kiekis</w:t>
      </w:r>
      <w:r w:rsidR="00CF15E3" w:rsidRPr="00CD7E52">
        <w:rPr>
          <w:b/>
          <w:spacing w:val="-7"/>
          <w:szCs w:val="22"/>
          <w:lang w:val="lt-LT"/>
        </w:rPr>
        <w:t xml:space="preserve"> </w:t>
      </w:r>
      <w:r w:rsidR="00CF15E3" w:rsidRPr="00CD7E52">
        <w:rPr>
          <w:b/>
          <w:spacing w:val="-2"/>
          <w:szCs w:val="22"/>
          <w:lang w:val="lt-LT"/>
        </w:rPr>
        <w:t>pakuotėje</w:t>
      </w:r>
    </w:p>
    <w:p w14:paraId="2C4A4629" w14:textId="77777777" w:rsidR="00E42C25" w:rsidRPr="00CD7E52" w:rsidRDefault="00E42C25" w:rsidP="00F35A5F">
      <w:pPr>
        <w:widowControl w:val="0"/>
        <w:tabs>
          <w:tab w:val="clear" w:pos="567"/>
        </w:tabs>
        <w:kinsoku w:val="0"/>
        <w:overflowPunct w:val="0"/>
        <w:autoSpaceDE w:val="0"/>
        <w:autoSpaceDN w:val="0"/>
        <w:adjustRightInd w:val="0"/>
        <w:spacing w:line="240" w:lineRule="auto"/>
        <w:rPr>
          <w:szCs w:val="22"/>
          <w:lang w:val="lt-LT"/>
        </w:rPr>
      </w:pPr>
    </w:p>
    <w:p w14:paraId="38725EB9" w14:textId="77777777" w:rsidR="0032566C" w:rsidRPr="00CD7E52" w:rsidRDefault="005A4193" w:rsidP="00F35A5F">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Apremilast STADA</w:t>
      </w:r>
      <w:r w:rsidR="00F35A5F" w:rsidRPr="00CD7E52">
        <w:rPr>
          <w:szCs w:val="22"/>
          <w:lang w:val="lt-LT"/>
        </w:rPr>
        <w:t xml:space="preserve"> 10 mg plėvele dengtos tabletės</w:t>
      </w:r>
    </w:p>
    <w:p w14:paraId="16A8B228" w14:textId="77777777" w:rsidR="00F35A5F" w:rsidRPr="00CD7E52" w:rsidRDefault="00D34904" w:rsidP="00F35A5F">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 xml:space="preserve">Rausvos, </w:t>
      </w:r>
      <w:r w:rsidR="00F35A5F" w:rsidRPr="00CD7E52">
        <w:rPr>
          <w:szCs w:val="22"/>
          <w:lang w:val="lt-LT"/>
        </w:rPr>
        <w:t xml:space="preserve">ovalios, abipus išgaubtos </w:t>
      </w:r>
      <w:r w:rsidRPr="00CD7E52">
        <w:rPr>
          <w:szCs w:val="22"/>
          <w:lang w:val="lt-LT"/>
        </w:rPr>
        <w:t>(</w:t>
      </w:r>
      <w:r w:rsidR="00F35A5F" w:rsidRPr="00CD7E52">
        <w:rPr>
          <w:szCs w:val="22"/>
          <w:lang w:val="lt-LT"/>
        </w:rPr>
        <w:t>8 mm ilgio ir 4 mm pločio</w:t>
      </w:r>
      <w:r w:rsidRPr="00CD7E52">
        <w:rPr>
          <w:szCs w:val="22"/>
          <w:lang w:val="lt-LT"/>
        </w:rPr>
        <w:t>).</w:t>
      </w:r>
    </w:p>
    <w:p w14:paraId="60C75EED" w14:textId="77777777" w:rsidR="00F35A5F" w:rsidRPr="00CD7E52" w:rsidRDefault="00F35A5F" w:rsidP="00F35A5F">
      <w:pPr>
        <w:widowControl w:val="0"/>
        <w:tabs>
          <w:tab w:val="clear" w:pos="567"/>
        </w:tabs>
        <w:kinsoku w:val="0"/>
        <w:overflowPunct w:val="0"/>
        <w:autoSpaceDE w:val="0"/>
        <w:autoSpaceDN w:val="0"/>
        <w:adjustRightInd w:val="0"/>
        <w:spacing w:line="240" w:lineRule="auto"/>
        <w:rPr>
          <w:szCs w:val="22"/>
          <w:lang w:val="lt-LT"/>
        </w:rPr>
      </w:pPr>
    </w:p>
    <w:p w14:paraId="5B91A55A" w14:textId="77777777" w:rsidR="00D34904" w:rsidRPr="00CD7E52" w:rsidRDefault="005A4193" w:rsidP="00F35A5F">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Apremilast STADA</w:t>
      </w:r>
      <w:r w:rsidR="00F35A5F" w:rsidRPr="00CD7E52">
        <w:rPr>
          <w:szCs w:val="22"/>
          <w:lang w:val="lt-LT"/>
        </w:rPr>
        <w:t xml:space="preserve"> 20 mg plėvele dengtos tabletės </w:t>
      </w:r>
    </w:p>
    <w:p w14:paraId="7D81662D" w14:textId="77777777" w:rsidR="00F35A5F" w:rsidRPr="00CD7E52" w:rsidRDefault="00D34904" w:rsidP="00F35A5F">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 xml:space="preserve">Rudos, </w:t>
      </w:r>
      <w:r w:rsidR="00F35A5F" w:rsidRPr="00CD7E52">
        <w:rPr>
          <w:szCs w:val="22"/>
          <w:lang w:val="lt-LT"/>
        </w:rPr>
        <w:t>ovalios, abipus išgaubtos</w:t>
      </w:r>
      <w:r w:rsidRPr="00CD7E52">
        <w:rPr>
          <w:szCs w:val="22"/>
          <w:lang w:val="lt-LT"/>
        </w:rPr>
        <w:t xml:space="preserve"> (</w:t>
      </w:r>
      <w:r w:rsidR="00F35A5F" w:rsidRPr="00CD7E52">
        <w:rPr>
          <w:szCs w:val="22"/>
          <w:lang w:val="lt-LT"/>
        </w:rPr>
        <w:t>10 mm ilgio ir 5 mm pločio</w:t>
      </w:r>
      <w:r w:rsidRPr="00CD7E52">
        <w:rPr>
          <w:szCs w:val="22"/>
          <w:lang w:val="lt-LT"/>
        </w:rPr>
        <w:t>)</w:t>
      </w:r>
      <w:r w:rsidR="00F35A5F" w:rsidRPr="00CD7E52">
        <w:rPr>
          <w:szCs w:val="22"/>
          <w:lang w:val="lt-LT"/>
        </w:rPr>
        <w:t>.</w:t>
      </w:r>
    </w:p>
    <w:p w14:paraId="6839CF8C" w14:textId="77777777" w:rsidR="00F35A5F" w:rsidRPr="00CD7E52" w:rsidRDefault="00F35A5F" w:rsidP="00F35A5F">
      <w:pPr>
        <w:widowControl w:val="0"/>
        <w:tabs>
          <w:tab w:val="clear" w:pos="567"/>
        </w:tabs>
        <w:kinsoku w:val="0"/>
        <w:overflowPunct w:val="0"/>
        <w:autoSpaceDE w:val="0"/>
        <w:autoSpaceDN w:val="0"/>
        <w:adjustRightInd w:val="0"/>
        <w:spacing w:line="240" w:lineRule="auto"/>
        <w:rPr>
          <w:szCs w:val="22"/>
          <w:lang w:val="lt-LT"/>
        </w:rPr>
      </w:pPr>
    </w:p>
    <w:p w14:paraId="0CDC09CD" w14:textId="77777777" w:rsidR="00D34904" w:rsidRPr="00CD7E52" w:rsidRDefault="005A4193" w:rsidP="00F35A5F">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Apremilast STADA</w:t>
      </w:r>
      <w:r w:rsidR="00F35A5F" w:rsidRPr="00CD7E52">
        <w:rPr>
          <w:szCs w:val="22"/>
          <w:lang w:val="lt-LT"/>
        </w:rPr>
        <w:t xml:space="preserve"> 30 mg plėvele dengtos tabletės</w:t>
      </w:r>
    </w:p>
    <w:p w14:paraId="7070AC13" w14:textId="77777777" w:rsidR="00F97172" w:rsidRPr="00CD7E52" w:rsidRDefault="00D34904"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Rusvai gelsvos,</w:t>
      </w:r>
      <w:r w:rsidR="00F35A5F" w:rsidRPr="00CD7E52">
        <w:rPr>
          <w:szCs w:val="22"/>
          <w:lang w:val="lt-LT"/>
        </w:rPr>
        <w:t xml:space="preserve"> ovalios, abipus išgaubtos</w:t>
      </w:r>
      <w:r w:rsidR="00F97172" w:rsidRPr="00CD7E52">
        <w:rPr>
          <w:szCs w:val="22"/>
          <w:lang w:val="lt-LT"/>
        </w:rPr>
        <w:t xml:space="preserve"> (</w:t>
      </w:r>
      <w:r w:rsidR="00F35A5F" w:rsidRPr="00CD7E52">
        <w:rPr>
          <w:szCs w:val="22"/>
          <w:lang w:val="lt-LT"/>
        </w:rPr>
        <w:t>13 mm ilgio ir 6 mm pločio</w:t>
      </w:r>
      <w:r w:rsidR="00F97172" w:rsidRPr="00CD7E52">
        <w:rPr>
          <w:szCs w:val="22"/>
          <w:lang w:val="lt-LT"/>
        </w:rPr>
        <w:t>).</w:t>
      </w:r>
    </w:p>
    <w:p w14:paraId="2D86545B" w14:textId="77777777" w:rsidR="00F97172" w:rsidRPr="00CD7E52" w:rsidRDefault="00F97172" w:rsidP="00BD0220">
      <w:pPr>
        <w:widowControl w:val="0"/>
        <w:tabs>
          <w:tab w:val="clear" w:pos="567"/>
        </w:tabs>
        <w:kinsoku w:val="0"/>
        <w:overflowPunct w:val="0"/>
        <w:autoSpaceDE w:val="0"/>
        <w:autoSpaceDN w:val="0"/>
        <w:adjustRightInd w:val="0"/>
        <w:spacing w:line="240" w:lineRule="auto"/>
        <w:rPr>
          <w:szCs w:val="22"/>
          <w:lang w:val="lt-LT"/>
        </w:rPr>
      </w:pPr>
    </w:p>
    <w:p w14:paraId="155EFFDA" w14:textId="77777777" w:rsidR="00CF15E3" w:rsidRPr="00CD7E52" w:rsidRDefault="00CF15E3" w:rsidP="00BD0220">
      <w:pPr>
        <w:widowControl w:val="0"/>
        <w:tabs>
          <w:tab w:val="clear" w:pos="567"/>
        </w:tabs>
        <w:kinsoku w:val="0"/>
        <w:overflowPunct w:val="0"/>
        <w:autoSpaceDE w:val="0"/>
        <w:autoSpaceDN w:val="0"/>
        <w:adjustRightInd w:val="0"/>
        <w:spacing w:line="240" w:lineRule="auto"/>
        <w:rPr>
          <w:szCs w:val="22"/>
          <w:u w:val="single"/>
          <w:lang w:val="lt-LT"/>
        </w:rPr>
      </w:pPr>
      <w:r w:rsidRPr="00CD7E52">
        <w:rPr>
          <w:szCs w:val="22"/>
          <w:u w:val="single"/>
          <w:lang w:val="lt-LT"/>
        </w:rPr>
        <w:t>Pakuotės dydžiai</w:t>
      </w:r>
    </w:p>
    <w:p w14:paraId="788A0B09" w14:textId="77777777" w:rsidR="00407EA7" w:rsidRPr="00CD7E52" w:rsidRDefault="00407EA7" w:rsidP="00BD0220">
      <w:pPr>
        <w:widowControl w:val="0"/>
        <w:tabs>
          <w:tab w:val="clear" w:pos="567"/>
        </w:tabs>
        <w:kinsoku w:val="0"/>
        <w:overflowPunct w:val="0"/>
        <w:autoSpaceDE w:val="0"/>
        <w:autoSpaceDN w:val="0"/>
        <w:adjustRightInd w:val="0"/>
        <w:spacing w:line="240" w:lineRule="auto"/>
        <w:rPr>
          <w:szCs w:val="22"/>
          <w:u w:val="single"/>
          <w:lang w:val="lt-LT"/>
        </w:rPr>
      </w:pPr>
    </w:p>
    <w:p w14:paraId="62D644FD" w14:textId="77777777" w:rsidR="00E93D19" w:rsidRPr="00CD7E52" w:rsidRDefault="00E93D19" w:rsidP="00E93D19">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Apremilast STADA 30 mg tiekiamas PVC/aliuminio folijos lizdinėse plokštelėse, kuriose yra 56 arba 168 plėvele dengtos tabletės</w:t>
      </w:r>
      <w:r w:rsidR="0071027C" w:rsidRPr="00CD7E52">
        <w:rPr>
          <w:szCs w:val="22"/>
          <w:lang w:val="lt-LT"/>
        </w:rPr>
        <w:t>,</w:t>
      </w:r>
      <w:r w:rsidRPr="00CD7E52">
        <w:rPr>
          <w:szCs w:val="22"/>
          <w:lang w:val="lt-LT"/>
        </w:rPr>
        <w:t xml:space="preserve"> arba PVC/aliuminio folijos dalomosiose lizdinėse plokštelėse, kuriose yra 56x1 arba 168x1 plėvele dengtos tabletės.</w:t>
      </w:r>
    </w:p>
    <w:p w14:paraId="51218D54" w14:textId="77777777" w:rsidR="00E93D19" w:rsidRPr="00CD7E52" w:rsidRDefault="00E93D19" w:rsidP="00E93D19">
      <w:pPr>
        <w:widowControl w:val="0"/>
        <w:tabs>
          <w:tab w:val="clear" w:pos="567"/>
        </w:tabs>
        <w:kinsoku w:val="0"/>
        <w:overflowPunct w:val="0"/>
        <w:autoSpaceDE w:val="0"/>
        <w:autoSpaceDN w:val="0"/>
        <w:adjustRightInd w:val="0"/>
        <w:spacing w:line="240" w:lineRule="auto"/>
        <w:rPr>
          <w:szCs w:val="22"/>
          <w:lang w:val="lt-LT"/>
        </w:rPr>
      </w:pPr>
    </w:p>
    <w:p w14:paraId="0F37AD2E" w14:textId="77777777" w:rsidR="00CF15E3" w:rsidRPr="00CD7E52" w:rsidRDefault="00E93D19"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Apremilast STADA 10 mg</w:t>
      </w:r>
      <w:r w:rsidR="00C124FE" w:rsidRPr="00CD7E52">
        <w:rPr>
          <w:szCs w:val="22"/>
          <w:lang w:val="lt-LT"/>
        </w:rPr>
        <w:t xml:space="preserve">, </w:t>
      </w:r>
      <w:r w:rsidRPr="00CD7E52">
        <w:rPr>
          <w:szCs w:val="22"/>
          <w:lang w:val="lt-LT"/>
        </w:rPr>
        <w:t xml:space="preserve">20 mg </w:t>
      </w:r>
      <w:r w:rsidR="00F960FC" w:rsidRPr="00CD7E52">
        <w:rPr>
          <w:szCs w:val="22"/>
          <w:lang w:val="lt-LT"/>
        </w:rPr>
        <w:t>ir</w:t>
      </w:r>
      <w:r w:rsidRPr="00CD7E52">
        <w:rPr>
          <w:szCs w:val="22"/>
          <w:lang w:val="lt-LT"/>
        </w:rPr>
        <w:t xml:space="preserve"> 30 mg tiekiamas PVC/aliuminio folijos lizdinėse plokštelėse, kuriose yra 27 plėvele dengtos tabletės (4 x 10 mg, 4 x 20 mg, 19 x 30 mg) arba PVC/aliuminio folijos dalomosiose lizdinėse plokštelėse, kuriose yra 27x1 plėvele dengtos tabletės (4 x 10 mg, 4</w:t>
      </w:r>
      <w:r w:rsidR="0071027C" w:rsidRPr="00CD7E52">
        <w:rPr>
          <w:szCs w:val="22"/>
          <w:lang w:val="lt-LT"/>
        </w:rPr>
        <w:t> </w:t>
      </w:r>
      <w:r w:rsidRPr="00CD7E52">
        <w:rPr>
          <w:szCs w:val="22"/>
          <w:lang w:val="lt-LT"/>
        </w:rPr>
        <w:t>x</w:t>
      </w:r>
      <w:r w:rsidR="0071027C" w:rsidRPr="00CD7E52">
        <w:rPr>
          <w:szCs w:val="22"/>
          <w:lang w:val="lt-LT"/>
        </w:rPr>
        <w:t> </w:t>
      </w:r>
      <w:r w:rsidRPr="00CD7E52">
        <w:rPr>
          <w:szCs w:val="22"/>
          <w:lang w:val="lt-LT"/>
        </w:rPr>
        <w:t>20</w:t>
      </w:r>
      <w:r w:rsidR="0071027C" w:rsidRPr="00CD7E52">
        <w:rPr>
          <w:szCs w:val="22"/>
          <w:lang w:val="lt-LT"/>
        </w:rPr>
        <w:t> </w:t>
      </w:r>
      <w:r w:rsidRPr="00CD7E52">
        <w:rPr>
          <w:szCs w:val="22"/>
          <w:lang w:val="lt-LT"/>
        </w:rPr>
        <w:t xml:space="preserve">mg, </w:t>
      </w:r>
      <w:r w:rsidR="00C000F2" w:rsidRPr="00CD7E52">
        <w:rPr>
          <w:szCs w:val="22"/>
          <w:lang w:val="lt-LT"/>
        </w:rPr>
        <w:t>19</w:t>
      </w:r>
      <w:r w:rsidR="00C000F2">
        <w:rPr>
          <w:szCs w:val="22"/>
          <w:lang w:val="lt-LT"/>
        </w:rPr>
        <w:t> </w:t>
      </w:r>
      <w:r w:rsidRPr="00CD7E52">
        <w:rPr>
          <w:szCs w:val="22"/>
          <w:lang w:val="lt-LT"/>
        </w:rPr>
        <w:t>x 30 mg).</w:t>
      </w:r>
    </w:p>
    <w:p w14:paraId="65FB7322" w14:textId="77777777" w:rsidR="00E93D19" w:rsidRPr="00CD7E52" w:rsidRDefault="00E93D19" w:rsidP="00BD0220">
      <w:pPr>
        <w:widowControl w:val="0"/>
        <w:tabs>
          <w:tab w:val="clear" w:pos="567"/>
        </w:tabs>
        <w:kinsoku w:val="0"/>
        <w:overflowPunct w:val="0"/>
        <w:autoSpaceDE w:val="0"/>
        <w:autoSpaceDN w:val="0"/>
        <w:adjustRightInd w:val="0"/>
        <w:spacing w:line="240" w:lineRule="auto"/>
        <w:rPr>
          <w:szCs w:val="22"/>
          <w:lang w:val="lt-LT"/>
        </w:rPr>
      </w:pPr>
    </w:p>
    <w:p w14:paraId="7A7CCCBE" w14:textId="77777777" w:rsidR="00CF15E3" w:rsidRPr="00CD7E52" w:rsidRDefault="00CF15E3" w:rsidP="00BD0220">
      <w:pPr>
        <w:widowControl w:val="0"/>
        <w:tabs>
          <w:tab w:val="clear" w:pos="567"/>
        </w:tabs>
        <w:kinsoku w:val="0"/>
        <w:overflowPunct w:val="0"/>
        <w:autoSpaceDE w:val="0"/>
        <w:autoSpaceDN w:val="0"/>
        <w:adjustRightInd w:val="0"/>
        <w:spacing w:line="240" w:lineRule="auto"/>
        <w:rPr>
          <w:spacing w:val="-2"/>
          <w:szCs w:val="22"/>
          <w:lang w:val="lt-LT"/>
        </w:rPr>
      </w:pPr>
      <w:r w:rsidRPr="00CD7E52">
        <w:rPr>
          <w:szCs w:val="22"/>
          <w:lang w:val="lt-LT"/>
        </w:rPr>
        <w:t>Gali</w:t>
      </w:r>
      <w:r w:rsidRPr="00CD7E52">
        <w:rPr>
          <w:spacing w:val="-7"/>
          <w:szCs w:val="22"/>
          <w:lang w:val="lt-LT"/>
        </w:rPr>
        <w:t xml:space="preserve"> </w:t>
      </w:r>
      <w:r w:rsidRPr="00CD7E52">
        <w:rPr>
          <w:szCs w:val="22"/>
          <w:lang w:val="lt-LT"/>
        </w:rPr>
        <w:t>būti</w:t>
      </w:r>
      <w:r w:rsidRPr="00CD7E52">
        <w:rPr>
          <w:spacing w:val="-6"/>
          <w:szCs w:val="22"/>
          <w:lang w:val="lt-LT"/>
        </w:rPr>
        <w:t xml:space="preserve"> </w:t>
      </w:r>
      <w:r w:rsidRPr="00CD7E52">
        <w:rPr>
          <w:szCs w:val="22"/>
          <w:lang w:val="lt-LT"/>
        </w:rPr>
        <w:t>tiekiamos</w:t>
      </w:r>
      <w:r w:rsidRPr="00CD7E52">
        <w:rPr>
          <w:spacing w:val="-5"/>
          <w:szCs w:val="22"/>
          <w:lang w:val="lt-LT"/>
        </w:rPr>
        <w:t xml:space="preserve"> </w:t>
      </w:r>
      <w:r w:rsidRPr="00CD7E52">
        <w:rPr>
          <w:szCs w:val="22"/>
          <w:lang w:val="lt-LT"/>
        </w:rPr>
        <w:t>ne</w:t>
      </w:r>
      <w:r w:rsidRPr="00CD7E52">
        <w:rPr>
          <w:spacing w:val="-6"/>
          <w:szCs w:val="22"/>
          <w:lang w:val="lt-LT"/>
        </w:rPr>
        <w:t xml:space="preserve"> </w:t>
      </w:r>
      <w:r w:rsidRPr="00CD7E52">
        <w:rPr>
          <w:szCs w:val="22"/>
          <w:lang w:val="lt-LT"/>
        </w:rPr>
        <w:t>visų</w:t>
      </w:r>
      <w:r w:rsidRPr="00CD7E52">
        <w:rPr>
          <w:spacing w:val="-5"/>
          <w:szCs w:val="22"/>
          <w:lang w:val="lt-LT"/>
        </w:rPr>
        <w:t xml:space="preserve"> </w:t>
      </w:r>
      <w:r w:rsidRPr="00CD7E52">
        <w:rPr>
          <w:szCs w:val="22"/>
          <w:lang w:val="lt-LT"/>
        </w:rPr>
        <w:t>dydžių</w:t>
      </w:r>
      <w:r w:rsidRPr="00CD7E52">
        <w:rPr>
          <w:spacing w:val="-6"/>
          <w:szCs w:val="22"/>
          <w:lang w:val="lt-LT"/>
        </w:rPr>
        <w:t xml:space="preserve"> </w:t>
      </w:r>
      <w:r w:rsidRPr="00CD7E52">
        <w:rPr>
          <w:spacing w:val="-2"/>
          <w:szCs w:val="22"/>
          <w:lang w:val="lt-LT"/>
        </w:rPr>
        <w:t>pakuotės.</w:t>
      </w:r>
    </w:p>
    <w:p w14:paraId="20C79CB9" w14:textId="77777777" w:rsidR="00CF15E3" w:rsidRPr="00CD7E52" w:rsidRDefault="00CF15E3" w:rsidP="00BD0220">
      <w:pPr>
        <w:widowControl w:val="0"/>
        <w:tabs>
          <w:tab w:val="clear" w:pos="567"/>
        </w:tabs>
        <w:kinsoku w:val="0"/>
        <w:overflowPunct w:val="0"/>
        <w:autoSpaceDE w:val="0"/>
        <w:autoSpaceDN w:val="0"/>
        <w:adjustRightInd w:val="0"/>
        <w:spacing w:line="240" w:lineRule="auto"/>
        <w:rPr>
          <w:szCs w:val="22"/>
          <w:lang w:val="lt-LT"/>
        </w:rPr>
      </w:pPr>
    </w:p>
    <w:p w14:paraId="24D416E3" w14:textId="77777777" w:rsidR="00CF15E3" w:rsidRPr="00CD7E52" w:rsidRDefault="00CF15E3" w:rsidP="00BD0220">
      <w:pPr>
        <w:keepNext/>
        <w:widowControl w:val="0"/>
        <w:tabs>
          <w:tab w:val="clear" w:pos="567"/>
        </w:tabs>
        <w:autoSpaceDE w:val="0"/>
        <w:autoSpaceDN w:val="0"/>
        <w:adjustRightInd w:val="0"/>
        <w:spacing w:line="240" w:lineRule="auto"/>
        <w:rPr>
          <w:b/>
          <w:snapToGrid/>
          <w:szCs w:val="22"/>
          <w:lang w:val="lt-LT" w:eastAsia="lt-LT"/>
        </w:rPr>
      </w:pPr>
      <w:r w:rsidRPr="00CD7E52">
        <w:rPr>
          <w:b/>
          <w:szCs w:val="22"/>
          <w:lang w:val="lt-LT"/>
        </w:rPr>
        <w:t>Registruotojas ir gamintojas</w:t>
      </w:r>
    </w:p>
    <w:p w14:paraId="777EC659" w14:textId="77777777" w:rsidR="00CF15E3" w:rsidRPr="00CD7E52" w:rsidRDefault="00CF15E3" w:rsidP="00BD0220">
      <w:pPr>
        <w:keepNext/>
        <w:widowControl w:val="0"/>
        <w:tabs>
          <w:tab w:val="clear" w:pos="567"/>
        </w:tabs>
        <w:autoSpaceDE w:val="0"/>
        <w:autoSpaceDN w:val="0"/>
        <w:adjustRightInd w:val="0"/>
        <w:spacing w:line="240" w:lineRule="auto"/>
        <w:rPr>
          <w:szCs w:val="22"/>
          <w:lang w:val="lt-LT"/>
        </w:rPr>
      </w:pPr>
    </w:p>
    <w:p w14:paraId="558C33E6" w14:textId="77777777" w:rsidR="00CF15E3" w:rsidRPr="00CD7E52" w:rsidRDefault="00CF15E3" w:rsidP="00BD0220">
      <w:pPr>
        <w:widowControl w:val="0"/>
        <w:numPr>
          <w:ilvl w:val="12"/>
          <w:numId w:val="0"/>
        </w:numPr>
        <w:tabs>
          <w:tab w:val="clear" w:pos="567"/>
          <w:tab w:val="left" w:pos="1296"/>
        </w:tabs>
        <w:autoSpaceDE w:val="0"/>
        <w:autoSpaceDN w:val="0"/>
        <w:adjustRightInd w:val="0"/>
        <w:snapToGrid w:val="0"/>
        <w:spacing w:line="240" w:lineRule="auto"/>
        <w:ind w:right="-2"/>
        <w:rPr>
          <w:snapToGrid/>
          <w:szCs w:val="22"/>
          <w:lang w:val="lt-LT" w:eastAsia="lt-LT"/>
        </w:rPr>
      </w:pPr>
      <w:r w:rsidRPr="00CD7E52">
        <w:rPr>
          <w:szCs w:val="22"/>
          <w:lang w:val="lt-LT"/>
        </w:rPr>
        <w:t>STADA Arzneimittel AG</w:t>
      </w:r>
    </w:p>
    <w:p w14:paraId="7EAFEA39" w14:textId="77777777" w:rsidR="00CF15E3" w:rsidRPr="00CD7E52" w:rsidRDefault="00CF15E3" w:rsidP="00BD0220">
      <w:pPr>
        <w:widowControl w:val="0"/>
        <w:numPr>
          <w:ilvl w:val="12"/>
          <w:numId w:val="0"/>
        </w:numPr>
        <w:tabs>
          <w:tab w:val="clear" w:pos="567"/>
          <w:tab w:val="left" w:pos="1296"/>
        </w:tabs>
        <w:autoSpaceDE w:val="0"/>
        <w:autoSpaceDN w:val="0"/>
        <w:adjustRightInd w:val="0"/>
        <w:snapToGrid w:val="0"/>
        <w:spacing w:line="240" w:lineRule="auto"/>
        <w:ind w:right="-2"/>
        <w:rPr>
          <w:snapToGrid/>
          <w:szCs w:val="22"/>
          <w:lang w:val="lt-LT" w:eastAsia="lt-LT"/>
        </w:rPr>
      </w:pPr>
      <w:r w:rsidRPr="00CD7E52">
        <w:rPr>
          <w:szCs w:val="22"/>
          <w:lang w:val="lt-LT"/>
        </w:rPr>
        <w:t>Stadastrasse 2-18</w:t>
      </w:r>
    </w:p>
    <w:p w14:paraId="3DB98D96" w14:textId="77777777" w:rsidR="00CF15E3" w:rsidRPr="00CD7E52" w:rsidRDefault="00CF15E3" w:rsidP="00BD0220">
      <w:pPr>
        <w:widowControl w:val="0"/>
        <w:numPr>
          <w:ilvl w:val="12"/>
          <w:numId w:val="0"/>
        </w:numPr>
        <w:tabs>
          <w:tab w:val="clear" w:pos="567"/>
          <w:tab w:val="left" w:pos="1296"/>
        </w:tabs>
        <w:autoSpaceDE w:val="0"/>
        <w:autoSpaceDN w:val="0"/>
        <w:adjustRightInd w:val="0"/>
        <w:snapToGrid w:val="0"/>
        <w:spacing w:line="240" w:lineRule="auto"/>
        <w:ind w:right="-2"/>
        <w:rPr>
          <w:snapToGrid/>
          <w:szCs w:val="22"/>
          <w:lang w:val="lt-LT" w:eastAsia="lt-LT"/>
        </w:rPr>
      </w:pPr>
      <w:r w:rsidRPr="00CD7E52">
        <w:rPr>
          <w:szCs w:val="22"/>
          <w:lang w:val="lt-LT"/>
        </w:rPr>
        <w:t>61118 Bad Vilbel</w:t>
      </w:r>
    </w:p>
    <w:p w14:paraId="12797728" w14:textId="77777777" w:rsidR="00CF15E3" w:rsidRPr="00CD7E52" w:rsidRDefault="00CF15E3" w:rsidP="00BD0220">
      <w:pPr>
        <w:widowControl w:val="0"/>
        <w:numPr>
          <w:ilvl w:val="12"/>
          <w:numId w:val="0"/>
        </w:numPr>
        <w:tabs>
          <w:tab w:val="clear" w:pos="567"/>
          <w:tab w:val="left" w:pos="1296"/>
        </w:tabs>
        <w:autoSpaceDE w:val="0"/>
        <w:autoSpaceDN w:val="0"/>
        <w:adjustRightInd w:val="0"/>
        <w:snapToGrid w:val="0"/>
        <w:spacing w:line="240" w:lineRule="auto"/>
        <w:ind w:right="-2"/>
        <w:rPr>
          <w:snapToGrid/>
          <w:szCs w:val="22"/>
          <w:lang w:val="lt-LT" w:eastAsia="lt-LT"/>
        </w:rPr>
      </w:pPr>
      <w:r w:rsidRPr="00CD7E52">
        <w:rPr>
          <w:szCs w:val="22"/>
          <w:lang w:val="lt-LT"/>
        </w:rPr>
        <w:t>Vokietija</w:t>
      </w:r>
    </w:p>
    <w:p w14:paraId="58DCEDD4" w14:textId="77777777" w:rsidR="00CF15E3" w:rsidRPr="00CD7E52" w:rsidRDefault="00CF15E3" w:rsidP="00BD0220">
      <w:pPr>
        <w:widowControl w:val="0"/>
        <w:tabs>
          <w:tab w:val="clear" w:pos="567"/>
        </w:tabs>
        <w:kinsoku w:val="0"/>
        <w:overflowPunct w:val="0"/>
        <w:autoSpaceDE w:val="0"/>
        <w:autoSpaceDN w:val="0"/>
        <w:adjustRightInd w:val="0"/>
        <w:spacing w:line="240" w:lineRule="auto"/>
        <w:rPr>
          <w:szCs w:val="22"/>
          <w:lang w:val="lt-LT"/>
        </w:rPr>
      </w:pPr>
    </w:p>
    <w:p w14:paraId="2E9CD5FA" w14:textId="77777777" w:rsidR="00CF15E3" w:rsidRPr="00CD7E52" w:rsidRDefault="00CF15E3" w:rsidP="00BD0220">
      <w:pPr>
        <w:widowControl w:val="0"/>
        <w:tabs>
          <w:tab w:val="clear" w:pos="567"/>
        </w:tabs>
        <w:kinsoku w:val="0"/>
        <w:overflowPunct w:val="0"/>
        <w:autoSpaceDE w:val="0"/>
        <w:autoSpaceDN w:val="0"/>
        <w:adjustRightInd w:val="0"/>
        <w:spacing w:line="240" w:lineRule="auto"/>
        <w:rPr>
          <w:szCs w:val="22"/>
          <w:lang w:val="lt-LT"/>
        </w:rPr>
      </w:pPr>
      <w:r w:rsidRPr="00CD7E52">
        <w:rPr>
          <w:szCs w:val="22"/>
          <w:lang w:val="lt-LT"/>
        </w:rPr>
        <w:t>Jeigu apie šį vaistą norite sužinoti daugiau, kreipkitės į vietinį registruotojo atstovą:</w:t>
      </w:r>
    </w:p>
    <w:p w14:paraId="51C9AA3E" w14:textId="77777777" w:rsidR="00CF15E3" w:rsidRPr="00CD7E52" w:rsidRDefault="00CF15E3" w:rsidP="00BD0220">
      <w:pPr>
        <w:widowControl w:val="0"/>
        <w:tabs>
          <w:tab w:val="clear" w:pos="567"/>
        </w:tabs>
        <w:kinsoku w:val="0"/>
        <w:overflowPunct w:val="0"/>
        <w:autoSpaceDE w:val="0"/>
        <w:autoSpaceDN w:val="0"/>
        <w:adjustRightInd w:val="0"/>
        <w:spacing w:line="240" w:lineRule="auto"/>
        <w:rPr>
          <w:szCs w:val="22"/>
          <w:lang w:val="lt-LT"/>
        </w:rPr>
      </w:pPr>
    </w:p>
    <w:p w14:paraId="4094DEDF" w14:textId="77777777" w:rsidR="00CF15E3" w:rsidRPr="00CD7E52" w:rsidRDefault="00CF15E3" w:rsidP="00BD0220">
      <w:pPr>
        <w:widowControl w:val="0"/>
        <w:tabs>
          <w:tab w:val="clear" w:pos="567"/>
        </w:tabs>
        <w:autoSpaceDE w:val="0"/>
        <w:autoSpaceDN w:val="0"/>
        <w:adjustRightInd w:val="0"/>
        <w:spacing w:line="240" w:lineRule="auto"/>
        <w:rPr>
          <w:snapToGrid/>
          <w:szCs w:val="22"/>
          <w:lang w:val="lt-LT" w:eastAsia="lt-LT"/>
        </w:rPr>
      </w:pPr>
      <w:r w:rsidRPr="00CD7E52">
        <w:rPr>
          <w:szCs w:val="22"/>
          <w:lang w:val="lt-LT"/>
        </w:rPr>
        <w:t>UAB „STADA Baltics“</w:t>
      </w:r>
    </w:p>
    <w:p w14:paraId="2A36DC64" w14:textId="77777777" w:rsidR="00CF15E3" w:rsidRPr="00CD7E52" w:rsidRDefault="00CF15E3" w:rsidP="00BD0220">
      <w:pPr>
        <w:widowControl w:val="0"/>
        <w:tabs>
          <w:tab w:val="clear" w:pos="567"/>
        </w:tabs>
        <w:autoSpaceDE w:val="0"/>
        <w:autoSpaceDN w:val="0"/>
        <w:adjustRightInd w:val="0"/>
        <w:spacing w:line="240" w:lineRule="auto"/>
        <w:rPr>
          <w:snapToGrid/>
          <w:szCs w:val="22"/>
          <w:lang w:val="lt-LT" w:eastAsia="lt-LT"/>
        </w:rPr>
      </w:pPr>
      <w:r w:rsidRPr="00CD7E52">
        <w:rPr>
          <w:szCs w:val="22"/>
          <w:lang w:val="lt-LT"/>
        </w:rPr>
        <w:t xml:space="preserve">A. Goštauto g. 40A </w:t>
      </w:r>
    </w:p>
    <w:p w14:paraId="15B1B7D4" w14:textId="77777777" w:rsidR="00CF15E3" w:rsidRPr="00CD7E52" w:rsidRDefault="00CF15E3" w:rsidP="00BD0220">
      <w:pPr>
        <w:widowControl w:val="0"/>
        <w:tabs>
          <w:tab w:val="clear" w:pos="567"/>
        </w:tabs>
        <w:autoSpaceDE w:val="0"/>
        <w:autoSpaceDN w:val="0"/>
        <w:adjustRightInd w:val="0"/>
        <w:spacing w:line="240" w:lineRule="auto"/>
        <w:rPr>
          <w:snapToGrid/>
          <w:szCs w:val="22"/>
          <w:lang w:val="lt-LT" w:eastAsia="lt-LT"/>
        </w:rPr>
      </w:pPr>
      <w:r w:rsidRPr="00CD7E52">
        <w:rPr>
          <w:szCs w:val="22"/>
          <w:lang w:val="lt-LT"/>
        </w:rPr>
        <w:t>LT-03163 Vilnius</w:t>
      </w:r>
    </w:p>
    <w:p w14:paraId="5DE60F23" w14:textId="77777777" w:rsidR="00CF15E3" w:rsidRPr="00CD7E52" w:rsidRDefault="00CF15E3" w:rsidP="00BD0220">
      <w:pPr>
        <w:widowControl w:val="0"/>
        <w:tabs>
          <w:tab w:val="clear" w:pos="567"/>
        </w:tabs>
        <w:autoSpaceDE w:val="0"/>
        <w:autoSpaceDN w:val="0"/>
        <w:adjustRightInd w:val="0"/>
        <w:spacing w:line="240" w:lineRule="auto"/>
        <w:rPr>
          <w:snapToGrid/>
          <w:szCs w:val="22"/>
          <w:lang w:val="lt-LT" w:eastAsia="lt-LT"/>
        </w:rPr>
      </w:pPr>
      <w:r w:rsidRPr="00CD7E52">
        <w:rPr>
          <w:szCs w:val="22"/>
          <w:lang w:val="lt-LT"/>
        </w:rPr>
        <w:t>Lietuva</w:t>
      </w:r>
    </w:p>
    <w:p w14:paraId="5DDFAAB9" w14:textId="77777777" w:rsidR="00CF15E3" w:rsidRPr="00CD7E52" w:rsidRDefault="00CF15E3" w:rsidP="00BD0220">
      <w:pPr>
        <w:widowControl w:val="0"/>
        <w:tabs>
          <w:tab w:val="clear" w:pos="567"/>
        </w:tabs>
        <w:autoSpaceDE w:val="0"/>
        <w:autoSpaceDN w:val="0"/>
        <w:adjustRightInd w:val="0"/>
        <w:spacing w:line="240" w:lineRule="auto"/>
        <w:rPr>
          <w:snapToGrid/>
          <w:szCs w:val="22"/>
          <w:lang w:val="lt-LT" w:eastAsia="lt-LT"/>
        </w:rPr>
      </w:pPr>
      <w:r w:rsidRPr="00CD7E52">
        <w:rPr>
          <w:szCs w:val="22"/>
          <w:lang w:val="lt-LT"/>
        </w:rPr>
        <w:lastRenderedPageBreak/>
        <w:t>Tel.: +370 5 260 3926</w:t>
      </w:r>
    </w:p>
    <w:p w14:paraId="68A56275" w14:textId="77777777" w:rsidR="00CF15E3" w:rsidRPr="00CD7E52" w:rsidRDefault="00CF15E3" w:rsidP="00BD0220">
      <w:pPr>
        <w:widowControl w:val="0"/>
        <w:tabs>
          <w:tab w:val="clear" w:pos="567"/>
        </w:tabs>
        <w:autoSpaceDE w:val="0"/>
        <w:autoSpaceDN w:val="0"/>
        <w:adjustRightInd w:val="0"/>
        <w:spacing w:line="240" w:lineRule="auto"/>
        <w:rPr>
          <w:snapToGrid/>
          <w:szCs w:val="22"/>
          <w:lang w:val="lt-LT" w:eastAsia="lt-LT"/>
        </w:rPr>
      </w:pPr>
      <w:r w:rsidRPr="00CD7E52">
        <w:rPr>
          <w:szCs w:val="22"/>
          <w:lang w:val="lt-LT"/>
        </w:rPr>
        <w:t xml:space="preserve">El. paštas: </w:t>
      </w:r>
      <w:hyperlink r:id="rId15" w:history="1">
        <w:r w:rsidRPr="00CD7E52">
          <w:rPr>
            <w:szCs w:val="22"/>
            <w:lang w:val="lt-LT"/>
          </w:rPr>
          <w:t>stada.baltics@stada.com</w:t>
        </w:r>
      </w:hyperlink>
    </w:p>
    <w:p w14:paraId="2BBF07E2" w14:textId="77777777" w:rsidR="00CF15E3" w:rsidRPr="00CD7E52" w:rsidRDefault="00CF15E3" w:rsidP="00BD0220">
      <w:pPr>
        <w:widowControl w:val="0"/>
        <w:tabs>
          <w:tab w:val="clear" w:pos="567"/>
        </w:tabs>
        <w:autoSpaceDE w:val="0"/>
        <w:autoSpaceDN w:val="0"/>
        <w:adjustRightInd w:val="0"/>
        <w:spacing w:line="240" w:lineRule="auto"/>
        <w:rPr>
          <w:szCs w:val="22"/>
          <w:lang w:val="lt-LT"/>
        </w:rPr>
      </w:pPr>
    </w:p>
    <w:p w14:paraId="5A9E39B9" w14:textId="77777777" w:rsidR="00CF15E3" w:rsidRPr="00CD7E52" w:rsidRDefault="00CF15E3" w:rsidP="00BD0220">
      <w:pPr>
        <w:widowControl w:val="0"/>
        <w:tabs>
          <w:tab w:val="clear" w:pos="567"/>
        </w:tabs>
        <w:autoSpaceDE w:val="0"/>
        <w:autoSpaceDN w:val="0"/>
        <w:adjustRightInd w:val="0"/>
        <w:spacing w:line="240" w:lineRule="auto"/>
        <w:rPr>
          <w:b/>
          <w:snapToGrid/>
          <w:szCs w:val="22"/>
          <w:lang w:val="lt-LT" w:eastAsia="lt-LT"/>
        </w:rPr>
      </w:pPr>
      <w:r w:rsidRPr="00CD7E52">
        <w:rPr>
          <w:b/>
          <w:szCs w:val="22"/>
          <w:lang w:val="lt-LT"/>
        </w:rPr>
        <w:t>Šis vaistas Europos ekonominės erdvės valstybėse narėse registruotas tokiais pavadinimais:</w:t>
      </w:r>
    </w:p>
    <w:p w14:paraId="03195922" w14:textId="77777777" w:rsidR="00CF15E3" w:rsidRPr="00CD7E52" w:rsidRDefault="00CF15E3" w:rsidP="00BD0220">
      <w:pPr>
        <w:widowControl w:val="0"/>
        <w:tabs>
          <w:tab w:val="clear" w:pos="567"/>
        </w:tabs>
        <w:autoSpaceDE w:val="0"/>
        <w:autoSpaceDN w:val="0"/>
        <w:adjustRightInd w:val="0"/>
        <w:spacing w:line="240" w:lineRule="auto"/>
        <w:rPr>
          <w:szCs w:val="22"/>
          <w:lang w:val="lt-LT"/>
        </w:rPr>
      </w:pPr>
    </w:p>
    <w:p w14:paraId="7E7D288B" w14:textId="77777777" w:rsidR="00CF15E3" w:rsidRPr="00CD7E52" w:rsidRDefault="00906782" w:rsidP="00BD0220">
      <w:pPr>
        <w:widowControl w:val="0"/>
        <w:tabs>
          <w:tab w:val="clear" w:pos="567"/>
        </w:tabs>
        <w:autoSpaceDE w:val="0"/>
        <w:autoSpaceDN w:val="0"/>
        <w:adjustRightInd w:val="0"/>
        <w:spacing w:line="240" w:lineRule="auto"/>
        <w:rPr>
          <w:szCs w:val="22"/>
          <w:lang w:val="lt-LT"/>
        </w:rPr>
      </w:pPr>
      <w:r w:rsidRPr="00CD7E52">
        <w:rPr>
          <w:szCs w:val="22"/>
          <w:lang w:val="lt-LT"/>
        </w:rPr>
        <w:t>Švedija: Apremilast STADA Nordic</w:t>
      </w:r>
    </w:p>
    <w:p w14:paraId="2289495F" w14:textId="77777777" w:rsidR="00033148" w:rsidRPr="00CD7E52" w:rsidRDefault="00033148" w:rsidP="00BD0220">
      <w:pPr>
        <w:widowControl w:val="0"/>
        <w:tabs>
          <w:tab w:val="clear" w:pos="567"/>
        </w:tabs>
        <w:autoSpaceDE w:val="0"/>
        <w:autoSpaceDN w:val="0"/>
        <w:adjustRightInd w:val="0"/>
        <w:spacing w:line="240" w:lineRule="auto"/>
        <w:rPr>
          <w:szCs w:val="22"/>
          <w:lang w:val="lt-LT"/>
        </w:rPr>
      </w:pPr>
      <w:r w:rsidRPr="00CD7E52">
        <w:rPr>
          <w:szCs w:val="22"/>
          <w:lang w:val="lt-LT"/>
        </w:rPr>
        <w:t>Estija, Kroatija, Latvija, Lietuva: Apremilast STADA</w:t>
      </w:r>
    </w:p>
    <w:tbl>
      <w:tblPr>
        <w:tblW w:w="0" w:type="auto"/>
        <w:tblInd w:w="-142" w:type="dxa"/>
        <w:tblLook w:val="04A0" w:firstRow="1" w:lastRow="0" w:firstColumn="1" w:lastColumn="0" w:noHBand="0" w:noVBand="1"/>
      </w:tblPr>
      <w:tblGrid>
        <w:gridCol w:w="1134"/>
        <w:gridCol w:w="5387"/>
      </w:tblGrid>
      <w:tr w:rsidR="00327C73" w:rsidRPr="00F27966" w14:paraId="0A590B38" w14:textId="77777777" w:rsidTr="00931818">
        <w:tc>
          <w:tcPr>
            <w:tcW w:w="1134" w:type="dxa"/>
          </w:tcPr>
          <w:p w14:paraId="07D08912" w14:textId="77777777" w:rsidR="00327C73" w:rsidRPr="00CD7E52" w:rsidRDefault="00327C73" w:rsidP="00033148">
            <w:pPr>
              <w:tabs>
                <w:tab w:val="clear" w:pos="567"/>
              </w:tabs>
              <w:spacing w:line="240" w:lineRule="auto"/>
              <w:rPr>
                <w:szCs w:val="22"/>
                <w:highlight w:val="yellow"/>
                <w:lang w:val="lt-LT"/>
              </w:rPr>
            </w:pPr>
          </w:p>
        </w:tc>
        <w:tc>
          <w:tcPr>
            <w:tcW w:w="5387" w:type="dxa"/>
          </w:tcPr>
          <w:p w14:paraId="66273CEC" w14:textId="77777777" w:rsidR="00327C73" w:rsidRPr="00CD7E52" w:rsidRDefault="00327C73" w:rsidP="00327C73">
            <w:pPr>
              <w:widowControl w:val="0"/>
              <w:tabs>
                <w:tab w:val="clear" w:pos="567"/>
              </w:tabs>
              <w:autoSpaceDE w:val="0"/>
              <w:autoSpaceDN w:val="0"/>
              <w:adjustRightInd w:val="0"/>
              <w:spacing w:line="240" w:lineRule="auto"/>
              <w:rPr>
                <w:snapToGrid/>
                <w:szCs w:val="22"/>
                <w:lang w:val="lt-LT" w:eastAsia="lt-LT"/>
              </w:rPr>
            </w:pPr>
          </w:p>
        </w:tc>
      </w:tr>
    </w:tbl>
    <w:p w14:paraId="151022E3" w14:textId="77777777" w:rsidR="00CF15E3" w:rsidRPr="00CD7E52" w:rsidRDefault="00CF15E3" w:rsidP="00BD0220">
      <w:pPr>
        <w:widowControl w:val="0"/>
        <w:tabs>
          <w:tab w:val="clear" w:pos="567"/>
        </w:tabs>
        <w:autoSpaceDE w:val="0"/>
        <w:autoSpaceDN w:val="0"/>
        <w:adjustRightInd w:val="0"/>
        <w:spacing w:line="240" w:lineRule="auto"/>
        <w:rPr>
          <w:b/>
          <w:szCs w:val="22"/>
          <w:lang w:val="lt-LT"/>
        </w:rPr>
      </w:pPr>
    </w:p>
    <w:p w14:paraId="27171324" w14:textId="41722783" w:rsidR="00CF15E3" w:rsidRPr="00CD7E52" w:rsidRDefault="00CF15E3" w:rsidP="00BD0220">
      <w:pPr>
        <w:widowControl w:val="0"/>
        <w:numPr>
          <w:ilvl w:val="12"/>
          <w:numId w:val="0"/>
        </w:numPr>
        <w:tabs>
          <w:tab w:val="clear" w:pos="567"/>
        </w:tabs>
        <w:autoSpaceDE w:val="0"/>
        <w:autoSpaceDN w:val="0"/>
        <w:adjustRightInd w:val="0"/>
        <w:spacing w:line="240" w:lineRule="auto"/>
        <w:ind w:right="-2"/>
        <w:rPr>
          <w:b/>
          <w:snapToGrid/>
          <w:szCs w:val="22"/>
          <w:lang w:val="lt-LT" w:eastAsia="lt-LT"/>
        </w:rPr>
      </w:pPr>
      <w:r w:rsidRPr="00CD7E52">
        <w:rPr>
          <w:b/>
          <w:szCs w:val="22"/>
          <w:lang w:val="lt-LT"/>
        </w:rPr>
        <w:t>Šis pakuotės lapelis paskutinį kartą peržiūrėtas</w:t>
      </w:r>
      <w:r w:rsidR="00274D31">
        <w:rPr>
          <w:b/>
          <w:szCs w:val="22"/>
          <w:lang w:val="lt-LT"/>
        </w:rPr>
        <w:t xml:space="preserve"> 2026-04-10</w:t>
      </w:r>
      <w:r w:rsidRPr="00CD7E52">
        <w:rPr>
          <w:b/>
          <w:szCs w:val="22"/>
          <w:lang w:val="lt-LT"/>
        </w:rPr>
        <w:t>.</w:t>
      </w:r>
    </w:p>
    <w:p w14:paraId="3B461A27" w14:textId="77777777" w:rsidR="00CF15E3" w:rsidRPr="00CD7E52" w:rsidRDefault="00CF15E3" w:rsidP="00BD0220">
      <w:pPr>
        <w:widowControl w:val="0"/>
        <w:numPr>
          <w:ilvl w:val="12"/>
          <w:numId w:val="0"/>
        </w:numPr>
        <w:tabs>
          <w:tab w:val="clear" w:pos="567"/>
        </w:tabs>
        <w:autoSpaceDE w:val="0"/>
        <w:autoSpaceDN w:val="0"/>
        <w:adjustRightInd w:val="0"/>
        <w:spacing w:line="240" w:lineRule="auto"/>
        <w:ind w:right="-2"/>
        <w:rPr>
          <w:szCs w:val="22"/>
          <w:lang w:val="lt-LT"/>
        </w:rPr>
      </w:pPr>
    </w:p>
    <w:p w14:paraId="0B662E5A" w14:textId="77777777" w:rsidR="0048239D" w:rsidRPr="00CD7E52" w:rsidRDefault="0048239D" w:rsidP="0048239D">
      <w:pPr>
        <w:jc w:val="both"/>
        <w:rPr>
          <w:szCs w:val="22"/>
          <w:lang w:val="lt-LT" w:eastAsia="lt-LT"/>
        </w:rPr>
      </w:pPr>
      <w:r w:rsidRPr="00CD7E52">
        <w:rPr>
          <w:szCs w:val="22"/>
          <w:lang w:val="lt-LT" w:eastAsia="lt-LT"/>
        </w:rPr>
        <w:t xml:space="preserve">Išsami informacija apie šį vaistą pateikiama Valstybinės vaistų kontrolės tarnybos prie Lietuvos Respublikos sveikatos apsaugos ministerijos tinklalapyje </w:t>
      </w:r>
      <w:r w:rsidRPr="00CD7E52">
        <w:rPr>
          <w:color w:val="0000EE"/>
          <w:szCs w:val="22"/>
          <w:u w:val="single"/>
          <w:lang w:val="lt-LT" w:eastAsia="lt-LT"/>
        </w:rPr>
        <w:t>https://vvkt.lrv.lt/lt/</w:t>
      </w:r>
      <w:r w:rsidRPr="00CD7E52">
        <w:rPr>
          <w:szCs w:val="22"/>
          <w:lang w:val="lt-LT" w:eastAsia="lt-LT"/>
        </w:rPr>
        <w:t>.</w:t>
      </w:r>
    </w:p>
    <w:p w14:paraId="6A0CE08D" w14:textId="77777777" w:rsidR="00CF15E3" w:rsidRPr="00CD7E52" w:rsidRDefault="00CF15E3" w:rsidP="00BD0220">
      <w:pPr>
        <w:widowControl w:val="0"/>
        <w:tabs>
          <w:tab w:val="clear" w:pos="567"/>
        </w:tabs>
        <w:autoSpaceDE w:val="0"/>
        <w:autoSpaceDN w:val="0"/>
        <w:adjustRightInd w:val="0"/>
        <w:spacing w:line="240" w:lineRule="auto"/>
        <w:rPr>
          <w:szCs w:val="22"/>
          <w:lang w:val="lt-LT"/>
        </w:rPr>
      </w:pPr>
    </w:p>
    <w:p w14:paraId="0B0F615C" w14:textId="77777777" w:rsidR="00EC46F9" w:rsidRPr="00CD7E52" w:rsidRDefault="00EC46F9" w:rsidP="00BD0220">
      <w:pPr>
        <w:widowControl w:val="0"/>
        <w:numPr>
          <w:ilvl w:val="12"/>
          <w:numId w:val="0"/>
        </w:numPr>
        <w:tabs>
          <w:tab w:val="clear" w:pos="567"/>
        </w:tabs>
        <w:spacing w:line="240" w:lineRule="auto"/>
        <w:ind w:right="-2"/>
        <w:rPr>
          <w:szCs w:val="22"/>
          <w:lang w:val="lt-LT"/>
        </w:rPr>
      </w:pPr>
    </w:p>
    <w:sectPr w:rsidR="00EC46F9" w:rsidRPr="00CD7E52" w:rsidSect="009E0A7D">
      <w:headerReference w:type="default" r:id="rId16"/>
      <w:footerReference w:type="even" r:id="rId17"/>
      <w:footerReference w:type="defaul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D6C41" w14:textId="77777777" w:rsidR="00BF5618" w:rsidRDefault="00BF5618" w:rsidP="009E0A7D">
      <w:pPr>
        <w:spacing w:line="240" w:lineRule="auto"/>
      </w:pPr>
      <w:r>
        <w:separator/>
      </w:r>
    </w:p>
    <w:p w14:paraId="71CEE1C3" w14:textId="77777777" w:rsidR="00BF5618" w:rsidRDefault="00BF5618"/>
  </w:endnote>
  <w:endnote w:type="continuationSeparator" w:id="0">
    <w:p w14:paraId="316A3825" w14:textId="77777777" w:rsidR="00BF5618" w:rsidRDefault="00BF5618" w:rsidP="009E0A7D">
      <w:pPr>
        <w:spacing w:line="240" w:lineRule="auto"/>
      </w:pPr>
      <w:r>
        <w:continuationSeparator/>
      </w:r>
    </w:p>
    <w:p w14:paraId="52F8B377" w14:textId="77777777" w:rsidR="00BF5618" w:rsidRDefault="00BF5618"/>
  </w:endnote>
  <w:endnote w:type="continuationNotice" w:id="1">
    <w:p w14:paraId="518F22BA" w14:textId="77777777" w:rsidR="00BF5618" w:rsidRDefault="00BF5618" w:rsidP="009E0A7D">
      <w:pPr>
        <w:spacing w:line="240" w:lineRule="auto"/>
      </w:pPr>
    </w:p>
    <w:p w14:paraId="7B342371" w14:textId="77777777" w:rsidR="00BF5618" w:rsidRDefault="00BF5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A1"/>
    <w:family w:val="auto"/>
    <w:notTrueType/>
    <w:pitch w:val="default"/>
    <w:sig w:usb0="00000085" w:usb1="00000000" w:usb2="00000000" w:usb3="00000000" w:csb0="0000000A" w:csb1="00000000"/>
  </w:font>
  <w:font w:name="TimesNewRoman,Bold">
    <w:altName w:val="MS Mincho"/>
    <w:panose1 w:val="00000000000000000000"/>
    <w:charset w:val="00"/>
    <w:family w:val="auto"/>
    <w:notTrueType/>
    <w:pitch w:val="default"/>
    <w:sig w:usb0="00000083" w:usb1="00000000" w:usb2="00000000" w:usb3="00000000" w:csb0="000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8988" w14:textId="77777777" w:rsidR="00965C91" w:rsidRDefault="00965C91">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0369256A" w14:textId="77777777" w:rsidR="00965C91" w:rsidRPr="00BD0220" w:rsidRDefault="00965C91" w:rsidP="00BD0220">
    <w:pPr>
      <w:pStyle w:val="Porat"/>
      <w:ind w:right="360"/>
      <w:rPr>
        <w:lang w:val="lt-LT"/>
      </w:rPr>
    </w:pPr>
  </w:p>
  <w:p w14:paraId="73CD0269" w14:textId="77777777" w:rsidR="00F2138D" w:rsidRDefault="00F213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D979" w14:textId="77777777" w:rsidR="00965C91" w:rsidRPr="001C4391" w:rsidRDefault="00965C91" w:rsidP="009E0A7D">
    <w:pPr>
      <w:pStyle w:val="Porat"/>
      <w:ind w:right="360"/>
      <w:jc w:val="center"/>
      <w:rPr>
        <w:rStyle w:val="Puslapionumeris"/>
        <w:lang w:val="lt-LT"/>
      </w:rPr>
    </w:pPr>
    <w:r w:rsidRPr="001C4391">
      <w:rPr>
        <w:rStyle w:val="Puslapionumeris"/>
        <w:lang w:val="lt-LT"/>
      </w:rPr>
      <w:fldChar w:fldCharType="begin"/>
    </w:r>
    <w:r w:rsidRPr="001C4391">
      <w:rPr>
        <w:rStyle w:val="Puslapionumeris"/>
        <w:lang w:val="lt-LT"/>
      </w:rPr>
      <w:instrText xml:space="preserve"> PAGE </w:instrText>
    </w:r>
    <w:r w:rsidRPr="001C4391">
      <w:rPr>
        <w:rStyle w:val="Puslapionumeris"/>
        <w:lang w:val="lt-LT"/>
      </w:rPr>
      <w:fldChar w:fldCharType="separate"/>
    </w:r>
    <w:r w:rsidR="004658FF" w:rsidRPr="001C4391">
      <w:rPr>
        <w:rStyle w:val="Puslapionumeris"/>
        <w:noProof/>
        <w:lang w:val="lt-LT"/>
      </w:rPr>
      <w:t>3</w:t>
    </w:r>
    <w:r w:rsidR="004658FF" w:rsidRPr="001C4391">
      <w:rPr>
        <w:rStyle w:val="Puslapionumeris"/>
        <w:noProof/>
        <w:lang w:val="lt-LT"/>
      </w:rPr>
      <w:t>7</w:t>
    </w:r>
    <w:r w:rsidRPr="001C4391">
      <w:rPr>
        <w:rStyle w:val="Puslapionumeris"/>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5CF82" w14:textId="77777777" w:rsidR="00BF5618" w:rsidRDefault="00BF5618" w:rsidP="009E0A7D">
      <w:pPr>
        <w:spacing w:line="240" w:lineRule="auto"/>
      </w:pPr>
      <w:r>
        <w:separator/>
      </w:r>
    </w:p>
    <w:p w14:paraId="6C3668AB" w14:textId="77777777" w:rsidR="00BF5618" w:rsidRDefault="00BF5618"/>
  </w:footnote>
  <w:footnote w:type="continuationSeparator" w:id="0">
    <w:p w14:paraId="6B899F1B" w14:textId="77777777" w:rsidR="00BF5618" w:rsidRDefault="00BF5618" w:rsidP="009E0A7D">
      <w:pPr>
        <w:spacing w:line="240" w:lineRule="auto"/>
      </w:pPr>
      <w:r>
        <w:continuationSeparator/>
      </w:r>
    </w:p>
    <w:p w14:paraId="19A9C6EC" w14:textId="77777777" w:rsidR="00BF5618" w:rsidRDefault="00BF5618"/>
  </w:footnote>
  <w:footnote w:type="continuationNotice" w:id="1">
    <w:p w14:paraId="568880E8" w14:textId="77777777" w:rsidR="00BF5618" w:rsidRDefault="00BF5618" w:rsidP="009E0A7D">
      <w:pPr>
        <w:spacing w:line="240" w:lineRule="auto"/>
      </w:pPr>
    </w:p>
    <w:p w14:paraId="4DC632A6" w14:textId="77777777" w:rsidR="00BF5618" w:rsidRDefault="00BF56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0713" w14:textId="77777777" w:rsidR="00716E07" w:rsidRDefault="00716E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EF59B9"/>
    <w:multiLevelType w:val="hybridMultilevel"/>
    <w:tmpl w:val="E72650F8"/>
    <w:lvl w:ilvl="0" w:tplc="772686F8">
      <w:start w:val="1"/>
      <w:numFmt w:val="bullet"/>
      <w:lvlText w:val="•"/>
      <w:lvlJc w:val="left"/>
      <w:rPr>
        <w:rFonts w:ascii="Calibri" w:hAnsi="Calibri" w:hint="default"/>
        <w:caps w:val="0"/>
        <w:strike w:val="0"/>
        <w:dstrike w:val="0"/>
        <w:vanish w:val="0"/>
        <w:color w:val="auto"/>
        <w:sz w:val="24"/>
        <w:vertAlign w:val="baselin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5A4E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0000402"/>
    <w:multiLevelType w:val="multilevel"/>
    <w:tmpl w:val="9064C778"/>
    <w:lvl w:ilvl="0">
      <w:start w:val="6"/>
      <w:numFmt w:val="decimal"/>
      <w:lvlText w:val="%1."/>
      <w:lvlJc w:val="left"/>
      <w:pPr>
        <w:ind w:left="801" w:hanging="568"/>
      </w:pPr>
      <w:rPr>
        <w:rFonts w:ascii="Times New Roman" w:hAnsi="Times New Roman" w:cs="Times New Roman" w:hint="default"/>
        <w:b/>
        <w:bCs/>
        <w:i w:val="0"/>
        <w:iCs w:val="0"/>
        <w:spacing w:val="0"/>
        <w:w w:val="99"/>
        <w:sz w:val="22"/>
        <w:szCs w:val="22"/>
      </w:rPr>
    </w:lvl>
    <w:lvl w:ilvl="1">
      <w:start w:val="1"/>
      <w:numFmt w:val="decimal"/>
      <w:lvlText w:val="%1.%2"/>
      <w:lvlJc w:val="left"/>
      <w:pPr>
        <w:ind w:left="801" w:hanging="568"/>
      </w:pPr>
      <w:rPr>
        <w:rFonts w:ascii="Times New Roman" w:hAnsi="Times New Roman" w:cs="Times New Roman" w:hint="default"/>
        <w:b/>
        <w:bCs/>
        <w:i w:val="0"/>
        <w:iCs w:val="0"/>
        <w:spacing w:val="0"/>
        <w:w w:val="99"/>
        <w:sz w:val="22"/>
        <w:szCs w:val="22"/>
      </w:rPr>
    </w:lvl>
    <w:lvl w:ilvl="2">
      <w:numFmt w:val="bullet"/>
      <w:lvlText w:val="•"/>
      <w:lvlJc w:val="left"/>
      <w:pPr>
        <w:ind w:left="2765" w:hanging="568"/>
      </w:pPr>
      <w:rPr>
        <w:rFonts w:hint="default"/>
      </w:rPr>
    </w:lvl>
    <w:lvl w:ilvl="3">
      <w:numFmt w:val="bullet"/>
      <w:lvlText w:val="•"/>
      <w:lvlJc w:val="left"/>
      <w:pPr>
        <w:ind w:left="3748" w:hanging="568"/>
      </w:pPr>
      <w:rPr>
        <w:rFonts w:hint="default"/>
      </w:rPr>
    </w:lvl>
    <w:lvl w:ilvl="4">
      <w:numFmt w:val="bullet"/>
      <w:lvlText w:val="•"/>
      <w:lvlJc w:val="left"/>
      <w:pPr>
        <w:ind w:left="4731" w:hanging="568"/>
      </w:pPr>
      <w:rPr>
        <w:rFonts w:hint="default"/>
      </w:rPr>
    </w:lvl>
    <w:lvl w:ilvl="5">
      <w:numFmt w:val="bullet"/>
      <w:lvlText w:val="•"/>
      <w:lvlJc w:val="left"/>
      <w:pPr>
        <w:ind w:left="5713" w:hanging="568"/>
      </w:pPr>
      <w:rPr>
        <w:rFonts w:hint="default"/>
      </w:rPr>
    </w:lvl>
    <w:lvl w:ilvl="6">
      <w:numFmt w:val="bullet"/>
      <w:lvlText w:val="•"/>
      <w:lvlJc w:val="left"/>
      <w:pPr>
        <w:ind w:left="6696" w:hanging="568"/>
      </w:pPr>
      <w:rPr>
        <w:rFonts w:hint="default"/>
      </w:rPr>
    </w:lvl>
    <w:lvl w:ilvl="7">
      <w:numFmt w:val="bullet"/>
      <w:lvlText w:val="•"/>
      <w:lvlJc w:val="left"/>
      <w:pPr>
        <w:ind w:left="7679" w:hanging="568"/>
      </w:pPr>
      <w:rPr>
        <w:rFonts w:hint="default"/>
      </w:rPr>
    </w:lvl>
    <w:lvl w:ilvl="8">
      <w:numFmt w:val="bullet"/>
      <w:lvlText w:val="•"/>
      <w:lvlJc w:val="left"/>
      <w:pPr>
        <w:ind w:left="8662" w:hanging="568"/>
      </w:pPr>
      <w:rPr>
        <w:rFonts w:hint="default"/>
      </w:rPr>
    </w:lvl>
  </w:abstractNum>
  <w:abstractNum w:abstractNumId="4" w15:restartNumberingAfterBreak="0">
    <w:nsid w:val="00000403"/>
    <w:multiLevelType w:val="multilevel"/>
    <w:tmpl w:val="FFFFFFFF"/>
    <w:lvl w:ilvl="0">
      <w:start w:val="1"/>
      <w:numFmt w:val="decimal"/>
      <w:lvlText w:val="%1"/>
      <w:lvlJc w:val="left"/>
      <w:pPr>
        <w:ind w:left="399" w:hanging="166"/>
      </w:pPr>
      <w:rPr>
        <w:spacing w:val="0"/>
        <w:w w:val="99"/>
      </w:rPr>
    </w:lvl>
    <w:lvl w:ilvl="1">
      <w:numFmt w:val="bullet"/>
      <w:lvlText w:val="•"/>
      <w:lvlJc w:val="left"/>
      <w:pPr>
        <w:ind w:left="1422" w:hanging="166"/>
      </w:pPr>
    </w:lvl>
    <w:lvl w:ilvl="2">
      <w:numFmt w:val="bullet"/>
      <w:lvlText w:val="•"/>
      <w:lvlJc w:val="left"/>
      <w:pPr>
        <w:ind w:left="2445" w:hanging="166"/>
      </w:pPr>
    </w:lvl>
    <w:lvl w:ilvl="3">
      <w:numFmt w:val="bullet"/>
      <w:lvlText w:val="•"/>
      <w:lvlJc w:val="left"/>
      <w:pPr>
        <w:ind w:left="3468" w:hanging="166"/>
      </w:pPr>
    </w:lvl>
    <w:lvl w:ilvl="4">
      <w:numFmt w:val="bullet"/>
      <w:lvlText w:val="•"/>
      <w:lvlJc w:val="left"/>
      <w:pPr>
        <w:ind w:left="4491" w:hanging="166"/>
      </w:pPr>
    </w:lvl>
    <w:lvl w:ilvl="5">
      <w:numFmt w:val="bullet"/>
      <w:lvlText w:val="•"/>
      <w:lvlJc w:val="left"/>
      <w:pPr>
        <w:ind w:left="5513" w:hanging="166"/>
      </w:pPr>
    </w:lvl>
    <w:lvl w:ilvl="6">
      <w:numFmt w:val="bullet"/>
      <w:lvlText w:val="•"/>
      <w:lvlJc w:val="left"/>
      <w:pPr>
        <w:ind w:left="6536" w:hanging="166"/>
      </w:pPr>
    </w:lvl>
    <w:lvl w:ilvl="7">
      <w:numFmt w:val="bullet"/>
      <w:lvlText w:val="•"/>
      <w:lvlJc w:val="left"/>
      <w:pPr>
        <w:ind w:left="7559" w:hanging="166"/>
      </w:pPr>
    </w:lvl>
    <w:lvl w:ilvl="8">
      <w:numFmt w:val="bullet"/>
      <w:lvlText w:val="•"/>
      <w:lvlJc w:val="left"/>
      <w:pPr>
        <w:ind w:left="8582" w:hanging="166"/>
      </w:pPr>
    </w:lvl>
  </w:abstractNum>
  <w:abstractNum w:abstractNumId="5" w15:restartNumberingAfterBreak="0">
    <w:nsid w:val="00000404"/>
    <w:multiLevelType w:val="multilevel"/>
    <w:tmpl w:val="FFFFFFFF"/>
    <w:lvl w:ilvl="0">
      <w:start w:val="1"/>
      <w:numFmt w:val="upperLetter"/>
      <w:lvlText w:val="%1."/>
      <w:lvlJc w:val="left"/>
      <w:pPr>
        <w:ind w:left="1936" w:hanging="568"/>
      </w:pPr>
      <w:rPr>
        <w:rFonts w:ascii="Times New Roman" w:hAnsi="Times New Roman" w:cs="Times New Roman"/>
        <w:b/>
        <w:bCs/>
        <w:i w:val="0"/>
        <w:iCs w:val="0"/>
        <w:spacing w:val="-1"/>
        <w:w w:val="99"/>
        <w:sz w:val="22"/>
        <w:szCs w:val="22"/>
      </w:rPr>
    </w:lvl>
    <w:lvl w:ilvl="1">
      <w:numFmt w:val="bullet"/>
      <w:lvlText w:val="•"/>
      <w:lvlJc w:val="left"/>
      <w:pPr>
        <w:ind w:left="2808" w:hanging="568"/>
      </w:pPr>
    </w:lvl>
    <w:lvl w:ilvl="2">
      <w:numFmt w:val="bullet"/>
      <w:lvlText w:val="•"/>
      <w:lvlJc w:val="left"/>
      <w:pPr>
        <w:ind w:left="3677" w:hanging="568"/>
      </w:pPr>
    </w:lvl>
    <w:lvl w:ilvl="3">
      <w:numFmt w:val="bullet"/>
      <w:lvlText w:val="•"/>
      <w:lvlJc w:val="left"/>
      <w:pPr>
        <w:ind w:left="4546" w:hanging="568"/>
      </w:pPr>
    </w:lvl>
    <w:lvl w:ilvl="4">
      <w:numFmt w:val="bullet"/>
      <w:lvlText w:val="•"/>
      <w:lvlJc w:val="left"/>
      <w:pPr>
        <w:ind w:left="5415" w:hanging="568"/>
      </w:pPr>
    </w:lvl>
    <w:lvl w:ilvl="5">
      <w:numFmt w:val="bullet"/>
      <w:lvlText w:val="•"/>
      <w:lvlJc w:val="left"/>
      <w:pPr>
        <w:ind w:left="6283" w:hanging="568"/>
      </w:pPr>
    </w:lvl>
    <w:lvl w:ilvl="6">
      <w:numFmt w:val="bullet"/>
      <w:lvlText w:val="•"/>
      <w:lvlJc w:val="left"/>
      <w:pPr>
        <w:ind w:left="7152" w:hanging="568"/>
      </w:pPr>
    </w:lvl>
    <w:lvl w:ilvl="7">
      <w:numFmt w:val="bullet"/>
      <w:lvlText w:val="•"/>
      <w:lvlJc w:val="left"/>
      <w:pPr>
        <w:ind w:left="8021" w:hanging="568"/>
      </w:pPr>
    </w:lvl>
    <w:lvl w:ilvl="8">
      <w:numFmt w:val="bullet"/>
      <w:lvlText w:val="•"/>
      <w:lvlJc w:val="left"/>
      <w:pPr>
        <w:ind w:left="8890" w:hanging="568"/>
      </w:pPr>
    </w:lvl>
  </w:abstractNum>
  <w:abstractNum w:abstractNumId="6" w15:restartNumberingAfterBreak="0">
    <w:nsid w:val="00000405"/>
    <w:multiLevelType w:val="multilevel"/>
    <w:tmpl w:val="FFFFFFFF"/>
    <w:lvl w:ilvl="0">
      <w:start w:val="1"/>
      <w:numFmt w:val="upperLetter"/>
      <w:lvlText w:val="%1."/>
      <w:lvlJc w:val="left"/>
      <w:pPr>
        <w:ind w:left="801" w:hanging="568"/>
      </w:pPr>
      <w:rPr>
        <w:rFonts w:ascii="Times New Roman" w:hAnsi="Times New Roman" w:cs="Times New Roman"/>
        <w:b/>
        <w:bCs/>
        <w:i w:val="0"/>
        <w:iCs w:val="0"/>
        <w:spacing w:val="-1"/>
        <w:w w:val="99"/>
        <w:sz w:val="22"/>
        <w:szCs w:val="22"/>
      </w:rPr>
    </w:lvl>
    <w:lvl w:ilvl="1">
      <w:start w:val="1"/>
      <w:numFmt w:val="upperLetter"/>
      <w:lvlText w:val="%2."/>
      <w:lvlJc w:val="left"/>
      <w:pPr>
        <w:ind w:left="4393" w:hanging="269"/>
      </w:pPr>
      <w:rPr>
        <w:rFonts w:ascii="Times New Roman" w:hAnsi="Times New Roman" w:cs="Times New Roman"/>
        <w:b/>
        <w:bCs/>
        <w:i w:val="0"/>
        <w:iCs w:val="0"/>
        <w:spacing w:val="0"/>
        <w:w w:val="99"/>
        <w:sz w:val="22"/>
        <w:szCs w:val="22"/>
      </w:rPr>
    </w:lvl>
    <w:lvl w:ilvl="2">
      <w:numFmt w:val="bullet"/>
      <w:lvlText w:val="•"/>
      <w:lvlJc w:val="left"/>
      <w:pPr>
        <w:ind w:left="5091" w:hanging="269"/>
      </w:pPr>
    </w:lvl>
    <w:lvl w:ilvl="3">
      <w:numFmt w:val="bullet"/>
      <w:lvlText w:val="•"/>
      <w:lvlJc w:val="left"/>
      <w:pPr>
        <w:ind w:left="5783" w:hanging="269"/>
      </w:pPr>
    </w:lvl>
    <w:lvl w:ilvl="4">
      <w:numFmt w:val="bullet"/>
      <w:lvlText w:val="•"/>
      <w:lvlJc w:val="left"/>
      <w:pPr>
        <w:ind w:left="6475" w:hanging="269"/>
      </w:pPr>
    </w:lvl>
    <w:lvl w:ilvl="5">
      <w:numFmt w:val="bullet"/>
      <w:lvlText w:val="•"/>
      <w:lvlJc w:val="left"/>
      <w:pPr>
        <w:ind w:left="7167" w:hanging="269"/>
      </w:pPr>
    </w:lvl>
    <w:lvl w:ilvl="6">
      <w:numFmt w:val="bullet"/>
      <w:lvlText w:val="•"/>
      <w:lvlJc w:val="left"/>
      <w:pPr>
        <w:ind w:left="7859" w:hanging="269"/>
      </w:pPr>
    </w:lvl>
    <w:lvl w:ilvl="7">
      <w:numFmt w:val="bullet"/>
      <w:lvlText w:val="•"/>
      <w:lvlJc w:val="left"/>
      <w:pPr>
        <w:ind w:left="8551" w:hanging="269"/>
      </w:pPr>
    </w:lvl>
    <w:lvl w:ilvl="8">
      <w:numFmt w:val="bullet"/>
      <w:lvlText w:val="•"/>
      <w:lvlJc w:val="left"/>
      <w:pPr>
        <w:ind w:left="9243" w:hanging="269"/>
      </w:pPr>
    </w:lvl>
  </w:abstractNum>
  <w:abstractNum w:abstractNumId="7" w15:restartNumberingAfterBreak="0">
    <w:nsid w:val="00000406"/>
    <w:multiLevelType w:val="multilevel"/>
    <w:tmpl w:val="FFFFFFFF"/>
    <w:lvl w:ilvl="0">
      <w:numFmt w:val="bullet"/>
      <w:lvlText w:val=""/>
      <w:lvlJc w:val="left"/>
      <w:pPr>
        <w:ind w:left="801" w:hanging="568"/>
      </w:pPr>
      <w:rPr>
        <w:rFonts w:ascii="Symbol" w:hAnsi="Symbol" w:cs="Symbol"/>
        <w:b w:val="0"/>
        <w:bCs w:val="0"/>
        <w:i w:val="0"/>
        <w:iCs w:val="0"/>
        <w:spacing w:val="0"/>
        <w:w w:val="99"/>
        <w:sz w:val="22"/>
        <w:szCs w:val="22"/>
      </w:rPr>
    </w:lvl>
    <w:lvl w:ilvl="1">
      <w:numFmt w:val="bullet"/>
      <w:lvlText w:val=""/>
      <w:lvlJc w:val="left"/>
      <w:pPr>
        <w:ind w:left="1368" w:hanging="568"/>
      </w:pPr>
      <w:rPr>
        <w:rFonts w:ascii="Symbol" w:hAnsi="Symbol" w:cs="Symbol"/>
        <w:b w:val="0"/>
        <w:bCs w:val="0"/>
        <w:i w:val="0"/>
        <w:iCs w:val="0"/>
        <w:spacing w:val="0"/>
        <w:w w:val="99"/>
        <w:sz w:val="22"/>
        <w:szCs w:val="22"/>
      </w:rPr>
    </w:lvl>
    <w:lvl w:ilvl="2">
      <w:numFmt w:val="bullet"/>
      <w:lvlText w:val="•"/>
      <w:lvlJc w:val="left"/>
      <w:pPr>
        <w:ind w:left="2389" w:hanging="568"/>
      </w:pPr>
    </w:lvl>
    <w:lvl w:ilvl="3">
      <w:numFmt w:val="bullet"/>
      <w:lvlText w:val="•"/>
      <w:lvlJc w:val="left"/>
      <w:pPr>
        <w:ind w:left="3419" w:hanging="568"/>
      </w:pPr>
    </w:lvl>
    <w:lvl w:ilvl="4">
      <w:numFmt w:val="bullet"/>
      <w:lvlText w:val="•"/>
      <w:lvlJc w:val="left"/>
      <w:pPr>
        <w:ind w:left="4449" w:hanging="568"/>
      </w:pPr>
    </w:lvl>
    <w:lvl w:ilvl="5">
      <w:numFmt w:val="bullet"/>
      <w:lvlText w:val="•"/>
      <w:lvlJc w:val="left"/>
      <w:pPr>
        <w:ind w:left="5478" w:hanging="568"/>
      </w:pPr>
    </w:lvl>
    <w:lvl w:ilvl="6">
      <w:numFmt w:val="bullet"/>
      <w:lvlText w:val="•"/>
      <w:lvlJc w:val="left"/>
      <w:pPr>
        <w:ind w:left="6508" w:hanging="568"/>
      </w:pPr>
    </w:lvl>
    <w:lvl w:ilvl="7">
      <w:numFmt w:val="bullet"/>
      <w:lvlText w:val="•"/>
      <w:lvlJc w:val="left"/>
      <w:pPr>
        <w:ind w:left="7538" w:hanging="568"/>
      </w:pPr>
    </w:lvl>
    <w:lvl w:ilvl="8">
      <w:numFmt w:val="bullet"/>
      <w:lvlText w:val="•"/>
      <w:lvlJc w:val="left"/>
      <w:pPr>
        <w:ind w:left="8568" w:hanging="568"/>
      </w:pPr>
    </w:lvl>
  </w:abstractNum>
  <w:abstractNum w:abstractNumId="8" w15:restartNumberingAfterBreak="0">
    <w:nsid w:val="00000407"/>
    <w:multiLevelType w:val="multilevel"/>
    <w:tmpl w:val="FFFFFFFF"/>
    <w:lvl w:ilvl="0">
      <w:start w:val="1"/>
      <w:numFmt w:val="decimal"/>
      <w:lvlText w:val="%1"/>
      <w:lvlJc w:val="left"/>
      <w:pPr>
        <w:ind w:left="399" w:hanging="166"/>
      </w:pPr>
      <w:rPr>
        <w:rFonts w:ascii="Times New Roman" w:hAnsi="Times New Roman" w:cs="Times New Roman"/>
        <w:b w:val="0"/>
        <w:bCs w:val="0"/>
        <w:i w:val="0"/>
        <w:iCs w:val="0"/>
        <w:spacing w:val="0"/>
        <w:w w:val="99"/>
        <w:sz w:val="22"/>
        <w:szCs w:val="22"/>
      </w:rPr>
    </w:lvl>
    <w:lvl w:ilvl="1">
      <w:numFmt w:val="bullet"/>
      <w:lvlText w:val="•"/>
      <w:lvlJc w:val="left"/>
      <w:pPr>
        <w:ind w:left="1422" w:hanging="166"/>
      </w:pPr>
    </w:lvl>
    <w:lvl w:ilvl="2">
      <w:numFmt w:val="bullet"/>
      <w:lvlText w:val="•"/>
      <w:lvlJc w:val="left"/>
      <w:pPr>
        <w:ind w:left="2445" w:hanging="166"/>
      </w:pPr>
    </w:lvl>
    <w:lvl w:ilvl="3">
      <w:numFmt w:val="bullet"/>
      <w:lvlText w:val="•"/>
      <w:lvlJc w:val="left"/>
      <w:pPr>
        <w:ind w:left="3468" w:hanging="166"/>
      </w:pPr>
    </w:lvl>
    <w:lvl w:ilvl="4">
      <w:numFmt w:val="bullet"/>
      <w:lvlText w:val="•"/>
      <w:lvlJc w:val="left"/>
      <w:pPr>
        <w:ind w:left="4491" w:hanging="166"/>
      </w:pPr>
    </w:lvl>
    <w:lvl w:ilvl="5">
      <w:numFmt w:val="bullet"/>
      <w:lvlText w:val="•"/>
      <w:lvlJc w:val="left"/>
      <w:pPr>
        <w:ind w:left="5513" w:hanging="166"/>
      </w:pPr>
    </w:lvl>
    <w:lvl w:ilvl="6">
      <w:numFmt w:val="bullet"/>
      <w:lvlText w:val="•"/>
      <w:lvlJc w:val="left"/>
      <w:pPr>
        <w:ind w:left="6536" w:hanging="166"/>
      </w:pPr>
    </w:lvl>
    <w:lvl w:ilvl="7">
      <w:numFmt w:val="bullet"/>
      <w:lvlText w:val="•"/>
      <w:lvlJc w:val="left"/>
      <w:pPr>
        <w:ind w:left="7559" w:hanging="166"/>
      </w:pPr>
    </w:lvl>
    <w:lvl w:ilvl="8">
      <w:numFmt w:val="bullet"/>
      <w:lvlText w:val="•"/>
      <w:lvlJc w:val="left"/>
      <w:pPr>
        <w:ind w:left="8582" w:hanging="166"/>
      </w:pPr>
    </w:lvl>
  </w:abstractNum>
  <w:abstractNum w:abstractNumId="9" w15:restartNumberingAfterBreak="0">
    <w:nsid w:val="00000408"/>
    <w:multiLevelType w:val="multilevel"/>
    <w:tmpl w:val="FFFFFFFF"/>
    <w:lvl w:ilvl="0">
      <w:numFmt w:val="bullet"/>
      <w:lvlText w:val="-"/>
      <w:lvlJc w:val="left"/>
      <w:pPr>
        <w:ind w:left="801" w:hanging="568"/>
      </w:pPr>
      <w:rPr>
        <w:rFonts w:ascii="Times New Roman" w:hAnsi="Times New Roman" w:cs="Times New Roman"/>
        <w:b w:val="0"/>
        <w:bCs w:val="0"/>
        <w:i w:val="0"/>
        <w:iCs w:val="0"/>
        <w:spacing w:val="0"/>
        <w:w w:val="99"/>
        <w:sz w:val="22"/>
        <w:szCs w:val="22"/>
      </w:rPr>
    </w:lvl>
    <w:lvl w:ilvl="1">
      <w:numFmt w:val="bullet"/>
      <w:lvlText w:val="•"/>
      <w:lvlJc w:val="left"/>
      <w:pPr>
        <w:ind w:left="1782" w:hanging="568"/>
      </w:pPr>
    </w:lvl>
    <w:lvl w:ilvl="2">
      <w:numFmt w:val="bullet"/>
      <w:lvlText w:val="•"/>
      <w:lvlJc w:val="left"/>
      <w:pPr>
        <w:ind w:left="2765" w:hanging="568"/>
      </w:pPr>
    </w:lvl>
    <w:lvl w:ilvl="3">
      <w:numFmt w:val="bullet"/>
      <w:lvlText w:val="•"/>
      <w:lvlJc w:val="left"/>
      <w:pPr>
        <w:ind w:left="3748" w:hanging="568"/>
      </w:pPr>
    </w:lvl>
    <w:lvl w:ilvl="4">
      <w:numFmt w:val="bullet"/>
      <w:lvlText w:val="•"/>
      <w:lvlJc w:val="left"/>
      <w:pPr>
        <w:ind w:left="4731" w:hanging="568"/>
      </w:pPr>
    </w:lvl>
    <w:lvl w:ilvl="5">
      <w:numFmt w:val="bullet"/>
      <w:lvlText w:val="•"/>
      <w:lvlJc w:val="left"/>
      <w:pPr>
        <w:ind w:left="5713" w:hanging="568"/>
      </w:pPr>
    </w:lvl>
    <w:lvl w:ilvl="6">
      <w:numFmt w:val="bullet"/>
      <w:lvlText w:val="•"/>
      <w:lvlJc w:val="left"/>
      <w:pPr>
        <w:ind w:left="6696" w:hanging="568"/>
      </w:pPr>
    </w:lvl>
    <w:lvl w:ilvl="7">
      <w:numFmt w:val="bullet"/>
      <w:lvlText w:val="•"/>
      <w:lvlJc w:val="left"/>
      <w:pPr>
        <w:ind w:left="7679" w:hanging="568"/>
      </w:pPr>
    </w:lvl>
    <w:lvl w:ilvl="8">
      <w:numFmt w:val="bullet"/>
      <w:lvlText w:val="•"/>
      <w:lvlJc w:val="left"/>
      <w:pPr>
        <w:ind w:left="8662" w:hanging="568"/>
      </w:pPr>
    </w:lvl>
  </w:abstractNum>
  <w:abstractNum w:abstractNumId="10" w15:restartNumberingAfterBreak="0">
    <w:nsid w:val="00000409"/>
    <w:multiLevelType w:val="multilevel"/>
    <w:tmpl w:val="FFFFFFFF"/>
    <w:lvl w:ilvl="0">
      <w:start w:val="1"/>
      <w:numFmt w:val="decimal"/>
      <w:lvlText w:val="%1."/>
      <w:lvlJc w:val="left"/>
      <w:pPr>
        <w:ind w:left="801" w:hanging="568"/>
      </w:pPr>
      <w:rPr>
        <w:rFonts w:ascii="Times New Roman" w:hAnsi="Times New Roman" w:cs="Times New Roman"/>
        <w:b w:val="0"/>
        <w:bCs w:val="0"/>
        <w:i w:val="0"/>
        <w:iCs w:val="0"/>
        <w:spacing w:val="0"/>
        <w:w w:val="99"/>
        <w:sz w:val="22"/>
        <w:szCs w:val="22"/>
      </w:rPr>
    </w:lvl>
    <w:lvl w:ilvl="1">
      <w:numFmt w:val="bullet"/>
      <w:lvlText w:val="•"/>
      <w:lvlJc w:val="left"/>
      <w:pPr>
        <w:ind w:left="1782" w:hanging="568"/>
      </w:pPr>
    </w:lvl>
    <w:lvl w:ilvl="2">
      <w:numFmt w:val="bullet"/>
      <w:lvlText w:val="•"/>
      <w:lvlJc w:val="left"/>
      <w:pPr>
        <w:ind w:left="2765" w:hanging="568"/>
      </w:pPr>
    </w:lvl>
    <w:lvl w:ilvl="3">
      <w:numFmt w:val="bullet"/>
      <w:lvlText w:val="•"/>
      <w:lvlJc w:val="left"/>
      <w:pPr>
        <w:ind w:left="3748" w:hanging="568"/>
      </w:pPr>
    </w:lvl>
    <w:lvl w:ilvl="4">
      <w:numFmt w:val="bullet"/>
      <w:lvlText w:val="•"/>
      <w:lvlJc w:val="left"/>
      <w:pPr>
        <w:ind w:left="4731" w:hanging="568"/>
      </w:pPr>
    </w:lvl>
    <w:lvl w:ilvl="5">
      <w:numFmt w:val="bullet"/>
      <w:lvlText w:val="•"/>
      <w:lvlJc w:val="left"/>
      <w:pPr>
        <w:ind w:left="5713" w:hanging="568"/>
      </w:pPr>
    </w:lvl>
    <w:lvl w:ilvl="6">
      <w:numFmt w:val="bullet"/>
      <w:lvlText w:val="•"/>
      <w:lvlJc w:val="left"/>
      <w:pPr>
        <w:ind w:left="6696" w:hanging="568"/>
      </w:pPr>
    </w:lvl>
    <w:lvl w:ilvl="7">
      <w:numFmt w:val="bullet"/>
      <w:lvlText w:val="•"/>
      <w:lvlJc w:val="left"/>
      <w:pPr>
        <w:ind w:left="7679" w:hanging="568"/>
      </w:pPr>
    </w:lvl>
    <w:lvl w:ilvl="8">
      <w:numFmt w:val="bullet"/>
      <w:lvlText w:val="•"/>
      <w:lvlJc w:val="left"/>
      <w:pPr>
        <w:ind w:left="8662" w:hanging="568"/>
      </w:pPr>
    </w:lvl>
  </w:abstractNum>
  <w:abstractNum w:abstractNumId="11" w15:restartNumberingAfterBreak="0">
    <w:nsid w:val="0000040A"/>
    <w:multiLevelType w:val="multilevel"/>
    <w:tmpl w:val="FFFFFFFF"/>
    <w:lvl w:ilvl="0">
      <w:start w:val="1"/>
      <w:numFmt w:val="decimal"/>
      <w:lvlText w:val="%1."/>
      <w:lvlJc w:val="left"/>
      <w:pPr>
        <w:ind w:left="234" w:hanging="568"/>
      </w:pPr>
      <w:rPr>
        <w:rFonts w:ascii="Times New Roman" w:hAnsi="Times New Roman" w:cs="Times New Roman"/>
        <w:b/>
        <w:bCs/>
        <w:i w:val="0"/>
        <w:iCs w:val="0"/>
        <w:spacing w:val="0"/>
        <w:w w:val="99"/>
        <w:sz w:val="22"/>
        <w:szCs w:val="22"/>
      </w:rPr>
    </w:lvl>
    <w:lvl w:ilvl="1">
      <w:numFmt w:val="bullet"/>
      <w:lvlText w:val=""/>
      <w:lvlJc w:val="left"/>
      <w:pPr>
        <w:ind w:left="801" w:hanging="568"/>
      </w:pPr>
      <w:rPr>
        <w:rFonts w:ascii="Symbol" w:hAnsi="Symbol" w:cs="Symbol"/>
        <w:b w:val="0"/>
        <w:bCs w:val="0"/>
        <w:i w:val="0"/>
        <w:iCs w:val="0"/>
        <w:spacing w:val="0"/>
        <w:w w:val="99"/>
        <w:sz w:val="22"/>
        <w:szCs w:val="22"/>
      </w:rPr>
    </w:lvl>
    <w:lvl w:ilvl="2">
      <w:numFmt w:val="bullet"/>
      <w:lvlText w:val="-"/>
      <w:lvlJc w:val="left"/>
      <w:pPr>
        <w:ind w:left="1368" w:hanging="568"/>
      </w:pPr>
      <w:rPr>
        <w:rFonts w:ascii="Times New Roman" w:hAnsi="Times New Roman" w:cs="Times New Roman"/>
        <w:b w:val="0"/>
        <w:bCs w:val="0"/>
        <w:i w:val="0"/>
        <w:iCs w:val="0"/>
        <w:spacing w:val="0"/>
        <w:w w:val="99"/>
        <w:sz w:val="22"/>
        <w:szCs w:val="22"/>
      </w:rPr>
    </w:lvl>
    <w:lvl w:ilvl="3">
      <w:numFmt w:val="bullet"/>
      <w:lvlText w:val="•"/>
      <w:lvlJc w:val="left"/>
      <w:pPr>
        <w:ind w:left="2518" w:hanging="568"/>
      </w:pPr>
    </w:lvl>
    <w:lvl w:ilvl="4">
      <w:numFmt w:val="bullet"/>
      <w:lvlText w:val="•"/>
      <w:lvlJc w:val="left"/>
      <w:pPr>
        <w:ind w:left="3676" w:hanging="568"/>
      </w:pPr>
    </w:lvl>
    <w:lvl w:ilvl="5">
      <w:numFmt w:val="bullet"/>
      <w:lvlText w:val="•"/>
      <w:lvlJc w:val="left"/>
      <w:pPr>
        <w:ind w:left="4835" w:hanging="568"/>
      </w:pPr>
    </w:lvl>
    <w:lvl w:ilvl="6">
      <w:numFmt w:val="bullet"/>
      <w:lvlText w:val="•"/>
      <w:lvlJc w:val="left"/>
      <w:pPr>
        <w:ind w:left="5993" w:hanging="568"/>
      </w:pPr>
    </w:lvl>
    <w:lvl w:ilvl="7">
      <w:numFmt w:val="bullet"/>
      <w:lvlText w:val="•"/>
      <w:lvlJc w:val="left"/>
      <w:pPr>
        <w:ind w:left="7152" w:hanging="568"/>
      </w:pPr>
    </w:lvl>
    <w:lvl w:ilvl="8">
      <w:numFmt w:val="bullet"/>
      <w:lvlText w:val="•"/>
      <w:lvlJc w:val="left"/>
      <w:pPr>
        <w:ind w:left="8310" w:hanging="568"/>
      </w:pPr>
    </w:lvl>
  </w:abstractNum>
  <w:abstractNum w:abstractNumId="12"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F01BC6"/>
    <w:multiLevelType w:val="hybridMultilevel"/>
    <w:tmpl w:val="80A2396E"/>
    <w:lvl w:ilvl="0" w:tplc="7D521D3E">
      <w:start w:val="1"/>
      <w:numFmt w:val="decimal"/>
      <w:lvlText w:val="%1."/>
      <w:lvlJc w:val="left"/>
      <w:pPr>
        <w:ind w:left="218" w:hanging="567"/>
      </w:pPr>
      <w:rPr>
        <w:rFonts w:ascii="Times New Roman" w:eastAsia="Times New Roman" w:hAnsi="Times New Roman" w:cs="Times New Roman" w:hint="default"/>
        <w:b/>
        <w:bCs/>
        <w:i w:val="0"/>
        <w:iCs w:val="0"/>
        <w:spacing w:val="0"/>
        <w:w w:val="100"/>
        <w:sz w:val="22"/>
        <w:szCs w:val="22"/>
        <w:lang w:val="lt-LT" w:eastAsia="en-US" w:bidi="ar-SA"/>
      </w:rPr>
    </w:lvl>
    <w:lvl w:ilvl="1" w:tplc="18EEC86C">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685883DA">
      <w:numFmt w:val="bullet"/>
      <w:lvlText w:val="•"/>
      <w:lvlJc w:val="left"/>
      <w:pPr>
        <w:ind w:left="1842" w:hanging="567"/>
      </w:pPr>
      <w:rPr>
        <w:rFonts w:hint="default"/>
        <w:lang w:val="lt-LT" w:eastAsia="en-US" w:bidi="ar-SA"/>
      </w:rPr>
    </w:lvl>
    <w:lvl w:ilvl="3" w:tplc="D37CB5E0">
      <w:numFmt w:val="bullet"/>
      <w:lvlText w:val="•"/>
      <w:lvlJc w:val="left"/>
      <w:pPr>
        <w:ind w:left="2905" w:hanging="567"/>
      </w:pPr>
      <w:rPr>
        <w:rFonts w:hint="default"/>
        <w:lang w:val="lt-LT" w:eastAsia="en-US" w:bidi="ar-SA"/>
      </w:rPr>
    </w:lvl>
    <w:lvl w:ilvl="4" w:tplc="06D20BBE">
      <w:numFmt w:val="bullet"/>
      <w:lvlText w:val="•"/>
      <w:lvlJc w:val="left"/>
      <w:pPr>
        <w:ind w:left="3968" w:hanging="567"/>
      </w:pPr>
      <w:rPr>
        <w:rFonts w:hint="default"/>
        <w:lang w:val="lt-LT" w:eastAsia="en-US" w:bidi="ar-SA"/>
      </w:rPr>
    </w:lvl>
    <w:lvl w:ilvl="5" w:tplc="F15A93A2">
      <w:numFmt w:val="bullet"/>
      <w:lvlText w:val="•"/>
      <w:lvlJc w:val="left"/>
      <w:pPr>
        <w:ind w:left="5031" w:hanging="567"/>
      </w:pPr>
      <w:rPr>
        <w:rFonts w:hint="default"/>
        <w:lang w:val="lt-LT" w:eastAsia="en-US" w:bidi="ar-SA"/>
      </w:rPr>
    </w:lvl>
    <w:lvl w:ilvl="6" w:tplc="504A84E6">
      <w:numFmt w:val="bullet"/>
      <w:lvlText w:val="•"/>
      <w:lvlJc w:val="left"/>
      <w:pPr>
        <w:ind w:left="6094" w:hanging="567"/>
      </w:pPr>
      <w:rPr>
        <w:rFonts w:hint="default"/>
        <w:lang w:val="lt-LT" w:eastAsia="en-US" w:bidi="ar-SA"/>
      </w:rPr>
    </w:lvl>
    <w:lvl w:ilvl="7" w:tplc="E1EEF83A">
      <w:numFmt w:val="bullet"/>
      <w:lvlText w:val="•"/>
      <w:lvlJc w:val="left"/>
      <w:pPr>
        <w:ind w:left="7157" w:hanging="567"/>
      </w:pPr>
      <w:rPr>
        <w:rFonts w:hint="default"/>
        <w:lang w:val="lt-LT" w:eastAsia="en-US" w:bidi="ar-SA"/>
      </w:rPr>
    </w:lvl>
    <w:lvl w:ilvl="8" w:tplc="507AB37C">
      <w:numFmt w:val="bullet"/>
      <w:lvlText w:val="•"/>
      <w:lvlJc w:val="left"/>
      <w:pPr>
        <w:ind w:left="8220" w:hanging="567"/>
      </w:pPr>
      <w:rPr>
        <w:rFonts w:hint="default"/>
        <w:lang w:val="lt-LT" w:eastAsia="en-US" w:bidi="ar-SA"/>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9A2F31"/>
    <w:multiLevelType w:val="hybridMultilevel"/>
    <w:tmpl w:val="4E020376"/>
    <w:lvl w:ilvl="0" w:tplc="FFFFFFFF">
      <w:start w:val="1"/>
      <w:numFmt w:val="bullet"/>
      <w:lvlText w:val="-"/>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14741A0A">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E9C1E3A"/>
    <w:multiLevelType w:val="hybridMultilevel"/>
    <w:tmpl w:val="A9163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7AA0CD8"/>
    <w:multiLevelType w:val="hybridMultilevel"/>
    <w:tmpl w:val="BD644172"/>
    <w:lvl w:ilvl="0" w:tplc="C6C863B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25FB8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58B7A9E"/>
    <w:multiLevelType w:val="hybridMultilevel"/>
    <w:tmpl w:val="B094CD48"/>
    <w:lvl w:ilvl="0" w:tplc="F306D102">
      <w:start w:val="1"/>
      <w:numFmt w:val="decimal"/>
      <w:lvlText w:val="%1."/>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EE67BE8">
      <w:numFmt w:val="bullet"/>
      <w:lvlText w:val="•"/>
      <w:lvlJc w:val="left"/>
      <w:pPr>
        <w:ind w:left="1736" w:hanging="567"/>
      </w:pPr>
      <w:rPr>
        <w:rFonts w:hint="default"/>
        <w:lang w:val="lt-LT" w:eastAsia="en-US" w:bidi="ar-SA"/>
      </w:rPr>
    </w:lvl>
    <w:lvl w:ilvl="2" w:tplc="E7CE7252">
      <w:numFmt w:val="bullet"/>
      <w:lvlText w:val="•"/>
      <w:lvlJc w:val="left"/>
      <w:pPr>
        <w:ind w:left="2693" w:hanging="567"/>
      </w:pPr>
      <w:rPr>
        <w:rFonts w:hint="default"/>
        <w:lang w:val="lt-LT" w:eastAsia="en-US" w:bidi="ar-SA"/>
      </w:rPr>
    </w:lvl>
    <w:lvl w:ilvl="3" w:tplc="5078724A">
      <w:numFmt w:val="bullet"/>
      <w:lvlText w:val="•"/>
      <w:lvlJc w:val="left"/>
      <w:pPr>
        <w:ind w:left="3649" w:hanging="567"/>
      </w:pPr>
      <w:rPr>
        <w:rFonts w:hint="default"/>
        <w:lang w:val="lt-LT" w:eastAsia="en-US" w:bidi="ar-SA"/>
      </w:rPr>
    </w:lvl>
    <w:lvl w:ilvl="4" w:tplc="ECC4DE3C">
      <w:numFmt w:val="bullet"/>
      <w:lvlText w:val="•"/>
      <w:lvlJc w:val="left"/>
      <w:pPr>
        <w:ind w:left="4606" w:hanging="567"/>
      </w:pPr>
      <w:rPr>
        <w:rFonts w:hint="default"/>
        <w:lang w:val="lt-LT" w:eastAsia="en-US" w:bidi="ar-SA"/>
      </w:rPr>
    </w:lvl>
    <w:lvl w:ilvl="5" w:tplc="22127356">
      <w:numFmt w:val="bullet"/>
      <w:lvlText w:val="•"/>
      <w:lvlJc w:val="left"/>
      <w:pPr>
        <w:ind w:left="5563" w:hanging="567"/>
      </w:pPr>
      <w:rPr>
        <w:rFonts w:hint="default"/>
        <w:lang w:val="lt-LT" w:eastAsia="en-US" w:bidi="ar-SA"/>
      </w:rPr>
    </w:lvl>
    <w:lvl w:ilvl="6" w:tplc="1BA4CA8C">
      <w:numFmt w:val="bullet"/>
      <w:lvlText w:val="•"/>
      <w:lvlJc w:val="left"/>
      <w:pPr>
        <w:ind w:left="6519" w:hanging="567"/>
      </w:pPr>
      <w:rPr>
        <w:rFonts w:hint="default"/>
        <w:lang w:val="lt-LT" w:eastAsia="en-US" w:bidi="ar-SA"/>
      </w:rPr>
    </w:lvl>
    <w:lvl w:ilvl="7" w:tplc="F7924AB2">
      <w:numFmt w:val="bullet"/>
      <w:lvlText w:val="•"/>
      <w:lvlJc w:val="left"/>
      <w:pPr>
        <w:ind w:left="7476" w:hanging="567"/>
      </w:pPr>
      <w:rPr>
        <w:rFonts w:hint="default"/>
        <w:lang w:val="lt-LT" w:eastAsia="en-US" w:bidi="ar-SA"/>
      </w:rPr>
    </w:lvl>
    <w:lvl w:ilvl="8" w:tplc="E4145BD6">
      <w:numFmt w:val="bullet"/>
      <w:lvlText w:val="•"/>
      <w:lvlJc w:val="left"/>
      <w:pPr>
        <w:ind w:left="8433" w:hanging="567"/>
      </w:pPr>
      <w:rPr>
        <w:rFonts w:hint="default"/>
        <w:lang w:val="lt-LT" w:eastAsia="en-US" w:bidi="ar-SA"/>
      </w:rPr>
    </w:lvl>
  </w:abstractNum>
  <w:abstractNum w:abstractNumId="23" w15:restartNumberingAfterBreak="0">
    <w:nsid w:val="3AD6CB11"/>
    <w:multiLevelType w:val="hybridMultilevel"/>
    <w:tmpl w:val="0CC41F08"/>
    <w:lvl w:ilvl="0" w:tplc="772686F8">
      <w:start w:val="1"/>
      <w:numFmt w:val="bullet"/>
      <w:lvlText w:val="•"/>
      <w:lvlJc w:val="left"/>
      <w:rPr>
        <w:rFonts w:ascii="Calibri" w:hAnsi="Calibri" w:hint="default"/>
        <w:caps w:val="0"/>
        <w:strike w:val="0"/>
        <w:dstrike w:val="0"/>
        <w:vanish w:val="0"/>
        <w:color w:val="auto"/>
        <w:sz w:val="24"/>
        <w:vertAlign w:val="baselin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48319DA"/>
    <w:multiLevelType w:val="hybridMultilevel"/>
    <w:tmpl w:val="F5CAD7A4"/>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0B30B7"/>
    <w:multiLevelType w:val="hybridMultilevel"/>
    <w:tmpl w:val="1F0EAE32"/>
    <w:lvl w:ilvl="0" w:tplc="FFFFFFFF">
      <w:start w:val="1"/>
      <w:numFmt w:val="bullet"/>
      <w:lvlText w:val="-"/>
      <w:lvlJc w:val="left"/>
      <w:pPr>
        <w:ind w:left="2520" w:hanging="360"/>
      </w:p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28" w15:restartNumberingAfterBreak="0">
    <w:nsid w:val="48E41434"/>
    <w:multiLevelType w:val="hybridMultilevel"/>
    <w:tmpl w:val="23781B88"/>
    <w:lvl w:ilvl="0" w:tplc="08090001">
      <w:start w:val="1"/>
      <w:numFmt w:val="bullet"/>
      <w:lvlText w:val=""/>
      <w:lvlJc w:val="left"/>
      <w:pPr>
        <w:ind w:left="720" w:hanging="360"/>
      </w:pPr>
      <w:rPr>
        <w:rFonts w:ascii="Symbol" w:hAnsi="Symbol" w:hint="default"/>
      </w:rPr>
    </w:lvl>
    <w:lvl w:ilvl="1" w:tplc="9B0EE1A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DA269D"/>
    <w:multiLevelType w:val="hybridMultilevel"/>
    <w:tmpl w:val="17268E10"/>
    <w:lvl w:ilvl="0" w:tplc="78D883C4">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04A6AC8"/>
    <w:multiLevelType w:val="hybridMultilevel"/>
    <w:tmpl w:val="D2E42A48"/>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E928F4"/>
    <w:multiLevelType w:val="hybridMultilevel"/>
    <w:tmpl w:val="5F5481AE"/>
    <w:lvl w:ilvl="0" w:tplc="772686F8">
      <w:start w:val="1"/>
      <w:numFmt w:val="bullet"/>
      <w:lvlText w:val="•"/>
      <w:lvlJc w:val="left"/>
      <w:rPr>
        <w:rFonts w:ascii="Calibri" w:hAnsi="Calibri" w:hint="default"/>
        <w:caps w:val="0"/>
        <w:strike w:val="0"/>
        <w:dstrike w:val="0"/>
        <w:vanish w:val="0"/>
        <w:color w:val="auto"/>
        <w:sz w:val="24"/>
        <w:vertAlign w:val="baselin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5BC5C9D"/>
    <w:multiLevelType w:val="hybridMultilevel"/>
    <w:tmpl w:val="5E5EC34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5F14326"/>
    <w:multiLevelType w:val="hybridMultilevel"/>
    <w:tmpl w:val="A3E626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5B199F"/>
    <w:multiLevelType w:val="hybridMultilevel"/>
    <w:tmpl w:val="3C8C24DC"/>
    <w:lvl w:ilvl="0" w:tplc="77928BB0">
      <w:start w:val="1"/>
      <w:numFmt w:val="upperLetter"/>
      <w:lvlText w:val="%1."/>
      <w:lvlJc w:val="left"/>
      <w:pPr>
        <w:ind w:left="1816" w:hanging="567"/>
      </w:pPr>
      <w:rPr>
        <w:rFonts w:ascii="Times New Roman" w:eastAsia="Times New Roman" w:hAnsi="Times New Roman" w:cs="Times New Roman" w:hint="default"/>
        <w:b/>
        <w:bCs/>
        <w:i w:val="0"/>
        <w:iCs w:val="0"/>
        <w:spacing w:val="-2"/>
        <w:w w:val="100"/>
        <w:sz w:val="22"/>
        <w:szCs w:val="22"/>
        <w:lang w:val="lt-LT" w:eastAsia="en-US" w:bidi="ar-SA"/>
      </w:rPr>
    </w:lvl>
    <w:lvl w:ilvl="1" w:tplc="5F8E4DCA">
      <w:numFmt w:val="bullet"/>
      <w:lvlText w:val="•"/>
      <w:lvlJc w:val="left"/>
      <w:pPr>
        <w:ind w:left="2642" w:hanging="567"/>
      </w:pPr>
      <w:rPr>
        <w:rFonts w:hint="default"/>
        <w:lang w:val="lt-LT" w:eastAsia="en-US" w:bidi="ar-SA"/>
      </w:rPr>
    </w:lvl>
    <w:lvl w:ilvl="2" w:tplc="AAF4D880">
      <w:numFmt w:val="bullet"/>
      <w:lvlText w:val="•"/>
      <w:lvlJc w:val="left"/>
      <w:pPr>
        <w:ind w:left="3465" w:hanging="567"/>
      </w:pPr>
      <w:rPr>
        <w:rFonts w:hint="default"/>
        <w:lang w:val="lt-LT" w:eastAsia="en-US" w:bidi="ar-SA"/>
      </w:rPr>
    </w:lvl>
    <w:lvl w:ilvl="3" w:tplc="40A8EA28">
      <w:numFmt w:val="bullet"/>
      <w:lvlText w:val="•"/>
      <w:lvlJc w:val="left"/>
      <w:pPr>
        <w:ind w:left="4287" w:hanging="567"/>
      </w:pPr>
      <w:rPr>
        <w:rFonts w:hint="default"/>
        <w:lang w:val="lt-LT" w:eastAsia="en-US" w:bidi="ar-SA"/>
      </w:rPr>
    </w:lvl>
    <w:lvl w:ilvl="4" w:tplc="8892B860">
      <w:numFmt w:val="bullet"/>
      <w:lvlText w:val="•"/>
      <w:lvlJc w:val="left"/>
      <w:pPr>
        <w:ind w:left="5110" w:hanging="567"/>
      </w:pPr>
      <w:rPr>
        <w:rFonts w:hint="default"/>
        <w:lang w:val="lt-LT" w:eastAsia="en-US" w:bidi="ar-SA"/>
      </w:rPr>
    </w:lvl>
    <w:lvl w:ilvl="5" w:tplc="F44EFECC">
      <w:numFmt w:val="bullet"/>
      <w:lvlText w:val="•"/>
      <w:lvlJc w:val="left"/>
      <w:pPr>
        <w:ind w:left="5932" w:hanging="567"/>
      </w:pPr>
      <w:rPr>
        <w:rFonts w:hint="default"/>
        <w:lang w:val="lt-LT" w:eastAsia="en-US" w:bidi="ar-SA"/>
      </w:rPr>
    </w:lvl>
    <w:lvl w:ilvl="6" w:tplc="6596A86C">
      <w:numFmt w:val="bullet"/>
      <w:lvlText w:val="•"/>
      <w:lvlJc w:val="left"/>
      <w:pPr>
        <w:ind w:left="6755" w:hanging="567"/>
      </w:pPr>
      <w:rPr>
        <w:rFonts w:hint="default"/>
        <w:lang w:val="lt-LT" w:eastAsia="en-US" w:bidi="ar-SA"/>
      </w:rPr>
    </w:lvl>
    <w:lvl w:ilvl="7" w:tplc="CC52DD4A">
      <w:numFmt w:val="bullet"/>
      <w:lvlText w:val="•"/>
      <w:lvlJc w:val="left"/>
      <w:pPr>
        <w:ind w:left="7577" w:hanging="567"/>
      </w:pPr>
      <w:rPr>
        <w:rFonts w:hint="default"/>
        <w:lang w:val="lt-LT" w:eastAsia="en-US" w:bidi="ar-SA"/>
      </w:rPr>
    </w:lvl>
    <w:lvl w:ilvl="8" w:tplc="FEBC3DF6">
      <w:numFmt w:val="bullet"/>
      <w:lvlText w:val="•"/>
      <w:lvlJc w:val="left"/>
      <w:pPr>
        <w:ind w:left="8400" w:hanging="567"/>
      </w:pPr>
      <w:rPr>
        <w:rFonts w:hint="default"/>
        <w:lang w:val="lt-LT" w:eastAsia="en-US" w:bidi="ar-SA"/>
      </w:rPr>
    </w:lvl>
  </w:abstractNum>
  <w:abstractNum w:abstractNumId="35" w15:restartNumberingAfterBreak="0">
    <w:nsid w:val="60795804"/>
    <w:multiLevelType w:val="multilevel"/>
    <w:tmpl w:val="9DAAFC16"/>
    <w:lvl w:ilvl="0">
      <w:start w:val="7"/>
      <w:numFmt w:val="decimal"/>
      <w:lvlText w:val="%1."/>
      <w:lvlJc w:val="left"/>
      <w:pPr>
        <w:ind w:left="96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96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777" w:hanging="567"/>
      </w:pPr>
      <w:rPr>
        <w:rFonts w:hint="default"/>
        <w:lang w:val="lt-LT" w:eastAsia="en-US" w:bidi="ar-SA"/>
      </w:rPr>
    </w:lvl>
    <w:lvl w:ilvl="3">
      <w:numFmt w:val="bullet"/>
      <w:lvlText w:val="•"/>
      <w:lvlJc w:val="left"/>
      <w:pPr>
        <w:ind w:left="3685" w:hanging="567"/>
      </w:pPr>
      <w:rPr>
        <w:rFonts w:hint="default"/>
        <w:lang w:val="lt-LT" w:eastAsia="en-US" w:bidi="ar-SA"/>
      </w:rPr>
    </w:lvl>
    <w:lvl w:ilvl="4">
      <w:numFmt w:val="bullet"/>
      <w:lvlText w:val="•"/>
      <w:lvlJc w:val="left"/>
      <w:pPr>
        <w:ind w:left="4594" w:hanging="567"/>
      </w:pPr>
      <w:rPr>
        <w:rFonts w:hint="default"/>
        <w:lang w:val="lt-LT" w:eastAsia="en-US" w:bidi="ar-SA"/>
      </w:rPr>
    </w:lvl>
    <w:lvl w:ilvl="5">
      <w:numFmt w:val="bullet"/>
      <w:lvlText w:val="•"/>
      <w:lvlJc w:val="left"/>
      <w:pPr>
        <w:ind w:left="5502" w:hanging="567"/>
      </w:pPr>
      <w:rPr>
        <w:rFonts w:hint="default"/>
        <w:lang w:val="lt-LT" w:eastAsia="en-US" w:bidi="ar-SA"/>
      </w:rPr>
    </w:lvl>
    <w:lvl w:ilvl="6">
      <w:numFmt w:val="bullet"/>
      <w:lvlText w:val="•"/>
      <w:lvlJc w:val="left"/>
      <w:pPr>
        <w:ind w:left="6411" w:hanging="567"/>
      </w:pPr>
      <w:rPr>
        <w:rFonts w:hint="default"/>
        <w:lang w:val="lt-LT" w:eastAsia="en-US" w:bidi="ar-SA"/>
      </w:rPr>
    </w:lvl>
    <w:lvl w:ilvl="7">
      <w:numFmt w:val="bullet"/>
      <w:lvlText w:val="•"/>
      <w:lvlJc w:val="left"/>
      <w:pPr>
        <w:ind w:left="7319" w:hanging="567"/>
      </w:pPr>
      <w:rPr>
        <w:rFonts w:hint="default"/>
        <w:lang w:val="lt-LT" w:eastAsia="en-US" w:bidi="ar-SA"/>
      </w:rPr>
    </w:lvl>
    <w:lvl w:ilvl="8">
      <w:numFmt w:val="bullet"/>
      <w:lvlText w:val="•"/>
      <w:lvlJc w:val="left"/>
      <w:pPr>
        <w:ind w:left="8228" w:hanging="567"/>
      </w:pPr>
      <w:rPr>
        <w:rFonts w:hint="default"/>
        <w:lang w:val="lt-LT" w:eastAsia="en-US" w:bidi="ar-SA"/>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E423F7"/>
    <w:multiLevelType w:val="multilevel"/>
    <w:tmpl w:val="103634EA"/>
    <w:lvl w:ilvl="0">
      <w:start w:val="1"/>
      <w:numFmt w:val="decimal"/>
      <w:lvlText w:val="%1."/>
      <w:lvlJc w:val="left"/>
      <w:pPr>
        <w:ind w:left="234" w:hanging="568"/>
      </w:pPr>
      <w:rPr>
        <w:rFonts w:ascii="Times New Roman" w:hAnsi="Times New Roman" w:cs="Times New Roman"/>
        <w:b/>
        <w:bCs/>
        <w:i w:val="0"/>
        <w:iCs w:val="0"/>
        <w:spacing w:val="0"/>
        <w:w w:val="99"/>
        <w:sz w:val="22"/>
        <w:szCs w:val="22"/>
      </w:rPr>
    </w:lvl>
    <w:lvl w:ilvl="1">
      <w:numFmt w:val="bullet"/>
      <w:lvlText w:val=""/>
      <w:lvlJc w:val="left"/>
      <w:pPr>
        <w:ind w:left="801" w:hanging="568"/>
      </w:pPr>
      <w:rPr>
        <w:rFonts w:ascii="Symbol" w:hAnsi="Symbol" w:cs="Symbol"/>
        <w:b w:val="0"/>
        <w:bCs w:val="0"/>
        <w:i w:val="0"/>
        <w:iCs w:val="0"/>
        <w:spacing w:val="0"/>
        <w:w w:val="99"/>
        <w:sz w:val="22"/>
        <w:szCs w:val="22"/>
      </w:rPr>
    </w:lvl>
    <w:lvl w:ilvl="2">
      <w:start w:val="1"/>
      <w:numFmt w:val="bullet"/>
      <w:lvlText w:val="o"/>
      <w:lvlJc w:val="left"/>
      <w:pPr>
        <w:ind w:left="1160" w:hanging="360"/>
      </w:pPr>
      <w:rPr>
        <w:rFonts w:ascii="Courier New" w:hAnsi="Courier New" w:cs="Courier New" w:hint="default"/>
      </w:rPr>
    </w:lvl>
    <w:lvl w:ilvl="3">
      <w:numFmt w:val="bullet"/>
      <w:lvlText w:val="•"/>
      <w:lvlJc w:val="left"/>
      <w:pPr>
        <w:ind w:left="2518" w:hanging="568"/>
      </w:pPr>
    </w:lvl>
    <w:lvl w:ilvl="4">
      <w:numFmt w:val="bullet"/>
      <w:lvlText w:val="•"/>
      <w:lvlJc w:val="left"/>
      <w:pPr>
        <w:ind w:left="3676" w:hanging="568"/>
      </w:pPr>
    </w:lvl>
    <w:lvl w:ilvl="5">
      <w:numFmt w:val="bullet"/>
      <w:lvlText w:val="•"/>
      <w:lvlJc w:val="left"/>
      <w:pPr>
        <w:ind w:left="4835" w:hanging="568"/>
      </w:pPr>
    </w:lvl>
    <w:lvl w:ilvl="6">
      <w:numFmt w:val="bullet"/>
      <w:lvlText w:val="•"/>
      <w:lvlJc w:val="left"/>
      <w:pPr>
        <w:ind w:left="5993" w:hanging="568"/>
      </w:pPr>
    </w:lvl>
    <w:lvl w:ilvl="7">
      <w:numFmt w:val="bullet"/>
      <w:lvlText w:val="•"/>
      <w:lvlJc w:val="left"/>
      <w:pPr>
        <w:ind w:left="7152" w:hanging="568"/>
      </w:pPr>
    </w:lvl>
    <w:lvl w:ilvl="8">
      <w:numFmt w:val="bullet"/>
      <w:lvlText w:val="•"/>
      <w:lvlJc w:val="left"/>
      <w:pPr>
        <w:ind w:left="8310" w:hanging="568"/>
      </w:pPr>
    </w:lvl>
  </w:abstractNum>
  <w:abstractNum w:abstractNumId="38" w15:restartNumberingAfterBreak="0">
    <w:nsid w:val="72272398"/>
    <w:multiLevelType w:val="hybridMultilevel"/>
    <w:tmpl w:val="4B02F4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61009BF"/>
    <w:multiLevelType w:val="hybridMultilevel"/>
    <w:tmpl w:val="4494437C"/>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1" w15:restartNumberingAfterBreak="0">
    <w:nsid w:val="7C1C1D38"/>
    <w:multiLevelType w:val="hybridMultilevel"/>
    <w:tmpl w:val="4FBE827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53078280">
    <w:abstractNumId w:val="14"/>
  </w:num>
  <w:num w:numId="2" w16cid:durableId="215052888">
    <w:abstractNumId w:val="36"/>
  </w:num>
  <w:num w:numId="3" w16cid:durableId="1703439450">
    <w:abstractNumId w:val="2"/>
    <w:lvlOverride w:ilvl="0">
      <w:lvl w:ilvl="0">
        <w:start w:val="1"/>
        <w:numFmt w:val="bullet"/>
        <w:lvlText w:val="-"/>
        <w:lvlJc w:val="left"/>
        <w:pPr>
          <w:ind w:left="360" w:hanging="360"/>
        </w:pPr>
      </w:lvl>
    </w:lvlOverride>
  </w:num>
  <w:num w:numId="4" w16cid:durableId="398477161">
    <w:abstractNumId w:val="2"/>
    <w:lvlOverride w:ilvl="0">
      <w:lvl w:ilvl="0">
        <w:start w:val="1"/>
        <w:numFmt w:val="bullet"/>
        <w:lvlText w:val=""/>
        <w:lvlJc w:val="left"/>
        <w:pPr>
          <w:ind w:left="360" w:hanging="360"/>
        </w:pPr>
        <w:rPr>
          <w:rFonts w:ascii="Symbol" w:hAnsi="Symbol" w:hint="default"/>
        </w:rPr>
      </w:lvl>
    </w:lvlOverride>
  </w:num>
  <w:num w:numId="5" w16cid:durableId="1129472212">
    <w:abstractNumId w:val="2"/>
    <w:lvlOverride w:ilvl="0">
      <w:lvl w:ilvl="0">
        <w:start w:val="1"/>
        <w:numFmt w:val="bullet"/>
        <w:lvlText w:val="-"/>
        <w:lvlJc w:val="left"/>
        <w:pPr>
          <w:ind w:left="360" w:hanging="360"/>
        </w:pPr>
      </w:lvl>
    </w:lvlOverride>
  </w:num>
  <w:num w:numId="6" w16cid:durableId="2125925042">
    <w:abstractNumId w:val="2"/>
    <w:lvlOverride w:ilvl="0">
      <w:lvl w:ilvl="0">
        <w:start w:val="1"/>
        <w:numFmt w:val="bullet"/>
        <w:lvlText w:val="-"/>
        <w:legacy w:legacy="1" w:legacySpace="0" w:legacyIndent="360"/>
        <w:lvlJc w:val="left"/>
        <w:pPr>
          <w:ind w:left="360" w:hanging="360"/>
        </w:pPr>
      </w:lvl>
    </w:lvlOverride>
  </w:num>
  <w:num w:numId="7" w16cid:durableId="1917131070">
    <w:abstractNumId w:val="20"/>
  </w:num>
  <w:num w:numId="8" w16cid:durableId="187645125">
    <w:abstractNumId w:val="40"/>
  </w:num>
  <w:num w:numId="9" w16cid:durableId="71857397">
    <w:abstractNumId w:val="19"/>
  </w:num>
  <w:num w:numId="10" w16cid:durableId="499005730">
    <w:abstractNumId w:val="18"/>
  </w:num>
  <w:num w:numId="11" w16cid:durableId="79256572">
    <w:abstractNumId w:val="24"/>
  </w:num>
  <w:num w:numId="12" w16cid:durableId="260336512">
    <w:abstractNumId w:val="26"/>
  </w:num>
  <w:num w:numId="13" w16cid:durableId="1454709430">
    <w:abstractNumId w:val="12"/>
  </w:num>
  <w:num w:numId="14" w16cid:durableId="1943760192">
    <w:abstractNumId w:val="28"/>
  </w:num>
  <w:num w:numId="15" w16cid:durableId="91249045">
    <w:abstractNumId w:val="17"/>
  </w:num>
  <w:num w:numId="16" w16cid:durableId="1927111569">
    <w:abstractNumId w:val="15"/>
  </w:num>
  <w:num w:numId="17" w16cid:durableId="251818345">
    <w:abstractNumId w:val="32"/>
  </w:num>
  <w:num w:numId="18" w16cid:durableId="116604211">
    <w:abstractNumId w:val="27"/>
  </w:num>
  <w:num w:numId="19" w16cid:durableId="82386937">
    <w:abstractNumId w:val="38"/>
  </w:num>
  <w:num w:numId="20" w16cid:durableId="1502046810">
    <w:abstractNumId w:val="41"/>
  </w:num>
  <w:num w:numId="21" w16cid:durableId="1078940345">
    <w:abstractNumId w:val="25"/>
  </w:num>
  <w:num w:numId="22" w16cid:durableId="1459108398">
    <w:abstractNumId w:val="33"/>
  </w:num>
  <w:num w:numId="23" w16cid:durableId="1109933878">
    <w:abstractNumId w:val="3"/>
  </w:num>
  <w:num w:numId="24" w16cid:durableId="1115754113">
    <w:abstractNumId w:val="35"/>
  </w:num>
  <w:num w:numId="25" w16cid:durableId="496504260">
    <w:abstractNumId w:val="34"/>
  </w:num>
  <w:num w:numId="26" w16cid:durableId="1150903703">
    <w:abstractNumId w:val="29"/>
  </w:num>
  <w:num w:numId="27" w16cid:durableId="629408805">
    <w:abstractNumId w:val="11"/>
  </w:num>
  <w:num w:numId="28" w16cid:durableId="571743926">
    <w:abstractNumId w:val="10"/>
  </w:num>
  <w:num w:numId="29" w16cid:durableId="1481966650">
    <w:abstractNumId w:val="9"/>
  </w:num>
  <w:num w:numId="30" w16cid:durableId="1469281380">
    <w:abstractNumId w:val="8"/>
  </w:num>
  <w:num w:numId="31" w16cid:durableId="1890872656">
    <w:abstractNumId w:val="7"/>
  </w:num>
  <w:num w:numId="32" w16cid:durableId="1523401921">
    <w:abstractNumId w:val="6"/>
  </w:num>
  <w:num w:numId="33" w16cid:durableId="1923295526">
    <w:abstractNumId w:val="5"/>
  </w:num>
  <w:num w:numId="34" w16cid:durableId="1421415450">
    <w:abstractNumId w:val="4"/>
  </w:num>
  <w:num w:numId="35" w16cid:durableId="1751584964">
    <w:abstractNumId w:val="16"/>
  </w:num>
  <w:num w:numId="36" w16cid:durableId="1542476264">
    <w:abstractNumId w:val="13"/>
  </w:num>
  <w:num w:numId="37" w16cid:durableId="157893892">
    <w:abstractNumId w:val="22"/>
  </w:num>
  <w:num w:numId="38" w16cid:durableId="1560896704">
    <w:abstractNumId w:val="39"/>
  </w:num>
  <w:num w:numId="39" w16cid:durableId="1975329598">
    <w:abstractNumId w:val="37"/>
  </w:num>
  <w:num w:numId="40" w16cid:durableId="674572450">
    <w:abstractNumId w:val="30"/>
  </w:num>
  <w:num w:numId="41" w16cid:durableId="391347654">
    <w:abstractNumId w:val="1"/>
  </w:num>
  <w:num w:numId="42" w16cid:durableId="2046175000">
    <w:abstractNumId w:val="21"/>
  </w:num>
  <w:num w:numId="43" w16cid:durableId="1842812645">
    <w:abstractNumId w:val="31"/>
  </w:num>
  <w:num w:numId="44" w16cid:durableId="149834242">
    <w:abstractNumId w:val="23"/>
  </w:num>
  <w:num w:numId="45" w16cid:durableId="214611613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63"/>
    <w:rsid w:val="00001894"/>
    <w:rsid w:val="00001CBA"/>
    <w:rsid w:val="00002733"/>
    <w:rsid w:val="00003F89"/>
    <w:rsid w:val="00006B7B"/>
    <w:rsid w:val="00006D29"/>
    <w:rsid w:val="000105B2"/>
    <w:rsid w:val="00012B7B"/>
    <w:rsid w:val="00012FD2"/>
    <w:rsid w:val="00015D7D"/>
    <w:rsid w:val="000165E1"/>
    <w:rsid w:val="000175D6"/>
    <w:rsid w:val="00020B81"/>
    <w:rsid w:val="00022D4D"/>
    <w:rsid w:val="00023E54"/>
    <w:rsid w:val="000240B8"/>
    <w:rsid w:val="0002627C"/>
    <w:rsid w:val="00026615"/>
    <w:rsid w:val="00026972"/>
    <w:rsid w:val="00026D8D"/>
    <w:rsid w:val="00027CA1"/>
    <w:rsid w:val="00027CBB"/>
    <w:rsid w:val="0003104E"/>
    <w:rsid w:val="0003194F"/>
    <w:rsid w:val="00033148"/>
    <w:rsid w:val="000351C1"/>
    <w:rsid w:val="00042D0A"/>
    <w:rsid w:val="000437EA"/>
    <w:rsid w:val="0004403F"/>
    <w:rsid w:val="00045F58"/>
    <w:rsid w:val="000505C2"/>
    <w:rsid w:val="00051065"/>
    <w:rsid w:val="00051C70"/>
    <w:rsid w:val="00051F4A"/>
    <w:rsid w:val="00062437"/>
    <w:rsid w:val="000630A1"/>
    <w:rsid w:val="00064C3A"/>
    <w:rsid w:val="000753BB"/>
    <w:rsid w:val="00075EA2"/>
    <w:rsid w:val="00075FB4"/>
    <w:rsid w:val="00081D9F"/>
    <w:rsid w:val="00082583"/>
    <w:rsid w:val="000850E2"/>
    <w:rsid w:val="0008626E"/>
    <w:rsid w:val="0009387A"/>
    <w:rsid w:val="00094B57"/>
    <w:rsid w:val="000A5533"/>
    <w:rsid w:val="000A58F3"/>
    <w:rsid w:val="000A736A"/>
    <w:rsid w:val="000A79DC"/>
    <w:rsid w:val="000B0C21"/>
    <w:rsid w:val="000B1DF7"/>
    <w:rsid w:val="000B7651"/>
    <w:rsid w:val="000C1437"/>
    <w:rsid w:val="000C21B4"/>
    <w:rsid w:val="000C2EB8"/>
    <w:rsid w:val="000C34C1"/>
    <w:rsid w:val="000C43BE"/>
    <w:rsid w:val="000C4BF2"/>
    <w:rsid w:val="000C4FD7"/>
    <w:rsid w:val="000C5A67"/>
    <w:rsid w:val="000C602A"/>
    <w:rsid w:val="000C7485"/>
    <w:rsid w:val="000C78C3"/>
    <w:rsid w:val="000D2EB4"/>
    <w:rsid w:val="000E0C6A"/>
    <w:rsid w:val="000E3BD7"/>
    <w:rsid w:val="000E6AB1"/>
    <w:rsid w:val="000E74B7"/>
    <w:rsid w:val="000E74BE"/>
    <w:rsid w:val="000F4C4B"/>
    <w:rsid w:val="000F54BB"/>
    <w:rsid w:val="000F6737"/>
    <w:rsid w:val="000F7A60"/>
    <w:rsid w:val="00103D95"/>
    <w:rsid w:val="001044B7"/>
    <w:rsid w:val="0011038B"/>
    <w:rsid w:val="00110575"/>
    <w:rsid w:val="00113108"/>
    <w:rsid w:val="001137C8"/>
    <w:rsid w:val="00113B4B"/>
    <w:rsid w:val="00116494"/>
    <w:rsid w:val="00117F7E"/>
    <w:rsid w:val="0012178A"/>
    <w:rsid w:val="00122643"/>
    <w:rsid w:val="001237BB"/>
    <w:rsid w:val="00125DEF"/>
    <w:rsid w:val="0012652F"/>
    <w:rsid w:val="00126626"/>
    <w:rsid w:val="00126932"/>
    <w:rsid w:val="00126BC9"/>
    <w:rsid w:val="00126F6D"/>
    <w:rsid w:val="001274AB"/>
    <w:rsid w:val="00127A25"/>
    <w:rsid w:val="001305B9"/>
    <w:rsid w:val="00130CD6"/>
    <w:rsid w:val="00131375"/>
    <w:rsid w:val="001334BB"/>
    <w:rsid w:val="00133D3E"/>
    <w:rsid w:val="00140203"/>
    <w:rsid w:val="00141F00"/>
    <w:rsid w:val="00144A6C"/>
    <w:rsid w:val="00146468"/>
    <w:rsid w:val="0014772D"/>
    <w:rsid w:val="00147A9C"/>
    <w:rsid w:val="001504F0"/>
    <w:rsid w:val="00152D2D"/>
    <w:rsid w:val="00152EBE"/>
    <w:rsid w:val="00153BF2"/>
    <w:rsid w:val="00154AA9"/>
    <w:rsid w:val="0016281D"/>
    <w:rsid w:val="00163106"/>
    <w:rsid w:val="0017162A"/>
    <w:rsid w:val="0017492C"/>
    <w:rsid w:val="00177C0B"/>
    <w:rsid w:val="0018429A"/>
    <w:rsid w:val="0018619E"/>
    <w:rsid w:val="00186B0B"/>
    <w:rsid w:val="00193250"/>
    <w:rsid w:val="00195188"/>
    <w:rsid w:val="00195A86"/>
    <w:rsid w:val="00196E22"/>
    <w:rsid w:val="00197364"/>
    <w:rsid w:val="001A17C4"/>
    <w:rsid w:val="001A26B4"/>
    <w:rsid w:val="001A33AE"/>
    <w:rsid w:val="001A380A"/>
    <w:rsid w:val="001A3DF1"/>
    <w:rsid w:val="001A4353"/>
    <w:rsid w:val="001A4C00"/>
    <w:rsid w:val="001B3255"/>
    <w:rsid w:val="001B3CA6"/>
    <w:rsid w:val="001C05C6"/>
    <w:rsid w:val="001C1EC0"/>
    <w:rsid w:val="001C395D"/>
    <w:rsid w:val="001C4391"/>
    <w:rsid w:val="001C46BB"/>
    <w:rsid w:val="001C4E18"/>
    <w:rsid w:val="001C6BAB"/>
    <w:rsid w:val="001C7408"/>
    <w:rsid w:val="001D1B16"/>
    <w:rsid w:val="001D5664"/>
    <w:rsid w:val="001D6EDC"/>
    <w:rsid w:val="001D7862"/>
    <w:rsid w:val="001E252C"/>
    <w:rsid w:val="001E25F4"/>
    <w:rsid w:val="001E310A"/>
    <w:rsid w:val="001E40CD"/>
    <w:rsid w:val="001E47E3"/>
    <w:rsid w:val="001E4825"/>
    <w:rsid w:val="001E5300"/>
    <w:rsid w:val="001E582A"/>
    <w:rsid w:val="001F0864"/>
    <w:rsid w:val="001F10B8"/>
    <w:rsid w:val="001F1740"/>
    <w:rsid w:val="001F453A"/>
    <w:rsid w:val="0020014B"/>
    <w:rsid w:val="002021D2"/>
    <w:rsid w:val="00204D41"/>
    <w:rsid w:val="002061EA"/>
    <w:rsid w:val="00206995"/>
    <w:rsid w:val="002127C5"/>
    <w:rsid w:val="00213A96"/>
    <w:rsid w:val="00220737"/>
    <w:rsid w:val="002215CC"/>
    <w:rsid w:val="00222910"/>
    <w:rsid w:val="00223175"/>
    <w:rsid w:val="00225B72"/>
    <w:rsid w:val="00230DA4"/>
    <w:rsid w:val="0023353A"/>
    <w:rsid w:val="002348A2"/>
    <w:rsid w:val="002351FE"/>
    <w:rsid w:val="00244785"/>
    <w:rsid w:val="00250DDA"/>
    <w:rsid w:val="00251AAC"/>
    <w:rsid w:val="00253870"/>
    <w:rsid w:val="0025493B"/>
    <w:rsid w:val="00256824"/>
    <w:rsid w:val="0025741A"/>
    <w:rsid w:val="00261A00"/>
    <w:rsid w:val="00261FF9"/>
    <w:rsid w:val="0026259D"/>
    <w:rsid w:val="00262863"/>
    <w:rsid w:val="00265C2E"/>
    <w:rsid w:val="0026643B"/>
    <w:rsid w:val="00266C75"/>
    <w:rsid w:val="00267334"/>
    <w:rsid w:val="0027211A"/>
    <w:rsid w:val="00274D31"/>
    <w:rsid w:val="0027556E"/>
    <w:rsid w:val="00275966"/>
    <w:rsid w:val="00280197"/>
    <w:rsid w:val="00280A6A"/>
    <w:rsid w:val="00286374"/>
    <w:rsid w:val="002932D7"/>
    <w:rsid w:val="00294FF7"/>
    <w:rsid w:val="002A0CEF"/>
    <w:rsid w:val="002A3196"/>
    <w:rsid w:val="002A5A42"/>
    <w:rsid w:val="002A75A4"/>
    <w:rsid w:val="002B080E"/>
    <w:rsid w:val="002B1145"/>
    <w:rsid w:val="002B46C8"/>
    <w:rsid w:val="002C26E5"/>
    <w:rsid w:val="002C52F5"/>
    <w:rsid w:val="002C63C8"/>
    <w:rsid w:val="002C64E7"/>
    <w:rsid w:val="002D2987"/>
    <w:rsid w:val="002D42BC"/>
    <w:rsid w:val="002D6175"/>
    <w:rsid w:val="002E00D6"/>
    <w:rsid w:val="002E14DA"/>
    <w:rsid w:val="002E29DE"/>
    <w:rsid w:val="002E3885"/>
    <w:rsid w:val="002E7535"/>
    <w:rsid w:val="002E7AA2"/>
    <w:rsid w:val="002F6EBD"/>
    <w:rsid w:val="002F720E"/>
    <w:rsid w:val="002F7D55"/>
    <w:rsid w:val="00300229"/>
    <w:rsid w:val="00304C04"/>
    <w:rsid w:val="00307197"/>
    <w:rsid w:val="003100BF"/>
    <w:rsid w:val="0031087A"/>
    <w:rsid w:val="00311E40"/>
    <w:rsid w:val="003147C3"/>
    <w:rsid w:val="00317E10"/>
    <w:rsid w:val="003214E6"/>
    <w:rsid w:val="00321F00"/>
    <w:rsid w:val="0032286E"/>
    <w:rsid w:val="00324D76"/>
    <w:rsid w:val="003251D4"/>
    <w:rsid w:val="0032566C"/>
    <w:rsid w:val="00326C90"/>
    <w:rsid w:val="003274EC"/>
    <w:rsid w:val="00327C73"/>
    <w:rsid w:val="00327CAD"/>
    <w:rsid w:val="00330029"/>
    <w:rsid w:val="00330649"/>
    <w:rsid w:val="00331196"/>
    <w:rsid w:val="00332366"/>
    <w:rsid w:val="003348C7"/>
    <w:rsid w:val="0033594C"/>
    <w:rsid w:val="0033798C"/>
    <w:rsid w:val="003417B4"/>
    <w:rsid w:val="00342A30"/>
    <w:rsid w:val="00343E16"/>
    <w:rsid w:val="00350790"/>
    <w:rsid w:val="003532FB"/>
    <w:rsid w:val="00353A7E"/>
    <w:rsid w:val="00355449"/>
    <w:rsid w:val="00355525"/>
    <w:rsid w:val="00356D0B"/>
    <w:rsid w:val="0036179B"/>
    <w:rsid w:val="0036377A"/>
    <w:rsid w:val="003645C1"/>
    <w:rsid w:val="003720A2"/>
    <w:rsid w:val="003732AB"/>
    <w:rsid w:val="0037389A"/>
    <w:rsid w:val="00373A69"/>
    <w:rsid w:val="00373F24"/>
    <w:rsid w:val="00373FA9"/>
    <w:rsid w:val="003754B6"/>
    <w:rsid w:val="00377566"/>
    <w:rsid w:val="003812EB"/>
    <w:rsid w:val="00383665"/>
    <w:rsid w:val="00384899"/>
    <w:rsid w:val="00386F59"/>
    <w:rsid w:val="00393CC7"/>
    <w:rsid w:val="003944A1"/>
    <w:rsid w:val="00396475"/>
    <w:rsid w:val="003A1E84"/>
    <w:rsid w:val="003A33BF"/>
    <w:rsid w:val="003A40C0"/>
    <w:rsid w:val="003A5547"/>
    <w:rsid w:val="003A5CF5"/>
    <w:rsid w:val="003B1B24"/>
    <w:rsid w:val="003B3FCC"/>
    <w:rsid w:val="003B5839"/>
    <w:rsid w:val="003B5E25"/>
    <w:rsid w:val="003C0232"/>
    <w:rsid w:val="003C0C28"/>
    <w:rsid w:val="003C0F60"/>
    <w:rsid w:val="003C1BDC"/>
    <w:rsid w:val="003C1E30"/>
    <w:rsid w:val="003C3ED9"/>
    <w:rsid w:val="003C779D"/>
    <w:rsid w:val="003D0ACC"/>
    <w:rsid w:val="003D18C8"/>
    <w:rsid w:val="003D6EFC"/>
    <w:rsid w:val="003E5EA8"/>
    <w:rsid w:val="003E6D93"/>
    <w:rsid w:val="003F01CF"/>
    <w:rsid w:val="003F0A45"/>
    <w:rsid w:val="003F3291"/>
    <w:rsid w:val="003F330A"/>
    <w:rsid w:val="003F400C"/>
    <w:rsid w:val="003F4C62"/>
    <w:rsid w:val="003F4E62"/>
    <w:rsid w:val="003F4F95"/>
    <w:rsid w:val="00400BED"/>
    <w:rsid w:val="004017B7"/>
    <w:rsid w:val="004049C6"/>
    <w:rsid w:val="004061B6"/>
    <w:rsid w:val="0040694B"/>
    <w:rsid w:val="00407118"/>
    <w:rsid w:val="00407EA7"/>
    <w:rsid w:val="00410DAB"/>
    <w:rsid w:val="004135CE"/>
    <w:rsid w:val="004139CA"/>
    <w:rsid w:val="00415D8C"/>
    <w:rsid w:val="00416868"/>
    <w:rsid w:val="0042061A"/>
    <w:rsid w:val="00421620"/>
    <w:rsid w:val="0042267E"/>
    <w:rsid w:val="00422F25"/>
    <w:rsid w:val="00425717"/>
    <w:rsid w:val="00425E2D"/>
    <w:rsid w:val="00436CDE"/>
    <w:rsid w:val="004371ED"/>
    <w:rsid w:val="004401B0"/>
    <w:rsid w:val="00442D80"/>
    <w:rsid w:val="00444711"/>
    <w:rsid w:val="004454FB"/>
    <w:rsid w:val="00447048"/>
    <w:rsid w:val="00447D30"/>
    <w:rsid w:val="00447DE7"/>
    <w:rsid w:val="00450372"/>
    <w:rsid w:val="00450DC1"/>
    <w:rsid w:val="004516DA"/>
    <w:rsid w:val="00453CAD"/>
    <w:rsid w:val="00453DE3"/>
    <w:rsid w:val="00454468"/>
    <w:rsid w:val="004544C5"/>
    <w:rsid w:val="0045508A"/>
    <w:rsid w:val="00455C51"/>
    <w:rsid w:val="004563A9"/>
    <w:rsid w:val="00457934"/>
    <w:rsid w:val="00460430"/>
    <w:rsid w:val="00461F31"/>
    <w:rsid w:val="0046297C"/>
    <w:rsid w:val="00462DCF"/>
    <w:rsid w:val="00463113"/>
    <w:rsid w:val="004644F3"/>
    <w:rsid w:val="004658FF"/>
    <w:rsid w:val="004660B6"/>
    <w:rsid w:val="0047091D"/>
    <w:rsid w:val="0047233C"/>
    <w:rsid w:val="004756FF"/>
    <w:rsid w:val="00475C89"/>
    <w:rsid w:val="00475D8B"/>
    <w:rsid w:val="0047752B"/>
    <w:rsid w:val="00480B88"/>
    <w:rsid w:val="004812D2"/>
    <w:rsid w:val="0048239D"/>
    <w:rsid w:val="00484357"/>
    <w:rsid w:val="004873E8"/>
    <w:rsid w:val="0048769B"/>
    <w:rsid w:val="0049631E"/>
    <w:rsid w:val="004971F6"/>
    <w:rsid w:val="004A0D16"/>
    <w:rsid w:val="004A27A6"/>
    <w:rsid w:val="004A3C80"/>
    <w:rsid w:val="004A643E"/>
    <w:rsid w:val="004A6D3C"/>
    <w:rsid w:val="004A776B"/>
    <w:rsid w:val="004B00CE"/>
    <w:rsid w:val="004B0BFD"/>
    <w:rsid w:val="004B187A"/>
    <w:rsid w:val="004B198E"/>
    <w:rsid w:val="004B240F"/>
    <w:rsid w:val="004B4124"/>
    <w:rsid w:val="004C0316"/>
    <w:rsid w:val="004D0A38"/>
    <w:rsid w:val="004D2F6A"/>
    <w:rsid w:val="004E158F"/>
    <w:rsid w:val="004E2590"/>
    <w:rsid w:val="004E47B9"/>
    <w:rsid w:val="004E7D26"/>
    <w:rsid w:val="004F0A6C"/>
    <w:rsid w:val="004F1DC9"/>
    <w:rsid w:val="004F48FF"/>
    <w:rsid w:val="004F62D8"/>
    <w:rsid w:val="004F68B3"/>
    <w:rsid w:val="0050207D"/>
    <w:rsid w:val="00503971"/>
    <w:rsid w:val="00503D27"/>
    <w:rsid w:val="005066DF"/>
    <w:rsid w:val="0051000B"/>
    <w:rsid w:val="0051032D"/>
    <w:rsid w:val="005104C1"/>
    <w:rsid w:val="00511597"/>
    <w:rsid w:val="005134A6"/>
    <w:rsid w:val="00517548"/>
    <w:rsid w:val="00520777"/>
    <w:rsid w:val="00522A93"/>
    <w:rsid w:val="0052312B"/>
    <w:rsid w:val="005248CD"/>
    <w:rsid w:val="00525536"/>
    <w:rsid w:val="00527213"/>
    <w:rsid w:val="005276AF"/>
    <w:rsid w:val="005279B5"/>
    <w:rsid w:val="00531C0D"/>
    <w:rsid w:val="00532D3F"/>
    <w:rsid w:val="00534633"/>
    <w:rsid w:val="00535EB4"/>
    <w:rsid w:val="0053769A"/>
    <w:rsid w:val="0054139E"/>
    <w:rsid w:val="00543321"/>
    <w:rsid w:val="00544084"/>
    <w:rsid w:val="005441D5"/>
    <w:rsid w:val="00544707"/>
    <w:rsid w:val="005466F3"/>
    <w:rsid w:val="00547F44"/>
    <w:rsid w:val="0055073A"/>
    <w:rsid w:val="00555853"/>
    <w:rsid w:val="005576A5"/>
    <w:rsid w:val="00557D59"/>
    <w:rsid w:val="00557E7B"/>
    <w:rsid w:val="0056001E"/>
    <w:rsid w:val="00560168"/>
    <w:rsid w:val="00560BE5"/>
    <w:rsid w:val="0056205E"/>
    <w:rsid w:val="005650A6"/>
    <w:rsid w:val="0057105D"/>
    <w:rsid w:val="005713E0"/>
    <w:rsid w:val="0057198B"/>
    <w:rsid w:val="0057459D"/>
    <w:rsid w:val="00575694"/>
    <w:rsid w:val="00577C36"/>
    <w:rsid w:val="005813DF"/>
    <w:rsid w:val="005829CF"/>
    <w:rsid w:val="00585EF2"/>
    <w:rsid w:val="0058730E"/>
    <w:rsid w:val="0058784D"/>
    <w:rsid w:val="00587909"/>
    <w:rsid w:val="00587C5F"/>
    <w:rsid w:val="00587D7B"/>
    <w:rsid w:val="0059001F"/>
    <w:rsid w:val="0059536A"/>
    <w:rsid w:val="005958AC"/>
    <w:rsid w:val="00595C48"/>
    <w:rsid w:val="00596DF4"/>
    <w:rsid w:val="00597B83"/>
    <w:rsid w:val="005A105B"/>
    <w:rsid w:val="005A1B08"/>
    <w:rsid w:val="005A2CEF"/>
    <w:rsid w:val="005A3895"/>
    <w:rsid w:val="005A3A7A"/>
    <w:rsid w:val="005A4193"/>
    <w:rsid w:val="005A5A9E"/>
    <w:rsid w:val="005B0310"/>
    <w:rsid w:val="005B5AF4"/>
    <w:rsid w:val="005C293A"/>
    <w:rsid w:val="005C2E68"/>
    <w:rsid w:val="005C58D6"/>
    <w:rsid w:val="005D00C0"/>
    <w:rsid w:val="005D0870"/>
    <w:rsid w:val="005D095F"/>
    <w:rsid w:val="005D1BDB"/>
    <w:rsid w:val="005D37A7"/>
    <w:rsid w:val="005D47A6"/>
    <w:rsid w:val="005D5D72"/>
    <w:rsid w:val="005E0925"/>
    <w:rsid w:val="005E2541"/>
    <w:rsid w:val="005E723E"/>
    <w:rsid w:val="005F054A"/>
    <w:rsid w:val="005F250E"/>
    <w:rsid w:val="005F616F"/>
    <w:rsid w:val="005F63A1"/>
    <w:rsid w:val="005F77BB"/>
    <w:rsid w:val="00601877"/>
    <w:rsid w:val="006063F8"/>
    <w:rsid w:val="006155CD"/>
    <w:rsid w:val="00615AD1"/>
    <w:rsid w:val="00615BC5"/>
    <w:rsid w:val="00620AEC"/>
    <w:rsid w:val="00621A90"/>
    <w:rsid w:val="0063049F"/>
    <w:rsid w:val="006304F8"/>
    <w:rsid w:val="00631427"/>
    <w:rsid w:val="006333C5"/>
    <w:rsid w:val="00633570"/>
    <w:rsid w:val="006342BD"/>
    <w:rsid w:val="00635C50"/>
    <w:rsid w:val="00637850"/>
    <w:rsid w:val="006433AC"/>
    <w:rsid w:val="00643848"/>
    <w:rsid w:val="006439A1"/>
    <w:rsid w:val="00643F7F"/>
    <w:rsid w:val="00645998"/>
    <w:rsid w:val="00646B1A"/>
    <w:rsid w:val="00650766"/>
    <w:rsid w:val="006520C9"/>
    <w:rsid w:val="00654F50"/>
    <w:rsid w:val="006558C8"/>
    <w:rsid w:val="00660040"/>
    <w:rsid w:val="0066432B"/>
    <w:rsid w:val="00665343"/>
    <w:rsid w:val="00666C27"/>
    <w:rsid w:val="006728B1"/>
    <w:rsid w:val="00675B5B"/>
    <w:rsid w:val="0067654B"/>
    <w:rsid w:val="006770E9"/>
    <w:rsid w:val="0068202A"/>
    <w:rsid w:val="00682A45"/>
    <w:rsid w:val="00682ACD"/>
    <w:rsid w:val="00686283"/>
    <w:rsid w:val="00686BBB"/>
    <w:rsid w:val="00687E75"/>
    <w:rsid w:val="00693CA5"/>
    <w:rsid w:val="00694DEC"/>
    <w:rsid w:val="006953C0"/>
    <w:rsid w:val="006A120F"/>
    <w:rsid w:val="006A2F94"/>
    <w:rsid w:val="006A3A86"/>
    <w:rsid w:val="006A3B14"/>
    <w:rsid w:val="006A4718"/>
    <w:rsid w:val="006A794E"/>
    <w:rsid w:val="006B0289"/>
    <w:rsid w:val="006B0972"/>
    <w:rsid w:val="006B4E14"/>
    <w:rsid w:val="006B6615"/>
    <w:rsid w:val="006B7A8B"/>
    <w:rsid w:val="006C020E"/>
    <w:rsid w:val="006C1309"/>
    <w:rsid w:val="006C15E7"/>
    <w:rsid w:val="006C1936"/>
    <w:rsid w:val="006C2EAB"/>
    <w:rsid w:val="006C33E8"/>
    <w:rsid w:val="006C450E"/>
    <w:rsid w:val="006C663D"/>
    <w:rsid w:val="006D24A9"/>
    <w:rsid w:val="006D3C95"/>
    <w:rsid w:val="006E0416"/>
    <w:rsid w:val="006E12FB"/>
    <w:rsid w:val="006E1DB7"/>
    <w:rsid w:val="006E2E9B"/>
    <w:rsid w:val="006E48E5"/>
    <w:rsid w:val="006E4EAF"/>
    <w:rsid w:val="006E52B4"/>
    <w:rsid w:val="006E5F81"/>
    <w:rsid w:val="006E62F6"/>
    <w:rsid w:val="006E6907"/>
    <w:rsid w:val="006F0441"/>
    <w:rsid w:val="006F188A"/>
    <w:rsid w:val="00702ED3"/>
    <w:rsid w:val="007043BF"/>
    <w:rsid w:val="007046D8"/>
    <w:rsid w:val="00705789"/>
    <w:rsid w:val="00705F31"/>
    <w:rsid w:val="00707513"/>
    <w:rsid w:val="00707742"/>
    <w:rsid w:val="00707C8B"/>
    <w:rsid w:val="0071027C"/>
    <w:rsid w:val="00711E34"/>
    <w:rsid w:val="00712E29"/>
    <w:rsid w:val="00715E14"/>
    <w:rsid w:val="00716E07"/>
    <w:rsid w:val="00723F6C"/>
    <w:rsid w:val="007275A4"/>
    <w:rsid w:val="00727857"/>
    <w:rsid w:val="00727A5A"/>
    <w:rsid w:val="0073270D"/>
    <w:rsid w:val="00736808"/>
    <w:rsid w:val="007379CC"/>
    <w:rsid w:val="00741FEB"/>
    <w:rsid w:val="00742E10"/>
    <w:rsid w:val="00743825"/>
    <w:rsid w:val="00744781"/>
    <w:rsid w:val="007472E9"/>
    <w:rsid w:val="00750C95"/>
    <w:rsid w:val="0075324C"/>
    <w:rsid w:val="0075403F"/>
    <w:rsid w:val="00754DFE"/>
    <w:rsid w:val="007601F9"/>
    <w:rsid w:val="00760EC6"/>
    <w:rsid w:val="0076100F"/>
    <w:rsid w:val="007611C6"/>
    <w:rsid w:val="00761E97"/>
    <w:rsid w:val="007638FF"/>
    <w:rsid w:val="00765A46"/>
    <w:rsid w:val="00771217"/>
    <w:rsid w:val="0077129F"/>
    <w:rsid w:val="007731C6"/>
    <w:rsid w:val="00774D3B"/>
    <w:rsid w:val="00776FBE"/>
    <w:rsid w:val="00783B31"/>
    <w:rsid w:val="00784F42"/>
    <w:rsid w:val="0078578A"/>
    <w:rsid w:val="00785D8A"/>
    <w:rsid w:val="00786239"/>
    <w:rsid w:val="0078793C"/>
    <w:rsid w:val="00792687"/>
    <w:rsid w:val="00795D79"/>
    <w:rsid w:val="00796A68"/>
    <w:rsid w:val="007974DA"/>
    <w:rsid w:val="007A14A4"/>
    <w:rsid w:val="007A185E"/>
    <w:rsid w:val="007A2466"/>
    <w:rsid w:val="007A2F87"/>
    <w:rsid w:val="007A3424"/>
    <w:rsid w:val="007A7F23"/>
    <w:rsid w:val="007B14F4"/>
    <w:rsid w:val="007B2E78"/>
    <w:rsid w:val="007B3629"/>
    <w:rsid w:val="007B45FA"/>
    <w:rsid w:val="007B4EA2"/>
    <w:rsid w:val="007B6024"/>
    <w:rsid w:val="007B6DBA"/>
    <w:rsid w:val="007C20FD"/>
    <w:rsid w:val="007C23D9"/>
    <w:rsid w:val="007C2752"/>
    <w:rsid w:val="007C5D58"/>
    <w:rsid w:val="007C7B05"/>
    <w:rsid w:val="007D0B50"/>
    <w:rsid w:val="007D2D93"/>
    <w:rsid w:val="007D75FF"/>
    <w:rsid w:val="007D7854"/>
    <w:rsid w:val="007E0F46"/>
    <w:rsid w:val="007E1BF7"/>
    <w:rsid w:val="007E3C18"/>
    <w:rsid w:val="007E4361"/>
    <w:rsid w:val="007E5296"/>
    <w:rsid w:val="007E61CC"/>
    <w:rsid w:val="007F292F"/>
    <w:rsid w:val="007F31BB"/>
    <w:rsid w:val="007F5508"/>
    <w:rsid w:val="00800C78"/>
    <w:rsid w:val="00801E7B"/>
    <w:rsid w:val="0080684F"/>
    <w:rsid w:val="008156EB"/>
    <w:rsid w:val="00816987"/>
    <w:rsid w:val="008174DD"/>
    <w:rsid w:val="0082415E"/>
    <w:rsid w:val="00825DD7"/>
    <w:rsid w:val="00825E88"/>
    <w:rsid w:val="00826CB6"/>
    <w:rsid w:val="00831FD6"/>
    <w:rsid w:val="008327FC"/>
    <w:rsid w:val="00832E01"/>
    <w:rsid w:val="008334F7"/>
    <w:rsid w:val="0083596F"/>
    <w:rsid w:val="00835BCF"/>
    <w:rsid w:val="00835CC5"/>
    <w:rsid w:val="00836E43"/>
    <w:rsid w:val="00837072"/>
    <w:rsid w:val="00837955"/>
    <w:rsid w:val="00837E72"/>
    <w:rsid w:val="00840616"/>
    <w:rsid w:val="00841950"/>
    <w:rsid w:val="00841A90"/>
    <w:rsid w:val="00842965"/>
    <w:rsid w:val="00843D73"/>
    <w:rsid w:val="00844EA6"/>
    <w:rsid w:val="0085123E"/>
    <w:rsid w:val="00854180"/>
    <w:rsid w:val="00854768"/>
    <w:rsid w:val="00861765"/>
    <w:rsid w:val="00863E62"/>
    <w:rsid w:val="00864883"/>
    <w:rsid w:val="008663D9"/>
    <w:rsid w:val="00867963"/>
    <w:rsid w:val="00870774"/>
    <w:rsid w:val="008735EE"/>
    <w:rsid w:val="008740BF"/>
    <w:rsid w:val="00874216"/>
    <w:rsid w:val="00874245"/>
    <w:rsid w:val="0087521D"/>
    <w:rsid w:val="00875A4A"/>
    <w:rsid w:val="00875A9E"/>
    <w:rsid w:val="0088369F"/>
    <w:rsid w:val="00883FF1"/>
    <w:rsid w:val="008847D7"/>
    <w:rsid w:val="008851CB"/>
    <w:rsid w:val="00890187"/>
    <w:rsid w:val="00891FA1"/>
    <w:rsid w:val="0089201F"/>
    <w:rsid w:val="008945BB"/>
    <w:rsid w:val="008A0C7E"/>
    <w:rsid w:val="008A233A"/>
    <w:rsid w:val="008A303F"/>
    <w:rsid w:val="008A407B"/>
    <w:rsid w:val="008B0020"/>
    <w:rsid w:val="008B04A4"/>
    <w:rsid w:val="008B2801"/>
    <w:rsid w:val="008B3993"/>
    <w:rsid w:val="008B5774"/>
    <w:rsid w:val="008C0F2A"/>
    <w:rsid w:val="008C11E1"/>
    <w:rsid w:val="008C59C6"/>
    <w:rsid w:val="008D0C0D"/>
    <w:rsid w:val="008D14F2"/>
    <w:rsid w:val="008D2FB6"/>
    <w:rsid w:val="008D3814"/>
    <w:rsid w:val="008D4BED"/>
    <w:rsid w:val="008D5A16"/>
    <w:rsid w:val="008D6E05"/>
    <w:rsid w:val="008F2D47"/>
    <w:rsid w:val="008F486E"/>
    <w:rsid w:val="008F4C97"/>
    <w:rsid w:val="008F5880"/>
    <w:rsid w:val="008F60F8"/>
    <w:rsid w:val="008F649F"/>
    <w:rsid w:val="00901097"/>
    <w:rsid w:val="0090372F"/>
    <w:rsid w:val="00906782"/>
    <w:rsid w:val="009127B6"/>
    <w:rsid w:val="00912CB3"/>
    <w:rsid w:val="009132F1"/>
    <w:rsid w:val="0091435B"/>
    <w:rsid w:val="009144A4"/>
    <w:rsid w:val="00915638"/>
    <w:rsid w:val="00915C9B"/>
    <w:rsid w:val="00915CDD"/>
    <w:rsid w:val="0092072A"/>
    <w:rsid w:val="00922E25"/>
    <w:rsid w:val="00922F94"/>
    <w:rsid w:val="00925556"/>
    <w:rsid w:val="00926935"/>
    <w:rsid w:val="00927439"/>
    <w:rsid w:val="00931818"/>
    <w:rsid w:val="00932129"/>
    <w:rsid w:val="00933B8D"/>
    <w:rsid w:val="009367CC"/>
    <w:rsid w:val="009405FB"/>
    <w:rsid w:val="00941270"/>
    <w:rsid w:val="00941CB0"/>
    <w:rsid w:val="00943A29"/>
    <w:rsid w:val="00944538"/>
    <w:rsid w:val="00944A47"/>
    <w:rsid w:val="00946457"/>
    <w:rsid w:val="00947583"/>
    <w:rsid w:val="00957185"/>
    <w:rsid w:val="009625C4"/>
    <w:rsid w:val="0096366E"/>
    <w:rsid w:val="009644CE"/>
    <w:rsid w:val="009644F7"/>
    <w:rsid w:val="009654C9"/>
    <w:rsid w:val="00965C91"/>
    <w:rsid w:val="00966D40"/>
    <w:rsid w:val="00972515"/>
    <w:rsid w:val="009725B7"/>
    <w:rsid w:val="00972FD3"/>
    <w:rsid w:val="0097429E"/>
    <w:rsid w:val="00975BA5"/>
    <w:rsid w:val="00975ED9"/>
    <w:rsid w:val="0097699A"/>
    <w:rsid w:val="00982C15"/>
    <w:rsid w:val="00985079"/>
    <w:rsid w:val="00986D5A"/>
    <w:rsid w:val="00990B01"/>
    <w:rsid w:val="009919F4"/>
    <w:rsid w:val="00993B93"/>
    <w:rsid w:val="00996BF2"/>
    <w:rsid w:val="009A25B4"/>
    <w:rsid w:val="009A2F73"/>
    <w:rsid w:val="009A7C50"/>
    <w:rsid w:val="009B1331"/>
    <w:rsid w:val="009B2A1B"/>
    <w:rsid w:val="009B2BAB"/>
    <w:rsid w:val="009B484F"/>
    <w:rsid w:val="009B4D1C"/>
    <w:rsid w:val="009B4FDC"/>
    <w:rsid w:val="009B5A58"/>
    <w:rsid w:val="009B678C"/>
    <w:rsid w:val="009B79B7"/>
    <w:rsid w:val="009C18ED"/>
    <w:rsid w:val="009C1DA9"/>
    <w:rsid w:val="009C20BA"/>
    <w:rsid w:val="009C75D6"/>
    <w:rsid w:val="009D1C10"/>
    <w:rsid w:val="009D2C60"/>
    <w:rsid w:val="009D7771"/>
    <w:rsid w:val="009D7BBF"/>
    <w:rsid w:val="009E0A7D"/>
    <w:rsid w:val="009E4B76"/>
    <w:rsid w:val="009F0259"/>
    <w:rsid w:val="009F17E0"/>
    <w:rsid w:val="009F2D2C"/>
    <w:rsid w:val="009F4027"/>
    <w:rsid w:val="009F53A7"/>
    <w:rsid w:val="00A00303"/>
    <w:rsid w:val="00A008CF"/>
    <w:rsid w:val="00A00C28"/>
    <w:rsid w:val="00A019B1"/>
    <w:rsid w:val="00A01AF4"/>
    <w:rsid w:val="00A01B9E"/>
    <w:rsid w:val="00A062B1"/>
    <w:rsid w:val="00A125F4"/>
    <w:rsid w:val="00A16D7C"/>
    <w:rsid w:val="00A17257"/>
    <w:rsid w:val="00A20018"/>
    <w:rsid w:val="00A333B9"/>
    <w:rsid w:val="00A33F93"/>
    <w:rsid w:val="00A348CD"/>
    <w:rsid w:val="00A4037D"/>
    <w:rsid w:val="00A40391"/>
    <w:rsid w:val="00A424D8"/>
    <w:rsid w:val="00A4625C"/>
    <w:rsid w:val="00A46346"/>
    <w:rsid w:val="00A47202"/>
    <w:rsid w:val="00A52232"/>
    <w:rsid w:val="00A5289E"/>
    <w:rsid w:val="00A54ACA"/>
    <w:rsid w:val="00A55025"/>
    <w:rsid w:val="00A55D4D"/>
    <w:rsid w:val="00A570A4"/>
    <w:rsid w:val="00A579D2"/>
    <w:rsid w:val="00A61E66"/>
    <w:rsid w:val="00A62C6A"/>
    <w:rsid w:val="00A64664"/>
    <w:rsid w:val="00A64840"/>
    <w:rsid w:val="00A64A46"/>
    <w:rsid w:val="00A6559A"/>
    <w:rsid w:val="00A65CF5"/>
    <w:rsid w:val="00A66481"/>
    <w:rsid w:val="00A70C4D"/>
    <w:rsid w:val="00A7267B"/>
    <w:rsid w:val="00A72CCB"/>
    <w:rsid w:val="00A76206"/>
    <w:rsid w:val="00A803E8"/>
    <w:rsid w:val="00A80664"/>
    <w:rsid w:val="00A818BC"/>
    <w:rsid w:val="00A82F78"/>
    <w:rsid w:val="00A87582"/>
    <w:rsid w:val="00A90F30"/>
    <w:rsid w:val="00A91EEC"/>
    <w:rsid w:val="00A93110"/>
    <w:rsid w:val="00A9366F"/>
    <w:rsid w:val="00A95B0F"/>
    <w:rsid w:val="00A96909"/>
    <w:rsid w:val="00AA148B"/>
    <w:rsid w:val="00AA1A7C"/>
    <w:rsid w:val="00AA1D7A"/>
    <w:rsid w:val="00AA427A"/>
    <w:rsid w:val="00AA6B9B"/>
    <w:rsid w:val="00AA769C"/>
    <w:rsid w:val="00AA7C68"/>
    <w:rsid w:val="00AA7F5D"/>
    <w:rsid w:val="00AB3728"/>
    <w:rsid w:val="00AB3C1A"/>
    <w:rsid w:val="00AB3E03"/>
    <w:rsid w:val="00AB3EE0"/>
    <w:rsid w:val="00AB5C0C"/>
    <w:rsid w:val="00AC012D"/>
    <w:rsid w:val="00AC1B5A"/>
    <w:rsid w:val="00AC2491"/>
    <w:rsid w:val="00AC5C7F"/>
    <w:rsid w:val="00AC6991"/>
    <w:rsid w:val="00AC6A51"/>
    <w:rsid w:val="00AD1CBE"/>
    <w:rsid w:val="00AD3072"/>
    <w:rsid w:val="00AD5501"/>
    <w:rsid w:val="00AD5854"/>
    <w:rsid w:val="00AD7AD7"/>
    <w:rsid w:val="00AE04A9"/>
    <w:rsid w:val="00AE220B"/>
    <w:rsid w:val="00AE37AA"/>
    <w:rsid w:val="00AE4CE9"/>
    <w:rsid w:val="00AE6479"/>
    <w:rsid w:val="00AF241B"/>
    <w:rsid w:val="00AF3A9C"/>
    <w:rsid w:val="00AF5C79"/>
    <w:rsid w:val="00B0251E"/>
    <w:rsid w:val="00B02AD5"/>
    <w:rsid w:val="00B0346A"/>
    <w:rsid w:val="00B05629"/>
    <w:rsid w:val="00B11734"/>
    <w:rsid w:val="00B17765"/>
    <w:rsid w:val="00B205D2"/>
    <w:rsid w:val="00B214DC"/>
    <w:rsid w:val="00B21571"/>
    <w:rsid w:val="00B2587D"/>
    <w:rsid w:val="00B262F0"/>
    <w:rsid w:val="00B26AC2"/>
    <w:rsid w:val="00B26E82"/>
    <w:rsid w:val="00B26FCB"/>
    <w:rsid w:val="00B31652"/>
    <w:rsid w:val="00B3344B"/>
    <w:rsid w:val="00B377B8"/>
    <w:rsid w:val="00B37AB9"/>
    <w:rsid w:val="00B37FAC"/>
    <w:rsid w:val="00B42321"/>
    <w:rsid w:val="00B46EC4"/>
    <w:rsid w:val="00B51C06"/>
    <w:rsid w:val="00B52506"/>
    <w:rsid w:val="00B56306"/>
    <w:rsid w:val="00B63E32"/>
    <w:rsid w:val="00B651CA"/>
    <w:rsid w:val="00B66D0D"/>
    <w:rsid w:val="00B75A65"/>
    <w:rsid w:val="00B8197A"/>
    <w:rsid w:val="00B82873"/>
    <w:rsid w:val="00B83D7C"/>
    <w:rsid w:val="00B84BB6"/>
    <w:rsid w:val="00B8507A"/>
    <w:rsid w:val="00B8699B"/>
    <w:rsid w:val="00B86D97"/>
    <w:rsid w:val="00B91F9E"/>
    <w:rsid w:val="00B93BE9"/>
    <w:rsid w:val="00B96890"/>
    <w:rsid w:val="00B973CF"/>
    <w:rsid w:val="00B97414"/>
    <w:rsid w:val="00BA004C"/>
    <w:rsid w:val="00BA017A"/>
    <w:rsid w:val="00BA0DA5"/>
    <w:rsid w:val="00BA2566"/>
    <w:rsid w:val="00BA6DF7"/>
    <w:rsid w:val="00BA728B"/>
    <w:rsid w:val="00BB1BA5"/>
    <w:rsid w:val="00BB217D"/>
    <w:rsid w:val="00BB2BF3"/>
    <w:rsid w:val="00BB5272"/>
    <w:rsid w:val="00BB7426"/>
    <w:rsid w:val="00BC133E"/>
    <w:rsid w:val="00BC4A16"/>
    <w:rsid w:val="00BC6A54"/>
    <w:rsid w:val="00BC778D"/>
    <w:rsid w:val="00BC7E24"/>
    <w:rsid w:val="00BD0220"/>
    <w:rsid w:val="00BD117F"/>
    <w:rsid w:val="00BD11ED"/>
    <w:rsid w:val="00BD30CA"/>
    <w:rsid w:val="00BD40E2"/>
    <w:rsid w:val="00BD4120"/>
    <w:rsid w:val="00BD4AF2"/>
    <w:rsid w:val="00BD75AD"/>
    <w:rsid w:val="00BE02AD"/>
    <w:rsid w:val="00BE0C85"/>
    <w:rsid w:val="00BE12DB"/>
    <w:rsid w:val="00BE2C60"/>
    <w:rsid w:val="00BE4EE5"/>
    <w:rsid w:val="00BE63E2"/>
    <w:rsid w:val="00BE7BB2"/>
    <w:rsid w:val="00BF43A6"/>
    <w:rsid w:val="00BF4D3D"/>
    <w:rsid w:val="00BF5618"/>
    <w:rsid w:val="00BF5F21"/>
    <w:rsid w:val="00BF7CB1"/>
    <w:rsid w:val="00C00052"/>
    <w:rsid w:val="00C000F2"/>
    <w:rsid w:val="00C00A29"/>
    <w:rsid w:val="00C024D3"/>
    <w:rsid w:val="00C062B8"/>
    <w:rsid w:val="00C10C0A"/>
    <w:rsid w:val="00C1191F"/>
    <w:rsid w:val="00C124FE"/>
    <w:rsid w:val="00C152D2"/>
    <w:rsid w:val="00C16C3B"/>
    <w:rsid w:val="00C17289"/>
    <w:rsid w:val="00C200D7"/>
    <w:rsid w:val="00C25EE7"/>
    <w:rsid w:val="00C272C7"/>
    <w:rsid w:val="00C27CDB"/>
    <w:rsid w:val="00C3414F"/>
    <w:rsid w:val="00C36FC8"/>
    <w:rsid w:val="00C40F11"/>
    <w:rsid w:val="00C422F7"/>
    <w:rsid w:val="00C42EAA"/>
    <w:rsid w:val="00C4569F"/>
    <w:rsid w:val="00C45B13"/>
    <w:rsid w:val="00C45F5A"/>
    <w:rsid w:val="00C51737"/>
    <w:rsid w:val="00C52220"/>
    <w:rsid w:val="00C52967"/>
    <w:rsid w:val="00C55FC0"/>
    <w:rsid w:val="00C60259"/>
    <w:rsid w:val="00C60D04"/>
    <w:rsid w:val="00C62B69"/>
    <w:rsid w:val="00C6480E"/>
    <w:rsid w:val="00C65635"/>
    <w:rsid w:val="00C65C08"/>
    <w:rsid w:val="00C65F6F"/>
    <w:rsid w:val="00C6651C"/>
    <w:rsid w:val="00C66617"/>
    <w:rsid w:val="00C70712"/>
    <w:rsid w:val="00C7359C"/>
    <w:rsid w:val="00C75626"/>
    <w:rsid w:val="00C764EE"/>
    <w:rsid w:val="00C80B05"/>
    <w:rsid w:val="00C8537A"/>
    <w:rsid w:val="00C8680A"/>
    <w:rsid w:val="00C87934"/>
    <w:rsid w:val="00C94BBE"/>
    <w:rsid w:val="00C96284"/>
    <w:rsid w:val="00C962D9"/>
    <w:rsid w:val="00CA0D4D"/>
    <w:rsid w:val="00CA7B14"/>
    <w:rsid w:val="00CB3E6C"/>
    <w:rsid w:val="00CB6C74"/>
    <w:rsid w:val="00CB78AB"/>
    <w:rsid w:val="00CC50AF"/>
    <w:rsid w:val="00CC6F1B"/>
    <w:rsid w:val="00CD10D0"/>
    <w:rsid w:val="00CD2197"/>
    <w:rsid w:val="00CD3CC1"/>
    <w:rsid w:val="00CD40AB"/>
    <w:rsid w:val="00CD436E"/>
    <w:rsid w:val="00CD56E7"/>
    <w:rsid w:val="00CD782E"/>
    <w:rsid w:val="00CD7D83"/>
    <w:rsid w:val="00CD7E52"/>
    <w:rsid w:val="00CE034B"/>
    <w:rsid w:val="00CE1D1D"/>
    <w:rsid w:val="00CE33AD"/>
    <w:rsid w:val="00CE6CD8"/>
    <w:rsid w:val="00CE6EC2"/>
    <w:rsid w:val="00CF15E3"/>
    <w:rsid w:val="00CF2146"/>
    <w:rsid w:val="00CF3803"/>
    <w:rsid w:val="00CF6682"/>
    <w:rsid w:val="00D0077B"/>
    <w:rsid w:val="00D04625"/>
    <w:rsid w:val="00D058C4"/>
    <w:rsid w:val="00D13AB7"/>
    <w:rsid w:val="00D143E4"/>
    <w:rsid w:val="00D15ECA"/>
    <w:rsid w:val="00D16B14"/>
    <w:rsid w:val="00D1746D"/>
    <w:rsid w:val="00D2042B"/>
    <w:rsid w:val="00D20952"/>
    <w:rsid w:val="00D2096D"/>
    <w:rsid w:val="00D227DA"/>
    <w:rsid w:val="00D22D22"/>
    <w:rsid w:val="00D2361F"/>
    <w:rsid w:val="00D2488A"/>
    <w:rsid w:val="00D26AD0"/>
    <w:rsid w:val="00D26D5B"/>
    <w:rsid w:val="00D27651"/>
    <w:rsid w:val="00D31D1F"/>
    <w:rsid w:val="00D33A4A"/>
    <w:rsid w:val="00D34904"/>
    <w:rsid w:val="00D37778"/>
    <w:rsid w:val="00D37884"/>
    <w:rsid w:val="00D43B5E"/>
    <w:rsid w:val="00D44DEE"/>
    <w:rsid w:val="00D458D1"/>
    <w:rsid w:val="00D45BBC"/>
    <w:rsid w:val="00D4635E"/>
    <w:rsid w:val="00D47188"/>
    <w:rsid w:val="00D50284"/>
    <w:rsid w:val="00D50BB5"/>
    <w:rsid w:val="00D54205"/>
    <w:rsid w:val="00D544B3"/>
    <w:rsid w:val="00D54C94"/>
    <w:rsid w:val="00D550F6"/>
    <w:rsid w:val="00D560AD"/>
    <w:rsid w:val="00D56236"/>
    <w:rsid w:val="00D562A6"/>
    <w:rsid w:val="00D56CF5"/>
    <w:rsid w:val="00D57C20"/>
    <w:rsid w:val="00D6002C"/>
    <w:rsid w:val="00D60B23"/>
    <w:rsid w:val="00D6213D"/>
    <w:rsid w:val="00D63967"/>
    <w:rsid w:val="00D655E5"/>
    <w:rsid w:val="00D65772"/>
    <w:rsid w:val="00D662D8"/>
    <w:rsid w:val="00D6703D"/>
    <w:rsid w:val="00D67B74"/>
    <w:rsid w:val="00D72F59"/>
    <w:rsid w:val="00D73032"/>
    <w:rsid w:val="00D7642B"/>
    <w:rsid w:val="00D76A77"/>
    <w:rsid w:val="00D76A87"/>
    <w:rsid w:val="00D82348"/>
    <w:rsid w:val="00D82937"/>
    <w:rsid w:val="00D840BA"/>
    <w:rsid w:val="00D87414"/>
    <w:rsid w:val="00D90581"/>
    <w:rsid w:val="00D91835"/>
    <w:rsid w:val="00D942E6"/>
    <w:rsid w:val="00D94A80"/>
    <w:rsid w:val="00D96242"/>
    <w:rsid w:val="00D96732"/>
    <w:rsid w:val="00DA157D"/>
    <w:rsid w:val="00DA3E45"/>
    <w:rsid w:val="00DA5DD7"/>
    <w:rsid w:val="00DA6F07"/>
    <w:rsid w:val="00DB066A"/>
    <w:rsid w:val="00DB06FB"/>
    <w:rsid w:val="00DB2543"/>
    <w:rsid w:val="00DB509D"/>
    <w:rsid w:val="00DB6460"/>
    <w:rsid w:val="00DB7763"/>
    <w:rsid w:val="00DC0113"/>
    <w:rsid w:val="00DC089D"/>
    <w:rsid w:val="00DC5717"/>
    <w:rsid w:val="00DC659F"/>
    <w:rsid w:val="00DD3983"/>
    <w:rsid w:val="00DD3FE8"/>
    <w:rsid w:val="00DD6D28"/>
    <w:rsid w:val="00DD6DD2"/>
    <w:rsid w:val="00DD7CA8"/>
    <w:rsid w:val="00DE1DEB"/>
    <w:rsid w:val="00DE4069"/>
    <w:rsid w:val="00DE44E9"/>
    <w:rsid w:val="00DE6D1B"/>
    <w:rsid w:val="00DE72CC"/>
    <w:rsid w:val="00DF1F28"/>
    <w:rsid w:val="00DF241D"/>
    <w:rsid w:val="00DF2A2D"/>
    <w:rsid w:val="00DF2E6A"/>
    <w:rsid w:val="00E037DC"/>
    <w:rsid w:val="00E03C5A"/>
    <w:rsid w:val="00E074AF"/>
    <w:rsid w:val="00E07C11"/>
    <w:rsid w:val="00E13D02"/>
    <w:rsid w:val="00E16DB0"/>
    <w:rsid w:val="00E17710"/>
    <w:rsid w:val="00E2116A"/>
    <w:rsid w:val="00E22260"/>
    <w:rsid w:val="00E246EA"/>
    <w:rsid w:val="00E261AD"/>
    <w:rsid w:val="00E3243A"/>
    <w:rsid w:val="00E32B94"/>
    <w:rsid w:val="00E330A9"/>
    <w:rsid w:val="00E33E34"/>
    <w:rsid w:val="00E35AAD"/>
    <w:rsid w:val="00E37551"/>
    <w:rsid w:val="00E404F4"/>
    <w:rsid w:val="00E407A7"/>
    <w:rsid w:val="00E41CC9"/>
    <w:rsid w:val="00E4252C"/>
    <w:rsid w:val="00E42C25"/>
    <w:rsid w:val="00E43402"/>
    <w:rsid w:val="00E4742F"/>
    <w:rsid w:val="00E523D6"/>
    <w:rsid w:val="00E5251F"/>
    <w:rsid w:val="00E54C8B"/>
    <w:rsid w:val="00E55F4A"/>
    <w:rsid w:val="00E56AAB"/>
    <w:rsid w:val="00E57A7A"/>
    <w:rsid w:val="00E63265"/>
    <w:rsid w:val="00E63650"/>
    <w:rsid w:val="00E64265"/>
    <w:rsid w:val="00E64301"/>
    <w:rsid w:val="00E6478E"/>
    <w:rsid w:val="00E648FA"/>
    <w:rsid w:val="00E65AEA"/>
    <w:rsid w:val="00E660AD"/>
    <w:rsid w:val="00E7064A"/>
    <w:rsid w:val="00E71AA8"/>
    <w:rsid w:val="00E75DCA"/>
    <w:rsid w:val="00E80C0E"/>
    <w:rsid w:val="00E81024"/>
    <w:rsid w:val="00E82F9E"/>
    <w:rsid w:val="00E920DB"/>
    <w:rsid w:val="00E93D19"/>
    <w:rsid w:val="00E95243"/>
    <w:rsid w:val="00E9730A"/>
    <w:rsid w:val="00EA0354"/>
    <w:rsid w:val="00EA316D"/>
    <w:rsid w:val="00EA46D6"/>
    <w:rsid w:val="00EA4A38"/>
    <w:rsid w:val="00EB289C"/>
    <w:rsid w:val="00EB45FD"/>
    <w:rsid w:val="00EB5A7E"/>
    <w:rsid w:val="00EB790F"/>
    <w:rsid w:val="00EC0ACA"/>
    <w:rsid w:val="00EC3215"/>
    <w:rsid w:val="00EC46F9"/>
    <w:rsid w:val="00EC6980"/>
    <w:rsid w:val="00EC7B4D"/>
    <w:rsid w:val="00ED0518"/>
    <w:rsid w:val="00EE0C8A"/>
    <w:rsid w:val="00EE5F5E"/>
    <w:rsid w:val="00EE6C84"/>
    <w:rsid w:val="00EE6D20"/>
    <w:rsid w:val="00EE7D06"/>
    <w:rsid w:val="00EF3412"/>
    <w:rsid w:val="00EF3621"/>
    <w:rsid w:val="00EF3BDF"/>
    <w:rsid w:val="00EF473A"/>
    <w:rsid w:val="00EF4F12"/>
    <w:rsid w:val="00EF7866"/>
    <w:rsid w:val="00F00A3D"/>
    <w:rsid w:val="00F02527"/>
    <w:rsid w:val="00F02E72"/>
    <w:rsid w:val="00F034B6"/>
    <w:rsid w:val="00F040D0"/>
    <w:rsid w:val="00F10B3F"/>
    <w:rsid w:val="00F11F56"/>
    <w:rsid w:val="00F13426"/>
    <w:rsid w:val="00F20316"/>
    <w:rsid w:val="00F20CB7"/>
    <w:rsid w:val="00F2138D"/>
    <w:rsid w:val="00F2174E"/>
    <w:rsid w:val="00F2737F"/>
    <w:rsid w:val="00F27966"/>
    <w:rsid w:val="00F314C5"/>
    <w:rsid w:val="00F324B3"/>
    <w:rsid w:val="00F34163"/>
    <w:rsid w:val="00F35A5F"/>
    <w:rsid w:val="00F35B42"/>
    <w:rsid w:val="00F377E9"/>
    <w:rsid w:val="00F4093D"/>
    <w:rsid w:val="00F41D69"/>
    <w:rsid w:val="00F4203E"/>
    <w:rsid w:val="00F47D99"/>
    <w:rsid w:val="00F51322"/>
    <w:rsid w:val="00F51DB0"/>
    <w:rsid w:val="00F53348"/>
    <w:rsid w:val="00F54278"/>
    <w:rsid w:val="00F62ACE"/>
    <w:rsid w:val="00F64EED"/>
    <w:rsid w:val="00F65C3C"/>
    <w:rsid w:val="00F666F1"/>
    <w:rsid w:val="00F71D01"/>
    <w:rsid w:val="00F7730E"/>
    <w:rsid w:val="00F778E6"/>
    <w:rsid w:val="00F80A22"/>
    <w:rsid w:val="00F811EC"/>
    <w:rsid w:val="00F81CD7"/>
    <w:rsid w:val="00F83277"/>
    <w:rsid w:val="00F83B82"/>
    <w:rsid w:val="00F8440B"/>
    <w:rsid w:val="00F85355"/>
    <w:rsid w:val="00F941DF"/>
    <w:rsid w:val="00F94466"/>
    <w:rsid w:val="00F960FC"/>
    <w:rsid w:val="00F9612F"/>
    <w:rsid w:val="00F97172"/>
    <w:rsid w:val="00F97567"/>
    <w:rsid w:val="00F979C9"/>
    <w:rsid w:val="00FA162B"/>
    <w:rsid w:val="00FA421C"/>
    <w:rsid w:val="00FA5D14"/>
    <w:rsid w:val="00FA5F4E"/>
    <w:rsid w:val="00FB0733"/>
    <w:rsid w:val="00FB0FD4"/>
    <w:rsid w:val="00FB18AA"/>
    <w:rsid w:val="00FB23D2"/>
    <w:rsid w:val="00FB2E50"/>
    <w:rsid w:val="00FB3700"/>
    <w:rsid w:val="00FB3E4E"/>
    <w:rsid w:val="00FB4623"/>
    <w:rsid w:val="00FB7339"/>
    <w:rsid w:val="00FC1FF0"/>
    <w:rsid w:val="00FC65A8"/>
    <w:rsid w:val="00FC6A9C"/>
    <w:rsid w:val="00FC7FD3"/>
    <w:rsid w:val="00FD2AA3"/>
    <w:rsid w:val="00FD3301"/>
    <w:rsid w:val="00FD4D20"/>
    <w:rsid w:val="00FD70DB"/>
    <w:rsid w:val="00FE154F"/>
    <w:rsid w:val="00FE2FDC"/>
    <w:rsid w:val="00FE374E"/>
    <w:rsid w:val="00FE3FD1"/>
    <w:rsid w:val="00FE51F1"/>
    <w:rsid w:val="00FE6224"/>
    <w:rsid w:val="00FE70EB"/>
    <w:rsid w:val="00FF4333"/>
    <w:rsid w:val="00FF5FE1"/>
    <w:rsid w:val="00FF79EA"/>
    <w:rsid w:val="3E4AD6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67BB4"/>
  <w15:chartTrackingRefBased/>
  <w15:docId w15:val="{65993EFB-0509-425E-9B35-40DEDE47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DE6D1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1"/>
    <w:qFormat/>
    <w:rsid w:val="00DE6D1B"/>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1"/>
    <w:qFormat/>
    <w:rsid w:val="00DE6D1B"/>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1"/>
    <w:rsid w:val="00F34163"/>
    <w:rPr>
      <w:rFonts w:ascii="Times New Roman" w:eastAsia="SimSun" w:hAnsi="Times New Roman"/>
      <w:b/>
      <w:caps/>
      <w:sz w:val="26"/>
      <w:lang w:val="en-US" w:eastAsia="en-US"/>
    </w:rPr>
  </w:style>
  <w:style w:type="character" w:customStyle="1" w:styleId="Antrat2Diagrama">
    <w:name w:val="Antraštė 2 Diagrama"/>
    <w:link w:val="Antrat2"/>
    <w:uiPriority w:val="1"/>
    <w:rsid w:val="00F34163"/>
    <w:rPr>
      <w:rFonts w:ascii="Cambria" w:eastAsia="Times New Roman" w:hAnsi="Cambria"/>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DE6D1B"/>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snapToGrid w:val="0"/>
      <w:sz w:val="22"/>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DE6D1B"/>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DE6D1B"/>
    <w:rPr>
      <w:sz w:val="16"/>
      <w:szCs w:val="16"/>
    </w:rPr>
  </w:style>
  <w:style w:type="paragraph" w:styleId="Komentarotekstas">
    <w:name w:val="annotation text"/>
    <w:basedOn w:val="prastasis"/>
    <w:link w:val="KomentarotekstasDiagrama"/>
    <w:uiPriority w:val="99"/>
    <w:rsid w:val="00DE6D1B"/>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snapToGrid w:val="0"/>
      <w:lang w:val="en-GB" w:eastAsia="en-US"/>
    </w:rPr>
  </w:style>
  <w:style w:type="paragraph" w:styleId="Komentarotema">
    <w:name w:val="annotation subject"/>
    <w:basedOn w:val="Komentarotekstas"/>
    <w:next w:val="Komentarotekstas"/>
    <w:link w:val="KomentarotemaDiagrama"/>
    <w:uiPriority w:val="99"/>
    <w:rsid w:val="00DE6D1B"/>
    <w:rPr>
      <w:b/>
      <w:bCs/>
    </w:rPr>
  </w:style>
  <w:style w:type="character" w:customStyle="1" w:styleId="KomentarotemaDiagrama">
    <w:name w:val="Komentaro tema Diagrama"/>
    <w:link w:val="Komentarotema"/>
    <w:uiPriority w:val="99"/>
    <w:rsid w:val="00F34163"/>
    <w:rPr>
      <w:rFonts w:ascii="Times New Roman" w:eastAsia="Times New Roman" w:hAnsi="Times New Roman"/>
      <w:b/>
      <w:bCs/>
      <w:snapToGrid w:val="0"/>
      <w:lang w:val="en-GB" w:eastAsia="en-US"/>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DE6D1B"/>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1"/>
    <w:qFormat/>
    <w:rsid w:val="00DE6D1B"/>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1"/>
    <w:rsid w:val="00F34163"/>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uiPriority w:val="59"/>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1334B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B63E3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39647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9B4D1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F64EED"/>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3E5EA8"/>
    <w:rPr>
      <w:rFonts w:ascii="TimesNewRomanPSMT" w:hAnsi="TimesNewRomanPSMT" w:hint="default"/>
      <w:b w:val="0"/>
      <w:bCs w:val="0"/>
      <w:i w:val="0"/>
      <w:iCs w:val="0"/>
      <w:color w:val="000000"/>
      <w:sz w:val="22"/>
      <w:szCs w:val="22"/>
    </w:rPr>
  </w:style>
  <w:style w:type="table" w:customStyle="1" w:styleId="TableGrid6">
    <w:name w:val="Table Grid6"/>
    <w:basedOn w:val="prastojilentel"/>
    <w:next w:val="Lentelstinklelis"/>
    <w:uiPriority w:val="39"/>
    <w:rsid w:val="00666C27"/>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E6D1B"/>
    <w:pPr>
      <w:widowControl w:val="0"/>
      <w:tabs>
        <w:tab w:val="clear" w:pos="567"/>
      </w:tabs>
      <w:autoSpaceDE w:val="0"/>
      <w:autoSpaceDN w:val="0"/>
      <w:adjustRightInd w:val="0"/>
      <w:spacing w:line="240" w:lineRule="auto"/>
    </w:pPr>
    <w:rPr>
      <w:snapToGrid/>
      <w:sz w:val="24"/>
      <w:szCs w:val="24"/>
      <w:lang w:val="lt-LT" w:eastAsia="lt-LT"/>
    </w:rPr>
  </w:style>
  <w:style w:type="paragraph" w:styleId="Sraopastraipa">
    <w:name w:val="List Paragraph"/>
    <w:basedOn w:val="prastasis"/>
    <w:uiPriority w:val="1"/>
    <w:qFormat/>
    <w:rsid w:val="00DE6D1B"/>
    <w:pPr>
      <w:widowControl w:val="0"/>
      <w:tabs>
        <w:tab w:val="clear" w:pos="567"/>
      </w:tabs>
      <w:autoSpaceDE w:val="0"/>
      <w:autoSpaceDN w:val="0"/>
      <w:adjustRightInd w:val="0"/>
      <w:spacing w:line="240" w:lineRule="auto"/>
      <w:ind w:left="801" w:hanging="567"/>
    </w:pPr>
    <w:rPr>
      <w:snapToGrid/>
      <w:sz w:val="24"/>
      <w:szCs w:val="24"/>
      <w:lang w:val="lt-LT" w:eastAsia="lt-LT"/>
    </w:rPr>
  </w:style>
  <w:style w:type="table" w:customStyle="1" w:styleId="TableNormal2">
    <w:name w:val="Table Normal2"/>
    <w:uiPriority w:val="2"/>
    <w:semiHidden/>
    <w:unhideWhenUsed/>
    <w:qFormat/>
    <w:rsid w:val="00DE6D1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styleId="Lentelstinklelisviesus">
    <w:name w:val="Grid Table Light"/>
    <w:basedOn w:val="prastojilentel"/>
    <w:uiPriority w:val="40"/>
    <w:rsid w:val="00AF3A9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82358712">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74486455">
      <w:bodyDiv w:val="1"/>
      <w:marLeft w:val="0"/>
      <w:marRight w:val="0"/>
      <w:marTop w:val="0"/>
      <w:marBottom w:val="0"/>
      <w:divBdr>
        <w:top w:val="none" w:sz="0" w:space="0" w:color="auto"/>
        <w:left w:val="none" w:sz="0" w:space="0" w:color="auto"/>
        <w:bottom w:val="none" w:sz="0" w:space="0" w:color="auto"/>
        <w:right w:val="none" w:sz="0" w:space="0" w:color="auto"/>
      </w:divBdr>
    </w:div>
    <w:div w:id="1027832590">
      <w:bodyDiv w:val="1"/>
      <w:marLeft w:val="0"/>
      <w:marRight w:val="0"/>
      <w:marTop w:val="0"/>
      <w:marBottom w:val="0"/>
      <w:divBdr>
        <w:top w:val="none" w:sz="0" w:space="0" w:color="auto"/>
        <w:left w:val="none" w:sz="0" w:space="0" w:color="auto"/>
        <w:bottom w:val="none" w:sz="0" w:space="0" w:color="auto"/>
        <w:right w:val="none" w:sz="0" w:space="0" w:color="auto"/>
      </w:divBdr>
    </w:div>
    <w:div w:id="1030834972">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0472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tada.baltics@stad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63C32-83E1-44D5-BCE1-E1CC612890AF}">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DD6D2C2B-4F02-41C4-A884-77AFBE44472A}">
  <ds:schemaRefs>
    <ds:schemaRef ds:uri="http://schemas.openxmlformats.org/officeDocument/2006/bibliography"/>
  </ds:schemaRefs>
</ds:datastoreItem>
</file>

<file path=customXml/itemProps3.xml><?xml version="1.0" encoding="utf-8"?>
<ds:datastoreItem xmlns:ds="http://schemas.openxmlformats.org/officeDocument/2006/customXml" ds:itemID="{A4C1B6EA-ECA4-4E4C-9DBA-4265341BEDF1}">
  <ds:schemaRefs>
    <ds:schemaRef ds:uri="http://schemas.microsoft.com/sharepoint/v3/contenttype/forms"/>
  </ds:schemaRefs>
</ds:datastoreItem>
</file>

<file path=customXml/itemProps4.xml><?xml version="1.0" encoding="utf-8"?>
<ds:datastoreItem xmlns:ds="http://schemas.openxmlformats.org/officeDocument/2006/customXml" ds:itemID="{2DA500FC-EB9F-424B-8790-035023397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59709</Words>
  <Characters>34035</Characters>
  <Application>Microsoft Office Word</Application>
  <DocSecurity>4</DocSecurity>
  <Lines>283</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93557</CharactersWithSpaces>
  <SharedDoc>false</SharedDoc>
  <HLinks>
    <vt:vector size="6" baseType="variant">
      <vt:variant>
        <vt:i4>7864339</vt:i4>
      </vt:variant>
      <vt:variant>
        <vt:i4>0</vt:i4>
      </vt:variant>
      <vt:variant>
        <vt:i4>0</vt:i4>
      </vt:variant>
      <vt:variant>
        <vt:i4>5</vt:i4>
      </vt:variant>
      <vt:variant>
        <vt:lpwstr>mailto:stada.baltics@stada.com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cp:lastModifiedBy>Albina Burkauskaitė</cp:lastModifiedBy>
  <cp:revision>2</cp:revision>
  <dcterms:created xsi:type="dcterms:W3CDTF">2026-05-15T08:17:00Z</dcterms:created>
  <dcterms:modified xsi:type="dcterms:W3CDTF">2026-05-15T08:17:00Z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ToolBox</vt:lpwstr>
  </property>
  <property fmtid="{D5CDD505-2E9C-101B-9397-08002B2CF9AE}" pid="3" name="Producer">
    <vt:lpwstr>Microsoft® Word for Microsoft 365</vt:lpwstr>
  </property>
  <property fmtid="{D5CDD505-2E9C-101B-9397-08002B2CF9AE}" pid="4" name="ContentTypeId">
    <vt:lpwstr>0x01010050324D25C55556468575EE48CC328619</vt:lpwstr>
  </property>
  <property fmtid="{D5CDD505-2E9C-101B-9397-08002B2CF9AE}" pid="5" name="MediaServiceImageTags">
    <vt:lpwstr/>
  </property>
</Properties>
</file>