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D569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>Pakuotės lapelis: informacija pacientui</w:t>
      </w:r>
    </w:p>
    <w:p w14:paraId="776FD6D0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lt-LT"/>
        </w:rPr>
      </w:pPr>
    </w:p>
    <w:p w14:paraId="1890E25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C70923">
        <w:rPr>
          <w:rFonts w:ascii="Times New Roman" w:eastAsia="Calibri" w:hAnsi="Times New Roman" w:cs="Times New Roman"/>
          <w:b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</w:rPr>
        <w:t xml:space="preserve"> 23,75 mg </w:t>
      </w:r>
      <w:r w:rsidRPr="00C70923">
        <w:rPr>
          <w:rFonts w:ascii="Times New Roman" w:eastAsia="Calibri" w:hAnsi="Times New Roman" w:cs="Times New Roman"/>
          <w:b/>
          <w:lang w:eastAsia="lt-LT"/>
        </w:rPr>
        <w:t>pailginto atpalaidavimo tabletės</w:t>
      </w:r>
    </w:p>
    <w:p w14:paraId="094842A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C70923">
        <w:rPr>
          <w:rFonts w:ascii="Times New Roman" w:eastAsia="Calibri" w:hAnsi="Times New Roman" w:cs="Times New Roman"/>
          <w:b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</w:rPr>
        <w:t xml:space="preserve"> 47,5 mg </w:t>
      </w:r>
      <w:r w:rsidRPr="00C70923">
        <w:rPr>
          <w:rFonts w:ascii="Times New Roman" w:eastAsia="Calibri" w:hAnsi="Times New Roman" w:cs="Times New Roman"/>
          <w:b/>
          <w:lang w:eastAsia="lt-LT"/>
        </w:rPr>
        <w:t>pailginto atpalaidavimo tabletės</w:t>
      </w:r>
    </w:p>
    <w:p w14:paraId="3432D897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C70923">
        <w:rPr>
          <w:rFonts w:ascii="Times New Roman" w:eastAsia="Calibri" w:hAnsi="Times New Roman" w:cs="Times New Roman"/>
          <w:b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</w:rPr>
        <w:t xml:space="preserve"> 95 mg </w:t>
      </w:r>
      <w:r w:rsidRPr="00C70923">
        <w:rPr>
          <w:rFonts w:ascii="Times New Roman" w:eastAsia="Calibri" w:hAnsi="Times New Roman" w:cs="Times New Roman"/>
          <w:b/>
          <w:lang w:eastAsia="lt-LT"/>
        </w:rPr>
        <w:t>pailginto atpalaidavimo tabletės</w:t>
      </w:r>
    </w:p>
    <w:p w14:paraId="1DABE85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sukcinatas</w:t>
      </w:r>
      <w:proofErr w:type="spellEnd"/>
    </w:p>
    <w:p w14:paraId="66FDBA2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EDC6FB9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>Atidžiai perskaitykite visą šį lapelį, prieš pradėdami vartoti vaistą, nes jame pateikiama Jums svarbi informacija.</w:t>
      </w:r>
    </w:p>
    <w:p w14:paraId="59B6CD18" w14:textId="77777777" w:rsidR="00C70923" w:rsidRPr="00C70923" w:rsidRDefault="00C70923" w:rsidP="00C70923">
      <w:pPr>
        <w:widowControl w:val="0"/>
        <w:numPr>
          <w:ilvl w:val="0"/>
          <w:numId w:val="4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Neišmeskite šio lapelio, nes vėl gali prireikti jį perskaityti.</w:t>
      </w:r>
    </w:p>
    <w:p w14:paraId="54E6F719" w14:textId="77777777" w:rsidR="00C70923" w:rsidRPr="00C70923" w:rsidRDefault="00C70923" w:rsidP="00C70923">
      <w:pPr>
        <w:widowControl w:val="0"/>
        <w:numPr>
          <w:ilvl w:val="0"/>
          <w:numId w:val="4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kiltų daugiau klausimų, kreipkitės į gydytoją arba vaistininką.</w:t>
      </w:r>
    </w:p>
    <w:p w14:paraId="3BA24AB5" w14:textId="77777777" w:rsidR="00C70923" w:rsidRPr="00C70923" w:rsidRDefault="00C70923" w:rsidP="00C70923">
      <w:pPr>
        <w:widowControl w:val="0"/>
        <w:numPr>
          <w:ilvl w:val="0"/>
          <w:numId w:val="4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Šis vaistas skirtas tik Jums, todėl kitiems žmonėms jo duoti negalima. Vaistas gali jiems pakenkti (net tiems, kurių ligos požymiai yra tokie patys kaip Jūsų).</w:t>
      </w:r>
    </w:p>
    <w:p w14:paraId="5C18C650" w14:textId="77777777" w:rsidR="00C70923" w:rsidRPr="00C70923" w:rsidRDefault="00C70923" w:rsidP="00C70923">
      <w:pPr>
        <w:widowControl w:val="0"/>
        <w:numPr>
          <w:ilvl w:val="0"/>
          <w:numId w:val="4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pasireiškė šalutinis poveikis (net jeigu jis šiame lapelyje nenurodytas), kreipkitės į gydytoją arba vaistininką. Žr. 4 skyrių.</w:t>
      </w:r>
    </w:p>
    <w:p w14:paraId="3D7CCC9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77C2B64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>Apie ką rašoma šiame lapelyje?</w:t>
      </w:r>
    </w:p>
    <w:p w14:paraId="03D74BFD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lang w:eastAsia="lt-LT"/>
        </w:rPr>
      </w:pPr>
    </w:p>
    <w:p w14:paraId="758AD0F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1.</w:t>
      </w:r>
      <w:r w:rsidRPr="00C70923">
        <w:rPr>
          <w:rFonts w:ascii="Times New Roman" w:eastAsia="Calibri" w:hAnsi="Times New Roman" w:cs="Times New Roman"/>
          <w:lang w:eastAsia="lt-LT"/>
        </w:rPr>
        <w:tab/>
        <w:t xml:space="preserve">Kas yra </w:t>
      </w:r>
      <w:proofErr w:type="spellStart"/>
      <w:r w:rsidRPr="00C70923">
        <w:rPr>
          <w:rFonts w:ascii="Times New Roman" w:eastAsia="Calibri" w:hAnsi="Times New Roman" w:cs="Times New Roman"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</w:rPr>
        <w:t xml:space="preserve"> </w:t>
      </w:r>
      <w:r w:rsidRPr="00C70923">
        <w:rPr>
          <w:rFonts w:ascii="Times New Roman" w:eastAsia="Calibri" w:hAnsi="Times New Roman" w:cs="Times New Roman"/>
          <w:lang w:eastAsia="lt-LT"/>
        </w:rPr>
        <w:t>ir kam jis vartojamas</w:t>
      </w:r>
    </w:p>
    <w:p w14:paraId="6980A74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/>
        </w:rPr>
      </w:pPr>
      <w:r w:rsidRPr="00C70923">
        <w:rPr>
          <w:rFonts w:ascii="Times New Roman" w:eastAsia="Calibri" w:hAnsi="Times New Roman" w:cs="Times New Roman"/>
          <w:lang w:eastAsia="lt-LT"/>
        </w:rPr>
        <w:t>2.</w:t>
      </w:r>
      <w:r w:rsidRPr="00C70923">
        <w:rPr>
          <w:rFonts w:ascii="Times New Roman" w:eastAsia="Calibri" w:hAnsi="Times New Roman" w:cs="Times New Roman"/>
          <w:lang w:eastAsia="lt-LT"/>
        </w:rPr>
        <w:tab/>
        <w:t xml:space="preserve">Kas žinotina prieš vartojant </w:t>
      </w:r>
      <w:proofErr w:type="spellStart"/>
      <w:r w:rsidRPr="00C70923">
        <w:rPr>
          <w:rFonts w:ascii="Times New Roman" w:eastAsia="Calibri" w:hAnsi="Times New Roman" w:cs="Times New Roman"/>
        </w:rPr>
        <w:t>Blobet</w:t>
      </w:r>
      <w:proofErr w:type="spellEnd"/>
    </w:p>
    <w:p w14:paraId="079ECE6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/>
        </w:rPr>
      </w:pPr>
      <w:r w:rsidRPr="00C70923">
        <w:rPr>
          <w:rFonts w:ascii="Times New Roman" w:eastAsia="Calibri" w:hAnsi="Times New Roman" w:cs="Times New Roman"/>
          <w:lang w:eastAsia="lt-LT"/>
        </w:rPr>
        <w:t>3.</w:t>
      </w:r>
      <w:r w:rsidRPr="00C70923">
        <w:rPr>
          <w:rFonts w:ascii="Times New Roman" w:eastAsia="Calibri" w:hAnsi="Times New Roman" w:cs="Times New Roman"/>
          <w:lang w:eastAsia="lt-LT"/>
        </w:rPr>
        <w:tab/>
        <w:t xml:space="preserve">Kaip vartoti </w:t>
      </w:r>
      <w:proofErr w:type="spellStart"/>
      <w:r w:rsidRPr="00C70923">
        <w:rPr>
          <w:rFonts w:ascii="Times New Roman" w:eastAsia="Calibri" w:hAnsi="Times New Roman" w:cs="Times New Roman"/>
        </w:rPr>
        <w:t>Blobet</w:t>
      </w:r>
      <w:proofErr w:type="spellEnd"/>
    </w:p>
    <w:p w14:paraId="7260027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4.</w:t>
      </w:r>
      <w:r w:rsidRPr="00C70923">
        <w:rPr>
          <w:rFonts w:ascii="Times New Roman" w:eastAsia="Calibri" w:hAnsi="Times New Roman" w:cs="Times New Roman"/>
          <w:lang w:eastAsia="lt-LT"/>
        </w:rPr>
        <w:tab/>
        <w:t>Galimas šalutinis poveikis</w:t>
      </w:r>
    </w:p>
    <w:p w14:paraId="684B0437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/>
        </w:rPr>
      </w:pPr>
      <w:r w:rsidRPr="00C70923">
        <w:rPr>
          <w:rFonts w:ascii="Times New Roman" w:eastAsia="Calibri" w:hAnsi="Times New Roman" w:cs="Times New Roman"/>
          <w:lang w:eastAsia="lt-LT"/>
        </w:rPr>
        <w:t>5.</w:t>
      </w:r>
      <w:r w:rsidRPr="00C70923">
        <w:rPr>
          <w:rFonts w:ascii="Times New Roman" w:eastAsia="Calibri" w:hAnsi="Times New Roman" w:cs="Times New Roman"/>
          <w:lang w:eastAsia="lt-LT"/>
        </w:rPr>
        <w:tab/>
        <w:t xml:space="preserve">Kaip laikyti </w:t>
      </w:r>
      <w:proofErr w:type="spellStart"/>
      <w:r w:rsidRPr="00C70923">
        <w:rPr>
          <w:rFonts w:ascii="Times New Roman" w:eastAsia="Calibri" w:hAnsi="Times New Roman" w:cs="Times New Roman"/>
        </w:rPr>
        <w:t>Blobet</w:t>
      </w:r>
      <w:proofErr w:type="spellEnd"/>
    </w:p>
    <w:p w14:paraId="20ED975C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6.</w:t>
      </w:r>
      <w:r w:rsidRPr="00C70923">
        <w:rPr>
          <w:rFonts w:ascii="Times New Roman" w:eastAsia="Calibri" w:hAnsi="Times New Roman" w:cs="Times New Roman"/>
          <w:lang w:eastAsia="lt-LT"/>
        </w:rPr>
        <w:tab/>
        <w:t>Pakuotės turinys ir kita informacija</w:t>
      </w:r>
    </w:p>
    <w:p w14:paraId="55D4750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29B11E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20B45EE" w14:textId="77777777" w:rsidR="00C70923" w:rsidRPr="00C70923" w:rsidRDefault="00C70923" w:rsidP="00C70923">
      <w:pPr>
        <w:widowControl w:val="0"/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eastAsia="lt-LT"/>
        </w:rPr>
      </w:pPr>
      <w:bookmarkStart w:id="0" w:name="_Toc129243264"/>
      <w:bookmarkStart w:id="1" w:name="_Toc129243139"/>
      <w:r w:rsidRPr="00C70923">
        <w:rPr>
          <w:rFonts w:ascii="Times New Roman" w:eastAsia="Calibri" w:hAnsi="Times New Roman" w:cs="Times New Roman"/>
          <w:b/>
          <w:lang w:eastAsia="lt-LT"/>
        </w:rPr>
        <w:t>1.</w:t>
      </w:r>
      <w:r w:rsidRPr="00C70923">
        <w:rPr>
          <w:rFonts w:ascii="Times New Roman" w:eastAsia="Calibri" w:hAnsi="Times New Roman" w:cs="Times New Roman"/>
          <w:b/>
          <w:lang w:eastAsia="lt-LT"/>
        </w:rPr>
        <w:tab/>
        <w:t xml:space="preserve">Kas yra </w:t>
      </w: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  <w:lang w:eastAsia="lt-LT"/>
        </w:rPr>
        <w:t xml:space="preserve"> ir kam jis vartojamas</w:t>
      </w:r>
      <w:bookmarkEnd w:id="0"/>
      <w:bookmarkEnd w:id="1"/>
    </w:p>
    <w:p w14:paraId="258681F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434DE0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sudėtyje yra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, kuris priklauso vaistų, vadinamų beta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adrenoreceptorių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blokatoriais, grupei. Beta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adrenoreceptorių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blokatoriai mažina širdies susitraukimų dažnį, širdies raumens susitraukimo jėgą ir kraujagyslių susitraukimą širdyje, smegenyse ir visame kūne. Vieną kartą per parą vartojamos pailginto atpalaidavimo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tabletės užtikrina tolygų poveikį visai dienai. </w:t>
      </w:r>
    </w:p>
    <w:p w14:paraId="6B35E78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0E0079C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</w:rPr>
        <w:t>Blobet</w:t>
      </w:r>
      <w:proofErr w:type="spellEnd"/>
      <w:r w:rsidRPr="00C70923">
        <w:rPr>
          <w:rFonts w:ascii="Times New Roman" w:eastAsia="Calibri" w:hAnsi="Times New Roman" w:cs="Times New Roman"/>
        </w:rPr>
        <w:t xml:space="preserve"> vartojamas</w:t>
      </w:r>
      <w:r w:rsidRPr="00C70923">
        <w:rPr>
          <w:rFonts w:ascii="Times New Roman" w:eastAsia="Calibri" w:hAnsi="Times New Roman" w:cs="Times New Roman"/>
          <w:b/>
        </w:rPr>
        <w:t xml:space="preserve"> </w:t>
      </w:r>
      <w:r w:rsidRPr="00C70923">
        <w:rPr>
          <w:rFonts w:ascii="Times New Roman" w:eastAsia="Calibri" w:hAnsi="Times New Roman" w:cs="Times New Roman"/>
          <w:bCs/>
        </w:rPr>
        <w:t>suaugusiesiems:</w:t>
      </w:r>
    </w:p>
    <w:p w14:paraId="434D2083" w14:textId="77777777" w:rsidR="00C70923" w:rsidRPr="00C70923" w:rsidRDefault="00C70923" w:rsidP="00C70923">
      <w:pPr>
        <w:pStyle w:val="Sraopastraipa"/>
        <w:widowControl w:val="0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C70923">
        <w:rPr>
          <w:rFonts w:ascii="Times New Roman" w:hAnsi="Times New Roman" w:cs="Times New Roman"/>
        </w:rPr>
        <w:t>padidėjusio kraujospūdžio, dar vadinamo hipertenzija, gydymui, siekiant sumažinti padidėjusio kraujospūdžio sukeliamų komplikacijų, tokių kaip insultas, širdies priepuolis ar ankstyva mirtis, riziką;</w:t>
      </w:r>
    </w:p>
    <w:p w14:paraId="00E50B2C" w14:textId="77777777" w:rsidR="00C70923" w:rsidRPr="00C70923" w:rsidRDefault="00C70923" w:rsidP="00C70923">
      <w:pPr>
        <w:pStyle w:val="Sraopastraipa"/>
        <w:widowControl w:val="0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C70923">
        <w:rPr>
          <w:rFonts w:ascii="Times New Roman" w:hAnsi="Times New Roman" w:cs="Times New Roman"/>
        </w:rPr>
        <w:t>ilgalaikiam gydymui po širdies priepuolio ir pakartotinio širdies priepuolio profilaktikai;</w:t>
      </w:r>
    </w:p>
    <w:p w14:paraId="6DEA58B2" w14:textId="77777777" w:rsidR="00C70923" w:rsidRPr="00C70923" w:rsidRDefault="00C70923" w:rsidP="00C70923">
      <w:pPr>
        <w:pStyle w:val="Sraopastraipa"/>
        <w:widowControl w:val="0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C70923">
        <w:rPr>
          <w:rFonts w:ascii="Times New Roman" w:hAnsi="Times New Roman" w:cs="Times New Roman"/>
        </w:rPr>
        <w:t>streso ar fizinio krūvio sukeltam, vainikinių širdies arterijų liga (krūtinės angina) sergančių pacientų širdies ar krūtinės skausmui gydyti;</w:t>
      </w:r>
    </w:p>
    <w:p w14:paraId="525989F8" w14:textId="77777777" w:rsidR="00C70923" w:rsidRPr="00C70923" w:rsidRDefault="00C70923" w:rsidP="00C70923">
      <w:pPr>
        <w:pStyle w:val="Sraopastraipa"/>
        <w:widowControl w:val="0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C70923">
        <w:rPr>
          <w:rFonts w:ascii="Times New Roman" w:hAnsi="Times New Roman" w:cs="Times New Roman"/>
        </w:rPr>
        <w:t xml:space="preserve">širdies nepakankamumui (simptominiam lengvam ar sunkiam lėtiniam širdies nepakankamumui) gydyti, kartu su kitais vaistais </w:t>
      </w:r>
      <w:proofErr w:type="spellStart"/>
      <w:r w:rsidRPr="00C70923">
        <w:rPr>
          <w:rFonts w:ascii="Times New Roman" w:hAnsi="Times New Roman" w:cs="Times New Roman"/>
        </w:rPr>
        <w:t>vartojamaisširdies</w:t>
      </w:r>
      <w:proofErr w:type="spellEnd"/>
      <w:r w:rsidRPr="00C70923">
        <w:rPr>
          <w:rFonts w:ascii="Times New Roman" w:hAnsi="Times New Roman" w:cs="Times New Roman"/>
        </w:rPr>
        <w:t xml:space="preserve"> nepakankamumo gydymui, siekiant pailginti išgyvenamumą, sumažinti hospitalizacijų skaičių, pagerinti kairiojo skilvelio funkciją bei pagerinti širdies nepakankamumo funkcinę klasę (pagal </w:t>
      </w:r>
      <w:r w:rsidRPr="00C70923">
        <w:rPr>
          <w:rFonts w:ascii="Times New Roman" w:hAnsi="Times New Roman" w:cs="Times New Roman"/>
          <w:i/>
          <w:iCs/>
        </w:rPr>
        <w:t>NYHA</w:t>
      </w:r>
      <w:r w:rsidRPr="00C70923">
        <w:rPr>
          <w:rFonts w:ascii="Times New Roman" w:hAnsi="Times New Roman" w:cs="Times New Roman"/>
        </w:rPr>
        <w:t xml:space="preserve"> klasifikaciją) ir gyvenimo kokybę;</w:t>
      </w:r>
    </w:p>
    <w:p w14:paraId="500EC449" w14:textId="77777777" w:rsidR="00C70923" w:rsidRPr="00C70923" w:rsidRDefault="00C70923" w:rsidP="00C70923">
      <w:pPr>
        <w:pStyle w:val="Sraopastraipa"/>
        <w:widowControl w:val="0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C70923">
        <w:rPr>
          <w:rFonts w:ascii="Times New Roman" w:hAnsi="Times New Roman" w:cs="Times New Roman"/>
        </w:rPr>
        <w:t xml:space="preserve">širdies ritmo sutrikimams (aritmijai), ypač greitam širdies plakimui gydyti pacientams, sergantiems širdies ligomis (širdies ritmo sutrikimais, įskaitant </w:t>
      </w:r>
      <w:proofErr w:type="spellStart"/>
      <w:r w:rsidRPr="00C70923">
        <w:rPr>
          <w:rFonts w:ascii="Times New Roman" w:hAnsi="Times New Roman" w:cs="Times New Roman"/>
        </w:rPr>
        <w:t>supraventrikulinę</w:t>
      </w:r>
      <w:proofErr w:type="spellEnd"/>
      <w:r w:rsidRPr="00C70923">
        <w:rPr>
          <w:rFonts w:ascii="Times New Roman" w:hAnsi="Times New Roman" w:cs="Times New Roman"/>
        </w:rPr>
        <w:t xml:space="preserve"> tachikardiją);</w:t>
      </w:r>
    </w:p>
    <w:p w14:paraId="618D1283" w14:textId="77777777" w:rsidR="00C70923" w:rsidRPr="00C70923" w:rsidRDefault="00C70923" w:rsidP="00C70923">
      <w:pPr>
        <w:pStyle w:val="Sraopastraipa"/>
        <w:widowControl w:val="0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C70923">
        <w:rPr>
          <w:rFonts w:ascii="Times New Roman" w:hAnsi="Times New Roman" w:cs="Times New Roman"/>
        </w:rPr>
        <w:t>greito ar nereguliaraus širdies plakimo (</w:t>
      </w:r>
      <w:proofErr w:type="spellStart"/>
      <w:r w:rsidRPr="00C70923">
        <w:rPr>
          <w:rFonts w:ascii="Times New Roman" w:hAnsi="Times New Roman" w:cs="Times New Roman"/>
        </w:rPr>
        <w:t>palpitacijų</w:t>
      </w:r>
      <w:proofErr w:type="spellEnd"/>
      <w:r w:rsidRPr="00C70923">
        <w:rPr>
          <w:rFonts w:ascii="Times New Roman" w:hAnsi="Times New Roman" w:cs="Times New Roman"/>
        </w:rPr>
        <w:t>) simptomams gydyti pacientams, nesergantiems širdies ligomis;</w:t>
      </w:r>
    </w:p>
    <w:p w14:paraId="7C0C1E4D" w14:textId="77777777" w:rsidR="00C70923" w:rsidRPr="00C70923" w:rsidRDefault="00C70923" w:rsidP="00C70923">
      <w:pPr>
        <w:pStyle w:val="Sraopastraipa"/>
        <w:widowControl w:val="0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C70923">
        <w:rPr>
          <w:rFonts w:ascii="Times New Roman" w:hAnsi="Times New Roman" w:cs="Times New Roman"/>
        </w:rPr>
        <w:t>migrenos profilaktikai.</w:t>
      </w:r>
    </w:p>
    <w:p w14:paraId="77F373B2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51AA5A17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</w:rPr>
        <w:t>Blobet</w:t>
      </w:r>
      <w:proofErr w:type="spellEnd"/>
      <w:r w:rsidRPr="00C70923">
        <w:rPr>
          <w:rFonts w:ascii="Times New Roman" w:eastAsia="Calibri" w:hAnsi="Times New Roman" w:cs="Times New Roman"/>
        </w:rPr>
        <w:t xml:space="preserve"> </w:t>
      </w:r>
      <w:r w:rsidRPr="00C70923">
        <w:rPr>
          <w:rFonts w:ascii="Times New Roman" w:eastAsia="Calibri" w:hAnsi="Times New Roman" w:cs="Times New Roman"/>
          <w:lang w:eastAsia="lt-LT"/>
        </w:rPr>
        <w:t>vartojamas padidėjusio kraujospūdžio gydymui 6</w:t>
      </w:r>
      <w:r w:rsidRPr="00C70923">
        <w:rPr>
          <w:rFonts w:ascii="Times New Roman" w:eastAsia="Calibri" w:hAnsi="Times New Roman" w:cs="Times New Roman"/>
          <w:lang w:eastAsia="lt-LT"/>
        </w:rPr>
        <w:noBreakHyphen/>
        <w:t>18 metų vaikams ir paaugliams.</w:t>
      </w:r>
    </w:p>
    <w:p w14:paraId="0F4F09E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663B01A9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00BB9314" w14:textId="77777777" w:rsidR="00C70923" w:rsidRPr="00C70923" w:rsidRDefault="00C70923" w:rsidP="00C70923">
      <w:pPr>
        <w:keepNext/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eastAsia="lt-LT"/>
        </w:rPr>
      </w:pPr>
      <w:bookmarkStart w:id="2" w:name="_Toc129243265"/>
      <w:bookmarkStart w:id="3" w:name="_Toc129243140"/>
      <w:r w:rsidRPr="00C70923">
        <w:rPr>
          <w:rFonts w:ascii="Times New Roman" w:eastAsia="Calibri" w:hAnsi="Times New Roman" w:cs="Times New Roman"/>
          <w:b/>
          <w:lang w:eastAsia="lt-LT"/>
        </w:rPr>
        <w:lastRenderedPageBreak/>
        <w:t>2.</w:t>
      </w:r>
      <w:r w:rsidRPr="00C70923">
        <w:rPr>
          <w:rFonts w:ascii="Times New Roman" w:eastAsia="Calibri" w:hAnsi="Times New Roman" w:cs="Times New Roman"/>
          <w:b/>
          <w:lang w:eastAsia="lt-LT"/>
        </w:rPr>
        <w:tab/>
        <w:t xml:space="preserve">Kas žinotina prieš vartojant </w:t>
      </w: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bookmarkEnd w:id="2"/>
      <w:bookmarkEnd w:id="3"/>
      <w:proofErr w:type="spellEnd"/>
    </w:p>
    <w:p w14:paraId="37062236" w14:textId="77777777" w:rsidR="00C70923" w:rsidRPr="00C70923" w:rsidRDefault="00C70923" w:rsidP="00C70923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015B3116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  <w:lang w:eastAsia="lt-LT"/>
        </w:rPr>
        <w:t xml:space="preserve"> vartoti draudžiama:</w:t>
      </w:r>
    </w:p>
    <w:p w14:paraId="2276D22A" w14:textId="77777777" w:rsidR="00C70923" w:rsidRPr="00C70923" w:rsidRDefault="00C70923" w:rsidP="00C70923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jeigu yra alergija veikliajai medžiagai, kitiems beta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adrenoreceptorių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blokatoriams arba bet kuriai pagalbinei šio vaisto medžiagai (jos išvardytos 6 skyriuje);</w:t>
      </w:r>
    </w:p>
    <w:p w14:paraId="43695F70" w14:textId="77777777" w:rsidR="00C70923" w:rsidRPr="00C70923" w:rsidRDefault="00C70923" w:rsidP="00C70923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sergate nestabiliu širdies nepakankamumu ar vartojate širdies susitraukimų jėgą didinančių vaistų;</w:t>
      </w:r>
    </w:p>
    <w:p w14:paraId="3C7F2A49" w14:textId="77777777" w:rsidR="00C70923" w:rsidRPr="00C70923" w:rsidRDefault="00C70923" w:rsidP="00C70923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yra retas širdies susitraukimų dažnis (mažiau kaip 45 kartų per minutę) arba mažas kraujospūdis (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hipotenzija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);</w:t>
      </w:r>
    </w:p>
    <w:p w14:paraId="7586058A" w14:textId="77777777" w:rsidR="00C70923" w:rsidRPr="00C70923" w:rsidRDefault="00C70923" w:rsidP="00C70923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patyrėte šoką dėl širdies sutrikimo;</w:t>
      </w:r>
    </w:p>
    <w:p w14:paraId="318F62DD" w14:textId="77777777" w:rsidR="00C70923" w:rsidRPr="00C70923" w:rsidRDefault="00C70923" w:rsidP="00C70923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jeigu yra širdies laidumo sutrikimų (II ar III laipsnio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atrioventrikulinė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blokada) arba širdies ritmo sutrikimų (sinusinio mazgo silpnumo sindromas);</w:t>
      </w:r>
    </w:p>
    <w:p w14:paraId="64D08922" w14:textId="77777777" w:rsidR="00C70923" w:rsidRPr="00C70923" w:rsidRDefault="00C70923" w:rsidP="00C70923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sergate sunkiu kraujotakos sutrikimu (sunkia periferinių arterijų liga).</w:t>
      </w:r>
    </w:p>
    <w:p w14:paraId="2F29B6D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lang w:eastAsia="lt-LT"/>
        </w:rPr>
      </w:pPr>
    </w:p>
    <w:p w14:paraId="6E57451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>Įspėjimai ir atsargumo priemonės</w:t>
      </w:r>
    </w:p>
    <w:p w14:paraId="25037DE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Pasitarkite su gydytoju arba vaistininku, prieš pradėdami vartoti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:</w:t>
      </w:r>
    </w:p>
    <w:p w14:paraId="1201868C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jeigu esate gydomi į veną leidžiamu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verapamiliu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;</w:t>
      </w:r>
    </w:p>
    <w:p w14:paraId="5F935FDB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nustatyta kraujotakos cirkuliacijos sutrikimų, dėl kurių gali atsirasti rankų ar kojų pirštų dilgčiojimas, pabalimas ar pamėlimas (šio vaisto vartojimas gali tai pabloginti);</w:t>
      </w:r>
    </w:p>
    <w:p w14:paraId="33D13AD6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paprastai naktį pasireiškia spaudžiantis krūtinės skausmas (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Princmetalo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[</w:t>
      </w:r>
      <w:proofErr w:type="spellStart"/>
      <w:r w:rsidRPr="00C70923">
        <w:rPr>
          <w:rFonts w:ascii="Times New Roman" w:eastAsia="Calibri" w:hAnsi="Times New Roman" w:cs="Times New Roman"/>
          <w:i/>
          <w:lang w:eastAsia="lt-LT"/>
        </w:rPr>
        <w:t>Prinzmetal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] krūtinės angina);</w:t>
      </w:r>
    </w:p>
    <w:p w14:paraId="7CCAFB41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sergate bronchine astma ar kita lėtine obstrukcine plaučių liga;</w:t>
      </w:r>
    </w:p>
    <w:p w14:paraId="1215F2D0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 sergate cukriniu diabetu, nes šis vaistas gali slopinti mažo cukraus kiekio kraujyje klinikinį pasireiškimą;</w:t>
      </w:r>
    </w:p>
    <w:p w14:paraId="6F10D553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yra širdies laidumo sutrikimas (širdies blokada);</w:t>
      </w:r>
    </w:p>
    <w:p w14:paraId="73D4C118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jeigu taikomas alerginių reakcijų išsivystymą mažinantis gydymas.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gali sustiprinti padidėjusį jautrumą medžiagoms, kurioms esate alergiški, ir sunkinti alergines reakcijas;</w:t>
      </w:r>
    </w:p>
    <w:p w14:paraId="44009DF2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Jūsų kraujospūdis yra padidėjęs dėl reto vieno iš Jūsų antinksčių naviko (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feochromocitomos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);</w:t>
      </w:r>
    </w:p>
    <w:p w14:paraId="66B819DD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jeigu bus taikoma anestezija (pasakykite gydytojui arba odontologui, kad vartojate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tablečių);</w:t>
      </w:r>
    </w:p>
    <w:p w14:paraId="3FC52208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Jūsų kraujo rūgštingumas yra padidėjęs (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metabolinė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acidozė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);</w:t>
      </w:r>
    </w:p>
    <w:p w14:paraId="08B75238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Jums yra sunkus inkstų funkcijos sutrikimas;</w:t>
      </w:r>
    </w:p>
    <w:p w14:paraId="7BD9E27E" w14:textId="77777777" w:rsidR="00C70923" w:rsidRPr="00C70923" w:rsidRDefault="00C70923" w:rsidP="00C70923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esate gydomi širdį veikiančiais glikozidais.</w:t>
      </w:r>
    </w:p>
    <w:p w14:paraId="70D2E5C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lang w:eastAsia="lt-LT"/>
        </w:rPr>
      </w:pPr>
    </w:p>
    <w:p w14:paraId="65C69DD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 xml:space="preserve">Kiti vaistai ir </w:t>
      </w: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proofErr w:type="spellEnd"/>
    </w:p>
    <w:p w14:paraId="0FA2667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  <w:r w:rsidRPr="00C70923">
        <w:rPr>
          <w:rFonts w:ascii="Times New Roman" w:eastAsia="Calibri" w:hAnsi="Times New Roman" w:cs="Times New Roman"/>
          <w:color w:val="000000"/>
          <w:lang w:eastAsia="lt-LT"/>
        </w:rPr>
        <w:t>Jeigu vartojate ar neseniai vartojote kitų vaistų arba dėl to nesate tikri, apie tai pasakykite gydytojui arba vaistininkui.</w:t>
      </w:r>
    </w:p>
    <w:p w14:paraId="64420539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</w:p>
    <w:p w14:paraId="53CF50A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  <w:r w:rsidRPr="00C70923">
        <w:rPr>
          <w:rFonts w:ascii="Times New Roman" w:eastAsia="Calibri" w:hAnsi="Times New Roman" w:cs="Times New Roman"/>
          <w:color w:val="000000"/>
          <w:lang w:eastAsia="lt-LT"/>
        </w:rPr>
        <w:t>Visų pirma pasakykite gydytojui arba vaistininkui, jei vartojate kurį nors iš šių vaistų:</w:t>
      </w:r>
    </w:p>
    <w:p w14:paraId="53569EB7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vaistų nuo širdies ir kraujagyslių sistemos ligų (pvz., širdį veikiantys glikozidai/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digoksinas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, kalcio kanalų blokatorių, vaistų nuo širdies ritmo sutrikimų, simpatinių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ganglijų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blokatorių,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hidralazino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);</w:t>
      </w:r>
    </w:p>
    <w:p w14:paraId="3D13B037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MAO inhibitorių (vaistų nuo depresijos);</w:t>
      </w:r>
    </w:p>
    <w:p w14:paraId="375C10BD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barbitūratų  (vaistų nuo epilepsijos);</w:t>
      </w:r>
    </w:p>
    <w:p w14:paraId="61FAE592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įkvepiamųjų anestetikų;</w:t>
      </w:r>
    </w:p>
    <w:p w14:paraId="7145F3BE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antibakterinių vaistų (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rifampicino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);</w:t>
      </w:r>
    </w:p>
    <w:p w14:paraId="23A4BAD5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vaistų nuo skrandžio opų (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cimetidino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);</w:t>
      </w:r>
    </w:p>
    <w:p w14:paraId="01A04C22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uždegimą slopinančių vaistų (pvz.,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indometacino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ir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celekoksibo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);</w:t>
      </w:r>
    </w:p>
    <w:p w14:paraId="7D956427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vaistų nuo depresijos (antidepresantų) ir kitų psichikos ligų (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antipsichotinių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);</w:t>
      </w:r>
    </w:p>
    <w:p w14:paraId="67302806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vaistų nuo alergijos (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anthistamininių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vaistų);</w:t>
      </w:r>
    </w:p>
    <w:p w14:paraId="3D7C5D4C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kitų beta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adrenoreceptorių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blokatorių (pvz., akių lašai);</w:t>
      </w:r>
    </w:p>
    <w:p w14:paraId="671414C2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kitų medžiagų (alkoholio, kai kurių hormonų);</w:t>
      </w:r>
    </w:p>
    <w:p w14:paraId="086D42C0" w14:textId="77777777" w:rsidR="00C70923" w:rsidRPr="00C70923" w:rsidRDefault="00C70923" w:rsidP="00C70923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lang w:eastAsia="lt-LT"/>
        </w:rPr>
        <w:t>fenilpropanolamino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(vaistas, veikiantis nosies gleivinę).</w:t>
      </w:r>
    </w:p>
    <w:p w14:paraId="62A6854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lang w:eastAsia="lt-LT"/>
        </w:rPr>
      </w:pPr>
    </w:p>
    <w:p w14:paraId="29540A94" w14:textId="77777777" w:rsidR="00C70923" w:rsidRPr="00C70923" w:rsidRDefault="00C70923" w:rsidP="00C70923">
      <w:pPr>
        <w:widowControl w:val="0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Jei kartu vartojate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klonidino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 ir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, tuomet 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klonidino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 vartojimą reikia nutraukti, tačiau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 vartojimą reikia nutraukti keliomis dienomis anksčiau nei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klonidino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>.</w:t>
      </w:r>
    </w:p>
    <w:p w14:paraId="18268711" w14:textId="77777777" w:rsidR="00C70923" w:rsidRPr="00C70923" w:rsidRDefault="00C70923" w:rsidP="00C70923">
      <w:pPr>
        <w:widowControl w:val="0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</w:p>
    <w:p w14:paraId="19184C9A" w14:textId="77777777" w:rsidR="00C70923" w:rsidRPr="00C70923" w:rsidRDefault="00C70923" w:rsidP="00C70923">
      <w:pPr>
        <w:widowControl w:val="0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 gali padidinti sunkios hipoglikemijos (cukraus kiekio sumažėjimo kraujyje) riziką, kai vartojamas kartu su tam tikros rūšies vaistais nuo cukrinio diabeto, vadinamais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sulfonilurėjos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 dariniais (pvz.,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glikvidonu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,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gliklazidu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,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glibenklamidu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,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glipizidu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,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glimepiridu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 xml:space="preserve"> arba </w:t>
      </w:r>
      <w:proofErr w:type="spellStart"/>
      <w:r w:rsidRPr="00C70923">
        <w:rPr>
          <w:rFonts w:ascii="Times New Roman" w:eastAsia="Calibri" w:hAnsi="Times New Roman" w:cs="Times New Roman"/>
          <w:color w:val="000000"/>
          <w:lang w:eastAsia="lt-LT"/>
        </w:rPr>
        <w:t>tolbutamidu</w:t>
      </w:r>
      <w:proofErr w:type="spellEnd"/>
      <w:r w:rsidRPr="00C70923">
        <w:rPr>
          <w:rFonts w:ascii="Times New Roman" w:eastAsia="Calibri" w:hAnsi="Times New Roman" w:cs="Times New Roman"/>
          <w:color w:val="000000"/>
          <w:lang w:eastAsia="lt-LT"/>
        </w:rPr>
        <w:t>).</w:t>
      </w:r>
    </w:p>
    <w:p w14:paraId="543F76FA" w14:textId="77777777" w:rsidR="00C70923" w:rsidRPr="00C70923" w:rsidRDefault="00C70923" w:rsidP="00C70923">
      <w:pPr>
        <w:widowControl w:val="0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</w:p>
    <w:p w14:paraId="21C43628" w14:textId="77777777" w:rsidR="00C70923" w:rsidRPr="00C70923" w:rsidRDefault="00C70923" w:rsidP="00C70923">
      <w:pPr>
        <w:widowControl w:val="0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  <w:r w:rsidRPr="00C70923">
        <w:rPr>
          <w:rFonts w:ascii="Times New Roman" w:eastAsia="Calibri" w:hAnsi="Times New Roman" w:cs="Times New Roman"/>
          <w:color w:val="000000"/>
          <w:lang w:eastAsia="lt-LT"/>
        </w:rPr>
        <w:t>Jei vartojate vaistų cukrinio diabeto gydymui, gydytojui gali tekti koreguoti jų dozę.</w:t>
      </w:r>
    </w:p>
    <w:p w14:paraId="7F5E4E21" w14:textId="77777777" w:rsidR="00C70923" w:rsidRPr="00C70923" w:rsidRDefault="00C70923" w:rsidP="00C70923">
      <w:pPr>
        <w:widowControl w:val="0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</w:p>
    <w:p w14:paraId="5FE851A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  <w:lang w:eastAsia="lt-LT"/>
        </w:rPr>
        <w:t xml:space="preserve"> vartojimas su maistu, gėrimais ir alkoholiu</w:t>
      </w:r>
    </w:p>
    <w:p w14:paraId="6E908140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galima vartoti valgant arba nevalgius.</w:t>
      </w:r>
    </w:p>
    <w:p w14:paraId="38BB667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Kartu vartojamas alkoholis gali padidinti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koncentraciją kraujyje ir stiprinti vaisto poveikį. Vartojant šį vaistą negerkite alkoholio.</w:t>
      </w:r>
    </w:p>
    <w:p w14:paraId="0855D000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F19466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>Nėštumas ir žindymo laikotarpis</w:t>
      </w:r>
    </w:p>
    <w:p w14:paraId="67AE8BF2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nėštumo ir žindymo laikotarpiu vartoti nerekomenduojama. Jeigu esate nėščia, žindote kūdikį, manote, kad galbūt esate nėščia, arba planuojate pastoti, tai prieš vartodama šį vaistą, pasitarkite su gydytoju arba vaistininku.</w:t>
      </w:r>
    </w:p>
    <w:p w14:paraId="2E3BBB66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Beta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adrenoreceptorių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blokatoriai (įskaitant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metoprololį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) gali pakenkti vaisiui ir sukelti priešlaikinį gimdymą.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vartojimas gali sukelti nepageidaujamų poveikių, pvz., mažinti vaisiaus ir naujagimio širdies susitraukimų dažnį. Jei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vartojanti moteris pastojo, apie tai ji turi kuo greičiau pranešti gydytojui.</w:t>
      </w:r>
    </w:p>
    <w:p w14:paraId="449114E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0CDB4AB2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>Vairavimas ir mechanizmų valdymas</w:t>
      </w:r>
    </w:p>
    <w:p w14:paraId="53CD364D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 pradėjus vartoti šias tabletes jaučiate galvos svaigulį, mieguistumą arba jei pradėjus vartoti šias tabletes atsiranda problemų su akimis, nevairuokite ir nevaldykite mechanizmų, kol šis poveikis nepraeis.</w:t>
      </w:r>
    </w:p>
    <w:p w14:paraId="02A90530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938B46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  <w:lang w:eastAsia="lt-LT"/>
        </w:rPr>
        <w:t xml:space="preserve"> sudėtyje yra laktozės</w:t>
      </w:r>
    </w:p>
    <w:p w14:paraId="7F6E264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gydytojas Jums yra sakęs, kad netoleruojate angliavandenių, kreipkitės į jį prieš pradėdami vartoti šį vaistą.</w:t>
      </w:r>
    </w:p>
    <w:p w14:paraId="3FBEF4C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BC1CD6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74F221CA" w14:textId="77777777" w:rsidR="00C70923" w:rsidRPr="00C70923" w:rsidRDefault="00C70923" w:rsidP="00C70923">
      <w:pPr>
        <w:widowControl w:val="0"/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eastAsia="lt-LT"/>
        </w:rPr>
      </w:pPr>
      <w:bookmarkStart w:id="4" w:name="_Toc129243266"/>
      <w:bookmarkStart w:id="5" w:name="_Toc129243141"/>
      <w:r w:rsidRPr="00C70923">
        <w:rPr>
          <w:rFonts w:ascii="Times New Roman" w:eastAsia="Calibri" w:hAnsi="Times New Roman" w:cs="Times New Roman"/>
          <w:b/>
          <w:lang w:eastAsia="lt-LT"/>
        </w:rPr>
        <w:t>3.</w:t>
      </w:r>
      <w:r w:rsidRPr="00C70923">
        <w:rPr>
          <w:rFonts w:ascii="Times New Roman" w:eastAsia="Calibri" w:hAnsi="Times New Roman" w:cs="Times New Roman"/>
          <w:b/>
          <w:lang w:eastAsia="lt-LT"/>
        </w:rPr>
        <w:tab/>
        <w:t xml:space="preserve">Kaip vartoti </w:t>
      </w: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bookmarkEnd w:id="4"/>
      <w:bookmarkEnd w:id="5"/>
      <w:proofErr w:type="spellEnd"/>
    </w:p>
    <w:p w14:paraId="08072AC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6002F5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Visada vartokite šį vaistą tiksliai kaip nurodė gydytojas. Jeigu abejojate, kreipkitės į gydytoją arba vaistininką.</w:t>
      </w:r>
    </w:p>
    <w:p w14:paraId="2025E94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697381F0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pailginto atpalaidavimo tabletės yra vaisto forma, sukelianti tolygų poveikį paros laikotarpiu. Šis vaistas vartojamas kartą per parą ryte ir užgeriamas stikline vandens.</w:t>
      </w:r>
    </w:p>
    <w:p w14:paraId="0F4CCE06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C70923">
        <w:rPr>
          <w:rFonts w:ascii="Times New Roman" w:eastAsia="Calibri" w:hAnsi="Times New Roman" w:cs="Times New Roman"/>
        </w:rPr>
        <w:t>Blobet</w:t>
      </w:r>
      <w:proofErr w:type="spellEnd"/>
      <w:r w:rsidRPr="00C70923">
        <w:rPr>
          <w:rFonts w:ascii="Times New Roman" w:eastAsia="Calibri" w:hAnsi="Times New Roman" w:cs="Times New Roman"/>
        </w:rPr>
        <w:t xml:space="preserve"> tablečių (įskaitant padalytas į dvi dalis) </w:t>
      </w:r>
      <w:r w:rsidRPr="00C70923">
        <w:rPr>
          <w:rFonts w:ascii="Times New Roman" w:eastAsia="Calibri" w:hAnsi="Times New Roman" w:cs="Times New Roman"/>
          <w:lang w:eastAsia="lt-LT"/>
        </w:rPr>
        <w:t xml:space="preserve">kramtyti ar traiškyti negalima. </w:t>
      </w:r>
    </w:p>
    <w:p w14:paraId="10887CF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Jas reikia nuryti užgeriant skysčiu.</w:t>
      </w:r>
    </w:p>
    <w:p w14:paraId="5F2FFAA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EB0E05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proofErr w:type="spellStart"/>
      <w:r w:rsidRPr="00C70923">
        <w:rPr>
          <w:rFonts w:ascii="Times New Roman" w:eastAsia="Calibri" w:hAnsi="Times New Roman" w:cs="Times New Roman"/>
        </w:rPr>
        <w:t>Blobet</w:t>
      </w:r>
      <w:proofErr w:type="spellEnd"/>
      <w:r w:rsidRPr="00C70923">
        <w:rPr>
          <w:rFonts w:ascii="Times New Roman" w:eastAsia="Calibri" w:hAnsi="Times New Roman" w:cs="Times New Roman"/>
        </w:rPr>
        <w:t xml:space="preserve"> 23,75</w:t>
      </w:r>
      <w:r w:rsidRPr="00C70923">
        <w:rPr>
          <w:rFonts w:ascii="Times New Roman" w:eastAsia="Calibri" w:hAnsi="Times New Roman" w:cs="Times New Roman"/>
          <w:lang w:eastAsia="lt-LT"/>
        </w:rPr>
        <w:t xml:space="preserve"> mg tabletę su vagele </w:t>
      </w:r>
      <w:r w:rsidRPr="00C70923">
        <w:rPr>
          <w:rFonts w:ascii="Times New Roman" w:eastAsia="Times New Roman" w:hAnsi="Times New Roman" w:cs="Times New Roman"/>
          <w:snapToGrid w:val="0"/>
        </w:rPr>
        <w:t xml:space="preserve">galima padalyti dvi į lygias dozes. </w:t>
      </w:r>
    </w:p>
    <w:p w14:paraId="729A6DF9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proofErr w:type="spellStart"/>
      <w:r w:rsidRPr="00C70923">
        <w:rPr>
          <w:rFonts w:ascii="Times New Roman" w:eastAsia="Calibri" w:hAnsi="Times New Roman" w:cs="Times New Roman"/>
        </w:rPr>
        <w:t>Blobet</w:t>
      </w:r>
      <w:proofErr w:type="spellEnd"/>
      <w:r w:rsidRPr="00C70923">
        <w:rPr>
          <w:rFonts w:ascii="Times New Roman" w:eastAsia="Calibri" w:hAnsi="Times New Roman" w:cs="Times New Roman"/>
        </w:rPr>
        <w:t xml:space="preserve"> 47,5 mg ir 95 mg </w:t>
      </w:r>
      <w:r w:rsidRPr="00C70923">
        <w:rPr>
          <w:rFonts w:ascii="Times New Roman" w:eastAsia="Calibri" w:hAnsi="Times New Roman" w:cs="Times New Roman"/>
          <w:lang w:eastAsia="lt-LT"/>
        </w:rPr>
        <w:t>tabletes galima perlaužti,</w:t>
      </w:r>
      <w:r w:rsidRPr="00C70923">
        <w:rPr>
          <w:rFonts w:ascii="Times New Roman" w:eastAsia="Times New Roman" w:hAnsi="Times New Roman" w:cs="Times New Roman"/>
          <w:snapToGrid w:val="0"/>
        </w:rPr>
        <w:t xml:space="preserve"> kad būtų lengviau nuryti, bet negalima jos padalyti į lygias dozes.</w:t>
      </w:r>
    </w:p>
    <w:p w14:paraId="2979CE89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0F538F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lang w:eastAsia="lt-LT"/>
        </w:rPr>
      </w:pPr>
      <w:r w:rsidRPr="00C70923">
        <w:rPr>
          <w:rFonts w:ascii="Times New Roman" w:eastAsia="Calibri" w:hAnsi="Times New Roman" w:cs="Times New Roman"/>
          <w:bCs/>
          <w:lang w:eastAsia="lt-LT"/>
        </w:rPr>
        <w:t>Rekomenduojamos dozės</w:t>
      </w:r>
    </w:p>
    <w:p w14:paraId="1A96EB0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/>
          <w:lang w:eastAsia="lt-LT"/>
        </w:rPr>
      </w:pPr>
    </w:p>
    <w:p w14:paraId="2AC2D46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Cs/>
          <w:u w:val="single"/>
          <w:lang w:eastAsia="lt-LT"/>
        </w:rPr>
      </w:pPr>
      <w:r w:rsidRPr="00C70923">
        <w:rPr>
          <w:rFonts w:ascii="Times New Roman" w:eastAsia="Calibri" w:hAnsi="Times New Roman" w:cs="Times New Roman"/>
          <w:bCs/>
          <w:u w:val="single"/>
          <w:lang w:eastAsia="lt-LT"/>
        </w:rPr>
        <w:t>Didelis kraujospūdis (hipertenzija)</w:t>
      </w:r>
    </w:p>
    <w:p w14:paraId="0F5AD54D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Rekomenduojama dozė pacientams, kuriems yra lengva ar vidutinio sunkumo hipertenzija, yra 47,5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50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 kartą per parą.</w:t>
      </w:r>
    </w:p>
    <w:p w14:paraId="2AB59DB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Prireikus gydytojas gali padidinti dozę iki 95</w:t>
      </w:r>
      <w:r w:rsidRPr="00C70923">
        <w:rPr>
          <w:rFonts w:ascii="Times New Roman" w:eastAsia="Calibri" w:hAnsi="Times New Roman" w:cs="Times New Roman"/>
          <w:lang w:eastAsia="lt-LT"/>
        </w:rPr>
        <w:noBreakHyphen/>
        <w:t xml:space="preserve">190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100</w:t>
      </w:r>
      <w:r w:rsidRPr="00C70923">
        <w:rPr>
          <w:rFonts w:ascii="Times New Roman" w:eastAsia="Calibri" w:hAnsi="Times New Roman" w:cs="Times New Roman"/>
          <w:lang w:eastAsia="lt-LT"/>
        </w:rPr>
        <w:noBreakHyphen/>
        <w:t xml:space="preserve">200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) kartą per parą, arba skirti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kartu su kitais kraujospūdį mažinančiais vaistais.</w:t>
      </w:r>
    </w:p>
    <w:p w14:paraId="146FB4B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Nustatyta, kad ilgalaikis gydymas 95-190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100</w:t>
      </w:r>
      <w:r w:rsidRPr="00C70923">
        <w:rPr>
          <w:rFonts w:ascii="Times New Roman" w:eastAsia="Calibri" w:hAnsi="Times New Roman" w:cs="Times New Roman"/>
          <w:lang w:eastAsia="lt-LT"/>
        </w:rPr>
        <w:noBreakHyphen/>
        <w:t xml:space="preserve">200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lastRenderedPageBreak/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 paros dozėmis mažina padidėjusio kraujospūdžio komplikacijų (insulto, širdies priepuolio ar ankstyvos mirties) riziką.</w:t>
      </w:r>
    </w:p>
    <w:p w14:paraId="1C75B94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6B5109D1" w14:textId="77777777" w:rsidR="00C70923" w:rsidRPr="00C70923" w:rsidRDefault="00C70923" w:rsidP="00C70923">
      <w:pPr>
        <w:keepNext/>
        <w:widowControl w:val="0"/>
        <w:tabs>
          <w:tab w:val="left" w:pos="567"/>
        </w:tabs>
        <w:spacing w:after="0" w:line="240" w:lineRule="auto"/>
        <w:ind w:left="539" w:hanging="539"/>
        <w:rPr>
          <w:rFonts w:ascii="Times New Roman" w:eastAsia="Calibri" w:hAnsi="Times New Roman" w:cs="Times New Roman"/>
          <w:bCs/>
          <w:u w:val="single"/>
          <w:lang w:eastAsia="lt-LT"/>
        </w:rPr>
      </w:pPr>
      <w:r w:rsidRPr="00C70923">
        <w:rPr>
          <w:rFonts w:ascii="Times New Roman" w:eastAsia="Calibri" w:hAnsi="Times New Roman" w:cs="Times New Roman"/>
          <w:bCs/>
          <w:u w:val="single"/>
          <w:lang w:eastAsia="lt-LT"/>
        </w:rPr>
        <w:t>Profilaktinis gydymas po širdies priepuolio</w:t>
      </w:r>
    </w:p>
    <w:p w14:paraId="1EF285E6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190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200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 kartą per parą.</w:t>
      </w:r>
    </w:p>
    <w:p w14:paraId="59077C7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Ilgalaikis gydymas šiuo vaistu gali sumažinti pasikartojančio širdies priepuolio ir staigios mirties riziką.</w:t>
      </w:r>
    </w:p>
    <w:p w14:paraId="0F3F4FC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Cs/>
          <w:u w:val="single"/>
          <w:lang w:eastAsia="lt-LT"/>
        </w:rPr>
      </w:pPr>
    </w:p>
    <w:p w14:paraId="0AE5528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Cs/>
          <w:u w:val="single"/>
          <w:lang w:eastAsia="lt-LT"/>
        </w:rPr>
      </w:pPr>
      <w:r w:rsidRPr="00C70923">
        <w:rPr>
          <w:rFonts w:ascii="Times New Roman" w:eastAsia="Calibri" w:hAnsi="Times New Roman" w:cs="Times New Roman"/>
          <w:bCs/>
          <w:u w:val="single"/>
          <w:lang w:eastAsia="lt-LT"/>
        </w:rPr>
        <w:t>Krūtinės angina (krūtinės skausmas)</w:t>
      </w:r>
    </w:p>
    <w:p w14:paraId="1A9AC8F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95-190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100</w:t>
      </w:r>
      <w:r w:rsidRPr="00C70923">
        <w:rPr>
          <w:rFonts w:ascii="Times New Roman" w:eastAsia="Calibri" w:hAnsi="Times New Roman" w:cs="Times New Roman"/>
          <w:lang w:eastAsia="lt-LT"/>
        </w:rPr>
        <w:noBreakHyphen/>
        <w:t xml:space="preserve">200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 kartą per parą. Gydytojas gali derinti gydymą su kitais vaistais.</w:t>
      </w:r>
    </w:p>
    <w:p w14:paraId="3F1CD572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03539D9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Cs/>
          <w:u w:val="single"/>
          <w:lang w:eastAsia="lt-LT"/>
        </w:rPr>
      </w:pPr>
      <w:r w:rsidRPr="00C70923">
        <w:rPr>
          <w:rFonts w:ascii="Times New Roman" w:eastAsia="Calibri" w:hAnsi="Times New Roman" w:cs="Times New Roman"/>
          <w:bCs/>
          <w:u w:val="single"/>
          <w:lang w:eastAsia="lt-LT"/>
        </w:rPr>
        <w:t xml:space="preserve">Pacientams, kurie serga stabiliu širdies nepakankamumu </w:t>
      </w:r>
    </w:p>
    <w:p w14:paraId="24F925F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Dozė parenkama individualiai. Rekomenduojama pradinė dozė yra pusė arba viena tabletė 23,75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25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) vieną kartą per parą pirmas dvi savaites. Vėliau dozę rekomenduojama pagal poreikį kas savaitę dvigubinti iki didžiausios kartą per parą vartojamos 190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200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 dozės ar didžiausios toleruojamos.</w:t>
      </w:r>
    </w:p>
    <w:p w14:paraId="0531DF9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655BE83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Cs/>
          <w:u w:val="single"/>
          <w:lang w:eastAsia="lt-LT"/>
        </w:rPr>
      </w:pPr>
      <w:r w:rsidRPr="00C70923">
        <w:rPr>
          <w:rFonts w:ascii="Times New Roman" w:eastAsia="Calibri" w:hAnsi="Times New Roman" w:cs="Times New Roman"/>
          <w:bCs/>
          <w:u w:val="single"/>
          <w:lang w:eastAsia="lt-LT"/>
        </w:rPr>
        <w:t>Širdies ritmo sutrikimai (širdies aritmija)</w:t>
      </w:r>
    </w:p>
    <w:p w14:paraId="11E96F70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95-190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100</w:t>
      </w:r>
      <w:r w:rsidRPr="00C70923">
        <w:rPr>
          <w:rFonts w:ascii="Times New Roman" w:eastAsia="Calibri" w:hAnsi="Times New Roman" w:cs="Times New Roman"/>
          <w:lang w:eastAsia="lt-LT"/>
        </w:rPr>
        <w:noBreakHyphen/>
        <w:t xml:space="preserve">200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 kartą per parą.</w:t>
      </w:r>
    </w:p>
    <w:p w14:paraId="4364D82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0EC5406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u w:val="single"/>
          <w:lang w:eastAsia="lt-LT"/>
        </w:rPr>
      </w:pPr>
      <w:r w:rsidRPr="00C70923">
        <w:rPr>
          <w:rFonts w:ascii="Times New Roman" w:eastAsia="Calibri" w:hAnsi="Times New Roman" w:cs="Times New Roman"/>
          <w:u w:val="single"/>
          <w:lang w:eastAsia="lt-LT"/>
        </w:rPr>
        <w:t>Funkciniai širdies veiklos sutrikimai, kai jaučiami širdies plakimai</w:t>
      </w:r>
    </w:p>
    <w:p w14:paraId="4044D9B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Rekomenduojama dozė – 95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100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) kartą per parą. Prireikus gydytojas gali ją padidinti iki 190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200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 per parą.</w:t>
      </w:r>
    </w:p>
    <w:p w14:paraId="2C61AFC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AA04A4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Cs/>
          <w:u w:val="single"/>
          <w:lang w:eastAsia="lt-LT"/>
        </w:rPr>
      </w:pPr>
      <w:r w:rsidRPr="00C70923">
        <w:rPr>
          <w:rFonts w:ascii="Times New Roman" w:eastAsia="Calibri" w:hAnsi="Times New Roman" w:cs="Times New Roman"/>
          <w:bCs/>
          <w:u w:val="single"/>
          <w:lang w:eastAsia="lt-LT"/>
        </w:rPr>
        <w:t>Migrenos profilaktika</w:t>
      </w:r>
    </w:p>
    <w:p w14:paraId="324DF3A9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95-190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100</w:t>
      </w:r>
      <w:r w:rsidRPr="00C70923">
        <w:rPr>
          <w:rFonts w:ascii="Times New Roman" w:eastAsia="Calibri" w:hAnsi="Times New Roman" w:cs="Times New Roman"/>
          <w:lang w:eastAsia="lt-LT"/>
        </w:rPr>
        <w:noBreakHyphen/>
        <w:t xml:space="preserve">200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 kartą per parą.</w:t>
      </w:r>
    </w:p>
    <w:p w14:paraId="738975E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7B7C309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ascii="Times New Roman" w:eastAsia="Calibri" w:hAnsi="Times New Roman" w:cs="Times New Roman"/>
          <w:bCs/>
          <w:u w:val="single"/>
          <w:lang w:eastAsia="lt-LT"/>
        </w:rPr>
      </w:pPr>
      <w:r w:rsidRPr="00C70923">
        <w:rPr>
          <w:rFonts w:ascii="Times New Roman" w:eastAsia="Calibri" w:hAnsi="Times New Roman" w:cs="Times New Roman"/>
          <w:bCs/>
          <w:u w:val="single"/>
          <w:lang w:eastAsia="lt-LT"/>
        </w:rPr>
        <w:t>Pacientams, kurių kepenų funkcija sutrikusi</w:t>
      </w:r>
    </w:p>
    <w:p w14:paraId="6662359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Jeigu sergate </w:t>
      </w:r>
      <w:r w:rsidRPr="00C70923">
        <w:rPr>
          <w:rFonts w:ascii="Times New Roman" w:eastAsia="Calibri" w:hAnsi="Times New Roman" w:cs="Times New Roman"/>
          <w:bCs/>
          <w:lang w:eastAsia="lt-LT"/>
        </w:rPr>
        <w:t>sunkiu</w:t>
      </w:r>
      <w:r w:rsidRPr="00C70923">
        <w:rPr>
          <w:rFonts w:ascii="Times New Roman" w:eastAsia="Calibri" w:hAnsi="Times New Roman" w:cs="Times New Roman"/>
          <w:lang w:eastAsia="lt-LT"/>
        </w:rPr>
        <w:t xml:space="preserve"> kepenų funkcijos sutrikimu, gydytojas gali keisti dozę. Visada vykdykite gydytojo nurodymus.</w:t>
      </w:r>
    </w:p>
    <w:p w14:paraId="60AE454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8A5B9AC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>Vartojimas vaikams ir paaugliams</w:t>
      </w:r>
    </w:p>
    <w:p w14:paraId="28D0CA6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jaunesniems nei 6 metų vaikams vartoti nerekomenduojama. Vaikams ir paaugliams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visada reikia vartoti tiksliai kaip nurodė gydytojas.</w:t>
      </w:r>
    </w:p>
    <w:p w14:paraId="6CF0F5B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Gydytojas apskaičiuos tinkamą Jūsų vaikui dozę. Dozė priklauso nuo vaiko svorio.</w:t>
      </w:r>
    </w:p>
    <w:p w14:paraId="730EEE0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ECD80B2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Pradinė rekomenduojama dozė yra 0,48 mg/kg kūno svorio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0,5 mg/kg kūno svorio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) kartą per parą, neviršijant 47,5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50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). Dozė turi būti pritaikyta, kad atitiktų artimiausio stiprumo tabletę. Jūsų gydytojas gali dozę padidinti iki 1,9 mg/kg kūno svorio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2 mg/kg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) kartą per parą, priklausomai nuo kraujospūdžio. </w:t>
      </w:r>
    </w:p>
    <w:p w14:paraId="4CCEE88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8BB884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Didesnių negu 190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200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) kartą per parą vartojamų dozių poveikis vaikams ir paaugliams netirtas.</w:t>
      </w:r>
    </w:p>
    <w:p w14:paraId="0D6770E6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462D30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 xml:space="preserve">Ką daryti pavartojus per didelę </w:t>
      </w: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  <w:lang w:eastAsia="lt-LT"/>
        </w:rPr>
        <w:t xml:space="preserve"> dozę</w:t>
      </w:r>
    </w:p>
    <w:p w14:paraId="6E46016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  <w:r w:rsidRPr="00C70923">
        <w:rPr>
          <w:rFonts w:ascii="Times New Roman" w:eastAsia="Calibri" w:hAnsi="Times New Roman" w:cs="Times New Roman"/>
          <w:color w:val="000000"/>
          <w:lang w:eastAsia="lt-LT"/>
        </w:rPr>
        <w:t>Jeigu atsitiktinai išgėrėte didesnę nei skirta vaisto dozę, nedelsdami pasakykite gydytojui ar kreipkitės į artimiausios ligoninės skubios pagalbos skyrių.</w:t>
      </w:r>
      <w:r w:rsidRPr="00C70923">
        <w:rPr>
          <w:rFonts w:ascii="Times New Roman" w:hAnsi="Times New Roman" w:cs="Times New Roman"/>
        </w:rPr>
        <w:t xml:space="preserve"> </w:t>
      </w:r>
      <w:r w:rsidRPr="00C70923">
        <w:rPr>
          <w:rFonts w:ascii="Times New Roman" w:eastAsia="Calibri" w:hAnsi="Times New Roman" w:cs="Times New Roman"/>
          <w:color w:val="000000"/>
          <w:lang w:eastAsia="lt-LT"/>
        </w:rPr>
        <w:t>Pasiimkite vaistus su savimi, kad parodytumėte ką išgėrėte.</w:t>
      </w:r>
    </w:p>
    <w:p w14:paraId="0EB12BDC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</w:p>
    <w:p w14:paraId="3DEC3D36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Perdozavimo simptomai gali būti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hipotenzija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, širdies nepakankamumas, bradikardija,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bradiaritmija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, širdies laidumo sutrikimai ir bronchų spazmas.</w:t>
      </w:r>
    </w:p>
    <w:p w14:paraId="2AF5137D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6F9783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Didelės dozės gali padidinti šalutinių poveikių riziką, o išgėrus per daug tablečių gali atsirasti </w:t>
      </w:r>
      <w:r w:rsidRPr="00C70923">
        <w:rPr>
          <w:rFonts w:ascii="Times New Roman" w:eastAsia="Calibri" w:hAnsi="Times New Roman" w:cs="Times New Roman"/>
          <w:lang w:eastAsia="lt-LT"/>
        </w:rPr>
        <w:lastRenderedPageBreak/>
        <w:t>apsinuodijimo požymių, pvz., lėta ar nereguliari širdies veikla, dusulys.</w:t>
      </w:r>
    </w:p>
    <w:p w14:paraId="7B853BE7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Dėl to labai svarbu vaistą vartoti ne didesnėmis dozėmis nei nurodė gydytojas.</w:t>
      </w:r>
    </w:p>
    <w:p w14:paraId="41580507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Minėti simptomai gali būti sunkesni, jei kartu vartojama alkoholio, migdomųjų ar kitų vaistų.</w:t>
      </w:r>
    </w:p>
    <w:p w14:paraId="68C5BDF9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Pirmuosius apsinuodijimo požymius galima pastebėti praėjus nuo 20 min. iki 2 val. po to, kai išgerta per didelė šio vaisto dozė. Jei pajutote kurį nors iš nurodytų simptomų, kreipkitės į gydytoją, vaistininką arba artimiausią ligoninę.</w:t>
      </w:r>
    </w:p>
    <w:p w14:paraId="0515F0E6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</w:p>
    <w:p w14:paraId="35C7493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 xml:space="preserve">Pamiršus pavartoti </w:t>
      </w: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proofErr w:type="spellEnd"/>
    </w:p>
    <w:p w14:paraId="394FF25C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Pamiršus pavartoti dozę, ją reikia išgerti iš karto prisiminus ir toliau vaistą vartoti įprasta tvarka.</w:t>
      </w:r>
    </w:p>
    <w:p w14:paraId="4B117C2D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Negalima vartoti dvigubos dozės norint kompensuoti praleistą tabletę.</w:t>
      </w:r>
    </w:p>
    <w:p w14:paraId="78D5B27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92D9E69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 xml:space="preserve">Nustojus vartoti </w:t>
      </w: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proofErr w:type="spellEnd"/>
    </w:p>
    <w:p w14:paraId="2622E7C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Nenutraukite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vartojimo </w:t>
      </w:r>
      <w:r w:rsidRPr="00C70923">
        <w:rPr>
          <w:rFonts w:ascii="Times New Roman" w:eastAsia="Calibri" w:hAnsi="Times New Roman" w:cs="Times New Roman"/>
          <w:bCs/>
          <w:lang w:eastAsia="lt-LT"/>
        </w:rPr>
        <w:t>staiga</w:t>
      </w:r>
      <w:r w:rsidRPr="00C70923">
        <w:rPr>
          <w:rFonts w:ascii="Times New Roman" w:eastAsia="Calibri" w:hAnsi="Times New Roman" w:cs="Times New Roman"/>
          <w:lang w:eastAsia="lt-LT"/>
        </w:rPr>
        <w:t xml:space="preserve">, nes Jūsų būklė gali pasunkėti. </w:t>
      </w:r>
    </w:p>
    <w:p w14:paraId="2421A72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Pirmiausia pasitarkite su gydytoju. Nutraukiant gydymą, dozę reikia nutraukti palaipsniui per 14 dienų, paskutines 4 dienas mažinant dozę iki 11,88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(atitinka 12,5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). </w:t>
      </w:r>
    </w:p>
    <w:p w14:paraId="3A15C34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6FF070C6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Jeigu kiltų daugiau klausimų dėl šio vaisto vartojimo, kreipkitės į gydytoją, vaistininką ar slaugytoją.</w:t>
      </w:r>
    </w:p>
    <w:p w14:paraId="762345CD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239BCA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C069A19" w14:textId="77777777" w:rsidR="00C70923" w:rsidRPr="00C70923" w:rsidRDefault="00C70923" w:rsidP="00C70923">
      <w:pPr>
        <w:widowControl w:val="0"/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eastAsia="lt-LT"/>
        </w:rPr>
      </w:pPr>
      <w:bookmarkStart w:id="6" w:name="_Toc129243267"/>
      <w:bookmarkStart w:id="7" w:name="_Toc129243142"/>
      <w:r w:rsidRPr="00C70923">
        <w:rPr>
          <w:rFonts w:ascii="Times New Roman" w:eastAsia="Calibri" w:hAnsi="Times New Roman" w:cs="Times New Roman"/>
          <w:b/>
          <w:lang w:eastAsia="lt-LT"/>
        </w:rPr>
        <w:t>4.</w:t>
      </w:r>
      <w:r w:rsidRPr="00C70923">
        <w:rPr>
          <w:rFonts w:ascii="Times New Roman" w:eastAsia="Calibri" w:hAnsi="Times New Roman" w:cs="Times New Roman"/>
          <w:b/>
          <w:lang w:eastAsia="lt-LT"/>
        </w:rPr>
        <w:tab/>
        <w:t>Galimas šalutinis poveikis</w:t>
      </w:r>
      <w:bookmarkEnd w:id="6"/>
      <w:bookmarkEnd w:id="7"/>
    </w:p>
    <w:p w14:paraId="64528599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CDC3A97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Šis vaistas, kaip ir visi kiti, gali sukelti šalutinį poveikį, nors jis pasireiškia ne visiems žmonėms.</w:t>
      </w:r>
    </w:p>
    <w:p w14:paraId="37C07DE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6EAC13D0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b/>
          <w:bCs/>
          <w:lang w:eastAsia="sl-SI"/>
        </w:rPr>
        <w:t>Labai dažni šalutinio poveikio reiškiniai (gali pasireikšti ne rečiau kaip 1 iš 10 asmenų):</w:t>
      </w:r>
    </w:p>
    <w:p w14:paraId="5A80F22B" w14:textId="77777777" w:rsidR="00C70923" w:rsidRPr="00C70923" w:rsidRDefault="00C70923" w:rsidP="00C70923">
      <w:pPr>
        <w:widowControl w:val="0"/>
        <w:numPr>
          <w:ilvl w:val="0"/>
          <w:numId w:val="8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nuovargis.</w:t>
      </w:r>
    </w:p>
    <w:p w14:paraId="1FD75322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29D0E5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b/>
          <w:bCs/>
          <w:lang w:eastAsia="sl-SI"/>
        </w:rPr>
        <w:t>Dažni šalutinio poveikio reiškiniai (gali pasireikšti rečiau kaip 1 iš 10 asmenų):</w:t>
      </w:r>
    </w:p>
    <w:p w14:paraId="7E3B7139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svaigulys;</w:t>
      </w:r>
    </w:p>
    <w:p w14:paraId="49738733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galvos skausmas;</w:t>
      </w:r>
    </w:p>
    <w:p w14:paraId="70169427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retas širdies plakimas;</w:t>
      </w:r>
    </w:p>
    <w:p w14:paraId="2D3E9A33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galvos svaigulys pakeitus kūno padėtį (labai retai kartu galimas apalpimas);</w:t>
      </w:r>
    </w:p>
    <w:p w14:paraId="55AE5E15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rankų ir kojų šaltumas;</w:t>
      </w:r>
    </w:p>
    <w:p w14:paraId="1D5C3761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pykinimas;</w:t>
      </w:r>
    </w:p>
    <w:p w14:paraId="75C53F5B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pilvo skausmas;</w:t>
      </w:r>
    </w:p>
    <w:p w14:paraId="2B1C6BF6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viduriavimas;</w:t>
      </w:r>
    </w:p>
    <w:p w14:paraId="7C669767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vidurių užkietėjimas;</w:t>
      </w:r>
    </w:p>
    <w:p w14:paraId="06CB3EDC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dusulys didelio fizinio krūvio metu;</w:t>
      </w:r>
    </w:p>
    <w:p w14:paraId="3E373BE3" w14:textId="77777777" w:rsidR="00C70923" w:rsidRPr="00C70923" w:rsidRDefault="00C70923" w:rsidP="00C70923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širdies plakimai (</w:t>
      </w:r>
      <w:proofErr w:type="spellStart"/>
      <w:r w:rsidRPr="00C70923">
        <w:rPr>
          <w:rFonts w:ascii="Times New Roman" w:eastAsia="Times New Roman" w:hAnsi="Times New Roman" w:cs="Times New Roman"/>
          <w:lang w:eastAsia="sl-SI"/>
        </w:rPr>
        <w:t>palpitacija</w:t>
      </w:r>
      <w:proofErr w:type="spellEnd"/>
      <w:r w:rsidRPr="00C70923">
        <w:rPr>
          <w:rFonts w:ascii="Times New Roman" w:eastAsia="Times New Roman" w:hAnsi="Times New Roman" w:cs="Times New Roman"/>
          <w:lang w:eastAsia="sl-SI"/>
        </w:rPr>
        <w:t>).</w:t>
      </w:r>
    </w:p>
    <w:p w14:paraId="6801559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163E8CA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b/>
          <w:bCs/>
          <w:lang w:eastAsia="sl-SI"/>
        </w:rPr>
        <w:t>Nedažni šalutinio poveikio reiškiniai (gali pasireikšti rečiau kaip 1 iš 100 asmenų):</w:t>
      </w:r>
    </w:p>
    <w:p w14:paraId="78A6BEFA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deginimo, badymo pojūtis ar nejautra;</w:t>
      </w:r>
    </w:p>
    <w:p w14:paraId="2FF974A2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mėšlungis;</w:t>
      </w:r>
    </w:p>
    <w:p w14:paraId="0FFC2F6A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laikinas širdies nepakankamumo simptomų (pvz., dusulio, nuovargio, kulkšnių tinimo) pasunkėjimas;</w:t>
      </w:r>
    </w:p>
    <w:p w14:paraId="58B3B0B3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didelis kraujospūdžio sumažėjimas širdies priepuolio metu (</w:t>
      </w:r>
      <w:proofErr w:type="spellStart"/>
      <w:r w:rsidRPr="00C70923">
        <w:rPr>
          <w:rFonts w:ascii="Times New Roman" w:eastAsia="Times New Roman" w:hAnsi="Times New Roman" w:cs="Times New Roman"/>
          <w:lang w:eastAsia="sl-SI"/>
        </w:rPr>
        <w:t>kardiogeninis</w:t>
      </w:r>
      <w:proofErr w:type="spellEnd"/>
      <w:r w:rsidRPr="00C70923">
        <w:rPr>
          <w:rFonts w:ascii="Times New Roman" w:eastAsia="Times New Roman" w:hAnsi="Times New Roman" w:cs="Times New Roman"/>
          <w:lang w:eastAsia="sl-SI"/>
        </w:rPr>
        <w:t xml:space="preserve"> šokas);</w:t>
      </w:r>
    </w:p>
    <w:p w14:paraId="008EAFE7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širdies laidumo sutrikimai (nedideli pokyčiai elektrokardiogramoje);</w:t>
      </w:r>
    </w:p>
    <w:p w14:paraId="7CFEE178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tinimas;</w:t>
      </w:r>
    </w:p>
    <w:p w14:paraId="591CAD68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krūtinės skausmas;</w:t>
      </w:r>
    </w:p>
    <w:p w14:paraId="3C355B0E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depresija;</w:t>
      </w:r>
    </w:p>
    <w:p w14:paraId="65F2ED9E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dėmesio sutelkimo sutrikimas;</w:t>
      </w:r>
    </w:p>
    <w:p w14:paraId="3392B5D1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miego sutrikimai, pvz., mieguistumas, nemiga ar košmariški sapnai;</w:t>
      </w:r>
    </w:p>
    <w:p w14:paraId="1E55F097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bėrimas;</w:t>
      </w:r>
    </w:p>
    <w:p w14:paraId="61FB8647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kvėpavimo takų gniaužimo pojūtis (</w:t>
      </w:r>
      <w:proofErr w:type="spellStart"/>
      <w:r w:rsidRPr="00C70923">
        <w:rPr>
          <w:rFonts w:ascii="Times New Roman" w:eastAsia="Times New Roman" w:hAnsi="Times New Roman" w:cs="Times New Roman"/>
          <w:lang w:eastAsia="sl-SI"/>
        </w:rPr>
        <w:t>bronchospazmas</w:t>
      </w:r>
      <w:proofErr w:type="spellEnd"/>
      <w:r w:rsidRPr="00C70923">
        <w:rPr>
          <w:rFonts w:ascii="Times New Roman" w:eastAsia="Times New Roman" w:hAnsi="Times New Roman" w:cs="Times New Roman"/>
          <w:lang w:eastAsia="sl-SI"/>
        </w:rPr>
        <w:t>);</w:t>
      </w:r>
    </w:p>
    <w:p w14:paraId="095B3F31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vėmimas;</w:t>
      </w:r>
    </w:p>
    <w:p w14:paraId="0C93F5C6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lastRenderedPageBreak/>
        <w:t>sustiprėjęs prakaitavimas;</w:t>
      </w:r>
    </w:p>
    <w:p w14:paraId="23485E89" w14:textId="77777777" w:rsidR="00C70923" w:rsidRPr="00C70923" w:rsidRDefault="00C70923" w:rsidP="00C70923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kūno svorio padidėjimas.</w:t>
      </w:r>
    </w:p>
    <w:p w14:paraId="2A5F6AB0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298CAF4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b/>
          <w:bCs/>
          <w:lang w:eastAsia="sl-SI"/>
        </w:rPr>
        <w:t>Reti šalutinio poveikio reiškiniai (gali pasireikšti rečiau kaip 1 iš 1 000 asmenų):</w:t>
      </w:r>
    </w:p>
    <w:p w14:paraId="152C8891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laidumo sutrikimo požymiai elektrokardiogramoje;</w:t>
      </w:r>
    </w:p>
    <w:p w14:paraId="687FD361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nereguliarus širdies ritmas;</w:t>
      </w:r>
    </w:p>
    <w:p w14:paraId="0ADD0CA1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nervingumas;</w:t>
      </w:r>
    </w:p>
    <w:p w14:paraId="5D3A2E8A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nerimas;</w:t>
      </w:r>
    </w:p>
    <w:p w14:paraId="1C184ADD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kepenų funkcijos tyrimų rodmenų pokyčiai;</w:t>
      </w:r>
    </w:p>
    <w:p w14:paraId="6AFCB4E2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plaukų slinkimas;</w:t>
      </w:r>
    </w:p>
    <w:p w14:paraId="7BB42F92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sloga;</w:t>
      </w:r>
    </w:p>
    <w:p w14:paraId="4A91DC6A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akių sausmė ar dirginimas;</w:t>
      </w:r>
    </w:p>
    <w:p w14:paraId="58C1A965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burnos sausmė;</w:t>
      </w:r>
    </w:p>
    <w:p w14:paraId="188C6E32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alerginis ašarojimas ar akių paraudimas;</w:t>
      </w:r>
    </w:p>
    <w:p w14:paraId="5E6C3A38" w14:textId="77777777" w:rsidR="00C70923" w:rsidRPr="00C70923" w:rsidRDefault="00C70923" w:rsidP="00C70923">
      <w:pPr>
        <w:pStyle w:val="Sraopastraipa"/>
        <w:widowControl w:val="0"/>
        <w:numPr>
          <w:ilvl w:val="0"/>
          <w:numId w:val="1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 xml:space="preserve">impotencija (negalėjimas pasiekti erekciją) ar </w:t>
      </w:r>
      <w:proofErr w:type="spellStart"/>
      <w:r w:rsidRPr="00C70923">
        <w:rPr>
          <w:rFonts w:ascii="Times New Roman" w:eastAsia="Times New Roman" w:hAnsi="Times New Roman" w:cs="Times New Roman"/>
          <w:lang w:eastAsia="sl-SI"/>
        </w:rPr>
        <w:t>libido</w:t>
      </w:r>
      <w:proofErr w:type="spellEnd"/>
      <w:r w:rsidRPr="00C70923">
        <w:rPr>
          <w:rFonts w:ascii="Times New Roman" w:eastAsia="Times New Roman" w:hAnsi="Times New Roman" w:cs="Times New Roman"/>
          <w:lang w:eastAsia="sl-SI"/>
        </w:rPr>
        <w:t xml:space="preserve"> (lytinio potraukio) praradimas.</w:t>
      </w:r>
    </w:p>
    <w:p w14:paraId="7902702D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D96558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b/>
          <w:bCs/>
          <w:lang w:eastAsia="sl-SI"/>
        </w:rPr>
        <w:t>Labai reti šalutinio poveikio reiškiniai (gali pasireikšti rečiau kaip 1 iš 10 000 asmenų):</w:t>
      </w:r>
    </w:p>
    <w:p w14:paraId="3B5BD42A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pasunkėja galūnių kraujotakos sutrikimai (sergantiems sunkiomis kraujagyslių ligomis);</w:t>
      </w:r>
    </w:p>
    <w:p w14:paraId="4CE72B0B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sąnarių skausmas;</w:t>
      </w:r>
    </w:p>
    <w:p w14:paraId="5B6B3264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atminties praradimas ar sutrikimas;</w:t>
      </w:r>
    </w:p>
    <w:p w14:paraId="3A7907A9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sutrikusi orientacija;</w:t>
      </w:r>
    </w:p>
    <w:p w14:paraId="5027B65C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haliucinacijos;</w:t>
      </w:r>
    </w:p>
    <w:p w14:paraId="1E8BCAB4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odos reakcijos dėl padidėjusio jautrumo saulės šviesai;</w:t>
      </w:r>
    </w:p>
    <w:p w14:paraId="73EC28B7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žvynelinės (tam tikros odos ligos) pasunkėjimas;</w:t>
      </w:r>
    </w:p>
    <w:p w14:paraId="45E2DFB4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spengimas ausyse ar klausos sutrikimas;</w:t>
      </w:r>
    </w:p>
    <w:p w14:paraId="2BACD389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skonio pojūčio pokytis;</w:t>
      </w:r>
    </w:p>
    <w:p w14:paraId="203BEBC3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kraujo plokštelių kiekio sumažėjimas (</w:t>
      </w:r>
      <w:proofErr w:type="spellStart"/>
      <w:r w:rsidRPr="00C70923">
        <w:rPr>
          <w:rFonts w:ascii="Times New Roman" w:eastAsia="Times New Roman" w:hAnsi="Times New Roman" w:cs="Times New Roman"/>
          <w:lang w:eastAsia="sl-SI"/>
        </w:rPr>
        <w:t>trombocitopenija</w:t>
      </w:r>
      <w:proofErr w:type="spellEnd"/>
      <w:r w:rsidRPr="00C70923">
        <w:rPr>
          <w:rFonts w:ascii="Times New Roman" w:eastAsia="Times New Roman" w:hAnsi="Times New Roman" w:cs="Times New Roman"/>
          <w:lang w:eastAsia="sl-SI"/>
        </w:rPr>
        <w:t>);</w:t>
      </w:r>
    </w:p>
    <w:p w14:paraId="35D06C23" w14:textId="77777777" w:rsidR="00C70923" w:rsidRPr="00C70923" w:rsidRDefault="00C70923" w:rsidP="00C70923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sl-SI"/>
        </w:rPr>
      </w:pPr>
      <w:r w:rsidRPr="00C70923">
        <w:rPr>
          <w:rFonts w:ascii="Times New Roman" w:eastAsia="Times New Roman" w:hAnsi="Times New Roman" w:cs="Times New Roman"/>
          <w:lang w:eastAsia="sl-SI"/>
        </w:rPr>
        <w:t>kepenų uždegimas (hepatitas).</w:t>
      </w:r>
    </w:p>
    <w:p w14:paraId="17D13B7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right="227"/>
        <w:rPr>
          <w:rFonts w:ascii="Times New Roman" w:eastAsia="Calibri" w:hAnsi="Times New Roman" w:cs="Times New Roman"/>
          <w:lang w:eastAsia="lt-LT"/>
        </w:rPr>
      </w:pPr>
    </w:p>
    <w:p w14:paraId="50E2A89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  <w:r w:rsidRPr="00C70923">
        <w:rPr>
          <w:rFonts w:ascii="Times New Roman" w:eastAsia="Times New Roman" w:hAnsi="Times New Roman" w:cs="Times New Roman"/>
          <w:b/>
          <w:snapToGrid w:val="0"/>
        </w:rPr>
        <w:t>Pranešimas apie šalutinį poveikį</w:t>
      </w:r>
    </w:p>
    <w:p w14:paraId="226A34F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right="-449"/>
        <w:rPr>
          <w:rFonts w:ascii="Times New Roman" w:eastAsia="Times New Roman" w:hAnsi="Times New Roman" w:cs="Times New Roman"/>
          <w:snapToGrid w:val="0"/>
        </w:rPr>
      </w:pPr>
      <w:r w:rsidRPr="00C70923">
        <w:rPr>
          <w:rFonts w:ascii="Times New Roman" w:eastAsia="Times New Roman" w:hAnsi="Times New Roman" w:cs="Times New Roman"/>
          <w:snapToGrid w:val="0"/>
        </w:rPr>
        <w:t xml:space="preserve">Jeigu pasireiškė šalutinis poveikis, įskaitant šiame lapelyje nenurodytą, pasakykite gydytojui arba vaistininkui. </w:t>
      </w:r>
      <w:bookmarkStart w:id="8" w:name="_Hlk98758632"/>
      <w:r w:rsidRPr="00C70923">
        <w:rPr>
          <w:rFonts w:ascii="Times New Roman" w:eastAsia="Times New Roman" w:hAnsi="Times New Roman" w:cs="Times New Roman"/>
          <w:color w:val="000000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5" w:history="1">
        <w:r w:rsidRPr="00C70923">
          <w:rPr>
            <w:rStyle w:val="Hipersaitas"/>
            <w:rFonts w:eastAsia="Times New Roman" w:cs="Times New Roman"/>
            <w:sz w:val="22"/>
            <w:szCs w:val="22"/>
            <w:lang w:val="lt-LT"/>
          </w:rPr>
          <w:t>https://vvkt.lrv.lt/lt/</w:t>
        </w:r>
      </w:hyperlink>
      <w:r w:rsidRPr="00C70923">
        <w:rPr>
          <w:rFonts w:ascii="Times New Roman" w:eastAsia="Times New Roman" w:hAnsi="Times New Roman" w:cs="Times New Roman"/>
          <w:color w:val="000000"/>
        </w:rPr>
        <w:t xml:space="preserve"> nurodytais būdais arba paskambinti nemokamu telefonu +370 800 73 568.</w:t>
      </w:r>
      <w:bookmarkEnd w:id="8"/>
      <w:r w:rsidRPr="00C70923">
        <w:rPr>
          <w:rFonts w:ascii="Times New Roman" w:eastAsia="Times New Roman" w:hAnsi="Times New Roman" w:cs="Times New Roman"/>
          <w:snapToGrid w:val="0"/>
        </w:rPr>
        <w:t xml:space="preserve"> Pranešdami apie šalutinį poveikį galite mums padėti gauti daugiau informacijos apie šio vaisto saugumą.</w:t>
      </w:r>
    </w:p>
    <w:p w14:paraId="5F7FDE72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785A40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6CF1F6CE" w14:textId="77777777" w:rsidR="00C70923" w:rsidRPr="00C70923" w:rsidRDefault="00C70923" w:rsidP="00C70923">
      <w:pPr>
        <w:widowControl w:val="0"/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eastAsia="lt-LT"/>
        </w:rPr>
      </w:pPr>
      <w:bookmarkStart w:id="9" w:name="_Toc129243268"/>
      <w:bookmarkStart w:id="10" w:name="_Toc129243143"/>
      <w:r w:rsidRPr="00C70923">
        <w:rPr>
          <w:rFonts w:ascii="Times New Roman" w:eastAsia="Calibri" w:hAnsi="Times New Roman" w:cs="Times New Roman"/>
          <w:b/>
          <w:lang w:eastAsia="lt-LT"/>
        </w:rPr>
        <w:t>5.</w:t>
      </w:r>
      <w:r w:rsidRPr="00C70923">
        <w:rPr>
          <w:rFonts w:ascii="Times New Roman" w:eastAsia="Calibri" w:hAnsi="Times New Roman" w:cs="Times New Roman"/>
          <w:b/>
          <w:lang w:eastAsia="lt-LT"/>
        </w:rPr>
        <w:tab/>
        <w:t xml:space="preserve">Kaip laikyti </w:t>
      </w: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bookmarkEnd w:id="9"/>
      <w:bookmarkEnd w:id="10"/>
      <w:proofErr w:type="spellEnd"/>
    </w:p>
    <w:p w14:paraId="1996365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2B0A5F7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Šį vaistą laikykite vaikams nepastebimoje ir nepasiekiamoje vietoje.</w:t>
      </w:r>
    </w:p>
    <w:p w14:paraId="3DDBCB3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40F2E8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Ant lizdinės plokštelės ir ant kartono dėžutės po ‚,</w:t>
      </w:r>
      <w:r w:rsidRPr="00C70923">
        <w:rPr>
          <w:rFonts w:ascii="Times New Roman" w:eastAsia="Calibri" w:hAnsi="Times New Roman" w:cs="Times New Roman"/>
          <w:caps/>
          <w:color w:val="000000"/>
          <w:lang w:eastAsia="lt-LT"/>
        </w:rPr>
        <w:t>Exp“</w:t>
      </w:r>
      <w:r w:rsidRPr="00C70923">
        <w:rPr>
          <w:rFonts w:ascii="Times New Roman" w:eastAsia="Calibri" w:hAnsi="Times New Roman" w:cs="Times New Roman"/>
          <w:lang w:eastAsia="lt-LT"/>
        </w:rPr>
        <w:t xml:space="preserve"> nurodytam tinkamumo laikui pasibaigus, šio vaisto vartoti negalima. Vaistas tinkamas vartoti iki paskutinės nurodyto mėnesio dienos.</w:t>
      </w:r>
    </w:p>
    <w:p w14:paraId="4578EA6D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color w:val="000000"/>
          <w:lang w:eastAsia="lt-LT"/>
        </w:rPr>
      </w:pPr>
    </w:p>
    <w:p w14:paraId="4AC63B5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C70923">
        <w:rPr>
          <w:rFonts w:ascii="Times New Roman" w:eastAsia="Times New Roman" w:hAnsi="Times New Roman" w:cs="Times New Roman"/>
          <w:snapToGrid w:val="0"/>
        </w:rPr>
        <w:t>Šiam vaistui specialių laikymo sąlygų nereikia.</w:t>
      </w:r>
    </w:p>
    <w:p w14:paraId="31DED64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CCFA76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Vaistų negalima išmesti į kanalizaciją arba su buitinėmis atliekomis. Kaip išmesti nereikalingus vaistus, klauskite vaistininko. Šios priemonės padės apsaugoti aplinką.</w:t>
      </w:r>
    </w:p>
    <w:p w14:paraId="55550D8D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AF5C7D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02007959" w14:textId="77777777" w:rsidR="00C70923" w:rsidRPr="00C70923" w:rsidRDefault="00C70923" w:rsidP="00C70923">
      <w:pPr>
        <w:keepNext/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eastAsia="lt-LT"/>
        </w:rPr>
      </w:pPr>
      <w:bookmarkStart w:id="11" w:name="_Toc129243269"/>
      <w:bookmarkStart w:id="12" w:name="_Toc129243144"/>
      <w:r w:rsidRPr="00C70923">
        <w:rPr>
          <w:rFonts w:ascii="Times New Roman" w:eastAsia="Calibri" w:hAnsi="Times New Roman" w:cs="Times New Roman"/>
          <w:b/>
          <w:lang w:eastAsia="lt-LT"/>
        </w:rPr>
        <w:t>6.</w:t>
      </w:r>
      <w:r w:rsidRPr="00C70923">
        <w:rPr>
          <w:rFonts w:ascii="Times New Roman" w:eastAsia="Calibri" w:hAnsi="Times New Roman" w:cs="Times New Roman"/>
          <w:b/>
          <w:lang w:eastAsia="lt-LT"/>
        </w:rPr>
        <w:tab/>
        <w:t>Pakuotės turinys ir kita informacija</w:t>
      </w:r>
      <w:bookmarkEnd w:id="11"/>
      <w:bookmarkEnd w:id="12"/>
    </w:p>
    <w:p w14:paraId="673BF092" w14:textId="77777777" w:rsidR="00C70923" w:rsidRPr="00C70923" w:rsidRDefault="00C70923" w:rsidP="00C70923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0188F573" w14:textId="77777777" w:rsidR="00C70923" w:rsidRPr="00C70923" w:rsidRDefault="00C70923" w:rsidP="00C70923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  <w:lang w:eastAsia="lt-LT"/>
        </w:rPr>
        <w:t xml:space="preserve"> sudėtis</w:t>
      </w:r>
    </w:p>
    <w:p w14:paraId="7E3CF02D" w14:textId="77777777" w:rsidR="00C70923" w:rsidRPr="00C70923" w:rsidRDefault="00C70923" w:rsidP="00C70923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Veiklioji medžiaga yra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sukcinatas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.</w:t>
      </w:r>
    </w:p>
    <w:p w14:paraId="02D6DF6B" w14:textId="77777777" w:rsidR="00C70923" w:rsidRPr="00C70923" w:rsidRDefault="00C70923" w:rsidP="00C70923">
      <w:pPr>
        <w:widowControl w:val="0"/>
        <w:spacing w:after="0" w:line="240" w:lineRule="auto"/>
        <w:ind w:left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Kiekvienoje pailginto atpalaidavimo tabletėje yra 23,75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, atitinkančio 25 mg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lang w:eastAsia="lt-LT"/>
        </w:rPr>
        <w:t>.</w:t>
      </w:r>
    </w:p>
    <w:p w14:paraId="0845CEA3" w14:textId="77777777" w:rsidR="00C70923" w:rsidRPr="00C70923" w:rsidRDefault="00C70923" w:rsidP="00C70923">
      <w:pPr>
        <w:widowControl w:val="0"/>
        <w:spacing w:after="0" w:line="240" w:lineRule="auto"/>
        <w:ind w:left="567"/>
        <w:rPr>
          <w:rFonts w:ascii="Times New Roman" w:eastAsia="Calibri" w:hAnsi="Times New Roman" w:cs="Times New Roman"/>
          <w:highlight w:val="lightGray"/>
          <w:lang w:eastAsia="lt-LT"/>
        </w:rPr>
      </w:pPr>
      <w:r w:rsidRPr="00C70923">
        <w:rPr>
          <w:rFonts w:ascii="Times New Roman" w:eastAsia="Calibri" w:hAnsi="Times New Roman" w:cs="Times New Roman"/>
          <w:highlight w:val="lightGray"/>
          <w:lang w:eastAsia="lt-LT"/>
        </w:rPr>
        <w:lastRenderedPageBreak/>
        <w:t xml:space="preserve">Kiekvienoje pailginto atpalaidavimo tabletėje yra 47,5 mg </w:t>
      </w:r>
      <w:proofErr w:type="spellStart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 xml:space="preserve">, atitinkančio 50 mg </w:t>
      </w:r>
      <w:proofErr w:type="spellStart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>.</w:t>
      </w:r>
    </w:p>
    <w:p w14:paraId="7914F09F" w14:textId="77777777" w:rsidR="00C70923" w:rsidRPr="00C70923" w:rsidRDefault="00C70923" w:rsidP="00C70923">
      <w:pPr>
        <w:widowControl w:val="0"/>
        <w:spacing w:after="0" w:line="240" w:lineRule="auto"/>
        <w:ind w:left="567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 xml:space="preserve">Kiekvienoje pailginto atpalaidavimo tabletėje yra 95 mg </w:t>
      </w:r>
      <w:proofErr w:type="spellStart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>sukcinato</w:t>
      </w:r>
      <w:proofErr w:type="spellEnd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 xml:space="preserve">, atitinkančio 100 mg </w:t>
      </w:r>
      <w:proofErr w:type="spellStart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>metoprololio</w:t>
      </w:r>
      <w:proofErr w:type="spellEnd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 xml:space="preserve"> </w:t>
      </w:r>
      <w:proofErr w:type="spellStart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>tartrato</w:t>
      </w:r>
      <w:proofErr w:type="spellEnd"/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>.</w:t>
      </w:r>
    </w:p>
    <w:p w14:paraId="335FF771" w14:textId="77777777" w:rsidR="00C70923" w:rsidRPr="00C70923" w:rsidRDefault="00C70923" w:rsidP="00C70923">
      <w:pPr>
        <w:pStyle w:val="Sraopastraipa"/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u w:val="single"/>
        </w:rPr>
      </w:pPr>
      <w:r w:rsidRPr="00C70923">
        <w:rPr>
          <w:rFonts w:ascii="Times New Roman" w:hAnsi="Times New Roman" w:cs="Times New Roman"/>
        </w:rPr>
        <w:t xml:space="preserve">Pagalbinės medžiagos yra </w:t>
      </w:r>
      <w:proofErr w:type="spellStart"/>
      <w:r w:rsidRPr="00C70923">
        <w:rPr>
          <w:rFonts w:ascii="Times New Roman" w:hAnsi="Times New Roman" w:cs="Times New Roman"/>
        </w:rPr>
        <w:t>mikrokristalinė</w:t>
      </w:r>
      <w:proofErr w:type="spellEnd"/>
      <w:r w:rsidRPr="00C70923">
        <w:rPr>
          <w:rFonts w:ascii="Times New Roman" w:hAnsi="Times New Roman" w:cs="Times New Roman"/>
        </w:rPr>
        <w:t xml:space="preserve"> celiuliozė, </w:t>
      </w:r>
      <w:proofErr w:type="spellStart"/>
      <w:r w:rsidRPr="00C70923">
        <w:rPr>
          <w:rFonts w:ascii="Times New Roman" w:hAnsi="Times New Roman" w:cs="Times New Roman"/>
        </w:rPr>
        <w:t>etilceliuliozė</w:t>
      </w:r>
      <w:proofErr w:type="spellEnd"/>
      <w:r w:rsidRPr="00C70923">
        <w:rPr>
          <w:rFonts w:ascii="Times New Roman" w:hAnsi="Times New Roman" w:cs="Times New Roman"/>
        </w:rPr>
        <w:t xml:space="preserve">, </w:t>
      </w:r>
      <w:proofErr w:type="spellStart"/>
      <w:r w:rsidRPr="00C70923">
        <w:rPr>
          <w:rFonts w:ascii="Times New Roman" w:hAnsi="Times New Roman" w:cs="Times New Roman"/>
        </w:rPr>
        <w:t>dibutilo</w:t>
      </w:r>
      <w:proofErr w:type="spellEnd"/>
      <w:r w:rsidRPr="00C70923">
        <w:rPr>
          <w:rFonts w:ascii="Times New Roman" w:hAnsi="Times New Roman" w:cs="Times New Roman"/>
        </w:rPr>
        <w:t xml:space="preserve"> </w:t>
      </w:r>
      <w:proofErr w:type="spellStart"/>
      <w:r w:rsidRPr="00C70923">
        <w:rPr>
          <w:rFonts w:ascii="Times New Roman" w:hAnsi="Times New Roman" w:cs="Times New Roman"/>
        </w:rPr>
        <w:t>sebakatas</w:t>
      </w:r>
      <w:proofErr w:type="spellEnd"/>
      <w:r w:rsidRPr="00C70923">
        <w:rPr>
          <w:rFonts w:ascii="Times New Roman" w:hAnsi="Times New Roman" w:cs="Times New Roman"/>
        </w:rPr>
        <w:t xml:space="preserve">, </w:t>
      </w:r>
      <w:proofErr w:type="spellStart"/>
      <w:r w:rsidRPr="00C70923">
        <w:rPr>
          <w:rFonts w:ascii="Times New Roman" w:hAnsi="Times New Roman" w:cs="Times New Roman"/>
        </w:rPr>
        <w:t>hipromeliozė</w:t>
      </w:r>
      <w:proofErr w:type="spellEnd"/>
      <w:r w:rsidRPr="00C70923">
        <w:rPr>
          <w:rFonts w:ascii="Times New Roman" w:hAnsi="Times New Roman" w:cs="Times New Roman"/>
        </w:rPr>
        <w:t xml:space="preserve">, </w:t>
      </w:r>
      <w:proofErr w:type="spellStart"/>
      <w:r w:rsidRPr="00C70923">
        <w:rPr>
          <w:rFonts w:ascii="Times New Roman" w:hAnsi="Times New Roman" w:cs="Times New Roman"/>
        </w:rPr>
        <w:t>t</w:t>
      </w:r>
      <w:r w:rsidRPr="00C70923">
        <w:rPr>
          <w:rFonts w:ascii="Times New Roman" w:hAnsi="Times New Roman" w:cs="Times New Roman"/>
          <w:color w:val="000000"/>
        </w:rPr>
        <w:t>ributilo</w:t>
      </w:r>
      <w:proofErr w:type="spellEnd"/>
      <w:r w:rsidRPr="00C7092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70923">
        <w:rPr>
          <w:rFonts w:ascii="Times New Roman" w:hAnsi="Times New Roman" w:cs="Times New Roman"/>
          <w:color w:val="000000"/>
        </w:rPr>
        <w:t>acetilcitratas</w:t>
      </w:r>
      <w:proofErr w:type="spellEnd"/>
      <w:r w:rsidRPr="00C70923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C70923">
        <w:rPr>
          <w:rFonts w:ascii="Times New Roman" w:hAnsi="Times New Roman" w:cs="Times New Roman"/>
          <w:color w:val="000000"/>
        </w:rPr>
        <w:t>polivinilacetatas</w:t>
      </w:r>
      <w:proofErr w:type="spellEnd"/>
      <w:r w:rsidRPr="00C70923">
        <w:rPr>
          <w:rFonts w:ascii="Times New Roman" w:hAnsi="Times New Roman" w:cs="Times New Roman"/>
          <w:color w:val="000000"/>
        </w:rPr>
        <w:t>, t</w:t>
      </w:r>
      <w:r w:rsidRPr="00C70923">
        <w:rPr>
          <w:rFonts w:ascii="Times New Roman" w:hAnsi="Times New Roman" w:cs="Times New Roman"/>
        </w:rPr>
        <w:t xml:space="preserve">alkas, </w:t>
      </w:r>
      <w:proofErr w:type="spellStart"/>
      <w:r w:rsidRPr="00C70923">
        <w:rPr>
          <w:rFonts w:ascii="Times New Roman" w:hAnsi="Times New Roman" w:cs="Times New Roman"/>
        </w:rPr>
        <w:t>makrogolis</w:t>
      </w:r>
      <w:proofErr w:type="spellEnd"/>
      <w:r w:rsidRPr="00C70923">
        <w:rPr>
          <w:rFonts w:ascii="Times New Roman" w:hAnsi="Times New Roman" w:cs="Times New Roman"/>
        </w:rPr>
        <w:t xml:space="preserve">, </w:t>
      </w:r>
      <w:proofErr w:type="spellStart"/>
      <w:r w:rsidRPr="00C70923">
        <w:rPr>
          <w:rFonts w:ascii="Times New Roman" w:hAnsi="Times New Roman" w:cs="Times New Roman"/>
        </w:rPr>
        <w:t>povidonas</w:t>
      </w:r>
      <w:proofErr w:type="spellEnd"/>
      <w:r w:rsidRPr="00C70923">
        <w:rPr>
          <w:rFonts w:ascii="Times New Roman" w:hAnsi="Times New Roman" w:cs="Times New Roman"/>
        </w:rPr>
        <w:t xml:space="preserve">, laktozė </w:t>
      </w:r>
      <w:proofErr w:type="spellStart"/>
      <w:r w:rsidRPr="00C70923">
        <w:rPr>
          <w:rFonts w:ascii="Times New Roman" w:hAnsi="Times New Roman" w:cs="Times New Roman"/>
        </w:rPr>
        <w:t>monohidratas</w:t>
      </w:r>
      <w:proofErr w:type="spellEnd"/>
      <w:r w:rsidRPr="00C70923">
        <w:rPr>
          <w:rFonts w:ascii="Times New Roman" w:hAnsi="Times New Roman" w:cs="Times New Roman"/>
        </w:rPr>
        <w:t xml:space="preserve">, bevandenis koloidinis silicio dioksidas, magnio </w:t>
      </w:r>
      <w:proofErr w:type="spellStart"/>
      <w:r w:rsidRPr="00C70923">
        <w:rPr>
          <w:rFonts w:ascii="Times New Roman" w:hAnsi="Times New Roman" w:cs="Times New Roman"/>
        </w:rPr>
        <w:t>stearatas</w:t>
      </w:r>
      <w:proofErr w:type="spellEnd"/>
      <w:r w:rsidRPr="00C70923">
        <w:rPr>
          <w:rFonts w:ascii="Times New Roman" w:hAnsi="Times New Roman" w:cs="Times New Roman"/>
        </w:rPr>
        <w:t>, titano dioksidas (E 171).</w:t>
      </w:r>
    </w:p>
    <w:p w14:paraId="03A4862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ind w:left="567"/>
        <w:rPr>
          <w:rFonts w:ascii="Times New Roman" w:eastAsia="Calibri" w:hAnsi="Times New Roman" w:cs="Times New Roman"/>
          <w:lang w:eastAsia="lt-LT"/>
        </w:rPr>
      </w:pPr>
    </w:p>
    <w:p w14:paraId="59BACF9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proofErr w:type="spellStart"/>
      <w:r w:rsidRPr="00C70923">
        <w:rPr>
          <w:rFonts w:ascii="Times New Roman" w:eastAsia="Calibri" w:hAnsi="Times New Roman" w:cs="Times New Roman"/>
          <w:b/>
          <w:lang w:eastAsia="lt-LT"/>
        </w:rPr>
        <w:t>Blobet</w:t>
      </w:r>
      <w:proofErr w:type="spellEnd"/>
      <w:r w:rsidRPr="00C70923">
        <w:rPr>
          <w:rFonts w:ascii="Times New Roman" w:eastAsia="Calibri" w:hAnsi="Times New Roman" w:cs="Times New Roman"/>
          <w:b/>
          <w:lang w:eastAsia="lt-LT"/>
        </w:rPr>
        <w:t xml:space="preserve"> išvaizda ir kiekis pakuotėje</w:t>
      </w:r>
    </w:p>
    <w:p w14:paraId="6EBBD79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proofErr w:type="spellStart"/>
      <w:r w:rsidRPr="00C70923">
        <w:rPr>
          <w:rFonts w:ascii="Times New Roman" w:eastAsia="Calibri" w:hAnsi="Times New Roman" w:cs="Times New Roman"/>
        </w:rPr>
        <w:t>Blobet</w:t>
      </w:r>
      <w:proofErr w:type="spellEnd"/>
      <w:r w:rsidRPr="00C70923">
        <w:rPr>
          <w:rFonts w:ascii="Times New Roman" w:eastAsia="Calibri" w:hAnsi="Times New Roman" w:cs="Times New Roman"/>
        </w:rPr>
        <w:t xml:space="preserve"> 23,75</w:t>
      </w:r>
      <w:r w:rsidRPr="00C70923">
        <w:rPr>
          <w:rFonts w:ascii="Times New Roman" w:eastAsia="Calibri" w:hAnsi="Times New Roman" w:cs="Times New Roman"/>
          <w:lang w:eastAsia="lt-LT"/>
        </w:rPr>
        <w:t> mg</w:t>
      </w:r>
      <w:r w:rsidRPr="00C70923">
        <w:rPr>
          <w:rFonts w:ascii="Times New Roman" w:eastAsia="Calibri" w:hAnsi="Times New Roman" w:cs="Times New Roman"/>
        </w:rPr>
        <w:t xml:space="preserve"> </w:t>
      </w:r>
      <w:r w:rsidRPr="00C70923">
        <w:rPr>
          <w:rFonts w:ascii="Times New Roman" w:eastAsia="Calibri" w:hAnsi="Times New Roman" w:cs="Times New Roman"/>
          <w:lang w:eastAsia="lt-LT"/>
        </w:rPr>
        <w:t xml:space="preserve">tabletė yra balta arba beveik balta, ovalo formos, abipus išgaubta, apytiksliai 8,5 x 4,5 mm, plėvele dengta tabletė, vienoje pusėje yra laužimo vagelė. Vienoje vagelės pusėje yra įspausta „C“, kitoje – „69“. </w:t>
      </w:r>
      <w:r w:rsidRPr="00C70923">
        <w:rPr>
          <w:rFonts w:ascii="Times New Roman" w:eastAsia="Times New Roman" w:hAnsi="Times New Roman" w:cs="Times New Roman"/>
          <w:snapToGrid w:val="0"/>
        </w:rPr>
        <w:t>Tabletę galima padalyti į lygias dozes.</w:t>
      </w:r>
    </w:p>
    <w:p w14:paraId="374B5523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600DF50E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proofErr w:type="spellStart"/>
      <w:r w:rsidRPr="00C70923">
        <w:rPr>
          <w:rFonts w:ascii="Times New Roman" w:eastAsia="Calibri" w:hAnsi="Times New Roman" w:cs="Times New Roman"/>
          <w:highlight w:val="lightGray"/>
        </w:rPr>
        <w:t>Blobet</w:t>
      </w:r>
      <w:proofErr w:type="spellEnd"/>
      <w:r w:rsidRPr="00C70923">
        <w:rPr>
          <w:rFonts w:ascii="Times New Roman" w:eastAsia="Calibri" w:hAnsi="Times New Roman" w:cs="Times New Roman"/>
          <w:highlight w:val="lightGray"/>
        </w:rPr>
        <w:t xml:space="preserve"> 47,5 mg </w:t>
      </w:r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 xml:space="preserve">tabletė yra balta arba beveik balta, ovalo formos, abipus išgaubta, apytiksliai 12,0 x 6,0 mm, plėvele dengta tabletė, vienoje pusėje yra laužimo vagelė. Vienoje vagelės pusėje yra įspausta „C“, kitoje – „68“. </w:t>
      </w:r>
      <w:r w:rsidRPr="00C70923">
        <w:rPr>
          <w:rFonts w:ascii="Times New Roman" w:eastAsia="Times New Roman" w:hAnsi="Times New Roman" w:cs="Times New Roman"/>
          <w:snapToGrid w:val="0"/>
          <w:highlight w:val="lightGray"/>
        </w:rPr>
        <w:t>Vagelė skirta tik tabletei perlaužti, kad būtų lengviau nuryti, bet ne jai padalyti į lygias dozes.</w:t>
      </w:r>
    </w:p>
    <w:p w14:paraId="127F160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07C81ED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proofErr w:type="spellStart"/>
      <w:r w:rsidRPr="00C70923">
        <w:rPr>
          <w:rFonts w:ascii="Times New Roman" w:eastAsia="Calibri" w:hAnsi="Times New Roman" w:cs="Times New Roman"/>
          <w:highlight w:val="lightGray"/>
        </w:rPr>
        <w:t>Blobet</w:t>
      </w:r>
      <w:proofErr w:type="spellEnd"/>
      <w:r w:rsidRPr="00C70923">
        <w:rPr>
          <w:rFonts w:ascii="Times New Roman" w:eastAsia="Calibri" w:hAnsi="Times New Roman" w:cs="Times New Roman"/>
          <w:highlight w:val="lightGray"/>
        </w:rPr>
        <w:t xml:space="preserve"> 95 mg </w:t>
      </w:r>
      <w:r w:rsidRPr="00C70923">
        <w:rPr>
          <w:rFonts w:ascii="Times New Roman" w:eastAsia="Calibri" w:hAnsi="Times New Roman" w:cs="Times New Roman"/>
          <w:highlight w:val="lightGray"/>
          <w:lang w:eastAsia="lt-LT"/>
        </w:rPr>
        <w:t xml:space="preserve">tabletė yra balta arba beveik balta, ovalo formos, abipus išgaubta, apytiksliai 14,0 x 8,0 mm, plėvele dengta tabletė, vienoje pusėje yra laužimo vagelė. Vienoje vagelės pusėje yra įspausta „C“, kitoje – „67“. </w:t>
      </w:r>
      <w:r w:rsidRPr="00C70923">
        <w:rPr>
          <w:rFonts w:ascii="Times New Roman" w:eastAsia="Times New Roman" w:hAnsi="Times New Roman" w:cs="Times New Roman"/>
          <w:snapToGrid w:val="0"/>
          <w:highlight w:val="lightGray"/>
        </w:rPr>
        <w:t>Vagelė skirta tik tabletei perlaužti, kad būtų lengviau nuryti, bet ne jai padalyti į lygias dozes.</w:t>
      </w:r>
    </w:p>
    <w:p w14:paraId="33913F3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u w:val="single"/>
          <w:lang w:eastAsia="lt-LT"/>
        </w:rPr>
      </w:pPr>
    </w:p>
    <w:p w14:paraId="6632B37C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PVDC / PVC</w:t>
      </w:r>
      <w:r w:rsidRPr="00C70923">
        <w:rPr>
          <w:rFonts w:ascii="Times New Roman" w:eastAsia="Calibri" w:hAnsi="Times New Roman" w:cs="Times New Roman"/>
          <w:lang w:eastAsia="lt-LT"/>
        </w:rPr>
        <w:noBreakHyphen/>
        <w:t>Al lizdinės plokštelės.</w:t>
      </w:r>
    </w:p>
    <w:p w14:paraId="421C9714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Pakuotės dydis: 30, 50, 100 arba 250 pailginto atpalaidavimo tablečių.</w:t>
      </w:r>
    </w:p>
    <w:p w14:paraId="5DDCBDD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>Gali būti tiekiamos ne visų dydžių pakuotės.</w:t>
      </w:r>
    </w:p>
    <w:p w14:paraId="786BF0AA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FFCAADC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lang w:eastAsia="lt-LT"/>
        </w:rPr>
        <w:t>Registruotojas ir gamintojas</w:t>
      </w:r>
    </w:p>
    <w:p w14:paraId="7B33928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napToGrid w:val="0"/>
        </w:rPr>
      </w:pPr>
      <w:r w:rsidRPr="00C70923">
        <w:rPr>
          <w:rFonts w:ascii="Times New Roman" w:eastAsia="Times New Roman" w:hAnsi="Times New Roman" w:cs="Times New Roman"/>
          <w:i/>
          <w:snapToGrid w:val="0"/>
        </w:rPr>
        <w:t>Registruotojas</w:t>
      </w:r>
    </w:p>
    <w:p w14:paraId="048A7396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napToGrid w:val="0"/>
        </w:rPr>
      </w:pPr>
      <w:bookmarkStart w:id="13" w:name="_Hlk157503654"/>
      <w:proofErr w:type="spellStart"/>
      <w:r w:rsidRPr="00C70923">
        <w:rPr>
          <w:rFonts w:ascii="Times New Roman" w:eastAsia="Times New Roman" w:hAnsi="Times New Roman" w:cs="Times New Roman"/>
          <w:bCs/>
          <w:snapToGrid w:val="0"/>
        </w:rPr>
        <w:t>Zentiva</w:t>
      </w:r>
      <w:proofErr w:type="spellEnd"/>
      <w:r w:rsidRPr="00C70923">
        <w:rPr>
          <w:rFonts w:ascii="Times New Roman" w:eastAsia="Times New Roman" w:hAnsi="Times New Roman" w:cs="Times New Roman"/>
          <w:bCs/>
          <w:snapToGrid w:val="0"/>
        </w:rPr>
        <w:t xml:space="preserve">, </w:t>
      </w:r>
      <w:proofErr w:type="spellStart"/>
      <w:r w:rsidRPr="00C70923">
        <w:rPr>
          <w:rFonts w:ascii="Times New Roman" w:eastAsia="Times New Roman" w:hAnsi="Times New Roman" w:cs="Times New Roman"/>
          <w:bCs/>
          <w:snapToGrid w:val="0"/>
        </w:rPr>
        <w:t>k.s</w:t>
      </w:r>
      <w:proofErr w:type="spellEnd"/>
      <w:r w:rsidRPr="00C70923">
        <w:rPr>
          <w:rFonts w:ascii="Times New Roman" w:eastAsia="Times New Roman" w:hAnsi="Times New Roman" w:cs="Times New Roman"/>
          <w:bCs/>
          <w:snapToGrid w:val="0"/>
        </w:rPr>
        <w:t>.</w:t>
      </w:r>
    </w:p>
    <w:p w14:paraId="4E80E9E1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napToGrid w:val="0"/>
        </w:rPr>
      </w:pPr>
      <w:r w:rsidRPr="00C70923">
        <w:rPr>
          <w:rFonts w:ascii="Times New Roman" w:eastAsia="Times New Roman" w:hAnsi="Times New Roman" w:cs="Times New Roman"/>
          <w:bCs/>
          <w:snapToGrid w:val="0"/>
        </w:rPr>
        <w:t xml:space="preserve">U </w:t>
      </w:r>
      <w:proofErr w:type="spellStart"/>
      <w:r w:rsidRPr="00C70923">
        <w:rPr>
          <w:rFonts w:ascii="Times New Roman" w:eastAsia="Times New Roman" w:hAnsi="Times New Roman" w:cs="Times New Roman"/>
          <w:bCs/>
          <w:snapToGrid w:val="0"/>
        </w:rPr>
        <w:t>kabelovny</w:t>
      </w:r>
      <w:proofErr w:type="spellEnd"/>
      <w:r w:rsidRPr="00C70923">
        <w:rPr>
          <w:rFonts w:ascii="Times New Roman" w:eastAsia="Times New Roman" w:hAnsi="Times New Roman" w:cs="Times New Roman"/>
          <w:bCs/>
          <w:snapToGrid w:val="0"/>
        </w:rPr>
        <w:t xml:space="preserve"> 130</w:t>
      </w:r>
    </w:p>
    <w:p w14:paraId="429932E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napToGrid w:val="0"/>
        </w:rPr>
      </w:pPr>
      <w:proofErr w:type="spellStart"/>
      <w:r w:rsidRPr="00C70923">
        <w:rPr>
          <w:rFonts w:ascii="Times New Roman" w:eastAsia="Times New Roman" w:hAnsi="Times New Roman" w:cs="Times New Roman"/>
          <w:bCs/>
          <w:snapToGrid w:val="0"/>
        </w:rPr>
        <w:t>Dolní</w:t>
      </w:r>
      <w:proofErr w:type="spellEnd"/>
      <w:r w:rsidRPr="00C70923">
        <w:rPr>
          <w:rFonts w:ascii="Times New Roman" w:eastAsia="Times New Roman" w:hAnsi="Times New Roman" w:cs="Times New Roman"/>
          <w:bCs/>
          <w:snapToGrid w:val="0"/>
        </w:rPr>
        <w:t xml:space="preserve"> </w:t>
      </w:r>
      <w:proofErr w:type="spellStart"/>
      <w:r w:rsidRPr="00C70923">
        <w:rPr>
          <w:rFonts w:ascii="Times New Roman" w:eastAsia="Times New Roman" w:hAnsi="Times New Roman" w:cs="Times New Roman"/>
          <w:bCs/>
          <w:snapToGrid w:val="0"/>
        </w:rPr>
        <w:t>Měcholupy</w:t>
      </w:r>
      <w:proofErr w:type="spellEnd"/>
    </w:p>
    <w:p w14:paraId="0A42C3C7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napToGrid w:val="0"/>
        </w:rPr>
      </w:pPr>
      <w:r w:rsidRPr="00C70923">
        <w:rPr>
          <w:rFonts w:ascii="Times New Roman" w:eastAsia="Times New Roman" w:hAnsi="Times New Roman" w:cs="Times New Roman"/>
          <w:bCs/>
          <w:snapToGrid w:val="0"/>
        </w:rPr>
        <w:t>102 37 Praha 10</w:t>
      </w:r>
    </w:p>
    <w:p w14:paraId="3E5D666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napToGrid w:val="0"/>
        </w:rPr>
      </w:pPr>
      <w:r w:rsidRPr="00C70923">
        <w:rPr>
          <w:rFonts w:ascii="Times New Roman" w:eastAsia="Times New Roman" w:hAnsi="Times New Roman" w:cs="Times New Roman"/>
          <w:bCs/>
          <w:snapToGrid w:val="0"/>
        </w:rPr>
        <w:t>Čekija</w:t>
      </w:r>
      <w:bookmarkEnd w:id="13"/>
    </w:p>
    <w:p w14:paraId="202F928F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napToGrid w:val="0"/>
        </w:rPr>
      </w:pPr>
    </w:p>
    <w:p w14:paraId="5C163072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i/>
          <w:snapToGrid w:val="0"/>
        </w:rPr>
      </w:pPr>
      <w:r w:rsidRPr="00C70923">
        <w:rPr>
          <w:rFonts w:ascii="Times New Roman" w:eastAsia="Times New Roman" w:hAnsi="Times New Roman" w:cs="Times New Roman"/>
          <w:bCs/>
          <w:i/>
          <w:snapToGrid w:val="0"/>
        </w:rPr>
        <w:t>Gamintojas</w:t>
      </w:r>
    </w:p>
    <w:p w14:paraId="5A4D5D9A" w14:textId="77777777" w:rsidR="00C70923" w:rsidRPr="00C70923" w:rsidRDefault="00C70923" w:rsidP="00C709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pt-PT"/>
        </w:rPr>
      </w:pPr>
      <w:r w:rsidRPr="00C70923">
        <w:rPr>
          <w:rFonts w:ascii="Times New Roman" w:hAnsi="Times New Roman" w:cs="Times New Roman"/>
          <w:lang w:val="pt-PT"/>
        </w:rPr>
        <w:t>PharmaS d.o.o.</w:t>
      </w:r>
    </w:p>
    <w:p w14:paraId="650CD521" w14:textId="77777777" w:rsidR="00C70923" w:rsidRPr="00C70923" w:rsidRDefault="00C70923" w:rsidP="00C709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pt-PT"/>
        </w:rPr>
      </w:pPr>
      <w:r w:rsidRPr="00C70923">
        <w:rPr>
          <w:rFonts w:ascii="Times New Roman" w:hAnsi="Times New Roman" w:cs="Times New Roman"/>
          <w:lang w:val="pt-PT"/>
        </w:rPr>
        <w:t>Industrijska cesta 5</w:t>
      </w:r>
    </w:p>
    <w:p w14:paraId="38593A51" w14:textId="77777777" w:rsidR="00C70923" w:rsidRPr="00C70923" w:rsidRDefault="00C70923" w:rsidP="00C709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pt-PT"/>
        </w:rPr>
      </w:pPr>
      <w:r w:rsidRPr="00C70923">
        <w:rPr>
          <w:rFonts w:ascii="Times New Roman" w:hAnsi="Times New Roman" w:cs="Times New Roman"/>
          <w:lang w:val="pt-PT"/>
        </w:rPr>
        <w:t>44317 Potok, Popovača</w:t>
      </w:r>
    </w:p>
    <w:p w14:paraId="521EFB6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 w:cs="Times New Roman"/>
          <w:lang w:val="pt-PT"/>
        </w:rPr>
      </w:pPr>
      <w:r w:rsidRPr="00C70923">
        <w:rPr>
          <w:rFonts w:ascii="Times New Roman" w:hAnsi="Times New Roman" w:cs="Times New Roman"/>
          <w:lang w:val="pt-PT"/>
        </w:rPr>
        <w:t>Kroatija</w:t>
      </w:r>
    </w:p>
    <w:p w14:paraId="099FB7A6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F55203D" w14:textId="77777777" w:rsidR="00C70923" w:rsidRPr="00C70923" w:rsidRDefault="00C70923" w:rsidP="00C70923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</w:rPr>
      </w:pPr>
      <w:r w:rsidRPr="00C70923">
        <w:rPr>
          <w:rFonts w:ascii="Times New Roman" w:eastAsia="Times New Roman" w:hAnsi="Times New Roman" w:cs="Times New Roman"/>
          <w:b/>
          <w:snapToGrid w:val="0"/>
        </w:rPr>
        <w:t>Šis vaistas Europos ekonominės erdvės valstybėse narėse registruotas tokiais pavadinimais</w:t>
      </w:r>
      <w:r w:rsidRPr="00C70923">
        <w:rPr>
          <w:rFonts w:ascii="Times New Roman" w:eastAsia="Times New Roman" w:hAnsi="Times New Roman" w:cs="Times New Roman"/>
          <w:snapToGrid w:val="0"/>
        </w:rPr>
        <w:t>:</w:t>
      </w:r>
    </w:p>
    <w:p w14:paraId="0FC2A233" w14:textId="77777777" w:rsidR="00C70923" w:rsidRPr="00C70923" w:rsidRDefault="00C70923" w:rsidP="00C70923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</w:rPr>
      </w:pPr>
      <w:r w:rsidRPr="00C70923">
        <w:rPr>
          <w:rFonts w:ascii="Times New Roman" w:eastAsia="Times New Roman" w:hAnsi="Times New Roman" w:cs="Times New Roman"/>
          <w:snapToGrid w:val="0"/>
        </w:rPr>
        <w:t xml:space="preserve">Slovakija – </w:t>
      </w:r>
      <w:proofErr w:type="spellStart"/>
      <w:r w:rsidRPr="00C70923">
        <w:rPr>
          <w:rFonts w:ascii="Times New Roman" w:eastAsia="Times New Roman" w:hAnsi="Times New Roman" w:cs="Times New Roman"/>
          <w:snapToGrid w:val="0"/>
        </w:rPr>
        <w:t>Metoprolol</w:t>
      </w:r>
      <w:proofErr w:type="spellEnd"/>
      <w:r w:rsidRPr="00C70923">
        <w:rPr>
          <w:rFonts w:ascii="Times New Roman" w:eastAsia="Times New Roman" w:hAnsi="Times New Roman" w:cs="Times New Roman"/>
          <w:snapToGrid w:val="0"/>
        </w:rPr>
        <w:t xml:space="preserve"> </w:t>
      </w:r>
      <w:proofErr w:type="spellStart"/>
      <w:r w:rsidRPr="00C70923">
        <w:rPr>
          <w:rFonts w:ascii="Times New Roman" w:eastAsia="Times New Roman" w:hAnsi="Times New Roman" w:cs="Times New Roman"/>
          <w:snapToGrid w:val="0"/>
        </w:rPr>
        <w:t>Zentiva</w:t>
      </w:r>
      <w:proofErr w:type="spellEnd"/>
    </w:p>
    <w:p w14:paraId="38D5306E" w14:textId="77777777" w:rsidR="00C70923" w:rsidRPr="00C70923" w:rsidRDefault="00C70923" w:rsidP="00C70923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</w:rPr>
      </w:pPr>
      <w:r w:rsidRPr="00C70923">
        <w:rPr>
          <w:rFonts w:ascii="Times New Roman" w:eastAsia="Times New Roman" w:hAnsi="Times New Roman" w:cs="Times New Roman"/>
          <w:snapToGrid w:val="0"/>
        </w:rPr>
        <w:t xml:space="preserve">Čekija – </w:t>
      </w:r>
      <w:proofErr w:type="spellStart"/>
      <w:r w:rsidRPr="00C70923">
        <w:rPr>
          <w:rFonts w:ascii="Times New Roman" w:eastAsia="Times New Roman" w:hAnsi="Times New Roman" w:cs="Times New Roman"/>
          <w:snapToGrid w:val="0"/>
        </w:rPr>
        <w:t>Hypablo</w:t>
      </w:r>
      <w:proofErr w:type="spellEnd"/>
    </w:p>
    <w:p w14:paraId="65AFC4C0" w14:textId="77777777" w:rsidR="00C70923" w:rsidRPr="00C70923" w:rsidRDefault="00C70923" w:rsidP="00C70923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</w:rPr>
      </w:pPr>
      <w:r w:rsidRPr="00C70923">
        <w:rPr>
          <w:rFonts w:ascii="Times New Roman" w:eastAsia="Times New Roman" w:hAnsi="Times New Roman" w:cs="Times New Roman"/>
          <w:snapToGrid w:val="0"/>
        </w:rPr>
        <w:t xml:space="preserve">Estija, Latvija, Lietuva – </w:t>
      </w:r>
      <w:proofErr w:type="spellStart"/>
      <w:r w:rsidRPr="00C70923">
        <w:rPr>
          <w:rFonts w:ascii="Times New Roman" w:eastAsia="Times New Roman" w:hAnsi="Times New Roman" w:cs="Times New Roman"/>
          <w:snapToGrid w:val="0"/>
        </w:rPr>
        <w:t>Blobet</w:t>
      </w:r>
      <w:proofErr w:type="spellEnd"/>
    </w:p>
    <w:p w14:paraId="231BDCF5" w14:textId="77777777" w:rsidR="00C70923" w:rsidRPr="00C70923" w:rsidRDefault="00C70923" w:rsidP="00C70923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</w:rPr>
      </w:pPr>
      <w:r w:rsidRPr="00C70923">
        <w:rPr>
          <w:rFonts w:ascii="Times New Roman" w:eastAsia="Times New Roman" w:hAnsi="Times New Roman" w:cs="Times New Roman"/>
          <w:snapToGrid w:val="0"/>
        </w:rPr>
        <w:t xml:space="preserve">Lenkija – </w:t>
      </w:r>
      <w:proofErr w:type="spellStart"/>
      <w:r w:rsidRPr="00C70923">
        <w:rPr>
          <w:rFonts w:ascii="Times New Roman" w:eastAsia="Times New Roman" w:hAnsi="Times New Roman" w:cs="Times New Roman"/>
          <w:snapToGrid w:val="0"/>
        </w:rPr>
        <w:t>Blobet</w:t>
      </w:r>
      <w:proofErr w:type="spellEnd"/>
      <w:r w:rsidRPr="00C70923">
        <w:rPr>
          <w:rFonts w:ascii="Times New Roman" w:eastAsia="Times New Roman" w:hAnsi="Times New Roman" w:cs="Times New Roman"/>
          <w:snapToGrid w:val="0"/>
        </w:rPr>
        <w:t xml:space="preserve"> ZOK</w:t>
      </w:r>
    </w:p>
    <w:p w14:paraId="7EF8695C" w14:textId="77777777" w:rsidR="00C70923" w:rsidRPr="00C70923" w:rsidRDefault="00C70923" w:rsidP="00C70923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</w:rPr>
      </w:pPr>
    </w:p>
    <w:p w14:paraId="1AEEDDC5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eastAsia="lt-LT"/>
        </w:rPr>
      </w:pPr>
      <w:r w:rsidRPr="00C70923">
        <w:rPr>
          <w:rFonts w:ascii="Times New Roman" w:eastAsia="Calibri" w:hAnsi="Times New Roman" w:cs="Times New Roman"/>
          <w:b/>
          <w:bCs/>
          <w:lang w:eastAsia="lt-LT"/>
        </w:rPr>
        <w:t>Šis pakuotės lapelis</w:t>
      </w:r>
      <w:r w:rsidRPr="00C70923">
        <w:rPr>
          <w:rFonts w:ascii="Times New Roman" w:eastAsia="Calibri" w:hAnsi="Times New Roman" w:cs="Times New Roman"/>
          <w:b/>
          <w:lang w:eastAsia="lt-LT"/>
        </w:rPr>
        <w:t xml:space="preserve"> paskutinį kartą peržiūrėtas 2026-05-21.</w:t>
      </w:r>
    </w:p>
    <w:p w14:paraId="58BE7F0B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F1CB6D8" w14:textId="77777777" w:rsidR="00C70923" w:rsidRPr="00C70923" w:rsidRDefault="00C70923" w:rsidP="00C70923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highlight w:val="yellow"/>
          <w:lang w:eastAsia="lt-LT"/>
        </w:rPr>
      </w:pPr>
      <w:r w:rsidRPr="00C70923">
        <w:rPr>
          <w:rFonts w:ascii="Times New Roman" w:eastAsia="Calibri" w:hAnsi="Times New Roman" w:cs="Times New Roman"/>
          <w:lang w:eastAsia="lt-LT"/>
        </w:rPr>
        <w:t xml:space="preserve">Išsami informacija apie šį vaistą pateikiama Valstybinės vaistų kontrolės tarnybos prie Lietuvos Respublikos sveikatos apsaugos ministerijos tinklalapyje </w:t>
      </w:r>
      <w:r w:rsidRPr="00C70923">
        <w:rPr>
          <w:rFonts w:ascii="Times New Roman" w:eastAsia="Times New Roman" w:hAnsi="Times New Roman" w:cs="Times New Roman"/>
          <w:color w:val="0000EE"/>
          <w:u w:val="single"/>
        </w:rPr>
        <w:t>https://vvkt.lrv.lt/lt/</w:t>
      </w:r>
      <w:r w:rsidRPr="00C70923">
        <w:rPr>
          <w:rFonts w:ascii="Times New Roman" w:eastAsia="Calibri" w:hAnsi="Times New Roman" w:cs="Times New Roman"/>
          <w:lang w:eastAsia="lt-LT"/>
        </w:rPr>
        <w:t>.</w:t>
      </w:r>
    </w:p>
    <w:p w14:paraId="4928CABF" w14:textId="77777777" w:rsidR="00222FED" w:rsidRPr="00C70923" w:rsidRDefault="00222FED" w:rsidP="00C70923">
      <w:pPr>
        <w:spacing w:after="0"/>
        <w:rPr>
          <w:rFonts w:ascii="Times New Roman" w:hAnsi="Times New Roman" w:cs="Times New Roman"/>
        </w:rPr>
      </w:pPr>
    </w:p>
    <w:sectPr w:rsidR="00222FED" w:rsidRPr="00C70923" w:rsidSect="00C70923">
      <w:headerReference w:type="even" r:id="rId6"/>
      <w:footerReference w:type="even" r:id="rId7"/>
      <w:footerReference w:type="default" r:id="rId8"/>
      <w:headerReference w:type="first" r:id="rId9"/>
      <w:pgSz w:w="11907" w:h="16840" w:code="9"/>
      <w:pgMar w:top="1134" w:right="1418" w:bottom="1134" w:left="1418" w:header="737" w:footer="737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C137" w14:textId="77777777" w:rsidR="004A3FFD" w:rsidRDefault="004A3FFD" w:rsidP="003F1BE6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1E540983" w14:textId="77777777" w:rsidR="004A3FFD" w:rsidRDefault="004A3FFD" w:rsidP="003F1BE6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4600192"/>
      <w:docPartObj>
        <w:docPartGallery w:val="Page Numbers (Bottom of Page)"/>
        <w:docPartUnique/>
      </w:docPartObj>
    </w:sdtPr>
    <w:sdtEndPr/>
    <w:sdtContent>
      <w:p w14:paraId="58A3FAF4" w14:textId="77777777" w:rsidR="004A3FFD" w:rsidRDefault="004A3FFD">
        <w:pPr>
          <w:pStyle w:val="Porat"/>
          <w:jc w:val="center"/>
        </w:pPr>
        <w:r w:rsidRPr="006037C4">
          <w:rPr>
            <w:sz w:val="22"/>
          </w:rPr>
          <w:fldChar w:fldCharType="begin"/>
        </w:r>
        <w:r w:rsidRPr="006037C4">
          <w:rPr>
            <w:sz w:val="22"/>
          </w:rPr>
          <w:instrText>PAGE   \* MERGEFORMAT</w:instrText>
        </w:r>
        <w:r w:rsidRPr="006037C4">
          <w:rPr>
            <w:sz w:val="22"/>
          </w:rPr>
          <w:fldChar w:fldCharType="separate"/>
        </w:r>
        <w:r w:rsidRPr="00C42EAC">
          <w:rPr>
            <w:noProof/>
            <w:sz w:val="22"/>
            <w:lang w:val="lt-LT"/>
          </w:rPr>
          <w:t>2</w:t>
        </w:r>
        <w:r w:rsidRPr="00C42EAC">
          <w:rPr>
            <w:noProof/>
            <w:sz w:val="22"/>
            <w:lang w:val="lt-LT"/>
          </w:rPr>
          <w:t>9</w:t>
        </w:r>
        <w:r w:rsidRPr="006037C4">
          <w:rPr>
            <w:sz w:val="22"/>
          </w:rPr>
          <w:fldChar w:fldCharType="end"/>
        </w:r>
      </w:p>
    </w:sdtContent>
  </w:sdt>
  <w:p w14:paraId="25DF3E81" w14:textId="77777777" w:rsidR="004A3FFD" w:rsidRDefault="004A3FFD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FA54B" w14:textId="77777777" w:rsidR="004A3FFD" w:rsidRDefault="004A3FFD">
    <w:pPr>
      <w:pStyle w:val="Antrats"/>
    </w:pPr>
    <w:r>
      <w:rPr>
        <w:noProof/>
        <w:lang w:val="lt-LT" w:eastAsia="lt-LT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4C0EE94" wp14:editId="588D918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2" name="Text Box 2" descr="C2-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F3AE3" w14:textId="77777777" w:rsidR="004A3FFD" w:rsidRPr="00743652" w:rsidRDefault="004A3FFD" w:rsidP="003F1B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365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C2-Internal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C0EE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2-Internal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2B9F3AE3" w14:textId="77777777" w:rsidR="004A3FFD" w:rsidRPr="00743652" w:rsidRDefault="004A3FFD" w:rsidP="003F1B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365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C2-Internal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40380" w14:textId="77777777" w:rsidR="004A3FFD" w:rsidRDefault="004A3FFD">
    <w:pPr>
      <w:pStyle w:val="Antrats"/>
    </w:pPr>
    <w:r>
      <w:rPr>
        <w:noProof/>
        <w:lang w:val="lt-LT" w:eastAsia="lt-L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151294" wp14:editId="2576A17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1" name="Text Box 1" descr="C2-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ED3FEA" w14:textId="77777777" w:rsidR="004A3FFD" w:rsidRPr="00743652" w:rsidRDefault="004A3FFD" w:rsidP="003F1B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365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C2-Internal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1512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2-Internal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7FED3FEA" w14:textId="77777777" w:rsidR="004A3FFD" w:rsidRPr="00743652" w:rsidRDefault="004A3FFD" w:rsidP="003F1B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365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C2-Internal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DC1"/>
    <w:multiLevelType w:val="hybridMultilevel"/>
    <w:tmpl w:val="6A16666A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2E2D"/>
    <w:multiLevelType w:val="hybridMultilevel"/>
    <w:tmpl w:val="52FC2352"/>
    <w:lvl w:ilvl="0" w:tplc="E44CBC2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C4610D"/>
    <w:multiLevelType w:val="hybridMultilevel"/>
    <w:tmpl w:val="16C27038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95A0E"/>
    <w:multiLevelType w:val="hybridMultilevel"/>
    <w:tmpl w:val="3E582C22"/>
    <w:lvl w:ilvl="0" w:tplc="D45091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70FAF"/>
    <w:multiLevelType w:val="hybridMultilevel"/>
    <w:tmpl w:val="E0861782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71EEC"/>
    <w:multiLevelType w:val="hybridMultilevel"/>
    <w:tmpl w:val="E22C3CBE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97F3D"/>
    <w:multiLevelType w:val="hybridMultilevel"/>
    <w:tmpl w:val="175C7AAE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6598F"/>
    <w:multiLevelType w:val="hybridMultilevel"/>
    <w:tmpl w:val="5A76D1C8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7516C"/>
    <w:multiLevelType w:val="hybridMultilevel"/>
    <w:tmpl w:val="B262DB2A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9F20EF"/>
    <w:multiLevelType w:val="hybridMultilevel"/>
    <w:tmpl w:val="485664E4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A23358"/>
    <w:multiLevelType w:val="hybridMultilevel"/>
    <w:tmpl w:val="2102B6CA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D92E4B"/>
    <w:multiLevelType w:val="hybridMultilevel"/>
    <w:tmpl w:val="905695B8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297139">
    <w:abstractNumId w:val="11"/>
  </w:num>
  <w:num w:numId="2" w16cid:durableId="1347368888">
    <w:abstractNumId w:val="3"/>
  </w:num>
  <w:num w:numId="3" w16cid:durableId="1963418723">
    <w:abstractNumId w:val="6"/>
  </w:num>
  <w:num w:numId="4" w16cid:durableId="659307737">
    <w:abstractNumId w:val="10"/>
  </w:num>
  <w:num w:numId="5" w16cid:durableId="344787090">
    <w:abstractNumId w:val="8"/>
  </w:num>
  <w:num w:numId="6" w16cid:durableId="1656488268">
    <w:abstractNumId w:val="5"/>
  </w:num>
  <w:num w:numId="7" w16cid:durableId="7023424">
    <w:abstractNumId w:val="2"/>
  </w:num>
  <w:num w:numId="8" w16cid:durableId="941186339">
    <w:abstractNumId w:val="0"/>
  </w:num>
  <w:num w:numId="9" w16cid:durableId="1319577917">
    <w:abstractNumId w:val="4"/>
  </w:num>
  <w:num w:numId="10" w16cid:durableId="138039648">
    <w:abstractNumId w:val="7"/>
  </w:num>
  <w:num w:numId="11" w16cid:durableId="243105661">
    <w:abstractNumId w:val="1"/>
  </w:num>
  <w:num w:numId="12" w16cid:durableId="13770437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923"/>
    <w:rsid w:val="001F373F"/>
    <w:rsid w:val="00222FED"/>
    <w:rsid w:val="005F173E"/>
    <w:rsid w:val="008B3AD4"/>
    <w:rsid w:val="00984A0A"/>
    <w:rsid w:val="00C70923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252F7"/>
  <w15:chartTrackingRefBased/>
  <w15:docId w15:val="{F82ECBE9-B912-4172-8930-C95176CB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70923"/>
    <w:pPr>
      <w:spacing w:line="259" w:lineRule="auto"/>
    </w:pPr>
    <w:rPr>
      <w:rFonts w:asciiTheme="minorHAnsi" w:hAnsiTheme="minorHAnsi" w:cstheme="minorBidi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70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70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70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70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70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70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70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70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70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70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70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7092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709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709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709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709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709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70923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70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70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70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709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70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709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709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709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70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709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70923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rsid w:val="00C7092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AntratsDiagrama">
    <w:name w:val="Antraštės Diagrama"/>
    <w:basedOn w:val="Numatytasispastraiposriftas"/>
    <w:link w:val="Antrats"/>
    <w:rsid w:val="00C70923"/>
    <w:rPr>
      <w:rFonts w:eastAsia="Times New Roman"/>
      <w:kern w:val="0"/>
      <w:sz w:val="24"/>
      <w:szCs w:val="20"/>
      <w:lang w:val="sl-SI" w:eastAsia="sl-SI"/>
      <w14:ligatures w14:val="none"/>
    </w:rPr>
  </w:style>
  <w:style w:type="paragraph" w:styleId="Porat">
    <w:name w:val="footer"/>
    <w:basedOn w:val="prastasis"/>
    <w:link w:val="PoratDiagrama"/>
    <w:uiPriority w:val="99"/>
    <w:rsid w:val="00C7092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C70923"/>
    <w:rPr>
      <w:rFonts w:eastAsia="Times New Roman"/>
      <w:kern w:val="0"/>
      <w:sz w:val="24"/>
      <w:szCs w:val="20"/>
      <w:lang w:val="sl-SI" w:eastAsia="sl-SI"/>
      <w14:ligatures w14:val="none"/>
    </w:rPr>
  </w:style>
  <w:style w:type="character" w:styleId="Puslapionumeris">
    <w:name w:val="page number"/>
    <w:basedOn w:val="Numatytasispastraiposriftas"/>
    <w:uiPriority w:val="99"/>
    <w:rsid w:val="00C70923"/>
  </w:style>
  <w:style w:type="character" w:styleId="Hipersaitas">
    <w:name w:val="Hyperlink"/>
    <w:rsid w:val="00C70923"/>
    <w:rPr>
      <w:rFonts w:ascii="Times New Roman" w:hAnsi="Times New Roman"/>
      <w:color w:val="auto"/>
      <w:sz w:val="24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s://vvkt.lrv.lt/l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11833</Words>
  <Characters>6745</Characters>
  <Application>Microsoft Office Word</Application>
  <DocSecurity>0</DocSecurity>
  <Lines>56</Lines>
  <Paragraphs>37</Paragraphs>
  <ScaleCrop>false</ScaleCrop>
  <Company/>
  <LinksUpToDate>false</LinksUpToDate>
  <CharactersWithSpaces>18541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2026-09-02T10:28:00Z</dcterms:created>
  <dcterms:modified xsi:type="dcterms:W3CDTF">2026-09-02T10:30:00Z</dcterms:modified>
</cp:coreProperties>
</file>