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2CF70" w14:textId="77777777" w:rsidR="00E5225B" w:rsidRDefault="00E5225B">
      <w:pPr>
        <w:widowControl w:val="0"/>
        <w:tabs>
          <w:tab w:val="left" w:pos="-1440"/>
          <w:tab w:val="left" w:pos="-720"/>
          <w:tab w:val="left" w:pos="567"/>
        </w:tabs>
        <w:rPr>
          <w:b/>
          <w:snapToGrid w:val="0"/>
          <w:szCs w:val="22"/>
        </w:rPr>
      </w:pPr>
    </w:p>
    <w:p w14:paraId="754B1E32" w14:textId="77777777" w:rsidR="008020E2" w:rsidRDefault="008020E2">
      <w:pPr>
        <w:widowControl w:val="0"/>
        <w:tabs>
          <w:tab w:val="left" w:pos="-1440"/>
          <w:tab w:val="left" w:pos="-720"/>
          <w:tab w:val="left" w:pos="567"/>
        </w:tabs>
        <w:rPr>
          <w:b/>
          <w:snapToGrid w:val="0"/>
          <w:szCs w:val="22"/>
        </w:rPr>
      </w:pPr>
    </w:p>
    <w:p w14:paraId="5DD24951" w14:textId="77777777" w:rsidR="008020E2" w:rsidRDefault="008020E2">
      <w:pPr>
        <w:widowControl w:val="0"/>
        <w:tabs>
          <w:tab w:val="left" w:pos="-1440"/>
          <w:tab w:val="left" w:pos="-720"/>
          <w:tab w:val="left" w:pos="567"/>
        </w:tabs>
        <w:rPr>
          <w:b/>
          <w:snapToGrid w:val="0"/>
          <w:szCs w:val="22"/>
        </w:rPr>
      </w:pPr>
    </w:p>
    <w:p w14:paraId="67538AA8" w14:textId="77777777" w:rsidR="008020E2" w:rsidRDefault="008020E2">
      <w:pPr>
        <w:widowControl w:val="0"/>
        <w:tabs>
          <w:tab w:val="left" w:pos="-1440"/>
          <w:tab w:val="left" w:pos="-720"/>
          <w:tab w:val="left" w:pos="567"/>
        </w:tabs>
        <w:rPr>
          <w:b/>
          <w:snapToGrid w:val="0"/>
          <w:szCs w:val="22"/>
        </w:rPr>
      </w:pPr>
    </w:p>
    <w:p w14:paraId="0AFB2DE5" w14:textId="77777777" w:rsidR="008020E2" w:rsidRDefault="008020E2">
      <w:pPr>
        <w:widowControl w:val="0"/>
        <w:tabs>
          <w:tab w:val="left" w:pos="-1440"/>
          <w:tab w:val="left" w:pos="-720"/>
          <w:tab w:val="left" w:pos="567"/>
        </w:tabs>
        <w:rPr>
          <w:b/>
          <w:snapToGrid w:val="0"/>
          <w:szCs w:val="22"/>
        </w:rPr>
      </w:pPr>
    </w:p>
    <w:p w14:paraId="611C5C04" w14:textId="77777777" w:rsidR="008020E2" w:rsidRDefault="008020E2">
      <w:pPr>
        <w:widowControl w:val="0"/>
        <w:tabs>
          <w:tab w:val="left" w:pos="-1440"/>
          <w:tab w:val="left" w:pos="-720"/>
          <w:tab w:val="left" w:pos="567"/>
        </w:tabs>
        <w:rPr>
          <w:b/>
          <w:snapToGrid w:val="0"/>
          <w:szCs w:val="22"/>
        </w:rPr>
      </w:pPr>
    </w:p>
    <w:p w14:paraId="1802FDA4" w14:textId="77777777" w:rsidR="008020E2" w:rsidRDefault="008020E2">
      <w:pPr>
        <w:widowControl w:val="0"/>
        <w:tabs>
          <w:tab w:val="left" w:pos="-1440"/>
          <w:tab w:val="left" w:pos="-720"/>
          <w:tab w:val="left" w:pos="567"/>
        </w:tabs>
        <w:rPr>
          <w:b/>
          <w:snapToGrid w:val="0"/>
          <w:szCs w:val="22"/>
        </w:rPr>
      </w:pPr>
    </w:p>
    <w:p w14:paraId="45C93D8A" w14:textId="77777777" w:rsidR="008020E2" w:rsidRDefault="008020E2">
      <w:pPr>
        <w:widowControl w:val="0"/>
        <w:tabs>
          <w:tab w:val="left" w:pos="-1440"/>
          <w:tab w:val="left" w:pos="-720"/>
          <w:tab w:val="left" w:pos="567"/>
        </w:tabs>
        <w:rPr>
          <w:b/>
          <w:snapToGrid w:val="0"/>
          <w:szCs w:val="22"/>
        </w:rPr>
      </w:pPr>
    </w:p>
    <w:p w14:paraId="544AC37A" w14:textId="77777777" w:rsidR="008020E2" w:rsidRDefault="008020E2">
      <w:pPr>
        <w:widowControl w:val="0"/>
        <w:tabs>
          <w:tab w:val="left" w:pos="-1440"/>
          <w:tab w:val="left" w:pos="-720"/>
          <w:tab w:val="left" w:pos="567"/>
        </w:tabs>
        <w:rPr>
          <w:b/>
          <w:snapToGrid w:val="0"/>
          <w:szCs w:val="22"/>
        </w:rPr>
      </w:pPr>
    </w:p>
    <w:p w14:paraId="533A122F" w14:textId="77777777" w:rsidR="008020E2" w:rsidRDefault="008020E2">
      <w:pPr>
        <w:widowControl w:val="0"/>
        <w:tabs>
          <w:tab w:val="left" w:pos="-1440"/>
          <w:tab w:val="left" w:pos="-720"/>
          <w:tab w:val="left" w:pos="567"/>
        </w:tabs>
        <w:rPr>
          <w:b/>
          <w:snapToGrid w:val="0"/>
          <w:szCs w:val="22"/>
        </w:rPr>
      </w:pPr>
    </w:p>
    <w:p w14:paraId="75D8805E" w14:textId="77777777" w:rsidR="008020E2" w:rsidRDefault="008020E2">
      <w:pPr>
        <w:widowControl w:val="0"/>
        <w:tabs>
          <w:tab w:val="left" w:pos="-1440"/>
          <w:tab w:val="left" w:pos="-720"/>
          <w:tab w:val="left" w:pos="567"/>
        </w:tabs>
        <w:rPr>
          <w:b/>
          <w:snapToGrid w:val="0"/>
          <w:szCs w:val="22"/>
        </w:rPr>
      </w:pPr>
    </w:p>
    <w:p w14:paraId="0DC19A8D" w14:textId="77777777" w:rsidR="008020E2" w:rsidRDefault="008020E2">
      <w:pPr>
        <w:widowControl w:val="0"/>
        <w:tabs>
          <w:tab w:val="left" w:pos="-1440"/>
          <w:tab w:val="left" w:pos="-720"/>
          <w:tab w:val="left" w:pos="567"/>
        </w:tabs>
        <w:rPr>
          <w:b/>
          <w:snapToGrid w:val="0"/>
          <w:szCs w:val="22"/>
        </w:rPr>
      </w:pPr>
    </w:p>
    <w:p w14:paraId="5752C533" w14:textId="77777777" w:rsidR="008020E2" w:rsidRDefault="008020E2">
      <w:pPr>
        <w:widowControl w:val="0"/>
        <w:tabs>
          <w:tab w:val="left" w:pos="-1440"/>
          <w:tab w:val="left" w:pos="-720"/>
          <w:tab w:val="left" w:pos="567"/>
        </w:tabs>
        <w:rPr>
          <w:b/>
          <w:snapToGrid w:val="0"/>
          <w:szCs w:val="22"/>
        </w:rPr>
      </w:pPr>
    </w:p>
    <w:p w14:paraId="1D64154A" w14:textId="77777777" w:rsidR="008020E2" w:rsidRDefault="008020E2">
      <w:pPr>
        <w:widowControl w:val="0"/>
        <w:tabs>
          <w:tab w:val="left" w:pos="-1440"/>
          <w:tab w:val="left" w:pos="-720"/>
          <w:tab w:val="left" w:pos="567"/>
        </w:tabs>
        <w:rPr>
          <w:b/>
          <w:snapToGrid w:val="0"/>
          <w:szCs w:val="22"/>
        </w:rPr>
      </w:pPr>
    </w:p>
    <w:p w14:paraId="2391709B" w14:textId="77777777" w:rsidR="008020E2" w:rsidRDefault="008020E2">
      <w:pPr>
        <w:widowControl w:val="0"/>
        <w:tabs>
          <w:tab w:val="left" w:pos="-1440"/>
          <w:tab w:val="left" w:pos="-720"/>
          <w:tab w:val="left" w:pos="567"/>
        </w:tabs>
        <w:rPr>
          <w:b/>
          <w:snapToGrid w:val="0"/>
          <w:szCs w:val="22"/>
        </w:rPr>
      </w:pPr>
    </w:p>
    <w:p w14:paraId="1D99B10B" w14:textId="77777777" w:rsidR="008020E2" w:rsidRDefault="008020E2">
      <w:pPr>
        <w:widowControl w:val="0"/>
        <w:tabs>
          <w:tab w:val="left" w:pos="-1440"/>
          <w:tab w:val="left" w:pos="-720"/>
          <w:tab w:val="left" w:pos="567"/>
        </w:tabs>
        <w:rPr>
          <w:b/>
          <w:snapToGrid w:val="0"/>
          <w:szCs w:val="22"/>
        </w:rPr>
      </w:pPr>
    </w:p>
    <w:p w14:paraId="2C29B875" w14:textId="77777777" w:rsidR="008020E2" w:rsidRDefault="008020E2">
      <w:pPr>
        <w:widowControl w:val="0"/>
        <w:tabs>
          <w:tab w:val="left" w:pos="-1440"/>
          <w:tab w:val="left" w:pos="-720"/>
          <w:tab w:val="left" w:pos="567"/>
        </w:tabs>
        <w:rPr>
          <w:b/>
          <w:snapToGrid w:val="0"/>
          <w:szCs w:val="22"/>
        </w:rPr>
      </w:pPr>
    </w:p>
    <w:p w14:paraId="57962297" w14:textId="77777777" w:rsidR="008020E2" w:rsidRDefault="008020E2">
      <w:pPr>
        <w:widowControl w:val="0"/>
        <w:tabs>
          <w:tab w:val="left" w:pos="-1440"/>
          <w:tab w:val="left" w:pos="-720"/>
          <w:tab w:val="left" w:pos="567"/>
        </w:tabs>
        <w:rPr>
          <w:b/>
          <w:snapToGrid w:val="0"/>
          <w:szCs w:val="22"/>
        </w:rPr>
      </w:pPr>
    </w:p>
    <w:p w14:paraId="35B9DCA3" w14:textId="77777777" w:rsidR="008020E2" w:rsidRDefault="008020E2">
      <w:pPr>
        <w:widowControl w:val="0"/>
        <w:tabs>
          <w:tab w:val="left" w:pos="-1440"/>
          <w:tab w:val="left" w:pos="-720"/>
          <w:tab w:val="left" w:pos="567"/>
        </w:tabs>
        <w:rPr>
          <w:b/>
          <w:snapToGrid w:val="0"/>
          <w:szCs w:val="22"/>
        </w:rPr>
      </w:pPr>
    </w:p>
    <w:p w14:paraId="365234A1" w14:textId="77777777" w:rsidR="008020E2" w:rsidRDefault="008020E2">
      <w:pPr>
        <w:widowControl w:val="0"/>
        <w:tabs>
          <w:tab w:val="left" w:pos="-1440"/>
          <w:tab w:val="left" w:pos="-720"/>
          <w:tab w:val="left" w:pos="567"/>
        </w:tabs>
        <w:rPr>
          <w:b/>
          <w:snapToGrid w:val="0"/>
          <w:szCs w:val="22"/>
        </w:rPr>
      </w:pPr>
    </w:p>
    <w:p w14:paraId="0AB9CF0C" w14:textId="77777777" w:rsidR="008020E2" w:rsidRDefault="008020E2">
      <w:pPr>
        <w:widowControl w:val="0"/>
        <w:tabs>
          <w:tab w:val="left" w:pos="-1440"/>
          <w:tab w:val="left" w:pos="-720"/>
          <w:tab w:val="left" w:pos="567"/>
        </w:tabs>
        <w:rPr>
          <w:b/>
          <w:snapToGrid w:val="0"/>
          <w:szCs w:val="22"/>
        </w:rPr>
      </w:pPr>
    </w:p>
    <w:p w14:paraId="1548A893" w14:textId="77777777" w:rsidR="008020E2" w:rsidRDefault="008020E2">
      <w:pPr>
        <w:widowControl w:val="0"/>
        <w:tabs>
          <w:tab w:val="left" w:pos="-1440"/>
          <w:tab w:val="left" w:pos="-720"/>
          <w:tab w:val="left" w:pos="567"/>
        </w:tabs>
        <w:rPr>
          <w:b/>
          <w:snapToGrid w:val="0"/>
          <w:szCs w:val="22"/>
        </w:rPr>
      </w:pPr>
    </w:p>
    <w:p w14:paraId="1F77BF22" w14:textId="77777777" w:rsidR="008020E2" w:rsidRDefault="008020E2">
      <w:pPr>
        <w:widowControl w:val="0"/>
        <w:tabs>
          <w:tab w:val="left" w:pos="-1440"/>
          <w:tab w:val="left" w:pos="-720"/>
          <w:tab w:val="left" w:pos="567"/>
        </w:tabs>
        <w:rPr>
          <w:b/>
          <w:snapToGrid w:val="0"/>
          <w:szCs w:val="22"/>
        </w:rPr>
      </w:pPr>
    </w:p>
    <w:p w14:paraId="4FEC49E0" w14:textId="77777777" w:rsidR="008020E2" w:rsidRDefault="00137C20">
      <w:pPr>
        <w:widowControl w:val="0"/>
        <w:tabs>
          <w:tab w:val="left" w:pos="567"/>
        </w:tabs>
        <w:jc w:val="center"/>
        <w:outlineLvl w:val="1"/>
        <w:rPr>
          <w:b/>
          <w:snapToGrid w:val="0"/>
          <w:szCs w:val="22"/>
          <w:lang w:eastAsia="x-none"/>
        </w:rPr>
      </w:pPr>
      <w:r>
        <w:rPr>
          <w:b/>
          <w:bCs/>
          <w:iCs/>
          <w:snapToGrid w:val="0"/>
          <w:szCs w:val="22"/>
          <w:lang w:eastAsia="x-none"/>
        </w:rPr>
        <w:t>I PRIEDAS</w:t>
      </w:r>
    </w:p>
    <w:p w14:paraId="36DAFE00" w14:textId="77777777" w:rsidR="008020E2" w:rsidRDefault="008020E2">
      <w:pPr>
        <w:widowControl w:val="0"/>
        <w:tabs>
          <w:tab w:val="left" w:pos="567"/>
        </w:tabs>
        <w:rPr>
          <w:snapToGrid w:val="0"/>
          <w:szCs w:val="22"/>
        </w:rPr>
      </w:pPr>
    </w:p>
    <w:p w14:paraId="0A4F27DC" w14:textId="77777777" w:rsidR="008020E2" w:rsidRDefault="00137C20">
      <w:pPr>
        <w:widowControl w:val="0"/>
        <w:tabs>
          <w:tab w:val="left" w:pos="-1440"/>
          <w:tab w:val="left" w:pos="-720"/>
          <w:tab w:val="left" w:pos="567"/>
        </w:tabs>
        <w:jc w:val="center"/>
        <w:rPr>
          <w:b/>
          <w:snapToGrid w:val="0"/>
          <w:szCs w:val="22"/>
        </w:rPr>
      </w:pPr>
      <w:r>
        <w:rPr>
          <w:b/>
          <w:snapToGrid w:val="0"/>
          <w:szCs w:val="22"/>
        </w:rPr>
        <w:t>PREPARATO CHARAKTERISTIKŲ SANTRAUKA</w:t>
      </w:r>
    </w:p>
    <w:p w14:paraId="19B8DEF1" w14:textId="77777777" w:rsidR="008020E2" w:rsidRDefault="00137C20">
      <w:pPr>
        <w:widowControl w:val="0"/>
        <w:tabs>
          <w:tab w:val="left" w:pos="-1440"/>
          <w:tab w:val="left" w:pos="-720"/>
          <w:tab w:val="left" w:pos="567"/>
        </w:tabs>
        <w:jc w:val="center"/>
        <w:rPr>
          <w:snapToGrid w:val="0"/>
          <w:szCs w:val="22"/>
        </w:rPr>
      </w:pPr>
      <w:r>
        <w:rPr>
          <w:snapToGrid w:val="0"/>
          <w:szCs w:val="22"/>
          <w:lang w:eastAsia="zh-CN"/>
        </w:rPr>
        <w:br w:type="page"/>
      </w:r>
    </w:p>
    <w:p w14:paraId="644D89FB"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lastRenderedPageBreak/>
        <w:t>1.</w:t>
      </w:r>
      <w:r>
        <w:rPr>
          <w:b/>
          <w:bCs/>
          <w:snapToGrid w:val="0"/>
          <w:szCs w:val="22"/>
          <w:lang w:eastAsia="x-none"/>
        </w:rPr>
        <w:tab/>
        <w:t>VAISTINIO PREPARATO PAVADINIMAS</w:t>
      </w:r>
    </w:p>
    <w:p w14:paraId="0DB35880" w14:textId="77777777" w:rsidR="008020E2" w:rsidRDefault="008020E2">
      <w:pPr>
        <w:widowControl w:val="0"/>
        <w:tabs>
          <w:tab w:val="left" w:pos="567"/>
        </w:tabs>
        <w:rPr>
          <w:snapToGrid w:val="0"/>
          <w:szCs w:val="22"/>
        </w:rPr>
      </w:pPr>
    </w:p>
    <w:p w14:paraId="3456D2B5" w14:textId="77777777" w:rsidR="008020E2" w:rsidRDefault="00137C20">
      <w:pPr>
        <w:widowControl w:val="0"/>
        <w:tabs>
          <w:tab w:val="left" w:pos="567"/>
        </w:tabs>
        <w:spacing w:line="260" w:lineRule="exact"/>
        <w:rPr>
          <w:iCs/>
          <w:snapToGrid w:val="0"/>
          <w:szCs w:val="22"/>
        </w:rPr>
      </w:pPr>
      <w:proofErr w:type="spellStart"/>
      <w:r>
        <w:rPr>
          <w:snapToGrid w:val="0"/>
          <w:szCs w:val="22"/>
        </w:rPr>
        <w:t>Pitipix</w:t>
      </w:r>
      <w:proofErr w:type="spellEnd"/>
      <w:r>
        <w:rPr>
          <w:snapToGrid w:val="0"/>
          <w:szCs w:val="22"/>
        </w:rPr>
        <w:t xml:space="preserve"> 1 mg plėvele dengtos tabletės</w:t>
      </w:r>
    </w:p>
    <w:p w14:paraId="01DE4A0A" w14:textId="77777777" w:rsidR="008020E2" w:rsidRDefault="00137C20">
      <w:pPr>
        <w:widowControl w:val="0"/>
        <w:tabs>
          <w:tab w:val="left" w:pos="567"/>
        </w:tabs>
        <w:spacing w:line="260" w:lineRule="exact"/>
        <w:rPr>
          <w:iCs/>
          <w:snapToGrid w:val="0"/>
          <w:szCs w:val="22"/>
        </w:rPr>
      </w:pPr>
      <w:proofErr w:type="spellStart"/>
      <w:r>
        <w:rPr>
          <w:snapToGrid w:val="0"/>
          <w:szCs w:val="22"/>
        </w:rPr>
        <w:t>Pitipix</w:t>
      </w:r>
      <w:proofErr w:type="spellEnd"/>
      <w:r>
        <w:rPr>
          <w:snapToGrid w:val="0"/>
          <w:szCs w:val="22"/>
        </w:rPr>
        <w:t xml:space="preserve"> 2 mg plėvele dengtos tabletės</w:t>
      </w:r>
    </w:p>
    <w:p w14:paraId="47CB24C5" w14:textId="77777777" w:rsidR="008020E2" w:rsidRDefault="00137C20">
      <w:pPr>
        <w:widowControl w:val="0"/>
        <w:tabs>
          <w:tab w:val="left" w:pos="567"/>
        </w:tabs>
        <w:spacing w:line="260" w:lineRule="exact"/>
        <w:rPr>
          <w:iCs/>
          <w:snapToGrid w:val="0"/>
          <w:szCs w:val="22"/>
        </w:rPr>
      </w:pPr>
      <w:proofErr w:type="spellStart"/>
      <w:r>
        <w:rPr>
          <w:snapToGrid w:val="0"/>
          <w:szCs w:val="22"/>
        </w:rPr>
        <w:t>Pitipix</w:t>
      </w:r>
      <w:proofErr w:type="spellEnd"/>
      <w:r>
        <w:rPr>
          <w:snapToGrid w:val="0"/>
          <w:szCs w:val="22"/>
        </w:rPr>
        <w:t xml:space="preserve"> 4 mg plėvele dengtos tabletės</w:t>
      </w:r>
    </w:p>
    <w:p w14:paraId="574E69D1" w14:textId="77777777" w:rsidR="008020E2" w:rsidRDefault="008020E2">
      <w:pPr>
        <w:widowControl w:val="0"/>
        <w:tabs>
          <w:tab w:val="left" w:pos="567"/>
        </w:tabs>
        <w:rPr>
          <w:snapToGrid w:val="0"/>
          <w:szCs w:val="22"/>
        </w:rPr>
      </w:pPr>
    </w:p>
    <w:p w14:paraId="763E5602" w14:textId="77777777" w:rsidR="008020E2" w:rsidRDefault="008020E2">
      <w:pPr>
        <w:widowControl w:val="0"/>
        <w:tabs>
          <w:tab w:val="left" w:pos="567"/>
        </w:tabs>
        <w:rPr>
          <w:snapToGrid w:val="0"/>
          <w:szCs w:val="22"/>
        </w:rPr>
      </w:pPr>
    </w:p>
    <w:p w14:paraId="507677D2" w14:textId="77777777" w:rsidR="008020E2" w:rsidRDefault="00137C20">
      <w:pPr>
        <w:widowControl w:val="0"/>
        <w:tabs>
          <w:tab w:val="left" w:pos="567"/>
        </w:tabs>
        <w:rPr>
          <w:b/>
          <w:bCs/>
          <w:snapToGrid w:val="0"/>
          <w:szCs w:val="22"/>
        </w:rPr>
      </w:pPr>
      <w:r>
        <w:rPr>
          <w:b/>
          <w:bCs/>
          <w:snapToGrid w:val="0"/>
          <w:szCs w:val="22"/>
        </w:rPr>
        <w:t>2.</w:t>
      </w:r>
      <w:r>
        <w:rPr>
          <w:b/>
          <w:bCs/>
          <w:snapToGrid w:val="0"/>
          <w:szCs w:val="22"/>
        </w:rPr>
        <w:tab/>
        <w:t>KOKYBINĖ IR KIEKYBINĖ SUDĖTIS</w:t>
      </w:r>
    </w:p>
    <w:p w14:paraId="6BDF9F1C" w14:textId="77777777" w:rsidR="008020E2" w:rsidRDefault="008020E2">
      <w:pPr>
        <w:widowControl w:val="0"/>
        <w:tabs>
          <w:tab w:val="left" w:pos="567"/>
        </w:tabs>
        <w:rPr>
          <w:snapToGrid w:val="0"/>
          <w:szCs w:val="22"/>
        </w:rPr>
      </w:pPr>
    </w:p>
    <w:p w14:paraId="7CE7DD9E" w14:textId="77777777" w:rsidR="008020E2" w:rsidRDefault="00137C20">
      <w:pPr>
        <w:widowControl w:val="0"/>
        <w:autoSpaceDE w:val="0"/>
        <w:autoSpaceDN w:val="0"/>
        <w:adjustRightInd w:val="0"/>
        <w:rPr>
          <w:szCs w:val="22"/>
          <w:u w:val="single"/>
        </w:rPr>
      </w:pPr>
      <w:proofErr w:type="spellStart"/>
      <w:r>
        <w:rPr>
          <w:szCs w:val="22"/>
          <w:u w:val="single"/>
        </w:rPr>
        <w:t>Pitipix</w:t>
      </w:r>
      <w:proofErr w:type="spellEnd"/>
      <w:r>
        <w:rPr>
          <w:szCs w:val="22"/>
          <w:u w:val="single"/>
        </w:rPr>
        <w:t xml:space="preserve"> 1 mg plėvele dengtos tabletės </w:t>
      </w:r>
    </w:p>
    <w:p w14:paraId="662DFEB1" w14:textId="49C9EAEA" w:rsidR="008020E2" w:rsidRDefault="00137C20">
      <w:pPr>
        <w:widowControl w:val="0"/>
        <w:autoSpaceDE w:val="0"/>
        <w:autoSpaceDN w:val="0"/>
        <w:adjustRightInd w:val="0"/>
        <w:rPr>
          <w:szCs w:val="22"/>
        </w:rPr>
      </w:pPr>
      <w:r>
        <w:rPr>
          <w:szCs w:val="22"/>
        </w:rPr>
        <w:t>Kiekvienoje plėvele dengtoje tabletėje yra</w:t>
      </w:r>
      <w:r>
        <w:rPr>
          <w:szCs w:val="22"/>
          <w:lang w:eastAsia="es-ES"/>
        </w:rPr>
        <w:t xml:space="preserve"> 1 mg </w:t>
      </w:r>
      <w:proofErr w:type="spellStart"/>
      <w:r>
        <w:rPr>
          <w:szCs w:val="22"/>
          <w:lang w:eastAsia="es-ES"/>
        </w:rPr>
        <w:t>pitavastatino</w:t>
      </w:r>
      <w:proofErr w:type="spellEnd"/>
      <w:r>
        <w:rPr>
          <w:szCs w:val="22"/>
        </w:rPr>
        <w:t xml:space="preserve"> </w:t>
      </w:r>
      <w:bookmarkStart w:id="0" w:name="_Hlk168915289"/>
      <w:r>
        <w:rPr>
          <w:szCs w:val="22"/>
        </w:rPr>
        <w:t>(</w:t>
      </w:r>
      <w:proofErr w:type="spellStart"/>
      <w:r>
        <w:rPr>
          <w:szCs w:val="22"/>
          <w:lang w:eastAsia="es-ES"/>
        </w:rPr>
        <w:t>pitavastatino</w:t>
      </w:r>
      <w:proofErr w:type="spellEnd"/>
      <w:r>
        <w:rPr>
          <w:szCs w:val="22"/>
          <w:lang w:eastAsia="es-ES"/>
        </w:rPr>
        <w:t xml:space="preserve"> kalcio druskos </w:t>
      </w:r>
      <w:r w:rsidR="002F1A1C">
        <w:rPr>
          <w:szCs w:val="22"/>
          <w:lang w:eastAsia="es-ES"/>
        </w:rPr>
        <w:t>pavidalu</w:t>
      </w:r>
      <w:r>
        <w:rPr>
          <w:szCs w:val="22"/>
          <w:lang w:eastAsia="es-ES"/>
        </w:rPr>
        <w:t>)</w:t>
      </w:r>
      <w:bookmarkEnd w:id="0"/>
      <w:r>
        <w:rPr>
          <w:szCs w:val="22"/>
        </w:rPr>
        <w:t>.</w:t>
      </w:r>
    </w:p>
    <w:p w14:paraId="0D90B5BA" w14:textId="77777777" w:rsidR="008020E2" w:rsidRDefault="008020E2">
      <w:pPr>
        <w:widowControl w:val="0"/>
        <w:autoSpaceDE w:val="0"/>
        <w:autoSpaceDN w:val="0"/>
        <w:adjustRightInd w:val="0"/>
        <w:rPr>
          <w:i/>
          <w:szCs w:val="22"/>
        </w:rPr>
      </w:pPr>
    </w:p>
    <w:p w14:paraId="039869DB" w14:textId="77777777" w:rsidR="008020E2" w:rsidRDefault="00137C20">
      <w:pPr>
        <w:widowControl w:val="0"/>
        <w:autoSpaceDE w:val="0"/>
        <w:autoSpaceDN w:val="0"/>
        <w:adjustRightInd w:val="0"/>
        <w:rPr>
          <w:szCs w:val="22"/>
          <w:u w:val="single"/>
        </w:rPr>
      </w:pPr>
      <w:proofErr w:type="spellStart"/>
      <w:r>
        <w:rPr>
          <w:szCs w:val="22"/>
          <w:u w:val="single"/>
        </w:rPr>
        <w:t>Pitipix</w:t>
      </w:r>
      <w:proofErr w:type="spellEnd"/>
      <w:r>
        <w:rPr>
          <w:szCs w:val="22"/>
          <w:u w:val="single"/>
        </w:rPr>
        <w:t xml:space="preserve"> 2 mg plėvele dengtos tabletės </w:t>
      </w:r>
    </w:p>
    <w:p w14:paraId="09219C67" w14:textId="6245E4D4" w:rsidR="008020E2" w:rsidRDefault="00137C20">
      <w:pPr>
        <w:widowControl w:val="0"/>
        <w:autoSpaceDE w:val="0"/>
        <w:autoSpaceDN w:val="0"/>
        <w:adjustRightInd w:val="0"/>
        <w:rPr>
          <w:szCs w:val="22"/>
        </w:rPr>
      </w:pPr>
      <w:r>
        <w:rPr>
          <w:szCs w:val="22"/>
        </w:rPr>
        <w:t>Kiekvienoje plėvele dengtoje tabletėje yra</w:t>
      </w:r>
      <w:r>
        <w:rPr>
          <w:szCs w:val="22"/>
          <w:lang w:eastAsia="es-ES"/>
        </w:rPr>
        <w:t xml:space="preserve"> 2 mg </w:t>
      </w:r>
      <w:proofErr w:type="spellStart"/>
      <w:r>
        <w:rPr>
          <w:szCs w:val="22"/>
          <w:lang w:eastAsia="es-ES"/>
        </w:rPr>
        <w:t>pitavastatino</w:t>
      </w:r>
      <w:proofErr w:type="spellEnd"/>
      <w:r>
        <w:rPr>
          <w:szCs w:val="22"/>
        </w:rPr>
        <w:t xml:space="preserve"> (</w:t>
      </w:r>
      <w:proofErr w:type="spellStart"/>
      <w:r>
        <w:rPr>
          <w:szCs w:val="22"/>
          <w:lang w:eastAsia="es-ES"/>
        </w:rPr>
        <w:t>pitavastatino</w:t>
      </w:r>
      <w:proofErr w:type="spellEnd"/>
      <w:r>
        <w:rPr>
          <w:szCs w:val="22"/>
          <w:lang w:eastAsia="es-ES"/>
        </w:rPr>
        <w:t xml:space="preserve"> kalcio druskos </w:t>
      </w:r>
      <w:r w:rsidR="002F1A1C">
        <w:rPr>
          <w:szCs w:val="22"/>
          <w:lang w:eastAsia="es-ES"/>
        </w:rPr>
        <w:t>pavidalu</w:t>
      </w:r>
      <w:r>
        <w:rPr>
          <w:szCs w:val="22"/>
          <w:lang w:eastAsia="es-ES"/>
        </w:rPr>
        <w:t>)</w:t>
      </w:r>
      <w:r>
        <w:rPr>
          <w:szCs w:val="22"/>
        </w:rPr>
        <w:t>.</w:t>
      </w:r>
    </w:p>
    <w:p w14:paraId="6979C47A" w14:textId="77777777" w:rsidR="008020E2" w:rsidRDefault="008020E2">
      <w:pPr>
        <w:widowControl w:val="0"/>
        <w:autoSpaceDE w:val="0"/>
        <w:autoSpaceDN w:val="0"/>
        <w:adjustRightInd w:val="0"/>
        <w:rPr>
          <w:i/>
          <w:szCs w:val="22"/>
        </w:rPr>
      </w:pPr>
    </w:p>
    <w:p w14:paraId="7F736AD6" w14:textId="77777777" w:rsidR="008020E2" w:rsidRDefault="00137C20">
      <w:pPr>
        <w:widowControl w:val="0"/>
        <w:autoSpaceDE w:val="0"/>
        <w:autoSpaceDN w:val="0"/>
        <w:adjustRightInd w:val="0"/>
        <w:rPr>
          <w:szCs w:val="22"/>
          <w:u w:val="single"/>
        </w:rPr>
      </w:pPr>
      <w:proofErr w:type="spellStart"/>
      <w:r>
        <w:rPr>
          <w:szCs w:val="22"/>
          <w:u w:val="single"/>
        </w:rPr>
        <w:t>Pitipix</w:t>
      </w:r>
      <w:proofErr w:type="spellEnd"/>
      <w:r>
        <w:rPr>
          <w:szCs w:val="22"/>
          <w:u w:val="single"/>
        </w:rPr>
        <w:t xml:space="preserve"> 4 mg plėvele dengtos tabletės </w:t>
      </w:r>
    </w:p>
    <w:p w14:paraId="09D690E0" w14:textId="2E688058" w:rsidR="008020E2" w:rsidRDefault="00137C20">
      <w:pPr>
        <w:widowControl w:val="0"/>
        <w:autoSpaceDE w:val="0"/>
        <w:autoSpaceDN w:val="0"/>
        <w:adjustRightInd w:val="0"/>
        <w:rPr>
          <w:szCs w:val="22"/>
        </w:rPr>
      </w:pPr>
      <w:r>
        <w:rPr>
          <w:szCs w:val="22"/>
        </w:rPr>
        <w:t>Kiekvienoje plėvele dengtoje tabletėje yra</w:t>
      </w:r>
      <w:r>
        <w:rPr>
          <w:szCs w:val="22"/>
          <w:lang w:eastAsia="es-ES"/>
        </w:rPr>
        <w:t xml:space="preserve"> 4 mg </w:t>
      </w:r>
      <w:proofErr w:type="spellStart"/>
      <w:r>
        <w:rPr>
          <w:szCs w:val="22"/>
          <w:lang w:eastAsia="es-ES"/>
        </w:rPr>
        <w:t>pitavastatino</w:t>
      </w:r>
      <w:proofErr w:type="spellEnd"/>
      <w:r>
        <w:rPr>
          <w:szCs w:val="22"/>
        </w:rPr>
        <w:t xml:space="preserve"> (</w:t>
      </w:r>
      <w:proofErr w:type="spellStart"/>
      <w:r>
        <w:rPr>
          <w:szCs w:val="22"/>
          <w:lang w:eastAsia="es-ES"/>
        </w:rPr>
        <w:t>pitavastatino</w:t>
      </w:r>
      <w:proofErr w:type="spellEnd"/>
      <w:r>
        <w:rPr>
          <w:szCs w:val="22"/>
          <w:lang w:eastAsia="es-ES"/>
        </w:rPr>
        <w:t xml:space="preserve"> kalcio druskos </w:t>
      </w:r>
      <w:r w:rsidR="002F1A1C">
        <w:rPr>
          <w:szCs w:val="22"/>
          <w:lang w:eastAsia="es-ES"/>
        </w:rPr>
        <w:t>pavidalu</w:t>
      </w:r>
      <w:r>
        <w:rPr>
          <w:szCs w:val="22"/>
          <w:lang w:eastAsia="es-ES"/>
        </w:rPr>
        <w:t>)</w:t>
      </w:r>
      <w:r>
        <w:rPr>
          <w:szCs w:val="22"/>
        </w:rPr>
        <w:t>.</w:t>
      </w:r>
    </w:p>
    <w:p w14:paraId="0780A20B" w14:textId="77777777" w:rsidR="008020E2" w:rsidRDefault="008020E2">
      <w:pPr>
        <w:widowControl w:val="0"/>
        <w:autoSpaceDE w:val="0"/>
        <w:autoSpaceDN w:val="0"/>
        <w:adjustRightInd w:val="0"/>
        <w:rPr>
          <w:bCs/>
          <w:szCs w:val="22"/>
        </w:rPr>
      </w:pPr>
    </w:p>
    <w:p w14:paraId="6CD52A1A" w14:textId="060800CB" w:rsidR="008020E2" w:rsidRDefault="00137C20">
      <w:pPr>
        <w:widowControl w:val="0"/>
        <w:tabs>
          <w:tab w:val="left" w:pos="567"/>
        </w:tabs>
        <w:rPr>
          <w:snapToGrid w:val="0"/>
          <w:szCs w:val="22"/>
          <w:u w:val="single"/>
        </w:rPr>
      </w:pPr>
      <w:r>
        <w:rPr>
          <w:snapToGrid w:val="0"/>
          <w:szCs w:val="22"/>
          <w:u w:val="single"/>
        </w:rPr>
        <w:t>Pagalbinė</w:t>
      </w:r>
      <w:r w:rsidR="002F1A1C">
        <w:rPr>
          <w:snapToGrid w:val="0"/>
          <w:szCs w:val="22"/>
          <w:u w:val="single"/>
        </w:rPr>
        <w:t xml:space="preserve"> (-ės)</w:t>
      </w:r>
      <w:r>
        <w:rPr>
          <w:snapToGrid w:val="0"/>
          <w:szCs w:val="22"/>
          <w:u w:val="single"/>
        </w:rPr>
        <w:t xml:space="preserve"> medžiaga</w:t>
      </w:r>
      <w:r w:rsidR="002F1A1C">
        <w:rPr>
          <w:snapToGrid w:val="0"/>
          <w:szCs w:val="22"/>
          <w:u w:val="single"/>
        </w:rPr>
        <w:t xml:space="preserve"> (-</w:t>
      </w:r>
      <w:proofErr w:type="spellStart"/>
      <w:r w:rsidR="002F1A1C">
        <w:rPr>
          <w:snapToGrid w:val="0"/>
          <w:szCs w:val="22"/>
          <w:u w:val="single"/>
        </w:rPr>
        <w:t>os</w:t>
      </w:r>
      <w:proofErr w:type="spellEnd"/>
      <w:r w:rsidR="002F1A1C">
        <w:rPr>
          <w:snapToGrid w:val="0"/>
          <w:szCs w:val="22"/>
          <w:u w:val="single"/>
        </w:rPr>
        <w:t>)</w:t>
      </w:r>
      <w:r>
        <w:rPr>
          <w:snapToGrid w:val="0"/>
          <w:szCs w:val="22"/>
          <w:u w:val="single"/>
        </w:rPr>
        <w:t>, kurios</w:t>
      </w:r>
      <w:r w:rsidR="002F1A1C">
        <w:rPr>
          <w:snapToGrid w:val="0"/>
          <w:szCs w:val="22"/>
          <w:u w:val="single"/>
        </w:rPr>
        <w:t xml:space="preserve"> (-</w:t>
      </w:r>
      <w:proofErr w:type="spellStart"/>
      <w:r w:rsidR="002F1A1C">
        <w:rPr>
          <w:snapToGrid w:val="0"/>
          <w:szCs w:val="22"/>
          <w:u w:val="single"/>
        </w:rPr>
        <w:t>ių</w:t>
      </w:r>
      <w:proofErr w:type="spellEnd"/>
      <w:r w:rsidR="002F1A1C">
        <w:rPr>
          <w:snapToGrid w:val="0"/>
          <w:szCs w:val="22"/>
          <w:u w:val="single"/>
        </w:rPr>
        <w:t>)</w:t>
      </w:r>
      <w:r>
        <w:rPr>
          <w:snapToGrid w:val="0"/>
          <w:szCs w:val="22"/>
          <w:u w:val="single"/>
        </w:rPr>
        <w:t xml:space="preserve"> poveikis žinomas</w:t>
      </w:r>
    </w:p>
    <w:p w14:paraId="48BD2ACB" w14:textId="77777777" w:rsidR="008020E2" w:rsidRDefault="008020E2">
      <w:pPr>
        <w:widowControl w:val="0"/>
        <w:autoSpaceDE w:val="0"/>
        <w:autoSpaceDN w:val="0"/>
        <w:adjustRightInd w:val="0"/>
        <w:rPr>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168"/>
        <w:gridCol w:w="2169"/>
        <w:gridCol w:w="2169"/>
      </w:tblGrid>
      <w:tr w:rsidR="008020E2" w14:paraId="1DD37A34" w14:textId="77777777">
        <w:tc>
          <w:tcPr>
            <w:tcW w:w="2493" w:type="dxa"/>
            <w:shd w:val="clear" w:color="auto" w:fill="auto"/>
          </w:tcPr>
          <w:p w14:paraId="1C1F979F" w14:textId="77777777" w:rsidR="008020E2" w:rsidRDefault="008020E2">
            <w:pPr>
              <w:widowControl w:val="0"/>
              <w:autoSpaceDE w:val="0"/>
              <w:autoSpaceDN w:val="0"/>
              <w:adjustRightInd w:val="0"/>
              <w:rPr>
                <w:bCs/>
                <w:szCs w:val="22"/>
              </w:rPr>
            </w:pPr>
          </w:p>
        </w:tc>
        <w:tc>
          <w:tcPr>
            <w:tcW w:w="2228" w:type="dxa"/>
            <w:shd w:val="clear" w:color="auto" w:fill="auto"/>
          </w:tcPr>
          <w:p w14:paraId="03087B7E" w14:textId="77777777" w:rsidR="008020E2" w:rsidRDefault="00137C20">
            <w:pPr>
              <w:widowControl w:val="0"/>
              <w:autoSpaceDE w:val="0"/>
              <w:autoSpaceDN w:val="0"/>
              <w:adjustRightInd w:val="0"/>
              <w:rPr>
                <w:bCs/>
                <w:szCs w:val="22"/>
              </w:rPr>
            </w:pPr>
            <w:r>
              <w:rPr>
                <w:szCs w:val="22"/>
              </w:rPr>
              <w:t>1 mg plėvele dengtos tabletės</w:t>
            </w:r>
          </w:p>
        </w:tc>
        <w:tc>
          <w:tcPr>
            <w:tcW w:w="2229" w:type="dxa"/>
            <w:shd w:val="clear" w:color="auto" w:fill="auto"/>
          </w:tcPr>
          <w:p w14:paraId="7776443F" w14:textId="77777777" w:rsidR="008020E2" w:rsidRDefault="00137C20">
            <w:pPr>
              <w:widowControl w:val="0"/>
              <w:autoSpaceDE w:val="0"/>
              <w:autoSpaceDN w:val="0"/>
              <w:adjustRightInd w:val="0"/>
              <w:rPr>
                <w:bCs/>
                <w:szCs w:val="22"/>
              </w:rPr>
            </w:pPr>
            <w:r>
              <w:rPr>
                <w:szCs w:val="22"/>
              </w:rPr>
              <w:t>2 mg plėvele dengtos tabletės</w:t>
            </w:r>
          </w:p>
        </w:tc>
        <w:tc>
          <w:tcPr>
            <w:tcW w:w="2229" w:type="dxa"/>
            <w:shd w:val="clear" w:color="auto" w:fill="auto"/>
          </w:tcPr>
          <w:p w14:paraId="0F251CED" w14:textId="77777777" w:rsidR="008020E2" w:rsidRDefault="00137C20">
            <w:pPr>
              <w:widowControl w:val="0"/>
              <w:autoSpaceDE w:val="0"/>
              <w:autoSpaceDN w:val="0"/>
              <w:adjustRightInd w:val="0"/>
              <w:rPr>
                <w:bCs/>
                <w:szCs w:val="22"/>
              </w:rPr>
            </w:pPr>
            <w:r>
              <w:rPr>
                <w:szCs w:val="22"/>
              </w:rPr>
              <w:t>4 mg plėvele dengtos tabletės</w:t>
            </w:r>
          </w:p>
        </w:tc>
      </w:tr>
      <w:tr w:rsidR="008020E2" w14:paraId="683BC01E" w14:textId="77777777">
        <w:tc>
          <w:tcPr>
            <w:tcW w:w="2493" w:type="dxa"/>
            <w:shd w:val="clear" w:color="auto" w:fill="auto"/>
          </w:tcPr>
          <w:p w14:paraId="5503E904" w14:textId="77777777" w:rsidR="008020E2" w:rsidRDefault="00137C20">
            <w:pPr>
              <w:widowControl w:val="0"/>
              <w:autoSpaceDE w:val="0"/>
              <w:autoSpaceDN w:val="0"/>
              <w:adjustRightInd w:val="0"/>
              <w:rPr>
                <w:bCs/>
                <w:szCs w:val="22"/>
              </w:rPr>
            </w:pPr>
            <w:r>
              <w:rPr>
                <w:bCs/>
                <w:szCs w:val="22"/>
              </w:rPr>
              <w:t>Laktozė</w:t>
            </w:r>
          </w:p>
          <w:p w14:paraId="120F2D46" w14:textId="77777777" w:rsidR="008020E2" w:rsidRDefault="00137C20">
            <w:pPr>
              <w:widowControl w:val="0"/>
              <w:autoSpaceDE w:val="0"/>
              <w:autoSpaceDN w:val="0"/>
              <w:adjustRightInd w:val="0"/>
              <w:rPr>
                <w:bCs/>
                <w:szCs w:val="22"/>
              </w:rPr>
            </w:pPr>
            <w:r>
              <w:rPr>
                <w:bCs/>
                <w:noProof/>
                <w:szCs w:val="22"/>
                <w:lang w:val="en-GB"/>
              </w:rPr>
              <w:t>(mg/tabletėje)</w:t>
            </w:r>
          </w:p>
        </w:tc>
        <w:tc>
          <w:tcPr>
            <w:tcW w:w="2228" w:type="dxa"/>
            <w:shd w:val="clear" w:color="auto" w:fill="auto"/>
          </w:tcPr>
          <w:p w14:paraId="6B48A2B4" w14:textId="77777777" w:rsidR="008020E2" w:rsidRDefault="00137C20">
            <w:pPr>
              <w:widowControl w:val="0"/>
              <w:autoSpaceDE w:val="0"/>
              <w:autoSpaceDN w:val="0"/>
              <w:adjustRightInd w:val="0"/>
              <w:rPr>
                <w:bCs/>
                <w:szCs w:val="22"/>
              </w:rPr>
            </w:pPr>
            <w:r>
              <w:rPr>
                <w:bCs/>
                <w:szCs w:val="22"/>
              </w:rPr>
              <w:t>61,7</w:t>
            </w:r>
          </w:p>
        </w:tc>
        <w:tc>
          <w:tcPr>
            <w:tcW w:w="2229" w:type="dxa"/>
            <w:shd w:val="clear" w:color="auto" w:fill="auto"/>
          </w:tcPr>
          <w:p w14:paraId="5C96D025" w14:textId="77777777" w:rsidR="008020E2" w:rsidRDefault="00137C20">
            <w:pPr>
              <w:widowControl w:val="0"/>
              <w:autoSpaceDE w:val="0"/>
              <w:autoSpaceDN w:val="0"/>
              <w:adjustRightInd w:val="0"/>
              <w:rPr>
                <w:bCs/>
                <w:szCs w:val="22"/>
              </w:rPr>
            </w:pPr>
            <w:r>
              <w:rPr>
                <w:bCs/>
                <w:szCs w:val="22"/>
              </w:rPr>
              <w:t>122,5</w:t>
            </w:r>
          </w:p>
        </w:tc>
        <w:tc>
          <w:tcPr>
            <w:tcW w:w="2229" w:type="dxa"/>
            <w:shd w:val="clear" w:color="auto" w:fill="auto"/>
          </w:tcPr>
          <w:p w14:paraId="20BC05EB" w14:textId="77777777" w:rsidR="008020E2" w:rsidRDefault="00137C20">
            <w:pPr>
              <w:widowControl w:val="0"/>
              <w:autoSpaceDE w:val="0"/>
              <w:autoSpaceDN w:val="0"/>
              <w:adjustRightInd w:val="0"/>
              <w:rPr>
                <w:bCs/>
                <w:szCs w:val="22"/>
              </w:rPr>
            </w:pPr>
            <w:r>
              <w:rPr>
                <w:bCs/>
                <w:szCs w:val="22"/>
              </w:rPr>
              <w:t>246,0</w:t>
            </w:r>
          </w:p>
        </w:tc>
      </w:tr>
    </w:tbl>
    <w:p w14:paraId="57461E22" w14:textId="77777777" w:rsidR="008020E2" w:rsidRDefault="008020E2">
      <w:pPr>
        <w:widowControl w:val="0"/>
        <w:tabs>
          <w:tab w:val="left" w:pos="567"/>
        </w:tabs>
        <w:rPr>
          <w:snapToGrid w:val="0"/>
          <w:szCs w:val="22"/>
        </w:rPr>
      </w:pPr>
    </w:p>
    <w:p w14:paraId="37FED305" w14:textId="77777777" w:rsidR="008020E2" w:rsidRDefault="00137C20">
      <w:pPr>
        <w:widowControl w:val="0"/>
        <w:tabs>
          <w:tab w:val="left" w:pos="567"/>
        </w:tabs>
        <w:rPr>
          <w:snapToGrid w:val="0"/>
          <w:szCs w:val="22"/>
        </w:rPr>
      </w:pPr>
      <w:r>
        <w:rPr>
          <w:snapToGrid w:val="0"/>
          <w:szCs w:val="22"/>
        </w:rPr>
        <w:t>Visos pagalbinės medžiagos išvardytos 6.1 skyriuje.</w:t>
      </w:r>
    </w:p>
    <w:p w14:paraId="45F24A65" w14:textId="77777777" w:rsidR="008020E2" w:rsidRDefault="008020E2">
      <w:pPr>
        <w:widowControl w:val="0"/>
        <w:tabs>
          <w:tab w:val="left" w:pos="567"/>
        </w:tabs>
        <w:rPr>
          <w:snapToGrid w:val="0"/>
          <w:szCs w:val="22"/>
        </w:rPr>
      </w:pPr>
    </w:p>
    <w:p w14:paraId="7B1CEDE3" w14:textId="77777777" w:rsidR="008020E2" w:rsidRDefault="008020E2">
      <w:pPr>
        <w:widowControl w:val="0"/>
        <w:tabs>
          <w:tab w:val="left" w:pos="567"/>
        </w:tabs>
        <w:rPr>
          <w:snapToGrid w:val="0"/>
          <w:szCs w:val="22"/>
        </w:rPr>
      </w:pPr>
    </w:p>
    <w:p w14:paraId="1FDF1E92" w14:textId="77777777" w:rsidR="008020E2" w:rsidRDefault="00137C20">
      <w:pPr>
        <w:widowControl w:val="0"/>
        <w:tabs>
          <w:tab w:val="left" w:pos="567"/>
        </w:tabs>
        <w:rPr>
          <w:b/>
          <w:bCs/>
          <w:snapToGrid w:val="0"/>
          <w:szCs w:val="22"/>
        </w:rPr>
      </w:pPr>
      <w:r>
        <w:rPr>
          <w:b/>
          <w:bCs/>
          <w:snapToGrid w:val="0"/>
          <w:szCs w:val="22"/>
        </w:rPr>
        <w:t>3.</w:t>
      </w:r>
      <w:r>
        <w:rPr>
          <w:b/>
          <w:bCs/>
          <w:snapToGrid w:val="0"/>
          <w:szCs w:val="22"/>
        </w:rPr>
        <w:tab/>
        <w:t>FARMACINĖ FORMA</w:t>
      </w:r>
    </w:p>
    <w:p w14:paraId="4DA47951" w14:textId="77777777" w:rsidR="008020E2" w:rsidRDefault="008020E2">
      <w:pPr>
        <w:widowControl w:val="0"/>
        <w:tabs>
          <w:tab w:val="left" w:pos="567"/>
        </w:tabs>
        <w:rPr>
          <w:snapToGrid w:val="0"/>
          <w:szCs w:val="22"/>
        </w:rPr>
      </w:pPr>
    </w:p>
    <w:p w14:paraId="39CEEDB2" w14:textId="77777777" w:rsidR="008020E2" w:rsidRDefault="00137C20">
      <w:pPr>
        <w:widowControl w:val="0"/>
        <w:tabs>
          <w:tab w:val="left" w:pos="567"/>
        </w:tabs>
        <w:autoSpaceDE w:val="0"/>
        <w:autoSpaceDN w:val="0"/>
        <w:adjustRightInd w:val="0"/>
        <w:spacing w:line="260" w:lineRule="exact"/>
        <w:rPr>
          <w:snapToGrid w:val="0"/>
          <w:szCs w:val="22"/>
        </w:rPr>
      </w:pPr>
      <w:r>
        <w:rPr>
          <w:snapToGrid w:val="0"/>
          <w:szCs w:val="22"/>
        </w:rPr>
        <w:t>Plėvele dengta tabletė (tabletė).</w:t>
      </w:r>
    </w:p>
    <w:p w14:paraId="52819443" w14:textId="77777777" w:rsidR="008020E2" w:rsidRDefault="008020E2">
      <w:pPr>
        <w:widowControl w:val="0"/>
        <w:tabs>
          <w:tab w:val="left" w:pos="567"/>
        </w:tabs>
        <w:autoSpaceDE w:val="0"/>
        <w:autoSpaceDN w:val="0"/>
        <w:adjustRightInd w:val="0"/>
        <w:spacing w:line="260" w:lineRule="exact"/>
        <w:rPr>
          <w:snapToGrid w:val="0"/>
          <w:szCs w:val="22"/>
          <w:u w:val="single"/>
        </w:rPr>
      </w:pPr>
    </w:p>
    <w:p w14:paraId="5021BCEF" w14:textId="6489DE24" w:rsidR="008020E2" w:rsidRDefault="00137C20">
      <w:pPr>
        <w:widowControl w:val="0"/>
        <w:tabs>
          <w:tab w:val="left" w:pos="567"/>
        </w:tabs>
        <w:autoSpaceDE w:val="0"/>
        <w:autoSpaceDN w:val="0"/>
        <w:adjustRightInd w:val="0"/>
        <w:spacing w:line="260" w:lineRule="exact"/>
        <w:rPr>
          <w:snapToGrid w:val="0"/>
          <w:szCs w:val="22"/>
          <w:u w:val="single"/>
        </w:rPr>
      </w:pPr>
      <w:r>
        <w:rPr>
          <w:snapToGrid w:val="0"/>
          <w:szCs w:val="22"/>
          <w:u w:val="single"/>
        </w:rPr>
        <w:t>1 mg plėvele dengtos tabletės</w:t>
      </w:r>
      <w:r>
        <w:rPr>
          <w:snapToGrid w:val="0"/>
          <w:szCs w:val="22"/>
        </w:rPr>
        <w:t xml:space="preserve">: rusvai geltonos, apvalios, abipus išgaubtos, plėvele dengtos tabletės, kurių vienoje pusėje įspausta žyma „1“. Tabletės skersmuo </w:t>
      </w:r>
      <w:r w:rsidR="002F1A1C">
        <w:rPr>
          <w:snapToGrid w:val="0"/>
          <w:szCs w:val="22"/>
        </w:rPr>
        <w:t>apytiksliai</w:t>
      </w:r>
      <w:r>
        <w:rPr>
          <w:snapToGrid w:val="0"/>
          <w:szCs w:val="22"/>
        </w:rPr>
        <w:t xml:space="preserve"> </w:t>
      </w:r>
      <w:r>
        <w:rPr>
          <w:bCs/>
          <w:snapToGrid w:val="0"/>
          <w:szCs w:val="22"/>
        </w:rPr>
        <w:t>6 mm.</w:t>
      </w:r>
    </w:p>
    <w:p w14:paraId="3959FA8F" w14:textId="77777777" w:rsidR="008020E2" w:rsidRDefault="008020E2">
      <w:pPr>
        <w:widowControl w:val="0"/>
        <w:tabs>
          <w:tab w:val="left" w:pos="567"/>
        </w:tabs>
        <w:autoSpaceDE w:val="0"/>
        <w:autoSpaceDN w:val="0"/>
        <w:adjustRightInd w:val="0"/>
        <w:spacing w:line="260" w:lineRule="exact"/>
        <w:rPr>
          <w:snapToGrid w:val="0"/>
          <w:szCs w:val="22"/>
          <w:u w:val="single"/>
        </w:rPr>
      </w:pPr>
    </w:p>
    <w:p w14:paraId="4BEE22B4" w14:textId="03CA7EC9" w:rsidR="008020E2" w:rsidRDefault="00137C20">
      <w:pPr>
        <w:widowControl w:val="0"/>
        <w:tabs>
          <w:tab w:val="left" w:pos="567"/>
        </w:tabs>
        <w:autoSpaceDE w:val="0"/>
        <w:autoSpaceDN w:val="0"/>
        <w:adjustRightInd w:val="0"/>
        <w:spacing w:line="260" w:lineRule="exact"/>
        <w:rPr>
          <w:snapToGrid w:val="0"/>
          <w:szCs w:val="22"/>
          <w:u w:val="single"/>
        </w:rPr>
      </w:pPr>
      <w:r>
        <w:rPr>
          <w:snapToGrid w:val="0"/>
          <w:szCs w:val="22"/>
          <w:u w:val="single"/>
        </w:rPr>
        <w:t>2 mg plėvele dengtos tabletės</w:t>
      </w:r>
      <w:r>
        <w:rPr>
          <w:snapToGrid w:val="0"/>
          <w:szCs w:val="22"/>
        </w:rPr>
        <w:t xml:space="preserve">: rudai oranžinės, apvalios, abipus išgaubtos, plėvele dengtos tabletės, kurių vienoje pusėje įspausta žyma „2“. Tabletės  skersmuo </w:t>
      </w:r>
      <w:r w:rsidR="002F1A1C">
        <w:rPr>
          <w:snapToGrid w:val="0"/>
          <w:szCs w:val="22"/>
        </w:rPr>
        <w:t>apytiksliai</w:t>
      </w:r>
      <w:r>
        <w:rPr>
          <w:snapToGrid w:val="0"/>
          <w:szCs w:val="22"/>
        </w:rPr>
        <w:t xml:space="preserve"> 7</w:t>
      </w:r>
      <w:r>
        <w:rPr>
          <w:bCs/>
          <w:snapToGrid w:val="0"/>
          <w:szCs w:val="22"/>
        </w:rPr>
        <w:t> mm.</w:t>
      </w:r>
    </w:p>
    <w:p w14:paraId="09B63CAB" w14:textId="77777777" w:rsidR="008020E2" w:rsidRDefault="008020E2">
      <w:pPr>
        <w:widowControl w:val="0"/>
        <w:tabs>
          <w:tab w:val="left" w:pos="567"/>
        </w:tabs>
        <w:autoSpaceDE w:val="0"/>
        <w:autoSpaceDN w:val="0"/>
        <w:adjustRightInd w:val="0"/>
        <w:spacing w:line="260" w:lineRule="exact"/>
        <w:rPr>
          <w:snapToGrid w:val="0"/>
          <w:szCs w:val="22"/>
          <w:u w:val="single"/>
        </w:rPr>
      </w:pPr>
    </w:p>
    <w:p w14:paraId="2F422777" w14:textId="4F029BA3" w:rsidR="008020E2" w:rsidRDefault="00137C20">
      <w:pPr>
        <w:widowControl w:val="0"/>
        <w:tabs>
          <w:tab w:val="left" w:pos="567"/>
        </w:tabs>
        <w:autoSpaceDE w:val="0"/>
        <w:autoSpaceDN w:val="0"/>
        <w:adjustRightInd w:val="0"/>
        <w:spacing w:line="260" w:lineRule="exact"/>
        <w:rPr>
          <w:snapToGrid w:val="0"/>
          <w:szCs w:val="22"/>
          <w:u w:val="single"/>
        </w:rPr>
      </w:pPr>
      <w:r>
        <w:rPr>
          <w:snapToGrid w:val="0"/>
          <w:szCs w:val="22"/>
          <w:u w:val="single"/>
        </w:rPr>
        <w:t>4 mg plėvele dengtos tabletės</w:t>
      </w:r>
      <w:r>
        <w:rPr>
          <w:snapToGrid w:val="0"/>
          <w:szCs w:val="22"/>
        </w:rPr>
        <w:t xml:space="preserve">: rusvai raudonos, apvalios, abipus išgaubtos, plėvele dengtos tabletės, kurių vienoje pusėje įspausta žyma „4“. Tabletės skersmuo </w:t>
      </w:r>
      <w:r w:rsidR="002F1A1C">
        <w:rPr>
          <w:snapToGrid w:val="0"/>
          <w:szCs w:val="22"/>
        </w:rPr>
        <w:t>apytiksliai</w:t>
      </w:r>
      <w:r>
        <w:rPr>
          <w:snapToGrid w:val="0"/>
          <w:szCs w:val="22"/>
        </w:rPr>
        <w:t xml:space="preserve"> </w:t>
      </w:r>
      <w:r>
        <w:rPr>
          <w:bCs/>
          <w:snapToGrid w:val="0"/>
          <w:szCs w:val="22"/>
        </w:rPr>
        <w:t>9 mm.</w:t>
      </w:r>
    </w:p>
    <w:p w14:paraId="17F0D4AD" w14:textId="77777777" w:rsidR="008020E2" w:rsidRDefault="008020E2">
      <w:pPr>
        <w:widowControl w:val="0"/>
        <w:tabs>
          <w:tab w:val="left" w:pos="567"/>
        </w:tabs>
        <w:rPr>
          <w:snapToGrid w:val="0"/>
          <w:szCs w:val="22"/>
        </w:rPr>
      </w:pPr>
    </w:p>
    <w:p w14:paraId="0D1BBF87" w14:textId="77777777" w:rsidR="008020E2" w:rsidRDefault="008020E2">
      <w:pPr>
        <w:widowControl w:val="0"/>
        <w:tabs>
          <w:tab w:val="left" w:pos="567"/>
        </w:tabs>
        <w:rPr>
          <w:snapToGrid w:val="0"/>
          <w:szCs w:val="22"/>
        </w:rPr>
      </w:pPr>
    </w:p>
    <w:p w14:paraId="7C8F46E0" w14:textId="77777777" w:rsidR="008020E2" w:rsidRDefault="00137C20">
      <w:pPr>
        <w:widowControl w:val="0"/>
        <w:tabs>
          <w:tab w:val="left" w:pos="567"/>
        </w:tabs>
        <w:rPr>
          <w:b/>
          <w:bCs/>
          <w:snapToGrid w:val="0"/>
          <w:szCs w:val="22"/>
        </w:rPr>
      </w:pPr>
      <w:r>
        <w:rPr>
          <w:b/>
          <w:bCs/>
          <w:snapToGrid w:val="0"/>
          <w:szCs w:val="22"/>
        </w:rPr>
        <w:t>4.</w:t>
      </w:r>
      <w:r>
        <w:rPr>
          <w:b/>
          <w:bCs/>
          <w:snapToGrid w:val="0"/>
          <w:szCs w:val="22"/>
        </w:rPr>
        <w:tab/>
        <w:t>KLINIKINĖ INFORMACIJA</w:t>
      </w:r>
    </w:p>
    <w:p w14:paraId="1F9EFF5B" w14:textId="77777777" w:rsidR="008020E2" w:rsidRDefault="008020E2">
      <w:pPr>
        <w:widowControl w:val="0"/>
        <w:tabs>
          <w:tab w:val="left" w:pos="567"/>
        </w:tabs>
        <w:rPr>
          <w:b/>
          <w:bCs/>
          <w:snapToGrid w:val="0"/>
          <w:szCs w:val="22"/>
        </w:rPr>
      </w:pPr>
    </w:p>
    <w:p w14:paraId="31B702D4" w14:textId="77777777" w:rsidR="008020E2" w:rsidRDefault="00137C20">
      <w:pPr>
        <w:widowControl w:val="0"/>
        <w:tabs>
          <w:tab w:val="left" w:pos="567"/>
        </w:tabs>
        <w:rPr>
          <w:b/>
          <w:bCs/>
          <w:snapToGrid w:val="0"/>
          <w:szCs w:val="22"/>
        </w:rPr>
      </w:pPr>
      <w:r>
        <w:rPr>
          <w:b/>
          <w:bCs/>
          <w:snapToGrid w:val="0"/>
          <w:szCs w:val="22"/>
        </w:rPr>
        <w:t>4.1</w:t>
      </w:r>
      <w:r>
        <w:rPr>
          <w:b/>
          <w:bCs/>
          <w:snapToGrid w:val="0"/>
          <w:szCs w:val="22"/>
        </w:rPr>
        <w:tab/>
        <w:t>Terapinės indikacijos</w:t>
      </w:r>
    </w:p>
    <w:p w14:paraId="54F43E67" w14:textId="77777777" w:rsidR="008020E2" w:rsidRDefault="008020E2">
      <w:pPr>
        <w:widowControl w:val="0"/>
        <w:tabs>
          <w:tab w:val="left" w:pos="567"/>
        </w:tabs>
        <w:rPr>
          <w:snapToGrid w:val="0"/>
          <w:szCs w:val="22"/>
        </w:rPr>
      </w:pPr>
    </w:p>
    <w:p w14:paraId="390AE8E2" w14:textId="32199BE6" w:rsidR="008020E2" w:rsidRDefault="00137C20">
      <w:pPr>
        <w:widowControl w:val="0"/>
        <w:tabs>
          <w:tab w:val="left" w:pos="567"/>
        </w:tabs>
        <w:rPr>
          <w:szCs w:val="22"/>
        </w:rPr>
      </w:pPr>
      <w:proofErr w:type="spellStart"/>
      <w:r>
        <w:rPr>
          <w:snapToGrid w:val="0"/>
          <w:szCs w:val="22"/>
        </w:rPr>
        <w:t>Pitipix</w:t>
      </w:r>
      <w:proofErr w:type="spellEnd"/>
      <w:r>
        <w:rPr>
          <w:snapToGrid w:val="0"/>
          <w:szCs w:val="22"/>
        </w:rPr>
        <w:t xml:space="preserve"> </w:t>
      </w:r>
      <w:r w:rsidR="005E1D77">
        <w:rPr>
          <w:snapToGrid w:val="0"/>
          <w:szCs w:val="22"/>
        </w:rPr>
        <w:t>skirta</w:t>
      </w:r>
      <w:r w:rsidR="00B83B53">
        <w:rPr>
          <w:snapToGrid w:val="0"/>
          <w:szCs w:val="22"/>
        </w:rPr>
        <w:t>s</w:t>
      </w:r>
      <w:r w:rsidR="005E1D77">
        <w:rPr>
          <w:snapToGrid w:val="0"/>
          <w:szCs w:val="22"/>
        </w:rPr>
        <w:t xml:space="preserve"> </w:t>
      </w:r>
      <w:r>
        <w:rPr>
          <w:snapToGrid w:val="0"/>
          <w:szCs w:val="22"/>
        </w:rPr>
        <w:t>padidėjusiai bendrojo cholesterolio (BC) ir mažo tankio lipoproteinų cholesterolio (MTL</w:t>
      </w:r>
      <w:r>
        <w:rPr>
          <w:snapToGrid w:val="0"/>
          <w:szCs w:val="22"/>
        </w:rPr>
        <w:noBreakHyphen/>
        <w:t>C) koncentracijai mažinti</w:t>
      </w:r>
      <w:r>
        <w:rPr>
          <w:snapToGrid w:val="0"/>
          <w:szCs w:val="20"/>
        </w:rPr>
        <w:t xml:space="preserve"> </w:t>
      </w:r>
      <w:r>
        <w:rPr>
          <w:snapToGrid w:val="0"/>
          <w:szCs w:val="22"/>
        </w:rPr>
        <w:t xml:space="preserve">pirmine </w:t>
      </w:r>
      <w:proofErr w:type="spellStart"/>
      <w:r>
        <w:rPr>
          <w:snapToGrid w:val="0"/>
          <w:szCs w:val="22"/>
        </w:rPr>
        <w:t>hipercholesterolemija</w:t>
      </w:r>
      <w:proofErr w:type="spellEnd"/>
      <w:r>
        <w:rPr>
          <w:snapToGrid w:val="0"/>
          <w:szCs w:val="22"/>
        </w:rPr>
        <w:t xml:space="preserve">, įskaitant </w:t>
      </w:r>
      <w:proofErr w:type="spellStart"/>
      <w:r>
        <w:rPr>
          <w:snapToGrid w:val="0"/>
          <w:szCs w:val="22"/>
        </w:rPr>
        <w:t>heterozigotinę</w:t>
      </w:r>
      <w:proofErr w:type="spellEnd"/>
      <w:r>
        <w:rPr>
          <w:snapToGrid w:val="0"/>
          <w:szCs w:val="22"/>
        </w:rPr>
        <w:t xml:space="preserve"> šeiminę </w:t>
      </w:r>
      <w:proofErr w:type="spellStart"/>
      <w:r>
        <w:rPr>
          <w:snapToGrid w:val="0"/>
          <w:szCs w:val="22"/>
        </w:rPr>
        <w:t>hipercholesterolemiją</w:t>
      </w:r>
      <w:proofErr w:type="spellEnd"/>
      <w:r>
        <w:rPr>
          <w:snapToGrid w:val="0"/>
          <w:szCs w:val="22"/>
        </w:rPr>
        <w:t xml:space="preserve">, arba kombinuotąja (mišria) </w:t>
      </w:r>
      <w:proofErr w:type="spellStart"/>
      <w:r w:rsidRPr="00B66500">
        <w:rPr>
          <w:snapToGrid w:val="0"/>
          <w:szCs w:val="22"/>
        </w:rPr>
        <w:t>dislipidemija</w:t>
      </w:r>
      <w:proofErr w:type="spellEnd"/>
      <w:r>
        <w:rPr>
          <w:snapToGrid w:val="0"/>
          <w:szCs w:val="22"/>
        </w:rPr>
        <w:t xml:space="preserve"> sergantiems suaugusiesiems, paaugliams ir 6 metų bei vyresniems vaikams, kai</w:t>
      </w:r>
      <w:r w:rsidR="009C1DF7">
        <w:rPr>
          <w:snapToGrid w:val="0"/>
          <w:szCs w:val="22"/>
        </w:rPr>
        <w:t xml:space="preserve"> organizmo</w:t>
      </w:r>
      <w:r>
        <w:rPr>
          <w:snapToGrid w:val="0"/>
          <w:szCs w:val="22"/>
        </w:rPr>
        <w:t xml:space="preserve"> atsakas į dietą ir kitas nefarmakologines gydymo priemones yra nepakankamas.</w:t>
      </w:r>
    </w:p>
    <w:p w14:paraId="7294FC6B" w14:textId="77777777" w:rsidR="008020E2" w:rsidRDefault="008020E2">
      <w:pPr>
        <w:widowControl w:val="0"/>
        <w:tabs>
          <w:tab w:val="left" w:pos="567"/>
        </w:tabs>
        <w:rPr>
          <w:snapToGrid w:val="0"/>
          <w:szCs w:val="22"/>
        </w:rPr>
      </w:pPr>
    </w:p>
    <w:p w14:paraId="58A4784D" w14:textId="77777777" w:rsidR="008020E2" w:rsidRDefault="00137C20">
      <w:pPr>
        <w:widowControl w:val="0"/>
        <w:tabs>
          <w:tab w:val="left" w:pos="567"/>
        </w:tabs>
        <w:rPr>
          <w:b/>
          <w:bCs/>
          <w:snapToGrid w:val="0"/>
          <w:szCs w:val="22"/>
        </w:rPr>
      </w:pPr>
      <w:r>
        <w:rPr>
          <w:b/>
          <w:bCs/>
          <w:snapToGrid w:val="0"/>
          <w:szCs w:val="22"/>
        </w:rPr>
        <w:t>4.2</w:t>
      </w:r>
      <w:r>
        <w:rPr>
          <w:b/>
          <w:bCs/>
          <w:snapToGrid w:val="0"/>
          <w:szCs w:val="22"/>
        </w:rPr>
        <w:tab/>
        <w:t>Dozavimas ir vartojimo metodas</w:t>
      </w:r>
    </w:p>
    <w:p w14:paraId="38A7FD50" w14:textId="77777777" w:rsidR="008020E2" w:rsidRDefault="008020E2">
      <w:pPr>
        <w:widowControl w:val="0"/>
        <w:tabs>
          <w:tab w:val="left" w:pos="567"/>
        </w:tabs>
        <w:rPr>
          <w:snapToGrid w:val="0"/>
          <w:szCs w:val="22"/>
        </w:rPr>
      </w:pPr>
    </w:p>
    <w:p w14:paraId="1FADA9A6" w14:textId="77777777" w:rsidR="008020E2" w:rsidRDefault="00137C20">
      <w:pPr>
        <w:widowControl w:val="0"/>
        <w:tabs>
          <w:tab w:val="left" w:pos="567"/>
        </w:tabs>
        <w:rPr>
          <w:snapToGrid w:val="0"/>
          <w:szCs w:val="22"/>
          <w:u w:val="single"/>
        </w:rPr>
      </w:pPr>
      <w:r>
        <w:rPr>
          <w:snapToGrid w:val="0"/>
          <w:szCs w:val="22"/>
          <w:u w:val="single"/>
        </w:rPr>
        <w:t>Dozavimas</w:t>
      </w:r>
    </w:p>
    <w:p w14:paraId="645218FF" w14:textId="77777777" w:rsidR="008020E2" w:rsidRDefault="008020E2">
      <w:pPr>
        <w:widowControl w:val="0"/>
        <w:tabs>
          <w:tab w:val="left" w:pos="567"/>
        </w:tabs>
        <w:rPr>
          <w:snapToGrid w:val="0"/>
          <w:szCs w:val="22"/>
          <w:u w:val="single"/>
        </w:rPr>
      </w:pPr>
    </w:p>
    <w:p w14:paraId="3C95EAB8" w14:textId="77777777" w:rsidR="008020E2" w:rsidRDefault="00137C20">
      <w:pPr>
        <w:widowControl w:val="0"/>
        <w:tabs>
          <w:tab w:val="left" w:pos="567"/>
        </w:tabs>
        <w:spacing w:line="260" w:lineRule="exact"/>
        <w:rPr>
          <w:rFonts w:eastAsia="Calibri"/>
          <w:snapToGrid w:val="0"/>
          <w:szCs w:val="22"/>
        </w:rPr>
      </w:pPr>
      <w:r>
        <w:rPr>
          <w:rFonts w:eastAsia="Calibri"/>
          <w:snapToGrid w:val="0"/>
          <w:szCs w:val="22"/>
        </w:rPr>
        <w:t xml:space="preserve">Prieš pradedant gydymą pacientai turi laikytis cholesterolio koncentraciją mažinančios dietos. Svarbu, </w:t>
      </w:r>
      <w:r>
        <w:rPr>
          <w:rFonts w:eastAsia="Calibri"/>
          <w:snapToGrid w:val="0"/>
          <w:szCs w:val="22"/>
        </w:rPr>
        <w:lastRenderedPageBreak/>
        <w:t>kad visi pacientai gydymo metu toliau kontroliuotų mitybą.</w:t>
      </w:r>
    </w:p>
    <w:p w14:paraId="5E5A66E4" w14:textId="77777777" w:rsidR="008020E2" w:rsidRDefault="008020E2">
      <w:pPr>
        <w:widowControl w:val="0"/>
        <w:rPr>
          <w:szCs w:val="22"/>
        </w:rPr>
      </w:pPr>
    </w:p>
    <w:p w14:paraId="4D2A0EB2" w14:textId="77777777" w:rsidR="008020E2" w:rsidRDefault="00137C20">
      <w:pPr>
        <w:widowControl w:val="0"/>
        <w:rPr>
          <w:szCs w:val="22"/>
        </w:rPr>
      </w:pPr>
      <w:r>
        <w:rPr>
          <w:szCs w:val="22"/>
        </w:rPr>
        <w:t>Įprastinė pradinė vieną kartą per parą vartojama dozė yra 1 mg. Dozę galima koreguoti kas 4 savaites ar rečiau. Dozė turi būti parenkama individualiai, atsižvelgiant į MTL</w:t>
      </w:r>
      <w:r>
        <w:rPr>
          <w:szCs w:val="22"/>
        </w:rPr>
        <w:noBreakHyphen/>
        <w:t>C koncentraciją, gydymo tikslą ir paciento atsaką. Didžiausia paros dozė yra 4 mg.</w:t>
      </w:r>
    </w:p>
    <w:p w14:paraId="6182A2A5" w14:textId="77777777" w:rsidR="008020E2" w:rsidRDefault="008020E2">
      <w:pPr>
        <w:widowControl w:val="0"/>
        <w:rPr>
          <w:szCs w:val="22"/>
        </w:rPr>
      </w:pPr>
    </w:p>
    <w:p w14:paraId="6BA687EE" w14:textId="77777777" w:rsidR="008020E2" w:rsidRDefault="00137C20">
      <w:pPr>
        <w:widowControl w:val="0"/>
        <w:rPr>
          <w:szCs w:val="22"/>
          <w:u w:val="single"/>
        </w:rPr>
      </w:pPr>
      <w:r>
        <w:rPr>
          <w:szCs w:val="22"/>
          <w:u w:val="single"/>
        </w:rPr>
        <w:t>Senyvi pacientai</w:t>
      </w:r>
    </w:p>
    <w:p w14:paraId="6EB99631" w14:textId="77777777" w:rsidR="008020E2" w:rsidRDefault="008020E2">
      <w:pPr>
        <w:widowControl w:val="0"/>
        <w:rPr>
          <w:szCs w:val="22"/>
        </w:rPr>
      </w:pPr>
    </w:p>
    <w:p w14:paraId="60C3C2D2" w14:textId="77777777" w:rsidR="008020E2" w:rsidRDefault="00137C20">
      <w:pPr>
        <w:widowControl w:val="0"/>
        <w:rPr>
          <w:szCs w:val="22"/>
        </w:rPr>
      </w:pPr>
      <w:r>
        <w:rPr>
          <w:szCs w:val="22"/>
        </w:rPr>
        <w:t>Vyresniems kaip 70 metų pacientams dozės koreguoti nereikia (žr. 5.1 skyrių ir 5.2 skyrių).</w:t>
      </w:r>
    </w:p>
    <w:p w14:paraId="5115D737" w14:textId="77777777" w:rsidR="008020E2" w:rsidRDefault="008020E2">
      <w:pPr>
        <w:widowControl w:val="0"/>
        <w:rPr>
          <w:szCs w:val="22"/>
        </w:rPr>
      </w:pPr>
    </w:p>
    <w:p w14:paraId="4DEE4C85" w14:textId="77777777" w:rsidR="008020E2" w:rsidRDefault="00137C20">
      <w:pPr>
        <w:widowControl w:val="0"/>
        <w:rPr>
          <w:i/>
          <w:iCs/>
          <w:szCs w:val="22"/>
          <w:u w:val="single"/>
        </w:rPr>
      </w:pPr>
      <w:r>
        <w:rPr>
          <w:i/>
          <w:iCs/>
          <w:szCs w:val="22"/>
          <w:u w:val="single"/>
        </w:rPr>
        <w:t>Vaikų populiacija</w:t>
      </w:r>
    </w:p>
    <w:p w14:paraId="49FA679A" w14:textId="77777777" w:rsidR="008020E2" w:rsidRDefault="008020E2">
      <w:pPr>
        <w:widowControl w:val="0"/>
        <w:rPr>
          <w:szCs w:val="22"/>
        </w:rPr>
      </w:pPr>
    </w:p>
    <w:p w14:paraId="26655E42" w14:textId="77777777" w:rsidR="008020E2" w:rsidRDefault="00137C20">
      <w:pPr>
        <w:widowControl w:val="0"/>
        <w:rPr>
          <w:i/>
          <w:iCs/>
          <w:szCs w:val="22"/>
        </w:rPr>
      </w:pPr>
      <w:r>
        <w:rPr>
          <w:i/>
          <w:iCs/>
          <w:szCs w:val="22"/>
        </w:rPr>
        <w:t>6 metų ir vyresni vaikai ir paaugliai</w:t>
      </w:r>
    </w:p>
    <w:p w14:paraId="19DDBF41" w14:textId="77777777" w:rsidR="008020E2" w:rsidRDefault="00137C20">
      <w:pPr>
        <w:widowControl w:val="0"/>
        <w:rPr>
          <w:szCs w:val="22"/>
        </w:rPr>
      </w:pPr>
      <w:proofErr w:type="spellStart"/>
      <w:r>
        <w:rPr>
          <w:szCs w:val="22"/>
        </w:rPr>
        <w:t>Pitipix</w:t>
      </w:r>
      <w:proofErr w:type="spellEnd"/>
      <w:r>
        <w:rPr>
          <w:szCs w:val="22"/>
        </w:rPr>
        <w:t xml:space="preserve"> skirti vaikams gali tik gydytojas, turintis </w:t>
      </w:r>
      <w:proofErr w:type="spellStart"/>
      <w:r>
        <w:rPr>
          <w:szCs w:val="22"/>
        </w:rPr>
        <w:t>hiperlipidemijos</w:t>
      </w:r>
      <w:proofErr w:type="spellEnd"/>
      <w:r>
        <w:rPr>
          <w:szCs w:val="22"/>
        </w:rPr>
        <w:t xml:space="preserve"> gydymo patirties, ir būtina reguliariai vertinti gydymo eigą.</w:t>
      </w:r>
    </w:p>
    <w:p w14:paraId="6AFED9B5" w14:textId="77777777" w:rsidR="008020E2" w:rsidRDefault="008020E2">
      <w:pPr>
        <w:widowControl w:val="0"/>
        <w:rPr>
          <w:szCs w:val="22"/>
        </w:rPr>
      </w:pPr>
    </w:p>
    <w:p w14:paraId="4DF2DE54" w14:textId="77777777" w:rsidR="008020E2" w:rsidRDefault="00137C20">
      <w:pPr>
        <w:widowControl w:val="0"/>
        <w:rPr>
          <w:szCs w:val="22"/>
        </w:rPr>
      </w:pPr>
      <w:r>
        <w:rPr>
          <w:szCs w:val="22"/>
        </w:rPr>
        <w:t xml:space="preserve">Vaikams ir paaugliams, sergantiems </w:t>
      </w:r>
      <w:proofErr w:type="spellStart"/>
      <w:r>
        <w:rPr>
          <w:szCs w:val="22"/>
        </w:rPr>
        <w:t>heterozigotine</w:t>
      </w:r>
      <w:proofErr w:type="spellEnd"/>
      <w:r>
        <w:rPr>
          <w:szCs w:val="22"/>
        </w:rPr>
        <w:t xml:space="preserve"> šeimine </w:t>
      </w:r>
      <w:proofErr w:type="spellStart"/>
      <w:r>
        <w:rPr>
          <w:szCs w:val="22"/>
        </w:rPr>
        <w:t>hipercholesterolemija</w:t>
      </w:r>
      <w:proofErr w:type="spellEnd"/>
      <w:r>
        <w:rPr>
          <w:szCs w:val="22"/>
        </w:rPr>
        <w:t>, įprastinė pradinė vieną kartą per parą vartojama dozė yra 1 mg. Dozę galima koreguoti kas 4 savaites ar rečiau. Dozė turi būti parenkama individualiai, atsižvelgiant į MTL</w:t>
      </w:r>
      <w:r>
        <w:rPr>
          <w:szCs w:val="22"/>
        </w:rPr>
        <w:noBreakHyphen/>
        <w:t>C koncentraciją, gydymo tikslą ir paciento atsaką. 6</w:t>
      </w:r>
      <w:r>
        <w:rPr>
          <w:szCs w:val="22"/>
        </w:rPr>
        <w:noBreakHyphen/>
        <w:t>9 metų vaikams didžiausia paros dozė yra 2 mg. 10 metų ir vyresniems vaikams didžiausia paros dozė yra 4 mg (žr. 4.8, 5.1 ir 5.2 skyrius).</w:t>
      </w:r>
    </w:p>
    <w:p w14:paraId="794813CE" w14:textId="77777777" w:rsidR="008020E2" w:rsidRDefault="008020E2">
      <w:pPr>
        <w:widowControl w:val="0"/>
        <w:rPr>
          <w:szCs w:val="22"/>
        </w:rPr>
      </w:pPr>
    </w:p>
    <w:p w14:paraId="5D2CB720" w14:textId="77777777" w:rsidR="008020E2" w:rsidRDefault="00137C20">
      <w:pPr>
        <w:widowControl w:val="0"/>
        <w:rPr>
          <w:i/>
          <w:iCs/>
          <w:szCs w:val="22"/>
        </w:rPr>
      </w:pPr>
      <w:r>
        <w:rPr>
          <w:i/>
          <w:iCs/>
          <w:szCs w:val="22"/>
        </w:rPr>
        <w:t>Jaunesni nei 6 metų vaikai</w:t>
      </w:r>
    </w:p>
    <w:p w14:paraId="177A390B" w14:textId="77777777" w:rsidR="008020E2" w:rsidRDefault="00137C20">
      <w:pPr>
        <w:widowControl w:val="0"/>
        <w:rPr>
          <w:szCs w:val="22"/>
        </w:rPr>
      </w:pPr>
      <w:proofErr w:type="spellStart"/>
      <w:r>
        <w:rPr>
          <w:szCs w:val="22"/>
        </w:rPr>
        <w:t>Pitipix</w:t>
      </w:r>
      <w:proofErr w:type="spellEnd"/>
      <w:r>
        <w:rPr>
          <w:szCs w:val="22"/>
        </w:rPr>
        <w:t xml:space="preserve"> saugumas ir veiksmingumas jaunesniems nei 6 metų vaikams neištirti. Duomenų nėra.</w:t>
      </w:r>
    </w:p>
    <w:p w14:paraId="46EB1C7C" w14:textId="77777777" w:rsidR="008020E2" w:rsidRDefault="008020E2">
      <w:pPr>
        <w:widowControl w:val="0"/>
        <w:rPr>
          <w:szCs w:val="22"/>
        </w:rPr>
      </w:pPr>
    </w:p>
    <w:p w14:paraId="44B09172" w14:textId="77777777" w:rsidR="008020E2" w:rsidRDefault="00137C20">
      <w:pPr>
        <w:widowControl w:val="0"/>
        <w:rPr>
          <w:szCs w:val="22"/>
          <w:u w:val="single"/>
        </w:rPr>
      </w:pPr>
      <w:r>
        <w:rPr>
          <w:szCs w:val="22"/>
          <w:u w:val="single"/>
        </w:rPr>
        <w:t>Pacientams, kurių inkstų funkcija sutrikusi</w:t>
      </w:r>
    </w:p>
    <w:p w14:paraId="44C8986F" w14:textId="77777777" w:rsidR="008020E2" w:rsidRDefault="00137C20">
      <w:pPr>
        <w:widowControl w:val="0"/>
        <w:rPr>
          <w:szCs w:val="22"/>
        </w:rPr>
      </w:pPr>
      <w:r>
        <w:rPr>
          <w:szCs w:val="22"/>
        </w:rPr>
        <w:t xml:space="preserve">Esant lengvam inkstų funkcijos sutrikimui, dozės koreguoti nereikia, tačiau </w:t>
      </w:r>
      <w:proofErr w:type="spellStart"/>
      <w:r>
        <w:rPr>
          <w:szCs w:val="22"/>
        </w:rPr>
        <w:t>pitavastatiną</w:t>
      </w:r>
      <w:proofErr w:type="spellEnd"/>
      <w:r>
        <w:rPr>
          <w:szCs w:val="22"/>
        </w:rPr>
        <w:t xml:space="preserve"> būtina vartoti atsargiai. Duomenų apie 4 mg dozės vartojimą esant bet kokio laipsnio inkstų funkcijos sutrikimui yra nedaug. Todėl 4 mg dozė turėtų būti vartojama TIK atidžiai stebint ir po laipsniško dozės didinimo. Pacientams, kuriems yra sunkus inkstų funkcijos sutrikimas, 4 mg dozės vartoti nerekomenduojama (žr. 4.4 skyrių ir 5.2 skyrių).</w:t>
      </w:r>
    </w:p>
    <w:p w14:paraId="5E8CA1E1" w14:textId="77777777" w:rsidR="008020E2" w:rsidRDefault="008020E2">
      <w:pPr>
        <w:widowControl w:val="0"/>
        <w:rPr>
          <w:szCs w:val="22"/>
        </w:rPr>
      </w:pPr>
    </w:p>
    <w:p w14:paraId="542B207C" w14:textId="77777777" w:rsidR="008020E2" w:rsidRDefault="00137C20">
      <w:pPr>
        <w:widowControl w:val="0"/>
        <w:rPr>
          <w:szCs w:val="22"/>
          <w:u w:val="single"/>
        </w:rPr>
      </w:pPr>
      <w:r>
        <w:rPr>
          <w:szCs w:val="22"/>
          <w:u w:val="single"/>
        </w:rPr>
        <w:t>Pacientams, kurių kepenų funkcija lengvai ar vidutiniškai sutrikusi</w:t>
      </w:r>
    </w:p>
    <w:p w14:paraId="158A1688" w14:textId="77777777" w:rsidR="008020E2" w:rsidRDefault="00137C20">
      <w:pPr>
        <w:widowControl w:val="0"/>
        <w:rPr>
          <w:szCs w:val="22"/>
        </w:rPr>
      </w:pPr>
      <w:r>
        <w:rPr>
          <w:szCs w:val="22"/>
        </w:rPr>
        <w:t>Pacientams, kuriems yra lengvas arba vidutinio sunkumo kepenų funkcijos sutrikimas, 4 mg dozės vartoti nerekomenduojama. Didžiausia paros dozė yra 2 mg, ją skiriant pacientą būtina atidžiai stebėti (žr. 4.4 skyrių ir 5.2 skyrių).</w:t>
      </w:r>
    </w:p>
    <w:p w14:paraId="6D8F1EF1" w14:textId="77777777" w:rsidR="008020E2" w:rsidRDefault="008020E2">
      <w:pPr>
        <w:widowControl w:val="0"/>
        <w:rPr>
          <w:szCs w:val="22"/>
        </w:rPr>
      </w:pPr>
    </w:p>
    <w:p w14:paraId="26A304F4" w14:textId="77777777" w:rsidR="008020E2" w:rsidRDefault="00137C20">
      <w:pPr>
        <w:widowControl w:val="0"/>
        <w:rPr>
          <w:szCs w:val="22"/>
          <w:u w:val="single"/>
          <w:lang w:eastAsia="sl-SI"/>
        </w:rPr>
      </w:pPr>
      <w:r>
        <w:rPr>
          <w:szCs w:val="22"/>
          <w:u w:val="single"/>
          <w:lang w:eastAsia="sl-SI"/>
        </w:rPr>
        <w:t>Vartojimo metodas</w:t>
      </w:r>
    </w:p>
    <w:p w14:paraId="5701D2CA" w14:textId="77777777" w:rsidR="008020E2" w:rsidRDefault="00137C20">
      <w:pPr>
        <w:widowControl w:val="0"/>
        <w:rPr>
          <w:snapToGrid w:val="0"/>
          <w:szCs w:val="22"/>
        </w:rPr>
      </w:pPr>
      <w:r>
        <w:rPr>
          <w:snapToGrid w:val="0"/>
          <w:szCs w:val="22"/>
        </w:rPr>
        <w:t xml:space="preserve">Šis vaistinis preparatas skirtas tik vartoti per burną, tabletė turi būti nuryjama visa. </w:t>
      </w:r>
      <w:proofErr w:type="spellStart"/>
      <w:r>
        <w:rPr>
          <w:snapToGrid w:val="0"/>
          <w:szCs w:val="22"/>
        </w:rPr>
        <w:t>Pitipix</w:t>
      </w:r>
      <w:proofErr w:type="spellEnd"/>
      <w:r>
        <w:rPr>
          <w:snapToGrid w:val="0"/>
          <w:szCs w:val="22"/>
        </w:rPr>
        <w:t xml:space="preserve"> galima vartoti bet kuriuo paros metu valgant arba nevalgius. Pageidautina, kad pacientas tabletę išgertų kiekvieną dieną tuo pačiu metu. Gydymas </w:t>
      </w:r>
      <w:proofErr w:type="spellStart"/>
      <w:r>
        <w:rPr>
          <w:snapToGrid w:val="0"/>
          <w:szCs w:val="22"/>
        </w:rPr>
        <w:t>statinais</w:t>
      </w:r>
      <w:proofErr w:type="spellEnd"/>
      <w:r>
        <w:rPr>
          <w:snapToGrid w:val="0"/>
          <w:szCs w:val="22"/>
        </w:rPr>
        <w:t xml:space="preserve"> paprastai yra veiksmingesnis vaistinį preparatą vartojant vakare dėl lipidų apykaitos </w:t>
      </w:r>
      <w:proofErr w:type="spellStart"/>
      <w:r>
        <w:rPr>
          <w:snapToGrid w:val="0"/>
          <w:szCs w:val="22"/>
        </w:rPr>
        <w:t>cirkadinio</w:t>
      </w:r>
      <w:proofErr w:type="spellEnd"/>
      <w:r>
        <w:rPr>
          <w:snapToGrid w:val="0"/>
          <w:szCs w:val="22"/>
        </w:rPr>
        <w:t xml:space="preserve"> ritmo.</w:t>
      </w:r>
    </w:p>
    <w:p w14:paraId="7C007A87" w14:textId="77777777" w:rsidR="008020E2" w:rsidRDefault="008020E2">
      <w:pPr>
        <w:widowControl w:val="0"/>
        <w:rPr>
          <w:szCs w:val="22"/>
        </w:rPr>
      </w:pPr>
    </w:p>
    <w:p w14:paraId="39698381" w14:textId="705910E8" w:rsidR="008020E2" w:rsidRDefault="00137C20">
      <w:pPr>
        <w:widowControl w:val="0"/>
        <w:rPr>
          <w:snapToGrid w:val="0"/>
          <w:szCs w:val="22"/>
        </w:rPr>
      </w:pPr>
      <w:r>
        <w:rPr>
          <w:snapToGrid w:val="0"/>
          <w:szCs w:val="22"/>
        </w:rPr>
        <w:t xml:space="preserve">Jeigu vaikas ar paauglys negali nuryti tabletės, prireikus tabletę galima </w:t>
      </w:r>
      <w:r w:rsidR="00120C8B">
        <w:rPr>
          <w:snapToGrid w:val="0"/>
          <w:szCs w:val="22"/>
        </w:rPr>
        <w:t xml:space="preserve">ištirpinti </w:t>
      </w:r>
      <w:r>
        <w:rPr>
          <w:snapToGrid w:val="0"/>
          <w:szCs w:val="22"/>
        </w:rPr>
        <w:t xml:space="preserve">stiklinėje vandens ir iš karto išgerti. Siekiant užtikrinti tikslų dozavimą, į stiklinę reikia antrą kartą įpilti vandens, </w:t>
      </w:r>
      <w:r w:rsidR="0063034A">
        <w:rPr>
          <w:snapToGrid w:val="0"/>
          <w:szCs w:val="22"/>
        </w:rPr>
        <w:t>iš</w:t>
      </w:r>
      <w:r w:rsidR="00E02001">
        <w:rPr>
          <w:snapToGrid w:val="0"/>
          <w:szCs w:val="22"/>
        </w:rPr>
        <w:t xml:space="preserve">maišyti </w:t>
      </w:r>
      <w:r>
        <w:rPr>
          <w:snapToGrid w:val="0"/>
          <w:szCs w:val="22"/>
        </w:rPr>
        <w:t xml:space="preserve">ir iš karto </w:t>
      </w:r>
      <w:r w:rsidR="00785F87">
        <w:rPr>
          <w:snapToGrid w:val="0"/>
          <w:szCs w:val="22"/>
        </w:rPr>
        <w:t>išgerti</w:t>
      </w:r>
      <w:r>
        <w:rPr>
          <w:snapToGrid w:val="0"/>
          <w:szCs w:val="22"/>
        </w:rPr>
        <w:t xml:space="preserve">. Tablečių negalima </w:t>
      </w:r>
      <w:r w:rsidR="00E02001">
        <w:rPr>
          <w:snapToGrid w:val="0"/>
          <w:szCs w:val="22"/>
        </w:rPr>
        <w:t xml:space="preserve">tirpinti </w:t>
      </w:r>
      <w:r>
        <w:rPr>
          <w:snapToGrid w:val="0"/>
          <w:szCs w:val="22"/>
        </w:rPr>
        <w:t xml:space="preserve">rūgščiose vaisių </w:t>
      </w:r>
      <w:proofErr w:type="spellStart"/>
      <w:r>
        <w:rPr>
          <w:snapToGrid w:val="0"/>
          <w:szCs w:val="22"/>
        </w:rPr>
        <w:t>sultyse</w:t>
      </w:r>
      <w:proofErr w:type="spellEnd"/>
      <w:r>
        <w:rPr>
          <w:snapToGrid w:val="0"/>
          <w:szCs w:val="22"/>
        </w:rPr>
        <w:t xml:space="preserve"> arba piene.</w:t>
      </w:r>
    </w:p>
    <w:p w14:paraId="1FE6CC73" w14:textId="77777777" w:rsidR="008020E2" w:rsidRDefault="008020E2">
      <w:pPr>
        <w:widowControl w:val="0"/>
        <w:rPr>
          <w:snapToGrid w:val="0"/>
          <w:szCs w:val="22"/>
        </w:rPr>
      </w:pPr>
    </w:p>
    <w:p w14:paraId="743E106C" w14:textId="77777777" w:rsidR="008020E2" w:rsidRDefault="00137C20">
      <w:pPr>
        <w:widowControl w:val="0"/>
        <w:tabs>
          <w:tab w:val="left" w:pos="567"/>
        </w:tabs>
        <w:rPr>
          <w:b/>
          <w:bCs/>
          <w:snapToGrid w:val="0"/>
          <w:szCs w:val="22"/>
        </w:rPr>
      </w:pPr>
      <w:r>
        <w:rPr>
          <w:b/>
          <w:bCs/>
          <w:snapToGrid w:val="0"/>
          <w:szCs w:val="22"/>
        </w:rPr>
        <w:t>4.3</w:t>
      </w:r>
      <w:r>
        <w:rPr>
          <w:b/>
          <w:bCs/>
          <w:snapToGrid w:val="0"/>
          <w:szCs w:val="22"/>
        </w:rPr>
        <w:tab/>
        <w:t>Kontraindikacijos</w:t>
      </w:r>
    </w:p>
    <w:p w14:paraId="0C08E55D" w14:textId="77777777" w:rsidR="008020E2" w:rsidRDefault="008020E2">
      <w:pPr>
        <w:widowControl w:val="0"/>
        <w:tabs>
          <w:tab w:val="left" w:pos="567"/>
        </w:tabs>
        <w:rPr>
          <w:snapToGrid w:val="0"/>
          <w:szCs w:val="22"/>
        </w:rPr>
      </w:pPr>
    </w:p>
    <w:p w14:paraId="4C53EA70" w14:textId="77777777" w:rsidR="008020E2" w:rsidRDefault="00137C20">
      <w:pPr>
        <w:autoSpaceDE w:val="0"/>
        <w:autoSpaceDN w:val="0"/>
        <w:adjustRightInd w:val="0"/>
        <w:rPr>
          <w:szCs w:val="22"/>
        </w:rPr>
      </w:pPr>
      <w:proofErr w:type="spellStart"/>
      <w:r>
        <w:rPr>
          <w:szCs w:val="22"/>
        </w:rPr>
        <w:t>Pitipix</w:t>
      </w:r>
      <w:proofErr w:type="spellEnd"/>
      <w:r>
        <w:rPr>
          <w:szCs w:val="22"/>
        </w:rPr>
        <w:t xml:space="preserve"> vartoti draudžiama:</w:t>
      </w:r>
    </w:p>
    <w:p w14:paraId="4A55B9BB" w14:textId="77777777" w:rsidR="008020E2" w:rsidRDefault="00137C20">
      <w:pPr>
        <w:numPr>
          <w:ilvl w:val="0"/>
          <w:numId w:val="24"/>
        </w:numPr>
        <w:tabs>
          <w:tab w:val="left" w:pos="567"/>
        </w:tabs>
        <w:autoSpaceDE w:val="0"/>
        <w:autoSpaceDN w:val="0"/>
        <w:adjustRightInd w:val="0"/>
        <w:spacing w:line="260" w:lineRule="exact"/>
        <w:ind w:left="567" w:hanging="567"/>
        <w:rPr>
          <w:szCs w:val="22"/>
        </w:rPr>
      </w:pPr>
      <w:r>
        <w:rPr>
          <w:szCs w:val="22"/>
        </w:rPr>
        <w:t xml:space="preserve">pacientams, kuriems yra padidėjęs jautrumas </w:t>
      </w:r>
      <w:proofErr w:type="spellStart"/>
      <w:r>
        <w:rPr>
          <w:szCs w:val="22"/>
        </w:rPr>
        <w:t>pitavastatinui</w:t>
      </w:r>
      <w:proofErr w:type="spellEnd"/>
      <w:r>
        <w:rPr>
          <w:szCs w:val="22"/>
        </w:rPr>
        <w:t xml:space="preserve">, bet kuriai 6.1 skyriuje nurodytai pagalbinei medžiagai ar kitiems </w:t>
      </w:r>
      <w:proofErr w:type="spellStart"/>
      <w:r>
        <w:rPr>
          <w:szCs w:val="22"/>
        </w:rPr>
        <w:t>statinams</w:t>
      </w:r>
      <w:proofErr w:type="spellEnd"/>
      <w:r>
        <w:rPr>
          <w:szCs w:val="22"/>
        </w:rPr>
        <w:t>;</w:t>
      </w:r>
    </w:p>
    <w:p w14:paraId="55C31C1D" w14:textId="77777777" w:rsidR="008020E2" w:rsidRDefault="00137C20">
      <w:pPr>
        <w:numPr>
          <w:ilvl w:val="0"/>
          <w:numId w:val="24"/>
        </w:numPr>
        <w:tabs>
          <w:tab w:val="left" w:pos="567"/>
        </w:tabs>
        <w:autoSpaceDE w:val="0"/>
        <w:autoSpaceDN w:val="0"/>
        <w:adjustRightInd w:val="0"/>
        <w:spacing w:line="260" w:lineRule="exact"/>
        <w:ind w:left="567" w:hanging="567"/>
        <w:rPr>
          <w:szCs w:val="22"/>
        </w:rPr>
      </w:pPr>
      <w:r>
        <w:rPr>
          <w:szCs w:val="22"/>
        </w:rPr>
        <w:t xml:space="preserve">pacientams, kuriems yra sunkus kepenų funkcijos sutrikimas, kurie serga aktyvia kepenų liga ar kuriems yra neaiškios priežasties sukeltas išliekantis </w:t>
      </w:r>
      <w:proofErr w:type="spellStart"/>
      <w:r>
        <w:rPr>
          <w:szCs w:val="22"/>
        </w:rPr>
        <w:t>transaminazių</w:t>
      </w:r>
      <w:proofErr w:type="spellEnd"/>
      <w:r>
        <w:rPr>
          <w:szCs w:val="22"/>
        </w:rPr>
        <w:t xml:space="preserve"> aktyvumo padidėjimas kraujo serume, kai viršutinė normos riba [VNR] viršijama daugiau kaip 3 kartus; </w:t>
      </w:r>
    </w:p>
    <w:p w14:paraId="391A74EE" w14:textId="77777777" w:rsidR="008020E2" w:rsidRDefault="00137C20">
      <w:pPr>
        <w:numPr>
          <w:ilvl w:val="0"/>
          <w:numId w:val="24"/>
        </w:numPr>
        <w:tabs>
          <w:tab w:val="left" w:pos="567"/>
        </w:tabs>
        <w:autoSpaceDE w:val="0"/>
        <w:autoSpaceDN w:val="0"/>
        <w:adjustRightInd w:val="0"/>
        <w:spacing w:line="260" w:lineRule="exact"/>
        <w:ind w:left="567" w:hanging="567"/>
        <w:rPr>
          <w:szCs w:val="22"/>
        </w:rPr>
      </w:pPr>
      <w:r>
        <w:rPr>
          <w:szCs w:val="22"/>
        </w:rPr>
        <w:t xml:space="preserve">pacientams, sergantiems </w:t>
      </w:r>
      <w:proofErr w:type="spellStart"/>
      <w:r>
        <w:rPr>
          <w:szCs w:val="22"/>
        </w:rPr>
        <w:t>miopatija</w:t>
      </w:r>
      <w:proofErr w:type="spellEnd"/>
      <w:r>
        <w:rPr>
          <w:szCs w:val="22"/>
        </w:rPr>
        <w:t>;</w:t>
      </w:r>
    </w:p>
    <w:p w14:paraId="4704939F" w14:textId="23EA8AAC" w:rsidR="008020E2" w:rsidRDefault="00137C20">
      <w:pPr>
        <w:numPr>
          <w:ilvl w:val="0"/>
          <w:numId w:val="24"/>
        </w:numPr>
        <w:tabs>
          <w:tab w:val="left" w:pos="567"/>
        </w:tabs>
        <w:autoSpaceDE w:val="0"/>
        <w:autoSpaceDN w:val="0"/>
        <w:adjustRightInd w:val="0"/>
        <w:spacing w:line="260" w:lineRule="exact"/>
        <w:ind w:left="567" w:hanging="567"/>
        <w:rPr>
          <w:szCs w:val="22"/>
        </w:rPr>
      </w:pPr>
      <w:r>
        <w:rPr>
          <w:szCs w:val="22"/>
        </w:rPr>
        <w:t>pacientams, kurie tuo pa</w:t>
      </w:r>
      <w:r w:rsidR="008C3757">
        <w:rPr>
          <w:szCs w:val="22"/>
        </w:rPr>
        <w:t>čiu</w:t>
      </w:r>
      <w:r>
        <w:rPr>
          <w:szCs w:val="22"/>
        </w:rPr>
        <w:t xml:space="preserve"> metu vartoja </w:t>
      </w:r>
      <w:proofErr w:type="spellStart"/>
      <w:r>
        <w:rPr>
          <w:szCs w:val="22"/>
        </w:rPr>
        <w:t>ciklosporiną</w:t>
      </w:r>
      <w:proofErr w:type="spellEnd"/>
      <w:r>
        <w:rPr>
          <w:szCs w:val="22"/>
        </w:rPr>
        <w:t>;</w:t>
      </w:r>
    </w:p>
    <w:p w14:paraId="15A00757" w14:textId="77777777" w:rsidR="008020E2" w:rsidRDefault="00137C20">
      <w:pPr>
        <w:numPr>
          <w:ilvl w:val="0"/>
          <w:numId w:val="24"/>
        </w:numPr>
        <w:tabs>
          <w:tab w:val="left" w:pos="567"/>
        </w:tabs>
        <w:autoSpaceDE w:val="0"/>
        <w:autoSpaceDN w:val="0"/>
        <w:adjustRightInd w:val="0"/>
        <w:spacing w:line="260" w:lineRule="exact"/>
        <w:ind w:left="567" w:hanging="567"/>
        <w:rPr>
          <w:szCs w:val="22"/>
          <w:lang w:eastAsia="sl-SI"/>
        </w:rPr>
      </w:pPr>
      <w:r>
        <w:rPr>
          <w:szCs w:val="22"/>
        </w:rPr>
        <w:t>nėštumo metu, žindymo laikotarpiu ir vaisingoms moterims, kurios nenaudoja tinkamų kontracepcijos priemonių.</w:t>
      </w:r>
    </w:p>
    <w:p w14:paraId="37466082" w14:textId="77777777" w:rsidR="008020E2" w:rsidRDefault="008020E2">
      <w:pPr>
        <w:widowControl w:val="0"/>
        <w:tabs>
          <w:tab w:val="left" w:pos="567"/>
        </w:tabs>
        <w:rPr>
          <w:snapToGrid w:val="0"/>
          <w:szCs w:val="22"/>
        </w:rPr>
      </w:pPr>
    </w:p>
    <w:p w14:paraId="21F13525" w14:textId="77777777" w:rsidR="008020E2" w:rsidRDefault="00137C20">
      <w:pPr>
        <w:widowControl w:val="0"/>
        <w:tabs>
          <w:tab w:val="left" w:pos="567"/>
        </w:tabs>
        <w:rPr>
          <w:b/>
          <w:bCs/>
          <w:snapToGrid w:val="0"/>
          <w:szCs w:val="22"/>
        </w:rPr>
      </w:pPr>
      <w:r>
        <w:rPr>
          <w:b/>
          <w:bCs/>
          <w:snapToGrid w:val="0"/>
          <w:szCs w:val="22"/>
        </w:rPr>
        <w:t>4.4</w:t>
      </w:r>
      <w:r>
        <w:rPr>
          <w:b/>
          <w:bCs/>
          <w:snapToGrid w:val="0"/>
          <w:szCs w:val="22"/>
        </w:rPr>
        <w:tab/>
        <w:t>Specialūs įspėjimai ir atsargumo priemonės</w:t>
      </w:r>
    </w:p>
    <w:p w14:paraId="3D907EB8" w14:textId="77777777" w:rsidR="008020E2" w:rsidRDefault="008020E2">
      <w:pPr>
        <w:widowControl w:val="0"/>
        <w:tabs>
          <w:tab w:val="left" w:pos="567"/>
        </w:tabs>
        <w:rPr>
          <w:snapToGrid w:val="0"/>
          <w:szCs w:val="22"/>
        </w:rPr>
      </w:pPr>
    </w:p>
    <w:p w14:paraId="6B5A2E1C" w14:textId="77777777" w:rsidR="008020E2" w:rsidRDefault="00137C20">
      <w:pPr>
        <w:autoSpaceDE w:val="0"/>
        <w:autoSpaceDN w:val="0"/>
        <w:adjustRightInd w:val="0"/>
        <w:rPr>
          <w:bCs/>
          <w:i/>
          <w:szCs w:val="22"/>
        </w:rPr>
      </w:pPr>
      <w:r>
        <w:rPr>
          <w:bCs/>
          <w:i/>
          <w:szCs w:val="22"/>
        </w:rPr>
        <w:t>Poveikis raumenims</w:t>
      </w:r>
    </w:p>
    <w:p w14:paraId="7DA7DD22" w14:textId="77777777" w:rsidR="008020E2" w:rsidRDefault="00137C20">
      <w:pPr>
        <w:autoSpaceDE w:val="0"/>
        <w:autoSpaceDN w:val="0"/>
        <w:adjustRightInd w:val="0"/>
        <w:rPr>
          <w:szCs w:val="22"/>
        </w:rPr>
      </w:pPr>
      <w:r>
        <w:rPr>
          <w:szCs w:val="22"/>
        </w:rPr>
        <w:t>Kaip ir vartojant bet kurių kitų HMG-</w:t>
      </w:r>
      <w:proofErr w:type="spellStart"/>
      <w:r>
        <w:rPr>
          <w:szCs w:val="22"/>
        </w:rPr>
        <w:t>KoA</w:t>
      </w:r>
      <w:proofErr w:type="spellEnd"/>
      <w:r>
        <w:rPr>
          <w:szCs w:val="22"/>
        </w:rPr>
        <w:t xml:space="preserve"> </w:t>
      </w:r>
      <w:proofErr w:type="spellStart"/>
      <w:r>
        <w:rPr>
          <w:szCs w:val="22"/>
        </w:rPr>
        <w:t>reduktazės</w:t>
      </w:r>
      <w:proofErr w:type="spellEnd"/>
      <w:r>
        <w:rPr>
          <w:szCs w:val="22"/>
        </w:rPr>
        <w:t xml:space="preserve"> inhibitorių (</w:t>
      </w:r>
      <w:proofErr w:type="spellStart"/>
      <w:r>
        <w:rPr>
          <w:szCs w:val="22"/>
        </w:rPr>
        <w:t>statinų</w:t>
      </w:r>
      <w:proofErr w:type="spellEnd"/>
      <w:r>
        <w:rPr>
          <w:szCs w:val="22"/>
        </w:rPr>
        <w:t xml:space="preserve">), gali pasireikšti </w:t>
      </w:r>
      <w:proofErr w:type="spellStart"/>
      <w:r>
        <w:rPr>
          <w:szCs w:val="22"/>
        </w:rPr>
        <w:t>mialgija</w:t>
      </w:r>
      <w:proofErr w:type="spellEnd"/>
      <w:r>
        <w:rPr>
          <w:szCs w:val="22"/>
        </w:rPr>
        <w:t xml:space="preserve">, </w:t>
      </w:r>
      <w:proofErr w:type="spellStart"/>
      <w:r>
        <w:rPr>
          <w:szCs w:val="22"/>
        </w:rPr>
        <w:t>miopatija</w:t>
      </w:r>
      <w:proofErr w:type="spellEnd"/>
      <w:r>
        <w:rPr>
          <w:szCs w:val="22"/>
        </w:rPr>
        <w:t xml:space="preserve"> ir (retai) </w:t>
      </w:r>
      <w:proofErr w:type="spellStart"/>
      <w:r>
        <w:rPr>
          <w:szCs w:val="22"/>
        </w:rPr>
        <w:t>rabdomiolizė</w:t>
      </w:r>
      <w:proofErr w:type="spellEnd"/>
      <w:r>
        <w:rPr>
          <w:szCs w:val="22"/>
        </w:rPr>
        <w:t xml:space="preserve">. Pacientams turi būti nurodyta pranešti apie bet kokius su raumenimis susijusius simptomus. </w:t>
      </w:r>
      <w:proofErr w:type="spellStart"/>
      <w:r>
        <w:rPr>
          <w:szCs w:val="22"/>
        </w:rPr>
        <w:t>Kreatinkinazės</w:t>
      </w:r>
      <w:proofErr w:type="spellEnd"/>
      <w:r>
        <w:rPr>
          <w:szCs w:val="22"/>
        </w:rPr>
        <w:t xml:space="preserve"> (KK) aktyvumą būtina ištirti bet kuriam pacientui, kuris praneša apie raumenų skausmą, raumenų jautrumą ar silpnumą, ypač jei kartu pasireiškia bloga bendroji savijauta ar karščiavimas.</w:t>
      </w:r>
    </w:p>
    <w:p w14:paraId="2BDB5006" w14:textId="77777777" w:rsidR="008020E2" w:rsidRDefault="008020E2">
      <w:pPr>
        <w:autoSpaceDE w:val="0"/>
        <w:autoSpaceDN w:val="0"/>
        <w:adjustRightInd w:val="0"/>
        <w:rPr>
          <w:szCs w:val="22"/>
        </w:rPr>
      </w:pPr>
    </w:p>
    <w:p w14:paraId="1799B499" w14:textId="77777777" w:rsidR="008020E2" w:rsidRDefault="00137C20">
      <w:pPr>
        <w:autoSpaceDE w:val="0"/>
        <w:autoSpaceDN w:val="0"/>
        <w:adjustRightInd w:val="0"/>
        <w:rPr>
          <w:szCs w:val="22"/>
        </w:rPr>
      </w:pPr>
      <w:proofErr w:type="spellStart"/>
      <w:r>
        <w:rPr>
          <w:szCs w:val="22"/>
        </w:rPr>
        <w:t>Kreatinkinazės</w:t>
      </w:r>
      <w:proofErr w:type="spellEnd"/>
      <w:r>
        <w:rPr>
          <w:szCs w:val="22"/>
        </w:rPr>
        <w:t xml:space="preserve"> (KK) aktyvumo negalima tirti po didelio fizinio krūvio arba kai yra kita priežastis, dėl kurios gali padidėti KK aktyvumas, nes tai gali </w:t>
      </w:r>
      <w:r w:rsidRPr="0083341A">
        <w:rPr>
          <w:szCs w:val="22"/>
        </w:rPr>
        <w:t>apsunkinti</w:t>
      </w:r>
      <w:r>
        <w:rPr>
          <w:szCs w:val="22"/>
        </w:rPr>
        <w:t xml:space="preserve"> tyrimo duomenų vertinimą. Jeigu nustatomas padidėjęs KK aktyvumas (&gt; 5 kartus viršija VNR), per 5</w:t>
      </w:r>
      <w:r>
        <w:rPr>
          <w:szCs w:val="22"/>
        </w:rPr>
        <w:noBreakHyphen/>
        <w:t>7 dienas reikia atlikti patvirtinantį tyrimą.</w:t>
      </w:r>
    </w:p>
    <w:p w14:paraId="7EB210D1" w14:textId="77777777" w:rsidR="008020E2" w:rsidRDefault="008020E2">
      <w:pPr>
        <w:autoSpaceDE w:val="0"/>
        <w:autoSpaceDN w:val="0"/>
        <w:adjustRightInd w:val="0"/>
        <w:rPr>
          <w:szCs w:val="22"/>
        </w:rPr>
      </w:pPr>
    </w:p>
    <w:p w14:paraId="103C2DD2" w14:textId="77777777" w:rsidR="008020E2" w:rsidRDefault="00137C20">
      <w:pPr>
        <w:autoSpaceDE w:val="0"/>
        <w:autoSpaceDN w:val="0"/>
        <w:adjustRightInd w:val="0"/>
        <w:rPr>
          <w:szCs w:val="22"/>
        </w:rPr>
      </w:pPr>
      <w:r>
        <w:rPr>
          <w:szCs w:val="22"/>
        </w:rPr>
        <w:t xml:space="preserve">Gauta labai retų pranešimų apie gydymo kai kuriais </w:t>
      </w:r>
      <w:proofErr w:type="spellStart"/>
      <w:r>
        <w:rPr>
          <w:szCs w:val="22"/>
        </w:rPr>
        <w:t>statinais</w:t>
      </w:r>
      <w:proofErr w:type="spellEnd"/>
      <w:r>
        <w:rPr>
          <w:szCs w:val="22"/>
        </w:rPr>
        <w:t xml:space="preserve"> metu arba po gydymo pasireiškusią imuninių mechanizmų sukeltą </w:t>
      </w:r>
      <w:proofErr w:type="spellStart"/>
      <w:r>
        <w:rPr>
          <w:szCs w:val="22"/>
        </w:rPr>
        <w:t>nekrozinę</w:t>
      </w:r>
      <w:proofErr w:type="spellEnd"/>
      <w:r>
        <w:rPr>
          <w:szCs w:val="22"/>
        </w:rPr>
        <w:t xml:space="preserve"> </w:t>
      </w:r>
      <w:proofErr w:type="spellStart"/>
      <w:r>
        <w:rPr>
          <w:szCs w:val="22"/>
        </w:rPr>
        <w:t>miopatiją</w:t>
      </w:r>
      <w:proofErr w:type="spellEnd"/>
      <w:r>
        <w:rPr>
          <w:szCs w:val="22"/>
        </w:rPr>
        <w:t xml:space="preserve"> (angl.</w:t>
      </w:r>
      <w:r>
        <w:rPr>
          <w:i/>
          <w:iCs/>
          <w:szCs w:val="22"/>
        </w:rPr>
        <w:t xml:space="preserve"> </w:t>
      </w:r>
      <w:proofErr w:type="spellStart"/>
      <w:r>
        <w:rPr>
          <w:i/>
          <w:iCs/>
          <w:szCs w:val="22"/>
        </w:rPr>
        <w:t>immune-mediated</w:t>
      </w:r>
      <w:proofErr w:type="spellEnd"/>
      <w:r>
        <w:rPr>
          <w:i/>
          <w:iCs/>
          <w:szCs w:val="22"/>
        </w:rPr>
        <w:t xml:space="preserve"> </w:t>
      </w:r>
      <w:proofErr w:type="spellStart"/>
      <w:r>
        <w:rPr>
          <w:i/>
          <w:iCs/>
          <w:szCs w:val="22"/>
        </w:rPr>
        <w:t>necrotising</w:t>
      </w:r>
      <w:proofErr w:type="spellEnd"/>
      <w:r>
        <w:rPr>
          <w:i/>
          <w:iCs/>
          <w:szCs w:val="22"/>
        </w:rPr>
        <w:t xml:space="preserve"> </w:t>
      </w:r>
      <w:proofErr w:type="spellStart"/>
      <w:r>
        <w:rPr>
          <w:i/>
          <w:iCs/>
          <w:szCs w:val="22"/>
        </w:rPr>
        <w:t>myopathy</w:t>
      </w:r>
      <w:proofErr w:type="spellEnd"/>
      <w:r>
        <w:rPr>
          <w:szCs w:val="22"/>
        </w:rPr>
        <w:t xml:space="preserve">, IMNM). IMNM klinikiniai simptomai yra išliekantis </w:t>
      </w:r>
      <w:proofErr w:type="spellStart"/>
      <w:r>
        <w:rPr>
          <w:szCs w:val="22"/>
        </w:rPr>
        <w:t>proksimalinis</w:t>
      </w:r>
      <w:proofErr w:type="spellEnd"/>
      <w:r>
        <w:rPr>
          <w:szCs w:val="22"/>
        </w:rPr>
        <w:t xml:space="preserve"> raumenų silpnumas ir </w:t>
      </w:r>
      <w:proofErr w:type="spellStart"/>
      <w:r>
        <w:rPr>
          <w:szCs w:val="22"/>
        </w:rPr>
        <w:t>kreatinkinazės</w:t>
      </w:r>
      <w:proofErr w:type="spellEnd"/>
      <w:r>
        <w:rPr>
          <w:szCs w:val="22"/>
        </w:rPr>
        <w:t xml:space="preserve"> aktyvumo kraujo serume padidėjimas, kuris išlieka net ir nutraukus gydymą </w:t>
      </w:r>
      <w:proofErr w:type="spellStart"/>
      <w:r>
        <w:rPr>
          <w:szCs w:val="22"/>
        </w:rPr>
        <w:t>statinais</w:t>
      </w:r>
      <w:proofErr w:type="spellEnd"/>
      <w:r>
        <w:rPr>
          <w:szCs w:val="22"/>
        </w:rPr>
        <w:t>.</w:t>
      </w:r>
    </w:p>
    <w:p w14:paraId="6FB6898F" w14:textId="77777777" w:rsidR="008020E2" w:rsidRDefault="008020E2">
      <w:pPr>
        <w:autoSpaceDE w:val="0"/>
        <w:autoSpaceDN w:val="0"/>
        <w:adjustRightInd w:val="0"/>
        <w:rPr>
          <w:szCs w:val="22"/>
        </w:rPr>
      </w:pPr>
    </w:p>
    <w:p w14:paraId="48C81C99" w14:textId="4150D59A" w:rsidR="008020E2" w:rsidRDefault="00137C20">
      <w:pPr>
        <w:autoSpaceDE w:val="0"/>
        <w:autoSpaceDN w:val="0"/>
        <w:adjustRightInd w:val="0"/>
        <w:rPr>
          <w:szCs w:val="22"/>
        </w:rPr>
      </w:pPr>
      <w:proofErr w:type="spellStart"/>
      <w:r>
        <w:rPr>
          <w:szCs w:val="22"/>
        </w:rPr>
        <w:t>Pitipix</w:t>
      </w:r>
      <w:proofErr w:type="spellEnd"/>
      <w:r>
        <w:rPr>
          <w:szCs w:val="22"/>
        </w:rPr>
        <w:t xml:space="preserve"> negalima vartoti kartu su sisteminio poveikio </w:t>
      </w:r>
      <w:proofErr w:type="spellStart"/>
      <w:r>
        <w:rPr>
          <w:szCs w:val="22"/>
        </w:rPr>
        <w:t>fuzido</w:t>
      </w:r>
      <w:proofErr w:type="spellEnd"/>
      <w:r>
        <w:rPr>
          <w:szCs w:val="22"/>
        </w:rPr>
        <w:t xml:space="preserve"> rūgšties vaistiniais preparatais ir 7 dienas po gydymo </w:t>
      </w:r>
      <w:proofErr w:type="spellStart"/>
      <w:r>
        <w:rPr>
          <w:szCs w:val="22"/>
        </w:rPr>
        <w:t>fuzido</w:t>
      </w:r>
      <w:proofErr w:type="spellEnd"/>
      <w:r>
        <w:rPr>
          <w:szCs w:val="22"/>
        </w:rPr>
        <w:t xml:space="preserve"> rūgštimi nutraukimo. Pacientų, kuriems sisteminio poveikio </w:t>
      </w:r>
      <w:proofErr w:type="spellStart"/>
      <w:r>
        <w:rPr>
          <w:szCs w:val="22"/>
        </w:rPr>
        <w:t>fuzido</w:t>
      </w:r>
      <w:proofErr w:type="spellEnd"/>
      <w:r>
        <w:rPr>
          <w:szCs w:val="22"/>
        </w:rPr>
        <w:t xml:space="preserve"> rūgšties preparatų vartojimas būtinas, gydymas </w:t>
      </w:r>
      <w:proofErr w:type="spellStart"/>
      <w:r>
        <w:rPr>
          <w:szCs w:val="22"/>
        </w:rPr>
        <w:t>statinais</w:t>
      </w:r>
      <w:proofErr w:type="spellEnd"/>
      <w:r>
        <w:rPr>
          <w:szCs w:val="22"/>
        </w:rPr>
        <w:t xml:space="preserve"> </w:t>
      </w:r>
      <w:proofErr w:type="spellStart"/>
      <w:r>
        <w:rPr>
          <w:szCs w:val="22"/>
        </w:rPr>
        <w:t>fuzido</w:t>
      </w:r>
      <w:proofErr w:type="spellEnd"/>
      <w:r>
        <w:rPr>
          <w:szCs w:val="22"/>
        </w:rPr>
        <w:t xml:space="preserve"> rūgšties vartojimo laikotarpiu turi būti nutrauktas. Pranešta apie </w:t>
      </w:r>
      <w:proofErr w:type="spellStart"/>
      <w:r>
        <w:rPr>
          <w:szCs w:val="22"/>
        </w:rPr>
        <w:t>rabdomiolizės</w:t>
      </w:r>
      <w:proofErr w:type="spellEnd"/>
      <w:r>
        <w:rPr>
          <w:szCs w:val="22"/>
        </w:rPr>
        <w:t xml:space="preserve"> atvejus (įskaitant kelis mirtinus atvejus) pacientams, kurie kartu vartojo </w:t>
      </w:r>
      <w:proofErr w:type="spellStart"/>
      <w:r>
        <w:rPr>
          <w:szCs w:val="22"/>
        </w:rPr>
        <w:t>fuzido</w:t>
      </w:r>
      <w:proofErr w:type="spellEnd"/>
      <w:r>
        <w:rPr>
          <w:szCs w:val="22"/>
        </w:rPr>
        <w:t xml:space="preserve"> rūgšties ir </w:t>
      </w:r>
      <w:proofErr w:type="spellStart"/>
      <w:r>
        <w:rPr>
          <w:szCs w:val="22"/>
        </w:rPr>
        <w:t>statinų</w:t>
      </w:r>
      <w:proofErr w:type="spellEnd"/>
      <w:r>
        <w:rPr>
          <w:szCs w:val="22"/>
        </w:rPr>
        <w:t xml:space="preserve"> (žr. 4.5 skyrių). Pacientas turi būti informuojamas, kad nedelsdamas kreiptųsi į medikus, jeigu atsiras bet kokių raumenų silpnumo, skausmo ar jautrumo simptomų.</w:t>
      </w:r>
    </w:p>
    <w:p w14:paraId="3FFDF7EB" w14:textId="77777777" w:rsidR="008020E2" w:rsidRDefault="008020E2">
      <w:pPr>
        <w:autoSpaceDE w:val="0"/>
        <w:autoSpaceDN w:val="0"/>
        <w:adjustRightInd w:val="0"/>
        <w:rPr>
          <w:szCs w:val="22"/>
        </w:rPr>
      </w:pPr>
    </w:p>
    <w:p w14:paraId="0D1CC026" w14:textId="1B15F2B6" w:rsidR="008020E2" w:rsidRDefault="00137C20">
      <w:pPr>
        <w:autoSpaceDE w:val="0"/>
        <w:autoSpaceDN w:val="0"/>
        <w:adjustRightInd w:val="0"/>
        <w:rPr>
          <w:szCs w:val="22"/>
        </w:rPr>
      </w:pPr>
      <w:r>
        <w:rPr>
          <w:szCs w:val="22"/>
        </w:rPr>
        <w:t xml:space="preserve">Gydymą </w:t>
      </w:r>
      <w:proofErr w:type="spellStart"/>
      <w:r>
        <w:rPr>
          <w:szCs w:val="22"/>
        </w:rPr>
        <w:t>statinais</w:t>
      </w:r>
      <w:proofErr w:type="spellEnd"/>
      <w:r>
        <w:rPr>
          <w:szCs w:val="22"/>
        </w:rPr>
        <w:t xml:space="preserve"> galima atnaujinti praėjus septynioms dienoms nuo paskutiniosios </w:t>
      </w:r>
      <w:proofErr w:type="spellStart"/>
      <w:r>
        <w:rPr>
          <w:szCs w:val="22"/>
        </w:rPr>
        <w:t>fuzido</w:t>
      </w:r>
      <w:proofErr w:type="spellEnd"/>
      <w:r>
        <w:rPr>
          <w:szCs w:val="22"/>
        </w:rPr>
        <w:t xml:space="preserve"> rūgšties dozės pavartojimo. </w:t>
      </w:r>
      <w:r w:rsidR="000A1D72">
        <w:rPr>
          <w:szCs w:val="22"/>
        </w:rPr>
        <w:t xml:space="preserve">Išskirtiniais </w:t>
      </w:r>
      <w:r>
        <w:rPr>
          <w:szCs w:val="22"/>
        </w:rPr>
        <w:t xml:space="preserve">atvejais, kai reikalingas ilgesnis gydymas sisteminio poveikio </w:t>
      </w:r>
      <w:proofErr w:type="spellStart"/>
      <w:r>
        <w:rPr>
          <w:szCs w:val="22"/>
        </w:rPr>
        <w:t>fuzido</w:t>
      </w:r>
      <w:proofErr w:type="spellEnd"/>
      <w:r>
        <w:rPr>
          <w:szCs w:val="22"/>
        </w:rPr>
        <w:t xml:space="preserve"> rūgšties vaistiniu preparatu, pvz., gydant sunkias infekcines ligas, </w:t>
      </w:r>
      <w:r w:rsidR="00A32C58">
        <w:rPr>
          <w:szCs w:val="22"/>
        </w:rPr>
        <w:t xml:space="preserve">jei </w:t>
      </w:r>
      <w:r>
        <w:rPr>
          <w:szCs w:val="22"/>
        </w:rPr>
        <w:t>būtin</w:t>
      </w:r>
      <w:r w:rsidR="006E29BD">
        <w:rPr>
          <w:szCs w:val="22"/>
        </w:rPr>
        <w:t>a</w:t>
      </w:r>
      <w:r>
        <w:rPr>
          <w:szCs w:val="22"/>
        </w:rPr>
        <w:t xml:space="preserve"> kartu vartoti </w:t>
      </w:r>
      <w:proofErr w:type="spellStart"/>
      <w:r>
        <w:rPr>
          <w:szCs w:val="22"/>
        </w:rPr>
        <w:t>Pitipix</w:t>
      </w:r>
      <w:proofErr w:type="spellEnd"/>
      <w:r>
        <w:rPr>
          <w:szCs w:val="22"/>
        </w:rPr>
        <w:t xml:space="preserve"> ir </w:t>
      </w:r>
      <w:proofErr w:type="spellStart"/>
      <w:r>
        <w:rPr>
          <w:szCs w:val="22"/>
        </w:rPr>
        <w:t>fuzido</w:t>
      </w:r>
      <w:proofErr w:type="spellEnd"/>
      <w:r>
        <w:rPr>
          <w:szCs w:val="22"/>
        </w:rPr>
        <w:t xml:space="preserve"> rūgšties </w:t>
      </w:r>
      <w:r w:rsidR="00B611FD">
        <w:rPr>
          <w:szCs w:val="22"/>
        </w:rPr>
        <w:t>reik</w:t>
      </w:r>
      <w:r w:rsidR="00866729">
        <w:rPr>
          <w:szCs w:val="22"/>
        </w:rPr>
        <w:t>ia</w:t>
      </w:r>
      <w:r>
        <w:rPr>
          <w:szCs w:val="22"/>
        </w:rPr>
        <w:t xml:space="preserve"> apsvarstyt</w:t>
      </w:r>
      <w:r w:rsidR="00B611FD">
        <w:rPr>
          <w:szCs w:val="22"/>
        </w:rPr>
        <w:t>i</w:t>
      </w:r>
      <w:r>
        <w:rPr>
          <w:szCs w:val="22"/>
        </w:rPr>
        <w:t xml:space="preserve"> kiekvienu atskiru atveju bei toks gydymas turi būti skiriamas esant atidžiai medicininei priežiūrai.</w:t>
      </w:r>
    </w:p>
    <w:p w14:paraId="23043A1D" w14:textId="77777777" w:rsidR="008020E2" w:rsidRDefault="008020E2">
      <w:pPr>
        <w:autoSpaceDE w:val="0"/>
        <w:autoSpaceDN w:val="0"/>
        <w:adjustRightInd w:val="0"/>
        <w:rPr>
          <w:szCs w:val="22"/>
        </w:rPr>
      </w:pPr>
    </w:p>
    <w:p w14:paraId="743628DF" w14:textId="77777777" w:rsidR="008020E2" w:rsidRDefault="00137C20">
      <w:pPr>
        <w:autoSpaceDE w:val="0"/>
        <w:autoSpaceDN w:val="0"/>
        <w:adjustRightInd w:val="0"/>
        <w:rPr>
          <w:szCs w:val="22"/>
          <w:u w:val="single"/>
        </w:rPr>
      </w:pPr>
      <w:r>
        <w:rPr>
          <w:szCs w:val="22"/>
          <w:u w:val="single"/>
        </w:rPr>
        <w:t>Prieš gydymą</w:t>
      </w:r>
    </w:p>
    <w:p w14:paraId="5CCAF802" w14:textId="77777777" w:rsidR="008020E2" w:rsidRDefault="008020E2">
      <w:pPr>
        <w:autoSpaceDE w:val="0"/>
        <w:autoSpaceDN w:val="0"/>
        <w:adjustRightInd w:val="0"/>
        <w:rPr>
          <w:szCs w:val="22"/>
        </w:rPr>
      </w:pPr>
    </w:p>
    <w:p w14:paraId="71994E73" w14:textId="71892197" w:rsidR="008020E2" w:rsidRDefault="00137C20">
      <w:pPr>
        <w:autoSpaceDE w:val="0"/>
        <w:autoSpaceDN w:val="0"/>
        <w:adjustRightInd w:val="0"/>
        <w:rPr>
          <w:szCs w:val="22"/>
        </w:rPr>
      </w:pPr>
      <w:proofErr w:type="spellStart"/>
      <w:r>
        <w:rPr>
          <w:szCs w:val="22"/>
        </w:rPr>
        <w:t>Pitipix</w:t>
      </w:r>
      <w:proofErr w:type="spellEnd"/>
      <w:r>
        <w:rPr>
          <w:szCs w:val="22"/>
        </w:rPr>
        <w:t xml:space="preserve">, kaip ir kitų </w:t>
      </w:r>
      <w:proofErr w:type="spellStart"/>
      <w:r>
        <w:rPr>
          <w:szCs w:val="22"/>
        </w:rPr>
        <w:t>statinų</w:t>
      </w:r>
      <w:proofErr w:type="spellEnd"/>
      <w:r>
        <w:rPr>
          <w:szCs w:val="22"/>
        </w:rPr>
        <w:t xml:space="preserve">, reikia atsargiai skirti vartoti pacientams, kuriems yra nustatyta </w:t>
      </w:r>
      <w:proofErr w:type="spellStart"/>
      <w:r>
        <w:rPr>
          <w:szCs w:val="22"/>
        </w:rPr>
        <w:t>rabdomiolizės</w:t>
      </w:r>
      <w:proofErr w:type="spellEnd"/>
      <w:r>
        <w:rPr>
          <w:szCs w:val="22"/>
        </w:rPr>
        <w:t xml:space="preserve"> rizikos veiksnių. Būtina ištirti </w:t>
      </w:r>
      <w:proofErr w:type="spellStart"/>
      <w:r>
        <w:rPr>
          <w:szCs w:val="22"/>
        </w:rPr>
        <w:t>kreatinkinazės</w:t>
      </w:r>
      <w:proofErr w:type="spellEnd"/>
      <w:r>
        <w:rPr>
          <w:szCs w:val="22"/>
        </w:rPr>
        <w:t xml:space="preserve"> aktyvumą, kad būtų žinomas pradinis </w:t>
      </w:r>
      <w:r w:rsidR="00F85D7E">
        <w:rPr>
          <w:szCs w:val="22"/>
        </w:rPr>
        <w:t>rodiklis</w:t>
      </w:r>
      <w:r>
        <w:rPr>
          <w:szCs w:val="22"/>
        </w:rPr>
        <w:t>, jei yra toliau išvardyta būklė:</w:t>
      </w:r>
    </w:p>
    <w:p w14:paraId="216376EF" w14:textId="77777777" w:rsidR="008020E2" w:rsidRDefault="00137C20">
      <w:pPr>
        <w:numPr>
          <w:ilvl w:val="0"/>
          <w:numId w:val="26"/>
        </w:numPr>
        <w:tabs>
          <w:tab w:val="left" w:pos="567"/>
        </w:tabs>
        <w:autoSpaceDE w:val="0"/>
        <w:autoSpaceDN w:val="0"/>
        <w:adjustRightInd w:val="0"/>
        <w:spacing w:line="260" w:lineRule="exact"/>
        <w:ind w:left="567" w:hanging="567"/>
        <w:rPr>
          <w:szCs w:val="22"/>
        </w:rPr>
      </w:pPr>
      <w:r>
        <w:rPr>
          <w:szCs w:val="22"/>
        </w:rPr>
        <w:t>inkstų funkcijos sutrikimas;</w:t>
      </w:r>
    </w:p>
    <w:p w14:paraId="7FD66AB0" w14:textId="77777777" w:rsidR="008020E2" w:rsidRDefault="00137C20">
      <w:pPr>
        <w:numPr>
          <w:ilvl w:val="0"/>
          <w:numId w:val="26"/>
        </w:numPr>
        <w:tabs>
          <w:tab w:val="left" w:pos="567"/>
        </w:tabs>
        <w:autoSpaceDE w:val="0"/>
        <w:autoSpaceDN w:val="0"/>
        <w:adjustRightInd w:val="0"/>
        <w:spacing w:line="260" w:lineRule="exact"/>
        <w:ind w:left="567" w:hanging="567"/>
        <w:rPr>
          <w:szCs w:val="22"/>
        </w:rPr>
      </w:pPr>
      <w:proofErr w:type="spellStart"/>
      <w:r>
        <w:rPr>
          <w:szCs w:val="22"/>
        </w:rPr>
        <w:t>hipotirozė</w:t>
      </w:r>
      <w:proofErr w:type="spellEnd"/>
      <w:r>
        <w:rPr>
          <w:szCs w:val="22"/>
        </w:rPr>
        <w:t>;</w:t>
      </w:r>
    </w:p>
    <w:p w14:paraId="5FC7E729" w14:textId="34DA8C13" w:rsidR="008020E2" w:rsidRDefault="00137C20">
      <w:pPr>
        <w:numPr>
          <w:ilvl w:val="0"/>
          <w:numId w:val="26"/>
        </w:numPr>
        <w:tabs>
          <w:tab w:val="left" w:pos="567"/>
        </w:tabs>
        <w:autoSpaceDE w:val="0"/>
        <w:autoSpaceDN w:val="0"/>
        <w:adjustRightInd w:val="0"/>
        <w:spacing w:line="260" w:lineRule="exact"/>
        <w:ind w:left="567" w:hanging="567"/>
        <w:rPr>
          <w:szCs w:val="22"/>
        </w:rPr>
      </w:pPr>
      <w:r>
        <w:rPr>
          <w:szCs w:val="22"/>
        </w:rPr>
        <w:t xml:space="preserve">paciento arba jo kraujo giminaičiams diagnozuotas </w:t>
      </w:r>
      <w:r w:rsidR="00D6194A">
        <w:rPr>
          <w:szCs w:val="22"/>
        </w:rPr>
        <w:t>paveldim</w:t>
      </w:r>
      <w:r w:rsidR="00B1661D">
        <w:rPr>
          <w:szCs w:val="22"/>
        </w:rPr>
        <w:t>as</w:t>
      </w:r>
      <w:r w:rsidR="00D6194A">
        <w:rPr>
          <w:szCs w:val="22"/>
        </w:rPr>
        <w:t xml:space="preserve"> </w:t>
      </w:r>
      <w:r>
        <w:rPr>
          <w:szCs w:val="22"/>
        </w:rPr>
        <w:t>raumenų sutrikimas;</w:t>
      </w:r>
    </w:p>
    <w:p w14:paraId="12FBE83D" w14:textId="77777777" w:rsidR="008020E2" w:rsidRDefault="00137C20">
      <w:pPr>
        <w:numPr>
          <w:ilvl w:val="0"/>
          <w:numId w:val="26"/>
        </w:numPr>
        <w:tabs>
          <w:tab w:val="left" w:pos="567"/>
        </w:tabs>
        <w:autoSpaceDE w:val="0"/>
        <w:autoSpaceDN w:val="0"/>
        <w:adjustRightInd w:val="0"/>
        <w:spacing w:line="260" w:lineRule="exact"/>
        <w:ind w:left="567" w:hanging="567"/>
        <w:rPr>
          <w:szCs w:val="22"/>
        </w:rPr>
      </w:pPr>
      <w:r>
        <w:rPr>
          <w:szCs w:val="22"/>
        </w:rPr>
        <w:t xml:space="preserve">anksčiau vartojant </w:t>
      </w:r>
      <w:proofErr w:type="spellStart"/>
      <w:r>
        <w:rPr>
          <w:szCs w:val="22"/>
        </w:rPr>
        <w:t>fibratą</w:t>
      </w:r>
      <w:proofErr w:type="spellEnd"/>
      <w:r>
        <w:rPr>
          <w:szCs w:val="22"/>
        </w:rPr>
        <w:t xml:space="preserve"> arba kitą </w:t>
      </w:r>
      <w:proofErr w:type="spellStart"/>
      <w:r>
        <w:rPr>
          <w:szCs w:val="22"/>
        </w:rPr>
        <w:t>statiną</w:t>
      </w:r>
      <w:proofErr w:type="spellEnd"/>
      <w:r>
        <w:rPr>
          <w:szCs w:val="22"/>
        </w:rPr>
        <w:t xml:space="preserve"> pasireiškęs toksinis poveikis raumenims;</w:t>
      </w:r>
    </w:p>
    <w:p w14:paraId="6509258E" w14:textId="2C902B16" w:rsidR="008020E2" w:rsidRDefault="00137C20">
      <w:pPr>
        <w:numPr>
          <w:ilvl w:val="0"/>
          <w:numId w:val="26"/>
        </w:numPr>
        <w:tabs>
          <w:tab w:val="left" w:pos="567"/>
        </w:tabs>
        <w:autoSpaceDE w:val="0"/>
        <w:autoSpaceDN w:val="0"/>
        <w:adjustRightInd w:val="0"/>
        <w:spacing w:line="260" w:lineRule="exact"/>
        <w:ind w:left="567" w:hanging="567"/>
        <w:rPr>
          <w:szCs w:val="22"/>
        </w:rPr>
      </w:pPr>
      <w:r>
        <w:rPr>
          <w:szCs w:val="22"/>
        </w:rPr>
        <w:t xml:space="preserve">buvusi kepenų liga </w:t>
      </w:r>
      <w:r w:rsidR="00B1661D">
        <w:rPr>
          <w:szCs w:val="22"/>
        </w:rPr>
        <w:t>ir (</w:t>
      </w:r>
      <w:r>
        <w:rPr>
          <w:szCs w:val="22"/>
        </w:rPr>
        <w:t>arba</w:t>
      </w:r>
      <w:r w:rsidR="00B1661D">
        <w:rPr>
          <w:szCs w:val="22"/>
        </w:rPr>
        <w:t>)</w:t>
      </w:r>
      <w:r>
        <w:rPr>
          <w:szCs w:val="22"/>
        </w:rPr>
        <w:t xml:space="preserve"> piktnaudžiavimas alkoholiu;</w:t>
      </w:r>
    </w:p>
    <w:p w14:paraId="2AF297AC" w14:textId="646F611A" w:rsidR="008020E2" w:rsidRDefault="00137C20">
      <w:pPr>
        <w:numPr>
          <w:ilvl w:val="0"/>
          <w:numId w:val="26"/>
        </w:numPr>
        <w:tabs>
          <w:tab w:val="left" w:pos="567"/>
        </w:tabs>
        <w:autoSpaceDE w:val="0"/>
        <w:autoSpaceDN w:val="0"/>
        <w:adjustRightInd w:val="0"/>
        <w:spacing w:line="260" w:lineRule="exact"/>
        <w:ind w:left="567" w:hanging="567"/>
        <w:rPr>
          <w:szCs w:val="22"/>
        </w:rPr>
      </w:pPr>
      <w:r>
        <w:rPr>
          <w:szCs w:val="22"/>
        </w:rPr>
        <w:t xml:space="preserve">pacientas yra senyvas (vyresnis kaip 70 metų) ir yra kitų </w:t>
      </w:r>
      <w:proofErr w:type="spellStart"/>
      <w:r>
        <w:rPr>
          <w:szCs w:val="22"/>
        </w:rPr>
        <w:t>rabdomiolizės</w:t>
      </w:r>
      <w:proofErr w:type="spellEnd"/>
      <w:r>
        <w:rPr>
          <w:szCs w:val="22"/>
        </w:rPr>
        <w:t xml:space="preserve"> pasireiškimo </w:t>
      </w:r>
      <w:r w:rsidR="00812697">
        <w:rPr>
          <w:szCs w:val="22"/>
        </w:rPr>
        <w:t xml:space="preserve"> </w:t>
      </w:r>
      <w:r>
        <w:rPr>
          <w:szCs w:val="22"/>
        </w:rPr>
        <w:t>riziką didinančių veiksnių.</w:t>
      </w:r>
    </w:p>
    <w:p w14:paraId="37B16838" w14:textId="77777777" w:rsidR="008020E2" w:rsidRDefault="008020E2">
      <w:pPr>
        <w:autoSpaceDE w:val="0"/>
        <w:autoSpaceDN w:val="0"/>
        <w:adjustRightInd w:val="0"/>
        <w:rPr>
          <w:szCs w:val="22"/>
        </w:rPr>
      </w:pPr>
    </w:p>
    <w:p w14:paraId="2BF7F1CE" w14:textId="19E123F8" w:rsidR="008020E2" w:rsidRDefault="00137C20">
      <w:pPr>
        <w:autoSpaceDE w:val="0"/>
        <w:autoSpaceDN w:val="0"/>
        <w:adjustRightInd w:val="0"/>
        <w:rPr>
          <w:szCs w:val="22"/>
        </w:rPr>
      </w:pPr>
      <w:r>
        <w:rPr>
          <w:szCs w:val="22"/>
        </w:rPr>
        <w:t xml:space="preserve">Su gydymu susijusią riziką tokiems pacientams reikia įvertinti atsižvelgiant į galimą naudą, be to, rekomenduojama stebėti klinikinę pacientų būklę. Jeigu KK aktyvumas &gt; 5 kartus viršija VNR, gydymo </w:t>
      </w:r>
      <w:proofErr w:type="spellStart"/>
      <w:r>
        <w:rPr>
          <w:szCs w:val="22"/>
        </w:rPr>
        <w:t>Pitipix</w:t>
      </w:r>
      <w:proofErr w:type="spellEnd"/>
      <w:r>
        <w:rPr>
          <w:szCs w:val="22"/>
        </w:rPr>
        <w:t xml:space="preserve"> pradėti negalima.</w:t>
      </w:r>
    </w:p>
    <w:p w14:paraId="62042DEC" w14:textId="77777777" w:rsidR="008020E2" w:rsidRDefault="008020E2">
      <w:pPr>
        <w:autoSpaceDE w:val="0"/>
        <w:autoSpaceDN w:val="0"/>
        <w:adjustRightInd w:val="0"/>
        <w:rPr>
          <w:szCs w:val="22"/>
        </w:rPr>
      </w:pPr>
    </w:p>
    <w:p w14:paraId="55629884" w14:textId="77777777" w:rsidR="008020E2" w:rsidRDefault="00137C20">
      <w:pPr>
        <w:autoSpaceDE w:val="0"/>
        <w:autoSpaceDN w:val="0"/>
        <w:adjustRightInd w:val="0"/>
        <w:rPr>
          <w:szCs w:val="22"/>
          <w:u w:val="single"/>
        </w:rPr>
      </w:pPr>
      <w:r>
        <w:rPr>
          <w:szCs w:val="22"/>
          <w:u w:val="single"/>
        </w:rPr>
        <w:t>Gydymo metu</w:t>
      </w:r>
    </w:p>
    <w:p w14:paraId="4281DB5E" w14:textId="77777777" w:rsidR="008020E2" w:rsidRDefault="008020E2">
      <w:pPr>
        <w:autoSpaceDE w:val="0"/>
        <w:autoSpaceDN w:val="0"/>
        <w:adjustRightInd w:val="0"/>
        <w:rPr>
          <w:szCs w:val="22"/>
          <w:u w:val="single"/>
        </w:rPr>
      </w:pPr>
    </w:p>
    <w:p w14:paraId="0AC96FB5" w14:textId="3952E686" w:rsidR="008020E2" w:rsidRDefault="00137C20">
      <w:pPr>
        <w:autoSpaceDE w:val="0"/>
        <w:autoSpaceDN w:val="0"/>
        <w:adjustRightInd w:val="0"/>
        <w:rPr>
          <w:szCs w:val="22"/>
        </w:rPr>
      </w:pPr>
      <w:r>
        <w:rPr>
          <w:szCs w:val="22"/>
        </w:rPr>
        <w:t xml:space="preserve">Pacientams būtina nurodyti, kad nedelsdami praneštų apie atsiradusį raumenų skausmą, silpnumą ar mėšlungį. Reikia nustatyti </w:t>
      </w:r>
      <w:proofErr w:type="spellStart"/>
      <w:r>
        <w:rPr>
          <w:szCs w:val="22"/>
        </w:rPr>
        <w:t>kreatinkinazės</w:t>
      </w:r>
      <w:proofErr w:type="spellEnd"/>
      <w:r>
        <w:rPr>
          <w:szCs w:val="22"/>
        </w:rPr>
        <w:t xml:space="preserve"> aktyvumą ir jeigu KK aktyvumas &gt; 5 kartus viršija VNR, gydymą būtina nutraukti. Gydymo nutraukimą reikia apsvarstyti ir tuo atveju, jei raumenų pažeidimo simptomai yra sunkūs (net kai KK aktyvumas ≤ 5 kartus viršija VNR). </w:t>
      </w:r>
      <w:r>
        <w:rPr>
          <w:snapToGrid w:val="0"/>
          <w:szCs w:val="22"/>
        </w:rPr>
        <w:t xml:space="preserve">Jei simptomai išnyksta ir KK aktyvumas tampa normalus, galima apsvarstyti gydymo </w:t>
      </w:r>
      <w:proofErr w:type="spellStart"/>
      <w:r>
        <w:rPr>
          <w:snapToGrid w:val="0"/>
          <w:szCs w:val="22"/>
        </w:rPr>
        <w:t>Pitipix</w:t>
      </w:r>
      <w:proofErr w:type="spellEnd"/>
      <w:r>
        <w:rPr>
          <w:snapToGrid w:val="0"/>
          <w:szCs w:val="22"/>
        </w:rPr>
        <w:t xml:space="preserve"> atnaujinimą, skiriant 1 mg dozę ir pacientą atidžiai stebint.</w:t>
      </w:r>
    </w:p>
    <w:p w14:paraId="6CCF1BF6" w14:textId="77777777" w:rsidR="008020E2" w:rsidRDefault="008020E2">
      <w:pPr>
        <w:autoSpaceDE w:val="0"/>
        <w:autoSpaceDN w:val="0"/>
        <w:adjustRightInd w:val="0"/>
        <w:rPr>
          <w:b/>
          <w:bCs/>
          <w:szCs w:val="22"/>
        </w:rPr>
      </w:pPr>
    </w:p>
    <w:p w14:paraId="6070A8D2" w14:textId="77777777" w:rsidR="008020E2" w:rsidRDefault="00137C20">
      <w:pPr>
        <w:autoSpaceDE w:val="0"/>
        <w:autoSpaceDN w:val="0"/>
        <w:adjustRightInd w:val="0"/>
        <w:rPr>
          <w:bCs/>
          <w:i/>
          <w:szCs w:val="22"/>
        </w:rPr>
      </w:pPr>
      <w:r>
        <w:rPr>
          <w:bCs/>
          <w:i/>
          <w:szCs w:val="22"/>
        </w:rPr>
        <w:t>Poveikis kepenims</w:t>
      </w:r>
    </w:p>
    <w:p w14:paraId="5D097540" w14:textId="3036D4B8" w:rsidR="008020E2" w:rsidRDefault="00137C20">
      <w:pPr>
        <w:autoSpaceDE w:val="0"/>
        <w:autoSpaceDN w:val="0"/>
        <w:adjustRightInd w:val="0"/>
        <w:rPr>
          <w:szCs w:val="22"/>
        </w:rPr>
      </w:pPr>
      <w:proofErr w:type="spellStart"/>
      <w:r>
        <w:rPr>
          <w:szCs w:val="22"/>
        </w:rPr>
        <w:t>Pitipix</w:t>
      </w:r>
      <w:proofErr w:type="spellEnd"/>
      <w:r>
        <w:rPr>
          <w:szCs w:val="22"/>
        </w:rPr>
        <w:t xml:space="preserve">, kaip ir kitus </w:t>
      </w:r>
      <w:proofErr w:type="spellStart"/>
      <w:r>
        <w:rPr>
          <w:szCs w:val="22"/>
        </w:rPr>
        <w:t>statinus</w:t>
      </w:r>
      <w:proofErr w:type="spellEnd"/>
      <w:r>
        <w:rPr>
          <w:szCs w:val="22"/>
        </w:rPr>
        <w:t xml:space="preserve">, reikia atsargiai skirti pacientams, kuriems buvo diagnozuota kepenų liga ar kurie reguliariai gausiai vartoja alkoholį. Kepenų funkcijos tyrimus reikia atlikti prieš pradedant gydymą ir periodiškai jo metu. Gydymą </w:t>
      </w:r>
      <w:proofErr w:type="spellStart"/>
      <w:r>
        <w:rPr>
          <w:szCs w:val="22"/>
        </w:rPr>
        <w:t>Pitipix</w:t>
      </w:r>
      <w:proofErr w:type="spellEnd"/>
      <w:r>
        <w:rPr>
          <w:szCs w:val="22"/>
        </w:rPr>
        <w:t xml:space="preserve"> būtina nutraukti pacientams, kuriems yra </w:t>
      </w:r>
      <w:r w:rsidR="00137B4B">
        <w:rPr>
          <w:szCs w:val="22"/>
        </w:rPr>
        <w:t xml:space="preserve">daugiau kaip </w:t>
      </w:r>
      <w:r>
        <w:rPr>
          <w:szCs w:val="22"/>
        </w:rPr>
        <w:t xml:space="preserve">3 kartus VNR viršijantis išliekantis </w:t>
      </w:r>
      <w:r w:rsidR="00F00EA9">
        <w:rPr>
          <w:szCs w:val="22"/>
        </w:rPr>
        <w:t xml:space="preserve">padidėjęs </w:t>
      </w:r>
      <w:proofErr w:type="spellStart"/>
      <w:r>
        <w:rPr>
          <w:szCs w:val="22"/>
        </w:rPr>
        <w:t>transaminazių</w:t>
      </w:r>
      <w:proofErr w:type="spellEnd"/>
      <w:r>
        <w:rPr>
          <w:szCs w:val="22"/>
        </w:rPr>
        <w:t xml:space="preserve"> (ALT ir AST) aktyvumas kraujo serume.</w:t>
      </w:r>
    </w:p>
    <w:p w14:paraId="4EE406D8" w14:textId="77777777" w:rsidR="008020E2" w:rsidRDefault="008020E2">
      <w:pPr>
        <w:autoSpaceDE w:val="0"/>
        <w:autoSpaceDN w:val="0"/>
        <w:adjustRightInd w:val="0"/>
        <w:rPr>
          <w:b/>
          <w:bCs/>
          <w:szCs w:val="22"/>
        </w:rPr>
      </w:pPr>
    </w:p>
    <w:p w14:paraId="1CE76A35" w14:textId="77777777" w:rsidR="008020E2" w:rsidRDefault="00137C20">
      <w:pPr>
        <w:autoSpaceDE w:val="0"/>
        <w:autoSpaceDN w:val="0"/>
        <w:adjustRightInd w:val="0"/>
        <w:rPr>
          <w:bCs/>
          <w:i/>
          <w:szCs w:val="22"/>
        </w:rPr>
      </w:pPr>
      <w:r>
        <w:rPr>
          <w:bCs/>
          <w:i/>
          <w:szCs w:val="22"/>
        </w:rPr>
        <w:t>Poveikis inkstams</w:t>
      </w:r>
    </w:p>
    <w:p w14:paraId="74E22FA5" w14:textId="77777777" w:rsidR="008020E2" w:rsidRDefault="00137C20">
      <w:pPr>
        <w:autoSpaceDE w:val="0"/>
        <w:autoSpaceDN w:val="0"/>
        <w:adjustRightInd w:val="0"/>
        <w:rPr>
          <w:szCs w:val="22"/>
        </w:rPr>
      </w:pPr>
      <w:r>
        <w:rPr>
          <w:szCs w:val="22"/>
        </w:rPr>
        <w:t xml:space="preserve">Pacientams, kuriems yra vidutinio sunkumo ar sunkus inkstų funkcijos sutrikimas, </w:t>
      </w:r>
      <w:proofErr w:type="spellStart"/>
      <w:r>
        <w:rPr>
          <w:szCs w:val="22"/>
        </w:rPr>
        <w:t>Pitipix</w:t>
      </w:r>
      <w:proofErr w:type="spellEnd"/>
      <w:r>
        <w:rPr>
          <w:szCs w:val="22"/>
        </w:rPr>
        <w:t xml:space="preserve"> būtina vartoti atsargiai. Dozę galima didinti tik pacientą atidžiai stebint. Jei yra sunkus inkstų funkcijos sutrikimas, 4 mg dozės vartoti nerekomenduojama (žr. 4.2 skyrių).</w:t>
      </w:r>
    </w:p>
    <w:p w14:paraId="244AB638" w14:textId="77777777" w:rsidR="008020E2" w:rsidRDefault="008020E2">
      <w:pPr>
        <w:autoSpaceDE w:val="0"/>
        <w:autoSpaceDN w:val="0"/>
        <w:adjustRightInd w:val="0"/>
        <w:rPr>
          <w:b/>
          <w:bCs/>
          <w:szCs w:val="22"/>
        </w:rPr>
      </w:pPr>
    </w:p>
    <w:p w14:paraId="613D3DC3" w14:textId="77777777" w:rsidR="008020E2" w:rsidRDefault="00137C20">
      <w:pPr>
        <w:autoSpaceDE w:val="0"/>
        <w:autoSpaceDN w:val="0"/>
        <w:adjustRightInd w:val="0"/>
        <w:rPr>
          <w:bCs/>
          <w:i/>
          <w:szCs w:val="22"/>
        </w:rPr>
      </w:pPr>
      <w:r>
        <w:rPr>
          <w:bCs/>
          <w:i/>
          <w:szCs w:val="22"/>
        </w:rPr>
        <w:t>Cukrinis diabetas</w:t>
      </w:r>
    </w:p>
    <w:p w14:paraId="05773D42" w14:textId="04A06D52" w:rsidR="008020E2" w:rsidRDefault="00137C20">
      <w:pPr>
        <w:autoSpaceDE w:val="0"/>
        <w:autoSpaceDN w:val="0"/>
        <w:adjustRightInd w:val="0"/>
        <w:rPr>
          <w:szCs w:val="22"/>
        </w:rPr>
      </w:pPr>
      <w:r>
        <w:rPr>
          <w:szCs w:val="22"/>
        </w:rPr>
        <w:t xml:space="preserve">Yra tam tikrų duomenų, kad </w:t>
      </w:r>
      <w:proofErr w:type="spellStart"/>
      <w:r>
        <w:rPr>
          <w:szCs w:val="22"/>
        </w:rPr>
        <w:t>statinai</w:t>
      </w:r>
      <w:proofErr w:type="spellEnd"/>
      <w:r>
        <w:rPr>
          <w:szCs w:val="22"/>
        </w:rPr>
        <w:t xml:space="preserve"> (kaip klasė) didina gliukozės koncentraciją kraujyje ir kai kuriems pacientams, turintiems padid</w:t>
      </w:r>
      <w:r w:rsidR="00984F88">
        <w:rPr>
          <w:szCs w:val="22"/>
        </w:rPr>
        <w:t>ėjusią</w:t>
      </w:r>
      <w:r>
        <w:rPr>
          <w:szCs w:val="22"/>
        </w:rPr>
        <w:t xml:space="preserve"> cukrinio diabeto </w:t>
      </w:r>
      <w:r w:rsidR="000A4B00">
        <w:rPr>
          <w:szCs w:val="22"/>
        </w:rPr>
        <w:t xml:space="preserve">išsivystymo </w:t>
      </w:r>
      <w:r>
        <w:rPr>
          <w:szCs w:val="22"/>
        </w:rPr>
        <w:t>riziką, gali sukelti hiperglikemiją, kuri</w:t>
      </w:r>
      <w:r w:rsidR="007260C3">
        <w:rPr>
          <w:szCs w:val="22"/>
        </w:rPr>
        <w:t>os metu</w:t>
      </w:r>
      <w:r>
        <w:rPr>
          <w:szCs w:val="22"/>
        </w:rPr>
        <w:t xml:space="preserve"> turi būti </w:t>
      </w:r>
      <w:r w:rsidR="00501787">
        <w:rPr>
          <w:szCs w:val="22"/>
        </w:rPr>
        <w:t>skiriamas įprastas</w:t>
      </w:r>
      <w:r w:rsidR="005A43DC">
        <w:rPr>
          <w:szCs w:val="22"/>
        </w:rPr>
        <w:t xml:space="preserve"> </w:t>
      </w:r>
      <w:r>
        <w:rPr>
          <w:szCs w:val="22"/>
        </w:rPr>
        <w:t>cukrini</w:t>
      </w:r>
      <w:r w:rsidR="005A43DC">
        <w:rPr>
          <w:szCs w:val="22"/>
        </w:rPr>
        <w:t>o</w:t>
      </w:r>
      <w:r>
        <w:rPr>
          <w:szCs w:val="22"/>
        </w:rPr>
        <w:t xml:space="preserve"> diabet</w:t>
      </w:r>
      <w:r w:rsidR="005A43DC">
        <w:rPr>
          <w:szCs w:val="22"/>
        </w:rPr>
        <w:t xml:space="preserve">o </w:t>
      </w:r>
      <w:r w:rsidR="00501787">
        <w:rPr>
          <w:szCs w:val="22"/>
        </w:rPr>
        <w:t>gydymas</w:t>
      </w:r>
      <w:r>
        <w:rPr>
          <w:szCs w:val="22"/>
        </w:rPr>
        <w:t xml:space="preserve">. Vis dėlto šią riziką persveria </w:t>
      </w:r>
      <w:proofErr w:type="spellStart"/>
      <w:r>
        <w:rPr>
          <w:szCs w:val="22"/>
        </w:rPr>
        <w:t>statinų</w:t>
      </w:r>
      <w:proofErr w:type="spellEnd"/>
      <w:r>
        <w:rPr>
          <w:szCs w:val="22"/>
        </w:rPr>
        <w:t xml:space="preserve"> sukeliamas kraujagyslinės rizikos sumažėjimas ir tai neturi būti gydymo nutraukimo priežastis.</w:t>
      </w:r>
      <w:r>
        <w:rPr>
          <w:snapToGrid w:val="0"/>
          <w:szCs w:val="20"/>
        </w:rPr>
        <w:t xml:space="preserve"> </w:t>
      </w:r>
      <w:r w:rsidR="00C53DC8" w:rsidRPr="00A26B11">
        <w:rPr>
          <w:szCs w:val="22"/>
        </w:rPr>
        <w:t>P</w:t>
      </w:r>
      <w:r w:rsidRPr="00A26B11">
        <w:rPr>
          <w:szCs w:val="22"/>
        </w:rPr>
        <w:t xml:space="preserve">acientų, kuriems yra hiperglikemijos </w:t>
      </w:r>
      <w:r w:rsidR="001A7764" w:rsidRPr="00A26B11">
        <w:rPr>
          <w:szCs w:val="22"/>
        </w:rPr>
        <w:t xml:space="preserve">išsivystymo </w:t>
      </w:r>
      <w:r w:rsidRPr="00A26B11">
        <w:rPr>
          <w:szCs w:val="22"/>
        </w:rPr>
        <w:t>rizika (gliukozės koncentracija nevalgius 5,6</w:t>
      </w:r>
      <w:r w:rsidRPr="00A26B11">
        <w:rPr>
          <w:szCs w:val="22"/>
        </w:rPr>
        <w:noBreakHyphen/>
        <w:t>6,9 </w:t>
      </w:r>
      <w:proofErr w:type="spellStart"/>
      <w:r w:rsidRPr="00A26B11">
        <w:rPr>
          <w:szCs w:val="22"/>
        </w:rPr>
        <w:t>mmol</w:t>
      </w:r>
      <w:proofErr w:type="spellEnd"/>
      <w:r w:rsidRPr="00A26B11">
        <w:rPr>
          <w:szCs w:val="22"/>
        </w:rPr>
        <w:t>/l, kūno masės indeksas (KMI) &gt; 30 kg/m</w:t>
      </w:r>
      <w:r w:rsidRPr="00A26B11">
        <w:rPr>
          <w:szCs w:val="22"/>
          <w:vertAlign w:val="superscript"/>
        </w:rPr>
        <w:t>2</w:t>
      </w:r>
      <w:r w:rsidRPr="00A26B11">
        <w:rPr>
          <w:szCs w:val="22"/>
        </w:rPr>
        <w:t xml:space="preserve">, padidėjusi </w:t>
      </w:r>
      <w:proofErr w:type="spellStart"/>
      <w:r w:rsidRPr="00A26B11">
        <w:rPr>
          <w:szCs w:val="22"/>
        </w:rPr>
        <w:t>trigliceridų</w:t>
      </w:r>
      <w:proofErr w:type="spellEnd"/>
      <w:r w:rsidRPr="00A26B11">
        <w:rPr>
          <w:szCs w:val="22"/>
        </w:rPr>
        <w:t xml:space="preserve"> koncentracija, hipertenzija) </w:t>
      </w:r>
      <w:r w:rsidR="00C650DD" w:rsidRPr="006174FB">
        <w:rPr>
          <w:szCs w:val="22"/>
        </w:rPr>
        <w:t xml:space="preserve">turi būti stebima </w:t>
      </w:r>
      <w:r w:rsidRPr="00A26B11">
        <w:rPr>
          <w:szCs w:val="22"/>
        </w:rPr>
        <w:t xml:space="preserve">klinikinė būklė ir biocheminiai </w:t>
      </w:r>
      <w:r w:rsidR="00A26B11">
        <w:rPr>
          <w:szCs w:val="22"/>
        </w:rPr>
        <w:t>rodikliai</w:t>
      </w:r>
      <w:r w:rsidR="00C650DD" w:rsidRPr="006174FB">
        <w:rPr>
          <w:szCs w:val="22"/>
        </w:rPr>
        <w:t xml:space="preserve">, </w:t>
      </w:r>
      <w:r w:rsidRPr="00A26B11">
        <w:rPr>
          <w:szCs w:val="22"/>
        </w:rPr>
        <w:t xml:space="preserve">remiantis nacionalinėmis gairėmis. Vis dėlto </w:t>
      </w:r>
      <w:proofErr w:type="spellStart"/>
      <w:r w:rsidRPr="00A26B11">
        <w:rPr>
          <w:szCs w:val="22"/>
        </w:rPr>
        <w:t>patvirt</w:t>
      </w:r>
      <w:r w:rsidR="00853136">
        <w:rPr>
          <w:szCs w:val="22"/>
        </w:rPr>
        <w:t>ų</w:t>
      </w:r>
      <w:r w:rsidRPr="00A26B11">
        <w:rPr>
          <w:szCs w:val="22"/>
        </w:rPr>
        <w:t>signalų</w:t>
      </w:r>
      <w:proofErr w:type="spellEnd"/>
      <w:r w:rsidRPr="00A26B11">
        <w:rPr>
          <w:szCs w:val="22"/>
        </w:rPr>
        <w:t xml:space="preserve"> u </w:t>
      </w:r>
      <w:proofErr w:type="spellStart"/>
      <w:r w:rsidRPr="00A26B11">
        <w:rPr>
          <w:szCs w:val="22"/>
        </w:rPr>
        <w:t>pitavastatino</w:t>
      </w:r>
      <w:proofErr w:type="spellEnd"/>
      <w:r>
        <w:rPr>
          <w:szCs w:val="22"/>
        </w:rPr>
        <w:t xml:space="preserve"> vartojimu susijusią cukrinio diabeto </w:t>
      </w:r>
      <w:r w:rsidR="008E78BD">
        <w:rPr>
          <w:szCs w:val="22"/>
        </w:rPr>
        <w:t xml:space="preserve">išsivystymo </w:t>
      </w:r>
      <w:r>
        <w:rPr>
          <w:szCs w:val="22"/>
        </w:rPr>
        <w:t>riziką negauta nei saugumo stebėjimo po pateikimo į rinką tyrimų, nei perspektyvinių tyrimų metu (žr. 5.1 skyrių).</w:t>
      </w:r>
    </w:p>
    <w:p w14:paraId="4A75B12B" w14:textId="77777777" w:rsidR="008020E2" w:rsidRDefault="008020E2">
      <w:pPr>
        <w:autoSpaceDE w:val="0"/>
        <w:autoSpaceDN w:val="0"/>
        <w:adjustRightInd w:val="0"/>
        <w:rPr>
          <w:szCs w:val="22"/>
        </w:rPr>
      </w:pPr>
    </w:p>
    <w:p w14:paraId="201A8E32" w14:textId="77777777" w:rsidR="008020E2" w:rsidRDefault="00137C20">
      <w:pPr>
        <w:autoSpaceDE w:val="0"/>
        <w:autoSpaceDN w:val="0"/>
        <w:adjustRightInd w:val="0"/>
        <w:rPr>
          <w:bCs/>
          <w:i/>
          <w:szCs w:val="22"/>
        </w:rPr>
      </w:pPr>
      <w:proofErr w:type="spellStart"/>
      <w:r>
        <w:rPr>
          <w:i/>
          <w:iCs/>
          <w:szCs w:val="22"/>
        </w:rPr>
        <w:t>I</w:t>
      </w:r>
      <w:r>
        <w:rPr>
          <w:bCs/>
          <w:i/>
          <w:szCs w:val="22"/>
        </w:rPr>
        <w:t>ntersticinė</w:t>
      </w:r>
      <w:proofErr w:type="spellEnd"/>
      <w:r>
        <w:rPr>
          <w:bCs/>
          <w:i/>
          <w:szCs w:val="22"/>
        </w:rPr>
        <w:t xml:space="preserve"> plaučių liga</w:t>
      </w:r>
    </w:p>
    <w:p w14:paraId="35CDEA42" w14:textId="77777777" w:rsidR="008020E2" w:rsidRDefault="00137C20">
      <w:pPr>
        <w:autoSpaceDE w:val="0"/>
        <w:autoSpaceDN w:val="0"/>
        <w:adjustRightInd w:val="0"/>
        <w:rPr>
          <w:szCs w:val="22"/>
        </w:rPr>
      </w:pPr>
      <w:r>
        <w:rPr>
          <w:szCs w:val="22"/>
        </w:rPr>
        <w:t xml:space="preserve">Vartojant kai kuriuos </w:t>
      </w:r>
      <w:proofErr w:type="spellStart"/>
      <w:r>
        <w:rPr>
          <w:szCs w:val="22"/>
        </w:rPr>
        <w:t>statinus</w:t>
      </w:r>
      <w:proofErr w:type="spellEnd"/>
      <w:r>
        <w:rPr>
          <w:szCs w:val="22"/>
        </w:rPr>
        <w:t xml:space="preserve">, ypač gydant ilgą laiką, išskirtiniais atvejais buvo pranešta apie </w:t>
      </w:r>
      <w:proofErr w:type="spellStart"/>
      <w:r>
        <w:rPr>
          <w:szCs w:val="22"/>
        </w:rPr>
        <w:t>intersticinę</w:t>
      </w:r>
      <w:proofErr w:type="spellEnd"/>
      <w:r>
        <w:rPr>
          <w:szCs w:val="22"/>
        </w:rPr>
        <w:t xml:space="preserve"> plaučių ligą (žr. 4.8 skyrių). Gali pasireikšti dusulys, neproduktyvus kosulys ir bendrosios sveikatos būklės pablogėjimas (nuovargis, kūno svorio mažėjimas ir karščiavimas). Jeigu įtariama, kad pacientui pasireiškė </w:t>
      </w:r>
      <w:proofErr w:type="spellStart"/>
      <w:r>
        <w:rPr>
          <w:szCs w:val="22"/>
        </w:rPr>
        <w:t>intersticinė</w:t>
      </w:r>
      <w:proofErr w:type="spellEnd"/>
      <w:r>
        <w:rPr>
          <w:szCs w:val="22"/>
        </w:rPr>
        <w:t xml:space="preserve"> plaučių liga, gydymą </w:t>
      </w:r>
      <w:proofErr w:type="spellStart"/>
      <w:r>
        <w:rPr>
          <w:szCs w:val="22"/>
        </w:rPr>
        <w:t>statinais</w:t>
      </w:r>
      <w:proofErr w:type="spellEnd"/>
      <w:r>
        <w:rPr>
          <w:szCs w:val="22"/>
        </w:rPr>
        <w:t xml:space="preserve"> reikia nutraukti.</w:t>
      </w:r>
    </w:p>
    <w:p w14:paraId="37A0B481" w14:textId="77777777" w:rsidR="008020E2" w:rsidRDefault="008020E2">
      <w:pPr>
        <w:autoSpaceDE w:val="0"/>
        <w:autoSpaceDN w:val="0"/>
        <w:adjustRightInd w:val="0"/>
        <w:rPr>
          <w:szCs w:val="22"/>
        </w:rPr>
      </w:pPr>
    </w:p>
    <w:p w14:paraId="2B397A21" w14:textId="77777777" w:rsidR="008020E2" w:rsidRDefault="00137C20">
      <w:pPr>
        <w:autoSpaceDE w:val="0"/>
        <w:autoSpaceDN w:val="0"/>
        <w:adjustRightInd w:val="0"/>
        <w:rPr>
          <w:bCs/>
          <w:i/>
          <w:szCs w:val="22"/>
        </w:rPr>
      </w:pPr>
      <w:r>
        <w:rPr>
          <w:bCs/>
          <w:i/>
          <w:szCs w:val="22"/>
        </w:rPr>
        <w:t>Vaikų populiacija</w:t>
      </w:r>
    </w:p>
    <w:p w14:paraId="570EFF7B" w14:textId="198E8C01" w:rsidR="008020E2" w:rsidRDefault="00137C20">
      <w:pPr>
        <w:autoSpaceDE w:val="0"/>
        <w:autoSpaceDN w:val="0"/>
        <w:adjustRightInd w:val="0"/>
        <w:rPr>
          <w:szCs w:val="22"/>
        </w:rPr>
      </w:pPr>
      <w:r>
        <w:rPr>
          <w:szCs w:val="22"/>
        </w:rPr>
        <w:t xml:space="preserve">Duomenų apie ilgalaikį poveikį augimui ir </w:t>
      </w:r>
      <w:r w:rsidR="008F3670">
        <w:rPr>
          <w:szCs w:val="22"/>
        </w:rPr>
        <w:t>lytiniam brendimui.</w:t>
      </w:r>
      <w:r>
        <w:rPr>
          <w:szCs w:val="22"/>
        </w:rPr>
        <w:t xml:space="preserve"> </w:t>
      </w:r>
      <w:proofErr w:type="spellStart"/>
      <w:r>
        <w:rPr>
          <w:szCs w:val="22"/>
        </w:rPr>
        <w:t>Pitipix</w:t>
      </w:r>
      <w:proofErr w:type="spellEnd"/>
      <w:r>
        <w:rPr>
          <w:szCs w:val="22"/>
        </w:rPr>
        <w:t xml:space="preserve"> vartojantiems 6 metų ir vyresniems vaikams yra nedaug. Paaugles gydymo </w:t>
      </w:r>
      <w:proofErr w:type="spellStart"/>
      <w:r>
        <w:rPr>
          <w:szCs w:val="22"/>
        </w:rPr>
        <w:t>Pitipix</w:t>
      </w:r>
      <w:proofErr w:type="spellEnd"/>
      <w:r>
        <w:rPr>
          <w:szCs w:val="22"/>
        </w:rPr>
        <w:t xml:space="preserve"> metu reikia konsultuoti dėl tinkamos kontracepcijos (žr. 4.3 skyrių ir 4.6 skyrių).</w:t>
      </w:r>
    </w:p>
    <w:p w14:paraId="756BF410" w14:textId="77777777" w:rsidR="008020E2" w:rsidRDefault="008020E2">
      <w:pPr>
        <w:autoSpaceDE w:val="0"/>
        <w:autoSpaceDN w:val="0"/>
        <w:adjustRightInd w:val="0"/>
        <w:rPr>
          <w:szCs w:val="22"/>
        </w:rPr>
      </w:pPr>
    </w:p>
    <w:p w14:paraId="497EF69C" w14:textId="0C9DB219" w:rsidR="008020E2" w:rsidRDefault="00137C20">
      <w:pPr>
        <w:autoSpaceDE w:val="0"/>
        <w:autoSpaceDN w:val="0"/>
        <w:adjustRightInd w:val="0"/>
        <w:rPr>
          <w:bCs/>
          <w:i/>
          <w:szCs w:val="22"/>
        </w:rPr>
      </w:pPr>
      <w:r>
        <w:rPr>
          <w:bCs/>
          <w:i/>
          <w:szCs w:val="22"/>
        </w:rPr>
        <w:t>Kit</w:t>
      </w:r>
      <w:r w:rsidR="00F12365">
        <w:rPr>
          <w:bCs/>
          <w:i/>
          <w:szCs w:val="22"/>
        </w:rPr>
        <w:t>as</w:t>
      </w:r>
      <w:r>
        <w:rPr>
          <w:bCs/>
          <w:i/>
          <w:szCs w:val="22"/>
        </w:rPr>
        <w:t xml:space="preserve"> poveikis</w:t>
      </w:r>
    </w:p>
    <w:p w14:paraId="26C78E9F" w14:textId="18C6113F" w:rsidR="008020E2" w:rsidRDefault="00137C20">
      <w:pPr>
        <w:widowControl w:val="0"/>
        <w:tabs>
          <w:tab w:val="left" w:pos="567"/>
        </w:tabs>
        <w:rPr>
          <w:szCs w:val="22"/>
        </w:rPr>
      </w:pPr>
      <w:r>
        <w:rPr>
          <w:szCs w:val="22"/>
        </w:rPr>
        <w:t xml:space="preserve">Gydymo </w:t>
      </w:r>
      <w:proofErr w:type="spellStart"/>
      <w:r>
        <w:rPr>
          <w:szCs w:val="22"/>
        </w:rPr>
        <w:t>eritromicinu</w:t>
      </w:r>
      <w:proofErr w:type="spellEnd"/>
      <w:r>
        <w:rPr>
          <w:szCs w:val="22"/>
        </w:rPr>
        <w:t xml:space="preserve">, kitais </w:t>
      </w:r>
      <w:proofErr w:type="spellStart"/>
      <w:r>
        <w:rPr>
          <w:szCs w:val="22"/>
        </w:rPr>
        <w:t>makrolidų</w:t>
      </w:r>
      <w:proofErr w:type="spellEnd"/>
      <w:r>
        <w:rPr>
          <w:szCs w:val="22"/>
        </w:rPr>
        <w:t xml:space="preserve"> gr</w:t>
      </w:r>
      <w:r w:rsidR="00D12CB3">
        <w:rPr>
          <w:szCs w:val="22"/>
        </w:rPr>
        <w:t>u</w:t>
      </w:r>
      <w:r>
        <w:rPr>
          <w:szCs w:val="22"/>
        </w:rPr>
        <w:t xml:space="preserve">pės antibiotikais ar </w:t>
      </w:r>
      <w:proofErr w:type="spellStart"/>
      <w:r>
        <w:rPr>
          <w:szCs w:val="22"/>
        </w:rPr>
        <w:t>fuzido</w:t>
      </w:r>
      <w:proofErr w:type="spellEnd"/>
      <w:r>
        <w:rPr>
          <w:szCs w:val="22"/>
        </w:rPr>
        <w:t xml:space="preserve"> rūgštimi laikotarpiu rekomenduojama laikinai sustabdyti </w:t>
      </w:r>
      <w:proofErr w:type="spellStart"/>
      <w:r>
        <w:rPr>
          <w:szCs w:val="22"/>
        </w:rPr>
        <w:t>Pitipix</w:t>
      </w:r>
      <w:proofErr w:type="spellEnd"/>
      <w:r>
        <w:rPr>
          <w:szCs w:val="22"/>
        </w:rPr>
        <w:t xml:space="preserve"> vartojimą (žr. 4.5 skyrių). </w:t>
      </w:r>
      <w:proofErr w:type="spellStart"/>
      <w:r>
        <w:rPr>
          <w:szCs w:val="22"/>
        </w:rPr>
        <w:t>Pitipix</w:t>
      </w:r>
      <w:proofErr w:type="spellEnd"/>
      <w:r>
        <w:rPr>
          <w:szCs w:val="22"/>
        </w:rPr>
        <w:t xml:space="preserve"> reikia atsargiai vartoti pacientams, gydomiems vaistiniais preparatais, kurie sukelia </w:t>
      </w:r>
      <w:proofErr w:type="spellStart"/>
      <w:r>
        <w:rPr>
          <w:szCs w:val="22"/>
        </w:rPr>
        <w:t>miopatiją</w:t>
      </w:r>
      <w:proofErr w:type="spellEnd"/>
      <w:r>
        <w:rPr>
          <w:szCs w:val="22"/>
        </w:rPr>
        <w:t xml:space="preserve"> (pvz., </w:t>
      </w:r>
      <w:proofErr w:type="spellStart"/>
      <w:r>
        <w:rPr>
          <w:szCs w:val="22"/>
        </w:rPr>
        <w:t>fibratais</w:t>
      </w:r>
      <w:proofErr w:type="spellEnd"/>
      <w:r>
        <w:rPr>
          <w:szCs w:val="22"/>
        </w:rPr>
        <w:t xml:space="preserve"> ar </w:t>
      </w:r>
      <w:proofErr w:type="spellStart"/>
      <w:r>
        <w:rPr>
          <w:szCs w:val="22"/>
        </w:rPr>
        <w:t>niacinu</w:t>
      </w:r>
      <w:proofErr w:type="spellEnd"/>
      <w:r>
        <w:rPr>
          <w:szCs w:val="22"/>
        </w:rPr>
        <w:t>, žr. 4.5 skyrių).</w:t>
      </w:r>
    </w:p>
    <w:p w14:paraId="50B73C55" w14:textId="77777777" w:rsidR="008020E2" w:rsidRDefault="008020E2">
      <w:pPr>
        <w:widowControl w:val="0"/>
        <w:tabs>
          <w:tab w:val="left" w:pos="567"/>
        </w:tabs>
        <w:rPr>
          <w:szCs w:val="22"/>
          <w:u w:val="single"/>
        </w:rPr>
      </w:pPr>
    </w:p>
    <w:p w14:paraId="2092692A" w14:textId="77777777" w:rsidR="008020E2" w:rsidRDefault="00137C20">
      <w:pPr>
        <w:widowControl w:val="0"/>
        <w:tabs>
          <w:tab w:val="left" w:pos="567"/>
        </w:tabs>
        <w:rPr>
          <w:szCs w:val="22"/>
          <w:u w:val="single"/>
        </w:rPr>
      </w:pPr>
      <w:r>
        <w:rPr>
          <w:szCs w:val="22"/>
          <w:u w:val="single"/>
        </w:rPr>
        <w:t>Pagalbinės medžiagos</w:t>
      </w:r>
    </w:p>
    <w:p w14:paraId="2BD93365" w14:textId="6108BFCC" w:rsidR="008020E2" w:rsidRDefault="00137C20">
      <w:pPr>
        <w:widowControl w:val="0"/>
        <w:tabs>
          <w:tab w:val="left" w:pos="567"/>
        </w:tabs>
        <w:rPr>
          <w:szCs w:val="22"/>
        </w:rPr>
      </w:pPr>
      <w:proofErr w:type="spellStart"/>
      <w:r>
        <w:rPr>
          <w:szCs w:val="22"/>
        </w:rPr>
        <w:t>Pitipix</w:t>
      </w:r>
      <w:proofErr w:type="spellEnd"/>
      <w:r>
        <w:rPr>
          <w:szCs w:val="22"/>
        </w:rPr>
        <w:t xml:space="preserve"> sudėtyje yra laktozės. Šio vaistinio preparato negalima vartoti pacientams, kuriems nustatytas retas paveldimas sutrikimas – </w:t>
      </w:r>
      <w:proofErr w:type="spellStart"/>
      <w:r>
        <w:rPr>
          <w:szCs w:val="22"/>
        </w:rPr>
        <w:t>galaktozės</w:t>
      </w:r>
      <w:proofErr w:type="spellEnd"/>
      <w:r>
        <w:rPr>
          <w:szCs w:val="22"/>
        </w:rPr>
        <w:t xml:space="preserve"> </w:t>
      </w:r>
      <w:proofErr w:type="spellStart"/>
      <w:r>
        <w:rPr>
          <w:szCs w:val="22"/>
        </w:rPr>
        <w:t>netoleravimas</w:t>
      </w:r>
      <w:proofErr w:type="spellEnd"/>
      <w:r>
        <w:rPr>
          <w:szCs w:val="22"/>
        </w:rPr>
        <w:t xml:space="preserve">, visiškas laktazės stygius arba gliukozės ir </w:t>
      </w:r>
      <w:proofErr w:type="spellStart"/>
      <w:r>
        <w:rPr>
          <w:szCs w:val="22"/>
        </w:rPr>
        <w:t>galaktozės</w:t>
      </w:r>
      <w:proofErr w:type="spellEnd"/>
      <w:r>
        <w:rPr>
          <w:szCs w:val="22"/>
        </w:rPr>
        <w:t xml:space="preserve"> absorbcijos sutrikimas.</w:t>
      </w:r>
    </w:p>
    <w:p w14:paraId="469579F1" w14:textId="77777777" w:rsidR="008020E2" w:rsidRDefault="008020E2">
      <w:pPr>
        <w:autoSpaceDE w:val="0"/>
        <w:autoSpaceDN w:val="0"/>
        <w:adjustRightInd w:val="0"/>
        <w:rPr>
          <w:szCs w:val="22"/>
        </w:rPr>
      </w:pPr>
    </w:p>
    <w:p w14:paraId="6F73DAA1" w14:textId="1CFE3091" w:rsidR="008020E2" w:rsidRDefault="00137C20">
      <w:pPr>
        <w:widowControl w:val="0"/>
        <w:tabs>
          <w:tab w:val="left" w:pos="567"/>
        </w:tabs>
        <w:rPr>
          <w:snapToGrid w:val="0"/>
          <w:szCs w:val="22"/>
        </w:rPr>
      </w:pPr>
      <w:r>
        <w:rPr>
          <w:snapToGrid w:val="0"/>
          <w:szCs w:val="22"/>
        </w:rPr>
        <w:t xml:space="preserve">Gauta keletas pranešimų apie </w:t>
      </w:r>
      <w:proofErr w:type="spellStart"/>
      <w:r>
        <w:rPr>
          <w:snapToGrid w:val="0"/>
          <w:szCs w:val="22"/>
        </w:rPr>
        <w:t>statinų</w:t>
      </w:r>
      <w:proofErr w:type="spellEnd"/>
      <w:r>
        <w:rPr>
          <w:snapToGrid w:val="0"/>
          <w:szCs w:val="22"/>
        </w:rPr>
        <w:t xml:space="preserve"> sukeltą </w:t>
      </w:r>
      <w:r w:rsidR="00273FAA" w:rsidRPr="006174FB">
        <w:rPr>
          <w:i/>
          <w:iCs/>
          <w:snapToGrid w:val="0"/>
          <w:szCs w:val="22"/>
        </w:rPr>
        <w:t xml:space="preserve">(de </w:t>
      </w:r>
      <w:proofErr w:type="spellStart"/>
      <w:r w:rsidR="00273FAA" w:rsidRPr="006174FB">
        <w:rPr>
          <w:i/>
          <w:iCs/>
          <w:snapToGrid w:val="0"/>
          <w:szCs w:val="22"/>
        </w:rPr>
        <w:t>novo</w:t>
      </w:r>
      <w:proofErr w:type="spellEnd"/>
      <w:r w:rsidR="00273FAA" w:rsidRPr="006174FB">
        <w:rPr>
          <w:i/>
          <w:iCs/>
          <w:snapToGrid w:val="0"/>
          <w:szCs w:val="22"/>
        </w:rPr>
        <w:t>)</w:t>
      </w:r>
      <w:r w:rsidR="00273FAA">
        <w:rPr>
          <w:snapToGrid w:val="0"/>
          <w:szCs w:val="22"/>
        </w:rPr>
        <w:t xml:space="preserve"> </w:t>
      </w:r>
      <w:r>
        <w:rPr>
          <w:snapToGrid w:val="0"/>
          <w:szCs w:val="22"/>
        </w:rPr>
        <w:t xml:space="preserve">anksčiau nediagnozuotą </w:t>
      </w:r>
      <w:proofErr w:type="spellStart"/>
      <w:r>
        <w:rPr>
          <w:snapToGrid w:val="0"/>
          <w:szCs w:val="22"/>
        </w:rPr>
        <w:t>generalizuotą</w:t>
      </w:r>
      <w:proofErr w:type="spellEnd"/>
      <w:r>
        <w:rPr>
          <w:snapToGrid w:val="0"/>
          <w:szCs w:val="22"/>
        </w:rPr>
        <w:t xml:space="preserve"> </w:t>
      </w:r>
      <w:proofErr w:type="spellStart"/>
      <w:r>
        <w:rPr>
          <w:snapToGrid w:val="0"/>
          <w:szCs w:val="22"/>
        </w:rPr>
        <w:t>miasteniją</w:t>
      </w:r>
      <w:proofErr w:type="spellEnd"/>
      <w:r>
        <w:rPr>
          <w:snapToGrid w:val="0"/>
          <w:szCs w:val="22"/>
        </w:rPr>
        <w:t xml:space="preserve"> ar akių </w:t>
      </w:r>
      <w:proofErr w:type="spellStart"/>
      <w:r>
        <w:rPr>
          <w:snapToGrid w:val="0"/>
          <w:szCs w:val="22"/>
        </w:rPr>
        <w:t>miasteniją</w:t>
      </w:r>
      <w:proofErr w:type="spellEnd"/>
      <w:r>
        <w:rPr>
          <w:snapToGrid w:val="0"/>
          <w:szCs w:val="22"/>
        </w:rPr>
        <w:t xml:space="preserve"> arba šiomis ligomis jau sergančių pacientų būklės pasunkėjimą (žr. 4.8 skyrių). Jeigu ligos simptomai paūmėja, </w:t>
      </w:r>
      <w:proofErr w:type="spellStart"/>
      <w:r>
        <w:rPr>
          <w:snapToGrid w:val="0"/>
          <w:szCs w:val="22"/>
        </w:rPr>
        <w:t>Pitipix</w:t>
      </w:r>
      <w:proofErr w:type="spellEnd"/>
      <w:r>
        <w:rPr>
          <w:snapToGrid w:val="0"/>
          <w:szCs w:val="22"/>
        </w:rPr>
        <w:t xml:space="preserve"> vartojimą reikia nutraukti. Gauta pranešimų apie atsinaujinusios ligos atvejus, kai buvo (pakartotinai) vartojamas tas pats arba kitas </w:t>
      </w:r>
      <w:proofErr w:type="spellStart"/>
      <w:r>
        <w:rPr>
          <w:snapToGrid w:val="0"/>
          <w:szCs w:val="22"/>
        </w:rPr>
        <w:t>statinų</w:t>
      </w:r>
      <w:proofErr w:type="spellEnd"/>
      <w:r>
        <w:rPr>
          <w:snapToGrid w:val="0"/>
          <w:szCs w:val="22"/>
        </w:rPr>
        <w:t xml:space="preserve"> grupės vaistinis preparatas.</w:t>
      </w:r>
    </w:p>
    <w:p w14:paraId="4A9748A6" w14:textId="77777777" w:rsidR="008020E2" w:rsidRDefault="008020E2">
      <w:pPr>
        <w:widowControl w:val="0"/>
        <w:tabs>
          <w:tab w:val="left" w:pos="567"/>
        </w:tabs>
        <w:rPr>
          <w:snapToGrid w:val="0"/>
          <w:szCs w:val="22"/>
        </w:rPr>
      </w:pPr>
    </w:p>
    <w:p w14:paraId="28CAF361"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4.5</w:t>
      </w:r>
      <w:r>
        <w:rPr>
          <w:b/>
          <w:bCs/>
          <w:snapToGrid w:val="0"/>
          <w:szCs w:val="22"/>
          <w:lang w:eastAsia="x-none"/>
        </w:rPr>
        <w:tab/>
        <w:t>Sąveika su kitais vaistiniais preparatais ir kitokia sąveika</w:t>
      </w:r>
    </w:p>
    <w:p w14:paraId="0CE7995F" w14:textId="77777777" w:rsidR="008020E2" w:rsidRDefault="008020E2">
      <w:pPr>
        <w:widowControl w:val="0"/>
        <w:tabs>
          <w:tab w:val="left" w:pos="567"/>
        </w:tabs>
        <w:rPr>
          <w:snapToGrid w:val="0"/>
          <w:szCs w:val="22"/>
        </w:rPr>
      </w:pPr>
    </w:p>
    <w:p w14:paraId="2BF38FC7" w14:textId="77777777" w:rsidR="008020E2" w:rsidRDefault="00137C20">
      <w:pPr>
        <w:autoSpaceDE w:val="0"/>
        <w:autoSpaceDN w:val="0"/>
        <w:adjustRightInd w:val="0"/>
        <w:rPr>
          <w:szCs w:val="22"/>
        </w:rPr>
      </w:pPr>
      <w:proofErr w:type="spellStart"/>
      <w:r>
        <w:rPr>
          <w:szCs w:val="22"/>
        </w:rPr>
        <w:t>Pitavastatinas</w:t>
      </w:r>
      <w:proofErr w:type="spellEnd"/>
      <w:r>
        <w:rPr>
          <w:szCs w:val="22"/>
        </w:rPr>
        <w:t xml:space="preserve"> yra aktyviai pernešamas į žmogaus </w:t>
      </w:r>
      <w:proofErr w:type="spellStart"/>
      <w:r>
        <w:rPr>
          <w:szCs w:val="22"/>
        </w:rPr>
        <w:t>hepatocitus</w:t>
      </w:r>
      <w:proofErr w:type="spellEnd"/>
      <w:r>
        <w:rPr>
          <w:szCs w:val="22"/>
        </w:rPr>
        <w:t xml:space="preserve"> dalyvaujant įvairiems kepenų </w:t>
      </w:r>
      <w:proofErr w:type="spellStart"/>
      <w:r>
        <w:rPr>
          <w:szCs w:val="22"/>
        </w:rPr>
        <w:t>pernešikliams</w:t>
      </w:r>
      <w:proofErr w:type="spellEnd"/>
      <w:r>
        <w:rPr>
          <w:szCs w:val="22"/>
        </w:rPr>
        <w:t xml:space="preserve"> (įskaitant organinį </w:t>
      </w:r>
      <w:proofErr w:type="spellStart"/>
      <w:r>
        <w:rPr>
          <w:szCs w:val="22"/>
        </w:rPr>
        <w:t>anijonų</w:t>
      </w:r>
      <w:proofErr w:type="spellEnd"/>
      <w:r>
        <w:rPr>
          <w:szCs w:val="22"/>
        </w:rPr>
        <w:t xml:space="preserve"> pernašos </w:t>
      </w:r>
      <w:proofErr w:type="spellStart"/>
      <w:r>
        <w:rPr>
          <w:szCs w:val="22"/>
        </w:rPr>
        <w:t>polipeptidą</w:t>
      </w:r>
      <w:proofErr w:type="spellEnd"/>
      <w:r>
        <w:rPr>
          <w:szCs w:val="22"/>
        </w:rPr>
        <w:t xml:space="preserve">, angl. </w:t>
      </w:r>
      <w:proofErr w:type="spellStart"/>
      <w:r>
        <w:rPr>
          <w:i/>
          <w:iCs/>
          <w:szCs w:val="22"/>
        </w:rPr>
        <w:t>organic</w:t>
      </w:r>
      <w:proofErr w:type="spellEnd"/>
      <w:r>
        <w:rPr>
          <w:i/>
          <w:iCs/>
          <w:szCs w:val="22"/>
        </w:rPr>
        <w:t xml:space="preserve"> </w:t>
      </w:r>
      <w:proofErr w:type="spellStart"/>
      <w:r>
        <w:rPr>
          <w:i/>
          <w:iCs/>
          <w:szCs w:val="22"/>
        </w:rPr>
        <w:t>anion</w:t>
      </w:r>
      <w:proofErr w:type="spellEnd"/>
      <w:r>
        <w:rPr>
          <w:i/>
          <w:iCs/>
          <w:szCs w:val="22"/>
        </w:rPr>
        <w:t xml:space="preserve"> </w:t>
      </w:r>
      <w:proofErr w:type="spellStart"/>
      <w:r>
        <w:rPr>
          <w:i/>
          <w:iCs/>
          <w:szCs w:val="22"/>
        </w:rPr>
        <w:t>transporting</w:t>
      </w:r>
      <w:proofErr w:type="spellEnd"/>
      <w:r>
        <w:rPr>
          <w:i/>
          <w:iCs/>
          <w:szCs w:val="22"/>
        </w:rPr>
        <w:t xml:space="preserve"> </w:t>
      </w:r>
      <w:proofErr w:type="spellStart"/>
      <w:r>
        <w:rPr>
          <w:i/>
          <w:iCs/>
          <w:szCs w:val="22"/>
        </w:rPr>
        <w:t>polypeptide</w:t>
      </w:r>
      <w:proofErr w:type="spellEnd"/>
      <w:r>
        <w:rPr>
          <w:szCs w:val="22"/>
        </w:rPr>
        <w:t xml:space="preserve">, OATP), kurie gali būti susiję su tam tikra toliau paminėta sąveika. </w:t>
      </w:r>
    </w:p>
    <w:p w14:paraId="39DF9CF6" w14:textId="77777777" w:rsidR="008020E2" w:rsidRDefault="008020E2">
      <w:pPr>
        <w:autoSpaceDE w:val="0"/>
        <w:autoSpaceDN w:val="0"/>
        <w:adjustRightInd w:val="0"/>
        <w:rPr>
          <w:szCs w:val="22"/>
        </w:rPr>
      </w:pPr>
    </w:p>
    <w:p w14:paraId="529550C6" w14:textId="01905F27" w:rsidR="008020E2" w:rsidRDefault="00137C20">
      <w:pPr>
        <w:autoSpaceDE w:val="0"/>
        <w:autoSpaceDN w:val="0"/>
        <w:adjustRightInd w:val="0"/>
        <w:rPr>
          <w:szCs w:val="22"/>
        </w:rPr>
      </w:pPr>
      <w:proofErr w:type="spellStart"/>
      <w:r>
        <w:rPr>
          <w:bCs/>
          <w:i/>
          <w:szCs w:val="22"/>
        </w:rPr>
        <w:t>Ciklosporinas</w:t>
      </w:r>
      <w:proofErr w:type="spellEnd"/>
      <w:r>
        <w:rPr>
          <w:bCs/>
          <w:i/>
          <w:szCs w:val="22"/>
        </w:rPr>
        <w:t>.</w:t>
      </w:r>
      <w:r>
        <w:rPr>
          <w:bCs/>
          <w:szCs w:val="22"/>
        </w:rPr>
        <w:t xml:space="preserve"> </w:t>
      </w:r>
      <w:proofErr w:type="spellStart"/>
      <w:r>
        <w:rPr>
          <w:szCs w:val="22"/>
        </w:rPr>
        <w:t>Ciklosporino</w:t>
      </w:r>
      <w:proofErr w:type="spellEnd"/>
      <w:r>
        <w:rPr>
          <w:szCs w:val="22"/>
        </w:rPr>
        <w:t xml:space="preserve"> (vienkartinę dozę) skyrus </w:t>
      </w:r>
      <w:proofErr w:type="spellStart"/>
      <w:r>
        <w:rPr>
          <w:szCs w:val="22"/>
        </w:rPr>
        <w:t>pitavastatino</w:t>
      </w:r>
      <w:proofErr w:type="spellEnd"/>
      <w:r>
        <w:rPr>
          <w:szCs w:val="22"/>
        </w:rPr>
        <w:t xml:space="preserve"> vartojantiems pacientams (kai buvo nusistovėjusi </w:t>
      </w:r>
      <w:proofErr w:type="spellStart"/>
      <w:r>
        <w:rPr>
          <w:szCs w:val="22"/>
        </w:rPr>
        <w:t>pusiausvyrinė</w:t>
      </w:r>
      <w:proofErr w:type="spellEnd"/>
      <w:r>
        <w:rPr>
          <w:szCs w:val="22"/>
        </w:rPr>
        <w:t xml:space="preserve"> apykaita), </w:t>
      </w:r>
      <w:proofErr w:type="spellStart"/>
      <w:r>
        <w:rPr>
          <w:szCs w:val="22"/>
        </w:rPr>
        <w:t>pitavastatino</w:t>
      </w:r>
      <w:proofErr w:type="spellEnd"/>
      <w:r>
        <w:rPr>
          <w:szCs w:val="22"/>
        </w:rPr>
        <w:t xml:space="preserve"> AUC padidėjo 4,6 karto. </w:t>
      </w:r>
      <w:proofErr w:type="spellStart"/>
      <w:r>
        <w:rPr>
          <w:szCs w:val="22"/>
        </w:rPr>
        <w:t>Ciklosporinu</w:t>
      </w:r>
      <w:proofErr w:type="spellEnd"/>
      <w:r>
        <w:rPr>
          <w:szCs w:val="22"/>
        </w:rPr>
        <w:t xml:space="preserve"> gydomiems pacientams </w:t>
      </w:r>
      <w:proofErr w:type="spellStart"/>
      <w:r>
        <w:rPr>
          <w:szCs w:val="22"/>
        </w:rPr>
        <w:t>Pitipix</w:t>
      </w:r>
      <w:proofErr w:type="spellEnd"/>
      <w:r>
        <w:rPr>
          <w:szCs w:val="22"/>
        </w:rPr>
        <w:t xml:space="preserve"> vartoti </w:t>
      </w:r>
      <w:r w:rsidR="007D302D">
        <w:rPr>
          <w:szCs w:val="22"/>
        </w:rPr>
        <w:t xml:space="preserve">draudžiama </w:t>
      </w:r>
      <w:r>
        <w:rPr>
          <w:szCs w:val="22"/>
        </w:rPr>
        <w:t>(žr. 4.3 skyrių).</w:t>
      </w:r>
    </w:p>
    <w:p w14:paraId="454899BD" w14:textId="77777777" w:rsidR="008020E2" w:rsidRDefault="008020E2">
      <w:pPr>
        <w:autoSpaceDE w:val="0"/>
        <w:autoSpaceDN w:val="0"/>
        <w:adjustRightInd w:val="0"/>
        <w:rPr>
          <w:szCs w:val="22"/>
        </w:rPr>
      </w:pPr>
    </w:p>
    <w:p w14:paraId="0D3ED163" w14:textId="77777777" w:rsidR="008020E2" w:rsidRDefault="00137C20">
      <w:pPr>
        <w:autoSpaceDE w:val="0"/>
        <w:autoSpaceDN w:val="0"/>
        <w:adjustRightInd w:val="0"/>
        <w:rPr>
          <w:szCs w:val="22"/>
        </w:rPr>
      </w:pPr>
      <w:proofErr w:type="spellStart"/>
      <w:r>
        <w:rPr>
          <w:bCs/>
          <w:i/>
          <w:szCs w:val="22"/>
        </w:rPr>
        <w:t>Eritromicinas</w:t>
      </w:r>
      <w:proofErr w:type="spellEnd"/>
      <w:r>
        <w:rPr>
          <w:bCs/>
          <w:i/>
          <w:szCs w:val="22"/>
        </w:rPr>
        <w:t>.</w:t>
      </w:r>
      <w:r>
        <w:rPr>
          <w:bCs/>
          <w:szCs w:val="22"/>
        </w:rPr>
        <w:t xml:space="preserve"> </w:t>
      </w:r>
      <w:r>
        <w:rPr>
          <w:szCs w:val="22"/>
        </w:rPr>
        <w:t xml:space="preserve">Kartu su </w:t>
      </w:r>
      <w:proofErr w:type="spellStart"/>
      <w:r>
        <w:rPr>
          <w:szCs w:val="22"/>
        </w:rPr>
        <w:t>eritromicinu</w:t>
      </w:r>
      <w:proofErr w:type="spellEnd"/>
      <w:r>
        <w:rPr>
          <w:szCs w:val="22"/>
        </w:rPr>
        <w:t xml:space="preserve"> vartojamo </w:t>
      </w:r>
      <w:proofErr w:type="spellStart"/>
      <w:r>
        <w:rPr>
          <w:szCs w:val="22"/>
        </w:rPr>
        <w:t>pitavastatino</w:t>
      </w:r>
      <w:proofErr w:type="spellEnd"/>
      <w:r>
        <w:rPr>
          <w:szCs w:val="22"/>
        </w:rPr>
        <w:t xml:space="preserve"> AUC padidėjo 2,8 karto. Gydymo </w:t>
      </w:r>
      <w:proofErr w:type="spellStart"/>
      <w:r>
        <w:rPr>
          <w:szCs w:val="22"/>
        </w:rPr>
        <w:t>eritromicinu</w:t>
      </w:r>
      <w:proofErr w:type="spellEnd"/>
      <w:r>
        <w:rPr>
          <w:szCs w:val="22"/>
        </w:rPr>
        <w:t xml:space="preserve"> ar kitais </w:t>
      </w:r>
      <w:proofErr w:type="spellStart"/>
      <w:r>
        <w:rPr>
          <w:szCs w:val="22"/>
        </w:rPr>
        <w:t>makrolidų</w:t>
      </w:r>
      <w:proofErr w:type="spellEnd"/>
      <w:r>
        <w:rPr>
          <w:szCs w:val="22"/>
        </w:rPr>
        <w:t xml:space="preserve"> grupės antibiotikais metu </w:t>
      </w:r>
      <w:proofErr w:type="spellStart"/>
      <w:r>
        <w:rPr>
          <w:szCs w:val="22"/>
        </w:rPr>
        <w:t>Pitipix</w:t>
      </w:r>
      <w:proofErr w:type="spellEnd"/>
      <w:r>
        <w:rPr>
          <w:szCs w:val="22"/>
        </w:rPr>
        <w:t xml:space="preserve"> vartojimą rekomenduojama laikinai sustabdyti.</w:t>
      </w:r>
    </w:p>
    <w:p w14:paraId="3DF381C1" w14:textId="77777777" w:rsidR="008020E2" w:rsidRDefault="008020E2">
      <w:pPr>
        <w:autoSpaceDE w:val="0"/>
        <w:autoSpaceDN w:val="0"/>
        <w:adjustRightInd w:val="0"/>
        <w:rPr>
          <w:szCs w:val="22"/>
        </w:rPr>
      </w:pPr>
    </w:p>
    <w:p w14:paraId="41C5AB32" w14:textId="643533C6" w:rsidR="008020E2" w:rsidRDefault="00137C20">
      <w:pPr>
        <w:autoSpaceDE w:val="0"/>
        <w:autoSpaceDN w:val="0"/>
        <w:adjustRightInd w:val="0"/>
        <w:rPr>
          <w:szCs w:val="22"/>
        </w:rPr>
      </w:pPr>
      <w:proofErr w:type="spellStart"/>
      <w:r>
        <w:rPr>
          <w:bCs/>
          <w:i/>
          <w:szCs w:val="22"/>
        </w:rPr>
        <w:t>Gemfibrozilis</w:t>
      </w:r>
      <w:proofErr w:type="spellEnd"/>
      <w:r>
        <w:rPr>
          <w:bCs/>
          <w:i/>
          <w:szCs w:val="22"/>
        </w:rPr>
        <w:t xml:space="preserve"> ir kiti </w:t>
      </w:r>
      <w:proofErr w:type="spellStart"/>
      <w:r>
        <w:rPr>
          <w:bCs/>
          <w:i/>
          <w:szCs w:val="22"/>
        </w:rPr>
        <w:t>fibratai</w:t>
      </w:r>
      <w:proofErr w:type="spellEnd"/>
      <w:r>
        <w:rPr>
          <w:bCs/>
          <w:i/>
          <w:szCs w:val="22"/>
        </w:rPr>
        <w:t>.</w:t>
      </w:r>
      <w:r>
        <w:rPr>
          <w:bCs/>
          <w:szCs w:val="22"/>
        </w:rPr>
        <w:t xml:space="preserve"> </w:t>
      </w:r>
      <w:r>
        <w:rPr>
          <w:szCs w:val="22"/>
        </w:rPr>
        <w:t>Vien</w:t>
      </w:r>
      <w:r w:rsidR="00496A23">
        <w:rPr>
          <w:szCs w:val="22"/>
        </w:rPr>
        <w:t>ų</w:t>
      </w:r>
      <w:r>
        <w:rPr>
          <w:szCs w:val="22"/>
        </w:rPr>
        <w:t xml:space="preserve"> </w:t>
      </w:r>
      <w:proofErr w:type="spellStart"/>
      <w:r>
        <w:rPr>
          <w:szCs w:val="22"/>
        </w:rPr>
        <w:t>fibratų</w:t>
      </w:r>
      <w:proofErr w:type="spellEnd"/>
      <w:r>
        <w:rPr>
          <w:szCs w:val="22"/>
        </w:rPr>
        <w:t xml:space="preserve"> vartojimas kartais būna susijęs su </w:t>
      </w:r>
      <w:proofErr w:type="spellStart"/>
      <w:r>
        <w:rPr>
          <w:szCs w:val="22"/>
        </w:rPr>
        <w:t>miopatijos</w:t>
      </w:r>
      <w:proofErr w:type="spellEnd"/>
      <w:r>
        <w:rPr>
          <w:szCs w:val="22"/>
        </w:rPr>
        <w:t xml:space="preserve"> </w:t>
      </w:r>
      <w:r w:rsidR="00406B30">
        <w:rPr>
          <w:szCs w:val="22"/>
        </w:rPr>
        <w:t>išsivystymu</w:t>
      </w:r>
      <w:r>
        <w:rPr>
          <w:szCs w:val="22"/>
        </w:rPr>
        <w:t xml:space="preserve">. </w:t>
      </w:r>
      <w:proofErr w:type="spellStart"/>
      <w:r>
        <w:rPr>
          <w:szCs w:val="22"/>
        </w:rPr>
        <w:t>Fibratų</w:t>
      </w:r>
      <w:proofErr w:type="spellEnd"/>
      <w:r>
        <w:rPr>
          <w:szCs w:val="22"/>
        </w:rPr>
        <w:t xml:space="preserve"> vartojimas kartu su </w:t>
      </w:r>
      <w:proofErr w:type="spellStart"/>
      <w:r>
        <w:rPr>
          <w:szCs w:val="22"/>
        </w:rPr>
        <w:t>statinais</w:t>
      </w:r>
      <w:proofErr w:type="spellEnd"/>
      <w:r>
        <w:rPr>
          <w:szCs w:val="22"/>
        </w:rPr>
        <w:t xml:space="preserve"> buvo susijęs su padažnėjusiu </w:t>
      </w:r>
      <w:proofErr w:type="spellStart"/>
      <w:r>
        <w:rPr>
          <w:szCs w:val="22"/>
        </w:rPr>
        <w:t>miopatijos</w:t>
      </w:r>
      <w:proofErr w:type="spellEnd"/>
      <w:r>
        <w:rPr>
          <w:szCs w:val="22"/>
        </w:rPr>
        <w:t xml:space="preserve"> ir </w:t>
      </w:r>
      <w:proofErr w:type="spellStart"/>
      <w:r>
        <w:rPr>
          <w:szCs w:val="22"/>
        </w:rPr>
        <w:t>rabdomiolizės</w:t>
      </w:r>
      <w:proofErr w:type="spellEnd"/>
      <w:r>
        <w:rPr>
          <w:szCs w:val="22"/>
        </w:rPr>
        <w:t xml:space="preserve"> </w:t>
      </w:r>
      <w:r w:rsidR="00406B30">
        <w:rPr>
          <w:szCs w:val="22"/>
        </w:rPr>
        <w:t>išsivystymu</w:t>
      </w:r>
      <w:r>
        <w:rPr>
          <w:szCs w:val="22"/>
        </w:rPr>
        <w:t xml:space="preserve">. </w:t>
      </w:r>
      <w:proofErr w:type="spellStart"/>
      <w:r>
        <w:rPr>
          <w:szCs w:val="22"/>
        </w:rPr>
        <w:t>Pitipix</w:t>
      </w:r>
      <w:proofErr w:type="spellEnd"/>
      <w:r>
        <w:rPr>
          <w:szCs w:val="22"/>
        </w:rPr>
        <w:t xml:space="preserve"> kartu su </w:t>
      </w:r>
      <w:proofErr w:type="spellStart"/>
      <w:r>
        <w:rPr>
          <w:szCs w:val="22"/>
        </w:rPr>
        <w:t>fibratais</w:t>
      </w:r>
      <w:proofErr w:type="spellEnd"/>
      <w:r>
        <w:rPr>
          <w:szCs w:val="22"/>
        </w:rPr>
        <w:t xml:space="preserve"> būtina vartoti atsargiai (žr. 4.4 skyrių). </w:t>
      </w:r>
      <w:proofErr w:type="spellStart"/>
      <w:r>
        <w:rPr>
          <w:szCs w:val="22"/>
        </w:rPr>
        <w:t>Farmakokinetikos</w:t>
      </w:r>
      <w:proofErr w:type="spellEnd"/>
      <w:r>
        <w:rPr>
          <w:szCs w:val="22"/>
        </w:rPr>
        <w:t xml:space="preserve"> tyrimų metu kartu vartojant </w:t>
      </w:r>
      <w:proofErr w:type="spellStart"/>
      <w:r>
        <w:rPr>
          <w:szCs w:val="22"/>
        </w:rPr>
        <w:t>pitavastatiną</w:t>
      </w:r>
      <w:proofErr w:type="spellEnd"/>
      <w:r>
        <w:rPr>
          <w:szCs w:val="22"/>
        </w:rPr>
        <w:t xml:space="preserve"> su </w:t>
      </w:r>
      <w:proofErr w:type="spellStart"/>
      <w:r>
        <w:rPr>
          <w:szCs w:val="22"/>
        </w:rPr>
        <w:t>gemfibroziliu</w:t>
      </w:r>
      <w:proofErr w:type="spellEnd"/>
      <w:r>
        <w:rPr>
          <w:szCs w:val="22"/>
        </w:rPr>
        <w:t xml:space="preserve">, </w:t>
      </w:r>
      <w:proofErr w:type="spellStart"/>
      <w:r>
        <w:rPr>
          <w:szCs w:val="22"/>
        </w:rPr>
        <w:t>pitavastatino</w:t>
      </w:r>
      <w:proofErr w:type="spellEnd"/>
      <w:r>
        <w:rPr>
          <w:szCs w:val="22"/>
        </w:rPr>
        <w:t xml:space="preserve"> AUC padidėjo 1,4 karto, </w:t>
      </w:r>
      <w:proofErr w:type="spellStart"/>
      <w:r>
        <w:rPr>
          <w:szCs w:val="22"/>
        </w:rPr>
        <w:t>fenofibrato</w:t>
      </w:r>
      <w:proofErr w:type="spellEnd"/>
      <w:r>
        <w:rPr>
          <w:szCs w:val="22"/>
        </w:rPr>
        <w:t xml:space="preserve"> AUC padidėjo 1,2 karto.</w:t>
      </w:r>
    </w:p>
    <w:p w14:paraId="57456E16" w14:textId="77777777" w:rsidR="008020E2" w:rsidRDefault="008020E2">
      <w:pPr>
        <w:autoSpaceDE w:val="0"/>
        <w:autoSpaceDN w:val="0"/>
        <w:adjustRightInd w:val="0"/>
        <w:rPr>
          <w:szCs w:val="22"/>
        </w:rPr>
      </w:pPr>
    </w:p>
    <w:p w14:paraId="1D9D226D" w14:textId="4F572EA1" w:rsidR="008020E2" w:rsidRDefault="00137C20">
      <w:pPr>
        <w:autoSpaceDE w:val="0"/>
        <w:autoSpaceDN w:val="0"/>
        <w:adjustRightInd w:val="0"/>
        <w:rPr>
          <w:szCs w:val="22"/>
        </w:rPr>
      </w:pPr>
      <w:proofErr w:type="spellStart"/>
      <w:r>
        <w:rPr>
          <w:bCs/>
          <w:i/>
          <w:szCs w:val="22"/>
        </w:rPr>
        <w:t>Niacinas</w:t>
      </w:r>
      <w:proofErr w:type="spellEnd"/>
      <w:r>
        <w:rPr>
          <w:bCs/>
          <w:i/>
          <w:szCs w:val="22"/>
        </w:rPr>
        <w:t>.</w:t>
      </w:r>
      <w:r>
        <w:rPr>
          <w:bCs/>
          <w:szCs w:val="22"/>
        </w:rPr>
        <w:t xml:space="preserve"> </w:t>
      </w:r>
      <w:proofErr w:type="spellStart"/>
      <w:r>
        <w:rPr>
          <w:szCs w:val="22"/>
        </w:rPr>
        <w:t>Pitavastatino</w:t>
      </w:r>
      <w:proofErr w:type="spellEnd"/>
      <w:r>
        <w:rPr>
          <w:szCs w:val="22"/>
        </w:rPr>
        <w:t xml:space="preserve"> ir </w:t>
      </w:r>
      <w:proofErr w:type="spellStart"/>
      <w:r>
        <w:rPr>
          <w:szCs w:val="22"/>
        </w:rPr>
        <w:t>niacino</w:t>
      </w:r>
      <w:proofErr w:type="spellEnd"/>
      <w:r>
        <w:rPr>
          <w:szCs w:val="22"/>
        </w:rPr>
        <w:t xml:space="preserve"> sąveikos tyrimų neatlikta. </w:t>
      </w:r>
      <w:proofErr w:type="spellStart"/>
      <w:r w:rsidR="00C11037">
        <w:rPr>
          <w:szCs w:val="22"/>
        </w:rPr>
        <w:t>N</w:t>
      </w:r>
      <w:r>
        <w:rPr>
          <w:szCs w:val="22"/>
        </w:rPr>
        <w:t>iacino</w:t>
      </w:r>
      <w:proofErr w:type="spellEnd"/>
      <w:r>
        <w:rPr>
          <w:szCs w:val="22"/>
        </w:rPr>
        <w:t xml:space="preserve"> </w:t>
      </w:r>
      <w:proofErr w:type="spellStart"/>
      <w:r>
        <w:rPr>
          <w:szCs w:val="22"/>
        </w:rPr>
        <w:t>monoterapija</w:t>
      </w:r>
      <w:proofErr w:type="spellEnd"/>
      <w:r>
        <w:rPr>
          <w:szCs w:val="22"/>
        </w:rPr>
        <w:t xml:space="preserve"> buvo susijusi su </w:t>
      </w:r>
      <w:proofErr w:type="spellStart"/>
      <w:r>
        <w:rPr>
          <w:szCs w:val="22"/>
        </w:rPr>
        <w:t>miopatijos</w:t>
      </w:r>
      <w:proofErr w:type="spellEnd"/>
      <w:r>
        <w:rPr>
          <w:szCs w:val="22"/>
        </w:rPr>
        <w:t xml:space="preserve"> ir </w:t>
      </w:r>
      <w:proofErr w:type="spellStart"/>
      <w:r>
        <w:rPr>
          <w:szCs w:val="22"/>
        </w:rPr>
        <w:t>rabdomiolizės</w:t>
      </w:r>
      <w:proofErr w:type="spellEnd"/>
      <w:r>
        <w:rPr>
          <w:szCs w:val="22"/>
        </w:rPr>
        <w:t xml:space="preserve"> </w:t>
      </w:r>
      <w:r w:rsidR="00C11037">
        <w:rPr>
          <w:szCs w:val="22"/>
        </w:rPr>
        <w:t>išsivyst</w:t>
      </w:r>
      <w:r w:rsidR="00DC0BDB">
        <w:rPr>
          <w:szCs w:val="22"/>
        </w:rPr>
        <w:t>y</w:t>
      </w:r>
      <w:r w:rsidR="00C11037">
        <w:rPr>
          <w:szCs w:val="22"/>
        </w:rPr>
        <w:t>mu</w:t>
      </w:r>
      <w:r>
        <w:rPr>
          <w:szCs w:val="22"/>
        </w:rPr>
        <w:t xml:space="preserve">. Dėl to </w:t>
      </w:r>
      <w:proofErr w:type="spellStart"/>
      <w:r>
        <w:rPr>
          <w:szCs w:val="22"/>
        </w:rPr>
        <w:t>Pitipix</w:t>
      </w:r>
      <w:proofErr w:type="spellEnd"/>
      <w:r>
        <w:rPr>
          <w:szCs w:val="22"/>
        </w:rPr>
        <w:t xml:space="preserve"> kartu su </w:t>
      </w:r>
      <w:proofErr w:type="spellStart"/>
      <w:r>
        <w:rPr>
          <w:szCs w:val="22"/>
        </w:rPr>
        <w:t>niacinu</w:t>
      </w:r>
      <w:proofErr w:type="spellEnd"/>
      <w:r>
        <w:rPr>
          <w:szCs w:val="22"/>
        </w:rPr>
        <w:t xml:space="preserve"> būtina vartoti atsargiai.</w:t>
      </w:r>
    </w:p>
    <w:p w14:paraId="303E80AC" w14:textId="77777777" w:rsidR="008020E2" w:rsidRDefault="008020E2">
      <w:pPr>
        <w:autoSpaceDE w:val="0"/>
        <w:autoSpaceDN w:val="0"/>
        <w:adjustRightInd w:val="0"/>
        <w:rPr>
          <w:bCs/>
          <w:szCs w:val="22"/>
        </w:rPr>
      </w:pPr>
    </w:p>
    <w:p w14:paraId="68DB0E7D" w14:textId="4271D1ED" w:rsidR="008020E2" w:rsidRDefault="00137C20">
      <w:pPr>
        <w:autoSpaceDE w:val="0"/>
        <w:autoSpaceDN w:val="0"/>
        <w:adjustRightInd w:val="0"/>
        <w:rPr>
          <w:szCs w:val="22"/>
        </w:rPr>
      </w:pPr>
      <w:proofErr w:type="spellStart"/>
      <w:r>
        <w:rPr>
          <w:bCs/>
          <w:i/>
          <w:szCs w:val="22"/>
        </w:rPr>
        <w:t>Fuzido</w:t>
      </w:r>
      <w:proofErr w:type="spellEnd"/>
      <w:r>
        <w:rPr>
          <w:bCs/>
          <w:i/>
          <w:szCs w:val="22"/>
        </w:rPr>
        <w:t xml:space="preserve"> rūgštis.</w:t>
      </w:r>
      <w:r>
        <w:rPr>
          <w:bCs/>
          <w:szCs w:val="22"/>
        </w:rPr>
        <w:t xml:space="preserve"> </w:t>
      </w:r>
      <w:r>
        <w:rPr>
          <w:szCs w:val="22"/>
        </w:rPr>
        <w:t xml:space="preserve">Kartu su </w:t>
      </w:r>
      <w:proofErr w:type="spellStart"/>
      <w:r>
        <w:rPr>
          <w:szCs w:val="22"/>
        </w:rPr>
        <w:t>statinais</w:t>
      </w:r>
      <w:proofErr w:type="spellEnd"/>
      <w:r>
        <w:rPr>
          <w:szCs w:val="22"/>
        </w:rPr>
        <w:t xml:space="preserve"> vartojant sisteminio poveikio </w:t>
      </w:r>
      <w:proofErr w:type="spellStart"/>
      <w:r>
        <w:rPr>
          <w:szCs w:val="22"/>
        </w:rPr>
        <w:t>fuzido</w:t>
      </w:r>
      <w:proofErr w:type="spellEnd"/>
      <w:r>
        <w:rPr>
          <w:szCs w:val="22"/>
        </w:rPr>
        <w:t xml:space="preserve"> rūgštį, gali padidėti </w:t>
      </w:r>
      <w:proofErr w:type="spellStart"/>
      <w:r>
        <w:rPr>
          <w:szCs w:val="22"/>
        </w:rPr>
        <w:t>miopatijos</w:t>
      </w:r>
      <w:proofErr w:type="spellEnd"/>
      <w:r>
        <w:rPr>
          <w:szCs w:val="22"/>
        </w:rPr>
        <w:t xml:space="preserve">, įskaitant </w:t>
      </w:r>
      <w:proofErr w:type="spellStart"/>
      <w:r>
        <w:rPr>
          <w:szCs w:val="22"/>
        </w:rPr>
        <w:t>rabdomiolizę</w:t>
      </w:r>
      <w:proofErr w:type="spellEnd"/>
      <w:r>
        <w:rPr>
          <w:szCs w:val="22"/>
        </w:rPr>
        <w:t xml:space="preserve">, </w:t>
      </w:r>
      <w:r w:rsidR="00416AF9">
        <w:rPr>
          <w:szCs w:val="22"/>
        </w:rPr>
        <w:t xml:space="preserve">išsivystymo </w:t>
      </w:r>
      <w:r>
        <w:rPr>
          <w:szCs w:val="22"/>
        </w:rPr>
        <w:t>rizika. Šios sąveikos mechanizmas (</w:t>
      </w:r>
      <w:proofErr w:type="spellStart"/>
      <w:r>
        <w:rPr>
          <w:szCs w:val="22"/>
        </w:rPr>
        <w:t>farmakodinaminis</w:t>
      </w:r>
      <w:proofErr w:type="spellEnd"/>
      <w:r>
        <w:rPr>
          <w:szCs w:val="22"/>
        </w:rPr>
        <w:t xml:space="preserve">, </w:t>
      </w:r>
      <w:proofErr w:type="spellStart"/>
      <w:r>
        <w:rPr>
          <w:szCs w:val="22"/>
        </w:rPr>
        <w:t>farmakokinetinis</w:t>
      </w:r>
      <w:proofErr w:type="spellEnd"/>
      <w:r>
        <w:rPr>
          <w:szCs w:val="22"/>
        </w:rPr>
        <w:t xml:space="preserve"> ar abiejų rūšių) kol kas nežinomas. Gauta pranešimų apie </w:t>
      </w:r>
      <w:proofErr w:type="spellStart"/>
      <w:r>
        <w:rPr>
          <w:szCs w:val="22"/>
        </w:rPr>
        <w:t>rabdomiolizę</w:t>
      </w:r>
      <w:proofErr w:type="spellEnd"/>
      <w:r>
        <w:rPr>
          <w:szCs w:val="22"/>
        </w:rPr>
        <w:t xml:space="preserve"> (įskaitant kai kuriuos mirtinus atvejus) pacientams, vartojusiems </w:t>
      </w:r>
      <w:r w:rsidR="00E637B0">
        <w:rPr>
          <w:szCs w:val="22"/>
        </w:rPr>
        <w:t xml:space="preserve">šių </w:t>
      </w:r>
      <w:r>
        <w:rPr>
          <w:szCs w:val="22"/>
        </w:rPr>
        <w:t xml:space="preserve">vaistinių preparatų derinį. Jei gydymas sisteminio poveikio </w:t>
      </w:r>
      <w:proofErr w:type="spellStart"/>
      <w:r>
        <w:rPr>
          <w:szCs w:val="22"/>
        </w:rPr>
        <w:t>fuzido</w:t>
      </w:r>
      <w:proofErr w:type="spellEnd"/>
      <w:r>
        <w:rPr>
          <w:szCs w:val="22"/>
        </w:rPr>
        <w:t xml:space="preserve"> rūgšties vaistiniais preparatais yra būtinas, </w:t>
      </w:r>
      <w:proofErr w:type="spellStart"/>
      <w:r>
        <w:rPr>
          <w:szCs w:val="22"/>
        </w:rPr>
        <w:t>Pitipix</w:t>
      </w:r>
      <w:proofErr w:type="spellEnd"/>
      <w:r>
        <w:rPr>
          <w:szCs w:val="22"/>
        </w:rPr>
        <w:t xml:space="preserve"> vartojimą reikia nutraukti visu gydymo </w:t>
      </w:r>
      <w:proofErr w:type="spellStart"/>
      <w:r>
        <w:rPr>
          <w:szCs w:val="22"/>
        </w:rPr>
        <w:t>fuzido</w:t>
      </w:r>
      <w:proofErr w:type="spellEnd"/>
      <w:r>
        <w:rPr>
          <w:szCs w:val="22"/>
        </w:rPr>
        <w:t xml:space="preserve"> rūgštimi laikotarpiu (žr. 4.4 skyrių).</w:t>
      </w:r>
    </w:p>
    <w:p w14:paraId="36C7C09B" w14:textId="77777777" w:rsidR="008020E2" w:rsidRDefault="008020E2">
      <w:pPr>
        <w:autoSpaceDE w:val="0"/>
        <w:autoSpaceDN w:val="0"/>
        <w:adjustRightInd w:val="0"/>
        <w:rPr>
          <w:szCs w:val="22"/>
        </w:rPr>
      </w:pPr>
    </w:p>
    <w:p w14:paraId="2834C311" w14:textId="238F453F" w:rsidR="008020E2" w:rsidRDefault="00137C20">
      <w:pPr>
        <w:autoSpaceDE w:val="0"/>
        <w:autoSpaceDN w:val="0"/>
        <w:adjustRightInd w:val="0"/>
        <w:rPr>
          <w:szCs w:val="22"/>
        </w:rPr>
      </w:pPr>
      <w:proofErr w:type="spellStart"/>
      <w:r>
        <w:rPr>
          <w:bCs/>
          <w:i/>
          <w:szCs w:val="22"/>
        </w:rPr>
        <w:t>Rifampicinas</w:t>
      </w:r>
      <w:proofErr w:type="spellEnd"/>
      <w:r>
        <w:rPr>
          <w:bCs/>
          <w:i/>
          <w:szCs w:val="22"/>
        </w:rPr>
        <w:t>.</w:t>
      </w:r>
      <w:r>
        <w:rPr>
          <w:bCs/>
          <w:szCs w:val="22"/>
        </w:rPr>
        <w:t xml:space="preserve"> Kartu su </w:t>
      </w:r>
      <w:proofErr w:type="spellStart"/>
      <w:r>
        <w:rPr>
          <w:bCs/>
          <w:szCs w:val="22"/>
        </w:rPr>
        <w:t>r</w:t>
      </w:r>
      <w:r>
        <w:rPr>
          <w:szCs w:val="22"/>
        </w:rPr>
        <w:t>ifampicinu</w:t>
      </w:r>
      <w:proofErr w:type="spellEnd"/>
      <w:r>
        <w:rPr>
          <w:szCs w:val="22"/>
        </w:rPr>
        <w:t xml:space="preserve"> vartojamo </w:t>
      </w:r>
      <w:proofErr w:type="spellStart"/>
      <w:r>
        <w:rPr>
          <w:szCs w:val="22"/>
        </w:rPr>
        <w:t>pitavastatino</w:t>
      </w:r>
      <w:proofErr w:type="spellEnd"/>
      <w:r>
        <w:rPr>
          <w:szCs w:val="22"/>
        </w:rPr>
        <w:t xml:space="preserve"> AUC padidėjo 1,3 karto dėl sumažėjusio </w:t>
      </w:r>
      <w:r w:rsidR="000020D4">
        <w:rPr>
          <w:szCs w:val="22"/>
        </w:rPr>
        <w:t>į</w:t>
      </w:r>
      <w:r>
        <w:rPr>
          <w:szCs w:val="22"/>
        </w:rPr>
        <w:t>sisavinimo kepenyse.</w:t>
      </w:r>
    </w:p>
    <w:p w14:paraId="0B2C24F7" w14:textId="77777777" w:rsidR="008020E2" w:rsidRDefault="008020E2">
      <w:pPr>
        <w:autoSpaceDE w:val="0"/>
        <w:autoSpaceDN w:val="0"/>
        <w:adjustRightInd w:val="0"/>
        <w:rPr>
          <w:bCs/>
          <w:szCs w:val="22"/>
        </w:rPr>
      </w:pPr>
    </w:p>
    <w:p w14:paraId="3792DDA4" w14:textId="77777777" w:rsidR="008020E2" w:rsidRDefault="00137C20">
      <w:pPr>
        <w:autoSpaceDE w:val="0"/>
        <w:autoSpaceDN w:val="0"/>
        <w:adjustRightInd w:val="0"/>
        <w:rPr>
          <w:szCs w:val="22"/>
        </w:rPr>
      </w:pPr>
      <w:r>
        <w:rPr>
          <w:bCs/>
          <w:i/>
          <w:szCs w:val="22"/>
        </w:rPr>
        <w:t xml:space="preserve">Proteazės inhibitoriai ir ne nukleozidiniai atvirkštinės </w:t>
      </w:r>
      <w:proofErr w:type="spellStart"/>
      <w:r>
        <w:rPr>
          <w:bCs/>
          <w:i/>
          <w:szCs w:val="22"/>
        </w:rPr>
        <w:t>transferazės</w:t>
      </w:r>
      <w:proofErr w:type="spellEnd"/>
      <w:r>
        <w:rPr>
          <w:bCs/>
          <w:i/>
          <w:szCs w:val="22"/>
        </w:rPr>
        <w:t xml:space="preserve"> inhibitoriai. </w:t>
      </w:r>
      <w:r>
        <w:rPr>
          <w:bCs/>
          <w:iCs/>
          <w:szCs w:val="22"/>
        </w:rPr>
        <w:t xml:space="preserve">Kartu su </w:t>
      </w:r>
      <w:proofErr w:type="spellStart"/>
      <w:r>
        <w:rPr>
          <w:bCs/>
          <w:iCs/>
          <w:szCs w:val="22"/>
        </w:rPr>
        <w:t>Pitipix</w:t>
      </w:r>
      <w:proofErr w:type="spellEnd"/>
      <w:r>
        <w:rPr>
          <w:bCs/>
          <w:iCs/>
          <w:szCs w:val="22"/>
        </w:rPr>
        <w:t xml:space="preserve"> vartojant </w:t>
      </w:r>
      <w:proofErr w:type="spellStart"/>
      <w:r>
        <w:rPr>
          <w:bCs/>
          <w:iCs/>
          <w:szCs w:val="22"/>
        </w:rPr>
        <w:t>lopinavirą</w:t>
      </w:r>
      <w:proofErr w:type="spellEnd"/>
      <w:r>
        <w:rPr>
          <w:bCs/>
          <w:iCs/>
          <w:szCs w:val="22"/>
        </w:rPr>
        <w:t xml:space="preserve"> / </w:t>
      </w:r>
      <w:proofErr w:type="spellStart"/>
      <w:r>
        <w:rPr>
          <w:bCs/>
          <w:iCs/>
          <w:szCs w:val="22"/>
        </w:rPr>
        <w:t>ritonavirą</w:t>
      </w:r>
      <w:proofErr w:type="spellEnd"/>
      <w:r>
        <w:rPr>
          <w:bCs/>
          <w:iCs/>
          <w:szCs w:val="22"/>
        </w:rPr>
        <w:t xml:space="preserve">, </w:t>
      </w:r>
      <w:proofErr w:type="spellStart"/>
      <w:r>
        <w:rPr>
          <w:bCs/>
          <w:iCs/>
          <w:szCs w:val="22"/>
        </w:rPr>
        <w:t>darunavirą</w:t>
      </w:r>
      <w:proofErr w:type="spellEnd"/>
      <w:r>
        <w:rPr>
          <w:bCs/>
          <w:iCs/>
          <w:szCs w:val="22"/>
        </w:rPr>
        <w:t xml:space="preserve"> / </w:t>
      </w:r>
      <w:proofErr w:type="spellStart"/>
      <w:r>
        <w:rPr>
          <w:bCs/>
          <w:iCs/>
          <w:szCs w:val="22"/>
        </w:rPr>
        <w:t>ritonavirą</w:t>
      </w:r>
      <w:proofErr w:type="spellEnd"/>
      <w:r>
        <w:rPr>
          <w:bCs/>
          <w:iCs/>
          <w:szCs w:val="22"/>
        </w:rPr>
        <w:t xml:space="preserve">, </w:t>
      </w:r>
      <w:proofErr w:type="spellStart"/>
      <w:r>
        <w:rPr>
          <w:bCs/>
          <w:iCs/>
          <w:szCs w:val="22"/>
        </w:rPr>
        <w:t>atazanavirą</w:t>
      </w:r>
      <w:proofErr w:type="spellEnd"/>
      <w:r>
        <w:rPr>
          <w:bCs/>
          <w:iCs/>
          <w:szCs w:val="22"/>
        </w:rPr>
        <w:t xml:space="preserve"> arba </w:t>
      </w:r>
      <w:proofErr w:type="spellStart"/>
      <w:r>
        <w:rPr>
          <w:bCs/>
          <w:iCs/>
          <w:szCs w:val="22"/>
        </w:rPr>
        <w:t>efavirenzą</w:t>
      </w:r>
      <w:proofErr w:type="spellEnd"/>
      <w:r>
        <w:rPr>
          <w:bCs/>
          <w:iCs/>
          <w:szCs w:val="22"/>
        </w:rPr>
        <w:t xml:space="preserve">, gali šiek tiek pakisti </w:t>
      </w:r>
      <w:proofErr w:type="spellStart"/>
      <w:r>
        <w:rPr>
          <w:bCs/>
          <w:iCs/>
          <w:szCs w:val="22"/>
        </w:rPr>
        <w:t>pitavastatino</w:t>
      </w:r>
      <w:proofErr w:type="spellEnd"/>
      <w:r>
        <w:rPr>
          <w:bCs/>
          <w:iCs/>
          <w:szCs w:val="22"/>
        </w:rPr>
        <w:t xml:space="preserve"> AUC.</w:t>
      </w:r>
    </w:p>
    <w:p w14:paraId="184DA21D" w14:textId="77777777" w:rsidR="008020E2" w:rsidRDefault="008020E2">
      <w:pPr>
        <w:autoSpaceDE w:val="0"/>
        <w:autoSpaceDN w:val="0"/>
        <w:adjustRightInd w:val="0"/>
        <w:rPr>
          <w:bCs/>
          <w:szCs w:val="22"/>
        </w:rPr>
      </w:pPr>
    </w:p>
    <w:p w14:paraId="7550FB96" w14:textId="6C70E6D0" w:rsidR="008020E2" w:rsidRDefault="00137C20">
      <w:pPr>
        <w:autoSpaceDE w:val="0"/>
        <w:autoSpaceDN w:val="0"/>
        <w:adjustRightInd w:val="0"/>
        <w:rPr>
          <w:bCs/>
          <w:iCs/>
          <w:szCs w:val="22"/>
        </w:rPr>
      </w:pPr>
      <w:proofErr w:type="spellStart"/>
      <w:r>
        <w:rPr>
          <w:bCs/>
          <w:i/>
          <w:szCs w:val="22"/>
        </w:rPr>
        <w:t>Ezetimibas</w:t>
      </w:r>
      <w:proofErr w:type="spellEnd"/>
      <w:r>
        <w:rPr>
          <w:bCs/>
          <w:i/>
          <w:szCs w:val="22"/>
        </w:rPr>
        <w:t xml:space="preserve"> </w:t>
      </w:r>
      <w:r>
        <w:rPr>
          <w:bCs/>
          <w:iCs/>
          <w:szCs w:val="22"/>
        </w:rPr>
        <w:t xml:space="preserve">ir jo </w:t>
      </w:r>
      <w:proofErr w:type="spellStart"/>
      <w:r>
        <w:rPr>
          <w:bCs/>
          <w:iCs/>
          <w:szCs w:val="22"/>
        </w:rPr>
        <w:t>gliukuronido</w:t>
      </w:r>
      <w:proofErr w:type="spellEnd"/>
      <w:r>
        <w:rPr>
          <w:bCs/>
          <w:iCs/>
          <w:szCs w:val="22"/>
        </w:rPr>
        <w:t xml:space="preserve"> metabolitas slopina su maistu suvartojamo ir su tulžimi išskiriamo cholesterolio absorbciją. Kartu vartojamas </w:t>
      </w:r>
      <w:proofErr w:type="spellStart"/>
      <w:r>
        <w:rPr>
          <w:bCs/>
          <w:iCs/>
          <w:szCs w:val="22"/>
        </w:rPr>
        <w:t>pitavastatinas</w:t>
      </w:r>
      <w:proofErr w:type="spellEnd"/>
      <w:r>
        <w:rPr>
          <w:bCs/>
          <w:iCs/>
          <w:szCs w:val="22"/>
        </w:rPr>
        <w:t xml:space="preserve"> nedarė įtakos </w:t>
      </w:r>
      <w:proofErr w:type="spellStart"/>
      <w:r>
        <w:rPr>
          <w:bCs/>
          <w:iCs/>
          <w:szCs w:val="22"/>
        </w:rPr>
        <w:t>ezetimibo</w:t>
      </w:r>
      <w:proofErr w:type="spellEnd"/>
      <w:r>
        <w:rPr>
          <w:bCs/>
          <w:iCs/>
          <w:szCs w:val="22"/>
        </w:rPr>
        <w:t xml:space="preserve"> ar </w:t>
      </w:r>
      <w:proofErr w:type="spellStart"/>
      <w:r>
        <w:rPr>
          <w:bCs/>
          <w:iCs/>
          <w:szCs w:val="22"/>
        </w:rPr>
        <w:t>gliukuronido</w:t>
      </w:r>
      <w:proofErr w:type="spellEnd"/>
      <w:r>
        <w:rPr>
          <w:bCs/>
          <w:iCs/>
          <w:szCs w:val="22"/>
        </w:rPr>
        <w:t xml:space="preserve"> metabolito koncentracijai kraujo plazmoje, o </w:t>
      </w:r>
      <w:proofErr w:type="spellStart"/>
      <w:r>
        <w:rPr>
          <w:bCs/>
          <w:iCs/>
          <w:szCs w:val="22"/>
        </w:rPr>
        <w:t>ezetimibas</w:t>
      </w:r>
      <w:proofErr w:type="spellEnd"/>
      <w:r>
        <w:rPr>
          <w:bCs/>
          <w:iCs/>
          <w:szCs w:val="22"/>
        </w:rPr>
        <w:t xml:space="preserve"> nedarė įtakos </w:t>
      </w:r>
      <w:proofErr w:type="spellStart"/>
      <w:r>
        <w:rPr>
          <w:bCs/>
          <w:iCs/>
          <w:szCs w:val="22"/>
        </w:rPr>
        <w:t>pitavastatino</w:t>
      </w:r>
      <w:proofErr w:type="spellEnd"/>
      <w:r>
        <w:rPr>
          <w:bCs/>
          <w:iCs/>
          <w:szCs w:val="22"/>
        </w:rPr>
        <w:t xml:space="preserve"> koncentracijai kraujo plazmoje.</w:t>
      </w:r>
    </w:p>
    <w:p w14:paraId="3ED0AD84" w14:textId="77777777" w:rsidR="008020E2" w:rsidRDefault="008020E2">
      <w:pPr>
        <w:autoSpaceDE w:val="0"/>
        <w:autoSpaceDN w:val="0"/>
        <w:adjustRightInd w:val="0"/>
        <w:rPr>
          <w:bCs/>
          <w:szCs w:val="22"/>
        </w:rPr>
      </w:pPr>
    </w:p>
    <w:p w14:paraId="669D7CE3" w14:textId="77777777" w:rsidR="008020E2" w:rsidRDefault="00137C20">
      <w:pPr>
        <w:autoSpaceDE w:val="0"/>
        <w:autoSpaceDN w:val="0"/>
        <w:adjustRightInd w:val="0"/>
        <w:rPr>
          <w:szCs w:val="22"/>
        </w:rPr>
      </w:pPr>
      <w:r>
        <w:rPr>
          <w:bCs/>
          <w:i/>
          <w:szCs w:val="22"/>
        </w:rPr>
        <w:t>CYP3A4 inhibitoriai.</w:t>
      </w:r>
      <w:r>
        <w:rPr>
          <w:bCs/>
          <w:szCs w:val="22"/>
        </w:rPr>
        <w:t xml:space="preserve"> </w:t>
      </w:r>
      <w:r>
        <w:rPr>
          <w:szCs w:val="22"/>
        </w:rPr>
        <w:t xml:space="preserve">Sąveikos su </w:t>
      </w:r>
      <w:proofErr w:type="spellStart"/>
      <w:r>
        <w:rPr>
          <w:szCs w:val="22"/>
        </w:rPr>
        <w:t>itrakonazolu</w:t>
      </w:r>
      <w:proofErr w:type="spellEnd"/>
      <w:r>
        <w:rPr>
          <w:szCs w:val="22"/>
        </w:rPr>
        <w:t xml:space="preserve"> ir greipfrutų </w:t>
      </w:r>
      <w:proofErr w:type="spellStart"/>
      <w:r>
        <w:rPr>
          <w:szCs w:val="22"/>
        </w:rPr>
        <w:t>sultimis</w:t>
      </w:r>
      <w:proofErr w:type="spellEnd"/>
      <w:r>
        <w:rPr>
          <w:szCs w:val="22"/>
        </w:rPr>
        <w:t xml:space="preserve"> (žinomais CYP3A4 inhibitoriais) tyrimai neparodė kliniškai reikšmingo poveikio </w:t>
      </w:r>
      <w:proofErr w:type="spellStart"/>
      <w:r>
        <w:rPr>
          <w:szCs w:val="22"/>
        </w:rPr>
        <w:t>pitavastatino</w:t>
      </w:r>
      <w:proofErr w:type="spellEnd"/>
      <w:r>
        <w:rPr>
          <w:szCs w:val="22"/>
        </w:rPr>
        <w:t xml:space="preserve"> koncentracijai kraujo plazmoje.</w:t>
      </w:r>
    </w:p>
    <w:p w14:paraId="42CD0BCC" w14:textId="77777777" w:rsidR="008020E2" w:rsidRDefault="008020E2">
      <w:pPr>
        <w:autoSpaceDE w:val="0"/>
        <w:autoSpaceDN w:val="0"/>
        <w:adjustRightInd w:val="0"/>
        <w:rPr>
          <w:bCs/>
          <w:szCs w:val="22"/>
        </w:rPr>
      </w:pPr>
    </w:p>
    <w:p w14:paraId="4F4A6A33" w14:textId="67D2239E" w:rsidR="008020E2" w:rsidRDefault="00137C20">
      <w:pPr>
        <w:autoSpaceDE w:val="0"/>
        <w:autoSpaceDN w:val="0"/>
        <w:adjustRightInd w:val="0"/>
        <w:rPr>
          <w:bCs/>
          <w:iCs/>
          <w:szCs w:val="22"/>
        </w:rPr>
      </w:pPr>
      <w:proofErr w:type="spellStart"/>
      <w:r>
        <w:rPr>
          <w:bCs/>
          <w:i/>
          <w:szCs w:val="22"/>
        </w:rPr>
        <w:t>Digoksino</w:t>
      </w:r>
      <w:proofErr w:type="spellEnd"/>
      <w:r>
        <w:rPr>
          <w:bCs/>
          <w:i/>
          <w:szCs w:val="22"/>
        </w:rPr>
        <w:t xml:space="preserve"> </w:t>
      </w:r>
      <w:r>
        <w:rPr>
          <w:bCs/>
          <w:iCs/>
          <w:szCs w:val="22"/>
        </w:rPr>
        <w:t>(žinom</w:t>
      </w:r>
      <w:r w:rsidR="00CF2779">
        <w:rPr>
          <w:bCs/>
          <w:iCs/>
          <w:szCs w:val="22"/>
        </w:rPr>
        <w:t>as</w:t>
      </w:r>
      <w:r>
        <w:rPr>
          <w:bCs/>
          <w:iCs/>
          <w:szCs w:val="22"/>
        </w:rPr>
        <w:t xml:space="preserve"> P-</w:t>
      </w:r>
      <w:proofErr w:type="spellStart"/>
      <w:r>
        <w:rPr>
          <w:bCs/>
          <w:iCs/>
          <w:szCs w:val="22"/>
        </w:rPr>
        <w:t>gp</w:t>
      </w:r>
      <w:proofErr w:type="spellEnd"/>
      <w:r>
        <w:rPr>
          <w:bCs/>
          <w:iCs/>
          <w:szCs w:val="22"/>
        </w:rPr>
        <w:t xml:space="preserve"> substrat</w:t>
      </w:r>
      <w:r w:rsidR="00CF2779">
        <w:rPr>
          <w:bCs/>
          <w:iCs/>
          <w:szCs w:val="22"/>
        </w:rPr>
        <w:t>as</w:t>
      </w:r>
      <w:r>
        <w:rPr>
          <w:bCs/>
          <w:iCs/>
          <w:szCs w:val="22"/>
        </w:rPr>
        <w:t xml:space="preserve">) sąveikos su </w:t>
      </w:r>
      <w:proofErr w:type="spellStart"/>
      <w:r>
        <w:rPr>
          <w:bCs/>
          <w:iCs/>
          <w:szCs w:val="22"/>
        </w:rPr>
        <w:t>pitavastatinu</w:t>
      </w:r>
      <w:proofErr w:type="spellEnd"/>
      <w:r>
        <w:rPr>
          <w:bCs/>
          <w:iCs/>
          <w:szCs w:val="22"/>
        </w:rPr>
        <w:t xml:space="preserve"> nepasireiškė. Vartojant kartu, nei </w:t>
      </w:r>
      <w:proofErr w:type="spellStart"/>
      <w:r>
        <w:rPr>
          <w:bCs/>
          <w:iCs/>
          <w:szCs w:val="22"/>
        </w:rPr>
        <w:t>pitavastatino</w:t>
      </w:r>
      <w:proofErr w:type="spellEnd"/>
      <w:r>
        <w:rPr>
          <w:bCs/>
          <w:iCs/>
          <w:szCs w:val="22"/>
        </w:rPr>
        <w:t xml:space="preserve">, nei </w:t>
      </w:r>
      <w:proofErr w:type="spellStart"/>
      <w:r>
        <w:rPr>
          <w:bCs/>
          <w:iCs/>
          <w:szCs w:val="22"/>
        </w:rPr>
        <w:t>digoksino</w:t>
      </w:r>
      <w:proofErr w:type="spellEnd"/>
      <w:r>
        <w:rPr>
          <w:bCs/>
          <w:iCs/>
          <w:szCs w:val="22"/>
        </w:rPr>
        <w:t xml:space="preserve"> koncentracija reikšmingai nepakito.</w:t>
      </w:r>
    </w:p>
    <w:p w14:paraId="74D8FF3D" w14:textId="77777777" w:rsidR="008020E2" w:rsidRDefault="008020E2">
      <w:pPr>
        <w:autoSpaceDE w:val="0"/>
        <w:autoSpaceDN w:val="0"/>
        <w:adjustRightInd w:val="0"/>
        <w:rPr>
          <w:bCs/>
          <w:iCs/>
          <w:szCs w:val="22"/>
        </w:rPr>
      </w:pPr>
    </w:p>
    <w:p w14:paraId="43C4C9C3" w14:textId="03AD62E2" w:rsidR="008020E2" w:rsidRDefault="00137C20">
      <w:pPr>
        <w:autoSpaceDE w:val="0"/>
        <w:autoSpaceDN w:val="0"/>
        <w:adjustRightInd w:val="0"/>
        <w:rPr>
          <w:szCs w:val="22"/>
        </w:rPr>
      </w:pPr>
      <w:proofErr w:type="spellStart"/>
      <w:r>
        <w:rPr>
          <w:bCs/>
          <w:i/>
          <w:szCs w:val="22"/>
        </w:rPr>
        <w:t>Varfarinas</w:t>
      </w:r>
      <w:proofErr w:type="spellEnd"/>
      <w:r>
        <w:rPr>
          <w:bCs/>
          <w:i/>
          <w:szCs w:val="22"/>
        </w:rPr>
        <w:t>.</w:t>
      </w:r>
      <w:r>
        <w:rPr>
          <w:bCs/>
          <w:szCs w:val="22"/>
        </w:rPr>
        <w:t xml:space="preserve"> </w:t>
      </w:r>
      <w:r>
        <w:rPr>
          <w:szCs w:val="22"/>
        </w:rPr>
        <w:t xml:space="preserve">Kartu vartojama 4 mg </w:t>
      </w:r>
      <w:proofErr w:type="spellStart"/>
      <w:r>
        <w:rPr>
          <w:szCs w:val="22"/>
        </w:rPr>
        <w:t>pitavastatino</w:t>
      </w:r>
      <w:proofErr w:type="spellEnd"/>
      <w:r>
        <w:rPr>
          <w:szCs w:val="22"/>
        </w:rPr>
        <w:t xml:space="preserve"> paros dozė neturėjo įtakos </w:t>
      </w:r>
      <w:proofErr w:type="spellStart"/>
      <w:r>
        <w:rPr>
          <w:szCs w:val="22"/>
        </w:rPr>
        <w:t>varfarino</w:t>
      </w:r>
      <w:proofErr w:type="spellEnd"/>
      <w:r>
        <w:rPr>
          <w:szCs w:val="22"/>
        </w:rPr>
        <w:t xml:space="preserve"> </w:t>
      </w:r>
      <w:proofErr w:type="spellStart"/>
      <w:r>
        <w:rPr>
          <w:szCs w:val="22"/>
        </w:rPr>
        <w:t>farmakokinetikai</w:t>
      </w:r>
      <w:proofErr w:type="spellEnd"/>
      <w:r>
        <w:rPr>
          <w:szCs w:val="22"/>
        </w:rPr>
        <w:t xml:space="preserve"> ir farmakodinamikai (tarptautinį normalizuotą santykį [TNS] ir </w:t>
      </w:r>
      <w:proofErr w:type="spellStart"/>
      <w:r>
        <w:rPr>
          <w:szCs w:val="22"/>
        </w:rPr>
        <w:t>protrombino</w:t>
      </w:r>
      <w:proofErr w:type="spellEnd"/>
      <w:r>
        <w:rPr>
          <w:szCs w:val="22"/>
        </w:rPr>
        <w:t xml:space="preserve"> laiką [PT]) nusistovėjus </w:t>
      </w:r>
      <w:proofErr w:type="spellStart"/>
      <w:r>
        <w:rPr>
          <w:szCs w:val="22"/>
        </w:rPr>
        <w:t>pusiausvyrinei</w:t>
      </w:r>
      <w:proofErr w:type="spellEnd"/>
      <w:r>
        <w:rPr>
          <w:szCs w:val="22"/>
        </w:rPr>
        <w:t xml:space="preserve"> apykaitai sveikiems savanoriams. Vis dėlto, kaip ir kitų </w:t>
      </w:r>
      <w:proofErr w:type="spellStart"/>
      <w:r>
        <w:rPr>
          <w:szCs w:val="22"/>
        </w:rPr>
        <w:t>statinų</w:t>
      </w:r>
      <w:proofErr w:type="spellEnd"/>
      <w:r>
        <w:rPr>
          <w:szCs w:val="22"/>
        </w:rPr>
        <w:t xml:space="preserve"> </w:t>
      </w:r>
      <w:r w:rsidR="005B0D54">
        <w:rPr>
          <w:szCs w:val="22"/>
        </w:rPr>
        <w:t xml:space="preserve">vartojimo </w:t>
      </w:r>
      <w:r>
        <w:rPr>
          <w:szCs w:val="22"/>
        </w:rPr>
        <w:t>atvej</w:t>
      </w:r>
      <w:r w:rsidR="005B0D54">
        <w:rPr>
          <w:szCs w:val="22"/>
        </w:rPr>
        <w:t>ais</w:t>
      </w:r>
      <w:r>
        <w:rPr>
          <w:szCs w:val="22"/>
        </w:rPr>
        <w:t xml:space="preserve">, pacientams, vartojantiems </w:t>
      </w:r>
      <w:proofErr w:type="spellStart"/>
      <w:r>
        <w:rPr>
          <w:szCs w:val="22"/>
        </w:rPr>
        <w:t>varfariną</w:t>
      </w:r>
      <w:proofErr w:type="spellEnd"/>
      <w:r>
        <w:rPr>
          <w:szCs w:val="22"/>
        </w:rPr>
        <w:t xml:space="preserve">, reikia stebėti </w:t>
      </w:r>
      <w:proofErr w:type="spellStart"/>
      <w:r>
        <w:rPr>
          <w:szCs w:val="22"/>
        </w:rPr>
        <w:t>protrombino</w:t>
      </w:r>
      <w:proofErr w:type="spellEnd"/>
      <w:r>
        <w:rPr>
          <w:szCs w:val="22"/>
        </w:rPr>
        <w:t xml:space="preserve"> laiką arba TNS, kai jų gydymas papildomas </w:t>
      </w:r>
      <w:proofErr w:type="spellStart"/>
      <w:r>
        <w:rPr>
          <w:szCs w:val="22"/>
        </w:rPr>
        <w:t>Pitipix</w:t>
      </w:r>
      <w:proofErr w:type="spellEnd"/>
      <w:r>
        <w:rPr>
          <w:szCs w:val="22"/>
        </w:rPr>
        <w:t>.</w:t>
      </w:r>
    </w:p>
    <w:p w14:paraId="6F7D0864" w14:textId="77777777" w:rsidR="008020E2" w:rsidRDefault="008020E2">
      <w:pPr>
        <w:autoSpaceDE w:val="0"/>
        <w:autoSpaceDN w:val="0"/>
        <w:adjustRightInd w:val="0"/>
        <w:rPr>
          <w:szCs w:val="22"/>
        </w:rPr>
      </w:pPr>
    </w:p>
    <w:p w14:paraId="2AB7DA44" w14:textId="64D0B84D" w:rsidR="008020E2" w:rsidRDefault="00137C20">
      <w:pPr>
        <w:autoSpaceDE w:val="0"/>
        <w:autoSpaceDN w:val="0"/>
        <w:adjustRightInd w:val="0"/>
        <w:rPr>
          <w:iCs/>
          <w:szCs w:val="22"/>
        </w:rPr>
      </w:pPr>
      <w:proofErr w:type="spellStart"/>
      <w:r>
        <w:rPr>
          <w:i/>
          <w:szCs w:val="22"/>
        </w:rPr>
        <w:t>Glekapreviras</w:t>
      </w:r>
      <w:proofErr w:type="spellEnd"/>
      <w:r>
        <w:rPr>
          <w:i/>
          <w:szCs w:val="22"/>
        </w:rPr>
        <w:t xml:space="preserve"> ir </w:t>
      </w:r>
      <w:proofErr w:type="spellStart"/>
      <w:r>
        <w:rPr>
          <w:i/>
          <w:szCs w:val="22"/>
        </w:rPr>
        <w:t>pibrentasviras</w:t>
      </w:r>
      <w:proofErr w:type="spellEnd"/>
      <w:r>
        <w:rPr>
          <w:iCs/>
          <w:szCs w:val="22"/>
        </w:rPr>
        <w:t>. Kartu vartojant HMG-</w:t>
      </w:r>
      <w:proofErr w:type="spellStart"/>
      <w:r>
        <w:rPr>
          <w:iCs/>
          <w:szCs w:val="22"/>
        </w:rPr>
        <w:t>KoA</w:t>
      </w:r>
      <w:proofErr w:type="spellEnd"/>
      <w:r>
        <w:rPr>
          <w:iCs/>
          <w:szCs w:val="22"/>
        </w:rPr>
        <w:t xml:space="preserve"> </w:t>
      </w:r>
      <w:proofErr w:type="spellStart"/>
      <w:r>
        <w:rPr>
          <w:iCs/>
          <w:szCs w:val="22"/>
        </w:rPr>
        <w:t>reduktazės</w:t>
      </w:r>
      <w:proofErr w:type="spellEnd"/>
      <w:r>
        <w:rPr>
          <w:iCs/>
          <w:szCs w:val="22"/>
        </w:rPr>
        <w:t xml:space="preserve"> inhibitorių ir </w:t>
      </w:r>
      <w:proofErr w:type="spellStart"/>
      <w:r>
        <w:rPr>
          <w:iCs/>
          <w:szCs w:val="22"/>
        </w:rPr>
        <w:t>glekaprevirą</w:t>
      </w:r>
      <w:proofErr w:type="spellEnd"/>
      <w:r>
        <w:rPr>
          <w:iCs/>
          <w:szCs w:val="22"/>
        </w:rPr>
        <w:t xml:space="preserve"> / </w:t>
      </w:r>
      <w:proofErr w:type="spellStart"/>
      <w:r>
        <w:rPr>
          <w:iCs/>
          <w:szCs w:val="22"/>
        </w:rPr>
        <w:t>pibrentasvirą</w:t>
      </w:r>
      <w:proofErr w:type="spellEnd"/>
      <w:r>
        <w:rPr>
          <w:iCs/>
          <w:szCs w:val="22"/>
        </w:rPr>
        <w:t>, gali padidėti HMG-</w:t>
      </w:r>
      <w:proofErr w:type="spellStart"/>
      <w:r>
        <w:rPr>
          <w:iCs/>
          <w:szCs w:val="22"/>
        </w:rPr>
        <w:t>KoA</w:t>
      </w:r>
      <w:proofErr w:type="spellEnd"/>
      <w:r>
        <w:rPr>
          <w:iCs/>
          <w:szCs w:val="22"/>
        </w:rPr>
        <w:t xml:space="preserve"> </w:t>
      </w:r>
      <w:proofErr w:type="spellStart"/>
      <w:r>
        <w:rPr>
          <w:iCs/>
          <w:szCs w:val="22"/>
        </w:rPr>
        <w:t>reduktazės</w:t>
      </w:r>
      <w:proofErr w:type="spellEnd"/>
      <w:r>
        <w:rPr>
          <w:iCs/>
          <w:szCs w:val="22"/>
        </w:rPr>
        <w:t xml:space="preserve"> inhibitoriaus koncentracija kraujo plazmoje. Tyrimų su </w:t>
      </w:r>
      <w:proofErr w:type="spellStart"/>
      <w:r>
        <w:rPr>
          <w:iCs/>
          <w:szCs w:val="22"/>
        </w:rPr>
        <w:t>pitavastatinu</w:t>
      </w:r>
      <w:proofErr w:type="spellEnd"/>
      <w:r>
        <w:rPr>
          <w:iCs/>
          <w:szCs w:val="22"/>
        </w:rPr>
        <w:t xml:space="preserve"> nebuvo atlikta, tačiau tikėtina, kad pasireikš tokia pati sąveika. Pradedant gydymą </w:t>
      </w:r>
      <w:proofErr w:type="spellStart"/>
      <w:r>
        <w:rPr>
          <w:iCs/>
          <w:szCs w:val="22"/>
        </w:rPr>
        <w:t>glecapreviru</w:t>
      </w:r>
      <w:proofErr w:type="spellEnd"/>
      <w:r>
        <w:rPr>
          <w:iCs/>
          <w:szCs w:val="22"/>
        </w:rPr>
        <w:t>/</w:t>
      </w:r>
      <w:proofErr w:type="spellStart"/>
      <w:r>
        <w:rPr>
          <w:iCs/>
          <w:szCs w:val="22"/>
        </w:rPr>
        <w:t>pibrentasviru</w:t>
      </w:r>
      <w:proofErr w:type="spellEnd"/>
      <w:r>
        <w:rPr>
          <w:iCs/>
          <w:szCs w:val="22"/>
        </w:rPr>
        <w:t xml:space="preserve">, rekomenduojama vartoti mažiausią </w:t>
      </w:r>
      <w:proofErr w:type="spellStart"/>
      <w:r>
        <w:rPr>
          <w:iCs/>
          <w:szCs w:val="22"/>
        </w:rPr>
        <w:t>Pitipix</w:t>
      </w:r>
      <w:proofErr w:type="spellEnd"/>
      <w:r>
        <w:rPr>
          <w:iCs/>
          <w:szCs w:val="22"/>
        </w:rPr>
        <w:t xml:space="preserve"> dozę, be to, rekomenduojama </w:t>
      </w:r>
      <w:r w:rsidR="000410D0">
        <w:rPr>
          <w:iCs/>
          <w:szCs w:val="22"/>
        </w:rPr>
        <w:t xml:space="preserve">šių </w:t>
      </w:r>
      <w:r>
        <w:rPr>
          <w:iCs/>
          <w:szCs w:val="22"/>
        </w:rPr>
        <w:t xml:space="preserve">vaistinių preparatų deriniu gydomų pacientų </w:t>
      </w:r>
      <w:r w:rsidR="00B467CD">
        <w:rPr>
          <w:iCs/>
          <w:szCs w:val="22"/>
        </w:rPr>
        <w:t xml:space="preserve">klinikinė </w:t>
      </w:r>
      <w:r>
        <w:rPr>
          <w:iCs/>
          <w:szCs w:val="22"/>
        </w:rPr>
        <w:t>stebėsena.</w:t>
      </w:r>
    </w:p>
    <w:p w14:paraId="6A3D38F1" w14:textId="77777777" w:rsidR="008020E2" w:rsidRDefault="008020E2">
      <w:pPr>
        <w:autoSpaceDE w:val="0"/>
        <w:autoSpaceDN w:val="0"/>
        <w:adjustRightInd w:val="0"/>
        <w:rPr>
          <w:bCs/>
          <w:iCs/>
          <w:szCs w:val="22"/>
        </w:rPr>
      </w:pPr>
    </w:p>
    <w:p w14:paraId="49BE7860" w14:textId="77777777" w:rsidR="008020E2" w:rsidRDefault="00137C20">
      <w:pPr>
        <w:autoSpaceDE w:val="0"/>
        <w:autoSpaceDN w:val="0"/>
        <w:adjustRightInd w:val="0"/>
        <w:rPr>
          <w:bCs/>
          <w:szCs w:val="22"/>
          <w:u w:val="single"/>
        </w:rPr>
      </w:pPr>
      <w:r>
        <w:rPr>
          <w:bCs/>
          <w:szCs w:val="22"/>
          <w:u w:val="single"/>
        </w:rPr>
        <w:t>Vaikų populiacija</w:t>
      </w:r>
    </w:p>
    <w:p w14:paraId="2B1CDA43" w14:textId="77777777" w:rsidR="008020E2" w:rsidRDefault="00137C20">
      <w:pPr>
        <w:autoSpaceDE w:val="0"/>
        <w:autoSpaceDN w:val="0"/>
        <w:adjustRightInd w:val="0"/>
        <w:rPr>
          <w:szCs w:val="22"/>
        </w:rPr>
      </w:pPr>
      <w:r>
        <w:rPr>
          <w:szCs w:val="22"/>
        </w:rPr>
        <w:t>Vaistinių preparatų sąveikos tyrimai atlikti tik suaugusiesiems. Sąveikos mastas vaikų populiacijoje nėra žinomas.</w:t>
      </w:r>
    </w:p>
    <w:p w14:paraId="0CEDF896" w14:textId="77777777" w:rsidR="008020E2" w:rsidRDefault="008020E2">
      <w:pPr>
        <w:widowControl w:val="0"/>
        <w:tabs>
          <w:tab w:val="left" w:pos="567"/>
        </w:tabs>
        <w:rPr>
          <w:snapToGrid w:val="0"/>
          <w:szCs w:val="22"/>
        </w:rPr>
      </w:pPr>
    </w:p>
    <w:p w14:paraId="20664778"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4.6</w:t>
      </w:r>
      <w:r>
        <w:rPr>
          <w:b/>
          <w:bCs/>
          <w:snapToGrid w:val="0"/>
          <w:szCs w:val="22"/>
          <w:lang w:eastAsia="x-none"/>
        </w:rPr>
        <w:tab/>
        <w:t>Vaisingumas, nėštumo ir žindymo laikotarpis</w:t>
      </w:r>
    </w:p>
    <w:p w14:paraId="0ED08A2F" w14:textId="77777777" w:rsidR="008020E2" w:rsidRDefault="008020E2">
      <w:pPr>
        <w:widowControl w:val="0"/>
        <w:tabs>
          <w:tab w:val="left" w:pos="567"/>
        </w:tabs>
        <w:rPr>
          <w:snapToGrid w:val="0"/>
          <w:szCs w:val="22"/>
        </w:rPr>
      </w:pPr>
    </w:p>
    <w:p w14:paraId="7151DA67" w14:textId="77777777" w:rsidR="008020E2" w:rsidRDefault="00137C20">
      <w:pPr>
        <w:widowControl w:val="0"/>
        <w:tabs>
          <w:tab w:val="left" w:pos="567"/>
        </w:tabs>
        <w:rPr>
          <w:snapToGrid w:val="0"/>
          <w:color w:val="0D0D0D"/>
          <w:szCs w:val="22"/>
          <w:u w:val="single"/>
        </w:rPr>
      </w:pPr>
      <w:r>
        <w:rPr>
          <w:snapToGrid w:val="0"/>
          <w:color w:val="0D0D0D"/>
          <w:szCs w:val="22"/>
          <w:u w:val="single"/>
        </w:rPr>
        <w:t>Nėštumas</w:t>
      </w:r>
    </w:p>
    <w:p w14:paraId="6C349D7F" w14:textId="143F2CBB" w:rsidR="008020E2" w:rsidRDefault="00137C20">
      <w:pPr>
        <w:widowControl w:val="0"/>
        <w:tabs>
          <w:tab w:val="left" w:pos="567"/>
        </w:tabs>
        <w:rPr>
          <w:rFonts w:eastAsia="Calibri"/>
          <w:color w:val="0D0D0D"/>
          <w:szCs w:val="22"/>
        </w:rPr>
      </w:pPr>
      <w:proofErr w:type="spellStart"/>
      <w:r>
        <w:rPr>
          <w:rFonts w:eastAsia="Calibri"/>
          <w:color w:val="0D0D0D"/>
          <w:szCs w:val="22"/>
        </w:rPr>
        <w:t>Pitipix</w:t>
      </w:r>
      <w:proofErr w:type="spellEnd"/>
      <w:r>
        <w:rPr>
          <w:rFonts w:eastAsia="Calibri"/>
          <w:color w:val="0D0D0D"/>
          <w:szCs w:val="22"/>
        </w:rPr>
        <w:t xml:space="preserve"> nėštumo metu vartoti draudžiama (žr. 4.3 skyrių). Gydymo </w:t>
      </w:r>
      <w:proofErr w:type="spellStart"/>
      <w:r>
        <w:rPr>
          <w:rFonts w:eastAsia="Calibri"/>
          <w:color w:val="0D0D0D"/>
          <w:szCs w:val="22"/>
        </w:rPr>
        <w:t>pitavastatinu</w:t>
      </w:r>
      <w:proofErr w:type="spellEnd"/>
      <w:r>
        <w:rPr>
          <w:rFonts w:eastAsia="Calibri"/>
          <w:color w:val="0D0D0D"/>
          <w:szCs w:val="22"/>
        </w:rPr>
        <w:t xml:space="preserve"> metu vaisingos moterys turi naudoti tinkamas kontracepcijos priemones. Kadangi cholesterolis ir kiti cholesterolio </w:t>
      </w:r>
      <w:proofErr w:type="spellStart"/>
      <w:r>
        <w:rPr>
          <w:rFonts w:eastAsia="Calibri"/>
          <w:color w:val="0D0D0D"/>
          <w:szCs w:val="22"/>
        </w:rPr>
        <w:t>biosintezės</w:t>
      </w:r>
      <w:proofErr w:type="spellEnd"/>
      <w:r>
        <w:rPr>
          <w:rFonts w:eastAsia="Calibri"/>
          <w:color w:val="0D0D0D"/>
          <w:szCs w:val="22"/>
        </w:rPr>
        <w:t xml:space="preserve"> produktai yra būtini vaisiaus vystymuisi, galima HMG-</w:t>
      </w:r>
      <w:proofErr w:type="spellStart"/>
      <w:r>
        <w:rPr>
          <w:rFonts w:eastAsia="Calibri"/>
          <w:color w:val="0D0D0D"/>
          <w:szCs w:val="22"/>
        </w:rPr>
        <w:t>KoA</w:t>
      </w:r>
      <w:proofErr w:type="spellEnd"/>
      <w:r>
        <w:rPr>
          <w:rFonts w:eastAsia="Calibri"/>
          <w:color w:val="0D0D0D"/>
          <w:szCs w:val="22"/>
        </w:rPr>
        <w:t xml:space="preserve"> </w:t>
      </w:r>
      <w:proofErr w:type="spellStart"/>
      <w:r>
        <w:rPr>
          <w:rFonts w:eastAsia="Calibri"/>
          <w:color w:val="0D0D0D"/>
          <w:szCs w:val="22"/>
        </w:rPr>
        <w:t>reduktazės</w:t>
      </w:r>
      <w:proofErr w:type="spellEnd"/>
      <w:r>
        <w:rPr>
          <w:rFonts w:eastAsia="Calibri"/>
          <w:color w:val="0D0D0D"/>
          <w:szCs w:val="22"/>
        </w:rPr>
        <w:t xml:space="preserve"> slopinimo rizika nusveria gydymo nėštumo laikotarpiu naudą. </w:t>
      </w:r>
      <w:r w:rsidR="0008172D">
        <w:rPr>
          <w:rFonts w:eastAsia="Calibri"/>
          <w:color w:val="0D0D0D"/>
          <w:szCs w:val="22"/>
        </w:rPr>
        <w:t>S</w:t>
      </w:r>
      <w:r>
        <w:rPr>
          <w:rFonts w:eastAsia="Calibri"/>
          <w:color w:val="0D0D0D"/>
          <w:szCs w:val="22"/>
        </w:rPr>
        <w:t xml:space="preserve">u gyvūnais </w:t>
      </w:r>
      <w:r w:rsidR="0008172D">
        <w:rPr>
          <w:rFonts w:eastAsia="Calibri"/>
          <w:color w:val="0D0D0D"/>
          <w:szCs w:val="22"/>
        </w:rPr>
        <w:t>atlikti tyrimai pa</w:t>
      </w:r>
      <w:r>
        <w:rPr>
          <w:rFonts w:eastAsia="Calibri"/>
          <w:color w:val="0D0D0D"/>
          <w:szCs w:val="22"/>
        </w:rPr>
        <w:t>rod</w:t>
      </w:r>
      <w:r w:rsidR="0008172D">
        <w:rPr>
          <w:rFonts w:eastAsia="Calibri"/>
          <w:color w:val="0D0D0D"/>
          <w:szCs w:val="22"/>
        </w:rPr>
        <w:t>ė</w:t>
      </w:r>
      <w:r>
        <w:rPr>
          <w:rFonts w:eastAsia="Calibri"/>
          <w:color w:val="0D0D0D"/>
          <w:szCs w:val="22"/>
        </w:rPr>
        <w:t xml:space="preserve"> toksinį poveikį reprodukcijai, tačiau galimo </w:t>
      </w:r>
      <w:proofErr w:type="spellStart"/>
      <w:r>
        <w:rPr>
          <w:rFonts w:eastAsia="Calibri"/>
          <w:color w:val="0D0D0D"/>
          <w:szCs w:val="22"/>
        </w:rPr>
        <w:t>teratogeninio</w:t>
      </w:r>
      <w:proofErr w:type="spellEnd"/>
      <w:r>
        <w:rPr>
          <w:rFonts w:eastAsia="Calibri"/>
          <w:color w:val="0D0D0D"/>
          <w:szCs w:val="22"/>
        </w:rPr>
        <w:t xml:space="preserve"> poveikio nenustatyta (žr. 5.3 skyrių). Jei pacientė planuoja </w:t>
      </w:r>
      <w:r w:rsidR="00371038">
        <w:rPr>
          <w:rFonts w:eastAsia="Calibri"/>
          <w:color w:val="0D0D0D"/>
          <w:szCs w:val="22"/>
        </w:rPr>
        <w:t>nėštumą</w:t>
      </w:r>
      <w:r>
        <w:rPr>
          <w:rFonts w:eastAsia="Calibri"/>
          <w:color w:val="0D0D0D"/>
          <w:szCs w:val="22"/>
        </w:rPr>
        <w:t xml:space="preserve">, gydymą reikia nutraukti likus ne mažiau kaip vienam mėnesiui iki pastojimo. Jei pacientė pastoja </w:t>
      </w:r>
      <w:proofErr w:type="spellStart"/>
      <w:r>
        <w:rPr>
          <w:rFonts w:eastAsia="Calibri"/>
          <w:color w:val="0D0D0D"/>
          <w:szCs w:val="22"/>
        </w:rPr>
        <w:t>pitavastatino</w:t>
      </w:r>
      <w:proofErr w:type="spellEnd"/>
      <w:r>
        <w:rPr>
          <w:rFonts w:eastAsia="Calibri"/>
          <w:color w:val="0D0D0D"/>
          <w:szCs w:val="22"/>
        </w:rPr>
        <w:t xml:space="preserve"> vartojimo metu, gydymą reikia nedelsiant nutraukti.</w:t>
      </w:r>
    </w:p>
    <w:p w14:paraId="398B098C" w14:textId="77777777" w:rsidR="008020E2" w:rsidRDefault="008020E2">
      <w:pPr>
        <w:widowControl w:val="0"/>
        <w:tabs>
          <w:tab w:val="left" w:pos="567"/>
        </w:tabs>
        <w:rPr>
          <w:rFonts w:eastAsia="Calibri"/>
          <w:color w:val="0D0D0D"/>
          <w:szCs w:val="22"/>
        </w:rPr>
      </w:pPr>
    </w:p>
    <w:p w14:paraId="25FA15CE" w14:textId="77777777" w:rsidR="008020E2" w:rsidRDefault="00137C20">
      <w:pPr>
        <w:widowControl w:val="0"/>
        <w:tabs>
          <w:tab w:val="left" w:pos="567"/>
        </w:tabs>
        <w:rPr>
          <w:rFonts w:eastAsia="Calibri"/>
          <w:color w:val="0D0D0D"/>
          <w:szCs w:val="22"/>
        </w:rPr>
      </w:pPr>
      <w:r>
        <w:rPr>
          <w:snapToGrid w:val="0"/>
          <w:color w:val="0D0D0D"/>
          <w:szCs w:val="22"/>
          <w:u w:val="single"/>
        </w:rPr>
        <w:t>Žindymas</w:t>
      </w:r>
    </w:p>
    <w:p w14:paraId="0623406E" w14:textId="56A3B7BB" w:rsidR="008020E2" w:rsidRDefault="00137C20">
      <w:pPr>
        <w:widowControl w:val="0"/>
        <w:tabs>
          <w:tab w:val="left" w:pos="567"/>
        </w:tabs>
        <w:rPr>
          <w:rFonts w:eastAsia="Calibri"/>
          <w:color w:val="0D0D0D"/>
          <w:szCs w:val="22"/>
        </w:rPr>
      </w:pPr>
      <w:r>
        <w:rPr>
          <w:rFonts w:eastAsia="Calibri"/>
          <w:color w:val="0D0D0D"/>
          <w:szCs w:val="22"/>
        </w:rPr>
        <w:t xml:space="preserve">Žindymo laikotarpiu </w:t>
      </w:r>
      <w:proofErr w:type="spellStart"/>
      <w:r>
        <w:rPr>
          <w:rFonts w:eastAsia="Calibri"/>
          <w:color w:val="0D0D0D"/>
          <w:szCs w:val="22"/>
        </w:rPr>
        <w:t>Pitipix</w:t>
      </w:r>
      <w:proofErr w:type="spellEnd"/>
      <w:r>
        <w:rPr>
          <w:rFonts w:eastAsia="Calibri"/>
          <w:color w:val="0D0D0D"/>
          <w:szCs w:val="22"/>
        </w:rPr>
        <w:t xml:space="preserve"> vartoti draudžiama (žr. 4.3 skyrių). </w:t>
      </w:r>
      <w:proofErr w:type="spellStart"/>
      <w:r>
        <w:rPr>
          <w:rFonts w:eastAsia="Calibri"/>
          <w:color w:val="0D0D0D"/>
          <w:szCs w:val="22"/>
        </w:rPr>
        <w:t>Pitavastatinas</w:t>
      </w:r>
      <w:proofErr w:type="spellEnd"/>
      <w:r>
        <w:rPr>
          <w:rFonts w:eastAsia="Calibri"/>
          <w:color w:val="0D0D0D"/>
          <w:szCs w:val="22"/>
        </w:rPr>
        <w:t xml:space="preserve"> išsiskiria į </w:t>
      </w:r>
      <w:r w:rsidR="007E3A1D">
        <w:rPr>
          <w:rFonts w:eastAsia="Calibri"/>
          <w:color w:val="0D0D0D"/>
          <w:szCs w:val="22"/>
        </w:rPr>
        <w:t xml:space="preserve">gydytų </w:t>
      </w:r>
      <w:r>
        <w:rPr>
          <w:rFonts w:eastAsia="Calibri"/>
          <w:color w:val="0D0D0D"/>
          <w:szCs w:val="22"/>
        </w:rPr>
        <w:t xml:space="preserve">žiurkių pieną. Nežinoma, ar jis išsiskiria į </w:t>
      </w:r>
      <w:r w:rsidR="00345896">
        <w:rPr>
          <w:rFonts w:eastAsia="Calibri"/>
          <w:color w:val="0D0D0D"/>
          <w:szCs w:val="22"/>
        </w:rPr>
        <w:t>gydytų mot</w:t>
      </w:r>
      <w:r w:rsidR="00582B59">
        <w:rPr>
          <w:rFonts w:eastAsia="Calibri"/>
          <w:color w:val="0D0D0D"/>
          <w:szCs w:val="22"/>
        </w:rPr>
        <w:t>erų</w:t>
      </w:r>
      <w:r w:rsidR="00345896">
        <w:rPr>
          <w:rFonts w:eastAsia="Calibri"/>
          <w:color w:val="0D0D0D"/>
          <w:szCs w:val="22"/>
        </w:rPr>
        <w:t xml:space="preserve"> </w:t>
      </w:r>
      <w:r>
        <w:rPr>
          <w:rFonts w:eastAsia="Calibri"/>
          <w:color w:val="0D0D0D"/>
          <w:szCs w:val="22"/>
        </w:rPr>
        <w:t>pieną.</w:t>
      </w:r>
    </w:p>
    <w:p w14:paraId="116B5F1B" w14:textId="77777777" w:rsidR="008020E2" w:rsidRDefault="008020E2">
      <w:pPr>
        <w:widowControl w:val="0"/>
        <w:tabs>
          <w:tab w:val="left" w:pos="567"/>
        </w:tabs>
        <w:rPr>
          <w:rFonts w:eastAsia="Calibri"/>
          <w:color w:val="0D0D0D"/>
          <w:szCs w:val="22"/>
        </w:rPr>
      </w:pPr>
    </w:p>
    <w:p w14:paraId="5F2C498D" w14:textId="77777777" w:rsidR="008020E2" w:rsidRDefault="00137C20">
      <w:pPr>
        <w:widowControl w:val="0"/>
        <w:tabs>
          <w:tab w:val="left" w:pos="567"/>
        </w:tabs>
        <w:rPr>
          <w:rFonts w:eastAsia="Calibri"/>
          <w:szCs w:val="22"/>
          <w:u w:val="single"/>
        </w:rPr>
      </w:pPr>
      <w:r>
        <w:rPr>
          <w:rFonts w:eastAsia="Calibri"/>
          <w:szCs w:val="22"/>
          <w:u w:val="single"/>
        </w:rPr>
        <w:t>Vaisingumas</w:t>
      </w:r>
    </w:p>
    <w:p w14:paraId="410E8FA6" w14:textId="77777777" w:rsidR="008020E2" w:rsidRDefault="00137C20">
      <w:pPr>
        <w:widowControl w:val="0"/>
        <w:autoSpaceDE w:val="0"/>
        <w:autoSpaceDN w:val="0"/>
        <w:adjustRightInd w:val="0"/>
        <w:rPr>
          <w:szCs w:val="22"/>
        </w:rPr>
      </w:pPr>
      <w:r>
        <w:rPr>
          <w:szCs w:val="22"/>
        </w:rPr>
        <w:t>Duomenų šiuo metu neturima.</w:t>
      </w:r>
    </w:p>
    <w:p w14:paraId="66A99C95" w14:textId="77777777" w:rsidR="008020E2" w:rsidRDefault="008020E2">
      <w:pPr>
        <w:widowControl w:val="0"/>
        <w:autoSpaceDE w:val="0"/>
        <w:autoSpaceDN w:val="0"/>
        <w:adjustRightInd w:val="0"/>
        <w:rPr>
          <w:rFonts w:eastAsia="Calibri"/>
          <w:szCs w:val="22"/>
        </w:rPr>
      </w:pPr>
    </w:p>
    <w:p w14:paraId="13E8F2B3"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4.7</w:t>
      </w:r>
      <w:r>
        <w:rPr>
          <w:b/>
          <w:bCs/>
          <w:snapToGrid w:val="0"/>
          <w:szCs w:val="22"/>
          <w:lang w:eastAsia="x-none"/>
        </w:rPr>
        <w:tab/>
        <w:t>Poveikis gebėjimui vairuoti ir valdyti mechanizmus</w:t>
      </w:r>
    </w:p>
    <w:p w14:paraId="6AB36616" w14:textId="77777777" w:rsidR="008020E2" w:rsidRDefault="008020E2">
      <w:pPr>
        <w:widowControl w:val="0"/>
        <w:tabs>
          <w:tab w:val="left" w:pos="567"/>
        </w:tabs>
        <w:rPr>
          <w:snapToGrid w:val="0"/>
          <w:szCs w:val="22"/>
        </w:rPr>
      </w:pPr>
    </w:p>
    <w:p w14:paraId="7F604882" w14:textId="4112BCEF" w:rsidR="008020E2" w:rsidRDefault="00137C20">
      <w:pPr>
        <w:widowControl w:val="0"/>
        <w:tabs>
          <w:tab w:val="left" w:pos="567"/>
        </w:tabs>
        <w:rPr>
          <w:snapToGrid w:val="0"/>
          <w:szCs w:val="22"/>
        </w:rPr>
      </w:pPr>
      <w:r>
        <w:rPr>
          <w:snapToGrid w:val="0"/>
          <w:szCs w:val="22"/>
        </w:rPr>
        <w:t xml:space="preserve">Nėra nepageidaujamų reiškinių, kurie rodytų, kad </w:t>
      </w:r>
      <w:proofErr w:type="spellStart"/>
      <w:r>
        <w:rPr>
          <w:snapToGrid w:val="0"/>
          <w:szCs w:val="22"/>
        </w:rPr>
        <w:t>Pitipix</w:t>
      </w:r>
      <w:proofErr w:type="spellEnd"/>
      <w:r>
        <w:rPr>
          <w:snapToGrid w:val="0"/>
          <w:szCs w:val="22"/>
        </w:rPr>
        <w:t xml:space="preserve"> vartojantiems pacientams </w:t>
      </w:r>
      <w:r w:rsidR="0053610E">
        <w:rPr>
          <w:snapToGrid w:val="0"/>
          <w:szCs w:val="22"/>
        </w:rPr>
        <w:t>veikia</w:t>
      </w:r>
      <w:r>
        <w:rPr>
          <w:snapToGrid w:val="0"/>
          <w:szCs w:val="22"/>
        </w:rPr>
        <w:t xml:space="preserve"> gebėjim</w:t>
      </w:r>
      <w:r w:rsidR="0053610E">
        <w:rPr>
          <w:snapToGrid w:val="0"/>
          <w:szCs w:val="22"/>
        </w:rPr>
        <w:t>ą</w:t>
      </w:r>
      <w:r>
        <w:rPr>
          <w:snapToGrid w:val="0"/>
          <w:szCs w:val="22"/>
        </w:rPr>
        <w:t xml:space="preserve"> vairuoti ir valdyti pavojingus mechanizmus, tačiau reikia atsižvelgti į tai, kad gydymo </w:t>
      </w:r>
      <w:proofErr w:type="spellStart"/>
      <w:r>
        <w:rPr>
          <w:snapToGrid w:val="0"/>
          <w:szCs w:val="22"/>
        </w:rPr>
        <w:t>Pitipix</w:t>
      </w:r>
      <w:proofErr w:type="spellEnd"/>
      <w:r>
        <w:rPr>
          <w:snapToGrid w:val="0"/>
          <w:szCs w:val="22"/>
        </w:rPr>
        <w:t xml:space="preserve"> metu buvo gauta pranešimų apie svaigulį ir </w:t>
      </w:r>
      <w:r w:rsidR="00987122">
        <w:rPr>
          <w:snapToGrid w:val="0"/>
          <w:szCs w:val="22"/>
        </w:rPr>
        <w:t>miegu</w:t>
      </w:r>
      <w:r w:rsidR="00A75A1C">
        <w:rPr>
          <w:snapToGrid w:val="0"/>
          <w:szCs w:val="22"/>
        </w:rPr>
        <w:t>istumą (</w:t>
      </w:r>
      <w:proofErr w:type="spellStart"/>
      <w:r>
        <w:rPr>
          <w:snapToGrid w:val="0"/>
          <w:szCs w:val="22"/>
        </w:rPr>
        <w:t>somnolencij</w:t>
      </w:r>
      <w:r w:rsidR="00917DBF">
        <w:rPr>
          <w:snapToGrid w:val="0"/>
          <w:szCs w:val="22"/>
        </w:rPr>
        <w:t>a</w:t>
      </w:r>
      <w:proofErr w:type="spellEnd"/>
      <w:r w:rsidR="00A75A1C">
        <w:rPr>
          <w:snapToGrid w:val="0"/>
          <w:szCs w:val="22"/>
        </w:rPr>
        <w:t>)</w:t>
      </w:r>
      <w:r>
        <w:rPr>
          <w:snapToGrid w:val="0"/>
          <w:szCs w:val="22"/>
        </w:rPr>
        <w:t>.</w:t>
      </w:r>
    </w:p>
    <w:p w14:paraId="2BCAA05C" w14:textId="77777777" w:rsidR="008020E2" w:rsidRDefault="008020E2">
      <w:pPr>
        <w:widowControl w:val="0"/>
        <w:tabs>
          <w:tab w:val="left" w:pos="567"/>
        </w:tabs>
        <w:rPr>
          <w:snapToGrid w:val="0"/>
          <w:szCs w:val="22"/>
        </w:rPr>
      </w:pPr>
    </w:p>
    <w:p w14:paraId="1776AA16" w14:textId="77777777" w:rsidR="008020E2" w:rsidRDefault="00137C20">
      <w:pPr>
        <w:widowControl w:val="0"/>
        <w:numPr>
          <w:ilvl w:val="1"/>
          <w:numId w:val="10"/>
        </w:numPr>
        <w:tabs>
          <w:tab w:val="left" w:pos="567"/>
        </w:tabs>
        <w:spacing w:line="260" w:lineRule="exact"/>
        <w:ind w:left="567" w:hanging="567"/>
        <w:contextualSpacing/>
        <w:outlineLvl w:val="0"/>
        <w:rPr>
          <w:snapToGrid w:val="0"/>
          <w:szCs w:val="22"/>
        </w:rPr>
      </w:pPr>
      <w:r>
        <w:rPr>
          <w:b/>
          <w:snapToGrid w:val="0"/>
          <w:szCs w:val="22"/>
        </w:rPr>
        <w:t>Nepageidaujamas poveikis</w:t>
      </w:r>
    </w:p>
    <w:p w14:paraId="3E67DE77" w14:textId="77777777" w:rsidR="008020E2" w:rsidRDefault="008020E2">
      <w:pPr>
        <w:widowControl w:val="0"/>
        <w:tabs>
          <w:tab w:val="left" w:pos="567"/>
        </w:tabs>
        <w:rPr>
          <w:snapToGrid w:val="0"/>
          <w:szCs w:val="22"/>
          <w:u w:val="single"/>
        </w:rPr>
      </w:pPr>
    </w:p>
    <w:p w14:paraId="31CE5838" w14:textId="77777777" w:rsidR="008020E2" w:rsidRDefault="00137C20">
      <w:pPr>
        <w:widowControl w:val="0"/>
        <w:autoSpaceDE w:val="0"/>
        <w:contextualSpacing/>
        <w:rPr>
          <w:snapToGrid w:val="0"/>
          <w:szCs w:val="22"/>
          <w:u w:val="single"/>
        </w:rPr>
      </w:pPr>
      <w:r>
        <w:rPr>
          <w:snapToGrid w:val="0"/>
          <w:szCs w:val="22"/>
          <w:u w:val="single"/>
        </w:rPr>
        <w:t>Saugumo duomenų santrauka</w:t>
      </w:r>
    </w:p>
    <w:p w14:paraId="541B1FC7" w14:textId="668BBE2D" w:rsidR="008020E2" w:rsidRDefault="00137C20">
      <w:pPr>
        <w:widowControl w:val="0"/>
        <w:autoSpaceDE w:val="0"/>
        <w:contextualSpacing/>
        <w:rPr>
          <w:snapToGrid w:val="0"/>
          <w:szCs w:val="22"/>
        </w:rPr>
      </w:pPr>
      <w:r>
        <w:rPr>
          <w:snapToGrid w:val="0"/>
          <w:szCs w:val="22"/>
        </w:rPr>
        <w:t>Kontroliuo</w:t>
      </w:r>
      <w:r w:rsidR="00F52D2A">
        <w:rPr>
          <w:snapToGrid w:val="0"/>
          <w:szCs w:val="22"/>
        </w:rPr>
        <w:t>jamų</w:t>
      </w:r>
      <w:r>
        <w:rPr>
          <w:snapToGrid w:val="0"/>
          <w:szCs w:val="22"/>
        </w:rPr>
        <w:t xml:space="preserve"> klinikinių tyrimų metu, vartojant rekomenduojamas dozes, dėl nepageidaujamų reiškinių gydymą nutraukė mažiau nei 4 % pacientų, kuriems buvo skirtas </w:t>
      </w:r>
      <w:proofErr w:type="spellStart"/>
      <w:r>
        <w:rPr>
          <w:snapToGrid w:val="0"/>
          <w:szCs w:val="22"/>
        </w:rPr>
        <w:t>pitavastatinas</w:t>
      </w:r>
      <w:proofErr w:type="spellEnd"/>
      <w:r>
        <w:rPr>
          <w:snapToGrid w:val="0"/>
          <w:szCs w:val="22"/>
        </w:rPr>
        <w:t>. Kontroliuo</w:t>
      </w:r>
      <w:r w:rsidR="00F52D2A">
        <w:rPr>
          <w:snapToGrid w:val="0"/>
          <w:szCs w:val="22"/>
        </w:rPr>
        <w:t>jamų</w:t>
      </w:r>
      <w:r>
        <w:rPr>
          <w:snapToGrid w:val="0"/>
          <w:szCs w:val="22"/>
        </w:rPr>
        <w:t xml:space="preserve"> klinikinių tyrimų metu dažniausiai pranešta su </w:t>
      </w:r>
      <w:proofErr w:type="spellStart"/>
      <w:r>
        <w:rPr>
          <w:snapToGrid w:val="0"/>
          <w:szCs w:val="22"/>
        </w:rPr>
        <w:t>pitavastatino</w:t>
      </w:r>
      <w:proofErr w:type="spellEnd"/>
      <w:r>
        <w:rPr>
          <w:snapToGrid w:val="0"/>
          <w:szCs w:val="22"/>
        </w:rPr>
        <w:t xml:space="preserve"> vartojimu susijusi nepageidaujama reakcija buvo </w:t>
      </w:r>
      <w:proofErr w:type="spellStart"/>
      <w:r>
        <w:rPr>
          <w:snapToGrid w:val="0"/>
          <w:szCs w:val="22"/>
        </w:rPr>
        <w:t>mialgija</w:t>
      </w:r>
      <w:proofErr w:type="spellEnd"/>
      <w:r>
        <w:rPr>
          <w:snapToGrid w:val="0"/>
          <w:szCs w:val="22"/>
        </w:rPr>
        <w:t>.</w:t>
      </w:r>
    </w:p>
    <w:p w14:paraId="2F9F016A" w14:textId="77777777" w:rsidR="008020E2" w:rsidRDefault="008020E2">
      <w:pPr>
        <w:widowControl w:val="0"/>
        <w:autoSpaceDE w:val="0"/>
        <w:contextualSpacing/>
        <w:rPr>
          <w:snapToGrid w:val="0"/>
          <w:szCs w:val="22"/>
        </w:rPr>
      </w:pPr>
    </w:p>
    <w:p w14:paraId="02061D79" w14:textId="77777777" w:rsidR="008020E2" w:rsidRDefault="00137C20">
      <w:pPr>
        <w:autoSpaceDE w:val="0"/>
        <w:autoSpaceDN w:val="0"/>
        <w:adjustRightInd w:val="0"/>
        <w:rPr>
          <w:bCs/>
          <w:szCs w:val="22"/>
          <w:u w:val="single"/>
        </w:rPr>
      </w:pPr>
      <w:r>
        <w:rPr>
          <w:bCs/>
          <w:szCs w:val="22"/>
          <w:u w:val="single"/>
        </w:rPr>
        <w:t>Nepageidaujamų reakcijų santrauka</w:t>
      </w:r>
    </w:p>
    <w:p w14:paraId="3FA555E4" w14:textId="77777777" w:rsidR="008020E2" w:rsidRDefault="00137C20">
      <w:pPr>
        <w:autoSpaceDE w:val="0"/>
        <w:autoSpaceDN w:val="0"/>
        <w:adjustRightInd w:val="0"/>
        <w:rPr>
          <w:szCs w:val="22"/>
        </w:rPr>
      </w:pPr>
      <w:r>
        <w:rPr>
          <w:szCs w:val="22"/>
        </w:rPr>
        <w:t xml:space="preserve">Visame pasaulyje atliktų kontroliuotų klinikinių tyrimų ir tęstinių tyrimų metu stebėtos nepageidaujamos reakcijos ir jų dažnis pateikiami toliau pagal organų sistemų klases. </w:t>
      </w:r>
      <w:r>
        <w:rPr>
          <w:snapToGrid w:val="0"/>
          <w:szCs w:val="20"/>
        </w:rPr>
        <w:t>Dažnis apibūdinamas taip: labai dažnas (≥ 1/10), dažnas (nuo ≥ 1/100 iki &lt; 1/10), nedažnas (nuo ≥ 1/1 000 iki &lt; 1/100), retas (nuo ≥ 1/10 000 iki &lt; 1/1 000), labai retas (&lt; 1/10 000) ir nežinomas (negali būti apskaičiuotas pagal turimus duomenis)</w:t>
      </w:r>
      <w:r>
        <w:rPr>
          <w:szCs w:val="22"/>
        </w:rPr>
        <w:t>.</w:t>
      </w:r>
    </w:p>
    <w:p w14:paraId="44DCE8BE" w14:textId="77777777" w:rsidR="008020E2" w:rsidRDefault="008020E2">
      <w:pPr>
        <w:autoSpaceDE w:val="0"/>
        <w:autoSpaceDN w:val="0"/>
        <w:adjustRightInd w:val="0"/>
        <w:rPr>
          <w:szCs w:val="22"/>
        </w:rPr>
      </w:pPr>
    </w:p>
    <w:p w14:paraId="69D9947E" w14:textId="77777777" w:rsidR="008020E2" w:rsidRDefault="00137C20">
      <w:pPr>
        <w:autoSpaceDE w:val="0"/>
        <w:autoSpaceDN w:val="0"/>
        <w:adjustRightInd w:val="0"/>
        <w:rPr>
          <w:szCs w:val="22"/>
          <w:u w:val="single"/>
        </w:rPr>
      </w:pPr>
      <w:r>
        <w:rPr>
          <w:szCs w:val="22"/>
          <w:u w:val="single"/>
        </w:rPr>
        <w:t>Kraujo ir limfinės sistemos sutrikimai</w:t>
      </w:r>
    </w:p>
    <w:p w14:paraId="5B228CF3" w14:textId="77777777" w:rsidR="008020E2" w:rsidRDefault="00137C20">
      <w:pPr>
        <w:autoSpaceDE w:val="0"/>
        <w:autoSpaceDN w:val="0"/>
        <w:adjustRightInd w:val="0"/>
        <w:rPr>
          <w:szCs w:val="22"/>
        </w:rPr>
      </w:pPr>
      <w:r>
        <w:rPr>
          <w:i/>
          <w:iCs/>
          <w:szCs w:val="22"/>
        </w:rPr>
        <w:t xml:space="preserve">Nedažni: </w:t>
      </w:r>
      <w:r>
        <w:rPr>
          <w:szCs w:val="22"/>
        </w:rPr>
        <w:t>anemija</w:t>
      </w:r>
    </w:p>
    <w:p w14:paraId="578624B0" w14:textId="77777777" w:rsidR="008020E2" w:rsidRDefault="008020E2">
      <w:pPr>
        <w:autoSpaceDE w:val="0"/>
        <w:autoSpaceDN w:val="0"/>
        <w:adjustRightInd w:val="0"/>
        <w:rPr>
          <w:szCs w:val="22"/>
        </w:rPr>
      </w:pPr>
    </w:p>
    <w:p w14:paraId="503A48AE" w14:textId="77777777" w:rsidR="008020E2" w:rsidRDefault="00137C20">
      <w:pPr>
        <w:autoSpaceDE w:val="0"/>
        <w:autoSpaceDN w:val="0"/>
        <w:adjustRightInd w:val="0"/>
        <w:rPr>
          <w:szCs w:val="22"/>
          <w:u w:val="single"/>
        </w:rPr>
      </w:pPr>
      <w:r>
        <w:rPr>
          <w:szCs w:val="22"/>
          <w:u w:val="single"/>
        </w:rPr>
        <w:t>Metabolizmo ir mitybos sutrikimai</w:t>
      </w:r>
    </w:p>
    <w:p w14:paraId="670325C2" w14:textId="77777777" w:rsidR="008020E2" w:rsidRDefault="00137C20">
      <w:pPr>
        <w:autoSpaceDE w:val="0"/>
        <w:autoSpaceDN w:val="0"/>
        <w:adjustRightInd w:val="0"/>
        <w:rPr>
          <w:szCs w:val="22"/>
        </w:rPr>
      </w:pPr>
      <w:r>
        <w:rPr>
          <w:i/>
          <w:iCs/>
          <w:szCs w:val="22"/>
        </w:rPr>
        <w:t xml:space="preserve">Nedažni: </w:t>
      </w:r>
      <w:r>
        <w:rPr>
          <w:szCs w:val="22"/>
        </w:rPr>
        <w:t>anoreksija</w:t>
      </w:r>
    </w:p>
    <w:p w14:paraId="7ECC688D" w14:textId="77777777" w:rsidR="008020E2" w:rsidRDefault="008020E2">
      <w:pPr>
        <w:autoSpaceDE w:val="0"/>
        <w:autoSpaceDN w:val="0"/>
        <w:adjustRightInd w:val="0"/>
        <w:rPr>
          <w:szCs w:val="22"/>
        </w:rPr>
      </w:pPr>
    </w:p>
    <w:p w14:paraId="02D3EAB4" w14:textId="77777777" w:rsidR="008020E2" w:rsidRDefault="00137C20">
      <w:pPr>
        <w:autoSpaceDE w:val="0"/>
        <w:autoSpaceDN w:val="0"/>
        <w:adjustRightInd w:val="0"/>
        <w:rPr>
          <w:szCs w:val="22"/>
          <w:u w:val="single"/>
        </w:rPr>
      </w:pPr>
      <w:r>
        <w:rPr>
          <w:szCs w:val="22"/>
          <w:u w:val="single"/>
        </w:rPr>
        <w:t>Psichikos sutrikimai</w:t>
      </w:r>
    </w:p>
    <w:p w14:paraId="16DFAA13" w14:textId="77777777" w:rsidR="008020E2" w:rsidRDefault="00137C20">
      <w:pPr>
        <w:autoSpaceDE w:val="0"/>
        <w:autoSpaceDN w:val="0"/>
        <w:adjustRightInd w:val="0"/>
        <w:rPr>
          <w:szCs w:val="22"/>
        </w:rPr>
      </w:pPr>
      <w:r>
        <w:rPr>
          <w:i/>
          <w:iCs/>
          <w:szCs w:val="22"/>
        </w:rPr>
        <w:t xml:space="preserve">Nedažni: </w:t>
      </w:r>
      <w:r>
        <w:rPr>
          <w:szCs w:val="22"/>
        </w:rPr>
        <w:t>nemiga</w:t>
      </w:r>
    </w:p>
    <w:p w14:paraId="1D8C549A" w14:textId="77777777" w:rsidR="008020E2" w:rsidRDefault="008020E2">
      <w:pPr>
        <w:autoSpaceDE w:val="0"/>
        <w:autoSpaceDN w:val="0"/>
        <w:adjustRightInd w:val="0"/>
        <w:rPr>
          <w:szCs w:val="22"/>
        </w:rPr>
      </w:pPr>
    </w:p>
    <w:p w14:paraId="2B965D2E" w14:textId="77777777" w:rsidR="008020E2" w:rsidRDefault="00137C20">
      <w:pPr>
        <w:autoSpaceDE w:val="0"/>
        <w:autoSpaceDN w:val="0"/>
        <w:adjustRightInd w:val="0"/>
        <w:rPr>
          <w:szCs w:val="22"/>
          <w:u w:val="single"/>
        </w:rPr>
      </w:pPr>
      <w:r>
        <w:rPr>
          <w:szCs w:val="22"/>
          <w:u w:val="single"/>
        </w:rPr>
        <w:t>Nervų sistemos sutrikimai</w:t>
      </w:r>
    </w:p>
    <w:p w14:paraId="42818142" w14:textId="77777777" w:rsidR="008020E2" w:rsidRDefault="00137C20">
      <w:pPr>
        <w:autoSpaceDE w:val="0"/>
        <w:autoSpaceDN w:val="0"/>
        <w:adjustRightInd w:val="0"/>
        <w:rPr>
          <w:szCs w:val="22"/>
        </w:rPr>
      </w:pPr>
      <w:r>
        <w:rPr>
          <w:i/>
          <w:iCs/>
          <w:szCs w:val="22"/>
        </w:rPr>
        <w:t xml:space="preserve">Dažni: </w:t>
      </w:r>
      <w:r>
        <w:rPr>
          <w:szCs w:val="22"/>
        </w:rPr>
        <w:t>galvos skausmas</w:t>
      </w:r>
    </w:p>
    <w:p w14:paraId="7D4888C1" w14:textId="26B0CAD7" w:rsidR="008020E2" w:rsidRDefault="00137C20">
      <w:pPr>
        <w:widowControl w:val="0"/>
        <w:tabs>
          <w:tab w:val="left" w:pos="567"/>
        </w:tabs>
        <w:autoSpaceDE w:val="0"/>
        <w:autoSpaceDN w:val="0"/>
        <w:adjustRightInd w:val="0"/>
        <w:rPr>
          <w:szCs w:val="22"/>
          <w:u w:val="single"/>
        </w:rPr>
      </w:pPr>
      <w:r>
        <w:rPr>
          <w:i/>
          <w:iCs/>
          <w:szCs w:val="22"/>
        </w:rPr>
        <w:t xml:space="preserve">Nedažni: </w:t>
      </w:r>
      <w:r>
        <w:rPr>
          <w:szCs w:val="22"/>
        </w:rPr>
        <w:t xml:space="preserve">svaigulys, skonio pojūčio sutrikimas, </w:t>
      </w:r>
      <w:r w:rsidR="003F145B">
        <w:rPr>
          <w:szCs w:val="22"/>
        </w:rPr>
        <w:t>mieguistumas (</w:t>
      </w:r>
      <w:proofErr w:type="spellStart"/>
      <w:r>
        <w:rPr>
          <w:szCs w:val="22"/>
        </w:rPr>
        <w:t>somnolencija</w:t>
      </w:r>
      <w:proofErr w:type="spellEnd"/>
      <w:r w:rsidR="003F145B">
        <w:rPr>
          <w:szCs w:val="22"/>
        </w:rPr>
        <w:t>)</w:t>
      </w:r>
    </w:p>
    <w:p w14:paraId="62B354C3" w14:textId="77777777" w:rsidR="008020E2" w:rsidRDefault="00137C20">
      <w:pPr>
        <w:autoSpaceDE w:val="0"/>
        <w:autoSpaceDN w:val="0"/>
        <w:adjustRightInd w:val="0"/>
        <w:rPr>
          <w:szCs w:val="22"/>
        </w:rPr>
      </w:pPr>
      <w:r>
        <w:rPr>
          <w:i/>
          <w:iCs/>
          <w:szCs w:val="22"/>
        </w:rPr>
        <w:t>Dažnis nežinomas</w:t>
      </w:r>
      <w:r>
        <w:rPr>
          <w:szCs w:val="22"/>
        </w:rPr>
        <w:t xml:space="preserve">: </w:t>
      </w:r>
      <w:proofErr w:type="spellStart"/>
      <w:r>
        <w:rPr>
          <w:szCs w:val="22"/>
        </w:rPr>
        <w:t>generalizuota</w:t>
      </w:r>
      <w:proofErr w:type="spellEnd"/>
      <w:r>
        <w:rPr>
          <w:szCs w:val="22"/>
        </w:rPr>
        <w:t xml:space="preserve"> </w:t>
      </w:r>
      <w:proofErr w:type="spellStart"/>
      <w:r>
        <w:rPr>
          <w:szCs w:val="22"/>
        </w:rPr>
        <w:t>miastenija</w:t>
      </w:r>
      <w:proofErr w:type="spellEnd"/>
    </w:p>
    <w:p w14:paraId="14C7B866" w14:textId="77777777" w:rsidR="008020E2" w:rsidRDefault="008020E2">
      <w:pPr>
        <w:autoSpaceDE w:val="0"/>
        <w:autoSpaceDN w:val="0"/>
        <w:adjustRightInd w:val="0"/>
        <w:rPr>
          <w:szCs w:val="22"/>
        </w:rPr>
      </w:pPr>
    </w:p>
    <w:p w14:paraId="4CF9E8B0" w14:textId="77777777" w:rsidR="008020E2" w:rsidRDefault="00137C20">
      <w:pPr>
        <w:autoSpaceDE w:val="0"/>
        <w:autoSpaceDN w:val="0"/>
        <w:adjustRightInd w:val="0"/>
        <w:rPr>
          <w:szCs w:val="22"/>
          <w:u w:val="single"/>
        </w:rPr>
      </w:pPr>
      <w:r>
        <w:rPr>
          <w:szCs w:val="22"/>
          <w:u w:val="single"/>
        </w:rPr>
        <w:t>Akių sutrikimai</w:t>
      </w:r>
    </w:p>
    <w:p w14:paraId="2A60744B" w14:textId="77777777" w:rsidR="008020E2" w:rsidRDefault="00137C20">
      <w:pPr>
        <w:autoSpaceDE w:val="0"/>
        <w:autoSpaceDN w:val="0"/>
        <w:adjustRightInd w:val="0"/>
        <w:rPr>
          <w:szCs w:val="22"/>
        </w:rPr>
      </w:pPr>
      <w:r>
        <w:rPr>
          <w:i/>
          <w:iCs/>
          <w:szCs w:val="22"/>
        </w:rPr>
        <w:t xml:space="preserve">Reti: </w:t>
      </w:r>
      <w:r>
        <w:rPr>
          <w:szCs w:val="22"/>
        </w:rPr>
        <w:t>regos aštrumo sumažėjimas</w:t>
      </w:r>
    </w:p>
    <w:p w14:paraId="515A183E" w14:textId="77777777" w:rsidR="008020E2" w:rsidRDefault="00137C20">
      <w:pPr>
        <w:autoSpaceDE w:val="0"/>
        <w:autoSpaceDN w:val="0"/>
        <w:adjustRightInd w:val="0"/>
        <w:rPr>
          <w:i/>
          <w:iCs/>
          <w:szCs w:val="22"/>
        </w:rPr>
      </w:pPr>
      <w:r>
        <w:rPr>
          <w:i/>
          <w:iCs/>
          <w:szCs w:val="22"/>
        </w:rPr>
        <w:t>Dažnis nežinomas</w:t>
      </w:r>
      <w:r>
        <w:rPr>
          <w:szCs w:val="22"/>
        </w:rPr>
        <w:t xml:space="preserve">: akių </w:t>
      </w:r>
      <w:proofErr w:type="spellStart"/>
      <w:r>
        <w:rPr>
          <w:szCs w:val="22"/>
        </w:rPr>
        <w:t>miastenija</w:t>
      </w:r>
      <w:proofErr w:type="spellEnd"/>
    </w:p>
    <w:p w14:paraId="0860E8CE" w14:textId="77777777" w:rsidR="008020E2" w:rsidRDefault="008020E2">
      <w:pPr>
        <w:autoSpaceDE w:val="0"/>
        <w:autoSpaceDN w:val="0"/>
        <w:adjustRightInd w:val="0"/>
        <w:rPr>
          <w:szCs w:val="22"/>
        </w:rPr>
      </w:pPr>
    </w:p>
    <w:p w14:paraId="08CFD7FE" w14:textId="77777777" w:rsidR="008020E2" w:rsidRDefault="00137C20">
      <w:pPr>
        <w:autoSpaceDE w:val="0"/>
        <w:autoSpaceDN w:val="0"/>
        <w:adjustRightInd w:val="0"/>
        <w:rPr>
          <w:szCs w:val="22"/>
          <w:u w:val="single"/>
        </w:rPr>
      </w:pPr>
      <w:r>
        <w:rPr>
          <w:szCs w:val="22"/>
          <w:u w:val="single"/>
        </w:rPr>
        <w:t>Ausų ir labirintų sutrikimai</w:t>
      </w:r>
    </w:p>
    <w:p w14:paraId="289DE4BF" w14:textId="77777777" w:rsidR="008020E2" w:rsidRDefault="00137C20">
      <w:pPr>
        <w:autoSpaceDE w:val="0"/>
        <w:autoSpaceDN w:val="0"/>
        <w:adjustRightInd w:val="0"/>
        <w:rPr>
          <w:szCs w:val="22"/>
        </w:rPr>
      </w:pPr>
      <w:r>
        <w:rPr>
          <w:i/>
          <w:iCs/>
          <w:szCs w:val="22"/>
        </w:rPr>
        <w:t xml:space="preserve">Nedažni: </w:t>
      </w:r>
      <w:r>
        <w:rPr>
          <w:szCs w:val="22"/>
        </w:rPr>
        <w:t>ūžesys (</w:t>
      </w:r>
      <w:proofErr w:type="spellStart"/>
      <w:r>
        <w:rPr>
          <w:i/>
          <w:iCs/>
          <w:szCs w:val="22"/>
        </w:rPr>
        <w:t>tinnitus</w:t>
      </w:r>
      <w:proofErr w:type="spellEnd"/>
      <w:r>
        <w:rPr>
          <w:szCs w:val="22"/>
        </w:rPr>
        <w:t>)</w:t>
      </w:r>
    </w:p>
    <w:p w14:paraId="4C5D3313" w14:textId="77777777" w:rsidR="008020E2" w:rsidRDefault="008020E2">
      <w:pPr>
        <w:autoSpaceDE w:val="0"/>
        <w:autoSpaceDN w:val="0"/>
        <w:adjustRightInd w:val="0"/>
        <w:rPr>
          <w:szCs w:val="22"/>
        </w:rPr>
      </w:pPr>
    </w:p>
    <w:p w14:paraId="2E7D48E1" w14:textId="77777777" w:rsidR="008020E2" w:rsidRDefault="00137C20">
      <w:pPr>
        <w:autoSpaceDE w:val="0"/>
        <w:autoSpaceDN w:val="0"/>
        <w:adjustRightInd w:val="0"/>
        <w:rPr>
          <w:szCs w:val="22"/>
          <w:u w:val="single"/>
        </w:rPr>
      </w:pPr>
      <w:r>
        <w:rPr>
          <w:szCs w:val="22"/>
          <w:u w:val="single"/>
        </w:rPr>
        <w:t>Virškinimo trakto sutrikimai</w:t>
      </w:r>
    </w:p>
    <w:p w14:paraId="1761A593" w14:textId="77777777" w:rsidR="008020E2" w:rsidRDefault="00137C20">
      <w:pPr>
        <w:autoSpaceDE w:val="0"/>
        <w:autoSpaceDN w:val="0"/>
        <w:adjustRightInd w:val="0"/>
        <w:rPr>
          <w:szCs w:val="22"/>
        </w:rPr>
      </w:pPr>
      <w:r>
        <w:rPr>
          <w:i/>
          <w:iCs/>
          <w:szCs w:val="22"/>
        </w:rPr>
        <w:t xml:space="preserve">Dažni: </w:t>
      </w:r>
      <w:r>
        <w:rPr>
          <w:szCs w:val="22"/>
        </w:rPr>
        <w:t>vidurių užkietėjimas, viduriavimas, dispepsija, pykinimas</w:t>
      </w:r>
    </w:p>
    <w:p w14:paraId="1819B6F8" w14:textId="77777777" w:rsidR="008020E2" w:rsidRDefault="00137C20">
      <w:pPr>
        <w:autoSpaceDE w:val="0"/>
        <w:autoSpaceDN w:val="0"/>
        <w:adjustRightInd w:val="0"/>
        <w:rPr>
          <w:szCs w:val="22"/>
        </w:rPr>
      </w:pPr>
      <w:r>
        <w:rPr>
          <w:i/>
          <w:iCs/>
          <w:szCs w:val="22"/>
        </w:rPr>
        <w:t xml:space="preserve">Nedažni: </w:t>
      </w:r>
      <w:r>
        <w:rPr>
          <w:szCs w:val="22"/>
        </w:rPr>
        <w:t>pilvo skausmas, burnos džiūvimas, vėmimas</w:t>
      </w:r>
    </w:p>
    <w:p w14:paraId="2D8D1545" w14:textId="77777777" w:rsidR="008020E2" w:rsidRDefault="00137C20">
      <w:pPr>
        <w:autoSpaceDE w:val="0"/>
        <w:autoSpaceDN w:val="0"/>
        <w:adjustRightInd w:val="0"/>
        <w:rPr>
          <w:szCs w:val="22"/>
        </w:rPr>
      </w:pPr>
      <w:r>
        <w:rPr>
          <w:i/>
          <w:iCs/>
          <w:szCs w:val="22"/>
        </w:rPr>
        <w:t xml:space="preserve">Reti: </w:t>
      </w:r>
      <w:proofErr w:type="spellStart"/>
      <w:r>
        <w:rPr>
          <w:szCs w:val="22"/>
        </w:rPr>
        <w:t>glosodinija</w:t>
      </w:r>
      <w:proofErr w:type="spellEnd"/>
      <w:r>
        <w:rPr>
          <w:szCs w:val="22"/>
        </w:rPr>
        <w:t>, ūminis pankreatitas</w:t>
      </w:r>
    </w:p>
    <w:p w14:paraId="1875D55B" w14:textId="77777777" w:rsidR="008020E2" w:rsidRDefault="008020E2">
      <w:pPr>
        <w:autoSpaceDE w:val="0"/>
        <w:autoSpaceDN w:val="0"/>
        <w:adjustRightInd w:val="0"/>
        <w:rPr>
          <w:szCs w:val="22"/>
        </w:rPr>
      </w:pPr>
    </w:p>
    <w:p w14:paraId="7B86BD00" w14:textId="77777777" w:rsidR="008020E2" w:rsidRDefault="00137C20">
      <w:pPr>
        <w:autoSpaceDE w:val="0"/>
        <w:autoSpaceDN w:val="0"/>
        <w:adjustRightInd w:val="0"/>
        <w:rPr>
          <w:szCs w:val="22"/>
          <w:u w:val="single"/>
        </w:rPr>
      </w:pPr>
      <w:r>
        <w:rPr>
          <w:szCs w:val="22"/>
          <w:u w:val="single"/>
        </w:rPr>
        <w:t>Kepenų, tulžies pūslės ir latakų sutrikimai</w:t>
      </w:r>
    </w:p>
    <w:p w14:paraId="7B0DAAFF" w14:textId="77777777" w:rsidR="008020E2" w:rsidRDefault="00137C20">
      <w:pPr>
        <w:autoSpaceDE w:val="0"/>
        <w:autoSpaceDN w:val="0"/>
        <w:adjustRightInd w:val="0"/>
        <w:rPr>
          <w:szCs w:val="22"/>
        </w:rPr>
      </w:pPr>
      <w:r>
        <w:rPr>
          <w:i/>
          <w:iCs/>
          <w:szCs w:val="22"/>
        </w:rPr>
        <w:t xml:space="preserve">Nedažni: </w:t>
      </w:r>
      <w:proofErr w:type="spellStart"/>
      <w:r>
        <w:rPr>
          <w:szCs w:val="22"/>
        </w:rPr>
        <w:t>transaminazių</w:t>
      </w:r>
      <w:proofErr w:type="spellEnd"/>
      <w:r>
        <w:rPr>
          <w:szCs w:val="22"/>
        </w:rPr>
        <w:t xml:space="preserve"> (</w:t>
      </w:r>
      <w:proofErr w:type="spellStart"/>
      <w:r>
        <w:rPr>
          <w:szCs w:val="22"/>
        </w:rPr>
        <w:t>aspartato</w:t>
      </w:r>
      <w:proofErr w:type="spellEnd"/>
      <w:r>
        <w:rPr>
          <w:szCs w:val="22"/>
        </w:rPr>
        <w:t xml:space="preserve"> </w:t>
      </w:r>
      <w:proofErr w:type="spellStart"/>
      <w:r>
        <w:rPr>
          <w:szCs w:val="22"/>
        </w:rPr>
        <w:t>aminotransferazės</w:t>
      </w:r>
      <w:proofErr w:type="spellEnd"/>
      <w:r>
        <w:rPr>
          <w:szCs w:val="22"/>
        </w:rPr>
        <w:t xml:space="preserve">, </w:t>
      </w:r>
      <w:proofErr w:type="spellStart"/>
      <w:r>
        <w:rPr>
          <w:szCs w:val="22"/>
        </w:rPr>
        <w:t>alanino</w:t>
      </w:r>
      <w:proofErr w:type="spellEnd"/>
      <w:r>
        <w:rPr>
          <w:szCs w:val="22"/>
        </w:rPr>
        <w:t xml:space="preserve"> </w:t>
      </w:r>
      <w:proofErr w:type="spellStart"/>
      <w:r>
        <w:rPr>
          <w:szCs w:val="22"/>
        </w:rPr>
        <w:t>aminotransferazės</w:t>
      </w:r>
      <w:proofErr w:type="spellEnd"/>
      <w:r>
        <w:rPr>
          <w:szCs w:val="22"/>
        </w:rPr>
        <w:t>) aktyvumo padidėjimas</w:t>
      </w:r>
    </w:p>
    <w:p w14:paraId="5665FE88" w14:textId="77777777" w:rsidR="008020E2" w:rsidRDefault="00137C20">
      <w:pPr>
        <w:autoSpaceDE w:val="0"/>
        <w:autoSpaceDN w:val="0"/>
        <w:adjustRightInd w:val="0"/>
        <w:rPr>
          <w:szCs w:val="22"/>
        </w:rPr>
      </w:pPr>
      <w:r>
        <w:rPr>
          <w:i/>
          <w:iCs/>
          <w:szCs w:val="22"/>
        </w:rPr>
        <w:t xml:space="preserve">Reti: </w:t>
      </w:r>
      <w:proofErr w:type="spellStart"/>
      <w:r>
        <w:rPr>
          <w:szCs w:val="22"/>
        </w:rPr>
        <w:t>cholestazinė</w:t>
      </w:r>
      <w:proofErr w:type="spellEnd"/>
      <w:r>
        <w:rPr>
          <w:szCs w:val="22"/>
        </w:rPr>
        <w:t xml:space="preserve"> gelta</w:t>
      </w:r>
    </w:p>
    <w:p w14:paraId="21E29807" w14:textId="77777777" w:rsidR="008020E2" w:rsidRDefault="008020E2">
      <w:pPr>
        <w:autoSpaceDE w:val="0"/>
        <w:autoSpaceDN w:val="0"/>
        <w:adjustRightInd w:val="0"/>
        <w:rPr>
          <w:szCs w:val="22"/>
        </w:rPr>
      </w:pPr>
    </w:p>
    <w:p w14:paraId="0CEEF83F" w14:textId="77777777" w:rsidR="008020E2" w:rsidRDefault="00137C20">
      <w:pPr>
        <w:autoSpaceDE w:val="0"/>
        <w:autoSpaceDN w:val="0"/>
        <w:adjustRightInd w:val="0"/>
        <w:rPr>
          <w:szCs w:val="22"/>
          <w:u w:val="single"/>
        </w:rPr>
      </w:pPr>
      <w:r>
        <w:rPr>
          <w:szCs w:val="22"/>
          <w:u w:val="single"/>
        </w:rPr>
        <w:t>Odos ir poodinio audinio sutrikimai</w:t>
      </w:r>
    </w:p>
    <w:p w14:paraId="46B6491A" w14:textId="77777777" w:rsidR="008020E2" w:rsidRDefault="00137C20">
      <w:pPr>
        <w:autoSpaceDE w:val="0"/>
        <w:autoSpaceDN w:val="0"/>
        <w:adjustRightInd w:val="0"/>
        <w:rPr>
          <w:szCs w:val="22"/>
        </w:rPr>
      </w:pPr>
      <w:r>
        <w:rPr>
          <w:i/>
          <w:iCs/>
          <w:szCs w:val="22"/>
        </w:rPr>
        <w:t xml:space="preserve">Nedažni: </w:t>
      </w:r>
      <w:r>
        <w:rPr>
          <w:szCs w:val="22"/>
        </w:rPr>
        <w:t>niežėjimas, išbėrimas</w:t>
      </w:r>
    </w:p>
    <w:p w14:paraId="5A1F3778" w14:textId="77777777" w:rsidR="008020E2" w:rsidRDefault="00137C20">
      <w:pPr>
        <w:autoSpaceDE w:val="0"/>
        <w:autoSpaceDN w:val="0"/>
        <w:adjustRightInd w:val="0"/>
        <w:rPr>
          <w:szCs w:val="22"/>
        </w:rPr>
      </w:pPr>
      <w:r>
        <w:rPr>
          <w:i/>
          <w:iCs/>
          <w:szCs w:val="22"/>
        </w:rPr>
        <w:t xml:space="preserve">Reti: </w:t>
      </w:r>
      <w:r>
        <w:rPr>
          <w:szCs w:val="22"/>
        </w:rPr>
        <w:t xml:space="preserve">dilgėlinė, </w:t>
      </w:r>
      <w:proofErr w:type="spellStart"/>
      <w:r>
        <w:rPr>
          <w:szCs w:val="22"/>
        </w:rPr>
        <w:t>eritema</w:t>
      </w:r>
      <w:proofErr w:type="spellEnd"/>
    </w:p>
    <w:p w14:paraId="7A9FEC4E" w14:textId="77777777" w:rsidR="008020E2" w:rsidRDefault="008020E2">
      <w:pPr>
        <w:autoSpaceDE w:val="0"/>
        <w:autoSpaceDN w:val="0"/>
        <w:adjustRightInd w:val="0"/>
        <w:rPr>
          <w:szCs w:val="22"/>
        </w:rPr>
      </w:pPr>
    </w:p>
    <w:p w14:paraId="643953E3" w14:textId="77777777" w:rsidR="008020E2" w:rsidRDefault="00137C20">
      <w:pPr>
        <w:autoSpaceDE w:val="0"/>
        <w:autoSpaceDN w:val="0"/>
        <w:adjustRightInd w:val="0"/>
        <w:rPr>
          <w:szCs w:val="22"/>
          <w:u w:val="single"/>
        </w:rPr>
      </w:pPr>
      <w:r>
        <w:rPr>
          <w:szCs w:val="22"/>
          <w:u w:val="single"/>
        </w:rPr>
        <w:t>Skeleto, raumenų ir jungiamojo audinio sutrikimai</w:t>
      </w:r>
    </w:p>
    <w:p w14:paraId="06540682" w14:textId="77777777" w:rsidR="008020E2" w:rsidRDefault="00137C20">
      <w:pPr>
        <w:autoSpaceDE w:val="0"/>
        <w:autoSpaceDN w:val="0"/>
        <w:adjustRightInd w:val="0"/>
        <w:rPr>
          <w:szCs w:val="22"/>
        </w:rPr>
      </w:pPr>
      <w:r>
        <w:rPr>
          <w:i/>
          <w:iCs/>
          <w:szCs w:val="22"/>
        </w:rPr>
        <w:t xml:space="preserve">Dažni: </w:t>
      </w:r>
      <w:proofErr w:type="spellStart"/>
      <w:r>
        <w:rPr>
          <w:szCs w:val="22"/>
        </w:rPr>
        <w:t>mialgija</w:t>
      </w:r>
      <w:proofErr w:type="spellEnd"/>
      <w:r>
        <w:rPr>
          <w:szCs w:val="22"/>
        </w:rPr>
        <w:t xml:space="preserve">, </w:t>
      </w:r>
      <w:proofErr w:type="spellStart"/>
      <w:r>
        <w:rPr>
          <w:szCs w:val="22"/>
        </w:rPr>
        <w:t>artralgija</w:t>
      </w:r>
      <w:proofErr w:type="spellEnd"/>
    </w:p>
    <w:p w14:paraId="608A50F0" w14:textId="77777777" w:rsidR="008020E2" w:rsidRDefault="00137C20">
      <w:pPr>
        <w:autoSpaceDE w:val="0"/>
        <w:autoSpaceDN w:val="0"/>
        <w:adjustRightInd w:val="0"/>
        <w:rPr>
          <w:szCs w:val="22"/>
        </w:rPr>
      </w:pPr>
      <w:r>
        <w:rPr>
          <w:i/>
          <w:iCs/>
          <w:szCs w:val="22"/>
        </w:rPr>
        <w:t xml:space="preserve">Nedažni: </w:t>
      </w:r>
      <w:r>
        <w:rPr>
          <w:szCs w:val="22"/>
        </w:rPr>
        <w:t>raumenų spazmai</w:t>
      </w:r>
    </w:p>
    <w:p w14:paraId="354FEB5E" w14:textId="77777777" w:rsidR="008020E2" w:rsidRDefault="00137C20">
      <w:pPr>
        <w:autoSpaceDE w:val="0"/>
        <w:autoSpaceDN w:val="0"/>
        <w:adjustRightInd w:val="0"/>
        <w:rPr>
          <w:szCs w:val="22"/>
        </w:rPr>
      </w:pPr>
      <w:r>
        <w:rPr>
          <w:i/>
          <w:iCs/>
          <w:szCs w:val="22"/>
        </w:rPr>
        <w:t xml:space="preserve">Dažnis nežinomas: </w:t>
      </w:r>
      <w:r>
        <w:rPr>
          <w:szCs w:val="22"/>
        </w:rPr>
        <w:t xml:space="preserve">imuninių mechanizmų sukelta </w:t>
      </w:r>
      <w:proofErr w:type="spellStart"/>
      <w:r>
        <w:rPr>
          <w:szCs w:val="22"/>
        </w:rPr>
        <w:t>nekrozinė</w:t>
      </w:r>
      <w:proofErr w:type="spellEnd"/>
      <w:r>
        <w:rPr>
          <w:szCs w:val="22"/>
        </w:rPr>
        <w:t xml:space="preserve"> </w:t>
      </w:r>
      <w:proofErr w:type="spellStart"/>
      <w:r>
        <w:rPr>
          <w:szCs w:val="22"/>
        </w:rPr>
        <w:t>miopatija</w:t>
      </w:r>
      <w:proofErr w:type="spellEnd"/>
      <w:r>
        <w:rPr>
          <w:szCs w:val="22"/>
        </w:rPr>
        <w:t xml:space="preserve"> (žr. 4.4 skyrių) </w:t>
      </w:r>
    </w:p>
    <w:p w14:paraId="5605495E" w14:textId="77777777" w:rsidR="008020E2" w:rsidRDefault="008020E2">
      <w:pPr>
        <w:autoSpaceDE w:val="0"/>
        <w:autoSpaceDN w:val="0"/>
        <w:adjustRightInd w:val="0"/>
        <w:rPr>
          <w:szCs w:val="22"/>
        </w:rPr>
      </w:pPr>
    </w:p>
    <w:p w14:paraId="23DC7B49" w14:textId="77777777" w:rsidR="008020E2" w:rsidRDefault="00137C20">
      <w:pPr>
        <w:autoSpaceDE w:val="0"/>
        <w:autoSpaceDN w:val="0"/>
        <w:adjustRightInd w:val="0"/>
        <w:rPr>
          <w:szCs w:val="22"/>
          <w:u w:val="single"/>
        </w:rPr>
      </w:pPr>
      <w:r>
        <w:rPr>
          <w:szCs w:val="22"/>
          <w:u w:val="single"/>
        </w:rPr>
        <w:t>Inkstų ir šlapimo takų sutrikimai</w:t>
      </w:r>
    </w:p>
    <w:p w14:paraId="5C7254B8" w14:textId="77777777" w:rsidR="008020E2" w:rsidRDefault="00137C20">
      <w:pPr>
        <w:autoSpaceDE w:val="0"/>
        <w:autoSpaceDN w:val="0"/>
        <w:adjustRightInd w:val="0"/>
        <w:rPr>
          <w:szCs w:val="22"/>
        </w:rPr>
      </w:pPr>
      <w:r>
        <w:rPr>
          <w:i/>
          <w:iCs/>
          <w:szCs w:val="22"/>
        </w:rPr>
        <w:t>Nedažni:</w:t>
      </w:r>
      <w:r>
        <w:rPr>
          <w:szCs w:val="22"/>
        </w:rPr>
        <w:t xml:space="preserve"> </w:t>
      </w:r>
      <w:proofErr w:type="spellStart"/>
      <w:r>
        <w:rPr>
          <w:szCs w:val="22"/>
        </w:rPr>
        <w:t>polakiurija</w:t>
      </w:r>
      <w:proofErr w:type="spellEnd"/>
    </w:p>
    <w:p w14:paraId="2928EF56" w14:textId="77777777" w:rsidR="008020E2" w:rsidRDefault="008020E2">
      <w:pPr>
        <w:autoSpaceDE w:val="0"/>
        <w:autoSpaceDN w:val="0"/>
        <w:adjustRightInd w:val="0"/>
        <w:rPr>
          <w:szCs w:val="22"/>
          <w:u w:val="single"/>
        </w:rPr>
      </w:pPr>
    </w:p>
    <w:p w14:paraId="22727D93" w14:textId="77777777" w:rsidR="008020E2" w:rsidRDefault="00137C20">
      <w:pPr>
        <w:autoSpaceDE w:val="0"/>
        <w:autoSpaceDN w:val="0"/>
        <w:adjustRightInd w:val="0"/>
        <w:rPr>
          <w:szCs w:val="22"/>
          <w:u w:val="single"/>
        </w:rPr>
      </w:pPr>
      <w:r>
        <w:rPr>
          <w:szCs w:val="22"/>
          <w:u w:val="single"/>
        </w:rPr>
        <w:t>Bendrieji sutrikimai ir vartojimo vietos pažeidimai</w:t>
      </w:r>
    </w:p>
    <w:p w14:paraId="1D48473F" w14:textId="77777777" w:rsidR="008020E2" w:rsidRDefault="00137C20">
      <w:pPr>
        <w:autoSpaceDE w:val="0"/>
        <w:autoSpaceDN w:val="0"/>
        <w:adjustRightInd w:val="0"/>
        <w:rPr>
          <w:szCs w:val="22"/>
        </w:rPr>
      </w:pPr>
      <w:r>
        <w:rPr>
          <w:i/>
          <w:iCs/>
          <w:szCs w:val="22"/>
        </w:rPr>
        <w:t xml:space="preserve">Nedažni: </w:t>
      </w:r>
      <w:proofErr w:type="spellStart"/>
      <w:r>
        <w:rPr>
          <w:szCs w:val="22"/>
        </w:rPr>
        <w:t>astenija</w:t>
      </w:r>
      <w:proofErr w:type="spellEnd"/>
      <w:r>
        <w:rPr>
          <w:szCs w:val="22"/>
        </w:rPr>
        <w:t>, bendrasis negalavimas, nuovargis, periferinė edema</w:t>
      </w:r>
    </w:p>
    <w:p w14:paraId="78E2035D" w14:textId="77777777" w:rsidR="008020E2" w:rsidRDefault="008020E2">
      <w:pPr>
        <w:autoSpaceDE w:val="0"/>
        <w:autoSpaceDN w:val="0"/>
        <w:adjustRightInd w:val="0"/>
        <w:rPr>
          <w:szCs w:val="22"/>
        </w:rPr>
      </w:pPr>
    </w:p>
    <w:p w14:paraId="11A811EE" w14:textId="1A0BB6D7" w:rsidR="008020E2" w:rsidRDefault="00137C20">
      <w:pPr>
        <w:autoSpaceDE w:val="0"/>
        <w:autoSpaceDN w:val="0"/>
        <w:adjustRightInd w:val="0"/>
        <w:rPr>
          <w:szCs w:val="22"/>
        </w:rPr>
      </w:pPr>
      <w:proofErr w:type="spellStart"/>
      <w:r>
        <w:rPr>
          <w:szCs w:val="22"/>
        </w:rPr>
        <w:t>Kreatinkinazės</w:t>
      </w:r>
      <w:proofErr w:type="spellEnd"/>
      <w:r>
        <w:rPr>
          <w:szCs w:val="22"/>
        </w:rPr>
        <w:t xml:space="preserve"> aktyvumo kraujyje padidėjimas, &gt;</w:t>
      </w:r>
      <w:r>
        <w:rPr>
          <w:snapToGrid w:val="0"/>
          <w:szCs w:val="20"/>
        </w:rPr>
        <w:t> </w:t>
      </w:r>
      <w:r>
        <w:rPr>
          <w:szCs w:val="22"/>
        </w:rPr>
        <w:t>3 kartus viršijantis viršutinę normos ribą (VNR), pasireiškė 49 iš 2800 (1,8 %) pacientų, kurie kontroliuo</w:t>
      </w:r>
      <w:r w:rsidR="00461AD8">
        <w:rPr>
          <w:szCs w:val="22"/>
        </w:rPr>
        <w:t>jamų</w:t>
      </w:r>
      <w:r>
        <w:rPr>
          <w:szCs w:val="22"/>
        </w:rPr>
        <w:t xml:space="preserve"> klinikinių tyrimų metu vartojo </w:t>
      </w:r>
      <w:proofErr w:type="spellStart"/>
      <w:r>
        <w:rPr>
          <w:szCs w:val="22"/>
        </w:rPr>
        <w:t>pitavastatino</w:t>
      </w:r>
      <w:proofErr w:type="spellEnd"/>
      <w:r>
        <w:rPr>
          <w:szCs w:val="22"/>
        </w:rPr>
        <w:t xml:space="preserve">. ≥ 10 kartų VNR viršijantis aktyvumo padidėjimas kartu pasireiškiant su raumenims susijusiems simptomams pasireiškė retai ir stebėtas tik vienam iš 2406 pacientų, gydytų 4 mg </w:t>
      </w:r>
      <w:proofErr w:type="spellStart"/>
      <w:r>
        <w:rPr>
          <w:szCs w:val="22"/>
        </w:rPr>
        <w:t>pitavastatino</w:t>
      </w:r>
      <w:proofErr w:type="spellEnd"/>
      <w:r>
        <w:rPr>
          <w:szCs w:val="22"/>
        </w:rPr>
        <w:t xml:space="preserve"> doze (0,04  %) klinikinių tyrimų programos metu.</w:t>
      </w:r>
    </w:p>
    <w:p w14:paraId="77C496C6" w14:textId="77777777" w:rsidR="008020E2" w:rsidRDefault="008020E2">
      <w:pPr>
        <w:autoSpaceDE w:val="0"/>
        <w:autoSpaceDN w:val="0"/>
        <w:adjustRightInd w:val="0"/>
        <w:rPr>
          <w:b/>
          <w:bCs/>
          <w:szCs w:val="22"/>
        </w:rPr>
      </w:pPr>
    </w:p>
    <w:p w14:paraId="4BD9166D" w14:textId="77777777" w:rsidR="008020E2" w:rsidRDefault="00137C20">
      <w:pPr>
        <w:autoSpaceDE w:val="0"/>
        <w:autoSpaceDN w:val="0"/>
        <w:adjustRightInd w:val="0"/>
        <w:rPr>
          <w:bCs/>
          <w:szCs w:val="22"/>
          <w:u w:val="single"/>
        </w:rPr>
      </w:pPr>
      <w:r>
        <w:rPr>
          <w:bCs/>
          <w:szCs w:val="22"/>
          <w:u w:val="single"/>
        </w:rPr>
        <w:t>Vaikų populiacija</w:t>
      </w:r>
    </w:p>
    <w:p w14:paraId="623E2E09" w14:textId="77777777" w:rsidR="008020E2" w:rsidRDefault="00137C20">
      <w:pPr>
        <w:autoSpaceDE w:val="0"/>
        <w:autoSpaceDN w:val="0"/>
        <w:adjustRightInd w:val="0"/>
        <w:rPr>
          <w:szCs w:val="22"/>
        </w:rPr>
      </w:pPr>
      <w:r>
        <w:rPr>
          <w:szCs w:val="22"/>
        </w:rPr>
        <w:t xml:space="preserve">Klinikinio saugumo duomenų bazėje pateikiami 142 pacientų vaikų, kuriems buvo skirtas </w:t>
      </w:r>
      <w:proofErr w:type="spellStart"/>
      <w:r>
        <w:rPr>
          <w:szCs w:val="22"/>
        </w:rPr>
        <w:t>pitavastatinas</w:t>
      </w:r>
      <w:proofErr w:type="spellEnd"/>
      <w:r>
        <w:rPr>
          <w:szCs w:val="22"/>
        </w:rPr>
        <w:t>, saugumo duomenys, iš jų 87 pacientai buvo 6</w:t>
      </w:r>
      <w:r>
        <w:rPr>
          <w:szCs w:val="22"/>
        </w:rPr>
        <w:noBreakHyphen/>
        <w:t>11 metų amžiaus, o 55 pacientai buvo 12</w:t>
      </w:r>
      <w:r>
        <w:rPr>
          <w:szCs w:val="22"/>
        </w:rPr>
        <w:noBreakHyphen/>
        <w:t xml:space="preserve">17 metų amžiaus. Iš viso 91 pacientas </w:t>
      </w:r>
      <w:proofErr w:type="spellStart"/>
      <w:r>
        <w:rPr>
          <w:szCs w:val="22"/>
        </w:rPr>
        <w:t>pitavastatiną</w:t>
      </w:r>
      <w:proofErr w:type="spellEnd"/>
      <w:r>
        <w:rPr>
          <w:szCs w:val="22"/>
        </w:rPr>
        <w:t xml:space="preserve"> vartojo 1 metus, 12 pacientų </w:t>
      </w:r>
      <w:proofErr w:type="spellStart"/>
      <w:r>
        <w:rPr>
          <w:szCs w:val="22"/>
        </w:rPr>
        <w:t>pitavastatiną</w:t>
      </w:r>
      <w:proofErr w:type="spellEnd"/>
      <w:r>
        <w:rPr>
          <w:szCs w:val="22"/>
        </w:rPr>
        <w:t xml:space="preserve"> vartojo 2,5 metų, o 2 pacientai – 3 metus. Dėl nepageidaujamų reiškinių </w:t>
      </w:r>
      <w:proofErr w:type="spellStart"/>
      <w:r>
        <w:rPr>
          <w:szCs w:val="22"/>
        </w:rPr>
        <w:t>pitavastatino</w:t>
      </w:r>
      <w:proofErr w:type="spellEnd"/>
      <w:r>
        <w:rPr>
          <w:szCs w:val="22"/>
        </w:rPr>
        <w:t xml:space="preserve"> vartojimas buvo nutrauktas mažiau nei 3 % gydytų pacientų. Dažniausiai praneštos su </w:t>
      </w:r>
      <w:proofErr w:type="spellStart"/>
      <w:r>
        <w:rPr>
          <w:szCs w:val="22"/>
        </w:rPr>
        <w:t>pitavastatino</w:t>
      </w:r>
      <w:proofErr w:type="spellEnd"/>
      <w:r>
        <w:rPr>
          <w:szCs w:val="22"/>
        </w:rPr>
        <w:t xml:space="preserve"> vartojimu susijusios nepageidaujamos reakcijos klinikinės programos metu buvo galvos skausmas (4,9 %), </w:t>
      </w:r>
      <w:proofErr w:type="spellStart"/>
      <w:r>
        <w:rPr>
          <w:szCs w:val="22"/>
        </w:rPr>
        <w:t>mialgija</w:t>
      </w:r>
      <w:proofErr w:type="spellEnd"/>
      <w:r>
        <w:rPr>
          <w:szCs w:val="22"/>
        </w:rPr>
        <w:t xml:space="preserve"> (2,1 %) ir pilvo skausmas (4,9 %). Remiantis turimais duomenimis, manoma, kad nepageidaujamų reakcijų dažnis, tipas ir sunkumas vaikams ir paaugliams yra panašus į nustatytus suaugusiesiems.</w:t>
      </w:r>
    </w:p>
    <w:p w14:paraId="0678F254" w14:textId="77777777" w:rsidR="008020E2" w:rsidRDefault="008020E2">
      <w:pPr>
        <w:autoSpaceDE w:val="0"/>
        <w:autoSpaceDN w:val="0"/>
        <w:adjustRightInd w:val="0"/>
        <w:rPr>
          <w:b/>
          <w:bCs/>
          <w:szCs w:val="22"/>
        </w:rPr>
      </w:pPr>
    </w:p>
    <w:p w14:paraId="68F538EF" w14:textId="77777777" w:rsidR="008020E2" w:rsidRDefault="00137C20">
      <w:pPr>
        <w:autoSpaceDE w:val="0"/>
        <w:autoSpaceDN w:val="0"/>
        <w:adjustRightInd w:val="0"/>
        <w:rPr>
          <w:bCs/>
          <w:szCs w:val="22"/>
          <w:u w:val="single"/>
        </w:rPr>
      </w:pPr>
      <w:r>
        <w:rPr>
          <w:bCs/>
          <w:szCs w:val="22"/>
          <w:u w:val="single"/>
        </w:rPr>
        <w:t>Patirtis po vaistinio preparato pateikimo į rinką</w:t>
      </w:r>
    </w:p>
    <w:p w14:paraId="22962069" w14:textId="77777777" w:rsidR="008020E2" w:rsidRDefault="00137C20">
      <w:pPr>
        <w:autoSpaceDE w:val="0"/>
        <w:autoSpaceDN w:val="0"/>
        <w:adjustRightInd w:val="0"/>
        <w:rPr>
          <w:szCs w:val="22"/>
        </w:rPr>
      </w:pPr>
      <w:r>
        <w:rPr>
          <w:szCs w:val="22"/>
        </w:rPr>
        <w:t xml:space="preserve">Dvejų metų perspektyvinis stebėjimo po pateikimo į rinką tyrimas buvo atliktas su beveik 20 000 pacientų Japonijoje. Didžioji dauguma iš 20 000 tyrime dalyvavusių pacientų buvo gydomi 1 mg arba 2 mg </w:t>
      </w:r>
      <w:proofErr w:type="spellStart"/>
      <w:r>
        <w:rPr>
          <w:szCs w:val="22"/>
        </w:rPr>
        <w:t>pitavastatino</w:t>
      </w:r>
      <w:proofErr w:type="spellEnd"/>
      <w:r>
        <w:rPr>
          <w:szCs w:val="22"/>
        </w:rPr>
        <w:t xml:space="preserve"> doze, o ne 4 mg doze. 10,4 % pacientų pranešė apie nepageidaujamus reiškinius, kurių priežastinio ryšio su </w:t>
      </w:r>
      <w:proofErr w:type="spellStart"/>
      <w:r>
        <w:rPr>
          <w:szCs w:val="22"/>
        </w:rPr>
        <w:t>pitavastatino</w:t>
      </w:r>
      <w:proofErr w:type="spellEnd"/>
      <w:r>
        <w:rPr>
          <w:szCs w:val="22"/>
        </w:rPr>
        <w:t xml:space="preserve"> vartojimu nebuvo galima atmesti, o 7,4 % pacientų dėl nepageidaujamų reiškinių nutraukė gydymą. </w:t>
      </w:r>
      <w:proofErr w:type="spellStart"/>
      <w:r>
        <w:rPr>
          <w:szCs w:val="22"/>
        </w:rPr>
        <w:t>Mialgijos</w:t>
      </w:r>
      <w:proofErr w:type="spellEnd"/>
      <w:r>
        <w:rPr>
          <w:szCs w:val="22"/>
        </w:rPr>
        <w:t xml:space="preserve"> dažnis buvo 1,08 %. Dauguma nepageidaujamų reiškinių buvo lengvi. Nepageidaujamų reiškinių dažnis 2 metų laikotarpiu buvo didesnis pacientams, kuriems anksčiau buvo nustatyta alergija vaistiniams preparatams (20,4 %) arba kepenų ar inkstų liga (13,5 %).</w:t>
      </w:r>
    </w:p>
    <w:p w14:paraId="74663216" w14:textId="77777777" w:rsidR="008020E2" w:rsidRDefault="008020E2">
      <w:pPr>
        <w:autoSpaceDE w:val="0"/>
        <w:autoSpaceDN w:val="0"/>
        <w:adjustRightInd w:val="0"/>
        <w:rPr>
          <w:szCs w:val="22"/>
        </w:rPr>
      </w:pPr>
    </w:p>
    <w:p w14:paraId="0F9C5CF2" w14:textId="4E721E90" w:rsidR="008020E2" w:rsidRDefault="00137C20">
      <w:pPr>
        <w:autoSpaceDE w:val="0"/>
        <w:autoSpaceDN w:val="0"/>
        <w:adjustRightInd w:val="0"/>
        <w:rPr>
          <w:szCs w:val="22"/>
        </w:rPr>
      </w:pPr>
      <w:r>
        <w:rPr>
          <w:szCs w:val="22"/>
        </w:rPr>
        <w:t>Nepageidaujamos reakcijos ir jų dažnis, stebėtas perspektyvinio stebėjimo po pateikimo į rinką tyrimo metu, bet ne visame pasaulyje atliktų kontroliuo</w:t>
      </w:r>
      <w:r w:rsidR="00907227">
        <w:rPr>
          <w:szCs w:val="22"/>
        </w:rPr>
        <w:t>jamų</w:t>
      </w:r>
      <w:r>
        <w:rPr>
          <w:szCs w:val="22"/>
        </w:rPr>
        <w:t xml:space="preserve"> klinikinių tyrimų metu, vartojant rekomenduojamas dozes, išvardyti toliau.</w:t>
      </w:r>
    </w:p>
    <w:p w14:paraId="7CA67991" w14:textId="77777777" w:rsidR="008020E2" w:rsidRDefault="008020E2">
      <w:pPr>
        <w:widowControl w:val="0"/>
        <w:tabs>
          <w:tab w:val="left" w:pos="567"/>
        </w:tabs>
        <w:autoSpaceDE w:val="0"/>
        <w:autoSpaceDN w:val="0"/>
        <w:adjustRightInd w:val="0"/>
        <w:rPr>
          <w:szCs w:val="22"/>
        </w:rPr>
      </w:pPr>
    </w:p>
    <w:p w14:paraId="19929EB9" w14:textId="77777777" w:rsidR="008020E2" w:rsidRDefault="00137C20">
      <w:pPr>
        <w:widowControl w:val="0"/>
        <w:tabs>
          <w:tab w:val="left" w:pos="567"/>
        </w:tabs>
        <w:autoSpaceDE w:val="0"/>
        <w:autoSpaceDN w:val="0"/>
        <w:adjustRightInd w:val="0"/>
        <w:rPr>
          <w:szCs w:val="22"/>
          <w:u w:val="single"/>
        </w:rPr>
      </w:pPr>
      <w:r>
        <w:rPr>
          <w:szCs w:val="22"/>
          <w:u w:val="single"/>
        </w:rPr>
        <w:t>Kepenų, tulžies pūslės ir latakų sutrikimai</w:t>
      </w:r>
    </w:p>
    <w:p w14:paraId="28DFDA2D" w14:textId="77777777" w:rsidR="008020E2" w:rsidRDefault="00137C20">
      <w:pPr>
        <w:autoSpaceDE w:val="0"/>
        <w:autoSpaceDN w:val="0"/>
        <w:adjustRightInd w:val="0"/>
        <w:rPr>
          <w:szCs w:val="22"/>
        </w:rPr>
      </w:pPr>
      <w:r>
        <w:rPr>
          <w:i/>
          <w:iCs/>
          <w:szCs w:val="22"/>
        </w:rPr>
        <w:t xml:space="preserve">Reti: </w:t>
      </w:r>
      <w:r>
        <w:rPr>
          <w:szCs w:val="22"/>
        </w:rPr>
        <w:t>nenormali kepenų funkcija, kepenų sutrikimas</w:t>
      </w:r>
    </w:p>
    <w:p w14:paraId="2EC1C851" w14:textId="77777777" w:rsidR="008020E2" w:rsidRDefault="008020E2">
      <w:pPr>
        <w:autoSpaceDE w:val="0"/>
        <w:autoSpaceDN w:val="0"/>
        <w:adjustRightInd w:val="0"/>
        <w:rPr>
          <w:szCs w:val="22"/>
        </w:rPr>
      </w:pPr>
    </w:p>
    <w:p w14:paraId="5B2E8857" w14:textId="77777777" w:rsidR="008020E2" w:rsidRDefault="00137C20">
      <w:pPr>
        <w:autoSpaceDE w:val="0"/>
        <w:autoSpaceDN w:val="0"/>
        <w:adjustRightInd w:val="0"/>
        <w:rPr>
          <w:szCs w:val="22"/>
          <w:u w:val="single"/>
        </w:rPr>
      </w:pPr>
      <w:r>
        <w:rPr>
          <w:szCs w:val="22"/>
          <w:u w:val="single"/>
        </w:rPr>
        <w:t>Skeleto, raumenų ir jungiamojo audinio sutrikimai</w:t>
      </w:r>
    </w:p>
    <w:p w14:paraId="2331654C" w14:textId="77777777" w:rsidR="008020E2" w:rsidRDefault="00137C20">
      <w:pPr>
        <w:autoSpaceDE w:val="0"/>
        <w:autoSpaceDN w:val="0"/>
        <w:adjustRightInd w:val="0"/>
        <w:rPr>
          <w:szCs w:val="22"/>
        </w:rPr>
      </w:pPr>
      <w:r>
        <w:rPr>
          <w:i/>
          <w:iCs/>
          <w:szCs w:val="22"/>
        </w:rPr>
        <w:t xml:space="preserve">Reti: </w:t>
      </w:r>
      <w:proofErr w:type="spellStart"/>
      <w:r>
        <w:rPr>
          <w:szCs w:val="22"/>
        </w:rPr>
        <w:t>miopatija</w:t>
      </w:r>
      <w:proofErr w:type="spellEnd"/>
      <w:r>
        <w:rPr>
          <w:szCs w:val="22"/>
        </w:rPr>
        <w:t xml:space="preserve">, </w:t>
      </w:r>
      <w:proofErr w:type="spellStart"/>
      <w:r>
        <w:rPr>
          <w:szCs w:val="22"/>
        </w:rPr>
        <w:t>rabdomiolizė</w:t>
      </w:r>
      <w:proofErr w:type="spellEnd"/>
    </w:p>
    <w:p w14:paraId="3907D978" w14:textId="77777777" w:rsidR="008020E2" w:rsidRDefault="008020E2">
      <w:pPr>
        <w:autoSpaceDE w:val="0"/>
        <w:autoSpaceDN w:val="0"/>
        <w:adjustRightInd w:val="0"/>
        <w:rPr>
          <w:szCs w:val="22"/>
        </w:rPr>
      </w:pPr>
    </w:p>
    <w:p w14:paraId="7D2EA7A8" w14:textId="77777777" w:rsidR="008020E2" w:rsidRDefault="00137C20">
      <w:pPr>
        <w:autoSpaceDE w:val="0"/>
        <w:autoSpaceDN w:val="0"/>
        <w:adjustRightInd w:val="0"/>
        <w:rPr>
          <w:szCs w:val="22"/>
        </w:rPr>
      </w:pPr>
      <w:r>
        <w:rPr>
          <w:szCs w:val="22"/>
        </w:rPr>
        <w:t xml:space="preserve">Po pateikimo į rinką atlikto stebėjimo tyrimo metu buvo gauti du pranešimai apie </w:t>
      </w:r>
      <w:proofErr w:type="spellStart"/>
      <w:r>
        <w:rPr>
          <w:szCs w:val="22"/>
        </w:rPr>
        <w:t>rabdomiolizę</w:t>
      </w:r>
      <w:proofErr w:type="spellEnd"/>
      <w:r>
        <w:rPr>
          <w:szCs w:val="22"/>
        </w:rPr>
        <w:t>, dėl kurios pacientai turėjo būti hospitalizuoti (0,01 % pacientų).</w:t>
      </w:r>
    </w:p>
    <w:p w14:paraId="01E2DAC9" w14:textId="77777777" w:rsidR="008020E2" w:rsidRDefault="008020E2">
      <w:pPr>
        <w:autoSpaceDE w:val="0"/>
        <w:autoSpaceDN w:val="0"/>
        <w:adjustRightInd w:val="0"/>
        <w:rPr>
          <w:szCs w:val="22"/>
        </w:rPr>
      </w:pPr>
    </w:p>
    <w:p w14:paraId="76F00325" w14:textId="77777777" w:rsidR="008020E2" w:rsidRDefault="00137C20">
      <w:pPr>
        <w:autoSpaceDE w:val="0"/>
        <w:autoSpaceDN w:val="0"/>
        <w:adjustRightInd w:val="0"/>
        <w:rPr>
          <w:szCs w:val="22"/>
        </w:rPr>
      </w:pPr>
      <w:r>
        <w:rPr>
          <w:szCs w:val="22"/>
        </w:rPr>
        <w:t xml:space="preserve">Be to, gauta savanoriškų pranešimų apie poveikį skeleto raumenims, įskaitant </w:t>
      </w:r>
      <w:proofErr w:type="spellStart"/>
      <w:r>
        <w:rPr>
          <w:szCs w:val="22"/>
        </w:rPr>
        <w:t>mialgiją</w:t>
      </w:r>
      <w:proofErr w:type="spellEnd"/>
      <w:r>
        <w:rPr>
          <w:szCs w:val="22"/>
        </w:rPr>
        <w:t xml:space="preserve"> ir </w:t>
      </w:r>
      <w:proofErr w:type="spellStart"/>
      <w:r>
        <w:rPr>
          <w:szCs w:val="22"/>
        </w:rPr>
        <w:t>miopatiją</w:t>
      </w:r>
      <w:proofErr w:type="spellEnd"/>
      <w:r>
        <w:rPr>
          <w:szCs w:val="22"/>
        </w:rPr>
        <w:t xml:space="preserve">, pacientams, gydytiems </w:t>
      </w:r>
      <w:proofErr w:type="spellStart"/>
      <w:r>
        <w:rPr>
          <w:szCs w:val="22"/>
        </w:rPr>
        <w:t>pitavastatinu</w:t>
      </w:r>
      <w:proofErr w:type="spellEnd"/>
      <w:r>
        <w:rPr>
          <w:szCs w:val="22"/>
        </w:rPr>
        <w:t xml:space="preserve"> visomis rekomenduojamomis dozėmis. Taip pat gauta pranešimų apie </w:t>
      </w:r>
      <w:proofErr w:type="spellStart"/>
      <w:r>
        <w:rPr>
          <w:szCs w:val="22"/>
        </w:rPr>
        <w:t>rabdomiolizę</w:t>
      </w:r>
      <w:proofErr w:type="spellEnd"/>
      <w:r>
        <w:rPr>
          <w:szCs w:val="22"/>
        </w:rPr>
        <w:t xml:space="preserve"> su ūminiu inkstų nepakankamumu ir be jo, įskaitant mirtiną </w:t>
      </w:r>
      <w:proofErr w:type="spellStart"/>
      <w:r>
        <w:rPr>
          <w:szCs w:val="22"/>
        </w:rPr>
        <w:t>rabdomiolizę</w:t>
      </w:r>
      <w:proofErr w:type="spellEnd"/>
      <w:r>
        <w:rPr>
          <w:szCs w:val="22"/>
        </w:rPr>
        <w:t>. Taip pat gauta savanoriškų pranešimų apie toliau išvardytus reiškinius (dažnis nurodytas remiantis tyrimų po pateikimo į rinką metu stebėtu dažniu):</w:t>
      </w:r>
    </w:p>
    <w:p w14:paraId="70B59023" w14:textId="77777777" w:rsidR="008020E2" w:rsidRDefault="008020E2">
      <w:pPr>
        <w:autoSpaceDE w:val="0"/>
        <w:autoSpaceDN w:val="0"/>
        <w:adjustRightInd w:val="0"/>
        <w:rPr>
          <w:szCs w:val="22"/>
        </w:rPr>
      </w:pPr>
    </w:p>
    <w:p w14:paraId="00677CA4" w14:textId="77777777" w:rsidR="008020E2" w:rsidRDefault="00137C20">
      <w:pPr>
        <w:autoSpaceDE w:val="0"/>
        <w:autoSpaceDN w:val="0"/>
        <w:adjustRightInd w:val="0"/>
        <w:rPr>
          <w:szCs w:val="22"/>
          <w:u w:val="single"/>
        </w:rPr>
      </w:pPr>
      <w:r>
        <w:rPr>
          <w:szCs w:val="22"/>
          <w:u w:val="single"/>
        </w:rPr>
        <w:t>Nervų sistemos sutrikimai</w:t>
      </w:r>
    </w:p>
    <w:p w14:paraId="1D253EAD" w14:textId="0B0B4698" w:rsidR="008020E2" w:rsidRDefault="00137C20">
      <w:pPr>
        <w:autoSpaceDE w:val="0"/>
        <w:autoSpaceDN w:val="0"/>
        <w:adjustRightInd w:val="0"/>
        <w:rPr>
          <w:szCs w:val="22"/>
        </w:rPr>
      </w:pPr>
      <w:r>
        <w:rPr>
          <w:i/>
          <w:iCs/>
          <w:szCs w:val="22"/>
        </w:rPr>
        <w:t xml:space="preserve">Nedažni: </w:t>
      </w:r>
      <w:proofErr w:type="spellStart"/>
      <w:r>
        <w:rPr>
          <w:szCs w:val="22"/>
        </w:rPr>
        <w:t>hipestezija</w:t>
      </w:r>
      <w:proofErr w:type="spellEnd"/>
    </w:p>
    <w:p w14:paraId="38E234F0" w14:textId="77777777" w:rsidR="008020E2" w:rsidRDefault="008020E2">
      <w:pPr>
        <w:autoSpaceDE w:val="0"/>
        <w:autoSpaceDN w:val="0"/>
        <w:adjustRightInd w:val="0"/>
        <w:rPr>
          <w:szCs w:val="22"/>
        </w:rPr>
      </w:pPr>
    </w:p>
    <w:p w14:paraId="5915A4FE" w14:textId="77777777" w:rsidR="008020E2" w:rsidRDefault="00137C20">
      <w:pPr>
        <w:autoSpaceDE w:val="0"/>
        <w:autoSpaceDN w:val="0"/>
        <w:adjustRightInd w:val="0"/>
        <w:rPr>
          <w:szCs w:val="22"/>
          <w:u w:val="single"/>
        </w:rPr>
      </w:pPr>
      <w:r>
        <w:rPr>
          <w:szCs w:val="22"/>
          <w:u w:val="single"/>
        </w:rPr>
        <w:t>Virškinimo trakto sutrikimai</w:t>
      </w:r>
    </w:p>
    <w:p w14:paraId="2E677AE4" w14:textId="77777777" w:rsidR="008020E2" w:rsidRDefault="00137C20">
      <w:pPr>
        <w:autoSpaceDE w:val="0"/>
        <w:autoSpaceDN w:val="0"/>
        <w:adjustRightInd w:val="0"/>
        <w:rPr>
          <w:szCs w:val="22"/>
        </w:rPr>
      </w:pPr>
      <w:r>
        <w:rPr>
          <w:i/>
          <w:iCs/>
          <w:szCs w:val="22"/>
        </w:rPr>
        <w:t xml:space="preserve">Reti: </w:t>
      </w:r>
      <w:r>
        <w:rPr>
          <w:szCs w:val="22"/>
        </w:rPr>
        <w:t>nemalonus pojūtis pilve</w:t>
      </w:r>
    </w:p>
    <w:p w14:paraId="52E255C4" w14:textId="77777777" w:rsidR="008020E2" w:rsidRDefault="008020E2">
      <w:pPr>
        <w:autoSpaceDE w:val="0"/>
        <w:autoSpaceDN w:val="0"/>
        <w:adjustRightInd w:val="0"/>
        <w:rPr>
          <w:b/>
          <w:bCs/>
          <w:szCs w:val="22"/>
        </w:rPr>
      </w:pPr>
    </w:p>
    <w:p w14:paraId="50013158" w14:textId="77777777" w:rsidR="008020E2" w:rsidRDefault="00137C20">
      <w:pPr>
        <w:autoSpaceDE w:val="0"/>
        <w:autoSpaceDN w:val="0"/>
        <w:adjustRightInd w:val="0"/>
        <w:rPr>
          <w:szCs w:val="22"/>
          <w:u w:val="single"/>
        </w:rPr>
      </w:pPr>
      <w:r>
        <w:rPr>
          <w:szCs w:val="22"/>
          <w:u w:val="single"/>
        </w:rPr>
        <w:t>Odos ir poodinio audinio sutrikimai</w:t>
      </w:r>
    </w:p>
    <w:p w14:paraId="58CEE172" w14:textId="77777777" w:rsidR="008020E2" w:rsidRDefault="00137C20">
      <w:pPr>
        <w:autoSpaceDE w:val="0"/>
        <w:autoSpaceDN w:val="0"/>
        <w:adjustRightInd w:val="0"/>
        <w:rPr>
          <w:szCs w:val="22"/>
        </w:rPr>
      </w:pPr>
      <w:r>
        <w:rPr>
          <w:i/>
          <w:iCs/>
          <w:szCs w:val="22"/>
        </w:rPr>
        <w:t>Dažnis nežinomas</w:t>
      </w:r>
      <w:r>
        <w:rPr>
          <w:szCs w:val="22"/>
        </w:rPr>
        <w:t xml:space="preserve">: </w:t>
      </w:r>
      <w:proofErr w:type="spellStart"/>
      <w:r>
        <w:rPr>
          <w:szCs w:val="22"/>
        </w:rPr>
        <w:t>angioneurozinė</w:t>
      </w:r>
      <w:proofErr w:type="spellEnd"/>
      <w:r>
        <w:rPr>
          <w:szCs w:val="22"/>
        </w:rPr>
        <w:t xml:space="preserve"> edema </w:t>
      </w:r>
    </w:p>
    <w:p w14:paraId="13ABC283" w14:textId="77777777" w:rsidR="008020E2" w:rsidRDefault="008020E2">
      <w:pPr>
        <w:autoSpaceDE w:val="0"/>
        <w:autoSpaceDN w:val="0"/>
        <w:adjustRightInd w:val="0"/>
        <w:rPr>
          <w:szCs w:val="22"/>
        </w:rPr>
      </w:pPr>
    </w:p>
    <w:p w14:paraId="3F51C4E0" w14:textId="77777777" w:rsidR="008020E2" w:rsidRDefault="00137C20">
      <w:pPr>
        <w:autoSpaceDE w:val="0"/>
        <w:autoSpaceDN w:val="0"/>
        <w:adjustRightInd w:val="0"/>
        <w:rPr>
          <w:szCs w:val="22"/>
          <w:u w:val="single"/>
        </w:rPr>
      </w:pPr>
      <w:r>
        <w:rPr>
          <w:szCs w:val="22"/>
          <w:u w:val="single"/>
        </w:rPr>
        <w:t>Skeleto, raumenų ir jungiamojo audinio sutrikimai</w:t>
      </w:r>
    </w:p>
    <w:p w14:paraId="3EFAA270" w14:textId="77777777" w:rsidR="008020E2" w:rsidRDefault="00137C20">
      <w:pPr>
        <w:autoSpaceDE w:val="0"/>
        <w:autoSpaceDN w:val="0"/>
        <w:adjustRightInd w:val="0"/>
        <w:rPr>
          <w:szCs w:val="22"/>
        </w:rPr>
      </w:pPr>
      <w:r>
        <w:rPr>
          <w:i/>
          <w:iCs/>
          <w:szCs w:val="22"/>
        </w:rPr>
        <w:t>Dažnis nežinomas</w:t>
      </w:r>
      <w:r>
        <w:rPr>
          <w:szCs w:val="22"/>
        </w:rPr>
        <w:t>: į vilkligę panašus sindromas</w:t>
      </w:r>
    </w:p>
    <w:p w14:paraId="30366D18" w14:textId="77777777" w:rsidR="008020E2" w:rsidRDefault="008020E2">
      <w:pPr>
        <w:autoSpaceDE w:val="0"/>
        <w:autoSpaceDN w:val="0"/>
        <w:adjustRightInd w:val="0"/>
        <w:rPr>
          <w:szCs w:val="22"/>
        </w:rPr>
      </w:pPr>
    </w:p>
    <w:p w14:paraId="3303F35B" w14:textId="77777777" w:rsidR="008020E2" w:rsidRDefault="00137C20">
      <w:pPr>
        <w:autoSpaceDE w:val="0"/>
        <w:autoSpaceDN w:val="0"/>
        <w:adjustRightInd w:val="0"/>
        <w:rPr>
          <w:szCs w:val="22"/>
          <w:u w:val="single"/>
        </w:rPr>
      </w:pPr>
      <w:r>
        <w:rPr>
          <w:szCs w:val="22"/>
          <w:u w:val="single"/>
        </w:rPr>
        <w:t>Lytinės sistemos ir krūties sutrikimai</w:t>
      </w:r>
    </w:p>
    <w:p w14:paraId="399BC865" w14:textId="77777777" w:rsidR="008020E2" w:rsidRDefault="00137C20">
      <w:pPr>
        <w:autoSpaceDE w:val="0"/>
        <w:autoSpaceDN w:val="0"/>
        <w:adjustRightInd w:val="0"/>
        <w:rPr>
          <w:szCs w:val="22"/>
        </w:rPr>
      </w:pPr>
      <w:r>
        <w:rPr>
          <w:i/>
          <w:iCs/>
          <w:szCs w:val="22"/>
        </w:rPr>
        <w:t>Reti</w:t>
      </w:r>
      <w:r>
        <w:rPr>
          <w:szCs w:val="22"/>
        </w:rPr>
        <w:t xml:space="preserve">: </w:t>
      </w:r>
      <w:proofErr w:type="spellStart"/>
      <w:r>
        <w:rPr>
          <w:szCs w:val="22"/>
        </w:rPr>
        <w:t>ginekomastija</w:t>
      </w:r>
      <w:proofErr w:type="spellEnd"/>
    </w:p>
    <w:p w14:paraId="28639878" w14:textId="77777777" w:rsidR="008020E2" w:rsidRDefault="008020E2">
      <w:pPr>
        <w:autoSpaceDE w:val="0"/>
        <w:autoSpaceDN w:val="0"/>
        <w:adjustRightInd w:val="0"/>
        <w:rPr>
          <w:b/>
          <w:bCs/>
          <w:szCs w:val="22"/>
        </w:rPr>
      </w:pPr>
    </w:p>
    <w:p w14:paraId="0FDCFBE7" w14:textId="77777777" w:rsidR="008020E2" w:rsidRDefault="00137C20">
      <w:pPr>
        <w:autoSpaceDE w:val="0"/>
        <w:autoSpaceDN w:val="0"/>
        <w:adjustRightInd w:val="0"/>
        <w:rPr>
          <w:b/>
          <w:bCs/>
          <w:szCs w:val="22"/>
        </w:rPr>
      </w:pPr>
      <w:proofErr w:type="spellStart"/>
      <w:r>
        <w:rPr>
          <w:b/>
          <w:bCs/>
          <w:szCs w:val="22"/>
        </w:rPr>
        <w:t>Statinų</w:t>
      </w:r>
      <w:proofErr w:type="spellEnd"/>
      <w:r>
        <w:rPr>
          <w:b/>
          <w:bCs/>
          <w:szCs w:val="22"/>
        </w:rPr>
        <w:t xml:space="preserve"> klasei būdingas poveikis</w:t>
      </w:r>
    </w:p>
    <w:p w14:paraId="2BB88B43" w14:textId="77777777" w:rsidR="008020E2" w:rsidRDefault="00137C20">
      <w:pPr>
        <w:autoSpaceDE w:val="0"/>
        <w:autoSpaceDN w:val="0"/>
        <w:adjustRightInd w:val="0"/>
        <w:rPr>
          <w:szCs w:val="22"/>
        </w:rPr>
      </w:pPr>
      <w:r>
        <w:rPr>
          <w:szCs w:val="22"/>
        </w:rPr>
        <w:t xml:space="preserve">Apie toliau išvardytus reiškinius buvo pranešta vartojant kai kuriuos </w:t>
      </w:r>
      <w:proofErr w:type="spellStart"/>
      <w:r>
        <w:rPr>
          <w:szCs w:val="22"/>
        </w:rPr>
        <w:t>statinus</w:t>
      </w:r>
      <w:proofErr w:type="spellEnd"/>
      <w:r>
        <w:rPr>
          <w:szCs w:val="22"/>
        </w:rPr>
        <w:t>.</w:t>
      </w:r>
    </w:p>
    <w:p w14:paraId="61C3419C" w14:textId="77777777" w:rsidR="008020E2" w:rsidRDefault="00137C20">
      <w:pPr>
        <w:numPr>
          <w:ilvl w:val="0"/>
          <w:numId w:val="27"/>
        </w:numPr>
        <w:tabs>
          <w:tab w:val="left" w:pos="567"/>
        </w:tabs>
        <w:autoSpaceDE w:val="0"/>
        <w:autoSpaceDN w:val="0"/>
        <w:adjustRightInd w:val="0"/>
        <w:spacing w:line="260" w:lineRule="exact"/>
        <w:ind w:left="567" w:hanging="567"/>
        <w:rPr>
          <w:szCs w:val="22"/>
        </w:rPr>
      </w:pPr>
      <w:r>
        <w:rPr>
          <w:szCs w:val="22"/>
        </w:rPr>
        <w:t>Miego sutrikimai, įskaitant košmariškus sapnus</w:t>
      </w:r>
    </w:p>
    <w:p w14:paraId="1AB8E753" w14:textId="4A9FE53F" w:rsidR="008020E2" w:rsidRDefault="00137C20">
      <w:pPr>
        <w:numPr>
          <w:ilvl w:val="0"/>
          <w:numId w:val="27"/>
        </w:numPr>
        <w:tabs>
          <w:tab w:val="left" w:pos="567"/>
        </w:tabs>
        <w:autoSpaceDE w:val="0"/>
        <w:autoSpaceDN w:val="0"/>
        <w:adjustRightInd w:val="0"/>
        <w:spacing w:line="260" w:lineRule="exact"/>
        <w:ind w:left="567" w:hanging="567"/>
        <w:rPr>
          <w:szCs w:val="22"/>
        </w:rPr>
      </w:pPr>
      <w:r>
        <w:rPr>
          <w:szCs w:val="22"/>
        </w:rPr>
        <w:t xml:space="preserve">Atminties </w:t>
      </w:r>
      <w:r w:rsidR="00264328">
        <w:rPr>
          <w:szCs w:val="22"/>
        </w:rPr>
        <w:t>praradimas</w:t>
      </w:r>
    </w:p>
    <w:p w14:paraId="428F12F9" w14:textId="77777777" w:rsidR="008020E2" w:rsidRDefault="00137C20">
      <w:pPr>
        <w:numPr>
          <w:ilvl w:val="0"/>
          <w:numId w:val="27"/>
        </w:numPr>
        <w:tabs>
          <w:tab w:val="left" w:pos="567"/>
        </w:tabs>
        <w:autoSpaceDE w:val="0"/>
        <w:autoSpaceDN w:val="0"/>
        <w:adjustRightInd w:val="0"/>
        <w:spacing w:line="260" w:lineRule="exact"/>
        <w:ind w:left="567" w:hanging="567"/>
        <w:rPr>
          <w:szCs w:val="22"/>
        </w:rPr>
      </w:pPr>
      <w:r>
        <w:rPr>
          <w:szCs w:val="22"/>
        </w:rPr>
        <w:t>Lytinės funkcijos sutrikimas</w:t>
      </w:r>
    </w:p>
    <w:p w14:paraId="05D7C0AA" w14:textId="77777777" w:rsidR="008020E2" w:rsidRDefault="00137C20">
      <w:pPr>
        <w:numPr>
          <w:ilvl w:val="0"/>
          <w:numId w:val="27"/>
        </w:numPr>
        <w:tabs>
          <w:tab w:val="left" w:pos="567"/>
        </w:tabs>
        <w:autoSpaceDE w:val="0"/>
        <w:autoSpaceDN w:val="0"/>
        <w:adjustRightInd w:val="0"/>
        <w:spacing w:line="260" w:lineRule="exact"/>
        <w:ind w:left="567" w:hanging="567"/>
        <w:rPr>
          <w:szCs w:val="22"/>
        </w:rPr>
      </w:pPr>
      <w:r>
        <w:rPr>
          <w:szCs w:val="22"/>
        </w:rPr>
        <w:t>Depresija</w:t>
      </w:r>
    </w:p>
    <w:p w14:paraId="4106E3F1" w14:textId="77777777" w:rsidR="008020E2" w:rsidRDefault="00137C20">
      <w:pPr>
        <w:numPr>
          <w:ilvl w:val="0"/>
          <w:numId w:val="27"/>
        </w:numPr>
        <w:tabs>
          <w:tab w:val="left" w:pos="567"/>
        </w:tabs>
        <w:autoSpaceDE w:val="0"/>
        <w:autoSpaceDN w:val="0"/>
        <w:adjustRightInd w:val="0"/>
        <w:spacing w:line="260" w:lineRule="exact"/>
        <w:ind w:left="567" w:hanging="567"/>
        <w:rPr>
          <w:szCs w:val="22"/>
        </w:rPr>
      </w:pPr>
      <w:r>
        <w:rPr>
          <w:szCs w:val="22"/>
        </w:rPr>
        <w:t xml:space="preserve">Išimtiniai </w:t>
      </w:r>
      <w:proofErr w:type="spellStart"/>
      <w:r>
        <w:rPr>
          <w:szCs w:val="22"/>
        </w:rPr>
        <w:t>intersticinės</w:t>
      </w:r>
      <w:proofErr w:type="spellEnd"/>
      <w:r>
        <w:rPr>
          <w:szCs w:val="22"/>
        </w:rPr>
        <w:t xml:space="preserve"> plaučių ligos atvejai, ypač taikant ilgalaikį gydymą (žr. 4.4 skyrių)</w:t>
      </w:r>
    </w:p>
    <w:p w14:paraId="40637881" w14:textId="77777777" w:rsidR="008020E2" w:rsidRDefault="00137C20">
      <w:pPr>
        <w:numPr>
          <w:ilvl w:val="0"/>
          <w:numId w:val="27"/>
        </w:numPr>
        <w:tabs>
          <w:tab w:val="left" w:pos="567"/>
        </w:tabs>
        <w:autoSpaceDE w:val="0"/>
        <w:autoSpaceDN w:val="0"/>
        <w:adjustRightInd w:val="0"/>
        <w:spacing w:line="260" w:lineRule="exact"/>
        <w:ind w:left="567" w:hanging="567"/>
        <w:rPr>
          <w:szCs w:val="22"/>
          <w:u w:val="single"/>
        </w:rPr>
      </w:pPr>
      <w:r>
        <w:rPr>
          <w:szCs w:val="22"/>
        </w:rPr>
        <w:t>Cukrinis diabetas: dažnis priklauso nuo to, ar yra rizikos veiksnių (gliukozės koncentracija kraujyje nevalgius 5,6</w:t>
      </w:r>
      <w:r>
        <w:rPr>
          <w:szCs w:val="22"/>
        </w:rPr>
        <w:noBreakHyphen/>
        <w:t>6,9 </w:t>
      </w:r>
      <w:proofErr w:type="spellStart"/>
      <w:r>
        <w:rPr>
          <w:szCs w:val="22"/>
        </w:rPr>
        <w:t>mmol</w:t>
      </w:r>
      <w:proofErr w:type="spellEnd"/>
      <w:r>
        <w:rPr>
          <w:szCs w:val="22"/>
        </w:rPr>
        <w:t>/l, KMI &gt; 30 kg/m</w:t>
      </w:r>
      <w:r>
        <w:rPr>
          <w:szCs w:val="22"/>
          <w:vertAlign w:val="superscript"/>
        </w:rPr>
        <w:t>2</w:t>
      </w:r>
      <w:r>
        <w:rPr>
          <w:szCs w:val="22"/>
        </w:rPr>
        <w:t xml:space="preserve">, padidėjusi </w:t>
      </w:r>
      <w:proofErr w:type="spellStart"/>
      <w:r>
        <w:rPr>
          <w:szCs w:val="22"/>
        </w:rPr>
        <w:t>trigliceridų</w:t>
      </w:r>
      <w:proofErr w:type="spellEnd"/>
      <w:r>
        <w:rPr>
          <w:szCs w:val="22"/>
        </w:rPr>
        <w:t xml:space="preserve"> koncentracija, hipertenzija)</w:t>
      </w:r>
    </w:p>
    <w:p w14:paraId="4312D28B" w14:textId="77777777" w:rsidR="008020E2" w:rsidRDefault="008020E2">
      <w:pPr>
        <w:widowControl w:val="0"/>
        <w:tabs>
          <w:tab w:val="left" w:pos="567"/>
        </w:tabs>
        <w:contextualSpacing/>
        <w:outlineLvl w:val="0"/>
        <w:rPr>
          <w:snapToGrid w:val="0"/>
          <w:szCs w:val="22"/>
        </w:rPr>
      </w:pPr>
    </w:p>
    <w:p w14:paraId="4423E4A1" w14:textId="77777777" w:rsidR="008020E2" w:rsidRDefault="00137C20">
      <w:pPr>
        <w:widowControl w:val="0"/>
        <w:tabs>
          <w:tab w:val="left" w:pos="567"/>
        </w:tabs>
        <w:autoSpaceDE w:val="0"/>
        <w:autoSpaceDN w:val="0"/>
        <w:adjustRightInd w:val="0"/>
        <w:rPr>
          <w:snapToGrid w:val="0"/>
          <w:szCs w:val="22"/>
          <w:u w:val="single"/>
        </w:rPr>
      </w:pPr>
      <w:r>
        <w:rPr>
          <w:snapToGrid w:val="0"/>
          <w:szCs w:val="22"/>
          <w:u w:val="single"/>
        </w:rPr>
        <w:t>Pranešimas apie įtariamas nepageidaujamas reakcijas</w:t>
      </w:r>
    </w:p>
    <w:p w14:paraId="00673210" w14:textId="72073406" w:rsidR="00DF2F55" w:rsidRPr="006174FB" w:rsidRDefault="00DF2F55" w:rsidP="006174FB">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103D3D28" w14:textId="77777777" w:rsidR="008020E2" w:rsidRDefault="008020E2">
      <w:pPr>
        <w:widowControl w:val="0"/>
        <w:tabs>
          <w:tab w:val="left" w:pos="567"/>
        </w:tabs>
        <w:rPr>
          <w:snapToGrid w:val="0"/>
          <w:szCs w:val="22"/>
        </w:rPr>
      </w:pPr>
    </w:p>
    <w:p w14:paraId="185FDFF4" w14:textId="77777777" w:rsidR="008020E2" w:rsidRDefault="00137C20">
      <w:pPr>
        <w:widowControl w:val="0"/>
        <w:tabs>
          <w:tab w:val="left" w:pos="567"/>
        </w:tabs>
        <w:outlineLvl w:val="3"/>
        <w:rPr>
          <w:b/>
          <w:bCs/>
          <w:snapToGrid w:val="0"/>
          <w:szCs w:val="22"/>
          <w:lang w:eastAsia="x-none"/>
        </w:rPr>
      </w:pPr>
      <w:r>
        <w:rPr>
          <w:b/>
          <w:bCs/>
          <w:snapToGrid w:val="0"/>
          <w:szCs w:val="22"/>
          <w:lang w:eastAsia="x-none"/>
        </w:rPr>
        <w:t>4.9</w:t>
      </w:r>
      <w:r>
        <w:rPr>
          <w:b/>
          <w:bCs/>
          <w:snapToGrid w:val="0"/>
          <w:szCs w:val="22"/>
          <w:lang w:eastAsia="x-none"/>
        </w:rPr>
        <w:tab/>
        <w:t>Perdozavimas</w:t>
      </w:r>
    </w:p>
    <w:p w14:paraId="311F64DD" w14:textId="77777777" w:rsidR="008020E2" w:rsidRDefault="008020E2">
      <w:pPr>
        <w:widowControl w:val="0"/>
        <w:tabs>
          <w:tab w:val="left" w:pos="567"/>
        </w:tabs>
        <w:rPr>
          <w:snapToGrid w:val="0"/>
          <w:szCs w:val="22"/>
        </w:rPr>
      </w:pPr>
    </w:p>
    <w:p w14:paraId="1C6D483B" w14:textId="24894494" w:rsidR="008020E2" w:rsidRDefault="00137C20">
      <w:pPr>
        <w:widowControl w:val="0"/>
        <w:tabs>
          <w:tab w:val="left" w:pos="567"/>
        </w:tabs>
        <w:rPr>
          <w:snapToGrid w:val="0"/>
          <w:szCs w:val="22"/>
        </w:rPr>
      </w:pPr>
      <w:r>
        <w:rPr>
          <w:szCs w:val="22"/>
        </w:rPr>
        <w:t xml:space="preserve">Perdozavimo atveju specifinio gydymo nėra. Pacientą reikia gydyti simptomiškai ir prireikus taikyti palaikomąsias priemones. Reikia stebėti kepenų funkciją ir KK aktyvumą. </w:t>
      </w:r>
      <w:r w:rsidR="0029155B">
        <w:rPr>
          <w:szCs w:val="22"/>
        </w:rPr>
        <w:t>Teigiamas</w:t>
      </w:r>
      <w:r w:rsidR="00C57562">
        <w:rPr>
          <w:szCs w:val="22"/>
        </w:rPr>
        <w:t xml:space="preserve"> </w:t>
      </w:r>
      <w:r>
        <w:rPr>
          <w:szCs w:val="22"/>
        </w:rPr>
        <w:t>hemodializės poveikis nėra tikėtinas.</w:t>
      </w:r>
    </w:p>
    <w:p w14:paraId="2778C006" w14:textId="77777777" w:rsidR="008020E2" w:rsidRDefault="008020E2">
      <w:pPr>
        <w:widowControl w:val="0"/>
        <w:tabs>
          <w:tab w:val="left" w:pos="567"/>
        </w:tabs>
        <w:rPr>
          <w:snapToGrid w:val="0"/>
          <w:szCs w:val="22"/>
        </w:rPr>
      </w:pPr>
    </w:p>
    <w:p w14:paraId="5E6B6FAF"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5.</w:t>
      </w:r>
      <w:r>
        <w:rPr>
          <w:b/>
          <w:bCs/>
          <w:snapToGrid w:val="0"/>
          <w:szCs w:val="22"/>
          <w:lang w:eastAsia="x-none"/>
        </w:rPr>
        <w:tab/>
        <w:t>FARMAKOLOGINĖS SAVYBĖS</w:t>
      </w:r>
    </w:p>
    <w:p w14:paraId="5AA86DAE" w14:textId="77777777" w:rsidR="008020E2" w:rsidRDefault="008020E2">
      <w:pPr>
        <w:widowControl w:val="0"/>
        <w:tabs>
          <w:tab w:val="left" w:pos="567"/>
        </w:tabs>
        <w:rPr>
          <w:snapToGrid w:val="0"/>
          <w:szCs w:val="22"/>
        </w:rPr>
      </w:pPr>
    </w:p>
    <w:p w14:paraId="0A8495A3"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5.1</w:t>
      </w:r>
      <w:r>
        <w:rPr>
          <w:b/>
          <w:bCs/>
          <w:snapToGrid w:val="0"/>
          <w:szCs w:val="22"/>
          <w:lang w:eastAsia="x-none"/>
        </w:rPr>
        <w:tab/>
      </w:r>
      <w:proofErr w:type="spellStart"/>
      <w:r>
        <w:rPr>
          <w:b/>
          <w:bCs/>
          <w:snapToGrid w:val="0"/>
          <w:szCs w:val="22"/>
          <w:lang w:eastAsia="x-none"/>
        </w:rPr>
        <w:t>Farmakodinaminės</w:t>
      </w:r>
      <w:proofErr w:type="spellEnd"/>
      <w:r>
        <w:rPr>
          <w:b/>
          <w:bCs/>
          <w:snapToGrid w:val="0"/>
          <w:szCs w:val="22"/>
          <w:lang w:eastAsia="x-none"/>
        </w:rPr>
        <w:t xml:space="preserve"> savybės</w:t>
      </w:r>
    </w:p>
    <w:p w14:paraId="1B6D577F" w14:textId="77777777" w:rsidR="008020E2" w:rsidRDefault="008020E2">
      <w:pPr>
        <w:widowControl w:val="0"/>
        <w:tabs>
          <w:tab w:val="left" w:pos="567"/>
        </w:tabs>
        <w:rPr>
          <w:snapToGrid w:val="0"/>
          <w:szCs w:val="22"/>
        </w:rPr>
      </w:pPr>
    </w:p>
    <w:p w14:paraId="4CC26F57" w14:textId="77777777" w:rsidR="008020E2" w:rsidRDefault="00137C20">
      <w:pPr>
        <w:widowControl w:val="0"/>
        <w:tabs>
          <w:tab w:val="left" w:pos="567"/>
        </w:tabs>
        <w:rPr>
          <w:szCs w:val="22"/>
        </w:rPr>
      </w:pPr>
      <w:proofErr w:type="spellStart"/>
      <w:r>
        <w:rPr>
          <w:snapToGrid w:val="0"/>
          <w:szCs w:val="22"/>
        </w:rPr>
        <w:t>Farmakoterapinė</w:t>
      </w:r>
      <w:proofErr w:type="spellEnd"/>
      <w:r>
        <w:rPr>
          <w:snapToGrid w:val="0"/>
          <w:szCs w:val="22"/>
        </w:rPr>
        <w:t xml:space="preserve"> grupė – lipidų koncentraciją modifikuojantys vaistiniai preparatai, HMG-</w:t>
      </w:r>
      <w:proofErr w:type="spellStart"/>
      <w:r>
        <w:rPr>
          <w:snapToGrid w:val="0"/>
          <w:szCs w:val="22"/>
        </w:rPr>
        <w:t>KoA</w:t>
      </w:r>
      <w:proofErr w:type="spellEnd"/>
      <w:r>
        <w:rPr>
          <w:snapToGrid w:val="0"/>
          <w:szCs w:val="22"/>
        </w:rPr>
        <w:t xml:space="preserve"> </w:t>
      </w:r>
      <w:proofErr w:type="spellStart"/>
      <w:r>
        <w:rPr>
          <w:snapToGrid w:val="0"/>
          <w:szCs w:val="22"/>
        </w:rPr>
        <w:t>reduktazės</w:t>
      </w:r>
      <w:proofErr w:type="spellEnd"/>
      <w:r>
        <w:rPr>
          <w:snapToGrid w:val="0"/>
          <w:szCs w:val="22"/>
        </w:rPr>
        <w:t xml:space="preserve"> inhibitoriai, ATC kodas – </w:t>
      </w:r>
      <w:r>
        <w:rPr>
          <w:szCs w:val="22"/>
          <w:lang w:eastAsia="es-ES"/>
        </w:rPr>
        <w:t>C10AA08</w:t>
      </w:r>
      <w:r>
        <w:rPr>
          <w:szCs w:val="22"/>
        </w:rPr>
        <w:t>.</w:t>
      </w:r>
    </w:p>
    <w:p w14:paraId="5A362C07" w14:textId="77777777" w:rsidR="008020E2" w:rsidRDefault="008020E2">
      <w:pPr>
        <w:widowControl w:val="0"/>
        <w:rPr>
          <w:szCs w:val="22"/>
        </w:rPr>
      </w:pPr>
    </w:p>
    <w:p w14:paraId="6B43F70F" w14:textId="77777777" w:rsidR="008020E2" w:rsidRDefault="00137C20">
      <w:pPr>
        <w:widowControl w:val="0"/>
        <w:autoSpaceDE w:val="0"/>
        <w:autoSpaceDN w:val="0"/>
        <w:adjustRightInd w:val="0"/>
        <w:rPr>
          <w:color w:val="000000"/>
          <w:szCs w:val="22"/>
          <w:u w:val="single"/>
          <w:lang w:eastAsia="sl-SI"/>
        </w:rPr>
      </w:pPr>
      <w:r>
        <w:rPr>
          <w:color w:val="000000"/>
          <w:szCs w:val="22"/>
          <w:u w:val="single"/>
          <w:lang w:eastAsia="sl-SI"/>
        </w:rPr>
        <w:t>Veikimo mechanizmas</w:t>
      </w:r>
    </w:p>
    <w:p w14:paraId="2969F795" w14:textId="77777777" w:rsidR="008020E2" w:rsidRDefault="008020E2">
      <w:pPr>
        <w:widowControl w:val="0"/>
        <w:autoSpaceDE w:val="0"/>
        <w:autoSpaceDN w:val="0"/>
        <w:adjustRightInd w:val="0"/>
        <w:rPr>
          <w:color w:val="000000"/>
          <w:szCs w:val="22"/>
          <w:u w:val="single"/>
          <w:lang w:eastAsia="sl-SI"/>
        </w:rPr>
      </w:pPr>
    </w:p>
    <w:p w14:paraId="614BCFCA" w14:textId="4118A5E0" w:rsidR="008020E2" w:rsidRDefault="00137C20">
      <w:pPr>
        <w:widowControl w:val="0"/>
        <w:autoSpaceDE w:val="0"/>
        <w:autoSpaceDN w:val="0"/>
        <w:adjustRightInd w:val="0"/>
        <w:rPr>
          <w:color w:val="000000"/>
          <w:szCs w:val="22"/>
          <w:lang w:eastAsia="sl-SI"/>
        </w:rPr>
      </w:pPr>
      <w:proofErr w:type="spellStart"/>
      <w:r>
        <w:rPr>
          <w:color w:val="000000"/>
          <w:szCs w:val="22"/>
          <w:lang w:eastAsia="sl-SI"/>
        </w:rPr>
        <w:t>Pitavastatinas</w:t>
      </w:r>
      <w:proofErr w:type="spellEnd"/>
      <w:r>
        <w:rPr>
          <w:color w:val="000000"/>
          <w:szCs w:val="22"/>
          <w:lang w:eastAsia="sl-SI"/>
        </w:rPr>
        <w:t xml:space="preserve"> konkurenciniu būdu slopina HMG-</w:t>
      </w:r>
      <w:proofErr w:type="spellStart"/>
      <w:r>
        <w:rPr>
          <w:color w:val="000000"/>
          <w:szCs w:val="22"/>
          <w:lang w:eastAsia="sl-SI"/>
        </w:rPr>
        <w:t>KoA</w:t>
      </w:r>
      <w:proofErr w:type="spellEnd"/>
      <w:r>
        <w:rPr>
          <w:color w:val="000000"/>
          <w:szCs w:val="22"/>
          <w:lang w:eastAsia="sl-SI"/>
        </w:rPr>
        <w:t xml:space="preserve"> </w:t>
      </w:r>
      <w:proofErr w:type="spellStart"/>
      <w:r>
        <w:rPr>
          <w:color w:val="000000"/>
          <w:szCs w:val="22"/>
          <w:lang w:eastAsia="sl-SI"/>
        </w:rPr>
        <w:t>reduktazę</w:t>
      </w:r>
      <w:proofErr w:type="spellEnd"/>
      <w:r>
        <w:rPr>
          <w:color w:val="000000"/>
          <w:szCs w:val="22"/>
          <w:lang w:eastAsia="sl-SI"/>
        </w:rPr>
        <w:t xml:space="preserve"> (cholesterolio </w:t>
      </w:r>
      <w:proofErr w:type="spellStart"/>
      <w:r>
        <w:rPr>
          <w:color w:val="000000"/>
          <w:szCs w:val="22"/>
          <w:lang w:eastAsia="sl-SI"/>
        </w:rPr>
        <w:t>biosintezės</w:t>
      </w:r>
      <w:proofErr w:type="spellEnd"/>
      <w:r>
        <w:rPr>
          <w:color w:val="000000"/>
          <w:szCs w:val="22"/>
          <w:lang w:eastAsia="sl-SI"/>
        </w:rPr>
        <w:t xml:space="preserve"> greitį ribojantį fermentą) ir slopina cholesterolio sintezę kepenyse. Dėl to padidėja MTL receptorių </w:t>
      </w:r>
      <w:r w:rsidRPr="002D0CF0">
        <w:rPr>
          <w:color w:val="000000"/>
          <w:szCs w:val="22"/>
          <w:lang w:eastAsia="sl-SI"/>
        </w:rPr>
        <w:t xml:space="preserve">raiška </w:t>
      </w:r>
      <w:r>
        <w:rPr>
          <w:color w:val="000000"/>
          <w:szCs w:val="22"/>
          <w:lang w:eastAsia="sl-SI"/>
        </w:rPr>
        <w:t xml:space="preserve">kepenyse, skatinamas kraujyje esančio MTL </w:t>
      </w:r>
      <w:r w:rsidR="005A1E16">
        <w:rPr>
          <w:color w:val="000000"/>
          <w:szCs w:val="22"/>
          <w:lang w:eastAsia="sl-SI"/>
        </w:rPr>
        <w:t>į</w:t>
      </w:r>
      <w:r>
        <w:rPr>
          <w:color w:val="000000"/>
          <w:szCs w:val="22"/>
          <w:lang w:eastAsia="sl-SI"/>
        </w:rPr>
        <w:t xml:space="preserve">sisavinimas ir mažėja bendrojo cholesterolio (BC) ir MTL-cholesterolio (MTL-C) koncentracija kraujyje. Išliekantis cholesterolio sintezės kepenyse slopinimas mažina labai mažo tankio lipoproteinų (LMTL) sekreciją į kraują ir mažina </w:t>
      </w:r>
      <w:proofErr w:type="spellStart"/>
      <w:r>
        <w:rPr>
          <w:color w:val="000000"/>
          <w:szCs w:val="22"/>
          <w:lang w:eastAsia="sl-SI"/>
        </w:rPr>
        <w:t>trigliceridų</w:t>
      </w:r>
      <w:proofErr w:type="spellEnd"/>
      <w:r>
        <w:rPr>
          <w:color w:val="000000"/>
          <w:szCs w:val="22"/>
          <w:lang w:eastAsia="sl-SI"/>
        </w:rPr>
        <w:t xml:space="preserve"> (TG) koncentraciją kraujo plazmoje.</w:t>
      </w:r>
    </w:p>
    <w:p w14:paraId="346F6F38" w14:textId="77777777" w:rsidR="008020E2" w:rsidRDefault="008020E2">
      <w:pPr>
        <w:widowControl w:val="0"/>
        <w:autoSpaceDE w:val="0"/>
        <w:autoSpaceDN w:val="0"/>
        <w:adjustRightInd w:val="0"/>
        <w:rPr>
          <w:color w:val="000000"/>
          <w:szCs w:val="22"/>
          <w:highlight w:val="yellow"/>
          <w:u w:val="single"/>
          <w:lang w:eastAsia="sl-SI"/>
        </w:rPr>
      </w:pPr>
    </w:p>
    <w:p w14:paraId="320A9455" w14:textId="77777777" w:rsidR="008020E2" w:rsidRDefault="00137C20">
      <w:pPr>
        <w:widowControl w:val="0"/>
        <w:autoSpaceDE w:val="0"/>
        <w:autoSpaceDN w:val="0"/>
        <w:adjustRightInd w:val="0"/>
        <w:rPr>
          <w:color w:val="000000"/>
          <w:szCs w:val="22"/>
          <w:u w:val="single"/>
          <w:lang w:eastAsia="sl-SI"/>
        </w:rPr>
      </w:pPr>
      <w:proofErr w:type="spellStart"/>
      <w:r>
        <w:rPr>
          <w:color w:val="000000"/>
          <w:szCs w:val="22"/>
          <w:u w:val="single"/>
          <w:lang w:eastAsia="sl-SI"/>
        </w:rPr>
        <w:t>Farmakodinaminis</w:t>
      </w:r>
      <w:proofErr w:type="spellEnd"/>
      <w:r>
        <w:rPr>
          <w:color w:val="000000"/>
          <w:szCs w:val="22"/>
          <w:u w:val="single"/>
          <w:lang w:eastAsia="sl-SI"/>
        </w:rPr>
        <w:t xml:space="preserve"> poveikis</w:t>
      </w:r>
    </w:p>
    <w:p w14:paraId="5AE94450" w14:textId="77777777" w:rsidR="008020E2" w:rsidRDefault="008020E2">
      <w:pPr>
        <w:widowControl w:val="0"/>
        <w:autoSpaceDE w:val="0"/>
        <w:autoSpaceDN w:val="0"/>
        <w:adjustRightInd w:val="0"/>
        <w:rPr>
          <w:color w:val="000000"/>
          <w:szCs w:val="22"/>
          <w:lang w:eastAsia="sl-SI"/>
        </w:rPr>
      </w:pPr>
    </w:p>
    <w:p w14:paraId="41EE9D2F" w14:textId="77777777" w:rsidR="008020E2" w:rsidRDefault="00137C20">
      <w:pPr>
        <w:widowControl w:val="0"/>
        <w:autoSpaceDE w:val="0"/>
        <w:autoSpaceDN w:val="0"/>
        <w:adjustRightInd w:val="0"/>
        <w:rPr>
          <w:color w:val="000000"/>
          <w:szCs w:val="22"/>
          <w:lang w:eastAsia="sl-SI"/>
        </w:rPr>
      </w:pPr>
      <w:proofErr w:type="spellStart"/>
      <w:r>
        <w:rPr>
          <w:color w:val="000000"/>
          <w:szCs w:val="22"/>
          <w:lang w:eastAsia="sl-SI"/>
        </w:rPr>
        <w:t>Pitavastatinas</w:t>
      </w:r>
      <w:proofErr w:type="spellEnd"/>
      <w:r>
        <w:rPr>
          <w:color w:val="000000"/>
          <w:szCs w:val="22"/>
          <w:lang w:eastAsia="sl-SI"/>
        </w:rPr>
        <w:t xml:space="preserve"> mažina padidėjusią MTL-C, bendrojo cholesterolio ir </w:t>
      </w:r>
      <w:proofErr w:type="spellStart"/>
      <w:r>
        <w:rPr>
          <w:color w:val="000000"/>
          <w:szCs w:val="22"/>
          <w:lang w:eastAsia="sl-SI"/>
        </w:rPr>
        <w:t>trigliceridų</w:t>
      </w:r>
      <w:proofErr w:type="spellEnd"/>
      <w:r>
        <w:rPr>
          <w:color w:val="000000"/>
          <w:szCs w:val="22"/>
          <w:lang w:eastAsia="sl-SI"/>
        </w:rPr>
        <w:t xml:space="preserve"> koncentraciją bei didina DTL cholesterolio (DTL-C) koncentraciją. Jis mažina </w:t>
      </w:r>
      <w:proofErr w:type="spellStart"/>
      <w:r>
        <w:rPr>
          <w:color w:val="000000"/>
          <w:szCs w:val="22"/>
          <w:lang w:eastAsia="sl-SI"/>
        </w:rPr>
        <w:t>Apo</w:t>
      </w:r>
      <w:proofErr w:type="spellEnd"/>
      <w:r>
        <w:rPr>
          <w:color w:val="000000"/>
          <w:szCs w:val="22"/>
          <w:lang w:eastAsia="sl-SI"/>
        </w:rPr>
        <w:t xml:space="preserve">-B koncentraciją ir sukelia kintamą Apo-A1 koncentracijos padidėjimą (žr. 1 lentelę). Jis taip pat mažina ne-DTL-C koncentraciją ir padidėjusį BC/DTL-C bei </w:t>
      </w:r>
      <w:proofErr w:type="spellStart"/>
      <w:r>
        <w:rPr>
          <w:color w:val="000000"/>
          <w:szCs w:val="22"/>
          <w:lang w:eastAsia="sl-SI"/>
        </w:rPr>
        <w:t>Apo</w:t>
      </w:r>
      <w:proofErr w:type="spellEnd"/>
      <w:r>
        <w:rPr>
          <w:color w:val="000000"/>
          <w:szCs w:val="22"/>
          <w:lang w:eastAsia="sl-SI"/>
        </w:rPr>
        <w:t>-B/Apo-A1 santykį.</w:t>
      </w:r>
    </w:p>
    <w:p w14:paraId="7A10F208" w14:textId="77777777" w:rsidR="008020E2" w:rsidRDefault="008020E2">
      <w:pPr>
        <w:widowControl w:val="0"/>
        <w:autoSpaceDE w:val="0"/>
        <w:autoSpaceDN w:val="0"/>
        <w:adjustRightInd w:val="0"/>
        <w:rPr>
          <w:color w:val="000000"/>
          <w:szCs w:val="22"/>
          <w:lang w:eastAsia="sl-SI"/>
        </w:rPr>
      </w:pPr>
    </w:p>
    <w:p w14:paraId="77221490" w14:textId="77777777" w:rsidR="008020E2" w:rsidRDefault="00137C20">
      <w:pPr>
        <w:widowControl w:val="0"/>
        <w:autoSpaceDE w:val="0"/>
        <w:autoSpaceDN w:val="0"/>
        <w:adjustRightInd w:val="0"/>
        <w:rPr>
          <w:color w:val="000000"/>
          <w:szCs w:val="22"/>
          <w:lang w:eastAsia="sl-SI"/>
        </w:rPr>
      </w:pPr>
      <w:r>
        <w:rPr>
          <w:color w:val="000000"/>
          <w:szCs w:val="22"/>
          <w:lang w:eastAsia="sl-SI"/>
        </w:rPr>
        <w:t xml:space="preserve">1 lentelė. Pirmine </w:t>
      </w:r>
      <w:proofErr w:type="spellStart"/>
      <w:r>
        <w:rPr>
          <w:color w:val="000000"/>
          <w:szCs w:val="22"/>
          <w:lang w:eastAsia="sl-SI"/>
        </w:rPr>
        <w:t>hipercholesterolemija</w:t>
      </w:r>
      <w:proofErr w:type="spellEnd"/>
      <w:r>
        <w:rPr>
          <w:color w:val="000000"/>
          <w:szCs w:val="22"/>
          <w:lang w:eastAsia="sl-SI"/>
        </w:rPr>
        <w:t xml:space="preserve"> sergančių pacientų atsakas į dozę (koreguotas vidutinis procentinis pokytis nuo pradinio rodmens per 12 savaičių)</w:t>
      </w:r>
    </w:p>
    <w:p w14:paraId="717BDBA9" w14:textId="77777777" w:rsidR="008020E2" w:rsidRDefault="008020E2">
      <w:pPr>
        <w:widowControl w:val="0"/>
        <w:autoSpaceDE w:val="0"/>
        <w:autoSpaceDN w:val="0"/>
        <w:adjustRightInd w:val="0"/>
        <w:rPr>
          <w:color w:val="000000"/>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118"/>
        <w:gridCol w:w="1137"/>
        <w:gridCol w:w="1129"/>
        <w:gridCol w:w="1135"/>
        <w:gridCol w:w="1128"/>
        <w:gridCol w:w="1132"/>
        <w:gridCol w:w="1132"/>
      </w:tblGrid>
      <w:tr w:rsidR="008020E2" w14:paraId="5D7B36F7" w14:textId="77777777">
        <w:tc>
          <w:tcPr>
            <w:tcW w:w="1160" w:type="dxa"/>
            <w:shd w:val="clear" w:color="auto" w:fill="auto"/>
          </w:tcPr>
          <w:p w14:paraId="37A6CC45" w14:textId="77777777" w:rsidR="008020E2" w:rsidRDefault="00137C20">
            <w:pPr>
              <w:widowControl w:val="0"/>
              <w:autoSpaceDE w:val="0"/>
              <w:autoSpaceDN w:val="0"/>
              <w:adjustRightInd w:val="0"/>
              <w:rPr>
                <w:color w:val="000000"/>
                <w:szCs w:val="22"/>
                <w:lang w:eastAsia="sl-SI"/>
              </w:rPr>
            </w:pPr>
            <w:r>
              <w:rPr>
                <w:color w:val="000000"/>
                <w:szCs w:val="22"/>
                <w:lang w:eastAsia="sl-SI"/>
              </w:rPr>
              <w:t>Dozė</w:t>
            </w:r>
          </w:p>
        </w:tc>
        <w:tc>
          <w:tcPr>
            <w:tcW w:w="1161" w:type="dxa"/>
            <w:shd w:val="clear" w:color="auto" w:fill="auto"/>
          </w:tcPr>
          <w:p w14:paraId="14F73FDF" w14:textId="77777777" w:rsidR="008020E2" w:rsidRDefault="00137C20">
            <w:pPr>
              <w:widowControl w:val="0"/>
              <w:autoSpaceDE w:val="0"/>
              <w:autoSpaceDN w:val="0"/>
              <w:adjustRightInd w:val="0"/>
              <w:rPr>
                <w:color w:val="000000"/>
                <w:szCs w:val="22"/>
                <w:lang w:eastAsia="sl-SI"/>
              </w:rPr>
            </w:pPr>
            <w:r>
              <w:rPr>
                <w:color w:val="000000"/>
                <w:szCs w:val="22"/>
                <w:lang w:eastAsia="sl-SI"/>
              </w:rPr>
              <w:t>N</w:t>
            </w:r>
          </w:p>
        </w:tc>
        <w:tc>
          <w:tcPr>
            <w:tcW w:w="1161" w:type="dxa"/>
            <w:shd w:val="clear" w:color="auto" w:fill="auto"/>
          </w:tcPr>
          <w:p w14:paraId="6C5A0874" w14:textId="77777777" w:rsidR="008020E2" w:rsidRDefault="00137C20">
            <w:pPr>
              <w:widowControl w:val="0"/>
              <w:autoSpaceDE w:val="0"/>
              <w:autoSpaceDN w:val="0"/>
              <w:adjustRightInd w:val="0"/>
              <w:rPr>
                <w:color w:val="000000"/>
                <w:szCs w:val="22"/>
                <w:lang w:eastAsia="sl-SI"/>
              </w:rPr>
            </w:pPr>
            <w:r>
              <w:rPr>
                <w:color w:val="000000"/>
                <w:szCs w:val="22"/>
                <w:lang w:eastAsia="sl-SI"/>
              </w:rPr>
              <w:t>MTL-C</w:t>
            </w:r>
          </w:p>
        </w:tc>
        <w:tc>
          <w:tcPr>
            <w:tcW w:w="1161" w:type="dxa"/>
            <w:shd w:val="clear" w:color="auto" w:fill="auto"/>
          </w:tcPr>
          <w:p w14:paraId="55033E0E" w14:textId="77777777" w:rsidR="008020E2" w:rsidRDefault="00137C20">
            <w:pPr>
              <w:widowControl w:val="0"/>
              <w:autoSpaceDE w:val="0"/>
              <w:autoSpaceDN w:val="0"/>
              <w:adjustRightInd w:val="0"/>
              <w:rPr>
                <w:color w:val="000000"/>
                <w:szCs w:val="22"/>
                <w:lang w:eastAsia="sl-SI"/>
              </w:rPr>
            </w:pPr>
            <w:r>
              <w:rPr>
                <w:color w:val="000000"/>
                <w:szCs w:val="22"/>
                <w:lang w:eastAsia="sl-SI"/>
              </w:rPr>
              <w:t>BC*</w:t>
            </w:r>
          </w:p>
        </w:tc>
        <w:tc>
          <w:tcPr>
            <w:tcW w:w="1161" w:type="dxa"/>
            <w:shd w:val="clear" w:color="auto" w:fill="auto"/>
          </w:tcPr>
          <w:p w14:paraId="787078EC" w14:textId="77777777" w:rsidR="008020E2" w:rsidRDefault="00137C20">
            <w:pPr>
              <w:widowControl w:val="0"/>
              <w:autoSpaceDE w:val="0"/>
              <w:autoSpaceDN w:val="0"/>
              <w:adjustRightInd w:val="0"/>
              <w:rPr>
                <w:color w:val="000000"/>
                <w:szCs w:val="22"/>
                <w:lang w:eastAsia="sl-SI"/>
              </w:rPr>
            </w:pPr>
            <w:r>
              <w:rPr>
                <w:color w:val="000000"/>
                <w:szCs w:val="22"/>
                <w:lang w:eastAsia="sl-SI"/>
              </w:rPr>
              <w:t>DTL-C</w:t>
            </w:r>
          </w:p>
        </w:tc>
        <w:tc>
          <w:tcPr>
            <w:tcW w:w="1161" w:type="dxa"/>
            <w:shd w:val="clear" w:color="auto" w:fill="auto"/>
          </w:tcPr>
          <w:p w14:paraId="0DDBEDC6" w14:textId="77777777" w:rsidR="008020E2" w:rsidRDefault="00137C20">
            <w:pPr>
              <w:widowControl w:val="0"/>
              <w:autoSpaceDE w:val="0"/>
              <w:autoSpaceDN w:val="0"/>
              <w:adjustRightInd w:val="0"/>
              <w:rPr>
                <w:color w:val="000000"/>
                <w:szCs w:val="22"/>
                <w:lang w:eastAsia="sl-SI"/>
              </w:rPr>
            </w:pPr>
            <w:r>
              <w:rPr>
                <w:color w:val="000000"/>
                <w:szCs w:val="22"/>
                <w:lang w:eastAsia="sl-SI"/>
              </w:rPr>
              <w:t>TG</w:t>
            </w:r>
          </w:p>
        </w:tc>
        <w:tc>
          <w:tcPr>
            <w:tcW w:w="1161" w:type="dxa"/>
            <w:shd w:val="clear" w:color="auto" w:fill="auto"/>
          </w:tcPr>
          <w:p w14:paraId="493D781B" w14:textId="77777777" w:rsidR="008020E2" w:rsidRDefault="00137C20">
            <w:pPr>
              <w:widowControl w:val="0"/>
              <w:autoSpaceDE w:val="0"/>
              <w:autoSpaceDN w:val="0"/>
              <w:adjustRightInd w:val="0"/>
              <w:rPr>
                <w:color w:val="000000"/>
                <w:szCs w:val="22"/>
                <w:lang w:eastAsia="sl-SI"/>
              </w:rPr>
            </w:pPr>
            <w:proofErr w:type="spellStart"/>
            <w:r>
              <w:rPr>
                <w:color w:val="000000"/>
                <w:szCs w:val="22"/>
                <w:lang w:eastAsia="sl-SI"/>
              </w:rPr>
              <w:t>Apo</w:t>
            </w:r>
            <w:proofErr w:type="spellEnd"/>
            <w:r>
              <w:rPr>
                <w:color w:val="000000"/>
                <w:szCs w:val="22"/>
                <w:lang w:eastAsia="sl-SI"/>
              </w:rPr>
              <w:t>-B</w:t>
            </w:r>
          </w:p>
        </w:tc>
        <w:tc>
          <w:tcPr>
            <w:tcW w:w="1161" w:type="dxa"/>
            <w:shd w:val="clear" w:color="auto" w:fill="auto"/>
          </w:tcPr>
          <w:p w14:paraId="56357FF8" w14:textId="77777777" w:rsidR="008020E2" w:rsidRDefault="00137C20">
            <w:pPr>
              <w:widowControl w:val="0"/>
              <w:autoSpaceDE w:val="0"/>
              <w:autoSpaceDN w:val="0"/>
              <w:adjustRightInd w:val="0"/>
              <w:rPr>
                <w:color w:val="000000"/>
                <w:szCs w:val="22"/>
                <w:lang w:eastAsia="sl-SI"/>
              </w:rPr>
            </w:pPr>
            <w:r>
              <w:rPr>
                <w:color w:val="000000"/>
                <w:szCs w:val="22"/>
                <w:lang w:eastAsia="sl-SI"/>
              </w:rPr>
              <w:t>Apo-A1</w:t>
            </w:r>
          </w:p>
        </w:tc>
      </w:tr>
      <w:tr w:rsidR="008020E2" w14:paraId="0943E46E" w14:textId="77777777">
        <w:tc>
          <w:tcPr>
            <w:tcW w:w="1160" w:type="dxa"/>
            <w:shd w:val="clear" w:color="auto" w:fill="auto"/>
          </w:tcPr>
          <w:p w14:paraId="5AF894D2" w14:textId="77777777" w:rsidR="008020E2" w:rsidRDefault="00137C20">
            <w:pPr>
              <w:widowControl w:val="0"/>
              <w:autoSpaceDE w:val="0"/>
              <w:autoSpaceDN w:val="0"/>
              <w:adjustRightInd w:val="0"/>
              <w:rPr>
                <w:color w:val="000000"/>
                <w:szCs w:val="22"/>
                <w:lang w:eastAsia="sl-SI"/>
              </w:rPr>
            </w:pPr>
            <w:proofErr w:type="spellStart"/>
            <w:r>
              <w:rPr>
                <w:color w:val="000000"/>
                <w:szCs w:val="22"/>
                <w:lang w:eastAsia="sl-SI"/>
              </w:rPr>
              <w:t>Placebas</w:t>
            </w:r>
            <w:proofErr w:type="spellEnd"/>
          </w:p>
        </w:tc>
        <w:tc>
          <w:tcPr>
            <w:tcW w:w="1161" w:type="dxa"/>
            <w:shd w:val="clear" w:color="auto" w:fill="auto"/>
          </w:tcPr>
          <w:p w14:paraId="0D721622" w14:textId="77777777" w:rsidR="008020E2" w:rsidRDefault="00137C20">
            <w:pPr>
              <w:widowControl w:val="0"/>
              <w:autoSpaceDE w:val="0"/>
              <w:autoSpaceDN w:val="0"/>
              <w:adjustRightInd w:val="0"/>
              <w:rPr>
                <w:color w:val="000000"/>
                <w:szCs w:val="22"/>
                <w:lang w:eastAsia="sl-SI"/>
              </w:rPr>
            </w:pPr>
            <w:r>
              <w:rPr>
                <w:color w:val="000000"/>
                <w:szCs w:val="22"/>
                <w:lang w:eastAsia="sl-SI"/>
              </w:rPr>
              <w:t>51</w:t>
            </w:r>
          </w:p>
        </w:tc>
        <w:tc>
          <w:tcPr>
            <w:tcW w:w="1161" w:type="dxa"/>
            <w:shd w:val="clear" w:color="auto" w:fill="auto"/>
          </w:tcPr>
          <w:p w14:paraId="6CC7C1A8" w14:textId="77777777" w:rsidR="008020E2" w:rsidRDefault="00137C20">
            <w:pPr>
              <w:widowControl w:val="0"/>
              <w:autoSpaceDE w:val="0"/>
              <w:autoSpaceDN w:val="0"/>
              <w:adjustRightInd w:val="0"/>
              <w:rPr>
                <w:color w:val="000000"/>
                <w:szCs w:val="22"/>
                <w:lang w:eastAsia="sl-SI"/>
              </w:rPr>
            </w:pPr>
            <w:r>
              <w:rPr>
                <w:color w:val="000000"/>
                <w:szCs w:val="22"/>
                <w:lang w:eastAsia="sl-SI"/>
              </w:rPr>
              <w:t>-4,0</w:t>
            </w:r>
          </w:p>
        </w:tc>
        <w:tc>
          <w:tcPr>
            <w:tcW w:w="1161" w:type="dxa"/>
            <w:shd w:val="clear" w:color="auto" w:fill="auto"/>
          </w:tcPr>
          <w:p w14:paraId="465D49C9" w14:textId="77777777" w:rsidR="008020E2" w:rsidRDefault="00137C20">
            <w:pPr>
              <w:widowControl w:val="0"/>
              <w:autoSpaceDE w:val="0"/>
              <w:autoSpaceDN w:val="0"/>
              <w:adjustRightInd w:val="0"/>
              <w:rPr>
                <w:color w:val="000000"/>
                <w:szCs w:val="22"/>
                <w:lang w:eastAsia="sl-SI"/>
              </w:rPr>
            </w:pPr>
            <w:r>
              <w:rPr>
                <w:color w:val="000000"/>
                <w:szCs w:val="22"/>
                <w:lang w:eastAsia="sl-SI"/>
              </w:rPr>
              <w:t>-1,3</w:t>
            </w:r>
          </w:p>
        </w:tc>
        <w:tc>
          <w:tcPr>
            <w:tcW w:w="1161" w:type="dxa"/>
            <w:shd w:val="clear" w:color="auto" w:fill="auto"/>
          </w:tcPr>
          <w:p w14:paraId="03E47253" w14:textId="77777777" w:rsidR="008020E2" w:rsidRDefault="00137C20">
            <w:pPr>
              <w:widowControl w:val="0"/>
              <w:autoSpaceDE w:val="0"/>
              <w:autoSpaceDN w:val="0"/>
              <w:adjustRightInd w:val="0"/>
              <w:rPr>
                <w:color w:val="000000"/>
                <w:szCs w:val="22"/>
                <w:lang w:eastAsia="sl-SI"/>
              </w:rPr>
            </w:pPr>
            <w:r>
              <w:rPr>
                <w:color w:val="000000"/>
                <w:szCs w:val="22"/>
                <w:lang w:eastAsia="sl-SI"/>
              </w:rPr>
              <w:t>2,5</w:t>
            </w:r>
          </w:p>
        </w:tc>
        <w:tc>
          <w:tcPr>
            <w:tcW w:w="1161" w:type="dxa"/>
            <w:shd w:val="clear" w:color="auto" w:fill="auto"/>
          </w:tcPr>
          <w:p w14:paraId="6E028682" w14:textId="77777777" w:rsidR="008020E2" w:rsidRDefault="00137C20">
            <w:pPr>
              <w:widowControl w:val="0"/>
              <w:autoSpaceDE w:val="0"/>
              <w:autoSpaceDN w:val="0"/>
              <w:adjustRightInd w:val="0"/>
              <w:rPr>
                <w:color w:val="000000"/>
                <w:szCs w:val="22"/>
                <w:lang w:eastAsia="sl-SI"/>
              </w:rPr>
            </w:pPr>
            <w:r>
              <w:rPr>
                <w:color w:val="000000"/>
                <w:szCs w:val="22"/>
                <w:lang w:eastAsia="sl-SI"/>
              </w:rPr>
              <w:t>-2,1</w:t>
            </w:r>
          </w:p>
        </w:tc>
        <w:tc>
          <w:tcPr>
            <w:tcW w:w="1161" w:type="dxa"/>
            <w:shd w:val="clear" w:color="auto" w:fill="auto"/>
          </w:tcPr>
          <w:p w14:paraId="71EF1772" w14:textId="77777777" w:rsidR="008020E2" w:rsidRDefault="00137C20">
            <w:pPr>
              <w:widowControl w:val="0"/>
              <w:autoSpaceDE w:val="0"/>
              <w:autoSpaceDN w:val="0"/>
              <w:adjustRightInd w:val="0"/>
              <w:rPr>
                <w:color w:val="000000"/>
                <w:szCs w:val="22"/>
                <w:lang w:eastAsia="sl-SI"/>
              </w:rPr>
            </w:pPr>
            <w:r>
              <w:rPr>
                <w:color w:val="000000"/>
                <w:szCs w:val="22"/>
                <w:lang w:eastAsia="sl-SI"/>
              </w:rPr>
              <w:t>0,3</w:t>
            </w:r>
          </w:p>
        </w:tc>
        <w:tc>
          <w:tcPr>
            <w:tcW w:w="1161" w:type="dxa"/>
            <w:shd w:val="clear" w:color="auto" w:fill="auto"/>
          </w:tcPr>
          <w:p w14:paraId="7C6351BE" w14:textId="77777777" w:rsidR="008020E2" w:rsidRDefault="00137C20">
            <w:pPr>
              <w:widowControl w:val="0"/>
              <w:autoSpaceDE w:val="0"/>
              <w:autoSpaceDN w:val="0"/>
              <w:adjustRightInd w:val="0"/>
              <w:rPr>
                <w:color w:val="000000"/>
                <w:szCs w:val="22"/>
                <w:lang w:eastAsia="sl-SI"/>
              </w:rPr>
            </w:pPr>
            <w:r>
              <w:rPr>
                <w:color w:val="000000"/>
                <w:szCs w:val="22"/>
                <w:lang w:eastAsia="sl-SI"/>
              </w:rPr>
              <w:t>3,2</w:t>
            </w:r>
          </w:p>
        </w:tc>
      </w:tr>
      <w:tr w:rsidR="008020E2" w14:paraId="3AB7E962" w14:textId="77777777">
        <w:tc>
          <w:tcPr>
            <w:tcW w:w="1160" w:type="dxa"/>
            <w:shd w:val="clear" w:color="auto" w:fill="auto"/>
          </w:tcPr>
          <w:p w14:paraId="0C9F13ED" w14:textId="77777777" w:rsidR="008020E2" w:rsidRDefault="00137C20">
            <w:pPr>
              <w:widowControl w:val="0"/>
              <w:autoSpaceDE w:val="0"/>
              <w:autoSpaceDN w:val="0"/>
              <w:adjustRightInd w:val="0"/>
              <w:rPr>
                <w:color w:val="000000"/>
                <w:szCs w:val="22"/>
                <w:lang w:eastAsia="sl-SI"/>
              </w:rPr>
            </w:pPr>
            <w:r>
              <w:rPr>
                <w:color w:val="000000"/>
                <w:szCs w:val="22"/>
                <w:lang w:eastAsia="sl-SI"/>
              </w:rPr>
              <w:t xml:space="preserve">1 mg </w:t>
            </w:r>
          </w:p>
        </w:tc>
        <w:tc>
          <w:tcPr>
            <w:tcW w:w="1161" w:type="dxa"/>
            <w:shd w:val="clear" w:color="auto" w:fill="auto"/>
          </w:tcPr>
          <w:p w14:paraId="4DCC14E8" w14:textId="77777777" w:rsidR="008020E2" w:rsidRDefault="00137C20">
            <w:pPr>
              <w:widowControl w:val="0"/>
              <w:autoSpaceDE w:val="0"/>
              <w:autoSpaceDN w:val="0"/>
              <w:adjustRightInd w:val="0"/>
              <w:rPr>
                <w:color w:val="000000"/>
                <w:szCs w:val="22"/>
                <w:lang w:eastAsia="sl-SI"/>
              </w:rPr>
            </w:pPr>
            <w:r>
              <w:rPr>
                <w:color w:val="000000"/>
                <w:szCs w:val="22"/>
                <w:lang w:eastAsia="sl-SI"/>
              </w:rPr>
              <w:t>52</w:t>
            </w:r>
          </w:p>
        </w:tc>
        <w:tc>
          <w:tcPr>
            <w:tcW w:w="1161" w:type="dxa"/>
            <w:shd w:val="clear" w:color="auto" w:fill="auto"/>
          </w:tcPr>
          <w:p w14:paraId="294AEFC2" w14:textId="77777777" w:rsidR="008020E2" w:rsidRDefault="00137C20">
            <w:pPr>
              <w:widowControl w:val="0"/>
              <w:autoSpaceDE w:val="0"/>
              <w:autoSpaceDN w:val="0"/>
              <w:adjustRightInd w:val="0"/>
              <w:rPr>
                <w:color w:val="000000"/>
                <w:szCs w:val="22"/>
                <w:lang w:eastAsia="sl-SI"/>
              </w:rPr>
            </w:pPr>
            <w:r>
              <w:rPr>
                <w:color w:val="000000"/>
                <w:szCs w:val="22"/>
                <w:lang w:eastAsia="sl-SI"/>
              </w:rPr>
              <w:t>-33,0</w:t>
            </w:r>
          </w:p>
        </w:tc>
        <w:tc>
          <w:tcPr>
            <w:tcW w:w="1161" w:type="dxa"/>
            <w:shd w:val="clear" w:color="auto" w:fill="auto"/>
          </w:tcPr>
          <w:p w14:paraId="3ADCB966" w14:textId="77777777" w:rsidR="008020E2" w:rsidRDefault="00137C20">
            <w:pPr>
              <w:widowControl w:val="0"/>
              <w:autoSpaceDE w:val="0"/>
              <w:autoSpaceDN w:val="0"/>
              <w:adjustRightInd w:val="0"/>
              <w:rPr>
                <w:color w:val="000000"/>
                <w:szCs w:val="22"/>
                <w:lang w:eastAsia="sl-SI"/>
              </w:rPr>
            </w:pPr>
            <w:r>
              <w:rPr>
                <w:color w:val="000000"/>
                <w:szCs w:val="22"/>
                <w:lang w:eastAsia="sl-SI"/>
              </w:rPr>
              <w:t>-22,8</w:t>
            </w:r>
          </w:p>
        </w:tc>
        <w:tc>
          <w:tcPr>
            <w:tcW w:w="1161" w:type="dxa"/>
            <w:shd w:val="clear" w:color="auto" w:fill="auto"/>
          </w:tcPr>
          <w:p w14:paraId="40C14251" w14:textId="77777777" w:rsidR="008020E2" w:rsidRDefault="00137C20">
            <w:pPr>
              <w:widowControl w:val="0"/>
              <w:autoSpaceDE w:val="0"/>
              <w:autoSpaceDN w:val="0"/>
              <w:adjustRightInd w:val="0"/>
              <w:rPr>
                <w:color w:val="000000"/>
                <w:szCs w:val="22"/>
                <w:lang w:eastAsia="sl-SI"/>
              </w:rPr>
            </w:pPr>
            <w:r>
              <w:rPr>
                <w:color w:val="000000"/>
                <w:szCs w:val="22"/>
                <w:lang w:eastAsia="sl-SI"/>
              </w:rPr>
              <w:t>9,4</w:t>
            </w:r>
          </w:p>
        </w:tc>
        <w:tc>
          <w:tcPr>
            <w:tcW w:w="1161" w:type="dxa"/>
            <w:shd w:val="clear" w:color="auto" w:fill="auto"/>
          </w:tcPr>
          <w:p w14:paraId="5119E31C" w14:textId="77777777" w:rsidR="008020E2" w:rsidRDefault="00137C20">
            <w:pPr>
              <w:widowControl w:val="0"/>
              <w:autoSpaceDE w:val="0"/>
              <w:autoSpaceDN w:val="0"/>
              <w:adjustRightInd w:val="0"/>
              <w:rPr>
                <w:color w:val="000000"/>
                <w:szCs w:val="22"/>
                <w:lang w:eastAsia="sl-SI"/>
              </w:rPr>
            </w:pPr>
            <w:r>
              <w:rPr>
                <w:color w:val="000000"/>
                <w:szCs w:val="22"/>
                <w:lang w:eastAsia="sl-SI"/>
              </w:rPr>
              <w:t>-14,8</w:t>
            </w:r>
          </w:p>
        </w:tc>
        <w:tc>
          <w:tcPr>
            <w:tcW w:w="1161" w:type="dxa"/>
            <w:shd w:val="clear" w:color="auto" w:fill="auto"/>
          </w:tcPr>
          <w:p w14:paraId="692A8029" w14:textId="77777777" w:rsidR="008020E2" w:rsidRDefault="00137C20">
            <w:pPr>
              <w:widowControl w:val="0"/>
              <w:autoSpaceDE w:val="0"/>
              <w:autoSpaceDN w:val="0"/>
              <w:adjustRightInd w:val="0"/>
              <w:rPr>
                <w:color w:val="000000"/>
                <w:szCs w:val="22"/>
                <w:lang w:eastAsia="sl-SI"/>
              </w:rPr>
            </w:pPr>
            <w:r>
              <w:rPr>
                <w:color w:val="000000"/>
                <w:szCs w:val="22"/>
                <w:lang w:eastAsia="sl-SI"/>
              </w:rPr>
              <w:t>-24,1</w:t>
            </w:r>
          </w:p>
        </w:tc>
        <w:tc>
          <w:tcPr>
            <w:tcW w:w="1161" w:type="dxa"/>
            <w:shd w:val="clear" w:color="auto" w:fill="auto"/>
          </w:tcPr>
          <w:p w14:paraId="1E83A0AE" w14:textId="77777777" w:rsidR="008020E2" w:rsidRDefault="00137C20">
            <w:pPr>
              <w:widowControl w:val="0"/>
              <w:autoSpaceDE w:val="0"/>
              <w:autoSpaceDN w:val="0"/>
              <w:adjustRightInd w:val="0"/>
              <w:rPr>
                <w:color w:val="000000"/>
                <w:szCs w:val="22"/>
                <w:lang w:eastAsia="sl-SI"/>
              </w:rPr>
            </w:pPr>
            <w:r>
              <w:rPr>
                <w:color w:val="000000"/>
                <w:szCs w:val="22"/>
                <w:lang w:eastAsia="sl-SI"/>
              </w:rPr>
              <w:t>8,5</w:t>
            </w:r>
          </w:p>
        </w:tc>
      </w:tr>
      <w:tr w:rsidR="008020E2" w14:paraId="27DF67FB" w14:textId="77777777">
        <w:tc>
          <w:tcPr>
            <w:tcW w:w="1160" w:type="dxa"/>
            <w:shd w:val="clear" w:color="auto" w:fill="auto"/>
          </w:tcPr>
          <w:p w14:paraId="3C813AF4" w14:textId="77777777" w:rsidR="008020E2" w:rsidRDefault="00137C20">
            <w:pPr>
              <w:widowControl w:val="0"/>
              <w:autoSpaceDE w:val="0"/>
              <w:autoSpaceDN w:val="0"/>
              <w:adjustRightInd w:val="0"/>
              <w:rPr>
                <w:color w:val="000000"/>
                <w:szCs w:val="22"/>
                <w:lang w:eastAsia="sl-SI"/>
              </w:rPr>
            </w:pPr>
            <w:r>
              <w:rPr>
                <w:color w:val="000000"/>
                <w:szCs w:val="22"/>
                <w:lang w:eastAsia="sl-SI"/>
              </w:rPr>
              <w:t>2 mg</w:t>
            </w:r>
          </w:p>
        </w:tc>
        <w:tc>
          <w:tcPr>
            <w:tcW w:w="1161" w:type="dxa"/>
            <w:shd w:val="clear" w:color="auto" w:fill="auto"/>
          </w:tcPr>
          <w:p w14:paraId="44BF8120" w14:textId="77777777" w:rsidR="008020E2" w:rsidRDefault="00137C20">
            <w:pPr>
              <w:widowControl w:val="0"/>
              <w:autoSpaceDE w:val="0"/>
              <w:autoSpaceDN w:val="0"/>
              <w:adjustRightInd w:val="0"/>
              <w:rPr>
                <w:color w:val="000000"/>
                <w:szCs w:val="22"/>
                <w:lang w:eastAsia="sl-SI"/>
              </w:rPr>
            </w:pPr>
            <w:r>
              <w:rPr>
                <w:color w:val="000000"/>
                <w:szCs w:val="22"/>
                <w:lang w:eastAsia="sl-SI"/>
              </w:rPr>
              <w:t>49</w:t>
            </w:r>
          </w:p>
        </w:tc>
        <w:tc>
          <w:tcPr>
            <w:tcW w:w="1161" w:type="dxa"/>
            <w:shd w:val="clear" w:color="auto" w:fill="auto"/>
          </w:tcPr>
          <w:p w14:paraId="01C98457" w14:textId="77777777" w:rsidR="008020E2" w:rsidRDefault="00137C20">
            <w:pPr>
              <w:widowControl w:val="0"/>
              <w:autoSpaceDE w:val="0"/>
              <w:autoSpaceDN w:val="0"/>
              <w:adjustRightInd w:val="0"/>
              <w:rPr>
                <w:color w:val="000000"/>
                <w:szCs w:val="22"/>
                <w:lang w:eastAsia="sl-SI"/>
              </w:rPr>
            </w:pPr>
            <w:r>
              <w:rPr>
                <w:color w:val="000000"/>
                <w:szCs w:val="22"/>
                <w:lang w:eastAsia="sl-SI"/>
              </w:rPr>
              <w:t>-38,2</w:t>
            </w:r>
          </w:p>
        </w:tc>
        <w:tc>
          <w:tcPr>
            <w:tcW w:w="1161" w:type="dxa"/>
            <w:shd w:val="clear" w:color="auto" w:fill="auto"/>
          </w:tcPr>
          <w:p w14:paraId="2AE6BDAC" w14:textId="77777777" w:rsidR="008020E2" w:rsidRDefault="00137C20">
            <w:pPr>
              <w:widowControl w:val="0"/>
              <w:autoSpaceDE w:val="0"/>
              <w:autoSpaceDN w:val="0"/>
              <w:adjustRightInd w:val="0"/>
              <w:rPr>
                <w:color w:val="000000"/>
                <w:szCs w:val="22"/>
                <w:lang w:eastAsia="sl-SI"/>
              </w:rPr>
            </w:pPr>
            <w:r>
              <w:rPr>
                <w:color w:val="000000"/>
                <w:szCs w:val="22"/>
                <w:lang w:eastAsia="sl-SI"/>
              </w:rPr>
              <w:t>-26,1</w:t>
            </w:r>
          </w:p>
        </w:tc>
        <w:tc>
          <w:tcPr>
            <w:tcW w:w="1161" w:type="dxa"/>
            <w:shd w:val="clear" w:color="auto" w:fill="auto"/>
          </w:tcPr>
          <w:p w14:paraId="71072E93" w14:textId="77777777" w:rsidR="008020E2" w:rsidRDefault="00137C20">
            <w:pPr>
              <w:widowControl w:val="0"/>
              <w:autoSpaceDE w:val="0"/>
              <w:autoSpaceDN w:val="0"/>
              <w:adjustRightInd w:val="0"/>
              <w:rPr>
                <w:color w:val="000000"/>
                <w:szCs w:val="22"/>
                <w:lang w:eastAsia="sl-SI"/>
              </w:rPr>
            </w:pPr>
            <w:r>
              <w:rPr>
                <w:color w:val="000000"/>
                <w:szCs w:val="22"/>
                <w:lang w:eastAsia="sl-SI"/>
              </w:rPr>
              <w:t>9,0</w:t>
            </w:r>
          </w:p>
        </w:tc>
        <w:tc>
          <w:tcPr>
            <w:tcW w:w="1161" w:type="dxa"/>
            <w:shd w:val="clear" w:color="auto" w:fill="auto"/>
          </w:tcPr>
          <w:p w14:paraId="3B92ABFF" w14:textId="77777777" w:rsidR="008020E2" w:rsidRDefault="00137C20">
            <w:pPr>
              <w:widowControl w:val="0"/>
              <w:autoSpaceDE w:val="0"/>
              <w:autoSpaceDN w:val="0"/>
              <w:adjustRightInd w:val="0"/>
              <w:rPr>
                <w:color w:val="000000"/>
                <w:szCs w:val="22"/>
                <w:lang w:eastAsia="sl-SI"/>
              </w:rPr>
            </w:pPr>
            <w:r>
              <w:rPr>
                <w:color w:val="000000"/>
                <w:szCs w:val="22"/>
                <w:lang w:eastAsia="sl-SI"/>
              </w:rPr>
              <w:t>-17,4</w:t>
            </w:r>
          </w:p>
        </w:tc>
        <w:tc>
          <w:tcPr>
            <w:tcW w:w="1161" w:type="dxa"/>
            <w:shd w:val="clear" w:color="auto" w:fill="auto"/>
          </w:tcPr>
          <w:p w14:paraId="04DD3360" w14:textId="77777777" w:rsidR="008020E2" w:rsidRDefault="00137C20">
            <w:pPr>
              <w:widowControl w:val="0"/>
              <w:autoSpaceDE w:val="0"/>
              <w:autoSpaceDN w:val="0"/>
              <w:adjustRightInd w:val="0"/>
              <w:rPr>
                <w:color w:val="000000"/>
                <w:szCs w:val="22"/>
                <w:lang w:eastAsia="sl-SI"/>
              </w:rPr>
            </w:pPr>
            <w:r>
              <w:rPr>
                <w:color w:val="000000"/>
                <w:szCs w:val="22"/>
                <w:lang w:eastAsia="sl-SI"/>
              </w:rPr>
              <w:t>-30,4</w:t>
            </w:r>
          </w:p>
        </w:tc>
        <w:tc>
          <w:tcPr>
            <w:tcW w:w="1161" w:type="dxa"/>
            <w:shd w:val="clear" w:color="auto" w:fill="auto"/>
          </w:tcPr>
          <w:p w14:paraId="3508A645" w14:textId="77777777" w:rsidR="008020E2" w:rsidRDefault="00137C20">
            <w:pPr>
              <w:widowControl w:val="0"/>
              <w:autoSpaceDE w:val="0"/>
              <w:autoSpaceDN w:val="0"/>
              <w:adjustRightInd w:val="0"/>
              <w:rPr>
                <w:color w:val="000000"/>
                <w:szCs w:val="22"/>
                <w:lang w:eastAsia="sl-SI"/>
              </w:rPr>
            </w:pPr>
            <w:r>
              <w:rPr>
                <w:color w:val="000000"/>
                <w:szCs w:val="22"/>
                <w:lang w:eastAsia="sl-SI"/>
              </w:rPr>
              <w:t>5,6</w:t>
            </w:r>
          </w:p>
        </w:tc>
      </w:tr>
      <w:tr w:rsidR="008020E2" w14:paraId="46D6A28E" w14:textId="77777777">
        <w:tc>
          <w:tcPr>
            <w:tcW w:w="1160" w:type="dxa"/>
            <w:shd w:val="clear" w:color="auto" w:fill="auto"/>
          </w:tcPr>
          <w:p w14:paraId="40A4C387" w14:textId="77777777" w:rsidR="008020E2" w:rsidRDefault="00137C20">
            <w:pPr>
              <w:widowControl w:val="0"/>
              <w:autoSpaceDE w:val="0"/>
              <w:autoSpaceDN w:val="0"/>
              <w:adjustRightInd w:val="0"/>
              <w:rPr>
                <w:color w:val="000000"/>
                <w:szCs w:val="22"/>
                <w:lang w:eastAsia="sl-SI"/>
              </w:rPr>
            </w:pPr>
            <w:r>
              <w:rPr>
                <w:color w:val="000000"/>
                <w:szCs w:val="22"/>
                <w:lang w:eastAsia="sl-SI"/>
              </w:rPr>
              <w:t>4 mg</w:t>
            </w:r>
          </w:p>
        </w:tc>
        <w:tc>
          <w:tcPr>
            <w:tcW w:w="1161" w:type="dxa"/>
            <w:shd w:val="clear" w:color="auto" w:fill="auto"/>
          </w:tcPr>
          <w:p w14:paraId="0BEDE67E" w14:textId="77777777" w:rsidR="008020E2" w:rsidRDefault="00137C20">
            <w:pPr>
              <w:widowControl w:val="0"/>
              <w:autoSpaceDE w:val="0"/>
              <w:autoSpaceDN w:val="0"/>
              <w:adjustRightInd w:val="0"/>
              <w:rPr>
                <w:color w:val="000000"/>
                <w:szCs w:val="22"/>
                <w:lang w:eastAsia="sl-SI"/>
              </w:rPr>
            </w:pPr>
            <w:r>
              <w:rPr>
                <w:color w:val="000000"/>
                <w:szCs w:val="22"/>
                <w:lang w:eastAsia="sl-SI"/>
              </w:rPr>
              <w:t>50</w:t>
            </w:r>
          </w:p>
        </w:tc>
        <w:tc>
          <w:tcPr>
            <w:tcW w:w="1161" w:type="dxa"/>
            <w:shd w:val="clear" w:color="auto" w:fill="auto"/>
          </w:tcPr>
          <w:p w14:paraId="40B01816" w14:textId="77777777" w:rsidR="008020E2" w:rsidRDefault="00137C20">
            <w:pPr>
              <w:widowControl w:val="0"/>
              <w:autoSpaceDE w:val="0"/>
              <w:autoSpaceDN w:val="0"/>
              <w:adjustRightInd w:val="0"/>
              <w:rPr>
                <w:color w:val="000000"/>
                <w:szCs w:val="22"/>
                <w:lang w:eastAsia="sl-SI"/>
              </w:rPr>
            </w:pPr>
            <w:r>
              <w:rPr>
                <w:color w:val="000000"/>
                <w:szCs w:val="22"/>
                <w:lang w:eastAsia="sl-SI"/>
              </w:rPr>
              <w:t>-46,5</w:t>
            </w:r>
          </w:p>
        </w:tc>
        <w:tc>
          <w:tcPr>
            <w:tcW w:w="1161" w:type="dxa"/>
            <w:shd w:val="clear" w:color="auto" w:fill="auto"/>
          </w:tcPr>
          <w:p w14:paraId="3E98D331" w14:textId="77777777" w:rsidR="008020E2" w:rsidRDefault="00137C20">
            <w:pPr>
              <w:widowControl w:val="0"/>
              <w:autoSpaceDE w:val="0"/>
              <w:autoSpaceDN w:val="0"/>
              <w:adjustRightInd w:val="0"/>
              <w:rPr>
                <w:color w:val="000000"/>
                <w:szCs w:val="22"/>
                <w:lang w:eastAsia="sl-SI"/>
              </w:rPr>
            </w:pPr>
            <w:r>
              <w:rPr>
                <w:color w:val="000000"/>
                <w:szCs w:val="22"/>
                <w:lang w:eastAsia="sl-SI"/>
              </w:rPr>
              <w:t>-32,5</w:t>
            </w:r>
          </w:p>
        </w:tc>
        <w:tc>
          <w:tcPr>
            <w:tcW w:w="1161" w:type="dxa"/>
            <w:shd w:val="clear" w:color="auto" w:fill="auto"/>
          </w:tcPr>
          <w:p w14:paraId="07EAD86B" w14:textId="77777777" w:rsidR="008020E2" w:rsidRDefault="00137C20">
            <w:pPr>
              <w:widowControl w:val="0"/>
              <w:autoSpaceDE w:val="0"/>
              <w:autoSpaceDN w:val="0"/>
              <w:adjustRightInd w:val="0"/>
              <w:rPr>
                <w:color w:val="000000"/>
                <w:szCs w:val="22"/>
                <w:lang w:eastAsia="sl-SI"/>
              </w:rPr>
            </w:pPr>
            <w:r>
              <w:rPr>
                <w:color w:val="000000"/>
                <w:szCs w:val="22"/>
                <w:lang w:eastAsia="sl-SI"/>
              </w:rPr>
              <w:t>8,3</w:t>
            </w:r>
          </w:p>
        </w:tc>
        <w:tc>
          <w:tcPr>
            <w:tcW w:w="1161" w:type="dxa"/>
            <w:shd w:val="clear" w:color="auto" w:fill="auto"/>
          </w:tcPr>
          <w:p w14:paraId="577D3DA3" w14:textId="77777777" w:rsidR="008020E2" w:rsidRDefault="00137C20">
            <w:pPr>
              <w:widowControl w:val="0"/>
              <w:autoSpaceDE w:val="0"/>
              <w:autoSpaceDN w:val="0"/>
              <w:adjustRightInd w:val="0"/>
              <w:rPr>
                <w:color w:val="000000"/>
                <w:szCs w:val="22"/>
                <w:lang w:eastAsia="sl-SI"/>
              </w:rPr>
            </w:pPr>
            <w:r>
              <w:rPr>
                <w:color w:val="000000"/>
                <w:szCs w:val="22"/>
                <w:lang w:eastAsia="sl-SI"/>
              </w:rPr>
              <w:t>-21,2</w:t>
            </w:r>
          </w:p>
        </w:tc>
        <w:tc>
          <w:tcPr>
            <w:tcW w:w="1161" w:type="dxa"/>
            <w:shd w:val="clear" w:color="auto" w:fill="auto"/>
          </w:tcPr>
          <w:p w14:paraId="7AB27BF7" w14:textId="77777777" w:rsidR="008020E2" w:rsidRDefault="00137C20">
            <w:pPr>
              <w:widowControl w:val="0"/>
              <w:autoSpaceDE w:val="0"/>
              <w:autoSpaceDN w:val="0"/>
              <w:adjustRightInd w:val="0"/>
              <w:rPr>
                <w:color w:val="000000"/>
                <w:szCs w:val="22"/>
                <w:lang w:eastAsia="sl-SI"/>
              </w:rPr>
            </w:pPr>
            <w:r>
              <w:rPr>
                <w:color w:val="000000"/>
                <w:szCs w:val="22"/>
                <w:lang w:eastAsia="sl-SI"/>
              </w:rPr>
              <w:t>-36,1</w:t>
            </w:r>
          </w:p>
        </w:tc>
        <w:tc>
          <w:tcPr>
            <w:tcW w:w="1161" w:type="dxa"/>
            <w:shd w:val="clear" w:color="auto" w:fill="auto"/>
          </w:tcPr>
          <w:p w14:paraId="2C4AA632" w14:textId="77777777" w:rsidR="008020E2" w:rsidRDefault="00137C20">
            <w:pPr>
              <w:widowControl w:val="0"/>
              <w:autoSpaceDE w:val="0"/>
              <w:autoSpaceDN w:val="0"/>
              <w:adjustRightInd w:val="0"/>
              <w:rPr>
                <w:color w:val="000000"/>
                <w:szCs w:val="22"/>
                <w:lang w:eastAsia="sl-SI"/>
              </w:rPr>
            </w:pPr>
            <w:r>
              <w:rPr>
                <w:color w:val="000000"/>
                <w:szCs w:val="22"/>
                <w:lang w:eastAsia="sl-SI"/>
              </w:rPr>
              <w:t>4,7</w:t>
            </w:r>
          </w:p>
        </w:tc>
      </w:tr>
    </w:tbl>
    <w:p w14:paraId="33270BFC" w14:textId="77777777" w:rsidR="008020E2" w:rsidRDefault="00137C20">
      <w:pPr>
        <w:widowControl w:val="0"/>
        <w:autoSpaceDE w:val="0"/>
        <w:autoSpaceDN w:val="0"/>
        <w:adjustRightInd w:val="0"/>
        <w:rPr>
          <w:color w:val="000000"/>
          <w:szCs w:val="22"/>
          <w:highlight w:val="yellow"/>
          <w:lang w:eastAsia="sl-SI"/>
        </w:rPr>
      </w:pPr>
      <w:r>
        <w:rPr>
          <w:color w:val="000000"/>
          <w:szCs w:val="22"/>
          <w:lang w:eastAsia="sl-SI"/>
        </w:rPr>
        <w:t>*nekoreguota</w:t>
      </w:r>
    </w:p>
    <w:p w14:paraId="7C0399AF" w14:textId="77777777" w:rsidR="008020E2" w:rsidRDefault="008020E2">
      <w:pPr>
        <w:widowControl w:val="0"/>
        <w:autoSpaceDE w:val="0"/>
        <w:autoSpaceDN w:val="0"/>
        <w:adjustRightInd w:val="0"/>
        <w:rPr>
          <w:color w:val="000000"/>
          <w:szCs w:val="22"/>
          <w:highlight w:val="yellow"/>
          <w:u w:val="single"/>
          <w:lang w:eastAsia="sl-SI"/>
        </w:rPr>
      </w:pPr>
    </w:p>
    <w:p w14:paraId="312BD84B" w14:textId="77777777" w:rsidR="008020E2" w:rsidRDefault="00137C20">
      <w:pPr>
        <w:widowControl w:val="0"/>
        <w:autoSpaceDE w:val="0"/>
        <w:autoSpaceDN w:val="0"/>
        <w:adjustRightInd w:val="0"/>
        <w:rPr>
          <w:color w:val="000000"/>
          <w:szCs w:val="22"/>
          <w:u w:val="single"/>
          <w:lang w:eastAsia="sl-SI"/>
        </w:rPr>
      </w:pPr>
      <w:r>
        <w:rPr>
          <w:color w:val="000000"/>
          <w:szCs w:val="22"/>
          <w:u w:val="single"/>
          <w:lang w:eastAsia="sl-SI"/>
        </w:rPr>
        <w:t>Klinikinis veiksmingumas ir saugumas</w:t>
      </w:r>
    </w:p>
    <w:p w14:paraId="7A1589B0" w14:textId="77777777" w:rsidR="008020E2" w:rsidRDefault="008020E2">
      <w:pPr>
        <w:widowControl w:val="0"/>
        <w:autoSpaceDE w:val="0"/>
        <w:autoSpaceDN w:val="0"/>
        <w:adjustRightInd w:val="0"/>
        <w:rPr>
          <w:color w:val="000000"/>
          <w:szCs w:val="22"/>
          <w:u w:val="single"/>
          <w:lang w:eastAsia="sl-SI"/>
        </w:rPr>
      </w:pPr>
    </w:p>
    <w:p w14:paraId="275019FA" w14:textId="69A0607C" w:rsidR="008020E2" w:rsidRDefault="009B2246">
      <w:pPr>
        <w:widowControl w:val="0"/>
        <w:autoSpaceDE w:val="0"/>
        <w:autoSpaceDN w:val="0"/>
        <w:adjustRightInd w:val="0"/>
        <w:rPr>
          <w:color w:val="000000"/>
          <w:szCs w:val="22"/>
          <w:lang w:eastAsia="sl-SI"/>
        </w:rPr>
      </w:pPr>
      <w:r>
        <w:rPr>
          <w:color w:val="000000"/>
          <w:szCs w:val="22"/>
          <w:lang w:eastAsia="sl-SI"/>
        </w:rPr>
        <w:t xml:space="preserve">Kontroliuojamuose </w:t>
      </w:r>
      <w:r w:rsidR="00137C20">
        <w:rPr>
          <w:color w:val="000000"/>
          <w:szCs w:val="22"/>
          <w:lang w:eastAsia="sl-SI"/>
        </w:rPr>
        <w:t xml:space="preserve">klinikiniuose tyrimuose, kuriuose dalyvavo 1687 pacientai, sergantys pirmine </w:t>
      </w:r>
      <w:proofErr w:type="spellStart"/>
      <w:r w:rsidR="00137C20">
        <w:rPr>
          <w:color w:val="000000"/>
          <w:szCs w:val="22"/>
          <w:lang w:eastAsia="sl-SI"/>
        </w:rPr>
        <w:t>hipercholesterolemija</w:t>
      </w:r>
      <w:proofErr w:type="spellEnd"/>
      <w:r w:rsidR="00137C20">
        <w:rPr>
          <w:color w:val="000000"/>
          <w:szCs w:val="22"/>
          <w:lang w:eastAsia="sl-SI"/>
        </w:rPr>
        <w:t xml:space="preserve"> ir mišria </w:t>
      </w:r>
      <w:proofErr w:type="spellStart"/>
      <w:r w:rsidR="00137C20">
        <w:rPr>
          <w:color w:val="000000"/>
          <w:szCs w:val="22"/>
          <w:lang w:eastAsia="sl-SI"/>
        </w:rPr>
        <w:t>dislipidemija</w:t>
      </w:r>
      <w:proofErr w:type="spellEnd"/>
      <w:r w:rsidR="00137C20">
        <w:rPr>
          <w:color w:val="000000"/>
          <w:szCs w:val="22"/>
          <w:lang w:eastAsia="sl-SI"/>
        </w:rPr>
        <w:t>, įskaitant 1239 pacientus, kuriems buvo skiriamos gydomosios dozės (vidutinė pradinė MTL-C koncentracija buvo maždaug 4,8 </w:t>
      </w:r>
      <w:proofErr w:type="spellStart"/>
      <w:r w:rsidR="00137C20">
        <w:rPr>
          <w:color w:val="000000"/>
          <w:szCs w:val="22"/>
          <w:lang w:eastAsia="sl-SI"/>
        </w:rPr>
        <w:t>mmol</w:t>
      </w:r>
      <w:proofErr w:type="spellEnd"/>
      <w:r w:rsidR="00137C20">
        <w:rPr>
          <w:color w:val="000000"/>
          <w:szCs w:val="22"/>
          <w:lang w:eastAsia="sl-SI"/>
        </w:rPr>
        <w:t xml:space="preserve">/l), </w:t>
      </w:r>
      <w:proofErr w:type="spellStart"/>
      <w:r w:rsidR="00137C20">
        <w:rPr>
          <w:color w:val="000000"/>
          <w:szCs w:val="22"/>
          <w:lang w:eastAsia="sl-SI"/>
        </w:rPr>
        <w:t>pitavastatinas</w:t>
      </w:r>
      <w:proofErr w:type="spellEnd"/>
      <w:r w:rsidR="00137C20">
        <w:rPr>
          <w:color w:val="000000"/>
          <w:szCs w:val="22"/>
          <w:lang w:eastAsia="sl-SI"/>
        </w:rPr>
        <w:t xml:space="preserve"> stabiliai mažino MTL-C, BC, ne MTL-C, TG ir </w:t>
      </w:r>
      <w:proofErr w:type="spellStart"/>
      <w:r w:rsidR="00137C20">
        <w:rPr>
          <w:color w:val="000000"/>
          <w:szCs w:val="22"/>
          <w:lang w:eastAsia="sl-SI"/>
        </w:rPr>
        <w:t>Apo</w:t>
      </w:r>
      <w:proofErr w:type="spellEnd"/>
      <w:r w:rsidR="00137C20">
        <w:rPr>
          <w:color w:val="000000"/>
          <w:szCs w:val="22"/>
          <w:lang w:eastAsia="sl-SI"/>
        </w:rPr>
        <w:t xml:space="preserve">-B koncentraciją bei didino DTL-C ir Apo-A1 koncentraciją. Sumažėjo BC/DTL-C ir </w:t>
      </w:r>
      <w:proofErr w:type="spellStart"/>
      <w:r w:rsidR="00137C20">
        <w:rPr>
          <w:color w:val="000000"/>
          <w:szCs w:val="22"/>
          <w:lang w:eastAsia="sl-SI"/>
        </w:rPr>
        <w:t>Apo</w:t>
      </w:r>
      <w:proofErr w:type="spellEnd"/>
      <w:r w:rsidR="00137C20">
        <w:rPr>
          <w:color w:val="000000"/>
          <w:szCs w:val="22"/>
          <w:lang w:eastAsia="sl-SI"/>
        </w:rPr>
        <w:t>-B/Apo-A1 santykis. MTL-C koncentracija sumažėjo 38</w:t>
      </w:r>
      <w:r w:rsidR="00137C20">
        <w:rPr>
          <w:color w:val="000000"/>
          <w:szCs w:val="22"/>
          <w:lang w:eastAsia="sl-SI"/>
        </w:rPr>
        <w:noBreakHyphen/>
        <w:t xml:space="preserve">39 %, vartojant 2 mg </w:t>
      </w:r>
      <w:proofErr w:type="spellStart"/>
      <w:r w:rsidR="00137C20">
        <w:rPr>
          <w:color w:val="000000"/>
          <w:szCs w:val="22"/>
          <w:lang w:eastAsia="sl-SI"/>
        </w:rPr>
        <w:t>pitavastatino</w:t>
      </w:r>
      <w:proofErr w:type="spellEnd"/>
      <w:r w:rsidR="00137C20">
        <w:rPr>
          <w:color w:val="000000"/>
          <w:szCs w:val="22"/>
          <w:lang w:eastAsia="sl-SI"/>
        </w:rPr>
        <w:t xml:space="preserve"> dozę, ir 44</w:t>
      </w:r>
      <w:r w:rsidR="00137C20">
        <w:rPr>
          <w:color w:val="000000"/>
          <w:szCs w:val="22"/>
          <w:lang w:eastAsia="sl-SI"/>
        </w:rPr>
        <w:noBreakHyphen/>
        <w:t xml:space="preserve">45 %, vartojant 4 mg </w:t>
      </w:r>
      <w:proofErr w:type="spellStart"/>
      <w:r w:rsidR="00137C20">
        <w:rPr>
          <w:color w:val="000000"/>
          <w:szCs w:val="22"/>
          <w:lang w:eastAsia="sl-SI"/>
        </w:rPr>
        <w:t>pitavastatino</w:t>
      </w:r>
      <w:proofErr w:type="spellEnd"/>
      <w:r w:rsidR="00137C20">
        <w:rPr>
          <w:color w:val="000000"/>
          <w:szCs w:val="22"/>
          <w:lang w:eastAsia="sl-SI"/>
        </w:rPr>
        <w:t xml:space="preserve"> dozę. Dauguma pacientų, vartojusių 2 mg dozę, pasiekė Europos aterosklerozės draugijos (EAD) gydymo tikslą, t. y. MTL-C koncentraciją &lt; 3 </w:t>
      </w:r>
      <w:proofErr w:type="spellStart"/>
      <w:r w:rsidR="00137C20">
        <w:rPr>
          <w:color w:val="000000"/>
          <w:szCs w:val="22"/>
          <w:lang w:eastAsia="sl-SI"/>
        </w:rPr>
        <w:t>mmol</w:t>
      </w:r>
      <w:proofErr w:type="spellEnd"/>
      <w:r w:rsidR="00137C20">
        <w:rPr>
          <w:color w:val="000000"/>
          <w:szCs w:val="22"/>
          <w:lang w:eastAsia="sl-SI"/>
        </w:rPr>
        <w:t>/l.</w:t>
      </w:r>
    </w:p>
    <w:p w14:paraId="1A13682D" w14:textId="168822D4" w:rsidR="008020E2" w:rsidRDefault="009B2246">
      <w:pPr>
        <w:widowControl w:val="0"/>
        <w:autoSpaceDE w:val="0"/>
        <w:autoSpaceDN w:val="0"/>
        <w:adjustRightInd w:val="0"/>
        <w:rPr>
          <w:color w:val="000000"/>
          <w:szCs w:val="22"/>
          <w:lang w:eastAsia="sl-SI"/>
        </w:rPr>
      </w:pPr>
      <w:r>
        <w:rPr>
          <w:color w:val="000000"/>
          <w:szCs w:val="22"/>
          <w:lang w:eastAsia="sl-SI"/>
        </w:rPr>
        <w:t xml:space="preserve">Kontroliuojamuose </w:t>
      </w:r>
      <w:r w:rsidR="00137C20">
        <w:rPr>
          <w:color w:val="000000"/>
          <w:szCs w:val="22"/>
          <w:lang w:eastAsia="sl-SI"/>
        </w:rPr>
        <w:t xml:space="preserve">klinikiniuose tyrimuose, kuriuose dalyvavo 942 ≥ 65 metų amžiaus pacientai (434 pacientai buvo gydomi 1 mg, 2 mg arba 4 mg </w:t>
      </w:r>
      <w:proofErr w:type="spellStart"/>
      <w:r w:rsidR="00137C20">
        <w:rPr>
          <w:color w:val="000000"/>
          <w:szCs w:val="22"/>
          <w:lang w:eastAsia="sl-SI"/>
        </w:rPr>
        <w:t>pitavastatino</w:t>
      </w:r>
      <w:proofErr w:type="spellEnd"/>
      <w:r w:rsidR="00137C20">
        <w:rPr>
          <w:color w:val="000000"/>
          <w:szCs w:val="22"/>
          <w:lang w:eastAsia="sl-SI"/>
        </w:rPr>
        <w:t xml:space="preserve"> dozėmis), sergantys pirmine </w:t>
      </w:r>
      <w:proofErr w:type="spellStart"/>
      <w:r w:rsidR="00137C20">
        <w:rPr>
          <w:color w:val="000000"/>
          <w:szCs w:val="22"/>
          <w:lang w:eastAsia="sl-SI"/>
        </w:rPr>
        <w:t>hipercholesterolemija</w:t>
      </w:r>
      <w:proofErr w:type="spellEnd"/>
      <w:r w:rsidR="00137C20">
        <w:rPr>
          <w:color w:val="000000"/>
          <w:szCs w:val="22"/>
          <w:lang w:eastAsia="sl-SI"/>
        </w:rPr>
        <w:t xml:space="preserve"> ir mišria </w:t>
      </w:r>
      <w:proofErr w:type="spellStart"/>
      <w:r w:rsidR="00137C20">
        <w:rPr>
          <w:color w:val="000000"/>
          <w:szCs w:val="22"/>
          <w:lang w:eastAsia="sl-SI"/>
        </w:rPr>
        <w:t>dislipidemija</w:t>
      </w:r>
      <w:proofErr w:type="spellEnd"/>
      <w:r w:rsidR="00137C20">
        <w:rPr>
          <w:color w:val="000000"/>
          <w:szCs w:val="22"/>
          <w:lang w:eastAsia="sl-SI"/>
        </w:rPr>
        <w:t xml:space="preserve"> (vidutinė pradinė MTL-C koncentracija buvo maždaug 4,2 </w:t>
      </w:r>
      <w:proofErr w:type="spellStart"/>
      <w:r w:rsidR="00137C20">
        <w:rPr>
          <w:color w:val="000000"/>
          <w:szCs w:val="22"/>
          <w:lang w:eastAsia="sl-SI"/>
        </w:rPr>
        <w:t>mmol</w:t>
      </w:r>
      <w:proofErr w:type="spellEnd"/>
      <w:r w:rsidR="00137C20">
        <w:rPr>
          <w:color w:val="000000"/>
          <w:szCs w:val="22"/>
          <w:lang w:eastAsia="sl-SI"/>
        </w:rPr>
        <w:t>/l), MTL-C koncentracija sumažėjo atitinkamai 31 %, 39,0 % ir 44,3 %, o maždaug 90 % pacientų pasiekė EAD gydymo tikslą. Daugiau kaip 80 % pacientų kartu vartojo kitus vaistinius preparatus, tačiau nepageidaujamų reiškinių dažnis visose gydymo grupėse buvo panašus, o dėl nepageidaujamų reiškinių iš tyrimo pasitraukė mažiau kaip 5 % pacientų. Saugumo ir veiksmingumo rezultatai buvo panašūs pacientams, priklausantiems skirtingiems amžiaus pogrupiams (65-69 metų, 70-74 metų ir ≥ 75 metų amžiaus).</w:t>
      </w:r>
    </w:p>
    <w:p w14:paraId="75903ADF" w14:textId="77777777" w:rsidR="008020E2" w:rsidRDefault="008020E2">
      <w:pPr>
        <w:widowControl w:val="0"/>
        <w:autoSpaceDE w:val="0"/>
        <w:autoSpaceDN w:val="0"/>
        <w:adjustRightInd w:val="0"/>
        <w:rPr>
          <w:color w:val="000000"/>
          <w:szCs w:val="22"/>
          <w:lang w:eastAsia="sl-SI"/>
        </w:rPr>
      </w:pPr>
    </w:p>
    <w:p w14:paraId="392F6384" w14:textId="7FACDC3A" w:rsidR="008020E2" w:rsidRDefault="00F7225B">
      <w:pPr>
        <w:widowControl w:val="0"/>
        <w:autoSpaceDE w:val="0"/>
        <w:autoSpaceDN w:val="0"/>
        <w:adjustRightInd w:val="0"/>
        <w:rPr>
          <w:color w:val="000000"/>
          <w:szCs w:val="22"/>
          <w:lang w:eastAsia="sl-SI"/>
        </w:rPr>
      </w:pPr>
      <w:r>
        <w:rPr>
          <w:color w:val="000000"/>
          <w:szCs w:val="22"/>
          <w:lang w:eastAsia="sl-SI"/>
        </w:rPr>
        <w:t xml:space="preserve">Kontroliuojamuose </w:t>
      </w:r>
      <w:r w:rsidR="00137C20">
        <w:rPr>
          <w:color w:val="000000"/>
          <w:szCs w:val="22"/>
          <w:lang w:eastAsia="sl-SI"/>
        </w:rPr>
        <w:t xml:space="preserve">klinikiniuose tyrimuose, kuriuose iš viso dalyvavo 761 pacientas (507 pacientai buvo gydomi 4 mg </w:t>
      </w:r>
      <w:proofErr w:type="spellStart"/>
      <w:r w:rsidR="00137C20">
        <w:rPr>
          <w:color w:val="000000"/>
          <w:szCs w:val="22"/>
          <w:lang w:eastAsia="sl-SI"/>
        </w:rPr>
        <w:t>pitavastatino</w:t>
      </w:r>
      <w:proofErr w:type="spellEnd"/>
      <w:r w:rsidR="00137C20">
        <w:rPr>
          <w:color w:val="000000"/>
          <w:szCs w:val="22"/>
          <w:lang w:eastAsia="sl-SI"/>
        </w:rPr>
        <w:t xml:space="preserve"> doze), sergantis pirmine </w:t>
      </w:r>
      <w:proofErr w:type="spellStart"/>
      <w:r w:rsidR="00137C20">
        <w:rPr>
          <w:color w:val="000000"/>
          <w:szCs w:val="22"/>
          <w:lang w:eastAsia="sl-SI"/>
        </w:rPr>
        <w:t>hipercholesterolemija</w:t>
      </w:r>
      <w:proofErr w:type="spellEnd"/>
      <w:r w:rsidR="00137C20">
        <w:rPr>
          <w:color w:val="000000"/>
          <w:szCs w:val="22"/>
          <w:lang w:eastAsia="sl-SI"/>
        </w:rPr>
        <w:t xml:space="preserve"> arba mišria </w:t>
      </w:r>
      <w:proofErr w:type="spellStart"/>
      <w:r w:rsidR="00137C20">
        <w:rPr>
          <w:color w:val="000000"/>
          <w:szCs w:val="22"/>
          <w:lang w:eastAsia="sl-SI"/>
        </w:rPr>
        <w:t>dislipidemija</w:t>
      </w:r>
      <w:proofErr w:type="spellEnd"/>
      <w:r w:rsidR="00137C20">
        <w:rPr>
          <w:color w:val="000000"/>
          <w:szCs w:val="22"/>
          <w:lang w:eastAsia="sl-SI"/>
        </w:rPr>
        <w:t>, turintis 2 ar daugiau širdies ir kraujagyslių rizikos veiksnių (vidutinė pradinė MTL-C koncentracija maždaug 4,1 </w:t>
      </w:r>
      <w:proofErr w:type="spellStart"/>
      <w:r w:rsidR="00137C20">
        <w:rPr>
          <w:color w:val="000000"/>
          <w:szCs w:val="22"/>
          <w:lang w:eastAsia="sl-SI"/>
        </w:rPr>
        <w:t>mmol</w:t>
      </w:r>
      <w:proofErr w:type="spellEnd"/>
      <w:r w:rsidR="00137C20">
        <w:rPr>
          <w:color w:val="000000"/>
          <w:szCs w:val="22"/>
          <w:lang w:eastAsia="sl-SI"/>
        </w:rPr>
        <w:t xml:space="preserve">/l), arba sergantis mišria </w:t>
      </w:r>
      <w:proofErr w:type="spellStart"/>
      <w:r w:rsidR="00137C20">
        <w:rPr>
          <w:color w:val="000000"/>
          <w:szCs w:val="22"/>
          <w:lang w:eastAsia="sl-SI"/>
        </w:rPr>
        <w:t>dislipidemija</w:t>
      </w:r>
      <w:proofErr w:type="spellEnd"/>
      <w:r w:rsidR="00137C20">
        <w:rPr>
          <w:color w:val="000000"/>
          <w:szCs w:val="22"/>
          <w:lang w:eastAsia="sl-SI"/>
        </w:rPr>
        <w:t xml:space="preserve"> ir 2 tipo cukriniu diabetu (vidutinė pradinė MTL-C koncentracija maždaug 3,6 </w:t>
      </w:r>
      <w:proofErr w:type="spellStart"/>
      <w:r w:rsidR="00137C20">
        <w:rPr>
          <w:color w:val="000000"/>
          <w:szCs w:val="22"/>
          <w:lang w:eastAsia="sl-SI"/>
        </w:rPr>
        <w:t>mmol</w:t>
      </w:r>
      <w:proofErr w:type="spellEnd"/>
      <w:r w:rsidR="00137C20">
        <w:rPr>
          <w:color w:val="000000"/>
          <w:szCs w:val="22"/>
          <w:lang w:eastAsia="sl-SI"/>
        </w:rPr>
        <w:t>/l), maždaug 80 % pacientų pasiekė atitinkamą EAD tikslą (3 </w:t>
      </w:r>
      <w:proofErr w:type="spellStart"/>
      <w:r w:rsidR="00137C20">
        <w:rPr>
          <w:color w:val="000000"/>
          <w:szCs w:val="22"/>
          <w:lang w:eastAsia="sl-SI"/>
        </w:rPr>
        <w:t>mmol</w:t>
      </w:r>
      <w:proofErr w:type="spellEnd"/>
      <w:r w:rsidR="00137C20">
        <w:rPr>
          <w:color w:val="000000"/>
          <w:szCs w:val="22"/>
          <w:lang w:eastAsia="sl-SI"/>
        </w:rPr>
        <w:t>/l arba 2,5 </w:t>
      </w:r>
      <w:proofErr w:type="spellStart"/>
      <w:r w:rsidR="00137C20">
        <w:rPr>
          <w:color w:val="000000"/>
          <w:szCs w:val="22"/>
          <w:lang w:eastAsia="sl-SI"/>
        </w:rPr>
        <w:t>mmol</w:t>
      </w:r>
      <w:proofErr w:type="spellEnd"/>
      <w:r w:rsidR="00137C20">
        <w:rPr>
          <w:color w:val="000000"/>
          <w:szCs w:val="22"/>
          <w:lang w:eastAsia="sl-SI"/>
        </w:rPr>
        <w:t>/l, priklausomai nuo rizikos). Pacientų grupėse MTL-C koncentracija sumažėjo atitinkamai 44 % ir 41 %.</w:t>
      </w:r>
    </w:p>
    <w:p w14:paraId="6A098502" w14:textId="77777777" w:rsidR="008020E2" w:rsidRDefault="008020E2">
      <w:pPr>
        <w:widowControl w:val="0"/>
        <w:autoSpaceDE w:val="0"/>
        <w:autoSpaceDN w:val="0"/>
        <w:adjustRightInd w:val="0"/>
        <w:rPr>
          <w:color w:val="000000"/>
          <w:szCs w:val="22"/>
          <w:lang w:eastAsia="sl-SI"/>
        </w:rPr>
      </w:pPr>
    </w:p>
    <w:p w14:paraId="0A409790" w14:textId="77777777" w:rsidR="008020E2" w:rsidRDefault="00137C20">
      <w:pPr>
        <w:widowControl w:val="0"/>
        <w:autoSpaceDE w:val="0"/>
        <w:autoSpaceDN w:val="0"/>
        <w:adjustRightInd w:val="0"/>
        <w:rPr>
          <w:color w:val="000000"/>
          <w:szCs w:val="22"/>
          <w:lang w:eastAsia="sl-SI"/>
        </w:rPr>
      </w:pPr>
      <w:r>
        <w:rPr>
          <w:color w:val="000000"/>
          <w:szCs w:val="22"/>
          <w:lang w:eastAsia="sl-SI"/>
        </w:rPr>
        <w:t xml:space="preserve">Ilgalaikių, iki 60 savaičių trukusių pirminės </w:t>
      </w:r>
      <w:proofErr w:type="spellStart"/>
      <w:r>
        <w:rPr>
          <w:color w:val="000000"/>
          <w:szCs w:val="22"/>
          <w:lang w:eastAsia="sl-SI"/>
        </w:rPr>
        <w:t>hipercholesterolemijos</w:t>
      </w:r>
      <w:proofErr w:type="spellEnd"/>
      <w:r>
        <w:rPr>
          <w:color w:val="000000"/>
          <w:szCs w:val="22"/>
          <w:lang w:eastAsia="sl-SI"/>
        </w:rPr>
        <w:t xml:space="preserve"> ir mišrios </w:t>
      </w:r>
      <w:proofErr w:type="spellStart"/>
      <w:r>
        <w:rPr>
          <w:color w:val="000000"/>
          <w:szCs w:val="22"/>
          <w:lang w:eastAsia="sl-SI"/>
        </w:rPr>
        <w:t>dislipidemijos</w:t>
      </w:r>
      <w:proofErr w:type="spellEnd"/>
      <w:r>
        <w:rPr>
          <w:color w:val="000000"/>
          <w:szCs w:val="22"/>
          <w:lang w:eastAsia="sl-SI"/>
        </w:rPr>
        <w:t xml:space="preserve"> tyrimų metu, pasiektas EAD tikslas buvo palaikomas: MTL-C koncentracija nuosekliai ir stabiliai sumažėjo, o DTL-C koncentracija toliau didėjo. Tyrime, kuriame dalyvavo 1346 pacientai, baigę 12 savaičių gydymą </w:t>
      </w:r>
      <w:proofErr w:type="spellStart"/>
      <w:r>
        <w:rPr>
          <w:color w:val="000000"/>
          <w:szCs w:val="22"/>
          <w:lang w:eastAsia="sl-SI"/>
        </w:rPr>
        <w:t>statinais</w:t>
      </w:r>
      <w:proofErr w:type="spellEnd"/>
      <w:r>
        <w:rPr>
          <w:color w:val="000000"/>
          <w:szCs w:val="22"/>
          <w:lang w:eastAsia="sl-SI"/>
        </w:rPr>
        <w:t xml:space="preserve"> (MTL-C koncentracija sumažėjo 42,3 %, EAD tikslas pasiektas 69 %, DTL-C koncentracija padidėjo 5,6 %), po 52 savaičių gydymo </w:t>
      </w:r>
      <w:proofErr w:type="spellStart"/>
      <w:r>
        <w:rPr>
          <w:color w:val="000000"/>
          <w:szCs w:val="22"/>
          <w:lang w:eastAsia="sl-SI"/>
        </w:rPr>
        <w:t>pitavastatino</w:t>
      </w:r>
      <w:proofErr w:type="spellEnd"/>
      <w:r>
        <w:rPr>
          <w:color w:val="000000"/>
          <w:szCs w:val="22"/>
          <w:lang w:eastAsia="sl-SI"/>
        </w:rPr>
        <w:t xml:space="preserve"> 4 mg doze MTL-C koncentracija sumažėjo 42,9 %, EAD tikslas pasiektas 74 %, DTL-C koncentracija padidėjo 14,3 %.</w:t>
      </w:r>
    </w:p>
    <w:p w14:paraId="6B033020" w14:textId="77777777" w:rsidR="008020E2" w:rsidRDefault="008020E2">
      <w:pPr>
        <w:widowControl w:val="0"/>
        <w:autoSpaceDE w:val="0"/>
        <w:autoSpaceDN w:val="0"/>
        <w:adjustRightInd w:val="0"/>
        <w:rPr>
          <w:color w:val="000000"/>
          <w:szCs w:val="22"/>
          <w:lang w:eastAsia="sl-SI"/>
        </w:rPr>
      </w:pPr>
    </w:p>
    <w:p w14:paraId="745A1A08" w14:textId="683210AB" w:rsidR="008020E2" w:rsidRDefault="00137C20">
      <w:pPr>
        <w:widowControl w:val="0"/>
        <w:autoSpaceDE w:val="0"/>
        <w:autoSpaceDN w:val="0"/>
        <w:adjustRightInd w:val="0"/>
        <w:rPr>
          <w:color w:val="000000"/>
          <w:szCs w:val="22"/>
          <w:lang w:eastAsia="sl-SI"/>
        </w:rPr>
      </w:pPr>
      <w:r>
        <w:rPr>
          <w:color w:val="000000"/>
          <w:szCs w:val="22"/>
          <w:lang w:eastAsia="sl-SI"/>
        </w:rPr>
        <w:t>Japonijoje atlikto dv</w:t>
      </w:r>
      <w:r w:rsidR="005B39C3">
        <w:rPr>
          <w:color w:val="000000"/>
          <w:szCs w:val="22"/>
          <w:lang w:eastAsia="sl-SI"/>
        </w:rPr>
        <w:t>i</w:t>
      </w:r>
      <w:r>
        <w:rPr>
          <w:color w:val="000000"/>
          <w:szCs w:val="22"/>
          <w:lang w:eastAsia="sl-SI"/>
        </w:rPr>
        <w:t>ejų metų stebėjimo tyrimo (LIVES-01, žr. 4.8 skyrių) pratęsimo metu 6582 </w:t>
      </w:r>
      <w:proofErr w:type="spellStart"/>
      <w:r>
        <w:rPr>
          <w:color w:val="000000"/>
          <w:szCs w:val="22"/>
          <w:lang w:eastAsia="sl-SI"/>
        </w:rPr>
        <w:t>hipercholesterolemija</w:t>
      </w:r>
      <w:proofErr w:type="spellEnd"/>
      <w:r>
        <w:rPr>
          <w:color w:val="000000"/>
          <w:szCs w:val="22"/>
          <w:lang w:eastAsia="sl-SI"/>
        </w:rPr>
        <w:t xml:space="preserve"> sergantys pacientai, kurie 2 metus buvo gydomi 1 mg, 2 mg arba 4 mg </w:t>
      </w:r>
      <w:proofErr w:type="spellStart"/>
      <w:r>
        <w:rPr>
          <w:color w:val="000000"/>
          <w:szCs w:val="22"/>
          <w:lang w:eastAsia="sl-SI"/>
        </w:rPr>
        <w:t>pitavastatino</w:t>
      </w:r>
      <w:proofErr w:type="spellEnd"/>
      <w:r>
        <w:rPr>
          <w:color w:val="000000"/>
          <w:szCs w:val="22"/>
          <w:lang w:eastAsia="sl-SI"/>
        </w:rPr>
        <w:t xml:space="preserve"> doze, buvo gydomi dar 3 metus (iš viso gydymas truko 5 metus). Šio 5 metų trukmės tyrimo metu MTL-C koncentracijos sumažėjimas (-30,5 %) buvo palaikomas nuo 3 mėnesio visą tyrimo laikotarpį, DTL-C koncentracija padidėjo nuo 1,7 % po 3 mėnesių iki 5,7 % po 5 metų, didesnis DTL-C koncentracijos padidėjimas stebėtas pacientams, kurių pradinė DTL-C koncentracija buvo mažesnė (&lt; 40 mg/dl), pvz., koncentracija kraujo serume padidėjo nuo 11,9 % po 3 mėnesių iki 28,9 % po 5 metų.</w:t>
      </w:r>
    </w:p>
    <w:p w14:paraId="3FA5A004" w14:textId="77777777" w:rsidR="008020E2" w:rsidRDefault="008020E2">
      <w:pPr>
        <w:widowControl w:val="0"/>
        <w:autoSpaceDE w:val="0"/>
        <w:autoSpaceDN w:val="0"/>
        <w:adjustRightInd w:val="0"/>
        <w:rPr>
          <w:color w:val="000000"/>
          <w:szCs w:val="22"/>
          <w:lang w:eastAsia="sl-SI"/>
        </w:rPr>
      </w:pPr>
    </w:p>
    <w:p w14:paraId="4FF87DB6" w14:textId="77777777" w:rsidR="008020E2" w:rsidRDefault="00137C20">
      <w:pPr>
        <w:widowControl w:val="0"/>
        <w:autoSpaceDE w:val="0"/>
        <w:autoSpaceDN w:val="0"/>
        <w:adjustRightInd w:val="0"/>
        <w:rPr>
          <w:i/>
          <w:color w:val="000000"/>
          <w:szCs w:val="22"/>
          <w:lang w:eastAsia="sl-SI"/>
        </w:rPr>
      </w:pPr>
      <w:r>
        <w:rPr>
          <w:i/>
          <w:color w:val="000000"/>
          <w:szCs w:val="22"/>
          <w:lang w:eastAsia="sl-SI"/>
        </w:rPr>
        <w:t>Aterosklerozė</w:t>
      </w:r>
    </w:p>
    <w:p w14:paraId="0AFB9B2B" w14:textId="2589ACA3" w:rsidR="008020E2" w:rsidRDefault="00137C20">
      <w:pPr>
        <w:widowControl w:val="0"/>
        <w:autoSpaceDE w:val="0"/>
        <w:autoSpaceDN w:val="0"/>
        <w:adjustRightInd w:val="0"/>
        <w:rPr>
          <w:color w:val="000000"/>
          <w:szCs w:val="22"/>
          <w:lang w:eastAsia="sl-SI"/>
        </w:rPr>
      </w:pPr>
      <w:r>
        <w:rPr>
          <w:color w:val="000000"/>
          <w:szCs w:val="22"/>
          <w:lang w:eastAsia="sl-SI"/>
        </w:rPr>
        <w:t>JAPAN-ACS tyrime buvo lyginamas 8</w:t>
      </w:r>
      <w:r>
        <w:rPr>
          <w:color w:val="000000"/>
          <w:szCs w:val="22"/>
          <w:lang w:eastAsia="sl-SI"/>
        </w:rPr>
        <w:noBreakHyphen/>
        <w:t xml:space="preserve">12 mėnesių gydymo </w:t>
      </w:r>
      <w:proofErr w:type="spellStart"/>
      <w:r>
        <w:rPr>
          <w:color w:val="000000"/>
          <w:szCs w:val="22"/>
          <w:lang w:eastAsia="sl-SI"/>
        </w:rPr>
        <w:t>pitavastatino</w:t>
      </w:r>
      <w:proofErr w:type="spellEnd"/>
      <w:r>
        <w:rPr>
          <w:color w:val="000000"/>
          <w:szCs w:val="22"/>
          <w:lang w:eastAsia="sl-SI"/>
        </w:rPr>
        <w:t xml:space="preserve"> 4 mg doze arba </w:t>
      </w:r>
      <w:proofErr w:type="spellStart"/>
      <w:r>
        <w:rPr>
          <w:color w:val="000000"/>
          <w:szCs w:val="22"/>
          <w:lang w:eastAsia="sl-SI"/>
        </w:rPr>
        <w:t>atorvastatino</w:t>
      </w:r>
      <w:proofErr w:type="spellEnd"/>
      <w:r>
        <w:rPr>
          <w:color w:val="000000"/>
          <w:szCs w:val="22"/>
          <w:lang w:eastAsia="sl-SI"/>
        </w:rPr>
        <w:t xml:space="preserve"> 20 mg doze poveikis vainikinių arterijų plokštelių tūriui 251 pacientui, kuri</w:t>
      </w:r>
      <w:r w:rsidR="00C57AAC">
        <w:rPr>
          <w:color w:val="000000"/>
          <w:szCs w:val="22"/>
          <w:lang w:eastAsia="sl-SI"/>
        </w:rPr>
        <w:t>ems</w:t>
      </w:r>
      <w:r>
        <w:rPr>
          <w:color w:val="000000"/>
          <w:szCs w:val="22"/>
          <w:lang w:eastAsia="sl-SI"/>
        </w:rPr>
        <w:t xml:space="preserve"> buvo atlikta </w:t>
      </w:r>
      <w:proofErr w:type="spellStart"/>
      <w:r>
        <w:rPr>
          <w:color w:val="000000"/>
          <w:szCs w:val="22"/>
          <w:lang w:eastAsia="sl-SI"/>
        </w:rPr>
        <w:t>perkutaninė</w:t>
      </w:r>
      <w:proofErr w:type="spellEnd"/>
      <w:r>
        <w:rPr>
          <w:color w:val="000000"/>
          <w:szCs w:val="22"/>
          <w:lang w:eastAsia="sl-SI"/>
        </w:rPr>
        <w:t xml:space="preserve"> vainikinė intervencija dėl ūminio vainikinio sindromo, kontroliuojant </w:t>
      </w:r>
      <w:proofErr w:type="spellStart"/>
      <w:r>
        <w:rPr>
          <w:color w:val="000000"/>
          <w:szCs w:val="22"/>
          <w:lang w:eastAsia="sl-SI"/>
        </w:rPr>
        <w:t>intravaskuliniu</w:t>
      </w:r>
      <w:proofErr w:type="spellEnd"/>
      <w:r>
        <w:rPr>
          <w:color w:val="000000"/>
          <w:szCs w:val="22"/>
          <w:lang w:eastAsia="sl-SI"/>
        </w:rPr>
        <w:t xml:space="preserve"> ultragarsiniu tyrimu. Šis tyrimas parodė, kad taikant abu gydymo metodus plokštelių tūris sumažėjo maždaug 17 % (-16,9 ± 13,9 % vartojant </w:t>
      </w:r>
      <w:proofErr w:type="spellStart"/>
      <w:r>
        <w:rPr>
          <w:color w:val="000000"/>
          <w:szCs w:val="22"/>
          <w:lang w:eastAsia="sl-SI"/>
        </w:rPr>
        <w:t>pitavastatiną</w:t>
      </w:r>
      <w:proofErr w:type="spellEnd"/>
      <w:r>
        <w:rPr>
          <w:color w:val="000000"/>
          <w:szCs w:val="22"/>
          <w:lang w:eastAsia="sl-SI"/>
        </w:rPr>
        <w:t xml:space="preserve"> ir -18,1 ± 14,2 % vartojant </w:t>
      </w:r>
      <w:proofErr w:type="spellStart"/>
      <w:r>
        <w:rPr>
          <w:color w:val="000000"/>
          <w:szCs w:val="22"/>
          <w:lang w:eastAsia="sl-SI"/>
        </w:rPr>
        <w:t>atorvastatiną</w:t>
      </w:r>
      <w:proofErr w:type="spellEnd"/>
      <w:r>
        <w:rPr>
          <w:color w:val="000000"/>
          <w:szCs w:val="22"/>
          <w:lang w:eastAsia="sl-SI"/>
        </w:rPr>
        <w:t>). Buvo įrodytas neprastesnis (</w:t>
      </w:r>
      <w:proofErr w:type="spellStart"/>
      <w:r>
        <w:rPr>
          <w:i/>
          <w:iCs/>
          <w:color w:val="000000"/>
          <w:szCs w:val="22"/>
          <w:lang w:eastAsia="sl-SI"/>
        </w:rPr>
        <w:t>non-inferiority</w:t>
      </w:r>
      <w:proofErr w:type="spellEnd"/>
      <w:r>
        <w:rPr>
          <w:color w:val="000000"/>
          <w:szCs w:val="22"/>
          <w:lang w:eastAsia="sl-SI"/>
        </w:rPr>
        <w:t xml:space="preserve">) </w:t>
      </w:r>
      <w:proofErr w:type="spellStart"/>
      <w:r>
        <w:rPr>
          <w:color w:val="000000"/>
          <w:szCs w:val="22"/>
          <w:lang w:eastAsia="sl-SI"/>
        </w:rPr>
        <w:t>pitavastatino</w:t>
      </w:r>
      <w:proofErr w:type="spellEnd"/>
      <w:r>
        <w:rPr>
          <w:color w:val="000000"/>
          <w:szCs w:val="22"/>
          <w:lang w:eastAsia="sl-SI"/>
        </w:rPr>
        <w:t xml:space="preserve"> poveikis, palyginti su </w:t>
      </w:r>
      <w:proofErr w:type="spellStart"/>
      <w:r>
        <w:rPr>
          <w:color w:val="000000"/>
          <w:szCs w:val="22"/>
          <w:lang w:eastAsia="sl-SI"/>
        </w:rPr>
        <w:t>atorvastatino</w:t>
      </w:r>
      <w:proofErr w:type="spellEnd"/>
      <w:r>
        <w:rPr>
          <w:color w:val="000000"/>
          <w:szCs w:val="22"/>
          <w:lang w:eastAsia="sl-SI"/>
        </w:rPr>
        <w:t xml:space="preserve"> poveikiu, ir atvirkščiai. Abiem atvejais plokštelės regresija buvo susijusi su neigiama kraujagyslių </w:t>
      </w:r>
      <w:proofErr w:type="spellStart"/>
      <w:r>
        <w:rPr>
          <w:color w:val="000000"/>
          <w:szCs w:val="22"/>
          <w:lang w:eastAsia="sl-SI"/>
        </w:rPr>
        <w:t>remodeliacija</w:t>
      </w:r>
      <w:proofErr w:type="spellEnd"/>
      <w:r>
        <w:rPr>
          <w:color w:val="000000"/>
          <w:szCs w:val="22"/>
          <w:lang w:eastAsia="sl-SI"/>
        </w:rPr>
        <w:t xml:space="preserve"> (nuo 113,0 iki 105,4 mm</w:t>
      </w:r>
      <w:r>
        <w:rPr>
          <w:color w:val="000000"/>
          <w:szCs w:val="22"/>
          <w:vertAlign w:val="superscript"/>
          <w:lang w:eastAsia="sl-SI"/>
        </w:rPr>
        <w:t>3</w:t>
      </w:r>
      <w:r>
        <w:rPr>
          <w:color w:val="000000"/>
          <w:szCs w:val="22"/>
          <w:lang w:eastAsia="sl-SI"/>
        </w:rPr>
        <w:t xml:space="preserve">). Šiame tyrime, priešingai nei </w:t>
      </w:r>
      <w:proofErr w:type="spellStart"/>
      <w:r>
        <w:rPr>
          <w:color w:val="000000"/>
          <w:szCs w:val="22"/>
          <w:lang w:eastAsia="sl-SI"/>
        </w:rPr>
        <w:t>placebu</w:t>
      </w:r>
      <w:proofErr w:type="spellEnd"/>
      <w:r>
        <w:rPr>
          <w:color w:val="000000"/>
          <w:szCs w:val="22"/>
          <w:lang w:eastAsia="sl-SI"/>
        </w:rPr>
        <w:t xml:space="preserve"> kontroliuojamuose tyrimuose, reikšmingo ryšio tarp MTL-C koncentracijos sumažėjimo ir plokštelės regresijos nebuvo nustatyta.</w:t>
      </w:r>
    </w:p>
    <w:p w14:paraId="717C713F" w14:textId="77777777" w:rsidR="008020E2" w:rsidRDefault="008020E2">
      <w:pPr>
        <w:widowControl w:val="0"/>
        <w:autoSpaceDE w:val="0"/>
        <w:autoSpaceDN w:val="0"/>
        <w:adjustRightInd w:val="0"/>
        <w:rPr>
          <w:color w:val="000000"/>
          <w:szCs w:val="22"/>
          <w:lang w:eastAsia="sl-SI"/>
        </w:rPr>
      </w:pPr>
    </w:p>
    <w:p w14:paraId="4E1179AB" w14:textId="77777777" w:rsidR="008020E2" w:rsidRDefault="00137C20">
      <w:pPr>
        <w:widowControl w:val="0"/>
        <w:autoSpaceDE w:val="0"/>
        <w:autoSpaceDN w:val="0"/>
        <w:adjustRightInd w:val="0"/>
        <w:rPr>
          <w:color w:val="000000"/>
          <w:szCs w:val="22"/>
          <w:lang w:eastAsia="sl-SI"/>
        </w:rPr>
      </w:pPr>
      <w:r>
        <w:rPr>
          <w:color w:val="000000"/>
          <w:szCs w:val="22"/>
          <w:lang w:eastAsia="sl-SI"/>
        </w:rPr>
        <w:t>Palankus poveikis mirtingumui ir sergamumui dar nėra įvertintas.</w:t>
      </w:r>
    </w:p>
    <w:p w14:paraId="0F7571A9" w14:textId="77777777" w:rsidR="008020E2" w:rsidRDefault="008020E2">
      <w:pPr>
        <w:widowControl w:val="0"/>
        <w:autoSpaceDE w:val="0"/>
        <w:autoSpaceDN w:val="0"/>
        <w:adjustRightInd w:val="0"/>
        <w:rPr>
          <w:color w:val="000000"/>
          <w:szCs w:val="22"/>
          <w:lang w:eastAsia="sl-SI"/>
        </w:rPr>
      </w:pPr>
    </w:p>
    <w:p w14:paraId="27962063" w14:textId="77777777" w:rsidR="008020E2" w:rsidRDefault="00137C20">
      <w:pPr>
        <w:widowControl w:val="0"/>
        <w:autoSpaceDE w:val="0"/>
        <w:autoSpaceDN w:val="0"/>
        <w:adjustRightInd w:val="0"/>
        <w:rPr>
          <w:i/>
          <w:color w:val="000000"/>
          <w:szCs w:val="22"/>
          <w:lang w:eastAsia="sl-SI"/>
        </w:rPr>
      </w:pPr>
      <w:r>
        <w:rPr>
          <w:i/>
          <w:color w:val="000000"/>
          <w:szCs w:val="22"/>
          <w:lang w:eastAsia="sl-SI"/>
        </w:rPr>
        <w:t>Cukrinis diabetas</w:t>
      </w:r>
    </w:p>
    <w:p w14:paraId="45652E16" w14:textId="218A3789" w:rsidR="008020E2" w:rsidRDefault="00137C20">
      <w:pPr>
        <w:widowControl w:val="0"/>
        <w:autoSpaceDE w:val="0"/>
        <w:autoSpaceDN w:val="0"/>
        <w:adjustRightInd w:val="0"/>
        <w:rPr>
          <w:color w:val="000000"/>
          <w:szCs w:val="22"/>
          <w:lang w:eastAsia="sl-SI"/>
        </w:rPr>
      </w:pPr>
      <w:r>
        <w:rPr>
          <w:color w:val="000000"/>
          <w:szCs w:val="22"/>
          <w:lang w:eastAsia="sl-SI"/>
        </w:rPr>
        <w:t xml:space="preserve">Buvo atliktas atviras, perspektyvinis, </w:t>
      </w:r>
      <w:r w:rsidR="00F16BAD">
        <w:rPr>
          <w:color w:val="000000"/>
          <w:szCs w:val="22"/>
          <w:lang w:eastAsia="sl-SI"/>
        </w:rPr>
        <w:t xml:space="preserve">kontroliuojamas </w:t>
      </w:r>
      <w:r>
        <w:rPr>
          <w:color w:val="000000"/>
          <w:szCs w:val="22"/>
          <w:lang w:eastAsia="sl-SI"/>
        </w:rPr>
        <w:t xml:space="preserve">1269 japonų pacientų, kuriems buvo gliukozės toleravimo sutrikimas, tyrimas, kuriame tiriamieji atsitiktinės atrankos būdu buvo </w:t>
      </w:r>
      <w:r w:rsidR="00340F30">
        <w:rPr>
          <w:color w:val="000000"/>
          <w:szCs w:val="22"/>
          <w:lang w:eastAsia="sl-SI"/>
        </w:rPr>
        <w:t xml:space="preserve">suskirstyti </w:t>
      </w:r>
      <w:r w:rsidR="00002005">
        <w:rPr>
          <w:color w:val="000000"/>
          <w:szCs w:val="22"/>
          <w:lang w:eastAsia="sl-SI"/>
        </w:rPr>
        <w:t xml:space="preserve">į </w:t>
      </w:r>
      <w:r>
        <w:rPr>
          <w:color w:val="000000"/>
          <w:szCs w:val="22"/>
          <w:lang w:eastAsia="sl-SI"/>
        </w:rPr>
        <w:t>gyvenimo būdo keitimo grup</w:t>
      </w:r>
      <w:r w:rsidR="00002005">
        <w:rPr>
          <w:color w:val="000000"/>
          <w:szCs w:val="22"/>
          <w:lang w:eastAsia="sl-SI"/>
        </w:rPr>
        <w:t>e</w:t>
      </w:r>
      <w:r>
        <w:rPr>
          <w:color w:val="000000"/>
          <w:szCs w:val="22"/>
          <w:lang w:eastAsia="sl-SI"/>
        </w:rPr>
        <w:t xml:space="preserve">s kartu vartojant 1 mg arba 2 mg </w:t>
      </w:r>
      <w:proofErr w:type="spellStart"/>
      <w:r>
        <w:rPr>
          <w:color w:val="000000"/>
          <w:szCs w:val="22"/>
          <w:lang w:eastAsia="sl-SI"/>
        </w:rPr>
        <w:t>pitavastatino</w:t>
      </w:r>
      <w:proofErr w:type="spellEnd"/>
      <w:r>
        <w:rPr>
          <w:color w:val="000000"/>
          <w:szCs w:val="22"/>
          <w:lang w:eastAsia="sl-SI"/>
        </w:rPr>
        <w:t xml:space="preserve"> paros dozę arba jos nevartojant; per 2,8 metų laikotarpį cukriniu diabetu susirgo 45,7 % kontrolinės grupės pacientų, palyginti su 39,9 % </w:t>
      </w:r>
      <w:proofErr w:type="spellStart"/>
      <w:r>
        <w:rPr>
          <w:color w:val="000000"/>
          <w:szCs w:val="22"/>
          <w:lang w:eastAsia="sl-SI"/>
        </w:rPr>
        <w:t>pitavastatino</w:t>
      </w:r>
      <w:proofErr w:type="spellEnd"/>
      <w:r>
        <w:rPr>
          <w:color w:val="000000"/>
          <w:szCs w:val="22"/>
          <w:lang w:eastAsia="sl-SI"/>
        </w:rPr>
        <w:t xml:space="preserve"> grupės pacientų (rizikos santykis 0,82 [95 % PI 0,68</w:t>
      </w:r>
      <w:r>
        <w:rPr>
          <w:color w:val="000000"/>
          <w:szCs w:val="22"/>
          <w:lang w:eastAsia="sl-SI"/>
        </w:rPr>
        <w:noBreakHyphen/>
        <w:t>0,99]).</w:t>
      </w:r>
    </w:p>
    <w:p w14:paraId="55A5DDB4" w14:textId="77777777" w:rsidR="008020E2" w:rsidRDefault="008020E2">
      <w:pPr>
        <w:widowControl w:val="0"/>
        <w:autoSpaceDE w:val="0"/>
        <w:autoSpaceDN w:val="0"/>
        <w:adjustRightInd w:val="0"/>
        <w:rPr>
          <w:color w:val="000000"/>
          <w:szCs w:val="22"/>
          <w:lang w:eastAsia="sl-SI"/>
        </w:rPr>
      </w:pPr>
    </w:p>
    <w:p w14:paraId="573728D1" w14:textId="52BC6A80" w:rsidR="008020E2" w:rsidRDefault="00137C20">
      <w:pPr>
        <w:widowControl w:val="0"/>
        <w:autoSpaceDE w:val="0"/>
        <w:autoSpaceDN w:val="0"/>
        <w:adjustRightInd w:val="0"/>
        <w:rPr>
          <w:color w:val="000000"/>
          <w:szCs w:val="22"/>
          <w:lang w:eastAsia="sl-SI"/>
        </w:rPr>
      </w:pPr>
      <w:r>
        <w:rPr>
          <w:color w:val="000000"/>
          <w:szCs w:val="22"/>
          <w:lang w:eastAsia="sl-SI"/>
        </w:rPr>
        <w:t xml:space="preserve">4815 cukriniu diabetu nesergančių pacientų, įtrauktų į atsitiktinių imčių </w:t>
      </w:r>
      <w:r w:rsidR="009A5350">
        <w:rPr>
          <w:color w:val="000000"/>
          <w:szCs w:val="22"/>
          <w:lang w:eastAsia="sl-SI"/>
        </w:rPr>
        <w:t xml:space="preserve">kontroliuojamus </w:t>
      </w:r>
      <w:r>
        <w:rPr>
          <w:color w:val="000000"/>
          <w:szCs w:val="22"/>
          <w:lang w:eastAsia="sl-SI"/>
        </w:rPr>
        <w:t xml:space="preserve">dvigubai koduotus tyrimus, kurie truko ne trumpiau kaip 12 savaičių (svertinis stebėjimo laikotarpio vidurkis 17,3 savaitės [SN 17,7 savaitės]), </w:t>
      </w:r>
      <w:proofErr w:type="spellStart"/>
      <w:r>
        <w:rPr>
          <w:color w:val="000000"/>
          <w:szCs w:val="22"/>
          <w:lang w:eastAsia="sl-SI"/>
        </w:rPr>
        <w:t>metaanalizė</w:t>
      </w:r>
      <w:proofErr w:type="spellEnd"/>
      <w:r>
        <w:rPr>
          <w:color w:val="000000"/>
          <w:szCs w:val="22"/>
          <w:lang w:eastAsia="sl-SI"/>
        </w:rPr>
        <w:t xml:space="preserve"> parodė, kad </w:t>
      </w:r>
      <w:proofErr w:type="spellStart"/>
      <w:r>
        <w:rPr>
          <w:color w:val="000000"/>
          <w:szCs w:val="22"/>
          <w:lang w:eastAsia="sl-SI"/>
        </w:rPr>
        <w:t>pitavastatinas</w:t>
      </w:r>
      <w:proofErr w:type="spellEnd"/>
      <w:r>
        <w:rPr>
          <w:color w:val="000000"/>
          <w:szCs w:val="22"/>
          <w:lang w:eastAsia="sl-SI"/>
        </w:rPr>
        <w:t xml:space="preserve"> </w:t>
      </w:r>
      <w:r w:rsidR="004F5B08">
        <w:rPr>
          <w:color w:val="000000"/>
          <w:szCs w:val="22"/>
          <w:lang w:eastAsia="sl-SI"/>
        </w:rPr>
        <w:t xml:space="preserve">turi </w:t>
      </w:r>
      <w:r>
        <w:rPr>
          <w:color w:val="000000"/>
          <w:szCs w:val="22"/>
          <w:lang w:eastAsia="sl-SI"/>
        </w:rPr>
        <w:t xml:space="preserve">neutralų poveikį naujai pasireiškusio cukrinio diabeto atsiradimo rizikai (0,98 % kontrolinių grupių pacientų ir 0,50 % </w:t>
      </w:r>
      <w:proofErr w:type="spellStart"/>
      <w:r>
        <w:rPr>
          <w:color w:val="000000"/>
          <w:szCs w:val="22"/>
          <w:lang w:eastAsia="sl-SI"/>
        </w:rPr>
        <w:t>pitavastatinu</w:t>
      </w:r>
      <w:proofErr w:type="spellEnd"/>
      <w:r>
        <w:rPr>
          <w:color w:val="000000"/>
          <w:szCs w:val="22"/>
          <w:lang w:eastAsia="sl-SI"/>
        </w:rPr>
        <w:t xml:space="preserve"> vartojusių pacientų pasireiškė cukrinis diabetas, santykinė rizika 0,70 [95 % PI 0,30</w:t>
      </w:r>
      <w:r>
        <w:rPr>
          <w:color w:val="000000"/>
          <w:szCs w:val="22"/>
          <w:lang w:eastAsia="sl-SI"/>
        </w:rPr>
        <w:noBreakHyphen/>
        <w:t xml:space="preserve">1,61]), kai 6,5 % (103/1579) kontrolinių grupių pacientų vartojo </w:t>
      </w:r>
      <w:proofErr w:type="spellStart"/>
      <w:r>
        <w:rPr>
          <w:color w:val="000000"/>
          <w:szCs w:val="22"/>
          <w:lang w:eastAsia="sl-SI"/>
        </w:rPr>
        <w:t>placebą</w:t>
      </w:r>
      <w:proofErr w:type="spellEnd"/>
      <w:r>
        <w:rPr>
          <w:color w:val="000000"/>
          <w:szCs w:val="22"/>
          <w:lang w:eastAsia="sl-SI"/>
        </w:rPr>
        <w:t xml:space="preserve">; likusieji buvo gydomi </w:t>
      </w:r>
      <w:proofErr w:type="spellStart"/>
      <w:r>
        <w:rPr>
          <w:color w:val="000000"/>
          <w:szCs w:val="22"/>
          <w:lang w:eastAsia="sl-SI"/>
        </w:rPr>
        <w:t>statinais</w:t>
      </w:r>
      <w:proofErr w:type="spellEnd"/>
      <w:r>
        <w:rPr>
          <w:color w:val="000000"/>
          <w:szCs w:val="22"/>
          <w:lang w:eastAsia="sl-SI"/>
        </w:rPr>
        <w:t xml:space="preserve">, įskaitant </w:t>
      </w:r>
      <w:proofErr w:type="spellStart"/>
      <w:r>
        <w:rPr>
          <w:color w:val="000000"/>
          <w:szCs w:val="22"/>
          <w:lang w:eastAsia="sl-SI"/>
        </w:rPr>
        <w:t>atorvastatiną</w:t>
      </w:r>
      <w:proofErr w:type="spellEnd"/>
      <w:r>
        <w:rPr>
          <w:color w:val="000000"/>
          <w:szCs w:val="22"/>
          <w:lang w:eastAsia="sl-SI"/>
        </w:rPr>
        <w:t xml:space="preserve">, </w:t>
      </w:r>
      <w:proofErr w:type="spellStart"/>
      <w:r>
        <w:rPr>
          <w:color w:val="000000"/>
          <w:szCs w:val="22"/>
          <w:lang w:eastAsia="sl-SI"/>
        </w:rPr>
        <w:t>pravastatiną</w:t>
      </w:r>
      <w:proofErr w:type="spellEnd"/>
      <w:r>
        <w:rPr>
          <w:color w:val="000000"/>
          <w:szCs w:val="22"/>
          <w:lang w:eastAsia="sl-SI"/>
        </w:rPr>
        <w:t xml:space="preserve"> ir </w:t>
      </w:r>
      <w:proofErr w:type="spellStart"/>
      <w:r>
        <w:rPr>
          <w:color w:val="000000"/>
          <w:szCs w:val="22"/>
          <w:lang w:eastAsia="sl-SI"/>
        </w:rPr>
        <w:t>simvastatiną</w:t>
      </w:r>
      <w:proofErr w:type="spellEnd"/>
      <w:r>
        <w:rPr>
          <w:color w:val="000000"/>
          <w:szCs w:val="22"/>
          <w:lang w:eastAsia="sl-SI"/>
        </w:rPr>
        <w:t>.</w:t>
      </w:r>
    </w:p>
    <w:p w14:paraId="7A25BF60" w14:textId="77777777" w:rsidR="008020E2" w:rsidRDefault="008020E2">
      <w:pPr>
        <w:widowControl w:val="0"/>
        <w:autoSpaceDE w:val="0"/>
        <w:autoSpaceDN w:val="0"/>
        <w:adjustRightInd w:val="0"/>
        <w:rPr>
          <w:color w:val="000000"/>
          <w:szCs w:val="22"/>
          <w:lang w:eastAsia="sl-SI"/>
        </w:rPr>
      </w:pPr>
    </w:p>
    <w:p w14:paraId="152BC3D5" w14:textId="77777777" w:rsidR="008020E2" w:rsidRDefault="00137C20">
      <w:pPr>
        <w:widowControl w:val="0"/>
        <w:autoSpaceDE w:val="0"/>
        <w:autoSpaceDN w:val="0"/>
        <w:adjustRightInd w:val="0"/>
        <w:rPr>
          <w:color w:val="000000"/>
          <w:szCs w:val="22"/>
          <w:u w:val="single"/>
          <w:lang w:eastAsia="sl-SI"/>
        </w:rPr>
      </w:pPr>
      <w:r>
        <w:rPr>
          <w:color w:val="000000"/>
          <w:szCs w:val="22"/>
          <w:u w:val="single"/>
          <w:lang w:eastAsia="sl-SI"/>
        </w:rPr>
        <w:t>Vaikų populiacija</w:t>
      </w:r>
    </w:p>
    <w:p w14:paraId="4B0482E4" w14:textId="77777777" w:rsidR="008020E2" w:rsidRDefault="008020E2">
      <w:pPr>
        <w:widowControl w:val="0"/>
        <w:autoSpaceDE w:val="0"/>
        <w:autoSpaceDN w:val="0"/>
        <w:adjustRightInd w:val="0"/>
        <w:rPr>
          <w:color w:val="000000"/>
          <w:szCs w:val="22"/>
          <w:u w:val="single"/>
          <w:lang w:eastAsia="sl-SI"/>
        </w:rPr>
      </w:pPr>
    </w:p>
    <w:p w14:paraId="071E4DBB" w14:textId="214E8DA3" w:rsidR="008020E2" w:rsidRDefault="00137C20">
      <w:pPr>
        <w:widowControl w:val="0"/>
        <w:autoSpaceDE w:val="0"/>
        <w:autoSpaceDN w:val="0"/>
        <w:adjustRightInd w:val="0"/>
        <w:rPr>
          <w:color w:val="000000"/>
          <w:szCs w:val="22"/>
          <w:lang w:eastAsia="sl-SI"/>
        </w:rPr>
      </w:pPr>
      <w:r>
        <w:rPr>
          <w:color w:val="000000"/>
          <w:szCs w:val="22"/>
          <w:lang w:eastAsia="sl-SI"/>
        </w:rPr>
        <w:t xml:space="preserve">Dvigubai koduoto, atsitiktinių imčių, </w:t>
      </w:r>
      <w:proofErr w:type="spellStart"/>
      <w:r>
        <w:rPr>
          <w:color w:val="000000"/>
          <w:szCs w:val="22"/>
          <w:lang w:eastAsia="sl-SI"/>
        </w:rPr>
        <w:t>daugiacentrio</w:t>
      </w:r>
      <w:proofErr w:type="spellEnd"/>
      <w:r>
        <w:rPr>
          <w:color w:val="000000"/>
          <w:szCs w:val="22"/>
          <w:lang w:eastAsia="sl-SI"/>
        </w:rPr>
        <w:t xml:space="preserve">, </w:t>
      </w:r>
      <w:proofErr w:type="spellStart"/>
      <w:r>
        <w:rPr>
          <w:color w:val="000000"/>
          <w:szCs w:val="22"/>
          <w:lang w:eastAsia="sl-SI"/>
        </w:rPr>
        <w:t>placebu</w:t>
      </w:r>
      <w:proofErr w:type="spellEnd"/>
      <w:r>
        <w:rPr>
          <w:color w:val="000000"/>
          <w:szCs w:val="22"/>
          <w:lang w:eastAsia="sl-SI"/>
        </w:rPr>
        <w:t xml:space="preserve"> </w:t>
      </w:r>
      <w:proofErr w:type="spellStart"/>
      <w:r w:rsidR="00FF3CCC">
        <w:rPr>
          <w:color w:val="000000"/>
          <w:szCs w:val="22"/>
          <w:lang w:eastAsia="sl-SI"/>
        </w:rPr>
        <w:t>kontoliuojamo</w:t>
      </w:r>
      <w:proofErr w:type="spellEnd"/>
      <w:r w:rsidR="00FF3CCC">
        <w:rPr>
          <w:color w:val="000000"/>
          <w:szCs w:val="22"/>
          <w:lang w:eastAsia="sl-SI"/>
        </w:rPr>
        <w:t xml:space="preserve"> </w:t>
      </w:r>
      <w:r>
        <w:rPr>
          <w:color w:val="000000"/>
          <w:szCs w:val="22"/>
          <w:lang w:eastAsia="sl-SI"/>
        </w:rPr>
        <w:t xml:space="preserve">tyrimo NK-104-4.01EU (n=106; 48 vyriškos lyties tiriamieji ir 58 moteriškos lyties tiriamosios) metu vaikai ir paaugliai (≥ 6 metų ir &lt; 17 metų amžiaus), kuriems nustatyta didelės rizikos </w:t>
      </w:r>
      <w:proofErr w:type="spellStart"/>
      <w:r>
        <w:rPr>
          <w:color w:val="000000"/>
          <w:szCs w:val="22"/>
          <w:lang w:eastAsia="sl-SI"/>
        </w:rPr>
        <w:t>hiperlipidemija</w:t>
      </w:r>
      <w:proofErr w:type="spellEnd"/>
      <w:r>
        <w:rPr>
          <w:color w:val="000000"/>
          <w:szCs w:val="22"/>
          <w:lang w:eastAsia="sl-SI"/>
        </w:rPr>
        <w:t xml:space="preserve"> (MTL-C koncentracija kraujo plazmoje nevalgius ≥ 160 mg/dl (4,1 </w:t>
      </w:r>
      <w:proofErr w:type="spellStart"/>
      <w:r>
        <w:rPr>
          <w:color w:val="000000"/>
          <w:szCs w:val="22"/>
          <w:lang w:eastAsia="sl-SI"/>
        </w:rPr>
        <w:t>mmol</w:t>
      </w:r>
      <w:proofErr w:type="spellEnd"/>
      <w:r>
        <w:rPr>
          <w:color w:val="000000"/>
          <w:szCs w:val="22"/>
          <w:lang w:eastAsia="sl-SI"/>
        </w:rPr>
        <w:t>/l) arba MTL-C koncentracija ≥ 130 mg/dl (3,4  </w:t>
      </w:r>
      <w:proofErr w:type="spellStart"/>
      <w:r>
        <w:rPr>
          <w:color w:val="000000"/>
          <w:szCs w:val="22"/>
          <w:lang w:eastAsia="sl-SI"/>
        </w:rPr>
        <w:t>mmol</w:t>
      </w:r>
      <w:proofErr w:type="spellEnd"/>
      <w:r>
        <w:rPr>
          <w:color w:val="000000"/>
          <w:szCs w:val="22"/>
          <w:lang w:eastAsia="sl-SI"/>
        </w:rPr>
        <w:t xml:space="preserve">/l) be papildomų rizikos veiksnių) 12 savaičių kasdien vartojo </w:t>
      </w:r>
      <w:proofErr w:type="spellStart"/>
      <w:r>
        <w:rPr>
          <w:color w:val="000000"/>
          <w:szCs w:val="22"/>
          <w:lang w:eastAsia="sl-SI"/>
        </w:rPr>
        <w:t>pitavastatino</w:t>
      </w:r>
      <w:proofErr w:type="spellEnd"/>
      <w:r>
        <w:rPr>
          <w:color w:val="000000"/>
          <w:szCs w:val="22"/>
          <w:lang w:eastAsia="sl-SI"/>
        </w:rPr>
        <w:t xml:space="preserve"> 1 mg, 2 mg arba 4 mg dozę arba </w:t>
      </w:r>
      <w:proofErr w:type="spellStart"/>
      <w:r>
        <w:rPr>
          <w:color w:val="000000"/>
          <w:szCs w:val="22"/>
          <w:lang w:eastAsia="sl-SI"/>
        </w:rPr>
        <w:t>placebą</w:t>
      </w:r>
      <w:proofErr w:type="spellEnd"/>
      <w:r>
        <w:rPr>
          <w:color w:val="000000"/>
          <w:szCs w:val="22"/>
          <w:lang w:eastAsia="sl-SI"/>
        </w:rPr>
        <w:t xml:space="preserve">. Pradedant tyrimą, daugumai pacientų buvo diagnozuota </w:t>
      </w:r>
      <w:proofErr w:type="spellStart"/>
      <w:r>
        <w:rPr>
          <w:color w:val="000000"/>
          <w:szCs w:val="22"/>
          <w:lang w:eastAsia="sl-SI"/>
        </w:rPr>
        <w:t>heterozigotinė</w:t>
      </w:r>
      <w:proofErr w:type="spellEnd"/>
      <w:r>
        <w:rPr>
          <w:color w:val="000000"/>
          <w:szCs w:val="22"/>
          <w:lang w:eastAsia="sl-SI"/>
        </w:rPr>
        <w:t xml:space="preserve"> šeiminė </w:t>
      </w:r>
      <w:proofErr w:type="spellStart"/>
      <w:r>
        <w:rPr>
          <w:color w:val="000000"/>
          <w:szCs w:val="22"/>
          <w:lang w:eastAsia="sl-SI"/>
        </w:rPr>
        <w:t>hipercholesterolemija</w:t>
      </w:r>
      <w:proofErr w:type="spellEnd"/>
      <w:r>
        <w:rPr>
          <w:color w:val="000000"/>
          <w:szCs w:val="22"/>
          <w:lang w:eastAsia="sl-SI"/>
        </w:rPr>
        <w:t xml:space="preserve">, maždaug 41 % pacientų buvo nuo 6 iki &lt; 10 metų amžiaus, maždaug 20 %, 9 %, 12 % ir 9 % pacientų buvo atitinkamai II, III, IV ir V stadijos pagal </w:t>
      </w:r>
      <w:proofErr w:type="spellStart"/>
      <w:r>
        <w:rPr>
          <w:i/>
          <w:iCs/>
          <w:color w:val="000000"/>
          <w:szCs w:val="22"/>
          <w:lang w:eastAsia="sl-SI"/>
        </w:rPr>
        <w:t>Tanner</w:t>
      </w:r>
      <w:proofErr w:type="spellEnd"/>
      <w:r>
        <w:rPr>
          <w:color w:val="000000"/>
          <w:szCs w:val="22"/>
          <w:lang w:eastAsia="sl-SI"/>
        </w:rPr>
        <w:t xml:space="preserve">. Vidutinė MTL-C koncentracija, vartojant 1 mg, 2 mg ir 4 mg </w:t>
      </w:r>
      <w:proofErr w:type="spellStart"/>
      <w:r>
        <w:rPr>
          <w:color w:val="000000"/>
          <w:szCs w:val="22"/>
          <w:lang w:eastAsia="sl-SI"/>
        </w:rPr>
        <w:t>pitavastatino</w:t>
      </w:r>
      <w:proofErr w:type="spellEnd"/>
      <w:r>
        <w:rPr>
          <w:color w:val="000000"/>
          <w:szCs w:val="22"/>
          <w:lang w:eastAsia="sl-SI"/>
        </w:rPr>
        <w:t xml:space="preserve"> dozes, sumažėjo atitinkamai 23,5 %, 30,1 % ir 39,3 %, palyginti su 1,0 %, vartojant </w:t>
      </w:r>
      <w:proofErr w:type="spellStart"/>
      <w:r>
        <w:rPr>
          <w:color w:val="000000"/>
          <w:szCs w:val="22"/>
          <w:lang w:eastAsia="sl-SI"/>
        </w:rPr>
        <w:t>placebą</w:t>
      </w:r>
      <w:proofErr w:type="spellEnd"/>
      <w:r>
        <w:rPr>
          <w:color w:val="000000"/>
          <w:szCs w:val="22"/>
          <w:lang w:eastAsia="sl-SI"/>
        </w:rPr>
        <w:t>.</w:t>
      </w:r>
    </w:p>
    <w:p w14:paraId="3098BDCD" w14:textId="77777777" w:rsidR="008020E2" w:rsidRDefault="008020E2">
      <w:pPr>
        <w:widowControl w:val="0"/>
        <w:autoSpaceDE w:val="0"/>
        <w:autoSpaceDN w:val="0"/>
        <w:adjustRightInd w:val="0"/>
        <w:rPr>
          <w:color w:val="000000"/>
          <w:szCs w:val="22"/>
          <w:lang w:eastAsia="sl-SI"/>
        </w:rPr>
      </w:pPr>
    </w:p>
    <w:p w14:paraId="6EB62428" w14:textId="56A4995F" w:rsidR="008020E2" w:rsidRDefault="00137C20">
      <w:pPr>
        <w:widowControl w:val="0"/>
        <w:autoSpaceDE w:val="0"/>
        <w:autoSpaceDN w:val="0"/>
        <w:adjustRightInd w:val="0"/>
        <w:rPr>
          <w:color w:val="000000"/>
          <w:szCs w:val="22"/>
          <w:lang w:eastAsia="sl-SI"/>
        </w:rPr>
      </w:pPr>
      <w:r>
        <w:rPr>
          <w:color w:val="000000"/>
          <w:szCs w:val="22"/>
          <w:lang w:eastAsia="sl-SI"/>
        </w:rPr>
        <w:t xml:space="preserve">52 savaičių trukmės atviro </w:t>
      </w:r>
      <w:r w:rsidR="001C4FCD">
        <w:rPr>
          <w:color w:val="000000"/>
          <w:szCs w:val="22"/>
          <w:lang w:eastAsia="sl-SI"/>
        </w:rPr>
        <w:t xml:space="preserve">pratęstame </w:t>
      </w:r>
      <w:r>
        <w:rPr>
          <w:color w:val="000000"/>
          <w:szCs w:val="22"/>
          <w:lang w:eastAsia="sl-SI"/>
        </w:rPr>
        <w:t xml:space="preserve">ir saugumo tyrimo NK-104-4.02EU (n = 113, įskaitant 87 pacientus iš 12 savaičių trukmės </w:t>
      </w:r>
      <w:proofErr w:type="spellStart"/>
      <w:r>
        <w:rPr>
          <w:color w:val="000000"/>
          <w:szCs w:val="22"/>
          <w:lang w:eastAsia="sl-SI"/>
        </w:rPr>
        <w:t>placebu</w:t>
      </w:r>
      <w:proofErr w:type="spellEnd"/>
      <w:r>
        <w:rPr>
          <w:color w:val="000000"/>
          <w:szCs w:val="22"/>
          <w:lang w:eastAsia="sl-SI"/>
        </w:rPr>
        <w:t xml:space="preserve"> </w:t>
      </w:r>
      <w:r w:rsidR="00EC7514">
        <w:rPr>
          <w:color w:val="000000"/>
          <w:szCs w:val="22"/>
          <w:lang w:eastAsia="sl-SI"/>
        </w:rPr>
        <w:t xml:space="preserve">kontroliuojamo </w:t>
      </w:r>
      <w:r>
        <w:rPr>
          <w:color w:val="000000"/>
          <w:szCs w:val="22"/>
          <w:lang w:eastAsia="sl-SI"/>
        </w:rPr>
        <w:t xml:space="preserve">tyrimo; 55 vyriškos lyties tiriamieji ir 58 moteriškos lyties tiriamosios) vaikai ir paaugliai (≥ 6 metų ir &lt; 17 metų amžiaus), sergantys didelės rizikos </w:t>
      </w:r>
      <w:proofErr w:type="spellStart"/>
      <w:r>
        <w:rPr>
          <w:color w:val="000000"/>
          <w:szCs w:val="22"/>
          <w:lang w:eastAsia="sl-SI"/>
        </w:rPr>
        <w:t>hiperlipidemija</w:t>
      </w:r>
      <w:proofErr w:type="spellEnd"/>
      <w:r>
        <w:rPr>
          <w:color w:val="000000"/>
          <w:szCs w:val="22"/>
          <w:lang w:eastAsia="sl-SI"/>
        </w:rPr>
        <w:t xml:space="preserve">, 52 savaites vartojo </w:t>
      </w:r>
      <w:proofErr w:type="spellStart"/>
      <w:r>
        <w:rPr>
          <w:color w:val="000000"/>
          <w:szCs w:val="22"/>
          <w:lang w:eastAsia="sl-SI"/>
        </w:rPr>
        <w:t>pitavastatiną</w:t>
      </w:r>
      <w:proofErr w:type="spellEnd"/>
      <w:r>
        <w:rPr>
          <w:color w:val="000000"/>
          <w:szCs w:val="22"/>
          <w:lang w:eastAsia="sl-SI"/>
        </w:rPr>
        <w:t xml:space="preserve">. Visi pacientai gydymą pradėjo 1 mg </w:t>
      </w:r>
      <w:proofErr w:type="spellStart"/>
      <w:r>
        <w:rPr>
          <w:color w:val="000000"/>
          <w:szCs w:val="22"/>
          <w:lang w:eastAsia="sl-SI"/>
        </w:rPr>
        <w:t>pitavastatino</w:t>
      </w:r>
      <w:proofErr w:type="spellEnd"/>
      <w:r>
        <w:rPr>
          <w:color w:val="000000"/>
          <w:szCs w:val="22"/>
          <w:lang w:eastAsia="sl-SI"/>
        </w:rPr>
        <w:t xml:space="preserve"> paros doze ir </w:t>
      </w:r>
      <w:proofErr w:type="spellStart"/>
      <w:r>
        <w:rPr>
          <w:color w:val="000000"/>
          <w:szCs w:val="22"/>
          <w:lang w:eastAsia="sl-SI"/>
        </w:rPr>
        <w:t>pitavastatino</w:t>
      </w:r>
      <w:proofErr w:type="spellEnd"/>
      <w:r>
        <w:rPr>
          <w:color w:val="000000"/>
          <w:szCs w:val="22"/>
          <w:lang w:eastAsia="sl-SI"/>
        </w:rPr>
        <w:t xml:space="preserve"> dozė galėjo būti didinama iki 2 mg ir 4 mg, kad būtų pasiekta optimali tikslinė MTL-C koncentracija &lt;110 mg/dl (2,8 </w:t>
      </w:r>
      <w:proofErr w:type="spellStart"/>
      <w:r>
        <w:rPr>
          <w:color w:val="000000"/>
          <w:szCs w:val="22"/>
          <w:lang w:eastAsia="sl-SI"/>
        </w:rPr>
        <w:t>mmol</w:t>
      </w:r>
      <w:proofErr w:type="spellEnd"/>
      <w:r>
        <w:rPr>
          <w:color w:val="000000"/>
          <w:szCs w:val="22"/>
          <w:lang w:eastAsia="sl-SI"/>
        </w:rPr>
        <w:t xml:space="preserve">/l), remiantis MTL-C koncentracija 4 savaitę ir 8 savaitę. Tyrimo pradžioje maždaug 37 % pacientų buvo nuo 6 iki &lt; 10 metų amžiaus, o maždaug 22 %, 11 %, 12 % ir 13 % pacientų buvo atitinkamai II, III, IV ir V stadijos pagal </w:t>
      </w:r>
      <w:proofErr w:type="spellStart"/>
      <w:r>
        <w:rPr>
          <w:i/>
          <w:iCs/>
          <w:color w:val="000000"/>
          <w:szCs w:val="22"/>
          <w:lang w:eastAsia="sl-SI"/>
        </w:rPr>
        <w:t>Tanner</w:t>
      </w:r>
      <w:proofErr w:type="spellEnd"/>
      <w:r>
        <w:rPr>
          <w:color w:val="000000"/>
          <w:szCs w:val="22"/>
          <w:lang w:eastAsia="sl-SI"/>
        </w:rPr>
        <w:t xml:space="preserve">. Daugumai pacientų (n = 103) dozė buvo laipsniškai padidinta iki 4 mg </w:t>
      </w:r>
      <w:proofErr w:type="spellStart"/>
      <w:r>
        <w:rPr>
          <w:color w:val="000000"/>
          <w:szCs w:val="22"/>
          <w:lang w:eastAsia="sl-SI"/>
        </w:rPr>
        <w:t>pitavastatino</w:t>
      </w:r>
      <w:proofErr w:type="spellEnd"/>
      <w:r>
        <w:rPr>
          <w:color w:val="000000"/>
          <w:szCs w:val="22"/>
          <w:lang w:eastAsia="sl-SI"/>
        </w:rPr>
        <w:t xml:space="preserve"> per parą. Vidutinė MTL-C koncentracija 52 savaitės vertinimo taške sumažėjo 37,8 %. Iš viso 47 pacientai (42,0 %) pasiekė AHA minimalią tikslinę MTL-C koncentraciją, t. y. &lt; 130 mg/dl, o 23 pacientai (20,5 %) pasiekė AHA idealią MTL-C koncentraciją, t. y. &lt;110 mg/dl, 52 savaitę. Vidutinės MTL-C koncentracijos sumažėjimas 52 savaitės vertinimo taške buvo 40,2 % pacientams nuo ≥ 6 iki &lt; 10 metų (n = 42), 36,7 % pacientams nuo ≥ 10 iki &lt; 16 metų (n = 61) ir 34,5 % pacientams nuo ≥ 16 iki &lt; 17 metų (n = 9). Negauta duomenų, kad pacientų lytis turėtų įtakos atsakui. Be to, vidutinė BC koncentracija sumažėjo 29,5 %, o vidutinė TG koncentracija sumažėjo 7,6 % 52 savaitės vertinimo taške.</w:t>
      </w:r>
    </w:p>
    <w:p w14:paraId="5C9605B2" w14:textId="77777777" w:rsidR="008020E2" w:rsidRDefault="008020E2">
      <w:pPr>
        <w:widowControl w:val="0"/>
        <w:autoSpaceDE w:val="0"/>
        <w:autoSpaceDN w:val="0"/>
        <w:adjustRightInd w:val="0"/>
        <w:rPr>
          <w:color w:val="000000"/>
          <w:szCs w:val="22"/>
          <w:lang w:eastAsia="sl-SI"/>
        </w:rPr>
      </w:pPr>
    </w:p>
    <w:p w14:paraId="02655E8D" w14:textId="77777777" w:rsidR="008020E2" w:rsidRDefault="00137C20">
      <w:pPr>
        <w:widowControl w:val="0"/>
        <w:autoSpaceDE w:val="0"/>
        <w:autoSpaceDN w:val="0"/>
        <w:adjustRightInd w:val="0"/>
        <w:rPr>
          <w:color w:val="000000"/>
          <w:szCs w:val="22"/>
          <w:lang w:eastAsia="sl-SI"/>
        </w:rPr>
      </w:pPr>
      <w:r>
        <w:rPr>
          <w:color w:val="000000"/>
          <w:szCs w:val="22"/>
          <w:lang w:eastAsia="sl-SI"/>
        </w:rPr>
        <w:t xml:space="preserve">Europos vaistų agentūros pediatrijos komitetas atleido nuo įpareigojimo pateikti tyrimų su jaunesniais kaip 6 metų vaikais rezultatus bei tyrimų su visais vaikų populiacijos pogrupiais duomenis </w:t>
      </w:r>
      <w:proofErr w:type="spellStart"/>
      <w:r>
        <w:rPr>
          <w:color w:val="000000"/>
          <w:szCs w:val="22"/>
          <w:lang w:eastAsia="sl-SI"/>
        </w:rPr>
        <w:t>homozigotinės</w:t>
      </w:r>
      <w:proofErr w:type="spellEnd"/>
      <w:r>
        <w:rPr>
          <w:color w:val="000000"/>
          <w:szCs w:val="22"/>
          <w:lang w:eastAsia="sl-SI"/>
        </w:rPr>
        <w:t xml:space="preserve"> šeiminės </w:t>
      </w:r>
      <w:proofErr w:type="spellStart"/>
      <w:r>
        <w:rPr>
          <w:color w:val="000000"/>
          <w:szCs w:val="22"/>
          <w:lang w:eastAsia="sl-SI"/>
        </w:rPr>
        <w:t>hipercholesterolemijos</w:t>
      </w:r>
      <w:proofErr w:type="spellEnd"/>
      <w:r>
        <w:rPr>
          <w:color w:val="000000"/>
          <w:szCs w:val="22"/>
          <w:lang w:eastAsia="sl-SI"/>
        </w:rPr>
        <w:t xml:space="preserve"> gydymo indikacijai.</w:t>
      </w:r>
    </w:p>
    <w:p w14:paraId="05E8F562" w14:textId="77777777" w:rsidR="008020E2" w:rsidRDefault="008020E2">
      <w:pPr>
        <w:widowControl w:val="0"/>
        <w:autoSpaceDE w:val="0"/>
        <w:autoSpaceDN w:val="0"/>
        <w:adjustRightInd w:val="0"/>
        <w:rPr>
          <w:color w:val="000000"/>
          <w:szCs w:val="22"/>
          <w:lang w:eastAsia="sl-SI"/>
        </w:rPr>
      </w:pPr>
    </w:p>
    <w:p w14:paraId="551A5FE2" w14:textId="77777777" w:rsidR="008020E2" w:rsidRDefault="00137C20">
      <w:pPr>
        <w:widowControl w:val="0"/>
        <w:autoSpaceDE w:val="0"/>
        <w:autoSpaceDN w:val="0"/>
        <w:adjustRightInd w:val="0"/>
        <w:rPr>
          <w:color w:val="000000"/>
          <w:szCs w:val="22"/>
          <w:u w:val="single"/>
          <w:lang w:eastAsia="sl-SI"/>
        </w:rPr>
      </w:pPr>
      <w:r>
        <w:rPr>
          <w:color w:val="000000"/>
          <w:szCs w:val="22"/>
          <w:u w:val="single"/>
          <w:lang w:eastAsia="sl-SI"/>
        </w:rPr>
        <w:t>ŽIV populiacija</w:t>
      </w:r>
    </w:p>
    <w:p w14:paraId="6FDD432C" w14:textId="77777777" w:rsidR="008020E2" w:rsidRDefault="008020E2">
      <w:pPr>
        <w:widowControl w:val="0"/>
        <w:autoSpaceDE w:val="0"/>
        <w:autoSpaceDN w:val="0"/>
        <w:adjustRightInd w:val="0"/>
        <w:rPr>
          <w:color w:val="000000"/>
          <w:szCs w:val="22"/>
          <w:lang w:eastAsia="sl-SI"/>
        </w:rPr>
      </w:pPr>
    </w:p>
    <w:p w14:paraId="1666D6FD" w14:textId="77777777" w:rsidR="008020E2" w:rsidRDefault="00137C20">
      <w:pPr>
        <w:widowControl w:val="0"/>
        <w:autoSpaceDE w:val="0"/>
        <w:autoSpaceDN w:val="0"/>
        <w:adjustRightInd w:val="0"/>
        <w:rPr>
          <w:color w:val="000000"/>
          <w:szCs w:val="22"/>
          <w:lang w:eastAsia="sl-SI"/>
        </w:rPr>
      </w:pPr>
      <w:proofErr w:type="spellStart"/>
      <w:r>
        <w:rPr>
          <w:color w:val="000000"/>
          <w:szCs w:val="22"/>
          <w:lang w:eastAsia="sl-SI"/>
        </w:rPr>
        <w:t>Pitavastatino</w:t>
      </w:r>
      <w:proofErr w:type="spellEnd"/>
      <w:r>
        <w:rPr>
          <w:color w:val="000000"/>
          <w:szCs w:val="22"/>
          <w:lang w:eastAsia="sl-SI"/>
        </w:rPr>
        <w:t xml:space="preserve"> ir kitų </w:t>
      </w:r>
      <w:proofErr w:type="spellStart"/>
      <w:r>
        <w:rPr>
          <w:color w:val="000000"/>
          <w:szCs w:val="22"/>
          <w:lang w:eastAsia="sl-SI"/>
        </w:rPr>
        <w:t>statinų</w:t>
      </w:r>
      <w:proofErr w:type="spellEnd"/>
      <w:r>
        <w:rPr>
          <w:color w:val="000000"/>
          <w:szCs w:val="22"/>
          <w:lang w:eastAsia="sl-SI"/>
        </w:rPr>
        <w:t xml:space="preserve"> veiksmingumas mažinant MTL-C koncentraciją yra mažesnis pacientams, sergantiems </w:t>
      </w:r>
      <w:proofErr w:type="spellStart"/>
      <w:r>
        <w:rPr>
          <w:color w:val="000000"/>
          <w:szCs w:val="22"/>
          <w:lang w:eastAsia="sl-SI"/>
        </w:rPr>
        <w:t>hipercholesterolemija</w:t>
      </w:r>
      <w:proofErr w:type="spellEnd"/>
      <w:r>
        <w:rPr>
          <w:color w:val="000000"/>
          <w:szCs w:val="22"/>
          <w:lang w:eastAsia="sl-SI"/>
        </w:rPr>
        <w:t xml:space="preserve">, susijusia su ŽIV infekcija arba jos gydymu, palyginti su pacientais, sergančiais pirmine </w:t>
      </w:r>
      <w:proofErr w:type="spellStart"/>
      <w:r>
        <w:rPr>
          <w:color w:val="000000"/>
          <w:szCs w:val="22"/>
          <w:lang w:eastAsia="sl-SI"/>
        </w:rPr>
        <w:t>hipercholesterolemija</w:t>
      </w:r>
      <w:proofErr w:type="spellEnd"/>
      <w:r>
        <w:rPr>
          <w:color w:val="000000"/>
          <w:szCs w:val="22"/>
          <w:lang w:eastAsia="sl-SI"/>
        </w:rPr>
        <w:t xml:space="preserve"> ir mišria </w:t>
      </w:r>
      <w:proofErr w:type="spellStart"/>
      <w:r>
        <w:rPr>
          <w:color w:val="000000"/>
          <w:szCs w:val="22"/>
          <w:lang w:eastAsia="sl-SI"/>
        </w:rPr>
        <w:t>dislipidemija</w:t>
      </w:r>
      <w:proofErr w:type="spellEnd"/>
      <w:r>
        <w:rPr>
          <w:color w:val="000000"/>
          <w:szCs w:val="22"/>
          <w:lang w:eastAsia="sl-SI"/>
        </w:rPr>
        <w:t xml:space="preserve"> bei neinfekuotais ŽIV.</w:t>
      </w:r>
    </w:p>
    <w:p w14:paraId="02525FE3" w14:textId="77777777" w:rsidR="008020E2" w:rsidRDefault="008020E2">
      <w:pPr>
        <w:widowControl w:val="0"/>
        <w:autoSpaceDE w:val="0"/>
        <w:autoSpaceDN w:val="0"/>
        <w:adjustRightInd w:val="0"/>
        <w:rPr>
          <w:color w:val="000000"/>
          <w:szCs w:val="22"/>
          <w:lang w:eastAsia="sl-SI"/>
        </w:rPr>
      </w:pPr>
    </w:p>
    <w:p w14:paraId="2D352EE1" w14:textId="77777777" w:rsidR="008020E2" w:rsidRDefault="00137C20">
      <w:pPr>
        <w:widowControl w:val="0"/>
        <w:autoSpaceDE w:val="0"/>
        <w:autoSpaceDN w:val="0"/>
        <w:adjustRightInd w:val="0"/>
        <w:rPr>
          <w:color w:val="000000"/>
          <w:szCs w:val="22"/>
          <w:lang w:eastAsia="sl-SI"/>
        </w:rPr>
      </w:pPr>
      <w:r>
        <w:rPr>
          <w:color w:val="000000"/>
          <w:szCs w:val="22"/>
          <w:lang w:eastAsia="sl-SI"/>
        </w:rPr>
        <w:t xml:space="preserve">INTREPID tyrime 252 ŽIV infekuotiems pacientams, sergantiems </w:t>
      </w:r>
      <w:proofErr w:type="spellStart"/>
      <w:r>
        <w:rPr>
          <w:color w:val="000000"/>
          <w:szCs w:val="22"/>
          <w:lang w:eastAsia="sl-SI"/>
        </w:rPr>
        <w:t>dislipidemija</w:t>
      </w:r>
      <w:proofErr w:type="spellEnd"/>
      <w:r>
        <w:rPr>
          <w:color w:val="000000"/>
          <w:szCs w:val="22"/>
          <w:lang w:eastAsia="sl-SI"/>
        </w:rPr>
        <w:t xml:space="preserve"> (n = 126 kiekvienoje grupėje), buvo taikomas 4 savaičių „išplovimo“ (</w:t>
      </w:r>
      <w:proofErr w:type="spellStart"/>
      <w:r>
        <w:rPr>
          <w:i/>
          <w:iCs/>
          <w:color w:val="000000"/>
          <w:szCs w:val="22"/>
          <w:lang w:eastAsia="sl-SI"/>
        </w:rPr>
        <w:t>wash-out</w:t>
      </w:r>
      <w:proofErr w:type="spellEnd"/>
      <w:r>
        <w:rPr>
          <w:color w:val="000000"/>
          <w:szCs w:val="22"/>
          <w:lang w:eastAsia="sl-SI"/>
        </w:rPr>
        <w:t>) / dietos paruošiamasis (</w:t>
      </w:r>
      <w:proofErr w:type="spellStart"/>
      <w:r>
        <w:rPr>
          <w:i/>
          <w:iCs/>
          <w:color w:val="000000"/>
          <w:szCs w:val="22"/>
          <w:lang w:eastAsia="sl-SI"/>
        </w:rPr>
        <w:t>dietary</w:t>
      </w:r>
      <w:proofErr w:type="spellEnd"/>
      <w:r>
        <w:rPr>
          <w:i/>
          <w:iCs/>
          <w:color w:val="000000"/>
          <w:szCs w:val="22"/>
          <w:lang w:eastAsia="sl-SI"/>
        </w:rPr>
        <w:t xml:space="preserve"> </w:t>
      </w:r>
      <w:proofErr w:type="spellStart"/>
      <w:r>
        <w:rPr>
          <w:i/>
          <w:iCs/>
          <w:color w:val="000000"/>
          <w:szCs w:val="22"/>
          <w:lang w:eastAsia="sl-SI"/>
        </w:rPr>
        <w:t>lead-in</w:t>
      </w:r>
      <w:proofErr w:type="spellEnd"/>
      <w:r>
        <w:rPr>
          <w:color w:val="000000"/>
          <w:szCs w:val="22"/>
          <w:lang w:eastAsia="sl-SI"/>
        </w:rPr>
        <w:t xml:space="preserve">) laikotarpis, po to jie buvo atsitiktinės atrankos būdu priskirti 52 savaites vieną kartą per parą vartoti 4 mg </w:t>
      </w:r>
      <w:proofErr w:type="spellStart"/>
      <w:r>
        <w:rPr>
          <w:color w:val="000000"/>
          <w:szCs w:val="22"/>
          <w:lang w:eastAsia="sl-SI"/>
        </w:rPr>
        <w:t>pitavastatino</w:t>
      </w:r>
      <w:proofErr w:type="spellEnd"/>
      <w:r>
        <w:rPr>
          <w:color w:val="000000"/>
          <w:szCs w:val="22"/>
          <w:lang w:eastAsia="sl-SI"/>
        </w:rPr>
        <w:t xml:space="preserve"> dozę arba 40 mg </w:t>
      </w:r>
      <w:proofErr w:type="spellStart"/>
      <w:r>
        <w:rPr>
          <w:color w:val="000000"/>
          <w:szCs w:val="22"/>
          <w:lang w:eastAsia="sl-SI"/>
        </w:rPr>
        <w:t>pravastatino</w:t>
      </w:r>
      <w:proofErr w:type="spellEnd"/>
      <w:r>
        <w:rPr>
          <w:color w:val="000000"/>
          <w:szCs w:val="22"/>
          <w:lang w:eastAsia="sl-SI"/>
        </w:rPr>
        <w:t xml:space="preserve"> dozę. Pagrindinė veiksmingumo vertinamoji baigtis buvo analizuojama 12 savaitę.</w:t>
      </w:r>
    </w:p>
    <w:p w14:paraId="6C54360B" w14:textId="77777777" w:rsidR="008020E2" w:rsidRDefault="008020E2">
      <w:pPr>
        <w:widowControl w:val="0"/>
        <w:autoSpaceDE w:val="0"/>
        <w:autoSpaceDN w:val="0"/>
        <w:adjustRightInd w:val="0"/>
        <w:rPr>
          <w:color w:val="000000"/>
          <w:szCs w:val="22"/>
          <w:lang w:eastAsia="sl-SI"/>
        </w:rPr>
      </w:pPr>
    </w:p>
    <w:p w14:paraId="75AA3FB3" w14:textId="039CB03A" w:rsidR="008020E2" w:rsidRDefault="00137C20">
      <w:pPr>
        <w:widowControl w:val="0"/>
        <w:tabs>
          <w:tab w:val="left" w:pos="567"/>
        </w:tabs>
        <w:rPr>
          <w:color w:val="000000"/>
          <w:szCs w:val="22"/>
          <w:lang w:eastAsia="sl-SI"/>
        </w:rPr>
      </w:pPr>
      <w:r>
        <w:rPr>
          <w:color w:val="000000"/>
          <w:szCs w:val="22"/>
          <w:lang w:eastAsia="sl-SI"/>
        </w:rPr>
        <w:t xml:space="preserve">Gydymo </w:t>
      </w:r>
      <w:proofErr w:type="spellStart"/>
      <w:r>
        <w:rPr>
          <w:color w:val="000000"/>
          <w:szCs w:val="22"/>
          <w:lang w:eastAsia="sl-SI"/>
        </w:rPr>
        <w:t>pitavastatinu</w:t>
      </w:r>
      <w:proofErr w:type="spellEnd"/>
      <w:r>
        <w:rPr>
          <w:color w:val="000000"/>
          <w:szCs w:val="22"/>
          <w:lang w:eastAsia="sl-SI"/>
        </w:rPr>
        <w:t xml:space="preserve"> grupėje per 12 savaičių ir 52 savaites MTL-C koncentracija kraujo serume nevalgius sumažėjo atitinkamai 31 % ir 30 %, o gydymo </w:t>
      </w:r>
      <w:proofErr w:type="spellStart"/>
      <w:r>
        <w:rPr>
          <w:color w:val="000000"/>
          <w:szCs w:val="22"/>
          <w:lang w:eastAsia="sl-SI"/>
        </w:rPr>
        <w:t>pravastatinu</w:t>
      </w:r>
      <w:proofErr w:type="spellEnd"/>
      <w:r>
        <w:rPr>
          <w:color w:val="000000"/>
          <w:szCs w:val="22"/>
          <w:lang w:eastAsia="sl-SI"/>
        </w:rPr>
        <w:t xml:space="preserve"> grupėje - 21 % ir 20 % (LS vidurkio skirtumas gydymo grupėse -9,8 %, </w:t>
      </w:r>
      <w:r w:rsidR="00244CEE">
        <w:rPr>
          <w:color w:val="000000"/>
          <w:szCs w:val="22"/>
          <w:lang w:eastAsia="sl-SI"/>
        </w:rPr>
        <w:t>p</w:t>
      </w:r>
      <w:r>
        <w:rPr>
          <w:color w:val="000000"/>
          <w:szCs w:val="22"/>
          <w:lang w:eastAsia="sl-SI"/>
        </w:rPr>
        <w:t xml:space="preserve"> &lt; 0,0001 12 savaitę ir -8,4 % P = 0,0007 52 savaitę). Buvo nustatytas statistiškai reikšmingas skirtumas tarp gydymo grupių vertinant vidutinį procentinį pokytį nuo pradinio rodmens iki 12 ir 52 savaičių pagal antrines veiksmingumo vertinamąsias baigtis: BC, ne-DTL-C ir </w:t>
      </w:r>
      <w:proofErr w:type="spellStart"/>
      <w:r>
        <w:rPr>
          <w:color w:val="000000"/>
          <w:szCs w:val="22"/>
          <w:lang w:eastAsia="sl-SI"/>
        </w:rPr>
        <w:t>Apo</w:t>
      </w:r>
      <w:proofErr w:type="spellEnd"/>
      <w:r>
        <w:rPr>
          <w:color w:val="000000"/>
          <w:szCs w:val="22"/>
          <w:lang w:eastAsia="sl-SI"/>
        </w:rPr>
        <w:t xml:space="preserve"> B koncentraciją: kiekvienas parametras labiau sumažėjo gydymo </w:t>
      </w:r>
      <w:proofErr w:type="spellStart"/>
      <w:r>
        <w:rPr>
          <w:color w:val="000000"/>
          <w:szCs w:val="22"/>
          <w:lang w:eastAsia="sl-SI"/>
        </w:rPr>
        <w:t>pitavastatinu</w:t>
      </w:r>
      <w:proofErr w:type="spellEnd"/>
      <w:r>
        <w:rPr>
          <w:color w:val="000000"/>
          <w:szCs w:val="22"/>
          <w:lang w:eastAsia="sl-SI"/>
        </w:rPr>
        <w:t xml:space="preserve"> vartojusiųjų grupėje, palyginti su gydymo </w:t>
      </w:r>
      <w:proofErr w:type="spellStart"/>
      <w:r>
        <w:rPr>
          <w:color w:val="000000"/>
          <w:szCs w:val="22"/>
          <w:lang w:eastAsia="sl-SI"/>
        </w:rPr>
        <w:t>pravastatinu</w:t>
      </w:r>
      <w:proofErr w:type="spellEnd"/>
      <w:r>
        <w:rPr>
          <w:color w:val="000000"/>
          <w:szCs w:val="22"/>
          <w:lang w:eastAsia="sl-SI"/>
        </w:rPr>
        <w:t xml:space="preserve"> grupe. Naujų saugumo signalų ar nepageidaujamų reiškinių, susijusių su 4 mg </w:t>
      </w:r>
      <w:proofErr w:type="spellStart"/>
      <w:r>
        <w:rPr>
          <w:color w:val="000000"/>
          <w:szCs w:val="22"/>
          <w:lang w:eastAsia="sl-SI"/>
        </w:rPr>
        <w:t>pitavastatino</w:t>
      </w:r>
      <w:proofErr w:type="spellEnd"/>
      <w:r>
        <w:rPr>
          <w:color w:val="000000"/>
          <w:szCs w:val="22"/>
          <w:lang w:eastAsia="sl-SI"/>
        </w:rPr>
        <w:t xml:space="preserve"> dozės vartojimu, nepastebėta. 52 savaitę antivirusinio gydymo </w:t>
      </w:r>
      <w:r w:rsidRPr="003C4DF9">
        <w:rPr>
          <w:color w:val="000000"/>
          <w:szCs w:val="22"/>
          <w:lang w:eastAsia="sl-SI"/>
        </w:rPr>
        <w:t>nesėkmė</w:t>
      </w:r>
      <w:r>
        <w:rPr>
          <w:color w:val="000000"/>
          <w:szCs w:val="22"/>
          <w:lang w:eastAsia="sl-SI"/>
        </w:rPr>
        <w:t xml:space="preserve"> (apibrėžiama kaip ŽIV-1 RNR virusų kiekis &gt; 200 kopijų/ml ir &gt; 0,3 </w:t>
      </w:r>
      <w:proofErr w:type="spellStart"/>
      <w:r>
        <w:rPr>
          <w:color w:val="000000"/>
          <w:szCs w:val="22"/>
          <w:lang w:eastAsia="sl-SI"/>
        </w:rPr>
        <w:t>log</w:t>
      </w:r>
      <w:proofErr w:type="spellEnd"/>
      <w:r>
        <w:rPr>
          <w:color w:val="000000"/>
          <w:szCs w:val="22"/>
          <w:lang w:eastAsia="sl-SI"/>
        </w:rPr>
        <w:t xml:space="preserve"> padidėjimas nuo pradinio rodmens) nustatyta 4 tiriamiesiems (3,2 %) </w:t>
      </w:r>
      <w:proofErr w:type="spellStart"/>
      <w:r>
        <w:rPr>
          <w:color w:val="000000"/>
          <w:szCs w:val="22"/>
          <w:lang w:eastAsia="sl-SI"/>
        </w:rPr>
        <w:t>pitavastatino</w:t>
      </w:r>
      <w:proofErr w:type="spellEnd"/>
      <w:r>
        <w:rPr>
          <w:color w:val="000000"/>
          <w:szCs w:val="22"/>
          <w:lang w:eastAsia="sl-SI"/>
        </w:rPr>
        <w:t xml:space="preserve"> vartojusiųjų grupėje ir 6 tiriamiesiems (4,8 %) </w:t>
      </w:r>
      <w:proofErr w:type="spellStart"/>
      <w:r>
        <w:rPr>
          <w:color w:val="000000"/>
          <w:szCs w:val="22"/>
          <w:lang w:eastAsia="sl-SI"/>
        </w:rPr>
        <w:t>pravastatino</w:t>
      </w:r>
      <w:proofErr w:type="spellEnd"/>
      <w:r>
        <w:rPr>
          <w:color w:val="000000"/>
          <w:szCs w:val="22"/>
          <w:lang w:eastAsia="sl-SI"/>
        </w:rPr>
        <w:t xml:space="preserve"> vartojusiųjų grupėje, statistiškai reikšmingų skirtumų tarp gydymo grupių nebuvo.</w:t>
      </w:r>
    </w:p>
    <w:p w14:paraId="1F5AB209" w14:textId="77777777" w:rsidR="008020E2" w:rsidRDefault="008020E2">
      <w:pPr>
        <w:widowControl w:val="0"/>
        <w:tabs>
          <w:tab w:val="left" w:pos="567"/>
        </w:tabs>
        <w:rPr>
          <w:snapToGrid w:val="0"/>
          <w:szCs w:val="22"/>
        </w:rPr>
      </w:pPr>
    </w:p>
    <w:p w14:paraId="756CCE6B"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5.2</w:t>
      </w:r>
      <w:r>
        <w:rPr>
          <w:b/>
          <w:bCs/>
          <w:snapToGrid w:val="0"/>
          <w:szCs w:val="22"/>
          <w:lang w:eastAsia="x-none"/>
        </w:rPr>
        <w:tab/>
      </w:r>
      <w:proofErr w:type="spellStart"/>
      <w:r>
        <w:rPr>
          <w:b/>
          <w:bCs/>
          <w:snapToGrid w:val="0"/>
          <w:szCs w:val="22"/>
          <w:lang w:eastAsia="x-none"/>
        </w:rPr>
        <w:t>Farmakokinetinės</w:t>
      </w:r>
      <w:proofErr w:type="spellEnd"/>
      <w:r>
        <w:rPr>
          <w:b/>
          <w:bCs/>
          <w:snapToGrid w:val="0"/>
          <w:szCs w:val="22"/>
          <w:lang w:eastAsia="x-none"/>
        </w:rPr>
        <w:t xml:space="preserve"> savybės</w:t>
      </w:r>
    </w:p>
    <w:p w14:paraId="6A37E630" w14:textId="77777777" w:rsidR="008020E2" w:rsidRDefault="008020E2">
      <w:pPr>
        <w:widowControl w:val="0"/>
        <w:rPr>
          <w:snapToGrid w:val="0"/>
          <w:szCs w:val="22"/>
        </w:rPr>
      </w:pPr>
    </w:p>
    <w:p w14:paraId="7D86C16F" w14:textId="77777777" w:rsidR="008020E2" w:rsidRDefault="00137C20">
      <w:pPr>
        <w:widowControl w:val="0"/>
        <w:tabs>
          <w:tab w:val="left" w:pos="567"/>
        </w:tabs>
        <w:outlineLvl w:val="3"/>
        <w:rPr>
          <w:snapToGrid w:val="0"/>
          <w:szCs w:val="22"/>
          <w:u w:val="single"/>
        </w:rPr>
      </w:pPr>
      <w:r>
        <w:rPr>
          <w:snapToGrid w:val="0"/>
          <w:szCs w:val="22"/>
          <w:u w:val="single"/>
        </w:rPr>
        <w:t>Absorbcija</w:t>
      </w:r>
    </w:p>
    <w:p w14:paraId="35B7C526" w14:textId="77777777" w:rsidR="008020E2" w:rsidRDefault="00137C20">
      <w:pPr>
        <w:widowControl w:val="0"/>
        <w:numPr>
          <w:ilvl w:val="12"/>
          <w:numId w:val="0"/>
        </w:numPr>
        <w:tabs>
          <w:tab w:val="left" w:pos="567"/>
        </w:tabs>
        <w:spacing w:line="260" w:lineRule="exact"/>
        <w:ind w:right="-2"/>
        <w:rPr>
          <w:iCs/>
          <w:snapToGrid w:val="0"/>
          <w:szCs w:val="22"/>
        </w:rPr>
      </w:pPr>
      <w:proofErr w:type="spellStart"/>
      <w:r>
        <w:rPr>
          <w:iCs/>
          <w:snapToGrid w:val="0"/>
          <w:szCs w:val="22"/>
        </w:rPr>
        <w:t>Pitavastatinas</w:t>
      </w:r>
      <w:proofErr w:type="spellEnd"/>
      <w:r>
        <w:rPr>
          <w:iCs/>
          <w:snapToGrid w:val="0"/>
          <w:szCs w:val="22"/>
        </w:rPr>
        <w:t xml:space="preserve"> greitai absorbuojamas iš viršutinės virškinimo trakto dalies, o didžiausia koncentracija kraujo plazmoje pasiekiama per vieną valandą po vaistinio preparato pavartojimo per burną. Maistas įtakos absorbcijai neturi. Vyksta </w:t>
      </w:r>
      <w:proofErr w:type="spellStart"/>
      <w:r>
        <w:rPr>
          <w:iCs/>
          <w:snapToGrid w:val="0"/>
          <w:szCs w:val="22"/>
        </w:rPr>
        <w:t>enterohepatinė</w:t>
      </w:r>
      <w:proofErr w:type="spellEnd"/>
      <w:r>
        <w:rPr>
          <w:iCs/>
          <w:snapToGrid w:val="0"/>
          <w:szCs w:val="22"/>
        </w:rPr>
        <w:t xml:space="preserve"> nepakitusio vaistinio preparato cirkuliacija ir jis yra gerai absorbuojamas iš tuščiosios ir klubinės žarnos. Absoliutus </w:t>
      </w:r>
      <w:proofErr w:type="spellStart"/>
      <w:r>
        <w:rPr>
          <w:iCs/>
          <w:snapToGrid w:val="0"/>
          <w:szCs w:val="22"/>
        </w:rPr>
        <w:t>pitavastatino</w:t>
      </w:r>
      <w:proofErr w:type="spellEnd"/>
      <w:r>
        <w:rPr>
          <w:iCs/>
          <w:snapToGrid w:val="0"/>
          <w:szCs w:val="22"/>
        </w:rPr>
        <w:t xml:space="preserve"> biologinis prieinamumas yra 51 %.</w:t>
      </w:r>
    </w:p>
    <w:p w14:paraId="6613062A" w14:textId="77777777" w:rsidR="008020E2" w:rsidRDefault="008020E2">
      <w:pPr>
        <w:widowControl w:val="0"/>
        <w:numPr>
          <w:ilvl w:val="12"/>
          <w:numId w:val="0"/>
        </w:numPr>
        <w:tabs>
          <w:tab w:val="left" w:pos="567"/>
        </w:tabs>
        <w:spacing w:line="260" w:lineRule="exact"/>
        <w:ind w:right="-2"/>
        <w:rPr>
          <w:iCs/>
          <w:snapToGrid w:val="0"/>
          <w:szCs w:val="22"/>
        </w:rPr>
      </w:pPr>
    </w:p>
    <w:p w14:paraId="02E05E6A" w14:textId="77777777" w:rsidR="008020E2" w:rsidRDefault="00137C20">
      <w:pPr>
        <w:widowControl w:val="0"/>
        <w:numPr>
          <w:ilvl w:val="12"/>
          <w:numId w:val="0"/>
        </w:numPr>
        <w:tabs>
          <w:tab w:val="left" w:pos="567"/>
        </w:tabs>
        <w:spacing w:line="260" w:lineRule="exact"/>
        <w:ind w:right="-2"/>
        <w:rPr>
          <w:iCs/>
          <w:snapToGrid w:val="0"/>
          <w:szCs w:val="22"/>
          <w:u w:val="single"/>
        </w:rPr>
      </w:pPr>
      <w:r>
        <w:rPr>
          <w:iCs/>
          <w:snapToGrid w:val="0"/>
          <w:szCs w:val="22"/>
          <w:u w:val="single"/>
        </w:rPr>
        <w:t>Pasiskirstymas</w:t>
      </w:r>
    </w:p>
    <w:p w14:paraId="7492C439" w14:textId="77777777" w:rsidR="008020E2" w:rsidRDefault="00137C20">
      <w:pPr>
        <w:widowControl w:val="0"/>
        <w:numPr>
          <w:ilvl w:val="12"/>
          <w:numId w:val="0"/>
        </w:numPr>
        <w:tabs>
          <w:tab w:val="left" w:pos="567"/>
        </w:tabs>
        <w:spacing w:line="260" w:lineRule="exact"/>
        <w:ind w:right="-2"/>
        <w:rPr>
          <w:iCs/>
          <w:snapToGrid w:val="0"/>
          <w:szCs w:val="22"/>
        </w:rPr>
      </w:pPr>
      <w:r>
        <w:rPr>
          <w:iCs/>
          <w:snapToGrid w:val="0"/>
          <w:szCs w:val="22"/>
        </w:rPr>
        <w:t xml:space="preserve">Daugiau kaip 99 % </w:t>
      </w:r>
      <w:proofErr w:type="spellStart"/>
      <w:r>
        <w:rPr>
          <w:iCs/>
          <w:snapToGrid w:val="0"/>
          <w:szCs w:val="22"/>
        </w:rPr>
        <w:t>pitavastatino</w:t>
      </w:r>
      <w:proofErr w:type="spellEnd"/>
      <w:r>
        <w:rPr>
          <w:iCs/>
          <w:snapToGrid w:val="0"/>
          <w:szCs w:val="22"/>
        </w:rPr>
        <w:t xml:space="preserve"> žmogaus kraujo plazmoje yra susiję su baltymais, daugiausia su </w:t>
      </w:r>
      <w:proofErr w:type="spellStart"/>
      <w:r>
        <w:rPr>
          <w:iCs/>
          <w:snapToGrid w:val="0"/>
          <w:szCs w:val="22"/>
        </w:rPr>
        <w:t>albuminu</w:t>
      </w:r>
      <w:proofErr w:type="spellEnd"/>
      <w:r>
        <w:rPr>
          <w:iCs/>
          <w:snapToGrid w:val="0"/>
          <w:szCs w:val="22"/>
        </w:rPr>
        <w:t xml:space="preserve"> ir alfa 1 rūgštiniu </w:t>
      </w:r>
      <w:proofErr w:type="spellStart"/>
      <w:r>
        <w:rPr>
          <w:iCs/>
          <w:snapToGrid w:val="0"/>
          <w:szCs w:val="22"/>
        </w:rPr>
        <w:t>glikoproteinu</w:t>
      </w:r>
      <w:proofErr w:type="spellEnd"/>
      <w:r>
        <w:rPr>
          <w:iCs/>
          <w:snapToGrid w:val="0"/>
          <w:szCs w:val="22"/>
        </w:rPr>
        <w:t xml:space="preserve">, o vidutinis pasiskirstymo tūris yra maždaug 133 l. </w:t>
      </w:r>
      <w:proofErr w:type="spellStart"/>
      <w:r>
        <w:rPr>
          <w:iCs/>
          <w:snapToGrid w:val="0"/>
          <w:szCs w:val="22"/>
        </w:rPr>
        <w:t>Pitavastatinas</w:t>
      </w:r>
      <w:proofErr w:type="spellEnd"/>
      <w:r>
        <w:rPr>
          <w:iCs/>
          <w:snapToGrid w:val="0"/>
          <w:szCs w:val="22"/>
        </w:rPr>
        <w:t xml:space="preserve"> yra aktyviai pernešamas į </w:t>
      </w:r>
      <w:proofErr w:type="spellStart"/>
      <w:r>
        <w:rPr>
          <w:iCs/>
          <w:snapToGrid w:val="0"/>
          <w:szCs w:val="22"/>
        </w:rPr>
        <w:t>hepatocitus</w:t>
      </w:r>
      <w:proofErr w:type="spellEnd"/>
      <w:r>
        <w:rPr>
          <w:iCs/>
          <w:snapToGrid w:val="0"/>
          <w:szCs w:val="22"/>
        </w:rPr>
        <w:t xml:space="preserve">, kurie yra jo veikimo ir metabolizmo vieta, dalyvaujant daugeliui kepenų </w:t>
      </w:r>
      <w:proofErr w:type="spellStart"/>
      <w:r>
        <w:rPr>
          <w:iCs/>
          <w:snapToGrid w:val="0"/>
          <w:szCs w:val="22"/>
        </w:rPr>
        <w:t>pernešiklių</w:t>
      </w:r>
      <w:proofErr w:type="spellEnd"/>
      <w:r>
        <w:rPr>
          <w:iCs/>
          <w:snapToGrid w:val="0"/>
          <w:szCs w:val="22"/>
        </w:rPr>
        <w:t xml:space="preserve">, įskaitant OATP1B1 ir OATP1B3. AUC kraujo plazmoje yra kintantis, o didžiausias ir mažiausias rodmuo skiriasi maždaug 4 kartus. Tyrimai su SLCO1B1 (genas, koduojantis OATP1B1) rodo, kad šio geno polimorfizmas gali lemti didžiąją dalį AUC kintamumo. </w:t>
      </w:r>
      <w:proofErr w:type="spellStart"/>
      <w:r>
        <w:rPr>
          <w:iCs/>
          <w:snapToGrid w:val="0"/>
          <w:szCs w:val="22"/>
        </w:rPr>
        <w:t>Pitavastatinas</w:t>
      </w:r>
      <w:proofErr w:type="spellEnd"/>
      <w:r>
        <w:rPr>
          <w:iCs/>
          <w:snapToGrid w:val="0"/>
          <w:szCs w:val="22"/>
        </w:rPr>
        <w:t xml:space="preserve"> nėra p-</w:t>
      </w:r>
      <w:proofErr w:type="spellStart"/>
      <w:r>
        <w:rPr>
          <w:iCs/>
          <w:snapToGrid w:val="0"/>
          <w:szCs w:val="22"/>
        </w:rPr>
        <w:t>glikoproteino</w:t>
      </w:r>
      <w:proofErr w:type="spellEnd"/>
      <w:r>
        <w:rPr>
          <w:iCs/>
          <w:snapToGrid w:val="0"/>
          <w:szCs w:val="22"/>
        </w:rPr>
        <w:t xml:space="preserve"> substratas.</w:t>
      </w:r>
    </w:p>
    <w:p w14:paraId="3D7EB5FF" w14:textId="77777777" w:rsidR="008020E2" w:rsidRDefault="008020E2">
      <w:pPr>
        <w:widowControl w:val="0"/>
        <w:numPr>
          <w:ilvl w:val="12"/>
          <w:numId w:val="0"/>
        </w:numPr>
        <w:tabs>
          <w:tab w:val="left" w:pos="567"/>
        </w:tabs>
        <w:spacing w:line="260" w:lineRule="exact"/>
        <w:ind w:right="-2"/>
        <w:rPr>
          <w:iCs/>
          <w:snapToGrid w:val="0"/>
          <w:szCs w:val="22"/>
        </w:rPr>
      </w:pPr>
    </w:p>
    <w:p w14:paraId="4118C8C9" w14:textId="77777777" w:rsidR="008020E2" w:rsidRDefault="00137C20">
      <w:pPr>
        <w:widowControl w:val="0"/>
        <w:numPr>
          <w:ilvl w:val="12"/>
          <w:numId w:val="0"/>
        </w:numPr>
        <w:tabs>
          <w:tab w:val="left" w:pos="567"/>
        </w:tabs>
        <w:spacing w:line="260" w:lineRule="exact"/>
        <w:ind w:right="-2"/>
        <w:rPr>
          <w:iCs/>
          <w:snapToGrid w:val="0"/>
          <w:szCs w:val="22"/>
          <w:u w:val="single"/>
        </w:rPr>
      </w:pPr>
      <w:proofErr w:type="spellStart"/>
      <w:r>
        <w:rPr>
          <w:iCs/>
          <w:snapToGrid w:val="0"/>
          <w:szCs w:val="22"/>
          <w:u w:val="single"/>
        </w:rPr>
        <w:t>Biotransformacija</w:t>
      </w:r>
      <w:proofErr w:type="spellEnd"/>
    </w:p>
    <w:p w14:paraId="6EDB95FE" w14:textId="77777777" w:rsidR="008020E2" w:rsidRDefault="00137C20">
      <w:pPr>
        <w:widowControl w:val="0"/>
        <w:numPr>
          <w:ilvl w:val="12"/>
          <w:numId w:val="0"/>
        </w:numPr>
        <w:tabs>
          <w:tab w:val="left" w:pos="567"/>
        </w:tabs>
        <w:spacing w:line="260" w:lineRule="exact"/>
        <w:ind w:right="-2"/>
        <w:rPr>
          <w:iCs/>
          <w:snapToGrid w:val="0"/>
          <w:szCs w:val="22"/>
        </w:rPr>
      </w:pPr>
      <w:r>
        <w:rPr>
          <w:iCs/>
          <w:snapToGrid w:val="0"/>
          <w:szCs w:val="22"/>
        </w:rPr>
        <w:t xml:space="preserve">Nepakitęs </w:t>
      </w:r>
      <w:proofErr w:type="spellStart"/>
      <w:r>
        <w:rPr>
          <w:iCs/>
          <w:snapToGrid w:val="0"/>
          <w:szCs w:val="22"/>
        </w:rPr>
        <w:t>pitavastatinas</w:t>
      </w:r>
      <w:proofErr w:type="spellEnd"/>
      <w:r>
        <w:rPr>
          <w:iCs/>
          <w:snapToGrid w:val="0"/>
          <w:szCs w:val="22"/>
        </w:rPr>
        <w:t xml:space="preserve"> yra dominuojanti vaistinio preparato dalis kraujo plazmoje. Pagrindinis metabolitas yra neaktyvus </w:t>
      </w:r>
      <w:proofErr w:type="spellStart"/>
      <w:r>
        <w:rPr>
          <w:iCs/>
          <w:snapToGrid w:val="0"/>
          <w:szCs w:val="22"/>
        </w:rPr>
        <w:t>laktonas</w:t>
      </w:r>
      <w:proofErr w:type="spellEnd"/>
      <w:r>
        <w:rPr>
          <w:iCs/>
          <w:snapToGrid w:val="0"/>
          <w:szCs w:val="22"/>
        </w:rPr>
        <w:t xml:space="preserve">, kuris susidaro veikiant UDP </w:t>
      </w:r>
      <w:proofErr w:type="spellStart"/>
      <w:r>
        <w:rPr>
          <w:iCs/>
          <w:snapToGrid w:val="0"/>
          <w:szCs w:val="22"/>
        </w:rPr>
        <w:t>gliukuronoziltransferazei</w:t>
      </w:r>
      <w:proofErr w:type="spellEnd"/>
      <w:r>
        <w:rPr>
          <w:iCs/>
          <w:snapToGrid w:val="0"/>
          <w:szCs w:val="22"/>
        </w:rPr>
        <w:t xml:space="preserve"> (UGT1A3 ir 2B7) per esterio tipo </w:t>
      </w:r>
      <w:proofErr w:type="spellStart"/>
      <w:r>
        <w:rPr>
          <w:iCs/>
          <w:snapToGrid w:val="0"/>
          <w:szCs w:val="22"/>
        </w:rPr>
        <w:t>pitavastatino</w:t>
      </w:r>
      <w:proofErr w:type="spellEnd"/>
      <w:r>
        <w:rPr>
          <w:iCs/>
          <w:snapToGrid w:val="0"/>
          <w:szCs w:val="22"/>
        </w:rPr>
        <w:t xml:space="preserve"> </w:t>
      </w:r>
      <w:proofErr w:type="spellStart"/>
      <w:r>
        <w:rPr>
          <w:iCs/>
          <w:snapToGrid w:val="0"/>
          <w:szCs w:val="22"/>
        </w:rPr>
        <w:t>gliukuronido</w:t>
      </w:r>
      <w:proofErr w:type="spellEnd"/>
      <w:r>
        <w:rPr>
          <w:iCs/>
          <w:snapToGrid w:val="0"/>
          <w:szCs w:val="22"/>
        </w:rPr>
        <w:t xml:space="preserve"> </w:t>
      </w:r>
      <w:proofErr w:type="spellStart"/>
      <w:r>
        <w:rPr>
          <w:iCs/>
          <w:snapToGrid w:val="0"/>
          <w:szCs w:val="22"/>
        </w:rPr>
        <w:t>konjugatą</w:t>
      </w:r>
      <w:proofErr w:type="spellEnd"/>
      <w:r>
        <w:rPr>
          <w:iCs/>
          <w:snapToGrid w:val="0"/>
          <w:szCs w:val="22"/>
        </w:rPr>
        <w:t xml:space="preserve">. </w:t>
      </w:r>
      <w:proofErr w:type="spellStart"/>
      <w:r>
        <w:rPr>
          <w:i/>
          <w:snapToGrid w:val="0"/>
          <w:szCs w:val="22"/>
        </w:rPr>
        <w:t>In</w:t>
      </w:r>
      <w:proofErr w:type="spellEnd"/>
      <w:r>
        <w:rPr>
          <w:i/>
          <w:snapToGrid w:val="0"/>
          <w:szCs w:val="22"/>
        </w:rPr>
        <w:t xml:space="preserve"> </w:t>
      </w:r>
      <w:proofErr w:type="spellStart"/>
      <w:r>
        <w:rPr>
          <w:i/>
          <w:snapToGrid w:val="0"/>
          <w:szCs w:val="22"/>
        </w:rPr>
        <w:t>vitro</w:t>
      </w:r>
      <w:proofErr w:type="spellEnd"/>
      <w:r>
        <w:rPr>
          <w:iCs/>
          <w:snapToGrid w:val="0"/>
          <w:szCs w:val="22"/>
        </w:rPr>
        <w:t xml:space="preserve"> tyrimai, atlikti naudojant 13 žmogaus </w:t>
      </w:r>
      <w:proofErr w:type="spellStart"/>
      <w:r>
        <w:rPr>
          <w:iCs/>
          <w:snapToGrid w:val="0"/>
          <w:szCs w:val="22"/>
        </w:rPr>
        <w:t>citochromo</w:t>
      </w:r>
      <w:proofErr w:type="spellEnd"/>
      <w:r>
        <w:rPr>
          <w:iCs/>
          <w:snapToGrid w:val="0"/>
          <w:szCs w:val="22"/>
        </w:rPr>
        <w:t xml:space="preserve"> P450 (CYP) </w:t>
      </w:r>
      <w:proofErr w:type="spellStart"/>
      <w:r>
        <w:rPr>
          <w:iCs/>
          <w:snapToGrid w:val="0"/>
          <w:szCs w:val="22"/>
        </w:rPr>
        <w:t>izoformų</w:t>
      </w:r>
      <w:proofErr w:type="spellEnd"/>
      <w:r>
        <w:rPr>
          <w:iCs/>
          <w:snapToGrid w:val="0"/>
          <w:szCs w:val="22"/>
        </w:rPr>
        <w:t xml:space="preserve">, rodo, kad </w:t>
      </w:r>
      <w:proofErr w:type="spellStart"/>
      <w:r>
        <w:rPr>
          <w:iCs/>
          <w:snapToGrid w:val="0"/>
          <w:szCs w:val="22"/>
        </w:rPr>
        <w:t>pitavastatino</w:t>
      </w:r>
      <w:proofErr w:type="spellEnd"/>
      <w:r>
        <w:rPr>
          <w:iCs/>
          <w:snapToGrid w:val="0"/>
          <w:szCs w:val="22"/>
        </w:rPr>
        <w:t xml:space="preserve"> metabolizmas dalyvaujant CYP yra minimalus; CYP2C9 (ir mažesniu mastu CYP2C8) yra atsakingi už </w:t>
      </w:r>
      <w:proofErr w:type="spellStart"/>
      <w:r>
        <w:rPr>
          <w:iCs/>
          <w:snapToGrid w:val="0"/>
          <w:szCs w:val="22"/>
        </w:rPr>
        <w:t>pitavastatino</w:t>
      </w:r>
      <w:proofErr w:type="spellEnd"/>
      <w:r>
        <w:rPr>
          <w:iCs/>
          <w:snapToGrid w:val="0"/>
          <w:szCs w:val="22"/>
        </w:rPr>
        <w:t xml:space="preserve"> metabolizmą iki nereikšmingų metabolitų.</w:t>
      </w:r>
    </w:p>
    <w:p w14:paraId="79161C58" w14:textId="77777777" w:rsidR="008020E2" w:rsidRDefault="008020E2">
      <w:pPr>
        <w:widowControl w:val="0"/>
        <w:numPr>
          <w:ilvl w:val="12"/>
          <w:numId w:val="0"/>
        </w:numPr>
        <w:tabs>
          <w:tab w:val="left" w:pos="567"/>
        </w:tabs>
        <w:spacing w:line="260" w:lineRule="exact"/>
        <w:ind w:right="-2"/>
        <w:rPr>
          <w:iCs/>
          <w:snapToGrid w:val="0"/>
          <w:szCs w:val="22"/>
        </w:rPr>
      </w:pPr>
    </w:p>
    <w:p w14:paraId="604A4B89" w14:textId="77777777" w:rsidR="008020E2" w:rsidRDefault="00137C20">
      <w:pPr>
        <w:widowControl w:val="0"/>
        <w:numPr>
          <w:ilvl w:val="12"/>
          <w:numId w:val="0"/>
        </w:numPr>
        <w:tabs>
          <w:tab w:val="left" w:pos="567"/>
        </w:tabs>
        <w:spacing w:line="260" w:lineRule="exact"/>
        <w:ind w:right="-2"/>
        <w:rPr>
          <w:iCs/>
          <w:snapToGrid w:val="0"/>
          <w:szCs w:val="22"/>
          <w:u w:val="single"/>
        </w:rPr>
      </w:pPr>
      <w:r>
        <w:rPr>
          <w:iCs/>
          <w:snapToGrid w:val="0"/>
          <w:szCs w:val="22"/>
          <w:u w:val="single"/>
        </w:rPr>
        <w:t>Eliminacija</w:t>
      </w:r>
    </w:p>
    <w:p w14:paraId="1D40B272" w14:textId="77777777" w:rsidR="008020E2" w:rsidRDefault="00137C20">
      <w:pPr>
        <w:widowControl w:val="0"/>
        <w:tabs>
          <w:tab w:val="left" w:pos="567"/>
        </w:tabs>
        <w:rPr>
          <w:iCs/>
          <w:snapToGrid w:val="0"/>
          <w:szCs w:val="22"/>
        </w:rPr>
      </w:pPr>
      <w:r>
        <w:rPr>
          <w:iCs/>
          <w:snapToGrid w:val="0"/>
          <w:szCs w:val="22"/>
        </w:rPr>
        <w:t xml:space="preserve">Nepakitęs </w:t>
      </w:r>
      <w:proofErr w:type="spellStart"/>
      <w:r>
        <w:rPr>
          <w:iCs/>
          <w:snapToGrid w:val="0"/>
          <w:szCs w:val="22"/>
        </w:rPr>
        <w:t>pitavastatinas</w:t>
      </w:r>
      <w:proofErr w:type="spellEnd"/>
      <w:r>
        <w:rPr>
          <w:iCs/>
          <w:snapToGrid w:val="0"/>
          <w:szCs w:val="22"/>
        </w:rPr>
        <w:t xml:space="preserve"> greitai pasišalina iš kepenų su tulžimi, tačiau vyksta </w:t>
      </w:r>
      <w:proofErr w:type="spellStart"/>
      <w:r>
        <w:rPr>
          <w:iCs/>
          <w:snapToGrid w:val="0"/>
          <w:szCs w:val="22"/>
        </w:rPr>
        <w:t>enterohepatinė</w:t>
      </w:r>
      <w:proofErr w:type="spellEnd"/>
      <w:r>
        <w:rPr>
          <w:iCs/>
          <w:snapToGrid w:val="0"/>
          <w:szCs w:val="22"/>
        </w:rPr>
        <w:t xml:space="preserve"> </w:t>
      </w:r>
      <w:proofErr w:type="spellStart"/>
      <w:r>
        <w:rPr>
          <w:iCs/>
          <w:snapToGrid w:val="0"/>
          <w:szCs w:val="22"/>
        </w:rPr>
        <w:t>recirkuliacija</w:t>
      </w:r>
      <w:proofErr w:type="spellEnd"/>
      <w:r>
        <w:rPr>
          <w:iCs/>
          <w:snapToGrid w:val="0"/>
          <w:szCs w:val="22"/>
        </w:rPr>
        <w:t xml:space="preserve">, todėl jo veikimo trukmė yra ilgesnė. Mažiau nei 5 % </w:t>
      </w:r>
      <w:proofErr w:type="spellStart"/>
      <w:r>
        <w:rPr>
          <w:iCs/>
          <w:snapToGrid w:val="0"/>
          <w:szCs w:val="22"/>
        </w:rPr>
        <w:t>pitavastatino</w:t>
      </w:r>
      <w:proofErr w:type="spellEnd"/>
      <w:r>
        <w:rPr>
          <w:iCs/>
          <w:snapToGrid w:val="0"/>
          <w:szCs w:val="22"/>
        </w:rPr>
        <w:t xml:space="preserve"> išsiskiria su šlapimu. Pusinės eliminacijos iš kraujo plazmos laikas svyruoja nuo 5,7 valandos (po vienkartinės dozės pavartojimo ) iki 8,9 valandos (nusistovėjus </w:t>
      </w:r>
      <w:proofErr w:type="spellStart"/>
      <w:r>
        <w:rPr>
          <w:iCs/>
          <w:snapToGrid w:val="0"/>
          <w:szCs w:val="22"/>
        </w:rPr>
        <w:t>pusiausvyrinei</w:t>
      </w:r>
      <w:proofErr w:type="spellEnd"/>
      <w:r>
        <w:rPr>
          <w:iCs/>
          <w:snapToGrid w:val="0"/>
          <w:szCs w:val="22"/>
        </w:rPr>
        <w:t xml:space="preserve"> apykaitai), o tariamojo per burną pavartoto vaistinio preparato klirenso geometrinis vidurkis po vienkartinės dozės pavartojimo yra 43,4 l/val.</w:t>
      </w:r>
    </w:p>
    <w:p w14:paraId="560A7390" w14:textId="77777777" w:rsidR="008020E2" w:rsidRDefault="008020E2">
      <w:pPr>
        <w:widowControl w:val="0"/>
        <w:tabs>
          <w:tab w:val="left" w:pos="567"/>
        </w:tabs>
        <w:rPr>
          <w:iCs/>
          <w:snapToGrid w:val="0"/>
          <w:szCs w:val="22"/>
        </w:rPr>
      </w:pPr>
    </w:p>
    <w:p w14:paraId="6A004555" w14:textId="77777777" w:rsidR="008020E2" w:rsidRDefault="00137C20">
      <w:pPr>
        <w:widowControl w:val="0"/>
        <w:numPr>
          <w:ilvl w:val="12"/>
          <w:numId w:val="0"/>
        </w:numPr>
        <w:tabs>
          <w:tab w:val="left" w:pos="567"/>
        </w:tabs>
        <w:ind w:right="-2"/>
        <w:rPr>
          <w:iCs/>
          <w:szCs w:val="22"/>
          <w:u w:val="single"/>
        </w:rPr>
      </w:pPr>
      <w:r>
        <w:rPr>
          <w:iCs/>
          <w:szCs w:val="22"/>
          <w:u w:val="single"/>
        </w:rPr>
        <w:t>Maisto įtaka</w:t>
      </w:r>
    </w:p>
    <w:p w14:paraId="2770CEE8" w14:textId="77777777" w:rsidR="008020E2" w:rsidRDefault="00137C20">
      <w:pPr>
        <w:widowControl w:val="0"/>
        <w:numPr>
          <w:ilvl w:val="12"/>
          <w:numId w:val="0"/>
        </w:numPr>
        <w:tabs>
          <w:tab w:val="left" w:pos="567"/>
        </w:tabs>
        <w:ind w:right="-2"/>
        <w:rPr>
          <w:iCs/>
          <w:szCs w:val="22"/>
        </w:rPr>
      </w:pPr>
      <w:r>
        <w:rPr>
          <w:iCs/>
          <w:szCs w:val="22"/>
        </w:rPr>
        <w:t xml:space="preserve">Didžiausia </w:t>
      </w:r>
      <w:proofErr w:type="spellStart"/>
      <w:r>
        <w:rPr>
          <w:iCs/>
          <w:szCs w:val="22"/>
        </w:rPr>
        <w:t>pitavastatino</w:t>
      </w:r>
      <w:proofErr w:type="spellEnd"/>
      <w:r>
        <w:rPr>
          <w:iCs/>
          <w:szCs w:val="22"/>
        </w:rPr>
        <w:t xml:space="preserve"> koncentracija kraujo plazmoje sumažėjo 43 %, kai jis buvo vartojamas su labai riebiu maistu, tačiau AUC nepakito.</w:t>
      </w:r>
    </w:p>
    <w:p w14:paraId="2DBE6BE1" w14:textId="77777777" w:rsidR="008020E2" w:rsidRDefault="008020E2">
      <w:pPr>
        <w:widowControl w:val="0"/>
        <w:numPr>
          <w:ilvl w:val="12"/>
          <w:numId w:val="0"/>
        </w:numPr>
        <w:tabs>
          <w:tab w:val="left" w:pos="567"/>
        </w:tabs>
        <w:ind w:right="-2"/>
        <w:rPr>
          <w:iCs/>
          <w:szCs w:val="22"/>
          <w:u w:val="single"/>
        </w:rPr>
      </w:pPr>
    </w:p>
    <w:p w14:paraId="7D3D6928" w14:textId="77777777" w:rsidR="008020E2" w:rsidRDefault="00137C20">
      <w:pPr>
        <w:widowControl w:val="0"/>
        <w:tabs>
          <w:tab w:val="left" w:pos="567"/>
        </w:tabs>
        <w:rPr>
          <w:szCs w:val="22"/>
          <w:u w:val="single"/>
        </w:rPr>
      </w:pPr>
      <w:r>
        <w:rPr>
          <w:szCs w:val="22"/>
          <w:u w:val="single"/>
        </w:rPr>
        <w:t>Ypatingos populiacijos</w:t>
      </w:r>
    </w:p>
    <w:p w14:paraId="37F81C3E" w14:textId="77777777" w:rsidR="008020E2" w:rsidRDefault="008020E2">
      <w:pPr>
        <w:widowControl w:val="0"/>
        <w:tabs>
          <w:tab w:val="left" w:pos="567"/>
        </w:tabs>
        <w:rPr>
          <w:szCs w:val="22"/>
        </w:rPr>
      </w:pPr>
    </w:p>
    <w:p w14:paraId="446041FA" w14:textId="2D2144F6" w:rsidR="008020E2" w:rsidRDefault="00137C20">
      <w:pPr>
        <w:widowControl w:val="0"/>
        <w:tabs>
          <w:tab w:val="left" w:pos="567"/>
        </w:tabs>
        <w:rPr>
          <w:iCs/>
          <w:szCs w:val="22"/>
        </w:rPr>
      </w:pPr>
      <w:r>
        <w:rPr>
          <w:i/>
          <w:szCs w:val="22"/>
        </w:rPr>
        <w:t xml:space="preserve">Senyvi </w:t>
      </w:r>
      <w:r w:rsidR="00855EF9">
        <w:rPr>
          <w:i/>
          <w:szCs w:val="22"/>
        </w:rPr>
        <w:t>pacientai</w:t>
      </w:r>
      <w:r>
        <w:rPr>
          <w:i/>
          <w:szCs w:val="22"/>
        </w:rPr>
        <w:t xml:space="preserve">. </w:t>
      </w:r>
      <w:r>
        <w:rPr>
          <w:iCs/>
          <w:szCs w:val="22"/>
        </w:rPr>
        <w:t xml:space="preserve">Atlikus </w:t>
      </w:r>
      <w:proofErr w:type="spellStart"/>
      <w:r>
        <w:rPr>
          <w:iCs/>
          <w:szCs w:val="22"/>
        </w:rPr>
        <w:t>farmakokinetikos</w:t>
      </w:r>
      <w:proofErr w:type="spellEnd"/>
      <w:r>
        <w:rPr>
          <w:iCs/>
          <w:szCs w:val="22"/>
        </w:rPr>
        <w:t xml:space="preserve"> tyrimą, kurio metu buvo lyginami sveikų jaunų ir senyvų (≥65 metų) savanorių duomenys, </w:t>
      </w:r>
      <w:proofErr w:type="spellStart"/>
      <w:r>
        <w:rPr>
          <w:iCs/>
          <w:szCs w:val="22"/>
        </w:rPr>
        <w:t>pitavastatino</w:t>
      </w:r>
      <w:proofErr w:type="spellEnd"/>
      <w:r>
        <w:rPr>
          <w:iCs/>
          <w:szCs w:val="22"/>
        </w:rPr>
        <w:t xml:space="preserve"> AUC rodmuo senyvo amžiaus asmenims buvo 1,3 karto didesnis. Tai neturėjo jokios įtakos </w:t>
      </w:r>
      <w:proofErr w:type="spellStart"/>
      <w:r>
        <w:rPr>
          <w:iCs/>
          <w:szCs w:val="22"/>
        </w:rPr>
        <w:t>pitavastatino</w:t>
      </w:r>
      <w:proofErr w:type="spellEnd"/>
      <w:r>
        <w:rPr>
          <w:iCs/>
          <w:szCs w:val="22"/>
        </w:rPr>
        <w:t xml:space="preserve"> saugumui ar veiksmingumui senyviems pacientams klinikinių tyrimų metu.</w:t>
      </w:r>
    </w:p>
    <w:p w14:paraId="3BCFEA4A" w14:textId="77777777" w:rsidR="008020E2" w:rsidRDefault="008020E2">
      <w:pPr>
        <w:widowControl w:val="0"/>
        <w:tabs>
          <w:tab w:val="left" w:pos="567"/>
        </w:tabs>
        <w:rPr>
          <w:iCs/>
          <w:szCs w:val="22"/>
        </w:rPr>
      </w:pPr>
    </w:p>
    <w:p w14:paraId="325BE3E3" w14:textId="77777777" w:rsidR="008020E2" w:rsidRDefault="00137C20">
      <w:pPr>
        <w:widowControl w:val="0"/>
        <w:tabs>
          <w:tab w:val="left" w:pos="567"/>
        </w:tabs>
        <w:rPr>
          <w:iCs/>
          <w:szCs w:val="22"/>
        </w:rPr>
      </w:pPr>
      <w:r>
        <w:rPr>
          <w:i/>
          <w:szCs w:val="22"/>
        </w:rPr>
        <w:t xml:space="preserve">Lytis. </w:t>
      </w:r>
      <w:proofErr w:type="spellStart"/>
      <w:r>
        <w:rPr>
          <w:iCs/>
          <w:szCs w:val="22"/>
        </w:rPr>
        <w:t>Farmakokinetikos</w:t>
      </w:r>
      <w:proofErr w:type="spellEnd"/>
      <w:r>
        <w:rPr>
          <w:iCs/>
          <w:szCs w:val="22"/>
        </w:rPr>
        <w:t xml:space="preserve"> tyrimo, kurio metu buvo lyginami sveikų savanorių vyrų ir moterų duomenys, metu </w:t>
      </w:r>
      <w:proofErr w:type="spellStart"/>
      <w:r>
        <w:rPr>
          <w:iCs/>
          <w:szCs w:val="22"/>
        </w:rPr>
        <w:t>pitavastatino</w:t>
      </w:r>
      <w:proofErr w:type="spellEnd"/>
      <w:r>
        <w:rPr>
          <w:iCs/>
          <w:szCs w:val="22"/>
        </w:rPr>
        <w:t xml:space="preserve"> AUC moterims buvo 1,6 karto didesnis. Tai neturėjo jokios įtakos </w:t>
      </w:r>
      <w:proofErr w:type="spellStart"/>
      <w:r>
        <w:rPr>
          <w:iCs/>
          <w:szCs w:val="22"/>
        </w:rPr>
        <w:t>pitavastatino</w:t>
      </w:r>
      <w:proofErr w:type="spellEnd"/>
      <w:r>
        <w:rPr>
          <w:iCs/>
          <w:szCs w:val="22"/>
        </w:rPr>
        <w:t xml:space="preserve"> saugumui ar veiksmingumui moterims klinikinių tyrimų metu.</w:t>
      </w:r>
    </w:p>
    <w:p w14:paraId="0A424E7D" w14:textId="77777777" w:rsidR="008020E2" w:rsidRDefault="008020E2">
      <w:pPr>
        <w:widowControl w:val="0"/>
        <w:tabs>
          <w:tab w:val="left" w:pos="567"/>
        </w:tabs>
        <w:rPr>
          <w:iCs/>
          <w:szCs w:val="22"/>
        </w:rPr>
      </w:pPr>
    </w:p>
    <w:p w14:paraId="2CC9CEC7" w14:textId="77777777" w:rsidR="008020E2" w:rsidRDefault="00137C20">
      <w:pPr>
        <w:widowControl w:val="0"/>
        <w:tabs>
          <w:tab w:val="left" w:pos="567"/>
        </w:tabs>
        <w:rPr>
          <w:iCs/>
          <w:szCs w:val="22"/>
        </w:rPr>
      </w:pPr>
      <w:r>
        <w:rPr>
          <w:i/>
          <w:szCs w:val="22"/>
        </w:rPr>
        <w:t>Rasė</w:t>
      </w:r>
      <w:r>
        <w:rPr>
          <w:iCs/>
          <w:szCs w:val="22"/>
        </w:rPr>
        <w:t xml:space="preserve">. Įvertinus amžių ir kūno svorį, </w:t>
      </w:r>
      <w:proofErr w:type="spellStart"/>
      <w:r>
        <w:rPr>
          <w:iCs/>
          <w:szCs w:val="22"/>
        </w:rPr>
        <w:t>pitavastatino</w:t>
      </w:r>
      <w:proofErr w:type="spellEnd"/>
      <w:r>
        <w:rPr>
          <w:iCs/>
          <w:szCs w:val="22"/>
        </w:rPr>
        <w:t xml:space="preserve"> </w:t>
      </w:r>
      <w:proofErr w:type="spellStart"/>
      <w:r>
        <w:rPr>
          <w:iCs/>
          <w:szCs w:val="22"/>
        </w:rPr>
        <w:t>farmakokinetikos</w:t>
      </w:r>
      <w:proofErr w:type="spellEnd"/>
      <w:r>
        <w:rPr>
          <w:iCs/>
          <w:szCs w:val="22"/>
        </w:rPr>
        <w:t xml:space="preserve"> savybės sveikų japonų ir baltaodžių savanorių grupėje nesiskyrė.</w:t>
      </w:r>
    </w:p>
    <w:p w14:paraId="550E7911" w14:textId="77777777" w:rsidR="008020E2" w:rsidRDefault="008020E2">
      <w:pPr>
        <w:widowControl w:val="0"/>
        <w:tabs>
          <w:tab w:val="left" w:pos="567"/>
        </w:tabs>
        <w:rPr>
          <w:iCs/>
          <w:szCs w:val="22"/>
        </w:rPr>
      </w:pPr>
    </w:p>
    <w:p w14:paraId="274753AC" w14:textId="77777777" w:rsidR="008020E2" w:rsidRDefault="00137C20">
      <w:pPr>
        <w:widowControl w:val="0"/>
        <w:tabs>
          <w:tab w:val="left" w:pos="567"/>
        </w:tabs>
        <w:rPr>
          <w:szCs w:val="22"/>
        </w:rPr>
      </w:pPr>
      <w:r>
        <w:rPr>
          <w:i/>
          <w:szCs w:val="22"/>
        </w:rPr>
        <w:t>Vaikų populiacija.</w:t>
      </w:r>
      <w:r>
        <w:rPr>
          <w:szCs w:val="22"/>
        </w:rPr>
        <w:t xml:space="preserve"> Duomenų apie </w:t>
      </w:r>
      <w:proofErr w:type="spellStart"/>
      <w:r>
        <w:rPr>
          <w:szCs w:val="22"/>
        </w:rPr>
        <w:t>farmakokinetiką</w:t>
      </w:r>
      <w:proofErr w:type="spellEnd"/>
      <w:r>
        <w:rPr>
          <w:szCs w:val="22"/>
        </w:rPr>
        <w:t xml:space="preserve"> vaikų ir paauglių organizme yra nedaug. Tyrimo NK-104-4.01EU (žr. 5.1 skyrių) metu ištyrus negausius mėginius paaiškėjo nuo dozės priklausomas poveikis </w:t>
      </w:r>
      <w:proofErr w:type="spellStart"/>
      <w:r>
        <w:rPr>
          <w:szCs w:val="22"/>
        </w:rPr>
        <w:t>pitavastatino</w:t>
      </w:r>
      <w:proofErr w:type="spellEnd"/>
      <w:r>
        <w:rPr>
          <w:szCs w:val="22"/>
        </w:rPr>
        <w:t xml:space="preserve"> koncentracijai kraujo plazmoje praėjus 1 valandai po dozės pavartojimo. Taip pat gauta duomenų, kad koncentracija praėjus 1 valandai po dozės pavartojimo buvo (atvirkščiai) susijusi su kūno svoriu ir gali būti didesnė vaikams, palyginti su suaugusiaisiais.</w:t>
      </w:r>
    </w:p>
    <w:p w14:paraId="7661C6CC" w14:textId="77777777" w:rsidR="008020E2" w:rsidRDefault="008020E2">
      <w:pPr>
        <w:widowControl w:val="0"/>
        <w:tabs>
          <w:tab w:val="left" w:pos="567"/>
        </w:tabs>
        <w:rPr>
          <w:szCs w:val="22"/>
        </w:rPr>
      </w:pPr>
    </w:p>
    <w:p w14:paraId="20146DBB" w14:textId="77777777" w:rsidR="008020E2" w:rsidRDefault="00137C20">
      <w:pPr>
        <w:widowControl w:val="0"/>
        <w:tabs>
          <w:tab w:val="left" w:pos="567"/>
        </w:tabs>
        <w:rPr>
          <w:szCs w:val="22"/>
        </w:rPr>
      </w:pPr>
      <w:r>
        <w:rPr>
          <w:i/>
          <w:szCs w:val="22"/>
        </w:rPr>
        <w:t>Sutrikusi inkstų funkcija.</w:t>
      </w:r>
      <w:r>
        <w:rPr>
          <w:szCs w:val="22"/>
        </w:rPr>
        <w:t xml:space="preserve"> Pacientams, kuriems yra vidutinio sunkumo inkstų liga ir kurie gydomi hemodialize, AUC rodmenys padidėjo atitinkamai 1,8 ir 1,7 karto (žr. 4.2 skyrių).</w:t>
      </w:r>
    </w:p>
    <w:p w14:paraId="4AC26EE2" w14:textId="77777777" w:rsidR="008020E2" w:rsidRDefault="008020E2">
      <w:pPr>
        <w:widowControl w:val="0"/>
        <w:tabs>
          <w:tab w:val="left" w:pos="567"/>
        </w:tabs>
        <w:rPr>
          <w:szCs w:val="22"/>
        </w:rPr>
      </w:pPr>
    </w:p>
    <w:p w14:paraId="2024A6AD" w14:textId="77777777" w:rsidR="008020E2" w:rsidRDefault="00137C20">
      <w:pPr>
        <w:widowControl w:val="0"/>
        <w:tabs>
          <w:tab w:val="left" w:pos="567"/>
        </w:tabs>
        <w:rPr>
          <w:szCs w:val="22"/>
        </w:rPr>
      </w:pPr>
      <w:r>
        <w:rPr>
          <w:i/>
          <w:szCs w:val="22"/>
        </w:rPr>
        <w:t>Sutrikusi kepenų funkcija.</w:t>
      </w:r>
      <w:r>
        <w:rPr>
          <w:szCs w:val="22"/>
        </w:rPr>
        <w:t xml:space="preserve"> Pacientų, kuriems buvo lengvas (A klasė pagal </w:t>
      </w:r>
      <w:proofErr w:type="spellStart"/>
      <w:r>
        <w:rPr>
          <w:i/>
          <w:iCs/>
          <w:szCs w:val="22"/>
        </w:rPr>
        <w:t>Child-Pugh</w:t>
      </w:r>
      <w:proofErr w:type="spellEnd"/>
      <w:r>
        <w:rPr>
          <w:szCs w:val="22"/>
        </w:rPr>
        <w:t xml:space="preserve">) kepenų funkcijos sutrikimas, organizme AUC buvo 1,6 karto didesnis nei sveikų asmenų organizme, o pacientų, kuriems buvo vidutinio sunkumo (B klasės pagal </w:t>
      </w:r>
      <w:proofErr w:type="spellStart"/>
      <w:r>
        <w:rPr>
          <w:i/>
          <w:iCs/>
          <w:szCs w:val="22"/>
        </w:rPr>
        <w:t>Child-Pugh</w:t>
      </w:r>
      <w:proofErr w:type="spellEnd"/>
      <w:r>
        <w:rPr>
          <w:szCs w:val="22"/>
        </w:rPr>
        <w:t xml:space="preserve">) kepenų funkcijos sutrikimas, organizme AUC buvo 3,9 karto didesnis. Pacientams, kuriems yra lengvas ir vidutinio sunkumo kepenų funkcijos sutrikimas, rekomenduojama riboti dozę (žr. 4.2 skyrių). </w:t>
      </w:r>
      <w:proofErr w:type="spellStart"/>
      <w:r>
        <w:rPr>
          <w:szCs w:val="22"/>
        </w:rPr>
        <w:t>Pitipix</w:t>
      </w:r>
      <w:proofErr w:type="spellEnd"/>
      <w:r>
        <w:rPr>
          <w:szCs w:val="22"/>
        </w:rPr>
        <w:t xml:space="preserve"> draudžiama vartoti pacientams, kuriems yra sunkus kepenų funkcijos sutrikimas.</w:t>
      </w:r>
    </w:p>
    <w:p w14:paraId="391AF4C5" w14:textId="77777777" w:rsidR="008020E2" w:rsidRDefault="008020E2">
      <w:pPr>
        <w:widowControl w:val="0"/>
        <w:tabs>
          <w:tab w:val="left" w:pos="567"/>
        </w:tabs>
        <w:rPr>
          <w:szCs w:val="22"/>
        </w:rPr>
      </w:pPr>
    </w:p>
    <w:p w14:paraId="5A2CECB3"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5.3</w:t>
      </w:r>
      <w:r>
        <w:rPr>
          <w:b/>
          <w:bCs/>
          <w:snapToGrid w:val="0"/>
          <w:szCs w:val="22"/>
          <w:lang w:eastAsia="x-none"/>
        </w:rPr>
        <w:tab/>
      </w:r>
      <w:proofErr w:type="spellStart"/>
      <w:r>
        <w:rPr>
          <w:b/>
          <w:bCs/>
          <w:snapToGrid w:val="0"/>
          <w:szCs w:val="22"/>
          <w:lang w:eastAsia="x-none"/>
        </w:rPr>
        <w:t>Ikiklinikinių</w:t>
      </w:r>
      <w:proofErr w:type="spellEnd"/>
      <w:r>
        <w:rPr>
          <w:b/>
          <w:bCs/>
          <w:snapToGrid w:val="0"/>
          <w:szCs w:val="22"/>
          <w:lang w:eastAsia="x-none"/>
        </w:rPr>
        <w:t xml:space="preserve"> saugumo tyrimų duomenys</w:t>
      </w:r>
    </w:p>
    <w:p w14:paraId="088185A4" w14:textId="77777777" w:rsidR="008020E2" w:rsidRDefault="008020E2">
      <w:pPr>
        <w:widowControl w:val="0"/>
        <w:rPr>
          <w:snapToGrid w:val="0"/>
          <w:szCs w:val="22"/>
        </w:rPr>
      </w:pPr>
    </w:p>
    <w:p w14:paraId="6BF0ACA8" w14:textId="705F6B6E" w:rsidR="008020E2" w:rsidRDefault="00137C20">
      <w:pPr>
        <w:widowControl w:val="0"/>
        <w:rPr>
          <w:szCs w:val="22"/>
          <w:lang w:bidi="lt-LT"/>
        </w:rPr>
      </w:pPr>
      <w:r>
        <w:rPr>
          <w:szCs w:val="22"/>
          <w:lang w:bidi="lt-LT"/>
        </w:rPr>
        <w:t xml:space="preserve">Įprastų farmakologinio saugumo, kartotinių dozių </w:t>
      </w:r>
      <w:proofErr w:type="spellStart"/>
      <w:r>
        <w:rPr>
          <w:szCs w:val="22"/>
          <w:lang w:bidi="lt-LT"/>
        </w:rPr>
        <w:t>toksiškumo</w:t>
      </w:r>
      <w:proofErr w:type="spellEnd"/>
      <w:r>
        <w:rPr>
          <w:szCs w:val="22"/>
          <w:lang w:bidi="lt-LT"/>
        </w:rPr>
        <w:t xml:space="preserve">, </w:t>
      </w:r>
      <w:proofErr w:type="spellStart"/>
      <w:r>
        <w:rPr>
          <w:szCs w:val="22"/>
          <w:lang w:bidi="lt-LT"/>
        </w:rPr>
        <w:t>genotoksiškumo</w:t>
      </w:r>
      <w:proofErr w:type="spellEnd"/>
      <w:r>
        <w:rPr>
          <w:szCs w:val="22"/>
          <w:lang w:bidi="lt-LT"/>
        </w:rPr>
        <w:t xml:space="preserve"> ir galimo </w:t>
      </w:r>
      <w:proofErr w:type="spellStart"/>
      <w:r>
        <w:rPr>
          <w:szCs w:val="22"/>
          <w:lang w:bidi="lt-LT"/>
        </w:rPr>
        <w:t>kancerogeniškumo</w:t>
      </w:r>
      <w:proofErr w:type="spellEnd"/>
      <w:r>
        <w:rPr>
          <w:szCs w:val="22"/>
          <w:lang w:bidi="lt-LT"/>
        </w:rPr>
        <w:t xml:space="preserve"> </w:t>
      </w:r>
      <w:proofErr w:type="spellStart"/>
      <w:r>
        <w:rPr>
          <w:szCs w:val="22"/>
          <w:lang w:bidi="lt-LT"/>
        </w:rPr>
        <w:t>ikiklinikinių</w:t>
      </w:r>
      <w:proofErr w:type="spellEnd"/>
      <w:r>
        <w:rPr>
          <w:szCs w:val="22"/>
          <w:lang w:bidi="lt-LT"/>
        </w:rPr>
        <w:t xml:space="preserve"> tyrimų duomenys specifinio pavojaus žmogui nerodo.</w:t>
      </w:r>
      <w:r w:rsidRPr="006174FB">
        <w:t xml:space="preserve"> </w:t>
      </w:r>
      <w:r>
        <w:rPr>
          <w:szCs w:val="22"/>
          <w:lang w:bidi="lt-LT"/>
        </w:rPr>
        <w:t xml:space="preserve">Beždžionėms buvo pastebėta toksinio poveikio inkstams požymių, kai ekspozicija buvo didesnė nei nustatoma suaugusiems žmonėms, vartojusiems didžiausią 4 mg paros dozę, o beždžionėms </w:t>
      </w:r>
      <w:r w:rsidR="00243B6D">
        <w:rPr>
          <w:szCs w:val="22"/>
          <w:lang w:bidi="lt-LT"/>
        </w:rPr>
        <w:t xml:space="preserve">pašalinimas </w:t>
      </w:r>
      <w:r>
        <w:rPr>
          <w:szCs w:val="22"/>
          <w:lang w:bidi="lt-LT"/>
        </w:rPr>
        <w:t xml:space="preserve">su šlapimu yra daug svarbesnis nei kitoms gyvūnų rūšims. </w:t>
      </w:r>
      <w:proofErr w:type="spellStart"/>
      <w:r>
        <w:rPr>
          <w:i/>
          <w:iCs/>
          <w:szCs w:val="22"/>
          <w:lang w:bidi="lt-LT"/>
        </w:rPr>
        <w:t>In</w:t>
      </w:r>
      <w:proofErr w:type="spellEnd"/>
      <w:r>
        <w:rPr>
          <w:i/>
          <w:iCs/>
          <w:szCs w:val="22"/>
          <w:lang w:bidi="lt-LT"/>
        </w:rPr>
        <w:t xml:space="preserve"> </w:t>
      </w:r>
      <w:proofErr w:type="spellStart"/>
      <w:r>
        <w:rPr>
          <w:i/>
          <w:iCs/>
          <w:szCs w:val="22"/>
          <w:lang w:bidi="lt-LT"/>
        </w:rPr>
        <w:t>vitro</w:t>
      </w:r>
      <w:proofErr w:type="spellEnd"/>
      <w:r>
        <w:rPr>
          <w:szCs w:val="22"/>
          <w:lang w:bidi="lt-LT"/>
        </w:rPr>
        <w:t xml:space="preserve"> tyrimai su kepenų </w:t>
      </w:r>
      <w:proofErr w:type="spellStart"/>
      <w:r>
        <w:rPr>
          <w:szCs w:val="22"/>
          <w:lang w:bidi="lt-LT"/>
        </w:rPr>
        <w:t>mikrosomomis</w:t>
      </w:r>
      <w:proofErr w:type="spellEnd"/>
      <w:r>
        <w:rPr>
          <w:szCs w:val="22"/>
          <w:lang w:bidi="lt-LT"/>
        </w:rPr>
        <w:t xml:space="preserve"> rodo, kad tai gali būti susiję su beždžionėms specifiniu metabolitu. Mažai tikėtina, kad beždžionėms stebėtas poveikis inkstams būtų kliniškai svarbus žmonėms, tačiau inkstų nepageidaujamų reakcijų galimybės visiškai atmesti negalima.</w:t>
      </w:r>
    </w:p>
    <w:p w14:paraId="0B1C9F32" w14:textId="77777777" w:rsidR="008020E2" w:rsidRDefault="008020E2">
      <w:pPr>
        <w:widowControl w:val="0"/>
        <w:rPr>
          <w:szCs w:val="22"/>
          <w:lang w:bidi="lt-LT"/>
        </w:rPr>
      </w:pPr>
    </w:p>
    <w:p w14:paraId="641405DF" w14:textId="17A9418A" w:rsidR="008020E2" w:rsidRDefault="00137C20">
      <w:pPr>
        <w:widowControl w:val="0"/>
        <w:rPr>
          <w:szCs w:val="22"/>
          <w:lang w:bidi="lt-LT"/>
        </w:rPr>
      </w:pPr>
      <w:proofErr w:type="spellStart"/>
      <w:r>
        <w:rPr>
          <w:szCs w:val="22"/>
          <w:lang w:bidi="lt-LT"/>
        </w:rPr>
        <w:t>Pitavastatinas</w:t>
      </w:r>
      <w:proofErr w:type="spellEnd"/>
      <w:r>
        <w:rPr>
          <w:szCs w:val="22"/>
          <w:lang w:bidi="lt-LT"/>
        </w:rPr>
        <w:t xml:space="preserve"> neturėjo poveikio vaisingumui ar reprodukcinei funkcijai ir nebuvo gauta jokių duomenų apie galimą </w:t>
      </w:r>
      <w:proofErr w:type="spellStart"/>
      <w:r>
        <w:rPr>
          <w:szCs w:val="22"/>
          <w:lang w:bidi="lt-LT"/>
        </w:rPr>
        <w:t>teratogeninį</w:t>
      </w:r>
      <w:proofErr w:type="spellEnd"/>
      <w:r>
        <w:rPr>
          <w:szCs w:val="22"/>
          <w:lang w:bidi="lt-LT"/>
        </w:rPr>
        <w:t xml:space="preserve"> poveikį. Vis dėlto vartojant dideles dozes buvo pastebėtas toksinis poveikis </w:t>
      </w:r>
      <w:r w:rsidR="00B83EB8">
        <w:rPr>
          <w:szCs w:val="22"/>
          <w:lang w:bidi="lt-LT"/>
        </w:rPr>
        <w:t xml:space="preserve">nėščioms </w:t>
      </w:r>
      <w:r>
        <w:rPr>
          <w:szCs w:val="22"/>
          <w:lang w:bidi="lt-LT"/>
        </w:rPr>
        <w:t>patelėms. Tyrimo su žiurkėmis metu nustatytas vaikingų patelių žuvimas atsivedimo metu ar likus nedaug laiko iki jo, kartu įvykstant vaisiaus ar jauniklio žūčiai, kai paros dozė buvo 1 mg/kg (maždaug 4 kartus didesnė už didžiausią žmogui skiriamą dozę, remiantis AUC). Tyrimų su jaunikliais neatlikta.</w:t>
      </w:r>
    </w:p>
    <w:p w14:paraId="6F322B81" w14:textId="77777777" w:rsidR="008020E2" w:rsidRDefault="008020E2">
      <w:pPr>
        <w:ind w:left="567" w:hanging="567"/>
      </w:pPr>
    </w:p>
    <w:p w14:paraId="72BBD87D" w14:textId="77777777" w:rsidR="008020E2" w:rsidRPr="006174FB" w:rsidRDefault="00137C20">
      <w:pPr>
        <w:ind w:left="567" w:hanging="567"/>
        <w:rPr>
          <w:b/>
          <w:caps/>
        </w:rPr>
      </w:pPr>
      <w:r>
        <w:rPr>
          <w:b/>
          <w:caps/>
        </w:rPr>
        <w:t>6.</w:t>
      </w:r>
      <w:r>
        <w:rPr>
          <w:b/>
          <w:caps/>
        </w:rPr>
        <w:tab/>
        <w:t>farmacinė informacija</w:t>
      </w:r>
    </w:p>
    <w:p w14:paraId="2B6D3184" w14:textId="77777777" w:rsidR="008020E2" w:rsidRDefault="008020E2">
      <w:pPr>
        <w:ind w:left="567" w:hanging="567"/>
      </w:pPr>
    </w:p>
    <w:p w14:paraId="17116368" w14:textId="77777777" w:rsidR="008020E2" w:rsidRDefault="00137C20">
      <w:pPr>
        <w:ind w:left="567" w:hanging="567"/>
        <w:rPr>
          <w:b/>
        </w:rPr>
      </w:pPr>
      <w:r>
        <w:rPr>
          <w:b/>
        </w:rPr>
        <w:t>6.1</w:t>
      </w:r>
      <w:r>
        <w:rPr>
          <w:b/>
        </w:rPr>
        <w:tab/>
        <w:t>Pagalbinių medžiagų sąrašas</w:t>
      </w:r>
    </w:p>
    <w:p w14:paraId="111F4714" w14:textId="77777777" w:rsidR="008020E2" w:rsidRDefault="008020E2"/>
    <w:p w14:paraId="77F689E0" w14:textId="77777777" w:rsidR="008020E2" w:rsidRDefault="00137C20">
      <w:pPr>
        <w:suppressLineNumbers/>
        <w:rPr>
          <w:noProof/>
          <w:u w:val="single"/>
        </w:rPr>
      </w:pPr>
      <w:r>
        <w:rPr>
          <w:u w:val="single"/>
        </w:rPr>
        <w:t>Tabletės šerdis</w:t>
      </w:r>
    </w:p>
    <w:p w14:paraId="48145EBF" w14:textId="77777777" w:rsidR="008020E2" w:rsidRDefault="00137C20">
      <w:r>
        <w:t xml:space="preserve">Laktozė </w:t>
      </w:r>
      <w:proofErr w:type="spellStart"/>
      <w:r>
        <w:t>monohidratas</w:t>
      </w:r>
      <w:proofErr w:type="spellEnd"/>
    </w:p>
    <w:p w14:paraId="50838F57" w14:textId="5344183C" w:rsidR="008020E2" w:rsidRDefault="00137C20">
      <w:proofErr w:type="spellStart"/>
      <w:r>
        <w:t>Hipromeliozė</w:t>
      </w:r>
      <w:proofErr w:type="spellEnd"/>
      <w:r>
        <w:t xml:space="preserve"> 5 </w:t>
      </w:r>
      <w:proofErr w:type="spellStart"/>
      <w:r>
        <w:t>c</w:t>
      </w:r>
      <w:r w:rsidR="00762C33">
        <w:t>P</w:t>
      </w:r>
      <w:proofErr w:type="spellEnd"/>
    </w:p>
    <w:p w14:paraId="621EE128" w14:textId="27F23A12" w:rsidR="008020E2" w:rsidRDefault="00762C33">
      <w:proofErr w:type="spellStart"/>
      <w:r>
        <w:t>H</w:t>
      </w:r>
      <w:r w:rsidR="00137C20">
        <w:t>idroksipropilceliuliozė</w:t>
      </w:r>
      <w:proofErr w:type="spellEnd"/>
      <w:r>
        <w:t xml:space="preserve"> (mažai pakeista)</w:t>
      </w:r>
    </w:p>
    <w:p w14:paraId="55B0B297" w14:textId="77777777" w:rsidR="008020E2" w:rsidRDefault="00137C20">
      <w:r>
        <w:t xml:space="preserve">Magnio </w:t>
      </w:r>
      <w:proofErr w:type="spellStart"/>
      <w:r>
        <w:t>stearatas</w:t>
      </w:r>
      <w:proofErr w:type="spellEnd"/>
    </w:p>
    <w:p w14:paraId="76C03CBE" w14:textId="77777777" w:rsidR="008020E2" w:rsidRDefault="008020E2"/>
    <w:p w14:paraId="47E748D2" w14:textId="12AA8821" w:rsidR="008020E2" w:rsidRDefault="00137C20">
      <w:pPr>
        <w:ind w:left="567" w:hanging="567"/>
        <w:rPr>
          <w:u w:val="single"/>
        </w:rPr>
      </w:pPr>
      <w:r>
        <w:rPr>
          <w:u w:val="single"/>
        </w:rPr>
        <w:t xml:space="preserve">Tabletės </w:t>
      </w:r>
      <w:r w:rsidR="00762C33">
        <w:rPr>
          <w:u w:val="single"/>
        </w:rPr>
        <w:t>plėvelė</w:t>
      </w:r>
    </w:p>
    <w:p w14:paraId="0EE18D9D" w14:textId="33350752" w:rsidR="008020E2" w:rsidRDefault="00137C20">
      <w:proofErr w:type="spellStart"/>
      <w:r>
        <w:t>Hipromeliozė</w:t>
      </w:r>
      <w:proofErr w:type="spellEnd"/>
      <w:r>
        <w:t xml:space="preserve"> 6 </w:t>
      </w:r>
      <w:proofErr w:type="spellStart"/>
      <w:r>
        <w:t>c</w:t>
      </w:r>
      <w:r w:rsidR="00762C33">
        <w:t>P</w:t>
      </w:r>
      <w:proofErr w:type="spellEnd"/>
    </w:p>
    <w:p w14:paraId="7E027408" w14:textId="77777777" w:rsidR="008020E2" w:rsidRDefault="00137C20">
      <w:pPr>
        <w:ind w:left="567" w:hanging="567"/>
      </w:pPr>
      <w:r>
        <w:t>Titano dioksidas (E171)</w:t>
      </w:r>
    </w:p>
    <w:p w14:paraId="3F2A595B" w14:textId="77777777" w:rsidR="008020E2" w:rsidRDefault="00137C20">
      <w:pPr>
        <w:ind w:left="567" w:hanging="567"/>
      </w:pPr>
      <w:r>
        <w:t>Talkas</w:t>
      </w:r>
    </w:p>
    <w:p w14:paraId="56B2DB0A" w14:textId="77777777" w:rsidR="008020E2" w:rsidRDefault="00137C20">
      <w:pPr>
        <w:ind w:left="567" w:hanging="567"/>
      </w:pPr>
      <w:proofErr w:type="spellStart"/>
      <w:r>
        <w:t>Propilenglikolis</w:t>
      </w:r>
      <w:proofErr w:type="spellEnd"/>
      <w:r>
        <w:t xml:space="preserve"> (E1520)</w:t>
      </w:r>
    </w:p>
    <w:p w14:paraId="2689E673" w14:textId="77777777" w:rsidR="008020E2" w:rsidRDefault="00137C20">
      <w:pPr>
        <w:ind w:left="567" w:hanging="567"/>
      </w:pPr>
      <w:r>
        <w:t xml:space="preserve">Geltonasis geležies oksidas (E172) </w:t>
      </w:r>
      <w:r w:rsidRPr="006174FB">
        <w:rPr>
          <w:i/>
          <w:color w:val="000000"/>
          <w:lang w:val="pt-PT"/>
        </w:rPr>
        <w:t>– tik 1 mg ir 2</w:t>
      </w:r>
      <w:r>
        <w:t> </w:t>
      </w:r>
      <w:r>
        <w:rPr>
          <w:i/>
          <w:iCs/>
        </w:rPr>
        <w:t>mg tabletėms</w:t>
      </w:r>
    </w:p>
    <w:p w14:paraId="135A9F20" w14:textId="77777777" w:rsidR="008020E2" w:rsidRDefault="00137C20">
      <w:pPr>
        <w:ind w:left="567" w:hanging="567"/>
      </w:pPr>
      <w:r>
        <w:t xml:space="preserve">Raudonasis geležies oksidas (E172) </w:t>
      </w:r>
      <w:r w:rsidRPr="006174FB">
        <w:rPr>
          <w:i/>
          <w:color w:val="000000"/>
          <w:lang w:val="pt-PT"/>
        </w:rPr>
        <w:t>– tik 2 mg ir 4</w:t>
      </w:r>
      <w:r>
        <w:t> </w:t>
      </w:r>
      <w:r>
        <w:rPr>
          <w:i/>
          <w:iCs/>
        </w:rPr>
        <w:t>mg tabletėms</w:t>
      </w:r>
    </w:p>
    <w:p w14:paraId="16973DD5" w14:textId="77777777" w:rsidR="008020E2" w:rsidRDefault="008020E2">
      <w:pPr>
        <w:ind w:left="567" w:hanging="567"/>
      </w:pPr>
    </w:p>
    <w:p w14:paraId="432BD87D" w14:textId="77777777" w:rsidR="008020E2" w:rsidRDefault="00137C20">
      <w:pPr>
        <w:ind w:left="567" w:hanging="567"/>
        <w:rPr>
          <w:b/>
        </w:rPr>
      </w:pPr>
      <w:r>
        <w:rPr>
          <w:b/>
        </w:rPr>
        <w:t>6.2</w:t>
      </w:r>
      <w:r>
        <w:rPr>
          <w:b/>
        </w:rPr>
        <w:tab/>
        <w:t>Nesuderinamumas</w:t>
      </w:r>
    </w:p>
    <w:p w14:paraId="041D1186" w14:textId="77777777" w:rsidR="008020E2" w:rsidRDefault="008020E2">
      <w:pPr>
        <w:ind w:left="567" w:hanging="567"/>
      </w:pPr>
    </w:p>
    <w:p w14:paraId="6A35FA8C" w14:textId="1466AA83" w:rsidR="008020E2" w:rsidRDefault="00762C33">
      <w:r w:rsidRPr="005D554B">
        <w:rPr>
          <w:noProof/>
          <w:snapToGrid w:val="0"/>
        </w:rPr>
        <w:t>Duomenys nebūtini.</w:t>
      </w:r>
    </w:p>
    <w:p w14:paraId="33D9C7E5" w14:textId="77777777" w:rsidR="008020E2" w:rsidRDefault="008020E2">
      <w:pPr>
        <w:ind w:left="567" w:hanging="567"/>
      </w:pPr>
    </w:p>
    <w:p w14:paraId="44D65968" w14:textId="77777777" w:rsidR="008020E2" w:rsidRDefault="00137C20">
      <w:pPr>
        <w:ind w:left="567" w:hanging="567"/>
        <w:rPr>
          <w:b/>
        </w:rPr>
      </w:pPr>
      <w:r>
        <w:rPr>
          <w:b/>
        </w:rPr>
        <w:t>6.3</w:t>
      </w:r>
      <w:r>
        <w:rPr>
          <w:b/>
        </w:rPr>
        <w:tab/>
        <w:t>Tinkamumo laikas</w:t>
      </w:r>
    </w:p>
    <w:p w14:paraId="6E30D3FA" w14:textId="77777777" w:rsidR="008020E2" w:rsidRDefault="008020E2">
      <w:pPr>
        <w:ind w:left="567" w:hanging="567"/>
      </w:pPr>
    </w:p>
    <w:p w14:paraId="62411EEC" w14:textId="1CDF17D9" w:rsidR="008020E2" w:rsidRDefault="00137C20">
      <w:pPr>
        <w:ind w:left="567" w:hanging="567"/>
      </w:pPr>
      <w:r>
        <w:t>3 metai</w:t>
      </w:r>
      <w:r w:rsidR="00552323">
        <w:t>.</w:t>
      </w:r>
    </w:p>
    <w:p w14:paraId="774C1C5F" w14:textId="77777777" w:rsidR="008020E2" w:rsidRDefault="008020E2">
      <w:pPr>
        <w:ind w:left="567" w:hanging="567"/>
      </w:pPr>
    </w:p>
    <w:p w14:paraId="3DE96425" w14:textId="77777777" w:rsidR="008020E2" w:rsidRDefault="00137C20">
      <w:pPr>
        <w:ind w:left="567" w:hanging="567"/>
        <w:rPr>
          <w:b/>
        </w:rPr>
      </w:pPr>
      <w:r>
        <w:rPr>
          <w:b/>
        </w:rPr>
        <w:t>6.4</w:t>
      </w:r>
      <w:r>
        <w:rPr>
          <w:b/>
        </w:rPr>
        <w:tab/>
        <w:t>Specialios laikymo sąlygos</w:t>
      </w:r>
    </w:p>
    <w:p w14:paraId="3DB3AE31" w14:textId="77777777" w:rsidR="008020E2" w:rsidRDefault="008020E2">
      <w:pPr>
        <w:rPr>
          <w:i/>
          <w:iCs/>
        </w:rPr>
      </w:pPr>
    </w:p>
    <w:p w14:paraId="312E63F8" w14:textId="77777777" w:rsidR="008020E2" w:rsidRDefault="00137C20">
      <w:r>
        <w:rPr>
          <w:noProof/>
        </w:rPr>
        <w:t>Šiam vaistiniam preparatui specialių laikymo sąlygų nereikia.</w:t>
      </w:r>
    </w:p>
    <w:p w14:paraId="5BBDF696" w14:textId="77777777" w:rsidR="008020E2" w:rsidRDefault="008020E2">
      <w:pPr>
        <w:ind w:left="567" w:hanging="567"/>
      </w:pPr>
    </w:p>
    <w:p w14:paraId="21A9BC00" w14:textId="77777777" w:rsidR="008020E2" w:rsidRDefault="00137C20">
      <w:pPr>
        <w:ind w:left="567" w:hanging="567"/>
        <w:rPr>
          <w:b/>
        </w:rPr>
      </w:pPr>
      <w:r>
        <w:rPr>
          <w:b/>
        </w:rPr>
        <w:t>6.5</w:t>
      </w:r>
      <w:r>
        <w:rPr>
          <w:b/>
        </w:rPr>
        <w:tab/>
      </w:r>
      <w:proofErr w:type="spellStart"/>
      <w:r>
        <w:rPr>
          <w:b/>
        </w:rPr>
        <w:t>Talpyklės</w:t>
      </w:r>
      <w:proofErr w:type="spellEnd"/>
      <w:r>
        <w:rPr>
          <w:b/>
        </w:rPr>
        <w:t xml:space="preserve"> pobūdis ir jos turinys</w:t>
      </w:r>
    </w:p>
    <w:p w14:paraId="079E07DF" w14:textId="77777777" w:rsidR="008020E2" w:rsidRDefault="008020E2">
      <w:pPr>
        <w:ind w:left="567" w:hanging="567"/>
      </w:pPr>
    </w:p>
    <w:p w14:paraId="54A0AE82" w14:textId="41A80F46" w:rsidR="008020E2" w:rsidRPr="006174FB" w:rsidRDefault="00137C20">
      <w:pPr>
        <w:widowControl w:val="0"/>
        <w:tabs>
          <w:tab w:val="left" w:pos="567"/>
        </w:tabs>
      </w:pPr>
      <w:r w:rsidRPr="006174FB">
        <w:t>Lizdinės plokštelės (PVC</w:t>
      </w:r>
      <w:r w:rsidR="00552323" w:rsidRPr="006174FB">
        <w:t xml:space="preserve"> </w:t>
      </w:r>
      <w:r w:rsidRPr="006174FB">
        <w:t>/</w:t>
      </w:r>
      <w:r w:rsidR="00552323" w:rsidRPr="006174FB">
        <w:t xml:space="preserve"> </w:t>
      </w:r>
      <w:r w:rsidRPr="006174FB">
        <w:t>PVDC</w:t>
      </w:r>
      <w:r w:rsidR="00552323" w:rsidRPr="006174FB">
        <w:t xml:space="preserve"> </w:t>
      </w:r>
      <w:r w:rsidRPr="006174FB">
        <w:t>//</w:t>
      </w:r>
      <w:r w:rsidR="00552323" w:rsidRPr="006174FB">
        <w:t xml:space="preserve"> aliuminio</w:t>
      </w:r>
      <w:r w:rsidRPr="006174FB">
        <w:t>): 7, 28, 30, 56, 60, 84, 90 arba 100 plėvele dengtų tablečių dėžutėje.</w:t>
      </w:r>
    </w:p>
    <w:p w14:paraId="3353896B" w14:textId="675EC64C" w:rsidR="008020E2" w:rsidRPr="006174FB" w:rsidRDefault="00137C20">
      <w:pPr>
        <w:widowControl w:val="0"/>
        <w:tabs>
          <w:tab w:val="left" w:pos="567"/>
        </w:tabs>
      </w:pPr>
      <w:r w:rsidRPr="006174FB">
        <w:t>Lizdinės plokštelės (PVC</w:t>
      </w:r>
      <w:r w:rsidR="00552323" w:rsidRPr="006174FB">
        <w:t xml:space="preserve"> </w:t>
      </w:r>
      <w:r w:rsidRPr="006174FB">
        <w:t>/</w:t>
      </w:r>
      <w:r w:rsidR="00552323" w:rsidRPr="006174FB">
        <w:t xml:space="preserve"> </w:t>
      </w:r>
      <w:r w:rsidRPr="006174FB">
        <w:t>PVDC</w:t>
      </w:r>
      <w:r w:rsidR="00552323" w:rsidRPr="006174FB">
        <w:t xml:space="preserve"> </w:t>
      </w:r>
      <w:r w:rsidRPr="006174FB">
        <w:t>//</w:t>
      </w:r>
      <w:r w:rsidR="00552323" w:rsidRPr="006174FB">
        <w:t xml:space="preserve"> aliuminio</w:t>
      </w:r>
      <w:r w:rsidRPr="006174FB">
        <w:t>), kalendorinė pakuotė: 7, 28, 56 arba 84 plėvele dengtos tabletės dėžutėje.</w:t>
      </w:r>
    </w:p>
    <w:p w14:paraId="26CB9FB2" w14:textId="77777777" w:rsidR="008020E2" w:rsidRPr="006174FB" w:rsidRDefault="008020E2">
      <w:pPr>
        <w:widowControl w:val="0"/>
        <w:tabs>
          <w:tab w:val="left" w:pos="567"/>
        </w:tabs>
      </w:pPr>
    </w:p>
    <w:p w14:paraId="6CBA30A0" w14:textId="2BEC9D7A" w:rsidR="008020E2" w:rsidRPr="006174FB" w:rsidRDefault="00137C20">
      <w:pPr>
        <w:widowControl w:val="0"/>
        <w:tabs>
          <w:tab w:val="left" w:pos="567"/>
        </w:tabs>
      </w:pPr>
      <w:r w:rsidRPr="006174FB">
        <w:t xml:space="preserve">Lizdinės plokštelės (perforuotos </w:t>
      </w:r>
      <w:proofErr w:type="spellStart"/>
      <w:r w:rsidR="00552323" w:rsidRPr="006174FB">
        <w:t>dalomosios</w:t>
      </w:r>
      <w:proofErr w:type="spellEnd"/>
      <w:r w:rsidRPr="006174FB">
        <w:t xml:space="preserve"> lizdinės plokštelės, PVC</w:t>
      </w:r>
      <w:r w:rsidR="00552323" w:rsidRPr="006174FB">
        <w:t xml:space="preserve"> </w:t>
      </w:r>
      <w:r w:rsidRPr="006174FB">
        <w:t>/</w:t>
      </w:r>
      <w:r w:rsidR="00552323" w:rsidRPr="006174FB">
        <w:t xml:space="preserve"> </w:t>
      </w:r>
      <w:r w:rsidRPr="006174FB">
        <w:t>PVDC</w:t>
      </w:r>
      <w:r w:rsidR="00552323" w:rsidRPr="006174FB">
        <w:t xml:space="preserve"> </w:t>
      </w:r>
      <w:r w:rsidRPr="006174FB">
        <w:t>//</w:t>
      </w:r>
      <w:r w:rsidR="00552323" w:rsidRPr="006174FB">
        <w:t xml:space="preserve"> aliuminio</w:t>
      </w:r>
      <w:r w:rsidRPr="006174FB">
        <w:t>): 7 × 1, 28 × 1, 30 × 1, 56 × 1, 60 × 1, 84 × 1, 90 × 1 arba 100 × 1 plėvele dengt</w:t>
      </w:r>
      <w:r w:rsidR="00552323" w:rsidRPr="006174FB">
        <w:t>ų</w:t>
      </w:r>
      <w:r w:rsidRPr="006174FB">
        <w:t xml:space="preserve"> table</w:t>
      </w:r>
      <w:r w:rsidR="00552323" w:rsidRPr="006174FB">
        <w:t>čių</w:t>
      </w:r>
      <w:r w:rsidRPr="006174FB">
        <w:t xml:space="preserve"> dėžutėje.</w:t>
      </w:r>
    </w:p>
    <w:p w14:paraId="3DE85679" w14:textId="5EFA10CC" w:rsidR="008020E2" w:rsidRPr="006174FB" w:rsidRDefault="00137C20">
      <w:pPr>
        <w:widowControl w:val="0"/>
        <w:tabs>
          <w:tab w:val="left" w:pos="567"/>
        </w:tabs>
      </w:pPr>
      <w:r w:rsidRPr="006174FB">
        <w:t xml:space="preserve">Lizdinės plokštelės (perforuotos </w:t>
      </w:r>
      <w:proofErr w:type="spellStart"/>
      <w:r w:rsidR="00552323" w:rsidRPr="006174FB">
        <w:t>dalomosios</w:t>
      </w:r>
      <w:proofErr w:type="spellEnd"/>
      <w:r w:rsidRPr="006174FB">
        <w:t xml:space="preserve"> lizdinės plokštelės, PVC</w:t>
      </w:r>
      <w:r w:rsidR="00552323" w:rsidRPr="006174FB">
        <w:t xml:space="preserve"> </w:t>
      </w:r>
      <w:r w:rsidRPr="006174FB">
        <w:t>/</w:t>
      </w:r>
      <w:r w:rsidR="00552323" w:rsidRPr="006174FB">
        <w:t xml:space="preserve"> </w:t>
      </w:r>
      <w:r w:rsidRPr="006174FB">
        <w:t>PVDC</w:t>
      </w:r>
      <w:r w:rsidR="00552323" w:rsidRPr="006174FB">
        <w:t xml:space="preserve"> </w:t>
      </w:r>
      <w:r w:rsidRPr="006174FB">
        <w:t>//</w:t>
      </w:r>
      <w:r w:rsidR="00552323" w:rsidRPr="006174FB">
        <w:t xml:space="preserve"> aliuminio</w:t>
      </w:r>
      <w:r w:rsidRPr="006174FB">
        <w:t>), kalendorinė pakuotė: 7 × 1, 28 × 1, 56 × 1 arba 84 × 1 plėvele dengtos tabletės dėžutėje.</w:t>
      </w:r>
    </w:p>
    <w:p w14:paraId="154A2C9D" w14:textId="77777777" w:rsidR="008020E2" w:rsidRDefault="008020E2">
      <w:pPr>
        <w:ind w:left="567" w:hanging="567"/>
      </w:pPr>
    </w:p>
    <w:p w14:paraId="599E2F8B" w14:textId="77777777" w:rsidR="008020E2" w:rsidRDefault="00137C20">
      <w:pPr>
        <w:ind w:left="567" w:hanging="567"/>
      </w:pPr>
      <w:r>
        <w:t>Gali būti tiekiamos ne visų dydžių pakuotės.</w:t>
      </w:r>
    </w:p>
    <w:p w14:paraId="2492BD4A" w14:textId="77777777" w:rsidR="008020E2" w:rsidRDefault="008020E2">
      <w:pPr>
        <w:ind w:left="567" w:hanging="567"/>
      </w:pPr>
    </w:p>
    <w:p w14:paraId="2C7498E6" w14:textId="3A634324" w:rsidR="008020E2" w:rsidRDefault="00137C20">
      <w:pPr>
        <w:ind w:left="567" w:hanging="567"/>
        <w:outlineLvl w:val="0"/>
        <w:rPr>
          <w:noProof/>
        </w:rPr>
      </w:pPr>
      <w:r>
        <w:rPr>
          <w:b/>
        </w:rPr>
        <w:t>6.6</w:t>
      </w:r>
      <w:r>
        <w:rPr>
          <w:b/>
        </w:rPr>
        <w:tab/>
      </w:r>
      <w:r>
        <w:rPr>
          <w:rStyle w:val="Grietas"/>
          <w:color w:val="000000"/>
        </w:rPr>
        <w:t xml:space="preserve">Specialūs reikalavimai atliekoms tvarkyti </w:t>
      </w:r>
    </w:p>
    <w:p w14:paraId="101A814E" w14:textId="77777777" w:rsidR="008020E2" w:rsidRDefault="008020E2">
      <w:pPr>
        <w:ind w:left="567" w:hanging="567"/>
        <w:rPr>
          <w:b/>
        </w:rPr>
      </w:pPr>
    </w:p>
    <w:p w14:paraId="63DF4754" w14:textId="77777777" w:rsidR="008020E2" w:rsidRDefault="008020E2">
      <w:pPr>
        <w:ind w:left="567" w:hanging="567"/>
      </w:pPr>
    </w:p>
    <w:p w14:paraId="07C051FD" w14:textId="77777777" w:rsidR="008020E2" w:rsidRDefault="00137C20">
      <w:pPr>
        <w:ind w:left="567" w:hanging="567"/>
      </w:pPr>
      <w:r>
        <w:rPr>
          <w:noProof/>
        </w:rPr>
        <w:t>Nesuvartotą</w:t>
      </w:r>
      <w:r>
        <w:t xml:space="preserve"> vaistinį preparatą ar atliekas reikia </w:t>
      </w:r>
      <w:r>
        <w:rPr>
          <w:noProof/>
        </w:rPr>
        <w:t>tvarkyti</w:t>
      </w:r>
      <w:r>
        <w:t xml:space="preserve"> laikantis vietinių reikalavimų.</w:t>
      </w:r>
    </w:p>
    <w:p w14:paraId="7815FCAC" w14:textId="77777777" w:rsidR="008020E2" w:rsidRDefault="008020E2">
      <w:pPr>
        <w:ind w:left="567" w:hanging="567"/>
      </w:pPr>
    </w:p>
    <w:p w14:paraId="7E8B414D" w14:textId="77777777" w:rsidR="008020E2" w:rsidRDefault="008020E2">
      <w:pPr>
        <w:ind w:left="567" w:hanging="567"/>
      </w:pPr>
    </w:p>
    <w:p w14:paraId="3F5519B0" w14:textId="77777777" w:rsidR="008020E2" w:rsidRDefault="00137C20">
      <w:pPr>
        <w:ind w:left="567" w:hanging="567"/>
        <w:rPr>
          <w:b/>
          <w:caps/>
        </w:rPr>
      </w:pPr>
      <w:r>
        <w:rPr>
          <w:b/>
          <w:caps/>
        </w:rPr>
        <w:t>7.</w:t>
      </w:r>
      <w:r>
        <w:rPr>
          <w:b/>
          <w:caps/>
        </w:rPr>
        <w:tab/>
      </w:r>
      <w:r>
        <w:rPr>
          <w:b/>
          <w:caps/>
          <w:noProof/>
        </w:rPr>
        <w:t>REGISTRUOTOJAS</w:t>
      </w:r>
    </w:p>
    <w:p w14:paraId="3EC75260" w14:textId="77777777" w:rsidR="008020E2" w:rsidRDefault="008020E2"/>
    <w:p w14:paraId="7FAFF3C1" w14:textId="77777777" w:rsidR="008020E2" w:rsidRDefault="00137C20">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1C272CE0" w14:textId="77777777" w:rsidR="008020E2" w:rsidRDefault="00137C20">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25F1474C" w14:textId="77777777" w:rsidR="008020E2" w:rsidRDefault="00137C20">
      <w:pPr>
        <w:widowControl w:val="0"/>
        <w:tabs>
          <w:tab w:val="left" w:pos="567"/>
        </w:tabs>
        <w:rPr>
          <w:szCs w:val="20"/>
          <w:lang w:eastAsia="sl-SI"/>
        </w:rPr>
      </w:pPr>
      <w:r>
        <w:rPr>
          <w:snapToGrid w:val="0"/>
          <w:szCs w:val="22"/>
        </w:rPr>
        <w:t>8501 Novo mesto</w:t>
      </w:r>
    </w:p>
    <w:p w14:paraId="3448F1BF" w14:textId="77777777" w:rsidR="008020E2" w:rsidRDefault="00137C20">
      <w:pPr>
        <w:widowControl w:val="0"/>
        <w:tabs>
          <w:tab w:val="left" w:pos="567"/>
        </w:tabs>
        <w:rPr>
          <w:snapToGrid w:val="0"/>
          <w:szCs w:val="22"/>
        </w:rPr>
      </w:pPr>
      <w:r>
        <w:rPr>
          <w:snapToGrid w:val="0"/>
          <w:szCs w:val="22"/>
        </w:rPr>
        <w:t>Slovėnija</w:t>
      </w:r>
    </w:p>
    <w:p w14:paraId="6D6EFCA2" w14:textId="77777777" w:rsidR="008020E2" w:rsidRDefault="008020E2">
      <w:pPr>
        <w:ind w:left="567" w:hanging="567"/>
      </w:pPr>
    </w:p>
    <w:p w14:paraId="55DEC14B" w14:textId="77777777" w:rsidR="008020E2" w:rsidRDefault="008020E2">
      <w:pPr>
        <w:ind w:left="567" w:hanging="567"/>
      </w:pPr>
    </w:p>
    <w:p w14:paraId="5DAA508E" w14:textId="77777777" w:rsidR="008020E2" w:rsidRDefault="00137C20">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69E15085" w14:textId="77777777" w:rsidR="008020E2" w:rsidRDefault="008020E2">
      <w:pPr>
        <w:rPr>
          <w:i/>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2"/>
        <w:gridCol w:w="3022"/>
      </w:tblGrid>
      <w:tr w:rsidR="00417532" w14:paraId="34464C49" w14:textId="77777777" w:rsidTr="0074278C">
        <w:tc>
          <w:tcPr>
            <w:tcW w:w="3021" w:type="dxa"/>
          </w:tcPr>
          <w:p w14:paraId="1760F680" w14:textId="77777777" w:rsidR="00417532" w:rsidRPr="0074278C" w:rsidRDefault="00417532">
            <w:pPr>
              <w:rPr>
                <w:u w:val="single"/>
              </w:rPr>
            </w:pPr>
            <w:r w:rsidRPr="0074278C">
              <w:rPr>
                <w:u w:val="single"/>
              </w:rPr>
              <w:t>1 mg</w:t>
            </w:r>
          </w:p>
          <w:p w14:paraId="2DAE383C" w14:textId="77777777" w:rsidR="002E44A4" w:rsidRDefault="002E44A4" w:rsidP="002E44A4">
            <w:r w:rsidRPr="0074278C">
              <w:rPr>
                <w:u w:val="single"/>
              </w:rPr>
              <w:t>Lizdinė plokštelė</w:t>
            </w:r>
            <w:r>
              <w:t>:</w:t>
            </w:r>
          </w:p>
          <w:p w14:paraId="0FB02D2B" w14:textId="77777777" w:rsidR="002E44A4" w:rsidRDefault="002E44A4" w:rsidP="002E44A4">
            <w:r>
              <w:t>LT/1/24/5543/001 – N7</w:t>
            </w:r>
          </w:p>
          <w:p w14:paraId="74C17627" w14:textId="77777777" w:rsidR="002E44A4" w:rsidRDefault="002E44A4" w:rsidP="002E44A4">
            <w:r>
              <w:t>LT/1/24/5543/002 – N28</w:t>
            </w:r>
          </w:p>
          <w:p w14:paraId="3CDEA477" w14:textId="77777777" w:rsidR="002E44A4" w:rsidRDefault="002E44A4" w:rsidP="002E44A4">
            <w:r>
              <w:t>LT/1/24/5543/003 – N30</w:t>
            </w:r>
          </w:p>
          <w:p w14:paraId="44582B18" w14:textId="77777777" w:rsidR="002E44A4" w:rsidRDefault="002E44A4" w:rsidP="002E44A4">
            <w:r>
              <w:t>LT/1/24/5543/004 – N56</w:t>
            </w:r>
          </w:p>
          <w:p w14:paraId="057A0499" w14:textId="77777777" w:rsidR="002E44A4" w:rsidRDefault="002E44A4" w:rsidP="002E44A4">
            <w:r>
              <w:t>LT/1/24/5543/005 – N60</w:t>
            </w:r>
          </w:p>
          <w:p w14:paraId="350F22FF" w14:textId="77777777" w:rsidR="002E44A4" w:rsidRDefault="002E44A4" w:rsidP="002E44A4">
            <w:r>
              <w:t>LT/1/24/5543/006 – N84</w:t>
            </w:r>
          </w:p>
          <w:p w14:paraId="20BE5A12" w14:textId="77777777" w:rsidR="002E44A4" w:rsidRDefault="002E44A4" w:rsidP="002E44A4">
            <w:r>
              <w:t>LT/1/24/5543/007 – N90</w:t>
            </w:r>
          </w:p>
          <w:p w14:paraId="41921851" w14:textId="77777777" w:rsidR="002E44A4" w:rsidRDefault="002E44A4" w:rsidP="002E44A4">
            <w:r>
              <w:t>LT/1/24/5543/008 – N100</w:t>
            </w:r>
          </w:p>
          <w:p w14:paraId="1CBBA29C" w14:textId="7704385C" w:rsidR="002E44A4" w:rsidRDefault="0074278C" w:rsidP="002E44A4">
            <w:r>
              <w:t>(</w:t>
            </w:r>
            <w:r w:rsidR="002E44A4">
              <w:t>kalendorinė pakuotė</w:t>
            </w:r>
            <w:r>
              <w:t>)</w:t>
            </w:r>
            <w:r w:rsidR="002E44A4">
              <w:t>:</w:t>
            </w:r>
          </w:p>
          <w:p w14:paraId="655A0393" w14:textId="77777777" w:rsidR="002E44A4" w:rsidRDefault="002E44A4" w:rsidP="002E44A4">
            <w:r>
              <w:t>LT/1/24/5543/009 – N7</w:t>
            </w:r>
          </w:p>
          <w:p w14:paraId="4948147D" w14:textId="77777777" w:rsidR="002E44A4" w:rsidRDefault="002E44A4" w:rsidP="002E44A4">
            <w:r>
              <w:t>LT/1/24/5543/010 – N28</w:t>
            </w:r>
          </w:p>
          <w:p w14:paraId="6D46E370" w14:textId="77777777" w:rsidR="002E44A4" w:rsidRDefault="002E44A4" w:rsidP="002E44A4">
            <w:r>
              <w:t>LT/1/24/5543/011 – N56</w:t>
            </w:r>
          </w:p>
          <w:p w14:paraId="53902C55" w14:textId="77777777" w:rsidR="002E44A4" w:rsidRDefault="002E44A4" w:rsidP="0074278C">
            <w:pPr>
              <w:spacing w:after="80"/>
            </w:pPr>
            <w:r>
              <w:t>LT/1/24/5543/012 – N84</w:t>
            </w:r>
          </w:p>
          <w:p w14:paraId="5D01A167" w14:textId="77777777" w:rsidR="002E44A4" w:rsidRDefault="002E44A4" w:rsidP="002E44A4">
            <w:proofErr w:type="spellStart"/>
            <w:r>
              <w:t>Dalomoji</w:t>
            </w:r>
            <w:proofErr w:type="spellEnd"/>
            <w:r>
              <w:t xml:space="preserve"> lizdinė plokštelė:</w:t>
            </w:r>
          </w:p>
          <w:p w14:paraId="2299D52B" w14:textId="77777777" w:rsidR="002E44A4" w:rsidRDefault="002E44A4" w:rsidP="002E44A4">
            <w:r>
              <w:t>LT/1/24/5543/013 – N7x1</w:t>
            </w:r>
          </w:p>
          <w:p w14:paraId="0293A9EB" w14:textId="77777777" w:rsidR="002E44A4" w:rsidRDefault="002E44A4" w:rsidP="002E44A4">
            <w:r>
              <w:t>LT/1/24/5543/014 – N28x1</w:t>
            </w:r>
          </w:p>
          <w:p w14:paraId="75EA40EF" w14:textId="77777777" w:rsidR="002E44A4" w:rsidRDefault="002E44A4" w:rsidP="002E44A4">
            <w:r>
              <w:t>LT/1/24/5543/015 – N30x1</w:t>
            </w:r>
          </w:p>
          <w:p w14:paraId="36CA033E" w14:textId="77777777" w:rsidR="002E44A4" w:rsidRDefault="002E44A4" w:rsidP="002E44A4">
            <w:r>
              <w:t>LT/1/24/5543/016 – N56x1</w:t>
            </w:r>
          </w:p>
          <w:p w14:paraId="7EEB3A03" w14:textId="77777777" w:rsidR="002E44A4" w:rsidRDefault="002E44A4" w:rsidP="002E44A4">
            <w:r>
              <w:t>LT/1/24/5543/017 – N60x1</w:t>
            </w:r>
          </w:p>
          <w:p w14:paraId="211D72C9" w14:textId="77777777" w:rsidR="002E44A4" w:rsidRDefault="002E44A4" w:rsidP="002E44A4">
            <w:r>
              <w:t>LT/1/24/5543/018 – N84x1</w:t>
            </w:r>
          </w:p>
          <w:p w14:paraId="01C95FDE" w14:textId="77777777" w:rsidR="002E44A4" w:rsidRDefault="002E44A4" w:rsidP="002E44A4">
            <w:r>
              <w:t>LT/1/24/5543/019 – N90x1</w:t>
            </w:r>
          </w:p>
          <w:p w14:paraId="256F68C5" w14:textId="03E72B83" w:rsidR="002E44A4" w:rsidRDefault="002E44A4" w:rsidP="002E44A4">
            <w:r>
              <w:t>LT/1/24/5543/020 – N100x1</w:t>
            </w:r>
          </w:p>
          <w:p w14:paraId="567CEB73" w14:textId="77777777" w:rsidR="0074278C" w:rsidRDefault="0074278C" w:rsidP="002E44A4"/>
          <w:p w14:paraId="3E130BFC" w14:textId="4443C7E1" w:rsidR="002E44A4" w:rsidRDefault="005E5AFD" w:rsidP="002E44A4">
            <w:r>
              <w:t>(</w:t>
            </w:r>
            <w:r w:rsidR="002E44A4">
              <w:t>kalendorinė pakuotė</w:t>
            </w:r>
            <w:r w:rsidR="00913CCA">
              <w:t>)</w:t>
            </w:r>
            <w:r w:rsidR="002E44A4">
              <w:t>:</w:t>
            </w:r>
          </w:p>
          <w:p w14:paraId="7BBF98C9" w14:textId="77777777" w:rsidR="002E44A4" w:rsidRDefault="002E44A4" w:rsidP="002E44A4">
            <w:r>
              <w:t>LT/1/24/5543/021 – N7x1</w:t>
            </w:r>
          </w:p>
          <w:p w14:paraId="005559D9" w14:textId="77777777" w:rsidR="002E44A4" w:rsidRDefault="002E44A4" w:rsidP="002E44A4">
            <w:r>
              <w:t>LT/1/24/5543/022 – N28x1</w:t>
            </w:r>
          </w:p>
          <w:p w14:paraId="65649300" w14:textId="77777777" w:rsidR="002E44A4" w:rsidRDefault="002E44A4" w:rsidP="002E44A4">
            <w:r>
              <w:t>LT/1/24/5543/023 – N56x1</w:t>
            </w:r>
          </w:p>
          <w:p w14:paraId="67F5B0D3" w14:textId="5E68578B" w:rsidR="00417532" w:rsidRDefault="002E44A4" w:rsidP="002E44A4">
            <w:r>
              <w:t>LT/1/24/5543/024 – N84x1</w:t>
            </w:r>
          </w:p>
        </w:tc>
        <w:tc>
          <w:tcPr>
            <w:tcW w:w="3022" w:type="dxa"/>
          </w:tcPr>
          <w:p w14:paraId="4878F84D" w14:textId="77777777" w:rsidR="00417532" w:rsidRPr="0074278C" w:rsidRDefault="00417532">
            <w:pPr>
              <w:rPr>
                <w:u w:val="single"/>
              </w:rPr>
            </w:pPr>
            <w:r w:rsidRPr="0074278C">
              <w:rPr>
                <w:u w:val="single"/>
              </w:rPr>
              <w:t>2 mg</w:t>
            </w:r>
          </w:p>
          <w:p w14:paraId="546B0F0A" w14:textId="77777777" w:rsidR="00EA04A9" w:rsidRDefault="00EA04A9" w:rsidP="00EA04A9">
            <w:r w:rsidRPr="0074278C">
              <w:rPr>
                <w:u w:val="single"/>
              </w:rPr>
              <w:t>Lizdinė plokštelė</w:t>
            </w:r>
            <w:r>
              <w:t>:</w:t>
            </w:r>
          </w:p>
          <w:p w14:paraId="2A2CE473" w14:textId="77777777" w:rsidR="00EA04A9" w:rsidRDefault="00EA04A9" w:rsidP="00EA04A9">
            <w:r>
              <w:t>LT/1/24/5544/001 – N7</w:t>
            </w:r>
          </w:p>
          <w:p w14:paraId="1744E63F" w14:textId="77777777" w:rsidR="00EA04A9" w:rsidRDefault="00EA04A9" w:rsidP="00EA04A9">
            <w:r>
              <w:t>LT/1/24/5544/002 – N28</w:t>
            </w:r>
          </w:p>
          <w:p w14:paraId="4941C9E4" w14:textId="77777777" w:rsidR="00EA04A9" w:rsidRDefault="00EA04A9" w:rsidP="00EA04A9">
            <w:r>
              <w:t>LT/1/24/5544/003 – N30</w:t>
            </w:r>
          </w:p>
          <w:p w14:paraId="7BEB02D8" w14:textId="77777777" w:rsidR="00EA04A9" w:rsidRDefault="00EA04A9" w:rsidP="00EA04A9">
            <w:r>
              <w:t>LT/1/24/5544/004 – N56</w:t>
            </w:r>
          </w:p>
          <w:p w14:paraId="01D92291" w14:textId="77777777" w:rsidR="00EA04A9" w:rsidRDefault="00EA04A9" w:rsidP="00EA04A9">
            <w:r>
              <w:t>LT/1/24/5544/005 – N60</w:t>
            </w:r>
          </w:p>
          <w:p w14:paraId="020FBF2A" w14:textId="77777777" w:rsidR="00EA04A9" w:rsidRDefault="00EA04A9" w:rsidP="00EA04A9">
            <w:r>
              <w:t>LT/1/24/5544/006 – N84</w:t>
            </w:r>
          </w:p>
          <w:p w14:paraId="3125615D" w14:textId="77777777" w:rsidR="00EA04A9" w:rsidRDefault="00EA04A9" w:rsidP="00EA04A9">
            <w:r>
              <w:t>LT/1/24/5544/007 – N90</w:t>
            </w:r>
          </w:p>
          <w:p w14:paraId="0214F29E" w14:textId="77777777" w:rsidR="00EA04A9" w:rsidRDefault="00EA04A9" w:rsidP="00EA04A9">
            <w:r>
              <w:t>LT/1/24/5544/008 – N100</w:t>
            </w:r>
          </w:p>
          <w:p w14:paraId="78AC4E51" w14:textId="24043040" w:rsidR="00EA04A9" w:rsidRDefault="00EA04A9" w:rsidP="00EA04A9">
            <w:r>
              <w:t>(kalendorinė pakuotė):</w:t>
            </w:r>
          </w:p>
          <w:p w14:paraId="05457F1B" w14:textId="77777777" w:rsidR="00EA04A9" w:rsidRDefault="00EA04A9" w:rsidP="00EA04A9">
            <w:r>
              <w:t>LT/1/24/5544/009 – N7</w:t>
            </w:r>
          </w:p>
          <w:p w14:paraId="5629D4CC" w14:textId="77777777" w:rsidR="00EA04A9" w:rsidRDefault="00EA04A9" w:rsidP="00EA04A9">
            <w:r>
              <w:t>LT/1/24/5544/010 – N28</w:t>
            </w:r>
          </w:p>
          <w:p w14:paraId="1DD57379" w14:textId="77777777" w:rsidR="00EA04A9" w:rsidRDefault="00EA04A9" w:rsidP="00EA04A9">
            <w:r>
              <w:t>LT/1/24/5544/011 – N56</w:t>
            </w:r>
          </w:p>
          <w:p w14:paraId="20BBA8E0" w14:textId="77777777" w:rsidR="00EA04A9" w:rsidRDefault="00EA04A9" w:rsidP="0074278C">
            <w:pPr>
              <w:spacing w:after="80"/>
            </w:pPr>
            <w:r>
              <w:t>LT/1/24/5544/012 – N84</w:t>
            </w:r>
          </w:p>
          <w:p w14:paraId="5A4A4A87" w14:textId="77777777" w:rsidR="00EA04A9" w:rsidRDefault="00EA04A9" w:rsidP="00EA04A9">
            <w:proofErr w:type="spellStart"/>
            <w:r>
              <w:t>Dalomoji</w:t>
            </w:r>
            <w:proofErr w:type="spellEnd"/>
            <w:r>
              <w:t xml:space="preserve"> lizdinė plokštelė:</w:t>
            </w:r>
          </w:p>
          <w:p w14:paraId="6F19FCE0" w14:textId="77777777" w:rsidR="00EA04A9" w:rsidRDefault="00EA04A9" w:rsidP="00EA04A9">
            <w:r>
              <w:t>LT/1/24/5544/013 – N7x1</w:t>
            </w:r>
          </w:p>
          <w:p w14:paraId="5307036D" w14:textId="77777777" w:rsidR="00EA04A9" w:rsidRDefault="00EA04A9" w:rsidP="00EA04A9">
            <w:r>
              <w:t>LT/1/24/5544/014 – N28x1</w:t>
            </w:r>
          </w:p>
          <w:p w14:paraId="4F1B55B9" w14:textId="77777777" w:rsidR="00EA04A9" w:rsidRDefault="00EA04A9" w:rsidP="00EA04A9">
            <w:r>
              <w:t>LT/1/24/5544/015 – N30x1</w:t>
            </w:r>
          </w:p>
          <w:p w14:paraId="66B46DFA" w14:textId="77777777" w:rsidR="00EA04A9" w:rsidRDefault="00EA04A9" w:rsidP="00EA04A9">
            <w:r>
              <w:t>LT/1/24/5544/016 – N56x1</w:t>
            </w:r>
          </w:p>
          <w:p w14:paraId="32EBEC82" w14:textId="77777777" w:rsidR="00EA04A9" w:rsidRDefault="00EA04A9" w:rsidP="00EA04A9">
            <w:r>
              <w:t>LT/1/24/5544/017 – N60x1</w:t>
            </w:r>
          </w:p>
          <w:p w14:paraId="1FDD0527" w14:textId="77777777" w:rsidR="00EA04A9" w:rsidRDefault="00EA04A9" w:rsidP="00EA04A9">
            <w:r>
              <w:t>LT/1/24/5544/018 – N84x1</w:t>
            </w:r>
          </w:p>
          <w:p w14:paraId="7D1B7F68" w14:textId="77777777" w:rsidR="00EA04A9" w:rsidRDefault="00EA04A9" w:rsidP="00EA04A9">
            <w:r>
              <w:t>LT/1/24/5544/019 – N90x1</w:t>
            </w:r>
          </w:p>
          <w:p w14:paraId="22F3BB9C" w14:textId="5B4124AB" w:rsidR="00EA04A9" w:rsidRDefault="00EA04A9" w:rsidP="00EA04A9">
            <w:r>
              <w:t>LT/1/24/5544/020 – N100x1</w:t>
            </w:r>
          </w:p>
          <w:p w14:paraId="6D288D82" w14:textId="77777777" w:rsidR="0074278C" w:rsidRDefault="0074278C" w:rsidP="00EA04A9"/>
          <w:p w14:paraId="7B7108D7" w14:textId="4C745B54" w:rsidR="00EA04A9" w:rsidRDefault="00EA04A9" w:rsidP="00EA04A9">
            <w:r>
              <w:t>(kalendorinė pakuotė):</w:t>
            </w:r>
          </w:p>
          <w:p w14:paraId="3A6D10A6" w14:textId="77777777" w:rsidR="00EA04A9" w:rsidRDefault="00EA04A9" w:rsidP="00EA04A9">
            <w:r>
              <w:t>LT/1/24/5544/021 – N7x1</w:t>
            </w:r>
          </w:p>
          <w:p w14:paraId="0524838E" w14:textId="77777777" w:rsidR="00EA04A9" w:rsidRDefault="00EA04A9" w:rsidP="00EA04A9">
            <w:r>
              <w:t>LT/1/24/5544/022 – N28x1</w:t>
            </w:r>
          </w:p>
          <w:p w14:paraId="64D78A7E" w14:textId="77777777" w:rsidR="00EA04A9" w:rsidRDefault="00EA04A9" w:rsidP="00EA04A9">
            <w:r>
              <w:t>LT/1/24/5544/023 – N56x1</w:t>
            </w:r>
          </w:p>
          <w:p w14:paraId="578D7CB9" w14:textId="3BE8EE8C" w:rsidR="00417532" w:rsidRDefault="00EA04A9" w:rsidP="00EA04A9">
            <w:r>
              <w:t>LT/1/24/5544/024 – N84x1</w:t>
            </w:r>
          </w:p>
        </w:tc>
        <w:tc>
          <w:tcPr>
            <w:tcW w:w="3022" w:type="dxa"/>
          </w:tcPr>
          <w:p w14:paraId="71398F28" w14:textId="77777777" w:rsidR="00417532" w:rsidRPr="0074278C" w:rsidRDefault="00417532">
            <w:pPr>
              <w:rPr>
                <w:u w:val="single"/>
              </w:rPr>
            </w:pPr>
            <w:r w:rsidRPr="0074278C">
              <w:rPr>
                <w:u w:val="single"/>
              </w:rPr>
              <w:t>4 mg</w:t>
            </w:r>
          </w:p>
          <w:p w14:paraId="7FF70B63" w14:textId="77777777" w:rsidR="00EA04A9" w:rsidRDefault="00EA04A9" w:rsidP="00EA04A9">
            <w:r w:rsidRPr="0074278C">
              <w:rPr>
                <w:u w:val="single"/>
              </w:rPr>
              <w:t>Lizdinė plokštelė</w:t>
            </w:r>
            <w:r>
              <w:t>:</w:t>
            </w:r>
          </w:p>
          <w:p w14:paraId="437CD89D" w14:textId="77777777" w:rsidR="00EA04A9" w:rsidRDefault="00EA04A9" w:rsidP="00EA04A9">
            <w:r>
              <w:t>LT/1/24/5545/001 – N7</w:t>
            </w:r>
          </w:p>
          <w:p w14:paraId="278EDE6C" w14:textId="77777777" w:rsidR="00EA04A9" w:rsidRDefault="00EA04A9" w:rsidP="00EA04A9">
            <w:r>
              <w:t>LT/1/24/5545/002 – N28</w:t>
            </w:r>
          </w:p>
          <w:p w14:paraId="2EF7917A" w14:textId="77777777" w:rsidR="00EA04A9" w:rsidRDefault="00EA04A9" w:rsidP="00EA04A9">
            <w:r>
              <w:t>LT/1/24/5545/003 – N30</w:t>
            </w:r>
          </w:p>
          <w:p w14:paraId="6A94D0A8" w14:textId="77777777" w:rsidR="00EA04A9" w:rsidRDefault="00EA04A9" w:rsidP="00EA04A9">
            <w:r>
              <w:t>LT/1/24/5545/004 – N56</w:t>
            </w:r>
          </w:p>
          <w:p w14:paraId="6A15A6FA" w14:textId="77777777" w:rsidR="00EA04A9" w:rsidRDefault="00EA04A9" w:rsidP="00EA04A9">
            <w:r>
              <w:t>LT/1/24/5545/005 – N60</w:t>
            </w:r>
          </w:p>
          <w:p w14:paraId="5BB3BEE1" w14:textId="77777777" w:rsidR="00EA04A9" w:rsidRDefault="00EA04A9" w:rsidP="00EA04A9">
            <w:r>
              <w:t>LT/1/24/5545/006 – N84</w:t>
            </w:r>
          </w:p>
          <w:p w14:paraId="19AE9375" w14:textId="77777777" w:rsidR="00EA04A9" w:rsidRDefault="00EA04A9" w:rsidP="00EA04A9">
            <w:r>
              <w:t>LT/1/24/5545/007 – N90</w:t>
            </w:r>
          </w:p>
          <w:p w14:paraId="595BC18D" w14:textId="77777777" w:rsidR="00EA04A9" w:rsidRDefault="00EA04A9" w:rsidP="00EA04A9">
            <w:r>
              <w:t>LT/1/24/5545/008 – N100</w:t>
            </w:r>
          </w:p>
          <w:p w14:paraId="301D1417" w14:textId="41F6CD67" w:rsidR="00EA04A9" w:rsidRDefault="00EA04A9" w:rsidP="00EA04A9">
            <w:r>
              <w:t>(kalendorinė pakuotė):</w:t>
            </w:r>
          </w:p>
          <w:p w14:paraId="66989656" w14:textId="77777777" w:rsidR="00EA04A9" w:rsidRDefault="00EA04A9" w:rsidP="00EA04A9">
            <w:r>
              <w:t>LT/1/24/5545/009 – N7</w:t>
            </w:r>
          </w:p>
          <w:p w14:paraId="06CC553C" w14:textId="77777777" w:rsidR="00EA04A9" w:rsidRDefault="00EA04A9" w:rsidP="00EA04A9">
            <w:r>
              <w:t>LT/1/24/5545/010 – N28</w:t>
            </w:r>
          </w:p>
          <w:p w14:paraId="67EE992A" w14:textId="77777777" w:rsidR="00EA04A9" w:rsidRDefault="00EA04A9" w:rsidP="00EA04A9">
            <w:r>
              <w:t>LT/1/24/5545/011 – N56</w:t>
            </w:r>
          </w:p>
          <w:p w14:paraId="4776CD34" w14:textId="77777777" w:rsidR="00EA04A9" w:rsidRDefault="00EA04A9" w:rsidP="0074278C">
            <w:pPr>
              <w:spacing w:after="80"/>
            </w:pPr>
            <w:r>
              <w:t>LT/1/24/5545/012 – N84</w:t>
            </w:r>
          </w:p>
          <w:p w14:paraId="33AB21C7" w14:textId="77777777" w:rsidR="00EA04A9" w:rsidRDefault="00EA04A9" w:rsidP="00EA04A9">
            <w:proofErr w:type="spellStart"/>
            <w:r>
              <w:t>Dalomoji</w:t>
            </w:r>
            <w:proofErr w:type="spellEnd"/>
            <w:r>
              <w:t xml:space="preserve"> lizdinė plokštelė:</w:t>
            </w:r>
          </w:p>
          <w:p w14:paraId="473B999F" w14:textId="77777777" w:rsidR="00EA04A9" w:rsidRDefault="00EA04A9" w:rsidP="00EA04A9">
            <w:r>
              <w:t>LT/1/24/5545/013 – N7x1</w:t>
            </w:r>
          </w:p>
          <w:p w14:paraId="548149CB" w14:textId="77777777" w:rsidR="00EA04A9" w:rsidRDefault="00EA04A9" w:rsidP="00EA04A9">
            <w:r>
              <w:t>LT/1/24/5545/014 – N28x1</w:t>
            </w:r>
          </w:p>
          <w:p w14:paraId="7EF8D333" w14:textId="77777777" w:rsidR="00EA04A9" w:rsidRDefault="00EA04A9" w:rsidP="00EA04A9">
            <w:r>
              <w:t>LT/1/24/5545/015 – N30x1</w:t>
            </w:r>
          </w:p>
          <w:p w14:paraId="2ACB3F4B" w14:textId="77777777" w:rsidR="00EA04A9" w:rsidRDefault="00EA04A9" w:rsidP="00EA04A9">
            <w:r>
              <w:t>LT/1/24/5545/016 – N56x1</w:t>
            </w:r>
          </w:p>
          <w:p w14:paraId="5247EC26" w14:textId="77777777" w:rsidR="00EA04A9" w:rsidRDefault="00EA04A9" w:rsidP="00EA04A9">
            <w:r>
              <w:t>LT/1/24/5545/017 – N60x1</w:t>
            </w:r>
          </w:p>
          <w:p w14:paraId="2C3B47B8" w14:textId="77777777" w:rsidR="00EA04A9" w:rsidRDefault="00EA04A9" w:rsidP="00EA04A9">
            <w:r>
              <w:t>LT/1/24/5545/018 – N84x1</w:t>
            </w:r>
          </w:p>
          <w:p w14:paraId="793B367B" w14:textId="77777777" w:rsidR="00EA04A9" w:rsidRDefault="00EA04A9" w:rsidP="00EA04A9">
            <w:r>
              <w:t>LT/1/24/5545/019 – N90x1</w:t>
            </w:r>
          </w:p>
          <w:p w14:paraId="6FA60850" w14:textId="70A6F5F8" w:rsidR="00EA04A9" w:rsidRDefault="00EA04A9" w:rsidP="00EA04A9">
            <w:r>
              <w:t>LT/1/24/5545/020 – N100x1</w:t>
            </w:r>
          </w:p>
          <w:p w14:paraId="50371F88" w14:textId="77777777" w:rsidR="0074278C" w:rsidRDefault="0074278C" w:rsidP="00EA04A9"/>
          <w:p w14:paraId="4F99DA2D" w14:textId="0164B270" w:rsidR="00EA04A9" w:rsidRDefault="00EA04A9" w:rsidP="00EA04A9">
            <w:r>
              <w:t xml:space="preserve"> (kalendorinė pakuotė):</w:t>
            </w:r>
          </w:p>
          <w:p w14:paraId="5C53C697" w14:textId="77777777" w:rsidR="00EA04A9" w:rsidRDefault="00EA04A9" w:rsidP="00EA04A9">
            <w:r>
              <w:t>LT/1/24/5545/021 – N7x1</w:t>
            </w:r>
          </w:p>
          <w:p w14:paraId="14F66B52" w14:textId="77777777" w:rsidR="00EA04A9" w:rsidRDefault="00EA04A9" w:rsidP="00EA04A9">
            <w:r>
              <w:t>LT/1/24/5545/022 – N28x1</w:t>
            </w:r>
          </w:p>
          <w:p w14:paraId="4C7FE1CF" w14:textId="77777777" w:rsidR="00EA04A9" w:rsidRDefault="00EA04A9" w:rsidP="00EA04A9">
            <w:r>
              <w:t>LT/1/24/5545/023 – N56x1</w:t>
            </w:r>
          </w:p>
          <w:p w14:paraId="69F69886" w14:textId="6106A4CE" w:rsidR="00417532" w:rsidRDefault="00EA04A9" w:rsidP="00EA04A9">
            <w:r>
              <w:t>LT/1/24/5545/024 – N84x1</w:t>
            </w:r>
          </w:p>
        </w:tc>
      </w:tr>
    </w:tbl>
    <w:p w14:paraId="03DADE9A" w14:textId="77777777" w:rsidR="008020E2" w:rsidRDefault="008020E2">
      <w:pPr>
        <w:ind w:left="567" w:hanging="567"/>
      </w:pPr>
    </w:p>
    <w:p w14:paraId="7E9A7D14" w14:textId="77777777" w:rsidR="008020E2" w:rsidRDefault="008020E2">
      <w:pPr>
        <w:ind w:left="567" w:hanging="567"/>
      </w:pPr>
    </w:p>
    <w:p w14:paraId="07BD5EE2" w14:textId="77777777" w:rsidR="008020E2" w:rsidRDefault="00137C20">
      <w:pPr>
        <w:ind w:left="567" w:hanging="567"/>
        <w:rPr>
          <w:b/>
          <w:caps/>
        </w:rPr>
      </w:pPr>
      <w:r>
        <w:rPr>
          <w:b/>
          <w:caps/>
        </w:rPr>
        <w:t>9.</w:t>
      </w:r>
      <w:r>
        <w:rPr>
          <w:b/>
          <w:caps/>
        </w:rPr>
        <w:tab/>
      </w:r>
      <w:r>
        <w:rPr>
          <w:b/>
          <w:caps/>
          <w:noProof/>
        </w:rPr>
        <w:t xml:space="preserve">REGISTRAVIMO / PERREGISTRAVIMO </w:t>
      </w:r>
      <w:r>
        <w:rPr>
          <w:b/>
          <w:caps/>
        </w:rPr>
        <w:t>data</w:t>
      </w:r>
    </w:p>
    <w:p w14:paraId="06EDA5E6" w14:textId="77777777" w:rsidR="008020E2" w:rsidRDefault="008020E2">
      <w:pPr>
        <w:ind w:left="567" w:hanging="567"/>
        <w:rPr>
          <w:b/>
          <w:caps/>
        </w:rPr>
      </w:pPr>
    </w:p>
    <w:p w14:paraId="660218F5" w14:textId="23EE61E1" w:rsidR="008020E2" w:rsidRDefault="00137C20">
      <w:pPr>
        <w:rPr>
          <w:szCs w:val="22"/>
        </w:rPr>
      </w:pPr>
      <w:r>
        <w:rPr>
          <w:noProof/>
          <w:snapToGrid w:val="0"/>
        </w:rPr>
        <w:t xml:space="preserve">Registravimo data </w:t>
      </w:r>
      <w:r w:rsidR="00B14E3A">
        <w:rPr>
          <w:szCs w:val="22"/>
        </w:rPr>
        <w:t>2024 m. rugpjūčio 9 d.</w:t>
      </w:r>
    </w:p>
    <w:p w14:paraId="798455E1" w14:textId="77777777" w:rsidR="008020E2" w:rsidRDefault="008020E2">
      <w:pPr>
        <w:ind w:left="567" w:hanging="567"/>
      </w:pPr>
    </w:p>
    <w:p w14:paraId="64DF81A3" w14:textId="77777777" w:rsidR="008020E2" w:rsidRDefault="008020E2">
      <w:pPr>
        <w:ind w:left="567" w:hanging="567"/>
      </w:pPr>
    </w:p>
    <w:p w14:paraId="6D7D2F71" w14:textId="77777777" w:rsidR="008020E2" w:rsidRDefault="00137C20">
      <w:pPr>
        <w:ind w:left="567" w:hanging="567"/>
        <w:rPr>
          <w:b/>
          <w:caps/>
        </w:rPr>
      </w:pPr>
      <w:r>
        <w:rPr>
          <w:b/>
          <w:caps/>
        </w:rPr>
        <w:t>10.</w:t>
      </w:r>
      <w:r>
        <w:rPr>
          <w:b/>
          <w:caps/>
        </w:rPr>
        <w:tab/>
        <w:t>teksto peržiūros data</w:t>
      </w:r>
    </w:p>
    <w:p w14:paraId="7691EB19" w14:textId="77777777" w:rsidR="008020E2" w:rsidRDefault="008020E2">
      <w:pPr>
        <w:ind w:left="567" w:hanging="567"/>
        <w:rPr>
          <w:b/>
          <w:caps/>
        </w:rPr>
      </w:pPr>
    </w:p>
    <w:p w14:paraId="56F51165" w14:textId="54C9F43F" w:rsidR="008020E2" w:rsidRDefault="00B14E3A">
      <w:pPr>
        <w:tabs>
          <w:tab w:val="left" w:pos="567"/>
        </w:tabs>
        <w:rPr>
          <w:noProof/>
          <w:szCs w:val="22"/>
          <w:lang w:eastAsia="lt-LT" w:bidi="lt-LT"/>
        </w:rPr>
      </w:pPr>
      <w:r>
        <w:rPr>
          <w:szCs w:val="22"/>
        </w:rPr>
        <w:t>2024 m. rugpjūčio 9 d.</w:t>
      </w:r>
    </w:p>
    <w:p w14:paraId="12A93E83" w14:textId="77777777" w:rsidR="008020E2" w:rsidRDefault="008020E2">
      <w:pPr>
        <w:ind w:left="567" w:hanging="567"/>
      </w:pPr>
    </w:p>
    <w:p w14:paraId="01CFF3DF" w14:textId="77777777" w:rsidR="008020E2" w:rsidRDefault="008020E2">
      <w:pPr>
        <w:ind w:left="567" w:hanging="567"/>
      </w:pPr>
    </w:p>
    <w:p w14:paraId="21CB620B" w14:textId="44B5BB2C" w:rsidR="008020E2" w:rsidRDefault="00137C20">
      <w:pPr>
        <w:widowControl w:val="0"/>
        <w:tabs>
          <w:tab w:val="left" w:pos="5954"/>
          <w:tab w:val="left" w:pos="6237"/>
          <w:tab w:val="left" w:pos="6663"/>
          <w:tab w:val="left" w:pos="6946"/>
        </w:tabs>
        <w:rPr>
          <w:szCs w:val="22"/>
        </w:rPr>
      </w:pPr>
      <w:r>
        <w:rPr>
          <w:rFonts w:eastAsia="SimSun"/>
          <w:szCs w:val="22"/>
        </w:rPr>
        <w:t>Išsami informacija apie šį vaistinį preparatą pateikiama Valstybinės vaistų kontrolės tarnybos prie Lietuvos Respublikos sveikatos apsaugos ministerijos tinklalapyje</w:t>
      </w:r>
      <w:r>
        <w:rPr>
          <w:rFonts w:eastAsia="SimSun"/>
          <w:i/>
          <w:szCs w:val="22"/>
        </w:rPr>
        <w:t xml:space="preserve"> </w:t>
      </w:r>
      <w:hyperlink r:id="rId7" w:history="1">
        <w:r w:rsidR="001A2C69" w:rsidRPr="00664956">
          <w:rPr>
            <w:rStyle w:val="Hipersaitas"/>
            <w:szCs w:val="22"/>
            <w:lang w:eastAsia="lt-LT"/>
          </w:rPr>
          <w:t>https://vvkt.lrv.lt/lt/</w:t>
        </w:r>
      </w:hyperlink>
      <w:r w:rsidR="001A2C69">
        <w:rPr>
          <w:color w:val="0000EE"/>
          <w:szCs w:val="22"/>
          <w:u w:val="single"/>
          <w:lang w:eastAsia="lt-LT"/>
        </w:rPr>
        <w:t xml:space="preserve"> </w:t>
      </w:r>
    </w:p>
    <w:p w14:paraId="44FB2B33" w14:textId="77777777" w:rsidR="00DF2D7C" w:rsidRDefault="00DF2D7C">
      <w:pPr>
        <w:rPr>
          <w:szCs w:val="22"/>
        </w:rPr>
      </w:pPr>
      <w:r>
        <w:rPr>
          <w:szCs w:val="22"/>
        </w:rPr>
        <w:br w:type="page"/>
      </w:r>
    </w:p>
    <w:p w14:paraId="5D6BD2E9" w14:textId="77777777" w:rsidR="00DF2D7C" w:rsidRDefault="00DF2D7C" w:rsidP="00DF2D7C">
      <w:pPr>
        <w:tabs>
          <w:tab w:val="left" w:pos="567"/>
        </w:tabs>
        <w:spacing w:line="260" w:lineRule="exact"/>
        <w:jc w:val="center"/>
        <w:rPr>
          <w:b/>
          <w:snapToGrid w:val="0"/>
        </w:rPr>
      </w:pPr>
    </w:p>
    <w:p w14:paraId="620515ED" w14:textId="77777777" w:rsidR="00DF2D7C" w:rsidRDefault="00DF2D7C" w:rsidP="00DF2D7C">
      <w:pPr>
        <w:tabs>
          <w:tab w:val="left" w:pos="567"/>
        </w:tabs>
        <w:spacing w:line="260" w:lineRule="exact"/>
        <w:jc w:val="center"/>
        <w:rPr>
          <w:b/>
          <w:snapToGrid w:val="0"/>
        </w:rPr>
      </w:pPr>
    </w:p>
    <w:p w14:paraId="58C44DA6" w14:textId="77777777" w:rsidR="00DF2D7C" w:rsidRDefault="00DF2D7C" w:rsidP="00DF2D7C">
      <w:pPr>
        <w:tabs>
          <w:tab w:val="left" w:pos="567"/>
        </w:tabs>
        <w:spacing w:line="260" w:lineRule="exact"/>
        <w:jc w:val="center"/>
        <w:rPr>
          <w:b/>
          <w:snapToGrid w:val="0"/>
        </w:rPr>
      </w:pPr>
    </w:p>
    <w:p w14:paraId="240E9C19" w14:textId="77777777" w:rsidR="00DF2D7C" w:rsidRDefault="00DF2D7C" w:rsidP="00DF2D7C">
      <w:pPr>
        <w:tabs>
          <w:tab w:val="left" w:pos="567"/>
        </w:tabs>
        <w:spacing w:line="260" w:lineRule="exact"/>
        <w:jc w:val="center"/>
        <w:rPr>
          <w:b/>
          <w:snapToGrid w:val="0"/>
        </w:rPr>
      </w:pPr>
    </w:p>
    <w:p w14:paraId="5F8F0FE5" w14:textId="77777777" w:rsidR="00DF2D7C" w:rsidRDefault="00DF2D7C" w:rsidP="00DF2D7C">
      <w:pPr>
        <w:tabs>
          <w:tab w:val="left" w:pos="567"/>
        </w:tabs>
        <w:spacing w:line="260" w:lineRule="exact"/>
        <w:jc w:val="center"/>
        <w:rPr>
          <w:b/>
          <w:snapToGrid w:val="0"/>
        </w:rPr>
      </w:pPr>
    </w:p>
    <w:p w14:paraId="51A22E75" w14:textId="77777777" w:rsidR="00DF2D7C" w:rsidRDefault="00DF2D7C" w:rsidP="00DF2D7C">
      <w:pPr>
        <w:tabs>
          <w:tab w:val="left" w:pos="567"/>
        </w:tabs>
        <w:spacing w:line="260" w:lineRule="exact"/>
        <w:jc w:val="center"/>
        <w:rPr>
          <w:b/>
          <w:snapToGrid w:val="0"/>
        </w:rPr>
      </w:pPr>
    </w:p>
    <w:p w14:paraId="1F322BAD" w14:textId="77777777" w:rsidR="00DF2D7C" w:rsidRDefault="00DF2D7C" w:rsidP="00DF2D7C">
      <w:pPr>
        <w:tabs>
          <w:tab w:val="left" w:pos="567"/>
        </w:tabs>
        <w:spacing w:line="260" w:lineRule="exact"/>
        <w:jc w:val="center"/>
        <w:rPr>
          <w:b/>
          <w:snapToGrid w:val="0"/>
        </w:rPr>
      </w:pPr>
    </w:p>
    <w:p w14:paraId="533D4B38" w14:textId="77777777" w:rsidR="00DF2D7C" w:rsidRDefault="00DF2D7C" w:rsidP="00DF2D7C">
      <w:pPr>
        <w:tabs>
          <w:tab w:val="left" w:pos="567"/>
        </w:tabs>
        <w:spacing w:line="260" w:lineRule="exact"/>
        <w:jc w:val="center"/>
        <w:rPr>
          <w:b/>
          <w:snapToGrid w:val="0"/>
        </w:rPr>
      </w:pPr>
    </w:p>
    <w:p w14:paraId="27E0585F" w14:textId="77777777" w:rsidR="00DF2D7C" w:rsidRDefault="00DF2D7C" w:rsidP="00DF2D7C">
      <w:pPr>
        <w:tabs>
          <w:tab w:val="left" w:pos="567"/>
        </w:tabs>
        <w:spacing w:line="260" w:lineRule="exact"/>
        <w:jc w:val="center"/>
        <w:rPr>
          <w:b/>
          <w:snapToGrid w:val="0"/>
        </w:rPr>
      </w:pPr>
    </w:p>
    <w:p w14:paraId="0E390811" w14:textId="77777777" w:rsidR="00DF2D7C" w:rsidRDefault="00DF2D7C" w:rsidP="00DF2D7C">
      <w:pPr>
        <w:tabs>
          <w:tab w:val="left" w:pos="567"/>
        </w:tabs>
        <w:spacing w:line="260" w:lineRule="exact"/>
        <w:jc w:val="center"/>
        <w:rPr>
          <w:b/>
          <w:snapToGrid w:val="0"/>
        </w:rPr>
      </w:pPr>
    </w:p>
    <w:p w14:paraId="6EA25B64" w14:textId="77777777" w:rsidR="00DF2D7C" w:rsidRDefault="00DF2D7C" w:rsidP="00DF2D7C">
      <w:pPr>
        <w:tabs>
          <w:tab w:val="left" w:pos="567"/>
        </w:tabs>
        <w:spacing w:line="260" w:lineRule="exact"/>
        <w:jc w:val="center"/>
        <w:rPr>
          <w:b/>
          <w:snapToGrid w:val="0"/>
        </w:rPr>
      </w:pPr>
    </w:p>
    <w:p w14:paraId="3B2E3439" w14:textId="77777777" w:rsidR="00DF2D7C" w:rsidRDefault="00DF2D7C" w:rsidP="00DF2D7C">
      <w:pPr>
        <w:tabs>
          <w:tab w:val="left" w:pos="567"/>
        </w:tabs>
        <w:spacing w:line="260" w:lineRule="exact"/>
        <w:jc w:val="center"/>
        <w:rPr>
          <w:b/>
          <w:snapToGrid w:val="0"/>
        </w:rPr>
      </w:pPr>
    </w:p>
    <w:p w14:paraId="21934134" w14:textId="77777777" w:rsidR="00DF2D7C" w:rsidRDefault="00DF2D7C" w:rsidP="00DF2D7C">
      <w:pPr>
        <w:tabs>
          <w:tab w:val="left" w:pos="567"/>
        </w:tabs>
        <w:spacing w:line="260" w:lineRule="exact"/>
        <w:jc w:val="center"/>
        <w:rPr>
          <w:b/>
          <w:snapToGrid w:val="0"/>
        </w:rPr>
      </w:pPr>
    </w:p>
    <w:p w14:paraId="67C2B827" w14:textId="77777777" w:rsidR="00DF2D7C" w:rsidRDefault="00DF2D7C" w:rsidP="00DF2D7C">
      <w:pPr>
        <w:tabs>
          <w:tab w:val="left" w:pos="567"/>
        </w:tabs>
        <w:spacing w:line="260" w:lineRule="exact"/>
        <w:jc w:val="center"/>
        <w:rPr>
          <w:b/>
          <w:snapToGrid w:val="0"/>
        </w:rPr>
      </w:pPr>
    </w:p>
    <w:p w14:paraId="01DF66F9" w14:textId="77777777" w:rsidR="00DF2D7C" w:rsidRDefault="00DF2D7C" w:rsidP="00DF2D7C">
      <w:pPr>
        <w:tabs>
          <w:tab w:val="left" w:pos="567"/>
        </w:tabs>
        <w:spacing w:line="260" w:lineRule="exact"/>
        <w:jc w:val="center"/>
        <w:rPr>
          <w:b/>
          <w:snapToGrid w:val="0"/>
        </w:rPr>
      </w:pPr>
    </w:p>
    <w:p w14:paraId="1D109272" w14:textId="77777777" w:rsidR="00DF2D7C" w:rsidRDefault="00DF2D7C" w:rsidP="00DF2D7C">
      <w:pPr>
        <w:tabs>
          <w:tab w:val="left" w:pos="567"/>
        </w:tabs>
        <w:spacing w:line="260" w:lineRule="exact"/>
        <w:jc w:val="center"/>
        <w:rPr>
          <w:b/>
          <w:snapToGrid w:val="0"/>
        </w:rPr>
      </w:pPr>
    </w:p>
    <w:p w14:paraId="38786654" w14:textId="77777777" w:rsidR="00DF2D7C" w:rsidRDefault="00DF2D7C" w:rsidP="00DF2D7C">
      <w:pPr>
        <w:tabs>
          <w:tab w:val="left" w:pos="567"/>
        </w:tabs>
        <w:spacing w:line="260" w:lineRule="exact"/>
        <w:jc w:val="center"/>
        <w:rPr>
          <w:b/>
          <w:snapToGrid w:val="0"/>
        </w:rPr>
      </w:pPr>
    </w:p>
    <w:p w14:paraId="2AFB850A" w14:textId="77777777" w:rsidR="00DF2D7C" w:rsidRDefault="00DF2D7C" w:rsidP="00DF2D7C">
      <w:pPr>
        <w:tabs>
          <w:tab w:val="left" w:pos="567"/>
        </w:tabs>
        <w:spacing w:line="260" w:lineRule="exact"/>
        <w:jc w:val="center"/>
        <w:rPr>
          <w:b/>
          <w:snapToGrid w:val="0"/>
        </w:rPr>
      </w:pPr>
    </w:p>
    <w:p w14:paraId="193DB681" w14:textId="77777777" w:rsidR="00DF2D7C" w:rsidRDefault="00DF2D7C" w:rsidP="00DF2D7C">
      <w:pPr>
        <w:tabs>
          <w:tab w:val="left" w:pos="567"/>
        </w:tabs>
        <w:spacing w:line="260" w:lineRule="exact"/>
        <w:jc w:val="center"/>
        <w:rPr>
          <w:b/>
          <w:snapToGrid w:val="0"/>
        </w:rPr>
      </w:pPr>
    </w:p>
    <w:p w14:paraId="6F585FA0" w14:textId="77777777" w:rsidR="00DF2D7C" w:rsidRDefault="00DF2D7C" w:rsidP="00DF2D7C">
      <w:pPr>
        <w:tabs>
          <w:tab w:val="left" w:pos="567"/>
        </w:tabs>
        <w:spacing w:line="260" w:lineRule="exact"/>
        <w:jc w:val="center"/>
        <w:rPr>
          <w:b/>
          <w:snapToGrid w:val="0"/>
        </w:rPr>
      </w:pPr>
    </w:p>
    <w:p w14:paraId="5B471E09" w14:textId="77777777" w:rsidR="00DF2D7C" w:rsidRDefault="00DF2D7C" w:rsidP="00DF2D7C">
      <w:pPr>
        <w:tabs>
          <w:tab w:val="left" w:pos="567"/>
        </w:tabs>
        <w:spacing w:line="260" w:lineRule="exact"/>
        <w:jc w:val="center"/>
        <w:rPr>
          <w:b/>
          <w:snapToGrid w:val="0"/>
        </w:rPr>
      </w:pPr>
    </w:p>
    <w:p w14:paraId="506E20BC" w14:textId="5259D4D7" w:rsidR="00DF2D7C" w:rsidRPr="005D554B" w:rsidRDefault="00DF2D7C" w:rsidP="00DF2D7C">
      <w:pPr>
        <w:tabs>
          <w:tab w:val="left" w:pos="567"/>
        </w:tabs>
        <w:spacing w:line="260" w:lineRule="exact"/>
        <w:jc w:val="center"/>
        <w:rPr>
          <w:b/>
          <w:snapToGrid w:val="0"/>
        </w:rPr>
      </w:pPr>
      <w:r w:rsidRPr="005D554B">
        <w:rPr>
          <w:b/>
          <w:snapToGrid w:val="0"/>
        </w:rPr>
        <w:t>II PRIEDAS</w:t>
      </w:r>
    </w:p>
    <w:p w14:paraId="2BEAB160" w14:textId="77777777" w:rsidR="00DF2D7C" w:rsidRPr="005D554B" w:rsidRDefault="00DF2D7C" w:rsidP="00DF2D7C">
      <w:pPr>
        <w:tabs>
          <w:tab w:val="left" w:pos="567"/>
        </w:tabs>
        <w:spacing w:line="260" w:lineRule="exact"/>
        <w:ind w:left="1701" w:right="1416" w:hanging="567"/>
        <w:rPr>
          <w:snapToGrid w:val="0"/>
        </w:rPr>
      </w:pPr>
    </w:p>
    <w:p w14:paraId="65A38AFC" w14:textId="77777777" w:rsidR="00DF2D7C" w:rsidRPr="005D554B" w:rsidRDefault="00DF2D7C" w:rsidP="00DF2D7C">
      <w:pPr>
        <w:tabs>
          <w:tab w:val="left" w:pos="567"/>
        </w:tabs>
        <w:spacing w:line="260" w:lineRule="exact"/>
        <w:jc w:val="center"/>
        <w:rPr>
          <w:i/>
          <w:snapToGrid w:val="0"/>
        </w:rPr>
      </w:pPr>
      <w:r w:rsidRPr="005D554B">
        <w:rPr>
          <w:b/>
          <w:snapToGrid w:val="0"/>
        </w:rPr>
        <w:t>REGISTRACIJOS SĄLYGOS</w:t>
      </w:r>
    </w:p>
    <w:p w14:paraId="4E17E0F4" w14:textId="77777777" w:rsidR="00DF2D7C" w:rsidRPr="005D554B" w:rsidRDefault="00DF2D7C" w:rsidP="00DF2D7C">
      <w:pPr>
        <w:tabs>
          <w:tab w:val="left" w:pos="567"/>
        </w:tabs>
        <w:spacing w:line="260" w:lineRule="exact"/>
        <w:rPr>
          <w:snapToGrid w:val="0"/>
        </w:rPr>
      </w:pPr>
    </w:p>
    <w:p w14:paraId="051DD0B4" w14:textId="7B7E1004" w:rsidR="00DF2D7C" w:rsidRPr="005D554B" w:rsidRDefault="00DF2D7C" w:rsidP="00DF2D7C">
      <w:pPr>
        <w:tabs>
          <w:tab w:val="left" w:pos="1701"/>
        </w:tabs>
        <w:spacing w:line="260" w:lineRule="exact"/>
        <w:ind w:left="1701" w:right="567" w:hanging="567"/>
        <w:rPr>
          <w:b/>
          <w:noProof/>
          <w:snapToGrid w:val="0"/>
        </w:rPr>
      </w:pPr>
      <w:r w:rsidRPr="005D554B">
        <w:rPr>
          <w:b/>
          <w:noProof/>
          <w:snapToGrid w:val="0"/>
        </w:rPr>
        <w:t>A.</w:t>
      </w:r>
      <w:r w:rsidRPr="005D554B">
        <w:rPr>
          <w:b/>
          <w:noProof/>
          <w:snapToGrid w:val="0"/>
        </w:rPr>
        <w:tab/>
        <w:t>GAMINTOJAS (-AI), ATSAKINGAS (-I) UŽ SERIJŲ IŠLEIDIMĄ</w:t>
      </w:r>
    </w:p>
    <w:p w14:paraId="63DC379F" w14:textId="77777777" w:rsidR="00DF2D7C" w:rsidRPr="005D554B" w:rsidRDefault="00DF2D7C" w:rsidP="00DF2D7C">
      <w:pPr>
        <w:tabs>
          <w:tab w:val="left" w:pos="1701"/>
        </w:tabs>
        <w:spacing w:line="260" w:lineRule="exact"/>
        <w:ind w:left="567" w:right="567" w:hanging="567"/>
        <w:rPr>
          <w:noProof/>
          <w:snapToGrid w:val="0"/>
        </w:rPr>
      </w:pPr>
    </w:p>
    <w:p w14:paraId="124EAB60" w14:textId="77777777" w:rsidR="00DF2D7C" w:rsidRPr="005D554B" w:rsidRDefault="00DF2D7C" w:rsidP="00DF2D7C">
      <w:pPr>
        <w:tabs>
          <w:tab w:val="left" w:pos="1701"/>
        </w:tabs>
        <w:spacing w:line="260" w:lineRule="exact"/>
        <w:ind w:left="1701" w:right="567" w:hanging="567"/>
        <w:rPr>
          <w:b/>
          <w:snapToGrid w:val="0"/>
        </w:rPr>
      </w:pPr>
      <w:r w:rsidRPr="005D554B">
        <w:rPr>
          <w:b/>
          <w:snapToGrid w:val="0"/>
        </w:rPr>
        <w:t>B.</w:t>
      </w:r>
      <w:r w:rsidRPr="005D554B">
        <w:rPr>
          <w:b/>
          <w:snapToGrid w:val="0"/>
        </w:rPr>
        <w:tab/>
        <w:t>TIEKIMO IR VARTOJIMO SĄLYGOS AR APRIBOJIMAI</w:t>
      </w:r>
    </w:p>
    <w:p w14:paraId="7B15A863" w14:textId="77777777" w:rsidR="00DF2D7C" w:rsidRDefault="00DF2D7C">
      <w:pPr>
        <w:rPr>
          <w:szCs w:val="22"/>
        </w:rPr>
      </w:pPr>
      <w:r>
        <w:rPr>
          <w:szCs w:val="22"/>
        </w:rPr>
        <w:br w:type="page"/>
      </w:r>
    </w:p>
    <w:p w14:paraId="7BB3C8E0" w14:textId="77777777" w:rsidR="00CB2BAD" w:rsidRDefault="00CB2BAD" w:rsidP="00CB2BAD">
      <w:pPr>
        <w:tabs>
          <w:tab w:val="left" w:pos="567"/>
        </w:tabs>
        <w:spacing w:line="260" w:lineRule="exact"/>
        <w:ind w:left="567" w:hanging="567"/>
        <w:rPr>
          <w:b/>
          <w:snapToGrid w:val="0"/>
        </w:rPr>
      </w:pPr>
      <w:r>
        <w:rPr>
          <w:b/>
          <w:snapToGrid w:val="0"/>
          <w:szCs w:val="20"/>
        </w:rPr>
        <w:t>A.</w:t>
      </w:r>
      <w:r>
        <w:rPr>
          <w:b/>
          <w:snapToGrid w:val="0"/>
        </w:rPr>
        <w:tab/>
      </w:r>
      <w:r>
        <w:rPr>
          <w:b/>
          <w:snapToGrid w:val="0"/>
          <w:szCs w:val="20"/>
        </w:rPr>
        <w:t>GAMINTOJAI, ATSAKINGI UŽ SERIJŲ IŠLEIDIMĄ</w:t>
      </w:r>
    </w:p>
    <w:p w14:paraId="3B2E38C1" w14:textId="77777777" w:rsidR="00CB2BAD" w:rsidRDefault="00CB2BAD" w:rsidP="00CB2BAD">
      <w:pPr>
        <w:tabs>
          <w:tab w:val="left" w:pos="567"/>
        </w:tabs>
        <w:spacing w:line="260" w:lineRule="exact"/>
        <w:rPr>
          <w:snapToGrid w:val="0"/>
        </w:rPr>
      </w:pPr>
    </w:p>
    <w:p w14:paraId="774415DB" w14:textId="77777777" w:rsidR="00CB2BAD" w:rsidRDefault="00CB2BAD" w:rsidP="00CB2BAD">
      <w:pPr>
        <w:tabs>
          <w:tab w:val="left" w:pos="567"/>
        </w:tabs>
        <w:jc w:val="both"/>
        <w:rPr>
          <w:snapToGrid w:val="0"/>
        </w:rPr>
      </w:pPr>
      <w:r>
        <w:rPr>
          <w:noProof/>
          <w:snapToGrid w:val="0"/>
          <w:u w:val="single"/>
        </w:rPr>
        <w:t>Gamintojų, atsakingų už serijų išleidimą, pavadinimai ir adresai</w:t>
      </w:r>
    </w:p>
    <w:p w14:paraId="0A077949" w14:textId="77777777" w:rsidR="00CB2BAD" w:rsidRDefault="00CB2BAD" w:rsidP="00CB2BAD">
      <w:pPr>
        <w:tabs>
          <w:tab w:val="left" w:pos="567"/>
        </w:tabs>
        <w:spacing w:line="260" w:lineRule="exact"/>
        <w:rPr>
          <w:snapToGrid w:val="0"/>
        </w:rPr>
      </w:pPr>
    </w:p>
    <w:p w14:paraId="5BC48969" w14:textId="77777777" w:rsidR="00CB2BAD" w:rsidRDefault="00CB2BAD" w:rsidP="00CB2BA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1DD85B36" w14:textId="77777777" w:rsidR="00CB2BAD" w:rsidRDefault="00CB2BAD" w:rsidP="00CB2BA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102FE6D5" w14:textId="77777777" w:rsidR="00CB2BAD" w:rsidRDefault="00CB2BAD" w:rsidP="00CB2BA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18B74668" w14:textId="77777777" w:rsidR="00CB2BAD" w:rsidRDefault="00CB2BAD" w:rsidP="00CB2BA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0DF40906" w14:textId="77777777" w:rsidR="00CB2BAD" w:rsidRDefault="00CB2BAD" w:rsidP="00CB2BAD">
      <w:pPr>
        <w:tabs>
          <w:tab w:val="left" w:pos="567"/>
        </w:tabs>
        <w:spacing w:line="260" w:lineRule="exact"/>
        <w:rPr>
          <w:snapToGrid w:val="0"/>
        </w:rPr>
      </w:pPr>
    </w:p>
    <w:p w14:paraId="660AEB51" w14:textId="77777777" w:rsidR="00CB2BAD" w:rsidRDefault="00CB2BAD" w:rsidP="00CB2BAD">
      <w:pPr>
        <w:tabs>
          <w:tab w:val="left" w:pos="567"/>
        </w:tabs>
        <w:spacing w:line="260" w:lineRule="exact"/>
        <w:rPr>
          <w:snapToGrid w:val="0"/>
        </w:rPr>
      </w:pPr>
    </w:p>
    <w:p w14:paraId="4BF26ED9" w14:textId="77777777" w:rsidR="00CB2BAD" w:rsidRDefault="00CB2BAD" w:rsidP="00CB2BAD">
      <w:pPr>
        <w:tabs>
          <w:tab w:val="left" w:pos="567"/>
        </w:tabs>
        <w:ind w:left="567" w:hanging="567"/>
        <w:rPr>
          <w:snapToGrid w:val="0"/>
        </w:rPr>
      </w:pPr>
      <w:r>
        <w:rPr>
          <w:b/>
          <w:noProof/>
          <w:snapToGrid w:val="0"/>
        </w:rPr>
        <w:t>B.</w:t>
      </w:r>
      <w:r>
        <w:rPr>
          <w:b/>
          <w:snapToGrid w:val="0"/>
        </w:rPr>
        <w:tab/>
      </w:r>
      <w:r>
        <w:rPr>
          <w:b/>
          <w:noProof/>
          <w:snapToGrid w:val="0"/>
        </w:rPr>
        <w:t>TIEKIMO IR VARTOJIMO SĄLYGOS AR APRIBOJIMAI</w:t>
      </w:r>
    </w:p>
    <w:p w14:paraId="2E934E4E" w14:textId="77777777" w:rsidR="00CB2BAD" w:rsidRDefault="00CB2BAD" w:rsidP="00CB2BAD">
      <w:pPr>
        <w:tabs>
          <w:tab w:val="left" w:pos="567"/>
        </w:tabs>
        <w:spacing w:line="260" w:lineRule="exact"/>
        <w:rPr>
          <w:snapToGrid w:val="0"/>
        </w:rPr>
      </w:pPr>
    </w:p>
    <w:p w14:paraId="642FC726" w14:textId="77777777" w:rsidR="00CB2BAD" w:rsidRDefault="00CB2BAD" w:rsidP="00CB2BAD">
      <w:pPr>
        <w:tabs>
          <w:tab w:val="left" w:pos="567"/>
        </w:tabs>
        <w:spacing w:line="260" w:lineRule="exact"/>
        <w:rPr>
          <w:snapToGrid w:val="0"/>
        </w:rPr>
      </w:pPr>
      <w:r>
        <w:rPr>
          <w:snapToGrid w:val="0"/>
          <w:szCs w:val="20"/>
        </w:rPr>
        <w:t>Receptinis vaistinis preparatas.</w:t>
      </w:r>
    </w:p>
    <w:p w14:paraId="5CE37131" w14:textId="77777777" w:rsidR="00CB2BAD" w:rsidRDefault="00CB2BAD" w:rsidP="00CB2BAD">
      <w:pPr>
        <w:shd w:val="clear" w:color="auto" w:fill="FFFFFF"/>
        <w:rPr>
          <w:noProof/>
        </w:rPr>
      </w:pPr>
      <w:r>
        <w:rPr>
          <w:noProof/>
        </w:rPr>
        <w:br w:type="page"/>
      </w:r>
    </w:p>
    <w:p w14:paraId="42667D73" w14:textId="77777777" w:rsidR="00DF2D7C" w:rsidRDefault="00DF2D7C" w:rsidP="00DF2D7C">
      <w:pPr>
        <w:keepNext/>
        <w:tabs>
          <w:tab w:val="left" w:pos="567"/>
        </w:tabs>
        <w:jc w:val="center"/>
        <w:outlineLvl w:val="1"/>
        <w:rPr>
          <w:b/>
          <w:bCs/>
          <w:iCs/>
          <w:snapToGrid w:val="0"/>
          <w:szCs w:val="28"/>
          <w:lang w:eastAsia="x-none"/>
        </w:rPr>
      </w:pPr>
    </w:p>
    <w:p w14:paraId="57BC5CFA" w14:textId="77777777" w:rsidR="00DF2D7C" w:rsidRDefault="00DF2D7C" w:rsidP="00DF2D7C">
      <w:pPr>
        <w:keepNext/>
        <w:tabs>
          <w:tab w:val="left" w:pos="567"/>
        </w:tabs>
        <w:jc w:val="center"/>
        <w:outlineLvl w:val="1"/>
        <w:rPr>
          <w:b/>
          <w:bCs/>
          <w:iCs/>
          <w:snapToGrid w:val="0"/>
          <w:szCs w:val="28"/>
          <w:lang w:eastAsia="x-none"/>
        </w:rPr>
      </w:pPr>
    </w:p>
    <w:p w14:paraId="0A543A1F" w14:textId="77777777" w:rsidR="00DF2D7C" w:rsidRDefault="00DF2D7C" w:rsidP="00DF2D7C">
      <w:pPr>
        <w:keepNext/>
        <w:tabs>
          <w:tab w:val="left" w:pos="567"/>
        </w:tabs>
        <w:jc w:val="center"/>
        <w:outlineLvl w:val="1"/>
        <w:rPr>
          <w:b/>
          <w:bCs/>
          <w:iCs/>
          <w:snapToGrid w:val="0"/>
          <w:szCs w:val="28"/>
          <w:lang w:eastAsia="x-none"/>
        </w:rPr>
      </w:pPr>
    </w:p>
    <w:p w14:paraId="176504B6" w14:textId="77777777" w:rsidR="00DF2D7C" w:rsidRDefault="00DF2D7C" w:rsidP="00DF2D7C">
      <w:pPr>
        <w:keepNext/>
        <w:tabs>
          <w:tab w:val="left" w:pos="567"/>
        </w:tabs>
        <w:jc w:val="center"/>
        <w:outlineLvl w:val="1"/>
        <w:rPr>
          <w:b/>
          <w:bCs/>
          <w:iCs/>
          <w:snapToGrid w:val="0"/>
          <w:szCs w:val="28"/>
          <w:lang w:eastAsia="x-none"/>
        </w:rPr>
      </w:pPr>
    </w:p>
    <w:p w14:paraId="56396E03" w14:textId="77777777" w:rsidR="00DF2D7C" w:rsidRDefault="00DF2D7C" w:rsidP="00DF2D7C">
      <w:pPr>
        <w:keepNext/>
        <w:tabs>
          <w:tab w:val="left" w:pos="567"/>
        </w:tabs>
        <w:jc w:val="center"/>
        <w:outlineLvl w:val="1"/>
        <w:rPr>
          <w:b/>
          <w:bCs/>
          <w:iCs/>
          <w:snapToGrid w:val="0"/>
          <w:szCs w:val="28"/>
          <w:lang w:eastAsia="x-none"/>
        </w:rPr>
      </w:pPr>
    </w:p>
    <w:p w14:paraId="124185A8" w14:textId="77777777" w:rsidR="00DF2D7C" w:rsidRDefault="00DF2D7C" w:rsidP="00DF2D7C">
      <w:pPr>
        <w:keepNext/>
        <w:tabs>
          <w:tab w:val="left" w:pos="567"/>
        </w:tabs>
        <w:jc w:val="center"/>
        <w:outlineLvl w:val="1"/>
        <w:rPr>
          <w:b/>
          <w:bCs/>
          <w:iCs/>
          <w:snapToGrid w:val="0"/>
          <w:szCs w:val="28"/>
          <w:lang w:eastAsia="x-none"/>
        </w:rPr>
      </w:pPr>
    </w:p>
    <w:p w14:paraId="0618A1A9" w14:textId="77777777" w:rsidR="00DF2D7C" w:rsidRDefault="00DF2D7C" w:rsidP="00DF2D7C">
      <w:pPr>
        <w:keepNext/>
        <w:tabs>
          <w:tab w:val="left" w:pos="567"/>
        </w:tabs>
        <w:jc w:val="center"/>
        <w:outlineLvl w:val="1"/>
        <w:rPr>
          <w:b/>
          <w:bCs/>
          <w:iCs/>
          <w:snapToGrid w:val="0"/>
          <w:szCs w:val="28"/>
          <w:lang w:eastAsia="x-none"/>
        </w:rPr>
      </w:pPr>
    </w:p>
    <w:p w14:paraId="3699B6B7" w14:textId="77777777" w:rsidR="00DF2D7C" w:rsidRDefault="00DF2D7C" w:rsidP="00DF2D7C">
      <w:pPr>
        <w:keepNext/>
        <w:tabs>
          <w:tab w:val="left" w:pos="567"/>
        </w:tabs>
        <w:jc w:val="center"/>
        <w:outlineLvl w:val="1"/>
        <w:rPr>
          <w:b/>
          <w:bCs/>
          <w:iCs/>
          <w:snapToGrid w:val="0"/>
          <w:szCs w:val="28"/>
          <w:lang w:eastAsia="x-none"/>
        </w:rPr>
      </w:pPr>
    </w:p>
    <w:p w14:paraId="16C4F41F" w14:textId="77777777" w:rsidR="00DF2D7C" w:rsidRDefault="00DF2D7C" w:rsidP="00DF2D7C">
      <w:pPr>
        <w:keepNext/>
        <w:tabs>
          <w:tab w:val="left" w:pos="567"/>
        </w:tabs>
        <w:jc w:val="center"/>
        <w:outlineLvl w:val="1"/>
        <w:rPr>
          <w:b/>
          <w:bCs/>
          <w:iCs/>
          <w:snapToGrid w:val="0"/>
          <w:szCs w:val="28"/>
          <w:lang w:eastAsia="x-none"/>
        </w:rPr>
      </w:pPr>
    </w:p>
    <w:p w14:paraId="5778F9E7" w14:textId="77777777" w:rsidR="00DF2D7C" w:rsidRDefault="00DF2D7C" w:rsidP="00DF2D7C">
      <w:pPr>
        <w:keepNext/>
        <w:tabs>
          <w:tab w:val="left" w:pos="567"/>
        </w:tabs>
        <w:jc w:val="center"/>
        <w:outlineLvl w:val="1"/>
        <w:rPr>
          <w:b/>
          <w:bCs/>
          <w:iCs/>
          <w:snapToGrid w:val="0"/>
          <w:szCs w:val="28"/>
          <w:lang w:eastAsia="x-none"/>
        </w:rPr>
      </w:pPr>
    </w:p>
    <w:p w14:paraId="4B86A449" w14:textId="77777777" w:rsidR="00DF2D7C" w:rsidRDefault="00DF2D7C" w:rsidP="00DF2D7C">
      <w:pPr>
        <w:keepNext/>
        <w:tabs>
          <w:tab w:val="left" w:pos="567"/>
        </w:tabs>
        <w:jc w:val="center"/>
        <w:outlineLvl w:val="1"/>
        <w:rPr>
          <w:b/>
          <w:bCs/>
          <w:iCs/>
          <w:snapToGrid w:val="0"/>
          <w:szCs w:val="28"/>
          <w:lang w:eastAsia="x-none"/>
        </w:rPr>
      </w:pPr>
    </w:p>
    <w:p w14:paraId="0CF864E7" w14:textId="77777777" w:rsidR="00DF2D7C" w:rsidRDefault="00DF2D7C" w:rsidP="00DF2D7C">
      <w:pPr>
        <w:keepNext/>
        <w:tabs>
          <w:tab w:val="left" w:pos="567"/>
        </w:tabs>
        <w:jc w:val="center"/>
        <w:outlineLvl w:val="1"/>
        <w:rPr>
          <w:b/>
          <w:bCs/>
          <w:iCs/>
          <w:snapToGrid w:val="0"/>
          <w:szCs w:val="28"/>
          <w:lang w:eastAsia="x-none"/>
        </w:rPr>
      </w:pPr>
    </w:p>
    <w:p w14:paraId="31743F9A" w14:textId="77777777" w:rsidR="00DF2D7C" w:rsidRDefault="00DF2D7C" w:rsidP="00DF2D7C">
      <w:pPr>
        <w:keepNext/>
        <w:tabs>
          <w:tab w:val="left" w:pos="567"/>
        </w:tabs>
        <w:jc w:val="center"/>
        <w:outlineLvl w:val="1"/>
        <w:rPr>
          <w:b/>
          <w:bCs/>
          <w:iCs/>
          <w:snapToGrid w:val="0"/>
          <w:szCs w:val="28"/>
          <w:lang w:eastAsia="x-none"/>
        </w:rPr>
      </w:pPr>
    </w:p>
    <w:p w14:paraId="7200D9C7" w14:textId="77777777" w:rsidR="00DF2D7C" w:rsidRDefault="00DF2D7C" w:rsidP="00DF2D7C">
      <w:pPr>
        <w:keepNext/>
        <w:tabs>
          <w:tab w:val="left" w:pos="567"/>
        </w:tabs>
        <w:jc w:val="center"/>
        <w:outlineLvl w:val="1"/>
        <w:rPr>
          <w:b/>
          <w:bCs/>
          <w:iCs/>
          <w:snapToGrid w:val="0"/>
          <w:szCs w:val="28"/>
          <w:lang w:eastAsia="x-none"/>
        </w:rPr>
      </w:pPr>
    </w:p>
    <w:p w14:paraId="5DBC9043" w14:textId="77777777" w:rsidR="00DF2D7C" w:rsidRDefault="00DF2D7C" w:rsidP="00DF2D7C">
      <w:pPr>
        <w:keepNext/>
        <w:tabs>
          <w:tab w:val="left" w:pos="567"/>
        </w:tabs>
        <w:jc w:val="center"/>
        <w:outlineLvl w:val="1"/>
        <w:rPr>
          <w:b/>
          <w:bCs/>
          <w:iCs/>
          <w:snapToGrid w:val="0"/>
          <w:szCs w:val="28"/>
          <w:lang w:eastAsia="x-none"/>
        </w:rPr>
      </w:pPr>
    </w:p>
    <w:p w14:paraId="1B2E9121" w14:textId="77777777" w:rsidR="00DF2D7C" w:rsidRDefault="00DF2D7C" w:rsidP="00DF2D7C">
      <w:pPr>
        <w:keepNext/>
        <w:tabs>
          <w:tab w:val="left" w:pos="567"/>
        </w:tabs>
        <w:jc w:val="center"/>
        <w:outlineLvl w:val="1"/>
        <w:rPr>
          <w:b/>
          <w:bCs/>
          <w:iCs/>
          <w:snapToGrid w:val="0"/>
          <w:szCs w:val="28"/>
          <w:lang w:eastAsia="x-none"/>
        </w:rPr>
      </w:pPr>
    </w:p>
    <w:p w14:paraId="7AC7212E" w14:textId="77777777" w:rsidR="00DF2D7C" w:rsidRDefault="00DF2D7C" w:rsidP="00DF2D7C">
      <w:pPr>
        <w:keepNext/>
        <w:tabs>
          <w:tab w:val="left" w:pos="567"/>
        </w:tabs>
        <w:jc w:val="center"/>
        <w:outlineLvl w:val="1"/>
        <w:rPr>
          <w:b/>
          <w:bCs/>
          <w:iCs/>
          <w:snapToGrid w:val="0"/>
          <w:szCs w:val="28"/>
          <w:lang w:eastAsia="x-none"/>
        </w:rPr>
      </w:pPr>
    </w:p>
    <w:p w14:paraId="6A3A6AE5" w14:textId="77777777" w:rsidR="00DF2D7C" w:rsidRDefault="00DF2D7C" w:rsidP="00DF2D7C">
      <w:pPr>
        <w:keepNext/>
        <w:tabs>
          <w:tab w:val="left" w:pos="567"/>
        </w:tabs>
        <w:jc w:val="center"/>
        <w:outlineLvl w:val="1"/>
        <w:rPr>
          <w:b/>
          <w:bCs/>
          <w:iCs/>
          <w:snapToGrid w:val="0"/>
          <w:szCs w:val="28"/>
          <w:lang w:eastAsia="x-none"/>
        </w:rPr>
      </w:pPr>
    </w:p>
    <w:p w14:paraId="1A66F56F" w14:textId="77777777" w:rsidR="00DF2D7C" w:rsidRDefault="00DF2D7C" w:rsidP="00DF2D7C">
      <w:pPr>
        <w:keepNext/>
        <w:tabs>
          <w:tab w:val="left" w:pos="567"/>
        </w:tabs>
        <w:jc w:val="center"/>
        <w:outlineLvl w:val="1"/>
        <w:rPr>
          <w:b/>
          <w:bCs/>
          <w:iCs/>
          <w:snapToGrid w:val="0"/>
          <w:szCs w:val="28"/>
          <w:lang w:eastAsia="x-none"/>
        </w:rPr>
      </w:pPr>
    </w:p>
    <w:p w14:paraId="596D9988" w14:textId="77777777" w:rsidR="00DF2D7C" w:rsidRDefault="00DF2D7C" w:rsidP="00DF2D7C">
      <w:pPr>
        <w:keepNext/>
        <w:tabs>
          <w:tab w:val="left" w:pos="567"/>
        </w:tabs>
        <w:jc w:val="center"/>
        <w:outlineLvl w:val="1"/>
        <w:rPr>
          <w:b/>
          <w:bCs/>
          <w:iCs/>
          <w:snapToGrid w:val="0"/>
          <w:szCs w:val="28"/>
          <w:lang w:eastAsia="x-none"/>
        </w:rPr>
      </w:pPr>
    </w:p>
    <w:p w14:paraId="1230E443" w14:textId="77777777" w:rsidR="00DF2D7C" w:rsidRDefault="00DF2D7C" w:rsidP="00DF2D7C">
      <w:pPr>
        <w:keepNext/>
        <w:tabs>
          <w:tab w:val="left" w:pos="567"/>
        </w:tabs>
        <w:jc w:val="center"/>
        <w:outlineLvl w:val="1"/>
        <w:rPr>
          <w:b/>
          <w:bCs/>
          <w:iCs/>
          <w:snapToGrid w:val="0"/>
          <w:szCs w:val="28"/>
          <w:lang w:eastAsia="x-none"/>
        </w:rPr>
      </w:pPr>
    </w:p>
    <w:p w14:paraId="4427B734" w14:textId="77777777" w:rsidR="00DF2D7C" w:rsidRDefault="00DF2D7C" w:rsidP="00DF2D7C">
      <w:pPr>
        <w:keepNext/>
        <w:tabs>
          <w:tab w:val="left" w:pos="567"/>
        </w:tabs>
        <w:jc w:val="center"/>
        <w:outlineLvl w:val="1"/>
        <w:rPr>
          <w:b/>
          <w:bCs/>
          <w:iCs/>
          <w:snapToGrid w:val="0"/>
          <w:szCs w:val="28"/>
          <w:lang w:eastAsia="x-none"/>
        </w:rPr>
      </w:pPr>
    </w:p>
    <w:p w14:paraId="65AC63E1" w14:textId="77777777" w:rsidR="00DF2D7C" w:rsidRDefault="00DF2D7C" w:rsidP="00DF2D7C">
      <w:pPr>
        <w:keepNext/>
        <w:tabs>
          <w:tab w:val="left" w:pos="567"/>
        </w:tabs>
        <w:jc w:val="center"/>
        <w:outlineLvl w:val="1"/>
        <w:rPr>
          <w:b/>
          <w:bCs/>
          <w:iCs/>
          <w:snapToGrid w:val="0"/>
          <w:szCs w:val="28"/>
          <w:lang w:eastAsia="x-none"/>
        </w:rPr>
      </w:pPr>
    </w:p>
    <w:p w14:paraId="5490A285" w14:textId="77777777" w:rsidR="00DF2D7C" w:rsidRDefault="00DF2D7C" w:rsidP="00DF2D7C">
      <w:pPr>
        <w:keepNext/>
        <w:tabs>
          <w:tab w:val="left" w:pos="567"/>
        </w:tabs>
        <w:jc w:val="center"/>
        <w:outlineLvl w:val="1"/>
        <w:rPr>
          <w:b/>
          <w:bCs/>
          <w:iCs/>
          <w:snapToGrid w:val="0"/>
          <w:szCs w:val="28"/>
          <w:lang w:eastAsia="x-none"/>
        </w:rPr>
      </w:pPr>
    </w:p>
    <w:p w14:paraId="0FB69EB3" w14:textId="77777777" w:rsidR="00DF2D7C" w:rsidRDefault="00DF2D7C" w:rsidP="00DF2D7C">
      <w:pPr>
        <w:keepNext/>
        <w:tabs>
          <w:tab w:val="left" w:pos="567"/>
        </w:tabs>
        <w:jc w:val="center"/>
        <w:outlineLvl w:val="1"/>
        <w:rPr>
          <w:b/>
          <w:bCs/>
          <w:iCs/>
          <w:snapToGrid w:val="0"/>
          <w:szCs w:val="28"/>
          <w:lang w:eastAsia="x-none"/>
        </w:rPr>
      </w:pPr>
    </w:p>
    <w:p w14:paraId="1AF9DD47" w14:textId="3C291926" w:rsidR="00DF2D7C" w:rsidRPr="005D554B" w:rsidRDefault="00DF2D7C" w:rsidP="00DF2D7C">
      <w:pPr>
        <w:keepNext/>
        <w:tabs>
          <w:tab w:val="left" w:pos="567"/>
        </w:tabs>
        <w:jc w:val="center"/>
        <w:outlineLvl w:val="1"/>
        <w:rPr>
          <w:b/>
          <w:snapToGrid w:val="0"/>
          <w:lang w:eastAsia="x-none"/>
        </w:rPr>
      </w:pPr>
      <w:r w:rsidRPr="005D554B">
        <w:rPr>
          <w:b/>
          <w:bCs/>
          <w:iCs/>
          <w:snapToGrid w:val="0"/>
          <w:szCs w:val="28"/>
          <w:lang w:eastAsia="x-none"/>
        </w:rPr>
        <w:t>III PRIEDAS</w:t>
      </w:r>
    </w:p>
    <w:p w14:paraId="7EAAB492" w14:textId="77777777" w:rsidR="00DF2D7C" w:rsidRPr="005D554B" w:rsidRDefault="00DF2D7C" w:rsidP="00DF2D7C">
      <w:pPr>
        <w:tabs>
          <w:tab w:val="left" w:pos="567"/>
        </w:tabs>
        <w:spacing w:line="260" w:lineRule="exact"/>
        <w:rPr>
          <w:snapToGrid w:val="0"/>
        </w:rPr>
      </w:pPr>
    </w:p>
    <w:p w14:paraId="75DE45B0" w14:textId="77777777" w:rsidR="00DF2D7C" w:rsidRPr="005D554B" w:rsidRDefault="00DF2D7C" w:rsidP="00DF2D7C">
      <w:pPr>
        <w:keepNext/>
        <w:tabs>
          <w:tab w:val="left" w:pos="567"/>
        </w:tabs>
        <w:jc w:val="center"/>
        <w:outlineLvl w:val="1"/>
        <w:rPr>
          <w:b/>
          <w:snapToGrid w:val="0"/>
          <w:lang w:eastAsia="x-none"/>
        </w:rPr>
      </w:pPr>
      <w:r w:rsidRPr="005D554B">
        <w:rPr>
          <w:b/>
          <w:bCs/>
          <w:iCs/>
          <w:snapToGrid w:val="0"/>
          <w:szCs w:val="28"/>
          <w:lang w:eastAsia="x-none"/>
        </w:rPr>
        <w:t>ŽENKLINIMAS IR PAKUOTĖS LAPELIS</w:t>
      </w:r>
    </w:p>
    <w:p w14:paraId="127D0409" w14:textId="4AE62B3D" w:rsidR="008020E2" w:rsidRDefault="00137C20">
      <w:pPr>
        <w:widowControl w:val="0"/>
        <w:rPr>
          <w:szCs w:val="22"/>
        </w:rPr>
      </w:pPr>
      <w:r>
        <w:rPr>
          <w:szCs w:val="22"/>
        </w:rPr>
        <w:br w:type="page"/>
      </w:r>
    </w:p>
    <w:p w14:paraId="07742CDA" w14:textId="77777777" w:rsidR="00DF2D7C" w:rsidRDefault="00DF2D7C">
      <w:pPr>
        <w:widowControl w:val="0"/>
        <w:rPr>
          <w:szCs w:val="22"/>
        </w:rPr>
      </w:pPr>
    </w:p>
    <w:p w14:paraId="16148564" w14:textId="77777777" w:rsidR="00DF2D7C" w:rsidRDefault="00DF2D7C">
      <w:pPr>
        <w:widowControl w:val="0"/>
        <w:rPr>
          <w:szCs w:val="22"/>
        </w:rPr>
      </w:pPr>
    </w:p>
    <w:p w14:paraId="6110950D" w14:textId="77777777" w:rsidR="008020E2" w:rsidRDefault="008020E2">
      <w:pPr>
        <w:rPr>
          <w:noProof/>
        </w:rPr>
      </w:pPr>
    </w:p>
    <w:p w14:paraId="5432EE03" w14:textId="77777777" w:rsidR="008020E2" w:rsidRDefault="008020E2">
      <w:pPr>
        <w:rPr>
          <w:noProof/>
        </w:rPr>
      </w:pPr>
    </w:p>
    <w:p w14:paraId="40E1BE35" w14:textId="77777777" w:rsidR="008020E2" w:rsidRDefault="008020E2">
      <w:pPr>
        <w:rPr>
          <w:noProof/>
        </w:rPr>
      </w:pPr>
    </w:p>
    <w:p w14:paraId="2F4ADE48" w14:textId="77777777" w:rsidR="008020E2" w:rsidRDefault="008020E2">
      <w:pPr>
        <w:rPr>
          <w:noProof/>
        </w:rPr>
      </w:pPr>
    </w:p>
    <w:p w14:paraId="663E40A1" w14:textId="77777777" w:rsidR="008020E2" w:rsidRDefault="008020E2">
      <w:pPr>
        <w:rPr>
          <w:noProof/>
        </w:rPr>
      </w:pPr>
    </w:p>
    <w:p w14:paraId="7D423D79" w14:textId="77777777" w:rsidR="008020E2" w:rsidRDefault="008020E2">
      <w:pPr>
        <w:rPr>
          <w:noProof/>
        </w:rPr>
      </w:pPr>
    </w:p>
    <w:p w14:paraId="713D34C1" w14:textId="77777777" w:rsidR="008020E2" w:rsidRDefault="008020E2">
      <w:pPr>
        <w:rPr>
          <w:noProof/>
        </w:rPr>
      </w:pPr>
    </w:p>
    <w:p w14:paraId="541DBC3C" w14:textId="77777777" w:rsidR="008020E2" w:rsidRDefault="008020E2">
      <w:pPr>
        <w:rPr>
          <w:noProof/>
        </w:rPr>
      </w:pPr>
    </w:p>
    <w:p w14:paraId="13CB27D6" w14:textId="77777777" w:rsidR="008020E2" w:rsidRDefault="008020E2">
      <w:pPr>
        <w:rPr>
          <w:noProof/>
        </w:rPr>
      </w:pPr>
    </w:p>
    <w:p w14:paraId="73C3EEA4" w14:textId="77777777" w:rsidR="008020E2" w:rsidRDefault="008020E2">
      <w:pPr>
        <w:rPr>
          <w:noProof/>
        </w:rPr>
      </w:pPr>
    </w:p>
    <w:p w14:paraId="3EA708BB" w14:textId="77777777" w:rsidR="008020E2" w:rsidRDefault="008020E2">
      <w:pPr>
        <w:rPr>
          <w:noProof/>
        </w:rPr>
      </w:pPr>
    </w:p>
    <w:p w14:paraId="2906D137" w14:textId="77777777" w:rsidR="008020E2" w:rsidRDefault="008020E2">
      <w:pPr>
        <w:rPr>
          <w:noProof/>
        </w:rPr>
      </w:pPr>
    </w:p>
    <w:p w14:paraId="0594F84F" w14:textId="77777777" w:rsidR="008020E2" w:rsidRDefault="008020E2">
      <w:pPr>
        <w:rPr>
          <w:noProof/>
        </w:rPr>
      </w:pPr>
    </w:p>
    <w:p w14:paraId="3F06B38F" w14:textId="77777777" w:rsidR="008020E2" w:rsidRDefault="008020E2">
      <w:pPr>
        <w:rPr>
          <w:noProof/>
        </w:rPr>
      </w:pPr>
    </w:p>
    <w:p w14:paraId="7F234C03" w14:textId="77777777" w:rsidR="008020E2" w:rsidRDefault="008020E2">
      <w:pPr>
        <w:rPr>
          <w:noProof/>
        </w:rPr>
      </w:pPr>
    </w:p>
    <w:p w14:paraId="082811D8" w14:textId="77777777" w:rsidR="008020E2" w:rsidRDefault="008020E2">
      <w:pPr>
        <w:rPr>
          <w:noProof/>
        </w:rPr>
      </w:pPr>
    </w:p>
    <w:p w14:paraId="04413D9A" w14:textId="77777777" w:rsidR="008020E2" w:rsidRDefault="008020E2">
      <w:pPr>
        <w:rPr>
          <w:noProof/>
        </w:rPr>
      </w:pPr>
    </w:p>
    <w:p w14:paraId="55E4DDEA" w14:textId="77777777" w:rsidR="008020E2" w:rsidRDefault="008020E2">
      <w:pPr>
        <w:rPr>
          <w:noProof/>
        </w:rPr>
      </w:pPr>
    </w:p>
    <w:p w14:paraId="482230D9" w14:textId="77777777" w:rsidR="008020E2" w:rsidRDefault="008020E2">
      <w:pPr>
        <w:rPr>
          <w:noProof/>
        </w:rPr>
      </w:pPr>
    </w:p>
    <w:p w14:paraId="62B8E2AD" w14:textId="77777777" w:rsidR="008020E2" w:rsidRDefault="008020E2">
      <w:pPr>
        <w:rPr>
          <w:noProof/>
        </w:rPr>
      </w:pPr>
    </w:p>
    <w:p w14:paraId="69DCEBA0" w14:textId="77777777" w:rsidR="008020E2" w:rsidRDefault="008020E2">
      <w:pPr>
        <w:rPr>
          <w:noProof/>
        </w:rPr>
      </w:pPr>
    </w:p>
    <w:p w14:paraId="5B483EBA" w14:textId="77777777" w:rsidR="008020E2" w:rsidRDefault="008020E2">
      <w:pPr>
        <w:rPr>
          <w:noProof/>
        </w:rPr>
      </w:pPr>
    </w:p>
    <w:p w14:paraId="7D9B4B18" w14:textId="6E79461A" w:rsidR="008020E2" w:rsidRDefault="00DF2D7C">
      <w:pPr>
        <w:jc w:val="center"/>
        <w:outlineLvl w:val="0"/>
        <w:rPr>
          <w:noProof/>
        </w:rPr>
      </w:pPr>
      <w:r>
        <w:rPr>
          <w:b/>
          <w:noProof/>
        </w:rPr>
        <w:t xml:space="preserve">A.  </w:t>
      </w:r>
      <w:r w:rsidR="00137C20">
        <w:rPr>
          <w:b/>
          <w:noProof/>
        </w:rPr>
        <w:t>ŽENKLINIMAS</w:t>
      </w:r>
    </w:p>
    <w:p w14:paraId="499CDCA4" w14:textId="77777777" w:rsidR="008020E2" w:rsidRDefault="00137C20">
      <w:pPr>
        <w:shd w:val="clear" w:color="auto" w:fill="FFFFFF"/>
        <w:rPr>
          <w:noProof/>
        </w:rPr>
      </w:pPr>
      <w:r>
        <w:rPr>
          <w:noProof/>
        </w:rPr>
        <w:br w:type="page"/>
      </w:r>
    </w:p>
    <w:p w14:paraId="21C96269" w14:textId="77777777" w:rsidR="008020E2" w:rsidRDefault="00137C20">
      <w:pPr>
        <w:pBdr>
          <w:top w:val="single" w:sz="4" w:space="1" w:color="auto"/>
          <w:left w:val="single" w:sz="4" w:space="4" w:color="auto"/>
          <w:bottom w:val="single" w:sz="4" w:space="1" w:color="auto"/>
          <w:right w:val="single" w:sz="4" w:space="4" w:color="auto"/>
        </w:pBdr>
        <w:rPr>
          <w:b/>
          <w:noProof/>
        </w:rPr>
      </w:pPr>
      <w:r>
        <w:rPr>
          <w:b/>
          <w:noProof/>
        </w:rPr>
        <w:t>INFORMACIJA ANT IŠORINĖS PAKUOTĖS</w:t>
      </w:r>
    </w:p>
    <w:p w14:paraId="45D12006" w14:textId="77777777" w:rsidR="008020E2" w:rsidRDefault="008020E2">
      <w:pPr>
        <w:pBdr>
          <w:top w:val="single" w:sz="4" w:space="1" w:color="auto"/>
          <w:left w:val="single" w:sz="4" w:space="4" w:color="auto"/>
          <w:bottom w:val="single" w:sz="4" w:space="1" w:color="auto"/>
          <w:right w:val="single" w:sz="4" w:space="4" w:color="auto"/>
        </w:pBdr>
        <w:ind w:left="567" w:hanging="567"/>
        <w:rPr>
          <w:bCs/>
          <w:noProof/>
        </w:rPr>
      </w:pPr>
    </w:p>
    <w:p w14:paraId="02C663C5" w14:textId="77777777" w:rsidR="008020E2" w:rsidRDefault="00137C20">
      <w:pPr>
        <w:pBdr>
          <w:top w:val="single" w:sz="4" w:space="1" w:color="auto"/>
          <w:left w:val="single" w:sz="4" w:space="4" w:color="auto"/>
          <w:bottom w:val="single" w:sz="4" w:space="1" w:color="auto"/>
          <w:right w:val="single" w:sz="4" w:space="4" w:color="auto"/>
        </w:pBdr>
        <w:rPr>
          <w:bCs/>
          <w:noProof/>
        </w:rPr>
      </w:pPr>
      <w:r>
        <w:rPr>
          <w:b/>
          <w:noProof/>
        </w:rPr>
        <w:t>DĖŽUTĖ</w:t>
      </w:r>
    </w:p>
    <w:p w14:paraId="0FEE2B06" w14:textId="77777777" w:rsidR="008020E2" w:rsidRDefault="008020E2">
      <w:pPr>
        <w:rPr>
          <w:noProof/>
        </w:rPr>
      </w:pPr>
    </w:p>
    <w:p w14:paraId="3EF55056" w14:textId="77777777" w:rsidR="008020E2" w:rsidRDefault="008020E2">
      <w:pPr>
        <w:rPr>
          <w:noProof/>
        </w:rPr>
      </w:pPr>
    </w:p>
    <w:p w14:paraId="6417C4D6" w14:textId="77777777" w:rsidR="008020E2" w:rsidRDefault="00137C2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7EE73E86" w14:textId="77777777" w:rsidR="008020E2" w:rsidRDefault="008020E2">
      <w:pPr>
        <w:rPr>
          <w:noProof/>
        </w:rPr>
      </w:pPr>
    </w:p>
    <w:p w14:paraId="08569365" w14:textId="77777777" w:rsidR="008020E2" w:rsidRDefault="00137C20">
      <w:pPr>
        <w:rPr>
          <w:noProof/>
        </w:rPr>
      </w:pPr>
      <w:r>
        <w:rPr>
          <w:noProof/>
        </w:rPr>
        <w:t>Pitipix 1 mg plėvele dengtos tabletės</w:t>
      </w:r>
    </w:p>
    <w:p w14:paraId="7C612EC7" w14:textId="77777777" w:rsidR="008020E2" w:rsidRDefault="00137C20">
      <w:pPr>
        <w:rPr>
          <w:noProof/>
          <w:highlight w:val="lightGray"/>
        </w:rPr>
      </w:pPr>
      <w:r>
        <w:rPr>
          <w:noProof/>
          <w:highlight w:val="lightGray"/>
        </w:rPr>
        <w:t>Pitipix 2 mg plėvele dengtos tabletės</w:t>
      </w:r>
    </w:p>
    <w:p w14:paraId="374C8520" w14:textId="77777777" w:rsidR="008020E2" w:rsidRDefault="00137C20">
      <w:pPr>
        <w:rPr>
          <w:noProof/>
        </w:rPr>
      </w:pPr>
      <w:r>
        <w:rPr>
          <w:noProof/>
          <w:highlight w:val="lightGray"/>
        </w:rPr>
        <w:t>Pitipix 4 mg plėvele dengtos tabletės</w:t>
      </w:r>
    </w:p>
    <w:p w14:paraId="0D9BE7C8" w14:textId="77777777" w:rsidR="008020E2" w:rsidRDefault="008020E2">
      <w:pPr>
        <w:rPr>
          <w:noProof/>
        </w:rPr>
      </w:pPr>
    </w:p>
    <w:p w14:paraId="31179E40" w14:textId="77777777" w:rsidR="008020E2" w:rsidRDefault="00137C20">
      <w:pPr>
        <w:rPr>
          <w:noProof/>
        </w:rPr>
      </w:pPr>
      <w:r>
        <w:rPr>
          <w:noProof/>
        </w:rPr>
        <w:t>pitavastatinas</w:t>
      </w:r>
    </w:p>
    <w:p w14:paraId="721ED8BC" w14:textId="77777777" w:rsidR="008020E2" w:rsidRDefault="008020E2">
      <w:pPr>
        <w:rPr>
          <w:noProof/>
        </w:rPr>
      </w:pPr>
    </w:p>
    <w:p w14:paraId="246D9C2F" w14:textId="77777777" w:rsidR="008020E2" w:rsidRDefault="008020E2">
      <w:pPr>
        <w:rPr>
          <w:noProof/>
        </w:rPr>
      </w:pPr>
    </w:p>
    <w:p w14:paraId="1C0D8288" w14:textId="77777777" w:rsidR="008020E2" w:rsidRDefault="00137C2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4D554B82" w14:textId="77777777" w:rsidR="008020E2" w:rsidRDefault="008020E2">
      <w:pPr>
        <w:rPr>
          <w:noProof/>
        </w:rPr>
      </w:pPr>
    </w:p>
    <w:p w14:paraId="5C3EAB97" w14:textId="0ADA52D1" w:rsidR="008020E2" w:rsidRDefault="00137C20">
      <w:pPr>
        <w:rPr>
          <w:noProof/>
        </w:rPr>
      </w:pPr>
      <w:r>
        <w:rPr>
          <w:noProof/>
        </w:rPr>
        <w:t xml:space="preserve">Kiekvienoje plėvele dengtoje tabletėje yra 1 mg pitavastatino </w:t>
      </w:r>
      <w:r>
        <w:rPr>
          <w:szCs w:val="22"/>
        </w:rPr>
        <w:t>(</w:t>
      </w:r>
      <w:proofErr w:type="spellStart"/>
      <w:r>
        <w:rPr>
          <w:szCs w:val="22"/>
          <w:lang w:eastAsia="es-ES"/>
        </w:rPr>
        <w:t>pitavastatino</w:t>
      </w:r>
      <w:proofErr w:type="spellEnd"/>
      <w:r>
        <w:rPr>
          <w:szCs w:val="22"/>
          <w:lang w:eastAsia="es-ES"/>
        </w:rPr>
        <w:t xml:space="preserve"> kalcio druskos </w:t>
      </w:r>
      <w:r w:rsidR="00700F2E">
        <w:rPr>
          <w:szCs w:val="22"/>
          <w:lang w:eastAsia="es-ES"/>
        </w:rPr>
        <w:t>pavidalu</w:t>
      </w:r>
      <w:r>
        <w:rPr>
          <w:szCs w:val="22"/>
          <w:lang w:eastAsia="es-ES"/>
        </w:rPr>
        <w:t>).</w:t>
      </w:r>
    </w:p>
    <w:p w14:paraId="6B49B93D" w14:textId="74A7C881" w:rsidR="008020E2" w:rsidRDefault="00137C20">
      <w:pPr>
        <w:rPr>
          <w:noProof/>
          <w:highlight w:val="lightGray"/>
        </w:rPr>
      </w:pPr>
      <w:r>
        <w:rPr>
          <w:noProof/>
          <w:highlight w:val="lightGray"/>
        </w:rPr>
        <w:t>Kiekvienoje plėvele dengtoje tabletėje yra 2 mg pitavastatino</w:t>
      </w:r>
      <w:r w:rsidR="00700F2E">
        <w:rPr>
          <w:noProof/>
          <w:highlight w:val="lightGray"/>
        </w:rPr>
        <w:t xml:space="preserve"> </w:t>
      </w:r>
      <w:r>
        <w:rPr>
          <w:szCs w:val="22"/>
          <w:highlight w:val="lightGray"/>
        </w:rPr>
        <w:t>(</w:t>
      </w:r>
      <w:proofErr w:type="spellStart"/>
      <w:r>
        <w:rPr>
          <w:szCs w:val="22"/>
          <w:highlight w:val="lightGray"/>
          <w:lang w:eastAsia="es-ES"/>
        </w:rPr>
        <w:t>pitavastatino</w:t>
      </w:r>
      <w:proofErr w:type="spellEnd"/>
      <w:r>
        <w:rPr>
          <w:szCs w:val="22"/>
          <w:highlight w:val="lightGray"/>
          <w:lang w:eastAsia="es-ES"/>
        </w:rPr>
        <w:t xml:space="preserve"> kalcio druskos </w:t>
      </w:r>
      <w:r w:rsidR="00700F2E">
        <w:rPr>
          <w:szCs w:val="22"/>
          <w:highlight w:val="lightGray"/>
          <w:lang w:eastAsia="es-ES"/>
        </w:rPr>
        <w:t>pavidalu</w:t>
      </w:r>
      <w:r>
        <w:rPr>
          <w:szCs w:val="22"/>
          <w:highlight w:val="lightGray"/>
          <w:lang w:eastAsia="es-ES"/>
        </w:rPr>
        <w:t>).</w:t>
      </w:r>
    </w:p>
    <w:p w14:paraId="06543CE5" w14:textId="714061F3" w:rsidR="008020E2" w:rsidRDefault="00137C20">
      <w:pPr>
        <w:rPr>
          <w:noProof/>
        </w:rPr>
      </w:pPr>
      <w:r>
        <w:rPr>
          <w:noProof/>
          <w:highlight w:val="lightGray"/>
        </w:rPr>
        <w:t>Kiekvienoje plėvele dengtoje tabletėje yra 4 mg pitavastatino</w:t>
      </w:r>
      <w:r w:rsidR="00700F2E">
        <w:rPr>
          <w:noProof/>
          <w:highlight w:val="lightGray"/>
        </w:rPr>
        <w:t xml:space="preserve"> </w:t>
      </w:r>
      <w:r>
        <w:rPr>
          <w:szCs w:val="22"/>
          <w:highlight w:val="lightGray"/>
        </w:rPr>
        <w:t>(</w:t>
      </w:r>
      <w:proofErr w:type="spellStart"/>
      <w:r>
        <w:rPr>
          <w:szCs w:val="22"/>
          <w:highlight w:val="lightGray"/>
          <w:lang w:eastAsia="es-ES"/>
        </w:rPr>
        <w:t>pitavastatino</w:t>
      </w:r>
      <w:proofErr w:type="spellEnd"/>
      <w:r>
        <w:rPr>
          <w:szCs w:val="22"/>
          <w:highlight w:val="lightGray"/>
          <w:lang w:eastAsia="es-ES"/>
        </w:rPr>
        <w:t xml:space="preserve"> kalcio druskos </w:t>
      </w:r>
      <w:r w:rsidR="00700F2E">
        <w:rPr>
          <w:szCs w:val="22"/>
          <w:highlight w:val="lightGray"/>
          <w:lang w:eastAsia="es-ES"/>
        </w:rPr>
        <w:t>pavidalu</w:t>
      </w:r>
      <w:r>
        <w:rPr>
          <w:szCs w:val="22"/>
          <w:highlight w:val="lightGray"/>
          <w:lang w:eastAsia="es-ES"/>
        </w:rPr>
        <w:t>).</w:t>
      </w:r>
    </w:p>
    <w:p w14:paraId="68B0C7AC" w14:textId="77777777" w:rsidR="008020E2" w:rsidRDefault="008020E2">
      <w:pPr>
        <w:rPr>
          <w:noProof/>
        </w:rPr>
      </w:pPr>
    </w:p>
    <w:p w14:paraId="60E9114F" w14:textId="77777777" w:rsidR="008020E2" w:rsidRDefault="008020E2">
      <w:pPr>
        <w:rPr>
          <w:noProof/>
        </w:rPr>
      </w:pPr>
    </w:p>
    <w:p w14:paraId="6849FF41" w14:textId="77777777" w:rsidR="008020E2" w:rsidRDefault="00137C2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79D24E9B" w14:textId="77777777" w:rsidR="008020E2" w:rsidRDefault="008020E2">
      <w:pPr>
        <w:rPr>
          <w:noProof/>
        </w:rPr>
      </w:pPr>
    </w:p>
    <w:p w14:paraId="141E8307" w14:textId="77777777" w:rsidR="008020E2" w:rsidRDefault="00137C20">
      <w:pPr>
        <w:rPr>
          <w:noProof/>
        </w:rPr>
      </w:pPr>
      <w:r>
        <w:t>Sudėtyje yra laktozės.</w:t>
      </w:r>
    </w:p>
    <w:p w14:paraId="71955A9D" w14:textId="77777777" w:rsidR="008020E2" w:rsidRDefault="00137C20">
      <w:pPr>
        <w:rPr>
          <w:noProof/>
        </w:rPr>
      </w:pPr>
      <w:r>
        <w:rPr>
          <w:noProof/>
        </w:rPr>
        <w:t>Daugiau informacijos pateikiama pakuotės lapelyje.</w:t>
      </w:r>
    </w:p>
    <w:p w14:paraId="09C22649" w14:textId="77777777" w:rsidR="008020E2" w:rsidRDefault="008020E2">
      <w:pPr>
        <w:rPr>
          <w:noProof/>
        </w:rPr>
      </w:pPr>
    </w:p>
    <w:p w14:paraId="78436BB3" w14:textId="77777777" w:rsidR="008020E2" w:rsidRDefault="008020E2">
      <w:pPr>
        <w:rPr>
          <w:noProof/>
        </w:rPr>
      </w:pPr>
    </w:p>
    <w:p w14:paraId="4D87A02C" w14:textId="77777777" w:rsidR="008020E2" w:rsidRDefault="00137C2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6718926C" w14:textId="77777777" w:rsidR="008020E2" w:rsidRDefault="008020E2">
      <w:pPr>
        <w:rPr>
          <w:noProof/>
        </w:rPr>
      </w:pPr>
    </w:p>
    <w:p w14:paraId="34B61C4A" w14:textId="77777777" w:rsidR="008020E2" w:rsidRDefault="00137C20">
      <w:pPr>
        <w:rPr>
          <w:noProof/>
          <w:highlight w:val="lightGray"/>
        </w:rPr>
      </w:pPr>
      <w:r>
        <w:rPr>
          <w:noProof/>
          <w:highlight w:val="lightGray"/>
        </w:rPr>
        <w:t>Plėvele dengta tabletė</w:t>
      </w:r>
    </w:p>
    <w:p w14:paraId="496821AB" w14:textId="77777777" w:rsidR="008020E2" w:rsidRDefault="008020E2">
      <w:pPr>
        <w:rPr>
          <w:noProof/>
          <w:highlight w:val="lightGray"/>
        </w:rPr>
      </w:pPr>
    </w:p>
    <w:p w14:paraId="3AE06E58" w14:textId="77777777" w:rsidR="008020E2" w:rsidRDefault="00137C20">
      <w:pPr>
        <w:rPr>
          <w:i/>
          <w:iCs/>
          <w:noProof/>
        </w:rPr>
      </w:pPr>
      <w:r>
        <w:rPr>
          <w:i/>
          <w:iCs/>
          <w:noProof/>
          <w:highlight w:val="lightGray"/>
        </w:rPr>
        <w:t>neperforuotos lizdinės plokštelės:</w:t>
      </w:r>
    </w:p>
    <w:p w14:paraId="4EF5FBE9" w14:textId="77777777" w:rsidR="008020E2" w:rsidRDefault="00137C20">
      <w:pPr>
        <w:rPr>
          <w:noProof/>
        </w:rPr>
      </w:pPr>
      <w:r>
        <w:rPr>
          <w:noProof/>
        </w:rPr>
        <w:t>7 plėvele dengtos tabletės</w:t>
      </w:r>
    </w:p>
    <w:p w14:paraId="4DCE0098" w14:textId="77777777" w:rsidR="008020E2" w:rsidRDefault="00137C20">
      <w:pPr>
        <w:rPr>
          <w:noProof/>
          <w:highlight w:val="lightGray"/>
        </w:rPr>
      </w:pPr>
      <w:r>
        <w:rPr>
          <w:noProof/>
          <w:highlight w:val="lightGray"/>
        </w:rPr>
        <w:t>28 plėvele dengtos tabletės</w:t>
      </w:r>
    </w:p>
    <w:p w14:paraId="72F9B715" w14:textId="77777777" w:rsidR="008020E2" w:rsidRDefault="00137C20">
      <w:pPr>
        <w:rPr>
          <w:noProof/>
          <w:highlight w:val="lightGray"/>
        </w:rPr>
      </w:pPr>
      <w:r>
        <w:rPr>
          <w:noProof/>
          <w:highlight w:val="lightGray"/>
        </w:rPr>
        <w:t>30 plėvele dengtų tablečių</w:t>
      </w:r>
    </w:p>
    <w:p w14:paraId="70F1A819" w14:textId="77777777" w:rsidR="008020E2" w:rsidRDefault="00137C20">
      <w:pPr>
        <w:rPr>
          <w:noProof/>
          <w:highlight w:val="lightGray"/>
        </w:rPr>
      </w:pPr>
      <w:r>
        <w:rPr>
          <w:noProof/>
          <w:highlight w:val="lightGray"/>
        </w:rPr>
        <w:t>54 plėvele dengtos tabletės</w:t>
      </w:r>
    </w:p>
    <w:p w14:paraId="01CAB083" w14:textId="77777777" w:rsidR="008020E2" w:rsidRDefault="00137C20">
      <w:pPr>
        <w:rPr>
          <w:noProof/>
          <w:highlight w:val="lightGray"/>
        </w:rPr>
      </w:pPr>
      <w:r>
        <w:rPr>
          <w:noProof/>
          <w:highlight w:val="lightGray"/>
        </w:rPr>
        <w:t>60 plėvele dengtų tablečių</w:t>
      </w:r>
    </w:p>
    <w:p w14:paraId="57E23495" w14:textId="77777777" w:rsidR="008020E2" w:rsidRDefault="00137C20">
      <w:pPr>
        <w:rPr>
          <w:noProof/>
          <w:highlight w:val="lightGray"/>
        </w:rPr>
      </w:pPr>
      <w:r>
        <w:rPr>
          <w:noProof/>
          <w:highlight w:val="lightGray"/>
        </w:rPr>
        <w:t>84 plėvele dengtos tabletės</w:t>
      </w:r>
    </w:p>
    <w:p w14:paraId="1C080B4E" w14:textId="77777777" w:rsidR="008020E2" w:rsidRDefault="00137C20">
      <w:pPr>
        <w:rPr>
          <w:noProof/>
          <w:highlight w:val="lightGray"/>
        </w:rPr>
      </w:pPr>
      <w:r>
        <w:rPr>
          <w:noProof/>
          <w:highlight w:val="lightGray"/>
        </w:rPr>
        <w:t>90 plėvele dengtų tablečių</w:t>
      </w:r>
    </w:p>
    <w:p w14:paraId="7BA66B46" w14:textId="77777777" w:rsidR="008020E2" w:rsidRDefault="00137C20">
      <w:pPr>
        <w:rPr>
          <w:noProof/>
        </w:rPr>
      </w:pPr>
      <w:r>
        <w:rPr>
          <w:noProof/>
          <w:highlight w:val="lightGray"/>
        </w:rPr>
        <w:t>100 plėvele dengtų tablečių</w:t>
      </w:r>
    </w:p>
    <w:p w14:paraId="3A6E689F" w14:textId="77777777" w:rsidR="008020E2" w:rsidRDefault="008020E2">
      <w:pPr>
        <w:rPr>
          <w:noProof/>
        </w:rPr>
      </w:pPr>
    </w:p>
    <w:p w14:paraId="38B06FE8" w14:textId="4DFAADB3" w:rsidR="008020E2" w:rsidRDefault="00137C20">
      <w:pPr>
        <w:rPr>
          <w:i/>
          <w:iCs/>
          <w:noProof/>
        </w:rPr>
      </w:pPr>
      <w:r>
        <w:rPr>
          <w:i/>
          <w:iCs/>
          <w:noProof/>
          <w:highlight w:val="lightGray"/>
        </w:rPr>
        <w:t xml:space="preserve">perforuotos </w:t>
      </w:r>
      <w:r w:rsidR="00700F2E">
        <w:rPr>
          <w:i/>
          <w:iCs/>
          <w:noProof/>
          <w:highlight w:val="lightGray"/>
        </w:rPr>
        <w:t>dalomosios</w:t>
      </w:r>
      <w:r>
        <w:rPr>
          <w:i/>
          <w:iCs/>
          <w:noProof/>
          <w:highlight w:val="lightGray"/>
        </w:rPr>
        <w:t xml:space="preserve"> lizdinės plokštelės:</w:t>
      </w:r>
    </w:p>
    <w:p w14:paraId="63C1F072" w14:textId="24E680C6" w:rsidR="008020E2" w:rsidRDefault="00137C20">
      <w:pPr>
        <w:rPr>
          <w:noProof/>
        </w:rPr>
      </w:pPr>
      <w:r>
        <w:rPr>
          <w:noProof/>
        </w:rPr>
        <w:t>7x1 plėvele dengt</w:t>
      </w:r>
      <w:r w:rsidR="00700F2E">
        <w:rPr>
          <w:noProof/>
        </w:rPr>
        <w:t>os</w:t>
      </w:r>
      <w:r>
        <w:rPr>
          <w:noProof/>
        </w:rPr>
        <w:t xml:space="preserve"> tabletė</w:t>
      </w:r>
      <w:r w:rsidR="00700F2E">
        <w:rPr>
          <w:noProof/>
        </w:rPr>
        <w:t>s</w:t>
      </w:r>
    </w:p>
    <w:p w14:paraId="2232251A" w14:textId="39E6F01D" w:rsidR="008020E2" w:rsidRDefault="00137C20">
      <w:pPr>
        <w:rPr>
          <w:noProof/>
          <w:highlight w:val="lightGray"/>
        </w:rPr>
      </w:pPr>
      <w:r>
        <w:rPr>
          <w:noProof/>
          <w:highlight w:val="lightGray"/>
        </w:rPr>
        <w:t>28x1 plėvele dengt</w:t>
      </w:r>
      <w:r w:rsidR="00700F2E">
        <w:rPr>
          <w:noProof/>
          <w:highlight w:val="lightGray"/>
        </w:rPr>
        <w:t>os</w:t>
      </w:r>
      <w:r>
        <w:rPr>
          <w:noProof/>
          <w:highlight w:val="lightGray"/>
        </w:rPr>
        <w:t xml:space="preserve"> tabletė</w:t>
      </w:r>
      <w:r w:rsidR="00700F2E">
        <w:rPr>
          <w:noProof/>
          <w:highlight w:val="lightGray"/>
        </w:rPr>
        <w:t>s</w:t>
      </w:r>
    </w:p>
    <w:p w14:paraId="78C60832" w14:textId="04F7FB27" w:rsidR="008020E2" w:rsidRDefault="00137C20">
      <w:pPr>
        <w:rPr>
          <w:noProof/>
          <w:highlight w:val="lightGray"/>
        </w:rPr>
      </w:pPr>
      <w:r>
        <w:rPr>
          <w:noProof/>
          <w:highlight w:val="lightGray"/>
        </w:rPr>
        <w:t>30x1 plėvele deng</w:t>
      </w:r>
      <w:r w:rsidR="00700F2E">
        <w:rPr>
          <w:noProof/>
          <w:highlight w:val="lightGray"/>
        </w:rPr>
        <w:t>tų</w:t>
      </w:r>
      <w:r>
        <w:rPr>
          <w:noProof/>
          <w:highlight w:val="lightGray"/>
        </w:rPr>
        <w:t xml:space="preserve"> table</w:t>
      </w:r>
      <w:r w:rsidR="00700F2E">
        <w:rPr>
          <w:noProof/>
          <w:highlight w:val="lightGray"/>
        </w:rPr>
        <w:t>čių</w:t>
      </w:r>
    </w:p>
    <w:p w14:paraId="60355761" w14:textId="386AB5D9" w:rsidR="008020E2" w:rsidRDefault="00137C20">
      <w:pPr>
        <w:rPr>
          <w:noProof/>
          <w:highlight w:val="lightGray"/>
        </w:rPr>
      </w:pPr>
      <w:r>
        <w:rPr>
          <w:noProof/>
          <w:highlight w:val="lightGray"/>
        </w:rPr>
        <w:t>54x1 plėvele dengt</w:t>
      </w:r>
      <w:r w:rsidR="00700F2E">
        <w:rPr>
          <w:noProof/>
          <w:highlight w:val="lightGray"/>
        </w:rPr>
        <w:t>os</w:t>
      </w:r>
      <w:r>
        <w:rPr>
          <w:noProof/>
          <w:highlight w:val="lightGray"/>
        </w:rPr>
        <w:t xml:space="preserve"> tabletė</w:t>
      </w:r>
      <w:r w:rsidR="00700F2E">
        <w:rPr>
          <w:noProof/>
          <w:highlight w:val="lightGray"/>
        </w:rPr>
        <w:t>s</w:t>
      </w:r>
    </w:p>
    <w:p w14:paraId="79660FC2" w14:textId="55ED706C" w:rsidR="008020E2" w:rsidRDefault="00137C20">
      <w:pPr>
        <w:rPr>
          <w:noProof/>
          <w:highlight w:val="lightGray"/>
        </w:rPr>
      </w:pPr>
      <w:r>
        <w:rPr>
          <w:noProof/>
          <w:highlight w:val="lightGray"/>
        </w:rPr>
        <w:t>60x1 plėvele dengt</w:t>
      </w:r>
      <w:r w:rsidR="00700F2E">
        <w:rPr>
          <w:noProof/>
          <w:highlight w:val="lightGray"/>
        </w:rPr>
        <w:t>ų</w:t>
      </w:r>
      <w:r>
        <w:rPr>
          <w:noProof/>
          <w:highlight w:val="lightGray"/>
        </w:rPr>
        <w:t xml:space="preserve"> table</w:t>
      </w:r>
      <w:r w:rsidR="00700F2E">
        <w:rPr>
          <w:noProof/>
          <w:highlight w:val="lightGray"/>
        </w:rPr>
        <w:t>čių</w:t>
      </w:r>
    </w:p>
    <w:p w14:paraId="5B77786A" w14:textId="10FEBBED" w:rsidR="008020E2" w:rsidRDefault="00137C20">
      <w:pPr>
        <w:rPr>
          <w:noProof/>
          <w:highlight w:val="lightGray"/>
        </w:rPr>
      </w:pPr>
      <w:r>
        <w:rPr>
          <w:noProof/>
          <w:highlight w:val="lightGray"/>
        </w:rPr>
        <w:t>84x1 plėvele dengt</w:t>
      </w:r>
      <w:r w:rsidR="00700F2E">
        <w:rPr>
          <w:noProof/>
          <w:highlight w:val="lightGray"/>
        </w:rPr>
        <w:t>os</w:t>
      </w:r>
      <w:r>
        <w:rPr>
          <w:noProof/>
          <w:highlight w:val="lightGray"/>
        </w:rPr>
        <w:t xml:space="preserve"> tabletė</w:t>
      </w:r>
      <w:r w:rsidR="00700F2E">
        <w:rPr>
          <w:noProof/>
          <w:highlight w:val="lightGray"/>
        </w:rPr>
        <w:t>s</w:t>
      </w:r>
    </w:p>
    <w:p w14:paraId="11536CED" w14:textId="0F179BA4" w:rsidR="008020E2" w:rsidRDefault="00137C20">
      <w:pPr>
        <w:rPr>
          <w:noProof/>
          <w:highlight w:val="lightGray"/>
        </w:rPr>
      </w:pPr>
      <w:r>
        <w:rPr>
          <w:noProof/>
          <w:highlight w:val="lightGray"/>
        </w:rPr>
        <w:t>90x1 plėvele dengt</w:t>
      </w:r>
      <w:r w:rsidR="00700F2E">
        <w:rPr>
          <w:noProof/>
          <w:highlight w:val="lightGray"/>
        </w:rPr>
        <w:t>ų</w:t>
      </w:r>
      <w:r>
        <w:rPr>
          <w:noProof/>
          <w:highlight w:val="lightGray"/>
        </w:rPr>
        <w:t xml:space="preserve"> table</w:t>
      </w:r>
      <w:r w:rsidR="00700F2E">
        <w:rPr>
          <w:noProof/>
          <w:highlight w:val="lightGray"/>
        </w:rPr>
        <w:t>čių</w:t>
      </w:r>
    </w:p>
    <w:p w14:paraId="48868196" w14:textId="6C80043B" w:rsidR="008020E2" w:rsidRPr="00F459B6" w:rsidRDefault="00137C20">
      <w:pPr>
        <w:rPr>
          <w:noProof/>
          <w:highlight w:val="lightGray"/>
        </w:rPr>
      </w:pPr>
      <w:r>
        <w:rPr>
          <w:noProof/>
          <w:highlight w:val="lightGray"/>
        </w:rPr>
        <w:t>100x1 plėvele dengt</w:t>
      </w:r>
      <w:r w:rsidR="00700F2E">
        <w:rPr>
          <w:noProof/>
          <w:highlight w:val="lightGray"/>
        </w:rPr>
        <w:t>ų</w:t>
      </w:r>
      <w:r>
        <w:rPr>
          <w:noProof/>
          <w:highlight w:val="lightGray"/>
        </w:rPr>
        <w:t xml:space="preserve"> table</w:t>
      </w:r>
      <w:r w:rsidR="00700F2E" w:rsidRPr="00F459B6">
        <w:rPr>
          <w:noProof/>
          <w:highlight w:val="lightGray"/>
        </w:rPr>
        <w:t>čių</w:t>
      </w:r>
    </w:p>
    <w:p w14:paraId="6B2627E3" w14:textId="77777777" w:rsidR="008020E2" w:rsidRDefault="008020E2">
      <w:pPr>
        <w:rPr>
          <w:noProof/>
        </w:rPr>
      </w:pPr>
    </w:p>
    <w:p w14:paraId="31D52BD9" w14:textId="77777777" w:rsidR="008020E2" w:rsidRDefault="008020E2">
      <w:pPr>
        <w:rPr>
          <w:noProof/>
        </w:rPr>
      </w:pPr>
    </w:p>
    <w:p w14:paraId="59FFEB63" w14:textId="77777777" w:rsidR="008020E2" w:rsidRDefault="00137C2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49F620B6" w14:textId="77777777" w:rsidR="008020E2" w:rsidRDefault="008020E2">
      <w:pPr>
        <w:rPr>
          <w:i/>
          <w:noProof/>
        </w:rPr>
      </w:pPr>
    </w:p>
    <w:p w14:paraId="0251C79A" w14:textId="77777777" w:rsidR="008020E2" w:rsidRDefault="00137C20">
      <w:pPr>
        <w:rPr>
          <w:noProof/>
        </w:rPr>
      </w:pPr>
      <w:r>
        <w:rPr>
          <w:noProof/>
        </w:rPr>
        <w:t>Prieš vartojimą perskaitykite pakuotės lapelį.</w:t>
      </w:r>
    </w:p>
    <w:p w14:paraId="16631E7D" w14:textId="77777777" w:rsidR="008020E2" w:rsidRDefault="00137C20">
      <w:pPr>
        <w:widowControl w:val="0"/>
        <w:tabs>
          <w:tab w:val="left" w:pos="567"/>
        </w:tabs>
        <w:rPr>
          <w:snapToGrid w:val="0"/>
          <w:szCs w:val="22"/>
        </w:rPr>
      </w:pPr>
      <w:r>
        <w:rPr>
          <w:snapToGrid w:val="0"/>
          <w:szCs w:val="22"/>
        </w:rPr>
        <w:t>Vartoti per burną</w:t>
      </w:r>
    </w:p>
    <w:p w14:paraId="73955616" w14:textId="77777777" w:rsidR="008020E2" w:rsidRDefault="008020E2">
      <w:pPr>
        <w:rPr>
          <w:noProof/>
        </w:rPr>
      </w:pPr>
    </w:p>
    <w:p w14:paraId="43146F12" w14:textId="77777777" w:rsidR="008020E2" w:rsidRDefault="008020E2">
      <w:pPr>
        <w:rPr>
          <w:noProof/>
        </w:rPr>
      </w:pPr>
    </w:p>
    <w:p w14:paraId="01F5E0BB" w14:textId="77777777" w:rsidR="008020E2" w:rsidRDefault="00137C20">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50BB1B95" w14:textId="77777777" w:rsidR="008020E2" w:rsidRDefault="008020E2">
      <w:pPr>
        <w:rPr>
          <w:noProof/>
        </w:rPr>
      </w:pPr>
    </w:p>
    <w:p w14:paraId="351DFF12" w14:textId="77777777" w:rsidR="008020E2" w:rsidRDefault="00137C20">
      <w:pPr>
        <w:pStyle w:val="Pagrindinistekstas"/>
        <w:rPr>
          <w:i w:val="0"/>
          <w:iCs/>
          <w:noProof/>
          <w:color w:val="auto"/>
          <w:lang w:val="lt-LT"/>
        </w:rPr>
      </w:pPr>
      <w:r>
        <w:rPr>
          <w:i w:val="0"/>
          <w:iCs/>
          <w:noProof/>
          <w:color w:val="auto"/>
          <w:lang w:val="lt-LT"/>
        </w:rPr>
        <w:t>Laikyti vaikams nepastebimoje ir nepasiekiamoje vietoje.</w:t>
      </w:r>
    </w:p>
    <w:p w14:paraId="5ACF1B25" w14:textId="77777777" w:rsidR="008020E2" w:rsidRDefault="008020E2">
      <w:pPr>
        <w:rPr>
          <w:noProof/>
        </w:rPr>
      </w:pPr>
    </w:p>
    <w:p w14:paraId="565150D4" w14:textId="77777777" w:rsidR="008020E2" w:rsidRDefault="008020E2">
      <w:pPr>
        <w:rPr>
          <w:noProof/>
        </w:rPr>
      </w:pPr>
    </w:p>
    <w:p w14:paraId="0896AE8F" w14:textId="77777777" w:rsidR="008020E2" w:rsidRDefault="00137C2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17B359C0" w14:textId="77777777" w:rsidR="008020E2" w:rsidRDefault="008020E2">
      <w:pPr>
        <w:rPr>
          <w:noProof/>
        </w:rPr>
      </w:pPr>
    </w:p>
    <w:p w14:paraId="5686DE42" w14:textId="77777777" w:rsidR="008020E2" w:rsidRDefault="008020E2">
      <w:pPr>
        <w:rPr>
          <w:noProof/>
        </w:rPr>
      </w:pPr>
    </w:p>
    <w:p w14:paraId="0F097D12" w14:textId="77777777" w:rsidR="008020E2" w:rsidRDefault="00137C2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7A0FCF03" w14:textId="77777777" w:rsidR="008020E2" w:rsidRDefault="008020E2">
      <w:pPr>
        <w:rPr>
          <w:i/>
          <w:noProof/>
        </w:rPr>
      </w:pPr>
    </w:p>
    <w:p w14:paraId="4B859E20" w14:textId="77777777" w:rsidR="008020E2" w:rsidRDefault="00137C20">
      <w:pPr>
        <w:rPr>
          <w:noProof/>
        </w:rPr>
      </w:pPr>
      <w:r>
        <w:rPr>
          <w:noProof/>
        </w:rPr>
        <w:t xml:space="preserve">EXP </w:t>
      </w:r>
      <w:r>
        <w:rPr>
          <w:snapToGrid w:val="0"/>
        </w:rPr>
        <w:t>(mm/MMMM)</w:t>
      </w:r>
    </w:p>
    <w:p w14:paraId="60100B2A" w14:textId="77777777" w:rsidR="008020E2" w:rsidRDefault="008020E2">
      <w:pPr>
        <w:rPr>
          <w:noProof/>
        </w:rPr>
      </w:pPr>
    </w:p>
    <w:p w14:paraId="6289266B" w14:textId="77777777" w:rsidR="008020E2" w:rsidRDefault="008020E2">
      <w:pPr>
        <w:rPr>
          <w:noProof/>
        </w:rPr>
      </w:pPr>
    </w:p>
    <w:p w14:paraId="4293C0BF" w14:textId="77777777" w:rsidR="008020E2" w:rsidRDefault="00137C2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39562C1D" w14:textId="77777777" w:rsidR="008020E2" w:rsidRDefault="008020E2">
      <w:pPr>
        <w:rPr>
          <w:i/>
          <w:noProof/>
        </w:rPr>
      </w:pPr>
    </w:p>
    <w:p w14:paraId="39E72E60" w14:textId="77777777" w:rsidR="008020E2" w:rsidRDefault="008020E2">
      <w:pPr>
        <w:ind w:left="567" w:hanging="567"/>
        <w:rPr>
          <w:i/>
          <w:iCs/>
        </w:rPr>
      </w:pPr>
    </w:p>
    <w:p w14:paraId="74EAEA8B" w14:textId="77777777" w:rsidR="008020E2" w:rsidRDefault="008020E2">
      <w:pPr>
        <w:ind w:left="567" w:hanging="567"/>
        <w:rPr>
          <w:noProof/>
        </w:rPr>
      </w:pPr>
    </w:p>
    <w:p w14:paraId="7334D63F" w14:textId="77777777" w:rsidR="008020E2" w:rsidRDefault="00137C2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4D0C238D" w14:textId="77777777" w:rsidR="008020E2" w:rsidRDefault="008020E2">
      <w:pPr>
        <w:rPr>
          <w:noProof/>
        </w:rPr>
      </w:pPr>
    </w:p>
    <w:p w14:paraId="65BCAB04" w14:textId="77777777" w:rsidR="008020E2" w:rsidRDefault="008020E2">
      <w:pPr>
        <w:rPr>
          <w:noProof/>
        </w:rPr>
      </w:pPr>
    </w:p>
    <w:p w14:paraId="11F9ADA5" w14:textId="77777777" w:rsidR="008020E2" w:rsidRDefault="00137C20">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328749B7" w14:textId="77777777" w:rsidR="008020E2" w:rsidRDefault="008020E2"/>
    <w:p w14:paraId="0B23C2DB" w14:textId="77777777" w:rsidR="008020E2" w:rsidRDefault="00137C20">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75F70912" w14:textId="77777777" w:rsidR="008020E2" w:rsidRDefault="00137C20">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2123FC9D" w14:textId="77777777" w:rsidR="008020E2" w:rsidRDefault="00137C20">
      <w:pPr>
        <w:widowControl w:val="0"/>
        <w:tabs>
          <w:tab w:val="left" w:pos="567"/>
        </w:tabs>
        <w:rPr>
          <w:szCs w:val="20"/>
          <w:lang w:eastAsia="sl-SI"/>
        </w:rPr>
      </w:pPr>
      <w:r>
        <w:rPr>
          <w:snapToGrid w:val="0"/>
          <w:szCs w:val="22"/>
        </w:rPr>
        <w:t>8501 Novo mesto</w:t>
      </w:r>
    </w:p>
    <w:p w14:paraId="7C9EDD49" w14:textId="77777777" w:rsidR="008020E2" w:rsidRDefault="00137C20">
      <w:pPr>
        <w:widowControl w:val="0"/>
        <w:tabs>
          <w:tab w:val="left" w:pos="567"/>
        </w:tabs>
        <w:rPr>
          <w:snapToGrid w:val="0"/>
          <w:szCs w:val="22"/>
        </w:rPr>
      </w:pPr>
      <w:r>
        <w:rPr>
          <w:snapToGrid w:val="0"/>
          <w:szCs w:val="22"/>
        </w:rPr>
        <w:t>Slovėnija</w:t>
      </w:r>
    </w:p>
    <w:p w14:paraId="759C39F2" w14:textId="77777777" w:rsidR="008020E2" w:rsidRDefault="008020E2">
      <w:pPr>
        <w:rPr>
          <w:noProof/>
        </w:rPr>
      </w:pPr>
    </w:p>
    <w:p w14:paraId="0567DFA5" w14:textId="77777777" w:rsidR="008020E2" w:rsidRDefault="008020E2">
      <w:pPr>
        <w:rPr>
          <w:noProof/>
        </w:rPr>
      </w:pPr>
    </w:p>
    <w:p w14:paraId="7CFB719D" w14:textId="77777777" w:rsidR="008020E2" w:rsidRDefault="00137C20">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55428879" w14:textId="77777777" w:rsidR="008020E2" w:rsidRDefault="008020E2">
      <w:pPr>
        <w:rPr>
          <w:noProof/>
        </w:rPr>
      </w:pPr>
    </w:p>
    <w:p w14:paraId="0561CC12" w14:textId="710F8EDF" w:rsidR="005E5AFD" w:rsidRPr="009B2190" w:rsidRDefault="00440E42" w:rsidP="005E5AFD">
      <w:pPr>
        <w:rPr>
          <w:noProof/>
          <w:highlight w:val="lightGray"/>
        </w:rPr>
      </w:pPr>
      <w:r w:rsidRPr="009B2190">
        <w:rPr>
          <w:noProof/>
          <w:highlight w:val="lightGray"/>
        </w:rPr>
        <w:t>&lt;</w:t>
      </w:r>
      <w:r w:rsidR="005E5AFD" w:rsidRPr="009B2190">
        <w:rPr>
          <w:noProof/>
          <w:highlight w:val="lightGray"/>
        </w:rPr>
        <w:t>1 mg</w:t>
      </w:r>
      <w:r w:rsidRPr="009B2190">
        <w:rPr>
          <w:noProof/>
          <w:highlight w:val="lightGray"/>
        </w:rPr>
        <w:t>&gt;</w:t>
      </w:r>
    </w:p>
    <w:p w14:paraId="13DE77AD" w14:textId="77777777" w:rsidR="005E5AFD" w:rsidRDefault="005E5AFD" w:rsidP="005E5AFD">
      <w:r w:rsidRPr="009B2190">
        <w:rPr>
          <w:noProof/>
          <w:highlight w:val="lightGray"/>
          <w:u w:val="single"/>
        </w:rPr>
        <w:t>Lizdinė plokštelė</w:t>
      </w:r>
      <w:r>
        <w:t>:</w:t>
      </w:r>
    </w:p>
    <w:p w14:paraId="58A1F6F9" w14:textId="77777777" w:rsidR="005E5AFD" w:rsidRPr="009B2190" w:rsidRDefault="005E5AFD" w:rsidP="005E5AFD">
      <w:pPr>
        <w:rPr>
          <w:noProof/>
          <w:highlight w:val="lightGray"/>
        </w:rPr>
      </w:pPr>
      <w:r>
        <w:t xml:space="preserve">LT/1/24/5543/001 </w:t>
      </w:r>
      <w:r w:rsidRPr="009B2190">
        <w:rPr>
          <w:noProof/>
          <w:highlight w:val="lightGray"/>
        </w:rPr>
        <w:t>– N7</w:t>
      </w:r>
    </w:p>
    <w:p w14:paraId="0E331B6F" w14:textId="48E6BDFD" w:rsidR="00F459B6" w:rsidRPr="009B2190" w:rsidRDefault="00F459B6" w:rsidP="00F459B6">
      <w:pPr>
        <w:rPr>
          <w:noProof/>
          <w:highlight w:val="lightGray"/>
        </w:rPr>
      </w:pPr>
      <w:r w:rsidRPr="009B2190">
        <w:rPr>
          <w:noProof/>
          <w:highlight w:val="lightGray"/>
        </w:rPr>
        <w:t>LT/1/24/5543/009 – N7 (kalendorinė pakuotė)</w:t>
      </w:r>
    </w:p>
    <w:p w14:paraId="588C811A" w14:textId="77777777" w:rsidR="005E5AFD" w:rsidRPr="009B2190" w:rsidRDefault="005E5AFD" w:rsidP="005E5AFD">
      <w:pPr>
        <w:rPr>
          <w:noProof/>
          <w:highlight w:val="lightGray"/>
        </w:rPr>
      </w:pPr>
      <w:r w:rsidRPr="009B2190">
        <w:rPr>
          <w:noProof/>
          <w:highlight w:val="lightGray"/>
        </w:rPr>
        <w:t>LT/1/24/5543/002 – N28</w:t>
      </w:r>
    </w:p>
    <w:p w14:paraId="6B2B42D0" w14:textId="12831BD3" w:rsidR="00F459B6" w:rsidRPr="009B2190" w:rsidRDefault="00F459B6" w:rsidP="005E5AFD">
      <w:pPr>
        <w:rPr>
          <w:noProof/>
          <w:highlight w:val="lightGray"/>
        </w:rPr>
      </w:pPr>
      <w:r w:rsidRPr="009B2190">
        <w:rPr>
          <w:noProof/>
          <w:highlight w:val="lightGray"/>
        </w:rPr>
        <w:t>LT/1/24/5543/010 – N28 (kalendorinė pakuotė)</w:t>
      </w:r>
    </w:p>
    <w:p w14:paraId="2141A9B3" w14:textId="032986F6" w:rsidR="005E5AFD" w:rsidRPr="009B2190" w:rsidRDefault="005E5AFD" w:rsidP="005E5AFD">
      <w:pPr>
        <w:rPr>
          <w:noProof/>
          <w:highlight w:val="lightGray"/>
        </w:rPr>
      </w:pPr>
      <w:r w:rsidRPr="009B2190">
        <w:rPr>
          <w:noProof/>
          <w:highlight w:val="lightGray"/>
        </w:rPr>
        <w:t>LT/1/24/5543/003 – N30</w:t>
      </w:r>
    </w:p>
    <w:p w14:paraId="6F17F70A" w14:textId="77777777" w:rsidR="005E5AFD" w:rsidRPr="009B2190" w:rsidRDefault="005E5AFD" w:rsidP="005E5AFD">
      <w:pPr>
        <w:rPr>
          <w:noProof/>
          <w:highlight w:val="lightGray"/>
        </w:rPr>
      </w:pPr>
      <w:r w:rsidRPr="009B2190">
        <w:rPr>
          <w:noProof/>
          <w:highlight w:val="lightGray"/>
        </w:rPr>
        <w:t>LT/1/24/5543/004 – N56</w:t>
      </w:r>
    </w:p>
    <w:p w14:paraId="794AD707" w14:textId="4CCAB4FE" w:rsidR="006B423B" w:rsidRPr="009B2190" w:rsidRDefault="006B423B" w:rsidP="005E5AFD">
      <w:pPr>
        <w:rPr>
          <w:noProof/>
          <w:highlight w:val="lightGray"/>
        </w:rPr>
      </w:pPr>
      <w:r w:rsidRPr="009B2190">
        <w:rPr>
          <w:noProof/>
          <w:highlight w:val="lightGray"/>
        </w:rPr>
        <w:t>LT/1/24/5543/011 – N56</w:t>
      </w:r>
      <w:r w:rsidRPr="009B2190">
        <w:rPr>
          <w:noProof/>
          <w:highlight w:val="lightGray"/>
        </w:rPr>
        <w:t xml:space="preserve"> </w:t>
      </w:r>
      <w:r w:rsidRPr="009B2190">
        <w:rPr>
          <w:noProof/>
          <w:highlight w:val="lightGray"/>
        </w:rPr>
        <w:t>(kalendorinė pakuotė)</w:t>
      </w:r>
    </w:p>
    <w:p w14:paraId="056D319F" w14:textId="3268CB45" w:rsidR="005E5AFD" w:rsidRPr="009B2190" w:rsidRDefault="005E5AFD" w:rsidP="005E5AFD">
      <w:pPr>
        <w:rPr>
          <w:noProof/>
          <w:highlight w:val="lightGray"/>
        </w:rPr>
      </w:pPr>
      <w:r w:rsidRPr="009B2190">
        <w:rPr>
          <w:noProof/>
          <w:highlight w:val="lightGray"/>
        </w:rPr>
        <w:t>LT/1/24/5543/005 – N60</w:t>
      </w:r>
    </w:p>
    <w:p w14:paraId="49156552" w14:textId="77777777" w:rsidR="005E5AFD" w:rsidRPr="009B2190" w:rsidRDefault="005E5AFD" w:rsidP="005E5AFD">
      <w:pPr>
        <w:rPr>
          <w:noProof/>
          <w:highlight w:val="lightGray"/>
        </w:rPr>
      </w:pPr>
      <w:r w:rsidRPr="009B2190">
        <w:rPr>
          <w:noProof/>
          <w:highlight w:val="lightGray"/>
        </w:rPr>
        <w:t>LT/1/24/5543/006 – N84</w:t>
      </w:r>
    </w:p>
    <w:p w14:paraId="70D5344C" w14:textId="552D6F53" w:rsidR="006B423B" w:rsidRPr="009B2190" w:rsidRDefault="006B423B" w:rsidP="006B423B">
      <w:pPr>
        <w:rPr>
          <w:noProof/>
          <w:highlight w:val="lightGray"/>
        </w:rPr>
      </w:pPr>
      <w:r w:rsidRPr="009B2190">
        <w:rPr>
          <w:noProof/>
          <w:highlight w:val="lightGray"/>
        </w:rPr>
        <w:t>LT/1/24/5543/012 – N84</w:t>
      </w:r>
      <w:r w:rsidRPr="009B2190">
        <w:rPr>
          <w:noProof/>
          <w:highlight w:val="lightGray"/>
        </w:rPr>
        <w:t xml:space="preserve"> </w:t>
      </w:r>
      <w:r w:rsidRPr="009B2190">
        <w:rPr>
          <w:noProof/>
          <w:highlight w:val="lightGray"/>
        </w:rPr>
        <w:t>(kalendorinė pakuotė)</w:t>
      </w:r>
    </w:p>
    <w:p w14:paraId="54DCDC58" w14:textId="77777777" w:rsidR="005E5AFD" w:rsidRPr="009B2190" w:rsidRDefault="005E5AFD" w:rsidP="005E5AFD">
      <w:pPr>
        <w:rPr>
          <w:noProof/>
          <w:highlight w:val="lightGray"/>
        </w:rPr>
      </w:pPr>
      <w:r w:rsidRPr="009B2190">
        <w:rPr>
          <w:noProof/>
          <w:highlight w:val="lightGray"/>
        </w:rPr>
        <w:t>LT/1/24/5543/007 – N90</w:t>
      </w:r>
    </w:p>
    <w:p w14:paraId="37FE08D7" w14:textId="77777777" w:rsidR="005E5AFD" w:rsidRPr="009B2190" w:rsidRDefault="005E5AFD" w:rsidP="005E5AFD">
      <w:pPr>
        <w:rPr>
          <w:noProof/>
          <w:highlight w:val="lightGray"/>
        </w:rPr>
      </w:pPr>
      <w:r w:rsidRPr="009B2190">
        <w:rPr>
          <w:noProof/>
          <w:highlight w:val="lightGray"/>
        </w:rPr>
        <w:t>LT/1/24/5543/008 – N100</w:t>
      </w:r>
    </w:p>
    <w:p w14:paraId="4279E0B1" w14:textId="77777777" w:rsidR="005E5AFD" w:rsidRPr="009B2190" w:rsidRDefault="005E5AFD" w:rsidP="005E5AFD">
      <w:pPr>
        <w:rPr>
          <w:noProof/>
          <w:highlight w:val="lightGray"/>
        </w:rPr>
      </w:pPr>
      <w:proofErr w:type="spellStart"/>
      <w:r w:rsidRPr="009B2190">
        <w:rPr>
          <w:noProof/>
          <w:highlight w:val="lightGray"/>
          <w:u w:val="single"/>
        </w:rPr>
        <w:t>Dalomoji</w:t>
      </w:r>
      <w:proofErr w:type="spellEnd"/>
      <w:r w:rsidRPr="009B2190">
        <w:rPr>
          <w:noProof/>
          <w:highlight w:val="lightGray"/>
          <w:u w:val="single"/>
        </w:rPr>
        <w:t xml:space="preserve"> lizdinė plokštelė</w:t>
      </w:r>
      <w:r w:rsidRPr="009B2190">
        <w:rPr>
          <w:noProof/>
          <w:highlight w:val="lightGray"/>
        </w:rPr>
        <w:t>:</w:t>
      </w:r>
    </w:p>
    <w:p w14:paraId="58ADCADA" w14:textId="77777777" w:rsidR="005E5AFD" w:rsidRPr="009B2190" w:rsidRDefault="005E5AFD" w:rsidP="005E5AFD">
      <w:pPr>
        <w:rPr>
          <w:noProof/>
          <w:highlight w:val="lightGray"/>
        </w:rPr>
      </w:pPr>
      <w:r>
        <w:t>LT/1/24/5543/013 – N7x1</w:t>
      </w:r>
    </w:p>
    <w:p w14:paraId="0BD7C0E7" w14:textId="7A52D08D" w:rsidR="006B423B" w:rsidRPr="009B2190" w:rsidRDefault="006B423B" w:rsidP="006B423B">
      <w:pPr>
        <w:rPr>
          <w:noProof/>
          <w:highlight w:val="lightGray"/>
        </w:rPr>
      </w:pPr>
      <w:r w:rsidRPr="009B2190">
        <w:rPr>
          <w:noProof/>
          <w:highlight w:val="lightGray"/>
        </w:rPr>
        <w:t>LT/1/24/5543/021 – N7x1</w:t>
      </w:r>
      <w:r w:rsidRPr="009B2190">
        <w:rPr>
          <w:noProof/>
          <w:highlight w:val="lightGray"/>
        </w:rPr>
        <w:t xml:space="preserve"> </w:t>
      </w:r>
      <w:r w:rsidRPr="009B2190">
        <w:rPr>
          <w:noProof/>
          <w:highlight w:val="lightGray"/>
        </w:rPr>
        <w:t>(kalendorinė pakuotė)</w:t>
      </w:r>
    </w:p>
    <w:p w14:paraId="1E4C0442" w14:textId="77777777" w:rsidR="005E5AFD" w:rsidRPr="009B2190" w:rsidRDefault="005E5AFD" w:rsidP="005E5AFD">
      <w:pPr>
        <w:rPr>
          <w:noProof/>
          <w:highlight w:val="lightGray"/>
        </w:rPr>
      </w:pPr>
      <w:r w:rsidRPr="009B2190">
        <w:rPr>
          <w:noProof/>
          <w:highlight w:val="lightGray"/>
        </w:rPr>
        <w:t>LT/1/24/5543/014 – N28x1</w:t>
      </w:r>
    </w:p>
    <w:p w14:paraId="4D3C42AF" w14:textId="13F0B963" w:rsidR="00913CCA" w:rsidRPr="009B2190" w:rsidRDefault="00913CCA" w:rsidP="00913CCA">
      <w:pPr>
        <w:rPr>
          <w:noProof/>
          <w:highlight w:val="lightGray"/>
        </w:rPr>
      </w:pPr>
      <w:r w:rsidRPr="009B2190">
        <w:rPr>
          <w:noProof/>
          <w:highlight w:val="lightGray"/>
        </w:rPr>
        <w:t>LT/1/24/5543/022 – N28x1</w:t>
      </w:r>
      <w:r w:rsidRPr="009B2190">
        <w:rPr>
          <w:noProof/>
          <w:highlight w:val="lightGray"/>
        </w:rPr>
        <w:t xml:space="preserve"> </w:t>
      </w:r>
      <w:r w:rsidRPr="009B2190">
        <w:rPr>
          <w:noProof/>
          <w:highlight w:val="lightGray"/>
        </w:rPr>
        <w:t>(kalendorinė pakuotė)</w:t>
      </w:r>
    </w:p>
    <w:p w14:paraId="654C2381" w14:textId="77777777" w:rsidR="005E5AFD" w:rsidRPr="009B2190" w:rsidRDefault="005E5AFD" w:rsidP="005E5AFD">
      <w:pPr>
        <w:rPr>
          <w:noProof/>
          <w:highlight w:val="lightGray"/>
        </w:rPr>
      </w:pPr>
      <w:r w:rsidRPr="009B2190">
        <w:rPr>
          <w:noProof/>
          <w:highlight w:val="lightGray"/>
        </w:rPr>
        <w:t>LT/1/24/5543/015 – N30x1</w:t>
      </w:r>
    </w:p>
    <w:p w14:paraId="34FAE94D" w14:textId="77777777" w:rsidR="005E5AFD" w:rsidRPr="009B2190" w:rsidRDefault="005E5AFD" w:rsidP="005E5AFD">
      <w:pPr>
        <w:rPr>
          <w:noProof/>
          <w:highlight w:val="lightGray"/>
        </w:rPr>
      </w:pPr>
      <w:r w:rsidRPr="009B2190">
        <w:rPr>
          <w:noProof/>
          <w:highlight w:val="lightGray"/>
        </w:rPr>
        <w:t>LT/1/24/5543/016 – N56x1</w:t>
      </w:r>
    </w:p>
    <w:p w14:paraId="26A2755C" w14:textId="7ED00BF0" w:rsidR="00913CCA" w:rsidRPr="009B2190" w:rsidRDefault="00913CCA" w:rsidP="00913CCA">
      <w:pPr>
        <w:rPr>
          <w:noProof/>
          <w:highlight w:val="lightGray"/>
        </w:rPr>
      </w:pPr>
      <w:r w:rsidRPr="009B2190">
        <w:rPr>
          <w:noProof/>
          <w:highlight w:val="lightGray"/>
        </w:rPr>
        <w:t>LT/1/24/5543/023 – N56x1</w:t>
      </w:r>
      <w:r w:rsidRPr="009B2190">
        <w:rPr>
          <w:noProof/>
          <w:highlight w:val="lightGray"/>
        </w:rPr>
        <w:t xml:space="preserve"> </w:t>
      </w:r>
      <w:r w:rsidRPr="009B2190">
        <w:rPr>
          <w:noProof/>
          <w:highlight w:val="lightGray"/>
        </w:rPr>
        <w:t>(kalendorinė pakuotė)</w:t>
      </w:r>
    </w:p>
    <w:p w14:paraId="18D4F5DC" w14:textId="77777777" w:rsidR="005E5AFD" w:rsidRPr="009B2190" w:rsidRDefault="005E5AFD" w:rsidP="005E5AFD">
      <w:pPr>
        <w:rPr>
          <w:noProof/>
          <w:highlight w:val="lightGray"/>
        </w:rPr>
      </w:pPr>
      <w:r w:rsidRPr="009B2190">
        <w:rPr>
          <w:noProof/>
          <w:highlight w:val="lightGray"/>
        </w:rPr>
        <w:t>LT/1/24/5543/017 – N60x1</w:t>
      </w:r>
    </w:p>
    <w:p w14:paraId="3CE8A5F4" w14:textId="77777777" w:rsidR="005E5AFD" w:rsidRPr="009B2190" w:rsidRDefault="005E5AFD" w:rsidP="005E5AFD">
      <w:pPr>
        <w:rPr>
          <w:noProof/>
          <w:highlight w:val="lightGray"/>
        </w:rPr>
      </w:pPr>
      <w:r w:rsidRPr="009B2190">
        <w:rPr>
          <w:noProof/>
          <w:highlight w:val="lightGray"/>
        </w:rPr>
        <w:t>LT/1/24/5543/018 – N84x1</w:t>
      </w:r>
    </w:p>
    <w:p w14:paraId="370F3F74" w14:textId="760D2F44" w:rsidR="00913CCA" w:rsidRPr="009B2190" w:rsidRDefault="00913CCA" w:rsidP="00913CCA">
      <w:pPr>
        <w:rPr>
          <w:noProof/>
          <w:highlight w:val="lightGray"/>
        </w:rPr>
      </w:pPr>
      <w:r w:rsidRPr="009B2190">
        <w:rPr>
          <w:noProof/>
          <w:highlight w:val="lightGray"/>
        </w:rPr>
        <w:t>LT/1/24/5543/024 – N84x1</w:t>
      </w:r>
      <w:r w:rsidRPr="009B2190">
        <w:rPr>
          <w:noProof/>
          <w:highlight w:val="lightGray"/>
        </w:rPr>
        <w:t xml:space="preserve"> </w:t>
      </w:r>
      <w:r w:rsidRPr="009B2190">
        <w:rPr>
          <w:noProof/>
          <w:highlight w:val="lightGray"/>
        </w:rPr>
        <w:t>(kalendorinė pakuotė)</w:t>
      </w:r>
    </w:p>
    <w:p w14:paraId="443361D9" w14:textId="77777777" w:rsidR="005E5AFD" w:rsidRPr="009B2190" w:rsidRDefault="005E5AFD" w:rsidP="005E5AFD">
      <w:pPr>
        <w:rPr>
          <w:noProof/>
          <w:highlight w:val="lightGray"/>
        </w:rPr>
      </w:pPr>
      <w:r w:rsidRPr="009B2190">
        <w:rPr>
          <w:noProof/>
          <w:highlight w:val="lightGray"/>
        </w:rPr>
        <w:t>LT/1/24/5543/019 – N90x1</w:t>
      </w:r>
    </w:p>
    <w:p w14:paraId="023DA45E" w14:textId="77777777" w:rsidR="005E5AFD" w:rsidRPr="009B2190" w:rsidRDefault="005E5AFD" w:rsidP="005E5AFD">
      <w:pPr>
        <w:rPr>
          <w:noProof/>
          <w:highlight w:val="lightGray"/>
        </w:rPr>
      </w:pPr>
      <w:r w:rsidRPr="009B2190">
        <w:rPr>
          <w:noProof/>
          <w:highlight w:val="lightGray"/>
        </w:rPr>
        <w:t>LT/1/24/5543/020 – N100x1</w:t>
      </w:r>
    </w:p>
    <w:p w14:paraId="48A8C85E" w14:textId="77777777" w:rsidR="00B14E3A" w:rsidRPr="009B2190" w:rsidRDefault="00B14E3A" w:rsidP="005E5AFD">
      <w:pPr>
        <w:rPr>
          <w:noProof/>
          <w:highlight w:val="lightGray"/>
        </w:rPr>
      </w:pPr>
    </w:p>
    <w:p w14:paraId="1C9A3C36" w14:textId="2CEBBFE2" w:rsidR="005E5AFD" w:rsidRPr="009B2190" w:rsidRDefault="00440E42" w:rsidP="005E5AFD">
      <w:pPr>
        <w:rPr>
          <w:noProof/>
          <w:highlight w:val="lightGray"/>
        </w:rPr>
      </w:pPr>
      <w:r w:rsidRPr="009B2190">
        <w:rPr>
          <w:noProof/>
          <w:highlight w:val="lightGray"/>
        </w:rPr>
        <w:t>&lt;</w:t>
      </w:r>
      <w:r w:rsidR="005E5AFD" w:rsidRPr="009B2190">
        <w:rPr>
          <w:noProof/>
          <w:highlight w:val="lightGray"/>
        </w:rPr>
        <w:t>2 mg</w:t>
      </w:r>
      <w:r w:rsidRPr="009B2190">
        <w:rPr>
          <w:noProof/>
          <w:highlight w:val="lightGray"/>
        </w:rPr>
        <w:t>&gt;</w:t>
      </w:r>
    </w:p>
    <w:p w14:paraId="6404A7E0" w14:textId="77777777" w:rsidR="005E5AFD" w:rsidRPr="009B2190" w:rsidRDefault="005E5AFD" w:rsidP="005E5AFD">
      <w:pPr>
        <w:rPr>
          <w:noProof/>
          <w:highlight w:val="lightGray"/>
        </w:rPr>
      </w:pPr>
      <w:r w:rsidRPr="009B2190">
        <w:rPr>
          <w:noProof/>
          <w:highlight w:val="lightGray"/>
          <w:u w:val="single"/>
        </w:rPr>
        <w:t>Lizdinė plokštelė</w:t>
      </w:r>
      <w:r w:rsidRPr="009B2190">
        <w:rPr>
          <w:noProof/>
          <w:highlight w:val="lightGray"/>
        </w:rPr>
        <w:t>:</w:t>
      </w:r>
    </w:p>
    <w:p w14:paraId="21A9286C" w14:textId="77777777" w:rsidR="005E5AFD" w:rsidRPr="009B2190" w:rsidRDefault="005E5AFD" w:rsidP="005E5AFD">
      <w:pPr>
        <w:rPr>
          <w:noProof/>
          <w:highlight w:val="lightGray"/>
        </w:rPr>
      </w:pPr>
      <w:r w:rsidRPr="009B2190">
        <w:rPr>
          <w:noProof/>
          <w:highlight w:val="lightGray"/>
        </w:rPr>
        <w:t>LT/1/24/5544/001 – N7</w:t>
      </w:r>
    </w:p>
    <w:p w14:paraId="220E9831" w14:textId="4B8663FF" w:rsidR="00A37BEE" w:rsidRPr="009B2190" w:rsidRDefault="00A37BEE" w:rsidP="00A37BEE">
      <w:pPr>
        <w:rPr>
          <w:noProof/>
          <w:highlight w:val="lightGray"/>
        </w:rPr>
      </w:pPr>
      <w:r w:rsidRPr="009B2190">
        <w:rPr>
          <w:noProof/>
          <w:highlight w:val="lightGray"/>
        </w:rPr>
        <w:t>LT/1/24/5544/009 – N7</w:t>
      </w:r>
      <w:r w:rsidRPr="009B2190">
        <w:rPr>
          <w:noProof/>
          <w:highlight w:val="lightGray"/>
        </w:rPr>
        <w:t xml:space="preserve"> </w:t>
      </w:r>
      <w:r w:rsidRPr="009B2190">
        <w:rPr>
          <w:noProof/>
          <w:highlight w:val="lightGray"/>
        </w:rPr>
        <w:t>(kalendorinė pakuotė)</w:t>
      </w:r>
    </w:p>
    <w:p w14:paraId="71808E39" w14:textId="77777777" w:rsidR="005E5AFD" w:rsidRPr="009B2190" w:rsidRDefault="005E5AFD" w:rsidP="005E5AFD">
      <w:pPr>
        <w:rPr>
          <w:noProof/>
          <w:highlight w:val="lightGray"/>
        </w:rPr>
      </w:pPr>
      <w:r w:rsidRPr="009B2190">
        <w:rPr>
          <w:noProof/>
          <w:highlight w:val="lightGray"/>
        </w:rPr>
        <w:t>LT/1/24/5544/002 – N28</w:t>
      </w:r>
    </w:p>
    <w:p w14:paraId="5EA9D7CD" w14:textId="20A3BC02" w:rsidR="00A37BEE" w:rsidRPr="009B2190" w:rsidRDefault="00A37BEE" w:rsidP="00A37BEE">
      <w:pPr>
        <w:rPr>
          <w:noProof/>
          <w:highlight w:val="lightGray"/>
        </w:rPr>
      </w:pPr>
      <w:r w:rsidRPr="009B2190">
        <w:rPr>
          <w:noProof/>
          <w:highlight w:val="lightGray"/>
        </w:rPr>
        <w:t>LT/1/24/5544/010 – N28</w:t>
      </w:r>
      <w:r w:rsidRPr="009B2190">
        <w:rPr>
          <w:noProof/>
          <w:highlight w:val="lightGray"/>
        </w:rPr>
        <w:t xml:space="preserve"> </w:t>
      </w:r>
      <w:r w:rsidRPr="009B2190">
        <w:rPr>
          <w:noProof/>
          <w:highlight w:val="lightGray"/>
        </w:rPr>
        <w:t>(kalendorinė pakuotė)</w:t>
      </w:r>
    </w:p>
    <w:p w14:paraId="6BDD1C7C" w14:textId="77777777" w:rsidR="005E5AFD" w:rsidRPr="009B2190" w:rsidRDefault="005E5AFD" w:rsidP="005E5AFD">
      <w:pPr>
        <w:rPr>
          <w:noProof/>
          <w:highlight w:val="lightGray"/>
        </w:rPr>
      </w:pPr>
      <w:r w:rsidRPr="009B2190">
        <w:rPr>
          <w:noProof/>
          <w:highlight w:val="lightGray"/>
        </w:rPr>
        <w:t>LT/1/24/5544/003 – N30</w:t>
      </w:r>
    </w:p>
    <w:p w14:paraId="1C9AC3F3" w14:textId="77777777" w:rsidR="005E5AFD" w:rsidRPr="009B2190" w:rsidRDefault="005E5AFD" w:rsidP="005E5AFD">
      <w:pPr>
        <w:rPr>
          <w:noProof/>
          <w:highlight w:val="lightGray"/>
        </w:rPr>
      </w:pPr>
      <w:r w:rsidRPr="009B2190">
        <w:rPr>
          <w:noProof/>
          <w:highlight w:val="lightGray"/>
        </w:rPr>
        <w:t>LT/1/24/5544/004 – N56</w:t>
      </w:r>
    </w:p>
    <w:p w14:paraId="775F5C10" w14:textId="7BAD8DC8" w:rsidR="00A37BEE" w:rsidRPr="009B2190" w:rsidRDefault="00A37BEE" w:rsidP="00A37BEE">
      <w:pPr>
        <w:rPr>
          <w:noProof/>
          <w:highlight w:val="lightGray"/>
        </w:rPr>
      </w:pPr>
      <w:r w:rsidRPr="009B2190">
        <w:rPr>
          <w:noProof/>
          <w:highlight w:val="lightGray"/>
        </w:rPr>
        <w:t>LT/1/24/5544/011 – N56</w:t>
      </w:r>
      <w:r w:rsidRPr="009B2190">
        <w:rPr>
          <w:noProof/>
          <w:highlight w:val="lightGray"/>
        </w:rPr>
        <w:t xml:space="preserve"> </w:t>
      </w:r>
      <w:r w:rsidRPr="009B2190">
        <w:rPr>
          <w:noProof/>
          <w:highlight w:val="lightGray"/>
        </w:rPr>
        <w:t>(kalendorinė pakuotė)</w:t>
      </w:r>
    </w:p>
    <w:p w14:paraId="785C0157" w14:textId="77777777" w:rsidR="005E5AFD" w:rsidRPr="009B2190" w:rsidRDefault="005E5AFD" w:rsidP="005E5AFD">
      <w:pPr>
        <w:rPr>
          <w:noProof/>
          <w:highlight w:val="lightGray"/>
        </w:rPr>
      </w:pPr>
      <w:r w:rsidRPr="009B2190">
        <w:rPr>
          <w:noProof/>
          <w:highlight w:val="lightGray"/>
        </w:rPr>
        <w:t>LT/1/24/5544/005 – N60</w:t>
      </w:r>
    </w:p>
    <w:p w14:paraId="7CAC4C0E" w14:textId="77777777" w:rsidR="005E5AFD" w:rsidRPr="009B2190" w:rsidRDefault="005E5AFD" w:rsidP="005E5AFD">
      <w:pPr>
        <w:rPr>
          <w:noProof/>
          <w:highlight w:val="lightGray"/>
        </w:rPr>
      </w:pPr>
      <w:r w:rsidRPr="009B2190">
        <w:rPr>
          <w:noProof/>
          <w:highlight w:val="lightGray"/>
        </w:rPr>
        <w:t>LT/1/24/5544/006 – N84</w:t>
      </w:r>
    </w:p>
    <w:p w14:paraId="05F664FB" w14:textId="227DE3BB" w:rsidR="00A37BEE" w:rsidRPr="009B2190" w:rsidRDefault="00A37BEE" w:rsidP="00A37BEE">
      <w:pPr>
        <w:rPr>
          <w:noProof/>
          <w:highlight w:val="lightGray"/>
        </w:rPr>
      </w:pPr>
      <w:r w:rsidRPr="009B2190">
        <w:rPr>
          <w:noProof/>
          <w:highlight w:val="lightGray"/>
        </w:rPr>
        <w:t>LT/1/24/5544/012 – N84</w:t>
      </w:r>
      <w:r w:rsidRPr="009B2190">
        <w:rPr>
          <w:noProof/>
          <w:highlight w:val="lightGray"/>
        </w:rPr>
        <w:t xml:space="preserve"> </w:t>
      </w:r>
      <w:r w:rsidRPr="009B2190">
        <w:rPr>
          <w:noProof/>
          <w:highlight w:val="lightGray"/>
        </w:rPr>
        <w:t>(kalendorinė pakuotė)</w:t>
      </w:r>
    </w:p>
    <w:p w14:paraId="78EEB330" w14:textId="77777777" w:rsidR="005E5AFD" w:rsidRPr="009B2190" w:rsidRDefault="005E5AFD" w:rsidP="005E5AFD">
      <w:pPr>
        <w:rPr>
          <w:noProof/>
          <w:highlight w:val="lightGray"/>
        </w:rPr>
      </w:pPr>
      <w:r w:rsidRPr="009B2190">
        <w:rPr>
          <w:noProof/>
          <w:highlight w:val="lightGray"/>
        </w:rPr>
        <w:t>LT/1/24/5544/007 – N90</w:t>
      </w:r>
    </w:p>
    <w:p w14:paraId="785D2D3F" w14:textId="77777777" w:rsidR="005E5AFD" w:rsidRPr="009B2190" w:rsidRDefault="005E5AFD" w:rsidP="005E5AFD">
      <w:pPr>
        <w:rPr>
          <w:noProof/>
          <w:highlight w:val="lightGray"/>
        </w:rPr>
      </w:pPr>
      <w:r w:rsidRPr="009B2190">
        <w:rPr>
          <w:noProof/>
          <w:highlight w:val="lightGray"/>
        </w:rPr>
        <w:t>LT/1/24/5544/008 – N100</w:t>
      </w:r>
    </w:p>
    <w:p w14:paraId="02DBD310" w14:textId="77777777" w:rsidR="005E5AFD" w:rsidRPr="009B2190" w:rsidRDefault="005E5AFD" w:rsidP="005E5AFD">
      <w:pPr>
        <w:rPr>
          <w:noProof/>
          <w:highlight w:val="lightGray"/>
        </w:rPr>
      </w:pPr>
      <w:proofErr w:type="spellStart"/>
      <w:r w:rsidRPr="009B2190">
        <w:rPr>
          <w:noProof/>
          <w:highlight w:val="lightGray"/>
          <w:u w:val="single"/>
        </w:rPr>
        <w:t>Dalomoji</w:t>
      </w:r>
      <w:proofErr w:type="spellEnd"/>
      <w:r w:rsidRPr="009B2190">
        <w:rPr>
          <w:noProof/>
          <w:highlight w:val="lightGray"/>
          <w:u w:val="single"/>
        </w:rPr>
        <w:t xml:space="preserve"> lizdinė plokštelė</w:t>
      </w:r>
      <w:r w:rsidRPr="009B2190">
        <w:rPr>
          <w:noProof/>
          <w:highlight w:val="lightGray"/>
        </w:rPr>
        <w:t>:</w:t>
      </w:r>
    </w:p>
    <w:p w14:paraId="463CC5AF" w14:textId="77777777" w:rsidR="005E5AFD" w:rsidRPr="009B2190" w:rsidRDefault="005E5AFD" w:rsidP="005E5AFD">
      <w:pPr>
        <w:rPr>
          <w:noProof/>
          <w:highlight w:val="lightGray"/>
        </w:rPr>
      </w:pPr>
      <w:r w:rsidRPr="009B2190">
        <w:rPr>
          <w:noProof/>
          <w:highlight w:val="lightGray"/>
        </w:rPr>
        <w:t>LT/1/24/5544/013 – N7x1</w:t>
      </w:r>
    </w:p>
    <w:p w14:paraId="7F187854" w14:textId="6E3E9F2B" w:rsidR="00440E42" w:rsidRPr="009B2190" w:rsidRDefault="00440E42" w:rsidP="00440E42">
      <w:pPr>
        <w:rPr>
          <w:noProof/>
          <w:highlight w:val="lightGray"/>
        </w:rPr>
      </w:pPr>
      <w:r w:rsidRPr="009B2190">
        <w:rPr>
          <w:noProof/>
          <w:highlight w:val="lightGray"/>
        </w:rPr>
        <w:t>LT/1/24/5544/021 – N7x1</w:t>
      </w:r>
      <w:r w:rsidRPr="009B2190">
        <w:rPr>
          <w:noProof/>
          <w:highlight w:val="lightGray"/>
        </w:rPr>
        <w:t xml:space="preserve"> </w:t>
      </w:r>
      <w:r w:rsidRPr="009B2190">
        <w:rPr>
          <w:noProof/>
          <w:highlight w:val="lightGray"/>
        </w:rPr>
        <w:t>(kalendorinė pakuotė)</w:t>
      </w:r>
    </w:p>
    <w:p w14:paraId="24789F3F" w14:textId="77777777" w:rsidR="005E5AFD" w:rsidRPr="009B2190" w:rsidRDefault="005E5AFD" w:rsidP="005E5AFD">
      <w:pPr>
        <w:rPr>
          <w:noProof/>
          <w:highlight w:val="lightGray"/>
        </w:rPr>
      </w:pPr>
      <w:r w:rsidRPr="009B2190">
        <w:rPr>
          <w:noProof/>
          <w:highlight w:val="lightGray"/>
        </w:rPr>
        <w:t>LT/1/24/5544/014 – N28x1</w:t>
      </w:r>
    </w:p>
    <w:p w14:paraId="70CA0493" w14:textId="313F6AB7" w:rsidR="00440E42" w:rsidRPr="009B2190" w:rsidRDefault="00440E42" w:rsidP="00440E42">
      <w:pPr>
        <w:rPr>
          <w:noProof/>
          <w:highlight w:val="lightGray"/>
        </w:rPr>
      </w:pPr>
      <w:r w:rsidRPr="009B2190">
        <w:rPr>
          <w:noProof/>
          <w:highlight w:val="lightGray"/>
        </w:rPr>
        <w:t>LT/1/24/5544/022 – N28x1</w:t>
      </w:r>
      <w:r w:rsidRPr="009B2190">
        <w:rPr>
          <w:noProof/>
          <w:highlight w:val="lightGray"/>
        </w:rPr>
        <w:t xml:space="preserve"> </w:t>
      </w:r>
      <w:r w:rsidRPr="009B2190">
        <w:rPr>
          <w:noProof/>
          <w:highlight w:val="lightGray"/>
        </w:rPr>
        <w:t>(kalendorinė pakuotė)</w:t>
      </w:r>
    </w:p>
    <w:p w14:paraId="4282081B" w14:textId="77777777" w:rsidR="005E5AFD" w:rsidRPr="009B2190" w:rsidRDefault="005E5AFD" w:rsidP="005E5AFD">
      <w:pPr>
        <w:rPr>
          <w:noProof/>
          <w:highlight w:val="lightGray"/>
        </w:rPr>
      </w:pPr>
      <w:r w:rsidRPr="009B2190">
        <w:rPr>
          <w:noProof/>
          <w:highlight w:val="lightGray"/>
        </w:rPr>
        <w:t>LT/1/24/5544/015 – N30x1</w:t>
      </w:r>
    </w:p>
    <w:p w14:paraId="117DD3F2" w14:textId="77777777" w:rsidR="005E5AFD" w:rsidRPr="009B2190" w:rsidRDefault="005E5AFD" w:rsidP="005E5AFD">
      <w:pPr>
        <w:rPr>
          <w:noProof/>
          <w:highlight w:val="lightGray"/>
        </w:rPr>
      </w:pPr>
      <w:r w:rsidRPr="009B2190">
        <w:rPr>
          <w:noProof/>
          <w:highlight w:val="lightGray"/>
        </w:rPr>
        <w:t>LT/1/24/5544/016 – N56x1</w:t>
      </w:r>
    </w:p>
    <w:p w14:paraId="405F41B4" w14:textId="0BF249B2" w:rsidR="00440E42" w:rsidRPr="009B2190" w:rsidRDefault="00440E42" w:rsidP="00440E42">
      <w:pPr>
        <w:rPr>
          <w:noProof/>
          <w:highlight w:val="lightGray"/>
        </w:rPr>
      </w:pPr>
      <w:r w:rsidRPr="009B2190">
        <w:rPr>
          <w:noProof/>
          <w:highlight w:val="lightGray"/>
        </w:rPr>
        <w:t>LT/1/24/5544/023 – N56x1</w:t>
      </w:r>
      <w:r w:rsidRPr="009B2190">
        <w:rPr>
          <w:noProof/>
          <w:highlight w:val="lightGray"/>
        </w:rPr>
        <w:t xml:space="preserve"> </w:t>
      </w:r>
      <w:r w:rsidRPr="009B2190">
        <w:rPr>
          <w:noProof/>
          <w:highlight w:val="lightGray"/>
        </w:rPr>
        <w:t>(kalendorinė pakuotė)</w:t>
      </w:r>
    </w:p>
    <w:p w14:paraId="2338A01E" w14:textId="77777777" w:rsidR="005E5AFD" w:rsidRPr="009B2190" w:rsidRDefault="005E5AFD" w:rsidP="005E5AFD">
      <w:pPr>
        <w:rPr>
          <w:noProof/>
          <w:highlight w:val="lightGray"/>
        </w:rPr>
      </w:pPr>
      <w:r w:rsidRPr="009B2190">
        <w:rPr>
          <w:noProof/>
          <w:highlight w:val="lightGray"/>
        </w:rPr>
        <w:t>LT/1/24/5544/017 – N60x1</w:t>
      </w:r>
    </w:p>
    <w:p w14:paraId="4E635106" w14:textId="77777777" w:rsidR="005E5AFD" w:rsidRPr="009B2190" w:rsidRDefault="005E5AFD" w:rsidP="005E5AFD">
      <w:pPr>
        <w:rPr>
          <w:noProof/>
          <w:highlight w:val="lightGray"/>
        </w:rPr>
      </w:pPr>
      <w:r w:rsidRPr="009B2190">
        <w:rPr>
          <w:noProof/>
          <w:highlight w:val="lightGray"/>
        </w:rPr>
        <w:t>LT/1/24/5544/018 – N84x1</w:t>
      </w:r>
    </w:p>
    <w:p w14:paraId="5918775E" w14:textId="1E8EC4EF" w:rsidR="00531F42" w:rsidRPr="009B2190" w:rsidRDefault="00531F42" w:rsidP="00531F42">
      <w:pPr>
        <w:rPr>
          <w:noProof/>
          <w:highlight w:val="lightGray"/>
        </w:rPr>
      </w:pPr>
      <w:r w:rsidRPr="009B2190">
        <w:rPr>
          <w:noProof/>
          <w:highlight w:val="lightGray"/>
        </w:rPr>
        <w:t>LT/1/24/5544/024 – N84x1</w:t>
      </w:r>
      <w:r w:rsidRPr="009B2190">
        <w:rPr>
          <w:noProof/>
          <w:highlight w:val="lightGray"/>
        </w:rPr>
        <w:t xml:space="preserve"> </w:t>
      </w:r>
      <w:r w:rsidRPr="009B2190">
        <w:rPr>
          <w:noProof/>
          <w:highlight w:val="lightGray"/>
        </w:rPr>
        <w:t>(kalendorinė pakuotė)</w:t>
      </w:r>
    </w:p>
    <w:p w14:paraId="532840E0" w14:textId="77777777" w:rsidR="005E5AFD" w:rsidRPr="009B2190" w:rsidRDefault="005E5AFD" w:rsidP="005E5AFD">
      <w:pPr>
        <w:rPr>
          <w:noProof/>
          <w:highlight w:val="lightGray"/>
        </w:rPr>
      </w:pPr>
      <w:r w:rsidRPr="009B2190">
        <w:rPr>
          <w:noProof/>
          <w:highlight w:val="lightGray"/>
        </w:rPr>
        <w:t>LT/1/24/5544/019 – N90x1</w:t>
      </w:r>
    </w:p>
    <w:p w14:paraId="4A4DA837" w14:textId="77777777" w:rsidR="005E5AFD" w:rsidRPr="009B2190" w:rsidRDefault="005E5AFD" w:rsidP="005E5AFD">
      <w:pPr>
        <w:rPr>
          <w:noProof/>
          <w:highlight w:val="lightGray"/>
        </w:rPr>
      </w:pPr>
      <w:r w:rsidRPr="009B2190">
        <w:rPr>
          <w:noProof/>
          <w:highlight w:val="lightGray"/>
        </w:rPr>
        <w:t>LT/1/24/5544/020 – N100x1</w:t>
      </w:r>
    </w:p>
    <w:p w14:paraId="4195A50E" w14:textId="77777777" w:rsidR="00B14E3A" w:rsidRPr="009B2190" w:rsidRDefault="00B14E3A" w:rsidP="005E5AFD">
      <w:pPr>
        <w:rPr>
          <w:noProof/>
          <w:highlight w:val="lightGray"/>
        </w:rPr>
      </w:pPr>
    </w:p>
    <w:p w14:paraId="14DA6A71" w14:textId="0EA1AC07" w:rsidR="005E5AFD" w:rsidRPr="009B2190" w:rsidRDefault="00531F42" w:rsidP="005E5AFD">
      <w:pPr>
        <w:rPr>
          <w:noProof/>
          <w:highlight w:val="lightGray"/>
        </w:rPr>
      </w:pPr>
      <w:r w:rsidRPr="009B2190">
        <w:rPr>
          <w:noProof/>
          <w:highlight w:val="lightGray"/>
        </w:rPr>
        <w:t>&lt;</w:t>
      </w:r>
      <w:r w:rsidR="005E5AFD" w:rsidRPr="009B2190">
        <w:rPr>
          <w:noProof/>
          <w:highlight w:val="lightGray"/>
        </w:rPr>
        <w:t>4 mg</w:t>
      </w:r>
      <w:r w:rsidRPr="009B2190">
        <w:rPr>
          <w:noProof/>
          <w:highlight w:val="lightGray"/>
        </w:rPr>
        <w:t>&gt;</w:t>
      </w:r>
    </w:p>
    <w:p w14:paraId="1A322CFF" w14:textId="77777777" w:rsidR="005E5AFD" w:rsidRPr="009B2190" w:rsidRDefault="005E5AFD" w:rsidP="005E5AFD">
      <w:pPr>
        <w:rPr>
          <w:noProof/>
          <w:highlight w:val="lightGray"/>
        </w:rPr>
      </w:pPr>
      <w:r w:rsidRPr="009B2190">
        <w:rPr>
          <w:noProof/>
          <w:highlight w:val="lightGray"/>
          <w:u w:val="single"/>
        </w:rPr>
        <w:t>Lizdinė plokštelė</w:t>
      </w:r>
      <w:r w:rsidRPr="009B2190">
        <w:rPr>
          <w:noProof/>
          <w:highlight w:val="lightGray"/>
        </w:rPr>
        <w:t>:</w:t>
      </w:r>
    </w:p>
    <w:p w14:paraId="11F4F21B" w14:textId="77777777" w:rsidR="005E5AFD" w:rsidRPr="009B2190" w:rsidRDefault="005E5AFD" w:rsidP="005E5AFD">
      <w:pPr>
        <w:rPr>
          <w:noProof/>
          <w:highlight w:val="lightGray"/>
        </w:rPr>
      </w:pPr>
      <w:r w:rsidRPr="009B2190">
        <w:rPr>
          <w:noProof/>
          <w:highlight w:val="lightGray"/>
        </w:rPr>
        <w:t>LT/1/24/5545/001 – N7</w:t>
      </w:r>
    </w:p>
    <w:p w14:paraId="4FF26931" w14:textId="05C8CDEF" w:rsidR="00531F42" w:rsidRPr="009B2190" w:rsidRDefault="00531F42" w:rsidP="00531F42">
      <w:pPr>
        <w:rPr>
          <w:noProof/>
          <w:highlight w:val="lightGray"/>
        </w:rPr>
      </w:pPr>
      <w:r w:rsidRPr="009B2190">
        <w:rPr>
          <w:noProof/>
          <w:highlight w:val="lightGray"/>
        </w:rPr>
        <w:t>LT/1/24/5545/009 – N7</w:t>
      </w:r>
      <w:r w:rsidRPr="009B2190">
        <w:rPr>
          <w:noProof/>
          <w:highlight w:val="lightGray"/>
        </w:rPr>
        <w:t xml:space="preserve"> </w:t>
      </w:r>
      <w:r w:rsidRPr="009B2190">
        <w:rPr>
          <w:noProof/>
          <w:highlight w:val="lightGray"/>
        </w:rPr>
        <w:t>(kalendorinė pakuotė)</w:t>
      </w:r>
    </w:p>
    <w:p w14:paraId="7CF8A383" w14:textId="77777777" w:rsidR="005E5AFD" w:rsidRPr="009B2190" w:rsidRDefault="005E5AFD" w:rsidP="005E5AFD">
      <w:pPr>
        <w:rPr>
          <w:noProof/>
          <w:highlight w:val="lightGray"/>
        </w:rPr>
      </w:pPr>
      <w:r w:rsidRPr="009B2190">
        <w:rPr>
          <w:noProof/>
          <w:highlight w:val="lightGray"/>
        </w:rPr>
        <w:t>LT/1/24/5545/002 – N28</w:t>
      </w:r>
    </w:p>
    <w:p w14:paraId="17F6A282" w14:textId="77F42662" w:rsidR="00531F42" w:rsidRPr="009B2190" w:rsidRDefault="00531F42" w:rsidP="00531F42">
      <w:pPr>
        <w:rPr>
          <w:noProof/>
          <w:highlight w:val="lightGray"/>
        </w:rPr>
      </w:pPr>
      <w:r w:rsidRPr="009B2190">
        <w:rPr>
          <w:noProof/>
          <w:highlight w:val="lightGray"/>
        </w:rPr>
        <w:t>LT/1/24/5545/010 – N28</w:t>
      </w:r>
      <w:r w:rsidRPr="009B2190">
        <w:rPr>
          <w:noProof/>
          <w:highlight w:val="lightGray"/>
        </w:rPr>
        <w:t xml:space="preserve"> </w:t>
      </w:r>
      <w:r w:rsidRPr="009B2190">
        <w:rPr>
          <w:noProof/>
          <w:highlight w:val="lightGray"/>
        </w:rPr>
        <w:t>(kalendorinė pakuotė)</w:t>
      </w:r>
    </w:p>
    <w:p w14:paraId="69A5D126" w14:textId="77777777" w:rsidR="005E5AFD" w:rsidRPr="009B2190" w:rsidRDefault="005E5AFD" w:rsidP="005E5AFD">
      <w:pPr>
        <w:rPr>
          <w:noProof/>
          <w:highlight w:val="lightGray"/>
        </w:rPr>
      </w:pPr>
      <w:r w:rsidRPr="009B2190">
        <w:rPr>
          <w:noProof/>
          <w:highlight w:val="lightGray"/>
        </w:rPr>
        <w:t>LT/1/24/5545/003 – N30</w:t>
      </w:r>
    </w:p>
    <w:p w14:paraId="195582B0" w14:textId="77777777" w:rsidR="005E5AFD" w:rsidRPr="009B2190" w:rsidRDefault="005E5AFD" w:rsidP="005E5AFD">
      <w:pPr>
        <w:rPr>
          <w:noProof/>
          <w:highlight w:val="lightGray"/>
        </w:rPr>
      </w:pPr>
      <w:r w:rsidRPr="009B2190">
        <w:rPr>
          <w:noProof/>
          <w:highlight w:val="lightGray"/>
        </w:rPr>
        <w:t>LT/1/24/5545/004 – N56</w:t>
      </w:r>
    </w:p>
    <w:p w14:paraId="0B3ECFA7" w14:textId="621C2584" w:rsidR="00531F42" w:rsidRPr="009B2190" w:rsidRDefault="00531F42" w:rsidP="00531F42">
      <w:pPr>
        <w:rPr>
          <w:noProof/>
          <w:highlight w:val="lightGray"/>
        </w:rPr>
      </w:pPr>
      <w:r w:rsidRPr="009B2190">
        <w:rPr>
          <w:noProof/>
          <w:highlight w:val="lightGray"/>
        </w:rPr>
        <w:t>LT/1/24/5545/011 – N56</w:t>
      </w:r>
      <w:r w:rsidRPr="009B2190">
        <w:rPr>
          <w:noProof/>
          <w:highlight w:val="lightGray"/>
        </w:rPr>
        <w:t xml:space="preserve"> </w:t>
      </w:r>
      <w:r w:rsidRPr="009B2190">
        <w:rPr>
          <w:noProof/>
          <w:highlight w:val="lightGray"/>
        </w:rPr>
        <w:t>(kalendorinė pakuotė)</w:t>
      </w:r>
    </w:p>
    <w:p w14:paraId="0083524A" w14:textId="77777777" w:rsidR="005E5AFD" w:rsidRPr="009B2190" w:rsidRDefault="005E5AFD" w:rsidP="005E5AFD">
      <w:pPr>
        <w:rPr>
          <w:noProof/>
          <w:highlight w:val="lightGray"/>
        </w:rPr>
      </w:pPr>
      <w:r w:rsidRPr="009B2190">
        <w:rPr>
          <w:noProof/>
          <w:highlight w:val="lightGray"/>
        </w:rPr>
        <w:t>LT/1/24/5545/005 – N60</w:t>
      </w:r>
    </w:p>
    <w:p w14:paraId="48F884C6" w14:textId="77777777" w:rsidR="005E5AFD" w:rsidRPr="009B2190" w:rsidRDefault="005E5AFD" w:rsidP="005E5AFD">
      <w:pPr>
        <w:rPr>
          <w:noProof/>
          <w:highlight w:val="lightGray"/>
        </w:rPr>
      </w:pPr>
      <w:r w:rsidRPr="009B2190">
        <w:rPr>
          <w:noProof/>
          <w:highlight w:val="lightGray"/>
        </w:rPr>
        <w:t>LT/1/24/5545/006 – N84</w:t>
      </w:r>
    </w:p>
    <w:p w14:paraId="67E24952" w14:textId="475B2799" w:rsidR="00531F42" w:rsidRPr="009B2190" w:rsidRDefault="00531F42" w:rsidP="00531F42">
      <w:pPr>
        <w:rPr>
          <w:noProof/>
          <w:highlight w:val="lightGray"/>
        </w:rPr>
      </w:pPr>
      <w:r w:rsidRPr="009B2190">
        <w:rPr>
          <w:noProof/>
          <w:highlight w:val="lightGray"/>
        </w:rPr>
        <w:t>LT/1/24/5545/012 – N84</w:t>
      </w:r>
      <w:r w:rsidRPr="009B2190">
        <w:rPr>
          <w:noProof/>
          <w:highlight w:val="lightGray"/>
        </w:rPr>
        <w:t xml:space="preserve"> </w:t>
      </w:r>
      <w:r w:rsidRPr="009B2190">
        <w:rPr>
          <w:noProof/>
          <w:highlight w:val="lightGray"/>
        </w:rPr>
        <w:t>(kalendorinė pakuotė)</w:t>
      </w:r>
    </w:p>
    <w:p w14:paraId="010A7A00" w14:textId="77777777" w:rsidR="005E5AFD" w:rsidRPr="009B2190" w:rsidRDefault="005E5AFD" w:rsidP="005E5AFD">
      <w:pPr>
        <w:rPr>
          <w:noProof/>
          <w:highlight w:val="lightGray"/>
        </w:rPr>
      </w:pPr>
      <w:r w:rsidRPr="009B2190">
        <w:rPr>
          <w:noProof/>
          <w:highlight w:val="lightGray"/>
        </w:rPr>
        <w:t>LT/1/24/5545/007 – N90</w:t>
      </w:r>
    </w:p>
    <w:p w14:paraId="09F6F751" w14:textId="77777777" w:rsidR="005E5AFD" w:rsidRPr="009B2190" w:rsidRDefault="005E5AFD" w:rsidP="005E5AFD">
      <w:pPr>
        <w:rPr>
          <w:noProof/>
          <w:highlight w:val="lightGray"/>
        </w:rPr>
      </w:pPr>
      <w:r w:rsidRPr="009B2190">
        <w:rPr>
          <w:noProof/>
          <w:highlight w:val="lightGray"/>
        </w:rPr>
        <w:t>LT/1/24/5545/008 – N100</w:t>
      </w:r>
    </w:p>
    <w:p w14:paraId="4340CF02" w14:textId="77777777" w:rsidR="005E5AFD" w:rsidRPr="009B2190" w:rsidRDefault="005E5AFD" w:rsidP="005E5AFD">
      <w:pPr>
        <w:rPr>
          <w:noProof/>
          <w:highlight w:val="lightGray"/>
        </w:rPr>
      </w:pPr>
      <w:proofErr w:type="spellStart"/>
      <w:r w:rsidRPr="009B2190">
        <w:rPr>
          <w:noProof/>
          <w:highlight w:val="lightGray"/>
          <w:u w:val="single"/>
        </w:rPr>
        <w:t>Dalomoji</w:t>
      </w:r>
      <w:proofErr w:type="spellEnd"/>
      <w:r w:rsidRPr="009B2190">
        <w:rPr>
          <w:noProof/>
          <w:highlight w:val="lightGray"/>
          <w:u w:val="single"/>
        </w:rPr>
        <w:t xml:space="preserve"> lizdinė plokštelė</w:t>
      </w:r>
      <w:r w:rsidRPr="009B2190">
        <w:rPr>
          <w:noProof/>
          <w:highlight w:val="lightGray"/>
        </w:rPr>
        <w:t>:</w:t>
      </w:r>
    </w:p>
    <w:p w14:paraId="28524E67" w14:textId="77777777" w:rsidR="005E5AFD" w:rsidRPr="009B2190" w:rsidRDefault="005E5AFD" w:rsidP="005E5AFD">
      <w:pPr>
        <w:rPr>
          <w:noProof/>
          <w:highlight w:val="lightGray"/>
        </w:rPr>
      </w:pPr>
      <w:r w:rsidRPr="009B2190">
        <w:rPr>
          <w:noProof/>
          <w:highlight w:val="lightGray"/>
        </w:rPr>
        <w:t>LT/1/24/5545/013 – N7x1</w:t>
      </w:r>
    </w:p>
    <w:p w14:paraId="3BA92172" w14:textId="03C32C18" w:rsidR="00196C1D" w:rsidRPr="009B2190" w:rsidRDefault="00196C1D" w:rsidP="005E5AFD">
      <w:pPr>
        <w:rPr>
          <w:noProof/>
          <w:highlight w:val="lightGray"/>
        </w:rPr>
      </w:pPr>
      <w:r w:rsidRPr="009B2190">
        <w:rPr>
          <w:noProof/>
          <w:highlight w:val="lightGray"/>
        </w:rPr>
        <w:t>LT/1/24/5545/021 – N7x1</w:t>
      </w:r>
      <w:r w:rsidRPr="009B2190">
        <w:rPr>
          <w:noProof/>
          <w:highlight w:val="lightGray"/>
        </w:rPr>
        <w:t xml:space="preserve"> </w:t>
      </w:r>
      <w:r w:rsidRPr="009B2190">
        <w:rPr>
          <w:noProof/>
          <w:highlight w:val="lightGray"/>
        </w:rPr>
        <w:t>(kalendorinė pakuotė)</w:t>
      </w:r>
    </w:p>
    <w:p w14:paraId="7896949D" w14:textId="1B5C36A5" w:rsidR="005E5AFD" w:rsidRPr="009B2190" w:rsidRDefault="005E5AFD" w:rsidP="005E5AFD">
      <w:pPr>
        <w:rPr>
          <w:noProof/>
          <w:highlight w:val="lightGray"/>
        </w:rPr>
      </w:pPr>
      <w:r w:rsidRPr="009B2190">
        <w:rPr>
          <w:noProof/>
          <w:highlight w:val="lightGray"/>
        </w:rPr>
        <w:t>LT/1/24/5545/014 – N28x1</w:t>
      </w:r>
    </w:p>
    <w:p w14:paraId="6394491A" w14:textId="0CC86D37" w:rsidR="00196C1D" w:rsidRPr="009B2190" w:rsidRDefault="00196C1D" w:rsidP="00196C1D">
      <w:pPr>
        <w:rPr>
          <w:noProof/>
          <w:highlight w:val="lightGray"/>
        </w:rPr>
      </w:pPr>
      <w:r w:rsidRPr="009B2190">
        <w:rPr>
          <w:noProof/>
          <w:highlight w:val="lightGray"/>
        </w:rPr>
        <w:t>LT/1/24/5545/022 – N28x1</w:t>
      </w:r>
      <w:r w:rsidRPr="009B2190">
        <w:rPr>
          <w:noProof/>
          <w:highlight w:val="lightGray"/>
        </w:rPr>
        <w:t xml:space="preserve"> </w:t>
      </w:r>
      <w:r w:rsidRPr="009B2190">
        <w:rPr>
          <w:noProof/>
          <w:highlight w:val="lightGray"/>
        </w:rPr>
        <w:t>(kalendorinė pakuotė)</w:t>
      </w:r>
    </w:p>
    <w:p w14:paraId="43D04B03" w14:textId="77777777" w:rsidR="005E5AFD" w:rsidRPr="009B2190" w:rsidRDefault="005E5AFD" w:rsidP="005E5AFD">
      <w:pPr>
        <w:rPr>
          <w:noProof/>
          <w:highlight w:val="lightGray"/>
        </w:rPr>
      </w:pPr>
      <w:r w:rsidRPr="009B2190">
        <w:rPr>
          <w:noProof/>
          <w:highlight w:val="lightGray"/>
        </w:rPr>
        <w:t>LT/1/24/5545/015 – N30x1</w:t>
      </w:r>
    </w:p>
    <w:p w14:paraId="28DA9539" w14:textId="77777777" w:rsidR="005E5AFD" w:rsidRPr="009B2190" w:rsidRDefault="005E5AFD" w:rsidP="005E5AFD">
      <w:pPr>
        <w:rPr>
          <w:noProof/>
          <w:highlight w:val="lightGray"/>
        </w:rPr>
      </w:pPr>
      <w:r w:rsidRPr="009B2190">
        <w:rPr>
          <w:noProof/>
          <w:highlight w:val="lightGray"/>
        </w:rPr>
        <w:t>LT/1/24/5545/016 – N56x1</w:t>
      </w:r>
    </w:p>
    <w:p w14:paraId="64758DD0" w14:textId="13EEAACE" w:rsidR="00196C1D" w:rsidRPr="009B2190" w:rsidRDefault="00196C1D" w:rsidP="00196C1D">
      <w:pPr>
        <w:rPr>
          <w:noProof/>
          <w:highlight w:val="lightGray"/>
        </w:rPr>
      </w:pPr>
      <w:r w:rsidRPr="009B2190">
        <w:rPr>
          <w:noProof/>
          <w:highlight w:val="lightGray"/>
        </w:rPr>
        <w:t>LT/1/24/5545/023 – N56x1</w:t>
      </w:r>
      <w:r w:rsidRPr="009B2190">
        <w:rPr>
          <w:noProof/>
          <w:highlight w:val="lightGray"/>
        </w:rPr>
        <w:t xml:space="preserve"> </w:t>
      </w:r>
      <w:r w:rsidRPr="009B2190">
        <w:rPr>
          <w:noProof/>
          <w:highlight w:val="lightGray"/>
        </w:rPr>
        <w:t>(kalendorinė pakuotė)</w:t>
      </w:r>
    </w:p>
    <w:p w14:paraId="649B6B18" w14:textId="77777777" w:rsidR="005E5AFD" w:rsidRPr="009B2190" w:rsidRDefault="005E5AFD" w:rsidP="005E5AFD">
      <w:pPr>
        <w:rPr>
          <w:noProof/>
          <w:highlight w:val="lightGray"/>
        </w:rPr>
      </w:pPr>
      <w:r w:rsidRPr="009B2190">
        <w:rPr>
          <w:noProof/>
          <w:highlight w:val="lightGray"/>
        </w:rPr>
        <w:t>LT/1/24/5545/017 – N60x1</w:t>
      </w:r>
    </w:p>
    <w:p w14:paraId="39686B2F" w14:textId="77777777" w:rsidR="005E5AFD" w:rsidRPr="009B2190" w:rsidRDefault="005E5AFD" w:rsidP="005E5AFD">
      <w:pPr>
        <w:rPr>
          <w:noProof/>
          <w:highlight w:val="lightGray"/>
        </w:rPr>
      </w:pPr>
      <w:r w:rsidRPr="009B2190">
        <w:rPr>
          <w:noProof/>
          <w:highlight w:val="lightGray"/>
        </w:rPr>
        <w:t>LT/1/24/5545/018 – N84x1</w:t>
      </w:r>
    </w:p>
    <w:p w14:paraId="51E9BDF6" w14:textId="15F665F7" w:rsidR="00196C1D" w:rsidRPr="009B2190" w:rsidRDefault="00196C1D" w:rsidP="00196C1D">
      <w:pPr>
        <w:rPr>
          <w:noProof/>
          <w:highlight w:val="lightGray"/>
        </w:rPr>
      </w:pPr>
      <w:r w:rsidRPr="009B2190">
        <w:rPr>
          <w:noProof/>
          <w:highlight w:val="lightGray"/>
        </w:rPr>
        <w:t>LT/1/24/5545/024 – N84x1</w:t>
      </w:r>
      <w:r w:rsidRPr="009B2190">
        <w:rPr>
          <w:noProof/>
          <w:highlight w:val="lightGray"/>
        </w:rPr>
        <w:t xml:space="preserve"> </w:t>
      </w:r>
      <w:r w:rsidRPr="009B2190">
        <w:rPr>
          <w:noProof/>
          <w:highlight w:val="lightGray"/>
        </w:rPr>
        <w:t>(kalendorinė pakuotė)</w:t>
      </w:r>
    </w:p>
    <w:p w14:paraId="75E4C063" w14:textId="77777777" w:rsidR="005E5AFD" w:rsidRPr="009B2190" w:rsidRDefault="005E5AFD" w:rsidP="005E5AFD">
      <w:pPr>
        <w:rPr>
          <w:noProof/>
          <w:highlight w:val="lightGray"/>
        </w:rPr>
      </w:pPr>
      <w:r w:rsidRPr="009B2190">
        <w:rPr>
          <w:noProof/>
          <w:highlight w:val="lightGray"/>
        </w:rPr>
        <w:t>LT/1/24/5545/019 – N90x1</w:t>
      </w:r>
    </w:p>
    <w:p w14:paraId="63B59FC2" w14:textId="77777777" w:rsidR="005E5AFD" w:rsidRDefault="005E5AFD" w:rsidP="005E5AFD">
      <w:r w:rsidRPr="009B2190">
        <w:rPr>
          <w:noProof/>
          <w:highlight w:val="lightGray"/>
        </w:rPr>
        <w:t>LT/1/24/5545/020 – N100x1</w:t>
      </w:r>
    </w:p>
    <w:p w14:paraId="03EA464A" w14:textId="2C6F5348" w:rsidR="005E5AFD" w:rsidRDefault="005E5AFD" w:rsidP="005E5AFD"/>
    <w:p w14:paraId="17E5C8AE" w14:textId="77777777" w:rsidR="008020E2" w:rsidRDefault="008020E2">
      <w:pPr>
        <w:rPr>
          <w:noProof/>
        </w:rPr>
      </w:pPr>
    </w:p>
    <w:p w14:paraId="65506CE3" w14:textId="77777777" w:rsidR="008020E2" w:rsidRDefault="00137C20">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596E2AB6" w14:textId="77777777" w:rsidR="008020E2" w:rsidRDefault="008020E2">
      <w:pPr>
        <w:rPr>
          <w:i/>
          <w:noProof/>
        </w:rPr>
      </w:pPr>
    </w:p>
    <w:p w14:paraId="726977AF" w14:textId="77777777" w:rsidR="008020E2" w:rsidRDefault="00137C20">
      <w:pPr>
        <w:rPr>
          <w:noProof/>
        </w:rPr>
      </w:pPr>
      <w:r>
        <w:rPr>
          <w:noProof/>
        </w:rPr>
        <w:t>Lot</w:t>
      </w:r>
    </w:p>
    <w:p w14:paraId="5321602C" w14:textId="77777777" w:rsidR="008020E2" w:rsidRDefault="008020E2">
      <w:pPr>
        <w:rPr>
          <w:noProof/>
        </w:rPr>
      </w:pPr>
    </w:p>
    <w:p w14:paraId="42734B88" w14:textId="77777777" w:rsidR="008020E2" w:rsidRDefault="008020E2">
      <w:pPr>
        <w:rPr>
          <w:noProof/>
        </w:rPr>
      </w:pPr>
    </w:p>
    <w:p w14:paraId="5C256830" w14:textId="77777777" w:rsidR="008020E2" w:rsidRDefault="00137C20">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221AD3BA" w14:textId="77777777" w:rsidR="008020E2" w:rsidRDefault="008020E2">
      <w:pPr>
        <w:rPr>
          <w:noProof/>
        </w:rPr>
      </w:pPr>
    </w:p>
    <w:p w14:paraId="7A395BB0" w14:textId="77777777" w:rsidR="008020E2" w:rsidRDefault="00137C20">
      <w:r>
        <w:t>Receptinis vaistas</w:t>
      </w:r>
    </w:p>
    <w:p w14:paraId="057F55F8" w14:textId="77777777" w:rsidR="008020E2" w:rsidRDefault="008020E2">
      <w:pPr>
        <w:rPr>
          <w:noProof/>
        </w:rPr>
      </w:pPr>
    </w:p>
    <w:p w14:paraId="0111B548" w14:textId="77777777" w:rsidR="008020E2" w:rsidRDefault="008020E2">
      <w:pPr>
        <w:rPr>
          <w:noProof/>
        </w:rPr>
      </w:pPr>
    </w:p>
    <w:p w14:paraId="1F6448C0" w14:textId="77777777" w:rsidR="008020E2" w:rsidRDefault="00137C20">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6547AD10" w14:textId="77777777" w:rsidR="008020E2" w:rsidRDefault="008020E2">
      <w:pPr>
        <w:rPr>
          <w:i/>
          <w:iCs/>
        </w:rPr>
      </w:pPr>
    </w:p>
    <w:p w14:paraId="09C736D0" w14:textId="77777777" w:rsidR="008020E2" w:rsidRDefault="008020E2">
      <w:pPr>
        <w:rPr>
          <w:i/>
          <w:iCs/>
        </w:rPr>
      </w:pPr>
    </w:p>
    <w:p w14:paraId="3A8E8C40" w14:textId="77777777" w:rsidR="008020E2" w:rsidRDefault="008020E2">
      <w:pPr>
        <w:rPr>
          <w:noProof/>
        </w:rPr>
      </w:pPr>
    </w:p>
    <w:p w14:paraId="09A7400E" w14:textId="77777777" w:rsidR="008020E2" w:rsidRDefault="00137C20">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70511387" w14:textId="77777777" w:rsidR="008020E2" w:rsidRDefault="008020E2">
      <w:pPr>
        <w:rPr>
          <w:noProof/>
        </w:rPr>
      </w:pPr>
    </w:p>
    <w:p w14:paraId="716715F4" w14:textId="77777777" w:rsidR="008020E2" w:rsidRDefault="00137C20">
      <w:pPr>
        <w:rPr>
          <w:noProof/>
          <w:szCs w:val="22"/>
          <w:lang w:val="en-GB"/>
        </w:rPr>
      </w:pPr>
      <w:r>
        <w:rPr>
          <w:noProof/>
          <w:szCs w:val="22"/>
          <w:lang w:val="en-GB"/>
        </w:rPr>
        <w:t>Pitipix 1 mg</w:t>
      </w:r>
    </w:p>
    <w:p w14:paraId="1AC231D8" w14:textId="77777777" w:rsidR="008020E2" w:rsidRDefault="00137C20">
      <w:pPr>
        <w:rPr>
          <w:noProof/>
          <w:szCs w:val="22"/>
          <w:shd w:val="clear" w:color="auto" w:fill="CCCCCC"/>
        </w:rPr>
      </w:pPr>
      <w:r>
        <w:rPr>
          <w:noProof/>
          <w:szCs w:val="22"/>
          <w:shd w:val="clear" w:color="auto" w:fill="CCCCCC"/>
        </w:rPr>
        <w:t>Pitipix 2 mg</w:t>
      </w:r>
    </w:p>
    <w:p w14:paraId="26FEFD38" w14:textId="77777777" w:rsidR="008020E2" w:rsidRDefault="00137C20">
      <w:pPr>
        <w:rPr>
          <w:noProof/>
          <w:szCs w:val="22"/>
          <w:shd w:val="clear" w:color="auto" w:fill="CCCCCC"/>
        </w:rPr>
      </w:pPr>
      <w:r>
        <w:rPr>
          <w:noProof/>
          <w:szCs w:val="22"/>
          <w:shd w:val="clear" w:color="auto" w:fill="CCCCCC"/>
        </w:rPr>
        <w:t>Pitipix 4 mg</w:t>
      </w:r>
    </w:p>
    <w:p w14:paraId="1F450757" w14:textId="77777777" w:rsidR="008020E2" w:rsidRDefault="008020E2">
      <w:pPr>
        <w:rPr>
          <w:noProof/>
          <w:szCs w:val="22"/>
          <w:shd w:val="clear" w:color="auto" w:fill="CCCCCC"/>
        </w:rPr>
      </w:pPr>
    </w:p>
    <w:p w14:paraId="36375EB6" w14:textId="77777777" w:rsidR="008020E2" w:rsidRDefault="00137C2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05393840" w14:textId="77777777" w:rsidR="008020E2" w:rsidRDefault="008020E2">
      <w:pPr>
        <w:rPr>
          <w:noProof/>
        </w:rPr>
      </w:pPr>
    </w:p>
    <w:p w14:paraId="7F2F9157" w14:textId="77777777" w:rsidR="008020E2" w:rsidRDefault="00137C20">
      <w:pPr>
        <w:rPr>
          <w:noProof/>
          <w:szCs w:val="22"/>
          <w:shd w:val="clear" w:color="auto" w:fill="CCCCCC"/>
        </w:rPr>
      </w:pPr>
      <w:r>
        <w:rPr>
          <w:noProof/>
          <w:highlight w:val="lightGray"/>
        </w:rPr>
        <w:t>2D brūkšninis kodas su nurodytu unikaliu identifikatoriumi.</w:t>
      </w:r>
    </w:p>
    <w:p w14:paraId="5EE7A93F" w14:textId="77777777" w:rsidR="008020E2" w:rsidRDefault="008020E2">
      <w:pPr>
        <w:rPr>
          <w:noProof/>
        </w:rPr>
      </w:pPr>
    </w:p>
    <w:p w14:paraId="7854AC6D" w14:textId="77777777" w:rsidR="008020E2" w:rsidRDefault="008020E2">
      <w:pPr>
        <w:rPr>
          <w:noProof/>
        </w:rPr>
      </w:pPr>
    </w:p>
    <w:p w14:paraId="6367C9EE" w14:textId="77777777" w:rsidR="008020E2" w:rsidRDefault="00137C2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FBAA4E0" w14:textId="77777777" w:rsidR="008020E2" w:rsidRDefault="008020E2">
      <w:pPr>
        <w:rPr>
          <w:noProof/>
        </w:rPr>
      </w:pPr>
    </w:p>
    <w:p w14:paraId="5653F10D" w14:textId="77777777" w:rsidR="008020E2" w:rsidRDefault="00137C20">
      <w:pPr>
        <w:rPr>
          <w:szCs w:val="22"/>
        </w:rPr>
      </w:pPr>
      <w:r>
        <w:t>PC</w:t>
      </w:r>
    </w:p>
    <w:p w14:paraId="6D536B18" w14:textId="77777777" w:rsidR="008020E2" w:rsidRDefault="00137C20">
      <w:pPr>
        <w:rPr>
          <w:szCs w:val="22"/>
        </w:rPr>
      </w:pPr>
      <w:r>
        <w:t>SN</w:t>
      </w:r>
    </w:p>
    <w:p w14:paraId="34405CB9" w14:textId="77777777" w:rsidR="008020E2" w:rsidRDefault="00137C20">
      <w:pPr>
        <w:rPr>
          <w:szCs w:val="22"/>
        </w:rPr>
      </w:pPr>
      <w:r>
        <w:t>NN</w:t>
      </w:r>
    </w:p>
    <w:p w14:paraId="2431F95B" w14:textId="77777777" w:rsidR="008020E2" w:rsidRDefault="008020E2">
      <w:pPr>
        <w:ind w:left="-198"/>
        <w:rPr>
          <w:szCs w:val="22"/>
        </w:rPr>
      </w:pPr>
    </w:p>
    <w:p w14:paraId="2C37CADD" w14:textId="77777777" w:rsidR="008020E2" w:rsidRDefault="00137C20">
      <w:pPr>
        <w:rPr>
          <w:noProof/>
          <w:szCs w:val="22"/>
        </w:rPr>
      </w:pPr>
      <w:r>
        <w:rPr>
          <w:b/>
          <w:noProof/>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20E2" w14:paraId="7EBE0639" w14:textId="77777777">
        <w:trPr>
          <w:trHeight w:val="785"/>
        </w:trPr>
        <w:tc>
          <w:tcPr>
            <w:tcW w:w="9287" w:type="dxa"/>
            <w:tcBorders>
              <w:bottom w:val="single" w:sz="4" w:space="0" w:color="auto"/>
            </w:tcBorders>
          </w:tcPr>
          <w:p w14:paraId="736E399A" w14:textId="77777777" w:rsidR="008020E2" w:rsidRDefault="00137C20">
            <w:pPr>
              <w:rPr>
                <w:b/>
                <w:noProof/>
              </w:rPr>
            </w:pPr>
            <w:r>
              <w:rPr>
                <w:b/>
                <w:noProof/>
              </w:rPr>
              <w:t xml:space="preserve">MINIMALI </w:t>
            </w:r>
            <w:r>
              <w:rPr>
                <w:b/>
                <w:caps/>
                <w:noProof/>
              </w:rPr>
              <w:t xml:space="preserve">informacija ant </w:t>
            </w:r>
            <w:r>
              <w:rPr>
                <w:b/>
                <w:noProof/>
              </w:rPr>
              <w:t>LIZDINIŲ PLOKŠTELIŲ ARBA DVISLUOKSNIŲ JUOSTELIŲ</w:t>
            </w:r>
          </w:p>
          <w:p w14:paraId="66A4C76C" w14:textId="77777777" w:rsidR="008020E2" w:rsidRDefault="008020E2">
            <w:pPr>
              <w:rPr>
                <w:b/>
                <w:noProof/>
              </w:rPr>
            </w:pPr>
          </w:p>
          <w:p w14:paraId="5A836B73" w14:textId="77777777" w:rsidR="008020E2" w:rsidRDefault="00137C20">
            <w:pPr>
              <w:rPr>
                <w:b/>
                <w:noProof/>
              </w:rPr>
            </w:pPr>
            <w:r>
              <w:rPr>
                <w:b/>
                <w:noProof/>
              </w:rPr>
              <w:t>LIZDINĖ PLOKŠTELĖ</w:t>
            </w:r>
          </w:p>
        </w:tc>
      </w:tr>
    </w:tbl>
    <w:p w14:paraId="5B01A4AD" w14:textId="77777777" w:rsidR="008020E2" w:rsidRDefault="008020E2">
      <w:pPr>
        <w:rPr>
          <w:b/>
          <w:noProof/>
        </w:rPr>
      </w:pPr>
    </w:p>
    <w:p w14:paraId="6917774F" w14:textId="77777777" w:rsidR="008020E2" w:rsidRDefault="008020E2">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20E2" w14:paraId="3D80B34C" w14:textId="77777777">
        <w:tc>
          <w:tcPr>
            <w:tcW w:w="9287" w:type="dxa"/>
          </w:tcPr>
          <w:p w14:paraId="4448F235" w14:textId="77777777" w:rsidR="008020E2" w:rsidRDefault="00137C20">
            <w:pPr>
              <w:tabs>
                <w:tab w:val="left" w:pos="142"/>
              </w:tabs>
              <w:ind w:left="567" w:hanging="567"/>
              <w:rPr>
                <w:b/>
                <w:noProof/>
              </w:rPr>
            </w:pPr>
            <w:r>
              <w:rPr>
                <w:b/>
                <w:noProof/>
              </w:rPr>
              <w:t>1.</w:t>
            </w:r>
            <w:r>
              <w:rPr>
                <w:b/>
                <w:noProof/>
              </w:rPr>
              <w:tab/>
            </w:r>
            <w:r>
              <w:rPr>
                <w:b/>
                <w:caps/>
                <w:noProof/>
              </w:rPr>
              <w:t>Vaistinio preparato pavadinimas</w:t>
            </w:r>
          </w:p>
        </w:tc>
      </w:tr>
    </w:tbl>
    <w:p w14:paraId="0D6B2E7F" w14:textId="77777777" w:rsidR="008020E2" w:rsidRDefault="008020E2">
      <w:pPr>
        <w:ind w:left="567" w:hanging="567"/>
        <w:rPr>
          <w:noProof/>
        </w:rPr>
      </w:pPr>
    </w:p>
    <w:p w14:paraId="63E38757" w14:textId="77777777" w:rsidR="008020E2" w:rsidRDefault="00137C20">
      <w:pPr>
        <w:rPr>
          <w:noProof/>
        </w:rPr>
      </w:pPr>
      <w:r>
        <w:rPr>
          <w:noProof/>
        </w:rPr>
        <w:t xml:space="preserve">Pitipix 1 mg </w:t>
      </w:r>
      <w:r>
        <w:rPr>
          <w:noProof/>
          <w:highlight w:val="lightGray"/>
        </w:rPr>
        <w:t>plėvele dengtos</w:t>
      </w:r>
      <w:r>
        <w:rPr>
          <w:noProof/>
        </w:rPr>
        <w:t xml:space="preserve"> tabletės</w:t>
      </w:r>
    </w:p>
    <w:p w14:paraId="2ACC0034" w14:textId="77777777" w:rsidR="008020E2" w:rsidRDefault="00137C20">
      <w:pPr>
        <w:rPr>
          <w:noProof/>
          <w:highlight w:val="lightGray"/>
        </w:rPr>
      </w:pPr>
      <w:r>
        <w:rPr>
          <w:noProof/>
          <w:highlight w:val="lightGray"/>
        </w:rPr>
        <w:t>Pitipix 2 mg plėvele dengtos tabletės</w:t>
      </w:r>
    </w:p>
    <w:p w14:paraId="6F309E6F" w14:textId="77777777" w:rsidR="008020E2" w:rsidRDefault="00137C20">
      <w:pPr>
        <w:rPr>
          <w:noProof/>
        </w:rPr>
      </w:pPr>
      <w:r>
        <w:rPr>
          <w:noProof/>
          <w:highlight w:val="lightGray"/>
        </w:rPr>
        <w:t>Pitipix 4 mg plėvele dengtos tabletės</w:t>
      </w:r>
    </w:p>
    <w:p w14:paraId="373AF678" w14:textId="77777777" w:rsidR="008020E2" w:rsidRDefault="008020E2">
      <w:pPr>
        <w:rPr>
          <w:noProof/>
        </w:rPr>
      </w:pPr>
    </w:p>
    <w:p w14:paraId="6C0E3408" w14:textId="77777777" w:rsidR="008020E2" w:rsidRDefault="00137C20">
      <w:pPr>
        <w:rPr>
          <w:noProof/>
        </w:rPr>
      </w:pPr>
      <w:r>
        <w:rPr>
          <w:noProof/>
        </w:rPr>
        <w:t>pitavastatinas</w:t>
      </w:r>
    </w:p>
    <w:p w14:paraId="77EEF9F5" w14:textId="77777777" w:rsidR="008020E2" w:rsidRDefault="008020E2">
      <w:pPr>
        <w:rPr>
          <w:b/>
          <w:noProof/>
        </w:rPr>
      </w:pPr>
    </w:p>
    <w:p w14:paraId="25F8314E" w14:textId="77777777" w:rsidR="008020E2" w:rsidRDefault="008020E2">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20E2" w14:paraId="2D9463ED" w14:textId="77777777">
        <w:tc>
          <w:tcPr>
            <w:tcW w:w="9287" w:type="dxa"/>
          </w:tcPr>
          <w:p w14:paraId="3D883635" w14:textId="77777777" w:rsidR="008020E2" w:rsidRDefault="00137C20">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30CA3851" w14:textId="77777777" w:rsidR="008020E2" w:rsidRDefault="008020E2">
      <w:pPr>
        <w:rPr>
          <w:b/>
          <w:noProof/>
        </w:rPr>
      </w:pPr>
    </w:p>
    <w:p w14:paraId="58DF3E43" w14:textId="77777777" w:rsidR="008020E2" w:rsidRDefault="00137C20">
      <w:pPr>
        <w:rPr>
          <w:b/>
          <w:noProof/>
        </w:rPr>
      </w:pPr>
      <w:r>
        <w:t>KRKA</w:t>
      </w:r>
    </w:p>
    <w:p w14:paraId="07646B15" w14:textId="77777777" w:rsidR="008020E2" w:rsidRDefault="008020E2">
      <w:pPr>
        <w:rPr>
          <w:b/>
          <w:noProof/>
        </w:rPr>
      </w:pPr>
    </w:p>
    <w:p w14:paraId="326CB6D5" w14:textId="77777777" w:rsidR="008020E2" w:rsidRDefault="008020E2">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20E2" w14:paraId="419500EF" w14:textId="77777777">
        <w:tc>
          <w:tcPr>
            <w:tcW w:w="9287" w:type="dxa"/>
          </w:tcPr>
          <w:p w14:paraId="0FAED7AF" w14:textId="77777777" w:rsidR="008020E2" w:rsidRDefault="00137C20">
            <w:pPr>
              <w:tabs>
                <w:tab w:val="left" w:pos="142"/>
              </w:tabs>
              <w:ind w:left="567" w:hanging="567"/>
              <w:rPr>
                <w:b/>
                <w:noProof/>
              </w:rPr>
            </w:pPr>
            <w:r>
              <w:rPr>
                <w:b/>
                <w:noProof/>
              </w:rPr>
              <w:t>3.</w:t>
            </w:r>
            <w:r>
              <w:rPr>
                <w:b/>
                <w:noProof/>
              </w:rPr>
              <w:tab/>
            </w:r>
            <w:r>
              <w:rPr>
                <w:b/>
                <w:caps/>
                <w:noProof/>
              </w:rPr>
              <w:t>tinkamumo laikas</w:t>
            </w:r>
          </w:p>
        </w:tc>
      </w:tr>
    </w:tbl>
    <w:p w14:paraId="0C5198AF" w14:textId="77777777" w:rsidR="008020E2" w:rsidRDefault="008020E2">
      <w:pPr>
        <w:rPr>
          <w:b/>
          <w:noProof/>
        </w:rPr>
      </w:pPr>
    </w:p>
    <w:p w14:paraId="315B2C78" w14:textId="77777777" w:rsidR="008020E2" w:rsidRDefault="00137C20">
      <w:pPr>
        <w:rPr>
          <w:noProof/>
        </w:rPr>
      </w:pPr>
      <w:r>
        <w:rPr>
          <w:noProof/>
        </w:rPr>
        <w:t xml:space="preserve">EXP </w:t>
      </w:r>
      <w:r>
        <w:rPr>
          <w:snapToGrid w:val="0"/>
        </w:rPr>
        <w:t>(mm/MMMM)</w:t>
      </w:r>
    </w:p>
    <w:p w14:paraId="11C5C898" w14:textId="77777777" w:rsidR="008020E2" w:rsidRDefault="008020E2">
      <w:pPr>
        <w:rPr>
          <w:noProof/>
        </w:rPr>
      </w:pPr>
    </w:p>
    <w:p w14:paraId="6BAD3041" w14:textId="77777777" w:rsidR="008020E2" w:rsidRDefault="008020E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20E2" w14:paraId="07F912EC" w14:textId="77777777">
        <w:tc>
          <w:tcPr>
            <w:tcW w:w="9287" w:type="dxa"/>
          </w:tcPr>
          <w:p w14:paraId="6E2120ED" w14:textId="77777777" w:rsidR="008020E2" w:rsidRDefault="00137C20">
            <w:pPr>
              <w:tabs>
                <w:tab w:val="left" w:pos="142"/>
              </w:tabs>
              <w:ind w:left="567" w:hanging="567"/>
              <w:rPr>
                <w:b/>
                <w:noProof/>
              </w:rPr>
            </w:pPr>
            <w:r>
              <w:rPr>
                <w:b/>
                <w:noProof/>
              </w:rPr>
              <w:t>4.</w:t>
            </w:r>
            <w:r>
              <w:rPr>
                <w:b/>
                <w:noProof/>
              </w:rPr>
              <w:tab/>
            </w:r>
            <w:r>
              <w:rPr>
                <w:b/>
                <w:caps/>
                <w:noProof/>
              </w:rPr>
              <w:t>serijos numeris</w:t>
            </w:r>
          </w:p>
        </w:tc>
      </w:tr>
    </w:tbl>
    <w:p w14:paraId="79578DB8" w14:textId="77777777" w:rsidR="008020E2" w:rsidRDefault="008020E2">
      <w:pPr>
        <w:ind w:right="113"/>
        <w:rPr>
          <w:i/>
          <w:noProof/>
          <w:highlight w:val="yellow"/>
        </w:rPr>
      </w:pPr>
    </w:p>
    <w:p w14:paraId="2EE4CF92" w14:textId="77777777" w:rsidR="008020E2" w:rsidRDefault="00137C20">
      <w:pPr>
        <w:ind w:right="113"/>
        <w:rPr>
          <w:noProof/>
        </w:rPr>
      </w:pPr>
      <w:r>
        <w:rPr>
          <w:noProof/>
        </w:rPr>
        <w:t>Lot</w:t>
      </w:r>
    </w:p>
    <w:p w14:paraId="1AFBD41B" w14:textId="77777777" w:rsidR="008020E2" w:rsidRDefault="008020E2">
      <w:pPr>
        <w:ind w:right="113"/>
        <w:rPr>
          <w:noProof/>
        </w:rPr>
      </w:pPr>
    </w:p>
    <w:p w14:paraId="4A04CEE6" w14:textId="77777777" w:rsidR="008020E2" w:rsidRDefault="008020E2">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20E2" w14:paraId="5CD7E33E" w14:textId="77777777">
        <w:tc>
          <w:tcPr>
            <w:tcW w:w="9287" w:type="dxa"/>
          </w:tcPr>
          <w:p w14:paraId="35822526" w14:textId="77777777" w:rsidR="008020E2" w:rsidRDefault="00137C20">
            <w:pPr>
              <w:tabs>
                <w:tab w:val="left" w:pos="142"/>
              </w:tabs>
              <w:ind w:left="567" w:hanging="567"/>
              <w:rPr>
                <w:b/>
                <w:noProof/>
              </w:rPr>
            </w:pPr>
            <w:r>
              <w:rPr>
                <w:b/>
                <w:noProof/>
              </w:rPr>
              <w:t>5.</w:t>
            </w:r>
            <w:r>
              <w:rPr>
                <w:b/>
                <w:noProof/>
              </w:rPr>
              <w:tab/>
              <w:t>KITA</w:t>
            </w:r>
          </w:p>
        </w:tc>
      </w:tr>
    </w:tbl>
    <w:p w14:paraId="6135A374" w14:textId="77777777" w:rsidR="008020E2" w:rsidRDefault="008020E2">
      <w:pPr>
        <w:ind w:right="113"/>
        <w:rPr>
          <w:noProof/>
        </w:rPr>
      </w:pPr>
    </w:p>
    <w:p w14:paraId="61CC827D" w14:textId="77777777" w:rsidR="008020E2" w:rsidRDefault="00137C20">
      <w:pPr>
        <w:ind w:right="113"/>
        <w:rPr>
          <w:noProof/>
        </w:rPr>
      </w:pPr>
      <w:r>
        <w:rPr>
          <w:noProof/>
          <w:highlight w:val="lightGray"/>
        </w:rPr>
        <w:t>Tik lizdinės plokštelės, kuriose yra 7 tabletės</w:t>
      </w:r>
    </w:p>
    <w:p w14:paraId="7DB6DE15" w14:textId="77777777" w:rsidR="008020E2" w:rsidRDefault="00137C20">
      <w:pPr>
        <w:ind w:right="113"/>
        <w:rPr>
          <w:noProof/>
        </w:rPr>
      </w:pPr>
      <w:r>
        <w:rPr>
          <w:noProof/>
        </w:rPr>
        <w:t>P.</w:t>
      </w:r>
    </w:p>
    <w:p w14:paraId="6B72C250" w14:textId="77777777" w:rsidR="008020E2" w:rsidRDefault="00137C20">
      <w:pPr>
        <w:ind w:right="113"/>
        <w:rPr>
          <w:noProof/>
        </w:rPr>
      </w:pPr>
      <w:r>
        <w:rPr>
          <w:noProof/>
        </w:rPr>
        <w:t>A.</w:t>
      </w:r>
    </w:p>
    <w:p w14:paraId="2C956C7A" w14:textId="77777777" w:rsidR="008020E2" w:rsidRDefault="00137C20">
      <w:pPr>
        <w:ind w:right="113"/>
        <w:rPr>
          <w:noProof/>
        </w:rPr>
      </w:pPr>
      <w:r>
        <w:rPr>
          <w:noProof/>
        </w:rPr>
        <w:t>T.</w:t>
      </w:r>
    </w:p>
    <w:p w14:paraId="7B6F5012" w14:textId="77777777" w:rsidR="008020E2" w:rsidRDefault="00137C20">
      <w:pPr>
        <w:ind w:right="113"/>
        <w:rPr>
          <w:noProof/>
        </w:rPr>
      </w:pPr>
      <w:r>
        <w:rPr>
          <w:noProof/>
        </w:rPr>
        <w:t>K.</w:t>
      </w:r>
    </w:p>
    <w:p w14:paraId="785FB4E0" w14:textId="77777777" w:rsidR="008020E2" w:rsidRDefault="00137C20">
      <w:pPr>
        <w:ind w:right="113"/>
        <w:rPr>
          <w:noProof/>
        </w:rPr>
      </w:pPr>
      <w:r>
        <w:rPr>
          <w:noProof/>
        </w:rPr>
        <w:t>Pn.</w:t>
      </w:r>
    </w:p>
    <w:p w14:paraId="0AAAFCC6" w14:textId="77777777" w:rsidR="008020E2" w:rsidRDefault="00137C20">
      <w:pPr>
        <w:ind w:right="113"/>
        <w:rPr>
          <w:noProof/>
        </w:rPr>
      </w:pPr>
      <w:r>
        <w:rPr>
          <w:noProof/>
        </w:rPr>
        <w:t>Š.</w:t>
      </w:r>
    </w:p>
    <w:p w14:paraId="5CAFF418" w14:textId="77777777" w:rsidR="008020E2" w:rsidRDefault="00137C20">
      <w:pPr>
        <w:ind w:right="113"/>
        <w:rPr>
          <w:noProof/>
        </w:rPr>
      </w:pPr>
      <w:r>
        <w:rPr>
          <w:noProof/>
        </w:rPr>
        <w:t>S.</w:t>
      </w:r>
    </w:p>
    <w:p w14:paraId="65343773" w14:textId="77777777" w:rsidR="008020E2" w:rsidRDefault="00137C20">
      <w:pPr>
        <w:pBdr>
          <w:top w:val="single" w:sz="4" w:space="1" w:color="auto"/>
          <w:left w:val="single" w:sz="4" w:space="4" w:color="auto"/>
          <w:bottom w:val="single" w:sz="4" w:space="1" w:color="auto"/>
          <w:right w:val="single" w:sz="4" w:space="4" w:color="auto"/>
        </w:pBdr>
        <w:rPr>
          <w:noProof/>
        </w:rPr>
      </w:pPr>
      <w:r>
        <w:rPr>
          <w:noProof/>
        </w:rPr>
        <w:br w:type="page"/>
      </w:r>
    </w:p>
    <w:p w14:paraId="1F4024D9" w14:textId="77777777" w:rsidR="008020E2" w:rsidRDefault="008020E2">
      <w:pPr>
        <w:rPr>
          <w:noProof/>
        </w:rPr>
      </w:pPr>
    </w:p>
    <w:p w14:paraId="7AD26C26" w14:textId="77777777" w:rsidR="008020E2" w:rsidRDefault="008020E2">
      <w:pPr>
        <w:rPr>
          <w:noProof/>
        </w:rPr>
      </w:pPr>
    </w:p>
    <w:p w14:paraId="758BED68" w14:textId="77777777" w:rsidR="008020E2" w:rsidRDefault="008020E2">
      <w:pPr>
        <w:rPr>
          <w:noProof/>
        </w:rPr>
      </w:pPr>
    </w:p>
    <w:p w14:paraId="141F9583" w14:textId="77777777" w:rsidR="008020E2" w:rsidRDefault="008020E2">
      <w:pPr>
        <w:rPr>
          <w:noProof/>
        </w:rPr>
      </w:pPr>
    </w:p>
    <w:p w14:paraId="1AB77744" w14:textId="77777777" w:rsidR="008020E2" w:rsidRDefault="008020E2">
      <w:pPr>
        <w:rPr>
          <w:noProof/>
        </w:rPr>
      </w:pPr>
    </w:p>
    <w:p w14:paraId="0B6739C8" w14:textId="77777777" w:rsidR="008020E2" w:rsidRDefault="008020E2">
      <w:pPr>
        <w:rPr>
          <w:noProof/>
        </w:rPr>
      </w:pPr>
    </w:p>
    <w:p w14:paraId="12206B7A" w14:textId="77777777" w:rsidR="008020E2" w:rsidRDefault="008020E2">
      <w:pPr>
        <w:rPr>
          <w:noProof/>
        </w:rPr>
      </w:pPr>
    </w:p>
    <w:p w14:paraId="00C7D52E" w14:textId="77777777" w:rsidR="008020E2" w:rsidRDefault="008020E2">
      <w:pPr>
        <w:rPr>
          <w:noProof/>
        </w:rPr>
      </w:pPr>
    </w:p>
    <w:p w14:paraId="0D49FF7C" w14:textId="77777777" w:rsidR="008020E2" w:rsidRDefault="008020E2">
      <w:pPr>
        <w:rPr>
          <w:noProof/>
        </w:rPr>
      </w:pPr>
    </w:p>
    <w:p w14:paraId="6ADAED3F" w14:textId="77777777" w:rsidR="008020E2" w:rsidRDefault="008020E2">
      <w:pPr>
        <w:rPr>
          <w:noProof/>
        </w:rPr>
      </w:pPr>
    </w:p>
    <w:p w14:paraId="6BCC6DE0" w14:textId="77777777" w:rsidR="008020E2" w:rsidRDefault="008020E2">
      <w:pPr>
        <w:rPr>
          <w:noProof/>
        </w:rPr>
      </w:pPr>
    </w:p>
    <w:p w14:paraId="1CA026D5" w14:textId="77777777" w:rsidR="008020E2" w:rsidRDefault="008020E2">
      <w:pPr>
        <w:rPr>
          <w:noProof/>
        </w:rPr>
      </w:pPr>
    </w:p>
    <w:p w14:paraId="46FE87FB" w14:textId="77777777" w:rsidR="008020E2" w:rsidRDefault="008020E2">
      <w:pPr>
        <w:rPr>
          <w:noProof/>
        </w:rPr>
      </w:pPr>
    </w:p>
    <w:p w14:paraId="2DB3706A" w14:textId="77777777" w:rsidR="008020E2" w:rsidRDefault="008020E2">
      <w:pPr>
        <w:rPr>
          <w:noProof/>
        </w:rPr>
      </w:pPr>
    </w:p>
    <w:p w14:paraId="57EC703E" w14:textId="77777777" w:rsidR="008020E2" w:rsidRDefault="008020E2">
      <w:pPr>
        <w:rPr>
          <w:noProof/>
        </w:rPr>
      </w:pPr>
    </w:p>
    <w:p w14:paraId="249ADD48" w14:textId="77777777" w:rsidR="008020E2" w:rsidRDefault="008020E2">
      <w:pPr>
        <w:rPr>
          <w:noProof/>
        </w:rPr>
      </w:pPr>
    </w:p>
    <w:p w14:paraId="6427D611" w14:textId="77777777" w:rsidR="008020E2" w:rsidRDefault="008020E2">
      <w:pPr>
        <w:rPr>
          <w:noProof/>
        </w:rPr>
      </w:pPr>
    </w:p>
    <w:p w14:paraId="674C2BE1" w14:textId="77777777" w:rsidR="008020E2" w:rsidRDefault="008020E2">
      <w:pPr>
        <w:rPr>
          <w:noProof/>
        </w:rPr>
      </w:pPr>
    </w:p>
    <w:p w14:paraId="703C518B" w14:textId="77777777" w:rsidR="008020E2" w:rsidRDefault="008020E2">
      <w:pPr>
        <w:rPr>
          <w:noProof/>
        </w:rPr>
      </w:pPr>
    </w:p>
    <w:p w14:paraId="55113688" w14:textId="77777777" w:rsidR="008020E2" w:rsidRDefault="008020E2">
      <w:pPr>
        <w:rPr>
          <w:noProof/>
        </w:rPr>
      </w:pPr>
    </w:p>
    <w:p w14:paraId="1065F51F" w14:textId="77777777" w:rsidR="008020E2" w:rsidRDefault="008020E2">
      <w:pPr>
        <w:rPr>
          <w:noProof/>
        </w:rPr>
      </w:pPr>
    </w:p>
    <w:p w14:paraId="32796773" w14:textId="77777777" w:rsidR="008020E2" w:rsidRDefault="008020E2">
      <w:pPr>
        <w:rPr>
          <w:noProof/>
        </w:rPr>
      </w:pPr>
    </w:p>
    <w:p w14:paraId="768281AA" w14:textId="05F16995" w:rsidR="008020E2" w:rsidRDefault="00700F2E">
      <w:pPr>
        <w:jc w:val="center"/>
        <w:outlineLvl w:val="0"/>
        <w:rPr>
          <w:noProof/>
        </w:rPr>
      </w:pPr>
      <w:r>
        <w:rPr>
          <w:b/>
          <w:noProof/>
        </w:rPr>
        <w:t xml:space="preserve">B.  </w:t>
      </w:r>
      <w:r w:rsidR="00137C20">
        <w:rPr>
          <w:b/>
          <w:noProof/>
        </w:rPr>
        <w:t>PAKUOTĖS LAPELIS</w:t>
      </w:r>
    </w:p>
    <w:p w14:paraId="07B53D43" w14:textId="77777777" w:rsidR="008020E2" w:rsidRDefault="00137C20">
      <w:pPr>
        <w:widowControl w:val="0"/>
        <w:jc w:val="center"/>
        <w:outlineLvl w:val="1"/>
        <w:rPr>
          <w:b/>
          <w:snapToGrid w:val="0"/>
          <w:szCs w:val="22"/>
          <w:lang w:eastAsia="x-none"/>
        </w:rPr>
      </w:pPr>
      <w:r>
        <w:rPr>
          <w:b/>
          <w:noProof/>
        </w:rPr>
        <w:br w:type="page"/>
      </w:r>
      <w:r>
        <w:rPr>
          <w:b/>
          <w:bCs/>
          <w:iCs/>
          <w:snapToGrid w:val="0"/>
          <w:szCs w:val="22"/>
          <w:lang w:eastAsia="x-none"/>
        </w:rPr>
        <w:t>Pakuotės lapelis:</w:t>
      </w:r>
      <w:r>
        <w:rPr>
          <w:b/>
          <w:snapToGrid w:val="0"/>
          <w:szCs w:val="22"/>
          <w:lang w:eastAsia="x-none"/>
        </w:rPr>
        <w:t xml:space="preserve"> </w:t>
      </w:r>
      <w:r>
        <w:rPr>
          <w:b/>
          <w:bCs/>
          <w:iCs/>
          <w:snapToGrid w:val="0"/>
          <w:szCs w:val="22"/>
          <w:lang w:eastAsia="x-none"/>
        </w:rPr>
        <w:t>informacija pacientui</w:t>
      </w:r>
    </w:p>
    <w:p w14:paraId="4EFBF966" w14:textId="77777777" w:rsidR="008020E2" w:rsidRDefault="008020E2">
      <w:pPr>
        <w:widowControl w:val="0"/>
        <w:numPr>
          <w:ilvl w:val="12"/>
          <w:numId w:val="0"/>
        </w:numPr>
        <w:shd w:val="clear" w:color="auto" w:fill="FFFFFF"/>
        <w:jc w:val="center"/>
        <w:rPr>
          <w:snapToGrid w:val="0"/>
          <w:szCs w:val="22"/>
        </w:rPr>
      </w:pPr>
    </w:p>
    <w:p w14:paraId="339B9187" w14:textId="77777777" w:rsidR="008020E2" w:rsidRDefault="00137C20">
      <w:pPr>
        <w:widowControl w:val="0"/>
        <w:jc w:val="center"/>
        <w:rPr>
          <w:b/>
          <w:bCs/>
          <w:iCs/>
          <w:snapToGrid w:val="0"/>
          <w:szCs w:val="22"/>
        </w:rPr>
      </w:pPr>
      <w:proofErr w:type="spellStart"/>
      <w:r>
        <w:rPr>
          <w:b/>
          <w:bCs/>
          <w:snapToGrid w:val="0"/>
          <w:szCs w:val="22"/>
        </w:rPr>
        <w:t>Pitipix</w:t>
      </w:r>
      <w:proofErr w:type="spellEnd"/>
      <w:r>
        <w:rPr>
          <w:b/>
          <w:bCs/>
          <w:snapToGrid w:val="0"/>
          <w:szCs w:val="22"/>
        </w:rPr>
        <w:t xml:space="preserve"> 1 mg plėvele dengtos tabletės</w:t>
      </w:r>
    </w:p>
    <w:p w14:paraId="722AA8DA" w14:textId="77777777" w:rsidR="008020E2" w:rsidRDefault="00137C20">
      <w:pPr>
        <w:widowControl w:val="0"/>
        <w:jc w:val="center"/>
        <w:rPr>
          <w:b/>
          <w:bCs/>
          <w:iCs/>
          <w:snapToGrid w:val="0"/>
          <w:szCs w:val="22"/>
        </w:rPr>
      </w:pPr>
      <w:proofErr w:type="spellStart"/>
      <w:r>
        <w:rPr>
          <w:b/>
          <w:bCs/>
          <w:snapToGrid w:val="0"/>
          <w:szCs w:val="22"/>
        </w:rPr>
        <w:t>Pitipix</w:t>
      </w:r>
      <w:proofErr w:type="spellEnd"/>
      <w:r>
        <w:rPr>
          <w:b/>
          <w:bCs/>
          <w:snapToGrid w:val="0"/>
          <w:szCs w:val="22"/>
        </w:rPr>
        <w:t xml:space="preserve"> 2 mg plėvele dengtos tabletės</w:t>
      </w:r>
    </w:p>
    <w:p w14:paraId="699CB7F7" w14:textId="77777777" w:rsidR="008020E2" w:rsidRDefault="00137C20">
      <w:pPr>
        <w:widowControl w:val="0"/>
        <w:jc w:val="center"/>
        <w:rPr>
          <w:b/>
          <w:bCs/>
          <w:iCs/>
          <w:snapToGrid w:val="0"/>
          <w:szCs w:val="22"/>
        </w:rPr>
      </w:pPr>
      <w:bookmarkStart w:id="1" w:name="_Hlk168507583"/>
      <w:proofErr w:type="spellStart"/>
      <w:r>
        <w:rPr>
          <w:b/>
          <w:bCs/>
          <w:snapToGrid w:val="0"/>
          <w:szCs w:val="22"/>
        </w:rPr>
        <w:t>Pitipix</w:t>
      </w:r>
      <w:proofErr w:type="spellEnd"/>
      <w:r>
        <w:rPr>
          <w:b/>
          <w:bCs/>
          <w:snapToGrid w:val="0"/>
          <w:szCs w:val="22"/>
        </w:rPr>
        <w:t xml:space="preserve"> </w:t>
      </w:r>
      <w:bookmarkEnd w:id="1"/>
      <w:r>
        <w:rPr>
          <w:b/>
          <w:bCs/>
          <w:snapToGrid w:val="0"/>
          <w:szCs w:val="22"/>
        </w:rPr>
        <w:t>4 mg plėvele dengtos tabletės</w:t>
      </w:r>
    </w:p>
    <w:p w14:paraId="3C4A79D7" w14:textId="77777777" w:rsidR="008020E2" w:rsidRDefault="00137C20">
      <w:pPr>
        <w:widowControl w:val="0"/>
        <w:jc w:val="center"/>
        <w:rPr>
          <w:snapToGrid w:val="0"/>
          <w:szCs w:val="22"/>
        </w:rPr>
      </w:pPr>
      <w:proofErr w:type="spellStart"/>
      <w:r>
        <w:rPr>
          <w:snapToGrid w:val="0"/>
          <w:szCs w:val="22"/>
        </w:rPr>
        <w:t>pitavastatinas</w:t>
      </w:r>
      <w:proofErr w:type="spellEnd"/>
    </w:p>
    <w:p w14:paraId="1030F14B" w14:textId="77777777" w:rsidR="008020E2" w:rsidRDefault="008020E2">
      <w:pPr>
        <w:widowControl w:val="0"/>
        <w:rPr>
          <w:snapToGrid w:val="0"/>
          <w:szCs w:val="22"/>
        </w:rPr>
      </w:pPr>
    </w:p>
    <w:p w14:paraId="40A588F6" w14:textId="77777777" w:rsidR="008020E2" w:rsidRDefault="00137C20">
      <w:pPr>
        <w:widowControl w:val="0"/>
        <w:rPr>
          <w:snapToGrid w:val="0"/>
          <w:szCs w:val="22"/>
        </w:rPr>
      </w:pPr>
      <w:r>
        <w:rPr>
          <w:b/>
          <w:snapToGrid w:val="0"/>
          <w:szCs w:val="22"/>
        </w:rPr>
        <w:t>Atidžiai perskaitykite visą šį lapelį, prieš pradėdami vartoti vaistą, nes jame pateikiama Jums svarbi informacija.</w:t>
      </w:r>
    </w:p>
    <w:p w14:paraId="2984207B" w14:textId="77777777" w:rsidR="008020E2" w:rsidRDefault="00137C20">
      <w:pPr>
        <w:widowControl w:val="0"/>
        <w:numPr>
          <w:ilvl w:val="0"/>
          <w:numId w:val="11"/>
        </w:numPr>
        <w:tabs>
          <w:tab w:val="left" w:pos="567"/>
        </w:tabs>
        <w:spacing w:line="260" w:lineRule="exact"/>
        <w:ind w:left="567" w:right="-2" w:hanging="567"/>
        <w:rPr>
          <w:snapToGrid w:val="0"/>
          <w:szCs w:val="22"/>
        </w:rPr>
      </w:pPr>
      <w:r>
        <w:rPr>
          <w:snapToGrid w:val="0"/>
          <w:szCs w:val="22"/>
        </w:rPr>
        <w:t>Neišmeskite šio lapelio, nes vėl gali prireikti jį perskaityti.</w:t>
      </w:r>
    </w:p>
    <w:p w14:paraId="4CDEE3BA" w14:textId="77777777" w:rsidR="008020E2" w:rsidRDefault="00137C20">
      <w:pPr>
        <w:widowControl w:val="0"/>
        <w:numPr>
          <w:ilvl w:val="0"/>
          <w:numId w:val="11"/>
        </w:numPr>
        <w:tabs>
          <w:tab w:val="left" w:pos="567"/>
        </w:tabs>
        <w:spacing w:line="260" w:lineRule="exact"/>
        <w:ind w:left="567" w:right="-2" w:hanging="567"/>
        <w:rPr>
          <w:snapToGrid w:val="0"/>
          <w:szCs w:val="22"/>
        </w:rPr>
      </w:pPr>
      <w:r>
        <w:rPr>
          <w:snapToGrid w:val="0"/>
          <w:szCs w:val="22"/>
        </w:rPr>
        <w:t>Jeigu kiltų daugiau klausimų, kreipkitės į gydytoją arba vaistininką.</w:t>
      </w:r>
    </w:p>
    <w:p w14:paraId="1DD336A1" w14:textId="77777777" w:rsidR="008020E2" w:rsidRDefault="00137C20">
      <w:pPr>
        <w:widowControl w:val="0"/>
        <w:tabs>
          <w:tab w:val="left" w:pos="567"/>
        </w:tabs>
        <w:ind w:left="567" w:right="-2" w:hanging="567"/>
        <w:rPr>
          <w:snapToGrid w:val="0"/>
          <w:szCs w:val="22"/>
        </w:rPr>
      </w:pPr>
      <w:r>
        <w:rPr>
          <w:snapToGrid w:val="0"/>
          <w:szCs w:val="22"/>
        </w:rPr>
        <w:t>-</w:t>
      </w:r>
      <w:r>
        <w:rPr>
          <w:snapToGrid w:val="0"/>
          <w:szCs w:val="22"/>
        </w:rPr>
        <w:tab/>
        <w:t>Šis vaistas skirtas tik Jums, todėl kitiems žmonėms jo duoti negalima. Vaistas gali jiems pakenkti (net tiems, kurių ligos požymiai yra tokie patys kaip Jūsų).</w:t>
      </w:r>
    </w:p>
    <w:p w14:paraId="4AE39315" w14:textId="77777777" w:rsidR="008020E2" w:rsidRDefault="00137C20">
      <w:pPr>
        <w:widowControl w:val="0"/>
        <w:numPr>
          <w:ilvl w:val="0"/>
          <w:numId w:val="11"/>
        </w:numPr>
        <w:tabs>
          <w:tab w:val="left" w:pos="567"/>
        </w:tabs>
        <w:spacing w:line="260" w:lineRule="exact"/>
        <w:ind w:left="567" w:hanging="567"/>
        <w:rPr>
          <w:snapToGrid w:val="0"/>
          <w:szCs w:val="22"/>
        </w:rPr>
      </w:pPr>
      <w:r>
        <w:rPr>
          <w:snapToGrid w:val="0"/>
          <w:szCs w:val="22"/>
        </w:rPr>
        <w:t>Jeigu pasireiškė šalutinis poveikis (net jeigu jis šiame lapelyje nenurodytas), kreipkitės į gydytoją arba vaistininką. Žr. 4 skyrių.</w:t>
      </w:r>
    </w:p>
    <w:p w14:paraId="178E693E" w14:textId="77777777" w:rsidR="008020E2" w:rsidRDefault="008020E2">
      <w:pPr>
        <w:widowControl w:val="0"/>
        <w:ind w:right="-2"/>
        <w:rPr>
          <w:snapToGrid w:val="0"/>
          <w:szCs w:val="22"/>
        </w:rPr>
      </w:pPr>
    </w:p>
    <w:p w14:paraId="4D68367B"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Apie ką rašoma šiame lapelyje?</w:t>
      </w:r>
    </w:p>
    <w:p w14:paraId="31FEE70C" w14:textId="77777777" w:rsidR="008020E2" w:rsidRDefault="008020E2">
      <w:pPr>
        <w:widowControl w:val="0"/>
        <w:numPr>
          <w:ilvl w:val="12"/>
          <w:numId w:val="0"/>
        </w:numPr>
        <w:rPr>
          <w:snapToGrid w:val="0"/>
          <w:szCs w:val="22"/>
        </w:rPr>
      </w:pPr>
    </w:p>
    <w:p w14:paraId="1AF29373" w14:textId="77777777" w:rsidR="008020E2" w:rsidRDefault="00137C20">
      <w:pPr>
        <w:widowControl w:val="0"/>
        <w:numPr>
          <w:ilvl w:val="12"/>
          <w:numId w:val="0"/>
        </w:numPr>
        <w:ind w:left="567" w:right="-2" w:hanging="567"/>
        <w:rPr>
          <w:snapToGrid w:val="0"/>
          <w:szCs w:val="22"/>
        </w:rPr>
      </w:pPr>
      <w:r>
        <w:rPr>
          <w:snapToGrid w:val="0"/>
          <w:szCs w:val="22"/>
        </w:rPr>
        <w:t>1.</w:t>
      </w:r>
      <w:r>
        <w:rPr>
          <w:snapToGrid w:val="0"/>
          <w:szCs w:val="22"/>
        </w:rPr>
        <w:tab/>
        <w:t xml:space="preserve">Kas yra </w:t>
      </w:r>
      <w:proofErr w:type="spellStart"/>
      <w:r>
        <w:rPr>
          <w:snapToGrid w:val="0"/>
          <w:szCs w:val="22"/>
        </w:rPr>
        <w:t>Pitipix</w:t>
      </w:r>
      <w:proofErr w:type="spellEnd"/>
      <w:r>
        <w:rPr>
          <w:snapToGrid w:val="0"/>
          <w:szCs w:val="22"/>
        </w:rPr>
        <w:t xml:space="preserve"> ir kam jis vartojamas</w:t>
      </w:r>
    </w:p>
    <w:p w14:paraId="670F5F51" w14:textId="77777777" w:rsidR="008020E2" w:rsidRDefault="00137C20">
      <w:pPr>
        <w:widowControl w:val="0"/>
        <w:numPr>
          <w:ilvl w:val="12"/>
          <w:numId w:val="0"/>
        </w:numPr>
        <w:ind w:left="567" w:right="-2" w:hanging="567"/>
        <w:rPr>
          <w:snapToGrid w:val="0"/>
          <w:szCs w:val="22"/>
        </w:rPr>
      </w:pPr>
      <w:r>
        <w:rPr>
          <w:snapToGrid w:val="0"/>
          <w:szCs w:val="22"/>
        </w:rPr>
        <w:t>2.</w:t>
      </w:r>
      <w:r>
        <w:rPr>
          <w:snapToGrid w:val="0"/>
          <w:szCs w:val="22"/>
        </w:rPr>
        <w:tab/>
        <w:t xml:space="preserve">Kas žinotina prieš vartojant </w:t>
      </w:r>
      <w:proofErr w:type="spellStart"/>
      <w:r>
        <w:rPr>
          <w:snapToGrid w:val="0"/>
          <w:szCs w:val="22"/>
        </w:rPr>
        <w:t>Pitipix</w:t>
      </w:r>
      <w:proofErr w:type="spellEnd"/>
    </w:p>
    <w:p w14:paraId="53C89DA3" w14:textId="77777777" w:rsidR="008020E2" w:rsidRDefault="00137C20">
      <w:pPr>
        <w:widowControl w:val="0"/>
        <w:numPr>
          <w:ilvl w:val="12"/>
          <w:numId w:val="0"/>
        </w:numPr>
        <w:ind w:left="567" w:right="-2" w:hanging="567"/>
        <w:rPr>
          <w:snapToGrid w:val="0"/>
          <w:szCs w:val="22"/>
        </w:rPr>
      </w:pPr>
      <w:r>
        <w:rPr>
          <w:snapToGrid w:val="0"/>
          <w:szCs w:val="22"/>
        </w:rPr>
        <w:t>3.</w:t>
      </w:r>
      <w:r>
        <w:rPr>
          <w:snapToGrid w:val="0"/>
          <w:szCs w:val="22"/>
        </w:rPr>
        <w:tab/>
        <w:t>Kaip vartoti</w:t>
      </w:r>
      <w:r w:rsidRPr="006174FB">
        <w:t xml:space="preserve"> </w:t>
      </w:r>
      <w:proofErr w:type="spellStart"/>
      <w:r>
        <w:rPr>
          <w:snapToGrid w:val="0"/>
          <w:szCs w:val="22"/>
        </w:rPr>
        <w:t>Pitipix</w:t>
      </w:r>
      <w:proofErr w:type="spellEnd"/>
    </w:p>
    <w:p w14:paraId="52544FAE" w14:textId="77777777" w:rsidR="008020E2" w:rsidRDefault="00137C20">
      <w:pPr>
        <w:widowControl w:val="0"/>
        <w:numPr>
          <w:ilvl w:val="12"/>
          <w:numId w:val="0"/>
        </w:numPr>
        <w:ind w:left="567" w:right="-2" w:hanging="567"/>
        <w:rPr>
          <w:snapToGrid w:val="0"/>
          <w:szCs w:val="22"/>
        </w:rPr>
      </w:pPr>
      <w:r>
        <w:rPr>
          <w:snapToGrid w:val="0"/>
          <w:szCs w:val="22"/>
        </w:rPr>
        <w:t>4.</w:t>
      </w:r>
      <w:r>
        <w:rPr>
          <w:snapToGrid w:val="0"/>
          <w:szCs w:val="22"/>
        </w:rPr>
        <w:tab/>
        <w:t>Galimas šalutinis poveikis</w:t>
      </w:r>
    </w:p>
    <w:p w14:paraId="07819B68" w14:textId="77777777" w:rsidR="008020E2" w:rsidRDefault="00137C20">
      <w:pPr>
        <w:widowControl w:val="0"/>
        <w:numPr>
          <w:ilvl w:val="12"/>
          <w:numId w:val="0"/>
        </w:numPr>
        <w:tabs>
          <w:tab w:val="left" w:pos="709"/>
        </w:tabs>
        <w:ind w:left="567" w:right="-2" w:hanging="567"/>
        <w:rPr>
          <w:snapToGrid w:val="0"/>
          <w:szCs w:val="22"/>
        </w:rPr>
      </w:pPr>
      <w:r>
        <w:rPr>
          <w:snapToGrid w:val="0"/>
          <w:szCs w:val="22"/>
        </w:rPr>
        <w:t>5.</w:t>
      </w:r>
      <w:r>
        <w:rPr>
          <w:snapToGrid w:val="0"/>
          <w:szCs w:val="22"/>
        </w:rPr>
        <w:tab/>
        <w:t xml:space="preserve">Kaip laikyti </w:t>
      </w:r>
      <w:proofErr w:type="spellStart"/>
      <w:r>
        <w:rPr>
          <w:snapToGrid w:val="0"/>
          <w:szCs w:val="22"/>
        </w:rPr>
        <w:t>Pitipix</w:t>
      </w:r>
      <w:proofErr w:type="spellEnd"/>
    </w:p>
    <w:p w14:paraId="1233AC6A" w14:textId="77777777" w:rsidR="008020E2" w:rsidRDefault="00137C20">
      <w:pPr>
        <w:widowControl w:val="0"/>
        <w:numPr>
          <w:ilvl w:val="12"/>
          <w:numId w:val="0"/>
        </w:numPr>
        <w:ind w:left="567" w:right="-2" w:hanging="567"/>
        <w:rPr>
          <w:snapToGrid w:val="0"/>
          <w:szCs w:val="22"/>
        </w:rPr>
      </w:pPr>
      <w:r>
        <w:rPr>
          <w:snapToGrid w:val="0"/>
          <w:szCs w:val="22"/>
        </w:rPr>
        <w:t>6.</w:t>
      </w:r>
      <w:r>
        <w:rPr>
          <w:snapToGrid w:val="0"/>
          <w:szCs w:val="22"/>
        </w:rPr>
        <w:tab/>
        <w:t>Pakuotės turinys ir kita informacija</w:t>
      </w:r>
    </w:p>
    <w:p w14:paraId="636A2ADC" w14:textId="77777777" w:rsidR="008020E2" w:rsidRDefault="008020E2">
      <w:pPr>
        <w:widowControl w:val="0"/>
        <w:numPr>
          <w:ilvl w:val="12"/>
          <w:numId w:val="0"/>
        </w:numPr>
        <w:ind w:right="-2"/>
        <w:rPr>
          <w:snapToGrid w:val="0"/>
          <w:szCs w:val="22"/>
        </w:rPr>
      </w:pPr>
    </w:p>
    <w:p w14:paraId="7AFB1747" w14:textId="77777777" w:rsidR="008020E2" w:rsidRDefault="008020E2">
      <w:pPr>
        <w:widowControl w:val="0"/>
        <w:numPr>
          <w:ilvl w:val="12"/>
          <w:numId w:val="0"/>
        </w:numPr>
        <w:ind w:right="-2"/>
        <w:rPr>
          <w:snapToGrid w:val="0"/>
          <w:szCs w:val="22"/>
        </w:rPr>
      </w:pPr>
    </w:p>
    <w:p w14:paraId="0DB90B70"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1.</w:t>
      </w:r>
      <w:r>
        <w:rPr>
          <w:b/>
          <w:bCs/>
          <w:snapToGrid w:val="0"/>
          <w:szCs w:val="22"/>
          <w:lang w:eastAsia="x-none"/>
        </w:rPr>
        <w:tab/>
        <w:t xml:space="preserve">Kas yra </w:t>
      </w:r>
      <w:proofErr w:type="spellStart"/>
      <w:r>
        <w:rPr>
          <w:b/>
          <w:bCs/>
          <w:snapToGrid w:val="0"/>
          <w:szCs w:val="22"/>
          <w:lang w:eastAsia="x-none"/>
        </w:rPr>
        <w:t>Pitipix</w:t>
      </w:r>
      <w:proofErr w:type="spellEnd"/>
      <w:r>
        <w:rPr>
          <w:b/>
          <w:bCs/>
          <w:snapToGrid w:val="0"/>
          <w:szCs w:val="22"/>
          <w:lang w:eastAsia="x-none"/>
        </w:rPr>
        <w:t xml:space="preserve"> ir kam jis vartojamas</w:t>
      </w:r>
    </w:p>
    <w:p w14:paraId="0EF878EB" w14:textId="77777777" w:rsidR="008020E2" w:rsidRDefault="008020E2">
      <w:pPr>
        <w:widowControl w:val="0"/>
        <w:numPr>
          <w:ilvl w:val="12"/>
          <w:numId w:val="0"/>
        </w:numPr>
        <w:ind w:right="-2"/>
        <w:rPr>
          <w:snapToGrid w:val="0"/>
          <w:szCs w:val="22"/>
        </w:rPr>
      </w:pPr>
    </w:p>
    <w:p w14:paraId="6D438FCF" w14:textId="77777777" w:rsidR="008020E2" w:rsidRDefault="00137C20">
      <w:pPr>
        <w:widowControl w:val="0"/>
        <w:tabs>
          <w:tab w:val="left" w:pos="567"/>
          <w:tab w:val="left" w:pos="1134"/>
        </w:tabs>
        <w:contextualSpacing/>
        <w:rPr>
          <w:snapToGrid w:val="0"/>
          <w:szCs w:val="22"/>
        </w:rPr>
      </w:pPr>
      <w:proofErr w:type="spellStart"/>
      <w:r>
        <w:rPr>
          <w:snapToGrid w:val="0"/>
          <w:szCs w:val="22"/>
        </w:rPr>
        <w:t>Pitipix</w:t>
      </w:r>
      <w:proofErr w:type="spellEnd"/>
      <w:r>
        <w:rPr>
          <w:snapToGrid w:val="0"/>
          <w:szCs w:val="22"/>
        </w:rPr>
        <w:t xml:space="preserve"> sudėtyje yra vaisto, vadinamo </w:t>
      </w:r>
      <w:proofErr w:type="spellStart"/>
      <w:r>
        <w:rPr>
          <w:snapToGrid w:val="0"/>
          <w:szCs w:val="22"/>
        </w:rPr>
        <w:t>pitavastatinu</w:t>
      </w:r>
      <w:proofErr w:type="spellEnd"/>
      <w:r>
        <w:rPr>
          <w:snapToGrid w:val="0"/>
          <w:szCs w:val="22"/>
        </w:rPr>
        <w:t xml:space="preserve">. Jis priklauso vaistų, vadinamų </w:t>
      </w:r>
      <w:proofErr w:type="spellStart"/>
      <w:r>
        <w:rPr>
          <w:snapToGrid w:val="0"/>
          <w:szCs w:val="22"/>
        </w:rPr>
        <w:t>statinais</w:t>
      </w:r>
      <w:proofErr w:type="spellEnd"/>
      <w:r>
        <w:rPr>
          <w:snapToGrid w:val="0"/>
          <w:szCs w:val="22"/>
        </w:rPr>
        <w:t xml:space="preserve">, grupei. </w:t>
      </w:r>
      <w:proofErr w:type="spellStart"/>
      <w:r>
        <w:rPr>
          <w:snapToGrid w:val="0"/>
          <w:szCs w:val="22"/>
        </w:rPr>
        <w:t>Pitipix</w:t>
      </w:r>
      <w:proofErr w:type="spellEnd"/>
      <w:r>
        <w:rPr>
          <w:snapToGrid w:val="0"/>
          <w:szCs w:val="22"/>
        </w:rPr>
        <w:t xml:space="preserve"> vartojamas riebalų (lipidų) kiekiui kraujyje koreguoti ir gali būti vartojamas vaikams nuo 6 metų bei suaugusiesiems. Riebalų, ypač cholesterolio, pusiausvyros sutrikimas kartais gali sukelti širdies priepuolį arba insultą.</w:t>
      </w:r>
    </w:p>
    <w:p w14:paraId="53F0DA21" w14:textId="77777777" w:rsidR="008020E2" w:rsidRDefault="008020E2">
      <w:pPr>
        <w:widowControl w:val="0"/>
        <w:tabs>
          <w:tab w:val="left" w:pos="567"/>
          <w:tab w:val="left" w:pos="1134"/>
        </w:tabs>
        <w:contextualSpacing/>
        <w:rPr>
          <w:snapToGrid w:val="0"/>
          <w:szCs w:val="22"/>
        </w:rPr>
      </w:pPr>
    </w:p>
    <w:p w14:paraId="59ED0D69" w14:textId="77777777" w:rsidR="008020E2" w:rsidRDefault="00137C20">
      <w:pPr>
        <w:widowControl w:val="0"/>
        <w:tabs>
          <w:tab w:val="left" w:pos="567"/>
          <w:tab w:val="left" w:pos="1134"/>
        </w:tabs>
        <w:contextualSpacing/>
        <w:rPr>
          <w:snapToGrid w:val="0"/>
          <w:szCs w:val="22"/>
        </w:rPr>
      </w:pPr>
      <w:r>
        <w:rPr>
          <w:snapToGrid w:val="0"/>
          <w:szCs w:val="22"/>
        </w:rPr>
        <w:t xml:space="preserve">Jums buvo paskirtas </w:t>
      </w:r>
      <w:proofErr w:type="spellStart"/>
      <w:r>
        <w:rPr>
          <w:snapToGrid w:val="0"/>
          <w:szCs w:val="22"/>
        </w:rPr>
        <w:t>Pitipix</w:t>
      </w:r>
      <w:proofErr w:type="spellEnd"/>
      <w:r>
        <w:rPr>
          <w:snapToGrid w:val="0"/>
          <w:szCs w:val="22"/>
        </w:rPr>
        <w:t xml:space="preserve">, nes Jums yra sutrikusi riebalų pusiausvyra, o mitybos ir gyvenimo būdo pakeitimo nepakako jai koreguoti. Kol vartojate </w:t>
      </w:r>
      <w:proofErr w:type="spellStart"/>
      <w:r>
        <w:rPr>
          <w:snapToGrid w:val="0"/>
          <w:szCs w:val="22"/>
        </w:rPr>
        <w:t>Pitipix</w:t>
      </w:r>
      <w:proofErr w:type="spellEnd"/>
      <w:r>
        <w:rPr>
          <w:snapToGrid w:val="0"/>
          <w:szCs w:val="22"/>
        </w:rPr>
        <w:t>, turite toliau laikytis cholesterolio kiekį kraujyje mažinančios dietos ir gyvenimo būdo pokyčių.</w:t>
      </w:r>
    </w:p>
    <w:p w14:paraId="762864C9" w14:textId="77777777" w:rsidR="008020E2" w:rsidRDefault="008020E2">
      <w:pPr>
        <w:widowControl w:val="0"/>
        <w:numPr>
          <w:ilvl w:val="12"/>
          <w:numId w:val="0"/>
        </w:numPr>
        <w:ind w:right="-2"/>
        <w:rPr>
          <w:snapToGrid w:val="0"/>
          <w:szCs w:val="22"/>
        </w:rPr>
      </w:pPr>
    </w:p>
    <w:p w14:paraId="06AF6597" w14:textId="77777777" w:rsidR="008020E2" w:rsidRDefault="008020E2">
      <w:pPr>
        <w:widowControl w:val="0"/>
        <w:numPr>
          <w:ilvl w:val="12"/>
          <w:numId w:val="0"/>
        </w:numPr>
        <w:ind w:right="-2"/>
        <w:rPr>
          <w:snapToGrid w:val="0"/>
          <w:szCs w:val="22"/>
        </w:rPr>
      </w:pPr>
    </w:p>
    <w:p w14:paraId="11D8FAFF"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2.</w:t>
      </w:r>
      <w:r>
        <w:rPr>
          <w:b/>
          <w:bCs/>
          <w:snapToGrid w:val="0"/>
          <w:szCs w:val="22"/>
          <w:lang w:eastAsia="x-none"/>
        </w:rPr>
        <w:tab/>
        <w:t xml:space="preserve">Kas žinotina prieš vartojant </w:t>
      </w:r>
      <w:proofErr w:type="spellStart"/>
      <w:r>
        <w:rPr>
          <w:b/>
          <w:bCs/>
          <w:snapToGrid w:val="0"/>
          <w:szCs w:val="22"/>
          <w:lang w:eastAsia="x-none"/>
        </w:rPr>
        <w:t>Pitipix</w:t>
      </w:r>
      <w:proofErr w:type="spellEnd"/>
    </w:p>
    <w:p w14:paraId="4C21B166" w14:textId="77777777" w:rsidR="008020E2" w:rsidRDefault="008020E2">
      <w:pPr>
        <w:widowControl w:val="0"/>
        <w:numPr>
          <w:ilvl w:val="12"/>
          <w:numId w:val="0"/>
        </w:numPr>
        <w:rPr>
          <w:snapToGrid w:val="0"/>
          <w:szCs w:val="22"/>
        </w:rPr>
      </w:pPr>
    </w:p>
    <w:p w14:paraId="439F68B3" w14:textId="77777777" w:rsidR="008020E2" w:rsidRDefault="00137C20">
      <w:pPr>
        <w:widowControl w:val="0"/>
        <w:tabs>
          <w:tab w:val="left" w:pos="567"/>
        </w:tabs>
        <w:jc w:val="both"/>
        <w:outlineLvl w:val="3"/>
        <w:rPr>
          <w:b/>
          <w:bCs/>
          <w:snapToGrid w:val="0"/>
          <w:szCs w:val="22"/>
          <w:lang w:eastAsia="x-none"/>
        </w:rPr>
      </w:pPr>
      <w:bookmarkStart w:id="2" w:name="_Hlk168509038"/>
      <w:proofErr w:type="spellStart"/>
      <w:r>
        <w:rPr>
          <w:b/>
          <w:bCs/>
          <w:snapToGrid w:val="0"/>
          <w:szCs w:val="22"/>
          <w:lang w:eastAsia="x-none"/>
        </w:rPr>
        <w:t>Pitipix</w:t>
      </w:r>
      <w:proofErr w:type="spellEnd"/>
      <w:r>
        <w:rPr>
          <w:b/>
          <w:bCs/>
          <w:snapToGrid w:val="0"/>
          <w:szCs w:val="22"/>
          <w:lang w:eastAsia="x-none"/>
        </w:rPr>
        <w:t xml:space="preserve"> </w:t>
      </w:r>
      <w:bookmarkEnd w:id="2"/>
      <w:r>
        <w:rPr>
          <w:b/>
          <w:bCs/>
          <w:snapToGrid w:val="0"/>
          <w:szCs w:val="22"/>
          <w:lang w:eastAsia="x-none"/>
        </w:rPr>
        <w:t>vartoti draudžiama:</w:t>
      </w:r>
    </w:p>
    <w:p w14:paraId="55808247"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yra alergija pitavastatinui bet kuriai pagalbinei šio vaisto medžiagai (jos išvardytos 6 skyriuje);</w:t>
      </w:r>
    </w:p>
    <w:p w14:paraId="3E12C32C"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esate nėščia arba maitinate krūtimi;</w:t>
      </w:r>
    </w:p>
    <w:p w14:paraId="70D63F9B"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esate moteris, galinti turėti vaikų, ir nenaudojate patikimo kontracepcijos metodo (žr. skyrių „Nėštumas, žindymo laikotarpis ir vaisingumas“);</w:t>
      </w:r>
    </w:p>
    <w:p w14:paraId="6653083B" w14:textId="7BC5EE85"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šiuo metu Jums yra kepenų sutrikimų;</w:t>
      </w:r>
    </w:p>
    <w:p w14:paraId="1A6FA111"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vartojate ciklosporiną (vaistą, skiriamą po organų persodinimo);</w:t>
      </w:r>
    </w:p>
    <w:p w14:paraId="4782D6A7" w14:textId="77777777" w:rsidR="008020E2" w:rsidRPr="006174FB" w:rsidRDefault="00137C20">
      <w:pPr>
        <w:widowControl w:val="0"/>
        <w:numPr>
          <w:ilvl w:val="0"/>
          <w:numId w:val="11"/>
        </w:numPr>
        <w:tabs>
          <w:tab w:val="left" w:pos="567"/>
        </w:tabs>
        <w:spacing w:line="260" w:lineRule="exact"/>
        <w:ind w:left="567" w:hanging="567"/>
        <w:jc w:val="both"/>
        <w:outlineLvl w:val="3"/>
        <w:rPr>
          <w:lang w:val="pt-PT"/>
        </w:rPr>
      </w:pPr>
      <w:r w:rsidRPr="006174FB">
        <w:rPr>
          <w:lang w:val="pt-PT"/>
        </w:rPr>
        <w:t>jeigu Jums kartojasi ar pasireiškia neaiškios priežasties sukeltas raumenų maudimas ar skausmas.</w:t>
      </w:r>
    </w:p>
    <w:p w14:paraId="01719778" w14:textId="77777777" w:rsidR="008020E2" w:rsidRPr="006174FB" w:rsidRDefault="00137C20">
      <w:pPr>
        <w:widowControl w:val="0"/>
        <w:tabs>
          <w:tab w:val="left" w:pos="567"/>
        </w:tabs>
        <w:jc w:val="both"/>
        <w:outlineLvl w:val="3"/>
        <w:rPr>
          <w:lang w:val="pt-PT"/>
        </w:rPr>
      </w:pPr>
      <w:r w:rsidRPr="006174FB">
        <w:rPr>
          <w:lang w:val="pt-PT"/>
        </w:rPr>
        <w:t>Jeigu nesate tikri, prieš pradėdami vartoti Pitipix, pasitarkite su gydytoju arba vaistininku.</w:t>
      </w:r>
    </w:p>
    <w:p w14:paraId="7DCC7F0D" w14:textId="77777777" w:rsidR="008020E2" w:rsidRPr="006174FB" w:rsidRDefault="008020E2">
      <w:pPr>
        <w:widowControl w:val="0"/>
        <w:tabs>
          <w:tab w:val="left" w:pos="567"/>
        </w:tabs>
        <w:jc w:val="both"/>
        <w:outlineLvl w:val="3"/>
        <w:rPr>
          <w:lang w:val="pt-PT"/>
        </w:rPr>
      </w:pPr>
    </w:p>
    <w:p w14:paraId="2933193A"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Įspėjimai ir atsargumo priemonės</w:t>
      </w:r>
    </w:p>
    <w:p w14:paraId="285B7CB2" w14:textId="77777777" w:rsidR="008020E2" w:rsidRDefault="00137C20">
      <w:pPr>
        <w:widowControl w:val="0"/>
        <w:ind w:right="-2"/>
        <w:rPr>
          <w:snapToGrid w:val="0"/>
          <w:szCs w:val="22"/>
          <w:lang w:eastAsia="x-none"/>
        </w:rPr>
      </w:pPr>
      <w:r>
        <w:rPr>
          <w:rFonts w:eastAsia="Calibri"/>
          <w:szCs w:val="22"/>
        </w:rPr>
        <w:t xml:space="preserve">Pasitarkite su gydytoju arba vaistininku, prieš pradėdami vartoti </w:t>
      </w:r>
      <w:proofErr w:type="spellStart"/>
      <w:r>
        <w:rPr>
          <w:rFonts w:eastAsia="Calibri"/>
          <w:szCs w:val="22"/>
        </w:rPr>
        <w:t>Pitipix</w:t>
      </w:r>
      <w:proofErr w:type="spellEnd"/>
      <w:r>
        <w:rPr>
          <w:rFonts w:eastAsia="Calibri"/>
          <w:szCs w:val="22"/>
        </w:rPr>
        <w:t>:</w:t>
      </w:r>
    </w:p>
    <w:p w14:paraId="58CB7C19"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Jums yra sunkus kvėpavimo nepakankamumas (sunkūs kvėpavimo sutrikimai);</w:t>
      </w:r>
    </w:p>
    <w:p w14:paraId="1164B735" w14:textId="60F16AFA"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kada nors yra buvę inkstų sutrikimų;</w:t>
      </w:r>
    </w:p>
    <w:p w14:paraId="5FD523D9" w14:textId="301C2E93"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 xml:space="preserve">jeigu anksčiau yra buvę kepenų sutrikimų. </w:t>
      </w:r>
      <w:proofErr w:type="spellStart"/>
      <w:r>
        <w:rPr>
          <w:snapToGrid w:val="0"/>
          <w:szCs w:val="22"/>
        </w:rPr>
        <w:t>Statinai</w:t>
      </w:r>
      <w:proofErr w:type="spellEnd"/>
      <w:r>
        <w:rPr>
          <w:snapToGrid w:val="0"/>
          <w:szCs w:val="22"/>
        </w:rPr>
        <w:t xml:space="preserve"> nedideliam skaičiui žmonių gali paveikti kepenis. Prieš gydymą </w:t>
      </w:r>
      <w:proofErr w:type="spellStart"/>
      <w:r>
        <w:rPr>
          <w:snapToGrid w:val="0"/>
          <w:szCs w:val="22"/>
        </w:rPr>
        <w:t>Pitipix</w:t>
      </w:r>
      <w:proofErr w:type="spellEnd"/>
      <w:r>
        <w:rPr>
          <w:snapToGrid w:val="0"/>
          <w:szCs w:val="22"/>
        </w:rPr>
        <w:t xml:space="preserve"> ir jo metu gydytojas paprastai atliks kraujo tyrimą (kepenų funkcijos tyrimą);</w:t>
      </w:r>
    </w:p>
    <w:p w14:paraId="0ECD337F"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kada nors yra buvę skydliaukės sutrikimų;</w:t>
      </w:r>
    </w:p>
    <w:p w14:paraId="713D45AF"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Jums arba Jūsų kraujo giminaičiui yra buvę raumenų sutrikimų;</w:t>
      </w:r>
    </w:p>
    <w:p w14:paraId="56A72D67" w14:textId="062F2E0B"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 xml:space="preserve">jeigu anksčiau, vartojant kitus cholesterolio </w:t>
      </w:r>
      <w:r w:rsidR="00681ABB">
        <w:rPr>
          <w:snapToGrid w:val="0"/>
          <w:szCs w:val="22"/>
        </w:rPr>
        <w:t xml:space="preserve">koncentraciją </w:t>
      </w:r>
      <w:r>
        <w:rPr>
          <w:snapToGrid w:val="0"/>
          <w:szCs w:val="22"/>
        </w:rPr>
        <w:t xml:space="preserve">kraujyje mažinančius vaistus (pvz., </w:t>
      </w:r>
      <w:proofErr w:type="spellStart"/>
      <w:r>
        <w:rPr>
          <w:snapToGrid w:val="0"/>
          <w:szCs w:val="22"/>
        </w:rPr>
        <w:t>statinus</w:t>
      </w:r>
      <w:proofErr w:type="spellEnd"/>
      <w:r>
        <w:rPr>
          <w:snapToGrid w:val="0"/>
          <w:szCs w:val="22"/>
        </w:rPr>
        <w:t xml:space="preserve"> ar </w:t>
      </w:r>
      <w:proofErr w:type="spellStart"/>
      <w:r>
        <w:rPr>
          <w:snapToGrid w:val="0"/>
          <w:szCs w:val="22"/>
        </w:rPr>
        <w:t>fibratus</w:t>
      </w:r>
      <w:proofErr w:type="spellEnd"/>
      <w:r>
        <w:rPr>
          <w:snapToGrid w:val="0"/>
          <w:szCs w:val="22"/>
        </w:rPr>
        <w:t>), Jums buvo atsiradę raumenų sutrikimų;</w:t>
      </w:r>
    </w:p>
    <w:p w14:paraId="6685B8BC"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jeigu dideliais kiekiais vartojate alkoholį;</w:t>
      </w:r>
    </w:p>
    <w:p w14:paraId="330CE8DA" w14:textId="5B0610F8"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 xml:space="preserve">jeigu vartojate arba per pastarąsias 7 dienas vartojote (per burną arba injekcijomis) vaisto, vadinamo </w:t>
      </w:r>
      <w:proofErr w:type="spellStart"/>
      <w:r>
        <w:rPr>
          <w:snapToGrid w:val="0"/>
          <w:szCs w:val="22"/>
        </w:rPr>
        <w:t>fuzido</w:t>
      </w:r>
      <w:proofErr w:type="spellEnd"/>
      <w:r>
        <w:rPr>
          <w:snapToGrid w:val="0"/>
          <w:szCs w:val="22"/>
        </w:rPr>
        <w:t xml:space="preserve"> rūgštimi (vaisto nuo bakterinės infekcijos). </w:t>
      </w:r>
      <w:proofErr w:type="spellStart"/>
      <w:r>
        <w:rPr>
          <w:snapToGrid w:val="0"/>
          <w:szCs w:val="22"/>
        </w:rPr>
        <w:t>Fuzido</w:t>
      </w:r>
      <w:proofErr w:type="spellEnd"/>
      <w:r>
        <w:rPr>
          <w:snapToGrid w:val="0"/>
          <w:szCs w:val="22"/>
        </w:rPr>
        <w:t xml:space="preserve"> rūgšties ir </w:t>
      </w:r>
      <w:proofErr w:type="spellStart"/>
      <w:r>
        <w:rPr>
          <w:snapToGrid w:val="0"/>
          <w:szCs w:val="22"/>
        </w:rPr>
        <w:t>Pitipix</w:t>
      </w:r>
      <w:proofErr w:type="spellEnd"/>
      <w:r>
        <w:rPr>
          <w:snapToGrid w:val="0"/>
          <w:szCs w:val="22"/>
        </w:rPr>
        <w:t xml:space="preserve"> derinys gali sukelti sunkių raumenų sutrikimų (</w:t>
      </w:r>
      <w:proofErr w:type="spellStart"/>
      <w:r>
        <w:rPr>
          <w:snapToGrid w:val="0"/>
          <w:szCs w:val="22"/>
        </w:rPr>
        <w:t>rabdomioliz</w:t>
      </w:r>
      <w:r w:rsidR="004577C5">
        <w:rPr>
          <w:snapToGrid w:val="0"/>
          <w:szCs w:val="22"/>
        </w:rPr>
        <w:t>ė</w:t>
      </w:r>
      <w:proofErr w:type="spellEnd"/>
      <w:r>
        <w:rPr>
          <w:snapToGrid w:val="0"/>
          <w:szCs w:val="22"/>
        </w:rPr>
        <w:t>);</w:t>
      </w:r>
    </w:p>
    <w:p w14:paraId="114DC3E5"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 xml:space="preserve">jeigu vartojate vaistų, kurių sudėtyje yra </w:t>
      </w:r>
      <w:proofErr w:type="spellStart"/>
      <w:r>
        <w:rPr>
          <w:snapToGrid w:val="0"/>
          <w:szCs w:val="22"/>
        </w:rPr>
        <w:t>glecapreviro</w:t>
      </w:r>
      <w:proofErr w:type="spellEnd"/>
      <w:r>
        <w:rPr>
          <w:snapToGrid w:val="0"/>
          <w:szCs w:val="22"/>
        </w:rPr>
        <w:t xml:space="preserve"> ir </w:t>
      </w:r>
      <w:proofErr w:type="spellStart"/>
      <w:r>
        <w:rPr>
          <w:snapToGrid w:val="0"/>
          <w:szCs w:val="22"/>
        </w:rPr>
        <w:t>pibrentasviro</w:t>
      </w:r>
      <w:proofErr w:type="spellEnd"/>
      <w:r>
        <w:rPr>
          <w:snapToGrid w:val="0"/>
          <w:szCs w:val="22"/>
        </w:rPr>
        <w:t xml:space="preserve"> (vaistų, kuriais gydomas hepatitas C). Gydytojui gali tekti pakeisti Jums skiriamą </w:t>
      </w:r>
      <w:proofErr w:type="spellStart"/>
      <w:r>
        <w:rPr>
          <w:snapToGrid w:val="0"/>
          <w:szCs w:val="22"/>
        </w:rPr>
        <w:t>pitavastatino</w:t>
      </w:r>
      <w:proofErr w:type="spellEnd"/>
      <w:r>
        <w:rPr>
          <w:snapToGrid w:val="0"/>
          <w:szCs w:val="22"/>
        </w:rPr>
        <w:t xml:space="preserve"> dozę;</w:t>
      </w:r>
    </w:p>
    <w:p w14:paraId="6F60F3B7" w14:textId="77777777" w:rsidR="008020E2" w:rsidRDefault="00137C20">
      <w:pPr>
        <w:widowControl w:val="0"/>
        <w:numPr>
          <w:ilvl w:val="0"/>
          <w:numId w:val="30"/>
        </w:numPr>
        <w:tabs>
          <w:tab w:val="left" w:pos="567"/>
        </w:tabs>
        <w:spacing w:line="260" w:lineRule="exact"/>
        <w:ind w:left="567" w:right="-2" w:hanging="567"/>
        <w:rPr>
          <w:snapToGrid w:val="0"/>
          <w:szCs w:val="22"/>
        </w:rPr>
      </w:pPr>
      <w:r>
        <w:rPr>
          <w:snapToGrid w:val="0"/>
          <w:szCs w:val="22"/>
        </w:rPr>
        <w:t xml:space="preserve">jeigu sergate arba sirgote </w:t>
      </w:r>
      <w:proofErr w:type="spellStart"/>
      <w:r>
        <w:rPr>
          <w:snapToGrid w:val="0"/>
          <w:szCs w:val="22"/>
        </w:rPr>
        <w:t>miastenija</w:t>
      </w:r>
      <w:proofErr w:type="spellEnd"/>
      <w:r>
        <w:rPr>
          <w:snapToGrid w:val="0"/>
          <w:szCs w:val="22"/>
        </w:rPr>
        <w:t xml:space="preserve"> (liga, pasireiškianti bendru raumenų silpnumu, įskaitant kai kuriais atvejais raumenis, naudojamus kvėpuojant) arba akių </w:t>
      </w:r>
      <w:proofErr w:type="spellStart"/>
      <w:r>
        <w:rPr>
          <w:snapToGrid w:val="0"/>
          <w:szCs w:val="22"/>
        </w:rPr>
        <w:t>miastenija</w:t>
      </w:r>
      <w:proofErr w:type="spellEnd"/>
      <w:r>
        <w:rPr>
          <w:snapToGrid w:val="0"/>
          <w:szCs w:val="22"/>
        </w:rPr>
        <w:t xml:space="preserve"> (liga, sukelianti akių raumenų silpnumą), nes </w:t>
      </w:r>
      <w:proofErr w:type="spellStart"/>
      <w:r>
        <w:rPr>
          <w:snapToGrid w:val="0"/>
          <w:szCs w:val="22"/>
        </w:rPr>
        <w:t>statinai</w:t>
      </w:r>
      <w:proofErr w:type="spellEnd"/>
      <w:r>
        <w:rPr>
          <w:snapToGrid w:val="0"/>
          <w:szCs w:val="22"/>
        </w:rPr>
        <w:t xml:space="preserve"> kartais gali pasunkinti tokią būklę arba sukelti </w:t>
      </w:r>
      <w:proofErr w:type="spellStart"/>
      <w:r>
        <w:rPr>
          <w:snapToGrid w:val="0"/>
          <w:szCs w:val="22"/>
        </w:rPr>
        <w:t>miasteniją</w:t>
      </w:r>
      <w:proofErr w:type="spellEnd"/>
      <w:r>
        <w:rPr>
          <w:snapToGrid w:val="0"/>
          <w:szCs w:val="22"/>
        </w:rPr>
        <w:t xml:space="preserve"> (žr. 4 skyrių).</w:t>
      </w:r>
    </w:p>
    <w:p w14:paraId="7572B747" w14:textId="77777777" w:rsidR="008020E2" w:rsidRDefault="008020E2">
      <w:pPr>
        <w:widowControl w:val="0"/>
        <w:numPr>
          <w:ilvl w:val="12"/>
          <w:numId w:val="0"/>
        </w:numPr>
        <w:ind w:right="-2"/>
        <w:rPr>
          <w:snapToGrid w:val="0"/>
          <w:szCs w:val="22"/>
        </w:rPr>
      </w:pPr>
    </w:p>
    <w:p w14:paraId="4CEE0C1D" w14:textId="77777777" w:rsidR="008020E2" w:rsidRDefault="00137C20">
      <w:pPr>
        <w:widowControl w:val="0"/>
        <w:numPr>
          <w:ilvl w:val="12"/>
          <w:numId w:val="0"/>
        </w:numPr>
        <w:ind w:right="-2"/>
        <w:rPr>
          <w:snapToGrid w:val="0"/>
          <w:szCs w:val="22"/>
        </w:rPr>
      </w:pPr>
      <w:r>
        <w:rPr>
          <w:snapToGrid w:val="0"/>
          <w:szCs w:val="22"/>
        </w:rPr>
        <w:t xml:space="preserve">Jei bet kuri iš pirmiau nurodytų būklių Jums tinka (arba nesate tikri), prieš pradėdami vartoti </w:t>
      </w:r>
      <w:proofErr w:type="spellStart"/>
      <w:r>
        <w:rPr>
          <w:snapToGrid w:val="0"/>
          <w:szCs w:val="22"/>
        </w:rPr>
        <w:t>Pitipix</w:t>
      </w:r>
      <w:proofErr w:type="spellEnd"/>
      <w:r>
        <w:rPr>
          <w:snapToGrid w:val="0"/>
          <w:szCs w:val="22"/>
        </w:rPr>
        <w:t>, pasitarkite su gydytoju arba vaistininku. Taip pat pasakykite gydytojui arba vaistininkui, jeigu Jums yra nuolatinis raumenų silpnumas. Tam diagnozuoti ir gydyti gali prireikti papildomų tyrimų ir vaistų.</w:t>
      </w:r>
    </w:p>
    <w:p w14:paraId="63538EF9" w14:textId="77777777" w:rsidR="008020E2" w:rsidRDefault="008020E2">
      <w:pPr>
        <w:widowControl w:val="0"/>
        <w:numPr>
          <w:ilvl w:val="12"/>
          <w:numId w:val="0"/>
        </w:numPr>
        <w:ind w:right="-2"/>
        <w:rPr>
          <w:snapToGrid w:val="0"/>
          <w:szCs w:val="22"/>
        </w:rPr>
      </w:pPr>
    </w:p>
    <w:p w14:paraId="17A0C984" w14:textId="77777777" w:rsidR="008020E2" w:rsidRDefault="00137C20">
      <w:pPr>
        <w:widowControl w:val="0"/>
        <w:numPr>
          <w:ilvl w:val="12"/>
          <w:numId w:val="0"/>
        </w:numPr>
        <w:ind w:right="-2"/>
        <w:rPr>
          <w:snapToGrid w:val="0"/>
          <w:szCs w:val="22"/>
        </w:rPr>
      </w:pPr>
      <w:r>
        <w:rPr>
          <w:snapToGrid w:val="0"/>
          <w:szCs w:val="22"/>
        </w:rPr>
        <w:t>Kol vartosite šį vaistą, Jūsų gydytojas atidžiai Jus stebės, jeigu sergate cukriniu diabetu arba yra rizika susirgti cukriniu diabetu. Tikėtina, kad Jums yra rizika susirgti cukriniu diabetu, jeigu Jūsų kraujyje yra didelis cukraus ir riebalų kiekis, turite antsvorio ir aukštą kraujospūdį.</w:t>
      </w:r>
    </w:p>
    <w:p w14:paraId="0E5F8561" w14:textId="77777777" w:rsidR="008020E2" w:rsidRDefault="008020E2">
      <w:pPr>
        <w:widowControl w:val="0"/>
        <w:numPr>
          <w:ilvl w:val="12"/>
          <w:numId w:val="0"/>
        </w:numPr>
        <w:ind w:right="-2"/>
        <w:rPr>
          <w:snapToGrid w:val="0"/>
          <w:szCs w:val="22"/>
        </w:rPr>
      </w:pPr>
    </w:p>
    <w:p w14:paraId="018C851A" w14:textId="77777777" w:rsidR="008020E2" w:rsidRDefault="00137C20">
      <w:pPr>
        <w:widowControl w:val="0"/>
        <w:tabs>
          <w:tab w:val="left" w:pos="567"/>
        </w:tabs>
        <w:spacing w:line="260" w:lineRule="exact"/>
        <w:jc w:val="both"/>
        <w:outlineLvl w:val="3"/>
        <w:rPr>
          <w:b/>
          <w:bCs/>
          <w:snapToGrid w:val="0"/>
          <w:szCs w:val="28"/>
          <w:lang w:eastAsia="x-none"/>
        </w:rPr>
      </w:pPr>
      <w:r>
        <w:rPr>
          <w:b/>
          <w:bCs/>
          <w:snapToGrid w:val="0"/>
          <w:szCs w:val="28"/>
          <w:lang w:eastAsia="x-none"/>
        </w:rPr>
        <w:t>Vaikams ir paaugliams</w:t>
      </w:r>
    </w:p>
    <w:p w14:paraId="06DAE607" w14:textId="77777777" w:rsidR="008020E2" w:rsidRDefault="00137C20">
      <w:pPr>
        <w:widowControl w:val="0"/>
        <w:numPr>
          <w:ilvl w:val="12"/>
          <w:numId w:val="0"/>
        </w:numPr>
        <w:ind w:right="-2"/>
        <w:rPr>
          <w:snapToGrid w:val="0"/>
          <w:szCs w:val="22"/>
          <w:lang w:eastAsia="x-none"/>
        </w:rPr>
      </w:pPr>
      <w:proofErr w:type="spellStart"/>
      <w:r>
        <w:rPr>
          <w:snapToGrid w:val="0"/>
          <w:szCs w:val="22"/>
          <w:lang w:eastAsia="x-none"/>
        </w:rPr>
        <w:t>Pitipix</w:t>
      </w:r>
      <w:proofErr w:type="spellEnd"/>
      <w:r>
        <w:rPr>
          <w:snapToGrid w:val="0"/>
          <w:szCs w:val="22"/>
          <w:lang w:eastAsia="x-none"/>
        </w:rPr>
        <w:t xml:space="preserve"> negalima skirti jaunesniems kaip 6 metų vaikams.</w:t>
      </w:r>
    </w:p>
    <w:p w14:paraId="16B75B23" w14:textId="77777777" w:rsidR="008020E2" w:rsidRDefault="00137C20">
      <w:pPr>
        <w:widowControl w:val="0"/>
        <w:numPr>
          <w:ilvl w:val="12"/>
          <w:numId w:val="0"/>
        </w:numPr>
        <w:ind w:right="-2"/>
        <w:rPr>
          <w:snapToGrid w:val="0"/>
          <w:szCs w:val="22"/>
        </w:rPr>
      </w:pPr>
      <w:r>
        <w:rPr>
          <w:snapToGrid w:val="0"/>
          <w:szCs w:val="22"/>
          <w:lang w:eastAsia="x-none"/>
        </w:rPr>
        <w:t xml:space="preserve">Prieš pradedant </w:t>
      </w:r>
      <w:proofErr w:type="spellStart"/>
      <w:r>
        <w:rPr>
          <w:snapToGrid w:val="0"/>
          <w:szCs w:val="22"/>
          <w:lang w:eastAsia="x-none"/>
        </w:rPr>
        <w:t>Pitipix</w:t>
      </w:r>
      <w:proofErr w:type="spellEnd"/>
      <w:r>
        <w:rPr>
          <w:snapToGrid w:val="0"/>
          <w:szCs w:val="22"/>
          <w:lang w:eastAsia="x-none"/>
        </w:rPr>
        <w:t xml:space="preserve"> vartoti paauglėms, joms turi būti pateikta gairių ir patarimų kontracepcijos klausimais.</w:t>
      </w:r>
    </w:p>
    <w:p w14:paraId="132FFC5C" w14:textId="77777777" w:rsidR="008020E2" w:rsidRDefault="008020E2">
      <w:pPr>
        <w:widowControl w:val="0"/>
        <w:numPr>
          <w:ilvl w:val="12"/>
          <w:numId w:val="0"/>
        </w:numPr>
        <w:ind w:right="-2"/>
        <w:rPr>
          <w:snapToGrid w:val="0"/>
          <w:szCs w:val="22"/>
        </w:rPr>
      </w:pPr>
    </w:p>
    <w:p w14:paraId="32F11ED1"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Kiti vaistai ir</w:t>
      </w:r>
      <w:r w:rsidRPr="006174FB">
        <w:t xml:space="preserve"> </w:t>
      </w:r>
      <w:proofErr w:type="spellStart"/>
      <w:r>
        <w:rPr>
          <w:b/>
          <w:bCs/>
          <w:snapToGrid w:val="0"/>
          <w:szCs w:val="22"/>
          <w:lang w:eastAsia="x-none"/>
        </w:rPr>
        <w:t>Pitipix</w:t>
      </w:r>
      <w:proofErr w:type="spellEnd"/>
    </w:p>
    <w:p w14:paraId="6737FB66" w14:textId="77777777" w:rsidR="008020E2" w:rsidRDefault="00137C20">
      <w:pPr>
        <w:widowControl w:val="0"/>
        <w:numPr>
          <w:ilvl w:val="12"/>
          <w:numId w:val="0"/>
        </w:numPr>
        <w:ind w:right="-2"/>
        <w:rPr>
          <w:snapToGrid w:val="0"/>
          <w:szCs w:val="22"/>
        </w:rPr>
      </w:pPr>
      <w:r>
        <w:rPr>
          <w:snapToGrid w:val="0"/>
          <w:szCs w:val="22"/>
        </w:rPr>
        <w:t>Jeigu vartojate ar neseniai vartojote kitų vaistų, įskaitant įsigytus be recepto bei augalinius preparatus, arba dėl to nesate tikri, apie tai pasakykite gydytojui.</w:t>
      </w:r>
      <w:r w:rsidRPr="006174FB">
        <w:t xml:space="preserve"> </w:t>
      </w:r>
      <w:r>
        <w:rPr>
          <w:snapToGrid w:val="0"/>
          <w:szCs w:val="22"/>
        </w:rPr>
        <w:t>Kai kurie vaistai gali trikdyti tinkamą vienas kito poveikį. Ypač svarbu pasakyti gydytojui arba vaistininkui, jei vartojate bet kurį iš toliau išvardytų vaistų:</w:t>
      </w:r>
    </w:p>
    <w:p w14:paraId="69B4547A"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 xml:space="preserve">kitų vaistų, vadinamų </w:t>
      </w:r>
      <w:proofErr w:type="spellStart"/>
      <w:r>
        <w:rPr>
          <w:snapToGrid w:val="0"/>
          <w:szCs w:val="22"/>
        </w:rPr>
        <w:t>fibratais</w:t>
      </w:r>
      <w:proofErr w:type="spellEnd"/>
      <w:r>
        <w:rPr>
          <w:snapToGrid w:val="0"/>
          <w:szCs w:val="22"/>
        </w:rPr>
        <w:t xml:space="preserve">, pvz., </w:t>
      </w:r>
      <w:proofErr w:type="spellStart"/>
      <w:r>
        <w:rPr>
          <w:snapToGrid w:val="0"/>
          <w:szCs w:val="22"/>
        </w:rPr>
        <w:t>gemfibrozilio</w:t>
      </w:r>
      <w:proofErr w:type="spellEnd"/>
      <w:r>
        <w:rPr>
          <w:snapToGrid w:val="0"/>
          <w:szCs w:val="22"/>
        </w:rPr>
        <w:t xml:space="preserve"> ir </w:t>
      </w:r>
      <w:proofErr w:type="spellStart"/>
      <w:r>
        <w:rPr>
          <w:snapToGrid w:val="0"/>
          <w:szCs w:val="22"/>
        </w:rPr>
        <w:t>fenofibrato</w:t>
      </w:r>
      <w:proofErr w:type="spellEnd"/>
      <w:r>
        <w:rPr>
          <w:snapToGrid w:val="0"/>
          <w:szCs w:val="22"/>
        </w:rPr>
        <w:t>;</w:t>
      </w:r>
    </w:p>
    <w:p w14:paraId="4619BB5D" w14:textId="77777777" w:rsidR="008020E2" w:rsidRDefault="00137C20">
      <w:pPr>
        <w:widowControl w:val="0"/>
        <w:numPr>
          <w:ilvl w:val="0"/>
          <w:numId w:val="31"/>
        </w:numPr>
        <w:tabs>
          <w:tab w:val="left" w:pos="567"/>
        </w:tabs>
        <w:spacing w:line="260" w:lineRule="exact"/>
        <w:ind w:left="567" w:right="-2" w:hanging="567"/>
        <w:rPr>
          <w:snapToGrid w:val="0"/>
          <w:szCs w:val="22"/>
        </w:rPr>
      </w:pPr>
      <w:proofErr w:type="spellStart"/>
      <w:r>
        <w:rPr>
          <w:snapToGrid w:val="0"/>
          <w:szCs w:val="22"/>
        </w:rPr>
        <w:t>eritromicino</w:t>
      </w:r>
      <w:proofErr w:type="spellEnd"/>
      <w:r>
        <w:rPr>
          <w:snapToGrid w:val="0"/>
          <w:szCs w:val="22"/>
        </w:rPr>
        <w:t xml:space="preserve"> arba </w:t>
      </w:r>
      <w:proofErr w:type="spellStart"/>
      <w:r>
        <w:rPr>
          <w:snapToGrid w:val="0"/>
          <w:szCs w:val="22"/>
        </w:rPr>
        <w:t>rifampicino</w:t>
      </w:r>
      <w:proofErr w:type="spellEnd"/>
      <w:r>
        <w:rPr>
          <w:snapToGrid w:val="0"/>
          <w:szCs w:val="22"/>
        </w:rPr>
        <w:t xml:space="preserve"> (tam tikrų antibiotikų, vartojamų infekcinėms ligoms gydyti);</w:t>
      </w:r>
    </w:p>
    <w:p w14:paraId="6435BFF7" w14:textId="77777777" w:rsidR="008020E2" w:rsidRDefault="00137C20">
      <w:pPr>
        <w:widowControl w:val="0"/>
        <w:numPr>
          <w:ilvl w:val="0"/>
          <w:numId w:val="31"/>
        </w:numPr>
        <w:tabs>
          <w:tab w:val="left" w:pos="567"/>
        </w:tabs>
        <w:spacing w:line="260" w:lineRule="exact"/>
        <w:ind w:left="567" w:right="-2" w:hanging="567"/>
        <w:rPr>
          <w:snapToGrid w:val="0"/>
          <w:szCs w:val="22"/>
        </w:rPr>
      </w:pPr>
      <w:proofErr w:type="spellStart"/>
      <w:r>
        <w:rPr>
          <w:snapToGrid w:val="0"/>
          <w:szCs w:val="22"/>
        </w:rPr>
        <w:t>varfarino</w:t>
      </w:r>
      <w:proofErr w:type="spellEnd"/>
      <w:r>
        <w:rPr>
          <w:snapToGrid w:val="0"/>
          <w:szCs w:val="22"/>
        </w:rPr>
        <w:t xml:space="preserve"> ar bet kokio kito vaisto, vartojamo kraujui skystinti;</w:t>
      </w:r>
    </w:p>
    <w:p w14:paraId="7D12571F" w14:textId="4CCA4DB1"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 xml:space="preserve">vaistų </w:t>
      </w:r>
      <w:r w:rsidR="002370FB">
        <w:rPr>
          <w:snapToGrid w:val="0"/>
          <w:szCs w:val="22"/>
        </w:rPr>
        <w:t xml:space="preserve">skirtų </w:t>
      </w:r>
      <w:r>
        <w:rPr>
          <w:snapToGrid w:val="0"/>
          <w:szCs w:val="22"/>
        </w:rPr>
        <w:t>ŽIV infekcij</w:t>
      </w:r>
      <w:r w:rsidR="002370FB">
        <w:rPr>
          <w:snapToGrid w:val="0"/>
          <w:szCs w:val="22"/>
        </w:rPr>
        <w:t>ai gydyti</w:t>
      </w:r>
      <w:r>
        <w:rPr>
          <w:snapToGrid w:val="0"/>
          <w:szCs w:val="22"/>
        </w:rPr>
        <w:t xml:space="preserve">, vadinamų proteazės inhibitoriais (pvz., </w:t>
      </w:r>
      <w:proofErr w:type="spellStart"/>
      <w:r>
        <w:rPr>
          <w:snapToGrid w:val="0"/>
          <w:szCs w:val="22"/>
        </w:rPr>
        <w:t>ritonaviro</w:t>
      </w:r>
      <w:proofErr w:type="spellEnd"/>
      <w:r>
        <w:rPr>
          <w:snapToGrid w:val="0"/>
          <w:szCs w:val="22"/>
        </w:rPr>
        <w:t xml:space="preserve">, </w:t>
      </w:r>
      <w:proofErr w:type="spellStart"/>
      <w:r>
        <w:rPr>
          <w:snapToGrid w:val="0"/>
          <w:szCs w:val="22"/>
        </w:rPr>
        <w:t>lopinaviro</w:t>
      </w:r>
      <w:proofErr w:type="spellEnd"/>
      <w:r>
        <w:rPr>
          <w:snapToGrid w:val="0"/>
          <w:szCs w:val="22"/>
        </w:rPr>
        <w:t xml:space="preserve">, </w:t>
      </w:r>
      <w:proofErr w:type="spellStart"/>
      <w:r>
        <w:rPr>
          <w:snapToGrid w:val="0"/>
          <w:szCs w:val="22"/>
        </w:rPr>
        <w:t>darunaviro</w:t>
      </w:r>
      <w:proofErr w:type="spellEnd"/>
      <w:r>
        <w:rPr>
          <w:snapToGrid w:val="0"/>
          <w:szCs w:val="22"/>
        </w:rPr>
        <w:t xml:space="preserve">, </w:t>
      </w:r>
      <w:proofErr w:type="spellStart"/>
      <w:r>
        <w:rPr>
          <w:snapToGrid w:val="0"/>
          <w:szCs w:val="22"/>
        </w:rPr>
        <w:t>atazanaviro</w:t>
      </w:r>
      <w:proofErr w:type="spellEnd"/>
      <w:r>
        <w:rPr>
          <w:snapToGrid w:val="0"/>
          <w:szCs w:val="22"/>
        </w:rPr>
        <w:t xml:space="preserve">) ir ne nukleozidinių atvirkštinės </w:t>
      </w:r>
      <w:proofErr w:type="spellStart"/>
      <w:r>
        <w:rPr>
          <w:snapToGrid w:val="0"/>
          <w:szCs w:val="22"/>
        </w:rPr>
        <w:t>transkriptazės</w:t>
      </w:r>
      <w:proofErr w:type="spellEnd"/>
      <w:r>
        <w:rPr>
          <w:snapToGrid w:val="0"/>
          <w:szCs w:val="22"/>
        </w:rPr>
        <w:t xml:space="preserve"> inhibitorių (pvz., </w:t>
      </w:r>
      <w:proofErr w:type="spellStart"/>
      <w:r>
        <w:rPr>
          <w:snapToGrid w:val="0"/>
          <w:szCs w:val="22"/>
        </w:rPr>
        <w:t>efavirenzo</w:t>
      </w:r>
      <w:proofErr w:type="spellEnd"/>
      <w:r>
        <w:rPr>
          <w:snapToGrid w:val="0"/>
          <w:szCs w:val="22"/>
        </w:rPr>
        <w:t>);</w:t>
      </w:r>
    </w:p>
    <w:p w14:paraId="43A52BC9" w14:textId="77777777" w:rsidR="008020E2" w:rsidRDefault="00137C20">
      <w:pPr>
        <w:widowControl w:val="0"/>
        <w:numPr>
          <w:ilvl w:val="0"/>
          <w:numId w:val="31"/>
        </w:numPr>
        <w:tabs>
          <w:tab w:val="left" w:pos="567"/>
        </w:tabs>
        <w:spacing w:line="260" w:lineRule="exact"/>
        <w:ind w:left="567" w:right="-2" w:hanging="567"/>
        <w:rPr>
          <w:snapToGrid w:val="0"/>
          <w:szCs w:val="22"/>
        </w:rPr>
      </w:pPr>
      <w:proofErr w:type="spellStart"/>
      <w:r>
        <w:rPr>
          <w:snapToGrid w:val="0"/>
          <w:szCs w:val="22"/>
        </w:rPr>
        <w:t>niacino</w:t>
      </w:r>
      <w:proofErr w:type="spellEnd"/>
      <w:r>
        <w:rPr>
          <w:snapToGrid w:val="0"/>
          <w:szCs w:val="22"/>
        </w:rPr>
        <w:t xml:space="preserve"> (vitamino B</w:t>
      </w:r>
      <w:r>
        <w:rPr>
          <w:snapToGrid w:val="0"/>
          <w:szCs w:val="22"/>
          <w:vertAlign w:val="subscript"/>
        </w:rPr>
        <w:t>3</w:t>
      </w:r>
      <w:r>
        <w:rPr>
          <w:snapToGrid w:val="0"/>
          <w:szCs w:val="22"/>
        </w:rPr>
        <w:t>);</w:t>
      </w:r>
    </w:p>
    <w:p w14:paraId="328D8AAC"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 xml:space="preserve">jeigu Jums reikia vartoti geriamąją </w:t>
      </w:r>
      <w:proofErr w:type="spellStart"/>
      <w:r>
        <w:rPr>
          <w:snapToGrid w:val="0"/>
          <w:szCs w:val="22"/>
        </w:rPr>
        <w:t>fuzido</w:t>
      </w:r>
      <w:proofErr w:type="spellEnd"/>
      <w:r>
        <w:rPr>
          <w:snapToGrid w:val="0"/>
          <w:szCs w:val="22"/>
        </w:rPr>
        <w:t xml:space="preserve"> rūgštį bakterijų sukeltai infekcinei ligai gydyti, reikės laikinai nutraukti šio vaisto vartojimą. Gydytojas pasakys, kada bus saugu vėl pradėti vartoti </w:t>
      </w:r>
      <w:proofErr w:type="spellStart"/>
      <w:r>
        <w:rPr>
          <w:snapToGrid w:val="0"/>
          <w:szCs w:val="22"/>
        </w:rPr>
        <w:t>Pitipix</w:t>
      </w:r>
      <w:proofErr w:type="spellEnd"/>
      <w:r>
        <w:rPr>
          <w:snapToGrid w:val="0"/>
          <w:szCs w:val="22"/>
        </w:rPr>
        <w:t xml:space="preserve">. Vartojant </w:t>
      </w:r>
      <w:proofErr w:type="spellStart"/>
      <w:r>
        <w:rPr>
          <w:snapToGrid w:val="0"/>
          <w:szCs w:val="22"/>
        </w:rPr>
        <w:t>Pitipix</w:t>
      </w:r>
      <w:proofErr w:type="spellEnd"/>
      <w:r>
        <w:rPr>
          <w:snapToGrid w:val="0"/>
          <w:szCs w:val="22"/>
        </w:rPr>
        <w:t xml:space="preserve"> su </w:t>
      </w:r>
      <w:proofErr w:type="spellStart"/>
      <w:r>
        <w:rPr>
          <w:snapToGrid w:val="0"/>
          <w:szCs w:val="22"/>
        </w:rPr>
        <w:t>fuzido</w:t>
      </w:r>
      <w:proofErr w:type="spellEnd"/>
      <w:r>
        <w:rPr>
          <w:snapToGrid w:val="0"/>
          <w:szCs w:val="22"/>
        </w:rPr>
        <w:t xml:space="preserve"> rūgštimi, retai gali atsirasti raumenų silpnumas, jautrumas ar skausmas (</w:t>
      </w:r>
      <w:proofErr w:type="spellStart"/>
      <w:r>
        <w:rPr>
          <w:snapToGrid w:val="0"/>
          <w:szCs w:val="22"/>
        </w:rPr>
        <w:t>rabdomiolizė</w:t>
      </w:r>
      <w:proofErr w:type="spellEnd"/>
      <w:r>
        <w:rPr>
          <w:snapToGrid w:val="0"/>
          <w:szCs w:val="22"/>
        </w:rPr>
        <w:t xml:space="preserve">). Daugiau informacijos apie </w:t>
      </w:r>
      <w:proofErr w:type="spellStart"/>
      <w:r>
        <w:rPr>
          <w:snapToGrid w:val="0"/>
          <w:szCs w:val="22"/>
        </w:rPr>
        <w:t>rabdomiolizę</w:t>
      </w:r>
      <w:proofErr w:type="spellEnd"/>
      <w:r>
        <w:rPr>
          <w:snapToGrid w:val="0"/>
          <w:szCs w:val="22"/>
        </w:rPr>
        <w:t xml:space="preserve"> pateikiama 4 skyriuje;</w:t>
      </w:r>
    </w:p>
    <w:p w14:paraId="7B0DBB5A" w14:textId="77777777" w:rsidR="008020E2" w:rsidRDefault="00137C20">
      <w:pPr>
        <w:widowControl w:val="0"/>
        <w:numPr>
          <w:ilvl w:val="0"/>
          <w:numId w:val="31"/>
        </w:numPr>
        <w:tabs>
          <w:tab w:val="left" w:pos="567"/>
        </w:tabs>
        <w:spacing w:line="260" w:lineRule="exact"/>
        <w:ind w:left="567" w:right="-2" w:hanging="567"/>
        <w:rPr>
          <w:snapToGrid w:val="0"/>
          <w:szCs w:val="22"/>
        </w:rPr>
      </w:pPr>
      <w:r>
        <w:rPr>
          <w:snapToGrid w:val="0"/>
          <w:szCs w:val="22"/>
        </w:rPr>
        <w:t xml:space="preserve">jeigu vartojate vaistų, kurių sudėtyje yra </w:t>
      </w:r>
      <w:proofErr w:type="spellStart"/>
      <w:r>
        <w:rPr>
          <w:snapToGrid w:val="0"/>
          <w:szCs w:val="22"/>
        </w:rPr>
        <w:t>glekapreviro</w:t>
      </w:r>
      <w:proofErr w:type="spellEnd"/>
      <w:r>
        <w:rPr>
          <w:snapToGrid w:val="0"/>
          <w:szCs w:val="22"/>
        </w:rPr>
        <w:t xml:space="preserve"> ir </w:t>
      </w:r>
      <w:proofErr w:type="spellStart"/>
      <w:r>
        <w:rPr>
          <w:snapToGrid w:val="0"/>
          <w:szCs w:val="22"/>
        </w:rPr>
        <w:t>pibrentasviro</w:t>
      </w:r>
      <w:proofErr w:type="spellEnd"/>
      <w:r>
        <w:rPr>
          <w:snapToGrid w:val="0"/>
          <w:szCs w:val="22"/>
        </w:rPr>
        <w:t xml:space="preserve"> (vaistų, kuriais gydomas hepatitas C). Gydytojui gali tekti pakeisti </w:t>
      </w:r>
      <w:proofErr w:type="spellStart"/>
      <w:r>
        <w:rPr>
          <w:snapToGrid w:val="0"/>
          <w:szCs w:val="22"/>
        </w:rPr>
        <w:t>Pitipix</w:t>
      </w:r>
      <w:proofErr w:type="spellEnd"/>
      <w:r>
        <w:rPr>
          <w:snapToGrid w:val="0"/>
          <w:szCs w:val="22"/>
        </w:rPr>
        <w:t xml:space="preserve"> dozę.</w:t>
      </w:r>
    </w:p>
    <w:p w14:paraId="58D967DA" w14:textId="77777777" w:rsidR="008020E2" w:rsidRDefault="008020E2">
      <w:pPr>
        <w:widowControl w:val="0"/>
        <w:numPr>
          <w:ilvl w:val="12"/>
          <w:numId w:val="0"/>
        </w:numPr>
        <w:ind w:right="-2"/>
        <w:rPr>
          <w:snapToGrid w:val="0"/>
          <w:szCs w:val="22"/>
        </w:rPr>
      </w:pPr>
    </w:p>
    <w:p w14:paraId="2771EF49" w14:textId="77777777" w:rsidR="008020E2" w:rsidRDefault="00137C20">
      <w:pPr>
        <w:widowControl w:val="0"/>
        <w:numPr>
          <w:ilvl w:val="12"/>
          <w:numId w:val="0"/>
        </w:numPr>
        <w:ind w:right="-2"/>
        <w:rPr>
          <w:snapToGrid w:val="0"/>
          <w:szCs w:val="22"/>
          <w:lang w:eastAsia="x-none"/>
        </w:rPr>
      </w:pPr>
      <w:r>
        <w:rPr>
          <w:snapToGrid w:val="0"/>
          <w:szCs w:val="22"/>
        </w:rPr>
        <w:t xml:space="preserve">Jei bet kuri iš pirmiau nurodytų būklių Jums tinka (arba nesate tikri), prieš pradėdami vartoti </w:t>
      </w:r>
      <w:proofErr w:type="spellStart"/>
      <w:r>
        <w:rPr>
          <w:snapToGrid w:val="0"/>
          <w:szCs w:val="22"/>
        </w:rPr>
        <w:t>Pitipix</w:t>
      </w:r>
      <w:proofErr w:type="spellEnd"/>
      <w:r>
        <w:rPr>
          <w:snapToGrid w:val="0"/>
          <w:szCs w:val="22"/>
        </w:rPr>
        <w:t>, pasitarkite su gydytoju arba vaistininku.</w:t>
      </w:r>
    </w:p>
    <w:p w14:paraId="58F59C3C" w14:textId="77777777" w:rsidR="008020E2" w:rsidRDefault="008020E2">
      <w:pPr>
        <w:widowControl w:val="0"/>
        <w:tabs>
          <w:tab w:val="left" w:pos="567"/>
        </w:tabs>
        <w:jc w:val="both"/>
        <w:outlineLvl w:val="3"/>
        <w:rPr>
          <w:snapToGrid w:val="0"/>
          <w:szCs w:val="22"/>
          <w:lang w:eastAsia="x-none"/>
        </w:rPr>
      </w:pPr>
    </w:p>
    <w:p w14:paraId="61778608" w14:textId="77777777" w:rsidR="008020E2" w:rsidRDefault="00137C20">
      <w:pPr>
        <w:keepNext/>
        <w:tabs>
          <w:tab w:val="left" w:pos="567"/>
        </w:tabs>
        <w:spacing w:line="260" w:lineRule="exact"/>
        <w:jc w:val="both"/>
        <w:outlineLvl w:val="3"/>
        <w:rPr>
          <w:b/>
          <w:bCs/>
          <w:snapToGrid w:val="0"/>
          <w:szCs w:val="28"/>
          <w:lang w:eastAsia="x-none"/>
        </w:rPr>
      </w:pPr>
      <w:bookmarkStart w:id="3" w:name="_Hlk168512993"/>
      <w:proofErr w:type="spellStart"/>
      <w:r>
        <w:rPr>
          <w:b/>
          <w:bCs/>
          <w:snapToGrid w:val="0"/>
          <w:szCs w:val="28"/>
          <w:lang w:eastAsia="x-none"/>
        </w:rPr>
        <w:t>Pitipix</w:t>
      </w:r>
      <w:proofErr w:type="spellEnd"/>
      <w:r>
        <w:rPr>
          <w:b/>
          <w:bCs/>
          <w:snapToGrid w:val="0"/>
          <w:szCs w:val="28"/>
          <w:lang w:eastAsia="x-none"/>
        </w:rPr>
        <w:t xml:space="preserve"> vartojimas su maistu ir gėrimais</w:t>
      </w:r>
    </w:p>
    <w:p w14:paraId="415DD1C0" w14:textId="77777777" w:rsidR="008020E2" w:rsidRDefault="00137C20">
      <w:pPr>
        <w:widowControl w:val="0"/>
        <w:tabs>
          <w:tab w:val="left" w:pos="567"/>
        </w:tabs>
        <w:jc w:val="both"/>
        <w:outlineLvl w:val="3"/>
        <w:rPr>
          <w:snapToGrid w:val="0"/>
          <w:szCs w:val="22"/>
          <w:lang w:eastAsia="x-none"/>
        </w:rPr>
      </w:pPr>
      <w:bookmarkStart w:id="4" w:name="_Hlk168606071"/>
      <w:proofErr w:type="spellStart"/>
      <w:r>
        <w:rPr>
          <w:snapToGrid w:val="0"/>
          <w:szCs w:val="22"/>
          <w:lang w:eastAsia="x-none"/>
        </w:rPr>
        <w:t>Pitipix</w:t>
      </w:r>
      <w:proofErr w:type="spellEnd"/>
      <w:r>
        <w:rPr>
          <w:snapToGrid w:val="0"/>
          <w:szCs w:val="22"/>
          <w:lang w:eastAsia="x-none"/>
        </w:rPr>
        <w:t xml:space="preserve"> </w:t>
      </w:r>
      <w:bookmarkEnd w:id="3"/>
      <w:bookmarkEnd w:id="4"/>
      <w:r>
        <w:rPr>
          <w:snapToGrid w:val="0"/>
          <w:szCs w:val="22"/>
          <w:lang w:eastAsia="x-none"/>
        </w:rPr>
        <w:t>galima vartoti su maistu arba be jo.</w:t>
      </w:r>
    </w:p>
    <w:p w14:paraId="47447B5B" w14:textId="77777777" w:rsidR="008020E2" w:rsidRDefault="008020E2">
      <w:pPr>
        <w:widowControl w:val="0"/>
        <w:tabs>
          <w:tab w:val="left" w:pos="567"/>
        </w:tabs>
        <w:jc w:val="both"/>
        <w:outlineLvl w:val="3"/>
        <w:rPr>
          <w:snapToGrid w:val="0"/>
          <w:szCs w:val="22"/>
          <w:lang w:eastAsia="x-none"/>
        </w:rPr>
      </w:pPr>
    </w:p>
    <w:p w14:paraId="293D2C46"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Nėštumas, žindymo laikotarpis ir vaisingumas</w:t>
      </w:r>
    </w:p>
    <w:p w14:paraId="2AD84795" w14:textId="77777777" w:rsidR="008020E2" w:rsidRDefault="00137C20">
      <w:pPr>
        <w:widowControl w:val="0"/>
        <w:numPr>
          <w:ilvl w:val="12"/>
          <w:numId w:val="0"/>
        </w:numPr>
        <w:rPr>
          <w:snapToGrid w:val="0"/>
          <w:szCs w:val="22"/>
        </w:rPr>
      </w:pPr>
      <w:r>
        <w:rPr>
          <w:snapToGrid w:val="0"/>
          <w:szCs w:val="22"/>
        </w:rPr>
        <w:t xml:space="preserve">Nevartokite </w:t>
      </w:r>
      <w:proofErr w:type="spellStart"/>
      <w:r>
        <w:rPr>
          <w:snapToGrid w:val="0"/>
          <w:szCs w:val="22"/>
        </w:rPr>
        <w:t>Pitipix</w:t>
      </w:r>
      <w:proofErr w:type="spellEnd"/>
      <w:r>
        <w:rPr>
          <w:snapToGrid w:val="0"/>
          <w:szCs w:val="22"/>
        </w:rPr>
        <w:t xml:space="preserve">, jei esate nėščia arba maitinate krūtimi. Jei bandote pastoti, prieš pradėdama vartoti </w:t>
      </w:r>
      <w:proofErr w:type="spellStart"/>
      <w:r>
        <w:rPr>
          <w:snapToGrid w:val="0"/>
          <w:szCs w:val="22"/>
        </w:rPr>
        <w:t>Pitipix</w:t>
      </w:r>
      <w:proofErr w:type="spellEnd"/>
      <w:r>
        <w:rPr>
          <w:snapToGrid w:val="0"/>
          <w:szCs w:val="22"/>
        </w:rPr>
        <w:t xml:space="preserve"> pasitarkite su gydytoju. Jei esate moteris, galinti turėti vaikų, vartodama </w:t>
      </w:r>
      <w:proofErr w:type="spellStart"/>
      <w:r>
        <w:rPr>
          <w:snapToGrid w:val="0"/>
          <w:szCs w:val="22"/>
        </w:rPr>
        <w:t>Pitipix</w:t>
      </w:r>
      <w:proofErr w:type="spellEnd"/>
      <w:r>
        <w:rPr>
          <w:snapToGrid w:val="0"/>
          <w:szCs w:val="22"/>
        </w:rPr>
        <w:t xml:space="preserve"> turite naudoti patikimą kontracepcijos metodą. Jei vartodama </w:t>
      </w:r>
      <w:proofErr w:type="spellStart"/>
      <w:r>
        <w:rPr>
          <w:snapToGrid w:val="0"/>
          <w:szCs w:val="22"/>
        </w:rPr>
        <w:t>Pitipix</w:t>
      </w:r>
      <w:proofErr w:type="spellEnd"/>
      <w:r>
        <w:rPr>
          <w:snapToGrid w:val="0"/>
          <w:szCs w:val="22"/>
        </w:rPr>
        <w:t xml:space="preserve"> pastojote, nutraukite </w:t>
      </w:r>
      <w:proofErr w:type="spellStart"/>
      <w:r>
        <w:rPr>
          <w:snapToGrid w:val="0"/>
          <w:szCs w:val="22"/>
        </w:rPr>
        <w:t>Pitipix</w:t>
      </w:r>
      <w:proofErr w:type="spellEnd"/>
      <w:r>
        <w:rPr>
          <w:snapToGrid w:val="0"/>
          <w:szCs w:val="22"/>
        </w:rPr>
        <w:t xml:space="preserve"> vartojimą ir nedelsdama kreipkitės į gydytoją. Jeigu esate nėščia arba maitinate krūtimi, prieš pradėdama vartoti bet kokį vaistą, pasitarkite su gydytoju arba vaistininku.</w:t>
      </w:r>
    </w:p>
    <w:p w14:paraId="463EE3EA" w14:textId="77777777" w:rsidR="008020E2" w:rsidRDefault="008020E2">
      <w:pPr>
        <w:widowControl w:val="0"/>
        <w:numPr>
          <w:ilvl w:val="12"/>
          <w:numId w:val="0"/>
        </w:numPr>
        <w:rPr>
          <w:snapToGrid w:val="0"/>
          <w:szCs w:val="22"/>
        </w:rPr>
      </w:pPr>
    </w:p>
    <w:p w14:paraId="75BA581A"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Vairavimas ir mechanizmų valdymas</w:t>
      </w:r>
    </w:p>
    <w:p w14:paraId="08D2E452" w14:textId="77777777" w:rsidR="008020E2" w:rsidRDefault="00137C20">
      <w:pPr>
        <w:widowControl w:val="0"/>
        <w:tabs>
          <w:tab w:val="left" w:pos="567"/>
        </w:tabs>
        <w:rPr>
          <w:snapToGrid w:val="0"/>
          <w:szCs w:val="22"/>
        </w:rPr>
      </w:pPr>
      <w:r>
        <w:rPr>
          <w:snapToGrid w:val="0"/>
          <w:szCs w:val="22"/>
        </w:rPr>
        <w:t xml:space="preserve">Nėra tikėtina, kad </w:t>
      </w:r>
      <w:proofErr w:type="spellStart"/>
      <w:r>
        <w:rPr>
          <w:snapToGrid w:val="0"/>
          <w:szCs w:val="22"/>
        </w:rPr>
        <w:t>Pitipix</w:t>
      </w:r>
      <w:proofErr w:type="spellEnd"/>
      <w:r>
        <w:rPr>
          <w:snapToGrid w:val="0"/>
          <w:szCs w:val="22"/>
        </w:rPr>
        <w:t xml:space="preserve"> sutrikdys Jūsų gebėjimą vairuoti ar valdyti mechanizmus. Vis dėlto, jei vartodami </w:t>
      </w:r>
      <w:proofErr w:type="spellStart"/>
      <w:r>
        <w:rPr>
          <w:snapToGrid w:val="0"/>
          <w:szCs w:val="22"/>
        </w:rPr>
        <w:t>Pitipix</w:t>
      </w:r>
      <w:proofErr w:type="spellEnd"/>
      <w:r>
        <w:rPr>
          <w:snapToGrid w:val="0"/>
          <w:szCs w:val="22"/>
        </w:rPr>
        <w:t xml:space="preserve"> jaučiate svaigulį ar mieguistumą, nevairuokite, nevaldykite jokių mechanizmų ir nenaudokite jokių įrankių.</w:t>
      </w:r>
    </w:p>
    <w:p w14:paraId="1D8DCF78" w14:textId="77777777" w:rsidR="008020E2" w:rsidRDefault="008020E2">
      <w:pPr>
        <w:widowControl w:val="0"/>
        <w:tabs>
          <w:tab w:val="left" w:pos="567"/>
        </w:tabs>
        <w:rPr>
          <w:snapToGrid w:val="0"/>
          <w:szCs w:val="22"/>
          <w:lang w:eastAsia="x-none"/>
        </w:rPr>
      </w:pPr>
    </w:p>
    <w:p w14:paraId="645CF27A" w14:textId="77777777" w:rsidR="008020E2" w:rsidRDefault="00137C20">
      <w:pPr>
        <w:widowControl w:val="0"/>
        <w:tabs>
          <w:tab w:val="left" w:pos="567"/>
        </w:tabs>
        <w:jc w:val="both"/>
        <w:outlineLvl w:val="3"/>
        <w:rPr>
          <w:b/>
          <w:bCs/>
          <w:snapToGrid w:val="0"/>
          <w:szCs w:val="22"/>
          <w:lang w:eastAsia="x-none"/>
        </w:rPr>
      </w:pPr>
      <w:proofErr w:type="spellStart"/>
      <w:r>
        <w:rPr>
          <w:b/>
          <w:bCs/>
          <w:snapToGrid w:val="0"/>
          <w:szCs w:val="22"/>
          <w:lang w:eastAsia="x-none"/>
        </w:rPr>
        <w:t>Pitipix</w:t>
      </w:r>
      <w:proofErr w:type="spellEnd"/>
      <w:r>
        <w:rPr>
          <w:b/>
          <w:bCs/>
          <w:snapToGrid w:val="0"/>
          <w:szCs w:val="22"/>
          <w:lang w:eastAsia="x-none"/>
        </w:rPr>
        <w:t xml:space="preserve"> sudėtyje yra</w:t>
      </w:r>
      <w:r>
        <w:rPr>
          <w:b/>
          <w:bCs/>
          <w:snapToGrid w:val="0"/>
          <w:color w:val="000000"/>
          <w:szCs w:val="22"/>
          <w:lang w:eastAsia="x-none"/>
        </w:rPr>
        <w:t xml:space="preserve"> </w:t>
      </w:r>
      <w:proofErr w:type="spellStart"/>
      <w:r>
        <w:rPr>
          <w:b/>
          <w:bCs/>
          <w:snapToGrid w:val="0"/>
          <w:color w:val="000000"/>
          <w:szCs w:val="22"/>
          <w:lang w:eastAsia="x-none"/>
        </w:rPr>
        <w:t>lakotzės</w:t>
      </w:r>
      <w:proofErr w:type="spellEnd"/>
    </w:p>
    <w:p w14:paraId="5CCF21E3" w14:textId="77777777" w:rsidR="008020E2" w:rsidRDefault="00137C20">
      <w:pPr>
        <w:widowControl w:val="0"/>
        <w:numPr>
          <w:ilvl w:val="12"/>
          <w:numId w:val="0"/>
        </w:numPr>
        <w:ind w:right="-2"/>
        <w:rPr>
          <w:snapToGrid w:val="0"/>
          <w:szCs w:val="22"/>
        </w:rPr>
      </w:pPr>
      <w:proofErr w:type="spellStart"/>
      <w:r>
        <w:rPr>
          <w:snapToGrid w:val="0"/>
          <w:szCs w:val="22"/>
        </w:rPr>
        <w:t>Pitipix</w:t>
      </w:r>
      <w:proofErr w:type="spellEnd"/>
      <w:r>
        <w:rPr>
          <w:snapToGrid w:val="0"/>
          <w:szCs w:val="22"/>
        </w:rPr>
        <w:t xml:space="preserve"> sudėtyje yra laktozės (tam tikro cukraus). Jeigu gydytojas Jums yra sakęs, kad netoleruojate kokių nors angliavandenių, kreipkitės į jį, prieš pradėdami vartoti šį vaistą.</w:t>
      </w:r>
    </w:p>
    <w:p w14:paraId="1153ED11" w14:textId="77777777" w:rsidR="008020E2" w:rsidRDefault="008020E2">
      <w:pPr>
        <w:widowControl w:val="0"/>
        <w:numPr>
          <w:ilvl w:val="12"/>
          <w:numId w:val="0"/>
        </w:numPr>
        <w:ind w:right="-2"/>
        <w:rPr>
          <w:snapToGrid w:val="0"/>
          <w:szCs w:val="22"/>
        </w:rPr>
      </w:pPr>
    </w:p>
    <w:p w14:paraId="5BBA525B" w14:textId="77777777" w:rsidR="008020E2" w:rsidRDefault="008020E2">
      <w:pPr>
        <w:widowControl w:val="0"/>
        <w:numPr>
          <w:ilvl w:val="12"/>
          <w:numId w:val="0"/>
        </w:numPr>
        <w:ind w:right="-2"/>
        <w:rPr>
          <w:snapToGrid w:val="0"/>
          <w:szCs w:val="22"/>
        </w:rPr>
      </w:pPr>
    </w:p>
    <w:p w14:paraId="15F65B35"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3.</w:t>
      </w:r>
      <w:r>
        <w:rPr>
          <w:b/>
          <w:bCs/>
          <w:snapToGrid w:val="0"/>
          <w:szCs w:val="22"/>
          <w:lang w:eastAsia="x-none"/>
        </w:rPr>
        <w:tab/>
        <w:t xml:space="preserve">Kaip vartoti </w:t>
      </w:r>
      <w:proofErr w:type="spellStart"/>
      <w:r>
        <w:rPr>
          <w:b/>
          <w:bCs/>
          <w:snapToGrid w:val="0"/>
          <w:szCs w:val="22"/>
          <w:lang w:eastAsia="x-none"/>
        </w:rPr>
        <w:t>Pitipix</w:t>
      </w:r>
      <w:proofErr w:type="spellEnd"/>
    </w:p>
    <w:p w14:paraId="2715B42E" w14:textId="77777777" w:rsidR="008020E2" w:rsidRDefault="008020E2">
      <w:pPr>
        <w:widowControl w:val="0"/>
        <w:numPr>
          <w:ilvl w:val="12"/>
          <w:numId w:val="0"/>
        </w:numPr>
        <w:rPr>
          <w:snapToGrid w:val="0"/>
          <w:szCs w:val="22"/>
        </w:rPr>
      </w:pPr>
    </w:p>
    <w:p w14:paraId="06AE1DD5" w14:textId="77777777" w:rsidR="008020E2" w:rsidRDefault="00137C20">
      <w:pPr>
        <w:widowControl w:val="0"/>
        <w:numPr>
          <w:ilvl w:val="12"/>
          <w:numId w:val="0"/>
        </w:numPr>
        <w:ind w:right="-2"/>
        <w:rPr>
          <w:snapToGrid w:val="0"/>
          <w:szCs w:val="22"/>
        </w:rPr>
      </w:pPr>
      <w:r>
        <w:rPr>
          <w:snapToGrid w:val="0"/>
          <w:szCs w:val="22"/>
        </w:rPr>
        <w:t>Visada vartokite šį vaistą tiksliai, kaip nurodė gydytojas arba vaistininkas. Jeigu abejojate, kreipkitės į gydytoją arba vaistininką.</w:t>
      </w:r>
    </w:p>
    <w:p w14:paraId="60BB350A" w14:textId="77777777" w:rsidR="008020E2" w:rsidRDefault="008020E2">
      <w:pPr>
        <w:widowControl w:val="0"/>
        <w:numPr>
          <w:ilvl w:val="12"/>
          <w:numId w:val="0"/>
        </w:numPr>
        <w:ind w:right="-2"/>
        <w:rPr>
          <w:snapToGrid w:val="0"/>
          <w:szCs w:val="22"/>
        </w:rPr>
      </w:pPr>
    </w:p>
    <w:p w14:paraId="08EEB779" w14:textId="77777777" w:rsidR="008020E2" w:rsidRDefault="00137C20">
      <w:pPr>
        <w:widowControl w:val="0"/>
        <w:numPr>
          <w:ilvl w:val="12"/>
          <w:numId w:val="0"/>
        </w:numPr>
        <w:ind w:right="-2"/>
        <w:rPr>
          <w:b/>
          <w:bCs/>
          <w:snapToGrid w:val="0"/>
          <w:szCs w:val="22"/>
        </w:rPr>
      </w:pPr>
      <w:r>
        <w:rPr>
          <w:b/>
          <w:bCs/>
          <w:snapToGrid w:val="0"/>
          <w:szCs w:val="22"/>
        </w:rPr>
        <w:t>Šio vaisto vartojimas</w:t>
      </w:r>
    </w:p>
    <w:p w14:paraId="49015394" w14:textId="68B172DC" w:rsidR="008020E2" w:rsidRDefault="00137C20">
      <w:pPr>
        <w:widowControl w:val="0"/>
        <w:numPr>
          <w:ilvl w:val="12"/>
          <w:numId w:val="0"/>
        </w:numPr>
        <w:ind w:right="-2"/>
        <w:rPr>
          <w:snapToGrid w:val="0"/>
          <w:szCs w:val="22"/>
        </w:rPr>
      </w:pPr>
      <w:r>
        <w:rPr>
          <w:snapToGrid w:val="0"/>
          <w:szCs w:val="22"/>
        </w:rPr>
        <w:t>Nurykite visą tabletę už</w:t>
      </w:r>
      <w:r w:rsidR="00206967">
        <w:rPr>
          <w:snapToGrid w:val="0"/>
          <w:szCs w:val="22"/>
        </w:rPr>
        <w:t>si</w:t>
      </w:r>
      <w:r>
        <w:rPr>
          <w:snapToGrid w:val="0"/>
          <w:szCs w:val="22"/>
        </w:rPr>
        <w:t>gerdami vandeniu, valg</w:t>
      </w:r>
      <w:r w:rsidR="00206967">
        <w:rPr>
          <w:snapToGrid w:val="0"/>
          <w:szCs w:val="22"/>
        </w:rPr>
        <w:t>io metu</w:t>
      </w:r>
      <w:r>
        <w:rPr>
          <w:snapToGrid w:val="0"/>
          <w:szCs w:val="22"/>
        </w:rPr>
        <w:t xml:space="preserve"> arba </w:t>
      </w:r>
      <w:r w:rsidR="0085262D">
        <w:rPr>
          <w:snapToGrid w:val="0"/>
          <w:szCs w:val="22"/>
        </w:rPr>
        <w:t>nevalgius</w:t>
      </w:r>
      <w:r>
        <w:rPr>
          <w:snapToGrid w:val="0"/>
          <w:szCs w:val="22"/>
        </w:rPr>
        <w:t>. Galite ją vartoti bet kuriuo paros metu. Vis dėlto stenkitės tabletę išgerti kasdien tuo pačiu metu.</w:t>
      </w:r>
    </w:p>
    <w:p w14:paraId="52F03E90" w14:textId="77777777" w:rsidR="008020E2" w:rsidRDefault="008020E2">
      <w:pPr>
        <w:widowControl w:val="0"/>
        <w:numPr>
          <w:ilvl w:val="12"/>
          <w:numId w:val="0"/>
        </w:numPr>
        <w:ind w:right="-2"/>
        <w:rPr>
          <w:snapToGrid w:val="0"/>
          <w:szCs w:val="22"/>
        </w:rPr>
      </w:pPr>
    </w:p>
    <w:p w14:paraId="659D066F" w14:textId="77777777" w:rsidR="008020E2" w:rsidRDefault="00137C20">
      <w:pPr>
        <w:widowControl w:val="0"/>
        <w:numPr>
          <w:ilvl w:val="12"/>
          <w:numId w:val="0"/>
        </w:numPr>
        <w:ind w:right="-2"/>
        <w:rPr>
          <w:b/>
          <w:bCs/>
          <w:snapToGrid w:val="0"/>
          <w:szCs w:val="22"/>
        </w:rPr>
      </w:pPr>
      <w:r>
        <w:rPr>
          <w:b/>
          <w:bCs/>
          <w:snapToGrid w:val="0"/>
          <w:szCs w:val="22"/>
        </w:rPr>
        <w:t>Kiek vartoti</w:t>
      </w:r>
    </w:p>
    <w:p w14:paraId="540CAE49"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Įprastinė pradinė dozė yra 1 mg vieną kartą per parą. Po kelių savaičių gydytojas gali nuspręsti padidinti dozę. Didžiausia kasdienė dozė suaugusiesiems ir vyresniems nei 10 metų vaikams yra 4 mg.</w:t>
      </w:r>
    </w:p>
    <w:p w14:paraId="0586F7D2"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Jeigu yra kepenų sutrikimų, negalima vartoti didesnės nei 2 mg paros dozės.</w:t>
      </w:r>
    </w:p>
    <w:p w14:paraId="25DDE9D7" w14:textId="77777777" w:rsidR="008020E2" w:rsidRDefault="008020E2">
      <w:pPr>
        <w:widowControl w:val="0"/>
        <w:numPr>
          <w:ilvl w:val="12"/>
          <w:numId w:val="0"/>
        </w:numPr>
        <w:ind w:right="-2"/>
        <w:rPr>
          <w:snapToGrid w:val="0"/>
          <w:szCs w:val="22"/>
        </w:rPr>
      </w:pPr>
    </w:p>
    <w:p w14:paraId="4D609992" w14:textId="77777777" w:rsidR="008020E2" w:rsidRDefault="00137C20">
      <w:pPr>
        <w:widowControl w:val="0"/>
        <w:numPr>
          <w:ilvl w:val="12"/>
          <w:numId w:val="0"/>
        </w:numPr>
        <w:ind w:right="-2"/>
        <w:rPr>
          <w:b/>
          <w:bCs/>
          <w:snapToGrid w:val="0"/>
          <w:szCs w:val="22"/>
        </w:rPr>
      </w:pPr>
      <w:r>
        <w:rPr>
          <w:b/>
          <w:bCs/>
          <w:snapToGrid w:val="0"/>
          <w:szCs w:val="22"/>
        </w:rPr>
        <w:t>Vartojimas vaikams ir paaugliams</w:t>
      </w:r>
    </w:p>
    <w:p w14:paraId="0DF06649"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Didžiausia kasdien vartojama dozė jaunesniems nei 10 metų vaikams yra 2 mg.</w:t>
      </w:r>
    </w:p>
    <w:p w14:paraId="5A90B5BE" w14:textId="2AEF4BDF"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Jei reikia, tabletes galima </w:t>
      </w:r>
      <w:r w:rsidR="000A1F80">
        <w:rPr>
          <w:snapToGrid w:val="0"/>
          <w:szCs w:val="22"/>
        </w:rPr>
        <w:t xml:space="preserve">ištirpinti </w:t>
      </w:r>
      <w:r>
        <w:rPr>
          <w:snapToGrid w:val="0"/>
          <w:szCs w:val="22"/>
        </w:rPr>
        <w:t xml:space="preserve">stiklinėje vandens prieš pat vartojimą ir iš karto išgerti, po to į stiklinę reikia antrą kartą įpilti vandens, </w:t>
      </w:r>
      <w:r w:rsidR="00FF1C4E">
        <w:rPr>
          <w:snapToGrid w:val="0"/>
          <w:szCs w:val="22"/>
        </w:rPr>
        <w:t xml:space="preserve">išmaišyti </w:t>
      </w:r>
      <w:r>
        <w:rPr>
          <w:snapToGrid w:val="0"/>
          <w:szCs w:val="22"/>
        </w:rPr>
        <w:t xml:space="preserve">ir vėl iš karto išgerti. Tablečių negalima </w:t>
      </w:r>
      <w:r w:rsidR="00EA1998">
        <w:rPr>
          <w:snapToGrid w:val="0"/>
          <w:szCs w:val="22"/>
        </w:rPr>
        <w:t xml:space="preserve">ištirpinti </w:t>
      </w:r>
      <w:r>
        <w:rPr>
          <w:snapToGrid w:val="0"/>
          <w:szCs w:val="22"/>
        </w:rPr>
        <w:t xml:space="preserve">vaisių </w:t>
      </w:r>
      <w:proofErr w:type="spellStart"/>
      <w:r>
        <w:rPr>
          <w:snapToGrid w:val="0"/>
          <w:szCs w:val="22"/>
        </w:rPr>
        <w:t>sultyse</w:t>
      </w:r>
      <w:proofErr w:type="spellEnd"/>
      <w:r>
        <w:rPr>
          <w:snapToGrid w:val="0"/>
          <w:szCs w:val="22"/>
        </w:rPr>
        <w:t xml:space="preserve"> arba piene.</w:t>
      </w:r>
    </w:p>
    <w:p w14:paraId="7C990ED7" w14:textId="77777777" w:rsidR="008020E2" w:rsidRDefault="00137C20">
      <w:pPr>
        <w:widowControl w:val="0"/>
        <w:numPr>
          <w:ilvl w:val="0"/>
          <w:numId w:val="32"/>
        </w:numPr>
        <w:tabs>
          <w:tab w:val="left" w:pos="567"/>
        </w:tabs>
        <w:spacing w:line="260" w:lineRule="exact"/>
        <w:ind w:left="567" w:right="-2" w:hanging="567"/>
        <w:rPr>
          <w:snapToGrid w:val="0"/>
          <w:szCs w:val="22"/>
        </w:rPr>
      </w:pPr>
      <w:proofErr w:type="spellStart"/>
      <w:r>
        <w:rPr>
          <w:snapToGrid w:val="0"/>
          <w:szCs w:val="22"/>
        </w:rPr>
        <w:t>Pitipix</w:t>
      </w:r>
      <w:proofErr w:type="spellEnd"/>
      <w:r>
        <w:rPr>
          <w:snapToGrid w:val="0"/>
          <w:szCs w:val="22"/>
        </w:rPr>
        <w:t xml:space="preserve"> nerekomenduojama vartoti jaunesniems kaip 6 metų vaikams.</w:t>
      </w:r>
    </w:p>
    <w:p w14:paraId="16DB3FA0" w14:textId="77777777" w:rsidR="008020E2" w:rsidRDefault="008020E2">
      <w:pPr>
        <w:widowControl w:val="0"/>
        <w:numPr>
          <w:ilvl w:val="12"/>
          <w:numId w:val="0"/>
        </w:numPr>
        <w:ind w:right="-2"/>
        <w:rPr>
          <w:snapToGrid w:val="0"/>
          <w:szCs w:val="22"/>
        </w:rPr>
      </w:pPr>
    </w:p>
    <w:p w14:paraId="742497CA" w14:textId="77777777" w:rsidR="008020E2" w:rsidRDefault="00137C20">
      <w:pPr>
        <w:widowControl w:val="0"/>
        <w:numPr>
          <w:ilvl w:val="12"/>
          <w:numId w:val="0"/>
        </w:numPr>
        <w:ind w:right="-2"/>
        <w:rPr>
          <w:snapToGrid w:val="0"/>
          <w:szCs w:val="22"/>
        </w:rPr>
      </w:pPr>
      <w:r>
        <w:rPr>
          <w:b/>
          <w:bCs/>
          <w:snapToGrid w:val="0"/>
          <w:szCs w:val="22"/>
        </w:rPr>
        <w:t xml:space="preserve">Kita informacija, kurią reikia žinoti vartojant </w:t>
      </w:r>
      <w:proofErr w:type="spellStart"/>
      <w:r>
        <w:rPr>
          <w:b/>
          <w:bCs/>
          <w:snapToGrid w:val="0"/>
          <w:szCs w:val="22"/>
        </w:rPr>
        <w:t>Pitipix</w:t>
      </w:r>
      <w:proofErr w:type="spellEnd"/>
    </w:p>
    <w:p w14:paraId="3AE02934" w14:textId="77777777"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Jei pateksite į ligoninę arba būsite gydomi dėl kitos problemos, pasakykite medicinos personalui, kad vartojate </w:t>
      </w:r>
      <w:proofErr w:type="spellStart"/>
      <w:r>
        <w:rPr>
          <w:snapToGrid w:val="0"/>
          <w:szCs w:val="22"/>
        </w:rPr>
        <w:t>Pitipix</w:t>
      </w:r>
      <w:proofErr w:type="spellEnd"/>
      <w:r>
        <w:rPr>
          <w:snapToGrid w:val="0"/>
          <w:szCs w:val="22"/>
        </w:rPr>
        <w:t>.</w:t>
      </w:r>
    </w:p>
    <w:p w14:paraId="44997D71" w14:textId="393E6B5A"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Jūsų gydytojas gali reguliariai tikrinti cholesterolio </w:t>
      </w:r>
      <w:r w:rsidR="00EA1998">
        <w:rPr>
          <w:snapToGrid w:val="0"/>
          <w:szCs w:val="22"/>
        </w:rPr>
        <w:t xml:space="preserve">koncentraciją </w:t>
      </w:r>
      <w:r>
        <w:rPr>
          <w:snapToGrid w:val="0"/>
          <w:szCs w:val="22"/>
        </w:rPr>
        <w:t>kraujyje.</w:t>
      </w:r>
    </w:p>
    <w:p w14:paraId="4F6E31D0" w14:textId="2AA91E29" w:rsidR="008020E2" w:rsidRDefault="00137C20">
      <w:pPr>
        <w:widowControl w:val="0"/>
        <w:numPr>
          <w:ilvl w:val="0"/>
          <w:numId w:val="32"/>
        </w:numPr>
        <w:tabs>
          <w:tab w:val="left" w:pos="567"/>
        </w:tabs>
        <w:spacing w:line="260" w:lineRule="exact"/>
        <w:ind w:left="567" w:right="-2" w:hanging="567"/>
        <w:rPr>
          <w:snapToGrid w:val="0"/>
          <w:szCs w:val="22"/>
        </w:rPr>
      </w:pPr>
      <w:r>
        <w:rPr>
          <w:snapToGrid w:val="0"/>
          <w:szCs w:val="22"/>
        </w:rPr>
        <w:t xml:space="preserve">Nenutraukite </w:t>
      </w:r>
      <w:proofErr w:type="spellStart"/>
      <w:r>
        <w:rPr>
          <w:snapToGrid w:val="0"/>
          <w:szCs w:val="22"/>
        </w:rPr>
        <w:t>Pitipix</w:t>
      </w:r>
      <w:proofErr w:type="spellEnd"/>
      <w:r>
        <w:rPr>
          <w:snapToGrid w:val="0"/>
          <w:szCs w:val="22"/>
        </w:rPr>
        <w:t xml:space="preserve"> vartojimo prieš tai nepasitarę su gydytoju. Jūsų cholesterolio </w:t>
      </w:r>
      <w:r w:rsidR="00FB2AAC">
        <w:rPr>
          <w:snapToGrid w:val="0"/>
          <w:szCs w:val="22"/>
        </w:rPr>
        <w:t xml:space="preserve">koncentracija </w:t>
      </w:r>
      <w:r>
        <w:rPr>
          <w:snapToGrid w:val="0"/>
          <w:szCs w:val="22"/>
        </w:rPr>
        <w:t>gali padidėti.</w:t>
      </w:r>
    </w:p>
    <w:p w14:paraId="5179E9A1" w14:textId="77777777" w:rsidR="008020E2" w:rsidRDefault="008020E2">
      <w:pPr>
        <w:widowControl w:val="0"/>
        <w:numPr>
          <w:ilvl w:val="12"/>
          <w:numId w:val="0"/>
        </w:numPr>
        <w:ind w:right="-2"/>
        <w:rPr>
          <w:snapToGrid w:val="0"/>
          <w:szCs w:val="22"/>
        </w:rPr>
      </w:pPr>
    </w:p>
    <w:p w14:paraId="4D04A300"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 xml:space="preserve">Ką daryti pavartojus per didelę </w:t>
      </w:r>
      <w:proofErr w:type="spellStart"/>
      <w:r>
        <w:rPr>
          <w:b/>
          <w:bCs/>
          <w:snapToGrid w:val="0"/>
          <w:szCs w:val="22"/>
          <w:lang w:eastAsia="x-none"/>
        </w:rPr>
        <w:t>Pitipix</w:t>
      </w:r>
      <w:proofErr w:type="spellEnd"/>
      <w:r>
        <w:rPr>
          <w:b/>
          <w:bCs/>
          <w:snapToGrid w:val="0"/>
          <w:szCs w:val="22"/>
          <w:lang w:eastAsia="x-none"/>
        </w:rPr>
        <w:t xml:space="preserve"> dozę</w:t>
      </w:r>
    </w:p>
    <w:p w14:paraId="45EE04DA" w14:textId="77777777" w:rsidR="008020E2" w:rsidRDefault="00137C20">
      <w:pPr>
        <w:widowControl w:val="0"/>
        <w:numPr>
          <w:ilvl w:val="12"/>
          <w:numId w:val="0"/>
        </w:numPr>
        <w:ind w:right="-2"/>
        <w:rPr>
          <w:rFonts w:eastAsia="Calibri"/>
          <w:szCs w:val="22"/>
          <w:lang w:eastAsia="sl-SI"/>
        </w:rPr>
      </w:pPr>
      <w:r>
        <w:rPr>
          <w:rFonts w:eastAsia="Calibri"/>
          <w:szCs w:val="22"/>
          <w:lang w:eastAsia="sl-SI"/>
        </w:rPr>
        <w:t xml:space="preserve">Jei išgėrėte daugiau </w:t>
      </w:r>
      <w:proofErr w:type="spellStart"/>
      <w:r>
        <w:rPr>
          <w:rFonts w:eastAsia="Calibri"/>
          <w:szCs w:val="22"/>
          <w:lang w:eastAsia="sl-SI"/>
        </w:rPr>
        <w:t>Pitipix</w:t>
      </w:r>
      <w:proofErr w:type="spellEnd"/>
      <w:r>
        <w:rPr>
          <w:rFonts w:eastAsia="Calibri"/>
          <w:szCs w:val="22"/>
          <w:lang w:eastAsia="sl-SI"/>
        </w:rPr>
        <w:t xml:space="preserve"> nei reikia, kreipkitės į gydytoją arba nedelsdami vykite į ligoninę. Su savimi pasiimkite vaisto pakuotę.</w:t>
      </w:r>
    </w:p>
    <w:p w14:paraId="573CEE78" w14:textId="77777777" w:rsidR="008020E2" w:rsidRDefault="008020E2">
      <w:pPr>
        <w:widowControl w:val="0"/>
        <w:numPr>
          <w:ilvl w:val="12"/>
          <w:numId w:val="0"/>
        </w:numPr>
        <w:ind w:right="-2"/>
        <w:rPr>
          <w:snapToGrid w:val="0"/>
          <w:szCs w:val="22"/>
        </w:rPr>
      </w:pPr>
    </w:p>
    <w:p w14:paraId="5795522D" w14:textId="77777777" w:rsidR="008020E2" w:rsidRDefault="00137C20">
      <w:pPr>
        <w:widowControl w:val="0"/>
        <w:tabs>
          <w:tab w:val="left" w:pos="567"/>
        </w:tabs>
        <w:snapToGrid w:val="0"/>
        <w:jc w:val="both"/>
        <w:outlineLvl w:val="3"/>
        <w:rPr>
          <w:b/>
          <w:bCs/>
          <w:szCs w:val="22"/>
          <w:lang w:eastAsia="x-none"/>
        </w:rPr>
      </w:pPr>
      <w:r>
        <w:rPr>
          <w:b/>
          <w:bCs/>
          <w:szCs w:val="22"/>
          <w:lang w:eastAsia="x-none"/>
        </w:rPr>
        <w:t xml:space="preserve">Pamiršus pavartoti </w:t>
      </w:r>
      <w:proofErr w:type="spellStart"/>
      <w:r>
        <w:rPr>
          <w:b/>
          <w:bCs/>
          <w:snapToGrid w:val="0"/>
          <w:szCs w:val="22"/>
          <w:lang w:eastAsia="x-none"/>
        </w:rPr>
        <w:t>Pitipix</w:t>
      </w:r>
      <w:proofErr w:type="spellEnd"/>
    </w:p>
    <w:p w14:paraId="167E675C" w14:textId="77777777" w:rsidR="008020E2" w:rsidRDefault="00137C20">
      <w:pPr>
        <w:widowControl w:val="0"/>
        <w:rPr>
          <w:szCs w:val="22"/>
        </w:rPr>
      </w:pPr>
      <w:r>
        <w:rPr>
          <w:rFonts w:eastAsia="Calibri"/>
          <w:szCs w:val="22"/>
        </w:rPr>
        <w:t>Nesijaudinkite, tiesiog k</w:t>
      </w:r>
      <w:r>
        <w:rPr>
          <w:szCs w:val="22"/>
        </w:rPr>
        <w:t>itą dozę vartokite tinkamu laiku. Negalima vartoti dvigubos dozės norint kompensuoti praleistą dozę.</w:t>
      </w:r>
    </w:p>
    <w:p w14:paraId="0A4FF431" w14:textId="77777777" w:rsidR="008020E2" w:rsidRDefault="008020E2">
      <w:pPr>
        <w:widowControl w:val="0"/>
        <w:numPr>
          <w:ilvl w:val="12"/>
          <w:numId w:val="0"/>
        </w:numPr>
        <w:ind w:right="-2"/>
        <w:rPr>
          <w:snapToGrid w:val="0"/>
          <w:szCs w:val="22"/>
        </w:rPr>
      </w:pPr>
    </w:p>
    <w:p w14:paraId="38579F05" w14:textId="77777777" w:rsidR="008020E2" w:rsidRDefault="00137C20">
      <w:pPr>
        <w:widowControl w:val="0"/>
        <w:numPr>
          <w:ilvl w:val="12"/>
          <w:numId w:val="0"/>
        </w:numPr>
        <w:ind w:right="-29"/>
        <w:rPr>
          <w:snapToGrid w:val="0"/>
          <w:szCs w:val="22"/>
        </w:rPr>
      </w:pPr>
      <w:r>
        <w:rPr>
          <w:snapToGrid w:val="0"/>
          <w:szCs w:val="22"/>
        </w:rPr>
        <w:t>Jeigu kiltų daugiau klausimų dėl šio vaisto vartojimo, kreipkitės į gydytoją arba vaistininką.</w:t>
      </w:r>
    </w:p>
    <w:p w14:paraId="147C4488" w14:textId="77777777" w:rsidR="008020E2" w:rsidRDefault="008020E2">
      <w:pPr>
        <w:widowControl w:val="0"/>
        <w:numPr>
          <w:ilvl w:val="12"/>
          <w:numId w:val="0"/>
        </w:numPr>
        <w:rPr>
          <w:snapToGrid w:val="0"/>
          <w:szCs w:val="22"/>
        </w:rPr>
      </w:pPr>
    </w:p>
    <w:p w14:paraId="7E5DD458" w14:textId="77777777" w:rsidR="008020E2" w:rsidRDefault="008020E2">
      <w:pPr>
        <w:widowControl w:val="0"/>
        <w:numPr>
          <w:ilvl w:val="12"/>
          <w:numId w:val="0"/>
        </w:numPr>
        <w:rPr>
          <w:snapToGrid w:val="0"/>
          <w:szCs w:val="22"/>
        </w:rPr>
      </w:pPr>
    </w:p>
    <w:p w14:paraId="70A823FC"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4.</w:t>
      </w:r>
      <w:r>
        <w:rPr>
          <w:b/>
          <w:bCs/>
          <w:snapToGrid w:val="0"/>
          <w:szCs w:val="22"/>
          <w:lang w:eastAsia="x-none"/>
        </w:rPr>
        <w:tab/>
        <w:t>Galimas šalutinis poveikis</w:t>
      </w:r>
    </w:p>
    <w:p w14:paraId="7D7969AA" w14:textId="77777777" w:rsidR="008020E2" w:rsidRDefault="008020E2">
      <w:pPr>
        <w:widowControl w:val="0"/>
        <w:numPr>
          <w:ilvl w:val="12"/>
          <w:numId w:val="0"/>
        </w:numPr>
        <w:rPr>
          <w:snapToGrid w:val="0"/>
          <w:szCs w:val="22"/>
        </w:rPr>
      </w:pPr>
    </w:p>
    <w:p w14:paraId="35D786FC" w14:textId="77777777" w:rsidR="008020E2" w:rsidRDefault="00137C20">
      <w:pPr>
        <w:widowControl w:val="0"/>
        <w:numPr>
          <w:ilvl w:val="12"/>
          <w:numId w:val="0"/>
        </w:numPr>
        <w:ind w:right="-29"/>
        <w:rPr>
          <w:snapToGrid w:val="0"/>
          <w:szCs w:val="22"/>
        </w:rPr>
      </w:pPr>
      <w:r>
        <w:rPr>
          <w:snapToGrid w:val="0"/>
          <w:szCs w:val="22"/>
        </w:rPr>
        <w:t>Šis vaistas, kaip ir visi kiti, gali sukelti šalutinį poveikį, nors jis pasireiškia ne visiems žmonėms.</w:t>
      </w:r>
    </w:p>
    <w:p w14:paraId="28623E80" w14:textId="77777777" w:rsidR="008020E2" w:rsidRDefault="008020E2">
      <w:pPr>
        <w:widowControl w:val="0"/>
        <w:numPr>
          <w:ilvl w:val="12"/>
          <w:numId w:val="0"/>
        </w:numPr>
        <w:ind w:right="-29"/>
        <w:rPr>
          <w:snapToGrid w:val="0"/>
          <w:szCs w:val="22"/>
        </w:rPr>
      </w:pPr>
    </w:p>
    <w:p w14:paraId="5C047CE1" w14:textId="77777777" w:rsidR="008020E2" w:rsidRDefault="00137C20">
      <w:pPr>
        <w:widowControl w:val="0"/>
        <w:numPr>
          <w:ilvl w:val="12"/>
          <w:numId w:val="0"/>
        </w:numPr>
        <w:ind w:right="-29"/>
        <w:rPr>
          <w:b/>
          <w:bCs/>
          <w:snapToGrid w:val="0"/>
          <w:szCs w:val="22"/>
        </w:rPr>
      </w:pPr>
      <w:r>
        <w:rPr>
          <w:b/>
          <w:bCs/>
          <w:snapToGrid w:val="0"/>
          <w:szCs w:val="22"/>
        </w:rPr>
        <w:t xml:space="preserve">Jei pastebėsite bet kurį toliau paminėtą sunkų šalutinį poveikį, nutraukite </w:t>
      </w:r>
      <w:proofErr w:type="spellStart"/>
      <w:r>
        <w:rPr>
          <w:b/>
          <w:bCs/>
          <w:snapToGrid w:val="0"/>
          <w:szCs w:val="22"/>
        </w:rPr>
        <w:t>Pitipix</w:t>
      </w:r>
      <w:proofErr w:type="spellEnd"/>
      <w:r>
        <w:rPr>
          <w:b/>
          <w:bCs/>
          <w:snapToGrid w:val="0"/>
          <w:szCs w:val="22"/>
        </w:rPr>
        <w:t xml:space="preserve"> vartojimą ir nedelsdami kreipkitės į gydytoją, nes Jums gali prireikti skubios medicininės pagalbos:</w:t>
      </w:r>
    </w:p>
    <w:p w14:paraId="3337AF69"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alerginė reakcija, kurios galimi požymiai yra pasunkėjęs kvėpavimas, veido, lūpų, liežuvio ar gerklės patinimas, rijimo sutrikimai, stiprus odos niežėjimas (su iškilusiais gumbeliais);</w:t>
      </w:r>
    </w:p>
    <w:p w14:paraId="7A5129A8"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 xml:space="preserve">neaiškios priežasties sukeltas raumenų skausmas ar silpnumas, ypač jei blogai jaučiatės, karščiuojate ar šlapimas yra rausvai rudos spalvos. </w:t>
      </w:r>
      <w:proofErr w:type="spellStart"/>
      <w:r>
        <w:rPr>
          <w:snapToGrid w:val="0"/>
          <w:szCs w:val="22"/>
        </w:rPr>
        <w:t>Pitipix</w:t>
      </w:r>
      <w:proofErr w:type="spellEnd"/>
      <w:r>
        <w:rPr>
          <w:snapToGrid w:val="0"/>
          <w:szCs w:val="22"/>
        </w:rPr>
        <w:t xml:space="preserve"> retai (rečiau nei 1 iš 1000 žmonių) gali sukelti nepalankų poveikį raumenims. Neatlikus reikiamų tyrimų, toks poveikis gali sukelti rimtų problemų, tokių kaip nenormalus raumenų irimas (</w:t>
      </w:r>
      <w:proofErr w:type="spellStart"/>
      <w:r>
        <w:rPr>
          <w:snapToGrid w:val="0"/>
          <w:szCs w:val="22"/>
        </w:rPr>
        <w:t>rabdomiolizė</w:t>
      </w:r>
      <w:proofErr w:type="spellEnd"/>
      <w:r>
        <w:rPr>
          <w:snapToGrid w:val="0"/>
          <w:szCs w:val="22"/>
        </w:rPr>
        <w:t>), dėl kurio gali atsirasti inkstų sutrikimų;</w:t>
      </w:r>
    </w:p>
    <w:p w14:paraId="16B7FC0F"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kvėpavimo sutrikimai, įskaitant nuolatinį kosulį ir (arba) dusulį ar karščiavimą;</w:t>
      </w:r>
    </w:p>
    <w:p w14:paraId="2B4D7FD3"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kepenų sutrikimai, dėl kurių gali pagelsti oda ir akys (gelta);</w:t>
      </w:r>
    </w:p>
    <w:p w14:paraId="572D9A3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pankreatitas (stiprus pilvo ir nugaros skausmas).</w:t>
      </w:r>
    </w:p>
    <w:p w14:paraId="0B8224A6" w14:textId="28C3CE03" w:rsidR="008020E2" w:rsidRDefault="008020E2">
      <w:pPr>
        <w:widowControl w:val="0"/>
        <w:numPr>
          <w:ilvl w:val="12"/>
          <w:numId w:val="0"/>
        </w:numPr>
        <w:ind w:right="-29"/>
        <w:rPr>
          <w:snapToGrid w:val="0"/>
          <w:szCs w:val="22"/>
        </w:rPr>
      </w:pPr>
    </w:p>
    <w:p w14:paraId="0454619E" w14:textId="34F6C2CB" w:rsidR="008020E2" w:rsidRDefault="00137C20">
      <w:pPr>
        <w:widowControl w:val="0"/>
        <w:numPr>
          <w:ilvl w:val="12"/>
          <w:numId w:val="0"/>
        </w:numPr>
        <w:ind w:right="-29"/>
        <w:rPr>
          <w:snapToGrid w:val="0"/>
          <w:szCs w:val="22"/>
        </w:rPr>
      </w:pPr>
      <w:r>
        <w:rPr>
          <w:snapToGrid w:val="0"/>
          <w:szCs w:val="22"/>
        </w:rPr>
        <w:t>Toliau yra išvardytas kitoks galimas šalutinis poveikis.</w:t>
      </w:r>
    </w:p>
    <w:p w14:paraId="3431A54B" w14:textId="77777777" w:rsidR="008020E2" w:rsidRDefault="00137C20">
      <w:pPr>
        <w:widowControl w:val="0"/>
        <w:numPr>
          <w:ilvl w:val="12"/>
          <w:numId w:val="0"/>
        </w:numPr>
        <w:ind w:right="-29"/>
        <w:rPr>
          <w:snapToGrid w:val="0"/>
          <w:szCs w:val="22"/>
        </w:rPr>
      </w:pPr>
      <w:r w:rsidRPr="006174FB">
        <w:t>Dažni šalutinio poveikio reiškiniai (gali pasireikšti rečiau kaip 1 iš 10 asmenų):</w:t>
      </w:r>
    </w:p>
    <w:p w14:paraId="6F9EFF3E"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sąnarių skausmas, raumenų maudimas;</w:t>
      </w:r>
    </w:p>
    <w:p w14:paraId="41B2D4ED"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 xml:space="preserve">vidurių užkietėjimas, viduriavimas, </w:t>
      </w:r>
      <w:proofErr w:type="spellStart"/>
      <w:r>
        <w:rPr>
          <w:snapToGrid w:val="0"/>
          <w:szCs w:val="22"/>
        </w:rPr>
        <w:t>nevirškinimas</w:t>
      </w:r>
      <w:proofErr w:type="spellEnd"/>
      <w:r>
        <w:rPr>
          <w:snapToGrid w:val="0"/>
          <w:szCs w:val="22"/>
        </w:rPr>
        <w:t>, pykinimas;</w:t>
      </w:r>
    </w:p>
    <w:p w14:paraId="049F550E"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galvos skausmas.</w:t>
      </w:r>
    </w:p>
    <w:p w14:paraId="6F8E9C1A" w14:textId="77777777" w:rsidR="008020E2" w:rsidRDefault="008020E2">
      <w:pPr>
        <w:widowControl w:val="0"/>
        <w:numPr>
          <w:ilvl w:val="12"/>
          <w:numId w:val="0"/>
        </w:numPr>
        <w:ind w:right="-29"/>
        <w:rPr>
          <w:snapToGrid w:val="0"/>
          <w:szCs w:val="22"/>
        </w:rPr>
      </w:pPr>
    </w:p>
    <w:p w14:paraId="4D077D1E" w14:textId="77777777" w:rsidR="008020E2" w:rsidRPr="006174FB" w:rsidRDefault="00137C20">
      <w:pPr>
        <w:widowControl w:val="0"/>
        <w:numPr>
          <w:ilvl w:val="12"/>
          <w:numId w:val="0"/>
        </w:numPr>
        <w:ind w:right="-29"/>
      </w:pPr>
      <w:r w:rsidRPr="006174FB">
        <w:t>Nedažni šalutinio poveikio reiškiniai (gali pasireikšti rečiau kaip 1 iš 100 asmenų):</w:t>
      </w:r>
    </w:p>
    <w:p w14:paraId="3357C27D"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raumenų spazmai;</w:t>
      </w:r>
    </w:p>
    <w:p w14:paraId="48CD000A"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silpnumo, nuovargio ar blogos savijautos pojūtis;</w:t>
      </w:r>
    </w:p>
    <w:p w14:paraId="7B87562C"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kulkšnių, pėdų ar pirštų patinimas;</w:t>
      </w:r>
    </w:p>
    <w:p w14:paraId="1201CE53"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skrandžio skausmas, burnos džiūvimas, vėmimas, apetito praradimas, skonio pokyčiai;</w:t>
      </w:r>
    </w:p>
    <w:p w14:paraId="6A54EED6"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blyški oda, silpnumas ar dusulys (mažakraujystė);</w:t>
      </w:r>
    </w:p>
    <w:p w14:paraId="575B79C8"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niežėjimas arba išbėrimas;</w:t>
      </w:r>
    </w:p>
    <w:p w14:paraId="6B5BD90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spengimas ausyse;</w:t>
      </w:r>
    </w:p>
    <w:p w14:paraId="3DA1C68C"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svaigulys ar mieguistumas, nemiga (kiti miego sutrikimai, įskaitant ir košmariškus sapnus);</w:t>
      </w:r>
    </w:p>
    <w:p w14:paraId="024ABD02"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 xml:space="preserve">padidėjęs poreikis dažnai šlapintis (dažnas </w:t>
      </w:r>
      <w:proofErr w:type="spellStart"/>
      <w:r>
        <w:rPr>
          <w:snapToGrid w:val="0"/>
          <w:szCs w:val="22"/>
        </w:rPr>
        <w:t>šlapinimasis</w:t>
      </w:r>
      <w:proofErr w:type="spellEnd"/>
      <w:r>
        <w:rPr>
          <w:snapToGrid w:val="0"/>
          <w:szCs w:val="22"/>
        </w:rPr>
        <w:t>);</w:t>
      </w:r>
    </w:p>
    <w:p w14:paraId="0841A888"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rankų ir kojų pirštų, kojų ir veido nutirpimo ir sumažėjusio jautrumo pojūtis.</w:t>
      </w:r>
    </w:p>
    <w:p w14:paraId="59EB22BA" w14:textId="77777777" w:rsidR="008020E2" w:rsidRDefault="008020E2">
      <w:pPr>
        <w:widowControl w:val="0"/>
        <w:numPr>
          <w:ilvl w:val="12"/>
          <w:numId w:val="0"/>
        </w:numPr>
        <w:ind w:right="-29"/>
        <w:rPr>
          <w:snapToGrid w:val="0"/>
          <w:szCs w:val="22"/>
        </w:rPr>
      </w:pPr>
    </w:p>
    <w:p w14:paraId="2CA028AE" w14:textId="77777777" w:rsidR="008020E2" w:rsidRPr="006174FB" w:rsidRDefault="00137C20">
      <w:pPr>
        <w:widowControl w:val="0"/>
        <w:numPr>
          <w:ilvl w:val="12"/>
          <w:numId w:val="0"/>
        </w:numPr>
        <w:ind w:right="-29"/>
      </w:pPr>
      <w:r w:rsidRPr="006174FB">
        <w:t>Reti šalutinio poveikio reiškiniai (gali pasireikšti rečiau kaip 1 iš 1 000 asmenų):</w:t>
      </w:r>
    </w:p>
    <w:p w14:paraId="17457414" w14:textId="799BAC8D" w:rsidR="008020E2" w:rsidRPr="006174FB" w:rsidRDefault="00137C20">
      <w:pPr>
        <w:widowControl w:val="0"/>
        <w:numPr>
          <w:ilvl w:val="0"/>
          <w:numId w:val="34"/>
        </w:numPr>
        <w:tabs>
          <w:tab w:val="left" w:pos="567"/>
        </w:tabs>
        <w:spacing w:line="260" w:lineRule="exact"/>
        <w:ind w:left="567" w:right="-29" w:hanging="567"/>
        <w:rPr>
          <w:lang w:val="pt-PT"/>
        </w:rPr>
      </w:pPr>
      <w:r w:rsidRPr="006174FB">
        <w:rPr>
          <w:lang w:val="pt-PT"/>
        </w:rPr>
        <w:t xml:space="preserve">odos paraudimas, raudoni niežtintys odos </w:t>
      </w:r>
      <w:r w:rsidR="00DC4642" w:rsidRPr="006174FB">
        <w:rPr>
          <w:lang w:val="pt-PT"/>
        </w:rPr>
        <w:t>iš</w:t>
      </w:r>
      <w:r w:rsidRPr="006174FB">
        <w:rPr>
          <w:lang w:val="pt-PT"/>
        </w:rPr>
        <w:t>kilimai;</w:t>
      </w:r>
    </w:p>
    <w:p w14:paraId="5E82E713" w14:textId="77777777" w:rsidR="008020E2" w:rsidRDefault="00137C20">
      <w:pPr>
        <w:widowControl w:val="0"/>
        <w:numPr>
          <w:ilvl w:val="0"/>
          <w:numId w:val="34"/>
        </w:numPr>
        <w:tabs>
          <w:tab w:val="left" w:pos="567"/>
        </w:tabs>
        <w:spacing w:line="260" w:lineRule="exact"/>
        <w:ind w:left="567" w:right="-29" w:hanging="567"/>
        <w:rPr>
          <w:noProof/>
          <w:snapToGrid w:val="0"/>
          <w:szCs w:val="22"/>
          <w:lang w:val="en-GB"/>
        </w:rPr>
      </w:pPr>
      <w:r>
        <w:rPr>
          <w:noProof/>
          <w:snapToGrid w:val="0"/>
          <w:szCs w:val="22"/>
          <w:lang w:val="en-GB"/>
        </w:rPr>
        <w:t>regos pablogėjimas;</w:t>
      </w:r>
    </w:p>
    <w:p w14:paraId="5EE7AC80" w14:textId="77777777" w:rsidR="008020E2" w:rsidRDefault="00137C20">
      <w:pPr>
        <w:widowControl w:val="0"/>
        <w:numPr>
          <w:ilvl w:val="0"/>
          <w:numId w:val="34"/>
        </w:numPr>
        <w:tabs>
          <w:tab w:val="left" w:pos="567"/>
        </w:tabs>
        <w:spacing w:line="260" w:lineRule="exact"/>
        <w:ind w:left="567" w:right="-29" w:hanging="567"/>
        <w:rPr>
          <w:noProof/>
          <w:snapToGrid w:val="0"/>
          <w:szCs w:val="22"/>
          <w:lang w:val="en-GB"/>
        </w:rPr>
      </w:pPr>
      <w:r>
        <w:rPr>
          <w:noProof/>
          <w:snapToGrid w:val="0"/>
          <w:szCs w:val="22"/>
          <w:lang w:val="en-GB"/>
        </w:rPr>
        <w:t>liežuvio skausmas;</w:t>
      </w:r>
    </w:p>
    <w:p w14:paraId="78D19A37" w14:textId="77777777" w:rsidR="008020E2" w:rsidRPr="006174FB" w:rsidRDefault="00137C20">
      <w:pPr>
        <w:widowControl w:val="0"/>
        <w:numPr>
          <w:ilvl w:val="0"/>
          <w:numId w:val="34"/>
        </w:numPr>
        <w:tabs>
          <w:tab w:val="left" w:pos="567"/>
        </w:tabs>
        <w:spacing w:line="260" w:lineRule="exact"/>
        <w:ind w:left="567" w:right="-29" w:hanging="567"/>
        <w:rPr>
          <w:lang w:val="pt-PT"/>
        </w:rPr>
      </w:pPr>
      <w:r w:rsidRPr="006174FB">
        <w:rPr>
          <w:lang w:val="pt-PT"/>
        </w:rPr>
        <w:t>nemalonus pojūtis ar diskomfortas skrandyje;</w:t>
      </w:r>
    </w:p>
    <w:p w14:paraId="1C162984" w14:textId="77777777" w:rsidR="008020E2" w:rsidRDefault="00137C20">
      <w:pPr>
        <w:widowControl w:val="0"/>
        <w:numPr>
          <w:ilvl w:val="0"/>
          <w:numId w:val="34"/>
        </w:numPr>
        <w:tabs>
          <w:tab w:val="left" w:pos="567"/>
        </w:tabs>
        <w:spacing w:line="260" w:lineRule="exact"/>
        <w:ind w:left="567" w:right="-29" w:hanging="567"/>
        <w:rPr>
          <w:noProof/>
          <w:snapToGrid w:val="0"/>
          <w:szCs w:val="22"/>
          <w:lang w:val="en-GB"/>
        </w:rPr>
      </w:pPr>
      <w:r>
        <w:rPr>
          <w:noProof/>
          <w:snapToGrid w:val="0"/>
          <w:szCs w:val="22"/>
          <w:lang w:val="en-GB"/>
        </w:rPr>
        <w:t>krūtų padidėjimas vyrams (ginekomastija).</w:t>
      </w:r>
    </w:p>
    <w:p w14:paraId="19437869" w14:textId="77777777" w:rsidR="008020E2" w:rsidRDefault="008020E2">
      <w:pPr>
        <w:widowControl w:val="0"/>
        <w:numPr>
          <w:ilvl w:val="12"/>
          <w:numId w:val="0"/>
        </w:numPr>
        <w:ind w:right="-29"/>
        <w:rPr>
          <w:noProof/>
          <w:snapToGrid w:val="0"/>
          <w:szCs w:val="22"/>
          <w:lang w:val="en-GB"/>
        </w:rPr>
      </w:pPr>
    </w:p>
    <w:p w14:paraId="4C6F0440" w14:textId="77777777" w:rsidR="008020E2" w:rsidRPr="006174FB" w:rsidRDefault="00137C20">
      <w:pPr>
        <w:widowControl w:val="0"/>
        <w:numPr>
          <w:ilvl w:val="12"/>
          <w:numId w:val="0"/>
        </w:numPr>
        <w:ind w:right="-29"/>
        <w:rPr>
          <w:lang w:val="pt-PT"/>
        </w:rPr>
      </w:pPr>
      <w:r>
        <w:rPr>
          <w:noProof/>
          <w:snapToGrid w:val="0"/>
          <w:szCs w:val="22"/>
        </w:rPr>
        <w:t>Šalutinio poveikio reiškiniai, kurių dažnis nežinomas (negali būti apskaičiuotas pagal turimus duomenis):</w:t>
      </w:r>
    </w:p>
    <w:p w14:paraId="5A02D641"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išliekantis raumenų silpnumas;</w:t>
      </w:r>
    </w:p>
    <w:p w14:paraId="39E24EA2"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į vilkligę panašus sindromas (įskaitant išbėrimą, sąnarių sutrikimus ir poveikį kraujo ląstelėms);</w:t>
      </w:r>
    </w:p>
    <w:p w14:paraId="39EF8095" w14:textId="77777777" w:rsidR="008020E2" w:rsidRDefault="00137C20">
      <w:pPr>
        <w:widowControl w:val="0"/>
        <w:numPr>
          <w:ilvl w:val="0"/>
          <w:numId w:val="34"/>
        </w:numPr>
        <w:tabs>
          <w:tab w:val="left" w:pos="567"/>
        </w:tabs>
        <w:spacing w:line="260" w:lineRule="exact"/>
        <w:ind w:left="567" w:right="-29" w:hanging="567"/>
        <w:rPr>
          <w:snapToGrid w:val="0"/>
          <w:szCs w:val="22"/>
        </w:rPr>
      </w:pPr>
      <w:proofErr w:type="spellStart"/>
      <w:r>
        <w:rPr>
          <w:snapToGrid w:val="0"/>
          <w:szCs w:val="22"/>
        </w:rPr>
        <w:t>generalizuota</w:t>
      </w:r>
      <w:proofErr w:type="spellEnd"/>
      <w:r>
        <w:rPr>
          <w:snapToGrid w:val="0"/>
          <w:szCs w:val="22"/>
        </w:rPr>
        <w:t xml:space="preserve"> </w:t>
      </w:r>
      <w:proofErr w:type="spellStart"/>
      <w:r>
        <w:rPr>
          <w:snapToGrid w:val="0"/>
          <w:szCs w:val="22"/>
        </w:rPr>
        <w:t>miastenija</w:t>
      </w:r>
      <w:proofErr w:type="spellEnd"/>
      <w:r>
        <w:rPr>
          <w:snapToGrid w:val="0"/>
          <w:szCs w:val="22"/>
        </w:rPr>
        <w:t xml:space="preserve"> (liga, sukelianti bendrą raumenų silpnumą, įskaitant kai kuriais atvejais kvėpavimo raumenis);</w:t>
      </w:r>
    </w:p>
    <w:p w14:paraId="3424A4E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 xml:space="preserve">akių </w:t>
      </w:r>
      <w:proofErr w:type="spellStart"/>
      <w:r>
        <w:rPr>
          <w:snapToGrid w:val="0"/>
          <w:szCs w:val="22"/>
        </w:rPr>
        <w:t>miastenija</w:t>
      </w:r>
      <w:proofErr w:type="spellEnd"/>
      <w:r>
        <w:rPr>
          <w:snapToGrid w:val="0"/>
          <w:szCs w:val="22"/>
        </w:rPr>
        <w:t xml:space="preserve"> (liga, sukelianti akių raumenų silpnumą).</w:t>
      </w:r>
    </w:p>
    <w:p w14:paraId="7CD70469" w14:textId="77777777" w:rsidR="008020E2" w:rsidRDefault="008020E2">
      <w:pPr>
        <w:widowControl w:val="0"/>
        <w:numPr>
          <w:ilvl w:val="12"/>
          <w:numId w:val="0"/>
        </w:numPr>
        <w:ind w:right="-29"/>
        <w:rPr>
          <w:snapToGrid w:val="0"/>
          <w:szCs w:val="22"/>
        </w:rPr>
      </w:pPr>
    </w:p>
    <w:p w14:paraId="5FD12FD2" w14:textId="77777777" w:rsidR="008020E2" w:rsidRDefault="00137C20">
      <w:pPr>
        <w:widowControl w:val="0"/>
        <w:numPr>
          <w:ilvl w:val="12"/>
          <w:numId w:val="0"/>
        </w:numPr>
        <w:ind w:right="-29"/>
        <w:rPr>
          <w:snapToGrid w:val="0"/>
          <w:szCs w:val="22"/>
        </w:rPr>
      </w:pPr>
      <w:r>
        <w:rPr>
          <w:snapToGrid w:val="0"/>
          <w:szCs w:val="22"/>
        </w:rPr>
        <w:t>Pasitarkite su gydytoju, jei pasireiškia rankų ar kojų silpnumas, kuris sustiprėja po tam tikro aktyvumo, dvejinasi matomas vaizdas ar nusileidžia vokai, sunku ryti ar jaučiate dusulį.</w:t>
      </w:r>
    </w:p>
    <w:p w14:paraId="772478E8" w14:textId="77777777" w:rsidR="008020E2" w:rsidRDefault="008020E2">
      <w:pPr>
        <w:widowControl w:val="0"/>
        <w:numPr>
          <w:ilvl w:val="12"/>
          <w:numId w:val="0"/>
        </w:numPr>
        <w:ind w:right="-29"/>
        <w:rPr>
          <w:snapToGrid w:val="0"/>
          <w:szCs w:val="22"/>
        </w:rPr>
      </w:pPr>
    </w:p>
    <w:p w14:paraId="4D3F5285" w14:textId="77777777" w:rsidR="008020E2" w:rsidRDefault="00137C20">
      <w:pPr>
        <w:widowControl w:val="0"/>
        <w:numPr>
          <w:ilvl w:val="12"/>
          <w:numId w:val="0"/>
        </w:numPr>
        <w:ind w:right="-29"/>
        <w:rPr>
          <w:snapToGrid w:val="0"/>
          <w:szCs w:val="22"/>
        </w:rPr>
      </w:pPr>
      <w:r>
        <w:rPr>
          <w:snapToGrid w:val="0"/>
          <w:szCs w:val="22"/>
        </w:rPr>
        <w:t>Kitas galimas šalutinis poveikis:</w:t>
      </w:r>
    </w:p>
    <w:p w14:paraId="114D8412"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atminties praradimas;</w:t>
      </w:r>
    </w:p>
    <w:p w14:paraId="65D07284"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lytinės veiklos sutrikimai;</w:t>
      </w:r>
    </w:p>
    <w:p w14:paraId="08C612D7"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depresija;</w:t>
      </w:r>
    </w:p>
    <w:p w14:paraId="31CD7043" w14:textId="77777777" w:rsidR="008020E2" w:rsidRDefault="00137C20">
      <w:pPr>
        <w:widowControl w:val="0"/>
        <w:numPr>
          <w:ilvl w:val="0"/>
          <w:numId w:val="34"/>
        </w:numPr>
        <w:tabs>
          <w:tab w:val="left" w:pos="567"/>
        </w:tabs>
        <w:spacing w:line="260" w:lineRule="exact"/>
        <w:ind w:left="567" w:right="-29" w:hanging="567"/>
        <w:rPr>
          <w:snapToGrid w:val="0"/>
          <w:szCs w:val="22"/>
        </w:rPr>
      </w:pPr>
      <w:r>
        <w:rPr>
          <w:snapToGrid w:val="0"/>
          <w:szCs w:val="22"/>
        </w:rPr>
        <w:t>cukrinis diabetas. Tai labiau tikėtina, jei Jūsų kraujyje yra didelis cukraus ir riebalų kiekis, turite antsvorio ir aukštą kraujospūdį. Gydytojas gali Jus stebėti, kol vartojate šį vaistą.</w:t>
      </w:r>
    </w:p>
    <w:p w14:paraId="31588FFC" w14:textId="77777777" w:rsidR="008020E2" w:rsidRDefault="008020E2">
      <w:pPr>
        <w:widowControl w:val="0"/>
        <w:numPr>
          <w:ilvl w:val="12"/>
          <w:numId w:val="0"/>
        </w:numPr>
        <w:ind w:right="-29"/>
        <w:rPr>
          <w:snapToGrid w:val="0"/>
          <w:szCs w:val="22"/>
        </w:rPr>
      </w:pPr>
    </w:p>
    <w:p w14:paraId="2D9881A0" w14:textId="77777777" w:rsidR="008020E2" w:rsidRDefault="00137C20">
      <w:pPr>
        <w:widowControl w:val="0"/>
        <w:tabs>
          <w:tab w:val="left" w:pos="567"/>
        </w:tabs>
        <w:rPr>
          <w:b/>
          <w:snapToGrid w:val="0"/>
          <w:szCs w:val="22"/>
        </w:rPr>
      </w:pPr>
      <w:r>
        <w:rPr>
          <w:b/>
          <w:snapToGrid w:val="0"/>
          <w:szCs w:val="22"/>
        </w:rPr>
        <w:t>Pranešimas apie šalutinį poveikį</w:t>
      </w:r>
    </w:p>
    <w:p w14:paraId="640B0886" w14:textId="77777777" w:rsidR="00DB51E6" w:rsidRDefault="00DB51E6" w:rsidP="00DB51E6">
      <w:pPr>
        <w:tabs>
          <w:tab w:val="left" w:pos="567"/>
        </w:tabs>
        <w:ind w:right="-29"/>
        <w:rPr>
          <w:noProof/>
          <w:snapToGrid w:val="0"/>
        </w:rPr>
      </w:pPr>
      <w:bookmarkStart w:id="5" w:name="_Hlk171521894"/>
      <w:r>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bookmarkEnd w:id="5"/>
    <w:p w14:paraId="11E48526" w14:textId="77777777" w:rsidR="008020E2" w:rsidRDefault="008020E2">
      <w:pPr>
        <w:widowControl w:val="0"/>
        <w:tabs>
          <w:tab w:val="left" w:pos="567"/>
        </w:tabs>
        <w:ind w:right="-449"/>
        <w:rPr>
          <w:snapToGrid w:val="0"/>
          <w:szCs w:val="22"/>
        </w:rPr>
      </w:pPr>
    </w:p>
    <w:p w14:paraId="06D4AD98" w14:textId="77777777" w:rsidR="008020E2" w:rsidRDefault="008020E2">
      <w:pPr>
        <w:widowControl w:val="0"/>
        <w:tabs>
          <w:tab w:val="left" w:pos="567"/>
        </w:tabs>
        <w:ind w:right="-449"/>
        <w:rPr>
          <w:snapToGrid w:val="0"/>
          <w:szCs w:val="22"/>
        </w:rPr>
      </w:pPr>
    </w:p>
    <w:p w14:paraId="281448D5"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5.</w:t>
      </w:r>
      <w:r>
        <w:rPr>
          <w:b/>
          <w:bCs/>
          <w:snapToGrid w:val="0"/>
          <w:szCs w:val="22"/>
          <w:lang w:eastAsia="x-none"/>
        </w:rPr>
        <w:tab/>
        <w:t xml:space="preserve">Kaip laikyti </w:t>
      </w:r>
      <w:proofErr w:type="spellStart"/>
      <w:r>
        <w:rPr>
          <w:b/>
          <w:bCs/>
          <w:snapToGrid w:val="0"/>
          <w:szCs w:val="22"/>
          <w:lang w:eastAsia="x-none"/>
        </w:rPr>
        <w:t>Pitipix</w:t>
      </w:r>
      <w:proofErr w:type="spellEnd"/>
    </w:p>
    <w:p w14:paraId="2D3AD817" w14:textId="77777777" w:rsidR="008020E2" w:rsidRDefault="008020E2">
      <w:pPr>
        <w:widowControl w:val="0"/>
        <w:numPr>
          <w:ilvl w:val="12"/>
          <w:numId w:val="0"/>
        </w:numPr>
        <w:rPr>
          <w:snapToGrid w:val="0"/>
          <w:szCs w:val="22"/>
        </w:rPr>
      </w:pPr>
    </w:p>
    <w:p w14:paraId="4580B37C" w14:textId="77777777" w:rsidR="008020E2" w:rsidRDefault="00137C20">
      <w:pPr>
        <w:widowControl w:val="0"/>
        <w:numPr>
          <w:ilvl w:val="12"/>
          <w:numId w:val="0"/>
        </w:numPr>
        <w:ind w:right="-2"/>
        <w:rPr>
          <w:snapToGrid w:val="0"/>
          <w:szCs w:val="22"/>
        </w:rPr>
      </w:pPr>
      <w:r>
        <w:rPr>
          <w:snapToGrid w:val="0"/>
          <w:szCs w:val="22"/>
        </w:rPr>
        <w:t>Šį vaistą laikykite vaikams nepastebimoje ir nepasiekiamoje vietoje.</w:t>
      </w:r>
    </w:p>
    <w:p w14:paraId="757280AC" w14:textId="77777777" w:rsidR="008020E2" w:rsidRDefault="008020E2">
      <w:pPr>
        <w:widowControl w:val="0"/>
        <w:numPr>
          <w:ilvl w:val="12"/>
          <w:numId w:val="0"/>
        </w:numPr>
        <w:ind w:right="-2"/>
        <w:rPr>
          <w:snapToGrid w:val="0"/>
          <w:szCs w:val="22"/>
        </w:rPr>
      </w:pPr>
    </w:p>
    <w:p w14:paraId="44BF4484" w14:textId="77777777" w:rsidR="008020E2" w:rsidRDefault="00137C20">
      <w:pPr>
        <w:widowControl w:val="0"/>
        <w:tabs>
          <w:tab w:val="left" w:pos="567"/>
        </w:tabs>
        <w:rPr>
          <w:snapToGrid w:val="0"/>
          <w:szCs w:val="22"/>
        </w:rPr>
      </w:pPr>
      <w:r>
        <w:rPr>
          <w:snapToGrid w:val="0"/>
          <w:szCs w:val="22"/>
        </w:rPr>
        <w:t>Ant dėžutės ir lizdinės plokštelės po „EXP“ nurodytam tinkamumo laikui pasibaigus, šio vaisto vartoti negalima. Vaistas tinkamas vartoti iki paskutinės nurodyto mėnesio dienos.</w:t>
      </w:r>
    </w:p>
    <w:p w14:paraId="78B44382" w14:textId="77777777" w:rsidR="008020E2" w:rsidRDefault="008020E2">
      <w:pPr>
        <w:widowControl w:val="0"/>
        <w:tabs>
          <w:tab w:val="left" w:pos="567"/>
        </w:tabs>
        <w:rPr>
          <w:snapToGrid w:val="0"/>
          <w:szCs w:val="22"/>
        </w:rPr>
      </w:pPr>
    </w:p>
    <w:p w14:paraId="368EBDF9" w14:textId="77777777" w:rsidR="008020E2" w:rsidRDefault="00137C20">
      <w:pPr>
        <w:widowControl w:val="0"/>
        <w:tabs>
          <w:tab w:val="left" w:pos="567"/>
        </w:tabs>
        <w:rPr>
          <w:snapToGrid w:val="0"/>
          <w:szCs w:val="22"/>
        </w:rPr>
      </w:pPr>
      <w:r>
        <w:rPr>
          <w:snapToGrid w:val="0"/>
          <w:szCs w:val="22"/>
        </w:rPr>
        <w:t>Šiam vaistui specialių laikymo sąlygų nereikia.</w:t>
      </w:r>
    </w:p>
    <w:p w14:paraId="1D1ADB17" w14:textId="77777777" w:rsidR="008020E2" w:rsidRDefault="008020E2">
      <w:pPr>
        <w:widowControl w:val="0"/>
        <w:numPr>
          <w:ilvl w:val="12"/>
          <w:numId w:val="0"/>
        </w:numPr>
        <w:ind w:right="-2"/>
        <w:rPr>
          <w:snapToGrid w:val="0"/>
          <w:szCs w:val="22"/>
        </w:rPr>
      </w:pPr>
    </w:p>
    <w:p w14:paraId="2A53CED5" w14:textId="77777777" w:rsidR="008020E2" w:rsidRDefault="00137C20">
      <w:pPr>
        <w:widowControl w:val="0"/>
        <w:numPr>
          <w:ilvl w:val="12"/>
          <w:numId w:val="0"/>
        </w:numPr>
        <w:ind w:right="-2"/>
        <w:rPr>
          <w:i/>
          <w:snapToGrid w:val="0"/>
          <w:szCs w:val="22"/>
        </w:rPr>
      </w:pPr>
      <w:r>
        <w:rPr>
          <w:snapToGrid w:val="0"/>
          <w:szCs w:val="22"/>
        </w:rPr>
        <w:t>Vaistų negalima išmesti į kanalizaciją arba su buitinėmis atliekomis. Kaip išmesti nereikalingus vaistus, klauskite vaistininko. Šios priemonės padės apsaugoti aplinką.</w:t>
      </w:r>
    </w:p>
    <w:p w14:paraId="6C32942C" w14:textId="77777777" w:rsidR="008020E2" w:rsidRDefault="008020E2">
      <w:pPr>
        <w:widowControl w:val="0"/>
        <w:numPr>
          <w:ilvl w:val="12"/>
          <w:numId w:val="0"/>
        </w:numPr>
        <w:ind w:right="-2"/>
        <w:rPr>
          <w:snapToGrid w:val="0"/>
          <w:szCs w:val="22"/>
        </w:rPr>
      </w:pPr>
    </w:p>
    <w:p w14:paraId="6B6B512B" w14:textId="77777777" w:rsidR="008020E2" w:rsidRDefault="008020E2">
      <w:pPr>
        <w:widowControl w:val="0"/>
        <w:numPr>
          <w:ilvl w:val="12"/>
          <w:numId w:val="0"/>
        </w:numPr>
        <w:ind w:right="-2"/>
        <w:rPr>
          <w:snapToGrid w:val="0"/>
          <w:szCs w:val="22"/>
        </w:rPr>
      </w:pPr>
    </w:p>
    <w:p w14:paraId="0F15E220" w14:textId="77777777" w:rsidR="008020E2" w:rsidRDefault="00137C20">
      <w:pPr>
        <w:widowControl w:val="0"/>
        <w:tabs>
          <w:tab w:val="left" w:pos="567"/>
        </w:tabs>
        <w:outlineLvl w:val="2"/>
        <w:rPr>
          <w:b/>
          <w:bCs/>
          <w:snapToGrid w:val="0"/>
          <w:szCs w:val="22"/>
          <w:lang w:eastAsia="x-none"/>
        </w:rPr>
      </w:pPr>
      <w:r>
        <w:rPr>
          <w:b/>
          <w:bCs/>
          <w:snapToGrid w:val="0"/>
          <w:szCs w:val="22"/>
          <w:lang w:eastAsia="x-none"/>
        </w:rPr>
        <w:t>6.</w:t>
      </w:r>
      <w:r>
        <w:rPr>
          <w:bCs/>
          <w:snapToGrid w:val="0"/>
          <w:szCs w:val="22"/>
          <w:lang w:eastAsia="x-none"/>
        </w:rPr>
        <w:tab/>
      </w:r>
      <w:r>
        <w:rPr>
          <w:b/>
          <w:bCs/>
          <w:snapToGrid w:val="0"/>
          <w:szCs w:val="22"/>
          <w:lang w:eastAsia="x-none"/>
        </w:rPr>
        <w:t>Pakuotės turinys ir kita informacija</w:t>
      </w:r>
    </w:p>
    <w:p w14:paraId="559090B5" w14:textId="77777777" w:rsidR="008020E2" w:rsidRDefault="008020E2">
      <w:pPr>
        <w:widowControl w:val="0"/>
        <w:numPr>
          <w:ilvl w:val="12"/>
          <w:numId w:val="0"/>
        </w:numPr>
        <w:rPr>
          <w:snapToGrid w:val="0"/>
          <w:szCs w:val="22"/>
        </w:rPr>
      </w:pPr>
    </w:p>
    <w:p w14:paraId="260C5A9B" w14:textId="77777777" w:rsidR="008020E2" w:rsidRDefault="00137C20">
      <w:pPr>
        <w:widowControl w:val="0"/>
        <w:tabs>
          <w:tab w:val="left" w:pos="567"/>
        </w:tabs>
        <w:jc w:val="both"/>
        <w:outlineLvl w:val="3"/>
        <w:rPr>
          <w:b/>
          <w:bCs/>
          <w:snapToGrid w:val="0"/>
          <w:szCs w:val="22"/>
          <w:lang w:eastAsia="x-none"/>
        </w:rPr>
      </w:pPr>
      <w:proofErr w:type="spellStart"/>
      <w:r>
        <w:rPr>
          <w:b/>
          <w:bCs/>
          <w:snapToGrid w:val="0"/>
          <w:szCs w:val="22"/>
          <w:lang w:eastAsia="x-none"/>
        </w:rPr>
        <w:t>Pitipix</w:t>
      </w:r>
      <w:proofErr w:type="spellEnd"/>
      <w:r>
        <w:rPr>
          <w:b/>
          <w:bCs/>
          <w:snapToGrid w:val="0"/>
          <w:szCs w:val="22"/>
          <w:lang w:eastAsia="x-none"/>
        </w:rPr>
        <w:t xml:space="preserve"> sudėtis</w:t>
      </w:r>
    </w:p>
    <w:p w14:paraId="42FCA089" w14:textId="77777777" w:rsidR="008020E2" w:rsidRDefault="00137C20">
      <w:pPr>
        <w:widowControl w:val="0"/>
        <w:numPr>
          <w:ilvl w:val="0"/>
          <w:numId w:val="11"/>
        </w:numPr>
        <w:tabs>
          <w:tab w:val="left" w:pos="567"/>
        </w:tabs>
        <w:spacing w:line="260" w:lineRule="exact"/>
        <w:ind w:left="567" w:hanging="567"/>
        <w:contextualSpacing/>
        <w:rPr>
          <w:snapToGrid w:val="0"/>
          <w:szCs w:val="22"/>
        </w:rPr>
      </w:pPr>
      <w:r>
        <w:rPr>
          <w:snapToGrid w:val="0"/>
          <w:szCs w:val="22"/>
        </w:rPr>
        <w:t xml:space="preserve">Veiklioji medžiaga yra </w:t>
      </w:r>
      <w:proofErr w:type="spellStart"/>
      <w:r>
        <w:rPr>
          <w:snapToGrid w:val="0"/>
          <w:szCs w:val="22"/>
        </w:rPr>
        <w:t>pitavastatinas</w:t>
      </w:r>
      <w:proofErr w:type="spellEnd"/>
      <w:r>
        <w:rPr>
          <w:snapToGrid w:val="0"/>
          <w:szCs w:val="22"/>
        </w:rPr>
        <w:t>.</w:t>
      </w:r>
    </w:p>
    <w:p w14:paraId="70A77265" w14:textId="6B9ED11C" w:rsidR="008020E2" w:rsidRDefault="00137C20">
      <w:pPr>
        <w:widowControl w:val="0"/>
        <w:ind w:left="567"/>
        <w:contextualSpacing/>
        <w:rPr>
          <w:snapToGrid w:val="0"/>
          <w:szCs w:val="22"/>
        </w:rPr>
      </w:pPr>
      <w:r>
        <w:rPr>
          <w:snapToGrid w:val="0"/>
          <w:szCs w:val="22"/>
        </w:rPr>
        <w:t xml:space="preserve">Kiekvienoje plėvele dengtoje tabletėje yra 1 mg </w:t>
      </w:r>
      <w:proofErr w:type="spellStart"/>
      <w:r>
        <w:rPr>
          <w:snapToGrid w:val="0"/>
          <w:szCs w:val="22"/>
        </w:rPr>
        <w:t>pitavastatino</w:t>
      </w:r>
      <w:proofErr w:type="spellEnd"/>
      <w:r>
        <w:rPr>
          <w:snapToGrid w:val="0"/>
          <w:szCs w:val="22"/>
        </w:rPr>
        <w:t xml:space="preserve"> (</w:t>
      </w:r>
      <w:proofErr w:type="spellStart"/>
      <w:r>
        <w:rPr>
          <w:snapToGrid w:val="0"/>
          <w:szCs w:val="22"/>
        </w:rPr>
        <w:t>pitavastatino</w:t>
      </w:r>
      <w:proofErr w:type="spellEnd"/>
      <w:r>
        <w:rPr>
          <w:snapToGrid w:val="0"/>
          <w:szCs w:val="22"/>
        </w:rPr>
        <w:t xml:space="preserve"> kalcio druskos </w:t>
      </w:r>
      <w:r w:rsidR="00700F2E">
        <w:rPr>
          <w:snapToGrid w:val="0"/>
          <w:szCs w:val="22"/>
        </w:rPr>
        <w:t>pavidalu</w:t>
      </w:r>
      <w:r>
        <w:rPr>
          <w:snapToGrid w:val="0"/>
          <w:szCs w:val="22"/>
        </w:rPr>
        <w:t>).</w:t>
      </w:r>
    </w:p>
    <w:p w14:paraId="62DC8998" w14:textId="46C9102A" w:rsidR="008020E2" w:rsidRDefault="00137C20">
      <w:pPr>
        <w:widowControl w:val="0"/>
        <w:ind w:left="567"/>
        <w:contextualSpacing/>
        <w:rPr>
          <w:snapToGrid w:val="0"/>
          <w:szCs w:val="22"/>
        </w:rPr>
      </w:pPr>
      <w:r>
        <w:rPr>
          <w:snapToGrid w:val="0"/>
          <w:szCs w:val="22"/>
        </w:rPr>
        <w:t xml:space="preserve">Kiekvienoje plėvele dengtoje tabletėje yra 2 mg </w:t>
      </w:r>
      <w:proofErr w:type="spellStart"/>
      <w:r>
        <w:rPr>
          <w:snapToGrid w:val="0"/>
          <w:szCs w:val="22"/>
        </w:rPr>
        <w:t>pitavastatino</w:t>
      </w:r>
      <w:proofErr w:type="spellEnd"/>
      <w:r>
        <w:rPr>
          <w:snapToGrid w:val="0"/>
          <w:szCs w:val="22"/>
        </w:rPr>
        <w:t xml:space="preserve"> (</w:t>
      </w:r>
      <w:proofErr w:type="spellStart"/>
      <w:r>
        <w:rPr>
          <w:snapToGrid w:val="0"/>
          <w:szCs w:val="22"/>
        </w:rPr>
        <w:t>pitavastatino</w:t>
      </w:r>
      <w:proofErr w:type="spellEnd"/>
      <w:r>
        <w:rPr>
          <w:snapToGrid w:val="0"/>
          <w:szCs w:val="22"/>
        </w:rPr>
        <w:t xml:space="preserve"> kalcio druskos </w:t>
      </w:r>
      <w:r w:rsidR="00700F2E">
        <w:rPr>
          <w:snapToGrid w:val="0"/>
          <w:szCs w:val="22"/>
        </w:rPr>
        <w:t>pavidalu</w:t>
      </w:r>
      <w:r>
        <w:rPr>
          <w:snapToGrid w:val="0"/>
          <w:szCs w:val="22"/>
        </w:rPr>
        <w:t>).</w:t>
      </w:r>
    </w:p>
    <w:p w14:paraId="419784A1" w14:textId="77777777" w:rsidR="008020E2" w:rsidRDefault="00137C20">
      <w:pPr>
        <w:widowControl w:val="0"/>
        <w:ind w:left="567"/>
        <w:contextualSpacing/>
        <w:rPr>
          <w:snapToGrid w:val="0"/>
          <w:szCs w:val="22"/>
        </w:rPr>
      </w:pPr>
      <w:r>
        <w:rPr>
          <w:snapToGrid w:val="0"/>
          <w:szCs w:val="22"/>
        </w:rPr>
        <w:t xml:space="preserve">Kiekvienoje plėvele dengtoje tabletėje yra 4 mg </w:t>
      </w:r>
      <w:proofErr w:type="spellStart"/>
      <w:r>
        <w:rPr>
          <w:snapToGrid w:val="0"/>
          <w:szCs w:val="22"/>
        </w:rPr>
        <w:t>pitavastatino</w:t>
      </w:r>
      <w:proofErr w:type="spellEnd"/>
      <w:r>
        <w:rPr>
          <w:snapToGrid w:val="0"/>
          <w:szCs w:val="22"/>
        </w:rPr>
        <w:t xml:space="preserve"> (</w:t>
      </w:r>
      <w:proofErr w:type="spellStart"/>
      <w:r>
        <w:rPr>
          <w:snapToGrid w:val="0"/>
          <w:szCs w:val="22"/>
        </w:rPr>
        <w:t>pitavastatino</w:t>
      </w:r>
      <w:proofErr w:type="spellEnd"/>
      <w:r>
        <w:rPr>
          <w:snapToGrid w:val="0"/>
          <w:szCs w:val="22"/>
        </w:rPr>
        <w:t xml:space="preserve"> kalcio druskos forma).</w:t>
      </w:r>
    </w:p>
    <w:p w14:paraId="6CC7EA5B" w14:textId="77777777" w:rsidR="008020E2" w:rsidRDefault="00137C20">
      <w:pPr>
        <w:widowControl w:val="0"/>
        <w:numPr>
          <w:ilvl w:val="0"/>
          <w:numId w:val="11"/>
        </w:numPr>
        <w:tabs>
          <w:tab w:val="left" w:pos="567"/>
        </w:tabs>
        <w:spacing w:line="260" w:lineRule="exact"/>
        <w:ind w:left="567" w:hanging="567"/>
        <w:contextualSpacing/>
        <w:rPr>
          <w:snapToGrid w:val="0"/>
          <w:szCs w:val="22"/>
        </w:rPr>
      </w:pPr>
      <w:r>
        <w:rPr>
          <w:snapToGrid w:val="0"/>
          <w:szCs w:val="22"/>
        </w:rPr>
        <w:t>Pagalbinės medžiagos:</w:t>
      </w:r>
    </w:p>
    <w:p w14:paraId="4C76850B" w14:textId="2A7DF1CD" w:rsidR="008020E2" w:rsidRDefault="00137C20">
      <w:pPr>
        <w:widowControl w:val="0"/>
        <w:ind w:left="567"/>
        <w:contextualSpacing/>
        <w:rPr>
          <w:snapToGrid w:val="0"/>
          <w:szCs w:val="22"/>
        </w:rPr>
      </w:pPr>
      <w:r>
        <w:rPr>
          <w:i/>
          <w:iCs/>
          <w:snapToGrid w:val="0"/>
          <w:szCs w:val="22"/>
        </w:rPr>
        <w:t xml:space="preserve">Tabletės </w:t>
      </w:r>
      <w:r w:rsidR="00700F2E">
        <w:rPr>
          <w:i/>
          <w:iCs/>
          <w:snapToGrid w:val="0"/>
          <w:szCs w:val="22"/>
        </w:rPr>
        <w:t>šerdis</w:t>
      </w:r>
      <w:r>
        <w:rPr>
          <w:snapToGrid w:val="0"/>
          <w:szCs w:val="22"/>
        </w:rPr>
        <w:t xml:space="preserve">: laktozė </w:t>
      </w:r>
      <w:proofErr w:type="spellStart"/>
      <w:r>
        <w:rPr>
          <w:snapToGrid w:val="0"/>
          <w:szCs w:val="22"/>
        </w:rPr>
        <w:t>monohidratas</w:t>
      </w:r>
      <w:proofErr w:type="spellEnd"/>
      <w:r>
        <w:rPr>
          <w:snapToGrid w:val="0"/>
          <w:szCs w:val="22"/>
        </w:rPr>
        <w:t xml:space="preserve">, </w:t>
      </w:r>
      <w:proofErr w:type="spellStart"/>
      <w:r>
        <w:rPr>
          <w:snapToGrid w:val="0"/>
          <w:szCs w:val="22"/>
        </w:rPr>
        <w:t>hipromeliozė</w:t>
      </w:r>
      <w:proofErr w:type="spellEnd"/>
      <w:r>
        <w:rPr>
          <w:snapToGrid w:val="0"/>
          <w:szCs w:val="22"/>
        </w:rPr>
        <w:t xml:space="preserve"> 5 </w:t>
      </w:r>
      <w:proofErr w:type="spellStart"/>
      <w:r>
        <w:rPr>
          <w:snapToGrid w:val="0"/>
          <w:szCs w:val="22"/>
        </w:rPr>
        <w:t>cP</w:t>
      </w:r>
      <w:proofErr w:type="spellEnd"/>
      <w:r>
        <w:rPr>
          <w:snapToGrid w:val="0"/>
          <w:szCs w:val="22"/>
        </w:rPr>
        <w:t xml:space="preserve">, </w:t>
      </w:r>
      <w:proofErr w:type="spellStart"/>
      <w:r>
        <w:rPr>
          <w:snapToGrid w:val="0"/>
          <w:szCs w:val="22"/>
        </w:rPr>
        <w:t>hidroksipropilceliuliozė</w:t>
      </w:r>
      <w:proofErr w:type="spellEnd"/>
      <w:r>
        <w:rPr>
          <w:snapToGrid w:val="0"/>
          <w:szCs w:val="22"/>
        </w:rPr>
        <w:t xml:space="preserve"> (mažai pakeista) ir magnio </w:t>
      </w:r>
      <w:proofErr w:type="spellStart"/>
      <w:r>
        <w:rPr>
          <w:snapToGrid w:val="0"/>
          <w:szCs w:val="22"/>
        </w:rPr>
        <w:t>stearatas</w:t>
      </w:r>
      <w:proofErr w:type="spellEnd"/>
      <w:r>
        <w:rPr>
          <w:snapToGrid w:val="0"/>
          <w:szCs w:val="22"/>
        </w:rPr>
        <w:t>.</w:t>
      </w:r>
    </w:p>
    <w:p w14:paraId="79DAC4B2" w14:textId="3CB21772" w:rsidR="008020E2" w:rsidRDefault="00700F2E">
      <w:pPr>
        <w:widowControl w:val="0"/>
        <w:ind w:left="567"/>
        <w:contextualSpacing/>
        <w:rPr>
          <w:snapToGrid w:val="0"/>
          <w:szCs w:val="22"/>
        </w:rPr>
      </w:pPr>
      <w:r>
        <w:rPr>
          <w:i/>
          <w:iCs/>
          <w:snapToGrid w:val="0"/>
          <w:szCs w:val="22"/>
        </w:rPr>
        <w:t>Tabletės p</w:t>
      </w:r>
      <w:r w:rsidR="00137C20">
        <w:rPr>
          <w:i/>
          <w:iCs/>
          <w:snapToGrid w:val="0"/>
          <w:szCs w:val="22"/>
        </w:rPr>
        <w:t>lėvelė</w:t>
      </w:r>
      <w:r w:rsidR="00137C20">
        <w:rPr>
          <w:snapToGrid w:val="0"/>
          <w:szCs w:val="22"/>
        </w:rPr>
        <w:t xml:space="preserve">: </w:t>
      </w:r>
      <w:proofErr w:type="spellStart"/>
      <w:r w:rsidR="00137C20">
        <w:rPr>
          <w:snapToGrid w:val="0"/>
          <w:szCs w:val="22"/>
        </w:rPr>
        <w:t>hipromeliozė</w:t>
      </w:r>
      <w:proofErr w:type="spellEnd"/>
      <w:r w:rsidR="00137C20">
        <w:rPr>
          <w:snapToGrid w:val="0"/>
          <w:szCs w:val="22"/>
        </w:rPr>
        <w:t xml:space="preserve"> 6 </w:t>
      </w:r>
      <w:proofErr w:type="spellStart"/>
      <w:r w:rsidR="00137C20">
        <w:rPr>
          <w:snapToGrid w:val="0"/>
          <w:szCs w:val="22"/>
        </w:rPr>
        <w:t>cP</w:t>
      </w:r>
      <w:proofErr w:type="spellEnd"/>
      <w:r w:rsidR="00137C20">
        <w:rPr>
          <w:snapToGrid w:val="0"/>
          <w:szCs w:val="22"/>
        </w:rPr>
        <w:t xml:space="preserve">, titano dioksidas (E171), talkas, </w:t>
      </w:r>
      <w:proofErr w:type="spellStart"/>
      <w:r w:rsidR="00137C20">
        <w:rPr>
          <w:snapToGrid w:val="0"/>
          <w:szCs w:val="22"/>
        </w:rPr>
        <w:t>propilenglikolis</w:t>
      </w:r>
      <w:proofErr w:type="spellEnd"/>
      <w:r w:rsidR="00137C20">
        <w:rPr>
          <w:snapToGrid w:val="0"/>
          <w:szCs w:val="22"/>
        </w:rPr>
        <w:t xml:space="preserve"> (E1520), geltonasis geležies oksidas (E172) - </w:t>
      </w:r>
      <w:r w:rsidR="00137C20" w:rsidRPr="006174FB">
        <w:rPr>
          <w:i/>
          <w:iCs/>
          <w:snapToGrid w:val="0"/>
          <w:szCs w:val="22"/>
        </w:rPr>
        <w:t>tik 1 mg ir 2 mg tabletėse</w:t>
      </w:r>
      <w:r w:rsidR="00137C20">
        <w:rPr>
          <w:snapToGrid w:val="0"/>
          <w:szCs w:val="22"/>
        </w:rPr>
        <w:t xml:space="preserve"> ir raudonasis geležies oksidas (E172) - </w:t>
      </w:r>
      <w:r w:rsidR="00137C20" w:rsidRPr="006174FB">
        <w:rPr>
          <w:i/>
          <w:iCs/>
          <w:snapToGrid w:val="0"/>
          <w:szCs w:val="22"/>
        </w:rPr>
        <w:t>tik 2 mg ir 4 mg tabletėse.</w:t>
      </w:r>
      <w:r w:rsidR="00137C20">
        <w:rPr>
          <w:snapToGrid w:val="0"/>
          <w:szCs w:val="22"/>
        </w:rPr>
        <w:t xml:space="preserve"> </w:t>
      </w:r>
    </w:p>
    <w:p w14:paraId="58B8C85D" w14:textId="77777777" w:rsidR="008020E2" w:rsidRDefault="00137C20">
      <w:pPr>
        <w:widowControl w:val="0"/>
        <w:ind w:left="567"/>
        <w:contextualSpacing/>
        <w:rPr>
          <w:snapToGrid w:val="0"/>
          <w:szCs w:val="22"/>
        </w:rPr>
      </w:pPr>
      <w:r>
        <w:rPr>
          <w:snapToGrid w:val="0"/>
          <w:szCs w:val="22"/>
        </w:rPr>
        <w:t>Žr. 2 skyrių „</w:t>
      </w:r>
      <w:proofErr w:type="spellStart"/>
      <w:r>
        <w:rPr>
          <w:snapToGrid w:val="0"/>
          <w:szCs w:val="22"/>
        </w:rPr>
        <w:t>Pitipix</w:t>
      </w:r>
      <w:proofErr w:type="spellEnd"/>
      <w:r>
        <w:rPr>
          <w:snapToGrid w:val="0"/>
          <w:szCs w:val="22"/>
        </w:rPr>
        <w:t xml:space="preserve"> sudėtyje yra laktozės“.</w:t>
      </w:r>
    </w:p>
    <w:p w14:paraId="43EB809C" w14:textId="77777777" w:rsidR="008020E2" w:rsidRDefault="008020E2">
      <w:pPr>
        <w:widowControl w:val="0"/>
        <w:tabs>
          <w:tab w:val="left" w:pos="567"/>
        </w:tabs>
        <w:rPr>
          <w:snapToGrid w:val="0"/>
          <w:szCs w:val="22"/>
        </w:rPr>
      </w:pPr>
    </w:p>
    <w:p w14:paraId="3CB1BEEF" w14:textId="77777777" w:rsidR="008020E2" w:rsidRDefault="00137C20">
      <w:pPr>
        <w:widowControl w:val="0"/>
        <w:tabs>
          <w:tab w:val="left" w:pos="567"/>
        </w:tabs>
        <w:jc w:val="both"/>
        <w:outlineLvl w:val="3"/>
        <w:rPr>
          <w:snapToGrid w:val="0"/>
          <w:szCs w:val="22"/>
        </w:rPr>
      </w:pPr>
      <w:proofErr w:type="spellStart"/>
      <w:r>
        <w:rPr>
          <w:b/>
          <w:bCs/>
          <w:snapToGrid w:val="0"/>
          <w:szCs w:val="22"/>
          <w:lang w:eastAsia="x-none"/>
        </w:rPr>
        <w:t>Pitipix</w:t>
      </w:r>
      <w:proofErr w:type="spellEnd"/>
      <w:r>
        <w:rPr>
          <w:b/>
          <w:bCs/>
          <w:snapToGrid w:val="0"/>
          <w:szCs w:val="22"/>
          <w:lang w:eastAsia="x-none"/>
        </w:rPr>
        <w:t xml:space="preserve"> išvaizda ir kiekis pakuotėje</w:t>
      </w:r>
    </w:p>
    <w:p w14:paraId="09F69DA3" w14:textId="3260B944" w:rsidR="008020E2" w:rsidRDefault="00137C20">
      <w:pPr>
        <w:widowControl w:val="0"/>
        <w:tabs>
          <w:tab w:val="left" w:pos="567"/>
        </w:tabs>
        <w:autoSpaceDE w:val="0"/>
        <w:autoSpaceDN w:val="0"/>
        <w:adjustRightInd w:val="0"/>
        <w:spacing w:line="260" w:lineRule="exact"/>
        <w:rPr>
          <w:snapToGrid w:val="0"/>
          <w:szCs w:val="22"/>
          <w:u w:val="single"/>
        </w:rPr>
      </w:pPr>
      <w:r>
        <w:rPr>
          <w:snapToGrid w:val="0"/>
          <w:szCs w:val="22"/>
          <w:u w:val="single"/>
        </w:rPr>
        <w:t>1 mg plėvele dengtos tabletės</w:t>
      </w:r>
      <w:r>
        <w:rPr>
          <w:snapToGrid w:val="0"/>
          <w:szCs w:val="22"/>
        </w:rPr>
        <w:t xml:space="preserve">: rusvai geltonos, apvalios, abipus išgaubtos, plėvele dengtos tabletės, kurių vienoje pusėje įspausta žyma „1“. Tabletės skersmuo </w:t>
      </w:r>
      <w:r w:rsidR="00700F2E">
        <w:rPr>
          <w:snapToGrid w:val="0"/>
          <w:szCs w:val="22"/>
        </w:rPr>
        <w:t>apytiksliai</w:t>
      </w:r>
      <w:r>
        <w:rPr>
          <w:snapToGrid w:val="0"/>
          <w:szCs w:val="22"/>
        </w:rPr>
        <w:t xml:space="preserve"> </w:t>
      </w:r>
      <w:r>
        <w:rPr>
          <w:bCs/>
          <w:snapToGrid w:val="0"/>
          <w:szCs w:val="22"/>
        </w:rPr>
        <w:t>6 mm.</w:t>
      </w:r>
    </w:p>
    <w:p w14:paraId="550A1C47" w14:textId="77777777" w:rsidR="008020E2" w:rsidRDefault="008020E2">
      <w:pPr>
        <w:widowControl w:val="0"/>
        <w:tabs>
          <w:tab w:val="left" w:pos="567"/>
        </w:tabs>
        <w:autoSpaceDE w:val="0"/>
        <w:autoSpaceDN w:val="0"/>
        <w:adjustRightInd w:val="0"/>
        <w:spacing w:line="260" w:lineRule="exact"/>
        <w:rPr>
          <w:snapToGrid w:val="0"/>
          <w:szCs w:val="22"/>
          <w:u w:val="single"/>
        </w:rPr>
      </w:pPr>
    </w:p>
    <w:p w14:paraId="7FEBB41E" w14:textId="5BB646D7" w:rsidR="008020E2" w:rsidRDefault="00137C20">
      <w:pPr>
        <w:widowControl w:val="0"/>
        <w:tabs>
          <w:tab w:val="left" w:pos="567"/>
        </w:tabs>
        <w:autoSpaceDE w:val="0"/>
        <w:autoSpaceDN w:val="0"/>
        <w:adjustRightInd w:val="0"/>
        <w:spacing w:line="260" w:lineRule="exact"/>
        <w:rPr>
          <w:snapToGrid w:val="0"/>
          <w:szCs w:val="22"/>
          <w:u w:val="single"/>
        </w:rPr>
      </w:pPr>
      <w:r>
        <w:rPr>
          <w:snapToGrid w:val="0"/>
          <w:szCs w:val="22"/>
          <w:u w:val="single"/>
        </w:rPr>
        <w:t>2 mg plėvele dengtos tabletės</w:t>
      </w:r>
      <w:r>
        <w:rPr>
          <w:snapToGrid w:val="0"/>
          <w:szCs w:val="22"/>
        </w:rPr>
        <w:t xml:space="preserve">: rusvai oranžinės, apvalios, abipus išgaubtos, plėvele dengtos tabletės, kurių vienoje pusėje įspausta žyma „2“. Tabletės skersmuo </w:t>
      </w:r>
      <w:r w:rsidR="00700F2E">
        <w:rPr>
          <w:snapToGrid w:val="0"/>
          <w:szCs w:val="22"/>
        </w:rPr>
        <w:t>apytiksliai</w:t>
      </w:r>
      <w:r>
        <w:rPr>
          <w:snapToGrid w:val="0"/>
          <w:szCs w:val="22"/>
        </w:rPr>
        <w:t xml:space="preserve"> 7</w:t>
      </w:r>
      <w:r>
        <w:rPr>
          <w:bCs/>
          <w:snapToGrid w:val="0"/>
          <w:szCs w:val="22"/>
        </w:rPr>
        <w:t> mm.</w:t>
      </w:r>
    </w:p>
    <w:p w14:paraId="1069EB6C" w14:textId="77777777" w:rsidR="008020E2" w:rsidRDefault="008020E2">
      <w:pPr>
        <w:widowControl w:val="0"/>
        <w:tabs>
          <w:tab w:val="left" w:pos="567"/>
        </w:tabs>
        <w:autoSpaceDE w:val="0"/>
        <w:autoSpaceDN w:val="0"/>
        <w:adjustRightInd w:val="0"/>
        <w:spacing w:line="260" w:lineRule="exact"/>
        <w:rPr>
          <w:snapToGrid w:val="0"/>
          <w:szCs w:val="22"/>
          <w:u w:val="single"/>
        </w:rPr>
      </w:pPr>
    </w:p>
    <w:p w14:paraId="4A793FE9" w14:textId="7931B4F6" w:rsidR="008020E2" w:rsidRDefault="00137C20">
      <w:pPr>
        <w:widowControl w:val="0"/>
        <w:tabs>
          <w:tab w:val="left" w:pos="567"/>
        </w:tabs>
        <w:autoSpaceDE w:val="0"/>
        <w:autoSpaceDN w:val="0"/>
        <w:adjustRightInd w:val="0"/>
        <w:spacing w:line="260" w:lineRule="exact"/>
        <w:rPr>
          <w:snapToGrid w:val="0"/>
          <w:szCs w:val="22"/>
          <w:u w:val="single"/>
        </w:rPr>
      </w:pPr>
      <w:r>
        <w:rPr>
          <w:snapToGrid w:val="0"/>
          <w:szCs w:val="22"/>
          <w:u w:val="single"/>
        </w:rPr>
        <w:t>4 mg plėvele dengtos tabletės</w:t>
      </w:r>
      <w:r>
        <w:rPr>
          <w:snapToGrid w:val="0"/>
          <w:szCs w:val="22"/>
        </w:rPr>
        <w:t xml:space="preserve">: rusvai raudonos, apvalios, abipus išgaubtos, plėvele dengtos tabletės, kurių vienoje pusėje įspausta žyma „4“. Tabletės skersmuo </w:t>
      </w:r>
      <w:r w:rsidR="00700F2E">
        <w:rPr>
          <w:snapToGrid w:val="0"/>
          <w:szCs w:val="22"/>
        </w:rPr>
        <w:t>apytiksliai</w:t>
      </w:r>
      <w:r>
        <w:rPr>
          <w:snapToGrid w:val="0"/>
          <w:szCs w:val="22"/>
        </w:rPr>
        <w:t xml:space="preserve"> </w:t>
      </w:r>
      <w:r>
        <w:rPr>
          <w:bCs/>
          <w:snapToGrid w:val="0"/>
          <w:szCs w:val="22"/>
        </w:rPr>
        <w:t>9 mm.</w:t>
      </w:r>
    </w:p>
    <w:p w14:paraId="2895B7E5" w14:textId="77777777" w:rsidR="008020E2" w:rsidRDefault="008020E2">
      <w:pPr>
        <w:widowControl w:val="0"/>
        <w:rPr>
          <w:snapToGrid w:val="0"/>
          <w:szCs w:val="22"/>
        </w:rPr>
      </w:pPr>
    </w:p>
    <w:p w14:paraId="12BC9566" w14:textId="77777777" w:rsidR="008020E2" w:rsidRDefault="00137C20">
      <w:pPr>
        <w:widowControl w:val="0"/>
        <w:rPr>
          <w:snapToGrid w:val="0"/>
          <w:szCs w:val="22"/>
          <w:lang w:eastAsia="x-none"/>
        </w:rPr>
      </w:pPr>
      <w:proofErr w:type="spellStart"/>
      <w:r>
        <w:rPr>
          <w:snapToGrid w:val="0"/>
          <w:szCs w:val="22"/>
          <w:lang w:eastAsia="x-none"/>
        </w:rPr>
        <w:t>Pitipix</w:t>
      </w:r>
      <w:proofErr w:type="spellEnd"/>
      <w:r>
        <w:rPr>
          <w:snapToGrid w:val="0"/>
          <w:szCs w:val="22"/>
          <w:lang w:eastAsia="x-none"/>
        </w:rPr>
        <w:t xml:space="preserve"> tiekiamas dėžutėse, kuriose yra:</w:t>
      </w:r>
    </w:p>
    <w:p w14:paraId="67BC2F49" w14:textId="77777777" w:rsidR="008020E2" w:rsidRDefault="00137C20">
      <w:pPr>
        <w:widowControl w:val="0"/>
        <w:numPr>
          <w:ilvl w:val="0"/>
          <w:numId w:val="39"/>
        </w:numPr>
        <w:tabs>
          <w:tab w:val="left" w:pos="567"/>
        </w:tabs>
        <w:spacing w:line="260" w:lineRule="exact"/>
        <w:ind w:left="567" w:hanging="567"/>
        <w:rPr>
          <w:snapToGrid w:val="0"/>
          <w:szCs w:val="22"/>
          <w:lang w:eastAsia="x-none"/>
        </w:rPr>
      </w:pPr>
      <w:r>
        <w:rPr>
          <w:snapToGrid w:val="0"/>
          <w:szCs w:val="22"/>
          <w:lang w:eastAsia="x-none"/>
        </w:rPr>
        <w:t>7, 28, 30, 56, 60, 84, 90 arba 100 tablečių lizdinėse plokštelėse;</w:t>
      </w:r>
    </w:p>
    <w:p w14:paraId="396EFD6E" w14:textId="77777777" w:rsidR="008020E2" w:rsidRDefault="00137C20">
      <w:pPr>
        <w:widowControl w:val="0"/>
        <w:numPr>
          <w:ilvl w:val="0"/>
          <w:numId w:val="39"/>
        </w:numPr>
        <w:tabs>
          <w:tab w:val="left" w:pos="567"/>
        </w:tabs>
        <w:spacing w:line="260" w:lineRule="exact"/>
        <w:ind w:left="567" w:hanging="567"/>
        <w:rPr>
          <w:snapToGrid w:val="0"/>
          <w:szCs w:val="22"/>
          <w:lang w:eastAsia="x-none"/>
        </w:rPr>
      </w:pPr>
      <w:r>
        <w:rPr>
          <w:snapToGrid w:val="0"/>
          <w:szCs w:val="22"/>
          <w:lang w:eastAsia="x-none"/>
        </w:rPr>
        <w:t>7, 28, 56 arba 84 tabletės lizdinėse plokštelėse, kalendorinėje pakuotėje;</w:t>
      </w:r>
    </w:p>
    <w:p w14:paraId="71FD2CBD" w14:textId="77777777" w:rsidR="008020E2" w:rsidRDefault="00137C20">
      <w:pPr>
        <w:widowControl w:val="0"/>
        <w:numPr>
          <w:ilvl w:val="0"/>
          <w:numId w:val="39"/>
        </w:numPr>
        <w:tabs>
          <w:tab w:val="left" w:pos="567"/>
        </w:tabs>
        <w:spacing w:line="260" w:lineRule="exact"/>
        <w:ind w:left="567" w:hanging="567"/>
        <w:rPr>
          <w:snapToGrid w:val="0"/>
          <w:szCs w:val="22"/>
        </w:rPr>
      </w:pPr>
      <w:r>
        <w:rPr>
          <w:snapToGrid w:val="0"/>
          <w:szCs w:val="22"/>
          <w:lang w:eastAsia="x-none"/>
        </w:rPr>
        <w:t xml:space="preserve">7 × 1, 28 × 1, 30 × 1, 56 × 1, 60 × 1, 84 × 1, 90 × 1 arba 100 × 1 tablečių perforuotose </w:t>
      </w:r>
      <w:proofErr w:type="spellStart"/>
      <w:r>
        <w:rPr>
          <w:snapToGrid w:val="0"/>
          <w:szCs w:val="22"/>
          <w:lang w:eastAsia="x-none"/>
        </w:rPr>
        <w:t>dalomosiose</w:t>
      </w:r>
      <w:proofErr w:type="spellEnd"/>
      <w:r>
        <w:rPr>
          <w:snapToGrid w:val="0"/>
          <w:szCs w:val="22"/>
          <w:lang w:eastAsia="x-none"/>
        </w:rPr>
        <w:t xml:space="preserve"> lizdinėse plokštelėse;</w:t>
      </w:r>
    </w:p>
    <w:p w14:paraId="18AA4F51" w14:textId="02F840F9" w:rsidR="008020E2" w:rsidRDefault="00137C20">
      <w:pPr>
        <w:widowControl w:val="0"/>
        <w:numPr>
          <w:ilvl w:val="0"/>
          <w:numId w:val="39"/>
        </w:numPr>
        <w:tabs>
          <w:tab w:val="left" w:pos="567"/>
        </w:tabs>
        <w:spacing w:line="260" w:lineRule="exact"/>
        <w:ind w:left="567" w:hanging="567"/>
        <w:rPr>
          <w:snapToGrid w:val="0"/>
          <w:szCs w:val="22"/>
        </w:rPr>
      </w:pPr>
      <w:r>
        <w:rPr>
          <w:snapToGrid w:val="0"/>
          <w:szCs w:val="22"/>
          <w:lang w:eastAsia="x-none"/>
        </w:rPr>
        <w:t>7 × 1, 28 × 1, 56 × 1 arba 84 × 1 table</w:t>
      </w:r>
      <w:r w:rsidR="00EE1828">
        <w:rPr>
          <w:snapToGrid w:val="0"/>
          <w:szCs w:val="22"/>
          <w:lang w:eastAsia="x-none"/>
        </w:rPr>
        <w:t>tės</w:t>
      </w:r>
      <w:r>
        <w:rPr>
          <w:snapToGrid w:val="0"/>
          <w:szCs w:val="22"/>
          <w:lang w:eastAsia="x-none"/>
        </w:rPr>
        <w:t xml:space="preserve"> perforuotose </w:t>
      </w:r>
      <w:proofErr w:type="spellStart"/>
      <w:r>
        <w:rPr>
          <w:snapToGrid w:val="0"/>
          <w:szCs w:val="22"/>
          <w:lang w:eastAsia="x-none"/>
        </w:rPr>
        <w:t>dalomosiose</w:t>
      </w:r>
      <w:proofErr w:type="spellEnd"/>
      <w:r>
        <w:rPr>
          <w:snapToGrid w:val="0"/>
          <w:szCs w:val="22"/>
          <w:lang w:eastAsia="x-none"/>
        </w:rPr>
        <w:t xml:space="preserve"> lizdinėse plokštelėse, kalendorinėje pakuotėje.</w:t>
      </w:r>
    </w:p>
    <w:p w14:paraId="58B18541" w14:textId="77777777" w:rsidR="008020E2" w:rsidRDefault="008020E2">
      <w:pPr>
        <w:widowControl w:val="0"/>
        <w:rPr>
          <w:snapToGrid w:val="0"/>
          <w:szCs w:val="22"/>
        </w:rPr>
      </w:pPr>
    </w:p>
    <w:p w14:paraId="2D51FC9C" w14:textId="77777777" w:rsidR="008020E2" w:rsidRDefault="00137C20">
      <w:pPr>
        <w:widowControl w:val="0"/>
        <w:rPr>
          <w:snapToGrid w:val="0"/>
          <w:szCs w:val="22"/>
        </w:rPr>
      </w:pPr>
      <w:r>
        <w:rPr>
          <w:snapToGrid w:val="0"/>
          <w:szCs w:val="22"/>
        </w:rPr>
        <w:t>Gali būti tiekiamos ne visų dydžių pakuotės.</w:t>
      </w:r>
    </w:p>
    <w:p w14:paraId="3D54B906" w14:textId="77777777" w:rsidR="008020E2" w:rsidRDefault="008020E2">
      <w:pPr>
        <w:widowControl w:val="0"/>
        <w:numPr>
          <w:ilvl w:val="12"/>
          <w:numId w:val="0"/>
        </w:numPr>
        <w:ind w:right="-2"/>
        <w:rPr>
          <w:snapToGrid w:val="0"/>
          <w:szCs w:val="22"/>
        </w:rPr>
      </w:pPr>
    </w:p>
    <w:p w14:paraId="764AF88A" w14:textId="77777777" w:rsidR="008020E2" w:rsidRDefault="00137C20">
      <w:pPr>
        <w:widowControl w:val="0"/>
        <w:tabs>
          <w:tab w:val="left" w:pos="567"/>
        </w:tabs>
        <w:jc w:val="both"/>
        <w:outlineLvl w:val="3"/>
        <w:rPr>
          <w:b/>
          <w:bCs/>
          <w:snapToGrid w:val="0"/>
          <w:szCs w:val="22"/>
          <w:lang w:eastAsia="x-none"/>
        </w:rPr>
      </w:pPr>
      <w:r>
        <w:rPr>
          <w:b/>
          <w:bCs/>
          <w:snapToGrid w:val="0"/>
          <w:szCs w:val="22"/>
          <w:lang w:eastAsia="x-none"/>
        </w:rPr>
        <w:t>Registruotojas ir gamintojas</w:t>
      </w:r>
    </w:p>
    <w:p w14:paraId="352DAC69" w14:textId="77777777" w:rsidR="008020E2" w:rsidRDefault="008020E2">
      <w:pPr>
        <w:widowControl w:val="0"/>
        <w:numPr>
          <w:ilvl w:val="12"/>
          <w:numId w:val="0"/>
        </w:numPr>
        <w:rPr>
          <w:snapToGrid w:val="0"/>
          <w:szCs w:val="22"/>
        </w:rPr>
      </w:pPr>
    </w:p>
    <w:p w14:paraId="343C0FBD" w14:textId="77777777" w:rsidR="008020E2" w:rsidRDefault="00137C20">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7F348618" w14:textId="77777777" w:rsidR="008020E2" w:rsidRDefault="00137C20">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1D094F04" w14:textId="77777777" w:rsidR="008020E2" w:rsidRDefault="00137C20">
      <w:pPr>
        <w:widowControl w:val="0"/>
        <w:tabs>
          <w:tab w:val="left" w:pos="567"/>
        </w:tabs>
        <w:rPr>
          <w:szCs w:val="20"/>
          <w:lang w:eastAsia="sl-SI"/>
        </w:rPr>
      </w:pPr>
      <w:r>
        <w:rPr>
          <w:snapToGrid w:val="0"/>
          <w:szCs w:val="22"/>
        </w:rPr>
        <w:t>8501 Novo mesto</w:t>
      </w:r>
    </w:p>
    <w:p w14:paraId="09290F85" w14:textId="77777777" w:rsidR="008020E2" w:rsidRDefault="00137C20">
      <w:pPr>
        <w:widowControl w:val="0"/>
        <w:tabs>
          <w:tab w:val="left" w:pos="567"/>
        </w:tabs>
        <w:rPr>
          <w:snapToGrid w:val="0"/>
          <w:szCs w:val="22"/>
        </w:rPr>
      </w:pPr>
      <w:r>
        <w:rPr>
          <w:snapToGrid w:val="0"/>
          <w:szCs w:val="22"/>
        </w:rPr>
        <w:t>Slovėnija</w:t>
      </w:r>
    </w:p>
    <w:p w14:paraId="0745043D" w14:textId="77777777" w:rsidR="008020E2" w:rsidRDefault="008020E2">
      <w:pPr>
        <w:widowControl w:val="0"/>
        <w:numPr>
          <w:ilvl w:val="12"/>
          <w:numId w:val="0"/>
        </w:numPr>
        <w:tabs>
          <w:tab w:val="left" w:pos="567"/>
        </w:tabs>
        <w:ind w:right="-2"/>
        <w:rPr>
          <w:snapToGrid w:val="0"/>
          <w:szCs w:val="22"/>
        </w:rPr>
      </w:pPr>
    </w:p>
    <w:p w14:paraId="7DC03DFF" w14:textId="77777777" w:rsidR="008020E2" w:rsidRDefault="00137C20">
      <w:pPr>
        <w:tabs>
          <w:tab w:val="left" w:pos="567"/>
        </w:tabs>
        <w:spacing w:line="260" w:lineRule="exact"/>
        <w:ind w:left="567" w:hanging="567"/>
        <w:rPr>
          <w:b/>
          <w:snapToGrid w:val="0"/>
          <w:szCs w:val="20"/>
        </w:rPr>
      </w:pPr>
      <w:r>
        <w:rPr>
          <w:b/>
          <w:snapToGrid w:val="0"/>
          <w:szCs w:val="20"/>
        </w:rPr>
        <w:t>Šis vaistas Europos ekonominės erdvės valstybėse narėse registruotas tokiais pavadinimais:</w:t>
      </w: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8020E2" w14:paraId="291E08E2" w14:textId="77777777">
        <w:tc>
          <w:tcPr>
            <w:tcW w:w="3261" w:type="dxa"/>
          </w:tcPr>
          <w:p w14:paraId="5317556C" w14:textId="77777777" w:rsidR="008020E2" w:rsidRDefault="00137C20">
            <w:pPr>
              <w:widowControl w:val="0"/>
              <w:numPr>
                <w:ilvl w:val="12"/>
                <w:numId w:val="0"/>
              </w:numPr>
              <w:tabs>
                <w:tab w:val="left" w:pos="567"/>
              </w:tabs>
              <w:spacing w:line="260" w:lineRule="exact"/>
              <w:ind w:right="-2"/>
              <w:rPr>
                <w:snapToGrid w:val="0"/>
                <w:szCs w:val="22"/>
                <w:lang w:val="en-GB"/>
              </w:rPr>
            </w:pPr>
            <w:proofErr w:type="spellStart"/>
            <w:r>
              <w:rPr>
                <w:snapToGrid w:val="0"/>
                <w:szCs w:val="20"/>
                <w:lang w:val="en-GB" w:eastAsia="sl-SI"/>
              </w:rPr>
              <w:t>Valstybės</w:t>
            </w:r>
            <w:proofErr w:type="spellEnd"/>
            <w:r>
              <w:rPr>
                <w:snapToGrid w:val="0"/>
                <w:szCs w:val="20"/>
                <w:lang w:val="en-GB" w:eastAsia="sl-SI"/>
              </w:rPr>
              <w:t xml:space="preserve"> </w:t>
            </w:r>
            <w:proofErr w:type="spellStart"/>
            <w:r>
              <w:rPr>
                <w:snapToGrid w:val="0"/>
                <w:szCs w:val="20"/>
                <w:lang w:val="en-GB" w:eastAsia="sl-SI"/>
              </w:rPr>
              <w:t>narės</w:t>
            </w:r>
            <w:proofErr w:type="spellEnd"/>
            <w:r>
              <w:rPr>
                <w:snapToGrid w:val="0"/>
                <w:szCs w:val="20"/>
                <w:lang w:val="en-GB" w:eastAsia="sl-SI"/>
              </w:rPr>
              <w:t xml:space="preserve"> </w:t>
            </w:r>
            <w:proofErr w:type="spellStart"/>
            <w:r>
              <w:rPr>
                <w:snapToGrid w:val="0"/>
                <w:szCs w:val="20"/>
                <w:lang w:val="en-GB" w:eastAsia="sl-SI"/>
              </w:rPr>
              <w:t>pavadinimas</w:t>
            </w:r>
            <w:proofErr w:type="spellEnd"/>
          </w:p>
        </w:tc>
        <w:tc>
          <w:tcPr>
            <w:tcW w:w="3060" w:type="dxa"/>
          </w:tcPr>
          <w:p w14:paraId="4134FEC1" w14:textId="77777777" w:rsidR="008020E2" w:rsidRDefault="00137C20">
            <w:pPr>
              <w:widowControl w:val="0"/>
              <w:numPr>
                <w:ilvl w:val="12"/>
                <w:numId w:val="0"/>
              </w:numPr>
              <w:tabs>
                <w:tab w:val="left" w:pos="567"/>
              </w:tabs>
              <w:spacing w:line="260" w:lineRule="exact"/>
              <w:ind w:right="-2"/>
              <w:rPr>
                <w:snapToGrid w:val="0"/>
                <w:szCs w:val="22"/>
                <w:lang w:val="en-GB"/>
              </w:rPr>
            </w:pPr>
            <w:proofErr w:type="spellStart"/>
            <w:r>
              <w:rPr>
                <w:snapToGrid w:val="0"/>
                <w:szCs w:val="22"/>
                <w:lang w:val="en-GB"/>
              </w:rPr>
              <w:t>Vaisto</w:t>
            </w:r>
            <w:proofErr w:type="spellEnd"/>
            <w:r>
              <w:rPr>
                <w:snapToGrid w:val="0"/>
                <w:szCs w:val="22"/>
                <w:lang w:val="en-GB"/>
              </w:rPr>
              <w:t xml:space="preserve"> </w:t>
            </w:r>
            <w:proofErr w:type="spellStart"/>
            <w:r>
              <w:rPr>
                <w:snapToGrid w:val="0"/>
                <w:szCs w:val="22"/>
                <w:lang w:val="en-GB"/>
              </w:rPr>
              <w:t>pavadinimas</w:t>
            </w:r>
            <w:proofErr w:type="spellEnd"/>
          </w:p>
        </w:tc>
      </w:tr>
      <w:tr w:rsidR="008020E2" w14:paraId="5FFD3F0D" w14:textId="77777777">
        <w:tc>
          <w:tcPr>
            <w:tcW w:w="3261" w:type="dxa"/>
          </w:tcPr>
          <w:p w14:paraId="0047869E" w14:textId="77777777" w:rsidR="008020E2" w:rsidRPr="006174FB" w:rsidRDefault="00137C20">
            <w:pPr>
              <w:widowControl w:val="0"/>
              <w:numPr>
                <w:ilvl w:val="12"/>
                <w:numId w:val="0"/>
              </w:numPr>
              <w:tabs>
                <w:tab w:val="left" w:pos="567"/>
              </w:tabs>
              <w:spacing w:line="260" w:lineRule="exact"/>
              <w:ind w:right="-2"/>
              <w:rPr>
                <w:lang w:val="pt-PT"/>
              </w:rPr>
            </w:pPr>
            <w:r w:rsidRPr="006174FB">
              <w:rPr>
                <w:lang w:val="pt-PT"/>
              </w:rPr>
              <w:t xml:space="preserve">Portugalija, Lietuva, Lenkija, Rumunija, Slovėnija, Slovakija, </w:t>
            </w:r>
          </w:p>
        </w:tc>
        <w:tc>
          <w:tcPr>
            <w:tcW w:w="3060" w:type="dxa"/>
          </w:tcPr>
          <w:p w14:paraId="53041DEF" w14:textId="77777777" w:rsidR="008020E2" w:rsidRDefault="00137C20">
            <w:pPr>
              <w:widowControl w:val="0"/>
              <w:numPr>
                <w:ilvl w:val="12"/>
                <w:numId w:val="0"/>
              </w:numPr>
              <w:tabs>
                <w:tab w:val="left" w:pos="567"/>
              </w:tabs>
              <w:spacing w:line="260" w:lineRule="exact"/>
              <w:ind w:right="-2"/>
              <w:rPr>
                <w:snapToGrid w:val="0"/>
                <w:szCs w:val="22"/>
                <w:lang w:val="en-GB"/>
              </w:rPr>
            </w:pPr>
            <w:proofErr w:type="spellStart"/>
            <w:r>
              <w:rPr>
                <w:snapToGrid w:val="0"/>
                <w:szCs w:val="22"/>
                <w:lang w:val="en-GB"/>
              </w:rPr>
              <w:t>Pitipix</w:t>
            </w:r>
            <w:proofErr w:type="spellEnd"/>
          </w:p>
        </w:tc>
      </w:tr>
      <w:tr w:rsidR="008020E2" w14:paraId="3DB917C0" w14:textId="77777777">
        <w:tc>
          <w:tcPr>
            <w:tcW w:w="3261" w:type="dxa"/>
          </w:tcPr>
          <w:p w14:paraId="1168CD29" w14:textId="77777777" w:rsidR="008020E2" w:rsidRDefault="00137C20">
            <w:pPr>
              <w:widowControl w:val="0"/>
              <w:numPr>
                <w:ilvl w:val="12"/>
                <w:numId w:val="0"/>
              </w:numPr>
              <w:tabs>
                <w:tab w:val="left" w:pos="567"/>
              </w:tabs>
              <w:spacing w:line="260" w:lineRule="exact"/>
              <w:ind w:right="-2"/>
              <w:rPr>
                <w:snapToGrid w:val="0"/>
                <w:szCs w:val="22"/>
                <w:lang w:val="en-GB"/>
              </w:rPr>
            </w:pPr>
            <w:proofErr w:type="spellStart"/>
            <w:r>
              <w:rPr>
                <w:snapToGrid w:val="0"/>
                <w:szCs w:val="22"/>
                <w:lang w:val="en-GB"/>
              </w:rPr>
              <w:t>Čekija</w:t>
            </w:r>
            <w:proofErr w:type="spellEnd"/>
            <w:r>
              <w:rPr>
                <w:snapToGrid w:val="0"/>
                <w:szCs w:val="22"/>
                <w:lang w:val="en-GB"/>
              </w:rPr>
              <w:t xml:space="preserve">, </w:t>
            </w:r>
            <w:proofErr w:type="spellStart"/>
            <w:r>
              <w:rPr>
                <w:snapToGrid w:val="0"/>
                <w:szCs w:val="22"/>
                <w:lang w:val="en-GB"/>
              </w:rPr>
              <w:t>Vengrija</w:t>
            </w:r>
            <w:proofErr w:type="spellEnd"/>
          </w:p>
        </w:tc>
        <w:tc>
          <w:tcPr>
            <w:tcW w:w="3060" w:type="dxa"/>
          </w:tcPr>
          <w:p w14:paraId="7C9365E6" w14:textId="77777777" w:rsidR="008020E2" w:rsidRDefault="00137C20">
            <w:pPr>
              <w:widowControl w:val="0"/>
              <w:numPr>
                <w:ilvl w:val="12"/>
                <w:numId w:val="0"/>
              </w:numPr>
              <w:tabs>
                <w:tab w:val="left" w:pos="567"/>
              </w:tabs>
              <w:spacing w:line="260" w:lineRule="exact"/>
              <w:ind w:right="-2"/>
              <w:rPr>
                <w:snapToGrid w:val="0"/>
                <w:szCs w:val="22"/>
                <w:lang w:val="en-GB"/>
              </w:rPr>
            </w:pPr>
            <w:proofErr w:type="spellStart"/>
            <w:r>
              <w:rPr>
                <w:snapToGrid w:val="0"/>
                <w:szCs w:val="22"/>
                <w:lang w:val="en-GB"/>
              </w:rPr>
              <w:t>Pitilox</w:t>
            </w:r>
            <w:proofErr w:type="spellEnd"/>
          </w:p>
        </w:tc>
      </w:tr>
      <w:tr w:rsidR="008020E2" w14:paraId="75DD795C" w14:textId="77777777">
        <w:tc>
          <w:tcPr>
            <w:tcW w:w="3261" w:type="dxa"/>
          </w:tcPr>
          <w:p w14:paraId="00D0E982" w14:textId="77777777" w:rsidR="008020E2" w:rsidRDefault="00137C20">
            <w:pPr>
              <w:widowControl w:val="0"/>
              <w:numPr>
                <w:ilvl w:val="12"/>
                <w:numId w:val="0"/>
              </w:numPr>
              <w:tabs>
                <w:tab w:val="left" w:pos="567"/>
              </w:tabs>
              <w:spacing w:line="260" w:lineRule="exact"/>
              <w:ind w:right="-2"/>
              <w:rPr>
                <w:snapToGrid w:val="0"/>
                <w:szCs w:val="22"/>
                <w:lang w:val="en-GB"/>
              </w:rPr>
            </w:pPr>
            <w:proofErr w:type="spellStart"/>
            <w:r>
              <w:rPr>
                <w:snapToGrid w:val="0"/>
                <w:szCs w:val="22"/>
                <w:lang w:val="en-GB"/>
              </w:rPr>
              <w:t>Bulgarija</w:t>
            </w:r>
            <w:proofErr w:type="spellEnd"/>
          </w:p>
        </w:tc>
        <w:tc>
          <w:tcPr>
            <w:tcW w:w="3060" w:type="dxa"/>
          </w:tcPr>
          <w:p w14:paraId="699AE203" w14:textId="77777777" w:rsidR="008020E2" w:rsidRDefault="00137C20">
            <w:pPr>
              <w:widowControl w:val="0"/>
              <w:numPr>
                <w:ilvl w:val="12"/>
                <w:numId w:val="0"/>
              </w:numPr>
              <w:tabs>
                <w:tab w:val="left" w:pos="567"/>
              </w:tabs>
              <w:spacing w:line="260" w:lineRule="exact"/>
              <w:ind w:right="-2"/>
              <w:rPr>
                <w:snapToGrid w:val="0"/>
                <w:szCs w:val="22"/>
                <w:lang w:val="en-GB"/>
              </w:rPr>
            </w:pPr>
            <w:proofErr w:type="spellStart"/>
            <w:r>
              <w:rPr>
                <w:snapToGrid w:val="0"/>
                <w:szCs w:val="22"/>
                <w:lang w:val="en-GB"/>
              </w:rPr>
              <w:t>Питипикс</w:t>
            </w:r>
            <w:proofErr w:type="spellEnd"/>
          </w:p>
        </w:tc>
      </w:tr>
    </w:tbl>
    <w:p w14:paraId="4C85B5C8" w14:textId="77777777" w:rsidR="008020E2" w:rsidRDefault="008020E2">
      <w:pPr>
        <w:widowControl w:val="0"/>
        <w:numPr>
          <w:ilvl w:val="12"/>
          <w:numId w:val="0"/>
        </w:numPr>
        <w:ind w:right="-2"/>
        <w:rPr>
          <w:b/>
          <w:snapToGrid w:val="0"/>
          <w:szCs w:val="22"/>
        </w:rPr>
      </w:pPr>
    </w:p>
    <w:p w14:paraId="409BA122" w14:textId="77777777" w:rsidR="008020E2" w:rsidRDefault="008020E2">
      <w:pPr>
        <w:widowControl w:val="0"/>
        <w:numPr>
          <w:ilvl w:val="12"/>
          <w:numId w:val="0"/>
        </w:numPr>
        <w:ind w:right="-2"/>
        <w:rPr>
          <w:b/>
          <w:snapToGrid w:val="0"/>
          <w:szCs w:val="22"/>
        </w:rPr>
      </w:pPr>
    </w:p>
    <w:p w14:paraId="2D816946" w14:textId="4BB5CBC4" w:rsidR="008020E2" w:rsidRDefault="00137C20">
      <w:pPr>
        <w:widowControl w:val="0"/>
        <w:numPr>
          <w:ilvl w:val="12"/>
          <w:numId w:val="0"/>
        </w:numPr>
        <w:ind w:right="-2"/>
        <w:rPr>
          <w:b/>
          <w:snapToGrid w:val="0"/>
          <w:szCs w:val="22"/>
        </w:rPr>
      </w:pPr>
      <w:r>
        <w:rPr>
          <w:b/>
          <w:snapToGrid w:val="0"/>
          <w:szCs w:val="22"/>
        </w:rPr>
        <w:t>Šis pakuotės lapelis paskutinį kartą peržiūrėtas</w:t>
      </w:r>
      <w:r w:rsidR="00754C45">
        <w:rPr>
          <w:b/>
          <w:snapToGrid w:val="0"/>
          <w:szCs w:val="22"/>
        </w:rPr>
        <w:t xml:space="preserve"> </w:t>
      </w:r>
      <w:r w:rsidR="00FB0FBF">
        <w:rPr>
          <w:b/>
          <w:snapToGrid w:val="0"/>
        </w:rPr>
        <w:t>2024-08-09.</w:t>
      </w:r>
      <w:bookmarkStart w:id="6" w:name="_GoBack"/>
      <w:bookmarkEnd w:id="6"/>
      <w:r>
        <w:rPr>
          <w:b/>
          <w:snapToGrid w:val="0"/>
          <w:szCs w:val="22"/>
        </w:rPr>
        <w:t xml:space="preserve"> </w:t>
      </w:r>
    </w:p>
    <w:p w14:paraId="58B066B0" w14:textId="77777777" w:rsidR="008020E2" w:rsidRDefault="008020E2">
      <w:pPr>
        <w:widowControl w:val="0"/>
        <w:numPr>
          <w:ilvl w:val="12"/>
          <w:numId w:val="0"/>
        </w:numPr>
        <w:tabs>
          <w:tab w:val="left" w:pos="567"/>
        </w:tabs>
        <w:ind w:right="-2"/>
        <w:rPr>
          <w:i/>
          <w:snapToGrid w:val="0"/>
          <w:szCs w:val="22"/>
        </w:rPr>
      </w:pPr>
    </w:p>
    <w:p w14:paraId="026059FD" w14:textId="46E66341" w:rsidR="008020E2" w:rsidRDefault="00137C20">
      <w:pPr>
        <w:widowControl w:val="0"/>
        <w:tabs>
          <w:tab w:val="left" w:pos="567"/>
        </w:tabs>
        <w:rPr>
          <w:snapToGrid w:val="0"/>
          <w:szCs w:val="22"/>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8" w:history="1">
        <w:r w:rsidR="00D90AF7" w:rsidRPr="00C30293">
          <w:rPr>
            <w:rStyle w:val="Hipersaitas"/>
            <w:szCs w:val="22"/>
            <w:lang w:eastAsia="lt-LT"/>
          </w:rPr>
          <w:t>https://vvkt.lrv.lt/lt/</w:t>
        </w:r>
      </w:hyperlink>
      <w:r w:rsidR="00D90AF7">
        <w:rPr>
          <w:color w:val="0000EE"/>
          <w:szCs w:val="22"/>
          <w:u w:val="single"/>
          <w:lang w:eastAsia="lt-LT"/>
        </w:rPr>
        <w:t xml:space="preserve"> </w:t>
      </w:r>
    </w:p>
    <w:p w14:paraId="4568EF8A" w14:textId="77777777" w:rsidR="008020E2" w:rsidRDefault="008020E2">
      <w:pPr>
        <w:widowControl w:val="0"/>
        <w:tabs>
          <w:tab w:val="left" w:pos="567"/>
        </w:tabs>
        <w:rPr>
          <w:snapToGrid w:val="0"/>
          <w:szCs w:val="20"/>
        </w:rPr>
      </w:pPr>
    </w:p>
    <w:p w14:paraId="65BA568D" w14:textId="77777777" w:rsidR="008020E2" w:rsidRDefault="008020E2">
      <w:pPr>
        <w:jc w:val="center"/>
        <w:outlineLvl w:val="0"/>
      </w:pPr>
    </w:p>
    <w:sectPr w:rsidR="008020E2" w:rsidSect="006174FB">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C6B66" w14:textId="77777777" w:rsidR="00F459B6" w:rsidRDefault="00F459B6">
      <w:r>
        <w:separator/>
      </w:r>
    </w:p>
  </w:endnote>
  <w:endnote w:type="continuationSeparator" w:id="0">
    <w:p w14:paraId="785C1214" w14:textId="77777777" w:rsidR="00F459B6" w:rsidRDefault="00F459B6">
      <w:r>
        <w:continuationSeparator/>
      </w:r>
    </w:p>
  </w:endnote>
  <w:endnote w:type="continuationNotice" w:id="1">
    <w:p w14:paraId="00F6AC20" w14:textId="77777777" w:rsidR="00F459B6" w:rsidRDefault="00F45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DF2C" w14:textId="77777777" w:rsidR="00F459B6" w:rsidRDefault="00F459B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C7852A7" w14:textId="77777777" w:rsidR="00F459B6" w:rsidRDefault="00F459B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6F8C" w14:textId="0FCBEDBF" w:rsidR="00F459B6" w:rsidRDefault="00F459B6">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FB0FBF">
      <w:rPr>
        <w:rStyle w:val="Puslapionumeris"/>
        <w:rFonts w:ascii="Arial" w:hAnsi="Arial" w:cs="Arial"/>
        <w:noProof/>
        <w:lang w:val="lt-LT"/>
      </w:rPr>
      <w:t>31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4928" w14:textId="77777777" w:rsidR="00F459B6" w:rsidRDefault="00F459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C1F3D" w14:textId="77777777" w:rsidR="00F459B6" w:rsidRDefault="00F459B6">
      <w:r>
        <w:separator/>
      </w:r>
    </w:p>
  </w:footnote>
  <w:footnote w:type="continuationSeparator" w:id="0">
    <w:p w14:paraId="6947F96C" w14:textId="77777777" w:rsidR="00F459B6" w:rsidRDefault="00F459B6">
      <w:r>
        <w:continuationSeparator/>
      </w:r>
    </w:p>
  </w:footnote>
  <w:footnote w:type="continuationNotice" w:id="1">
    <w:p w14:paraId="14B58EC1" w14:textId="77777777" w:rsidR="00F459B6" w:rsidRDefault="00F459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0C25" w14:textId="77777777" w:rsidR="00F459B6" w:rsidRDefault="00F459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2381" w14:textId="77777777" w:rsidR="00F459B6" w:rsidRDefault="00F459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C77B" w14:textId="77777777" w:rsidR="00F459B6" w:rsidRDefault="00F459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D1C42"/>
    <w:multiLevelType w:val="hybridMultilevel"/>
    <w:tmpl w:val="9E4E8F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5041A2"/>
    <w:multiLevelType w:val="hybridMultilevel"/>
    <w:tmpl w:val="2C1214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9A529E"/>
    <w:multiLevelType w:val="hybridMultilevel"/>
    <w:tmpl w:val="86DC4C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B67EE4"/>
    <w:multiLevelType w:val="hybridMultilevel"/>
    <w:tmpl w:val="B054FE9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862CC"/>
    <w:multiLevelType w:val="hybridMultilevel"/>
    <w:tmpl w:val="EB2EE0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E75A97"/>
    <w:multiLevelType w:val="hybridMultilevel"/>
    <w:tmpl w:val="5B9CF360"/>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E252E85"/>
    <w:multiLevelType w:val="singleLevel"/>
    <w:tmpl w:val="FFFFFFFF"/>
    <w:lvl w:ilvl="0">
      <w:numFmt w:val="decimal"/>
      <w:lvlText w:val="*"/>
      <w:lvlJc w:val="left"/>
      <w:pPr>
        <w:ind w:left="0" w:firstLine="0"/>
      </w:pPr>
      <w:rPr>
        <w:rFonts w:cs="Times New Roman"/>
      </w:rPr>
    </w:lvl>
  </w:abstractNum>
  <w:abstractNum w:abstractNumId="11" w15:restartNumberingAfterBreak="0">
    <w:nsid w:val="1EB53F6B"/>
    <w:multiLevelType w:val="hybridMultilevel"/>
    <w:tmpl w:val="48B600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4877F56"/>
    <w:multiLevelType w:val="hybridMultilevel"/>
    <w:tmpl w:val="08CAA1A4"/>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1D4AE3"/>
    <w:multiLevelType w:val="hybridMultilevel"/>
    <w:tmpl w:val="792AB734"/>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471033B"/>
    <w:multiLevelType w:val="hybridMultilevel"/>
    <w:tmpl w:val="37D2FF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33221A5"/>
    <w:multiLevelType w:val="hybridMultilevel"/>
    <w:tmpl w:val="F7E497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8D4FEA"/>
    <w:multiLevelType w:val="hybridMultilevel"/>
    <w:tmpl w:val="1B9225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D7B1FA2"/>
    <w:multiLevelType w:val="hybridMultilevel"/>
    <w:tmpl w:val="958CC4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1509F5"/>
    <w:multiLevelType w:val="hybridMultilevel"/>
    <w:tmpl w:val="5C28EF12"/>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C5D4B"/>
    <w:multiLevelType w:val="hybridMultilevel"/>
    <w:tmpl w:val="8F261B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4E2CD7"/>
    <w:multiLevelType w:val="hybridMultilevel"/>
    <w:tmpl w:val="EC5E5036"/>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8728A2"/>
    <w:multiLevelType w:val="hybridMultilevel"/>
    <w:tmpl w:val="08782BA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1B5D8E"/>
    <w:multiLevelType w:val="hybridMultilevel"/>
    <w:tmpl w:val="7C38F78A"/>
    <w:lvl w:ilvl="0" w:tplc="ACFA8B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D22D7D"/>
    <w:multiLevelType w:val="hybridMultilevel"/>
    <w:tmpl w:val="A7DEA0CA"/>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31146"/>
    <w:multiLevelType w:val="hybridMultilevel"/>
    <w:tmpl w:val="38F68240"/>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52862A4"/>
    <w:multiLevelType w:val="hybridMultilevel"/>
    <w:tmpl w:val="F1B413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1A1AC212">
      <w:start w:val="1"/>
      <w:numFmt w:val="upperLetter"/>
      <w:lvlText w:val="%1."/>
      <w:lvlJc w:val="left"/>
      <w:pPr>
        <w:ind w:left="5670" w:hanging="5670"/>
      </w:pPr>
      <w:rPr>
        <w:rFonts w:hint="default"/>
        <w:b/>
      </w:rPr>
    </w:lvl>
    <w:lvl w:ilvl="1" w:tplc="B62AD84E">
      <w:start w:val="1"/>
      <w:numFmt w:val="decimal"/>
      <w:lvlText w:val="%2."/>
      <w:lvlJc w:val="left"/>
      <w:pPr>
        <w:ind w:left="1650" w:hanging="570"/>
      </w:pPr>
      <w:rPr>
        <w:rFonts w:hint="default"/>
        <w:b/>
        <w:i w:val="0"/>
      </w:rPr>
    </w:lvl>
    <w:lvl w:ilvl="2" w:tplc="E21028C2" w:tentative="1">
      <w:start w:val="1"/>
      <w:numFmt w:val="lowerRoman"/>
      <w:lvlText w:val="%3."/>
      <w:lvlJc w:val="right"/>
      <w:pPr>
        <w:ind w:left="2160" w:hanging="180"/>
      </w:pPr>
    </w:lvl>
    <w:lvl w:ilvl="3" w:tplc="E0BADEAA" w:tentative="1">
      <w:start w:val="1"/>
      <w:numFmt w:val="decimal"/>
      <w:lvlText w:val="%4."/>
      <w:lvlJc w:val="left"/>
      <w:pPr>
        <w:ind w:left="2880" w:hanging="360"/>
      </w:pPr>
    </w:lvl>
    <w:lvl w:ilvl="4" w:tplc="BEDA3216" w:tentative="1">
      <w:start w:val="1"/>
      <w:numFmt w:val="lowerLetter"/>
      <w:lvlText w:val="%5."/>
      <w:lvlJc w:val="left"/>
      <w:pPr>
        <w:ind w:left="3600" w:hanging="360"/>
      </w:pPr>
    </w:lvl>
    <w:lvl w:ilvl="5" w:tplc="E7E6FD7A" w:tentative="1">
      <w:start w:val="1"/>
      <w:numFmt w:val="lowerRoman"/>
      <w:lvlText w:val="%6."/>
      <w:lvlJc w:val="right"/>
      <w:pPr>
        <w:ind w:left="4320" w:hanging="180"/>
      </w:pPr>
    </w:lvl>
    <w:lvl w:ilvl="6" w:tplc="D8A0E932" w:tentative="1">
      <w:start w:val="1"/>
      <w:numFmt w:val="decimal"/>
      <w:lvlText w:val="%7."/>
      <w:lvlJc w:val="left"/>
      <w:pPr>
        <w:ind w:left="5040" w:hanging="360"/>
      </w:pPr>
    </w:lvl>
    <w:lvl w:ilvl="7" w:tplc="DDF0C31E" w:tentative="1">
      <w:start w:val="1"/>
      <w:numFmt w:val="lowerLetter"/>
      <w:lvlText w:val="%8."/>
      <w:lvlJc w:val="left"/>
      <w:pPr>
        <w:ind w:left="5760" w:hanging="360"/>
      </w:pPr>
    </w:lvl>
    <w:lvl w:ilvl="8" w:tplc="EE5E459C"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0"/>
    <w:lvlOverride w:ilvl="0">
      <w:lvl w:ilvl="0">
        <w:start w:val="1"/>
        <w:numFmt w:val="bullet"/>
        <w:lvlText w:val="-"/>
        <w:lvlJc w:val="left"/>
        <w:pPr>
          <w:ind w:left="360" w:hanging="360"/>
        </w:pPr>
      </w:lvl>
    </w:lvlOverride>
  </w:num>
  <w:num w:numId="4">
    <w:abstractNumId w:val="33"/>
  </w:num>
  <w:num w:numId="5">
    <w:abstractNumId w:val="6"/>
  </w:num>
  <w:num w:numId="6">
    <w:abstractNumId w:val="29"/>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9"/>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start w:val="1"/>
        <w:numFmt w:val="bullet"/>
        <w:lvlText w:val="-"/>
        <w:lvlJc w:val="left"/>
        <w:pPr>
          <w:ind w:left="720" w:hanging="360"/>
        </w:pPr>
      </w:lvl>
    </w:lvlOverride>
  </w:num>
  <w:num w:numId="12">
    <w:abstractNumId w:val="16"/>
  </w:num>
  <w:num w:numId="13">
    <w:abstractNumId w:val="21"/>
  </w:num>
  <w:num w:numId="14">
    <w:abstractNumId w:val="10"/>
  </w:num>
  <w:num w:numId="15">
    <w:abstractNumId w:val="9"/>
  </w:num>
  <w:num w:numId="16">
    <w:abstractNumId w:val="2"/>
  </w:num>
  <w:num w:numId="17">
    <w:abstractNumId w:val="27"/>
  </w:num>
  <w:num w:numId="18">
    <w:abstractNumId w:val="15"/>
  </w:num>
  <w:num w:numId="19">
    <w:abstractNumId w:val="16"/>
  </w:num>
  <w:num w:numId="20">
    <w:abstractNumId w:val="26"/>
  </w:num>
  <w:num w:numId="21">
    <w:abstractNumId w:val="8"/>
  </w:num>
  <w:num w:numId="22">
    <w:abstractNumId w:val="25"/>
  </w:num>
  <w:num w:numId="23">
    <w:abstractNumId w:val="13"/>
  </w:num>
  <w:num w:numId="24">
    <w:abstractNumId w:val="23"/>
  </w:num>
  <w:num w:numId="25">
    <w:abstractNumId w:val="5"/>
  </w:num>
  <w:num w:numId="26">
    <w:abstractNumId w:val="30"/>
  </w:num>
  <w:num w:numId="27">
    <w:abstractNumId w:val="14"/>
  </w:num>
  <w:num w:numId="28">
    <w:abstractNumId w:val="31"/>
  </w:num>
  <w:num w:numId="29">
    <w:abstractNumId w:val="7"/>
  </w:num>
  <w:num w:numId="30">
    <w:abstractNumId w:val="24"/>
  </w:num>
  <w:num w:numId="31">
    <w:abstractNumId w:val="20"/>
  </w:num>
  <w:num w:numId="32">
    <w:abstractNumId w:val="22"/>
  </w:num>
  <w:num w:numId="33">
    <w:abstractNumId w:val="19"/>
  </w:num>
  <w:num w:numId="34">
    <w:abstractNumId w:val="32"/>
  </w:num>
  <w:num w:numId="35">
    <w:abstractNumId w:val="17"/>
  </w:num>
  <w:num w:numId="36">
    <w:abstractNumId w:val="1"/>
  </w:num>
  <w:num w:numId="37">
    <w:abstractNumId w:val="3"/>
  </w:num>
  <w:num w:numId="38">
    <w:abstractNumId w:val="1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020E2"/>
    <w:rsid w:val="00002005"/>
    <w:rsid w:val="000020D4"/>
    <w:rsid w:val="000156D2"/>
    <w:rsid w:val="000410D0"/>
    <w:rsid w:val="000476D7"/>
    <w:rsid w:val="0008172D"/>
    <w:rsid w:val="00090ABC"/>
    <w:rsid w:val="000A1D72"/>
    <w:rsid w:val="000A1EE3"/>
    <w:rsid w:val="000A1F80"/>
    <w:rsid w:val="000A4B00"/>
    <w:rsid w:val="000A57ED"/>
    <w:rsid w:val="000B36AD"/>
    <w:rsid w:val="00120C8B"/>
    <w:rsid w:val="00137B4B"/>
    <w:rsid w:val="00137C20"/>
    <w:rsid w:val="001432A1"/>
    <w:rsid w:val="00143484"/>
    <w:rsid w:val="00184231"/>
    <w:rsid w:val="00184D1E"/>
    <w:rsid w:val="00194B90"/>
    <w:rsid w:val="00196C1D"/>
    <w:rsid w:val="001A2C69"/>
    <w:rsid w:val="001A7764"/>
    <w:rsid w:val="001B455A"/>
    <w:rsid w:val="001C4FCD"/>
    <w:rsid w:val="001D3E1E"/>
    <w:rsid w:val="0020497D"/>
    <w:rsid w:val="00206967"/>
    <w:rsid w:val="00222BB3"/>
    <w:rsid w:val="0023411D"/>
    <w:rsid w:val="00234B61"/>
    <w:rsid w:val="002370FB"/>
    <w:rsid w:val="00243B6D"/>
    <w:rsid w:val="00244CEE"/>
    <w:rsid w:val="00255928"/>
    <w:rsid w:val="00264328"/>
    <w:rsid w:val="00273FAA"/>
    <w:rsid w:val="0029155B"/>
    <w:rsid w:val="00294451"/>
    <w:rsid w:val="002B43C8"/>
    <w:rsid w:val="002C1A12"/>
    <w:rsid w:val="002D0CF0"/>
    <w:rsid w:val="002E44A4"/>
    <w:rsid w:val="002F1A1C"/>
    <w:rsid w:val="002F302F"/>
    <w:rsid w:val="00313FED"/>
    <w:rsid w:val="003145D8"/>
    <w:rsid w:val="00340F30"/>
    <w:rsid w:val="00345896"/>
    <w:rsid w:val="00371038"/>
    <w:rsid w:val="00375BAA"/>
    <w:rsid w:val="00394191"/>
    <w:rsid w:val="003A3D90"/>
    <w:rsid w:val="003A6868"/>
    <w:rsid w:val="003C4DF9"/>
    <w:rsid w:val="003D6FC4"/>
    <w:rsid w:val="003F145B"/>
    <w:rsid w:val="00406B30"/>
    <w:rsid w:val="0041270C"/>
    <w:rsid w:val="00416AF9"/>
    <w:rsid w:val="00417532"/>
    <w:rsid w:val="00440E42"/>
    <w:rsid w:val="004577C5"/>
    <w:rsid w:val="00461AD8"/>
    <w:rsid w:val="00496A23"/>
    <w:rsid w:val="004F5B08"/>
    <w:rsid w:val="00500C57"/>
    <w:rsid w:val="00501787"/>
    <w:rsid w:val="00531F42"/>
    <w:rsid w:val="0053610E"/>
    <w:rsid w:val="00552323"/>
    <w:rsid w:val="00572DB9"/>
    <w:rsid w:val="00582B59"/>
    <w:rsid w:val="005A1E16"/>
    <w:rsid w:val="005A21F7"/>
    <w:rsid w:val="005A258E"/>
    <w:rsid w:val="005A43DC"/>
    <w:rsid w:val="005B0D54"/>
    <w:rsid w:val="005B39C3"/>
    <w:rsid w:val="005B3A2A"/>
    <w:rsid w:val="005B4BFC"/>
    <w:rsid w:val="005D4F67"/>
    <w:rsid w:val="005E1D77"/>
    <w:rsid w:val="005E546F"/>
    <w:rsid w:val="005E5AFD"/>
    <w:rsid w:val="006174FB"/>
    <w:rsid w:val="0063034A"/>
    <w:rsid w:val="00636D1C"/>
    <w:rsid w:val="00654FEE"/>
    <w:rsid w:val="00681ABB"/>
    <w:rsid w:val="00692A28"/>
    <w:rsid w:val="006B423B"/>
    <w:rsid w:val="006D2C2E"/>
    <w:rsid w:val="006E29BD"/>
    <w:rsid w:val="006E7807"/>
    <w:rsid w:val="00700F2E"/>
    <w:rsid w:val="0070665A"/>
    <w:rsid w:val="00720927"/>
    <w:rsid w:val="007260C3"/>
    <w:rsid w:val="0073491A"/>
    <w:rsid w:val="0074003D"/>
    <w:rsid w:val="0074278C"/>
    <w:rsid w:val="0074401D"/>
    <w:rsid w:val="00750B39"/>
    <w:rsid w:val="007518BF"/>
    <w:rsid w:val="00754C45"/>
    <w:rsid w:val="00762C33"/>
    <w:rsid w:val="00776C45"/>
    <w:rsid w:val="00785F87"/>
    <w:rsid w:val="0079249F"/>
    <w:rsid w:val="00794DA1"/>
    <w:rsid w:val="007D302D"/>
    <w:rsid w:val="007E3A1D"/>
    <w:rsid w:val="008020E2"/>
    <w:rsid w:val="00812697"/>
    <w:rsid w:val="0083341A"/>
    <w:rsid w:val="00843FAB"/>
    <w:rsid w:val="0085262D"/>
    <w:rsid w:val="00853136"/>
    <w:rsid w:val="0085518B"/>
    <w:rsid w:val="00855EF9"/>
    <w:rsid w:val="00866729"/>
    <w:rsid w:val="00873413"/>
    <w:rsid w:val="008C3757"/>
    <w:rsid w:val="008E78BD"/>
    <w:rsid w:val="008F3670"/>
    <w:rsid w:val="00907227"/>
    <w:rsid w:val="00913CCA"/>
    <w:rsid w:val="00917DBF"/>
    <w:rsid w:val="00947078"/>
    <w:rsid w:val="00964C03"/>
    <w:rsid w:val="00984F88"/>
    <w:rsid w:val="00986332"/>
    <w:rsid w:val="00987122"/>
    <w:rsid w:val="009A5350"/>
    <w:rsid w:val="009B048F"/>
    <w:rsid w:val="009B2190"/>
    <w:rsid w:val="009B2246"/>
    <w:rsid w:val="009C1DF7"/>
    <w:rsid w:val="009D574E"/>
    <w:rsid w:val="009F0F4D"/>
    <w:rsid w:val="00A0737B"/>
    <w:rsid w:val="00A26B11"/>
    <w:rsid w:val="00A32C58"/>
    <w:rsid w:val="00A37BEE"/>
    <w:rsid w:val="00A75A1C"/>
    <w:rsid w:val="00A8663E"/>
    <w:rsid w:val="00A94282"/>
    <w:rsid w:val="00AA2B4C"/>
    <w:rsid w:val="00AB00D9"/>
    <w:rsid w:val="00AD034F"/>
    <w:rsid w:val="00B14E3A"/>
    <w:rsid w:val="00B1661D"/>
    <w:rsid w:val="00B27EC0"/>
    <w:rsid w:val="00B312CF"/>
    <w:rsid w:val="00B467CD"/>
    <w:rsid w:val="00B611FD"/>
    <w:rsid w:val="00B66500"/>
    <w:rsid w:val="00B839F8"/>
    <w:rsid w:val="00B83B53"/>
    <w:rsid w:val="00B83EB8"/>
    <w:rsid w:val="00B95388"/>
    <w:rsid w:val="00BB4A03"/>
    <w:rsid w:val="00C10F3E"/>
    <w:rsid w:val="00C11037"/>
    <w:rsid w:val="00C53DC8"/>
    <w:rsid w:val="00C57562"/>
    <w:rsid w:val="00C57AAC"/>
    <w:rsid w:val="00C62AEF"/>
    <w:rsid w:val="00C650DD"/>
    <w:rsid w:val="00C900B8"/>
    <w:rsid w:val="00CA50A6"/>
    <w:rsid w:val="00CB2BAD"/>
    <w:rsid w:val="00CE2748"/>
    <w:rsid w:val="00CF2779"/>
    <w:rsid w:val="00D0059B"/>
    <w:rsid w:val="00D12CB3"/>
    <w:rsid w:val="00D167F7"/>
    <w:rsid w:val="00D41143"/>
    <w:rsid w:val="00D42994"/>
    <w:rsid w:val="00D54B3D"/>
    <w:rsid w:val="00D6194A"/>
    <w:rsid w:val="00D90AF7"/>
    <w:rsid w:val="00DA48EB"/>
    <w:rsid w:val="00DB51E6"/>
    <w:rsid w:val="00DB5DD1"/>
    <w:rsid w:val="00DC0BDB"/>
    <w:rsid w:val="00DC4642"/>
    <w:rsid w:val="00DC4856"/>
    <w:rsid w:val="00DD3BAB"/>
    <w:rsid w:val="00DF2D7C"/>
    <w:rsid w:val="00DF2F55"/>
    <w:rsid w:val="00E02001"/>
    <w:rsid w:val="00E0252B"/>
    <w:rsid w:val="00E061FF"/>
    <w:rsid w:val="00E248AF"/>
    <w:rsid w:val="00E4433A"/>
    <w:rsid w:val="00E5225B"/>
    <w:rsid w:val="00E55DA5"/>
    <w:rsid w:val="00E63678"/>
    <w:rsid w:val="00E637B0"/>
    <w:rsid w:val="00E70A63"/>
    <w:rsid w:val="00E95013"/>
    <w:rsid w:val="00EA04A9"/>
    <w:rsid w:val="00EA1998"/>
    <w:rsid w:val="00EC7514"/>
    <w:rsid w:val="00ED10F4"/>
    <w:rsid w:val="00EE1828"/>
    <w:rsid w:val="00EF4A46"/>
    <w:rsid w:val="00F00EA9"/>
    <w:rsid w:val="00F12365"/>
    <w:rsid w:val="00F13607"/>
    <w:rsid w:val="00F16BAD"/>
    <w:rsid w:val="00F2650B"/>
    <w:rsid w:val="00F324EB"/>
    <w:rsid w:val="00F42121"/>
    <w:rsid w:val="00F459B6"/>
    <w:rsid w:val="00F52D2A"/>
    <w:rsid w:val="00F7225B"/>
    <w:rsid w:val="00F762E7"/>
    <w:rsid w:val="00F85D7E"/>
    <w:rsid w:val="00FA5086"/>
    <w:rsid w:val="00FB0FBF"/>
    <w:rsid w:val="00FB2AAC"/>
    <w:rsid w:val="00FB3ADC"/>
    <w:rsid w:val="00FF1C4E"/>
    <w:rsid w:val="00FF3CCC"/>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ABF2D"/>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99" w:qFormat="1"/>
    <w:lsdException w:name="Emphasis" w:qFormat="1"/>
    <w:lsdException w:name="Document Map" w:uiPriority="99"/>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link w:val="Antrat1Diagrama"/>
    <w:uiPriority w:val="99"/>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uiPriority w:val="99"/>
  </w:style>
  <w:style w:type="paragraph" w:styleId="Antrats">
    <w:name w:val="header"/>
    <w:basedOn w:val="prastasis"/>
    <w:link w:val="AntratsDiagrama"/>
    <w:uiPriority w:val="99"/>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uiPriority w:val="99"/>
    <w:pPr>
      <w:spacing w:before="120" w:after="120"/>
      <w:jc w:val="both"/>
    </w:pPr>
    <w:rPr>
      <w:szCs w:val="20"/>
      <w:lang w:val="en-US"/>
    </w:rPr>
  </w:style>
  <w:style w:type="paragraph" w:customStyle="1" w:styleId="AHeader1">
    <w:name w:val="AHeader 1"/>
    <w:basedOn w:val="prastasis"/>
    <w:uiPriority w:val="99"/>
    <w:pPr>
      <w:numPr>
        <w:numId w:val="2"/>
      </w:numPr>
      <w:spacing w:after="120"/>
    </w:pPr>
    <w:rPr>
      <w:rFonts w:ascii="Arial" w:hAnsi="Arial" w:cs="Arial"/>
      <w:b/>
      <w:bCs/>
      <w:sz w:val="24"/>
      <w:szCs w:val="20"/>
      <w:lang w:val="en-GB"/>
    </w:rPr>
  </w:style>
  <w:style w:type="paragraph" w:customStyle="1" w:styleId="AHeader2">
    <w:name w:val="AHeader 2"/>
    <w:basedOn w:val="AHeader1"/>
    <w:uiPriority w:val="99"/>
    <w:pPr>
      <w:numPr>
        <w:ilvl w:val="1"/>
      </w:numPr>
      <w:tabs>
        <w:tab w:val="clear" w:pos="709"/>
        <w:tab w:val="num" w:pos="360"/>
      </w:tabs>
      <w:ind w:left="360" w:hanging="360"/>
    </w:pPr>
    <w:rPr>
      <w:sz w:val="22"/>
    </w:rPr>
  </w:style>
  <w:style w:type="paragraph" w:customStyle="1" w:styleId="AHeader3">
    <w:name w:val="AHeader 3"/>
    <w:basedOn w:val="AHeader2"/>
    <w:uiPriority w:val="99"/>
    <w:pPr>
      <w:numPr>
        <w:ilvl w:val="2"/>
      </w:numPr>
      <w:tabs>
        <w:tab w:val="clear" w:pos="1276"/>
        <w:tab w:val="num" w:pos="360"/>
      </w:tabs>
      <w:ind w:left="360" w:hanging="360"/>
    </w:pPr>
  </w:style>
  <w:style w:type="paragraph" w:customStyle="1" w:styleId="AHeader2abc">
    <w:name w:val="AHeader 2 abc"/>
    <w:basedOn w:val="AHeader3"/>
    <w:uiPriority w:val="99"/>
    <w:pPr>
      <w:numPr>
        <w:ilvl w:val="3"/>
      </w:numPr>
      <w:tabs>
        <w:tab w:val="clear" w:pos="1276"/>
        <w:tab w:val="num" w:pos="360"/>
      </w:tabs>
      <w:ind w:left="360" w:hanging="360"/>
      <w:jc w:val="both"/>
    </w:pPr>
    <w:rPr>
      <w:b w:val="0"/>
      <w:bCs w:val="0"/>
    </w:rPr>
  </w:style>
  <w:style w:type="paragraph" w:customStyle="1" w:styleId="AHeader3abc">
    <w:name w:val="AHeader 3 abc"/>
    <w:basedOn w:val="AHeader2abc"/>
    <w:uiPriority w:val="99"/>
    <w:pPr>
      <w:numPr>
        <w:ilvl w:val="4"/>
      </w:numPr>
      <w:tabs>
        <w:tab w:val="clear" w:pos="1701"/>
        <w:tab w:val="num" w:pos="360"/>
      </w:tabs>
      <w:ind w:left="360" w:hanging="360"/>
    </w:pPr>
  </w:style>
  <w:style w:type="paragraph" w:styleId="Pagrindinistekstas2">
    <w:name w:val="Body Text 2"/>
    <w:basedOn w:val="prastasis"/>
    <w:link w:val="Pagrindinistekstas2Diagrama"/>
    <w:uiPriority w:val="99"/>
    <w:pPr>
      <w:numPr>
        <w:ilvl w:val="12"/>
      </w:numPr>
      <w:ind w:right="-2"/>
    </w:pPr>
    <w:rPr>
      <w:b/>
      <w:bCs/>
      <w:szCs w:val="20"/>
    </w:rPr>
  </w:style>
  <w:style w:type="paragraph" w:styleId="Pagrindinistekstas">
    <w:name w:val="Body Text"/>
    <w:basedOn w:val="prastasis"/>
    <w:link w:val="PagrindinistekstasDiagrama"/>
    <w:uiPriority w:val="99"/>
    <w:rPr>
      <w:i/>
      <w:color w:val="008000"/>
      <w:szCs w:val="20"/>
      <w:lang w:val="en-GB"/>
    </w:rPr>
  </w:style>
  <w:style w:type="character" w:styleId="Hipersaitas">
    <w:name w:val="Hyperlink"/>
    <w:rPr>
      <w:color w:val="0000FF"/>
      <w:u w:val="single"/>
    </w:rPr>
  </w:style>
  <w:style w:type="character" w:styleId="Grietas">
    <w:name w:val="Strong"/>
    <w:uiPriority w:val="99"/>
    <w:qFormat/>
    <w:rPr>
      <w:b/>
      <w:bCs/>
    </w:rPr>
  </w:style>
  <w:style w:type="paragraph" w:styleId="Debesliotekstas">
    <w:name w:val="Balloon Text"/>
    <w:basedOn w:val="prastasis"/>
    <w:link w:val="DebesliotekstasDiagrama"/>
    <w:uiPriority w:val="99"/>
    <w:rPr>
      <w:rFonts w:ascii="Tahoma" w:hAnsi="Tahoma" w:cs="Tahoma"/>
      <w:sz w:val="16"/>
      <w:szCs w:val="16"/>
    </w:rPr>
  </w:style>
  <w:style w:type="character" w:styleId="Perirtashipersaitas">
    <w:name w:val="FollowedHyperlink"/>
    <w:uiPriority w:val="99"/>
    <w:rPr>
      <w:color w:val="800080"/>
      <w:u w:val="singl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szCs w:val="20"/>
    </w:rPr>
  </w:style>
  <w:style w:type="character" w:customStyle="1" w:styleId="KomentarotekstasDiagrama">
    <w:name w:val="Komentaro tekstas Diagrama"/>
    <w:link w:val="Komentarotekstas"/>
    <w:uiPriority w:val="99"/>
    <w:rPr>
      <w:lang w:val="lt-LT" w:eastAsia="en-US"/>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lang w:val="lt-LT" w:eastAsia="en-US"/>
    </w:rPr>
  </w:style>
  <w:style w:type="numbering" w:customStyle="1" w:styleId="Sraonra1">
    <w:name w:val="Sąrašo nėra1"/>
    <w:next w:val="Sraonra"/>
    <w:uiPriority w:val="99"/>
    <w:semiHidden/>
    <w:unhideWhenUsed/>
  </w:style>
  <w:style w:type="character" w:customStyle="1" w:styleId="Antrat1Diagrama">
    <w:name w:val="Antraštė 1 Diagrama"/>
    <w:link w:val="Antrat1"/>
    <w:uiPriority w:val="99"/>
    <w:rPr>
      <w:b/>
      <w:caps/>
      <w:sz w:val="26"/>
      <w:lang w:val="en-US" w:eastAsia="en-US"/>
    </w:rPr>
  </w:style>
  <w:style w:type="character" w:customStyle="1" w:styleId="Antrat2Diagrama">
    <w:name w:val="Antraštė 2 Diagrama"/>
    <w:link w:val="Antrat2"/>
    <w:uiPriority w:val="99"/>
    <w:rPr>
      <w:rFonts w:ascii="Helvetica" w:hAnsi="Helvetica"/>
      <w:b/>
      <w:i/>
      <w:sz w:val="22"/>
      <w:lang w:val="cs-CZ" w:eastAsia="en-US"/>
    </w:rPr>
  </w:style>
  <w:style w:type="character" w:customStyle="1" w:styleId="Antrat3Diagrama">
    <w:name w:val="Antraštė 3 Diagrama"/>
    <w:link w:val="Antrat3"/>
    <w:uiPriority w:val="99"/>
    <w:rPr>
      <w:b/>
      <w:kern w:val="28"/>
      <w:sz w:val="22"/>
      <w:lang w:val="en-US" w:eastAsia="en-US"/>
    </w:rPr>
  </w:style>
  <w:style w:type="character" w:customStyle="1" w:styleId="Antrat4Diagrama">
    <w:name w:val="Antraštė 4 Diagrama"/>
    <w:link w:val="Antrat4"/>
    <w:uiPriority w:val="99"/>
    <w:rPr>
      <w:b/>
      <w:noProof/>
      <w:sz w:val="22"/>
      <w:lang w:val="cs-CZ" w:eastAsia="en-US"/>
    </w:rPr>
  </w:style>
  <w:style w:type="character" w:customStyle="1" w:styleId="Antrat5Diagrama">
    <w:name w:val="Antraštė 5 Diagrama"/>
    <w:link w:val="Antrat5"/>
    <w:uiPriority w:val="99"/>
    <w:rPr>
      <w:noProof/>
      <w:sz w:val="22"/>
      <w:lang w:val="cs-CZ" w:eastAsia="en-US"/>
    </w:rPr>
  </w:style>
  <w:style w:type="character" w:customStyle="1" w:styleId="Antrat6Diagrama">
    <w:name w:val="Antraštė 6 Diagrama"/>
    <w:link w:val="Antrat6"/>
    <w:uiPriority w:val="99"/>
    <w:rPr>
      <w:i/>
      <w:sz w:val="22"/>
      <w:lang w:val="cs-CZ" w:eastAsia="en-US"/>
    </w:rPr>
  </w:style>
  <w:style w:type="character" w:customStyle="1" w:styleId="Antrat7Diagrama">
    <w:name w:val="Antraštė 7 Diagrama"/>
    <w:link w:val="Antrat7"/>
    <w:uiPriority w:val="99"/>
    <w:rPr>
      <w:i/>
      <w:sz w:val="22"/>
      <w:lang w:val="cs-CZ" w:eastAsia="en-US"/>
    </w:rPr>
  </w:style>
  <w:style w:type="character" w:customStyle="1" w:styleId="Antrat8Diagrama">
    <w:name w:val="Antraštė 8 Diagrama"/>
    <w:link w:val="Antrat8"/>
    <w:uiPriority w:val="99"/>
    <w:rPr>
      <w:b/>
      <w:i/>
      <w:sz w:val="22"/>
      <w:lang w:val="cs-CZ" w:eastAsia="en-US"/>
    </w:rPr>
  </w:style>
  <w:style w:type="character" w:customStyle="1" w:styleId="Antrat9Diagrama">
    <w:name w:val="Antraštė 9 Diagrama"/>
    <w:link w:val="Antrat9"/>
    <w:uiPriority w:val="99"/>
    <w:rPr>
      <w:b/>
      <w:i/>
      <w:sz w:val="22"/>
      <w:lang w:val="cs-CZ" w:eastAsia="en-US"/>
    </w:rPr>
  </w:style>
  <w:style w:type="character" w:customStyle="1" w:styleId="PoratDiagrama">
    <w:name w:val="Poraštė Diagrama"/>
    <w:link w:val="Porat"/>
    <w:uiPriority w:val="99"/>
    <w:rPr>
      <w:rFonts w:ascii="Helvetica" w:hAnsi="Helvetica"/>
      <w:sz w:val="16"/>
      <w:lang w:val="cs-CZ" w:eastAsia="en-US"/>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Pr>
      <w:rFonts w:ascii="Verdana" w:hAnsi="Verdana"/>
      <w:snapToGrid w:val="0"/>
      <w:sz w:val="18"/>
      <w:szCs w:val="22"/>
      <w:lang w:val="en-GB"/>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DebesliotekstasDiagrama">
    <w:name w:val="Debesėlio tekstas Diagrama"/>
    <w:link w:val="Debesliotekstas"/>
    <w:uiPriority w:val="99"/>
    <w:rPr>
      <w:rFonts w:ascii="Tahoma" w:hAnsi="Tahoma" w:cs="Tahoma"/>
      <w:sz w:val="16"/>
      <w:szCs w:val="16"/>
      <w:lang w:eastAsia="en-US"/>
    </w:rPr>
  </w:style>
  <w:style w:type="paragraph" w:styleId="Pataisymai">
    <w:name w:val="Revision"/>
    <w:hidden/>
    <w:uiPriority w:val="99"/>
    <w:semiHidden/>
    <w:rPr>
      <w:snapToGrid w:val="0"/>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AntratsDiagrama">
    <w:name w:val="Antraštės Diagrama"/>
    <w:link w:val="Antrats"/>
    <w:uiPriority w:val="99"/>
    <w:rPr>
      <w:rFonts w:ascii="Helvetica" w:hAnsi="Helvetica"/>
      <w:lang w:val="cs-CZ" w:eastAsia="en-US"/>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Cs w:val="22"/>
      <w:lang w:val="en-GB" w:eastAsia="en-GB"/>
    </w:rPr>
  </w:style>
  <w:style w:type="character" w:customStyle="1" w:styleId="PagrindiniotekstotraukaDiagrama">
    <w:name w:val="Pagrindinio teksto įtrauka Diagrama"/>
    <w:basedOn w:val="Numatytasispastraiposriftas"/>
    <w:link w:val="Pagrindiniotekstotrauka"/>
    <w:uiPriority w:val="99"/>
    <w:rPr>
      <w:rFonts w:eastAsia="SimSu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Cs w:val="22"/>
      <w:lang w:val="en-GB" w:eastAsia="en-GB"/>
    </w:rPr>
  </w:style>
  <w:style w:type="character" w:customStyle="1" w:styleId="Pagrindinistekstas3Diagrama">
    <w:name w:val="Pagrindinis tekstas 3 Diagrama"/>
    <w:basedOn w:val="Numatytasispastraiposriftas"/>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Cs w:val="22"/>
      <w:lang w:val="en-GB"/>
    </w:rPr>
  </w:style>
  <w:style w:type="character" w:customStyle="1" w:styleId="Pagrindiniotekstotrauka2Diagrama">
    <w:name w:val="Pagrindinio teksto įtrauka 2 Diagrama"/>
    <w:basedOn w:val="Numatytasispastraiposriftas"/>
    <w:link w:val="Pagrindiniotekstotrauka2"/>
    <w:uiPriority w:val="99"/>
    <w:rPr>
      <w:rFonts w:eastAsia="SimSun"/>
      <w:b/>
      <w:bCs/>
      <w:color w:val="0000FF"/>
      <w:sz w:val="22"/>
      <w:szCs w:val="22"/>
      <w:lang w:val="en-GB" w:eastAsia="en-US"/>
    </w:rPr>
  </w:style>
  <w:style w:type="character" w:customStyle="1" w:styleId="PagrindinistekstasDiagrama">
    <w:name w:val="Pagrindinis tekstas Diagrama"/>
    <w:link w:val="Pagrindinistekstas"/>
    <w:uiPriority w:val="99"/>
    <w:rPr>
      <w:i/>
      <w:color w:val="008000"/>
      <w:sz w:val="22"/>
      <w:lang w:val="en-GB" w:eastAsia="en-US"/>
    </w:rPr>
  </w:style>
  <w:style w:type="character" w:customStyle="1" w:styleId="Pagrindinistekstas2Diagrama">
    <w:name w:val="Pagrindinis tekstas 2 Diagrama"/>
    <w:link w:val="Pagrindinistekstas2"/>
    <w:uiPriority w:val="99"/>
    <w:rPr>
      <w:b/>
      <w:bCs/>
      <w:sz w:val="22"/>
      <w:lang w:eastAsia="en-US"/>
    </w:r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Cs w:val="21"/>
      <w:lang w:val="en-GB"/>
    </w:rPr>
  </w:style>
  <w:style w:type="character" w:customStyle="1" w:styleId="Pagrindiniotekstotrauka3Diagrama">
    <w:name w:val="Pagrindinio teksto įtrauka 3 Diagrama"/>
    <w:basedOn w:val="Numatytasispastraiposriftas"/>
    <w:link w:val="Pagrindiniotekstotrauka3"/>
    <w:uiPriority w:val="99"/>
    <w:rPr>
      <w:rFonts w:eastAsia="SimSun"/>
      <w:sz w:val="22"/>
      <w:szCs w:val="21"/>
      <w:lang w:val="en-GB" w:eastAsia="en-US"/>
    </w:rPr>
  </w:style>
  <w:style w:type="character" w:customStyle="1" w:styleId="BodytextAgencyChar">
    <w:name w:val="Body text (Agency) Char"/>
    <w:link w:val="BodytextAgency"/>
    <w:uiPriority w:val="99"/>
    <w:locked/>
    <w:rPr>
      <w:rFonts w:ascii="Verdana"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val="0"/>
      <w:sz w:val="18"/>
      <w:szCs w:val="22"/>
      <w:lang w:val="en-GB"/>
    </w:rPr>
  </w:style>
  <w:style w:type="paragraph" w:styleId="Paprastasistekstas">
    <w:name w:val="Plain Text"/>
    <w:basedOn w:val="prastasis"/>
    <w:link w:val="PaprastasistekstasDiagrama"/>
    <w:uiPriority w:val="9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lang w:val="en-US" w:eastAsia="en-US"/>
    </w:rPr>
  </w:style>
  <w:style w:type="paragraph" w:customStyle="1" w:styleId="Default">
    <w:name w:val="Default"/>
    <w:pPr>
      <w:autoSpaceDE w:val="0"/>
      <w:autoSpaceDN w:val="0"/>
      <w:adjustRightInd w:val="0"/>
    </w:pPr>
    <w:rPr>
      <w:rFonts w:eastAsia="SimSun"/>
      <w:color w:val="000000"/>
      <w:sz w:val="24"/>
      <w:szCs w:val="24"/>
      <w:lang w:val="en-US" w:eastAsia="zh-CN"/>
    </w:rPr>
  </w:style>
  <w:style w:type="paragraph" w:styleId="Pavadinimas">
    <w:name w:val="Title"/>
    <w:basedOn w:val="prastasis"/>
    <w:link w:val="PavadinimasDiagrama"/>
    <w:uiPriority w:val="99"/>
    <w:qFormat/>
    <w:pPr>
      <w:jc w:val="center"/>
    </w:pPr>
    <w:rPr>
      <w:rFonts w:eastAsia="SimSun"/>
      <w:b/>
      <w:szCs w:val="20"/>
      <w:lang w:val="en-GB"/>
    </w:rPr>
  </w:style>
  <w:style w:type="character" w:customStyle="1" w:styleId="PavadinimasDiagrama">
    <w:name w:val="Pavadinimas Diagrama"/>
    <w:basedOn w:val="Numatytasispastraiposriftas"/>
    <w:link w:val="Pavadinimas"/>
    <w:uiPriority w:val="99"/>
    <w:rPr>
      <w:rFonts w:eastAsia="SimSun"/>
      <w:b/>
      <w:sz w:val="22"/>
      <w:lang w:val="en-GB" w:eastAsia="en-US"/>
    </w:rPr>
  </w:style>
  <w:style w:type="paragraph" w:styleId="Dokumentoinaostekstas">
    <w:name w:val="endnote text"/>
    <w:basedOn w:val="prastasis"/>
    <w:link w:val="DokumentoinaostekstasDiagrama"/>
    <w:uiPriority w:val="99"/>
    <w:pPr>
      <w:tabs>
        <w:tab w:val="left" w:pos="567"/>
      </w:tabs>
    </w:pPr>
    <w:rPr>
      <w:rFonts w:eastAsia="SimSun"/>
      <w:szCs w:val="20"/>
      <w:lang w:val="en-GB"/>
    </w:rPr>
  </w:style>
  <w:style w:type="character" w:customStyle="1" w:styleId="DokumentoinaostekstasDiagrama">
    <w:name w:val="Dokumento išnašos tekstas Diagrama"/>
    <w:basedOn w:val="Numatytasispastraiposriftas"/>
    <w:link w:val="Dokumentoinaostekstas"/>
    <w:uiPriority w:val="99"/>
    <w:rPr>
      <w:rFonts w:eastAsia="SimSun"/>
      <w:sz w:val="22"/>
      <w:lang w:val="en-GB" w:eastAsia="en-US"/>
    </w:rPr>
  </w:style>
  <w:style w:type="paragraph" w:customStyle="1" w:styleId="BTEMEASMCA">
    <w:name w:val="BT EMEA_SMCA"/>
    <w:basedOn w:val="prastasis"/>
    <w:link w:val="BTEMEASMCAChar"/>
    <w:autoRedefine/>
    <w:uiPriority w:val="99"/>
    <w:rPr>
      <w:rFonts w:eastAsia="SimSun"/>
      <w:noProof/>
      <w:sz w:val="20"/>
      <w:szCs w:val="20"/>
      <w:lang w:val="x-none" w:eastAsia="x-none"/>
    </w:rPr>
  </w:style>
  <w:style w:type="character" w:customStyle="1" w:styleId="BTEMEASMCAChar">
    <w:name w:val="BT EMEA_SMCA Char"/>
    <w:link w:val="BTEMEASMCA"/>
    <w:uiPriority w:val="99"/>
    <w:locked/>
    <w:rPr>
      <w:rFonts w:eastAsia="SimSun"/>
      <w:noProof/>
      <w:lang w:val="x-none" w:eastAsia="x-none"/>
    </w:rPr>
  </w:style>
  <w:style w:type="character" w:customStyle="1" w:styleId="CharChar12">
    <w:name w:val="Char Char12"/>
    <w:locked/>
    <w:rPr>
      <w:snapToGrid w:val="0"/>
      <w:lang w:val="en-GB" w:eastAsia="en-US" w:bidi="ar-SA"/>
    </w:rPr>
  </w:style>
  <w:style w:type="character" w:customStyle="1" w:styleId="UnresolvedMention">
    <w:name w:val="Unresolved Mention"/>
    <w:basedOn w:val="Numatytasispastraiposriftas"/>
    <w:uiPriority w:val="99"/>
    <w:semiHidden/>
    <w:unhideWhenUsed/>
    <w:rsid w:val="00D90AF7"/>
    <w:rPr>
      <w:color w:val="605E5C"/>
      <w:shd w:val="clear" w:color="auto" w:fill="E1DFDD"/>
    </w:rPr>
  </w:style>
  <w:style w:type="table" w:styleId="Lentelstinklelis">
    <w:name w:val="Table Grid"/>
    <w:basedOn w:val="prastojilentel"/>
    <w:rsid w:val="0041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32</Pages>
  <Words>8530</Words>
  <Characters>58221</Characters>
  <Application>Microsoft Office Word</Application>
  <DocSecurity>0</DocSecurity>
  <Lines>485</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mutual-recognition-decentralised-referral-pi-template-version-42_en_CLEAN_LT</vt:lpstr>
      <vt:lpstr>Hreferralspcclean_lt</vt:lpstr>
    </vt:vector>
  </TitlesOfParts>
  <Company>CDT</Company>
  <LinksUpToDate>false</LinksUpToDate>
  <CharactersWithSpaces>66618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4</cp:revision>
  <cp:lastPrinted>2019-11-28T11:21:00Z</cp:lastPrinted>
  <dcterms:created xsi:type="dcterms:W3CDTF">2024-08-12T08:19:00Z</dcterms:created>
  <dcterms:modified xsi:type="dcterms:W3CDTF">2024-08-12T09:24:00Z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afe1b31d-cec0-4074-b4bd-f07689e43d84_ActionId">
    <vt:lpwstr/>
  </property>
  <property fmtid="{D5CDD505-2E9C-101B-9397-08002B2CF9AE}" pid="47" name="MSIP_Label_afe1b31d-cec0-4074-b4bd-f07689e43d84_Application">
    <vt:lpwstr/>
  </property>
  <property fmtid="{D5CDD505-2E9C-101B-9397-08002B2CF9AE}" pid="48" name="MSIP_Label_afe1b31d-cec0-4074-b4bd-f07689e43d84_Enabled">
    <vt:lpwstr/>
  </property>
  <property fmtid="{D5CDD505-2E9C-101B-9397-08002B2CF9AE}" pid="49" name="MSIP_Label_afe1b31d-cec0-4074-b4bd-f07689e43d84_Extended_MSFT_Method">
    <vt:lpwstr/>
  </property>
  <property fmtid="{D5CDD505-2E9C-101B-9397-08002B2CF9AE}" pid="50" name="MSIP_Label_afe1b31d-cec0-4074-b4bd-f07689e43d84_Name">
    <vt:lpwstr/>
  </property>
  <property fmtid="{D5CDD505-2E9C-101B-9397-08002B2CF9AE}" pid="51" name="MSIP_Label_afe1b31d-cec0-4074-b4bd-f07689e43d84_Owner">
    <vt:lpwstr/>
  </property>
  <property fmtid="{D5CDD505-2E9C-101B-9397-08002B2CF9AE}" pid="52" name="MSIP_Label_afe1b31d-cec0-4074-b4bd-f07689e43d84_SetDate">
    <vt:lpwstr/>
  </property>
  <property fmtid="{D5CDD505-2E9C-101B-9397-08002B2CF9AE}" pid="53" name="MSIP_Label_afe1b31d-cec0-4074-b4bd-f07689e43d84_SiteId">
    <vt:lpwstr/>
  </property>
  <property fmtid="{D5CDD505-2E9C-101B-9397-08002B2CF9AE}" pid="54" name="MSIP_Label_0eea11ca-d417-4147-80ed-01a58412c458_Enabled">
    <vt:lpwstr/>
  </property>
  <property fmtid="{D5CDD505-2E9C-101B-9397-08002B2CF9AE}" pid="55" name="MSIP_Label_0eea11ca-d417-4147-80ed-01a58412c458_SetDate">
    <vt:lpwstr/>
  </property>
  <property fmtid="{D5CDD505-2E9C-101B-9397-08002B2CF9AE}" pid="56" name="MSIP_Label_0eea11ca-d417-4147-80ed-01a58412c458_Method">
    <vt:lpwstr/>
  </property>
  <property fmtid="{D5CDD505-2E9C-101B-9397-08002B2CF9AE}" pid="57" name="MSIP_Label_0eea11ca-d417-4147-80ed-01a58412c458_Name">
    <vt:lpwstr/>
  </property>
  <property fmtid="{D5CDD505-2E9C-101B-9397-08002B2CF9AE}" pid="58" name="MSIP_Label_0eea11ca-d417-4147-80ed-01a58412c458_SiteId">
    <vt:lpwstr/>
  </property>
  <property fmtid="{D5CDD505-2E9C-101B-9397-08002B2CF9AE}" pid="59" name="MSIP_Label_0eea11ca-d417-4147-80ed-01a58412c458_ActionId">
    <vt:lpwstr/>
  </property>
  <property fmtid="{D5CDD505-2E9C-101B-9397-08002B2CF9AE}" pid="60" name="MSIP_Label_0eea11ca-d417-4147-80ed-01a58412c458_ContentBits">
    <vt:lpwstr/>
  </property>
</Properties>
</file>