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AD2" w:rsidRPr="00956ABF" w:rsidRDefault="00464AD2" w:rsidP="00464AD2">
      <w:pPr>
        <w:spacing w:before="0" w:after="0"/>
        <w:jc w:val="center"/>
        <w:rPr>
          <w:b/>
          <w:bCs/>
          <w:sz w:val="22"/>
          <w:szCs w:val="22"/>
        </w:rPr>
      </w:pPr>
      <w:r w:rsidRPr="00956ABF">
        <w:rPr>
          <w:b/>
          <w:bCs/>
          <w:sz w:val="22"/>
          <w:szCs w:val="22"/>
        </w:rPr>
        <w:t>Pakuotės lapelis: informacija pacientui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Pr="00956ABF" w:rsidRDefault="00464AD2" w:rsidP="00464AD2">
      <w:pPr>
        <w:spacing w:before="0" w:after="0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Meriofert</w:t>
      </w:r>
      <w:proofErr w:type="spellEnd"/>
      <w:r w:rsidRPr="00DC3C06">
        <w:rPr>
          <w:b/>
          <w:bCs/>
          <w:sz w:val="22"/>
          <w:szCs w:val="22"/>
        </w:rPr>
        <w:t xml:space="preserve"> 75 TV</w:t>
      </w:r>
      <w:r w:rsidRPr="00DC3C06">
        <w:rPr>
          <w:b/>
          <w:bCs/>
          <w:color w:val="808080"/>
          <w:sz w:val="22"/>
          <w:szCs w:val="22"/>
        </w:rPr>
        <w:t xml:space="preserve"> </w:t>
      </w:r>
      <w:r w:rsidRPr="00956ABF">
        <w:rPr>
          <w:b/>
          <w:bCs/>
          <w:sz w:val="22"/>
          <w:szCs w:val="22"/>
        </w:rPr>
        <w:t xml:space="preserve">milteliai ir tirpiklis injekciniam tirpalui </w:t>
      </w:r>
    </w:p>
    <w:p w:rsidR="00464AD2" w:rsidRPr="00956ABF" w:rsidRDefault="00464AD2" w:rsidP="00464AD2">
      <w:pPr>
        <w:spacing w:before="0" w:after="0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Meriofert</w:t>
      </w:r>
      <w:proofErr w:type="spellEnd"/>
      <w:r w:rsidRPr="00DC3C06">
        <w:rPr>
          <w:b/>
          <w:bCs/>
          <w:sz w:val="22"/>
          <w:szCs w:val="22"/>
        </w:rPr>
        <w:t xml:space="preserve"> 150 TV </w:t>
      </w:r>
      <w:r w:rsidRPr="00956ABF">
        <w:rPr>
          <w:b/>
          <w:bCs/>
          <w:sz w:val="22"/>
          <w:szCs w:val="22"/>
        </w:rPr>
        <w:t xml:space="preserve">milteliai ir tirpiklis injekciniam tirpalui </w:t>
      </w:r>
    </w:p>
    <w:p w:rsidR="00464AD2" w:rsidRPr="00956ABF" w:rsidRDefault="00464AD2" w:rsidP="00464AD2">
      <w:pPr>
        <w:spacing w:before="0" w:after="0"/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</w:t>
      </w:r>
      <w:r w:rsidRPr="00956ABF">
        <w:rPr>
          <w:bCs/>
          <w:sz w:val="22"/>
          <w:szCs w:val="22"/>
        </w:rPr>
        <w:t>enotropinas</w:t>
      </w:r>
      <w:proofErr w:type="spellEnd"/>
    </w:p>
    <w:p w:rsidR="00464AD2" w:rsidRPr="00555EC3" w:rsidRDefault="00464AD2" w:rsidP="00464AD2">
      <w:pPr>
        <w:spacing w:before="0" w:after="0"/>
        <w:rPr>
          <w:sz w:val="22"/>
        </w:rPr>
      </w:pPr>
    </w:p>
    <w:p w:rsidR="00464AD2" w:rsidRPr="00555EC3" w:rsidRDefault="00464AD2" w:rsidP="00464AD2">
      <w:pPr>
        <w:suppressAutoHyphens/>
        <w:spacing w:before="0" w:after="0"/>
        <w:rPr>
          <w:sz w:val="22"/>
        </w:rPr>
      </w:pPr>
    </w:p>
    <w:p w:rsidR="00464AD2" w:rsidRPr="00DC3C06" w:rsidRDefault="00464AD2" w:rsidP="00464AD2">
      <w:pPr>
        <w:suppressAutoHyphens/>
        <w:spacing w:before="0" w:after="0"/>
        <w:rPr>
          <w:sz w:val="22"/>
          <w:szCs w:val="22"/>
        </w:rPr>
      </w:pPr>
      <w:r w:rsidRPr="00DC3C06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464AD2" w:rsidRPr="00DC3C06" w:rsidRDefault="00464AD2" w:rsidP="00464AD2">
      <w:pPr>
        <w:numPr>
          <w:ilvl w:val="0"/>
          <w:numId w:val="6"/>
        </w:numPr>
        <w:tabs>
          <w:tab w:val="left" w:pos="567"/>
        </w:tabs>
        <w:spacing w:before="0" w:after="0"/>
        <w:ind w:left="567" w:hanging="567"/>
        <w:rPr>
          <w:sz w:val="22"/>
          <w:szCs w:val="22"/>
        </w:rPr>
      </w:pPr>
      <w:r w:rsidRPr="00DC3C06">
        <w:rPr>
          <w:sz w:val="22"/>
          <w:szCs w:val="22"/>
        </w:rPr>
        <w:t>Neišmeskite šio lapelio, nes vėl gali prireikti jį perskaityti.</w:t>
      </w:r>
    </w:p>
    <w:p w:rsidR="00464AD2" w:rsidRPr="00DC3C06" w:rsidRDefault="00464AD2" w:rsidP="00464AD2">
      <w:pPr>
        <w:numPr>
          <w:ilvl w:val="0"/>
          <w:numId w:val="6"/>
        </w:numPr>
        <w:tabs>
          <w:tab w:val="left" w:pos="567"/>
        </w:tabs>
        <w:spacing w:before="0" w:after="0"/>
        <w:ind w:left="567" w:hanging="567"/>
        <w:rPr>
          <w:sz w:val="22"/>
          <w:szCs w:val="22"/>
        </w:rPr>
      </w:pPr>
      <w:r w:rsidRPr="00DC3C06">
        <w:rPr>
          <w:sz w:val="22"/>
          <w:szCs w:val="22"/>
        </w:rPr>
        <w:t>Jeigu kiltų daugiau klausimų, kreipkitės į gydytoją arba vaistininką.</w:t>
      </w:r>
    </w:p>
    <w:p w:rsidR="00464AD2" w:rsidRPr="00DC3C06" w:rsidRDefault="00464AD2" w:rsidP="00464AD2">
      <w:pPr>
        <w:numPr>
          <w:ilvl w:val="0"/>
          <w:numId w:val="6"/>
        </w:numPr>
        <w:tabs>
          <w:tab w:val="left" w:pos="567"/>
        </w:tabs>
        <w:spacing w:before="0" w:after="0"/>
        <w:ind w:left="567" w:hanging="567"/>
        <w:rPr>
          <w:sz w:val="22"/>
          <w:szCs w:val="22"/>
        </w:rPr>
      </w:pPr>
      <w:r w:rsidRPr="00DC3C06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464AD2" w:rsidRPr="00DC3C06" w:rsidRDefault="00464AD2" w:rsidP="00464AD2">
      <w:pPr>
        <w:numPr>
          <w:ilvl w:val="0"/>
          <w:numId w:val="6"/>
        </w:numPr>
        <w:tabs>
          <w:tab w:val="left" w:pos="567"/>
        </w:tabs>
        <w:spacing w:before="0" w:after="0"/>
        <w:ind w:left="567" w:hanging="567"/>
        <w:rPr>
          <w:sz w:val="22"/>
          <w:szCs w:val="22"/>
        </w:rPr>
      </w:pPr>
      <w:r w:rsidRPr="00DC3C06">
        <w:rPr>
          <w:sz w:val="22"/>
          <w:szCs w:val="22"/>
        </w:rPr>
        <w:t>Jeigu pasireiškė šalutinis poveikis (net jeigu jis šiame lapelyje nenurodytas), kreipkitės į gydytoją arba vaistininką. Žr.</w:t>
      </w:r>
      <w:r>
        <w:rPr>
          <w:sz w:val="22"/>
          <w:szCs w:val="22"/>
        </w:rPr>
        <w:t> </w:t>
      </w:r>
      <w:r w:rsidRPr="00DC3C06">
        <w:rPr>
          <w:sz w:val="22"/>
          <w:szCs w:val="22"/>
        </w:rPr>
        <w:t>4</w:t>
      </w:r>
      <w:r>
        <w:rPr>
          <w:sz w:val="22"/>
          <w:szCs w:val="22"/>
        </w:rPr>
        <w:t> </w:t>
      </w:r>
      <w:r w:rsidRPr="00DC3C06">
        <w:rPr>
          <w:sz w:val="22"/>
          <w:szCs w:val="22"/>
        </w:rPr>
        <w:t>skyrių.</w:t>
      </w:r>
    </w:p>
    <w:p w:rsidR="00464AD2" w:rsidRPr="00DC3C06" w:rsidRDefault="00464AD2" w:rsidP="00464AD2">
      <w:pPr>
        <w:numPr>
          <w:ilvl w:val="0"/>
          <w:numId w:val="6"/>
        </w:numPr>
        <w:tabs>
          <w:tab w:val="left" w:pos="567"/>
        </w:tabs>
        <w:spacing w:before="0" w:after="0"/>
        <w:ind w:left="567" w:hanging="567"/>
        <w:rPr>
          <w:b/>
          <w:bCs/>
          <w:sz w:val="22"/>
          <w:szCs w:val="22"/>
        </w:rPr>
      </w:pPr>
      <w:r w:rsidRPr="00DC3C06">
        <w:rPr>
          <w:sz w:val="22"/>
          <w:szCs w:val="22"/>
        </w:rPr>
        <w:t xml:space="preserve">Šiame lapelyje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75 TV milteliai ir tirpiklis injekciniam tirpalui ir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150 TV milteliai ir tirpiklis injekciniam tirpalui vadinami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>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Default="00464AD2" w:rsidP="00464AD2">
      <w:pPr>
        <w:spacing w:before="0" w:after="0"/>
        <w:rPr>
          <w:b/>
          <w:sz w:val="22"/>
          <w:szCs w:val="22"/>
        </w:rPr>
      </w:pPr>
      <w:r w:rsidRPr="00DC3C06">
        <w:rPr>
          <w:b/>
          <w:sz w:val="22"/>
          <w:szCs w:val="22"/>
        </w:rPr>
        <w:t xml:space="preserve">Apie ką rašoma šiame lapelyje? </w:t>
      </w:r>
    </w:p>
    <w:p w:rsidR="00464AD2" w:rsidRPr="00555EC3" w:rsidRDefault="00464AD2" w:rsidP="00464AD2">
      <w:pPr>
        <w:spacing w:before="0" w:after="0"/>
        <w:rPr>
          <w:sz w:val="22"/>
        </w:rPr>
      </w:pPr>
    </w:p>
    <w:p w:rsidR="00464AD2" w:rsidRPr="00DC3C06" w:rsidRDefault="00464AD2" w:rsidP="00464AD2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1.</w:t>
      </w:r>
      <w:r w:rsidRPr="00DC3C06">
        <w:rPr>
          <w:sz w:val="22"/>
          <w:szCs w:val="22"/>
        </w:rPr>
        <w:tab/>
        <w:t xml:space="preserve">Kas yra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ir kam jis vartojamas</w:t>
      </w:r>
    </w:p>
    <w:p w:rsidR="00464AD2" w:rsidRPr="00DC3C06" w:rsidRDefault="00464AD2" w:rsidP="00464AD2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2.</w:t>
      </w:r>
      <w:r w:rsidRPr="00DC3C06">
        <w:rPr>
          <w:sz w:val="22"/>
          <w:szCs w:val="22"/>
        </w:rPr>
        <w:tab/>
        <w:t xml:space="preserve">Kas žinotina prieš vartojant </w:t>
      </w:r>
      <w:proofErr w:type="spellStart"/>
      <w:r>
        <w:rPr>
          <w:sz w:val="22"/>
          <w:szCs w:val="22"/>
        </w:rPr>
        <w:t>Meriofert</w:t>
      </w:r>
      <w:proofErr w:type="spellEnd"/>
    </w:p>
    <w:p w:rsidR="00464AD2" w:rsidRPr="00DC3C06" w:rsidRDefault="00464AD2" w:rsidP="00464AD2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3.</w:t>
      </w:r>
      <w:r w:rsidRPr="00DC3C06">
        <w:rPr>
          <w:sz w:val="22"/>
          <w:szCs w:val="22"/>
        </w:rPr>
        <w:tab/>
        <w:t xml:space="preserve">Kaip vartoti </w:t>
      </w:r>
      <w:proofErr w:type="spellStart"/>
      <w:r>
        <w:rPr>
          <w:sz w:val="22"/>
          <w:szCs w:val="22"/>
        </w:rPr>
        <w:t>Meriofert</w:t>
      </w:r>
      <w:proofErr w:type="spellEnd"/>
    </w:p>
    <w:p w:rsidR="00464AD2" w:rsidRPr="00DC3C06" w:rsidRDefault="00464AD2" w:rsidP="00464AD2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4.</w:t>
      </w:r>
      <w:r w:rsidRPr="00DC3C06">
        <w:rPr>
          <w:sz w:val="22"/>
          <w:szCs w:val="22"/>
        </w:rPr>
        <w:tab/>
        <w:t>Galimas šalutinis poveikis</w:t>
      </w:r>
    </w:p>
    <w:p w:rsidR="00464AD2" w:rsidRPr="00DC3C06" w:rsidRDefault="00464AD2" w:rsidP="00464AD2">
      <w:pPr>
        <w:numPr>
          <w:ilvl w:val="12"/>
          <w:numId w:val="0"/>
        </w:numPr>
        <w:tabs>
          <w:tab w:val="num" w:pos="712"/>
        </w:tabs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5.</w:t>
      </w:r>
      <w:r w:rsidRPr="00DC3C06">
        <w:rPr>
          <w:sz w:val="22"/>
          <w:szCs w:val="22"/>
        </w:rPr>
        <w:tab/>
        <w:t xml:space="preserve">Kaip laikyti </w:t>
      </w:r>
      <w:proofErr w:type="spellStart"/>
      <w:r>
        <w:rPr>
          <w:sz w:val="22"/>
          <w:szCs w:val="22"/>
        </w:rPr>
        <w:t>Meriofert</w:t>
      </w:r>
      <w:proofErr w:type="spellEnd"/>
    </w:p>
    <w:p w:rsidR="00464AD2" w:rsidRPr="00DC3C06" w:rsidRDefault="00464AD2" w:rsidP="00464AD2">
      <w:pPr>
        <w:numPr>
          <w:ilvl w:val="12"/>
          <w:numId w:val="0"/>
        </w:numPr>
        <w:tabs>
          <w:tab w:val="num" w:pos="712"/>
        </w:tabs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6.</w:t>
      </w:r>
      <w:r w:rsidRPr="00DC3C06">
        <w:rPr>
          <w:sz w:val="22"/>
          <w:szCs w:val="22"/>
        </w:rPr>
        <w:tab/>
        <w:t>Pakuotės turinys ir kita informacija</w:t>
      </w:r>
    </w:p>
    <w:p w:rsidR="00464AD2" w:rsidRPr="00DC3C06" w:rsidRDefault="00464AD2" w:rsidP="00464AD2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keepNext/>
        <w:numPr>
          <w:ilvl w:val="0"/>
          <w:numId w:val="5"/>
        </w:numPr>
        <w:tabs>
          <w:tab w:val="clear" w:pos="720"/>
          <w:tab w:val="left" w:pos="567"/>
        </w:tabs>
        <w:spacing w:before="0" w:after="0"/>
        <w:ind w:left="0" w:firstLine="0"/>
        <w:outlineLvl w:val="1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Kas yra </w:t>
      </w:r>
      <w:proofErr w:type="spellStart"/>
      <w:r>
        <w:rPr>
          <w:b/>
          <w:sz w:val="22"/>
          <w:szCs w:val="22"/>
        </w:rPr>
        <w:t>Meriofert</w:t>
      </w:r>
      <w:proofErr w:type="spellEnd"/>
      <w:r w:rsidRPr="00DC3C06">
        <w:rPr>
          <w:b/>
          <w:sz w:val="22"/>
          <w:szCs w:val="22"/>
        </w:rPr>
        <w:t xml:space="preserve"> ir kam jis vartojamas</w:t>
      </w:r>
    </w:p>
    <w:p w:rsidR="00464AD2" w:rsidRPr="00555EC3" w:rsidRDefault="00464AD2" w:rsidP="00464AD2">
      <w:pPr>
        <w:spacing w:before="0" w:after="0"/>
        <w:rPr>
          <w:sz w:val="22"/>
        </w:rPr>
      </w:pPr>
    </w:p>
    <w:p w:rsidR="00464AD2" w:rsidRPr="00DC3C06" w:rsidRDefault="00464AD2" w:rsidP="00464AD2">
      <w:pPr>
        <w:numPr>
          <w:ilvl w:val="0"/>
          <w:numId w:val="13"/>
        </w:numPr>
        <w:tabs>
          <w:tab w:val="clear" w:pos="720"/>
          <w:tab w:val="num" w:pos="567"/>
        </w:tabs>
        <w:spacing w:before="0" w:after="0"/>
        <w:ind w:left="567" w:hanging="567"/>
        <w:rPr>
          <w:rFonts w:ascii="Times New (W1)" w:hAnsi="Times New (W1)" w:cs="Times New (W1)"/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</w:t>
      </w:r>
      <w:r w:rsidRPr="00DC3C06">
        <w:rPr>
          <w:rFonts w:ascii="Times New (W1)" w:hAnsi="Times New (W1)"/>
          <w:sz w:val="22"/>
          <w:szCs w:val="22"/>
        </w:rPr>
        <w:t>yra vartojamas ovuliacijai skatinti moterims, kurioms ji nevyksta</w:t>
      </w:r>
      <w:r>
        <w:rPr>
          <w:rFonts w:ascii="Times New (W1)" w:hAnsi="Times New (W1)"/>
          <w:sz w:val="22"/>
          <w:szCs w:val="22"/>
        </w:rPr>
        <w:t xml:space="preserve"> ir</w:t>
      </w:r>
      <w:r w:rsidRPr="00DC3C06">
        <w:rPr>
          <w:rFonts w:ascii="Times New (W1)" w:hAnsi="Times New (W1)"/>
          <w:sz w:val="22"/>
          <w:szCs w:val="22"/>
        </w:rPr>
        <w:t xml:space="preserve"> kai kitas gydymas (</w:t>
      </w:r>
      <w:proofErr w:type="spellStart"/>
      <w:r w:rsidRPr="00DC3C06">
        <w:rPr>
          <w:rFonts w:ascii="Times New (W1)" w:hAnsi="Times New (W1)"/>
          <w:sz w:val="22"/>
          <w:szCs w:val="22"/>
        </w:rPr>
        <w:t>klomifeno</w:t>
      </w:r>
      <w:proofErr w:type="spellEnd"/>
      <w:r w:rsidRPr="00DC3C06">
        <w:rPr>
          <w:rFonts w:ascii="Times New (W1)" w:hAnsi="Times New (W1)"/>
          <w:sz w:val="22"/>
          <w:szCs w:val="22"/>
        </w:rPr>
        <w:t xml:space="preserve"> citratu) buvo neveiksmingas.</w:t>
      </w:r>
    </w:p>
    <w:p w:rsidR="00464AD2" w:rsidRPr="00DC3C06" w:rsidRDefault="00464AD2" w:rsidP="00464AD2">
      <w:pPr>
        <w:numPr>
          <w:ilvl w:val="0"/>
          <w:numId w:val="13"/>
        </w:numPr>
        <w:tabs>
          <w:tab w:val="clear" w:pos="720"/>
          <w:tab w:val="num" w:pos="567"/>
        </w:tabs>
        <w:spacing w:before="0" w:after="0"/>
        <w:ind w:left="567" w:hanging="567"/>
        <w:rPr>
          <w:rFonts w:ascii="Times New (W1)" w:hAnsi="Times New (W1)" w:cs="Times New (W1)"/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</w:t>
      </w:r>
      <w:r w:rsidRPr="00DC3C06">
        <w:rPr>
          <w:rFonts w:ascii="Times New (W1)" w:hAnsi="Times New (W1)"/>
          <w:sz w:val="22"/>
          <w:szCs w:val="22"/>
        </w:rPr>
        <w:t>yra vartojamas kelių folikulų (ir todėl kelių kiaušinėlių) vystymuisi sukelti moterims, kurioms taikomas nevaisingumo gyd</w:t>
      </w:r>
      <w:r>
        <w:rPr>
          <w:rFonts w:ascii="Times New (W1)" w:hAnsi="Times New (W1)"/>
          <w:sz w:val="22"/>
          <w:szCs w:val="22"/>
        </w:rPr>
        <w:t>y</w:t>
      </w:r>
      <w:r w:rsidRPr="00DC3C06">
        <w:rPr>
          <w:rFonts w:ascii="Times New (W1)" w:hAnsi="Times New (W1)"/>
          <w:sz w:val="22"/>
          <w:szCs w:val="22"/>
        </w:rPr>
        <w:t>mas.</w:t>
      </w:r>
    </w:p>
    <w:p w:rsidR="00464AD2" w:rsidRPr="00DC3C06" w:rsidRDefault="00464AD2" w:rsidP="00464AD2">
      <w:pPr>
        <w:spacing w:before="0" w:after="0"/>
        <w:rPr>
          <w:rFonts w:ascii="Times New (W1)" w:hAnsi="Times New (W1)" w:cs="Times New (W1)"/>
          <w:sz w:val="22"/>
          <w:szCs w:val="22"/>
        </w:rPr>
      </w:pPr>
    </w:p>
    <w:p w:rsidR="00464AD2" w:rsidRPr="005647E8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(W1)" w:hAnsi="Times New (W1)" w:cs="Times New (W1)"/>
          <w:sz w:val="22"/>
          <w:szCs w:val="22"/>
        </w:rPr>
      </w:pPr>
      <w:proofErr w:type="spellStart"/>
      <w:r w:rsidRPr="005647E8">
        <w:rPr>
          <w:sz w:val="22"/>
          <w:szCs w:val="22"/>
        </w:rPr>
        <w:t>Meriofert</w:t>
      </w:r>
      <w:proofErr w:type="spellEnd"/>
      <w:r w:rsidRPr="005647E8">
        <w:rPr>
          <w:sz w:val="22"/>
          <w:szCs w:val="22"/>
        </w:rPr>
        <w:t xml:space="preserve"> </w:t>
      </w:r>
      <w:r w:rsidRPr="005647E8">
        <w:rPr>
          <w:rFonts w:ascii="Times New (W1)" w:hAnsi="Times New (W1)"/>
          <w:sz w:val="22"/>
          <w:szCs w:val="22"/>
        </w:rPr>
        <w:t xml:space="preserve">yra labai išgrynintas žmogaus </w:t>
      </w:r>
      <w:proofErr w:type="spellStart"/>
      <w:r w:rsidRPr="005647E8">
        <w:rPr>
          <w:rFonts w:ascii="Times New (W1)" w:hAnsi="Times New (W1)"/>
          <w:sz w:val="22"/>
          <w:szCs w:val="22"/>
        </w:rPr>
        <w:t>menopauzinis</w:t>
      </w:r>
      <w:proofErr w:type="spellEnd"/>
      <w:r w:rsidRPr="005647E8">
        <w:rPr>
          <w:rFonts w:ascii="Times New (W1)" w:hAnsi="Times New (W1)"/>
          <w:sz w:val="22"/>
          <w:szCs w:val="22"/>
        </w:rPr>
        <w:t xml:space="preserve"> </w:t>
      </w:r>
      <w:proofErr w:type="spellStart"/>
      <w:r w:rsidRPr="005647E8">
        <w:rPr>
          <w:rFonts w:ascii="Times New (W1)" w:hAnsi="Times New (W1)"/>
          <w:sz w:val="22"/>
          <w:szCs w:val="22"/>
        </w:rPr>
        <w:t>gonadotropinas</w:t>
      </w:r>
      <w:proofErr w:type="spellEnd"/>
      <w:r w:rsidRPr="005647E8">
        <w:rPr>
          <w:rFonts w:ascii="Times New (W1)" w:hAnsi="Times New (W1)"/>
          <w:sz w:val="22"/>
          <w:szCs w:val="22"/>
        </w:rPr>
        <w:t xml:space="preserve">, priklausantis vaistų grupei, vadinamai </w:t>
      </w:r>
      <w:proofErr w:type="spellStart"/>
      <w:r w:rsidRPr="005647E8">
        <w:rPr>
          <w:rFonts w:ascii="Times New (W1)" w:hAnsi="Times New (W1)"/>
          <w:sz w:val="22"/>
          <w:szCs w:val="22"/>
        </w:rPr>
        <w:t>gonadotropinais</w:t>
      </w:r>
      <w:proofErr w:type="spellEnd"/>
      <w:r w:rsidRPr="005647E8">
        <w:rPr>
          <w:rFonts w:ascii="Times New (W1)" w:hAnsi="Times New (W1)"/>
          <w:sz w:val="22"/>
          <w:szCs w:val="22"/>
        </w:rPr>
        <w:t>.</w:t>
      </w:r>
    </w:p>
    <w:p w:rsidR="00464AD2" w:rsidRPr="005647E8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="Times New (W1)" w:hAnsi="Times New (W1)"/>
          <w:sz w:val="22"/>
          <w:szCs w:val="22"/>
        </w:rPr>
      </w:pPr>
    </w:p>
    <w:p w:rsidR="00464AD2" w:rsidRPr="005647E8" w:rsidRDefault="00464AD2" w:rsidP="00464AD2">
      <w:pPr>
        <w:shd w:val="clear" w:color="auto" w:fill="FFFFFF"/>
        <w:tabs>
          <w:tab w:val="left" w:pos="0"/>
        </w:tabs>
        <w:spacing w:before="0" w:after="0"/>
        <w:rPr>
          <w:sz w:val="22"/>
          <w:szCs w:val="22"/>
        </w:rPr>
      </w:pPr>
      <w:r w:rsidRPr="005647E8">
        <w:rPr>
          <w:sz w:val="22"/>
          <w:szCs w:val="22"/>
        </w:rPr>
        <w:t xml:space="preserve">Kiekviename flakone yra </w:t>
      </w:r>
      <w:proofErr w:type="spellStart"/>
      <w:r w:rsidRPr="005647E8">
        <w:rPr>
          <w:sz w:val="22"/>
          <w:szCs w:val="22"/>
        </w:rPr>
        <w:t>liofilizuotų</w:t>
      </w:r>
      <w:proofErr w:type="spellEnd"/>
      <w:r w:rsidRPr="005647E8">
        <w:rPr>
          <w:sz w:val="22"/>
          <w:szCs w:val="22"/>
        </w:rPr>
        <w:t xml:space="preserve"> miltelių, kurių aktyvumas atitinka 75 TV žmogaus folikulus stimuliuojančio hormono aktyvumo (FSH) ir 75 TV žmogaus </w:t>
      </w:r>
      <w:proofErr w:type="spellStart"/>
      <w:r w:rsidRPr="005647E8">
        <w:rPr>
          <w:sz w:val="22"/>
          <w:szCs w:val="22"/>
        </w:rPr>
        <w:t>liuteinizuojančio</w:t>
      </w:r>
      <w:proofErr w:type="spellEnd"/>
      <w:r w:rsidRPr="005647E8">
        <w:rPr>
          <w:sz w:val="22"/>
          <w:szCs w:val="22"/>
        </w:rPr>
        <w:t xml:space="preserve"> hormono aktyvumo (LH).</w:t>
      </w:r>
    </w:p>
    <w:p w:rsidR="00464AD2" w:rsidRPr="005647E8" w:rsidRDefault="00464AD2" w:rsidP="00464AD2">
      <w:pPr>
        <w:shd w:val="clear" w:color="auto" w:fill="FFFFFF"/>
        <w:tabs>
          <w:tab w:val="left" w:pos="0"/>
        </w:tabs>
        <w:spacing w:before="0" w:after="0"/>
        <w:rPr>
          <w:bCs/>
          <w:sz w:val="22"/>
          <w:szCs w:val="22"/>
        </w:rPr>
      </w:pPr>
      <w:r w:rsidRPr="005647E8">
        <w:rPr>
          <w:sz w:val="22"/>
          <w:szCs w:val="22"/>
        </w:rPr>
        <w:t xml:space="preserve">Žmogaus </w:t>
      </w:r>
      <w:proofErr w:type="spellStart"/>
      <w:r w:rsidRPr="005647E8">
        <w:rPr>
          <w:sz w:val="22"/>
          <w:szCs w:val="22"/>
        </w:rPr>
        <w:t>menopauzinis</w:t>
      </w:r>
      <w:proofErr w:type="spellEnd"/>
      <w:r w:rsidRPr="005647E8">
        <w:rPr>
          <w:sz w:val="22"/>
          <w:szCs w:val="22"/>
        </w:rPr>
        <w:t xml:space="preserve"> </w:t>
      </w:r>
      <w:proofErr w:type="spellStart"/>
      <w:r w:rsidRPr="005647E8">
        <w:rPr>
          <w:sz w:val="22"/>
          <w:szCs w:val="22"/>
        </w:rPr>
        <w:t>gonadotropinas</w:t>
      </w:r>
      <w:proofErr w:type="spellEnd"/>
      <w:r w:rsidRPr="005647E8">
        <w:rPr>
          <w:sz w:val="22"/>
          <w:szCs w:val="22"/>
        </w:rPr>
        <w:t xml:space="preserve"> (</w:t>
      </w:r>
      <w:proofErr w:type="spellStart"/>
      <w:r w:rsidRPr="005647E8">
        <w:rPr>
          <w:sz w:val="22"/>
          <w:szCs w:val="22"/>
        </w:rPr>
        <w:t>žMG</w:t>
      </w:r>
      <w:proofErr w:type="spellEnd"/>
      <w:r w:rsidRPr="005647E8">
        <w:rPr>
          <w:sz w:val="22"/>
          <w:szCs w:val="22"/>
        </w:rPr>
        <w:t xml:space="preserve">) yra išskiriamas iš moterų šlapimo po menopauzės. Žmogaus </w:t>
      </w:r>
      <w:proofErr w:type="spellStart"/>
      <w:r w:rsidRPr="005647E8">
        <w:rPr>
          <w:sz w:val="22"/>
          <w:szCs w:val="22"/>
        </w:rPr>
        <w:t>chorioninis</w:t>
      </w:r>
      <w:proofErr w:type="spellEnd"/>
      <w:r w:rsidRPr="005647E8">
        <w:rPr>
          <w:sz w:val="22"/>
          <w:szCs w:val="22"/>
        </w:rPr>
        <w:t xml:space="preserve"> </w:t>
      </w:r>
      <w:proofErr w:type="spellStart"/>
      <w:r w:rsidRPr="005647E8">
        <w:rPr>
          <w:sz w:val="22"/>
          <w:szCs w:val="22"/>
        </w:rPr>
        <w:t>gonadotropinas</w:t>
      </w:r>
      <w:proofErr w:type="spellEnd"/>
      <w:r w:rsidRPr="005647E8">
        <w:rPr>
          <w:sz w:val="22"/>
          <w:szCs w:val="22"/>
        </w:rPr>
        <w:t xml:space="preserve"> (</w:t>
      </w:r>
      <w:proofErr w:type="spellStart"/>
      <w:r w:rsidRPr="005647E8">
        <w:rPr>
          <w:sz w:val="22"/>
          <w:szCs w:val="22"/>
        </w:rPr>
        <w:t>žCG</w:t>
      </w:r>
      <w:proofErr w:type="spellEnd"/>
      <w:r w:rsidRPr="005647E8">
        <w:rPr>
          <w:sz w:val="22"/>
          <w:szCs w:val="22"/>
        </w:rPr>
        <w:t>), išskiriamas iš nėščių moterų šlapimo, pridedamas siekiant padidinti bendrąjį LH aktyvumą.</w:t>
      </w:r>
    </w:p>
    <w:p w:rsidR="00464AD2" w:rsidRPr="005647E8" w:rsidRDefault="00464AD2" w:rsidP="00464AD2">
      <w:pPr>
        <w:tabs>
          <w:tab w:val="left" w:pos="0"/>
        </w:tabs>
        <w:spacing w:before="0" w:after="0"/>
        <w:ind w:right="-1"/>
        <w:rPr>
          <w:bCs/>
          <w:strike/>
          <w:sz w:val="22"/>
          <w:szCs w:val="22"/>
          <w:lang w:eastAsia="de-DE"/>
        </w:rPr>
      </w:pPr>
    </w:p>
    <w:p w:rsidR="00464AD2" w:rsidRPr="005647E8" w:rsidRDefault="00464AD2" w:rsidP="00464AD2">
      <w:pPr>
        <w:shd w:val="clear" w:color="auto" w:fill="FFFFFF"/>
        <w:tabs>
          <w:tab w:val="left" w:pos="0"/>
        </w:tabs>
        <w:spacing w:before="0" w:after="0"/>
        <w:rPr>
          <w:bCs/>
          <w:sz w:val="22"/>
          <w:szCs w:val="22"/>
        </w:rPr>
      </w:pPr>
      <w:r w:rsidRPr="005647E8">
        <w:rPr>
          <w:sz w:val="22"/>
          <w:szCs w:val="22"/>
        </w:rPr>
        <w:t xml:space="preserve">Kiekviename flakone yra </w:t>
      </w:r>
      <w:proofErr w:type="spellStart"/>
      <w:r w:rsidRPr="005647E8">
        <w:rPr>
          <w:sz w:val="22"/>
          <w:szCs w:val="22"/>
        </w:rPr>
        <w:t>liofilizuotų</w:t>
      </w:r>
      <w:proofErr w:type="spellEnd"/>
      <w:r w:rsidRPr="005647E8" w:rsidDel="00F641B7">
        <w:rPr>
          <w:sz w:val="22"/>
          <w:szCs w:val="22"/>
        </w:rPr>
        <w:t xml:space="preserve"> </w:t>
      </w:r>
      <w:r w:rsidRPr="005647E8">
        <w:rPr>
          <w:sz w:val="22"/>
          <w:szCs w:val="22"/>
        </w:rPr>
        <w:t xml:space="preserve">miltelių, kurių aktyvumas atitinka 150 TV žmogaus folikulus stimuliuojančio hormono aktyvumo (FSH) ir 150 TV žmogaus </w:t>
      </w:r>
      <w:proofErr w:type="spellStart"/>
      <w:r w:rsidRPr="005647E8">
        <w:rPr>
          <w:sz w:val="22"/>
          <w:szCs w:val="22"/>
        </w:rPr>
        <w:t>liuteinizuojančio</w:t>
      </w:r>
      <w:proofErr w:type="spellEnd"/>
      <w:r w:rsidRPr="005647E8">
        <w:rPr>
          <w:sz w:val="22"/>
          <w:szCs w:val="22"/>
        </w:rPr>
        <w:t xml:space="preserve"> hormono aktyvumo (LH).</w:t>
      </w:r>
    </w:p>
    <w:p w:rsidR="00464AD2" w:rsidRPr="005647E8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(W1)" w:hAnsi="Times New (W1)" w:cs="Times New (W1)"/>
          <w:sz w:val="22"/>
          <w:szCs w:val="22"/>
        </w:rPr>
      </w:pPr>
      <w:r w:rsidRPr="005647E8">
        <w:rPr>
          <w:sz w:val="22"/>
          <w:szCs w:val="22"/>
        </w:rPr>
        <w:t xml:space="preserve">Žmogaus </w:t>
      </w:r>
      <w:proofErr w:type="spellStart"/>
      <w:r w:rsidRPr="005647E8">
        <w:rPr>
          <w:sz w:val="22"/>
          <w:szCs w:val="22"/>
        </w:rPr>
        <w:t>menopauzinis</w:t>
      </w:r>
      <w:proofErr w:type="spellEnd"/>
      <w:r w:rsidRPr="005647E8">
        <w:rPr>
          <w:sz w:val="22"/>
          <w:szCs w:val="22"/>
        </w:rPr>
        <w:t xml:space="preserve"> </w:t>
      </w:r>
      <w:proofErr w:type="spellStart"/>
      <w:r w:rsidRPr="005647E8">
        <w:rPr>
          <w:sz w:val="22"/>
          <w:szCs w:val="22"/>
        </w:rPr>
        <w:t>gonadotropinas</w:t>
      </w:r>
      <w:proofErr w:type="spellEnd"/>
      <w:r w:rsidRPr="005647E8">
        <w:rPr>
          <w:sz w:val="22"/>
          <w:szCs w:val="22"/>
        </w:rPr>
        <w:t xml:space="preserve"> (</w:t>
      </w:r>
      <w:proofErr w:type="spellStart"/>
      <w:r w:rsidRPr="005647E8">
        <w:rPr>
          <w:sz w:val="22"/>
          <w:szCs w:val="22"/>
        </w:rPr>
        <w:t>žMG</w:t>
      </w:r>
      <w:proofErr w:type="spellEnd"/>
      <w:r w:rsidRPr="005647E8">
        <w:rPr>
          <w:sz w:val="22"/>
          <w:szCs w:val="22"/>
        </w:rPr>
        <w:t xml:space="preserve">) yra išskiriamas iš moterų šlapimo po menopauzės. Žmogaus </w:t>
      </w:r>
      <w:proofErr w:type="spellStart"/>
      <w:r w:rsidRPr="005647E8">
        <w:rPr>
          <w:sz w:val="22"/>
          <w:szCs w:val="22"/>
        </w:rPr>
        <w:t>chorioninis</w:t>
      </w:r>
      <w:proofErr w:type="spellEnd"/>
      <w:r w:rsidRPr="005647E8">
        <w:rPr>
          <w:sz w:val="22"/>
          <w:szCs w:val="22"/>
        </w:rPr>
        <w:t xml:space="preserve"> </w:t>
      </w:r>
      <w:proofErr w:type="spellStart"/>
      <w:r w:rsidRPr="005647E8">
        <w:rPr>
          <w:sz w:val="22"/>
          <w:szCs w:val="22"/>
        </w:rPr>
        <w:t>gonadotropinas</w:t>
      </w:r>
      <w:proofErr w:type="spellEnd"/>
      <w:r w:rsidRPr="005647E8">
        <w:rPr>
          <w:sz w:val="22"/>
          <w:szCs w:val="22"/>
        </w:rPr>
        <w:t xml:space="preserve"> (</w:t>
      </w:r>
      <w:proofErr w:type="spellStart"/>
      <w:r w:rsidRPr="005647E8">
        <w:rPr>
          <w:sz w:val="22"/>
          <w:szCs w:val="22"/>
        </w:rPr>
        <w:t>žCG</w:t>
      </w:r>
      <w:proofErr w:type="spellEnd"/>
      <w:r w:rsidRPr="005647E8">
        <w:rPr>
          <w:sz w:val="22"/>
          <w:szCs w:val="22"/>
        </w:rPr>
        <w:t>), išskiriamas iš nėščių moterų šlapimo, pridedamas siekiant padidinti bendrąjį LH aktyvumą.</w:t>
      </w:r>
    </w:p>
    <w:p w:rsidR="00464AD2" w:rsidRPr="005647E8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(W1)" w:hAnsi="Times New (W1)" w:cs="Times New (W1)"/>
          <w:sz w:val="22"/>
          <w:szCs w:val="22"/>
        </w:rPr>
      </w:pPr>
    </w:p>
    <w:p w:rsidR="00464AD2" w:rsidRPr="005647E8" w:rsidRDefault="00464AD2" w:rsidP="00464AD2">
      <w:pPr>
        <w:tabs>
          <w:tab w:val="left" w:pos="0"/>
        </w:tabs>
        <w:spacing w:before="0" w:after="0"/>
        <w:rPr>
          <w:rFonts w:ascii="Times New (W1)" w:hAnsi="Times New (W1)" w:cs="Times New (W1)"/>
          <w:sz w:val="22"/>
          <w:szCs w:val="22"/>
        </w:rPr>
      </w:pPr>
      <w:r w:rsidRPr="005647E8">
        <w:rPr>
          <w:rFonts w:ascii="Times New (W1)" w:hAnsi="Times New (W1)"/>
          <w:sz w:val="22"/>
          <w:szCs w:val="22"/>
        </w:rPr>
        <w:t>Šį vaistą galima vartoti tik prižiūrint gydytojui.</w:t>
      </w:r>
    </w:p>
    <w:p w:rsidR="00464AD2" w:rsidRPr="00392B7B" w:rsidRDefault="00464AD2" w:rsidP="00464AD2">
      <w:pPr>
        <w:numPr>
          <w:ilvl w:val="12"/>
          <w:numId w:val="5"/>
        </w:numPr>
        <w:spacing w:before="0" w:after="0"/>
        <w:rPr>
          <w:sz w:val="22"/>
        </w:rPr>
      </w:pPr>
    </w:p>
    <w:p w:rsidR="00464AD2" w:rsidRPr="00392B7B" w:rsidRDefault="00464AD2" w:rsidP="00464AD2">
      <w:pPr>
        <w:numPr>
          <w:ilvl w:val="12"/>
          <w:numId w:val="5"/>
        </w:num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keepNext/>
        <w:numPr>
          <w:ilvl w:val="0"/>
          <w:numId w:val="5"/>
        </w:numPr>
        <w:tabs>
          <w:tab w:val="clear" w:pos="720"/>
          <w:tab w:val="num" w:pos="567"/>
        </w:tabs>
        <w:spacing w:before="0" w:after="0"/>
        <w:ind w:left="0" w:firstLine="0"/>
        <w:outlineLvl w:val="1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lastRenderedPageBreak/>
        <w:t xml:space="preserve">Kas žinotina prieš vartojant </w:t>
      </w:r>
      <w:proofErr w:type="spellStart"/>
      <w:r>
        <w:rPr>
          <w:b/>
          <w:sz w:val="22"/>
          <w:szCs w:val="22"/>
        </w:rPr>
        <w:t>Meriofert</w:t>
      </w:r>
      <w:proofErr w:type="spellEnd"/>
    </w:p>
    <w:p w:rsidR="00464AD2" w:rsidRPr="00DC3C06" w:rsidRDefault="00464AD2" w:rsidP="00464AD2">
      <w:pPr>
        <w:keepNext/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464AD2" w:rsidRPr="00DC3C06" w:rsidRDefault="00464AD2" w:rsidP="00464AD2">
      <w:pPr>
        <w:keepNext/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r w:rsidRPr="00DC3C06">
        <w:rPr>
          <w:sz w:val="22"/>
          <w:szCs w:val="22"/>
        </w:rPr>
        <w:t>Prieš pradedant gydymą, bus įvertintas Jūsų ir Jūsų partnerio vaisingumas.</w:t>
      </w:r>
    </w:p>
    <w:p w:rsidR="00464AD2" w:rsidRPr="00555EC3" w:rsidRDefault="00464AD2" w:rsidP="00464AD2">
      <w:pPr>
        <w:spacing w:before="0" w:after="0"/>
        <w:rPr>
          <w:sz w:val="22"/>
        </w:rPr>
      </w:pPr>
    </w:p>
    <w:p w:rsidR="00464AD2" w:rsidRPr="00DC3C06" w:rsidRDefault="00464AD2" w:rsidP="00464AD2">
      <w:pPr>
        <w:spacing w:before="0" w:after="0"/>
        <w:rPr>
          <w:b/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vartoti draudžiama</w:t>
      </w:r>
      <w:r w:rsidRPr="00DC3C06">
        <w:rPr>
          <w:b/>
          <w:sz w:val="22"/>
          <w:szCs w:val="22"/>
        </w:rPr>
        <w:t>, jeigu Jums yra bent viena iš toliau išvardytų būklių:</w:t>
      </w:r>
    </w:p>
    <w:p w:rsidR="00464AD2" w:rsidRPr="00DC3C06" w:rsidRDefault="00464AD2" w:rsidP="00464AD2">
      <w:pPr>
        <w:numPr>
          <w:ilvl w:val="1"/>
          <w:numId w:val="1"/>
        </w:numPr>
        <w:tabs>
          <w:tab w:val="clear" w:pos="1440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r>
        <w:rPr>
          <w:sz w:val="22"/>
          <w:szCs w:val="22"/>
        </w:rPr>
        <w:t>n</w:t>
      </w:r>
      <w:r w:rsidRPr="00DC3C06">
        <w:rPr>
          <w:sz w:val="22"/>
          <w:szCs w:val="22"/>
        </w:rPr>
        <w:t xml:space="preserve">e dėl hormonų sutrikimų (kiaušidžių </w:t>
      </w:r>
      <w:proofErr w:type="spellStart"/>
      <w:r w:rsidRPr="00DC3C06">
        <w:rPr>
          <w:sz w:val="22"/>
          <w:szCs w:val="22"/>
        </w:rPr>
        <w:t>policistozės</w:t>
      </w:r>
      <w:proofErr w:type="spellEnd"/>
      <w:r w:rsidRPr="00DC3C06">
        <w:rPr>
          <w:sz w:val="22"/>
          <w:szCs w:val="22"/>
        </w:rPr>
        <w:t>) padidėjusios kiaušidės ar cistos</w:t>
      </w:r>
      <w:r>
        <w:rPr>
          <w:sz w:val="22"/>
          <w:szCs w:val="22"/>
        </w:rPr>
        <w:t>;</w:t>
      </w:r>
    </w:p>
    <w:p w:rsidR="00464AD2" w:rsidRPr="00DC3C06" w:rsidRDefault="00464AD2" w:rsidP="00464AD2">
      <w:pPr>
        <w:numPr>
          <w:ilvl w:val="1"/>
          <w:numId w:val="1"/>
        </w:numPr>
        <w:tabs>
          <w:tab w:val="clear" w:pos="1440"/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r>
        <w:rPr>
          <w:sz w:val="22"/>
          <w:szCs w:val="22"/>
        </w:rPr>
        <w:t>n</w:t>
      </w:r>
      <w:r w:rsidRPr="00DC3C06">
        <w:rPr>
          <w:sz w:val="22"/>
          <w:szCs w:val="22"/>
        </w:rPr>
        <w:t>eaiškios kilmės kraujavimas</w:t>
      </w:r>
      <w:r>
        <w:rPr>
          <w:sz w:val="22"/>
          <w:szCs w:val="22"/>
        </w:rPr>
        <w:t>;</w:t>
      </w:r>
    </w:p>
    <w:p w:rsidR="00464AD2" w:rsidRPr="00DC3C06" w:rsidRDefault="00464AD2" w:rsidP="00464AD2">
      <w:pPr>
        <w:numPr>
          <w:ilvl w:val="1"/>
          <w:numId w:val="1"/>
        </w:numPr>
        <w:tabs>
          <w:tab w:val="clear" w:pos="1440"/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r>
        <w:rPr>
          <w:sz w:val="22"/>
          <w:szCs w:val="22"/>
        </w:rPr>
        <w:t>k</w:t>
      </w:r>
      <w:r w:rsidRPr="00DC3C06">
        <w:rPr>
          <w:sz w:val="22"/>
          <w:szCs w:val="22"/>
        </w:rPr>
        <w:t>iaušidžių, gimdos ar krūties vėžys</w:t>
      </w:r>
      <w:r>
        <w:rPr>
          <w:sz w:val="22"/>
          <w:szCs w:val="22"/>
        </w:rPr>
        <w:t>;</w:t>
      </w:r>
    </w:p>
    <w:p w:rsidR="00464AD2" w:rsidRPr="00DC3C06" w:rsidRDefault="00464AD2" w:rsidP="00464AD2">
      <w:pPr>
        <w:numPr>
          <w:ilvl w:val="1"/>
          <w:numId w:val="1"/>
        </w:numPr>
        <w:tabs>
          <w:tab w:val="clear" w:pos="1440"/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Pr="00DC3C06">
        <w:rPr>
          <w:sz w:val="22"/>
          <w:szCs w:val="22"/>
        </w:rPr>
        <w:t>ipofizės</w:t>
      </w:r>
      <w:proofErr w:type="spellEnd"/>
      <w:r w:rsidRPr="00DC3C06">
        <w:rPr>
          <w:sz w:val="22"/>
          <w:szCs w:val="22"/>
        </w:rPr>
        <w:t xml:space="preserve"> arba pogumburio (smegenų) nenormalus patinimas (auglys)</w:t>
      </w:r>
      <w:r>
        <w:rPr>
          <w:sz w:val="22"/>
          <w:szCs w:val="22"/>
        </w:rPr>
        <w:t>;</w:t>
      </w:r>
    </w:p>
    <w:p w:rsidR="00464AD2" w:rsidRPr="00DC3C06" w:rsidRDefault="00464AD2" w:rsidP="00464AD2">
      <w:pPr>
        <w:numPr>
          <w:ilvl w:val="1"/>
          <w:numId w:val="1"/>
        </w:numPr>
        <w:tabs>
          <w:tab w:val="clear" w:pos="1440"/>
          <w:tab w:val="left" w:pos="567"/>
          <w:tab w:val="num" w:pos="851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Pr="00DC3C06">
        <w:rPr>
          <w:sz w:val="22"/>
          <w:szCs w:val="22"/>
        </w:rPr>
        <w:t xml:space="preserve">adidėjęs jautrumas (alergija) </w:t>
      </w:r>
      <w:proofErr w:type="spellStart"/>
      <w:r w:rsidRPr="00DC3C06">
        <w:rPr>
          <w:sz w:val="22"/>
          <w:szCs w:val="22"/>
        </w:rPr>
        <w:t>menotropinui</w:t>
      </w:r>
      <w:proofErr w:type="spellEnd"/>
      <w:r w:rsidRPr="00DC3C06">
        <w:rPr>
          <w:sz w:val="22"/>
          <w:szCs w:val="22"/>
        </w:rPr>
        <w:t xml:space="preserve"> ar bet kuriai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pagalbinei medžiagai.</w:t>
      </w: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Šio vaisto negalima vartoti, jei Jums prasidėjusi ankstyvoji menopauzė, nustatytas lytinių organų </w:t>
      </w:r>
      <w:r>
        <w:rPr>
          <w:sz w:val="22"/>
          <w:szCs w:val="22"/>
        </w:rPr>
        <w:t>formavimosi ydos</w:t>
      </w:r>
      <w:r w:rsidRPr="00DC3C06">
        <w:rPr>
          <w:sz w:val="22"/>
          <w:szCs w:val="22"/>
        </w:rPr>
        <w:t xml:space="preserve"> arba yra tam tikrų gimdos navikų, dėl kurių neįmanomas normalus nėštumas.</w:t>
      </w:r>
    </w:p>
    <w:p w:rsidR="00464AD2" w:rsidRPr="00DC3C06" w:rsidRDefault="00464AD2" w:rsidP="00464AD2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464AD2" w:rsidRPr="00DC3C06" w:rsidRDefault="00464AD2" w:rsidP="00464AD2">
      <w:pPr>
        <w:spacing w:before="0" w:after="0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>Įspėjimai ir atsargumo priemonės</w:t>
      </w: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Nors dar nebuvo pranešta apie jokias alergines reakcijas į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>, turite pasakyti savo gydytojui, jei Jums pasireiškė alerginių reakcijų vartojant panašius vaistus.</w:t>
      </w: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Šis gydymas padidina riziką išsivystyti būklei, vadinamai </w:t>
      </w:r>
      <w:r w:rsidRPr="00DC3C06">
        <w:rPr>
          <w:b/>
          <w:sz w:val="22"/>
          <w:szCs w:val="22"/>
        </w:rPr>
        <w:t xml:space="preserve">kiaušidžių </w:t>
      </w:r>
      <w:proofErr w:type="spellStart"/>
      <w:r w:rsidRPr="00DC3C06">
        <w:rPr>
          <w:b/>
          <w:sz w:val="22"/>
          <w:szCs w:val="22"/>
        </w:rPr>
        <w:t>hiperstimuliacijos</w:t>
      </w:r>
      <w:proofErr w:type="spellEnd"/>
      <w:r w:rsidRPr="00DC3C06">
        <w:rPr>
          <w:b/>
          <w:sz w:val="22"/>
          <w:szCs w:val="22"/>
        </w:rPr>
        <w:t xml:space="preserve"> sindromu (KHSS)</w:t>
      </w:r>
      <w:r w:rsidRPr="00DC3C06">
        <w:rPr>
          <w:sz w:val="22"/>
          <w:szCs w:val="22"/>
        </w:rPr>
        <w:t xml:space="preserve"> (žr. skyrių „Galimas šalutinis poveikis“). Jei pasireiškia kiaušidžių </w:t>
      </w:r>
      <w:proofErr w:type="spellStart"/>
      <w:r w:rsidRPr="00DC3C06">
        <w:rPr>
          <w:sz w:val="22"/>
          <w:szCs w:val="22"/>
        </w:rPr>
        <w:t>hiperstimuliacija</w:t>
      </w:r>
      <w:proofErr w:type="spellEnd"/>
      <w:r w:rsidRPr="00DC3C06">
        <w:rPr>
          <w:sz w:val="22"/>
          <w:szCs w:val="22"/>
        </w:rPr>
        <w:t xml:space="preserve">, gydymas bus nutrauktas ir </w:t>
      </w:r>
      <w:r>
        <w:rPr>
          <w:sz w:val="22"/>
          <w:szCs w:val="22"/>
        </w:rPr>
        <w:t>išvengta nėštumo</w:t>
      </w:r>
      <w:r w:rsidRPr="00DC3C06">
        <w:rPr>
          <w:sz w:val="22"/>
          <w:szCs w:val="22"/>
        </w:rPr>
        <w:t xml:space="preserve">. Pirmieji kiaušidžių </w:t>
      </w:r>
      <w:proofErr w:type="spellStart"/>
      <w:r w:rsidRPr="00DC3C06">
        <w:rPr>
          <w:sz w:val="22"/>
          <w:szCs w:val="22"/>
        </w:rPr>
        <w:t>hiperstimuliacijos</w:t>
      </w:r>
      <w:proofErr w:type="spellEnd"/>
      <w:r w:rsidRPr="00DC3C06">
        <w:rPr>
          <w:sz w:val="22"/>
          <w:szCs w:val="22"/>
        </w:rPr>
        <w:t xml:space="preserve"> požymiai yra skausmas pilvo apačioje, taip pat pykinimas</w:t>
      </w:r>
      <w:r>
        <w:rPr>
          <w:sz w:val="22"/>
          <w:szCs w:val="22"/>
        </w:rPr>
        <w:t xml:space="preserve"> (šleikštulys)</w:t>
      </w:r>
      <w:r w:rsidRPr="00DC3C06">
        <w:rPr>
          <w:sz w:val="22"/>
          <w:szCs w:val="22"/>
        </w:rPr>
        <w:t>, vėmimas ir svorio didėjimas. Jei pasireiškė šie simptomai, Jus turi kuo skubiau apžiūrėti gydytojas. Rimtais, tačiau retais atvejais gali padidėti kiaušidės, o pilve arba krūtinėje imti kauptis skysčiai.</w:t>
      </w: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Vaistas, vartojamas galutiniam subrendusių kiaušinėlių išskyrimui (sudėtyje yra žmogaus </w:t>
      </w:r>
      <w:proofErr w:type="spellStart"/>
      <w:r w:rsidRPr="00DC3C06">
        <w:rPr>
          <w:sz w:val="22"/>
          <w:szCs w:val="22"/>
        </w:rPr>
        <w:t>chorioninio</w:t>
      </w:r>
      <w:proofErr w:type="spellEnd"/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gonadotropino</w:t>
      </w:r>
      <w:proofErr w:type="spellEnd"/>
      <w:r w:rsidRPr="00DC3C06">
        <w:rPr>
          <w:sz w:val="22"/>
          <w:szCs w:val="22"/>
        </w:rPr>
        <w:t xml:space="preserve">, </w:t>
      </w:r>
      <w:proofErr w:type="spellStart"/>
      <w:r w:rsidRPr="00DC3C06">
        <w:rPr>
          <w:sz w:val="22"/>
          <w:szCs w:val="22"/>
        </w:rPr>
        <w:t>žCG</w:t>
      </w:r>
      <w:proofErr w:type="spellEnd"/>
      <w:r w:rsidRPr="00DC3C06">
        <w:rPr>
          <w:sz w:val="22"/>
          <w:szCs w:val="22"/>
        </w:rPr>
        <w:t xml:space="preserve">), gali padidinti KHSS tikimybę. Dėl to, išsivysčius KHSS, nepatartina vartoti </w:t>
      </w:r>
      <w:proofErr w:type="spellStart"/>
      <w:r w:rsidRPr="00DC3C06">
        <w:rPr>
          <w:sz w:val="22"/>
          <w:szCs w:val="22"/>
        </w:rPr>
        <w:t>žCG</w:t>
      </w:r>
      <w:proofErr w:type="spellEnd"/>
      <w:r w:rsidRPr="00DC3C06">
        <w:rPr>
          <w:sz w:val="22"/>
          <w:szCs w:val="22"/>
        </w:rPr>
        <w:t xml:space="preserve"> ir </w:t>
      </w:r>
      <w:r>
        <w:rPr>
          <w:sz w:val="22"/>
          <w:szCs w:val="22"/>
        </w:rPr>
        <w:t xml:space="preserve">negalima </w:t>
      </w:r>
      <w:r w:rsidRPr="00DC3C06">
        <w:rPr>
          <w:sz w:val="22"/>
          <w:szCs w:val="22"/>
        </w:rPr>
        <w:t>turėti lytinių santykių, net jei naudojate barjerin</w:t>
      </w:r>
      <w:r>
        <w:rPr>
          <w:sz w:val="22"/>
          <w:szCs w:val="22"/>
        </w:rPr>
        <w:t>e</w:t>
      </w:r>
      <w:r w:rsidRPr="00DC3C06">
        <w:rPr>
          <w:sz w:val="22"/>
          <w:szCs w:val="22"/>
        </w:rPr>
        <w:t>s kontracepcijos priemones, mažiausiai 4 dienas.</w:t>
      </w: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Reikia pažymėti, kad vaisingumo problemų turinčių moterų persileidimų skaičius yra didesnis nei normalioje populiacijoje.</w:t>
      </w: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Pacientėms, kurioms taikomas gydymas, stimuliuojantis ovuliaciją, daugiavaisių nėštumų ir gimdymų tikimybė yra didesnė, nei natūraliai pastojus. Tačiau laikantis rekomenduojamo dozavimo šią riziką galima sumažinti. </w:t>
      </w: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Moterims, kurių kiaušintakiai yra pažeisti, nėštumo ne gimdoje (negimdinio nėštumo) rizika yra šiek tiek didesnė.</w:t>
      </w: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Tiek daugiavaisis nėštumas, tiek nuo nevaisingumo gydytų pacientų ypatybės (pvz., moters amžius, spermos charakteristikos) gali būti susiję su didesne </w:t>
      </w:r>
      <w:r>
        <w:rPr>
          <w:sz w:val="22"/>
          <w:szCs w:val="22"/>
        </w:rPr>
        <w:t>įgimtų formavimosi ydų</w:t>
      </w:r>
      <w:r w:rsidRPr="00DC3C06">
        <w:rPr>
          <w:sz w:val="22"/>
          <w:szCs w:val="22"/>
        </w:rPr>
        <w:t xml:space="preserve"> rizika. </w:t>
      </w: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Gydymas</w:t>
      </w:r>
      <w:r w:rsidRPr="00956ABF">
        <w:rPr>
          <w:bCs/>
          <w:iCs/>
          <w:color w:val="0000FF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>, kaip ir pats nėštumas, gali padidinti trombozės tikimybę. Trombozė yra kraujo krešulio susidarymas kraujagyslėje, dažniausiai kojų ar plaučių venose.</w:t>
      </w: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Prieš pradėdamos gydymą, pasitarkite su gydytoju, ypač jeigu:</w:t>
      </w:r>
    </w:p>
    <w:p w:rsidR="00464AD2" w:rsidRPr="00DC3C06" w:rsidRDefault="00464AD2" w:rsidP="00464AD2">
      <w:pPr>
        <w:numPr>
          <w:ilvl w:val="0"/>
          <w:numId w:val="9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jau žinote, kad Jums yra padidėjusi trombozės rizika;</w:t>
      </w:r>
    </w:p>
    <w:p w:rsidR="00464AD2" w:rsidRPr="00DC3C06" w:rsidRDefault="00464AD2" w:rsidP="00464AD2">
      <w:pPr>
        <w:numPr>
          <w:ilvl w:val="0"/>
          <w:numId w:val="9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Jums ar artimiausiems šeimos nariams yra buvę trombozės atvejų;</w:t>
      </w:r>
    </w:p>
    <w:p w:rsidR="00464AD2" w:rsidRPr="00DC3C06" w:rsidRDefault="00464AD2" w:rsidP="00464AD2">
      <w:pPr>
        <w:numPr>
          <w:ilvl w:val="0"/>
          <w:numId w:val="9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Jūs </w:t>
      </w:r>
      <w:r>
        <w:rPr>
          <w:sz w:val="22"/>
          <w:szCs w:val="22"/>
        </w:rPr>
        <w:t>turite didelį antsvorį</w:t>
      </w:r>
      <w:r w:rsidRPr="00DC3C06">
        <w:rPr>
          <w:sz w:val="22"/>
          <w:szCs w:val="22"/>
        </w:rPr>
        <w:t>.</w:t>
      </w:r>
    </w:p>
    <w:p w:rsidR="00464AD2" w:rsidRPr="00DC3C06" w:rsidRDefault="00464AD2" w:rsidP="00464AD2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numPr>
          <w:ilvl w:val="12"/>
          <w:numId w:val="0"/>
        </w:numPr>
        <w:spacing w:before="0" w:after="0"/>
        <w:ind w:right="-2"/>
        <w:rPr>
          <w:b/>
          <w:sz w:val="22"/>
          <w:szCs w:val="22"/>
        </w:rPr>
      </w:pPr>
      <w:r w:rsidRPr="00DC3C06">
        <w:rPr>
          <w:b/>
          <w:sz w:val="22"/>
          <w:szCs w:val="22"/>
        </w:rPr>
        <w:t>Vaik</w:t>
      </w:r>
      <w:r>
        <w:rPr>
          <w:b/>
          <w:sz w:val="22"/>
          <w:szCs w:val="22"/>
        </w:rPr>
        <w:t>ams</w:t>
      </w:r>
    </w:p>
    <w:p w:rsidR="00464AD2" w:rsidRPr="00DC3C06" w:rsidRDefault="00464AD2" w:rsidP="00464AD2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Vaistas nėra skirtas vaikams.</w:t>
      </w:r>
    </w:p>
    <w:p w:rsidR="00464AD2" w:rsidRPr="00DC3C06" w:rsidRDefault="00464AD2" w:rsidP="00464AD2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numPr>
          <w:ilvl w:val="12"/>
          <w:numId w:val="0"/>
        </w:numPr>
        <w:spacing w:before="0" w:after="0"/>
        <w:ind w:right="-2"/>
        <w:rPr>
          <w:b/>
          <w:sz w:val="22"/>
          <w:szCs w:val="22"/>
        </w:rPr>
      </w:pPr>
      <w:r w:rsidRPr="00DC3C06">
        <w:rPr>
          <w:b/>
          <w:sz w:val="22"/>
          <w:szCs w:val="22"/>
        </w:rPr>
        <w:t xml:space="preserve">Kiti vaistai ir </w:t>
      </w:r>
      <w:proofErr w:type="spellStart"/>
      <w:r>
        <w:rPr>
          <w:b/>
          <w:sz w:val="22"/>
          <w:szCs w:val="22"/>
        </w:rPr>
        <w:t>Meriofert</w:t>
      </w:r>
      <w:proofErr w:type="spellEnd"/>
    </w:p>
    <w:p w:rsidR="00464AD2" w:rsidRPr="00DC3C06" w:rsidRDefault="00464AD2" w:rsidP="00464AD2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r w:rsidRPr="00DC3C06">
        <w:rPr>
          <w:sz w:val="22"/>
          <w:szCs w:val="22"/>
        </w:rPr>
        <w:t>Jeigu vartojate ar neseniai vartojote</w:t>
      </w:r>
      <w:r w:rsidRPr="00DC3C06">
        <w:rPr>
          <w:b/>
          <w:sz w:val="22"/>
          <w:szCs w:val="22"/>
        </w:rPr>
        <w:t xml:space="preserve"> </w:t>
      </w:r>
      <w:r w:rsidRPr="00DC3C06">
        <w:rPr>
          <w:sz w:val="22"/>
          <w:szCs w:val="22"/>
        </w:rPr>
        <w:t>kitų vaistų arba dėl to nesate tikri, apie tai pasakykite gydytojui arba vaistininkui.</w:t>
      </w:r>
    </w:p>
    <w:p w:rsidR="00464AD2" w:rsidRPr="00DC3C06" w:rsidRDefault="00464AD2" w:rsidP="00464AD2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464AD2" w:rsidRPr="00DC3C06" w:rsidRDefault="00464AD2" w:rsidP="00464AD2">
      <w:pPr>
        <w:spacing w:before="0" w:after="0"/>
        <w:rPr>
          <w:b/>
          <w:sz w:val="22"/>
          <w:szCs w:val="22"/>
        </w:rPr>
      </w:pPr>
      <w:r w:rsidRPr="00DC3C06">
        <w:rPr>
          <w:b/>
          <w:sz w:val="22"/>
          <w:szCs w:val="22"/>
        </w:rPr>
        <w:t>Nėštumas, žindymo laikotarpis ir vaisingumas</w:t>
      </w:r>
    </w:p>
    <w:p w:rsidR="00464AD2" w:rsidRPr="00DC3C06" w:rsidRDefault="00464AD2" w:rsidP="00464AD2">
      <w:pPr>
        <w:numPr>
          <w:ilvl w:val="12"/>
          <w:numId w:val="0"/>
        </w:numPr>
        <w:spacing w:before="0"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vartoti negalima, jeigu esate nėščia ar žindote kūdikį.</w:t>
      </w:r>
    </w:p>
    <w:p w:rsidR="00464AD2" w:rsidRPr="00DC3C06" w:rsidRDefault="00464AD2" w:rsidP="00464AD2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464AD2" w:rsidRPr="00DC3C06" w:rsidRDefault="00464AD2" w:rsidP="00464AD2">
      <w:pPr>
        <w:numPr>
          <w:ilvl w:val="12"/>
          <w:numId w:val="0"/>
        </w:numPr>
        <w:spacing w:before="0" w:after="0"/>
        <w:ind w:right="-2"/>
        <w:rPr>
          <w:b/>
          <w:sz w:val="22"/>
          <w:szCs w:val="22"/>
        </w:rPr>
      </w:pPr>
      <w:r w:rsidRPr="00DC3C06">
        <w:rPr>
          <w:b/>
          <w:sz w:val="22"/>
          <w:szCs w:val="22"/>
        </w:rPr>
        <w:t>Vairavimas ir mechanizmų valdymas</w:t>
      </w:r>
    </w:p>
    <w:p w:rsidR="00464AD2" w:rsidRPr="00DC3C06" w:rsidRDefault="00464AD2" w:rsidP="00464AD2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gebėjimo vairuoti ir valdyti mechanizmus neveikia arba veikia nereikšmingai.</w:t>
      </w:r>
    </w:p>
    <w:p w:rsidR="00464AD2" w:rsidRPr="00DC3C06" w:rsidRDefault="00464AD2" w:rsidP="00464AD2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464AD2" w:rsidRDefault="00464AD2" w:rsidP="00464AD2">
      <w:pPr>
        <w:numPr>
          <w:ilvl w:val="12"/>
          <w:numId w:val="0"/>
        </w:numPr>
        <w:spacing w:before="0" w:after="0"/>
        <w:ind w:right="-2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sudėtyje yra natrio</w:t>
      </w:r>
    </w:p>
    <w:p w:rsidR="00464AD2" w:rsidRDefault="00464AD2" w:rsidP="00464AD2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r w:rsidRPr="00894945">
        <w:rPr>
          <w:sz w:val="22"/>
          <w:szCs w:val="22"/>
        </w:rPr>
        <w:t>Šio vaisto paruoštame tirpale yra mažiau kaip 1</w:t>
      </w:r>
      <w:r>
        <w:rPr>
          <w:sz w:val="22"/>
          <w:szCs w:val="22"/>
        </w:rPr>
        <w:t> </w:t>
      </w:r>
      <w:proofErr w:type="spellStart"/>
      <w:r w:rsidRPr="00894945">
        <w:rPr>
          <w:sz w:val="22"/>
          <w:szCs w:val="22"/>
        </w:rPr>
        <w:t>mmol</w:t>
      </w:r>
      <w:proofErr w:type="spellEnd"/>
      <w:r w:rsidRPr="00894945">
        <w:rPr>
          <w:sz w:val="22"/>
          <w:szCs w:val="22"/>
        </w:rPr>
        <w:t xml:space="preserve"> (23</w:t>
      </w:r>
      <w:r>
        <w:rPr>
          <w:sz w:val="22"/>
          <w:szCs w:val="22"/>
        </w:rPr>
        <w:t> </w:t>
      </w:r>
      <w:r w:rsidRPr="00894945">
        <w:rPr>
          <w:sz w:val="22"/>
          <w:szCs w:val="22"/>
        </w:rPr>
        <w:t>mg) natrio, t. y. jis beveik neturi reikšmės.</w:t>
      </w:r>
    </w:p>
    <w:p w:rsidR="00464AD2" w:rsidRDefault="00464AD2" w:rsidP="00464AD2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464AD2" w:rsidRPr="00DC3C06" w:rsidRDefault="00464AD2" w:rsidP="00464AD2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464AD2" w:rsidRPr="00DC3C06" w:rsidRDefault="00464AD2" w:rsidP="00464AD2">
      <w:pPr>
        <w:keepNext/>
        <w:numPr>
          <w:ilvl w:val="0"/>
          <w:numId w:val="5"/>
        </w:numPr>
        <w:tabs>
          <w:tab w:val="clear" w:pos="720"/>
          <w:tab w:val="num" w:pos="567"/>
        </w:tabs>
        <w:spacing w:before="0" w:after="0"/>
        <w:ind w:left="567" w:hanging="567"/>
        <w:outlineLvl w:val="1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Kaip vartoti </w:t>
      </w:r>
      <w:proofErr w:type="spellStart"/>
      <w:r>
        <w:rPr>
          <w:b/>
          <w:sz w:val="22"/>
          <w:szCs w:val="22"/>
        </w:rPr>
        <w:t>Meriofert</w:t>
      </w:r>
      <w:proofErr w:type="spellEnd"/>
    </w:p>
    <w:p w:rsidR="00464AD2" w:rsidRPr="00555EC3" w:rsidRDefault="00464AD2" w:rsidP="00464AD2">
      <w:pPr>
        <w:numPr>
          <w:ilvl w:val="12"/>
          <w:numId w:val="0"/>
        </w:numPr>
        <w:spacing w:before="0" w:after="0"/>
        <w:ind w:right="-2"/>
        <w:rPr>
          <w:sz w:val="22"/>
        </w:rPr>
      </w:pPr>
    </w:p>
    <w:p w:rsidR="00464AD2" w:rsidRPr="00DC3C06" w:rsidRDefault="00464AD2" w:rsidP="00464AD2">
      <w:pPr>
        <w:numPr>
          <w:ilvl w:val="12"/>
          <w:numId w:val="0"/>
        </w:numPr>
        <w:spacing w:before="0" w:after="0"/>
        <w:ind w:right="-2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>Dozavimas ir gydymo trukmė</w:t>
      </w:r>
    </w:p>
    <w:p w:rsidR="00464AD2" w:rsidRPr="00DC3C06" w:rsidRDefault="00464AD2" w:rsidP="00464AD2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464AD2" w:rsidRPr="00DC3C06" w:rsidRDefault="00464AD2" w:rsidP="00464AD2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r w:rsidRPr="00DC3C06">
        <w:rPr>
          <w:sz w:val="22"/>
          <w:szCs w:val="22"/>
        </w:rPr>
        <w:t>Visada vartokite šį vaistą tiksliai kaip nurodė gydytojas. Jeigu abejojate, kreipkitės į gydytoją.</w:t>
      </w:r>
    </w:p>
    <w:p w:rsidR="00464AD2" w:rsidRPr="00555EC3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>Moterims, kurioms nevyksta ovuliacija ir yra nereguliarios mėnesinės arba visai jų nėra</w:t>
      </w: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u w:val="single"/>
          <w:lang w:eastAsia="fr-FR"/>
        </w:rPr>
      </w:pP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Paprastai pirmoji vieno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75 TV flakono injekcija skiriama pirmąją ciklo savaitę po savaiminių ar sukeltų mėnesinių.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Vėliau kasdien leidžiama gydytojo paskirta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dozė ir gydymas tęsiamas tol, kol kiaušidėje subręs vienas ar daugiau folikulų. Jūsų gydytojas pa</w:t>
      </w:r>
      <w:r>
        <w:rPr>
          <w:sz w:val="22"/>
          <w:szCs w:val="22"/>
        </w:rPr>
        <w:t>reguliuos</w:t>
      </w:r>
      <w:r w:rsidRPr="00DC3C0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dozę, priklausomai nuo kiaušidžių atsako, kuris nustatomas klinikinės apžiūros metu.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Kai vienas folikulas pasiekia reikiamą vystymosi stadiją, gydymas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bus nutrauktas ir ovuliacija bus skatinama kitu hormonu (</w:t>
      </w:r>
      <w:proofErr w:type="spellStart"/>
      <w:r w:rsidRPr="00DC3C06">
        <w:rPr>
          <w:sz w:val="22"/>
          <w:szCs w:val="22"/>
        </w:rPr>
        <w:t>chorioniniu</w:t>
      </w:r>
      <w:proofErr w:type="spellEnd"/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gonadotropinu</w:t>
      </w:r>
      <w:proofErr w:type="spellEnd"/>
      <w:r w:rsidRPr="00DC3C06">
        <w:rPr>
          <w:sz w:val="22"/>
          <w:szCs w:val="22"/>
        </w:rPr>
        <w:t xml:space="preserve">, </w:t>
      </w:r>
      <w:proofErr w:type="spellStart"/>
      <w:r w:rsidRPr="00DC3C06">
        <w:rPr>
          <w:sz w:val="22"/>
          <w:szCs w:val="22"/>
        </w:rPr>
        <w:t>žCG</w:t>
      </w:r>
      <w:proofErr w:type="spellEnd"/>
      <w:r w:rsidRPr="00DC3C06">
        <w:rPr>
          <w:sz w:val="22"/>
          <w:szCs w:val="22"/>
        </w:rPr>
        <w:t>).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Ovuliacija paprastai įvyksta po 32–48 valandų.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Šiame gydymo etape galima apvaisinti. Jums bus patariama turėti lytinių santykių kiekvieną dieną, pradedant nuo tos dienos, kai pradėsite vartoti </w:t>
      </w:r>
      <w:proofErr w:type="spellStart"/>
      <w:r w:rsidRPr="00DC3C06">
        <w:rPr>
          <w:sz w:val="22"/>
          <w:szCs w:val="22"/>
        </w:rPr>
        <w:t>žCG</w:t>
      </w:r>
      <w:proofErr w:type="spellEnd"/>
      <w:r w:rsidRPr="00DC3C06">
        <w:rPr>
          <w:sz w:val="22"/>
          <w:szCs w:val="22"/>
        </w:rPr>
        <w:t>. Jei nepastojama ovuliacijos metu, gydymą galima pakartoti.</w:t>
      </w: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Moterims, kurioms stimuliuojamos kiaušidės, siekiant sukelti keleto folikulų vystymąsi prieš apvaisinimą </w:t>
      </w:r>
      <w:proofErr w:type="spellStart"/>
      <w:r w:rsidRPr="00956ABF">
        <w:rPr>
          <w:b/>
          <w:i/>
          <w:iCs/>
          <w:sz w:val="22"/>
          <w:szCs w:val="22"/>
        </w:rPr>
        <w:t>in</w:t>
      </w:r>
      <w:proofErr w:type="spellEnd"/>
      <w:r w:rsidRPr="00956ABF">
        <w:rPr>
          <w:b/>
          <w:i/>
          <w:iCs/>
          <w:sz w:val="22"/>
          <w:szCs w:val="22"/>
        </w:rPr>
        <w:t xml:space="preserve"> </w:t>
      </w:r>
      <w:proofErr w:type="spellStart"/>
      <w:r w:rsidRPr="00956ABF">
        <w:rPr>
          <w:b/>
          <w:i/>
          <w:iCs/>
          <w:sz w:val="22"/>
          <w:szCs w:val="22"/>
        </w:rPr>
        <w:t>vitro</w:t>
      </w:r>
      <w:proofErr w:type="spellEnd"/>
      <w:r w:rsidRPr="00DC3C06">
        <w:rPr>
          <w:b/>
          <w:sz w:val="22"/>
          <w:szCs w:val="22"/>
        </w:rPr>
        <w:t xml:space="preserve"> ar kitokį dirbtinį apvaisinimą</w:t>
      </w: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Šio metodo tikslas yra sukelti keleto folikulų vystymąsi. Gydymas prasidės 2-ą arba 3-ią ciklo dieną suleidžiant 150–300 TV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(1–2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150 TV flakonus). Jei reikia, gydytojas gali nuspręsti skirti didesnes dozes. Leidžiama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dozė yra didesnė nei natūralaus apvaisinimo metu. Gydymo trukmę gydytojas nustato individualiai.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Kai tik išsivysto pakankamas folikulų skaičius, gydymas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laikinai sustabdomas ir ovuliacija skatinama suleidžiant kitą hormoną (</w:t>
      </w:r>
      <w:proofErr w:type="spellStart"/>
      <w:r w:rsidRPr="00DC3C06">
        <w:rPr>
          <w:sz w:val="22"/>
          <w:szCs w:val="22"/>
        </w:rPr>
        <w:t>chorioninį</w:t>
      </w:r>
      <w:proofErr w:type="spellEnd"/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gonadotropiną</w:t>
      </w:r>
      <w:proofErr w:type="spellEnd"/>
      <w:r w:rsidRPr="00DC3C06">
        <w:rPr>
          <w:sz w:val="22"/>
          <w:szCs w:val="22"/>
        </w:rPr>
        <w:t xml:space="preserve">, </w:t>
      </w:r>
      <w:proofErr w:type="spellStart"/>
      <w:r w:rsidRPr="00DC3C06">
        <w:rPr>
          <w:sz w:val="22"/>
          <w:szCs w:val="22"/>
        </w:rPr>
        <w:t>žCG</w:t>
      </w:r>
      <w:proofErr w:type="spellEnd"/>
      <w:r w:rsidRPr="00DC3C06">
        <w:rPr>
          <w:sz w:val="22"/>
          <w:szCs w:val="22"/>
        </w:rPr>
        <w:t>).</w:t>
      </w: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Kaip vartoti </w:t>
      </w:r>
      <w:proofErr w:type="spellStart"/>
      <w:r>
        <w:rPr>
          <w:b/>
          <w:sz w:val="22"/>
          <w:szCs w:val="22"/>
        </w:rPr>
        <w:t>Meriofert</w:t>
      </w:r>
      <w:proofErr w:type="spellEnd"/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leidžiamas po oda (injekcija po oda) arba į raumenis (injekcija į raumenis).</w:t>
      </w: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Kiekvieną flakoną galima naudoti tik vieną kartą, o vaistą reikia suleisti iškart po paruošimo.</w:t>
      </w: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Tinkamai pakonsultavęs ir išmokęs, gydytojas gali pasiūlyti </w:t>
      </w:r>
      <w:proofErr w:type="spellStart"/>
      <w:r>
        <w:rPr>
          <w:b/>
          <w:sz w:val="22"/>
          <w:szCs w:val="22"/>
        </w:rPr>
        <w:t>Meriofert</w:t>
      </w:r>
      <w:proofErr w:type="spellEnd"/>
      <w:r w:rsidRPr="00DC3C06">
        <w:rPr>
          <w:b/>
          <w:sz w:val="22"/>
          <w:szCs w:val="22"/>
        </w:rPr>
        <w:t xml:space="preserve"> injekcijas atlikti savarankiškai.</w:t>
      </w:r>
    </w:p>
    <w:p w:rsidR="00464AD2" w:rsidRPr="003D4442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>Pirmą kartą gydytojas turi:</w:t>
      </w:r>
    </w:p>
    <w:p w:rsidR="00464AD2" w:rsidRPr="003D4442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leisti pasipraktikuoti atlikti injekciją po oda;</w:t>
      </w:r>
    </w:p>
    <w:p w:rsidR="00464AD2" w:rsidRPr="00DC3C06" w:rsidRDefault="00464AD2" w:rsidP="00464AD2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parodyti galimas vietas, kur galite atlikti injekcijas;</w:t>
      </w:r>
    </w:p>
    <w:p w:rsidR="00464AD2" w:rsidRPr="00DC3C06" w:rsidRDefault="00464AD2" w:rsidP="00464AD2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parodyti, kaip paruošti injekcinį tirpalą;</w:t>
      </w:r>
    </w:p>
    <w:p w:rsidR="00464AD2" w:rsidRPr="00DC3C06" w:rsidRDefault="00464AD2" w:rsidP="00464AD2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paaiškinti, kaip paruošti reikiamą injekcijos dozę.</w:t>
      </w:r>
    </w:p>
    <w:p w:rsidR="00464AD2" w:rsidRPr="003D4442" w:rsidRDefault="00464AD2" w:rsidP="00464AD2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464AD2" w:rsidRPr="00DC3C06" w:rsidRDefault="00464AD2" w:rsidP="00464AD2">
      <w:pPr>
        <w:numPr>
          <w:ilvl w:val="12"/>
          <w:numId w:val="0"/>
        </w:numPr>
        <w:spacing w:before="0" w:after="0"/>
        <w:ind w:right="-2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Prieš leidžiantis </w:t>
      </w:r>
      <w:proofErr w:type="spellStart"/>
      <w:r>
        <w:rPr>
          <w:b/>
          <w:sz w:val="22"/>
          <w:szCs w:val="22"/>
        </w:rPr>
        <w:t>Meriofert</w:t>
      </w:r>
      <w:proofErr w:type="spellEnd"/>
      <w:r w:rsidRPr="00DC3C06">
        <w:rPr>
          <w:b/>
          <w:sz w:val="22"/>
          <w:szCs w:val="22"/>
        </w:rPr>
        <w:t xml:space="preserve"> sau, būtina atidžiai perskaityti šią instrukciją.</w:t>
      </w:r>
    </w:p>
    <w:p w:rsidR="00464AD2" w:rsidRPr="003D4442" w:rsidRDefault="00464AD2" w:rsidP="00464AD2">
      <w:p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keepNext/>
        <w:spacing w:before="0" w:after="0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Kaip paruošti ir suleisti 1 flakoną </w:t>
      </w:r>
      <w:proofErr w:type="spellStart"/>
      <w:r>
        <w:rPr>
          <w:b/>
          <w:sz w:val="22"/>
          <w:szCs w:val="22"/>
        </w:rPr>
        <w:t>Meriofert</w:t>
      </w:r>
      <w:proofErr w:type="spellEnd"/>
    </w:p>
    <w:p w:rsidR="00464AD2" w:rsidRPr="00DC3C06" w:rsidRDefault="00464AD2" w:rsidP="00464AD2">
      <w:pPr>
        <w:keepNext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:rsidR="00464AD2" w:rsidRPr="005A5F75" w:rsidRDefault="00464AD2" w:rsidP="00464AD2">
      <w:pPr>
        <w:keepNext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T</w:t>
      </w:r>
      <w:r w:rsidRPr="005A5F75">
        <w:rPr>
          <w:sz w:val="22"/>
          <w:szCs w:val="22"/>
        </w:rPr>
        <w:t xml:space="preserve">irpalas turi būti ruošiamas prieš pat injekciją. Vienas </w:t>
      </w:r>
      <w:r>
        <w:rPr>
          <w:sz w:val="22"/>
          <w:szCs w:val="22"/>
        </w:rPr>
        <w:t>flakonas</w:t>
      </w:r>
      <w:r w:rsidRPr="005A5F75">
        <w:rPr>
          <w:sz w:val="22"/>
          <w:szCs w:val="22"/>
        </w:rPr>
        <w:t xml:space="preserve"> skirtas tik vienkartiniam </w:t>
      </w:r>
      <w:r>
        <w:rPr>
          <w:sz w:val="22"/>
          <w:szCs w:val="22"/>
        </w:rPr>
        <w:t>vart</w:t>
      </w:r>
      <w:r w:rsidRPr="005A5F75">
        <w:rPr>
          <w:sz w:val="22"/>
          <w:szCs w:val="22"/>
        </w:rPr>
        <w:t>ojimui. Vaist</w:t>
      </w:r>
      <w:r>
        <w:rPr>
          <w:sz w:val="22"/>
          <w:szCs w:val="22"/>
        </w:rPr>
        <w:t xml:space="preserve">as </w:t>
      </w:r>
      <w:r w:rsidRPr="005A5F75">
        <w:rPr>
          <w:sz w:val="22"/>
          <w:szCs w:val="22"/>
        </w:rPr>
        <w:t xml:space="preserve">turi būti </w:t>
      </w:r>
      <w:r>
        <w:rPr>
          <w:sz w:val="22"/>
          <w:szCs w:val="22"/>
        </w:rPr>
        <w:t>ruošiamas</w:t>
      </w:r>
      <w:r w:rsidRPr="005A5F75">
        <w:rPr>
          <w:sz w:val="22"/>
          <w:szCs w:val="22"/>
        </w:rPr>
        <w:t xml:space="preserve"> </w:t>
      </w:r>
      <w:proofErr w:type="spellStart"/>
      <w:r w:rsidRPr="005A5F75">
        <w:rPr>
          <w:sz w:val="22"/>
          <w:szCs w:val="22"/>
        </w:rPr>
        <w:t>aseptinėmis</w:t>
      </w:r>
      <w:proofErr w:type="spellEnd"/>
      <w:r w:rsidRPr="005A5F75">
        <w:rPr>
          <w:sz w:val="22"/>
          <w:szCs w:val="22"/>
        </w:rPr>
        <w:t xml:space="preserve"> sąlygomis. </w:t>
      </w:r>
    </w:p>
    <w:p w:rsidR="00464AD2" w:rsidRPr="005A5F75" w:rsidRDefault="00464AD2" w:rsidP="00464AD2">
      <w:pPr>
        <w:keepNext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:rsidR="00464AD2" w:rsidRPr="00DC3C06" w:rsidRDefault="00464AD2" w:rsidP="00464AD2">
      <w:pPr>
        <w:keepNext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 w:rsidRPr="005A5F75">
        <w:rPr>
          <w:sz w:val="22"/>
          <w:szCs w:val="22"/>
        </w:rPr>
        <w:t xml:space="preserve"> turi būti </w:t>
      </w:r>
      <w:r>
        <w:rPr>
          <w:sz w:val="22"/>
          <w:szCs w:val="22"/>
        </w:rPr>
        <w:t>ruošiamas</w:t>
      </w:r>
      <w:r w:rsidRPr="005A5F75">
        <w:rPr>
          <w:sz w:val="22"/>
          <w:szCs w:val="22"/>
        </w:rPr>
        <w:t xml:space="preserve"> tik su pakuotėje p</w:t>
      </w:r>
      <w:r>
        <w:rPr>
          <w:sz w:val="22"/>
          <w:szCs w:val="22"/>
        </w:rPr>
        <w:t>ridėtu</w:t>
      </w:r>
      <w:r w:rsidRPr="005A5F75">
        <w:rPr>
          <w:sz w:val="22"/>
          <w:szCs w:val="22"/>
        </w:rPr>
        <w:t xml:space="preserve"> tirpikliu.</w:t>
      </w:r>
      <w:r>
        <w:rPr>
          <w:sz w:val="22"/>
          <w:szCs w:val="22"/>
        </w:rPr>
        <w:t xml:space="preserve"> </w:t>
      </w: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Prieš ruošdami tirpalą, p</w:t>
      </w:r>
      <w:r w:rsidRPr="00DC3C06">
        <w:rPr>
          <w:sz w:val="22"/>
          <w:szCs w:val="22"/>
        </w:rPr>
        <w:t>aruoškite švarų paviršių ir nusiplaukite rankas. Svarbu, kad Jūsų rankos ir naudojami daiktai būtų kuo švaresni.</w:t>
      </w: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Ant </w:t>
      </w:r>
      <w:r>
        <w:rPr>
          <w:sz w:val="22"/>
          <w:szCs w:val="22"/>
        </w:rPr>
        <w:t xml:space="preserve">švaraus </w:t>
      </w:r>
      <w:r w:rsidRPr="00DC3C06">
        <w:rPr>
          <w:sz w:val="22"/>
          <w:szCs w:val="22"/>
        </w:rPr>
        <w:t>paviršiaus išdėliokite šiuos daiktus:</w:t>
      </w: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du alkoholiu suvilgytus tamponėlius (pakuotėje</w:t>
      </w:r>
      <w:r>
        <w:rPr>
          <w:sz w:val="22"/>
          <w:szCs w:val="22"/>
        </w:rPr>
        <w:t xml:space="preserve"> nepridėti</w:t>
      </w:r>
      <w:r w:rsidRPr="00DC3C06">
        <w:rPr>
          <w:sz w:val="22"/>
          <w:szCs w:val="22"/>
        </w:rPr>
        <w:t>);</w:t>
      </w:r>
    </w:p>
    <w:p w:rsidR="00464AD2" w:rsidRPr="00DC3C06" w:rsidRDefault="00464AD2" w:rsidP="00464AD2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vieną flakoną, kuriame yra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milteliai;</w:t>
      </w:r>
    </w:p>
    <w:p w:rsidR="00464AD2" w:rsidRDefault="00464AD2" w:rsidP="00464AD2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vieną </w:t>
      </w:r>
      <w:r>
        <w:rPr>
          <w:sz w:val="22"/>
          <w:szCs w:val="22"/>
        </w:rPr>
        <w:t>ampulę</w:t>
      </w:r>
      <w:r w:rsidRPr="00DC3C06">
        <w:rPr>
          <w:sz w:val="22"/>
          <w:szCs w:val="22"/>
        </w:rPr>
        <w:t xml:space="preserve"> su tirpikliu;</w:t>
      </w:r>
    </w:p>
    <w:p w:rsidR="00464AD2" w:rsidRPr="00DC3C06" w:rsidRDefault="00464AD2" w:rsidP="00464AD2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vieną švirkštą (</w:t>
      </w:r>
      <w:r w:rsidRPr="00DC3C06">
        <w:rPr>
          <w:sz w:val="22"/>
          <w:szCs w:val="22"/>
        </w:rPr>
        <w:t>pakuotėje</w:t>
      </w:r>
      <w:r>
        <w:rPr>
          <w:sz w:val="22"/>
          <w:szCs w:val="22"/>
        </w:rPr>
        <w:t xml:space="preserve"> nepridėtas</w:t>
      </w:r>
      <w:r w:rsidRPr="00DC3C06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464AD2" w:rsidRPr="00DC3C06" w:rsidRDefault="00464AD2" w:rsidP="00464AD2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vieną adatą injekcijai paruošti</w:t>
      </w:r>
      <w:r>
        <w:rPr>
          <w:sz w:val="22"/>
          <w:szCs w:val="22"/>
        </w:rPr>
        <w:t xml:space="preserve"> (</w:t>
      </w:r>
      <w:r w:rsidRPr="00DC3C06">
        <w:rPr>
          <w:sz w:val="22"/>
          <w:szCs w:val="22"/>
        </w:rPr>
        <w:t>pakuotėje</w:t>
      </w:r>
      <w:r>
        <w:rPr>
          <w:sz w:val="22"/>
          <w:szCs w:val="22"/>
        </w:rPr>
        <w:t xml:space="preserve"> nepridėta</w:t>
      </w:r>
      <w:r w:rsidRPr="00DC3C06">
        <w:rPr>
          <w:sz w:val="22"/>
          <w:szCs w:val="22"/>
        </w:rPr>
        <w:t>);</w:t>
      </w:r>
    </w:p>
    <w:p w:rsidR="00464AD2" w:rsidRPr="00DC3C06" w:rsidRDefault="00464AD2" w:rsidP="00464AD2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ploną adatą injekcijai po oda</w:t>
      </w:r>
      <w:r>
        <w:rPr>
          <w:sz w:val="22"/>
          <w:szCs w:val="22"/>
        </w:rPr>
        <w:t xml:space="preserve"> (</w:t>
      </w:r>
      <w:r w:rsidRPr="00DC3C06">
        <w:rPr>
          <w:sz w:val="22"/>
          <w:szCs w:val="22"/>
        </w:rPr>
        <w:t>pakuotėje</w:t>
      </w:r>
      <w:r>
        <w:rPr>
          <w:sz w:val="22"/>
          <w:szCs w:val="22"/>
        </w:rPr>
        <w:t xml:space="preserve"> nepridėta</w:t>
      </w:r>
      <w:r w:rsidRPr="00DC3C06">
        <w:rPr>
          <w:sz w:val="22"/>
          <w:szCs w:val="22"/>
        </w:rPr>
        <w:t xml:space="preserve">). </w:t>
      </w:r>
    </w:p>
    <w:p w:rsidR="00464AD2" w:rsidRPr="00DC3C06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sz w:val="22"/>
          <w:szCs w:val="22"/>
          <w:u w:val="single"/>
        </w:rPr>
      </w:pPr>
      <w:r w:rsidRPr="00DC3C06">
        <w:rPr>
          <w:b/>
          <w:sz w:val="22"/>
          <w:szCs w:val="22"/>
          <w:u w:val="single"/>
        </w:rPr>
        <w:t>Injekcinio tirpalo paruošimas</w:t>
      </w:r>
      <w:r>
        <w:rPr>
          <w:b/>
          <w:sz w:val="22"/>
          <w:szCs w:val="22"/>
          <w:u w:val="single"/>
        </w:rPr>
        <w:t xml:space="preserve"> naudojant 1 flakoną</w:t>
      </w:r>
      <w:r w:rsidRPr="00404C90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miltelių</w:t>
      </w:r>
    </w:p>
    <w:p w:rsidR="00464AD2" w:rsidRPr="003D4442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392B7B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/>
          <w:bCs/>
          <w:sz w:val="22"/>
          <w:szCs w:val="22"/>
          <w:u w:val="single"/>
          <w:lang w:eastAsia="fr-FR"/>
        </w:rPr>
      </w:pPr>
      <w:r w:rsidRPr="00392B7B">
        <w:rPr>
          <w:b/>
          <w:bCs/>
          <w:sz w:val="22"/>
          <w:szCs w:val="22"/>
          <w:u w:val="single"/>
          <w:lang w:eastAsia="fr-FR"/>
        </w:rPr>
        <w:t>Paruoškite injekcinį tirpalą</w:t>
      </w:r>
    </w:p>
    <w:p w:rsidR="00464AD2" w:rsidRPr="00555EC3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484"/>
      </w:tblGrid>
      <w:tr w:rsidR="00464AD2" w:rsidRPr="005A5F75" w:rsidTr="00EF5843">
        <w:tc>
          <w:tcPr>
            <w:tcW w:w="2802" w:type="dxa"/>
            <w:shd w:val="clear" w:color="auto" w:fill="auto"/>
          </w:tcPr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 w:rsidRPr="005A5F75">
              <w:rPr>
                <w:bCs/>
                <w:noProof/>
                <w:sz w:val="22"/>
                <w:szCs w:val="22"/>
                <w:lang w:eastAsia="lt-LT"/>
              </w:rPr>
              <w:drawing>
                <wp:inline distT="0" distB="0" distL="0" distR="0" wp14:anchorId="7368D14E" wp14:editId="1732802B">
                  <wp:extent cx="1642110" cy="939800"/>
                  <wp:effectExtent l="0" t="0" r="0" b="0"/>
                  <wp:docPr id="89564995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110" cy="93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shd w:val="clear" w:color="auto" w:fill="auto"/>
          </w:tcPr>
          <w:p w:rsidR="00464AD2" w:rsidRPr="001B2EF4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1B2EF4">
              <w:rPr>
                <w:sz w:val="22"/>
                <w:szCs w:val="22"/>
                <w:lang w:eastAsia="fr-FR"/>
              </w:rPr>
              <w:t>1.</w:t>
            </w:r>
          </w:p>
          <w:p w:rsidR="00464AD2" w:rsidRPr="008E53DB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bCs/>
                <w:sz w:val="22"/>
                <w:szCs w:val="22"/>
                <w:lang w:eastAsia="fr-FR"/>
              </w:rPr>
            </w:pPr>
            <w:r w:rsidRPr="008E53DB">
              <w:rPr>
                <w:bCs/>
                <w:sz w:val="22"/>
                <w:szCs w:val="22"/>
                <w:lang w:eastAsia="fr-FR"/>
              </w:rPr>
              <w:t xml:space="preserve">Ampulės kaklelis specialiai </w:t>
            </w:r>
            <w:r>
              <w:rPr>
                <w:bCs/>
                <w:sz w:val="22"/>
                <w:szCs w:val="22"/>
                <w:lang w:eastAsia="fr-FR"/>
              </w:rPr>
              <w:t xml:space="preserve">sukurtas </w:t>
            </w:r>
            <w:r w:rsidRPr="008E53DB">
              <w:rPr>
                <w:bCs/>
                <w:sz w:val="22"/>
                <w:szCs w:val="22"/>
                <w:lang w:eastAsia="fr-FR"/>
              </w:rPr>
              <w:t xml:space="preserve">taip, kad lengviau lūžtų žemiau spalvoto taško. Švelniai </w:t>
            </w:r>
            <w:r>
              <w:rPr>
                <w:sz w:val="22"/>
                <w:szCs w:val="22"/>
              </w:rPr>
              <w:t>pastuksenkite</w:t>
            </w:r>
            <w:r w:rsidRPr="008E53DB">
              <w:rPr>
                <w:bCs/>
                <w:sz w:val="22"/>
                <w:szCs w:val="22"/>
                <w:lang w:eastAsia="fr-FR"/>
              </w:rPr>
              <w:t xml:space="preserve"> </w:t>
            </w:r>
            <w:r>
              <w:rPr>
                <w:bCs/>
                <w:sz w:val="22"/>
                <w:szCs w:val="22"/>
                <w:lang w:eastAsia="fr-FR"/>
              </w:rPr>
              <w:t xml:space="preserve">per </w:t>
            </w:r>
            <w:r w:rsidRPr="008E53DB">
              <w:rPr>
                <w:bCs/>
                <w:sz w:val="22"/>
                <w:szCs w:val="22"/>
                <w:lang w:eastAsia="fr-FR"/>
              </w:rPr>
              <w:t>ampulės viršūn</w:t>
            </w:r>
            <w:r>
              <w:rPr>
                <w:bCs/>
                <w:sz w:val="22"/>
                <w:szCs w:val="22"/>
                <w:lang w:eastAsia="fr-FR"/>
              </w:rPr>
              <w:t>ę</w:t>
            </w:r>
            <w:r w:rsidRPr="008E53DB">
              <w:rPr>
                <w:bCs/>
                <w:sz w:val="22"/>
                <w:szCs w:val="22"/>
                <w:lang w:eastAsia="fr-FR"/>
              </w:rPr>
              <w:t xml:space="preserve">, kad </w:t>
            </w:r>
            <w:r w:rsidRPr="00381DE9">
              <w:rPr>
                <w:sz w:val="22"/>
                <w:szCs w:val="22"/>
              </w:rPr>
              <w:t>gal</w:t>
            </w:r>
            <w:r>
              <w:rPr>
                <w:sz w:val="22"/>
                <w:szCs w:val="22"/>
              </w:rPr>
              <w:t>iuke</w:t>
            </w:r>
            <w:r w:rsidRPr="00381DE9">
              <w:rPr>
                <w:sz w:val="22"/>
                <w:szCs w:val="22"/>
              </w:rPr>
              <w:t xml:space="preserve"> likęs skystis</w:t>
            </w:r>
            <w:r>
              <w:rPr>
                <w:sz w:val="22"/>
                <w:szCs w:val="22"/>
              </w:rPr>
              <w:t xml:space="preserve"> nubėgtų žemyn</w:t>
            </w:r>
            <w:r w:rsidRPr="008E53DB">
              <w:rPr>
                <w:bCs/>
                <w:sz w:val="22"/>
                <w:szCs w:val="22"/>
                <w:lang w:eastAsia="fr-FR"/>
              </w:rPr>
              <w:t>. Laikykite ampulę spalvotu tašk</w:t>
            </w:r>
            <w:r>
              <w:rPr>
                <w:bCs/>
                <w:sz w:val="22"/>
                <w:szCs w:val="22"/>
                <w:lang w:eastAsia="fr-FR"/>
              </w:rPr>
              <w:t>u</w:t>
            </w:r>
            <w:r w:rsidRPr="008E53DB">
              <w:rPr>
                <w:bCs/>
                <w:sz w:val="22"/>
                <w:szCs w:val="22"/>
                <w:lang w:eastAsia="fr-FR"/>
              </w:rPr>
              <w:t xml:space="preserve"> nuo savęs ir nulaužkite ampulės viršūn</w:t>
            </w:r>
            <w:r>
              <w:rPr>
                <w:bCs/>
                <w:sz w:val="22"/>
                <w:szCs w:val="22"/>
                <w:lang w:eastAsia="fr-FR"/>
              </w:rPr>
              <w:t>ę</w:t>
            </w:r>
            <w:r w:rsidRPr="008E53DB">
              <w:rPr>
                <w:bCs/>
                <w:sz w:val="22"/>
                <w:szCs w:val="22"/>
                <w:lang w:eastAsia="fr-FR"/>
              </w:rPr>
              <w:t xml:space="preserve">, kaip parodyta paveikslėlyje. Jei ampulę laikysite šluoste arba ampulių </w:t>
            </w:r>
            <w:r>
              <w:rPr>
                <w:bCs/>
                <w:sz w:val="22"/>
                <w:szCs w:val="22"/>
                <w:lang w:eastAsia="fr-FR"/>
              </w:rPr>
              <w:t>atidarytu</w:t>
            </w:r>
            <w:r w:rsidRPr="008E53DB">
              <w:rPr>
                <w:bCs/>
                <w:sz w:val="22"/>
                <w:szCs w:val="22"/>
                <w:lang w:eastAsia="fr-FR"/>
              </w:rPr>
              <w:t>vu, tai padės apsaugoti pirštus.</w:t>
            </w:r>
          </w:p>
          <w:p w:rsidR="00464AD2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 w:rsidRPr="008E53DB">
              <w:rPr>
                <w:bCs/>
                <w:sz w:val="22"/>
                <w:szCs w:val="22"/>
                <w:lang w:eastAsia="fr-FR"/>
              </w:rPr>
              <w:t>Atsargiai padėkite atidarytą ampulę vertikaliai ant nuvalyto paviršiaus.</w:t>
            </w:r>
          </w:p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highlight w:val="yellow"/>
                <w:lang w:eastAsia="fr-FR"/>
              </w:rPr>
            </w:pPr>
          </w:p>
        </w:tc>
      </w:tr>
      <w:tr w:rsidR="00464AD2" w:rsidRPr="005A5F75" w:rsidTr="00EF5843">
        <w:tc>
          <w:tcPr>
            <w:tcW w:w="2802" w:type="dxa"/>
            <w:shd w:val="clear" w:color="auto" w:fill="auto"/>
          </w:tcPr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5A5F75">
              <w:rPr>
                <w:bCs/>
                <w:noProof/>
                <w:sz w:val="22"/>
                <w:szCs w:val="22"/>
                <w:lang w:eastAsia="lt-LT"/>
              </w:rPr>
              <w:drawing>
                <wp:inline distT="0" distB="0" distL="0" distR="0" wp14:anchorId="076BBB94" wp14:editId="4B07DAF5">
                  <wp:extent cx="1066800" cy="1009650"/>
                  <wp:effectExtent l="0" t="0" r="0" b="0"/>
                  <wp:docPr id="149677991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6484" w:type="dxa"/>
            <w:shd w:val="clear" w:color="auto" w:fill="auto"/>
          </w:tcPr>
          <w:p w:rsidR="00464AD2" w:rsidRPr="001B2EF4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sz w:val="22"/>
                <w:szCs w:val="22"/>
                <w:lang w:eastAsia="fr-FR"/>
              </w:rPr>
            </w:pPr>
            <w:r w:rsidRPr="001B2EF4">
              <w:rPr>
                <w:sz w:val="22"/>
                <w:szCs w:val="22"/>
                <w:lang w:eastAsia="fr-FR"/>
              </w:rPr>
              <w:t xml:space="preserve">Nuimkite apsauginį adatos dangtelį. Prie švirkšto pritvirtinkite </w:t>
            </w:r>
            <w:r>
              <w:rPr>
                <w:sz w:val="22"/>
                <w:szCs w:val="22"/>
                <w:lang w:eastAsia="fr-FR"/>
              </w:rPr>
              <w:t>paruošimo</w:t>
            </w:r>
            <w:r w:rsidRPr="001B2EF4">
              <w:rPr>
                <w:sz w:val="22"/>
                <w:szCs w:val="22"/>
                <w:lang w:eastAsia="fr-FR"/>
              </w:rPr>
              <w:t xml:space="preserve"> adatą (</w:t>
            </w:r>
            <w:r>
              <w:rPr>
                <w:sz w:val="22"/>
                <w:szCs w:val="22"/>
                <w:lang w:eastAsia="fr-FR"/>
              </w:rPr>
              <w:t>ilgąją</w:t>
            </w:r>
            <w:r w:rsidRPr="001B2EF4">
              <w:rPr>
                <w:sz w:val="22"/>
                <w:szCs w:val="22"/>
                <w:lang w:eastAsia="fr-FR"/>
              </w:rPr>
              <w:t xml:space="preserve"> adatą). </w:t>
            </w:r>
          </w:p>
          <w:p w:rsidR="00464AD2" w:rsidRPr="001B2EF4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1B2EF4">
              <w:rPr>
                <w:sz w:val="22"/>
                <w:szCs w:val="22"/>
                <w:lang w:eastAsia="fr-FR"/>
              </w:rPr>
              <w:t xml:space="preserve">Vienoje rankoje laikydami švirkštą, paimkite atidarytą tirpiklio ampulę, </w:t>
            </w:r>
            <w:r>
              <w:rPr>
                <w:sz w:val="22"/>
                <w:szCs w:val="22"/>
                <w:lang w:eastAsia="fr-FR"/>
              </w:rPr>
              <w:t>įstatyk</w:t>
            </w:r>
            <w:r w:rsidRPr="001B2EF4">
              <w:rPr>
                <w:sz w:val="22"/>
                <w:szCs w:val="22"/>
                <w:lang w:eastAsia="fr-FR"/>
              </w:rPr>
              <w:t xml:space="preserve">ite adatą ir sutraukite visą tirpiklį į švirkštą. </w:t>
            </w:r>
          </w:p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highlight w:val="yellow"/>
                <w:lang w:eastAsia="fr-FR"/>
              </w:rPr>
            </w:pPr>
            <w:r w:rsidRPr="001B2EF4">
              <w:rPr>
                <w:sz w:val="22"/>
                <w:szCs w:val="22"/>
                <w:lang w:eastAsia="fr-FR"/>
              </w:rPr>
              <w:t xml:space="preserve">Uždėkite apsauginį adatos dangtelį. Atsargiai </w:t>
            </w:r>
            <w:r>
              <w:rPr>
                <w:sz w:val="22"/>
                <w:szCs w:val="22"/>
                <w:lang w:eastAsia="fr-FR"/>
              </w:rPr>
              <w:t>padėkite</w:t>
            </w:r>
            <w:r w:rsidRPr="001B2EF4">
              <w:rPr>
                <w:sz w:val="22"/>
                <w:szCs w:val="22"/>
                <w:lang w:eastAsia="fr-FR"/>
              </w:rPr>
              <w:t xml:space="preserve"> švirkštą ant paviršiaus.</w:t>
            </w:r>
          </w:p>
        </w:tc>
      </w:tr>
      <w:tr w:rsidR="00464AD2" w:rsidRPr="005A5F75" w:rsidTr="00EF5843">
        <w:tc>
          <w:tcPr>
            <w:tcW w:w="2802" w:type="dxa"/>
            <w:shd w:val="clear" w:color="auto" w:fill="auto"/>
          </w:tcPr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 w:rsidRPr="005A5F75">
              <w:rPr>
                <w:noProof/>
                <w:sz w:val="22"/>
                <w:szCs w:val="22"/>
                <w:lang w:eastAsia="lt-LT"/>
              </w:rPr>
              <w:drawing>
                <wp:inline distT="0" distB="0" distL="0" distR="0" wp14:anchorId="0767B9B5" wp14:editId="314BF9EB">
                  <wp:extent cx="1028700" cy="1009650"/>
                  <wp:effectExtent l="0" t="0" r="0" b="0"/>
                  <wp:docPr id="195050317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shd w:val="clear" w:color="auto" w:fill="auto"/>
          </w:tcPr>
          <w:p w:rsidR="00464AD2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sz w:val="22"/>
                <w:szCs w:val="22"/>
                <w:lang w:eastAsia="fr-FR"/>
              </w:rPr>
            </w:pPr>
            <w:r w:rsidRPr="00DB2127">
              <w:rPr>
                <w:sz w:val="22"/>
                <w:szCs w:val="22"/>
                <w:lang w:eastAsia="fr-FR"/>
              </w:rPr>
              <w:t xml:space="preserve">2. </w:t>
            </w:r>
          </w:p>
          <w:p w:rsidR="00464AD2" w:rsidRPr="00DB2127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sz w:val="22"/>
                <w:szCs w:val="22"/>
                <w:lang w:eastAsia="fr-FR"/>
              </w:rPr>
            </w:pPr>
            <w:r w:rsidRPr="00DB2127">
              <w:rPr>
                <w:sz w:val="22"/>
                <w:szCs w:val="22"/>
                <w:lang w:eastAsia="fr-FR"/>
              </w:rPr>
              <w:t>Nuimkite spalvotą plastikinį dangtelį (75</w:t>
            </w:r>
            <w:r>
              <w:rPr>
                <w:sz w:val="22"/>
                <w:szCs w:val="22"/>
                <w:lang w:eastAsia="fr-FR"/>
              </w:rPr>
              <w:t> </w:t>
            </w:r>
            <w:r w:rsidRPr="00DB2127">
              <w:rPr>
                <w:sz w:val="22"/>
                <w:szCs w:val="22"/>
                <w:lang w:eastAsia="fr-FR"/>
              </w:rPr>
              <w:t>TV – šviesiai žalios spalvos, 150</w:t>
            </w:r>
            <w:r>
              <w:rPr>
                <w:sz w:val="22"/>
                <w:szCs w:val="22"/>
                <w:lang w:eastAsia="fr-FR"/>
              </w:rPr>
              <w:t> </w:t>
            </w:r>
            <w:r w:rsidRPr="00DB2127">
              <w:rPr>
                <w:sz w:val="22"/>
                <w:szCs w:val="22"/>
                <w:lang w:eastAsia="fr-FR"/>
              </w:rPr>
              <w:t xml:space="preserve">TV – tamsiai žalios spalvos) nuo </w:t>
            </w:r>
            <w:proofErr w:type="spellStart"/>
            <w:r w:rsidRPr="00DB2127">
              <w:rPr>
                <w:sz w:val="22"/>
                <w:szCs w:val="22"/>
                <w:lang w:eastAsia="fr-FR"/>
              </w:rPr>
              <w:t>Meriofert</w:t>
            </w:r>
            <w:proofErr w:type="spellEnd"/>
            <w:r w:rsidRPr="00DB2127">
              <w:rPr>
                <w:sz w:val="22"/>
                <w:szCs w:val="22"/>
                <w:lang w:eastAsia="fr-FR"/>
              </w:rPr>
              <w:t xml:space="preserve"> flakono švelniai stumdami jį aukštyn. </w:t>
            </w:r>
          </w:p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sz w:val="22"/>
                <w:szCs w:val="22"/>
                <w:lang w:eastAsia="fr-FR"/>
              </w:rPr>
            </w:pPr>
            <w:r w:rsidRPr="00DB2127">
              <w:rPr>
                <w:sz w:val="22"/>
                <w:szCs w:val="22"/>
                <w:lang w:eastAsia="fr-FR"/>
              </w:rPr>
              <w:t>Guminę viršutinę dalį nuvalykite alkoholiu suvilgytu tamponėliu ir leiskite išdžiūti.</w:t>
            </w:r>
          </w:p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</w:p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464AD2" w:rsidRPr="005A5F75" w:rsidTr="00EF5843">
        <w:tc>
          <w:tcPr>
            <w:tcW w:w="2802" w:type="dxa"/>
            <w:shd w:val="clear" w:color="auto" w:fill="auto"/>
          </w:tcPr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 w:rsidRPr="005A5F75">
              <w:rPr>
                <w:bCs/>
                <w:noProof/>
                <w:sz w:val="22"/>
                <w:szCs w:val="22"/>
                <w:lang w:eastAsia="lt-LT"/>
              </w:rPr>
              <w:drawing>
                <wp:inline distT="0" distB="0" distL="0" distR="0" wp14:anchorId="4ABF89CE" wp14:editId="31169115">
                  <wp:extent cx="1057275" cy="1000125"/>
                  <wp:effectExtent l="0" t="0" r="9525" b="9525"/>
                  <wp:docPr id="147256942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6484" w:type="dxa"/>
            <w:shd w:val="clear" w:color="auto" w:fill="auto"/>
          </w:tcPr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5A5F75">
              <w:rPr>
                <w:sz w:val="22"/>
                <w:szCs w:val="22"/>
                <w:lang w:eastAsia="fr-FR"/>
              </w:rPr>
              <w:t>3.</w:t>
            </w:r>
          </w:p>
          <w:p w:rsidR="00464AD2" w:rsidRPr="00DB2127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sz w:val="22"/>
                <w:szCs w:val="22"/>
                <w:lang w:eastAsia="fr-FR"/>
              </w:rPr>
            </w:pPr>
            <w:r w:rsidRPr="00DB2127">
              <w:rPr>
                <w:sz w:val="22"/>
                <w:szCs w:val="22"/>
                <w:lang w:eastAsia="fr-FR"/>
              </w:rPr>
              <w:t xml:space="preserve">Paimkite švirkštą, nuimkite apsauginį dangtelį nuo adatos ir lėtai </w:t>
            </w:r>
            <w:r>
              <w:rPr>
                <w:sz w:val="22"/>
                <w:szCs w:val="22"/>
                <w:lang w:eastAsia="fr-FR"/>
              </w:rPr>
              <w:t>suleiskite</w:t>
            </w:r>
            <w:r w:rsidRPr="00DB2127">
              <w:rPr>
                <w:sz w:val="22"/>
                <w:szCs w:val="22"/>
                <w:lang w:eastAsia="fr-FR"/>
              </w:rPr>
              <w:t xml:space="preserve"> tirpikl</w:t>
            </w:r>
            <w:r>
              <w:rPr>
                <w:sz w:val="22"/>
                <w:szCs w:val="22"/>
                <w:lang w:eastAsia="fr-FR"/>
              </w:rPr>
              <w:t>į</w:t>
            </w:r>
            <w:r w:rsidRPr="00DB2127">
              <w:rPr>
                <w:sz w:val="22"/>
                <w:szCs w:val="22"/>
                <w:lang w:eastAsia="fr-FR"/>
              </w:rPr>
              <w:t xml:space="preserve"> į miltelių </w:t>
            </w:r>
            <w:r>
              <w:rPr>
                <w:sz w:val="22"/>
                <w:szCs w:val="22"/>
                <w:lang w:eastAsia="fr-FR"/>
              </w:rPr>
              <w:t>flakoną</w:t>
            </w:r>
            <w:r w:rsidRPr="00DB2127">
              <w:rPr>
                <w:sz w:val="22"/>
                <w:szCs w:val="22"/>
                <w:lang w:eastAsia="fr-FR"/>
              </w:rPr>
              <w:t xml:space="preserve"> per guminio kamščio viršaus vidurį. </w:t>
            </w:r>
          </w:p>
          <w:p w:rsidR="00464AD2" w:rsidRPr="00DB2127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sz w:val="22"/>
                <w:szCs w:val="22"/>
                <w:lang w:eastAsia="fr-FR"/>
              </w:rPr>
            </w:pPr>
            <w:r w:rsidRPr="00DB2127">
              <w:rPr>
                <w:sz w:val="22"/>
                <w:szCs w:val="22"/>
                <w:lang w:eastAsia="fr-FR"/>
              </w:rPr>
              <w:t xml:space="preserve">Tvirtai nuspauskite stūmoklį, kad visas tirpalas </w:t>
            </w:r>
            <w:r>
              <w:rPr>
                <w:sz w:val="22"/>
                <w:szCs w:val="22"/>
                <w:lang w:eastAsia="fr-FR"/>
              </w:rPr>
              <w:t>pasklistų</w:t>
            </w:r>
            <w:r w:rsidRPr="00DB2127">
              <w:rPr>
                <w:sz w:val="22"/>
                <w:szCs w:val="22"/>
                <w:lang w:eastAsia="fr-FR"/>
              </w:rPr>
              <w:t xml:space="preserve"> ant miltelių.</w:t>
            </w:r>
          </w:p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 w:rsidRPr="00DB2127">
              <w:rPr>
                <w:b/>
                <w:bCs/>
                <w:sz w:val="22"/>
                <w:szCs w:val="22"/>
                <w:lang w:eastAsia="fr-FR"/>
              </w:rPr>
              <w:t>NEPURTYKITE</w:t>
            </w:r>
            <w:r w:rsidRPr="00DB2127">
              <w:rPr>
                <w:sz w:val="22"/>
                <w:szCs w:val="22"/>
                <w:lang w:eastAsia="fr-FR"/>
              </w:rPr>
              <w:t xml:space="preserve">, o švelniai sukiokite </w:t>
            </w:r>
            <w:r>
              <w:rPr>
                <w:sz w:val="22"/>
                <w:szCs w:val="22"/>
                <w:lang w:eastAsia="fr-FR"/>
              </w:rPr>
              <w:t xml:space="preserve">flakoną </w:t>
            </w:r>
            <w:r w:rsidRPr="00DB2127">
              <w:rPr>
                <w:sz w:val="22"/>
                <w:szCs w:val="22"/>
                <w:lang w:eastAsia="fr-FR"/>
              </w:rPr>
              <w:t xml:space="preserve">tarp rankų, kol milteliai visiškai ištirps, stengdamiesi, kad nesusidarytų putų. </w:t>
            </w:r>
          </w:p>
        </w:tc>
      </w:tr>
      <w:tr w:rsidR="00464AD2" w:rsidRPr="005A5F75" w:rsidTr="00EF5843">
        <w:tc>
          <w:tcPr>
            <w:tcW w:w="2802" w:type="dxa"/>
            <w:shd w:val="clear" w:color="auto" w:fill="auto"/>
          </w:tcPr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 w:rsidRPr="005A5F75">
              <w:rPr>
                <w:bCs/>
                <w:noProof/>
                <w:sz w:val="22"/>
                <w:szCs w:val="22"/>
                <w:lang w:eastAsia="lt-LT"/>
              </w:rPr>
              <w:drawing>
                <wp:inline distT="0" distB="0" distL="0" distR="0" wp14:anchorId="49C8A606" wp14:editId="31961464">
                  <wp:extent cx="1095375" cy="1028700"/>
                  <wp:effectExtent l="0" t="0" r="9525" b="0"/>
                  <wp:docPr id="204366507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shd w:val="clear" w:color="auto" w:fill="auto"/>
          </w:tcPr>
          <w:p w:rsidR="00464AD2" w:rsidRPr="005A5F75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5A5F75">
              <w:rPr>
                <w:sz w:val="22"/>
                <w:szCs w:val="22"/>
                <w:lang w:eastAsia="fr-FR"/>
              </w:rPr>
              <w:t>4.</w:t>
            </w:r>
          </w:p>
          <w:p w:rsidR="00464AD2" w:rsidRDefault="00464AD2" w:rsidP="00EF5843">
            <w:pPr>
              <w:tabs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bCs/>
                <w:sz w:val="22"/>
                <w:szCs w:val="22"/>
                <w:lang w:eastAsia="fr-FR"/>
              </w:rPr>
              <w:t>K</w:t>
            </w:r>
            <w:r w:rsidRPr="00DB2127">
              <w:rPr>
                <w:bCs/>
                <w:sz w:val="22"/>
                <w:szCs w:val="22"/>
                <w:lang w:eastAsia="fr-FR"/>
              </w:rPr>
              <w:t>ai milteliai ištirps (paprastai tai įvyksta akimirksniu), neskubėdami sutraukite tirpalą į švirkštą</w:t>
            </w:r>
            <w:r>
              <w:rPr>
                <w:bCs/>
                <w:sz w:val="22"/>
                <w:szCs w:val="22"/>
                <w:lang w:eastAsia="fr-FR"/>
              </w:rPr>
              <w:t>:</w:t>
            </w:r>
          </w:p>
          <w:p w:rsidR="00464AD2" w:rsidRPr="00DB2127" w:rsidRDefault="00464AD2" w:rsidP="00464AD2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</w:rPr>
            </w:pPr>
            <w:r w:rsidRPr="00DB2127">
              <w:rPr>
                <w:sz w:val="22"/>
                <w:szCs w:val="22"/>
              </w:rPr>
              <w:t>Kol adata vis dar įdurta, apverskite flakoną.</w:t>
            </w:r>
          </w:p>
          <w:p w:rsidR="00464AD2" w:rsidRPr="00DB2127" w:rsidRDefault="00464AD2" w:rsidP="00464AD2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</w:rPr>
            </w:pPr>
            <w:r w:rsidRPr="00DB2127">
              <w:rPr>
                <w:sz w:val="22"/>
                <w:szCs w:val="22"/>
              </w:rPr>
              <w:t>Įsitikinkite, kad adatos galiukas yra žemiau skysčio lygio.</w:t>
            </w:r>
          </w:p>
          <w:p w:rsidR="00464AD2" w:rsidRDefault="00464AD2" w:rsidP="00464AD2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sz w:val="22"/>
                <w:szCs w:val="22"/>
              </w:rPr>
            </w:pPr>
            <w:r w:rsidRPr="00DB2127">
              <w:rPr>
                <w:sz w:val="22"/>
                <w:szCs w:val="22"/>
              </w:rPr>
              <w:t xml:space="preserve">Švelniai traukdami stūmoklį sutraukite visą </w:t>
            </w:r>
            <w:proofErr w:type="spellStart"/>
            <w:r w:rsidRPr="00DB2127">
              <w:rPr>
                <w:sz w:val="22"/>
                <w:szCs w:val="22"/>
              </w:rPr>
              <w:t>Meriofert</w:t>
            </w:r>
            <w:proofErr w:type="spellEnd"/>
            <w:r w:rsidRPr="00DB2127">
              <w:rPr>
                <w:sz w:val="22"/>
                <w:szCs w:val="22"/>
              </w:rPr>
              <w:t xml:space="preserve"> tirpalą į švirkštą.</w:t>
            </w:r>
          </w:p>
          <w:p w:rsidR="00464AD2" w:rsidRPr="00DB2127" w:rsidRDefault="00464AD2" w:rsidP="00464AD2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sz w:val="22"/>
                <w:szCs w:val="22"/>
              </w:rPr>
            </w:pPr>
            <w:r w:rsidRPr="00DB2127">
              <w:rPr>
                <w:sz w:val="22"/>
                <w:szCs w:val="22"/>
              </w:rPr>
              <w:t>Patikrinkite, ar paruoštas tirpalas yra skaidrus</w:t>
            </w:r>
            <w:r>
              <w:rPr>
                <w:sz w:val="22"/>
                <w:szCs w:val="22"/>
              </w:rPr>
              <w:t xml:space="preserve"> ir bespalvis</w:t>
            </w:r>
            <w:r w:rsidRPr="00DB2127">
              <w:rPr>
                <w:sz w:val="22"/>
                <w:szCs w:val="22"/>
              </w:rPr>
              <w:t>.</w:t>
            </w:r>
          </w:p>
        </w:tc>
      </w:tr>
    </w:tbl>
    <w:p w:rsidR="00464AD2" w:rsidRPr="003D4442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404C90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/>
          <w:bCs/>
          <w:sz w:val="22"/>
          <w:szCs w:val="22"/>
          <w:lang w:eastAsia="fr-FR"/>
        </w:rPr>
      </w:pPr>
      <w:r w:rsidRPr="00404C90">
        <w:rPr>
          <w:b/>
          <w:bCs/>
          <w:sz w:val="22"/>
          <w:szCs w:val="22"/>
          <w:lang w:eastAsia="fr-FR"/>
        </w:rPr>
        <w:t xml:space="preserve">Didesnių dozių </w:t>
      </w:r>
      <w:r>
        <w:rPr>
          <w:b/>
          <w:bCs/>
          <w:sz w:val="22"/>
          <w:szCs w:val="22"/>
          <w:lang w:eastAsia="fr-FR"/>
        </w:rPr>
        <w:t>pa</w:t>
      </w:r>
      <w:r w:rsidRPr="00404C90">
        <w:rPr>
          <w:b/>
          <w:bCs/>
          <w:sz w:val="22"/>
          <w:szCs w:val="22"/>
          <w:lang w:eastAsia="fr-FR"/>
        </w:rPr>
        <w:t xml:space="preserve">ruošimas naudojant daugiau nei 1 </w:t>
      </w:r>
      <w:r>
        <w:rPr>
          <w:b/>
          <w:bCs/>
          <w:sz w:val="22"/>
          <w:szCs w:val="22"/>
          <w:lang w:eastAsia="fr-FR"/>
        </w:rPr>
        <w:t>flakoną</w:t>
      </w:r>
      <w:r w:rsidRPr="00404C90">
        <w:rPr>
          <w:b/>
          <w:bCs/>
          <w:sz w:val="22"/>
          <w:szCs w:val="22"/>
          <w:lang w:eastAsia="fr-FR"/>
        </w:rPr>
        <w:t xml:space="preserve"> miltelių</w:t>
      </w:r>
    </w:p>
    <w:p w:rsidR="00464AD2" w:rsidRPr="00404C90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404C90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  <w:r w:rsidRPr="00404C90">
        <w:rPr>
          <w:sz w:val="22"/>
          <w:szCs w:val="22"/>
          <w:lang w:eastAsia="fr-FR"/>
        </w:rPr>
        <w:t xml:space="preserve">Jei gydytojas Jums rekomendavo vartoti didesnes dozes, tai galima padaryti naudojant daugiau nei vieną </w:t>
      </w:r>
      <w:r>
        <w:rPr>
          <w:sz w:val="22"/>
          <w:szCs w:val="22"/>
          <w:lang w:eastAsia="fr-FR"/>
        </w:rPr>
        <w:t>flakoną</w:t>
      </w:r>
      <w:r w:rsidRPr="00404C90">
        <w:rPr>
          <w:sz w:val="22"/>
          <w:szCs w:val="22"/>
          <w:lang w:eastAsia="fr-FR"/>
        </w:rPr>
        <w:t xml:space="preserve"> miltelių su viena ampule tirpiklio.</w:t>
      </w:r>
    </w:p>
    <w:p w:rsidR="00464AD2" w:rsidRPr="00404C90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404C90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Ruoš</w:t>
      </w:r>
      <w:r w:rsidRPr="00404C90">
        <w:rPr>
          <w:sz w:val="22"/>
          <w:szCs w:val="22"/>
          <w:lang w:eastAsia="fr-FR"/>
        </w:rPr>
        <w:t xml:space="preserve">dami daugiau nei 1 </w:t>
      </w:r>
      <w:r>
        <w:rPr>
          <w:sz w:val="22"/>
          <w:szCs w:val="22"/>
          <w:lang w:eastAsia="fr-FR"/>
        </w:rPr>
        <w:t>flakon</w:t>
      </w:r>
      <w:r w:rsidRPr="00404C90">
        <w:rPr>
          <w:sz w:val="22"/>
          <w:szCs w:val="22"/>
          <w:lang w:eastAsia="fr-FR"/>
        </w:rPr>
        <w:t xml:space="preserve">ą </w:t>
      </w:r>
      <w:proofErr w:type="spellStart"/>
      <w:r w:rsidRPr="00404C90">
        <w:rPr>
          <w:sz w:val="22"/>
          <w:szCs w:val="22"/>
          <w:lang w:eastAsia="fr-FR"/>
        </w:rPr>
        <w:t>Meriofert</w:t>
      </w:r>
      <w:proofErr w:type="spellEnd"/>
      <w:r w:rsidRPr="00404C90">
        <w:rPr>
          <w:sz w:val="22"/>
          <w:szCs w:val="22"/>
          <w:lang w:eastAsia="fr-FR"/>
        </w:rPr>
        <w:t xml:space="preserve">, pirmiau nurodyto 4 veiksmo pabaigoje pirmojo </w:t>
      </w:r>
      <w:r>
        <w:rPr>
          <w:sz w:val="22"/>
          <w:szCs w:val="22"/>
          <w:lang w:eastAsia="fr-FR"/>
        </w:rPr>
        <w:t>flakono</w:t>
      </w:r>
      <w:r w:rsidRPr="00404C90">
        <w:rPr>
          <w:sz w:val="22"/>
          <w:szCs w:val="22"/>
          <w:lang w:eastAsia="fr-FR"/>
        </w:rPr>
        <w:t xml:space="preserve"> turinį </w:t>
      </w:r>
      <w:r>
        <w:rPr>
          <w:sz w:val="22"/>
          <w:szCs w:val="22"/>
          <w:lang w:eastAsia="fr-FR"/>
        </w:rPr>
        <w:t>su</w:t>
      </w:r>
      <w:r w:rsidRPr="00404C90">
        <w:rPr>
          <w:sz w:val="22"/>
          <w:szCs w:val="22"/>
          <w:lang w:eastAsia="fr-FR"/>
        </w:rPr>
        <w:t xml:space="preserve">traukite atgal į švirkštą ir lėtai </w:t>
      </w:r>
      <w:r>
        <w:rPr>
          <w:sz w:val="22"/>
          <w:szCs w:val="22"/>
          <w:lang w:eastAsia="fr-FR"/>
        </w:rPr>
        <w:t>suleiskite</w:t>
      </w:r>
      <w:r w:rsidRPr="00404C90">
        <w:rPr>
          <w:sz w:val="22"/>
          <w:szCs w:val="22"/>
          <w:lang w:eastAsia="fr-FR"/>
        </w:rPr>
        <w:t xml:space="preserve"> į antrąjį </w:t>
      </w:r>
      <w:r>
        <w:rPr>
          <w:sz w:val="22"/>
          <w:szCs w:val="22"/>
          <w:lang w:eastAsia="fr-FR"/>
        </w:rPr>
        <w:t>flakoną</w:t>
      </w:r>
      <w:r w:rsidRPr="00404C90">
        <w:rPr>
          <w:sz w:val="22"/>
          <w:szCs w:val="22"/>
          <w:lang w:eastAsia="fr-FR"/>
        </w:rPr>
        <w:t>. Pakartokite 2</w:t>
      </w:r>
      <w:r>
        <w:rPr>
          <w:sz w:val="22"/>
          <w:szCs w:val="22"/>
          <w:lang w:eastAsia="fr-FR"/>
        </w:rPr>
        <w:t>–</w:t>
      </w:r>
      <w:r w:rsidRPr="00404C90">
        <w:rPr>
          <w:sz w:val="22"/>
          <w:szCs w:val="22"/>
          <w:lang w:eastAsia="fr-FR"/>
        </w:rPr>
        <w:t xml:space="preserve">4 veiksmus antrajam ir </w:t>
      </w:r>
      <w:proofErr w:type="spellStart"/>
      <w:r>
        <w:rPr>
          <w:sz w:val="22"/>
          <w:szCs w:val="22"/>
          <w:lang w:eastAsia="fr-FR"/>
        </w:rPr>
        <w:t>paske</w:t>
      </w:r>
      <w:r w:rsidRPr="00404C90">
        <w:rPr>
          <w:sz w:val="22"/>
          <w:szCs w:val="22"/>
          <w:lang w:eastAsia="fr-FR"/>
        </w:rPr>
        <w:t>sniems</w:t>
      </w:r>
      <w:proofErr w:type="spellEnd"/>
      <w:r w:rsidRPr="00404C90">
        <w:rPr>
          <w:sz w:val="22"/>
          <w:szCs w:val="22"/>
          <w:lang w:eastAsia="fr-FR"/>
        </w:rPr>
        <w:t xml:space="preserve"> </w:t>
      </w:r>
      <w:r>
        <w:rPr>
          <w:sz w:val="22"/>
          <w:szCs w:val="22"/>
          <w:lang w:eastAsia="fr-FR"/>
        </w:rPr>
        <w:t>flakonams</w:t>
      </w:r>
      <w:r w:rsidRPr="00404C90">
        <w:rPr>
          <w:sz w:val="22"/>
          <w:szCs w:val="22"/>
          <w:lang w:eastAsia="fr-FR"/>
        </w:rPr>
        <w:t xml:space="preserve">, kol bus </w:t>
      </w:r>
      <w:r>
        <w:rPr>
          <w:sz w:val="22"/>
          <w:szCs w:val="22"/>
          <w:lang w:eastAsia="fr-FR"/>
        </w:rPr>
        <w:t xml:space="preserve">ištirpintas </w:t>
      </w:r>
      <w:r w:rsidRPr="00404C90">
        <w:rPr>
          <w:sz w:val="22"/>
          <w:szCs w:val="22"/>
          <w:lang w:eastAsia="fr-FR"/>
        </w:rPr>
        <w:t xml:space="preserve">reikiamo </w:t>
      </w:r>
      <w:r>
        <w:rPr>
          <w:sz w:val="22"/>
          <w:szCs w:val="22"/>
          <w:lang w:eastAsia="fr-FR"/>
        </w:rPr>
        <w:t>flakonų</w:t>
      </w:r>
      <w:r w:rsidRPr="00404C90">
        <w:rPr>
          <w:sz w:val="22"/>
          <w:szCs w:val="22"/>
          <w:lang w:eastAsia="fr-FR"/>
        </w:rPr>
        <w:t xml:space="preserve"> skaičiaus, atitinkančio paskirtą dozę, turinys (neviršijant didžiausios bendros 450</w:t>
      </w:r>
      <w:r>
        <w:rPr>
          <w:sz w:val="22"/>
          <w:szCs w:val="22"/>
          <w:lang w:eastAsia="fr-FR"/>
        </w:rPr>
        <w:t> </w:t>
      </w:r>
      <w:r w:rsidRPr="00404C90">
        <w:rPr>
          <w:sz w:val="22"/>
          <w:szCs w:val="22"/>
          <w:lang w:eastAsia="fr-FR"/>
        </w:rPr>
        <w:t xml:space="preserve">TV dozės, atitinkančios ne daugiau kaip 6 </w:t>
      </w:r>
      <w:proofErr w:type="spellStart"/>
      <w:r w:rsidRPr="00404C90">
        <w:rPr>
          <w:sz w:val="22"/>
          <w:szCs w:val="22"/>
          <w:lang w:eastAsia="fr-FR"/>
        </w:rPr>
        <w:t>Meriofert</w:t>
      </w:r>
      <w:proofErr w:type="spellEnd"/>
      <w:r w:rsidRPr="00404C90">
        <w:rPr>
          <w:sz w:val="22"/>
          <w:szCs w:val="22"/>
          <w:lang w:eastAsia="fr-FR"/>
        </w:rPr>
        <w:t xml:space="preserve"> 75</w:t>
      </w:r>
      <w:r>
        <w:rPr>
          <w:sz w:val="22"/>
          <w:szCs w:val="22"/>
          <w:lang w:eastAsia="fr-FR"/>
        </w:rPr>
        <w:t> </w:t>
      </w:r>
      <w:r w:rsidRPr="00404C90">
        <w:rPr>
          <w:sz w:val="22"/>
          <w:szCs w:val="22"/>
          <w:lang w:eastAsia="fr-FR"/>
        </w:rPr>
        <w:t xml:space="preserve">TV </w:t>
      </w:r>
      <w:r>
        <w:rPr>
          <w:sz w:val="22"/>
          <w:szCs w:val="22"/>
          <w:lang w:eastAsia="fr-FR"/>
        </w:rPr>
        <w:t>flakonus</w:t>
      </w:r>
      <w:r w:rsidRPr="00404C90">
        <w:rPr>
          <w:sz w:val="22"/>
          <w:szCs w:val="22"/>
          <w:lang w:eastAsia="fr-FR"/>
        </w:rPr>
        <w:t xml:space="preserve"> arba 3 </w:t>
      </w:r>
      <w:proofErr w:type="spellStart"/>
      <w:r w:rsidRPr="00404C90">
        <w:rPr>
          <w:sz w:val="22"/>
          <w:szCs w:val="22"/>
          <w:lang w:eastAsia="fr-FR"/>
        </w:rPr>
        <w:t>Meriofert</w:t>
      </w:r>
      <w:proofErr w:type="spellEnd"/>
      <w:r w:rsidRPr="00404C90">
        <w:rPr>
          <w:sz w:val="22"/>
          <w:szCs w:val="22"/>
          <w:lang w:eastAsia="fr-FR"/>
        </w:rPr>
        <w:t xml:space="preserve"> 150</w:t>
      </w:r>
      <w:r>
        <w:rPr>
          <w:sz w:val="22"/>
          <w:szCs w:val="22"/>
          <w:lang w:eastAsia="fr-FR"/>
        </w:rPr>
        <w:t> </w:t>
      </w:r>
      <w:r w:rsidRPr="00404C90">
        <w:rPr>
          <w:sz w:val="22"/>
          <w:szCs w:val="22"/>
          <w:lang w:eastAsia="fr-FR"/>
        </w:rPr>
        <w:t xml:space="preserve">TV </w:t>
      </w:r>
      <w:r>
        <w:rPr>
          <w:sz w:val="22"/>
          <w:szCs w:val="22"/>
          <w:lang w:eastAsia="fr-FR"/>
        </w:rPr>
        <w:t>flakonus</w:t>
      </w:r>
      <w:r w:rsidRPr="00404C90">
        <w:rPr>
          <w:sz w:val="22"/>
          <w:szCs w:val="22"/>
          <w:lang w:eastAsia="fr-FR"/>
        </w:rPr>
        <w:t>).</w:t>
      </w:r>
    </w:p>
    <w:p w:rsidR="00464AD2" w:rsidRPr="00404C90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404C90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  <w:r w:rsidRPr="00404C90">
        <w:rPr>
          <w:sz w:val="22"/>
          <w:szCs w:val="22"/>
          <w:lang w:eastAsia="fr-FR"/>
        </w:rPr>
        <w:t>Gydytojas gali padidinti dozę 37,5</w:t>
      </w:r>
      <w:r>
        <w:rPr>
          <w:sz w:val="22"/>
          <w:szCs w:val="22"/>
          <w:lang w:eastAsia="fr-FR"/>
        </w:rPr>
        <w:t> </w:t>
      </w:r>
      <w:r w:rsidRPr="00404C90">
        <w:rPr>
          <w:sz w:val="22"/>
          <w:szCs w:val="22"/>
          <w:lang w:eastAsia="fr-FR"/>
        </w:rPr>
        <w:t xml:space="preserve">TV, kas atitinka pusę </w:t>
      </w:r>
      <w:proofErr w:type="spellStart"/>
      <w:r w:rsidRPr="00404C90">
        <w:rPr>
          <w:sz w:val="22"/>
          <w:szCs w:val="22"/>
          <w:lang w:eastAsia="fr-FR"/>
        </w:rPr>
        <w:t>Meriofert</w:t>
      </w:r>
      <w:proofErr w:type="spellEnd"/>
      <w:r w:rsidRPr="00404C90">
        <w:rPr>
          <w:sz w:val="22"/>
          <w:szCs w:val="22"/>
          <w:lang w:eastAsia="fr-FR"/>
        </w:rPr>
        <w:t xml:space="preserve"> 75</w:t>
      </w:r>
      <w:r>
        <w:rPr>
          <w:sz w:val="22"/>
          <w:szCs w:val="22"/>
          <w:lang w:eastAsia="fr-FR"/>
        </w:rPr>
        <w:t> </w:t>
      </w:r>
      <w:r w:rsidRPr="00404C90">
        <w:rPr>
          <w:sz w:val="22"/>
          <w:szCs w:val="22"/>
          <w:lang w:eastAsia="fr-FR"/>
        </w:rPr>
        <w:t xml:space="preserve">TV </w:t>
      </w:r>
      <w:r>
        <w:rPr>
          <w:sz w:val="22"/>
          <w:szCs w:val="22"/>
          <w:lang w:eastAsia="fr-FR"/>
        </w:rPr>
        <w:t>flakono</w:t>
      </w:r>
      <w:r w:rsidRPr="00404C90">
        <w:rPr>
          <w:sz w:val="22"/>
          <w:szCs w:val="22"/>
          <w:lang w:eastAsia="fr-FR"/>
        </w:rPr>
        <w:t xml:space="preserve">. </w:t>
      </w:r>
    </w:p>
    <w:p w:rsidR="00464AD2" w:rsidRPr="00404C90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  <w:r w:rsidRPr="00404C90">
        <w:rPr>
          <w:sz w:val="22"/>
          <w:szCs w:val="22"/>
          <w:lang w:eastAsia="fr-FR"/>
        </w:rPr>
        <w:t xml:space="preserve">Tam reikia </w:t>
      </w:r>
      <w:r>
        <w:rPr>
          <w:sz w:val="22"/>
          <w:szCs w:val="22"/>
          <w:lang w:eastAsia="fr-FR"/>
        </w:rPr>
        <w:t>paruošti</w:t>
      </w:r>
      <w:r w:rsidRPr="00404C90">
        <w:rPr>
          <w:sz w:val="22"/>
          <w:szCs w:val="22"/>
          <w:lang w:eastAsia="fr-FR"/>
        </w:rPr>
        <w:t xml:space="preserve"> 75</w:t>
      </w:r>
      <w:r>
        <w:rPr>
          <w:sz w:val="22"/>
          <w:szCs w:val="22"/>
          <w:lang w:eastAsia="fr-FR"/>
        </w:rPr>
        <w:t> </w:t>
      </w:r>
      <w:r w:rsidRPr="00404C90">
        <w:rPr>
          <w:sz w:val="22"/>
          <w:szCs w:val="22"/>
          <w:lang w:eastAsia="fr-FR"/>
        </w:rPr>
        <w:t xml:space="preserve">TV </w:t>
      </w:r>
      <w:r>
        <w:rPr>
          <w:sz w:val="22"/>
          <w:szCs w:val="22"/>
          <w:lang w:eastAsia="fr-FR"/>
        </w:rPr>
        <w:t>flakono</w:t>
      </w:r>
      <w:r w:rsidRPr="00404C90">
        <w:rPr>
          <w:sz w:val="22"/>
          <w:szCs w:val="22"/>
          <w:lang w:eastAsia="fr-FR"/>
        </w:rPr>
        <w:t xml:space="preserve"> turinį pagal a</w:t>
      </w:r>
      <w:r>
        <w:rPr>
          <w:sz w:val="22"/>
          <w:szCs w:val="22"/>
          <w:lang w:eastAsia="fr-FR"/>
        </w:rPr>
        <w:t>n</w:t>
      </w:r>
      <w:r w:rsidRPr="00404C90">
        <w:rPr>
          <w:sz w:val="22"/>
          <w:szCs w:val="22"/>
          <w:lang w:eastAsia="fr-FR"/>
        </w:rPr>
        <w:t>kščiau aprašytus 2</w:t>
      </w:r>
      <w:r>
        <w:rPr>
          <w:sz w:val="22"/>
          <w:szCs w:val="22"/>
          <w:lang w:eastAsia="fr-FR"/>
        </w:rPr>
        <w:t>–</w:t>
      </w:r>
      <w:r w:rsidRPr="00404C90">
        <w:rPr>
          <w:sz w:val="22"/>
          <w:szCs w:val="22"/>
          <w:lang w:eastAsia="fr-FR"/>
        </w:rPr>
        <w:t xml:space="preserve">3 veiksmus ir pusę šio </w:t>
      </w:r>
      <w:r>
        <w:rPr>
          <w:sz w:val="22"/>
          <w:szCs w:val="22"/>
          <w:lang w:eastAsia="fr-FR"/>
        </w:rPr>
        <w:t xml:space="preserve">paruošto </w:t>
      </w:r>
      <w:r w:rsidRPr="00404C90">
        <w:rPr>
          <w:sz w:val="22"/>
          <w:szCs w:val="22"/>
          <w:lang w:eastAsia="fr-FR"/>
        </w:rPr>
        <w:t>tirpalo (0,5</w:t>
      </w:r>
      <w:r>
        <w:rPr>
          <w:sz w:val="22"/>
          <w:szCs w:val="22"/>
          <w:lang w:eastAsia="fr-FR"/>
        </w:rPr>
        <w:t> </w:t>
      </w:r>
      <w:r w:rsidRPr="00404C90">
        <w:rPr>
          <w:sz w:val="22"/>
          <w:szCs w:val="22"/>
          <w:lang w:eastAsia="fr-FR"/>
        </w:rPr>
        <w:t xml:space="preserve">ml) pagal 4 veiksmą sugrąžinti atgal į švirkštą. </w:t>
      </w:r>
    </w:p>
    <w:p w:rsidR="00464AD2" w:rsidRPr="00404C90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  <w:r w:rsidRPr="00404C90">
        <w:rPr>
          <w:sz w:val="22"/>
          <w:szCs w:val="22"/>
          <w:lang w:eastAsia="fr-FR"/>
        </w:rPr>
        <w:t xml:space="preserve">Tokiu atveju turėsite </w:t>
      </w:r>
      <w:r>
        <w:rPr>
          <w:sz w:val="22"/>
          <w:szCs w:val="22"/>
          <w:lang w:eastAsia="fr-FR"/>
        </w:rPr>
        <w:t xml:space="preserve">suleisti </w:t>
      </w:r>
      <w:r w:rsidRPr="00404C90">
        <w:rPr>
          <w:sz w:val="22"/>
          <w:szCs w:val="22"/>
          <w:lang w:eastAsia="fr-FR"/>
        </w:rPr>
        <w:t xml:space="preserve">du preparatus: pirmąjį preparatą, </w:t>
      </w:r>
      <w:r>
        <w:rPr>
          <w:sz w:val="22"/>
          <w:szCs w:val="22"/>
          <w:lang w:eastAsia="fr-FR"/>
        </w:rPr>
        <w:t>paruoštą su</w:t>
      </w:r>
      <w:r w:rsidRPr="00404C90">
        <w:rPr>
          <w:sz w:val="22"/>
          <w:szCs w:val="22"/>
          <w:lang w:eastAsia="fr-FR"/>
        </w:rPr>
        <w:t xml:space="preserve"> 1</w:t>
      </w:r>
      <w:r>
        <w:rPr>
          <w:sz w:val="22"/>
          <w:szCs w:val="22"/>
          <w:lang w:eastAsia="fr-FR"/>
        </w:rPr>
        <w:t> </w:t>
      </w:r>
      <w:r w:rsidRPr="00404C90">
        <w:rPr>
          <w:sz w:val="22"/>
          <w:szCs w:val="22"/>
          <w:lang w:eastAsia="fr-FR"/>
        </w:rPr>
        <w:t>ml, ir antrąjį, kuriame yra 37,5</w:t>
      </w:r>
      <w:r>
        <w:rPr>
          <w:sz w:val="22"/>
          <w:szCs w:val="22"/>
          <w:lang w:eastAsia="fr-FR"/>
        </w:rPr>
        <w:t> </w:t>
      </w:r>
      <w:r w:rsidRPr="00404C90">
        <w:rPr>
          <w:sz w:val="22"/>
          <w:szCs w:val="22"/>
          <w:lang w:eastAsia="fr-FR"/>
        </w:rPr>
        <w:t>TV</w:t>
      </w:r>
      <w:r>
        <w:rPr>
          <w:sz w:val="22"/>
          <w:szCs w:val="22"/>
          <w:lang w:eastAsia="fr-FR"/>
        </w:rPr>
        <w:t>/</w:t>
      </w:r>
      <w:r w:rsidRPr="00404C90">
        <w:rPr>
          <w:sz w:val="22"/>
          <w:szCs w:val="22"/>
          <w:lang w:eastAsia="fr-FR"/>
        </w:rPr>
        <w:t xml:space="preserve"> 0,5 ml.</w:t>
      </w:r>
    </w:p>
    <w:p w:rsidR="00464AD2" w:rsidRPr="00404C90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  <w:r w:rsidRPr="00404C90">
        <w:rPr>
          <w:sz w:val="22"/>
          <w:szCs w:val="22"/>
          <w:lang w:eastAsia="fr-FR"/>
        </w:rPr>
        <w:t xml:space="preserve">Abu preparatai bus </w:t>
      </w:r>
      <w:r>
        <w:rPr>
          <w:sz w:val="22"/>
          <w:szCs w:val="22"/>
          <w:lang w:eastAsia="fr-FR"/>
        </w:rPr>
        <w:t>leidžiami</w:t>
      </w:r>
      <w:r w:rsidRPr="00404C90">
        <w:rPr>
          <w:sz w:val="22"/>
          <w:szCs w:val="22"/>
          <w:lang w:eastAsia="fr-FR"/>
        </w:rPr>
        <w:t xml:space="preserve"> atskiru </w:t>
      </w:r>
      <w:r>
        <w:rPr>
          <w:sz w:val="22"/>
          <w:szCs w:val="22"/>
          <w:lang w:eastAsia="fr-FR"/>
        </w:rPr>
        <w:t>švirkštu</w:t>
      </w:r>
      <w:r w:rsidRPr="00404C90">
        <w:rPr>
          <w:sz w:val="22"/>
          <w:szCs w:val="22"/>
          <w:lang w:eastAsia="fr-FR"/>
        </w:rPr>
        <w:t xml:space="preserve"> pagal toliau nurodytus veiksmus.</w:t>
      </w:r>
    </w:p>
    <w:p w:rsidR="00464AD2" w:rsidRPr="00404C90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404C90" w:rsidRDefault="00464AD2" w:rsidP="00464AD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  <w:r w:rsidRPr="00404C90">
        <w:rPr>
          <w:sz w:val="22"/>
          <w:szCs w:val="22"/>
          <w:lang w:eastAsia="fr-FR"/>
        </w:rPr>
        <w:t>Tirpalas turi būti skaidrus ir bespalvis.</w:t>
      </w:r>
    </w:p>
    <w:p w:rsidR="00464AD2" w:rsidRPr="00DC3C06" w:rsidRDefault="00464AD2" w:rsidP="00464AD2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u w:val="single"/>
          <w:lang w:eastAsia="fr-FR"/>
        </w:rPr>
      </w:pPr>
    </w:p>
    <w:p w:rsidR="00464AD2" w:rsidRPr="00DC3C06" w:rsidRDefault="00464AD2" w:rsidP="00464AD2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>Vaisto leidimas po oda</w:t>
      </w:r>
    </w:p>
    <w:p w:rsidR="00464AD2" w:rsidRPr="003D4442" w:rsidRDefault="00464AD2" w:rsidP="00464AD2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drawing>
          <wp:anchor distT="0" distB="0" distL="114300" distR="114300" simplePos="0" relativeHeight="251659264" behindDoc="0" locked="0" layoutInCell="1" allowOverlap="1" wp14:anchorId="6598FC7E" wp14:editId="391B6882">
            <wp:simplePos x="0" y="0"/>
            <wp:positionH relativeFrom="column">
              <wp:posOffset>-30480</wp:posOffset>
            </wp:positionH>
            <wp:positionV relativeFrom="paragraph">
              <wp:posOffset>0</wp:posOffset>
            </wp:positionV>
            <wp:extent cx="687705" cy="6686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C06">
        <w:rPr>
          <w:sz w:val="22"/>
          <w:szCs w:val="22"/>
        </w:rPr>
        <w:t>Kai švirkšte bus nurodyta dozė, uždėkite apsauginį adatos dangtelį. Nuimkite adatą nuo švirkšto ir pakeiskite ją plona adata, pritaikyta injekcijoms po oda, su apsauginiu dangteliu.</w:t>
      </w:r>
    </w:p>
    <w:p w:rsidR="00464AD2" w:rsidRPr="00DC3C06" w:rsidRDefault="00464AD2" w:rsidP="00464AD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Tvirtai užmaukite ploną adatą ant švirkšto cilindro, tada šiek tiek pasukite, kad įsitikintumėte, jog ji uždėta iki galo ir sandariai.</w:t>
      </w:r>
    </w:p>
    <w:p w:rsidR="00464AD2" w:rsidRPr="00DC3C06" w:rsidRDefault="00464AD2" w:rsidP="00464AD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drawing>
          <wp:anchor distT="0" distB="0" distL="114300" distR="114300" simplePos="0" relativeHeight="251660288" behindDoc="0" locked="0" layoutInCell="1" allowOverlap="1" wp14:anchorId="6B850AEE" wp14:editId="6A014624">
            <wp:simplePos x="0" y="0"/>
            <wp:positionH relativeFrom="column">
              <wp:posOffset>-13335</wp:posOffset>
            </wp:positionH>
            <wp:positionV relativeFrom="paragraph">
              <wp:posOffset>5080</wp:posOffset>
            </wp:positionV>
            <wp:extent cx="768350" cy="7486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C06">
        <w:rPr>
          <w:sz w:val="22"/>
          <w:szCs w:val="22"/>
        </w:rPr>
        <w:t xml:space="preserve">Nuo adatos nuimkite apsauginį dangtelį. Laikykite švirkštą adata į viršų ir lengvai pastuksenkite švirkšto šoną, kad visi oro burbuliukai iškiltų į viršų. </w:t>
      </w:r>
    </w:p>
    <w:p w:rsidR="00464AD2" w:rsidRPr="00DC3C06" w:rsidRDefault="00464AD2" w:rsidP="00464AD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Stumkite stūmoklį į viršų, kol pasirodys skysčio lašelis adatos viršuje.</w:t>
      </w:r>
    </w:p>
    <w:p w:rsidR="00464AD2" w:rsidRPr="00DC3C06" w:rsidRDefault="00464AD2" w:rsidP="00464AD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Jeigu jame yra dalelių ar jis yra drumstas, vartoti negalima.</w:t>
      </w:r>
    </w:p>
    <w:p w:rsidR="00464AD2" w:rsidRPr="00DC3C06" w:rsidRDefault="00464AD2" w:rsidP="00464AD2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/>
          <w:bCs/>
          <w:iCs/>
          <w:sz w:val="22"/>
          <w:szCs w:val="22"/>
          <w:u w:val="single"/>
        </w:rPr>
      </w:pPr>
      <w:r w:rsidRPr="00DC3C06">
        <w:rPr>
          <w:sz w:val="22"/>
          <w:szCs w:val="22"/>
          <w:u w:val="single"/>
        </w:rPr>
        <w:t>Injekcijos vieta</w:t>
      </w:r>
    </w:p>
    <w:p w:rsidR="00464AD2" w:rsidRPr="00DC3C06" w:rsidRDefault="00464AD2" w:rsidP="00464AD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</w:rPr>
      </w:pPr>
      <w:r w:rsidRPr="00DC3C06">
        <w:rPr>
          <w:sz w:val="22"/>
          <w:szCs w:val="22"/>
        </w:rPr>
        <w:t xml:space="preserve">Jūsų gydytojas arba slaugytojas turi patarti, į kurią kūno vietą geriau suleisti vaistą. Įprastos vietos yra šlaunis arba apatinė pilvo dalis žemiau bambos. </w:t>
      </w:r>
    </w:p>
    <w:p w:rsidR="00464AD2" w:rsidRPr="00DC3C06" w:rsidRDefault="00464AD2" w:rsidP="00464AD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0" w:after="0"/>
        <w:ind w:left="2127" w:hanging="284"/>
        <w:textAlignment w:val="baseline"/>
        <w:rPr>
          <w:iCs/>
          <w:sz w:val="22"/>
          <w:szCs w:val="22"/>
          <w:u w:val="single"/>
        </w:rPr>
      </w:pPr>
      <w:r w:rsidRPr="00DC3C06">
        <w:rPr>
          <w:sz w:val="22"/>
          <w:szCs w:val="22"/>
        </w:rPr>
        <w:t>Nuvalykite injekcijos vietą alkoholiu suvilgytu tamponėliu.</w:t>
      </w:r>
    </w:p>
    <w:p w:rsidR="00464AD2" w:rsidRPr="00DC3C06" w:rsidRDefault="00464AD2" w:rsidP="00464AD2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iCs/>
          <w:sz w:val="22"/>
          <w:szCs w:val="22"/>
          <w:u w:val="single"/>
        </w:rPr>
      </w:pPr>
      <w:r w:rsidRPr="00DC3C06">
        <w:rPr>
          <w:sz w:val="22"/>
          <w:szCs w:val="22"/>
          <w:u w:val="single"/>
        </w:rPr>
        <w:t>Adatos dūrimas</w:t>
      </w:r>
    </w:p>
    <w:p w:rsidR="00464AD2" w:rsidRPr="00DC3C06" w:rsidRDefault="00464AD2" w:rsidP="00464AD2">
      <w:pPr>
        <w:numPr>
          <w:ilvl w:val="0"/>
          <w:numId w:val="3"/>
        </w:numPr>
        <w:tabs>
          <w:tab w:val="left" w:pos="426"/>
          <w:tab w:val="left" w:pos="993"/>
          <w:tab w:val="num" w:pos="2127"/>
        </w:tabs>
        <w:overflowPunct w:val="0"/>
        <w:autoSpaceDE w:val="0"/>
        <w:autoSpaceDN w:val="0"/>
        <w:adjustRightInd w:val="0"/>
        <w:spacing w:before="0" w:after="0"/>
        <w:ind w:left="2127" w:hanging="284"/>
        <w:textAlignment w:val="baseline"/>
        <w:rPr>
          <w:sz w:val="22"/>
          <w:szCs w:val="22"/>
        </w:rPr>
      </w:pPr>
      <w:r>
        <w:rPr>
          <w:noProof/>
          <w:sz w:val="22"/>
          <w:szCs w:val="22"/>
          <w:u w:val="single"/>
          <w:lang w:eastAsia="lt-LT"/>
        </w:rPr>
        <w:drawing>
          <wp:anchor distT="0" distB="0" distL="114300" distR="114300" simplePos="0" relativeHeight="251661312" behindDoc="0" locked="0" layoutInCell="1" allowOverlap="1" wp14:anchorId="4DECD2AE" wp14:editId="115B43DE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748030" cy="7143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C06">
        <w:rPr>
          <w:sz w:val="22"/>
          <w:szCs w:val="22"/>
        </w:rPr>
        <w:t xml:space="preserve">Tvirtai suimkite odą. Kita ranka staigiu judesiu </w:t>
      </w:r>
      <w:r>
        <w:rPr>
          <w:sz w:val="22"/>
          <w:szCs w:val="22"/>
        </w:rPr>
        <w:t>įdurkite</w:t>
      </w:r>
      <w:r w:rsidRPr="00DC3C06">
        <w:rPr>
          <w:sz w:val="22"/>
          <w:szCs w:val="22"/>
        </w:rPr>
        <w:t xml:space="preserve"> adatą 45° arba 90° kampu.</w:t>
      </w:r>
    </w:p>
    <w:p w:rsidR="00464AD2" w:rsidRPr="00DC3C06" w:rsidRDefault="00464AD2" w:rsidP="00464AD2">
      <w:pPr>
        <w:tabs>
          <w:tab w:val="left" w:pos="426"/>
          <w:tab w:val="left" w:pos="993"/>
          <w:tab w:val="num" w:pos="2127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426"/>
          <w:tab w:val="left" w:pos="993"/>
          <w:tab w:val="num" w:pos="2127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u w:val="single"/>
        </w:rPr>
      </w:pPr>
    </w:p>
    <w:p w:rsidR="00464AD2" w:rsidRPr="00DC3C06" w:rsidRDefault="00464AD2" w:rsidP="00464AD2">
      <w:pPr>
        <w:keepNext/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iCs/>
          <w:sz w:val="22"/>
          <w:szCs w:val="22"/>
          <w:u w:val="single"/>
        </w:rPr>
      </w:pPr>
      <w:r w:rsidRPr="00DC3C06">
        <w:rPr>
          <w:sz w:val="22"/>
          <w:szCs w:val="22"/>
          <w:u w:val="single"/>
        </w:rPr>
        <w:t>Tirpalo leidimas</w:t>
      </w:r>
    </w:p>
    <w:p w:rsidR="00464AD2" w:rsidRPr="00DC3C06" w:rsidRDefault="00464AD2" w:rsidP="00464AD2">
      <w:pPr>
        <w:keepNext/>
        <w:numPr>
          <w:ilvl w:val="0"/>
          <w:numId w:val="3"/>
        </w:numPr>
        <w:tabs>
          <w:tab w:val="clear" w:pos="785"/>
          <w:tab w:val="num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Suleiskite po oda, kaip Jums buvo parodyta. Neleiskite vaisto tiesiai į veną. Stumkite stūmoklį lėtai ir stabiliai, kad tinkamai suleistumėte tirpalą ir nepažeistumėte odos audinių.</w:t>
      </w:r>
    </w:p>
    <w:p w:rsidR="00464AD2" w:rsidRPr="00DC3C06" w:rsidRDefault="00464AD2" w:rsidP="00464AD2">
      <w:pPr>
        <w:tabs>
          <w:tab w:val="num" w:pos="567"/>
          <w:tab w:val="left" w:pos="709"/>
        </w:tabs>
        <w:overflowPunct w:val="0"/>
        <w:autoSpaceDE w:val="0"/>
        <w:autoSpaceDN w:val="0"/>
        <w:adjustRightInd w:val="0"/>
        <w:spacing w:before="0" w:after="0"/>
        <w:ind w:left="709" w:hanging="709"/>
        <w:jc w:val="both"/>
        <w:textAlignment w:val="baseline"/>
        <w:rPr>
          <w:sz w:val="22"/>
          <w:szCs w:val="22"/>
          <w:lang w:eastAsia="fr-FR"/>
        </w:rPr>
      </w:pPr>
    </w:p>
    <w:p w:rsidR="00464AD2" w:rsidRPr="00E07BD4" w:rsidRDefault="00464AD2" w:rsidP="00464AD2">
      <w:pPr>
        <w:tabs>
          <w:tab w:val="num" w:pos="567"/>
          <w:tab w:val="left" w:pos="709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Skirkite tiek laiko, kiek Jums reikia, kad suleistumėte paskirtą tirpalo kiekį. </w:t>
      </w:r>
      <w:r w:rsidRPr="00E07BD4">
        <w:rPr>
          <w:sz w:val="22"/>
          <w:szCs w:val="22"/>
        </w:rPr>
        <w:t xml:space="preserve">Kaip aprašyta </w:t>
      </w:r>
      <w:r>
        <w:rPr>
          <w:sz w:val="22"/>
          <w:szCs w:val="22"/>
        </w:rPr>
        <w:t>tirpalo pa</w:t>
      </w:r>
      <w:r w:rsidRPr="00E07BD4">
        <w:rPr>
          <w:sz w:val="22"/>
          <w:szCs w:val="22"/>
        </w:rPr>
        <w:t>ruoši</w:t>
      </w:r>
      <w:r>
        <w:rPr>
          <w:sz w:val="22"/>
          <w:szCs w:val="22"/>
        </w:rPr>
        <w:t>mo instrukcijoje</w:t>
      </w:r>
      <w:r w:rsidRPr="00E07BD4">
        <w:rPr>
          <w:sz w:val="22"/>
          <w:szCs w:val="22"/>
        </w:rPr>
        <w:t xml:space="preserve">, priklausomai nuo gydytojo paskirtos dozės, galite nesuvartoti viso tirpalo </w:t>
      </w:r>
      <w:r>
        <w:rPr>
          <w:sz w:val="22"/>
          <w:szCs w:val="22"/>
        </w:rPr>
        <w:t>kiekio</w:t>
      </w:r>
      <w:r w:rsidRPr="00E07BD4">
        <w:rPr>
          <w:sz w:val="22"/>
          <w:szCs w:val="22"/>
        </w:rPr>
        <w:t>.</w:t>
      </w:r>
    </w:p>
    <w:p w:rsidR="00464AD2" w:rsidRPr="00DC3C06" w:rsidRDefault="00464AD2" w:rsidP="00464AD2">
      <w:p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iCs/>
          <w:sz w:val="22"/>
          <w:szCs w:val="22"/>
          <w:u w:val="single"/>
        </w:rPr>
      </w:pPr>
      <w:r w:rsidRPr="00DC3C06">
        <w:rPr>
          <w:sz w:val="22"/>
          <w:szCs w:val="22"/>
          <w:u w:val="single"/>
        </w:rPr>
        <w:t>Adatos ištraukimas</w:t>
      </w:r>
    </w:p>
    <w:p w:rsidR="00464AD2" w:rsidRPr="00DC3C06" w:rsidRDefault="00464AD2" w:rsidP="00464AD2">
      <w:pPr>
        <w:numPr>
          <w:ilvl w:val="0"/>
          <w:numId w:val="8"/>
        </w:num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iCs/>
          <w:sz w:val="22"/>
          <w:szCs w:val="22"/>
          <w:u w:val="single"/>
        </w:rPr>
      </w:pPr>
      <w:r w:rsidRPr="00DC3C06">
        <w:rPr>
          <w:sz w:val="22"/>
          <w:szCs w:val="22"/>
        </w:rPr>
        <w:t>Adatą reikia ištraukti greitai, po to injekcijos vietą užspausti dezinfekuojamuoju tirpalu suvilgytu tampon</w:t>
      </w:r>
      <w:r>
        <w:rPr>
          <w:sz w:val="22"/>
          <w:szCs w:val="22"/>
        </w:rPr>
        <w:t>ėli</w:t>
      </w:r>
      <w:r w:rsidRPr="00DC3C06">
        <w:rPr>
          <w:sz w:val="22"/>
          <w:szCs w:val="22"/>
        </w:rPr>
        <w:t xml:space="preserve">u. Injekcijos vietą švelniai pamasažavus (tuo pačiu metu spaudžiant),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tirpalas pasiskirsto geriau, todėl sumažėja diskomfortas.</w:t>
      </w:r>
    </w:p>
    <w:p w:rsidR="00464AD2" w:rsidRPr="00DC3C06" w:rsidRDefault="00464AD2" w:rsidP="00464AD2">
      <w:pPr>
        <w:spacing w:before="0" w:after="0"/>
        <w:rPr>
          <w:sz w:val="22"/>
          <w:szCs w:val="22"/>
          <w:lang w:eastAsia="it-IT"/>
        </w:rPr>
      </w:pPr>
    </w:p>
    <w:p w:rsidR="00464AD2" w:rsidRPr="00DC3C06" w:rsidRDefault="00464AD2" w:rsidP="00464AD2">
      <w:pPr>
        <w:keepNext/>
        <w:spacing w:before="0" w:after="0"/>
        <w:rPr>
          <w:b/>
          <w:sz w:val="22"/>
          <w:szCs w:val="22"/>
        </w:rPr>
      </w:pPr>
      <w:r w:rsidRPr="00DC3C06">
        <w:rPr>
          <w:b/>
          <w:sz w:val="22"/>
          <w:szCs w:val="22"/>
        </w:rPr>
        <w:t>Vaisto leidimas į raumenis</w:t>
      </w:r>
    </w:p>
    <w:p w:rsidR="00464AD2" w:rsidRPr="00DC3C06" w:rsidRDefault="00464AD2" w:rsidP="00464AD2">
      <w:pPr>
        <w:keepNext/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keepNext/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Leidžiant į raumenis, Jūsų sveikatos priežiūros specialistas paruoš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ir suleis į šlaunį ar sėdmenis.</w:t>
      </w: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 w:rsidRPr="00DC3C06">
        <w:rPr>
          <w:b/>
          <w:sz w:val="22"/>
          <w:szCs w:val="22"/>
        </w:rPr>
        <w:t>Visų naudotų priemonių tvarkymas</w:t>
      </w:r>
      <w:r w:rsidRPr="00DC3C06">
        <w:rPr>
          <w:sz w:val="22"/>
          <w:szCs w:val="22"/>
        </w:rPr>
        <w:t xml:space="preserve"> </w:t>
      </w: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</w:rPr>
      </w:pPr>
      <w:r w:rsidRPr="00DC3C06">
        <w:rPr>
          <w:sz w:val="22"/>
          <w:szCs w:val="22"/>
        </w:rPr>
        <w:t>Atlikę injekciją, visas adatas</w:t>
      </w:r>
      <w:r>
        <w:rPr>
          <w:sz w:val="22"/>
          <w:szCs w:val="22"/>
        </w:rPr>
        <w:t xml:space="preserve"> ir</w:t>
      </w:r>
      <w:r w:rsidRPr="00DC3C06">
        <w:rPr>
          <w:sz w:val="22"/>
          <w:szCs w:val="22"/>
        </w:rPr>
        <w:t xml:space="preserve"> tuščius švirkštus išmeskite į </w:t>
      </w:r>
      <w:r>
        <w:rPr>
          <w:sz w:val="22"/>
          <w:szCs w:val="22"/>
        </w:rPr>
        <w:t>tinkamą</w:t>
      </w:r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talpyklę</w:t>
      </w:r>
      <w:proofErr w:type="spellEnd"/>
      <w:r w:rsidRPr="00DC3C06">
        <w:rPr>
          <w:sz w:val="22"/>
          <w:szCs w:val="22"/>
        </w:rPr>
        <w:t>. Nesuvartotą tirpalą ir atliekas reikia tvarkyti laikantis vietinių reikalavimų.</w:t>
      </w:r>
    </w:p>
    <w:p w:rsidR="00464AD2" w:rsidRPr="003D4442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Ką daryti pavartojus per didelę </w:t>
      </w:r>
      <w:proofErr w:type="spellStart"/>
      <w:r>
        <w:rPr>
          <w:b/>
          <w:sz w:val="22"/>
          <w:szCs w:val="22"/>
        </w:rPr>
        <w:t>Meriofert</w:t>
      </w:r>
      <w:proofErr w:type="spellEnd"/>
      <w:r w:rsidRPr="00DC3C06">
        <w:rPr>
          <w:b/>
          <w:sz w:val="22"/>
          <w:szCs w:val="22"/>
        </w:rPr>
        <w:t xml:space="preserve"> dozę</w:t>
      </w:r>
    </w:p>
    <w:p w:rsidR="00464AD2" w:rsidRPr="003D4442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Nėra pranešimų apie poveikį dėl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perdozavimo, tačiau gali išsivystyti kiaušidžių </w:t>
      </w:r>
      <w:proofErr w:type="spellStart"/>
      <w:r w:rsidRPr="00DC3C06">
        <w:rPr>
          <w:sz w:val="22"/>
          <w:szCs w:val="22"/>
        </w:rPr>
        <w:t>hiperstimuliacijos</w:t>
      </w:r>
      <w:proofErr w:type="spellEnd"/>
      <w:r w:rsidRPr="00DC3C06">
        <w:rPr>
          <w:sz w:val="22"/>
          <w:szCs w:val="22"/>
        </w:rPr>
        <w:t xml:space="preserve"> sindromas (žr. skyrių „Galimas šalutinis poveikis“). Pavartojus per didelę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dozę, pasitarkite su savo gydytoju ar </w:t>
      </w:r>
      <w:r>
        <w:rPr>
          <w:sz w:val="22"/>
          <w:szCs w:val="22"/>
        </w:rPr>
        <w:t>slaugytoja</w:t>
      </w:r>
      <w:r w:rsidRPr="00DC3C06">
        <w:rPr>
          <w:sz w:val="22"/>
          <w:szCs w:val="22"/>
        </w:rPr>
        <w:t>.</w:t>
      </w:r>
    </w:p>
    <w:p w:rsidR="00464AD2" w:rsidRPr="003D4442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Pamiršus pavartoti </w:t>
      </w:r>
      <w:proofErr w:type="spellStart"/>
      <w:r>
        <w:rPr>
          <w:b/>
          <w:sz w:val="22"/>
          <w:szCs w:val="22"/>
        </w:rPr>
        <w:t>Meriofert</w:t>
      </w:r>
      <w:proofErr w:type="spellEnd"/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</w:rPr>
      </w:pPr>
      <w:r w:rsidRPr="00DC3C06">
        <w:rPr>
          <w:sz w:val="22"/>
          <w:szCs w:val="22"/>
        </w:rPr>
        <w:t>Vartokite kitu įprastu injekcijos laiku. Negalima vartoti dvigubos dozės norint kompensuoti praleistą dozę.</w:t>
      </w: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Nustojus vartoti </w:t>
      </w:r>
      <w:proofErr w:type="spellStart"/>
      <w:r>
        <w:rPr>
          <w:b/>
          <w:sz w:val="22"/>
          <w:szCs w:val="22"/>
        </w:rPr>
        <w:t>Meriofert</w:t>
      </w:r>
      <w:proofErr w:type="spellEnd"/>
    </w:p>
    <w:p w:rsidR="00464AD2" w:rsidRPr="00555EC3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sz w:val="22"/>
        </w:rPr>
      </w:pPr>
    </w:p>
    <w:p w:rsidR="00464AD2" w:rsidRPr="00DC3C06" w:rsidRDefault="00464AD2" w:rsidP="00464AD2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Vaisto vartojimo savavališkai nutraukti negalima</w:t>
      </w:r>
      <w:r w:rsidRPr="00DC3C06">
        <w:rPr>
          <w:color w:val="000000"/>
          <w:sz w:val="22"/>
          <w:szCs w:val="22"/>
        </w:rPr>
        <w:t>. Visada pasitarkite su gydytoju, jei ketinate nutraukti šio vaisto vartojimą.</w:t>
      </w:r>
    </w:p>
    <w:p w:rsidR="00464AD2" w:rsidRPr="00DC3C06" w:rsidRDefault="00464AD2" w:rsidP="00464AD2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  <w:lang w:eastAsia="fr-FR"/>
        </w:rPr>
      </w:pPr>
    </w:p>
    <w:p w:rsidR="00464AD2" w:rsidRPr="00DC3C06" w:rsidRDefault="00464AD2" w:rsidP="00464AD2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</w:rPr>
      </w:pPr>
      <w:r w:rsidRPr="00DC3C06">
        <w:rPr>
          <w:color w:val="000000"/>
          <w:sz w:val="22"/>
          <w:szCs w:val="22"/>
        </w:rPr>
        <w:t>Jeigu kiltų daugiau klausimų dėl šio vaisto vartojimo, kreipkitės į gydytoją arba vaistininką.</w:t>
      </w:r>
    </w:p>
    <w:p w:rsidR="00464AD2" w:rsidRPr="00DC3C06" w:rsidRDefault="00464AD2" w:rsidP="00464AD2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</w:rPr>
      </w:pPr>
    </w:p>
    <w:p w:rsidR="00464AD2" w:rsidRPr="00DC3C06" w:rsidRDefault="00464AD2" w:rsidP="00464AD2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</w:rPr>
      </w:pPr>
    </w:p>
    <w:p w:rsidR="00464AD2" w:rsidRPr="00DC3C06" w:rsidRDefault="00464AD2" w:rsidP="00464AD2">
      <w:pPr>
        <w:keepNext/>
        <w:tabs>
          <w:tab w:val="left" w:pos="567"/>
        </w:tabs>
        <w:spacing w:before="0" w:after="0"/>
        <w:outlineLvl w:val="1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>4.</w:t>
      </w:r>
      <w:r w:rsidRPr="00DC3C06">
        <w:rPr>
          <w:b/>
          <w:sz w:val="22"/>
          <w:szCs w:val="22"/>
        </w:rPr>
        <w:tab/>
        <w:t>Galimas šalutinis poveikis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Šis vaistas</w:t>
      </w:r>
      <w:r w:rsidRPr="00DC3C06">
        <w:rPr>
          <w:sz w:val="22"/>
          <w:szCs w:val="22"/>
        </w:rPr>
        <w:t>, kaip ir visi kiti, gali sukelti šalutinį poveikį, nors jis pasireiškia ne visiems žmonėms.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Toliau nurodytas šalutinis poveikis yra svarbus ir jam atsiradus nedelsiant reikia imtis veiksmų. Turite nustoti vartoti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ir nedelsiant kreiptis į gydytoją, jei pasireiškia</w:t>
      </w:r>
      <w:r>
        <w:rPr>
          <w:sz w:val="22"/>
          <w:szCs w:val="22"/>
        </w:rPr>
        <w:t xml:space="preserve"> toliau išvardytas šalutinis poveikis.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Pr="00392B7B" w:rsidRDefault="00464AD2" w:rsidP="00464AD2">
      <w:pPr>
        <w:spacing w:before="0" w:after="0"/>
        <w:rPr>
          <w:b/>
          <w:sz w:val="22"/>
          <w:szCs w:val="22"/>
        </w:rPr>
      </w:pPr>
      <w:r w:rsidRPr="00392B7B">
        <w:rPr>
          <w:b/>
          <w:iCs/>
          <w:sz w:val="22"/>
          <w:szCs w:val="22"/>
        </w:rPr>
        <w:t xml:space="preserve">Dažni šalutinio poveikio reiškiniai (gali pasireikšti rečiau </w:t>
      </w:r>
      <w:r>
        <w:rPr>
          <w:b/>
          <w:iCs/>
          <w:sz w:val="22"/>
          <w:szCs w:val="22"/>
        </w:rPr>
        <w:t>kaip</w:t>
      </w:r>
      <w:r w:rsidRPr="00392B7B">
        <w:rPr>
          <w:b/>
          <w:iCs/>
          <w:sz w:val="22"/>
          <w:szCs w:val="22"/>
        </w:rPr>
        <w:t xml:space="preserve"> 1 iš 10 asmenų)</w:t>
      </w:r>
      <w:r w:rsidRPr="00392B7B">
        <w:rPr>
          <w:b/>
          <w:sz w:val="22"/>
          <w:szCs w:val="22"/>
        </w:rPr>
        <w:t>:</w:t>
      </w:r>
    </w:p>
    <w:p w:rsidR="00464AD2" w:rsidRPr="00DC3C06" w:rsidRDefault="00464AD2" w:rsidP="00464AD2">
      <w:pPr>
        <w:numPr>
          <w:ilvl w:val="0"/>
          <w:numId w:val="1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k</w:t>
      </w:r>
      <w:r w:rsidRPr="00DC3C06">
        <w:rPr>
          <w:sz w:val="22"/>
          <w:szCs w:val="22"/>
        </w:rPr>
        <w:t xml:space="preserve">iaušidžių </w:t>
      </w:r>
      <w:proofErr w:type="spellStart"/>
      <w:r w:rsidRPr="00DC3C06">
        <w:rPr>
          <w:sz w:val="22"/>
          <w:szCs w:val="22"/>
        </w:rPr>
        <w:t>hiperstimuliacijos</w:t>
      </w:r>
      <w:proofErr w:type="spellEnd"/>
      <w:r w:rsidRPr="00DC3C06">
        <w:rPr>
          <w:sz w:val="22"/>
          <w:szCs w:val="22"/>
        </w:rPr>
        <w:t xml:space="preserve"> sindromas (simptomai apima kiaušidžių cistų formavimąsi ar esamų cistų padidėjimą, pilvo apatinės dalies skausmą, troškulį ir pykinimą, o kartais ir vėmimą, sumažėjusį koncentruoto šlapimo kiekį ir padidėjusį svorį) (papildomos informacijos žr.</w:t>
      </w:r>
      <w:r>
        <w:rPr>
          <w:sz w:val="22"/>
          <w:szCs w:val="22"/>
        </w:rPr>
        <w:t> </w:t>
      </w:r>
      <w:r w:rsidRPr="00DC3C06">
        <w:rPr>
          <w:sz w:val="22"/>
          <w:szCs w:val="22"/>
        </w:rPr>
        <w:t>2</w:t>
      </w:r>
      <w:r>
        <w:rPr>
          <w:sz w:val="22"/>
          <w:szCs w:val="22"/>
        </w:rPr>
        <w:t> </w:t>
      </w:r>
      <w:r w:rsidRPr="00DC3C06">
        <w:rPr>
          <w:sz w:val="22"/>
          <w:szCs w:val="22"/>
        </w:rPr>
        <w:t>skyriuje).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Taip pat buvo pranešta apie toliau nurodyt</w:t>
      </w:r>
      <w:r>
        <w:rPr>
          <w:sz w:val="22"/>
          <w:szCs w:val="22"/>
        </w:rPr>
        <w:t>ą</w:t>
      </w:r>
      <w:r w:rsidRPr="00DC3C06">
        <w:rPr>
          <w:sz w:val="22"/>
          <w:szCs w:val="22"/>
        </w:rPr>
        <w:t xml:space="preserve"> šalutin</w:t>
      </w:r>
      <w:r>
        <w:rPr>
          <w:sz w:val="22"/>
          <w:szCs w:val="22"/>
        </w:rPr>
        <w:t>į</w:t>
      </w:r>
      <w:r w:rsidRPr="00DC3C06">
        <w:rPr>
          <w:sz w:val="22"/>
          <w:szCs w:val="22"/>
        </w:rPr>
        <w:t xml:space="preserve"> poveik</w:t>
      </w:r>
      <w:r>
        <w:rPr>
          <w:sz w:val="22"/>
          <w:szCs w:val="22"/>
        </w:rPr>
        <w:t>į</w:t>
      </w:r>
      <w:r w:rsidRPr="00DC3C06">
        <w:rPr>
          <w:sz w:val="22"/>
          <w:szCs w:val="22"/>
        </w:rPr>
        <w:t>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Pr="00392B7B" w:rsidRDefault="00464AD2" w:rsidP="00464AD2">
      <w:pPr>
        <w:spacing w:before="0" w:after="0"/>
        <w:rPr>
          <w:b/>
          <w:sz w:val="22"/>
          <w:szCs w:val="22"/>
        </w:rPr>
      </w:pPr>
      <w:r w:rsidRPr="00392B7B">
        <w:rPr>
          <w:b/>
          <w:iCs/>
          <w:sz w:val="22"/>
          <w:szCs w:val="22"/>
        </w:rPr>
        <w:t>Labai dažni šalutinio poveikio reiškiniai (gali pasireikšti ne rečiau kaip 1 iš 10 asmenų)</w:t>
      </w:r>
      <w:r w:rsidRPr="00392B7B">
        <w:rPr>
          <w:b/>
          <w:sz w:val="22"/>
          <w:szCs w:val="22"/>
        </w:rPr>
        <w:t>:</w:t>
      </w:r>
    </w:p>
    <w:p w:rsidR="00464AD2" w:rsidRPr="00DC3C06" w:rsidRDefault="00464AD2" w:rsidP="00464AD2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g</w:t>
      </w:r>
      <w:r w:rsidRPr="00DC3C06">
        <w:rPr>
          <w:sz w:val="22"/>
          <w:szCs w:val="22"/>
        </w:rPr>
        <w:t>alvos skausmas</w:t>
      </w:r>
      <w:r>
        <w:rPr>
          <w:sz w:val="22"/>
          <w:szCs w:val="22"/>
        </w:rPr>
        <w:t>;</w:t>
      </w:r>
    </w:p>
    <w:p w:rsidR="00464AD2" w:rsidRPr="00DC3C06" w:rsidRDefault="00464AD2" w:rsidP="00464AD2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Pr="00DC3C06">
        <w:rPr>
          <w:sz w:val="22"/>
          <w:szCs w:val="22"/>
        </w:rPr>
        <w:t>atinęs ar išpūstas pilvas.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Pr="00392B7B" w:rsidRDefault="00464AD2" w:rsidP="00464AD2">
      <w:pPr>
        <w:spacing w:before="0" w:after="0"/>
        <w:rPr>
          <w:b/>
          <w:sz w:val="22"/>
          <w:szCs w:val="22"/>
        </w:rPr>
      </w:pPr>
      <w:r w:rsidRPr="00392B7B">
        <w:rPr>
          <w:b/>
          <w:iCs/>
          <w:sz w:val="22"/>
          <w:szCs w:val="22"/>
        </w:rPr>
        <w:t>Dažni šalutinio poveikio reiškiniai (gali pasireikšti</w:t>
      </w:r>
      <w:r w:rsidRPr="00392B7B">
        <w:rPr>
          <w:b/>
          <w:sz w:val="22"/>
          <w:szCs w:val="22"/>
        </w:rPr>
        <w:t xml:space="preserve"> </w:t>
      </w:r>
      <w:r w:rsidRPr="00392B7B">
        <w:rPr>
          <w:b/>
          <w:iCs/>
          <w:sz w:val="22"/>
          <w:szCs w:val="22"/>
        </w:rPr>
        <w:t>rečiau kaip 1 iš 10 asmenų)</w:t>
      </w:r>
      <w:r w:rsidRPr="00392B7B">
        <w:rPr>
          <w:b/>
          <w:sz w:val="22"/>
          <w:szCs w:val="22"/>
        </w:rPr>
        <w:t>:</w:t>
      </w:r>
    </w:p>
    <w:p w:rsidR="00464AD2" w:rsidRPr="00DC3C06" w:rsidRDefault="00464AD2" w:rsidP="00464AD2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Pr="00DC3C06">
        <w:rPr>
          <w:sz w:val="22"/>
          <w:szCs w:val="22"/>
        </w:rPr>
        <w:t>ilvo skausmas arba diskomfortas</w:t>
      </w:r>
      <w:r>
        <w:rPr>
          <w:sz w:val="22"/>
          <w:szCs w:val="22"/>
        </w:rPr>
        <w:t>;</w:t>
      </w:r>
    </w:p>
    <w:p w:rsidR="00464AD2" w:rsidRPr="00DC3C06" w:rsidRDefault="00464AD2" w:rsidP="00464AD2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d</w:t>
      </w:r>
      <w:r w:rsidRPr="00DC3C06">
        <w:rPr>
          <w:sz w:val="22"/>
          <w:szCs w:val="22"/>
        </w:rPr>
        <w:t>ubens skausmas</w:t>
      </w:r>
      <w:r>
        <w:rPr>
          <w:sz w:val="22"/>
          <w:szCs w:val="22"/>
        </w:rPr>
        <w:t>;</w:t>
      </w:r>
    </w:p>
    <w:p w:rsidR="00464AD2" w:rsidRPr="00DC3C06" w:rsidRDefault="00464AD2" w:rsidP="00464AD2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n</w:t>
      </w:r>
      <w:r w:rsidRPr="00DC3C06">
        <w:rPr>
          <w:sz w:val="22"/>
          <w:szCs w:val="22"/>
        </w:rPr>
        <w:t>ugaros skausmas</w:t>
      </w:r>
      <w:r>
        <w:rPr>
          <w:sz w:val="22"/>
          <w:szCs w:val="22"/>
        </w:rPr>
        <w:t>;</w:t>
      </w:r>
    </w:p>
    <w:p w:rsidR="00464AD2" w:rsidRPr="00DC3C06" w:rsidRDefault="00464AD2" w:rsidP="00464AD2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s</w:t>
      </w:r>
      <w:r w:rsidRPr="00DC3C06">
        <w:rPr>
          <w:sz w:val="22"/>
          <w:szCs w:val="22"/>
        </w:rPr>
        <w:t>unkumo pojūtis</w:t>
      </w:r>
      <w:r>
        <w:rPr>
          <w:sz w:val="22"/>
          <w:szCs w:val="22"/>
        </w:rPr>
        <w:t>;</w:t>
      </w:r>
    </w:p>
    <w:p w:rsidR="00464AD2" w:rsidRPr="00DC3C06" w:rsidRDefault="00464AD2" w:rsidP="00464AD2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k</w:t>
      </w:r>
      <w:r w:rsidRPr="00DC3C06">
        <w:rPr>
          <w:sz w:val="22"/>
          <w:szCs w:val="22"/>
        </w:rPr>
        <w:t>rūtų diskomfortas</w:t>
      </w:r>
      <w:r>
        <w:rPr>
          <w:sz w:val="22"/>
          <w:szCs w:val="22"/>
        </w:rPr>
        <w:t>;</w:t>
      </w:r>
    </w:p>
    <w:p w:rsidR="00464AD2" w:rsidRPr="00DC3C06" w:rsidRDefault="00464AD2" w:rsidP="00464AD2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s</w:t>
      </w:r>
      <w:r w:rsidRPr="00DC3C06">
        <w:rPr>
          <w:sz w:val="22"/>
          <w:szCs w:val="22"/>
        </w:rPr>
        <w:t>vaigulys</w:t>
      </w:r>
      <w:r>
        <w:rPr>
          <w:sz w:val="22"/>
          <w:szCs w:val="22"/>
        </w:rPr>
        <w:t>;</w:t>
      </w:r>
    </w:p>
    <w:p w:rsidR="00464AD2" w:rsidRPr="00DC3C06" w:rsidRDefault="00464AD2" w:rsidP="00464AD2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k</w:t>
      </w:r>
      <w:r w:rsidRPr="00DC3C06">
        <w:rPr>
          <w:sz w:val="22"/>
          <w:szCs w:val="22"/>
        </w:rPr>
        <w:t>arščio pylimas</w:t>
      </w:r>
      <w:r>
        <w:rPr>
          <w:sz w:val="22"/>
          <w:szCs w:val="22"/>
        </w:rPr>
        <w:t>;</w:t>
      </w:r>
    </w:p>
    <w:p w:rsidR="00464AD2" w:rsidRPr="00DC3C06" w:rsidRDefault="00464AD2" w:rsidP="00464AD2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t</w:t>
      </w:r>
      <w:r w:rsidRPr="00DC3C06">
        <w:rPr>
          <w:sz w:val="22"/>
          <w:szCs w:val="22"/>
        </w:rPr>
        <w:t>roškulys</w:t>
      </w:r>
      <w:r>
        <w:rPr>
          <w:sz w:val="22"/>
          <w:szCs w:val="22"/>
        </w:rPr>
        <w:t>;</w:t>
      </w:r>
    </w:p>
    <w:p w:rsidR="00464AD2" w:rsidRPr="00DC3C06" w:rsidRDefault="00464AD2" w:rsidP="00464AD2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Pr="00DC3C06">
        <w:rPr>
          <w:sz w:val="22"/>
          <w:szCs w:val="22"/>
        </w:rPr>
        <w:t>ykinimas</w:t>
      </w:r>
      <w:r>
        <w:rPr>
          <w:sz w:val="22"/>
          <w:szCs w:val="22"/>
        </w:rPr>
        <w:t>;</w:t>
      </w:r>
    </w:p>
    <w:p w:rsidR="00464AD2" w:rsidRPr="00DC3C06" w:rsidRDefault="00464AD2" w:rsidP="00464AD2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n</w:t>
      </w:r>
      <w:r w:rsidRPr="00DC3C06">
        <w:rPr>
          <w:sz w:val="22"/>
          <w:szCs w:val="22"/>
        </w:rPr>
        <w:t>uovargis</w:t>
      </w:r>
      <w:r>
        <w:rPr>
          <w:sz w:val="22"/>
          <w:szCs w:val="22"/>
        </w:rPr>
        <w:t>;</w:t>
      </w:r>
    </w:p>
    <w:p w:rsidR="00464AD2" w:rsidRPr="00DC3C06" w:rsidRDefault="00464AD2" w:rsidP="00464AD2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b</w:t>
      </w:r>
      <w:r w:rsidRPr="00DC3C06">
        <w:rPr>
          <w:sz w:val="22"/>
          <w:szCs w:val="22"/>
        </w:rPr>
        <w:t>loga bendra savijauta</w:t>
      </w:r>
      <w:r>
        <w:rPr>
          <w:sz w:val="22"/>
          <w:szCs w:val="22"/>
        </w:rPr>
        <w:t>;</w:t>
      </w:r>
    </w:p>
    <w:p w:rsidR="00464AD2" w:rsidRPr="00DC3C06" w:rsidRDefault="00464AD2" w:rsidP="00464AD2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r</w:t>
      </w:r>
      <w:r w:rsidRPr="00DC3C06">
        <w:rPr>
          <w:sz w:val="22"/>
          <w:szCs w:val="22"/>
        </w:rPr>
        <w:t>eakcija injekcijos vietoje, pvz., skausmas ir uždegimas (dažniau pasitaiko leidžiant į raumenis nei po oda).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Pr="00392B7B" w:rsidRDefault="00464AD2" w:rsidP="00464AD2">
      <w:pPr>
        <w:spacing w:before="0" w:after="0"/>
        <w:rPr>
          <w:b/>
          <w:iCs/>
          <w:sz w:val="22"/>
          <w:szCs w:val="22"/>
        </w:rPr>
      </w:pPr>
      <w:r w:rsidRPr="00392B7B">
        <w:rPr>
          <w:b/>
          <w:iCs/>
          <w:sz w:val="22"/>
          <w:szCs w:val="22"/>
        </w:rPr>
        <w:t>Reti</w:t>
      </w:r>
      <w:r w:rsidRPr="009E2CDA">
        <w:rPr>
          <w:b/>
          <w:iCs/>
          <w:sz w:val="22"/>
          <w:szCs w:val="22"/>
        </w:rPr>
        <w:t xml:space="preserve"> šalutinio poveikio reiškiniai</w:t>
      </w:r>
      <w:r w:rsidRPr="00392B7B">
        <w:rPr>
          <w:b/>
          <w:iCs/>
          <w:sz w:val="22"/>
          <w:szCs w:val="22"/>
        </w:rPr>
        <w:t xml:space="preserve"> (gali pasireikšti rečiau kaip 1 iš 1 000 asmenų):</w:t>
      </w:r>
    </w:p>
    <w:p w:rsidR="00464AD2" w:rsidRPr="00DC3C06" w:rsidRDefault="00464AD2" w:rsidP="00464AD2">
      <w:pPr>
        <w:numPr>
          <w:ilvl w:val="0"/>
          <w:numId w:val="14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k</w:t>
      </w:r>
      <w:r w:rsidRPr="00DC3C06">
        <w:rPr>
          <w:sz w:val="22"/>
          <w:szCs w:val="22"/>
        </w:rPr>
        <w:t xml:space="preserve">iaušidės persisukimas (kiaušidės užsisukimas, sukeliantis stiprų skausmą </w:t>
      </w:r>
      <w:hyperlink r:id="rId13" w:tgtFrame="_self" w:history="1">
        <w:r w:rsidRPr="00DC3C06">
          <w:rPr>
            <w:sz w:val="22"/>
            <w:szCs w:val="22"/>
          </w:rPr>
          <w:t>pilvo apačioje)</w:t>
        </w:r>
      </w:hyperlink>
      <w:r w:rsidRPr="00DC3C06">
        <w:rPr>
          <w:sz w:val="22"/>
          <w:szCs w:val="22"/>
        </w:rPr>
        <w:t>.</w:t>
      </w:r>
    </w:p>
    <w:p w:rsidR="00464AD2" w:rsidRPr="00DC3C06" w:rsidRDefault="00464AD2" w:rsidP="00464AD2">
      <w:pPr>
        <w:numPr>
          <w:ilvl w:val="0"/>
          <w:numId w:val="12"/>
        </w:numPr>
        <w:spacing w:before="0"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Pr="00DC3C06">
        <w:rPr>
          <w:sz w:val="22"/>
          <w:szCs w:val="22"/>
        </w:rPr>
        <w:t>romboembolija</w:t>
      </w:r>
      <w:proofErr w:type="spellEnd"/>
      <w:r w:rsidRPr="00DC3C06">
        <w:rPr>
          <w:sz w:val="22"/>
          <w:szCs w:val="22"/>
        </w:rPr>
        <w:t xml:space="preserve"> (kraujagyslėje susidarantis krešulys, kuris keliauja kraujotakos sistema ir užkemša kitą kraujagyslę).</w:t>
      </w:r>
    </w:p>
    <w:p w:rsidR="00464AD2" w:rsidRPr="00DC3C06" w:rsidRDefault="00464AD2" w:rsidP="00464AD2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highlight w:val="yellow"/>
          <w:lang w:eastAsia="fr-FR"/>
        </w:rPr>
      </w:pPr>
    </w:p>
    <w:p w:rsidR="00464AD2" w:rsidRPr="00DC3C06" w:rsidRDefault="00464AD2" w:rsidP="00464AD2">
      <w:pPr>
        <w:spacing w:before="0" w:after="0"/>
        <w:rPr>
          <w:sz w:val="22"/>
          <w:szCs w:val="22"/>
          <w:u w:val="single"/>
        </w:rPr>
      </w:pPr>
      <w:r w:rsidRPr="00DC3C06">
        <w:rPr>
          <w:sz w:val="22"/>
          <w:szCs w:val="22"/>
          <w:u w:val="single"/>
        </w:rPr>
        <w:t>Pranešimas apie šalutinį poveikį</w:t>
      </w:r>
    </w:p>
    <w:p w:rsidR="00464AD2" w:rsidRPr="005D554B" w:rsidRDefault="00464AD2" w:rsidP="00464AD2">
      <w:pPr>
        <w:spacing w:before="0" w:after="0"/>
        <w:rPr>
          <w:snapToGrid w:val="0"/>
          <w:sz w:val="22"/>
        </w:rPr>
      </w:pPr>
      <w:r w:rsidRPr="005D554B">
        <w:rPr>
          <w:snapToGrid w:val="0"/>
          <w:sz w:val="22"/>
        </w:rPr>
        <w:t>Jeigu pasireiškė šalutinis poveikis, įskaitant šiame lapel</w:t>
      </w:r>
      <w:r>
        <w:rPr>
          <w:snapToGrid w:val="0"/>
          <w:sz w:val="22"/>
        </w:rPr>
        <w:t>yje nenurodytą, pasakykite gydytojui arba slaugytojui</w:t>
      </w:r>
      <w:r w:rsidRPr="005D554B">
        <w:rPr>
          <w:snapToGrid w:val="0"/>
          <w:sz w:val="22"/>
        </w:rPr>
        <w:t xml:space="preserve">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4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15" w:history="1">
        <w:r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16" w:history="1">
        <w:r w:rsidRPr="005D554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5D554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keepNext/>
        <w:tabs>
          <w:tab w:val="left" w:pos="567"/>
        </w:tabs>
        <w:spacing w:before="0" w:after="0"/>
        <w:outlineLvl w:val="1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>5.</w:t>
      </w:r>
      <w:r w:rsidRPr="00DC3C06">
        <w:rPr>
          <w:b/>
          <w:sz w:val="22"/>
          <w:szCs w:val="22"/>
        </w:rPr>
        <w:tab/>
        <w:t xml:space="preserve">Kaip laikyti </w:t>
      </w:r>
      <w:proofErr w:type="spellStart"/>
      <w:r>
        <w:rPr>
          <w:b/>
          <w:sz w:val="22"/>
          <w:szCs w:val="22"/>
        </w:rPr>
        <w:t>Meriofert</w:t>
      </w:r>
      <w:proofErr w:type="spellEnd"/>
    </w:p>
    <w:p w:rsidR="00464AD2" w:rsidRPr="00DC3C06" w:rsidRDefault="00464AD2" w:rsidP="00464AD2">
      <w:pPr>
        <w:keepNext/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keepNext/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Šį vaistą laikykite vaikams nepastebimoje ir</w:t>
      </w:r>
      <w:r w:rsidRPr="00DC3C06">
        <w:rPr>
          <w:b/>
          <w:sz w:val="22"/>
          <w:szCs w:val="22"/>
        </w:rPr>
        <w:t xml:space="preserve"> </w:t>
      </w:r>
      <w:r w:rsidRPr="00DC3C06">
        <w:rPr>
          <w:sz w:val="22"/>
          <w:szCs w:val="22"/>
        </w:rPr>
        <w:t>nepasiekiamoje vietoje.</w:t>
      </w:r>
    </w:p>
    <w:p w:rsidR="00464AD2" w:rsidRPr="00DC3C06" w:rsidRDefault="00464AD2" w:rsidP="00464AD2">
      <w:pPr>
        <w:keepNext/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keepNext/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Laikyti ne aukštesnėje kaip 25 °C temperatūroje. Flakoną ir tirpikli</w:t>
      </w:r>
      <w:r>
        <w:rPr>
          <w:sz w:val="22"/>
          <w:szCs w:val="22"/>
        </w:rPr>
        <w:t>o ampulę</w:t>
      </w:r>
      <w:r w:rsidRPr="00DC3C06">
        <w:rPr>
          <w:sz w:val="22"/>
          <w:szCs w:val="22"/>
        </w:rPr>
        <w:t xml:space="preserve"> laikyti išorinėje dėžutėje, kad vaistas būtų apsaugot</w:t>
      </w:r>
      <w:r>
        <w:rPr>
          <w:sz w:val="22"/>
          <w:szCs w:val="22"/>
        </w:rPr>
        <w:t>as</w:t>
      </w:r>
      <w:r w:rsidRPr="00DC3C06">
        <w:rPr>
          <w:sz w:val="22"/>
          <w:szCs w:val="22"/>
        </w:rPr>
        <w:t xml:space="preserve"> nuo šviesos</w:t>
      </w:r>
      <w:r>
        <w:rPr>
          <w:sz w:val="22"/>
          <w:szCs w:val="22"/>
        </w:rPr>
        <w:t>.</w:t>
      </w:r>
    </w:p>
    <w:p w:rsidR="00464AD2" w:rsidRPr="00DC3C06" w:rsidRDefault="00464AD2" w:rsidP="00464AD2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Ant išorinės dėžutės, flakono ir tirpikli</w:t>
      </w:r>
      <w:r>
        <w:rPr>
          <w:sz w:val="22"/>
          <w:szCs w:val="22"/>
        </w:rPr>
        <w:t>o ampulės</w:t>
      </w:r>
      <w:r w:rsidRPr="00DC3C06">
        <w:rPr>
          <w:sz w:val="22"/>
          <w:szCs w:val="22"/>
        </w:rPr>
        <w:t xml:space="preserve"> po „EXP“ nurodytam tinkamumo laikui pasibaigus, šio vaisto vartoti negalima. </w:t>
      </w:r>
      <w:r w:rsidRPr="00564F6B">
        <w:rPr>
          <w:sz w:val="22"/>
          <w:szCs w:val="22"/>
        </w:rPr>
        <w:t xml:space="preserve">Jei nurodyta tinkamumo laiko data yra </w:t>
      </w:r>
      <w:r w:rsidRPr="001440F7">
        <w:rPr>
          <w:sz w:val="22"/>
          <w:szCs w:val="22"/>
        </w:rPr>
        <w:t xml:space="preserve">mėnuo/metai, tai </w:t>
      </w:r>
      <w:r>
        <w:rPr>
          <w:sz w:val="22"/>
          <w:szCs w:val="22"/>
        </w:rPr>
        <w:t>v</w:t>
      </w:r>
      <w:r w:rsidRPr="00DC3C06">
        <w:rPr>
          <w:sz w:val="22"/>
          <w:szCs w:val="22"/>
        </w:rPr>
        <w:t>aistas tinkamas vartoti iki paskutinės nurodyto mėnesio dienos.</w:t>
      </w:r>
    </w:p>
    <w:p w:rsidR="00464AD2" w:rsidRPr="00DC3C06" w:rsidRDefault="00464AD2" w:rsidP="00464AD2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Paruoštą tirpalą suvartoti nedelsiant.</w:t>
      </w:r>
    </w:p>
    <w:p w:rsidR="00464AD2" w:rsidRPr="00DC3C06" w:rsidRDefault="00464AD2" w:rsidP="00464AD2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Pastebėjus</w:t>
      </w:r>
      <w:r w:rsidRPr="00DC3C06">
        <w:rPr>
          <w:sz w:val="22"/>
          <w:szCs w:val="22"/>
        </w:rPr>
        <w:t>, kad tirpalas nėra skaidrus</w:t>
      </w:r>
      <w:r>
        <w:rPr>
          <w:sz w:val="22"/>
          <w:szCs w:val="22"/>
        </w:rPr>
        <w:t>,</w:t>
      </w:r>
      <w:r w:rsidRPr="00DC3C0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vartoti negalima.</w:t>
      </w:r>
      <w:r w:rsidRPr="00DC3C06">
        <w:rPr>
          <w:sz w:val="22"/>
          <w:szCs w:val="22"/>
        </w:rPr>
        <w:t xml:space="preserve"> Paruoštas tirpalas turi būti skaidrus ir bespalvis.</w:t>
      </w:r>
    </w:p>
    <w:p w:rsidR="00464AD2" w:rsidRPr="00DC3C06" w:rsidRDefault="00464AD2" w:rsidP="00464AD2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464AD2" w:rsidRPr="00DC3C06" w:rsidRDefault="00464AD2" w:rsidP="00464AD2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r w:rsidRPr="00DC3C06">
        <w:rPr>
          <w:sz w:val="22"/>
          <w:szCs w:val="22"/>
        </w:rPr>
        <w:t>Vaistų negalima išmesti į kanalizaciją. Kaip išmesti nereikalingus vaistus, klauskite vaistininko. Šios priemonės padės apsaugoti aplinką.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spacing w:before="0" w:after="0"/>
        <w:ind w:left="709" w:hanging="709"/>
        <w:outlineLvl w:val="1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>6.</w:t>
      </w:r>
      <w:r w:rsidRPr="00DC3C06">
        <w:rPr>
          <w:b/>
          <w:sz w:val="22"/>
          <w:szCs w:val="22"/>
        </w:rPr>
        <w:tab/>
        <w:t>Pakuotės turinys ir kita informacija</w:t>
      </w:r>
    </w:p>
    <w:p w:rsidR="00464AD2" w:rsidRPr="003D4442" w:rsidRDefault="00464AD2" w:rsidP="00464AD2">
      <w:p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spacing w:before="0" w:after="0"/>
        <w:rPr>
          <w:rFonts w:ascii="Times New Roman Gras" w:hAnsi="Times New Roman Gras"/>
          <w:b/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Meriofert</w:t>
      </w:r>
      <w:proofErr w:type="spellEnd"/>
      <w:r w:rsidRPr="00DC3C06">
        <w:rPr>
          <w:b/>
          <w:sz w:val="22"/>
          <w:szCs w:val="22"/>
        </w:rPr>
        <w:t xml:space="preserve"> </w:t>
      </w:r>
      <w:r w:rsidRPr="00DC3C06">
        <w:rPr>
          <w:rFonts w:ascii="Times New Roman Gras" w:hAnsi="Times New Roman Gras"/>
          <w:b/>
          <w:sz w:val="22"/>
          <w:szCs w:val="22"/>
        </w:rPr>
        <w:t>sudėtis</w:t>
      </w:r>
    </w:p>
    <w:p w:rsidR="00464AD2" w:rsidRPr="00DC3C06" w:rsidRDefault="00464AD2" w:rsidP="00464AD2">
      <w:pPr>
        <w:shd w:val="clear" w:color="auto" w:fill="FFFFFF"/>
        <w:spacing w:before="0" w:after="0"/>
        <w:rPr>
          <w:bCs/>
          <w:sz w:val="22"/>
          <w:szCs w:val="22"/>
        </w:rPr>
      </w:pPr>
      <w:r w:rsidRPr="00DC3C06">
        <w:rPr>
          <w:rFonts w:ascii="Times New Roman Gras" w:hAnsi="Times New Roman Gras"/>
          <w:sz w:val="22"/>
          <w:szCs w:val="22"/>
        </w:rPr>
        <w:t>Veiklioji medžiaga yra</w:t>
      </w:r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menotropinas</w:t>
      </w:r>
      <w:proofErr w:type="spellEnd"/>
      <w:r w:rsidRPr="00DC3C06">
        <w:rPr>
          <w:sz w:val="22"/>
          <w:szCs w:val="22"/>
        </w:rPr>
        <w:t>.</w:t>
      </w:r>
    </w:p>
    <w:p w:rsidR="00464AD2" w:rsidRPr="00DC3C06" w:rsidRDefault="00464AD2" w:rsidP="00464AD2">
      <w:pPr>
        <w:shd w:val="clear" w:color="auto" w:fill="FFFFFF"/>
        <w:spacing w:before="0" w:after="0"/>
        <w:rPr>
          <w:bCs/>
          <w:sz w:val="22"/>
          <w:szCs w:val="22"/>
        </w:rPr>
      </w:pPr>
    </w:p>
    <w:p w:rsidR="00464AD2" w:rsidRPr="00DC3C06" w:rsidRDefault="00464AD2" w:rsidP="00464AD2">
      <w:pPr>
        <w:shd w:val="clear" w:color="auto" w:fill="FFFFFF"/>
        <w:spacing w:before="0" w:after="0"/>
        <w:rPr>
          <w:sz w:val="22"/>
          <w:szCs w:val="22"/>
        </w:rPr>
      </w:pPr>
      <w:r w:rsidRPr="00956ABF">
        <w:rPr>
          <w:sz w:val="22"/>
          <w:szCs w:val="22"/>
        </w:rPr>
        <w:t xml:space="preserve">Kiekviename </w:t>
      </w:r>
      <w:r w:rsidRPr="00DC3C06">
        <w:rPr>
          <w:sz w:val="22"/>
          <w:szCs w:val="22"/>
        </w:rPr>
        <w:t xml:space="preserve">flakone </w:t>
      </w:r>
      <w:r w:rsidRPr="00956ABF">
        <w:rPr>
          <w:sz w:val="22"/>
          <w:szCs w:val="22"/>
        </w:rPr>
        <w:t>yra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liofilizuotų</w:t>
      </w:r>
      <w:proofErr w:type="spellEnd"/>
      <w:r>
        <w:rPr>
          <w:sz w:val="22"/>
          <w:szCs w:val="22"/>
        </w:rPr>
        <w:t xml:space="preserve"> miltelių, kurių aktyvumas atitinka </w:t>
      </w:r>
      <w:r w:rsidRPr="00956ABF">
        <w:rPr>
          <w:sz w:val="22"/>
          <w:szCs w:val="22"/>
        </w:rPr>
        <w:t>75</w:t>
      </w:r>
      <w:r w:rsidRPr="00DC3C06">
        <w:rPr>
          <w:sz w:val="22"/>
          <w:szCs w:val="22"/>
        </w:rPr>
        <w:t> </w:t>
      </w:r>
      <w:r w:rsidRPr="00956ABF">
        <w:rPr>
          <w:sz w:val="22"/>
          <w:szCs w:val="22"/>
        </w:rPr>
        <w:t>TV</w:t>
      </w:r>
      <w:r>
        <w:rPr>
          <w:sz w:val="22"/>
          <w:szCs w:val="22"/>
        </w:rPr>
        <w:t xml:space="preserve"> </w:t>
      </w:r>
      <w:r w:rsidRPr="00956ABF">
        <w:rPr>
          <w:sz w:val="22"/>
          <w:szCs w:val="22"/>
        </w:rPr>
        <w:t>žmogaus folikulus stimuliuojančio hormono</w:t>
      </w:r>
      <w:r w:rsidRPr="00DC3C06">
        <w:rPr>
          <w:sz w:val="22"/>
          <w:szCs w:val="22"/>
        </w:rPr>
        <w:t xml:space="preserve"> </w:t>
      </w:r>
      <w:r w:rsidRPr="00956ABF">
        <w:rPr>
          <w:sz w:val="22"/>
          <w:szCs w:val="22"/>
        </w:rPr>
        <w:t>aktyv</w:t>
      </w:r>
      <w:r w:rsidRPr="00DC3C06">
        <w:rPr>
          <w:sz w:val="22"/>
          <w:szCs w:val="22"/>
        </w:rPr>
        <w:t>umo</w:t>
      </w:r>
      <w:r w:rsidRPr="00956ABF">
        <w:rPr>
          <w:sz w:val="22"/>
          <w:szCs w:val="22"/>
        </w:rPr>
        <w:t xml:space="preserve"> (FSH) ir</w:t>
      </w:r>
      <w:r>
        <w:rPr>
          <w:sz w:val="22"/>
          <w:szCs w:val="22"/>
        </w:rPr>
        <w:t xml:space="preserve"> </w:t>
      </w:r>
      <w:r w:rsidRPr="00956ABF">
        <w:rPr>
          <w:sz w:val="22"/>
          <w:szCs w:val="22"/>
        </w:rPr>
        <w:t>75</w:t>
      </w:r>
      <w:r w:rsidRPr="00DC3C06">
        <w:rPr>
          <w:sz w:val="22"/>
          <w:szCs w:val="22"/>
        </w:rPr>
        <w:t> </w:t>
      </w:r>
      <w:r w:rsidRPr="00956ABF">
        <w:rPr>
          <w:sz w:val="22"/>
          <w:szCs w:val="22"/>
        </w:rPr>
        <w:t xml:space="preserve">TV žmogaus </w:t>
      </w:r>
      <w:proofErr w:type="spellStart"/>
      <w:r w:rsidRPr="00956ABF">
        <w:rPr>
          <w:sz w:val="22"/>
          <w:szCs w:val="22"/>
        </w:rPr>
        <w:t>liuteinizuojančio</w:t>
      </w:r>
      <w:proofErr w:type="spellEnd"/>
      <w:r w:rsidRPr="00956ABF">
        <w:rPr>
          <w:sz w:val="22"/>
          <w:szCs w:val="22"/>
        </w:rPr>
        <w:t xml:space="preserve"> hormono aktyv</w:t>
      </w:r>
      <w:r w:rsidRPr="00DC3C06">
        <w:rPr>
          <w:sz w:val="22"/>
          <w:szCs w:val="22"/>
        </w:rPr>
        <w:t xml:space="preserve">umo </w:t>
      </w:r>
      <w:r w:rsidRPr="00956ABF">
        <w:rPr>
          <w:sz w:val="22"/>
          <w:szCs w:val="22"/>
        </w:rPr>
        <w:t>(LH).</w:t>
      </w:r>
    </w:p>
    <w:p w:rsidR="00464AD2" w:rsidRPr="00956ABF" w:rsidRDefault="00464AD2" w:rsidP="00464AD2">
      <w:pPr>
        <w:shd w:val="clear" w:color="auto" w:fill="FFFFFF"/>
        <w:spacing w:before="0" w:after="0"/>
        <w:rPr>
          <w:bCs/>
          <w:sz w:val="22"/>
          <w:szCs w:val="22"/>
        </w:rPr>
      </w:pPr>
      <w:r w:rsidRPr="00907FBA">
        <w:rPr>
          <w:sz w:val="22"/>
          <w:szCs w:val="22"/>
        </w:rPr>
        <w:t xml:space="preserve">Žmogaus </w:t>
      </w:r>
      <w:proofErr w:type="spellStart"/>
      <w:r w:rsidRPr="00907FBA">
        <w:rPr>
          <w:sz w:val="22"/>
          <w:szCs w:val="22"/>
        </w:rPr>
        <w:t>menopauzinis</w:t>
      </w:r>
      <w:proofErr w:type="spellEnd"/>
      <w:r w:rsidRPr="00907FBA">
        <w:rPr>
          <w:sz w:val="22"/>
          <w:szCs w:val="22"/>
        </w:rPr>
        <w:t xml:space="preserve"> </w:t>
      </w:r>
      <w:proofErr w:type="spellStart"/>
      <w:r w:rsidRPr="00907FBA">
        <w:rPr>
          <w:sz w:val="22"/>
          <w:szCs w:val="22"/>
        </w:rPr>
        <w:t>gonadotropinas</w:t>
      </w:r>
      <w:proofErr w:type="spellEnd"/>
      <w:r w:rsidRPr="00907FBA">
        <w:rPr>
          <w:sz w:val="22"/>
          <w:szCs w:val="22"/>
        </w:rPr>
        <w:t xml:space="preserve"> (</w:t>
      </w:r>
      <w:proofErr w:type="spellStart"/>
      <w:r w:rsidRPr="00907FBA">
        <w:rPr>
          <w:sz w:val="22"/>
          <w:szCs w:val="22"/>
        </w:rPr>
        <w:t>žMG</w:t>
      </w:r>
      <w:proofErr w:type="spellEnd"/>
      <w:r w:rsidRPr="00907FBA">
        <w:rPr>
          <w:sz w:val="22"/>
          <w:szCs w:val="22"/>
        </w:rPr>
        <w:t xml:space="preserve">) yra išskiriamas iš moterų po menopauzės šlapimo. </w:t>
      </w:r>
      <w:r w:rsidRPr="00956ABF">
        <w:rPr>
          <w:sz w:val="22"/>
          <w:szCs w:val="22"/>
        </w:rPr>
        <w:t xml:space="preserve">Žmogaus </w:t>
      </w:r>
      <w:proofErr w:type="spellStart"/>
      <w:r w:rsidRPr="00956ABF">
        <w:rPr>
          <w:sz w:val="22"/>
          <w:szCs w:val="22"/>
        </w:rPr>
        <w:t>chorioninis</w:t>
      </w:r>
      <w:proofErr w:type="spellEnd"/>
      <w:r w:rsidRPr="00956ABF">
        <w:rPr>
          <w:sz w:val="22"/>
          <w:szCs w:val="22"/>
        </w:rPr>
        <w:t xml:space="preserve"> </w:t>
      </w:r>
      <w:proofErr w:type="spellStart"/>
      <w:r w:rsidRPr="00956ABF">
        <w:rPr>
          <w:sz w:val="22"/>
          <w:szCs w:val="22"/>
        </w:rPr>
        <w:t>gonadotropinas</w:t>
      </w:r>
      <w:proofErr w:type="spellEnd"/>
      <w:r w:rsidRPr="00956ABF">
        <w:rPr>
          <w:sz w:val="22"/>
          <w:szCs w:val="22"/>
        </w:rPr>
        <w:t xml:space="preserve"> (</w:t>
      </w:r>
      <w:proofErr w:type="spellStart"/>
      <w:r w:rsidRPr="00956ABF">
        <w:rPr>
          <w:sz w:val="22"/>
          <w:szCs w:val="22"/>
        </w:rPr>
        <w:t>žCG</w:t>
      </w:r>
      <w:proofErr w:type="spellEnd"/>
      <w:r w:rsidRPr="00956ABF">
        <w:rPr>
          <w:sz w:val="22"/>
          <w:szCs w:val="22"/>
        </w:rPr>
        <w:t xml:space="preserve">) – hormonas, </w:t>
      </w:r>
      <w:r w:rsidRPr="00907FBA">
        <w:rPr>
          <w:sz w:val="22"/>
          <w:szCs w:val="22"/>
        </w:rPr>
        <w:t xml:space="preserve">išskiriamas iš </w:t>
      </w:r>
      <w:r w:rsidRPr="00956ABF">
        <w:rPr>
          <w:sz w:val="22"/>
          <w:szCs w:val="22"/>
        </w:rPr>
        <w:t>nėščių moterų šlapim</w:t>
      </w:r>
      <w:r>
        <w:rPr>
          <w:sz w:val="22"/>
          <w:szCs w:val="22"/>
        </w:rPr>
        <w:t>o</w:t>
      </w:r>
      <w:r w:rsidRPr="00956ABF">
        <w:rPr>
          <w:sz w:val="22"/>
          <w:szCs w:val="22"/>
        </w:rPr>
        <w:t xml:space="preserve">, pridedamas siekiant </w:t>
      </w:r>
      <w:r w:rsidRPr="00DC3C06">
        <w:rPr>
          <w:sz w:val="22"/>
          <w:szCs w:val="22"/>
        </w:rPr>
        <w:t>padidinti</w:t>
      </w:r>
      <w:r w:rsidRPr="00956ABF">
        <w:rPr>
          <w:sz w:val="22"/>
          <w:szCs w:val="22"/>
        </w:rPr>
        <w:t xml:space="preserve"> bendrąjį LH aktyvumą.</w:t>
      </w:r>
    </w:p>
    <w:p w:rsidR="00464AD2" w:rsidRPr="00956ABF" w:rsidRDefault="00464AD2" w:rsidP="00464AD2">
      <w:pPr>
        <w:spacing w:before="0" w:after="0"/>
        <w:ind w:right="-1"/>
        <w:rPr>
          <w:bCs/>
          <w:strike/>
          <w:sz w:val="22"/>
          <w:szCs w:val="22"/>
          <w:lang w:eastAsia="de-DE"/>
        </w:rPr>
      </w:pPr>
    </w:p>
    <w:p w:rsidR="00464AD2" w:rsidRPr="00956ABF" w:rsidRDefault="00464AD2" w:rsidP="00464AD2">
      <w:pPr>
        <w:shd w:val="clear" w:color="auto" w:fill="FFFFFF"/>
        <w:spacing w:before="0" w:after="0"/>
        <w:rPr>
          <w:bCs/>
          <w:sz w:val="22"/>
          <w:szCs w:val="22"/>
        </w:rPr>
      </w:pPr>
      <w:r w:rsidRPr="00956ABF">
        <w:rPr>
          <w:sz w:val="22"/>
          <w:szCs w:val="22"/>
        </w:rPr>
        <w:t xml:space="preserve">Kiekviename </w:t>
      </w:r>
      <w:r w:rsidRPr="00DC3C06">
        <w:rPr>
          <w:sz w:val="22"/>
          <w:szCs w:val="22"/>
        </w:rPr>
        <w:t>flakone</w:t>
      </w:r>
      <w:r w:rsidRPr="00956ABF">
        <w:rPr>
          <w:sz w:val="22"/>
          <w:szCs w:val="22"/>
        </w:rPr>
        <w:t xml:space="preserve"> yra</w:t>
      </w:r>
      <w:r>
        <w:rPr>
          <w:sz w:val="22"/>
          <w:szCs w:val="22"/>
        </w:rPr>
        <w:t xml:space="preserve"> </w:t>
      </w:r>
      <w:proofErr w:type="spellStart"/>
      <w:r w:rsidRPr="00F641B7">
        <w:rPr>
          <w:sz w:val="22"/>
          <w:szCs w:val="22"/>
        </w:rPr>
        <w:t>liofilizuotų</w:t>
      </w:r>
      <w:proofErr w:type="spellEnd"/>
      <w:r w:rsidRPr="00F641B7" w:rsidDel="00F641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miltelių, kurių aktyvumas atitinka </w:t>
      </w:r>
      <w:r w:rsidRPr="00956ABF">
        <w:rPr>
          <w:sz w:val="22"/>
          <w:szCs w:val="22"/>
        </w:rPr>
        <w:t>150</w:t>
      </w:r>
      <w:r w:rsidRPr="00DC3C06">
        <w:rPr>
          <w:sz w:val="22"/>
          <w:szCs w:val="22"/>
        </w:rPr>
        <w:t> </w:t>
      </w:r>
      <w:r w:rsidRPr="00956ABF">
        <w:rPr>
          <w:sz w:val="22"/>
          <w:szCs w:val="22"/>
        </w:rPr>
        <w:t>TV</w:t>
      </w:r>
      <w:r>
        <w:rPr>
          <w:sz w:val="22"/>
          <w:szCs w:val="22"/>
        </w:rPr>
        <w:t xml:space="preserve"> </w:t>
      </w:r>
      <w:r w:rsidRPr="00956ABF">
        <w:rPr>
          <w:sz w:val="22"/>
          <w:szCs w:val="22"/>
        </w:rPr>
        <w:t>žmogaus folikulus stimuliuojančio hormono aktyv</w:t>
      </w:r>
      <w:r w:rsidRPr="00DC3C06">
        <w:rPr>
          <w:sz w:val="22"/>
          <w:szCs w:val="22"/>
        </w:rPr>
        <w:t>umo</w:t>
      </w:r>
      <w:r w:rsidRPr="00956ABF">
        <w:rPr>
          <w:sz w:val="22"/>
          <w:szCs w:val="22"/>
        </w:rPr>
        <w:t xml:space="preserve"> (FSH) ir</w:t>
      </w:r>
      <w:r>
        <w:rPr>
          <w:sz w:val="22"/>
          <w:szCs w:val="22"/>
        </w:rPr>
        <w:t xml:space="preserve"> </w:t>
      </w:r>
      <w:r w:rsidRPr="00956ABF">
        <w:rPr>
          <w:sz w:val="22"/>
          <w:szCs w:val="22"/>
        </w:rPr>
        <w:t>150</w:t>
      </w:r>
      <w:r w:rsidRPr="00DC3C06">
        <w:rPr>
          <w:sz w:val="22"/>
          <w:szCs w:val="22"/>
        </w:rPr>
        <w:t> </w:t>
      </w:r>
      <w:r w:rsidRPr="00956ABF">
        <w:rPr>
          <w:sz w:val="22"/>
          <w:szCs w:val="22"/>
        </w:rPr>
        <w:t xml:space="preserve">TV žmogaus </w:t>
      </w:r>
      <w:proofErr w:type="spellStart"/>
      <w:r w:rsidRPr="00956ABF">
        <w:rPr>
          <w:sz w:val="22"/>
          <w:szCs w:val="22"/>
        </w:rPr>
        <w:t>liuteinizuojančio</w:t>
      </w:r>
      <w:proofErr w:type="spellEnd"/>
      <w:r w:rsidRPr="00956ABF">
        <w:rPr>
          <w:sz w:val="22"/>
          <w:szCs w:val="22"/>
        </w:rPr>
        <w:t xml:space="preserve"> hormono aktyv</w:t>
      </w:r>
      <w:r w:rsidRPr="00DC3C06">
        <w:rPr>
          <w:sz w:val="22"/>
          <w:szCs w:val="22"/>
        </w:rPr>
        <w:t xml:space="preserve">umo </w:t>
      </w:r>
      <w:r w:rsidRPr="00956ABF">
        <w:rPr>
          <w:sz w:val="22"/>
          <w:szCs w:val="22"/>
        </w:rPr>
        <w:t xml:space="preserve">(LH). </w:t>
      </w:r>
    </w:p>
    <w:p w:rsidR="00464AD2" w:rsidRPr="00DC3C06" w:rsidRDefault="00464AD2" w:rsidP="00464AD2">
      <w:pPr>
        <w:spacing w:before="0" w:after="0"/>
        <w:ind w:right="-1"/>
        <w:rPr>
          <w:bCs/>
          <w:sz w:val="22"/>
          <w:szCs w:val="22"/>
        </w:rPr>
      </w:pPr>
      <w:r w:rsidRPr="00907FBA">
        <w:rPr>
          <w:sz w:val="22"/>
          <w:szCs w:val="22"/>
        </w:rPr>
        <w:t xml:space="preserve">Žmogaus </w:t>
      </w:r>
      <w:proofErr w:type="spellStart"/>
      <w:r w:rsidRPr="00907FBA">
        <w:rPr>
          <w:sz w:val="22"/>
          <w:szCs w:val="22"/>
        </w:rPr>
        <w:t>menopauzinis</w:t>
      </w:r>
      <w:proofErr w:type="spellEnd"/>
      <w:r w:rsidRPr="00907FBA">
        <w:rPr>
          <w:sz w:val="22"/>
          <w:szCs w:val="22"/>
        </w:rPr>
        <w:t xml:space="preserve"> </w:t>
      </w:r>
      <w:proofErr w:type="spellStart"/>
      <w:r w:rsidRPr="00907FBA">
        <w:rPr>
          <w:sz w:val="22"/>
          <w:szCs w:val="22"/>
        </w:rPr>
        <w:t>gonadotropinas</w:t>
      </w:r>
      <w:proofErr w:type="spellEnd"/>
      <w:r w:rsidRPr="00907FBA">
        <w:rPr>
          <w:sz w:val="22"/>
          <w:szCs w:val="22"/>
        </w:rPr>
        <w:t xml:space="preserve"> (</w:t>
      </w:r>
      <w:proofErr w:type="spellStart"/>
      <w:r w:rsidRPr="00907FBA">
        <w:rPr>
          <w:sz w:val="22"/>
          <w:szCs w:val="22"/>
        </w:rPr>
        <w:t>žMG</w:t>
      </w:r>
      <w:proofErr w:type="spellEnd"/>
      <w:r w:rsidRPr="00907FBA">
        <w:rPr>
          <w:sz w:val="22"/>
          <w:szCs w:val="22"/>
        </w:rPr>
        <w:t xml:space="preserve">) yra išskiriamas iš moterų po menopauzės šlapimo. </w:t>
      </w:r>
      <w:r w:rsidRPr="00DC3C06">
        <w:rPr>
          <w:sz w:val="22"/>
          <w:szCs w:val="22"/>
        </w:rPr>
        <w:t>Ž</w:t>
      </w:r>
      <w:r w:rsidRPr="00956ABF">
        <w:rPr>
          <w:sz w:val="22"/>
          <w:szCs w:val="22"/>
        </w:rPr>
        <w:t xml:space="preserve">mogaus </w:t>
      </w:r>
      <w:proofErr w:type="spellStart"/>
      <w:r w:rsidRPr="00956ABF">
        <w:rPr>
          <w:sz w:val="22"/>
          <w:szCs w:val="22"/>
        </w:rPr>
        <w:t>chorionini</w:t>
      </w:r>
      <w:r w:rsidRPr="00DC3C06">
        <w:rPr>
          <w:sz w:val="22"/>
          <w:szCs w:val="22"/>
        </w:rPr>
        <w:t>s</w:t>
      </w:r>
      <w:proofErr w:type="spellEnd"/>
      <w:r w:rsidRPr="00956ABF">
        <w:rPr>
          <w:sz w:val="22"/>
          <w:szCs w:val="22"/>
        </w:rPr>
        <w:t xml:space="preserve"> </w:t>
      </w:r>
      <w:proofErr w:type="spellStart"/>
      <w:r w:rsidRPr="00956ABF">
        <w:rPr>
          <w:sz w:val="22"/>
          <w:szCs w:val="22"/>
        </w:rPr>
        <w:t>gonadotropin</w:t>
      </w:r>
      <w:r w:rsidRPr="00DC3C06">
        <w:rPr>
          <w:sz w:val="22"/>
          <w:szCs w:val="22"/>
        </w:rPr>
        <w:t>as</w:t>
      </w:r>
      <w:proofErr w:type="spellEnd"/>
      <w:r w:rsidRPr="00956ABF">
        <w:rPr>
          <w:sz w:val="22"/>
          <w:szCs w:val="22"/>
        </w:rPr>
        <w:t xml:space="preserve"> (</w:t>
      </w:r>
      <w:proofErr w:type="spellStart"/>
      <w:r w:rsidRPr="00DC3C06">
        <w:rPr>
          <w:sz w:val="22"/>
          <w:szCs w:val="22"/>
        </w:rPr>
        <w:t>ž</w:t>
      </w:r>
      <w:r w:rsidRPr="00956ABF">
        <w:rPr>
          <w:sz w:val="22"/>
          <w:szCs w:val="22"/>
        </w:rPr>
        <w:t>CG</w:t>
      </w:r>
      <w:proofErr w:type="spellEnd"/>
      <w:r w:rsidRPr="00956ABF">
        <w:rPr>
          <w:sz w:val="22"/>
          <w:szCs w:val="22"/>
        </w:rPr>
        <w:t>) – hormon</w:t>
      </w:r>
      <w:r w:rsidRPr="00DC3C06">
        <w:rPr>
          <w:sz w:val="22"/>
          <w:szCs w:val="22"/>
        </w:rPr>
        <w:t>as</w:t>
      </w:r>
      <w:r w:rsidRPr="00956ABF">
        <w:rPr>
          <w:sz w:val="22"/>
          <w:szCs w:val="22"/>
        </w:rPr>
        <w:t xml:space="preserve">, </w:t>
      </w:r>
      <w:r w:rsidRPr="00907FBA">
        <w:rPr>
          <w:sz w:val="22"/>
          <w:szCs w:val="22"/>
        </w:rPr>
        <w:t>išskiriamas iš</w:t>
      </w:r>
      <w:r w:rsidRPr="00956ABF">
        <w:rPr>
          <w:sz w:val="22"/>
          <w:szCs w:val="22"/>
        </w:rPr>
        <w:t xml:space="preserve"> nėščių moterų šlapim</w:t>
      </w:r>
      <w:r>
        <w:rPr>
          <w:sz w:val="22"/>
          <w:szCs w:val="22"/>
        </w:rPr>
        <w:t>o</w:t>
      </w:r>
      <w:r w:rsidRPr="00956ABF">
        <w:rPr>
          <w:sz w:val="22"/>
          <w:szCs w:val="22"/>
        </w:rPr>
        <w:t xml:space="preserve">, </w:t>
      </w:r>
      <w:r w:rsidRPr="00DC3C06">
        <w:rPr>
          <w:sz w:val="22"/>
          <w:szCs w:val="22"/>
        </w:rPr>
        <w:t xml:space="preserve">pridedamas </w:t>
      </w:r>
      <w:r w:rsidRPr="00956ABF">
        <w:rPr>
          <w:sz w:val="22"/>
          <w:szCs w:val="22"/>
        </w:rPr>
        <w:t xml:space="preserve">siekiant </w:t>
      </w:r>
      <w:r w:rsidRPr="00DC3C06">
        <w:rPr>
          <w:sz w:val="22"/>
          <w:szCs w:val="22"/>
        </w:rPr>
        <w:t xml:space="preserve">padidinti bendrąjį </w:t>
      </w:r>
      <w:r w:rsidRPr="00956ABF">
        <w:rPr>
          <w:sz w:val="22"/>
          <w:szCs w:val="22"/>
        </w:rPr>
        <w:t xml:space="preserve">LH </w:t>
      </w:r>
      <w:r w:rsidRPr="00DC3C06">
        <w:rPr>
          <w:sz w:val="22"/>
          <w:szCs w:val="22"/>
        </w:rPr>
        <w:t>aktyvumą</w:t>
      </w:r>
      <w:r w:rsidRPr="00956ABF">
        <w:rPr>
          <w:sz w:val="22"/>
          <w:szCs w:val="22"/>
        </w:rPr>
        <w:t>.</w:t>
      </w:r>
    </w:p>
    <w:p w:rsidR="00464AD2" w:rsidRPr="00DC3C06" w:rsidRDefault="00464AD2" w:rsidP="00464AD2">
      <w:pPr>
        <w:spacing w:before="0" w:after="0"/>
        <w:rPr>
          <w:bCs/>
          <w:sz w:val="22"/>
          <w:szCs w:val="22"/>
        </w:rPr>
      </w:pP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Jei naudojami keli miltelių flakonai, </w:t>
      </w:r>
      <w:proofErr w:type="spellStart"/>
      <w:r>
        <w:rPr>
          <w:sz w:val="22"/>
          <w:szCs w:val="22"/>
        </w:rPr>
        <w:t>menotropino</w:t>
      </w:r>
      <w:proofErr w:type="spellEnd"/>
      <w:r w:rsidRPr="00DC3C06">
        <w:rPr>
          <w:sz w:val="22"/>
          <w:szCs w:val="22"/>
        </w:rPr>
        <w:t xml:space="preserve"> kiekis 1 ml paruošto tirpalo bus toks:</w:t>
      </w:r>
    </w:p>
    <w:p w:rsidR="00464AD2" w:rsidRPr="00DC3C06" w:rsidRDefault="00464AD2" w:rsidP="00464AD2">
      <w:pPr>
        <w:spacing w:before="0" w:after="0"/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410"/>
        <w:gridCol w:w="992"/>
        <w:gridCol w:w="1276"/>
        <w:gridCol w:w="2693"/>
      </w:tblGrid>
      <w:tr w:rsidR="00464AD2" w:rsidRPr="00DC3C06" w:rsidTr="00EF5843">
        <w:tc>
          <w:tcPr>
            <w:tcW w:w="3828" w:type="dxa"/>
            <w:gridSpan w:val="2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Meriofert</w:t>
            </w:r>
            <w:proofErr w:type="spellEnd"/>
            <w:r w:rsidRPr="00DC3C06">
              <w:rPr>
                <w:b/>
                <w:sz w:val="22"/>
                <w:szCs w:val="22"/>
              </w:rPr>
              <w:t xml:space="preserve"> 75 TV</w:t>
            </w:r>
          </w:p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 xml:space="preserve">milteliai ir tirpiklis injekciniam tirpalui 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64AD2" w:rsidRPr="00DC3C06" w:rsidRDefault="00464AD2" w:rsidP="00EF58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Meriofert</w:t>
            </w:r>
            <w:proofErr w:type="spellEnd"/>
            <w:r w:rsidRPr="00DC3C06">
              <w:rPr>
                <w:b/>
                <w:sz w:val="22"/>
                <w:szCs w:val="22"/>
              </w:rPr>
              <w:t xml:space="preserve"> 150 TV </w:t>
            </w:r>
          </w:p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milteliai ir tirpiklis injekciniam tirpalui</w:t>
            </w:r>
            <w:r w:rsidRPr="00DC3C06">
              <w:rPr>
                <w:i/>
                <w:color w:val="0000FF"/>
                <w:sz w:val="22"/>
                <w:szCs w:val="22"/>
              </w:rPr>
              <w:t xml:space="preserve"> </w:t>
            </w:r>
          </w:p>
        </w:tc>
      </w:tr>
      <w:tr w:rsidR="00464AD2" w:rsidRPr="00DC3C06" w:rsidTr="00EF5843">
        <w:tc>
          <w:tcPr>
            <w:tcW w:w="1418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Naudotų flakonų skaičius</w:t>
            </w:r>
          </w:p>
        </w:tc>
        <w:tc>
          <w:tcPr>
            <w:tcW w:w="2410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 xml:space="preserve">Bendras </w:t>
            </w:r>
            <w:proofErr w:type="spellStart"/>
            <w:r>
              <w:rPr>
                <w:sz w:val="22"/>
                <w:szCs w:val="22"/>
              </w:rPr>
              <w:t>menotropino</w:t>
            </w:r>
            <w:proofErr w:type="spellEnd"/>
            <w:r w:rsidRPr="00DC3C06">
              <w:rPr>
                <w:sz w:val="22"/>
                <w:szCs w:val="22"/>
              </w:rPr>
              <w:t xml:space="preserve"> kiekis 1 ml tirpalo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464AD2" w:rsidRPr="00DC3C06" w:rsidRDefault="00464AD2" w:rsidP="00EF584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Naudotų buteliukų skaičius</w:t>
            </w:r>
          </w:p>
        </w:tc>
        <w:tc>
          <w:tcPr>
            <w:tcW w:w="2693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 xml:space="preserve">Bendras </w:t>
            </w:r>
            <w:proofErr w:type="spellStart"/>
            <w:r>
              <w:rPr>
                <w:sz w:val="22"/>
                <w:szCs w:val="22"/>
              </w:rPr>
              <w:t>menotropino</w:t>
            </w:r>
            <w:proofErr w:type="spellEnd"/>
            <w:r w:rsidRPr="00DC3C06">
              <w:rPr>
                <w:sz w:val="22"/>
                <w:szCs w:val="22"/>
              </w:rPr>
              <w:t xml:space="preserve"> kiekis 1 ml tirpalo</w:t>
            </w:r>
          </w:p>
        </w:tc>
      </w:tr>
      <w:tr w:rsidR="00464AD2" w:rsidRPr="00DC3C06" w:rsidTr="00EF5843">
        <w:trPr>
          <w:trHeight w:val="241"/>
        </w:trPr>
        <w:tc>
          <w:tcPr>
            <w:tcW w:w="1418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75 TV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464AD2" w:rsidRPr="00DC3C06" w:rsidRDefault="00464AD2" w:rsidP="00EF584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150 TV</w:t>
            </w:r>
          </w:p>
        </w:tc>
      </w:tr>
      <w:tr w:rsidR="00464AD2" w:rsidRPr="00DC3C06" w:rsidTr="00EF5843">
        <w:tc>
          <w:tcPr>
            <w:tcW w:w="1418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150 TV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464AD2" w:rsidRPr="00DC3C06" w:rsidRDefault="00464AD2" w:rsidP="00EF584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300 TV</w:t>
            </w:r>
          </w:p>
        </w:tc>
      </w:tr>
      <w:tr w:rsidR="00464AD2" w:rsidRPr="00DC3C06" w:rsidTr="00EF5843">
        <w:tc>
          <w:tcPr>
            <w:tcW w:w="1418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225 TV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464AD2" w:rsidRPr="00DC3C06" w:rsidRDefault="00464AD2" w:rsidP="00EF584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450 TV</w:t>
            </w:r>
          </w:p>
        </w:tc>
      </w:tr>
      <w:tr w:rsidR="00464AD2" w:rsidRPr="00DC3C06" w:rsidTr="00EF5843">
        <w:tc>
          <w:tcPr>
            <w:tcW w:w="1418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300 TV</w:t>
            </w:r>
          </w:p>
        </w:tc>
        <w:tc>
          <w:tcPr>
            <w:tcW w:w="992" w:type="dxa"/>
            <w:vMerge/>
            <w:tcBorders>
              <w:bottom w:val="nil"/>
              <w:right w:val="nil"/>
            </w:tcBorders>
            <w:shd w:val="clear" w:color="auto" w:fill="auto"/>
          </w:tcPr>
          <w:p w:rsidR="00464AD2" w:rsidRPr="00DC3C06" w:rsidRDefault="00464AD2" w:rsidP="00EF584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464AD2" w:rsidRPr="00DC3C06" w:rsidTr="00EF5843">
        <w:tc>
          <w:tcPr>
            <w:tcW w:w="1418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375 TV</w:t>
            </w:r>
          </w:p>
        </w:tc>
        <w:tc>
          <w:tcPr>
            <w:tcW w:w="992" w:type="dxa"/>
            <w:vMerge/>
            <w:tcBorders>
              <w:bottom w:val="nil"/>
              <w:right w:val="nil"/>
            </w:tcBorders>
            <w:shd w:val="clear" w:color="auto" w:fill="auto"/>
          </w:tcPr>
          <w:p w:rsidR="00464AD2" w:rsidRPr="00DC3C06" w:rsidRDefault="00464AD2" w:rsidP="00EF584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464AD2" w:rsidRPr="00DC3C06" w:rsidTr="00EF5843">
        <w:tc>
          <w:tcPr>
            <w:tcW w:w="1418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450 TV</w:t>
            </w:r>
          </w:p>
        </w:tc>
        <w:tc>
          <w:tcPr>
            <w:tcW w:w="992" w:type="dxa"/>
            <w:vMerge/>
            <w:tcBorders>
              <w:bottom w:val="nil"/>
              <w:right w:val="nil"/>
            </w:tcBorders>
            <w:shd w:val="clear" w:color="auto" w:fill="auto"/>
          </w:tcPr>
          <w:p w:rsidR="00464AD2" w:rsidRPr="00DC3C06" w:rsidRDefault="00464AD2" w:rsidP="00EF584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AD2" w:rsidRPr="00DC3C06" w:rsidRDefault="00464AD2" w:rsidP="00EF5843">
            <w:pPr>
              <w:spacing w:before="0" w:after="0"/>
              <w:rPr>
                <w:bCs/>
                <w:sz w:val="22"/>
                <w:szCs w:val="22"/>
              </w:rPr>
            </w:pPr>
          </w:p>
        </w:tc>
      </w:tr>
    </w:tbl>
    <w:p w:rsidR="00464AD2" w:rsidRPr="00555EC3" w:rsidRDefault="00464AD2" w:rsidP="00464AD2">
      <w:pPr>
        <w:spacing w:before="0" w:after="0"/>
        <w:rPr>
          <w:rFonts w:ascii="Times New Roman Gras" w:hAnsi="Times New Roman Gras"/>
          <w:sz w:val="22"/>
        </w:rPr>
      </w:pPr>
    </w:p>
    <w:p w:rsidR="00464AD2" w:rsidRPr="00DC3C06" w:rsidRDefault="00464AD2" w:rsidP="00464AD2">
      <w:pPr>
        <w:keepNext/>
        <w:spacing w:before="0" w:after="0"/>
        <w:rPr>
          <w:b/>
          <w:sz w:val="22"/>
          <w:szCs w:val="22"/>
        </w:rPr>
      </w:pPr>
      <w:r w:rsidRPr="00DC3C06">
        <w:rPr>
          <w:rFonts w:ascii="Times New Roman Gras" w:hAnsi="Times New Roman Gras"/>
          <w:b/>
          <w:sz w:val="22"/>
          <w:szCs w:val="22"/>
        </w:rPr>
        <w:t>P</w:t>
      </w:r>
      <w:r w:rsidRPr="00DC3C06">
        <w:rPr>
          <w:b/>
          <w:sz w:val="22"/>
          <w:szCs w:val="22"/>
        </w:rPr>
        <w:t>agalbinės medžiagos yra</w:t>
      </w:r>
    </w:p>
    <w:p w:rsidR="00464AD2" w:rsidRPr="00DC3C06" w:rsidRDefault="00464AD2" w:rsidP="00464AD2">
      <w:pPr>
        <w:keepNext/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Milteliai: </w:t>
      </w:r>
      <w:r w:rsidRPr="00AF2A71">
        <w:rPr>
          <w:sz w:val="22"/>
          <w:szCs w:val="22"/>
        </w:rPr>
        <w:t>balti</w:t>
      </w:r>
      <w:bookmarkStart w:id="0" w:name="_Hlk167695243"/>
      <w:r w:rsidRPr="00AF2A71">
        <w:rPr>
          <w:sz w:val="22"/>
          <w:szCs w:val="22"/>
        </w:rPr>
        <w:t xml:space="preserve"> </w:t>
      </w:r>
      <w:proofErr w:type="spellStart"/>
      <w:r w:rsidRPr="00AF2A71">
        <w:rPr>
          <w:sz w:val="22"/>
          <w:szCs w:val="22"/>
        </w:rPr>
        <w:t>liofilizuoti</w:t>
      </w:r>
      <w:proofErr w:type="spellEnd"/>
      <w:r w:rsidRPr="00AF2A71">
        <w:rPr>
          <w:sz w:val="22"/>
          <w:szCs w:val="22"/>
        </w:rPr>
        <w:t xml:space="preserve"> </w:t>
      </w:r>
      <w:bookmarkEnd w:id="0"/>
      <w:r w:rsidRPr="00AF2A71">
        <w:rPr>
          <w:sz w:val="22"/>
          <w:szCs w:val="22"/>
        </w:rPr>
        <w:t>milteliai ar jų gumulėlis</w:t>
      </w:r>
      <w:r w:rsidRPr="00DC3C06">
        <w:rPr>
          <w:sz w:val="22"/>
          <w:szCs w:val="22"/>
        </w:rPr>
        <w:t>.</w:t>
      </w:r>
    </w:p>
    <w:p w:rsidR="00464AD2" w:rsidRPr="00DC3C06" w:rsidRDefault="00464AD2" w:rsidP="00464AD2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/>
          <w:sz w:val="22"/>
          <w:szCs w:val="22"/>
        </w:rPr>
      </w:pPr>
      <w:r w:rsidRPr="00DC3C06">
        <w:rPr>
          <w:sz w:val="22"/>
          <w:szCs w:val="22"/>
        </w:rPr>
        <w:t xml:space="preserve">Tirpiklis: </w:t>
      </w:r>
      <w:r>
        <w:rPr>
          <w:sz w:val="22"/>
          <w:szCs w:val="22"/>
        </w:rPr>
        <w:t>9 mg/ml</w:t>
      </w:r>
      <w:r w:rsidRPr="00DC3C06">
        <w:rPr>
          <w:sz w:val="22"/>
          <w:szCs w:val="22"/>
        </w:rPr>
        <w:t xml:space="preserve"> natrio chlorid</w:t>
      </w:r>
      <w:r>
        <w:rPr>
          <w:sz w:val="22"/>
          <w:szCs w:val="22"/>
        </w:rPr>
        <w:t>as</w:t>
      </w:r>
      <w:r w:rsidRPr="00DC3C06">
        <w:rPr>
          <w:sz w:val="22"/>
          <w:szCs w:val="22"/>
        </w:rPr>
        <w:t xml:space="preserve"> </w:t>
      </w:r>
      <w:r>
        <w:rPr>
          <w:sz w:val="22"/>
          <w:szCs w:val="22"/>
        </w:rPr>
        <w:t>injekciniame vandenyje</w:t>
      </w:r>
      <w:r w:rsidRPr="00DC3C06">
        <w:rPr>
          <w:sz w:val="22"/>
          <w:szCs w:val="22"/>
        </w:rPr>
        <w:t>.</w:t>
      </w:r>
    </w:p>
    <w:p w:rsidR="00464AD2" w:rsidRPr="003D4442" w:rsidRDefault="00464AD2" w:rsidP="00464AD2">
      <w:p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spacing w:before="0" w:after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Meriofert</w:t>
      </w:r>
      <w:proofErr w:type="spellEnd"/>
      <w:r w:rsidRPr="00DC3C06">
        <w:rPr>
          <w:b/>
          <w:sz w:val="22"/>
          <w:szCs w:val="22"/>
        </w:rPr>
        <w:t xml:space="preserve"> išvaizda ir kiekis pakuotėje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Milteliai: balti arba beveik balti </w:t>
      </w:r>
      <w:proofErr w:type="spellStart"/>
      <w:r w:rsidRPr="00DC3C06">
        <w:rPr>
          <w:sz w:val="22"/>
          <w:szCs w:val="22"/>
        </w:rPr>
        <w:t>liofilizuoti</w:t>
      </w:r>
      <w:proofErr w:type="spellEnd"/>
      <w:r w:rsidRPr="00DC3C06">
        <w:rPr>
          <w:sz w:val="22"/>
          <w:szCs w:val="22"/>
        </w:rPr>
        <w:t xml:space="preserve"> milteliai.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Tirpiklis: skaidrus, bespalvis tirpalas.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yra milteliai ir tirpiklis injekciniam tirpalui.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1</w:t>
      </w:r>
      <w:r>
        <w:rPr>
          <w:sz w:val="22"/>
          <w:szCs w:val="22"/>
        </w:rPr>
        <w:t> </w:t>
      </w:r>
      <w:r w:rsidRPr="00DC3C06">
        <w:rPr>
          <w:sz w:val="22"/>
          <w:szCs w:val="22"/>
        </w:rPr>
        <w:t>rinkinyje yra:</w:t>
      </w:r>
    </w:p>
    <w:p w:rsidR="00464AD2" w:rsidRPr="00DC3C06" w:rsidRDefault="00464AD2" w:rsidP="00464AD2">
      <w:pPr>
        <w:numPr>
          <w:ilvl w:val="0"/>
          <w:numId w:val="12"/>
        </w:numPr>
        <w:spacing w:before="0" w:after="0"/>
        <w:ind w:left="714" w:hanging="357"/>
        <w:rPr>
          <w:sz w:val="22"/>
          <w:szCs w:val="22"/>
        </w:rPr>
      </w:pPr>
      <w:r w:rsidRPr="00DC3C06">
        <w:rPr>
          <w:sz w:val="22"/>
          <w:szCs w:val="22"/>
        </w:rPr>
        <w:t xml:space="preserve">Vienas flakonas, kuriame yra balti </w:t>
      </w:r>
      <w:proofErr w:type="spellStart"/>
      <w:r w:rsidRPr="003539D4">
        <w:rPr>
          <w:sz w:val="22"/>
          <w:szCs w:val="22"/>
        </w:rPr>
        <w:t>liofilizuoti</w:t>
      </w:r>
      <w:proofErr w:type="spellEnd"/>
      <w:r w:rsidRPr="00DC3C06">
        <w:rPr>
          <w:sz w:val="22"/>
          <w:szCs w:val="22"/>
        </w:rPr>
        <w:t xml:space="preserve"> milteliai</w:t>
      </w:r>
      <w:r w:rsidRPr="00555EC3">
        <w:t xml:space="preserve"> </w:t>
      </w:r>
      <w:r w:rsidRPr="00F47538">
        <w:rPr>
          <w:sz w:val="22"/>
          <w:szCs w:val="22"/>
        </w:rPr>
        <w:t>ar jų gumulėlis</w:t>
      </w:r>
      <w:r w:rsidRPr="00DC3C06">
        <w:rPr>
          <w:sz w:val="22"/>
          <w:szCs w:val="22"/>
        </w:rPr>
        <w:t>.</w:t>
      </w:r>
    </w:p>
    <w:p w:rsidR="00464AD2" w:rsidRPr="00DC3C06" w:rsidRDefault="00464AD2" w:rsidP="00464AD2">
      <w:pPr>
        <w:numPr>
          <w:ilvl w:val="0"/>
          <w:numId w:val="12"/>
        </w:numPr>
        <w:spacing w:before="0" w:after="0"/>
        <w:ind w:left="714" w:hanging="357"/>
        <w:rPr>
          <w:sz w:val="22"/>
          <w:szCs w:val="22"/>
        </w:rPr>
      </w:pPr>
      <w:r w:rsidRPr="00DC3C06">
        <w:rPr>
          <w:sz w:val="22"/>
          <w:szCs w:val="22"/>
        </w:rPr>
        <w:t xml:space="preserve">Viena </w:t>
      </w:r>
      <w:r>
        <w:rPr>
          <w:sz w:val="22"/>
          <w:szCs w:val="22"/>
        </w:rPr>
        <w:t>ampulė</w:t>
      </w:r>
      <w:r w:rsidRPr="00DC3C06">
        <w:rPr>
          <w:sz w:val="22"/>
          <w:szCs w:val="22"/>
        </w:rPr>
        <w:t xml:space="preserve"> (1 ml), kuri</w:t>
      </w:r>
      <w:r>
        <w:rPr>
          <w:sz w:val="22"/>
          <w:szCs w:val="22"/>
        </w:rPr>
        <w:t>oj</w:t>
      </w:r>
      <w:r w:rsidRPr="00DC3C06">
        <w:rPr>
          <w:sz w:val="22"/>
          <w:szCs w:val="22"/>
        </w:rPr>
        <w:t>e yra skaidrus ir bespalvis tirpalas.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Vienoje pakuotėje yra 1, 5 arba 10 rinkinių. Gali būti tiekiamos ne visų dydžių pakuotės.</w:t>
      </w:r>
    </w:p>
    <w:p w:rsidR="00464AD2" w:rsidRPr="003D4442" w:rsidRDefault="00464AD2" w:rsidP="00464AD2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Cs/>
          <w:sz w:val="22"/>
          <w:szCs w:val="22"/>
        </w:rPr>
      </w:pPr>
    </w:p>
    <w:p w:rsidR="00464AD2" w:rsidRPr="00060936" w:rsidRDefault="00464AD2" w:rsidP="00464AD2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/>
          <w:bCs/>
          <w:sz w:val="22"/>
          <w:szCs w:val="22"/>
          <w:lang w:val="it-CH"/>
        </w:rPr>
      </w:pPr>
      <w:r w:rsidRPr="00956ABF">
        <w:rPr>
          <w:b/>
          <w:sz w:val="22"/>
          <w:szCs w:val="22"/>
        </w:rPr>
        <w:t>Registruotojas</w:t>
      </w:r>
      <w:r>
        <w:rPr>
          <w:b/>
          <w:sz w:val="22"/>
          <w:szCs w:val="22"/>
        </w:rPr>
        <w:t xml:space="preserve"> ir gamintoja</w:t>
      </w:r>
      <w:r w:rsidRPr="00060936">
        <w:rPr>
          <w:b/>
          <w:sz w:val="22"/>
          <w:szCs w:val="22"/>
          <w:lang w:val="it-CH"/>
        </w:rPr>
        <w:t>s</w:t>
      </w:r>
    </w:p>
    <w:p w:rsidR="00464AD2" w:rsidRPr="00DC3C06" w:rsidRDefault="00464AD2" w:rsidP="00464AD2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IBSA </w:t>
      </w:r>
      <w:proofErr w:type="spellStart"/>
      <w:r w:rsidRPr="00DC3C06">
        <w:rPr>
          <w:sz w:val="22"/>
          <w:szCs w:val="22"/>
        </w:rPr>
        <w:t>Farmaceutici</w:t>
      </w:r>
      <w:proofErr w:type="spellEnd"/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Italia</w:t>
      </w:r>
      <w:proofErr w:type="spellEnd"/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srl</w:t>
      </w:r>
      <w:proofErr w:type="spellEnd"/>
    </w:p>
    <w:p w:rsidR="00464AD2" w:rsidRPr="00DC3C06" w:rsidRDefault="00464AD2" w:rsidP="00464AD2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Via </w:t>
      </w:r>
      <w:proofErr w:type="spellStart"/>
      <w:r w:rsidRPr="00DC3C06">
        <w:rPr>
          <w:sz w:val="22"/>
          <w:szCs w:val="22"/>
        </w:rPr>
        <w:t>Martiri</w:t>
      </w:r>
      <w:proofErr w:type="spellEnd"/>
      <w:r w:rsidRPr="00DC3C06">
        <w:rPr>
          <w:sz w:val="22"/>
          <w:szCs w:val="22"/>
        </w:rPr>
        <w:t xml:space="preserve"> di </w:t>
      </w:r>
      <w:proofErr w:type="spellStart"/>
      <w:r w:rsidRPr="00DC3C06">
        <w:rPr>
          <w:sz w:val="22"/>
          <w:szCs w:val="22"/>
        </w:rPr>
        <w:t>Cefalonia</w:t>
      </w:r>
      <w:proofErr w:type="spellEnd"/>
      <w:r w:rsidRPr="00DC3C06">
        <w:rPr>
          <w:sz w:val="22"/>
          <w:szCs w:val="22"/>
        </w:rPr>
        <w:t>, 2</w:t>
      </w:r>
    </w:p>
    <w:p w:rsidR="00464AD2" w:rsidRPr="00DC3C06" w:rsidRDefault="00464AD2" w:rsidP="00464AD2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26900 </w:t>
      </w:r>
      <w:proofErr w:type="spellStart"/>
      <w:r w:rsidRPr="00DC3C06">
        <w:rPr>
          <w:sz w:val="22"/>
          <w:szCs w:val="22"/>
        </w:rPr>
        <w:t>Lodi</w:t>
      </w:r>
      <w:proofErr w:type="spellEnd"/>
    </w:p>
    <w:p w:rsidR="00464AD2" w:rsidRPr="00DC3C06" w:rsidRDefault="00464AD2" w:rsidP="00464AD2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Italija</w:t>
      </w:r>
    </w:p>
    <w:p w:rsidR="00464AD2" w:rsidRPr="000A6460" w:rsidRDefault="00464AD2" w:rsidP="00464AD2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464AD2" w:rsidRPr="00DC3C06" w:rsidRDefault="00464AD2" w:rsidP="00464AD2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</w:p>
    <w:p w:rsidR="00464AD2" w:rsidRPr="00956ABF" w:rsidRDefault="00464AD2" w:rsidP="00464AD2">
      <w:pPr>
        <w:spacing w:before="0" w:after="0"/>
        <w:rPr>
          <w:b/>
          <w:bCs/>
          <w:sz w:val="22"/>
          <w:szCs w:val="22"/>
        </w:rPr>
      </w:pPr>
      <w:r w:rsidRPr="00956ABF">
        <w:rPr>
          <w:b/>
          <w:bCs/>
          <w:sz w:val="22"/>
          <w:szCs w:val="22"/>
        </w:rPr>
        <w:t xml:space="preserve">Šis vaistas EEE valstybėse narėse </w:t>
      </w:r>
      <w:r w:rsidRPr="008F22D5">
        <w:rPr>
          <w:b/>
          <w:bCs/>
          <w:sz w:val="22"/>
          <w:szCs w:val="22"/>
        </w:rPr>
        <w:t>ir Jungtinėje Karalystėje (Šiaurės Airijoje)</w:t>
      </w:r>
      <w:r>
        <w:rPr>
          <w:b/>
          <w:bCs/>
          <w:sz w:val="22"/>
          <w:szCs w:val="22"/>
        </w:rPr>
        <w:t xml:space="preserve"> </w:t>
      </w:r>
      <w:r w:rsidRPr="00956ABF">
        <w:rPr>
          <w:b/>
          <w:bCs/>
          <w:sz w:val="22"/>
          <w:szCs w:val="22"/>
        </w:rPr>
        <w:t>registruotas tokiais pavadinimais (</w:t>
      </w:r>
      <w:r w:rsidRPr="00DC3C06">
        <w:rPr>
          <w:b/>
          <w:bCs/>
          <w:sz w:val="22"/>
          <w:szCs w:val="22"/>
        </w:rPr>
        <w:t>s</w:t>
      </w:r>
      <w:r w:rsidRPr="00956ABF">
        <w:rPr>
          <w:b/>
          <w:bCs/>
          <w:sz w:val="22"/>
          <w:szCs w:val="22"/>
        </w:rPr>
        <w:t>tiprumas ir farmacinė forma yra vienodi visose šalyse, skiriasi tik sugalvotas</w:t>
      </w:r>
      <w:r w:rsidRPr="00DC3C06">
        <w:rPr>
          <w:sz w:val="22"/>
          <w:szCs w:val="22"/>
        </w:rPr>
        <w:t xml:space="preserve"> </w:t>
      </w:r>
      <w:r w:rsidRPr="00956ABF">
        <w:rPr>
          <w:b/>
          <w:bCs/>
          <w:sz w:val="22"/>
          <w:szCs w:val="22"/>
        </w:rPr>
        <w:t>pavadinimas):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Austrija</w:t>
      </w:r>
      <w:r w:rsidRPr="00DC3C06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Belgija</w:t>
      </w:r>
      <w:r w:rsidRPr="00DC3C06">
        <w:rPr>
          <w:sz w:val="22"/>
          <w:szCs w:val="22"/>
        </w:rPr>
        <w:t xml:space="preserve">: </w:t>
      </w:r>
      <w:proofErr w:type="spellStart"/>
      <w:r w:rsidRPr="00DC3C06">
        <w:rPr>
          <w:sz w:val="22"/>
          <w:szCs w:val="22"/>
        </w:rPr>
        <w:t>Fertinorm</w:t>
      </w:r>
      <w:proofErr w:type="spellEnd"/>
      <w:r w:rsidRPr="00DC3C06">
        <w:rPr>
          <w:sz w:val="22"/>
          <w:szCs w:val="22"/>
        </w:rPr>
        <w:t xml:space="preserve"> 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Bulgarija</w:t>
      </w:r>
      <w:r w:rsidRPr="00DC3C06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Kipras</w:t>
      </w:r>
      <w:r w:rsidRPr="00DC3C06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Čekija:</w:t>
      </w:r>
      <w:r w:rsidRPr="00DC3C0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Danija</w:t>
      </w:r>
      <w:r w:rsidRPr="00DC3C06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</w:t>
      </w:r>
    </w:p>
    <w:p w:rsidR="00464AD2" w:rsidRDefault="00464AD2" w:rsidP="00464AD2">
      <w:pPr>
        <w:spacing w:before="0" w:after="0"/>
        <w:rPr>
          <w:sz w:val="22"/>
          <w:szCs w:val="22"/>
          <w:u w:val="single"/>
        </w:rPr>
      </w:pPr>
      <w:r w:rsidRPr="00AC7590">
        <w:rPr>
          <w:sz w:val="22"/>
          <w:szCs w:val="22"/>
          <w:u w:val="single"/>
        </w:rPr>
        <w:t>Estija</w:t>
      </w:r>
      <w:r w:rsidRPr="00392B7B">
        <w:rPr>
          <w:sz w:val="22"/>
          <w:szCs w:val="22"/>
        </w:rPr>
        <w:t xml:space="preserve">: </w:t>
      </w:r>
      <w:proofErr w:type="spellStart"/>
      <w:r w:rsidRPr="00392B7B">
        <w:rPr>
          <w:sz w:val="22"/>
          <w:szCs w:val="22"/>
        </w:rPr>
        <w:t>Meriofert</w:t>
      </w:r>
      <w:proofErr w:type="spellEnd"/>
    </w:p>
    <w:p w:rsidR="00464AD2" w:rsidRDefault="00464AD2" w:rsidP="00464AD2">
      <w:pPr>
        <w:spacing w:before="0" w:after="0"/>
        <w:rPr>
          <w:sz w:val="18"/>
          <w:szCs w:val="18"/>
        </w:rPr>
      </w:pPr>
      <w:r w:rsidRPr="00AC7590">
        <w:rPr>
          <w:sz w:val="22"/>
          <w:szCs w:val="22"/>
          <w:u w:val="single"/>
        </w:rPr>
        <w:t>Suomija:</w:t>
      </w:r>
      <w:r>
        <w:rPr>
          <w:sz w:val="18"/>
          <w:szCs w:val="18"/>
        </w:rPr>
        <w:t xml:space="preserve"> </w:t>
      </w:r>
      <w:proofErr w:type="spellStart"/>
      <w:r w:rsidRPr="00AC7590">
        <w:rPr>
          <w:sz w:val="22"/>
          <w:szCs w:val="22"/>
        </w:rPr>
        <w:t>Meriofert</w:t>
      </w:r>
      <w:proofErr w:type="spellEnd"/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Prancūzija</w:t>
      </w:r>
      <w:r w:rsidRPr="00DC3C06">
        <w:rPr>
          <w:sz w:val="22"/>
          <w:szCs w:val="22"/>
        </w:rPr>
        <w:t xml:space="preserve">: </w:t>
      </w:r>
      <w:proofErr w:type="spellStart"/>
      <w:r w:rsidRPr="00DC3C06">
        <w:rPr>
          <w:sz w:val="22"/>
          <w:szCs w:val="22"/>
        </w:rPr>
        <w:t>Fertistartkit</w:t>
      </w:r>
      <w:proofErr w:type="spellEnd"/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Graikija</w:t>
      </w:r>
      <w:r w:rsidRPr="00DC3C06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Vengrija</w:t>
      </w:r>
      <w:r w:rsidRPr="00DC3C06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Italija:</w:t>
      </w:r>
      <w:r w:rsidRPr="00DC3C0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Meriofert</w:t>
      </w:r>
      <w:proofErr w:type="spellEnd"/>
    </w:p>
    <w:p w:rsidR="00464AD2" w:rsidRDefault="00464AD2" w:rsidP="00464AD2">
      <w:pPr>
        <w:spacing w:before="0" w:after="0"/>
        <w:rPr>
          <w:sz w:val="22"/>
          <w:szCs w:val="22"/>
          <w:u w:val="single"/>
        </w:rPr>
      </w:pPr>
      <w:r w:rsidRPr="00AC7590">
        <w:rPr>
          <w:sz w:val="22"/>
          <w:szCs w:val="22"/>
          <w:u w:val="single"/>
        </w:rPr>
        <w:t>Latvija</w:t>
      </w:r>
      <w:r w:rsidRPr="00392B7B">
        <w:rPr>
          <w:sz w:val="22"/>
          <w:szCs w:val="22"/>
        </w:rPr>
        <w:t xml:space="preserve">: </w:t>
      </w:r>
      <w:proofErr w:type="spellStart"/>
      <w:r w:rsidRPr="00392B7B">
        <w:rPr>
          <w:sz w:val="22"/>
          <w:szCs w:val="22"/>
        </w:rPr>
        <w:t>Meriofert</w:t>
      </w:r>
      <w:proofErr w:type="spellEnd"/>
    </w:p>
    <w:p w:rsidR="00464AD2" w:rsidRDefault="00464AD2" w:rsidP="00464AD2">
      <w:pPr>
        <w:spacing w:before="0" w:after="0"/>
        <w:rPr>
          <w:sz w:val="22"/>
          <w:szCs w:val="22"/>
          <w:u w:val="single"/>
        </w:rPr>
      </w:pPr>
      <w:r w:rsidRPr="00AC7590">
        <w:rPr>
          <w:sz w:val="22"/>
          <w:szCs w:val="22"/>
          <w:u w:val="single"/>
        </w:rPr>
        <w:t>Lietuva</w:t>
      </w:r>
      <w:r w:rsidRPr="00392B7B">
        <w:rPr>
          <w:sz w:val="22"/>
          <w:szCs w:val="22"/>
        </w:rPr>
        <w:t xml:space="preserve">: </w:t>
      </w:r>
      <w:proofErr w:type="spellStart"/>
      <w:r w:rsidRPr="00392B7B">
        <w:rPr>
          <w:sz w:val="22"/>
          <w:szCs w:val="22"/>
        </w:rPr>
        <w:t>Meriofert</w:t>
      </w:r>
      <w:proofErr w:type="spellEnd"/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Liuksemburgas</w:t>
      </w:r>
      <w:r w:rsidRPr="00DC3C06">
        <w:rPr>
          <w:sz w:val="22"/>
          <w:szCs w:val="22"/>
        </w:rPr>
        <w:t xml:space="preserve">: </w:t>
      </w:r>
      <w:proofErr w:type="spellStart"/>
      <w:r w:rsidRPr="00DC3C06">
        <w:rPr>
          <w:sz w:val="22"/>
          <w:szCs w:val="22"/>
        </w:rPr>
        <w:t>Fertinorm</w:t>
      </w:r>
      <w:proofErr w:type="spellEnd"/>
    </w:p>
    <w:p w:rsidR="00464AD2" w:rsidRDefault="00464AD2" w:rsidP="00464AD2">
      <w:pPr>
        <w:spacing w:before="0" w:after="0"/>
        <w:rPr>
          <w:sz w:val="22"/>
          <w:szCs w:val="22"/>
          <w:u w:val="single"/>
        </w:rPr>
      </w:pPr>
      <w:r w:rsidRPr="00AC7590">
        <w:rPr>
          <w:sz w:val="22"/>
          <w:szCs w:val="22"/>
          <w:u w:val="single"/>
        </w:rPr>
        <w:t>Norvegija</w:t>
      </w:r>
      <w:r>
        <w:rPr>
          <w:sz w:val="18"/>
          <w:szCs w:val="18"/>
        </w:rPr>
        <w:t xml:space="preserve">: </w:t>
      </w:r>
      <w:proofErr w:type="spellStart"/>
      <w:r w:rsidRPr="00AC7590">
        <w:rPr>
          <w:sz w:val="22"/>
          <w:szCs w:val="22"/>
        </w:rPr>
        <w:t>Meriofert</w:t>
      </w:r>
      <w:proofErr w:type="spellEnd"/>
      <w:r w:rsidRPr="00AC7590">
        <w:rPr>
          <w:sz w:val="22"/>
          <w:szCs w:val="22"/>
        </w:rPr>
        <w:t xml:space="preserve"> 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Lenkija:</w:t>
      </w:r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Mensinorm</w:t>
      </w:r>
      <w:proofErr w:type="spellEnd"/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Rumunija</w:t>
      </w:r>
      <w:r w:rsidRPr="00DC3C06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Slovakija</w:t>
      </w:r>
      <w:r w:rsidRPr="00DC3C06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Ispanija</w:t>
      </w:r>
      <w:r w:rsidRPr="00DC3C06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</w:t>
      </w:r>
    </w:p>
    <w:p w:rsidR="00464AD2" w:rsidRDefault="00464AD2" w:rsidP="00464AD2">
      <w:pPr>
        <w:spacing w:before="0" w:after="0"/>
        <w:rPr>
          <w:sz w:val="22"/>
          <w:szCs w:val="22"/>
          <w:u w:val="single"/>
        </w:rPr>
      </w:pPr>
      <w:r w:rsidRPr="00AC7590">
        <w:rPr>
          <w:sz w:val="22"/>
          <w:szCs w:val="22"/>
          <w:u w:val="single"/>
        </w:rPr>
        <w:t>Švedija:</w:t>
      </w:r>
      <w:r>
        <w:rPr>
          <w:sz w:val="18"/>
          <w:szCs w:val="18"/>
        </w:rPr>
        <w:t xml:space="preserve"> </w:t>
      </w:r>
      <w:proofErr w:type="spellStart"/>
      <w:r w:rsidRPr="00AC7590">
        <w:rPr>
          <w:sz w:val="22"/>
          <w:szCs w:val="22"/>
        </w:rPr>
        <w:t>Meriofert</w:t>
      </w:r>
      <w:proofErr w:type="spellEnd"/>
      <w:r w:rsidRPr="00AC7590">
        <w:rPr>
          <w:sz w:val="22"/>
          <w:szCs w:val="22"/>
        </w:rPr>
        <w:t xml:space="preserve"> 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Nyderlandai</w:t>
      </w:r>
      <w:r w:rsidRPr="00DC3C06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Jungtinė Karalystė</w:t>
      </w:r>
      <w:r>
        <w:rPr>
          <w:sz w:val="22"/>
          <w:szCs w:val="22"/>
          <w:u w:val="single"/>
        </w:rPr>
        <w:t xml:space="preserve"> (</w:t>
      </w:r>
      <w:r w:rsidRPr="00BE37B7">
        <w:rPr>
          <w:sz w:val="22"/>
          <w:szCs w:val="22"/>
          <w:u w:val="single"/>
        </w:rPr>
        <w:t>Šiaurės Airija</w:t>
      </w:r>
      <w:r>
        <w:rPr>
          <w:sz w:val="22"/>
          <w:szCs w:val="22"/>
          <w:u w:val="single"/>
        </w:rPr>
        <w:t>)</w:t>
      </w:r>
      <w:r w:rsidRPr="00DC3C06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</w:t>
      </w: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</w:p>
    <w:p w:rsidR="00464AD2" w:rsidRPr="00DC3C06" w:rsidRDefault="00464AD2" w:rsidP="00464AD2">
      <w:pPr>
        <w:spacing w:before="0" w:after="0"/>
        <w:rPr>
          <w:sz w:val="22"/>
          <w:szCs w:val="22"/>
        </w:rPr>
      </w:pPr>
      <w:r w:rsidRPr="00956ABF">
        <w:rPr>
          <w:b/>
          <w:bCs/>
          <w:sz w:val="22"/>
          <w:szCs w:val="22"/>
        </w:rPr>
        <w:t>Šis pakuotės lapelis paskutinį kartą peržiūrėtas</w:t>
      </w:r>
      <w:r>
        <w:rPr>
          <w:b/>
          <w:bCs/>
          <w:sz w:val="22"/>
          <w:szCs w:val="22"/>
        </w:rPr>
        <w:t xml:space="preserve"> 2024-05-</w:t>
      </w:r>
      <w:r w:rsidR="004038EA">
        <w:rPr>
          <w:b/>
          <w:bCs/>
          <w:sz w:val="22"/>
          <w:szCs w:val="22"/>
        </w:rPr>
        <w:t>21</w:t>
      </w:r>
      <w:r>
        <w:rPr>
          <w:b/>
          <w:snapToGrid w:val="0"/>
          <w:sz w:val="22"/>
          <w:szCs w:val="20"/>
        </w:rPr>
        <w:t>.</w:t>
      </w:r>
    </w:p>
    <w:p w:rsidR="00464AD2" w:rsidRDefault="00464AD2" w:rsidP="00464AD2">
      <w:pPr>
        <w:spacing w:before="0" w:after="0"/>
        <w:rPr>
          <w:sz w:val="18"/>
          <w:szCs w:val="18"/>
        </w:rPr>
      </w:pPr>
    </w:p>
    <w:p w:rsidR="00464AD2" w:rsidRDefault="00464AD2" w:rsidP="00464AD2">
      <w:pPr>
        <w:spacing w:before="0" w:after="0"/>
        <w:rPr>
          <w:sz w:val="22"/>
          <w:szCs w:val="22"/>
        </w:rPr>
      </w:pPr>
      <w:r w:rsidRPr="007F4AD3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7F4AD3">
        <w:rPr>
          <w:i/>
          <w:sz w:val="22"/>
          <w:szCs w:val="22"/>
        </w:rPr>
        <w:t xml:space="preserve"> </w:t>
      </w:r>
      <w:hyperlink r:id="rId17" w:history="1">
        <w:r w:rsidRPr="007F4AD3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7F4AD3">
        <w:rPr>
          <w:sz w:val="22"/>
          <w:szCs w:val="22"/>
        </w:rPr>
        <w:t>.</w:t>
      </w:r>
    </w:p>
    <w:p w:rsidR="00BA6577" w:rsidRDefault="00BA6577">
      <w:bookmarkStart w:id="1" w:name="_GoBack"/>
      <w:bookmarkEnd w:id="1"/>
    </w:p>
    <w:sectPr w:rsidR="00BA6577" w:rsidSect="00FA6371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Gra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242"/>
    <w:multiLevelType w:val="hybridMultilevel"/>
    <w:tmpl w:val="96A2494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63785"/>
    <w:multiLevelType w:val="hybridMultilevel"/>
    <w:tmpl w:val="199CDF9A"/>
    <w:lvl w:ilvl="0" w:tplc="165E9A26">
      <w:start w:val="3"/>
      <w:numFmt w:val="bullet"/>
      <w:lvlText w:val="-"/>
      <w:lvlJc w:val="left"/>
      <w:pPr>
        <w:tabs>
          <w:tab w:val="num" w:pos="1639"/>
        </w:tabs>
        <w:ind w:left="1639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359"/>
        </w:tabs>
        <w:ind w:left="235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79"/>
        </w:tabs>
        <w:ind w:left="307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99"/>
        </w:tabs>
        <w:ind w:left="379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519"/>
        </w:tabs>
        <w:ind w:left="4519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239"/>
        </w:tabs>
        <w:ind w:left="523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959"/>
        </w:tabs>
        <w:ind w:left="595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79"/>
        </w:tabs>
        <w:ind w:left="6679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99"/>
        </w:tabs>
        <w:ind w:left="7399" w:hanging="360"/>
      </w:pPr>
      <w:rPr>
        <w:rFonts w:ascii="Wingdings" w:hAnsi="Wingdings" w:hint="default"/>
      </w:rPr>
    </w:lvl>
  </w:abstractNum>
  <w:abstractNum w:abstractNumId="2" w15:restartNumberingAfterBreak="0">
    <w:nsid w:val="1C1B6523"/>
    <w:multiLevelType w:val="hybridMultilevel"/>
    <w:tmpl w:val="EFFC342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911BEF"/>
    <w:multiLevelType w:val="hybridMultilevel"/>
    <w:tmpl w:val="8C88DE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8332B"/>
    <w:multiLevelType w:val="hybridMultilevel"/>
    <w:tmpl w:val="5A5AA0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9529D"/>
    <w:multiLevelType w:val="hybridMultilevel"/>
    <w:tmpl w:val="0D64F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02E68"/>
    <w:multiLevelType w:val="hybridMultilevel"/>
    <w:tmpl w:val="01D6CCBE"/>
    <w:lvl w:ilvl="0" w:tplc="2BB88EF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71E4C"/>
    <w:multiLevelType w:val="hybridMultilevel"/>
    <w:tmpl w:val="550E827E"/>
    <w:lvl w:ilvl="0" w:tplc="BAB2CC8A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75F6763"/>
    <w:multiLevelType w:val="hybridMultilevel"/>
    <w:tmpl w:val="6898074E"/>
    <w:lvl w:ilvl="0" w:tplc="186A0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D00F7F"/>
    <w:multiLevelType w:val="hybridMultilevel"/>
    <w:tmpl w:val="B36CD8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731A"/>
    <w:multiLevelType w:val="hybridMultilevel"/>
    <w:tmpl w:val="D67CD9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CE140F"/>
    <w:multiLevelType w:val="hybridMultilevel"/>
    <w:tmpl w:val="6052C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A098F"/>
    <w:multiLevelType w:val="hybridMultilevel"/>
    <w:tmpl w:val="D390C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562C1"/>
    <w:multiLevelType w:val="hybridMultilevel"/>
    <w:tmpl w:val="B9B25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25DEB"/>
    <w:multiLevelType w:val="hybridMultilevel"/>
    <w:tmpl w:val="A7C259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5"/>
  </w:num>
  <w:num w:numId="9">
    <w:abstractNumId w:val="12"/>
  </w:num>
  <w:num w:numId="10">
    <w:abstractNumId w:val="13"/>
  </w:num>
  <w:num w:numId="11">
    <w:abstractNumId w:val="3"/>
  </w:num>
  <w:num w:numId="12">
    <w:abstractNumId w:val="9"/>
  </w:num>
  <w:num w:numId="13">
    <w:abstractNumId w:val="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D2"/>
    <w:rsid w:val="00072F85"/>
    <w:rsid w:val="00181364"/>
    <w:rsid w:val="002945D9"/>
    <w:rsid w:val="00305C48"/>
    <w:rsid w:val="003362C6"/>
    <w:rsid w:val="004038EA"/>
    <w:rsid w:val="00464AD2"/>
    <w:rsid w:val="00742EBF"/>
    <w:rsid w:val="00B4219F"/>
    <w:rsid w:val="00BA6577"/>
    <w:rsid w:val="00C30905"/>
    <w:rsid w:val="00D358F2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7D84"/>
  <w15:chartTrackingRefBased/>
  <w15:docId w15:val="{CE3D4E8A-257C-4B25-87D0-3723552B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4AD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464AD2"/>
    <w:rPr>
      <w:rFonts w:cs="Times New Roman"/>
      <w:color w:val="0000FF"/>
      <w:u w:val="none"/>
      <w:vertAlign w:val="baseline"/>
    </w:rPr>
  </w:style>
  <w:style w:type="paragraph" w:styleId="Sraopastraipa">
    <w:name w:val="List Paragraph"/>
    <w:basedOn w:val="prastasis"/>
    <w:qFormat/>
    <w:rsid w:val="00464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://emedicine.medscape.com/article/270450-overvie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6" Type="http://schemas.openxmlformats.org/officeDocument/2006/relationships/hyperlink" Target="mailto:NepageidaujamaR@vvkt.l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vvkt.lt/index.php?4004286486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hyperlink" Target="https://vapris.vvkt.lt/vvkt-web/public/nrv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13398</Words>
  <Characters>7638</Characters>
  <Application>Microsoft Office Word</Application>
  <DocSecurity>0</DocSecurity>
  <Lines>63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    Kas yra Meriofert ir kam jis vartojamas</vt:lpstr>
      <vt:lpstr>    Kas žinotina prieš vartojant Meriofert</vt:lpstr>
      <vt:lpstr>    Kaip vartoti Meriofert</vt:lpstr>
      <vt:lpstr>    4.	Galimas šalutinis poveikis</vt:lpstr>
      <vt:lpstr>    5.	Kaip laikyti Meriofert</vt:lpstr>
      <vt:lpstr>    6.	Pakuotės turinys ir kita informacija</vt:lpstr>
    </vt:vector>
  </TitlesOfParts>
  <Company/>
  <LinksUpToDate>false</LinksUpToDate>
  <CharactersWithSpaces>20995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2024-06-21T07:29:00Z</dcterms:created>
  <dcterms:modified xsi:type="dcterms:W3CDTF">2024-06-21T08:09:00Z</dcterms:modified>
</cp:coreProperties>
</file>