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F25D"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67A08817"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1491BDF0"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36306E7D"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7B0B8421"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03D8D436"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3051D696"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EA21075"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3A5E3BC9"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C285B58"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3452A31"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F7070DE"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27A6D109"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5AE1EAF" w14:textId="77777777"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43DC064D" w14:textId="606E2F5B"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7E1BAF4A" w14:textId="0720A60B"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0A8EA6BA" w14:textId="1D9EDFED"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73013CF8" w14:textId="118CE6F0" w:rsidR="000F2B00" w:rsidRPr="004804D2" w:rsidRDefault="000F2B00" w:rsidP="000F2B00">
      <w:pPr>
        <w:tabs>
          <w:tab w:val="left" w:pos="-1440"/>
          <w:tab w:val="left" w:pos="-720"/>
          <w:tab w:val="left" w:pos="567"/>
        </w:tabs>
        <w:spacing w:after="0" w:line="260" w:lineRule="exact"/>
        <w:rPr>
          <w:rFonts w:ascii="Times New Roman" w:hAnsi="Times New Roman" w:cs="Times New Roman"/>
          <w:b/>
        </w:rPr>
      </w:pPr>
    </w:p>
    <w:p w14:paraId="65844DF1" w14:textId="77777777" w:rsidR="000F2B00" w:rsidRDefault="000F2B00" w:rsidP="000F2B00">
      <w:pPr>
        <w:tabs>
          <w:tab w:val="left" w:pos="-1440"/>
          <w:tab w:val="left" w:pos="-720"/>
          <w:tab w:val="left" w:pos="567"/>
        </w:tabs>
        <w:spacing w:after="0" w:line="260" w:lineRule="exact"/>
        <w:rPr>
          <w:rFonts w:ascii="Times New Roman" w:hAnsi="Times New Roman" w:cs="Times New Roman"/>
          <w:b/>
        </w:rPr>
      </w:pPr>
    </w:p>
    <w:p w14:paraId="7BFE1172" w14:textId="77777777" w:rsidR="00863353" w:rsidRDefault="00863353" w:rsidP="000F2B00">
      <w:pPr>
        <w:tabs>
          <w:tab w:val="left" w:pos="-1440"/>
          <w:tab w:val="left" w:pos="-720"/>
          <w:tab w:val="left" w:pos="567"/>
        </w:tabs>
        <w:spacing w:after="0" w:line="260" w:lineRule="exact"/>
        <w:rPr>
          <w:rFonts w:ascii="Times New Roman" w:hAnsi="Times New Roman" w:cs="Times New Roman"/>
          <w:b/>
        </w:rPr>
      </w:pPr>
    </w:p>
    <w:p w14:paraId="0A26E2E8" w14:textId="77777777" w:rsidR="00863353" w:rsidRDefault="00863353" w:rsidP="000F2B00">
      <w:pPr>
        <w:tabs>
          <w:tab w:val="left" w:pos="-1440"/>
          <w:tab w:val="left" w:pos="-720"/>
          <w:tab w:val="left" w:pos="567"/>
        </w:tabs>
        <w:spacing w:after="0" w:line="260" w:lineRule="exact"/>
        <w:rPr>
          <w:rFonts w:ascii="Times New Roman" w:hAnsi="Times New Roman" w:cs="Times New Roman"/>
          <w:b/>
        </w:rPr>
      </w:pPr>
    </w:p>
    <w:p w14:paraId="6853D343" w14:textId="77777777" w:rsidR="00863353" w:rsidRDefault="00863353" w:rsidP="000F2B00">
      <w:pPr>
        <w:tabs>
          <w:tab w:val="left" w:pos="-1440"/>
          <w:tab w:val="left" w:pos="-720"/>
          <w:tab w:val="left" w:pos="567"/>
        </w:tabs>
        <w:spacing w:after="0" w:line="260" w:lineRule="exact"/>
        <w:rPr>
          <w:rFonts w:ascii="Times New Roman" w:hAnsi="Times New Roman" w:cs="Times New Roman"/>
          <w:b/>
        </w:rPr>
      </w:pPr>
    </w:p>
    <w:p w14:paraId="5B8F3A01" w14:textId="77777777" w:rsidR="00863353" w:rsidRPr="004804D2" w:rsidRDefault="00863353" w:rsidP="000F2B00">
      <w:pPr>
        <w:tabs>
          <w:tab w:val="left" w:pos="-1440"/>
          <w:tab w:val="left" w:pos="-720"/>
          <w:tab w:val="left" w:pos="567"/>
        </w:tabs>
        <w:spacing w:after="0" w:line="260" w:lineRule="exact"/>
        <w:rPr>
          <w:rFonts w:ascii="Times New Roman" w:hAnsi="Times New Roman" w:cs="Times New Roman"/>
          <w:b/>
        </w:rPr>
      </w:pPr>
    </w:p>
    <w:p w14:paraId="6AEA92EF" w14:textId="77777777" w:rsidR="000F2B00" w:rsidRPr="004804D2" w:rsidRDefault="000F2B00" w:rsidP="00487D3F">
      <w:pPr>
        <w:keepNext/>
        <w:tabs>
          <w:tab w:val="left" w:pos="567"/>
        </w:tabs>
        <w:spacing w:after="0"/>
        <w:jc w:val="center"/>
        <w:outlineLvl w:val="1"/>
        <w:rPr>
          <w:rFonts w:ascii="Times New Roman" w:hAnsi="Times New Roman" w:cs="Times New Roman"/>
          <w:b/>
          <w:lang w:eastAsia="x-none"/>
        </w:rPr>
      </w:pPr>
      <w:r w:rsidRPr="004804D2">
        <w:rPr>
          <w:rFonts w:ascii="Times New Roman" w:hAnsi="Times New Roman" w:cs="Times New Roman"/>
          <w:b/>
          <w:bCs/>
          <w:iCs/>
          <w:lang w:eastAsia="x-none"/>
        </w:rPr>
        <w:t>I PRIEDAS</w:t>
      </w:r>
    </w:p>
    <w:p w14:paraId="4413C84B" w14:textId="77777777" w:rsidR="000F2B00" w:rsidRPr="004804D2" w:rsidRDefault="000F2B00" w:rsidP="00487D3F">
      <w:pPr>
        <w:tabs>
          <w:tab w:val="left" w:pos="567"/>
        </w:tabs>
        <w:spacing w:after="0"/>
        <w:rPr>
          <w:rFonts w:ascii="Times New Roman" w:hAnsi="Times New Roman" w:cs="Times New Roman"/>
        </w:rPr>
      </w:pPr>
    </w:p>
    <w:p w14:paraId="45F7CD9F" w14:textId="77777777" w:rsidR="000F2B00" w:rsidRPr="004804D2" w:rsidRDefault="000F2B00" w:rsidP="000F2B00">
      <w:pPr>
        <w:tabs>
          <w:tab w:val="left" w:pos="-1440"/>
          <w:tab w:val="left" w:pos="-720"/>
          <w:tab w:val="left" w:pos="567"/>
        </w:tabs>
        <w:spacing w:line="260" w:lineRule="exact"/>
        <w:jc w:val="center"/>
        <w:rPr>
          <w:rFonts w:ascii="Times New Roman" w:hAnsi="Times New Roman" w:cs="Times New Roman"/>
          <w:b/>
        </w:rPr>
      </w:pPr>
      <w:r w:rsidRPr="004804D2">
        <w:rPr>
          <w:rFonts w:ascii="Times New Roman" w:hAnsi="Times New Roman" w:cs="Times New Roman"/>
          <w:b/>
        </w:rPr>
        <w:t>PREPARATO CHARAKTERISTIKŲ SANTRAUKA</w:t>
      </w:r>
    </w:p>
    <w:p w14:paraId="712C31D4" w14:textId="711C5F3E" w:rsidR="000F2B00" w:rsidRPr="004804D2" w:rsidRDefault="000F2B00" w:rsidP="000F2B00">
      <w:pPr>
        <w:tabs>
          <w:tab w:val="left" w:pos="-1440"/>
          <w:tab w:val="left" w:pos="-720"/>
          <w:tab w:val="left" w:pos="567"/>
        </w:tabs>
        <w:spacing w:line="260" w:lineRule="exact"/>
        <w:jc w:val="center"/>
        <w:rPr>
          <w:rFonts w:ascii="Times New Roman" w:hAnsi="Times New Roman" w:cs="Times New Roman"/>
        </w:rPr>
      </w:pPr>
      <w:r w:rsidRPr="004804D2">
        <w:rPr>
          <w:rFonts w:ascii="Times New Roman" w:hAnsi="Times New Roman" w:cs="Times New Roman"/>
          <w:lang w:eastAsia="zh-CN"/>
        </w:rPr>
        <w:br w:type="page"/>
      </w:r>
    </w:p>
    <w:p w14:paraId="42A795C3" w14:textId="77777777" w:rsidR="000F2B00" w:rsidRPr="004804D2" w:rsidRDefault="000F2B00" w:rsidP="000F2B00">
      <w:pPr>
        <w:keepNext/>
        <w:keepLines/>
        <w:suppressAutoHyphens/>
        <w:autoSpaceDN w:val="0"/>
        <w:spacing w:after="240" w:line="240" w:lineRule="auto"/>
        <w:jc w:val="both"/>
        <w:outlineLvl w:val="0"/>
        <w:rPr>
          <w:rFonts w:ascii="Times New Roman" w:eastAsiaTheme="majorEastAsia" w:hAnsi="Times New Roman" w:cs="Times New Roman"/>
          <w:b/>
          <w:bCs/>
          <w:lang w:val="en-US"/>
        </w:rPr>
      </w:pPr>
    </w:p>
    <w:p w14:paraId="6C0A5ABE" w14:textId="510EDFAB" w:rsidR="009263F3" w:rsidRPr="004804D2" w:rsidRDefault="009263F3" w:rsidP="000F2B00">
      <w:pPr>
        <w:keepNext/>
        <w:keepLines/>
        <w:numPr>
          <w:ilvl w:val="0"/>
          <w:numId w:val="5"/>
        </w:numPr>
        <w:suppressAutoHyphens/>
        <w:autoSpaceDN w:val="0"/>
        <w:spacing w:after="240" w:line="240" w:lineRule="auto"/>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VAISTINIO PREPARATO PAVADINIMAS</w:t>
      </w:r>
    </w:p>
    <w:p w14:paraId="53702024" w14:textId="32E09CCA" w:rsidR="009263F3" w:rsidRPr="004804D2" w:rsidRDefault="002452FC" w:rsidP="004A172F">
      <w:pPr>
        <w:spacing w:after="0"/>
        <w:ind w:left="567" w:hanging="567"/>
        <w:jc w:val="both"/>
        <w:rPr>
          <w:rFonts w:ascii="Times New Roman" w:hAnsi="Times New Roman" w:cs="Times New Roman"/>
          <w:lang w:val="en-US"/>
        </w:rPr>
      </w:pPr>
      <w:r>
        <w:rPr>
          <w:rFonts w:ascii="Times New Roman" w:hAnsi="Times New Roman" w:cs="Times New Roman"/>
          <w:lang w:bidi="lt-LT"/>
        </w:rPr>
        <w:t>Bottiar</w:t>
      </w:r>
      <w:r w:rsidR="000C42CF" w:rsidRPr="004804D2">
        <w:rPr>
          <w:rFonts w:ascii="Times New Roman" w:hAnsi="Times New Roman" w:cs="Times New Roman"/>
          <w:lang w:bidi="lt-LT"/>
        </w:rPr>
        <w:t xml:space="preserve"> 5</w:t>
      </w:r>
      <w:r w:rsidR="00863353">
        <w:rPr>
          <w:rFonts w:ascii="Times New Roman" w:hAnsi="Times New Roman" w:cs="Times New Roman"/>
          <w:lang w:bidi="lt-LT"/>
        </w:rPr>
        <w:t> </w:t>
      </w:r>
      <w:r w:rsidR="000C42CF" w:rsidRPr="004804D2">
        <w:rPr>
          <w:rFonts w:ascii="Times New Roman" w:hAnsi="Times New Roman" w:cs="Times New Roman"/>
          <w:lang w:bidi="lt-LT"/>
        </w:rPr>
        <w:t>mg plėvele dengtos tabletės</w:t>
      </w:r>
    </w:p>
    <w:p w14:paraId="64481BA4" w14:textId="1B984541" w:rsidR="009A1D56" w:rsidRPr="004804D2" w:rsidRDefault="009A1D56" w:rsidP="004A172F">
      <w:pPr>
        <w:suppressAutoHyphens/>
        <w:autoSpaceDN w:val="0"/>
        <w:spacing w:after="0" w:line="240" w:lineRule="auto"/>
        <w:ind w:left="567" w:hanging="567"/>
        <w:jc w:val="both"/>
        <w:rPr>
          <w:rFonts w:ascii="Times New Roman" w:eastAsia="Calibri" w:hAnsi="Times New Roman" w:cs="Times New Roman"/>
          <w:lang w:val="en-US"/>
        </w:rPr>
      </w:pPr>
    </w:p>
    <w:p w14:paraId="3BA59D4A" w14:textId="3BD3D23E" w:rsidR="009263F3" w:rsidRPr="004804D2" w:rsidRDefault="009263F3" w:rsidP="004A172F">
      <w:pPr>
        <w:suppressAutoHyphens/>
        <w:autoSpaceDN w:val="0"/>
        <w:spacing w:after="0" w:line="240" w:lineRule="auto"/>
        <w:ind w:left="567" w:hanging="567"/>
        <w:jc w:val="both"/>
        <w:rPr>
          <w:rFonts w:ascii="Times New Roman" w:eastAsia="Calibri" w:hAnsi="Times New Roman" w:cs="Times New Roman"/>
          <w:lang w:val="en-US"/>
        </w:rPr>
      </w:pPr>
    </w:p>
    <w:p w14:paraId="463C276C" w14:textId="4988D77E" w:rsidR="009263F3" w:rsidRPr="004804D2" w:rsidRDefault="009263F3" w:rsidP="000F2B00">
      <w:pPr>
        <w:keepNext/>
        <w:keepLines/>
        <w:numPr>
          <w:ilvl w:val="0"/>
          <w:numId w:val="5"/>
        </w:numPr>
        <w:suppressAutoHyphens/>
        <w:autoSpaceDN w:val="0"/>
        <w:spacing w:after="24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KOKYBINĖ IR KIEKYBINĖ SUDĖTIS</w:t>
      </w:r>
    </w:p>
    <w:p w14:paraId="73887576" w14:textId="6DEBC79F" w:rsidR="009263F3" w:rsidRPr="004804D2" w:rsidRDefault="009263F3" w:rsidP="004A172F">
      <w:pPr>
        <w:spacing w:after="0"/>
        <w:ind w:left="567" w:hanging="567"/>
        <w:jc w:val="both"/>
        <w:rPr>
          <w:rFonts w:ascii="Times New Roman" w:hAnsi="Times New Roman" w:cs="Times New Roman"/>
        </w:rPr>
      </w:pPr>
      <w:r w:rsidRPr="004804D2">
        <w:rPr>
          <w:rFonts w:ascii="Times New Roman" w:hAnsi="Times New Roman" w:cs="Times New Roman"/>
          <w:lang w:bidi="lt-LT"/>
        </w:rPr>
        <w:t>Kiekvienoje tabletėje yra 5</w:t>
      </w:r>
      <w:r w:rsidR="00863353" w:rsidRPr="00E1529B">
        <w:rPr>
          <w:rFonts w:ascii="Times New Roman" w:hAnsi="Times New Roman" w:cs="Times New Roman"/>
          <w:lang w:bidi="lt-LT"/>
        </w:rPr>
        <w:t> </w:t>
      </w:r>
      <w:r w:rsidRPr="004804D2">
        <w:rPr>
          <w:rFonts w:ascii="Times New Roman" w:hAnsi="Times New Roman" w:cs="Times New Roman"/>
          <w:lang w:bidi="lt-LT"/>
        </w:rPr>
        <w:t>mg linagliptino.</w:t>
      </w:r>
    </w:p>
    <w:p w14:paraId="483577A7" w14:textId="55A2A9E1" w:rsidR="009263F3" w:rsidRPr="004804D2" w:rsidRDefault="009263F3" w:rsidP="004A172F">
      <w:pPr>
        <w:suppressAutoHyphens/>
        <w:autoSpaceDN w:val="0"/>
        <w:spacing w:after="0" w:line="240" w:lineRule="auto"/>
        <w:ind w:left="567" w:hanging="567"/>
        <w:jc w:val="both"/>
        <w:rPr>
          <w:rFonts w:ascii="Times New Roman" w:eastAsia="Calibri" w:hAnsi="Times New Roman" w:cs="Times New Roman"/>
        </w:rPr>
      </w:pPr>
    </w:p>
    <w:p w14:paraId="5C5C0B42" w14:textId="541BE991" w:rsidR="009263F3" w:rsidRPr="004804D2" w:rsidRDefault="009263F3" w:rsidP="004A172F">
      <w:pPr>
        <w:spacing w:after="0"/>
        <w:ind w:left="567" w:hanging="567"/>
        <w:jc w:val="both"/>
        <w:rPr>
          <w:rFonts w:ascii="Times New Roman" w:hAnsi="Times New Roman" w:cs="Times New Roman"/>
          <w:lang w:val="en-US"/>
        </w:rPr>
      </w:pPr>
      <w:r w:rsidRPr="004804D2">
        <w:rPr>
          <w:rFonts w:ascii="Times New Roman" w:hAnsi="Times New Roman" w:cs="Times New Roman"/>
          <w:lang w:bidi="lt-LT"/>
        </w:rPr>
        <w:t>Pagalbinės medžiagos išvardytos 6.1 skyriuje.</w:t>
      </w:r>
    </w:p>
    <w:p w14:paraId="4DDC2FA0" w14:textId="131BDFB3" w:rsidR="009263F3" w:rsidRPr="004804D2" w:rsidRDefault="009263F3" w:rsidP="004A172F">
      <w:pPr>
        <w:suppressAutoHyphens/>
        <w:autoSpaceDN w:val="0"/>
        <w:spacing w:after="0" w:line="240" w:lineRule="auto"/>
        <w:ind w:left="567" w:hanging="567"/>
        <w:jc w:val="both"/>
        <w:rPr>
          <w:rFonts w:ascii="Times New Roman" w:eastAsia="Calibri" w:hAnsi="Times New Roman" w:cs="Times New Roman"/>
          <w:lang w:val="en-US"/>
        </w:rPr>
      </w:pPr>
    </w:p>
    <w:p w14:paraId="2112B300" w14:textId="5FECA4A3" w:rsidR="009263F3" w:rsidRPr="004804D2" w:rsidRDefault="009263F3" w:rsidP="004A172F">
      <w:pPr>
        <w:suppressAutoHyphens/>
        <w:autoSpaceDN w:val="0"/>
        <w:spacing w:after="0" w:line="240" w:lineRule="auto"/>
        <w:ind w:left="567" w:hanging="567"/>
        <w:jc w:val="both"/>
        <w:rPr>
          <w:rFonts w:ascii="Times New Roman" w:eastAsia="Calibri" w:hAnsi="Times New Roman" w:cs="Times New Roman"/>
          <w:lang w:val="en-US"/>
        </w:rPr>
      </w:pPr>
    </w:p>
    <w:p w14:paraId="659F303E" w14:textId="09562197" w:rsidR="009263F3" w:rsidRPr="004804D2" w:rsidRDefault="00863353" w:rsidP="000F2B00">
      <w:pPr>
        <w:keepNext/>
        <w:keepLines/>
        <w:numPr>
          <w:ilvl w:val="0"/>
          <w:numId w:val="5"/>
        </w:numPr>
        <w:suppressAutoHyphens/>
        <w:autoSpaceDN w:val="0"/>
        <w:spacing w:after="240" w:line="240" w:lineRule="auto"/>
        <w:ind w:left="567" w:hanging="567"/>
        <w:jc w:val="both"/>
        <w:outlineLvl w:val="0"/>
        <w:rPr>
          <w:rFonts w:ascii="Times New Roman" w:eastAsiaTheme="majorEastAsia" w:hAnsi="Times New Roman" w:cs="Times New Roman"/>
          <w:b/>
          <w:bCs/>
        </w:rPr>
      </w:pPr>
      <w:r>
        <w:rPr>
          <w:rFonts w:ascii="Times New Roman" w:hAnsi="Times New Roman" w:cs="Times New Roman"/>
          <w:b/>
          <w:lang w:bidi="lt-LT"/>
        </w:rPr>
        <w:t>FARMACIN</w:t>
      </w:r>
      <w:r>
        <w:rPr>
          <w:rFonts w:ascii="Times New Roman" w:hAnsi="Times New Roman" w:cs="Times New Roman"/>
          <w:b/>
          <w:lang w:val="en-US" w:bidi="lt-LT"/>
        </w:rPr>
        <w:t>Ė</w:t>
      </w:r>
      <w:r w:rsidRPr="004804D2">
        <w:rPr>
          <w:rFonts w:ascii="Times New Roman" w:hAnsi="Times New Roman" w:cs="Times New Roman"/>
          <w:b/>
          <w:lang w:bidi="lt-LT"/>
        </w:rPr>
        <w:t xml:space="preserve"> </w:t>
      </w:r>
      <w:r w:rsidR="009263F3" w:rsidRPr="004804D2">
        <w:rPr>
          <w:rFonts w:ascii="Times New Roman" w:hAnsi="Times New Roman" w:cs="Times New Roman"/>
          <w:b/>
          <w:lang w:bidi="lt-LT"/>
        </w:rPr>
        <w:t>FORMA</w:t>
      </w:r>
    </w:p>
    <w:p w14:paraId="763D57D2" w14:textId="535CDD89" w:rsidR="009263F3" w:rsidRPr="004804D2" w:rsidRDefault="009263F3" w:rsidP="009263F3">
      <w:pPr>
        <w:spacing w:after="0"/>
        <w:jc w:val="both"/>
        <w:rPr>
          <w:rFonts w:ascii="Times New Roman" w:hAnsi="Times New Roman" w:cs="Times New Roman"/>
          <w:lang w:val="en-US"/>
        </w:rPr>
      </w:pPr>
      <w:r w:rsidRPr="004804D2">
        <w:rPr>
          <w:rFonts w:ascii="Times New Roman" w:hAnsi="Times New Roman" w:cs="Times New Roman"/>
          <w:lang w:bidi="lt-LT"/>
        </w:rPr>
        <w:t>Plėvele dengtos tabletės.</w:t>
      </w:r>
    </w:p>
    <w:p w14:paraId="1474F31C" w14:textId="36B1BCB8" w:rsidR="009263F3" w:rsidRPr="004804D2" w:rsidRDefault="009263F3" w:rsidP="009263F3">
      <w:pPr>
        <w:suppressAutoHyphens/>
        <w:autoSpaceDN w:val="0"/>
        <w:spacing w:after="0" w:line="240" w:lineRule="auto"/>
        <w:jc w:val="both"/>
        <w:rPr>
          <w:rFonts w:ascii="Times New Roman" w:eastAsia="Calibri" w:hAnsi="Times New Roman" w:cs="Times New Roman"/>
        </w:rPr>
      </w:pPr>
    </w:p>
    <w:p w14:paraId="5BA1A50D" w14:textId="48535707" w:rsidR="009263F3" w:rsidRPr="004804D2" w:rsidRDefault="00842427" w:rsidP="009263F3">
      <w:pPr>
        <w:spacing w:after="0"/>
        <w:jc w:val="both"/>
        <w:rPr>
          <w:rFonts w:ascii="Times New Roman" w:hAnsi="Times New Roman" w:cs="Times New Roman"/>
        </w:rPr>
      </w:pPr>
      <w:r w:rsidRPr="004804D2">
        <w:rPr>
          <w:rFonts w:ascii="Times New Roman" w:hAnsi="Times New Roman" w:cs="Times New Roman"/>
          <w:lang w:bidi="lt-LT"/>
        </w:rPr>
        <w:t>Raudonos, apskritos, iš abiejų pusių</w:t>
      </w:r>
      <w:r w:rsidR="00024747">
        <w:rPr>
          <w:rFonts w:ascii="Times New Roman" w:hAnsi="Times New Roman" w:cs="Times New Roman"/>
          <w:lang w:bidi="lt-LT"/>
        </w:rPr>
        <w:t xml:space="preserve"> išgaubtos</w:t>
      </w:r>
      <w:r w:rsidRPr="004804D2">
        <w:rPr>
          <w:rFonts w:ascii="Times New Roman" w:hAnsi="Times New Roman" w:cs="Times New Roman"/>
          <w:lang w:bidi="lt-LT"/>
        </w:rPr>
        <w:t xml:space="preserve"> tabletės, kurių nominalus skersmuo yra 8,1</w:t>
      </w:r>
      <w:r w:rsidR="00863353">
        <w:rPr>
          <w:rFonts w:ascii="Times New Roman" w:hAnsi="Times New Roman" w:cs="Times New Roman"/>
          <w:lang w:bidi="lt-LT"/>
        </w:rPr>
        <w:t> </w:t>
      </w:r>
      <w:r w:rsidRPr="004804D2">
        <w:rPr>
          <w:rFonts w:ascii="Times New Roman" w:hAnsi="Times New Roman" w:cs="Times New Roman"/>
          <w:lang w:bidi="lt-LT"/>
        </w:rPr>
        <w:t>mm, vienoje tabletės pusėje įspausta žyma „5“, o kit</w:t>
      </w:r>
      <w:r w:rsidR="00024747">
        <w:rPr>
          <w:rFonts w:ascii="Times New Roman" w:hAnsi="Times New Roman" w:cs="Times New Roman"/>
          <w:lang w:bidi="lt-LT"/>
        </w:rPr>
        <w:t>a</w:t>
      </w:r>
      <w:r w:rsidRPr="004804D2">
        <w:rPr>
          <w:rFonts w:ascii="Times New Roman" w:hAnsi="Times New Roman" w:cs="Times New Roman"/>
          <w:lang w:bidi="lt-LT"/>
        </w:rPr>
        <w:t xml:space="preserve"> pusė yra lygi.</w:t>
      </w:r>
    </w:p>
    <w:p w14:paraId="6BA7CA5C" w14:textId="1F0B2B40" w:rsidR="009263F3" w:rsidRPr="004804D2" w:rsidRDefault="009263F3" w:rsidP="009263F3">
      <w:pPr>
        <w:suppressAutoHyphens/>
        <w:autoSpaceDN w:val="0"/>
        <w:spacing w:after="0" w:line="240" w:lineRule="auto"/>
        <w:jc w:val="both"/>
        <w:rPr>
          <w:rFonts w:ascii="Times New Roman" w:eastAsia="Calibri" w:hAnsi="Times New Roman" w:cs="Times New Roman"/>
        </w:rPr>
      </w:pPr>
    </w:p>
    <w:p w14:paraId="0A870B99" w14:textId="092A59AD" w:rsidR="009263F3" w:rsidRPr="004804D2" w:rsidRDefault="009263F3" w:rsidP="009263F3">
      <w:pPr>
        <w:suppressAutoHyphens/>
        <w:autoSpaceDN w:val="0"/>
        <w:spacing w:after="0" w:line="240" w:lineRule="auto"/>
        <w:jc w:val="both"/>
        <w:rPr>
          <w:rFonts w:ascii="Times New Roman" w:eastAsia="Calibri" w:hAnsi="Times New Roman" w:cs="Times New Roman"/>
        </w:rPr>
      </w:pPr>
    </w:p>
    <w:p w14:paraId="7CCF894B" w14:textId="23426087" w:rsidR="009263F3" w:rsidRPr="00706810" w:rsidRDefault="009263F3" w:rsidP="000E3151">
      <w:pPr>
        <w:keepNext/>
        <w:keepLines/>
        <w:numPr>
          <w:ilvl w:val="0"/>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KLINIKINĖ INFORMACIJA</w:t>
      </w:r>
    </w:p>
    <w:p w14:paraId="447DE5E6" w14:textId="77777777" w:rsidR="000E3151" w:rsidRPr="004804D2" w:rsidRDefault="000E3151" w:rsidP="00706810">
      <w:pPr>
        <w:keepNext/>
        <w:keepLines/>
        <w:suppressAutoHyphens/>
        <w:autoSpaceDN w:val="0"/>
        <w:spacing w:after="0" w:line="240" w:lineRule="auto"/>
        <w:jc w:val="both"/>
        <w:outlineLvl w:val="0"/>
        <w:rPr>
          <w:rFonts w:ascii="Times New Roman" w:eastAsiaTheme="majorEastAsia" w:hAnsi="Times New Roman" w:cs="Times New Roman"/>
          <w:b/>
          <w:bCs/>
        </w:rPr>
      </w:pPr>
    </w:p>
    <w:p w14:paraId="5F1100FC" w14:textId="11DE7D72" w:rsidR="009263F3" w:rsidRPr="004804D2" w:rsidRDefault="009263F3" w:rsidP="00706810">
      <w:pPr>
        <w:pStyle w:val="Antrat1"/>
        <w:numPr>
          <w:ilvl w:val="1"/>
          <w:numId w:val="5"/>
        </w:numPr>
        <w:spacing w:before="0" w:line="240" w:lineRule="auto"/>
        <w:ind w:left="567" w:hanging="56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 xml:space="preserve">Terapinės indikacijos </w:t>
      </w:r>
    </w:p>
    <w:p w14:paraId="0147317E" w14:textId="77777777" w:rsidR="000E3151" w:rsidRDefault="000E3151" w:rsidP="000E3151">
      <w:pPr>
        <w:spacing w:after="0"/>
        <w:rPr>
          <w:rFonts w:ascii="Times New Roman" w:hAnsi="Times New Roman" w:cs="Times New Roman"/>
          <w:lang w:bidi="lt-LT"/>
        </w:rPr>
      </w:pPr>
    </w:p>
    <w:p w14:paraId="2162F4BB" w14:textId="1D0AAF75" w:rsidR="003B793C" w:rsidRPr="004804D2" w:rsidRDefault="002452FC" w:rsidP="000E3151">
      <w:pPr>
        <w:spacing w:after="0"/>
        <w:rPr>
          <w:rFonts w:ascii="Times New Roman" w:hAnsi="Times New Roman" w:cs="Times New Roman"/>
        </w:rPr>
      </w:pPr>
      <w:r>
        <w:rPr>
          <w:rFonts w:ascii="Times New Roman" w:hAnsi="Times New Roman" w:cs="Times New Roman"/>
          <w:lang w:bidi="lt-LT"/>
        </w:rPr>
        <w:t>Bottiar</w:t>
      </w:r>
      <w:r w:rsidR="000C42CF" w:rsidRPr="004804D2">
        <w:rPr>
          <w:rFonts w:ascii="Times New Roman" w:hAnsi="Times New Roman" w:cs="Times New Roman"/>
          <w:lang w:bidi="lt-LT"/>
        </w:rPr>
        <w:t xml:space="preserve"> skirtas suaugusiesiems, sergantiems 2 tipo cukriniu diabetu, kaip dietos ir fizinių pratimų papildymas, siekiant pagerinti gliukozės kiekio kraujyje kontrolę:</w:t>
      </w:r>
    </w:p>
    <w:p w14:paraId="38BEFB52" w14:textId="4BAF8DC1" w:rsidR="009263F3" w:rsidRPr="004804D2" w:rsidRDefault="003B793C" w:rsidP="000E3151">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monoterapija</w:t>
      </w:r>
    </w:p>
    <w:p w14:paraId="4863EAC8" w14:textId="2B1148E7" w:rsidR="00557CEF" w:rsidRPr="00E1529B" w:rsidRDefault="003B793C" w:rsidP="00706810">
      <w:pPr>
        <w:pStyle w:val="Sraopastraipa"/>
        <w:numPr>
          <w:ilvl w:val="0"/>
          <w:numId w:val="3"/>
        </w:numPr>
        <w:spacing w:after="0"/>
        <w:rPr>
          <w:rFonts w:ascii="Times New Roman" w:hAnsi="Times New Roman"/>
          <w:lang w:val="pt-PT"/>
        </w:rPr>
      </w:pPr>
      <w:r w:rsidRPr="004804D2">
        <w:rPr>
          <w:rFonts w:ascii="Times New Roman" w:hAnsi="Times New Roman"/>
          <w:lang w:bidi="lt-LT"/>
        </w:rPr>
        <w:t>kai metforminas netinka dėl netoleravimo arba draudžiamas dėl inkstų funkcijos sutrikimo.</w:t>
      </w:r>
    </w:p>
    <w:p w14:paraId="642D4F63" w14:textId="76EEF618" w:rsidR="003B793C" w:rsidRPr="004804D2" w:rsidRDefault="003B793C" w:rsidP="000E3151">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kombinuota terapija</w:t>
      </w:r>
    </w:p>
    <w:p w14:paraId="696AB2B6" w14:textId="79823C86" w:rsidR="003B793C" w:rsidRPr="004804D2" w:rsidRDefault="003B793C" w:rsidP="002452FC">
      <w:pPr>
        <w:pStyle w:val="Sraopastraipa"/>
        <w:numPr>
          <w:ilvl w:val="0"/>
          <w:numId w:val="3"/>
        </w:numPr>
        <w:spacing w:after="0"/>
        <w:rPr>
          <w:rFonts w:ascii="Times New Roman" w:hAnsi="Times New Roman"/>
          <w:lang w:val="en-US"/>
        </w:rPr>
      </w:pPr>
      <w:r w:rsidRPr="004804D2">
        <w:rPr>
          <w:rFonts w:ascii="Times New Roman" w:hAnsi="Times New Roman"/>
          <w:lang w:bidi="lt-LT"/>
        </w:rPr>
        <w:t>kartu su kitais vaistiniais preparatais, skirtais cukriniam diabetui gydyti, įskaitant insuliną, jei jie neužtikrina tinkamos glikemijos kontrolės (žr. 4.4, 4.5 ir 5.1 skyrius, kuriuose pateikiami duomenys apie įvairius derinius).</w:t>
      </w:r>
    </w:p>
    <w:p w14:paraId="7F4CF4D3" w14:textId="46593E95" w:rsidR="003B793C" w:rsidRPr="004804D2" w:rsidRDefault="003B793C" w:rsidP="002452FC">
      <w:pPr>
        <w:suppressAutoHyphens/>
        <w:autoSpaceDN w:val="0"/>
        <w:spacing w:after="0" w:line="240" w:lineRule="auto"/>
        <w:jc w:val="both"/>
        <w:rPr>
          <w:rFonts w:ascii="Times New Roman" w:eastAsia="Calibri" w:hAnsi="Times New Roman" w:cs="Times New Roman"/>
          <w:lang w:val="en-US"/>
        </w:rPr>
      </w:pPr>
    </w:p>
    <w:p w14:paraId="1302E5CD" w14:textId="00771702" w:rsidR="003B793C" w:rsidRPr="004804D2" w:rsidRDefault="003B793C"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Dozavimas ir vartojimo metodas </w:t>
      </w:r>
    </w:p>
    <w:p w14:paraId="13D92E4D" w14:textId="77777777" w:rsidR="000E3151" w:rsidRDefault="000E3151" w:rsidP="000E3151">
      <w:pPr>
        <w:spacing w:after="0"/>
        <w:jc w:val="both"/>
        <w:rPr>
          <w:rFonts w:ascii="Times New Roman" w:hAnsi="Times New Roman" w:cs="Times New Roman"/>
          <w:u w:val="single"/>
          <w:lang w:bidi="lt-LT"/>
        </w:rPr>
      </w:pPr>
    </w:p>
    <w:p w14:paraId="683609FC" w14:textId="2CE97924" w:rsidR="003B793C" w:rsidRPr="004804D2" w:rsidRDefault="003B793C" w:rsidP="000E3151">
      <w:pPr>
        <w:spacing w:after="0"/>
        <w:jc w:val="both"/>
        <w:rPr>
          <w:rFonts w:ascii="Times New Roman" w:hAnsi="Times New Roman" w:cs="Times New Roman"/>
          <w:u w:val="single"/>
          <w:lang w:val="en-US"/>
        </w:rPr>
      </w:pPr>
      <w:r w:rsidRPr="004804D2">
        <w:rPr>
          <w:rFonts w:ascii="Times New Roman" w:hAnsi="Times New Roman" w:cs="Times New Roman"/>
          <w:u w:val="single"/>
          <w:lang w:bidi="lt-LT"/>
        </w:rPr>
        <w:t>Dozavimas</w:t>
      </w:r>
    </w:p>
    <w:p w14:paraId="7C29E8AD" w14:textId="349FF82F" w:rsidR="003B793C" w:rsidRPr="004804D2" w:rsidRDefault="003B793C" w:rsidP="000E3151">
      <w:pPr>
        <w:spacing w:after="0"/>
        <w:rPr>
          <w:rFonts w:ascii="Times New Roman" w:hAnsi="Times New Roman" w:cs="Times New Roman"/>
        </w:rPr>
      </w:pPr>
      <w:r w:rsidRPr="004804D2">
        <w:rPr>
          <w:rFonts w:ascii="Times New Roman" w:hAnsi="Times New Roman" w:cs="Times New Roman"/>
          <w:lang w:bidi="lt-LT"/>
        </w:rPr>
        <w:t xml:space="preserve">Linagliptino dozė </w:t>
      </w:r>
      <w:r w:rsidR="000E3151">
        <w:rPr>
          <w:rFonts w:ascii="Times New Roman" w:hAnsi="Times New Roman" w:cs="Times New Roman"/>
          <w:lang w:bidi="lt-LT"/>
        </w:rPr>
        <w:t>yra</w:t>
      </w:r>
      <w:r w:rsidRPr="004804D2">
        <w:rPr>
          <w:rFonts w:ascii="Times New Roman" w:hAnsi="Times New Roman" w:cs="Times New Roman"/>
          <w:lang w:bidi="lt-LT"/>
        </w:rPr>
        <w:t xml:space="preserve"> 5</w:t>
      </w:r>
      <w:r w:rsidR="000E3151">
        <w:rPr>
          <w:rFonts w:ascii="Times New Roman" w:hAnsi="Times New Roman" w:cs="Times New Roman"/>
          <w:lang w:bidi="lt-LT"/>
        </w:rPr>
        <w:t> </w:t>
      </w:r>
      <w:r w:rsidRPr="004804D2">
        <w:rPr>
          <w:rFonts w:ascii="Times New Roman" w:hAnsi="Times New Roman" w:cs="Times New Roman"/>
          <w:lang w:bidi="lt-LT"/>
        </w:rPr>
        <w:t>mg kartą per parą. Jeigu gydymas metforminu papildomas linagliptinu, gydymą vartojama metformino doze reikia tęsti ir kartu pradėti gydyti linagliptinu.</w:t>
      </w:r>
    </w:p>
    <w:p w14:paraId="6ED036C5" w14:textId="4CC10137" w:rsidR="003B793C" w:rsidRPr="004804D2" w:rsidRDefault="003B793C" w:rsidP="00706810">
      <w:pPr>
        <w:spacing w:after="0"/>
        <w:rPr>
          <w:rFonts w:ascii="Times New Roman" w:hAnsi="Times New Roman" w:cs="Times New Roman"/>
        </w:rPr>
      </w:pPr>
      <w:r w:rsidRPr="004804D2">
        <w:rPr>
          <w:rFonts w:ascii="Times New Roman" w:hAnsi="Times New Roman" w:cs="Times New Roman"/>
          <w:lang w:bidi="lt-LT"/>
        </w:rPr>
        <w:t>Jeigu linagliptino vartojama derinyje su sulfonilurėjos dariniu arba su insulinu, sulfonilurėjos darinio arba insulino dozė gali būti mažinama, kad sumažėtų hipoglikemijos rizika (žr. 4.4 skyrių).</w:t>
      </w:r>
    </w:p>
    <w:p w14:paraId="68C2C4C0" w14:textId="17FDF111" w:rsidR="003B793C" w:rsidRPr="004804D2" w:rsidRDefault="003B793C" w:rsidP="009263F3">
      <w:pPr>
        <w:suppressAutoHyphens/>
        <w:autoSpaceDN w:val="0"/>
        <w:spacing w:after="0" w:line="240" w:lineRule="auto"/>
        <w:jc w:val="both"/>
        <w:rPr>
          <w:rFonts w:ascii="Times New Roman" w:eastAsia="Calibri" w:hAnsi="Times New Roman" w:cs="Times New Roman"/>
        </w:rPr>
      </w:pPr>
    </w:p>
    <w:p w14:paraId="5432AFC0" w14:textId="23587D4A" w:rsidR="003B793C" w:rsidRPr="00E1529B" w:rsidRDefault="003B793C" w:rsidP="003B793C">
      <w:pPr>
        <w:suppressAutoHyphens/>
        <w:autoSpaceDN w:val="0"/>
        <w:spacing w:after="0" w:line="240" w:lineRule="auto"/>
        <w:jc w:val="both"/>
        <w:rPr>
          <w:rFonts w:ascii="Times New Roman" w:eastAsia="Calibri" w:hAnsi="Times New Roman" w:cs="Times New Roman"/>
          <w:iCs/>
          <w:u w:val="single"/>
          <w:lang w:val="pt-PT"/>
        </w:rPr>
      </w:pPr>
      <w:r w:rsidRPr="004804D2">
        <w:rPr>
          <w:rFonts w:ascii="Times New Roman" w:hAnsi="Times New Roman" w:cs="Times New Roman"/>
          <w:u w:val="single"/>
          <w:lang w:bidi="lt-LT"/>
        </w:rPr>
        <w:t>Ypatingos populiacijos</w:t>
      </w:r>
    </w:p>
    <w:p w14:paraId="6A3FE5E8" w14:textId="020D52EB" w:rsidR="003B793C" w:rsidRPr="00E1529B" w:rsidRDefault="003B793C" w:rsidP="003B793C">
      <w:pPr>
        <w:suppressAutoHyphens/>
        <w:autoSpaceDN w:val="0"/>
        <w:spacing w:after="0" w:line="240" w:lineRule="auto"/>
        <w:jc w:val="both"/>
        <w:rPr>
          <w:rFonts w:ascii="Times New Roman" w:eastAsia="Calibri" w:hAnsi="Times New Roman" w:cs="Times New Roman"/>
          <w:i/>
          <w:iCs/>
          <w:lang w:val="pt-PT"/>
        </w:rPr>
      </w:pPr>
      <w:r w:rsidRPr="004804D2">
        <w:rPr>
          <w:rFonts w:ascii="Times New Roman" w:hAnsi="Times New Roman" w:cs="Times New Roman"/>
          <w:i/>
          <w:lang w:bidi="lt-LT"/>
        </w:rPr>
        <w:t>Pacientams, kurių inkstų funkcija sutrikusi</w:t>
      </w:r>
    </w:p>
    <w:p w14:paraId="0415D473" w14:textId="378D434D" w:rsidR="003B793C" w:rsidRPr="00E1529B" w:rsidRDefault="003B793C" w:rsidP="00E95834">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Pacientams, kurių inkstų funkcija sutrikusi, linagliptino dozės koreguoti nereikia.</w:t>
      </w:r>
    </w:p>
    <w:p w14:paraId="415BB6B1" w14:textId="57F642D0" w:rsidR="003B793C" w:rsidRPr="00E1529B" w:rsidRDefault="003B793C" w:rsidP="003B793C">
      <w:pPr>
        <w:suppressAutoHyphens/>
        <w:autoSpaceDN w:val="0"/>
        <w:spacing w:after="0" w:line="240" w:lineRule="auto"/>
        <w:jc w:val="both"/>
        <w:rPr>
          <w:rFonts w:ascii="Times New Roman" w:eastAsia="Calibri" w:hAnsi="Times New Roman" w:cs="Times New Roman"/>
          <w:lang w:val="pt-PT"/>
        </w:rPr>
      </w:pPr>
    </w:p>
    <w:p w14:paraId="7B80776B" w14:textId="77777777" w:rsidR="003B793C" w:rsidRPr="00E1529B" w:rsidRDefault="003B793C" w:rsidP="003B793C">
      <w:pPr>
        <w:suppressAutoHyphens/>
        <w:autoSpaceDN w:val="0"/>
        <w:spacing w:after="0" w:line="240" w:lineRule="auto"/>
        <w:jc w:val="both"/>
        <w:rPr>
          <w:rFonts w:ascii="Times New Roman" w:eastAsia="Calibri" w:hAnsi="Times New Roman" w:cs="Times New Roman"/>
          <w:i/>
          <w:iCs/>
          <w:lang w:val="pt-PT"/>
        </w:rPr>
      </w:pPr>
      <w:r w:rsidRPr="004804D2">
        <w:rPr>
          <w:rFonts w:ascii="Times New Roman" w:hAnsi="Times New Roman" w:cs="Times New Roman"/>
          <w:i/>
          <w:lang w:bidi="lt-LT"/>
        </w:rPr>
        <w:t>Pacientams, kurių kepenų funkcija sutrikusi</w:t>
      </w:r>
    </w:p>
    <w:p w14:paraId="1D6E09BE" w14:textId="59FE3D6D" w:rsidR="003B793C" w:rsidRPr="00E1529B" w:rsidRDefault="003B793C" w:rsidP="00E95834">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Farmakokinetikos tyrimai rodo, kad pacientams, kurių kepenų funkcija sutrikusi, dozės koreguoti nereikia, tačiau tokių pacientų gydymo patirties trūksta.</w:t>
      </w:r>
    </w:p>
    <w:p w14:paraId="098774B0" w14:textId="2C94419B" w:rsidR="003B793C" w:rsidRPr="00E1529B" w:rsidRDefault="003B793C" w:rsidP="003B793C">
      <w:pPr>
        <w:suppressAutoHyphens/>
        <w:autoSpaceDN w:val="0"/>
        <w:spacing w:after="0" w:line="240" w:lineRule="auto"/>
        <w:jc w:val="both"/>
        <w:rPr>
          <w:rFonts w:ascii="Times New Roman" w:eastAsia="Calibri" w:hAnsi="Times New Roman" w:cs="Times New Roman"/>
          <w:lang w:val="pt-PT"/>
        </w:rPr>
      </w:pPr>
    </w:p>
    <w:p w14:paraId="502C11A0" w14:textId="77777777" w:rsidR="003B793C" w:rsidRPr="00E1529B" w:rsidRDefault="003B793C" w:rsidP="003B793C">
      <w:pPr>
        <w:suppressAutoHyphens/>
        <w:autoSpaceDN w:val="0"/>
        <w:spacing w:after="0" w:line="240" w:lineRule="auto"/>
        <w:jc w:val="both"/>
        <w:rPr>
          <w:rFonts w:ascii="Times New Roman" w:eastAsia="Calibri" w:hAnsi="Times New Roman" w:cs="Times New Roman"/>
          <w:i/>
          <w:iCs/>
          <w:lang w:val="pt-PT"/>
        </w:rPr>
      </w:pPr>
      <w:r w:rsidRPr="004804D2">
        <w:rPr>
          <w:rFonts w:ascii="Times New Roman" w:hAnsi="Times New Roman" w:cs="Times New Roman"/>
          <w:i/>
          <w:lang w:bidi="lt-LT"/>
        </w:rPr>
        <w:t>Senyviems pacientams</w:t>
      </w:r>
    </w:p>
    <w:p w14:paraId="4EA59D97" w14:textId="1C74AE17" w:rsidR="003B793C" w:rsidRPr="00E1529B" w:rsidRDefault="003B793C" w:rsidP="003B793C">
      <w:pPr>
        <w:suppressAutoHyphens/>
        <w:autoSpaceDN w:val="0"/>
        <w:spacing w:after="0" w:line="240" w:lineRule="auto"/>
        <w:jc w:val="both"/>
        <w:rPr>
          <w:rFonts w:ascii="Times New Roman" w:eastAsia="Calibri" w:hAnsi="Times New Roman" w:cs="Times New Roman"/>
          <w:lang w:val="pt-PT"/>
        </w:rPr>
      </w:pPr>
      <w:r w:rsidRPr="004804D2">
        <w:rPr>
          <w:rFonts w:ascii="Times New Roman" w:hAnsi="Times New Roman" w:cs="Times New Roman"/>
          <w:lang w:bidi="lt-LT"/>
        </w:rPr>
        <w:t>Dėl amžiaus dozės koreguoti nebūtina.</w:t>
      </w:r>
    </w:p>
    <w:p w14:paraId="43476892" w14:textId="438CB13B" w:rsidR="003B793C" w:rsidRPr="00E1529B" w:rsidRDefault="003B793C" w:rsidP="003B793C">
      <w:pPr>
        <w:suppressAutoHyphens/>
        <w:autoSpaceDN w:val="0"/>
        <w:spacing w:after="0" w:line="240" w:lineRule="auto"/>
        <w:jc w:val="both"/>
        <w:rPr>
          <w:rFonts w:ascii="Times New Roman" w:eastAsia="Calibri" w:hAnsi="Times New Roman" w:cs="Times New Roman"/>
          <w:lang w:val="pt-PT"/>
        </w:rPr>
      </w:pPr>
    </w:p>
    <w:p w14:paraId="02578E02" w14:textId="77777777" w:rsidR="003B793C" w:rsidRPr="00E1529B" w:rsidRDefault="003B793C" w:rsidP="003B793C">
      <w:pPr>
        <w:suppressAutoHyphens/>
        <w:autoSpaceDN w:val="0"/>
        <w:spacing w:after="0" w:line="240" w:lineRule="auto"/>
        <w:jc w:val="both"/>
        <w:rPr>
          <w:rFonts w:ascii="Times New Roman" w:eastAsia="Calibri" w:hAnsi="Times New Roman" w:cs="Times New Roman"/>
          <w:i/>
          <w:iCs/>
          <w:lang w:val="pt-PT"/>
        </w:rPr>
      </w:pPr>
      <w:r w:rsidRPr="004804D2">
        <w:rPr>
          <w:rFonts w:ascii="Times New Roman" w:hAnsi="Times New Roman" w:cs="Times New Roman"/>
          <w:i/>
          <w:lang w:bidi="lt-LT"/>
        </w:rPr>
        <w:t>Vaikų populiacija</w:t>
      </w:r>
    </w:p>
    <w:p w14:paraId="0777FF53" w14:textId="55DA125F" w:rsidR="003B793C" w:rsidRPr="004804D2" w:rsidRDefault="003E0C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lastRenderedPageBreak/>
        <w:t>Klinikiniu tyrimu nepavyko nustatyti veiksmingumo 10-17</w:t>
      </w:r>
      <w:r w:rsidR="000E3151">
        <w:rPr>
          <w:rFonts w:ascii="Times New Roman" w:hAnsi="Times New Roman" w:cs="Times New Roman"/>
          <w:lang w:bidi="lt-LT"/>
        </w:rPr>
        <w:t> </w:t>
      </w:r>
      <w:r w:rsidRPr="004804D2">
        <w:rPr>
          <w:rFonts w:ascii="Times New Roman" w:hAnsi="Times New Roman" w:cs="Times New Roman"/>
          <w:lang w:bidi="lt-LT"/>
        </w:rPr>
        <w:t>metų vaikams (žr. 4.8, 5.1 ir 5.2 skyrius). Todėl vaikų ir paauglių gydyti linagliptinu nerekomenduojama. Linagliptino tyrimų jaunesniems kaip 10</w:t>
      </w:r>
      <w:r w:rsidR="000E3151">
        <w:rPr>
          <w:rFonts w:ascii="Times New Roman" w:hAnsi="Times New Roman" w:cs="Times New Roman"/>
          <w:lang w:bidi="lt-LT"/>
        </w:rPr>
        <w:t> </w:t>
      </w:r>
      <w:r w:rsidRPr="004804D2">
        <w:rPr>
          <w:rFonts w:ascii="Times New Roman" w:hAnsi="Times New Roman" w:cs="Times New Roman"/>
          <w:lang w:bidi="lt-LT"/>
        </w:rPr>
        <w:t>metų vaikams neatlikta.</w:t>
      </w:r>
    </w:p>
    <w:p w14:paraId="50F042FC" w14:textId="2C468B8C" w:rsidR="00EB709F" w:rsidRPr="004804D2" w:rsidRDefault="00EB709F" w:rsidP="003B793C">
      <w:pPr>
        <w:suppressAutoHyphens/>
        <w:autoSpaceDN w:val="0"/>
        <w:spacing w:after="0" w:line="240" w:lineRule="auto"/>
        <w:jc w:val="both"/>
        <w:rPr>
          <w:rFonts w:ascii="Times New Roman" w:eastAsia="Calibri" w:hAnsi="Times New Roman" w:cs="Times New Roman"/>
        </w:rPr>
      </w:pPr>
    </w:p>
    <w:p w14:paraId="126D17B3" w14:textId="77777777" w:rsidR="00EB709F" w:rsidRPr="00E1529B" w:rsidRDefault="00EB709F" w:rsidP="00EB709F">
      <w:pPr>
        <w:suppressAutoHyphens/>
        <w:autoSpaceDN w:val="0"/>
        <w:spacing w:after="0" w:line="240" w:lineRule="auto"/>
        <w:jc w:val="both"/>
        <w:rPr>
          <w:rFonts w:ascii="Times New Roman" w:eastAsia="Calibri" w:hAnsi="Times New Roman" w:cs="Times New Roman"/>
          <w:u w:val="single"/>
          <w:lang w:val="pt-PT"/>
        </w:rPr>
      </w:pPr>
      <w:r w:rsidRPr="004804D2">
        <w:rPr>
          <w:rFonts w:ascii="Times New Roman" w:hAnsi="Times New Roman" w:cs="Times New Roman"/>
          <w:u w:val="single"/>
          <w:lang w:bidi="lt-LT"/>
        </w:rPr>
        <w:t xml:space="preserve">Vartojimo metodas </w:t>
      </w:r>
    </w:p>
    <w:p w14:paraId="29645712" w14:textId="0493FA6A" w:rsidR="00EB709F" w:rsidRPr="004804D2" w:rsidRDefault="00EB709F" w:rsidP="000E3151">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Tabletes galima gerti valgio metu arba nevalgius bet kuriuo paros metu. Jeigu dozė praleidžiama, ją pacientas turi išgerti tuoj pat, kai tik prisimena. Negalima vartoti dvigubos dozės tą pačią dieną.</w:t>
      </w:r>
    </w:p>
    <w:p w14:paraId="3BFA6164" w14:textId="0F770B9A" w:rsidR="00EB709F" w:rsidRPr="004804D2" w:rsidRDefault="00EB709F" w:rsidP="002452FC">
      <w:pPr>
        <w:suppressAutoHyphens/>
        <w:autoSpaceDN w:val="0"/>
        <w:spacing w:after="0" w:line="240" w:lineRule="auto"/>
        <w:jc w:val="both"/>
        <w:rPr>
          <w:rFonts w:ascii="Times New Roman" w:eastAsia="Calibri" w:hAnsi="Times New Roman" w:cs="Times New Roman"/>
          <w:lang w:val="en-US"/>
        </w:rPr>
      </w:pPr>
    </w:p>
    <w:p w14:paraId="4E7CA31E" w14:textId="7578848D" w:rsidR="00EB709F" w:rsidRPr="004804D2" w:rsidRDefault="00EB709F"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Kontraindikacijos</w:t>
      </w:r>
    </w:p>
    <w:p w14:paraId="0BF42020" w14:textId="77777777" w:rsidR="000E3151" w:rsidRDefault="000E3151" w:rsidP="000E3151">
      <w:pPr>
        <w:suppressAutoHyphens/>
        <w:autoSpaceDN w:val="0"/>
        <w:spacing w:after="0" w:line="240" w:lineRule="auto"/>
        <w:rPr>
          <w:rFonts w:ascii="Times New Roman" w:hAnsi="Times New Roman" w:cs="Times New Roman"/>
          <w:lang w:bidi="lt-LT"/>
        </w:rPr>
      </w:pPr>
    </w:p>
    <w:p w14:paraId="36B69CC7" w14:textId="1CAF4B9A" w:rsidR="00EB709F" w:rsidRPr="004804D2" w:rsidRDefault="00EB709F" w:rsidP="000E3151">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Padidėjęs jautrumas veikliajai arba bet kuriai 6.1 skyriuje nurodytai pagalbinei medžiagai.</w:t>
      </w:r>
    </w:p>
    <w:p w14:paraId="6504D75A" w14:textId="45947FC2" w:rsidR="00EB709F" w:rsidRPr="004804D2" w:rsidRDefault="00EB709F" w:rsidP="000E3151">
      <w:pPr>
        <w:suppressAutoHyphens/>
        <w:autoSpaceDN w:val="0"/>
        <w:spacing w:after="0" w:line="240" w:lineRule="auto"/>
        <w:jc w:val="both"/>
        <w:rPr>
          <w:rFonts w:ascii="Times New Roman" w:eastAsia="Calibri" w:hAnsi="Times New Roman" w:cs="Times New Roman"/>
        </w:rPr>
      </w:pPr>
    </w:p>
    <w:p w14:paraId="1A8B1041" w14:textId="47C2B32C" w:rsidR="00EB709F" w:rsidRPr="004804D2" w:rsidRDefault="00EB709F"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Specialūs įspėjimai ir atsargumo priemonės</w:t>
      </w:r>
    </w:p>
    <w:p w14:paraId="0817342C" w14:textId="77777777" w:rsidR="000E3151" w:rsidRDefault="000E3151" w:rsidP="000E3151">
      <w:pPr>
        <w:suppressAutoHyphens/>
        <w:autoSpaceDN w:val="0"/>
        <w:spacing w:after="0" w:line="240" w:lineRule="auto"/>
        <w:jc w:val="both"/>
        <w:rPr>
          <w:rFonts w:ascii="Times New Roman" w:hAnsi="Times New Roman" w:cs="Times New Roman"/>
          <w:u w:val="single"/>
          <w:lang w:bidi="lt-LT"/>
        </w:rPr>
      </w:pPr>
    </w:p>
    <w:p w14:paraId="5913718E" w14:textId="2F81228C" w:rsidR="00EB709F" w:rsidRPr="004804D2" w:rsidRDefault="00EB709F" w:rsidP="000E3151">
      <w:pPr>
        <w:suppressAutoHyphens/>
        <w:autoSpaceDN w:val="0"/>
        <w:spacing w:after="0" w:line="240" w:lineRule="auto"/>
        <w:jc w:val="both"/>
        <w:rPr>
          <w:rFonts w:ascii="Times New Roman" w:eastAsia="Calibri" w:hAnsi="Times New Roman" w:cs="Times New Roman"/>
          <w:u w:val="single"/>
          <w:lang w:val="en-US"/>
        </w:rPr>
      </w:pPr>
      <w:r w:rsidRPr="004804D2">
        <w:rPr>
          <w:rFonts w:ascii="Times New Roman" w:hAnsi="Times New Roman" w:cs="Times New Roman"/>
          <w:u w:val="single"/>
          <w:lang w:bidi="lt-LT"/>
        </w:rPr>
        <w:t>Bendrieji įspėjimai</w:t>
      </w:r>
    </w:p>
    <w:p w14:paraId="59F834B8" w14:textId="77777777" w:rsidR="00EB709F" w:rsidRPr="00E1529B" w:rsidRDefault="00EB709F" w:rsidP="000E3151">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Linagliptinas turi būti nevartojamas pacientams, kuriems yra 1 tipo cukrinis diabetas ar diabetinės ketoacidozės gydymui.</w:t>
      </w:r>
    </w:p>
    <w:p w14:paraId="6CF610E3" w14:textId="7A5C3E96" w:rsidR="00EB709F" w:rsidRPr="00E1529B" w:rsidRDefault="00EB709F" w:rsidP="002452FC">
      <w:pPr>
        <w:suppressAutoHyphens/>
        <w:autoSpaceDN w:val="0"/>
        <w:spacing w:after="0" w:line="240" w:lineRule="auto"/>
        <w:jc w:val="both"/>
        <w:rPr>
          <w:rFonts w:ascii="Times New Roman" w:eastAsia="Calibri" w:hAnsi="Times New Roman" w:cs="Times New Roman"/>
          <w:lang w:val="pt-PT"/>
        </w:rPr>
      </w:pPr>
    </w:p>
    <w:p w14:paraId="2CB08CFC" w14:textId="77777777" w:rsidR="00EB709F" w:rsidRPr="00E1529B" w:rsidRDefault="00EB709F" w:rsidP="002452FC">
      <w:pPr>
        <w:suppressAutoHyphens/>
        <w:autoSpaceDN w:val="0"/>
        <w:spacing w:after="0" w:line="240" w:lineRule="auto"/>
        <w:rPr>
          <w:rFonts w:ascii="Times New Roman" w:eastAsia="Calibri" w:hAnsi="Times New Roman" w:cs="Times New Roman"/>
          <w:u w:val="single"/>
          <w:lang w:val="pt-PT"/>
        </w:rPr>
      </w:pPr>
      <w:r w:rsidRPr="004804D2">
        <w:rPr>
          <w:rFonts w:ascii="Times New Roman" w:hAnsi="Times New Roman" w:cs="Times New Roman"/>
          <w:u w:val="single"/>
          <w:lang w:bidi="lt-LT"/>
        </w:rPr>
        <w:t>Hipoglikemija</w:t>
      </w:r>
    </w:p>
    <w:p w14:paraId="0C1D6815" w14:textId="77777777" w:rsidR="00EB709F" w:rsidRPr="00E1529B" w:rsidRDefault="00EB709F" w:rsidP="002452FC">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Gydant vien linagliptinu hipoglikemijos atvejų dažnis yra panašus kaip vartojant placebo.</w:t>
      </w:r>
    </w:p>
    <w:p w14:paraId="3FD9F1DC" w14:textId="29FFB8EE" w:rsidR="00EB709F" w:rsidRPr="00E1529B" w:rsidRDefault="00EB709F" w:rsidP="00282DBB">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Klinikinių tyrimų, kurių metu linagliptinas buvo skiriamas, kaip sudėtinio gydymo dalis, su hipoglikemijos nesukeliančiais vaistiniais preparatais (metforminu), linagliptino vartojantiems pacientams hipoglikemijos dažnis buvo panašus į dažnį placebo vartojantiems pacientams.</w:t>
      </w:r>
    </w:p>
    <w:p w14:paraId="505293B2" w14:textId="0AF8E74A" w:rsidR="00EB709F" w:rsidRPr="00E1529B" w:rsidRDefault="00EB709F" w:rsidP="00E95834">
      <w:pPr>
        <w:suppressAutoHyphens/>
        <w:autoSpaceDN w:val="0"/>
        <w:spacing w:after="0" w:line="240" w:lineRule="auto"/>
        <w:rPr>
          <w:rFonts w:ascii="Times New Roman" w:eastAsia="Calibri" w:hAnsi="Times New Roman" w:cs="Times New Roman"/>
          <w:lang w:val="pt-PT"/>
        </w:rPr>
      </w:pPr>
    </w:p>
    <w:p w14:paraId="09CDAA46" w14:textId="2C9BAE2A" w:rsidR="00EB709F" w:rsidRPr="00E1529B" w:rsidRDefault="00EB709F" w:rsidP="00E95834">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Gydymą sulfonilurėjos dariniu papildžius linagliptinu (foninio gydymo metforminu metu), hipoglikemijos dažnis buvo didesnis nei vartojant placebo (žr. 4.8 skyrių).</w:t>
      </w:r>
    </w:p>
    <w:p w14:paraId="6B755852" w14:textId="0FCA448B" w:rsidR="00EB709F" w:rsidRPr="00E1529B" w:rsidRDefault="00EB709F" w:rsidP="00E95834">
      <w:pPr>
        <w:suppressAutoHyphens/>
        <w:autoSpaceDN w:val="0"/>
        <w:spacing w:after="0" w:line="240" w:lineRule="auto"/>
        <w:rPr>
          <w:rFonts w:ascii="Times New Roman" w:eastAsia="Calibri" w:hAnsi="Times New Roman" w:cs="Times New Roman"/>
          <w:lang w:val="pt-PT"/>
        </w:rPr>
      </w:pPr>
    </w:p>
    <w:p w14:paraId="5DB43A9F" w14:textId="3254EBE1" w:rsidR="00EB709F" w:rsidRPr="004804D2" w:rsidRDefault="00EB709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Žinoma, kad sulfonilurėjos dariniai ir insulinas sukelia hipoglikemiją. Todėl linagliptino ir sulfonilurėjos darinio ir (arba) insulino deriniu patariama gydyti atsargiai. Galima apsvarstyti sulfonilurėjos darinio arba insulino dozės mažinimą (žr. 4.2 skyrių).</w:t>
      </w:r>
    </w:p>
    <w:p w14:paraId="7EE9E915" w14:textId="6E9FBC5E" w:rsidR="00EB709F" w:rsidRPr="004804D2" w:rsidRDefault="00EB709F" w:rsidP="00E95834">
      <w:pPr>
        <w:suppressAutoHyphens/>
        <w:autoSpaceDN w:val="0"/>
        <w:spacing w:after="0" w:line="240" w:lineRule="auto"/>
        <w:rPr>
          <w:rFonts w:ascii="Times New Roman" w:eastAsia="Calibri" w:hAnsi="Times New Roman" w:cs="Times New Roman"/>
        </w:rPr>
      </w:pPr>
    </w:p>
    <w:p w14:paraId="6BD8E57F" w14:textId="77777777" w:rsidR="00EB709F" w:rsidRPr="004804D2" w:rsidRDefault="00EB709F"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Ūminis pankreatitas</w:t>
      </w:r>
    </w:p>
    <w:p w14:paraId="7AE92DA6" w14:textId="69DE5F34" w:rsidR="00EB709F" w:rsidRPr="004804D2" w:rsidRDefault="00EB709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DPP</w:t>
      </w:r>
      <w:r w:rsidR="000E3151">
        <w:rPr>
          <w:rFonts w:ascii="Times New Roman" w:hAnsi="Times New Roman" w:cs="Times New Roman"/>
          <w:lang w:bidi="lt-LT"/>
        </w:rPr>
        <w:t>-</w:t>
      </w:r>
      <w:r w:rsidRPr="004804D2">
        <w:rPr>
          <w:rFonts w:ascii="Times New Roman" w:hAnsi="Times New Roman" w:cs="Times New Roman"/>
          <w:lang w:bidi="lt-LT"/>
        </w:rPr>
        <w:t>4 inhibitorių vartojimas yra susijęs su ūminio pankreatito išsivystymo rizika. Linagliptino vartojusiems pacientams stebėtas ūminis pankreatitas. Saugumo širdies ir kraujagyslių sistemai bei inkstams tyrimo (CARMELINA), kurio stebėjimo periodo mediana siekė 2,2</w:t>
      </w:r>
      <w:r w:rsidR="000E3151">
        <w:rPr>
          <w:rFonts w:ascii="Times New Roman" w:hAnsi="Times New Roman" w:cs="Times New Roman"/>
          <w:lang w:bidi="lt-LT"/>
        </w:rPr>
        <w:t> </w:t>
      </w:r>
      <w:r w:rsidRPr="004804D2">
        <w:rPr>
          <w:rFonts w:ascii="Times New Roman" w:hAnsi="Times New Roman" w:cs="Times New Roman"/>
          <w:lang w:bidi="lt-LT"/>
        </w:rPr>
        <w:t>metų, metu gauta pranešimų apie patvirtintą ūminį pankreatitą, pasireiškusį 0,3</w:t>
      </w:r>
      <w:r w:rsidR="000E3151">
        <w:rPr>
          <w:rFonts w:ascii="Times New Roman" w:hAnsi="Times New Roman" w:cs="Times New Roman"/>
          <w:lang w:bidi="lt-LT"/>
        </w:rPr>
        <w:t> </w:t>
      </w:r>
      <w:r w:rsidRPr="004804D2">
        <w:rPr>
          <w:rFonts w:ascii="Times New Roman" w:hAnsi="Times New Roman" w:cs="Times New Roman"/>
          <w:lang w:bidi="lt-LT"/>
        </w:rPr>
        <w:t>% pacientų, vartojusių linagliptino, ir 0,1</w:t>
      </w:r>
      <w:r w:rsidR="000E3151">
        <w:rPr>
          <w:rFonts w:ascii="Times New Roman" w:hAnsi="Times New Roman" w:cs="Times New Roman"/>
          <w:lang w:bidi="lt-LT"/>
        </w:rPr>
        <w:t> </w:t>
      </w:r>
      <w:r w:rsidRPr="004804D2">
        <w:rPr>
          <w:rFonts w:ascii="Times New Roman" w:hAnsi="Times New Roman" w:cs="Times New Roman"/>
          <w:lang w:bidi="lt-LT"/>
        </w:rPr>
        <w:t>% pacientų, vartojusių placebo.</w:t>
      </w:r>
    </w:p>
    <w:p w14:paraId="010A582A" w14:textId="316DE392" w:rsidR="00EB709F" w:rsidRPr="004804D2" w:rsidRDefault="00EB709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Pacientai turi būti informuoti apie būdingus ūminio pankreatito simptomus. Jei įtariamas pankreatitas,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vartojimas turi būti nutrauktas; jei patvirtinama  ūminio pankreatito diagnozė, negalima atnaujinti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vartojimo. Reikia atsargiai gydyti pacientus, kurie buvo sirgę pankreatitu.</w:t>
      </w:r>
    </w:p>
    <w:p w14:paraId="3404BC6E" w14:textId="34BD9C42" w:rsidR="00EB709F" w:rsidRPr="004804D2" w:rsidRDefault="00EB709F" w:rsidP="00E95834">
      <w:pPr>
        <w:suppressAutoHyphens/>
        <w:autoSpaceDN w:val="0"/>
        <w:spacing w:after="0" w:line="240" w:lineRule="auto"/>
        <w:rPr>
          <w:rFonts w:ascii="Times New Roman" w:eastAsia="Calibri" w:hAnsi="Times New Roman" w:cs="Times New Roman"/>
        </w:rPr>
      </w:pPr>
    </w:p>
    <w:p w14:paraId="5FAED678" w14:textId="77777777" w:rsidR="00EB709F" w:rsidRPr="004804D2" w:rsidRDefault="00EB709F"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Pūslinis pemfigoidas</w:t>
      </w:r>
    </w:p>
    <w:p w14:paraId="692050B6" w14:textId="20C1E3ED" w:rsidR="00EB709F" w:rsidRPr="004804D2" w:rsidRDefault="00EB709F" w:rsidP="000E3151">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vartojantiems pacientams buvo pastebėtas pūslinis pemfigoidas. CARMELINA tyrimo metu buvo  gauta pranešimų apie pūslinį pemfigoidą, pasireiškusį 0,2</w:t>
      </w:r>
      <w:r w:rsidR="000E3151">
        <w:rPr>
          <w:rFonts w:ascii="Times New Roman" w:hAnsi="Times New Roman" w:cs="Times New Roman"/>
          <w:lang w:bidi="lt-LT"/>
        </w:rPr>
        <w:t> </w:t>
      </w:r>
      <w:r w:rsidRPr="004804D2">
        <w:rPr>
          <w:rFonts w:ascii="Times New Roman" w:hAnsi="Times New Roman" w:cs="Times New Roman"/>
          <w:lang w:bidi="lt-LT"/>
        </w:rPr>
        <w:t xml:space="preserve">% linagliptinu gydomų pacientų, iš placebo vartojusių pacientų tokių pranešimų negauta. Jei įtariamas pūslinis pemfigoidas,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vartojimas turi būti nutrauktas.</w:t>
      </w:r>
    </w:p>
    <w:p w14:paraId="6F1E0801" w14:textId="6E260546" w:rsidR="00EB709F" w:rsidRPr="004804D2" w:rsidRDefault="00EB709F" w:rsidP="002452FC">
      <w:pPr>
        <w:suppressAutoHyphens/>
        <w:autoSpaceDN w:val="0"/>
        <w:spacing w:after="0" w:line="240" w:lineRule="auto"/>
        <w:jc w:val="both"/>
        <w:rPr>
          <w:rFonts w:ascii="Times New Roman" w:eastAsia="Calibri" w:hAnsi="Times New Roman" w:cs="Times New Roman"/>
        </w:rPr>
      </w:pPr>
    </w:p>
    <w:p w14:paraId="338D9F3A" w14:textId="0BD72C44" w:rsidR="00EB709F" w:rsidRPr="00E1529B" w:rsidRDefault="00EB709F" w:rsidP="00706810">
      <w:pPr>
        <w:keepNext/>
        <w:keepLines/>
        <w:numPr>
          <w:ilvl w:val="1"/>
          <w:numId w:val="5"/>
        </w:numPr>
        <w:suppressAutoHyphens/>
        <w:autoSpaceDN w:val="0"/>
        <w:spacing w:after="0" w:line="240" w:lineRule="auto"/>
        <w:ind w:left="567" w:hanging="567"/>
        <w:outlineLvl w:val="0"/>
        <w:rPr>
          <w:rFonts w:ascii="Times New Roman" w:eastAsiaTheme="majorEastAsia" w:hAnsi="Times New Roman" w:cs="Times New Roman"/>
          <w:b/>
          <w:bCs/>
          <w:lang w:val="pt-PT"/>
        </w:rPr>
      </w:pPr>
      <w:r w:rsidRPr="004804D2">
        <w:rPr>
          <w:rFonts w:ascii="Times New Roman" w:hAnsi="Times New Roman" w:cs="Times New Roman"/>
          <w:b/>
          <w:lang w:bidi="lt-LT"/>
        </w:rPr>
        <w:t>Sąveika su kitais vaistiniais preparatais ir kitokia sąveika</w:t>
      </w:r>
    </w:p>
    <w:p w14:paraId="0109F0DF" w14:textId="77777777" w:rsidR="000E3151" w:rsidRDefault="000E3151" w:rsidP="000E3151">
      <w:pPr>
        <w:suppressAutoHyphens/>
        <w:autoSpaceDN w:val="0"/>
        <w:spacing w:after="0" w:line="240" w:lineRule="auto"/>
        <w:rPr>
          <w:rFonts w:ascii="Times New Roman" w:hAnsi="Times New Roman" w:cs="Times New Roman"/>
          <w:i/>
          <w:u w:val="single"/>
          <w:lang w:bidi="lt-LT"/>
        </w:rPr>
      </w:pPr>
    </w:p>
    <w:p w14:paraId="05EBEDD2" w14:textId="52903339" w:rsidR="00BD1339" w:rsidRPr="00706810" w:rsidRDefault="00BD1339" w:rsidP="000E3151">
      <w:pPr>
        <w:suppressAutoHyphens/>
        <w:autoSpaceDN w:val="0"/>
        <w:spacing w:after="0" w:line="240" w:lineRule="auto"/>
        <w:rPr>
          <w:rFonts w:ascii="Times New Roman" w:eastAsia="Calibri" w:hAnsi="Times New Roman" w:cs="Times New Roman"/>
          <w:i/>
          <w:iCs/>
          <w:u w:val="single"/>
        </w:rPr>
      </w:pPr>
      <w:r w:rsidRPr="004804D2">
        <w:rPr>
          <w:rFonts w:ascii="Times New Roman" w:hAnsi="Times New Roman" w:cs="Times New Roman"/>
          <w:i/>
          <w:u w:val="single"/>
          <w:lang w:bidi="lt-LT"/>
        </w:rPr>
        <w:t>Sąveikų vertinimas in vitro</w:t>
      </w:r>
    </w:p>
    <w:p w14:paraId="470F3C73" w14:textId="77777777"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Linagliptinas silpnai konkurenciniu būdu ir silpnai arba vidutinio stiprumo nuo veikimo mechanizmo priklausomu būdu slopina CYP 3A4 izofermentą, tačiau kitų CYP izofermentų neslopina. CYP izofermentų linagliptinas neindukuoja.</w:t>
      </w:r>
    </w:p>
    <w:p w14:paraId="2E8ED33B" w14:textId="5CAB424A"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Linagliptinas yra P</w:t>
      </w:r>
      <w:r w:rsidR="000E3151">
        <w:rPr>
          <w:rFonts w:ascii="Times New Roman" w:hAnsi="Times New Roman" w:cs="Times New Roman"/>
          <w:lang w:bidi="lt-LT"/>
        </w:rPr>
        <w:t>-</w:t>
      </w:r>
      <w:r w:rsidRPr="004804D2">
        <w:rPr>
          <w:rFonts w:ascii="Times New Roman" w:hAnsi="Times New Roman" w:cs="Times New Roman"/>
          <w:lang w:bidi="lt-LT"/>
        </w:rPr>
        <w:t>glikoproteino substratas ir šiek tiek slopina digoksino pernašą, vykstančią tarpininkaujant P</w:t>
      </w:r>
      <w:r w:rsidR="000E3151">
        <w:rPr>
          <w:rFonts w:ascii="Times New Roman" w:hAnsi="Times New Roman" w:cs="Times New Roman"/>
          <w:lang w:bidi="lt-LT"/>
        </w:rPr>
        <w:t>-</w:t>
      </w:r>
      <w:r w:rsidRPr="004804D2">
        <w:rPr>
          <w:rFonts w:ascii="Times New Roman" w:hAnsi="Times New Roman" w:cs="Times New Roman"/>
          <w:lang w:bidi="lt-LT"/>
        </w:rPr>
        <w:t xml:space="preserve">glikoproteinui. Remiantis šiais rezultatais bei sąveikos tyrimais </w:t>
      </w:r>
      <w:r w:rsidRPr="004804D2">
        <w:rPr>
          <w:rFonts w:ascii="Times New Roman" w:hAnsi="Times New Roman" w:cs="Times New Roman"/>
          <w:i/>
          <w:lang w:bidi="lt-LT"/>
        </w:rPr>
        <w:t>in vivo</w:t>
      </w:r>
      <w:r w:rsidRPr="004804D2">
        <w:rPr>
          <w:rFonts w:ascii="Times New Roman" w:hAnsi="Times New Roman" w:cs="Times New Roman"/>
          <w:lang w:bidi="lt-LT"/>
        </w:rPr>
        <w:t xml:space="preserve"> manoma, kad linagliptino sąveika su kitais P-gp substratais yra mažai tikėtina.</w:t>
      </w:r>
    </w:p>
    <w:p w14:paraId="43A53276" w14:textId="38F6917F" w:rsidR="00EB709F" w:rsidRPr="004804D2" w:rsidRDefault="00EB709F" w:rsidP="00E95834">
      <w:pPr>
        <w:suppressAutoHyphens/>
        <w:autoSpaceDN w:val="0"/>
        <w:spacing w:after="0" w:line="240" w:lineRule="auto"/>
        <w:rPr>
          <w:rFonts w:ascii="Times New Roman" w:eastAsia="Calibri" w:hAnsi="Times New Roman" w:cs="Times New Roman"/>
        </w:rPr>
      </w:pPr>
    </w:p>
    <w:p w14:paraId="76C26369" w14:textId="77777777" w:rsidR="00BD1339" w:rsidRPr="00E1529B" w:rsidRDefault="00BD1339" w:rsidP="00E95834">
      <w:pPr>
        <w:suppressAutoHyphens/>
        <w:autoSpaceDN w:val="0"/>
        <w:spacing w:after="0" w:line="240" w:lineRule="auto"/>
        <w:rPr>
          <w:rFonts w:ascii="Times New Roman" w:eastAsia="Calibri" w:hAnsi="Times New Roman" w:cs="Times New Roman"/>
          <w:i/>
          <w:iCs/>
          <w:u w:val="single"/>
          <w:lang w:val="pt-PT"/>
        </w:rPr>
      </w:pPr>
      <w:r w:rsidRPr="004804D2">
        <w:rPr>
          <w:rFonts w:ascii="Times New Roman" w:hAnsi="Times New Roman" w:cs="Times New Roman"/>
          <w:i/>
          <w:u w:val="single"/>
          <w:lang w:bidi="lt-LT"/>
        </w:rPr>
        <w:lastRenderedPageBreak/>
        <w:t>Sąveikų vertinimas in vivo</w:t>
      </w:r>
    </w:p>
    <w:p w14:paraId="1A6CA590" w14:textId="77777777" w:rsidR="00BD1339" w:rsidRPr="00E1529B" w:rsidRDefault="00BD1339" w:rsidP="00E95834">
      <w:pPr>
        <w:suppressAutoHyphens/>
        <w:autoSpaceDN w:val="0"/>
        <w:spacing w:after="0" w:line="240" w:lineRule="auto"/>
        <w:rPr>
          <w:rFonts w:ascii="Times New Roman" w:eastAsia="Calibri" w:hAnsi="Times New Roman" w:cs="Times New Roman"/>
          <w:i/>
          <w:iCs/>
          <w:u w:val="single"/>
          <w:lang w:val="pt-PT"/>
        </w:rPr>
      </w:pPr>
      <w:r w:rsidRPr="004804D2">
        <w:rPr>
          <w:rFonts w:ascii="Times New Roman" w:hAnsi="Times New Roman" w:cs="Times New Roman"/>
          <w:i/>
          <w:u w:val="single"/>
          <w:lang w:bidi="lt-LT"/>
        </w:rPr>
        <w:t>Kitų vaistinių preparatų poveikis linagliptinui</w:t>
      </w:r>
    </w:p>
    <w:p w14:paraId="66389950" w14:textId="14CB3F5A" w:rsidR="00BD1339" w:rsidRPr="00E1529B" w:rsidRDefault="00BD1339" w:rsidP="00E95834">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Toliau pateikti klinikiniai duomenys rodo, kad kliniškai reikšmingų sąveikų su kartu vartotais vaistiniais preparatais rizika yra maža.</w:t>
      </w:r>
    </w:p>
    <w:p w14:paraId="543208EB" w14:textId="1E8D0DAB" w:rsidR="00BD1339" w:rsidRPr="00E1529B" w:rsidRDefault="00BD1339" w:rsidP="00E95834">
      <w:pPr>
        <w:suppressAutoHyphens/>
        <w:autoSpaceDN w:val="0"/>
        <w:spacing w:after="0" w:line="240" w:lineRule="auto"/>
        <w:rPr>
          <w:rFonts w:ascii="Times New Roman" w:eastAsia="Calibri" w:hAnsi="Times New Roman" w:cs="Times New Roman"/>
          <w:lang w:val="pt-PT"/>
        </w:rPr>
      </w:pPr>
    </w:p>
    <w:p w14:paraId="24521AFC" w14:textId="26F9A6CE"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Rifampicinas</w:t>
      </w:r>
      <w:r w:rsidRPr="004804D2">
        <w:rPr>
          <w:rFonts w:ascii="Times New Roman" w:hAnsi="Times New Roman" w:cs="Times New Roman"/>
          <w:lang w:bidi="lt-LT"/>
        </w:rPr>
        <w:t>: daugkartinis linagliptino 5</w:t>
      </w:r>
      <w:r w:rsidR="000E3151">
        <w:rPr>
          <w:rFonts w:ascii="Times New Roman" w:hAnsi="Times New Roman" w:cs="Times New Roman"/>
          <w:lang w:bidi="lt-LT"/>
        </w:rPr>
        <w:t> </w:t>
      </w:r>
      <w:r w:rsidRPr="004804D2">
        <w:rPr>
          <w:rFonts w:ascii="Times New Roman" w:hAnsi="Times New Roman" w:cs="Times New Roman"/>
          <w:lang w:bidi="lt-LT"/>
        </w:rPr>
        <w:t>mg dozės vartojimas kartu su stipriai P</w:t>
      </w:r>
      <w:r w:rsidR="000E3151">
        <w:rPr>
          <w:rFonts w:ascii="Times New Roman" w:hAnsi="Times New Roman" w:cs="Times New Roman"/>
          <w:lang w:bidi="lt-LT"/>
        </w:rPr>
        <w:t>-</w:t>
      </w:r>
      <w:r w:rsidRPr="004804D2">
        <w:rPr>
          <w:rFonts w:ascii="Times New Roman" w:hAnsi="Times New Roman" w:cs="Times New Roman"/>
          <w:lang w:bidi="lt-LT"/>
        </w:rPr>
        <w:t>glikoproteiną ir CYP 3A4 indukuojančiu rifampicinu sukėlė linagliptino 39,6</w:t>
      </w:r>
      <w:r w:rsidR="000E3151">
        <w:rPr>
          <w:rFonts w:ascii="Times New Roman" w:hAnsi="Times New Roman" w:cs="Times New Roman"/>
          <w:lang w:bidi="lt-LT"/>
        </w:rPr>
        <w:t> </w:t>
      </w:r>
      <w:r w:rsidRPr="004804D2">
        <w:rPr>
          <w:rFonts w:ascii="Times New Roman" w:hAnsi="Times New Roman" w:cs="Times New Roman"/>
          <w:lang w:bidi="lt-LT"/>
        </w:rPr>
        <w:t>% AUC ir 43,8</w:t>
      </w:r>
      <w:r w:rsidR="000E3151">
        <w:rPr>
          <w:rFonts w:ascii="Times New Roman" w:hAnsi="Times New Roman" w:cs="Times New Roman"/>
          <w:lang w:bidi="lt-LT"/>
        </w:rPr>
        <w:t> </w:t>
      </w:r>
      <w:r w:rsidRPr="004804D2">
        <w:rPr>
          <w:rFonts w:ascii="Times New Roman" w:hAnsi="Times New Roman" w:cs="Times New Roman"/>
          <w:lang w:bidi="lt-LT"/>
        </w:rPr>
        <w:t>%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sumažėjimą, nusistovėjus pusiausvyrinei koncentracijai bei DPP-4 slopinimo sumažėjimą maždaug 30</w:t>
      </w:r>
      <w:r w:rsidR="000E3151">
        <w:rPr>
          <w:rFonts w:ascii="Times New Roman" w:hAnsi="Times New Roman" w:cs="Times New Roman"/>
          <w:lang w:bidi="lt-LT"/>
        </w:rPr>
        <w:t> </w:t>
      </w:r>
      <w:r w:rsidRPr="004804D2">
        <w:rPr>
          <w:rFonts w:ascii="Times New Roman" w:hAnsi="Times New Roman" w:cs="Times New Roman"/>
          <w:lang w:bidi="lt-LT"/>
        </w:rPr>
        <w:t>% esant mažiausiai koncentracijai. Taigi visas linagliptino, vartojamo kartu su stipriai veikiančiais P</w:t>
      </w:r>
      <w:r w:rsidR="000E3151">
        <w:rPr>
          <w:rFonts w:ascii="Times New Roman" w:hAnsi="Times New Roman" w:cs="Times New Roman"/>
          <w:lang w:bidi="lt-LT"/>
        </w:rPr>
        <w:t>-</w:t>
      </w:r>
      <w:r w:rsidRPr="004804D2">
        <w:rPr>
          <w:rFonts w:ascii="Times New Roman" w:hAnsi="Times New Roman" w:cs="Times New Roman"/>
          <w:lang w:bidi="lt-LT"/>
        </w:rPr>
        <w:t>glikoproteino induktoriais, veiksmingumas gali nepasireikšti, ypač ilgalaikio vartojimo metu</w:t>
      </w:r>
      <w:r w:rsidR="000E3151">
        <w:rPr>
          <w:rFonts w:ascii="Times New Roman" w:hAnsi="Times New Roman" w:cs="Times New Roman"/>
          <w:lang w:bidi="lt-LT"/>
        </w:rPr>
        <w:t>.</w:t>
      </w:r>
      <w:r w:rsidRPr="004804D2">
        <w:rPr>
          <w:rFonts w:ascii="Times New Roman" w:hAnsi="Times New Roman" w:cs="Times New Roman"/>
          <w:lang w:bidi="lt-LT"/>
        </w:rPr>
        <w:t xml:space="preserve"> Vartojimas kartu su kitais stipriai veikiančiais P</w:t>
      </w:r>
      <w:r w:rsidR="000E3151">
        <w:rPr>
          <w:rFonts w:ascii="Times New Roman" w:hAnsi="Times New Roman" w:cs="Times New Roman"/>
          <w:lang w:bidi="lt-LT"/>
        </w:rPr>
        <w:t>-</w:t>
      </w:r>
      <w:r w:rsidRPr="004804D2">
        <w:rPr>
          <w:rFonts w:ascii="Times New Roman" w:hAnsi="Times New Roman" w:cs="Times New Roman"/>
          <w:lang w:bidi="lt-LT"/>
        </w:rPr>
        <w:t>glikoproteino ir CYP 3A4 induktoriais, tokiais kaip karbamazepinas, fenobarbitalis ar fenitoinas, nebuvo tirtas.</w:t>
      </w:r>
    </w:p>
    <w:p w14:paraId="70F9EAF6" w14:textId="3EB7D72E" w:rsidR="00BD1339" w:rsidRPr="004804D2" w:rsidRDefault="00BD1339" w:rsidP="00E95834">
      <w:pPr>
        <w:suppressAutoHyphens/>
        <w:autoSpaceDN w:val="0"/>
        <w:spacing w:after="0" w:line="240" w:lineRule="auto"/>
        <w:rPr>
          <w:rFonts w:ascii="Times New Roman" w:eastAsia="Calibri" w:hAnsi="Times New Roman" w:cs="Times New Roman"/>
        </w:rPr>
      </w:pPr>
    </w:p>
    <w:p w14:paraId="2DC6C446" w14:textId="5A47533B"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Ritonaviras</w:t>
      </w:r>
      <w:r w:rsidRPr="004804D2">
        <w:rPr>
          <w:rFonts w:ascii="Times New Roman" w:hAnsi="Times New Roman" w:cs="Times New Roman"/>
          <w:lang w:bidi="lt-LT"/>
        </w:rPr>
        <w:t>: vieną 5</w:t>
      </w:r>
      <w:r w:rsidR="002452FC">
        <w:rPr>
          <w:rFonts w:ascii="Times New Roman" w:hAnsi="Times New Roman" w:cs="Times New Roman"/>
          <w:lang w:bidi="lt-LT"/>
        </w:rPr>
        <w:t> </w:t>
      </w:r>
      <w:r w:rsidRPr="004804D2">
        <w:rPr>
          <w:rFonts w:ascii="Times New Roman" w:hAnsi="Times New Roman" w:cs="Times New Roman"/>
          <w:lang w:bidi="lt-LT"/>
        </w:rPr>
        <w:t>mg linagliptino dozę išgėrus kartu su stipriai P</w:t>
      </w:r>
      <w:r w:rsidR="002452FC">
        <w:rPr>
          <w:rFonts w:ascii="Times New Roman" w:hAnsi="Times New Roman" w:cs="Times New Roman"/>
          <w:lang w:bidi="lt-LT"/>
        </w:rPr>
        <w:t>-</w:t>
      </w:r>
      <w:r w:rsidRPr="004804D2">
        <w:rPr>
          <w:rFonts w:ascii="Times New Roman" w:hAnsi="Times New Roman" w:cs="Times New Roman"/>
          <w:lang w:bidi="lt-LT"/>
        </w:rPr>
        <w:t>glikoproteiną ir CYP3A4 slopinančio ritonaviro daugkartinėmis per burną vartojamomis 200</w:t>
      </w:r>
      <w:r w:rsidR="002452FC">
        <w:rPr>
          <w:rFonts w:ascii="Times New Roman" w:hAnsi="Times New Roman" w:cs="Times New Roman"/>
          <w:lang w:bidi="lt-LT"/>
        </w:rPr>
        <w:t> </w:t>
      </w:r>
      <w:r w:rsidRPr="004804D2">
        <w:rPr>
          <w:rFonts w:ascii="Times New Roman" w:hAnsi="Times New Roman" w:cs="Times New Roman"/>
          <w:lang w:bidi="lt-LT"/>
        </w:rPr>
        <w:t>mg dozėmis, linagliptino AUC ir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padidėjo atitinkamai maždaug du ir tris kartus. Neprisijungusios medžiagos koncentracija, kuri gydymo terapine linagliptino doze metu paprastai būna mažesnė negu 1</w:t>
      </w:r>
      <w:r w:rsidR="002452FC">
        <w:rPr>
          <w:rFonts w:ascii="Times New Roman" w:hAnsi="Times New Roman" w:cs="Times New Roman"/>
          <w:lang w:bidi="lt-LT"/>
        </w:rPr>
        <w:t> </w:t>
      </w:r>
      <w:r w:rsidRPr="004804D2">
        <w:rPr>
          <w:rFonts w:ascii="Times New Roman" w:hAnsi="Times New Roman" w:cs="Times New Roman"/>
          <w:lang w:bidi="lt-LT"/>
        </w:rPr>
        <w:t>%, po pavartojimo kartu su ritonaviru padidėjo 4-5 kartus. Linagliptino koncentracijos kraujo plazmoje, esant nusistovėjusiai pusiausvyrinei koncentracijai, modeliavimas, kai kartu vartojama arba nevartojama ritonaviro, rodo, kad ekspozicijos padidėjimas nėra susijęs su kaupimosi padidėjimu. Šie linagliptino farmakokinetikos pokyčiai nelaikomi kliniškai reikšmingais. Taigi kliniškai reikšmingų linagliptino sąveikų su kitais P</w:t>
      </w:r>
      <w:r w:rsidR="002452FC">
        <w:rPr>
          <w:rFonts w:ascii="Times New Roman" w:hAnsi="Times New Roman" w:cs="Times New Roman"/>
          <w:lang w:bidi="lt-LT"/>
        </w:rPr>
        <w:t>-</w:t>
      </w:r>
      <w:r w:rsidRPr="004804D2">
        <w:rPr>
          <w:rFonts w:ascii="Times New Roman" w:hAnsi="Times New Roman" w:cs="Times New Roman"/>
          <w:lang w:bidi="lt-LT"/>
        </w:rPr>
        <w:t>glikoproteino ar CYP3A4 inhibitoriais nesitikima.</w:t>
      </w:r>
    </w:p>
    <w:p w14:paraId="5629B890" w14:textId="199A3D27" w:rsidR="00BD1339" w:rsidRPr="004804D2" w:rsidRDefault="00BD1339" w:rsidP="00E95834">
      <w:pPr>
        <w:suppressAutoHyphens/>
        <w:autoSpaceDN w:val="0"/>
        <w:spacing w:after="0" w:line="240" w:lineRule="auto"/>
        <w:rPr>
          <w:rFonts w:ascii="Times New Roman" w:eastAsia="Calibri" w:hAnsi="Times New Roman" w:cs="Times New Roman"/>
        </w:rPr>
      </w:pPr>
    </w:p>
    <w:p w14:paraId="4D28CB59" w14:textId="220FC0E5"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Metforminas</w:t>
      </w:r>
      <w:r w:rsidRPr="004804D2">
        <w:rPr>
          <w:rFonts w:ascii="Times New Roman" w:hAnsi="Times New Roman" w:cs="Times New Roman"/>
          <w:lang w:bidi="lt-LT"/>
        </w:rPr>
        <w:t>: sveikų savanorių, kartu su daugkartinėmis tris kartus per parą geriamomis 850</w:t>
      </w:r>
      <w:r w:rsidR="002452FC">
        <w:rPr>
          <w:rFonts w:ascii="Times New Roman" w:hAnsi="Times New Roman" w:cs="Times New Roman"/>
          <w:lang w:bidi="lt-LT"/>
        </w:rPr>
        <w:t> </w:t>
      </w:r>
      <w:r w:rsidRPr="004804D2">
        <w:rPr>
          <w:rFonts w:ascii="Times New Roman" w:hAnsi="Times New Roman" w:cs="Times New Roman"/>
          <w:lang w:bidi="lt-LT"/>
        </w:rPr>
        <w:t>mg metformino dozėmis vartojusių 10</w:t>
      </w:r>
      <w:r w:rsidR="002452FC">
        <w:rPr>
          <w:rFonts w:ascii="Times New Roman" w:hAnsi="Times New Roman" w:cs="Times New Roman"/>
          <w:lang w:bidi="lt-LT"/>
        </w:rPr>
        <w:t> </w:t>
      </w:r>
      <w:r w:rsidRPr="004804D2">
        <w:rPr>
          <w:rFonts w:ascii="Times New Roman" w:hAnsi="Times New Roman" w:cs="Times New Roman"/>
          <w:lang w:bidi="lt-LT"/>
        </w:rPr>
        <w:t>mg linagliptino dozę kartą per parą, organizme kliniškai reikšmingai linagliptino farmakokinetika nekito.</w:t>
      </w:r>
    </w:p>
    <w:p w14:paraId="07AA582B" w14:textId="2D0513CF" w:rsidR="00BD1339" w:rsidRPr="004804D2" w:rsidRDefault="00BD1339" w:rsidP="00E95834">
      <w:pPr>
        <w:suppressAutoHyphens/>
        <w:autoSpaceDN w:val="0"/>
        <w:spacing w:after="0" w:line="240" w:lineRule="auto"/>
        <w:rPr>
          <w:rFonts w:ascii="Times New Roman" w:eastAsia="Calibri" w:hAnsi="Times New Roman" w:cs="Times New Roman"/>
        </w:rPr>
      </w:pPr>
    </w:p>
    <w:p w14:paraId="36D5A9CB" w14:textId="19BEEE72"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Sulfonilurėjos dariniai</w:t>
      </w:r>
      <w:r w:rsidRPr="004804D2">
        <w:rPr>
          <w:rFonts w:ascii="Times New Roman" w:hAnsi="Times New Roman" w:cs="Times New Roman"/>
          <w:lang w:bidi="lt-LT"/>
        </w:rPr>
        <w:t>: 5</w:t>
      </w:r>
      <w:r w:rsidR="002452FC">
        <w:rPr>
          <w:rFonts w:ascii="Times New Roman" w:hAnsi="Times New Roman" w:cs="Times New Roman"/>
          <w:lang w:bidi="lt-LT"/>
        </w:rPr>
        <w:t> </w:t>
      </w:r>
      <w:r w:rsidRPr="004804D2">
        <w:rPr>
          <w:rFonts w:ascii="Times New Roman" w:hAnsi="Times New Roman" w:cs="Times New Roman"/>
          <w:lang w:bidi="lt-LT"/>
        </w:rPr>
        <w:t>mg linagliptino farmakokinetikos, nusistovėjus pusiausvyrinei koncentracijai, kartu pavartota viena 1,75</w:t>
      </w:r>
      <w:r w:rsidR="002452FC">
        <w:rPr>
          <w:rFonts w:ascii="Times New Roman" w:hAnsi="Times New Roman" w:cs="Times New Roman"/>
          <w:lang w:bidi="lt-LT"/>
        </w:rPr>
        <w:t> </w:t>
      </w:r>
      <w:r w:rsidRPr="004804D2">
        <w:rPr>
          <w:rFonts w:ascii="Times New Roman" w:hAnsi="Times New Roman" w:cs="Times New Roman"/>
          <w:lang w:bidi="lt-LT"/>
        </w:rPr>
        <w:t>mg glibenklamido (gliburido) dozė nepakeitė.</w:t>
      </w:r>
    </w:p>
    <w:p w14:paraId="5A5E700E" w14:textId="73FDB49B" w:rsidR="00BD1339" w:rsidRPr="004804D2" w:rsidRDefault="00BD1339" w:rsidP="00E95834">
      <w:pPr>
        <w:suppressAutoHyphens/>
        <w:autoSpaceDN w:val="0"/>
        <w:spacing w:after="0" w:line="240" w:lineRule="auto"/>
        <w:rPr>
          <w:rFonts w:ascii="Times New Roman" w:eastAsia="Calibri" w:hAnsi="Times New Roman" w:cs="Times New Roman"/>
        </w:rPr>
      </w:pPr>
    </w:p>
    <w:p w14:paraId="44661886" w14:textId="77777777" w:rsidR="00BD1339" w:rsidRPr="004804D2" w:rsidRDefault="00BD1339" w:rsidP="00E95834">
      <w:pPr>
        <w:suppressAutoHyphens/>
        <w:autoSpaceDN w:val="0"/>
        <w:spacing w:after="0" w:line="240" w:lineRule="auto"/>
        <w:rPr>
          <w:rFonts w:ascii="Times New Roman" w:eastAsia="Calibri" w:hAnsi="Times New Roman" w:cs="Times New Roman"/>
          <w:i/>
          <w:iCs/>
          <w:u w:val="single"/>
        </w:rPr>
      </w:pPr>
      <w:r w:rsidRPr="004804D2">
        <w:rPr>
          <w:rFonts w:ascii="Times New Roman" w:hAnsi="Times New Roman" w:cs="Times New Roman"/>
          <w:i/>
          <w:u w:val="single"/>
          <w:lang w:bidi="lt-LT"/>
        </w:rPr>
        <w:t>Linagliptino poveikis kitiems vaistiniams preparatams</w:t>
      </w:r>
    </w:p>
    <w:p w14:paraId="6706913F" w14:textId="4CCE3F57"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Klinikinių tyrimų, kurie aprašyti toliau, metu kliniškai reikšmingo poveikio metformino, gliburido, simvastatino, varfarino, digoksino ar geriamųjų kontraceptikų farmakokinetikai linagliptinas nedarė. Tai rodo, kad </w:t>
      </w:r>
      <w:r w:rsidRPr="004804D2">
        <w:rPr>
          <w:rFonts w:ascii="Times New Roman" w:hAnsi="Times New Roman" w:cs="Times New Roman"/>
          <w:i/>
          <w:lang w:bidi="lt-LT"/>
        </w:rPr>
        <w:t>in vivo</w:t>
      </w:r>
      <w:r w:rsidRPr="004804D2">
        <w:rPr>
          <w:rFonts w:ascii="Times New Roman" w:hAnsi="Times New Roman" w:cs="Times New Roman"/>
          <w:lang w:bidi="lt-LT"/>
        </w:rPr>
        <w:t xml:space="preserve"> jo polinkis sąveikai su CYP3A4, CYP2C9, CYP2C8, P</w:t>
      </w:r>
      <w:r w:rsidR="002452FC">
        <w:rPr>
          <w:rFonts w:ascii="Times New Roman" w:hAnsi="Times New Roman" w:cs="Times New Roman"/>
          <w:lang w:bidi="lt-LT"/>
        </w:rPr>
        <w:t>-</w:t>
      </w:r>
      <w:r w:rsidRPr="004804D2">
        <w:rPr>
          <w:rFonts w:ascii="Times New Roman" w:hAnsi="Times New Roman" w:cs="Times New Roman"/>
          <w:lang w:bidi="lt-LT"/>
        </w:rPr>
        <w:t>glikoproteino substratais bei organinių katijonų pernaša (OKP) yra mažas.</w:t>
      </w:r>
    </w:p>
    <w:p w14:paraId="247CB54A" w14:textId="5F43AC53" w:rsidR="00BD1339" w:rsidRPr="004804D2" w:rsidRDefault="00BD1339" w:rsidP="00E95834">
      <w:pPr>
        <w:suppressAutoHyphens/>
        <w:autoSpaceDN w:val="0"/>
        <w:spacing w:after="0" w:line="240" w:lineRule="auto"/>
        <w:rPr>
          <w:rFonts w:ascii="Times New Roman" w:eastAsia="Calibri" w:hAnsi="Times New Roman" w:cs="Times New Roman"/>
        </w:rPr>
      </w:pPr>
    </w:p>
    <w:p w14:paraId="4236E131" w14:textId="5DF4BD3B"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Metforminas</w:t>
      </w:r>
      <w:r w:rsidRPr="004804D2">
        <w:rPr>
          <w:rFonts w:ascii="Times New Roman" w:hAnsi="Times New Roman" w:cs="Times New Roman"/>
          <w:lang w:bidi="lt-LT"/>
        </w:rPr>
        <w:t>: daugkartinių 10</w:t>
      </w:r>
      <w:r w:rsidR="002452FC">
        <w:rPr>
          <w:rFonts w:ascii="Times New Roman" w:hAnsi="Times New Roman" w:cs="Times New Roman"/>
          <w:lang w:bidi="lt-LT"/>
        </w:rPr>
        <w:t> </w:t>
      </w:r>
      <w:r w:rsidRPr="004804D2">
        <w:rPr>
          <w:rFonts w:ascii="Times New Roman" w:hAnsi="Times New Roman" w:cs="Times New Roman"/>
          <w:lang w:bidi="lt-LT"/>
        </w:rPr>
        <w:t>mg linagliptino paros dozių vartojimas kartu su OKP substrato metformino 850</w:t>
      </w:r>
      <w:r w:rsidR="002452FC">
        <w:rPr>
          <w:rFonts w:ascii="Times New Roman" w:hAnsi="Times New Roman" w:cs="Times New Roman"/>
          <w:lang w:bidi="lt-LT"/>
        </w:rPr>
        <w:t> </w:t>
      </w:r>
      <w:r w:rsidRPr="004804D2">
        <w:rPr>
          <w:rFonts w:ascii="Times New Roman" w:hAnsi="Times New Roman" w:cs="Times New Roman"/>
          <w:lang w:bidi="lt-LT"/>
        </w:rPr>
        <w:t>mg doze nedarė reikšmingo poveikio metformino farmakokinetikai sveikų savanorių organizme. Taigi linagliptinas OKP neslopina.</w:t>
      </w:r>
    </w:p>
    <w:p w14:paraId="765B4CC4" w14:textId="279CED8C" w:rsidR="00BD1339" w:rsidRPr="004804D2" w:rsidRDefault="00BD1339" w:rsidP="00E95834">
      <w:pPr>
        <w:suppressAutoHyphens/>
        <w:autoSpaceDN w:val="0"/>
        <w:spacing w:after="0" w:line="240" w:lineRule="auto"/>
        <w:rPr>
          <w:rFonts w:ascii="Times New Roman" w:eastAsia="Calibri" w:hAnsi="Times New Roman" w:cs="Times New Roman"/>
        </w:rPr>
      </w:pPr>
    </w:p>
    <w:p w14:paraId="4A51CE87" w14:textId="43D92F86"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Sulfonilurėjos dariniai</w:t>
      </w:r>
      <w:r w:rsidRPr="004804D2">
        <w:rPr>
          <w:rFonts w:ascii="Times New Roman" w:hAnsi="Times New Roman" w:cs="Times New Roman"/>
          <w:lang w:bidi="lt-LT"/>
        </w:rPr>
        <w:t>: kartu su daugkartinėmis per burną vartojamomis 5</w:t>
      </w:r>
      <w:r w:rsidR="002452FC">
        <w:rPr>
          <w:rFonts w:ascii="Times New Roman" w:hAnsi="Times New Roman" w:cs="Times New Roman"/>
          <w:lang w:bidi="lt-LT"/>
        </w:rPr>
        <w:t> </w:t>
      </w:r>
      <w:r w:rsidRPr="004804D2">
        <w:rPr>
          <w:rFonts w:ascii="Times New Roman" w:hAnsi="Times New Roman" w:cs="Times New Roman"/>
          <w:lang w:bidi="lt-LT"/>
        </w:rPr>
        <w:t>mg linagliptino dozėmis pavartota vienkartinė per burną vartojama 1,75</w:t>
      </w:r>
      <w:r w:rsidR="002452FC">
        <w:rPr>
          <w:rFonts w:ascii="Times New Roman" w:hAnsi="Times New Roman" w:cs="Times New Roman"/>
          <w:lang w:bidi="lt-LT"/>
        </w:rPr>
        <w:t> </w:t>
      </w:r>
      <w:r w:rsidRPr="004804D2">
        <w:rPr>
          <w:rFonts w:ascii="Times New Roman" w:hAnsi="Times New Roman" w:cs="Times New Roman"/>
          <w:lang w:bidi="lt-LT"/>
        </w:rPr>
        <w:t>mg glibenklamido (gliburido) dozė sukėlė kliniškai nereikšmingą (14</w:t>
      </w:r>
      <w:r w:rsidR="002452FC">
        <w:rPr>
          <w:rFonts w:ascii="Times New Roman" w:hAnsi="Times New Roman" w:cs="Times New Roman"/>
          <w:lang w:bidi="lt-LT"/>
        </w:rPr>
        <w:t> </w:t>
      </w:r>
      <w:r w:rsidRPr="004804D2">
        <w:rPr>
          <w:rFonts w:ascii="Times New Roman" w:hAnsi="Times New Roman" w:cs="Times New Roman"/>
          <w:lang w:bidi="lt-LT"/>
        </w:rPr>
        <w:t>%) glibenklamido tiek AUC, tiek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sumažėjimą. Kadangi glibenklamidą metabolizuoja visų pirma CYP2C9, gauti duomenys paremia išvadą, kad linagliptinas nėra CYP2C9 inhibitorius. Kliniškai reikšmingų sąveikų su kitais sulfonilurėjos dariniais (pvz., glipizidu, tolbutamidu ar glimepiridu), kurių, kaip ir glibenklamido, eliminacija priklauso daugiausia nuo CYP2C9, neturėtų pasireikšti.</w:t>
      </w:r>
    </w:p>
    <w:p w14:paraId="0C90AEEC" w14:textId="25933B73" w:rsidR="00BD1339" w:rsidRPr="004804D2" w:rsidRDefault="00BD1339" w:rsidP="00BD1339">
      <w:pPr>
        <w:suppressAutoHyphens/>
        <w:autoSpaceDN w:val="0"/>
        <w:spacing w:after="0" w:line="240" w:lineRule="auto"/>
        <w:jc w:val="both"/>
        <w:rPr>
          <w:rFonts w:ascii="Times New Roman" w:eastAsia="Calibri" w:hAnsi="Times New Roman" w:cs="Times New Roman"/>
        </w:rPr>
      </w:pPr>
    </w:p>
    <w:p w14:paraId="1C5C6898" w14:textId="4C4214C0"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Digoksinas</w:t>
      </w:r>
      <w:r w:rsidRPr="004804D2">
        <w:rPr>
          <w:rFonts w:ascii="Times New Roman" w:hAnsi="Times New Roman" w:cs="Times New Roman"/>
          <w:lang w:bidi="lt-LT"/>
        </w:rPr>
        <w:t>: sveikų savanorių, daugkartines 5</w:t>
      </w:r>
      <w:r w:rsidR="002452FC">
        <w:rPr>
          <w:rFonts w:ascii="Times New Roman" w:hAnsi="Times New Roman" w:cs="Times New Roman"/>
          <w:lang w:bidi="lt-LT"/>
        </w:rPr>
        <w:t> </w:t>
      </w:r>
      <w:r w:rsidRPr="004804D2">
        <w:rPr>
          <w:rFonts w:ascii="Times New Roman" w:hAnsi="Times New Roman" w:cs="Times New Roman"/>
          <w:lang w:bidi="lt-LT"/>
        </w:rPr>
        <w:t>mg linagliptino paros dozes vartojusių kartu su daugkartinėmis 0,25</w:t>
      </w:r>
      <w:r w:rsidR="002452FC">
        <w:rPr>
          <w:rFonts w:ascii="Times New Roman" w:hAnsi="Times New Roman" w:cs="Times New Roman"/>
          <w:lang w:bidi="lt-LT"/>
        </w:rPr>
        <w:t> </w:t>
      </w:r>
      <w:r w:rsidRPr="004804D2">
        <w:rPr>
          <w:rFonts w:ascii="Times New Roman" w:hAnsi="Times New Roman" w:cs="Times New Roman"/>
          <w:lang w:bidi="lt-LT"/>
        </w:rPr>
        <w:t xml:space="preserve">mg digoksino dozėmis, organizme poveikio digoksino farmakokinetikai nepasireiškė. Vadinasi, </w:t>
      </w:r>
      <w:r w:rsidRPr="004804D2">
        <w:rPr>
          <w:rFonts w:ascii="Times New Roman" w:hAnsi="Times New Roman" w:cs="Times New Roman"/>
          <w:i/>
          <w:lang w:bidi="lt-LT"/>
        </w:rPr>
        <w:t>in vivo</w:t>
      </w:r>
      <w:r w:rsidRPr="004804D2">
        <w:rPr>
          <w:rFonts w:ascii="Times New Roman" w:hAnsi="Times New Roman" w:cs="Times New Roman"/>
          <w:lang w:bidi="lt-LT"/>
        </w:rPr>
        <w:t xml:space="preserve"> linagliptinas pernašos, vykstančios tarpininkaujant P</w:t>
      </w:r>
      <w:r w:rsidR="002452FC">
        <w:rPr>
          <w:rFonts w:ascii="Times New Roman" w:hAnsi="Times New Roman" w:cs="Times New Roman"/>
          <w:lang w:bidi="lt-LT"/>
        </w:rPr>
        <w:t>-</w:t>
      </w:r>
      <w:r w:rsidRPr="004804D2">
        <w:rPr>
          <w:rFonts w:ascii="Times New Roman" w:hAnsi="Times New Roman" w:cs="Times New Roman"/>
          <w:lang w:bidi="lt-LT"/>
        </w:rPr>
        <w:t>glikoproteinui, neslopina.</w:t>
      </w:r>
    </w:p>
    <w:p w14:paraId="66A29CB9" w14:textId="07634784" w:rsidR="00BD1339" w:rsidRPr="004804D2" w:rsidRDefault="00BD1339" w:rsidP="00E95834">
      <w:pPr>
        <w:suppressAutoHyphens/>
        <w:autoSpaceDN w:val="0"/>
        <w:spacing w:after="0" w:line="240" w:lineRule="auto"/>
        <w:rPr>
          <w:rFonts w:ascii="Times New Roman" w:eastAsia="Calibri" w:hAnsi="Times New Roman" w:cs="Times New Roman"/>
        </w:rPr>
      </w:pPr>
    </w:p>
    <w:p w14:paraId="06BB526C" w14:textId="1E22F49A"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Varfarinas</w:t>
      </w:r>
      <w:r w:rsidRPr="004804D2">
        <w:rPr>
          <w:rFonts w:ascii="Times New Roman" w:hAnsi="Times New Roman" w:cs="Times New Roman"/>
          <w:lang w:bidi="lt-LT"/>
        </w:rPr>
        <w:t>: daugkartinės 5</w:t>
      </w:r>
      <w:r w:rsidR="002452FC">
        <w:rPr>
          <w:rFonts w:ascii="Times New Roman" w:hAnsi="Times New Roman" w:cs="Times New Roman"/>
          <w:lang w:bidi="lt-LT"/>
        </w:rPr>
        <w:t> </w:t>
      </w:r>
      <w:r w:rsidRPr="004804D2">
        <w:rPr>
          <w:rFonts w:ascii="Times New Roman" w:hAnsi="Times New Roman" w:cs="Times New Roman"/>
          <w:lang w:bidi="lt-LT"/>
        </w:rPr>
        <w:t>mg linagliptino paros dozės vienkartinės CYP2C9 substrato S(-) ar R(+) varfarino dozės farmakokinetikos nekeitė.</w:t>
      </w:r>
    </w:p>
    <w:p w14:paraId="00690DB8" w14:textId="594006BC" w:rsidR="00BD1339" w:rsidRPr="004804D2" w:rsidRDefault="00BD1339" w:rsidP="00E95834">
      <w:pPr>
        <w:suppressAutoHyphens/>
        <w:autoSpaceDN w:val="0"/>
        <w:spacing w:after="0" w:line="240" w:lineRule="auto"/>
        <w:rPr>
          <w:rFonts w:ascii="Times New Roman" w:eastAsia="Calibri" w:hAnsi="Times New Roman" w:cs="Times New Roman"/>
        </w:rPr>
      </w:pPr>
    </w:p>
    <w:p w14:paraId="084F51AA" w14:textId="0B60D6BE"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lastRenderedPageBreak/>
        <w:t>Simvastatinas</w:t>
      </w:r>
      <w:r w:rsidRPr="004804D2">
        <w:rPr>
          <w:rFonts w:ascii="Times New Roman" w:hAnsi="Times New Roman" w:cs="Times New Roman"/>
          <w:lang w:bidi="lt-LT"/>
        </w:rPr>
        <w:t>: sveikų savanorių organizme daugkartinių linagliptino paros dozių poveikis jautraus CYP3A4 substrato simvastatino farmakokinetikai, esant pusiausvyrinei koncentracijai, buvo minimalus. 6 paras vartojus didesnę už terapinę, t. y. 10</w:t>
      </w:r>
      <w:r w:rsidR="002452FC">
        <w:rPr>
          <w:rFonts w:ascii="Times New Roman" w:hAnsi="Times New Roman" w:cs="Times New Roman"/>
          <w:lang w:bidi="lt-LT"/>
        </w:rPr>
        <w:t> </w:t>
      </w:r>
      <w:r w:rsidRPr="004804D2">
        <w:rPr>
          <w:rFonts w:ascii="Times New Roman" w:hAnsi="Times New Roman" w:cs="Times New Roman"/>
          <w:lang w:bidi="lt-LT"/>
        </w:rPr>
        <w:t>mg, linagliptino paros dozę kartu su 40</w:t>
      </w:r>
      <w:r w:rsidR="002452FC">
        <w:rPr>
          <w:rFonts w:ascii="Times New Roman" w:hAnsi="Times New Roman" w:cs="Times New Roman"/>
          <w:lang w:bidi="lt-LT"/>
        </w:rPr>
        <w:t> </w:t>
      </w:r>
      <w:r w:rsidRPr="004804D2">
        <w:rPr>
          <w:rFonts w:ascii="Times New Roman" w:hAnsi="Times New Roman" w:cs="Times New Roman"/>
          <w:lang w:bidi="lt-LT"/>
        </w:rPr>
        <w:t>mg simvastatino  paros doze, simvastatino AUC padidėjo 34</w:t>
      </w:r>
      <w:r w:rsidR="002452FC">
        <w:rPr>
          <w:rFonts w:ascii="Times New Roman" w:hAnsi="Times New Roman" w:cs="Times New Roman"/>
          <w:lang w:bidi="lt-LT"/>
        </w:rPr>
        <w:t> </w:t>
      </w:r>
      <w:r w:rsidRPr="004804D2">
        <w:rPr>
          <w:rFonts w:ascii="Times New Roman" w:hAnsi="Times New Roman" w:cs="Times New Roman"/>
          <w:lang w:bidi="lt-LT"/>
        </w:rPr>
        <w:t>%,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 10</w:t>
      </w:r>
      <w:r w:rsidR="002452FC">
        <w:rPr>
          <w:rFonts w:ascii="Times New Roman" w:hAnsi="Times New Roman" w:cs="Times New Roman"/>
          <w:lang w:bidi="lt-LT"/>
        </w:rPr>
        <w:t> </w:t>
      </w:r>
      <w:r w:rsidRPr="004804D2">
        <w:rPr>
          <w:rFonts w:ascii="Times New Roman" w:hAnsi="Times New Roman" w:cs="Times New Roman"/>
          <w:lang w:bidi="lt-LT"/>
        </w:rPr>
        <w:t>%.</w:t>
      </w:r>
    </w:p>
    <w:p w14:paraId="3B34CE3C" w14:textId="73D8AC22" w:rsidR="00BD1339" w:rsidRPr="004804D2" w:rsidRDefault="00BD1339" w:rsidP="00E95834">
      <w:pPr>
        <w:suppressAutoHyphens/>
        <w:autoSpaceDN w:val="0"/>
        <w:spacing w:after="0" w:line="240" w:lineRule="auto"/>
        <w:rPr>
          <w:rFonts w:ascii="Times New Roman" w:eastAsia="Calibri" w:hAnsi="Times New Roman" w:cs="Times New Roman"/>
        </w:rPr>
      </w:pPr>
    </w:p>
    <w:p w14:paraId="5A509A79" w14:textId="1D1ADF90" w:rsidR="00BD1339" w:rsidRPr="004804D2" w:rsidRDefault="00BD1339"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i/>
          <w:lang w:bidi="lt-LT"/>
        </w:rPr>
        <w:t>Geriamieji kontraceptikai</w:t>
      </w:r>
      <w:r w:rsidRPr="004804D2">
        <w:rPr>
          <w:rFonts w:ascii="Times New Roman" w:hAnsi="Times New Roman" w:cs="Times New Roman"/>
          <w:lang w:bidi="lt-LT"/>
        </w:rPr>
        <w:t>: kartu su 5</w:t>
      </w:r>
      <w:r w:rsidR="002452FC">
        <w:rPr>
          <w:rFonts w:ascii="Times New Roman" w:hAnsi="Times New Roman" w:cs="Times New Roman"/>
          <w:lang w:bidi="lt-LT"/>
        </w:rPr>
        <w:t> </w:t>
      </w:r>
      <w:r w:rsidRPr="004804D2">
        <w:rPr>
          <w:rFonts w:ascii="Times New Roman" w:hAnsi="Times New Roman" w:cs="Times New Roman"/>
          <w:lang w:bidi="lt-LT"/>
        </w:rPr>
        <w:t>mg linagliptino doze vartojamų levonorgestrelio ar  etinilestradiolio farmakokinetika esant pusiausvyrinei koncentracijai nekito.</w:t>
      </w:r>
    </w:p>
    <w:p w14:paraId="5FC6C0AE" w14:textId="66DACFAA" w:rsidR="00BD1339" w:rsidRPr="004804D2" w:rsidRDefault="00BD1339" w:rsidP="002452FC">
      <w:pPr>
        <w:suppressAutoHyphens/>
        <w:autoSpaceDN w:val="0"/>
        <w:spacing w:after="0" w:line="240" w:lineRule="auto"/>
        <w:jc w:val="both"/>
        <w:rPr>
          <w:rFonts w:ascii="Times New Roman" w:eastAsia="Calibri" w:hAnsi="Times New Roman" w:cs="Times New Roman"/>
        </w:rPr>
      </w:pPr>
    </w:p>
    <w:p w14:paraId="1C368DBC" w14:textId="6AF5F0E9" w:rsidR="00BD1339" w:rsidRPr="004804D2" w:rsidRDefault="00BD1339"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Vaisingumas, nėštumo ir žindymo laikotarpis</w:t>
      </w:r>
    </w:p>
    <w:p w14:paraId="609C3A48" w14:textId="77777777" w:rsidR="002452FC" w:rsidRDefault="002452FC" w:rsidP="002452FC">
      <w:pPr>
        <w:suppressAutoHyphens/>
        <w:autoSpaceDN w:val="0"/>
        <w:spacing w:after="0" w:line="240" w:lineRule="auto"/>
        <w:rPr>
          <w:rFonts w:ascii="Times New Roman" w:hAnsi="Times New Roman" w:cs="Times New Roman"/>
          <w:u w:val="single"/>
          <w:lang w:bidi="lt-LT"/>
        </w:rPr>
      </w:pPr>
    </w:p>
    <w:p w14:paraId="4E4867BE" w14:textId="303AF380" w:rsidR="00BD1339" w:rsidRPr="004804D2" w:rsidRDefault="00BD1339" w:rsidP="002452FC">
      <w:pPr>
        <w:suppressAutoHyphens/>
        <w:autoSpaceDN w:val="0"/>
        <w:spacing w:after="0" w:line="240" w:lineRule="auto"/>
        <w:rPr>
          <w:rFonts w:ascii="Times New Roman" w:eastAsia="Calibri" w:hAnsi="Times New Roman" w:cs="Times New Roman"/>
          <w:u w:val="single"/>
          <w:lang w:val="en-US"/>
        </w:rPr>
      </w:pPr>
      <w:r w:rsidRPr="004804D2">
        <w:rPr>
          <w:rFonts w:ascii="Times New Roman" w:hAnsi="Times New Roman" w:cs="Times New Roman"/>
          <w:u w:val="single"/>
          <w:lang w:bidi="lt-LT"/>
        </w:rPr>
        <w:t>Nėštumas</w:t>
      </w:r>
    </w:p>
    <w:p w14:paraId="4AC0B34C" w14:textId="77777777" w:rsidR="00BD1339" w:rsidRPr="004804D2" w:rsidRDefault="00BD1339" w:rsidP="002452FC">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Klinikinių duomenų apie linagliptino vartojimą nėščioms moterims nėra. Su gyvūnais atlikti tyrimai tiesioginio ar netiesioginio kenksmingo toksinio poveikio reprodukcijai nerodo (žr. 5.3 skyrių). Atsargumo sumetimais nėštumo metu linagliptino geriau nevartoti.</w:t>
      </w:r>
    </w:p>
    <w:p w14:paraId="735DA1A5" w14:textId="51139796" w:rsidR="00BD1339" w:rsidRPr="004804D2" w:rsidRDefault="00BD1339" w:rsidP="00282DBB">
      <w:pPr>
        <w:suppressAutoHyphens/>
        <w:autoSpaceDN w:val="0"/>
        <w:spacing w:after="0" w:line="240" w:lineRule="auto"/>
        <w:rPr>
          <w:rFonts w:ascii="Times New Roman" w:eastAsia="Calibri" w:hAnsi="Times New Roman" w:cs="Times New Roman"/>
        </w:rPr>
      </w:pPr>
    </w:p>
    <w:p w14:paraId="76267B66" w14:textId="77777777" w:rsidR="00BD1339" w:rsidRPr="004804D2" w:rsidRDefault="00BD1339">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Žindymas</w:t>
      </w:r>
    </w:p>
    <w:p w14:paraId="77AB2390" w14:textId="1969AB74" w:rsidR="00BD1339" w:rsidRPr="004804D2" w:rsidRDefault="00BD1339">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Esami farmakokinetikos tyrimų su gyvūnais duomenys rodo, kad linagliptinas/metabolitai išskiriami į pieną. Rizikos žindomiems vaikams paneigti negalima. Atsižvelgiant į žindymo naudą kūdikiui ir gydymo naudą motinai, reikia nuspręsti, ar nutraukti žindymą ar nutraukti/susilaikyti nuo gydymo linagliptinu.</w:t>
      </w:r>
    </w:p>
    <w:p w14:paraId="05E33AD7" w14:textId="7954F855" w:rsidR="00BD1339" w:rsidRPr="004804D2" w:rsidRDefault="00BD1339">
      <w:pPr>
        <w:suppressAutoHyphens/>
        <w:autoSpaceDN w:val="0"/>
        <w:spacing w:after="0" w:line="240" w:lineRule="auto"/>
        <w:rPr>
          <w:rFonts w:ascii="Times New Roman" w:eastAsia="Calibri" w:hAnsi="Times New Roman" w:cs="Times New Roman"/>
        </w:rPr>
      </w:pPr>
    </w:p>
    <w:p w14:paraId="528CB67F" w14:textId="77777777" w:rsidR="00BD1339" w:rsidRPr="004804D2" w:rsidRDefault="00BD1339">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Vaisingumas</w:t>
      </w:r>
    </w:p>
    <w:p w14:paraId="4BC7D7DA" w14:textId="3186C325" w:rsidR="00BD1339" w:rsidRPr="004804D2" w:rsidRDefault="00BD1339">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poveikio žmogaus vaisingumui tyrimų neatlikta. Tyrimai su gyvūnais tiesioginio ar netiesioginio kenksmingo toksinio poveikio vaisingumui neparodė (žr. 5.3 skyrių).</w:t>
      </w:r>
    </w:p>
    <w:p w14:paraId="19F92834" w14:textId="06880A7E" w:rsidR="00BD1339" w:rsidRPr="004804D2" w:rsidRDefault="00BD1339">
      <w:pPr>
        <w:suppressAutoHyphens/>
        <w:autoSpaceDN w:val="0"/>
        <w:spacing w:after="0" w:line="240" w:lineRule="auto"/>
        <w:rPr>
          <w:rFonts w:ascii="Times New Roman" w:eastAsia="Calibri" w:hAnsi="Times New Roman" w:cs="Times New Roman"/>
        </w:rPr>
      </w:pPr>
    </w:p>
    <w:p w14:paraId="3E08853C" w14:textId="474DA129" w:rsidR="007808A1" w:rsidRPr="00E1529B" w:rsidRDefault="007808A1" w:rsidP="00706810">
      <w:pPr>
        <w:keepNext/>
        <w:keepLines/>
        <w:numPr>
          <w:ilvl w:val="1"/>
          <w:numId w:val="5"/>
        </w:numPr>
        <w:suppressAutoHyphens/>
        <w:autoSpaceDN w:val="0"/>
        <w:spacing w:after="0" w:line="240" w:lineRule="auto"/>
        <w:ind w:left="567" w:hanging="567"/>
        <w:outlineLvl w:val="0"/>
        <w:rPr>
          <w:rFonts w:ascii="Times New Roman" w:eastAsiaTheme="majorEastAsia" w:hAnsi="Times New Roman" w:cs="Times New Roman"/>
          <w:b/>
          <w:bCs/>
          <w:lang w:val="pt-PT"/>
        </w:rPr>
      </w:pPr>
      <w:r w:rsidRPr="004804D2">
        <w:rPr>
          <w:rFonts w:ascii="Times New Roman" w:hAnsi="Times New Roman" w:cs="Times New Roman"/>
          <w:b/>
          <w:lang w:bidi="lt-LT"/>
        </w:rPr>
        <w:t>Poveikis gebėjimui vairuoti ir valdyti mechanizmus</w:t>
      </w:r>
    </w:p>
    <w:p w14:paraId="70C0D7E7" w14:textId="77777777" w:rsidR="002452FC" w:rsidRDefault="002452FC" w:rsidP="002452FC">
      <w:pPr>
        <w:suppressAutoHyphens/>
        <w:autoSpaceDN w:val="0"/>
        <w:spacing w:after="0" w:line="240" w:lineRule="auto"/>
        <w:rPr>
          <w:rFonts w:ascii="Times New Roman" w:hAnsi="Times New Roman" w:cs="Times New Roman"/>
          <w:lang w:bidi="lt-LT"/>
        </w:rPr>
      </w:pPr>
    </w:p>
    <w:p w14:paraId="2B774549" w14:textId="6474D29E" w:rsidR="007808A1" w:rsidRPr="004804D2" w:rsidRDefault="007808A1" w:rsidP="002452FC">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Linagliptinas gebėjimo vairuoti ir valdyti mechanizmus neveikia arba veikia nereikšmingai. Vis dėlto pacientus reikia įspėti apie hipoglikemijos riziką, ypač gydant linagliptinu kartu su sulfonilurėjos dariniu ir (arba) insulinu.</w:t>
      </w:r>
    </w:p>
    <w:p w14:paraId="2C072EB5" w14:textId="5CAF7BC7" w:rsidR="00BD1339" w:rsidRPr="004804D2" w:rsidRDefault="00BD1339" w:rsidP="002452FC">
      <w:pPr>
        <w:suppressAutoHyphens/>
        <w:autoSpaceDN w:val="0"/>
        <w:spacing w:after="0" w:line="240" w:lineRule="auto"/>
        <w:rPr>
          <w:rFonts w:ascii="Times New Roman" w:eastAsia="Calibri" w:hAnsi="Times New Roman" w:cs="Times New Roman"/>
        </w:rPr>
      </w:pPr>
    </w:p>
    <w:p w14:paraId="162DDBED" w14:textId="7F739B73" w:rsidR="007808A1" w:rsidRPr="004804D2" w:rsidRDefault="007808A1"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Nepageidaujamas poveikis</w:t>
      </w:r>
    </w:p>
    <w:p w14:paraId="5BB0AF1C" w14:textId="77777777" w:rsidR="002452FC" w:rsidRDefault="002452FC" w:rsidP="00E95834">
      <w:pPr>
        <w:suppressAutoHyphens/>
        <w:autoSpaceDN w:val="0"/>
        <w:spacing w:after="0" w:line="240" w:lineRule="auto"/>
        <w:rPr>
          <w:rFonts w:ascii="Times New Roman" w:hAnsi="Times New Roman" w:cs="Times New Roman"/>
          <w:u w:val="single"/>
          <w:lang w:bidi="lt-LT"/>
        </w:rPr>
      </w:pPr>
    </w:p>
    <w:p w14:paraId="6D8325BE" w14:textId="3127B753" w:rsidR="007808A1" w:rsidRPr="004804D2" w:rsidRDefault="007808A1" w:rsidP="00E95834">
      <w:pPr>
        <w:suppressAutoHyphens/>
        <w:autoSpaceDN w:val="0"/>
        <w:spacing w:after="0" w:line="240" w:lineRule="auto"/>
        <w:rPr>
          <w:rFonts w:ascii="Times New Roman" w:eastAsia="Calibri" w:hAnsi="Times New Roman" w:cs="Times New Roman"/>
          <w:u w:val="single"/>
          <w:lang w:val="en-US"/>
        </w:rPr>
      </w:pPr>
      <w:r w:rsidRPr="004804D2">
        <w:rPr>
          <w:rFonts w:ascii="Times New Roman" w:hAnsi="Times New Roman" w:cs="Times New Roman"/>
          <w:u w:val="single"/>
          <w:lang w:bidi="lt-LT"/>
        </w:rPr>
        <w:t>Saugumo duomenų santrauka</w:t>
      </w:r>
    </w:p>
    <w:p w14:paraId="5B4BDB50" w14:textId="54E2127F" w:rsidR="007808A1" w:rsidRPr="004804D2" w:rsidRDefault="007808A1"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Bendros placebu kontroliuojamų tyrimų analizės duomenimis, bendras nepageidaujamų reiškinių, pasireiškusių placebo vartojantiems pacientams, dažnis buvo panašus į dažnį 5</w:t>
      </w:r>
      <w:r w:rsidR="002452FC">
        <w:rPr>
          <w:rFonts w:ascii="Times New Roman" w:hAnsi="Times New Roman" w:cs="Times New Roman"/>
          <w:lang w:bidi="lt-LT"/>
        </w:rPr>
        <w:t> </w:t>
      </w:r>
      <w:r w:rsidRPr="004804D2">
        <w:rPr>
          <w:rFonts w:ascii="Times New Roman" w:hAnsi="Times New Roman" w:cs="Times New Roman"/>
          <w:lang w:bidi="lt-LT"/>
        </w:rPr>
        <w:t>mg linagliptino doze gydomiems pacientams (atitinkamai 63,4</w:t>
      </w:r>
      <w:r w:rsidR="002452FC">
        <w:rPr>
          <w:rFonts w:ascii="Times New Roman" w:hAnsi="Times New Roman" w:cs="Times New Roman"/>
          <w:lang w:bidi="lt-LT"/>
        </w:rPr>
        <w:t> </w:t>
      </w:r>
      <w:r w:rsidRPr="004804D2">
        <w:rPr>
          <w:rFonts w:ascii="Times New Roman" w:hAnsi="Times New Roman" w:cs="Times New Roman"/>
          <w:lang w:bidi="lt-LT"/>
        </w:rPr>
        <w:t>% ir 59,1</w:t>
      </w:r>
      <w:r w:rsidR="002452FC">
        <w:rPr>
          <w:rFonts w:ascii="Times New Roman" w:hAnsi="Times New Roman" w:cs="Times New Roman"/>
          <w:lang w:bidi="lt-LT"/>
        </w:rPr>
        <w:t> </w:t>
      </w:r>
      <w:r w:rsidRPr="004804D2">
        <w:rPr>
          <w:rFonts w:ascii="Times New Roman" w:hAnsi="Times New Roman" w:cs="Times New Roman"/>
          <w:lang w:bidi="lt-LT"/>
        </w:rPr>
        <w:t>%).</w:t>
      </w:r>
    </w:p>
    <w:p w14:paraId="08297E7B" w14:textId="04A65833" w:rsidR="007808A1" w:rsidRPr="004804D2" w:rsidRDefault="007808A1"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Gydymo nutraukimo dėl nepageidaujamų reiškinių dažnis placebo vartojantiems pacientams buvo didesnis negu 5</w:t>
      </w:r>
      <w:r w:rsidR="002452FC">
        <w:rPr>
          <w:rFonts w:ascii="Times New Roman" w:hAnsi="Times New Roman" w:cs="Times New Roman"/>
          <w:lang w:bidi="lt-LT"/>
        </w:rPr>
        <w:t> </w:t>
      </w:r>
      <w:r w:rsidRPr="004804D2">
        <w:rPr>
          <w:rFonts w:ascii="Times New Roman" w:hAnsi="Times New Roman" w:cs="Times New Roman"/>
          <w:lang w:bidi="lt-LT"/>
        </w:rPr>
        <w:t>mg linagliptino doze gydomiems pacientams (atitinkamai 4,3</w:t>
      </w:r>
      <w:r w:rsidR="002452FC">
        <w:rPr>
          <w:rFonts w:ascii="Times New Roman" w:hAnsi="Times New Roman" w:cs="Times New Roman"/>
          <w:lang w:bidi="lt-LT"/>
        </w:rPr>
        <w:t> </w:t>
      </w:r>
      <w:r w:rsidRPr="004804D2">
        <w:rPr>
          <w:rFonts w:ascii="Times New Roman" w:hAnsi="Times New Roman" w:cs="Times New Roman"/>
          <w:lang w:bidi="lt-LT"/>
        </w:rPr>
        <w:t>% ir 3,4</w:t>
      </w:r>
      <w:r w:rsidR="002452FC">
        <w:rPr>
          <w:rFonts w:ascii="Times New Roman" w:hAnsi="Times New Roman" w:cs="Times New Roman"/>
          <w:lang w:bidi="lt-LT"/>
        </w:rPr>
        <w:t> </w:t>
      </w:r>
      <w:r w:rsidRPr="004804D2">
        <w:rPr>
          <w:rFonts w:ascii="Times New Roman" w:hAnsi="Times New Roman" w:cs="Times New Roman"/>
          <w:lang w:bidi="lt-LT"/>
        </w:rPr>
        <w:t>%).</w:t>
      </w:r>
    </w:p>
    <w:p w14:paraId="532C5E5A" w14:textId="288ECFC3" w:rsidR="007808A1" w:rsidRPr="004804D2" w:rsidRDefault="007808A1" w:rsidP="00E95834">
      <w:pPr>
        <w:suppressAutoHyphens/>
        <w:autoSpaceDN w:val="0"/>
        <w:spacing w:after="0" w:line="240" w:lineRule="auto"/>
        <w:rPr>
          <w:rFonts w:ascii="Times New Roman" w:eastAsia="Calibri" w:hAnsi="Times New Roman" w:cs="Times New Roman"/>
          <w:lang w:val="en-US"/>
        </w:rPr>
      </w:pPr>
    </w:p>
    <w:p w14:paraId="09C544C9" w14:textId="13593072" w:rsidR="007808A1" w:rsidRPr="004804D2" w:rsidRDefault="007808A1"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Dažniausia nepageidaujama reakcija buvo hipoglikemija, kuri pasireiškė 14,8</w:t>
      </w:r>
      <w:r w:rsidR="002452FC">
        <w:rPr>
          <w:rFonts w:ascii="Times New Roman" w:hAnsi="Times New Roman" w:cs="Times New Roman"/>
          <w:lang w:bidi="lt-LT"/>
        </w:rPr>
        <w:t> </w:t>
      </w:r>
      <w:r w:rsidRPr="004804D2">
        <w:rPr>
          <w:rFonts w:ascii="Times New Roman" w:hAnsi="Times New Roman" w:cs="Times New Roman"/>
          <w:lang w:bidi="lt-LT"/>
        </w:rPr>
        <w:t>% trilypiu deriniu – linagliptinu, metforminu ir sulfonilurėjos dariniu – gydomų pacientų, palyginti su 7,6</w:t>
      </w:r>
      <w:r w:rsidR="002452FC">
        <w:rPr>
          <w:rFonts w:ascii="Times New Roman" w:hAnsi="Times New Roman" w:cs="Times New Roman"/>
          <w:lang w:bidi="lt-LT"/>
        </w:rPr>
        <w:t> </w:t>
      </w:r>
      <w:r w:rsidRPr="004804D2">
        <w:rPr>
          <w:rFonts w:ascii="Times New Roman" w:hAnsi="Times New Roman" w:cs="Times New Roman"/>
          <w:lang w:bidi="lt-LT"/>
        </w:rPr>
        <w:t>% placebą vartojusių pacientų.</w:t>
      </w:r>
    </w:p>
    <w:p w14:paraId="591B0280" w14:textId="7C3BC1A9" w:rsidR="007808A1" w:rsidRPr="004804D2" w:rsidRDefault="007808A1" w:rsidP="00E95834">
      <w:pPr>
        <w:suppressAutoHyphens/>
        <w:autoSpaceDN w:val="0"/>
        <w:spacing w:after="0" w:line="240" w:lineRule="auto"/>
        <w:rPr>
          <w:rFonts w:ascii="Times New Roman" w:eastAsia="Calibri" w:hAnsi="Times New Roman" w:cs="Times New Roman"/>
          <w:lang w:val="en-US"/>
        </w:rPr>
      </w:pPr>
    </w:p>
    <w:p w14:paraId="1B817672" w14:textId="1B8C6765" w:rsidR="007808A1" w:rsidRPr="004804D2" w:rsidRDefault="007808A1"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Placebu kontroliuojamų tyrimų metu hipoglikemija kaip nepageidaujama reakcija pasireiškė 4,9</w:t>
      </w:r>
      <w:r w:rsidR="002452FC">
        <w:rPr>
          <w:rFonts w:ascii="Times New Roman" w:hAnsi="Times New Roman" w:cs="Times New Roman"/>
          <w:lang w:bidi="lt-LT"/>
        </w:rPr>
        <w:t> </w:t>
      </w:r>
      <w:r w:rsidRPr="004804D2">
        <w:rPr>
          <w:rFonts w:ascii="Times New Roman" w:hAnsi="Times New Roman" w:cs="Times New Roman"/>
          <w:lang w:bidi="lt-LT"/>
        </w:rPr>
        <w:t>% linagliptinu gydomų pacientų. 4</w:t>
      </w:r>
      <w:r w:rsidR="002452FC">
        <w:rPr>
          <w:rFonts w:ascii="Times New Roman" w:hAnsi="Times New Roman" w:cs="Times New Roman"/>
          <w:lang w:bidi="lt-LT"/>
        </w:rPr>
        <w:t> </w:t>
      </w:r>
      <w:r w:rsidRPr="004804D2">
        <w:rPr>
          <w:rFonts w:ascii="Times New Roman" w:hAnsi="Times New Roman" w:cs="Times New Roman"/>
          <w:lang w:bidi="lt-LT"/>
        </w:rPr>
        <w:t>% jų pagal intensyvumą buvo lengva, 0,9</w:t>
      </w:r>
      <w:r w:rsidR="002452FC">
        <w:rPr>
          <w:rFonts w:ascii="Times New Roman" w:hAnsi="Times New Roman" w:cs="Times New Roman"/>
          <w:lang w:bidi="lt-LT"/>
        </w:rPr>
        <w:t> </w:t>
      </w:r>
      <w:r w:rsidRPr="004804D2">
        <w:rPr>
          <w:rFonts w:ascii="Times New Roman" w:hAnsi="Times New Roman" w:cs="Times New Roman"/>
          <w:lang w:bidi="lt-LT"/>
        </w:rPr>
        <w:t>% – vidutinio sunkumo bei 0,1</w:t>
      </w:r>
      <w:r w:rsidR="002452FC">
        <w:rPr>
          <w:rFonts w:ascii="Times New Roman" w:hAnsi="Times New Roman" w:cs="Times New Roman"/>
          <w:lang w:bidi="lt-LT"/>
        </w:rPr>
        <w:t> </w:t>
      </w:r>
      <w:r w:rsidRPr="004804D2">
        <w:rPr>
          <w:rFonts w:ascii="Times New Roman" w:hAnsi="Times New Roman" w:cs="Times New Roman"/>
          <w:lang w:bidi="lt-LT"/>
        </w:rPr>
        <w:t>% – sunki. Pacientams, atsitiktinės atrankos būdu atrinktiems gydyti linagliptinu, dažniau pasireiškė pankreatitas (7 atvejai iš 6</w:t>
      </w:r>
      <w:r w:rsidR="002452FC">
        <w:rPr>
          <w:rFonts w:ascii="Times New Roman" w:hAnsi="Times New Roman" w:cs="Times New Roman"/>
          <w:lang w:bidi="lt-LT"/>
        </w:rPr>
        <w:t> </w:t>
      </w:r>
      <w:r w:rsidRPr="004804D2">
        <w:rPr>
          <w:rFonts w:ascii="Times New Roman" w:hAnsi="Times New Roman" w:cs="Times New Roman"/>
          <w:lang w:bidi="lt-LT"/>
        </w:rPr>
        <w:t>580 linagliptinu gydytų pacientų, palyginti su 2 atvejais iš 4</w:t>
      </w:r>
      <w:r w:rsidR="002452FC">
        <w:rPr>
          <w:rFonts w:ascii="Times New Roman" w:hAnsi="Times New Roman" w:cs="Times New Roman"/>
          <w:lang w:bidi="lt-LT"/>
        </w:rPr>
        <w:t> </w:t>
      </w:r>
      <w:r w:rsidRPr="004804D2">
        <w:rPr>
          <w:rFonts w:ascii="Times New Roman" w:hAnsi="Times New Roman" w:cs="Times New Roman"/>
          <w:lang w:bidi="lt-LT"/>
        </w:rPr>
        <w:t>383 placebo vartojusių pacientų).</w:t>
      </w:r>
    </w:p>
    <w:p w14:paraId="0C722154" w14:textId="117543D9" w:rsidR="007808A1" w:rsidRPr="004804D2" w:rsidRDefault="007808A1" w:rsidP="00BD1339">
      <w:pPr>
        <w:suppressAutoHyphens/>
        <w:autoSpaceDN w:val="0"/>
        <w:spacing w:after="0" w:line="240" w:lineRule="auto"/>
        <w:jc w:val="both"/>
        <w:rPr>
          <w:rFonts w:ascii="Times New Roman" w:eastAsia="Calibri" w:hAnsi="Times New Roman" w:cs="Times New Roman"/>
        </w:rPr>
      </w:pPr>
    </w:p>
    <w:p w14:paraId="0266B750" w14:textId="77777777" w:rsidR="007808A1" w:rsidRPr="004804D2" w:rsidRDefault="007808A1" w:rsidP="007808A1">
      <w:pPr>
        <w:suppressAutoHyphens/>
        <w:autoSpaceDN w:val="0"/>
        <w:spacing w:after="0" w:line="240" w:lineRule="auto"/>
        <w:jc w:val="both"/>
        <w:rPr>
          <w:rFonts w:ascii="Times New Roman" w:eastAsia="Calibri" w:hAnsi="Times New Roman" w:cs="Times New Roman"/>
          <w:u w:val="single"/>
        </w:rPr>
      </w:pPr>
      <w:r w:rsidRPr="004804D2">
        <w:rPr>
          <w:rFonts w:ascii="Times New Roman" w:hAnsi="Times New Roman" w:cs="Times New Roman"/>
          <w:u w:val="single"/>
          <w:lang w:bidi="lt-LT"/>
        </w:rPr>
        <w:t>Nepageidaujamų reakcijų santrauka lentelėje</w:t>
      </w:r>
    </w:p>
    <w:p w14:paraId="5AB89560" w14:textId="240E958E" w:rsidR="007808A1" w:rsidRPr="004804D2" w:rsidRDefault="007808A1"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Dėl foninio gydymo įtakos nepageidaujamoms reakcijoms (pvz., hipoglikemijai), nepageidaujamos reakcijos buvo išanalizuotos pagal atitinkamą gydymo būdą (monoterapija, gydymo metforminu papildymas, gydymo metforminu bei sulfonilurėjos darinio deriniu papildymas ir gydymo insulinu papildymas).</w:t>
      </w:r>
    </w:p>
    <w:p w14:paraId="22B462A6" w14:textId="7D393100" w:rsidR="007808A1" w:rsidRPr="004804D2" w:rsidRDefault="007808A1" w:rsidP="007808A1">
      <w:pPr>
        <w:suppressAutoHyphens/>
        <w:autoSpaceDN w:val="0"/>
        <w:spacing w:after="0" w:line="240" w:lineRule="auto"/>
        <w:jc w:val="both"/>
        <w:rPr>
          <w:rFonts w:ascii="Times New Roman" w:eastAsia="Calibri" w:hAnsi="Times New Roman" w:cs="Times New Roman"/>
        </w:rPr>
      </w:pPr>
    </w:p>
    <w:p w14:paraId="1619BDC5" w14:textId="066AFE74" w:rsidR="007808A1" w:rsidRPr="004804D2" w:rsidRDefault="007808A1"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Placebu kontroliuojami tyrimai apėmė tyrimus, kurių metu linagliptinas buvo vartojamas:</w:t>
      </w:r>
    </w:p>
    <w:p w14:paraId="51B06163" w14:textId="7694E41C" w:rsidR="007808A1" w:rsidRPr="004804D2" w:rsidRDefault="007808A1" w:rsidP="007808A1">
      <w:pPr>
        <w:suppressAutoHyphens/>
        <w:autoSpaceDN w:val="0"/>
        <w:spacing w:after="0" w:line="240" w:lineRule="auto"/>
        <w:jc w:val="both"/>
        <w:rPr>
          <w:rFonts w:ascii="Times New Roman" w:eastAsia="Calibri" w:hAnsi="Times New Roman" w:cs="Times New Roman"/>
        </w:rPr>
      </w:pPr>
    </w:p>
    <w:p w14:paraId="31ED3DE8" w14:textId="7C371F04" w:rsidR="007808A1" w:rsidRPr="004804D2" w:rsidRDefault="007808A1" w:rsidP="007808A1">
      <w:pPr>
        <w:pStyle w:val="Sraopastraipa"/>
        <w:numPr>
          <w:ilvl w:val="0"/>
          <w:numId w:val="4"/>
        </w:numPr>
        <w:rPr>
          <w:rFonts w:ascii="Times New Roman" w:hAnsi="Times New Roman"/>
        </w:rPr>
      </w:pPr>
      <w:r w:rsidRPr="004804D2">
        <w:rPr>
          <w:rFonts w:ascii="Times New Roman" w:hAnsi="Times New Roman"/>
          <w:lang w:bidi="lt-LT"/>
        </w:rPr>
        <w:t>trumpalaikei, ne ilgesnei kaip 4 savaičių monoterapijai;</w:t>
      </w:r>
    </w:p>
    <w:p w14:paraId="052FF110" w14:textId="74675459" w:rsidR="007808A1" w:rsidRPr="004804D2" w:rsidRDefault="007808A1" w:rsidP="007808A1">
      <w:pPr>
        <w:pStyle w:val="Sraopastraipa"/>
        <w:numPr>
          <w:ilvl w:val="0"/>
          <w:numId w:val="4"/>
        </w:numPr>
        <w:rPr>
          <w:rFonts w:ascii="Times New Roman" w:hAnsi="Times New Roman"/>
          <w:lang w:val="en-US"/>
        </w:rPr>
      </w:pPr>
      <w:r w:rsidRPr="004804D2">
        <w:rPr>
          <w:rFonts w:ascii="Times New Roman" w:hAnsi="Times New Roman"/>
          <w:lang w:bidi="lt-LT"/>
        </w:rPr>
        <w:t>≥</w:t>
      </w:r>
      <w:r w:rsidR="005F6D07">
        <w:rPr>
          <w:rFonts w:ascii="Times New Roman" w:hAnsi="Times New Roman"/>
          <w:lang w:bidi="lt-LT"/>
        </w:rPr>
        <w:t> </w:t>
      </w:r>
      <w:r w:rsidRPr="004804D2">
        <w:rPr>
          <w:rFonts w:ascii="Times New Roman" w:hAnsi="Times New Roman"/>
          <w:lang w:bidi="lt-LT"/>
        </w:rPr>
        <w:t>12 savaičių trukmės monoterapijai;</w:t>
      </w:r>
    </w:p>
    <w:p w14:paraId="23EB5D54" w14:textId="77777777" w:rsidR="007808A1" w:rsidRPr="004804D2" w:rsidRDefault="007808A1" w:rsidP="007808A1">
      <w:pPr>
        <w:pStyle w:val="Sraopastraipa"/>
        <w:numPr>
          <w:ilvl w:val="0"/>
          <w:numId w:val="4"/>
        </w:numPr>
        <w:rPr>
          <w:rFonts w:ascii="Times New Roman" w:hAnsi="Times New Roman"/>
          <w:lang w:val="en-US"/>
        </w:rPr>
      </w:pPr>
      <w:r w:rsidRPr="004804D2">
        <w:rPr>
          <w:rFonts w:ascii="Times New Roman" w:hAnsi="Times New Roman"/>
          <w:lang w:bidi="lt-LT"/>
        </w:rPr>
        <w:t>gydymo metforminu papildymui;</w:t>
      </w:r>
    </w:p>
    <w:p w14:paraId="79C85645" w14:textId="77777777" w:rsidR="007808A1" w:rsidRPr="00E1529B" w:rsidRDefault="007808A1" w:rsidP="007808A1">
      <w:pPr>
        <w:pStyle w:val="Sraopastraipa"/>
        <w:numPr>
          <w:ilvl w:val="0"/>
          <w:numId w:val="4"/>
        </w:numPr>
        <w:rPr>
          <w:rFonts w:ascii="Times New Roman" w:hAnsi="Times New Roman"/>
          <w:lang w:val="pt-PT"/>
        </w:rPr>
      </w:pPr>
      <w:r w:rsidRPr="004804D2">
        <w:rPr>
          <w:rFonts w:ascii="Times New Roman" w:hAnsi="Times New Roman"/>
          <w:lang w:bidi="lt-LT"/>
        </w:rPr>
        <w:t>gydymo metforminu ir sulfonilurėjos dariniu papildymui;</w:t>
      </w:r>
    </w:p>
    <w:p w14:paraId="6350E8A6" w14:textId="77777777" w:rsidR="007808A1" w:rsidRPr="00E1529B" w:rsidRDefault="007808A1" w:rsidP="007808A1">
      <w:pPr>
        <w:pStyle w:val="Sraopastraipa"/>
        <w:numPr>
          <w:ilvl w:val="0"/>
          <w:numId w:val="4"/>
        </w:numPr>
        <w:rPr>
          <w:rFonts w:ascii="Times New Roman" w:hAnsi="Times New Roman"/>
          <w:lang w:val="pt-PT"/>
        </w:rPr>
      </w:pPr>
      <w:r w:rsidRPr="004804D2">
        <w:rPr>
          <w:rFonts w:ascii="Times New Roman" w:hAnsi="Times New Roman"/>
          <w:lang w:bidi="lt-LT"/>
        </w:rPr>
        <w:t>gydymo metforminu ir empagliflozino papildymui;</w:t>
      </w:r>
    </w:p>
    <w:p w14:paraId="575233D8" w14:textId="0F775CD6" w:rsidR="007808A1" w:rsidRPr="00E1529B" w:rsidRDefault="007808A1" w:rsidP="00D86D1B">
      <w:pPr>
        <w:pStyle w:val="Sraopastraipa"/>
        <w:numPr>
          <w:ilvl w:val="0"/>
          <w:numId w:val="4"/>
        </w:numPr>
        <w:spacing w:after="0"/>
        <w:rPr>
          <w:rFonts w:ascii="Times New Roman" w:hAnsi="Times New Roman"/>
          <w:lang w:val="pt-PT"/>
        </w:rPr>
      </w:pPr>
      <w:r w:rsidRPr="004804D2">
        <w:rPr>
          <w:rFonts w:ascii="Times New Roman" w:hAnsi="Times New Roman"/>
          <w:lang w:bidi="lt-LT"/>
        </w:rPr>
        <w:t>gydymo insulinu su metforminu arba be jo papildymui.</w:t>
      </w:r>
    </w:p>
    <w:p w14:paraId="48FFFB82" w14:textId="081D18CD" w:rsidR="007808A1" w:rsidRPr="00E1529B" w:rsidRDefault="007808A1" w:rsidP="007808A1">
      <w:pPr>
        <w:suppressAutoHyphens/>
        <w:autoSpaceDN w:val="0"/>
        <w:spacing w:after="0" w:line="240" w:lineRule="auto"/>
        <w:jc w:val="both"/>
        <w:rPr>
          <w:rFonts w:ascii="Times New Roman" w:eastAsia="Calibri" w:hAnsi="Times New Roman" w:cs="Times New Roman"/>
          <w:lang w:val="pt-PT"/>
        </w:rPr>
      </w:pPr>
    </w:p>
    <w:p w14:paraId="5F4D3747" w14:textId="32825ACC" w:rsidR="007808A1" w:rsidRPr="00E1529B" w:rsidRDefault="007808A1" w:rsidP="00E95834">
      <w:pPr>
        <w:suppressAutoHyphens/>
        <w:autoSpaceDN w:val="0"/>
        <w:spacing w:after="0" w:line="240" w:lineRule="auto"/>
        <w:rPr>
          <w:rFonts w:ascii="Times New Roman" w:eastAsia="Calibri" w:hAnsi="Times New Roman" w:cs="Times New Roman"/>
          <w:lang w:val="pt-PT"/>
        </w:rPr>
      </w:pPr>
      <w:r w:rsidRPr="004804D2">
        <w:rPr>
          <w:rFonts w:ascii="Times New Roman" w:hAnsi="Times New Roman" w:cs="Times New Roman"/>
          <w:lang w:bidi="lt-LT"/>
        </w:rPr>
        <w:t>Nepageidaujamos reakcijos, pasireiškusios dvigubai koduotų tyrimų metu pacientams, 5</w:t>
      </w:r>
      <w:r w:rsidR="005F6D07">
        <w:rPr>
          <w:rFonts w:ascii="Times New Roman" w:hAnsi="Times New Roman" w:cs="Times New Roman"/>
          <w:lang w:bidi="lt-LT"/>
        </w:rPr>
        <w:t> </w:t>
      </w:r>
      <w:r w:rsidRPr="004804D2">
        <w:rPr>
          <w:rFonts w:ascii="Times New Roman" w:hAnsi="Times New Roman" w:cs="Times New Roman"/>
          <w:lang w:bidi="lt-LT"/>
        </w:rPr>
        <w:t>mg linagliptino dozę vartojusiems monoterapijai ar gydymo papildymui, yra suklasifikuotos pagal organų sistemų klases (OSK) bei MedDRA tinkamiausius terminus ir išvardytos toliau esančioje lentelėje (žr. 1</w:t>
      </w:r>
      <w:r w:rsidR="005F6D07">
        <w:rPr>
          <w:rFonts w:ascii="Times New Roman" w:hAnsi="Times New Roman" w:cs="Times New Roman"/>
          <w:lang w:bidi="lt-LT"/>
        </w:rPr>
        <w:t> </w:t>
      </w:r>
      <w:r w:rsidRPr="004804D2">
        <w:rPr>
          <w:rFonts w:ascii="Times New Roman" w:hAnsi="Times New Roman" w:cs="Times New Roman"/>
          <w:lang w:bidi="lt-LT"/>
        </w:rPr>
        <w:t>lentelę).</w:t>
      </w:r>
    </w:p>
    <w:p w14:paraId="274E3E55" w14:textId="7FBA1C57" w:rsidR="007808A1" w:rsidRPr="00E1529B" w:rsidRDefault="007808A1" w:rsidP="00E95834">
      <w:pPr>
        <w:suppressAutoHyphens/>
        <w:autoSpaceDN w:val="0"/>
        <w:spacing w:after="0" w:line="240" w:lineRule="auto"/>
        <w:rPr>
          <w:rFonts w:ascii="Times New Roman" w:eastAsia="Calibri" w:hAnsi="Times New Roman" w:cs="Times New Roman"/>
          <w:lang w:val="pt-PT"/>
        </w:rPr>
      </w:pPr>
    </w:p>
    <w:p w14:paraId="21DE312A" w14:textId="4A491BDE" w:rsidR="007808A1" w:rsidRPr="004804D2" w:rsidRDefault="007808A1"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Nepageidaujamos reakcijos yra išvardintos pagal absoliutų dažnį. Nepageidaujamo poveikio dažnis apibūdinamas taip: labai dažnas (≥</w:t>
      </w:r>
      <w:r w:rsidR="005F6D07">
        <w:rPr>
          <w:rFonts w:ascii="Times New Roman" w:hAnsi="Times New Roman" w:cs="Times New Roman"/>
          <w:lang w:bidi="lt-LT"/>
        </w:rPr>
        <w:t> </w:t>
      </w:r>
      <w:r w:rsidRPr="004804D2">
        <w:rPr>
          <w:rFonts w:ascii="Times New Roman" w:hAnsi="Times New Roman" w:cs="Times New Roman"/>
          <w:lang w:bidi="lt-LT"/>
        </w:rPr>
        <w:t>1/10), dažnas (nuo ≥</w:t>
      </w:r>
      <w:r w:rsidR="005F6D07">
        <w:rPr>
          <w:rFonts w:ascii="Times New Roman" w:hAnsi="Times New Roman" w:cs="Times New Roman"/>
          <w:lang w:bidi="lt-LT"/>
        </w:rPr>
        <w:t> </w:t>
      </w:r>
      <w:r w:rsidRPr="004804D2">
        <w:rPr>
          <w:rFonts w:ascii="Times New Roman" w:hAnsi="Times New Roman" w:cs="Times New Roman"/>
          <w:lang w:bidi="lt-LT"/>
        </w:rPr>
        <w:t>1/100 iki &lt;</w:t>
      </w:r>
      <w:r w:rsidR="005F6D07">
        <w:rPr>
          <w:rFonts w:ascii="Times New Roman" w:hAnsi="Times New Roman" w:cs="Times New Roman"/>
          <w:lang w:bidi="lt-LT"/>
        </w:rPr>
        <w:t> </w:t>
      </w:r>
      <w:r w:rsidRPr="004804D2">
        <w:rPr>
          <w:rFonts w:ascii="Times New Roman" w:hAnsi="Times New Roman" w:cs="Times New Roman"/>
          <w:lang w:bidi="lt-LT"/>
        </w:rPr>
        <w:t>1/10), nedažnas (nuo ≥</w:t>
      </w:r>
      <w:r w:rsidR="005F6D07">
        <w:rPr>
          <w:rFonts w:ascii="Times New Roman" w:hAnsi="Times New Roman" w:cs="Times New Roman"/>
          <w:lang w:bidi="lt-LT"/>
        </w:rPr>
        <w:t> </w:t>
      </w:r>
      <w:r w:rsidRPr="004804D2">
        <w:rPr>
          <w:rFonts w:ascii="Times New Roman" w:hAnsi="Times New Roman" w:cs="Times New Roman"/>
          <w:lang w:bidi="lt-LT"/>
        </w:rPr>
        <w:t>1/1</w:t>
      </w:r>
      <w:r w:rsidR="005F6D07">
        <w:rPr>
          <w:rFonts w:ascii="Times New Roman" w:hAnsi="Times New Roman" w:cs="Times New Roman"/>
          <w:lang w:bidi="lt-LT"/>
        </w:rPr>
        <w:t> </w:t>
      </w:r>
      <w:r w:rsidRPr="004804D2">
        <w:rPr>
          <w:rFonts w:ascii="Times New Roman" w:hAnsi="Times New Roman" w:cs="Times New Roman"/>
          <w:lang w:bidi="lt-LT"/>
        </w:rPr>
        <w:t>000 iki &lt;</w:t>
      </w:r>
      <w:r w:rsidR="005F6D07">
        <w:rPr>
          <w:rFonts w:ascii="Times New Roman" w:hAnsi="Times New Roman" w:cs="Times New Roman"/>
          <w:lang w:bidi="lt-LT"/>
        </w:rPr>
        <w:t> </w:t>
      </w:r>
      <w:r w:rsidRPr="004804D2">
        <w:rPr>
          <w:rFonts w:ascii="Times New Roman" w:hAnsi="Times New Roman" w:cs="Times New Roman"/>
          <w:lang w:bidi="lt-LT"/>
        </w:rPr>
        <w:t>1/100), retas (nuo ≥</w:t>
      </w:r>
      <w:r w:rsidR="005F6D07">
        <w:rPr>
          <w:rFonts w:ascii="Times New Roman" w:hAnsi="Times New Roman" w:cs="Times New Roman"/>
          <w:lang w:bidi="lt-LT"/>
        </w:rPr>
        <w:t> </w:t>
      </w:r>
      <w:r w:rsidRPr="004804D2">
        <w:rPr>
          <w:rFonts w:ascii="Times New Roman" w:hAnsi="Times New Roman" w:cs="Times New Roman"/>
          <w:lang w:bidi="lt-LT"/>
        </w:rPr>
        <w:t>1/10</w:t>
      </w:r>
      <w:r w:rsidR="005F6D07">
        <w:rPr>
          <w:rFonts w:ascii="Times New Roman" w:hAnsi="Times New Roman" w:cs="Times New Roman"/>
          <w:lang w:bidi="lt-LT"/>
        </w:rPr>
        <w:t> </w:t>
      </w:r>
      <w:r w:rsidRPr="004804D2">
        <w:rPr>
          <w:rFonts w:ascii="Times New Roman" w:hAnsi="Times New Roman" w:cs="Times New Roman"/>
          <w:lang w:bidi="lt-LT"/>
        </w:rPr>
        <w:t>000 iki &lt;</w:t>
      </w:r>
      <w:r w:rsidR="005F6D07">
        <w:rPr>
          <w:rFonts w:ascii="Times New Roman" w:hAnsi="Times New Roman" w:cs="Times New Roman"/>
          <w:lang w:bidi="lt-LT"/>
        </w:rPr>
        <w:t> </w:t>
      </w:r>
      <w:r w:rsidRPr="004804D2">
        <w:rPr>
          <w:rFonts w:ascii="Times New Roman" w:hAnsi="Times New Roman" w:cs="Times New Roman"/>
          <w:lang w:bidi="lt-LT"/>
        </w:rPr>
        <w:t>1/1</w:t>
      </w:r>
      <w:r w:rsidR="005F6D07">
        <w:rPr>
          <w:rFonts w:ascii="Times New Roman" w:hAnsi="Times New Roman" w:cs="Times New Roman"/>
          <w:lang w:bidi="lt-LT"/>
        </w:rPr>
        <w:t> </w:t>
      </w:r>
      <w:r w:rsidRPr="004804D2">
        <w:rPr>
          <w:rFonts w:ascii="Times New Roman" w:hAnsi="Times New Roman" w:cs="Times New Roman"/>
          <w:lang w:bidi="lt-LT"/>
        </w:rPr>
        <w:t>000), labai retas (&lt;</w:t>
      </w:r>
      <w:r w:rsidR="005F6D07">
        <w:rPr>
          <w:rFonts w:ascii="Times New Roman" w:hAnsi="Times New Roman" w:cs="Times New Roman"/>
          <w:lang w:bidi="lt-LT"/>
        </w:rPr>
        <w:t> </w:t>
      </w:r>
      <w:r w:rsidRPr="004804D2">
        <w:rPr>
          <w:rFonts w:ascii="Times New Roman" w:hAnsi="Times New Roman" w:cs="Times New Roman"/>
          <w:lang w:bidi="lt-LT"/>
        </w:rPr>
        <w:t>1/10</w:t>
      </w:r>
      <w:r w:rsidR="005F6D07">
        <w:rPr>
          <w:rFonts w:ascii="Times New Roman" w:hAnsi="Times New Roman" w:cs="Times New Roman"/>
          <w:lang w:bidi="lt-LT"/>
        </w:rPr>
        <w:t> </w:t>
      </w:r>
      <w:r w:rsidRPr="004804D2">
        <w:rPr>
          <w:rFonts w:ascii="Times New Roman" w:hAnsi="Times New Roman" w:cs="Times New Roman"/>
          <w:lang w:bidi="lt-LT"/>
        </w:rPr>
        <w:t>000) ir nežinomas (negali būti apskaičiuotas pagal turimus duomenis).</w:t>
      </w:r>
    </w:p>
    <w:p w14:paraId="70715146" w14:textId="4647D01B" w:rsidR="00C42FB2" w:rsidRPr="004804D2" w:rsidRDefault="00C42FB2" w:rsidP="00E95834">
      <w:pPr>
        <w:suppressAutoHyphens/>
        <w:autoSpaceDN w:val="0"/>
        <w:spacing w:after="0" w:line="240" w:lineRule="auto"/>
        <w:rPr>
          <w:rFonts w:ascii="Times New Roman" w:eastAsia="Calibri" w:hAnsi="Times New Roman" w:cs="Times New Roman"/>
        </w:rPr>
      </w:pPr>
    </w:p>
    <w:p w14:paraId="4C078861" w14:textId="4572DD07"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1</w:t>
      </w:r>
      <w:r w:rsidR="005F6D07">
        <w:rPr>
          <w:rFonts w:ascii="Times New Roman" w:hAnsi="Times New Roman" w:cs="Times New Roman"/>
          <w:lang w:bidi="lt-LT"/>
        </w:rPr>
        <w:t> </w:t>
      </w:r>
      <w:r w:rsidRPr="004804D2">
        <w:rPr>
          <w:rFonts w:ascii="Times New Roman" w:hAnsi="Times New Roman" w:cs="Times New Roman"/>
          <w:lang w:bidi="lt-LT"/>
        </w:rPr>
        <w:t>lentelė. Nepageidaujamos reakcijos, pasireiškusios pacientams, 5</w:t>
      </w:r>
      <w:r w:rsidR="005F6D07">
        <w:rPr>
          <w:rFonts w:ascii="Times New Roman" w:hAnsi="Times New Roman" w:cs="Times New Roman"/>
          <w:lang w:bidi="lt-LT"/>
        </w:rPr>
        <w:t> </w:t>
      </w:r>
      <w:r w:rsidRPr="004804D2">
        <w:rPr>
          <w:rFonts w:ascii="Times New Roman" w:hAnsi="Times New Roman" w:cs="Times New Roman"/>
          <w:lang w:bidi="lt-LT"/>
        </w:rPr>
        <w:t>mg linagliptino paros dozę vartojusiems monoterapijai arba gydymo papildymui, remiantis klinikinių tyrimų duomenimis bei duomenimis, gautais vaistinį preparatą pateikus į rinką.</w:t>
      </w:r>
    </w:p>
    <w:p w14:paraId="09727DE9" w14:textId="48A6A746" w:rsidR="00C42FB2" w:rsidRPr="004804D2" w:rsidRDefault="00C42FB2" w:rsidP="007808A1">
      <w:pPr>
        <w:suppressAutoHyphens/>
        <w:autoSpaceDN w:val="0"/>
        <w:spacing w:after="0" w:line="240" w:lineRule="auto"/>
        <w:jc w:val="both"/>
        <w:rPr>
          <w:rFonts w:ascii="Times New Roman" w:eastAsia="Calibri" w:hAnsi="Times New Roman" w:cs="Times New Roman"/>
        </w:rPr>
      </w:pPr>
    </w:p>
    <w:tbl>
      <w:tblPr>
        <w:tblStyle w:val="Lentelstinklelis"/>
        <w:tblW w:w="5000" w:type="pct"/>
        <w:jc w:val="center"/>
        <w:tblLook w:val="04A0" w:firstRow="1" w:lastRow="0" w:firstColumn="1" w:lastColumn="0" w:noHBand="0" w:noVBand="1"/>
      </w:tblPr>
      <w:tblGrid>
        <w:gridCol w:w="4530"/>
        <w:gridCol w:w="4530"/>
      </w:tblGrid>
      <w:tr w:rsidR="007F7037" w:rsidRPr="004804D2" w14:paraId="0DC43205" w14:textId="77777777" w:rsidTr="006108E2">
        <w:trPr>
          <w:jc w:val="center"/>
        </w:trPr>
        <w:tc>
          <w:tcPr>
            <w:tcW w:w="4148" w:type="dxa"/>
            <w:vAlign w:val="center"/>
          </w:tcPr>
          <w:p w14:paraId="340B8F76" w14:textId="77777777" w:rsidR="007F7037" w:rsidRPr="004804D2" w:rsidRDefault="007F7037" w:rsidP="006108E2">
            <w:pPr>
              <w:suppressAutoHyphens/>
              <w:autoSpaceDN w:val="0"/>
              <w:rPr>
                <w:rFonts w:ascii="Times New Roman" w:eastAsia="Calibri" w:hAnsi="Times New Roman" w:cs="Times New Roman"/>
                <w:b/>
                <w:bCs/>
              </w:rPr>
            </w:pPr>
            <w:r w:rsidRPr="004804D2">
              <w:rPr>
                <w:rFonts w:ascii="Times New Roman" w:hAnsi="Times New Roman" w:cs="Times New Roman"/>
                <w:b/>
                <w:lang w:bidi="lt-LT"/>
              </w:rPr>
              <w:t>Organų sistemų klasė</w:t>
            </w:r>
          </w:p>
          <w:p w14:paraId="5270099E" w14:textId="703F600A" w:rsidR="007F7037" w:rsidRPr="004804D2" w:rsidRDefault="007F7037" w:rsidP="006108E2">
            <w:pPr>
              <w:suppressAutoHyphens/>
              <w:autoSpaceDN w:val="0"/>
              <w:rPr>
                <w:rFonts w:ascii="Times New Roman" w:eastAsia="Calibri" w:hAnsi="Times New Roman" w:cs="Times New Roman"/>
              </w:rPr>
            </w:pPr>
            <w:r w:rsidRPr="004804D2">
              <w:rPr>
                <w:rFonts w:ascii="Times New Roman" w:hAnsi="Times New Roman" w:cs="Times New Roman"/>
                <w:lang w:bidi="lt-LT"/>
              </w:rPr>
              <w:t>Nepageidaujama reakcija</w:t>
            </w:r>
          </w:p>
        </w:tc>
        <w:tc>
          <w:tcPr>
            <w:tcW w:w="4148" w:type="dxa"/>
            <w:vAlign w:val="center"/>
          </w:tcPr>
          <w:p w14:paraId="2F2DDEAC" w14:textId="2E7FA8CE"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Nepageidaujamos reakcijos dažnis</w:t>
            </w:r>
          </w:p>
        </w:tc>
      </w:tr>
      <w:tr w:rsidR="007F7037" w:rsidRPr="004804D2" w14:paraId="4E938C45" w14:textId="77777777" w:rsidTr="006108E2">
        <w:trPr>
          <w:jc w:val="center"/>
        </w:trPr>
        <w:tc>
          <w:tcPr>
            <w:tcW w:w="4148" w:type="dxa"/>
            <w:vAlign w:val="center"/>
          </w:tcPr>
          <w:p w14:paraId="3ABFB2DF" w14:textId="6AFE0F91"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Infekcijos ir infestacijos</w:t>
            </w:r>
          </w:p>
        </w:tc>
        <w:tc>
          <w:tcPr>
            <w:tcW w:w="4148" w:type="dxa"/>
            <w:vAlign w:val="center"/>
          </w:tcPr>
          <w:p w14:paraId="673DF2AC" w14:textId="77777777" w:rsidR="007F7037" w:rsidRPr="004804D2" w:rsidRDefault="007F7037" w:rsidP="006108E2">
            <w:pPr>
              <w:suppressAutoHyphens/>
              <w:autoSpaceDN w:val="0"/>
              <w:rPr>
                <w:rFonts w:ascii="Times New Roman" w:eastAsia="Calibri" w:hAnsi="Times New Roman" w:cs="Times New Roman"/>
                <w:lang w:val="en-US"/>
              </w:rPr>
            </w:pPr>
          </w:p>
        </w:tc>
      </w:tr>
      <w:tr w:rsidR="007F7037" w:rsidRPr="004804D2" w14:paraId="5F48EC7E" w14:textId="77777777" w:rsidTr="006108E2">
        <w:trPr>
          <w:jc w:val="center"/>
        </w:trPr>
        <w:tc>
          <w:tcPr>
            <w:tcW w:w="4148" w:type="dxa"/>
            <w:vAlign w:val="center"/>
          </w:tcPr>
          <w:p w14:paraId="0D792077" w14:textId="73F43D10"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Nazofaringitas</w:t>
            </w:r>
          </w:p>
        </w:tc>
        <w:tc>
          <w:tcPr>
            <w:tcW w:w="4148" w:type="dxa"/>
            <w:vAlign w:val="center"/>
          </w:tcPr>
          <w:p w14:paraId="7ADF3032" w14:textId="19F51D0E"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p>
        </w:tc>
      </w:tr>
      <w:tr w:rsidR="007F7037" w:rsidRPr="004804D2" w14:paraId="16665227" w14:textId="77777777" w:rsidTr="006108E2">
        <w:trPr>
          <w:jc w:val="center"/>
        </w:trPr>
        <w:tc>
          <w:tcPr>
            <w:tcW w:w="4148" w:type="dxa"/>
            <w:vAlign w:val="center"/>
          </w:tcPr>
          <w:p w14:paraId="0BA58135" w14:textId="0C05381A"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Imuninės sistemos sutrikimai</w:t>
            </w:r>
          </w:p>
        </w:tc>
        <w:tc>
          <w:tcPr>
            <w:tcW w:w="4148" w:type="dxa"/>
            <w:vAlign w:val="center"/>
          </w:tcPr>
          <w:p w14:paraId="675A8327" w14:textId="77777777" w:rsidR="007F7037" w:rsidRPr="004804D2" w:rsidRDefault="007F7037" w:rsidP="006108E2">
            <w:pPr>
              <w:suppressAutoHyphens/>
              <w:autoSpaceDN w:val="0"/>
              <w:rPr>
                <w:rFonts w:ascii="Times New Roman" w:eastAsia="Calibri" w:hAnsi="Times New Roman" w:cs="Times New Roman"/>
                <w:lang w:val="en-US"/>
              </w:rPr>
            </w:pPr>
          </w:p>
        </w:tc>
      </w:tr>
      <w:tr w:rsidR="007F7037" w:rsidRPr="004804D2" w14:paraId="063A7175" w14:textId="77777777" w:rsidTr="006108E2">
        <w:trPr>
          <w:jc w:val="center"/>
        </w:trPr>
        <w:tc>
          <w:tcPr>
            <w:tcW w:w="4148" w:type="dxa"/>
            <w:vAlign w:val="center"/>
          </w:tcPr>
          <w:p w14:paraId="5DAA48A8" w14:textId="77777777" w:rsidR="007F7037" w:rsidRPr="004804D2" w:rsidRDefault="007F7037" w:rsidP="006108E2">
            <w:pPr>
              <w:suppressAutoHyphens/>
              <w:autoSpaceDN w:val="0"/>
              <w:rPr>
                <w:rFonts w:ascii="Times New Roman" w:eastAsia="Calibri" w:hAnsi="Times New Roman" w:cs="Times New Roman"/>
              </w:rPr>
            </w:pPr>
            <w:r w:rsidRPr="004804D2">
              <w:rPr>
                <w:rFonts w:ascii="Times New Roman" w:hAnsi="Times New Roman" w:cs="Times New Roman"/>
                <w:lang w:bidi="lt-LT"/>
              </w:rPr>
              <w:t>Padidėjęs jautrumas</w:t>
            </w:r>
          </w:p>
          <w:p w14:paraId="6E6A539E" w14:textId="4D32B805" w:rsidR="007F7037" w:rsidRPr="004804D2" w:rsidRDefault="007F7037" w:rsidP="006108E2">
            <w:pPr>
              <w:suppressAutoHyphens/>
              <w:autoSpaceDN w:val="0"/>
              <w:rPr>
                <w:rFonts w:ascii="Times New Roman" w:eastAsia="Calibri" w:hAnsi="Times New Roman" w:cs="Times New Roman"/>
              </w:rPr>
            </w:pPr>
            <w:r w:rsidRPr="004804D2">
              <w:rPr>
                <w:rFonts w:ascii="Times New Roman" w:hAnsi="Times New Roman" w:cs="Times New Roman"/>
                <w:lang w:bidi="lt-LT"/>
              </w:rPr>
              <w:t>(pvz., padidėjęs bronchų reaktyvumas)</w:t>
            </w:r>
          </w:p>
        </w:tc>
        <w:tc>
          <w:tcPr>
            <w:tcW w:w="4148" w:type="dxa"/>
            <w:vAlign w:val="center"/>
          </w:tcPr>
          <w:p w14:paraId="0016D01C" w14:textId="232D14DF"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p>
        </w:tc>
      </w:tr>
      <w:tr w:rsidR="007F7037" w:rsidRPr="004804D2" w14:paraId="2A678CEB" w14:textId="77777777" w:rsidTr="006108E2">
        <w:trPr>
          <w:jc w:val="center"/>
        </w:trPr>
        <w:tc>
          <w:tcPr>
            <w:tcW w:w="4148" w:type="dxa"/>
            <w:vAlign w:val="center"/>
          </w:tcPr>
          <w:p w14:paraId="0B1F3A39" w14:textId="494C0A3E"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Metabolizmo ir mitybos sutrikimai</w:t>
            </w:r>
          </w:p>
        </w:tc>
        <w:tc>
          <w:tcPr>
            <w:tcW w:w="4148" w:type="dxa"/>
            <w:vAlign w:val="center"/>
          </w:tcPr>
          <w:p w14:paraId="48095DFD" w14:textId="77777777" w:rsidR="007F7037" w:rsidRPr="004804D2" w:rsidRDefault="007F7037" w:rsidP="006108E2">
            <w:pPr>
              <w:suppressAutoHyphens/>
              <w:autoSpaceDN w:val="0"/>
              <w:rPr>
                <w:rFonts w:ascii="Times New Roman" w:eastAsia="Calibri" w:hAnsi="Times New Roman" w:cs="Times New Roman"/>
                <w:lang w:val="en-US"/>
              </w:rPr>
            </w:pPr>
          </w:p>
        </w:tc>
      </w:tr>
      <w:tr w:rsidR="007F7037" w:rsidRPr="004804D2" w14:paraId="1E431556" w14:textId="77777777" w:rsidTr="006108E2">
        <w:trPr>
          <w:jc w:val="center"/>
        </w:trPr>
        <w:tc>
          <w:tcPr>
            <w:tcW w:w="4148" w:type="dxa"/>
            <w:vAlign w:val="center"/>
          </w:tcPr>
          <w:p w14:paraId="6195EB1C" w14:textId="47454694" w:rsidR="007F7037" w:rsidRPr="004804D2" w:rsidRDefault="007F7037" w:rsidP="006108E2">
            <w:pPr>
              <w:suppressAutoHyphens/>
              <w:autoSpaceDN w:val="0"/>
              <w:rPr>
                <w:rFonts w:ascii="Times New Roman" w:eastAsia="Calibri" w:hAnsi="Times New Roman" w:cs="Times New Roman"/>
                <w:vertAlign w:val="superscript"/>
                <w:lang w:val="en-US"/>
              </w:rPr>
            </w:pPr>
            <w:r w:rsidRPr="004804D2">
              <w:rPr>
                <w:rFonts w:ascii="Times New Roman" w:hAnsi="Times New Roman" w:cs="Times New Roman"/>
                <w:lang w:bidi="lt-LT"/>
              </w:rPr>
              <w:t>Hipoglikemija</w:t>
            </w:r>
            <w:r w:rsidRPr="004804D2">
              <w:rPr>
                <w:rFonts w:ascii="Times New Roman" w:hAnsi="Times New Roman" w:cs="Times New Roman"/>
                <w:vertAlign w:val="superscript"/>
                <w:lang w:bidi="lt-LT"/>
              </w:rPr>
              <w:t>1</w:t>
            </w:r>
          </w:p>
        </w:tc>
        <w:tc>
          <w:tcPr>
            <w:tcW w:w="4148" w:type="dxa"/>
            <w:vAlign w:val="center"/>
          </w:tcPr>
          <w:p w14:paraId="4F6985E9" w14:textId="551ACBE8"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labai dažnas</w:t>
            </w:r>
          </w:p>
        </w:tc>
      </w:tr>
      <w:tr w:rsidR="007F7037" w:rsidRPr="004804D2" w14:paraId="54E0E69E" w14:textId="77777777" w:rsidTr="006108E2">
        <w:trPr>
          <w:jc w:val="center"/>
        </w:trPr>
        <w:tc>
          <w:tcPr>
            <w:tcW w:w="4148" w:type="dxa"/>
            <w:vAlign w:val="center"/>
          </w:tcPr>
          <w:p w14:paraId="0E9647FB" w14:textId="6D91DD5C" w:rsidR="007F7037" w:rsidRPr="004804D2" w:rsidRDefault="007F7037" w:rsidP="006108E2">
            <w:pPr>
              <w:suppressAutoHyphens/>
              <w:autoSpaceDN w:val="0"/>
              <w:rPr>
                <w:rFonts w:ascii="Times New Roman" w:eastAsia="Calibri" w:hAnsi="Times New Roman" w:cs="Times New Roman"/>
                <w:b/>
                <w:bCs/>
              </w:rPr>
            </w:pPr>
            <w:r w:rsidRPr="004804D2">
              <w:rPr>
                <w:rFonts w:ascii="Times New Roman" w:hAnsi="Times New Roman" w:cs="Times New Roman"/>
                <w:b/>
                <w:lang w:bidi="lt-LT"/>
              </w:rPr>
              <w:t>Kvėpavimo sistemos, krūtinės ląstos ir tarpuplaučio sutrikimai</w:t>
            </w:r>
          </w:p>
        </w:tc>
        <w:tc>
          <w:tcPr>
            <w:tcW w:w="4148" w:type="dxa"/>
            <w:vAlign w:val="center"/>
          </w:tcPr>
          <w:p w14:paraId="36542374" w14:textId="77777777" w:rsidR="007F7037" w:rsidRPr="004804D2" w:rsidRDefault="007F7037" w:rsidP="006108E2">
            <w:pPr>
              <w:suppressAutoHyphens/>
              <w:autoSpaceDN w:val="0"/>
              <w:rPr>
                <w:rFonts w:ascii="Times New Roman" w:eastAsia="Calibri" w:hAnsi="Times New Roman" w:cs="Times New Roman"/>
              </w:rPr>
            </w:pPr>
          </w:p>
        </w:tc>
      </w:tr>
      <w:tr w:rsidR="007F7037" w:rsidRPr="004804D2" w14:paraId="2517610C" w14:textId="77777777" w:rsidTr="006108E2">
        <w:trPr>
          <w:jc w:val="center"/>
        </w:trPr>
        <w:tc>
          <w:tcPr>
            <w:tcW w:w="4148" w:type="dxa"/>
            <w:vAlign w:val="center"/>
          </w:tcPr>
          <w:p w14:paraId="52FC0E32" w14:textId="7EF7B0FC"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Kosulys</w:t>
            </w:r>
          </w:p>
        </w:tc>
        <w:tc>
          <w:tcPr>
            <w:tcW w:w="4148" w:type="dxa"/>
            <w:vAlign w:val="center"/>
          </w:tcPr>
          <w:p w14:paraId="2AB962FE" w14:textId="482694A6"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p>
        </w:tc>
      </w:tr>
      <w:tr w:rsidR="007F7037" w:rsidRPr="004804D2" w14:paraId="273DD946" w14:textId="77777777" w:rsidTr="006108E2">
        <w:trPr>
          <w:jc w:val="center"/>
        </w:trPr>
        <w:tc>
          <w:tcPr>
            <w:tcW w:w="4148" w:type="dxa"/>
            <w:vAlign w:val="center"/>
          </w:tcPr>
          <w:p w14:paraId="0CF2DABC" w14:textId="657FB937"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Virškinimo trakto sutrikimai</w:t>
            </w:r>
          </w:p>
        </w:tc>
        <w:tc>
          <w:tcPr>
            <w:tcW w:w="4148" w:type="dxa"/>
            <w:vAlign w:val="center"/>
          </w:tcPr>
          <w:p w14:paraId="5BBE1BD0" w14:textId="77777777" w:rsidR="007F7037" w:rsidRPr="004804D2" w:rsidRDefault="007F7037" w:rsidP="006108E2">
            <w:pPr>
              <w:suppressAutoHyphens/>
              <w:autoSpaceDN w:val="0"/>
              <w:rPr>
                <w:rFonts w:ascii="Times New Roman" w:eastAsia="Calibri" w:hAnsi="Times New Roman" w:cs="Times New Roman"/>
                <w:lang w:val="en-US"/>
              </w:rPr>
            </w:pPr>
          </w:p>
        </w:tc>
      </w:tr>
      <w:tr w:rsidR="007F7037" w:rsidRPr="004804D2" w14:paraId="239836CB" w14:textId="77777777" w:rsidTr="006108E2">
        <w:trPr>
          <w:jc w:val="center"/>
        </w:trPr>
        <w:tc>
          <w:tcPr>
            <w:tcW w:w="4148" w:type="dxa"/>
            <w:vAlign w:val="center"/>
          </w:tcPr>
          <w:p w14:paraId="0AC51CB0" w14:textId="62FBACA7"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Pankreatitas</w:t>
            </w:r>
          </w:p>
        </w:tc>
        <w:tc>
          <w:tcPr>
            <w:tcW w:w="4148" w:type="dxa"/>
            <w:vAlign w:val="center"/>
          </w:tcPr>
          <w:p w14:paraId="46EA3FA3" w14:textId="7BEE0AE6"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retas</w:t>
            </w:r>
            <w:r w:rsidRPr="004804D2">
              <w:rPr>
                <w:rFonts w:ascii="Times New Roman" w:hAnsi="Times New Roman" w:cs="Times New Roman"/>
                <w:vertAlign w:val="superscript"/>
                <w:lang w:bidi="lt-LT"/>
              </w:rPr>
              <w:t>#</w:t>
            </w:r>
          </w:p>
        </w:tc>
      </w:tr>
      <w:tr w:rsidR="007F7037" w:rsidRPr="004804D2" w14:paraId="6B384057" w14:textId="77777777" w:rsidTr="006108E2">
        <w:trPr>
          <w:jc w:val="center"/>
        </w:trPr>
        <w:tc>
          <w:tcPr>
            <w:tcW w:w="4148" w:type="dxa"/>
            <w:vAlign w:val="center"/>
          </w:tcPr>
          <w:p w14:paraId="217AD6C6" w14:textId="5C4EE274" w:rsidR="007F7037" w:rsidRPr="004804D2" w:rsidRDefault="007F7037" w:rsidP="006108E2">
            <w:pPr>
              <w:suppressAutoHyphens/>
              <w:autoSpaceDN w:val="0"/>
              <w:rPr>
                <w:rFonts w:ascii="Times New Roman" w:eastAsia="Calibri" w:hAnsi="Times New Roman" w:cs="Times New Roman"/>
                <w:vertAlign w:val="superscript"/>
                <w:lang w:val="en-US"/>
              </w:rPr>
            </w:pPr>
            <w:r w:rsidRPr="004804D2">
              <w:rPr>
                <w:rFonts w:ascii="Times New Roman" w:hAnsi="Times New Roman" w:cs="Times New Roman"/>
                <w:lang w:bidi="lt-LT"/>
              </w:rPr>
              <w:t>Vidurių užkietėjimas</w:t>
            </w:r>
            <w:r w:rsidRPr="004804D2">
              <w:rPr>
                <w:rFonts w:ascii="Times New Roman" w:hAnsi="Times New Roman" w:cs="Times New Roman"/>
                <w:vertAlign w:val="superscript"/>
                <w:lang w:bidi="lt-LT"/>
              </w:rPr>
              <w:t>2</w:t>
            </w:r>
          </w:p>
        </w:tc>
        <w:tc>
          <w:tcPr>
            <w:tcW w:w="4148" w:type="dxa"/>
            <w:vAlign w:val="center"/>
          </w:tcPr>
          <w:p w14:paraId="008E3948" w14:textId="226154A9"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r w:rsidRPr="004804D2">
              <w:rPr>
                <w:rFonts w:ascii="Times New Roman" w:hAnsi="Times New Roman" w:cs="Times New Roman"/>
                <w:vertAlign w:val="superscript"/>
                <w:lang w:bidi="lt-LT"/>
              </w:rPr>
              <w:t>#</w:t>
            </w:r>
          </w:p>
        </w:tc>
      </w:tr>
      <w:tr w:rsidR="007F7037" w:rsidRPr="004804D2" w14:paraId="06A5A9D4" w14:textId="77777777" w:rsidTr="006108E2">
        <w:trPr>
          <w:jc w:val="center"/>
        </w:trPr>
        <w:tc>
          <w:tcPr>
            <w:tcW w:w="4148" w:type="dxa"/>
            <w:vAlign w:val="center"/>
          </w:tcPr>
          <w:p w14:paraId="68094ADB" w14:textId="6C05B169" w:rsidR="007F7037" w:rsidRPr="00E1529B" w:rsidRDefault="007F7037" w:rsidP="006108E2">
            <w:pPr>
              <w:suppressAutoHyphens/>
              <w:autoSpaceDN w:val="0"/>
              <w:rPr>
                <w:rFonts w:ascii="Times New Roman" w:eastAsia="Calibri" w:hAnsi="Times New Roman" w:cs="Times New Roman"/>
                <w:b/>
                <w:bCs/>
                <w:lang w:val="pt-PT"/>
              </w:rPr>
            </w:pPr>
            <w:r w:rsidRPr="004804D2">
              <w:rPr>
                <w:rFonts w:ascii="Times New Roman" w:hAnsi="Times New Roman" w:cs="Times New Roman"/>
                <w:b/>
                <w:lang w:bidi="lt-LT"/>
              </w:rPr>
              <w:t>Odos ir poodinio audinio sutrikimai</w:t>
            </w:r>
          </w:p>
        </w:tc>
        <w:tc>
          <w:tcPr>
            <w:tcW w:w="4148" w:type="dxa"/>
            <w:vAlign w:val="center"/>
          </w:tcPr>
          <w:p w14:paraId="4789A5AD" w14:textId="77777777" w:rsidR="007F7037" w:rsidRPr="00E1529B" w:rsidRDefault="007F7037" w:rsidP="006108E2">
            <w:pPr>
              <w:suppressAutoHyphens/>
              <w:autoSpaceDN w:val="0"/>
              <w:rPr>
                <w:rFonts w:ascii="Times New Roman" w:eastAsia="Calibri" w:hAnsi="Times New Roman" w:cs="Times New Roman"/>
                <w:lang w:val="pt-PT"/>
              </w:rPr>
            </w:pPr>
          </w:p>
        </w:tc>
      </w:tr>
      <w:tr w:rsidR="007F7037" w:rsidRPr="004804D2" w14:paraId="32D55C87" w14:textId="77777777" w:rsidTr="006108E2">
        <w:trPr>
          <w:jc w:val="center"/>
        </w:trPr>
        <w:tc>
          <w:tcPr>
            <w:tcW w:w="4148" w:type="dxa"/>
            <w:vAlign w:val="center"/>
          </w:tcPr>
          <w:p w14:paraId="1C70E48A" w14:textId="3179E2B4"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Angioneurozinė edema*</w:t>
            </w:r>
          </w:p>
        </w:tc>
        <w:tc>
          <w:tcPr>
            <w:tcW w:w="4148" w:type="dxa"/>
            <w:vAlign w:val="center"/>
          </w:tcPr>
          <w:p w14:paraId="31FC304A" w14:textId="6D16DC7C"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retas</w:t>
            </w:r>
          </w:p>
        </w:tc>
      </w:tr>
      <w:tr w:rsidR="007F7037" w:rsidRPr="004804D2" w14:paraId="33B21BDC" w14:textId="77777777" w:rsidTr="006108E2">
        <w:trPr>
          <w:jc w:val="center"/>
        </w:trPr>
        <w:tc>
          <w:tcPr>
            <w:tcW w:w="4148" w:type="dxa"/>
            <w:vAlign w:val="center"/>
          </w:tcPr>
          <w:p w14:paraId="3E4B721F" w14:textId="56151067"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Dilgėlinė*</w:t>
            </w:r>
          </w:p>
        </w:tc>
        <w:tc>
          <w:tcPr>
            <w:tcW w:w="4148" w:type="dxa"/>
            <w:vAlign w:val="center"/>
          </w:tcPr>
          <w:p w14:paraId="6F65E93F" w14:textId="51A49F11"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retas</w:t>
            </w:r>
          </w:p>
        </w:tc>
      </w:tr>
      <w:tr w:rsidR="007F7037" w:rsidRPr="004804D2" w14:paraId="40D2C1AA" w14:textId="77777777" w:rsidTr="006108E2">
        <w:trPr>
          <w:jc w:val="center"/>
        </w:trPr>
        <w:tc>
          <w:tcPr>
            <w:tcW w:w="4148" w:type="dxa"/>
            <w:vAlign w:val="center"/>
          </w:tcPr>
          <w:p w14:paraId="52E39812" w14:textId="15D9FA47"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Išbėrimas*</w:t>
            </w:r>
          </w:p>
        </w:tc>
        <w:tc>
          <w:tcPr>
            <w:tcW w:w="4148" w:type="dxa"/>
            <w:vAlign w:val="center"/>
          </w:tcPr>
          <w:p w14:paraId="004DB985" w14:textId="7F1F5C98"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p>
        </w:tc>
      </w:tr>
      <w:tr w:rsidR="007F7037" w:rsidRPr="004804D2" w14:paraId="3F8293A1" w14:textId="77777777" w:rsidTr="006108E2">
        <w:trPr>
          <w:jc w:val="center"/>
        </w:trPr>
        <w:tc>
          <w:tcPr>
            <w:tcW w:w="4148" w:type="dxa"/>
            <w:vAlign w:val="center"/>
          </w:tcPr>
          <w:p w14:paraId="705C5FE3" w14:textId="3241B7F8"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Pūslinis pemfigoidas</w:t>
            </w:r>
          </w:p>
        </w:tc>
        <w:tc>
          <w:tcPr>
            <w:tcW w:w="4148" w:type="dxa"/>
            <w:vAlign w:val="center"/>
          </w:tcPr>
          <w:p w14:paraId="22D77A7B" w14:textId="6612D6F1" w:rsidR="007F7037" w:rsidRPr="004804D2" w:rsidRDefault="00B9427D"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Retas</w:t>
            </w:r>
            <w:r w:rsidRPr="004804D2">
              <w:rPr>
                <w:rFonts w:ascii="Times New Roman" w:hAnsi="Times New Roman" w:cs="Times New Roman"/>
                <w:vertAlign w:val="superscript"/>
                <w:lang w:bidi="lt-LT"/>
              </w:rPr>
              <w:t>#</w:t>
            </w:r>
          </w:p>
        </w:tc>
      </w:tr>
      <w:tr w:rsidR="007F7037" w:rsidRPr="004804D2" w14:paraId="11781D91" w14:textId="77777777" w:rsidTr="006108E2">
        <w:trPr>
          <w:jc w:val="center"/>
        </w:trPr>
        <w:tc>
          <w:tcPr>
            <w:tcW w:w="4148" w:type="dxa"/>
            <w:vAlign w:val="center"/>
          </w:tcPr>
          <w:p w14:paraId="0F666441" w14:textId="25567085" w:rsidR="007F7037" w:rsidRPr="004804D2" w:rsidRDefault="007F7037" w:rsidP="006108E2">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Tyrimai</w:t>
            </w:r>
          </w:p>
        </w:tc>
        <w:tc>
          <w:tcPr>
            <w:tcW w:w="4148" w:type="dxa"/>
            <w:vAlign w:val="center"/>
          </w:tcPr>
          <w:p w14:paraId="6620C024" w14:textId="77777777" w:rsidR="007F7037" w:rsidRPr="004804D2" w:rsidRDefault="007F7037" w:rsidP="006108E2">
            <w:pPr>
              <w:suppressAutoHyphens/>
              <w:autoSpaceDN w:val="0"/>
              <w:rPr>
                <w:rFonts w:ascii="Times New Roman" w:eastAsia="Calibri" w:hAnsi="Times New Roman" w:cs="Times New Roman"/>
                <w:lang w:val="en-US"/>
              </w:rPr>
            </w:pPr>
          </w:p>
        </w:tc>
      </w:tr>
      <w:tr w:rsidR="007F7037" w:rsidRPr="004804D2" w14:paraId="5149F11F" w14:textId="77777777" w:rsidTr="006108E2">
        <w:trPr>
          <w:jc w:val="center"/>
        </w:trPr>
        <w:tc>
          <w:tcPr>
            <w:tcW w:w="4148" w:type="dxa"/>
            <w:vAlign w:val="center"/>
          </w:tcPr>
          <w:p w14:paraId="4812FA26" w14:textId="7860E83E"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Padidėjęs amilazės aktyvumas</w:t>
            </w:r>
          </w:p>
        </w:tc>
        <w:tc>
          <w:tcPr>
            <w:tcW w:w="4148" w:type="dxa"/>
            <w:vAlign w:val="center"/>
          </w:tcPr>
          <w:p w14:paraId="1B135FAB" w14:textId="7E436912"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nedažnas</w:t>
            </w:r>
          </w:p>
        </w:tc>
      </w:tr>
      <w:tr w:rsidR="007F7037" w:rsidRPr="004804D2" w14:paraId="37E7DC5E" w14:textId="77777777" w:rsidTr="006108E2">
        <w:trPr>
          <w:jc w:val="center"/>
        </w:trPr>
        <w:tc>
          <w:tcPr>
            <w:tcW w:w="4148" w:type="dxa"/>
            <w:vAlign w:val="center"/>
          </w:tcPr>
          <w:p w14:paraId="1CB40F7A" w14:textId="3C23D456" w:rsidR="007F7037" w:rsidRPr="004804D2" w:rsidRDefault="007F7037"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Padidėjęs lipazės aktyvumas**</w:t>
            </w:r>
          </w:p>
        </w:tc>
        <w:tc>
          <w:tcPr>
            <w:tcW w:w="4148" w:type="dxa"/>
            <w:vAlign w:val="center"/>
          </w:tcPr>
          <w:p w14:paraId="42C26D4C" w14:textId="3FF7CC25" w:rsidR="007F7037" w:rsidRPr="004804D2" w:rsidRDefault="00AD3B26" w:rsidP="006108E2">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dažnas</w:t>
            </w:r>
          </w:p>
        </w:tc>
      </w:tr>
    </w:tbl>
    <w:p w14:paraId="24C2168E" w14:textId="5D0CC38A" w:rsidR="00C42FB2" w:rsidRPr="00E1529B" w:rsidRDefault="00C42FB2" w:rsidP="00C42FB2">
      <w:pPr>
        <w:suppressAutoHyphens/>
        <w:autoSpaceDN w:val="0"/>
        <w:spacing w:after="0" w:line="240" w:lineRule="auto"/>
        <w:jc w:val="both"/>
        <w:rPr>
          <w:rFonts w:ascii="Times New Roman" w:eastAsia="Calibri" w:hAnsi="Times New Roman" w:cs="Times New Roman"/>
          <w:lang w:val="pt-PT"/>
        </w:rPr>
      </w:pPr>
      <w:r w:rsidRPr="004804D2">
        <w:rPr>
          <w:rFonts w:ascii="Times New Roman" w:hAnsi="Times New Roman" w:cs="Times New Roman"/>
          <w:lang w:bidi="lt-LT"/>
        </w:rPr>
        <w:t xml:space="preserve">* </w:t>
      </w:r>
      <w:r w:rsidRPr="004804D2">
        <w:rPr>
          <w:rFonts w:ascii="Times New Roman" w:hAnsi="Times New Roman" w:cs="Times New Roman"/>
          <w:lang w:bidi="lt-LT"/>
        </w:rPr>
        <w:tab/>
        <w:t>Remiantis duomenimis, gautais vaistinį preparatą pateikus į rinką</w:t>
      </w:r>
    </w:p>
    <w:p w14:paraId="44E81DB4" w14:textId="34127798" w:rsidR="00C42FB2" w:rsidRPr="00E1529B" w:rsidRDefault="00C42FB2" w:rsidP="00C42FB2">
      <w:pPr>
        <w:suppressAutoHyphens/>
        <w:autoSpaceDN w:val="0"/>
        <w:spacing w:after="0" w:line="240" w:lineRule="auto"/>
        <w:jc w:val="both"/>
        <w:rPr>
          <w:rFonts w:ascii="Times New Roman" w:eastAsia="Calibri" w:hAnsi="Times New Roman" w:cs="Times New Roman"/>
          <w:lang w:val="pt-PT"/>
        </w:rPr>
      </w:pPr>
      <w:r w:rsidRPr="004804D2">
        <w:rPr>
          <w:rFonts w:ascii="Times New Roman" w:hAnsi="Times New Roman" w:cs="Times New Roman"/>
          <w:lang w:bidi="lt-LT"/>
        </w:rPr>
        <w:t xml:space="preserve">** </w:t>
      </w:r>
      <w:r w:rsidRPr="004804D2">
        <w:rPr>
          <w:rFonts w:ascii="Times New Roman" w:hAnsi="Times New Roman" w:cs="Times New Roman"/>
          <w:lang w:bidi="lt-LT"/>
        </w:rPr>
        <w:tab/>
        <w:t>Remiantis klinikiniuose tyrimuose pastebėtu lipazės aktyvumo padidėjimu &gt;</w:t>
      </w:r>
      <w:r w:rsidR="005F6D07">
        <w:rPr>
          <w:rFonts w:ascii="Times New Roman" w:hAnsi="Times New Roman" w:cs="Times New Roman"/>
          <w:lang w:bidi="lt-LT"/>
        </w:rPr>
        <w:t> </w:t>
      </w:r>
      <w:r w:rsidRPr="004804D2">
        <w:rPr>
          <w:rFonts w:ascii="Times New Roman" w:hAnsi="Times New Roman" w:cs="Times New Roman"/>
          <w:lang w:bidi="lt-LT"/>
        </w:rPr>
        <w:t>3x virš viršutinės normos ribos (VNR)</w:t>
      </w:r>
    </w:p>
    <w:p w14:paraId="17C84D3F" w14:textId="77777777" w:rsidR="00C42FB2" w:rsidRPr="00E1529B" w:rsidRDefault="00C42FB2" w:rsidP="00C42FB2">
      <w:pPr>
        <w:suppressAutoHyphens/>
        <w:autoSpaceDN w:val="0"/>
        <w:spacing w:after="0" w:line="240" w:lineRule="auto"/>
        <w:jc w:val="both"/>
        <w:rPr>
          <w:rFonts w:ascii="Times New Roman" w:eastAsia="Calibri" w:hAnsi="Times New Roman" w:cs="Times New Roman"/>
          <w:lang w:val="pt-PT"/>
        </w:rPr>
      </w:pPr>
      <w:r w:rsidRPr="004804D2">
        <w:rPr>
          <w:rFonts w:ascii="Times New Roman" w:hAnsi="Times New Roman" w:cs="Times New Roman"/>
          <w:vertAlign w:val="superscript"/>
          <w:lang w:bidi="lt-LT"/>
        </w:rPr>
        <w:t>#</w:t>
      </w:r>
      <w:r w:rsidRPr="004804D2">
        <w:rPr>
          <w:rFonts w:ascii="Times New Roman" w:hAnsi="Times New Roman" w:cs="Times New Roman"/>
          <w:vertAlign w:val="superscript"/>
          <w:lang w:bidi="lt-LT"/>
        </w:rPr>
        <w:tab/>
      </w:r>
      <w:r w:rsidRPr="004804D2">
        <w:rPr>
          <w:rFonts w:ascii="Times New Roman" w:hAnsi="Times New Roman" w:cs="Times New Roman"/>
          <w:lang w:bidi="lt-LT"/>
        </w:rPr>
        <w:t>Remiantis linagliptino saugumo širdies ir kraujagyslių sistemai bei inkstams tyrimu (CARMELINA), išsamiau žr. toliau.</w:t>
      </w:r>
    </w:p>
    <w:p w14:paraId="7A482EF8" w14:textId="77777777" w:rsidR="00C42FB2" w:rsidRPr="00E1529B" w:rsidRDefault="00C42FB2" w:rsidP="00C42FB2">
      <w:pPr>
        <w:suppressAutoHyphens/>
        <w:autoSpaceDN w:val="0"/>
        <w:spacing w:after="0" w:line="240" w:lineRule="auto"/>
        <w:jc w:val="both"/>
        <w:rPr>
          <w:rFonts w:ascii="Times New Roman" w:eastAsia="Calibri" w:hAnsi="Times New Roman" w:cs="Times New Roman"/>
          <w:lang w:val="pt-PT"/>
        </w:rPr>
      </w:pPr>
      <w:r w:rsidRPr="004804D2">
        <w:rPr>
          <w:rFonts w:ascii="Times New Roman" w:hAnsi="Times New Roman" w:cs="Times New Roman"/>
          <w:vertAlign w:val="superscript"/>
          <w:lang w:bidi="lt-LT"/>
        </w:rPr>
        <w:t>1</w:t>
      </w:r>
      <w:r w:rsidRPr="004804D2">
        <w:rPr>
          <w:rFonts w:ascii="Times New Roman" w:hAnsi="Times New Roman" w:cs="Times New Roman"/>
          <w:vertAlign w:val="superscript"/>
          <w:lang w:bidi="lt-LT"/>
        </w:rPr>
        <w:tab/>
      </w:r>
      <w:r w:rsidRPr="004804D2">
        <w:rPr>
          <w:rFonts w:ascii="Times New Roman" w:hAnsi="Times New Roman" w:cs="Times New Roman"/>
          <w:lang w:bidi="lt-LT"/>
        </w:rPr>
        <w:t>Nepageidaujama reakcija pastebėta skiriant kartu su metforminu ir sulfonilurėjos dariniu</w:t>
      </w:r>
    </w:p>
    <w:p w14:paraId="40BA050A" w14:textId="0A277847" w:rsidR="00C42FB2" w:rsidRPr="004804D2" w:rsidRDefault="00C42FB2" w:rsidP="00C42FB2">
      <w:pPr>
        <w:suppressAutoHyphens/>
        <w:autoSpaceDN w:val="0"/>
        <w:spacing w:after="0" w:line="240" w:lineRule="auto"/>
        <w:jc w:val="both"/>
        <w:rPr>
          <w:rFonts w:ascii="Times New Roman" w:eastAsia="Calibri" w:hAnsi="Times New Roman" w:cs="Times New Roman"/>
          <w:lang w:val="pl-PL"/>
        </w:rPr>
      </w:pPr>
      <w:r w:rsidRPr="004804D2">
        <w:rPr>
          <w:rFonts w:ascii="Times New Roman" w:hAnsi="Times New Roman" w:cs="Times New Roman"/>
          <w:vertAlign w:val="superscript"/>
          <w:lang w:bidi="lt-LT"/>
        </w:rPr>
        <w:t>2</w:t>
      </w:r>
      <w:r w:rsidRPr="004804D2">
        <w:rPr>
          <w:rFonts w:ascii="Times New Roman" w:hAnsi="Times New Roman" w:cs="Times New Roman"/>
          <w:vertAlign w:val="superscript"/>
          <w:lang w:bidi="lt-LT"/>
        </w:rPr>
        <w:tab/>
      </w:r>
      <w:r w:rsidRPr="004804D2">
        <w:rPr>
          <w:rFonts w:ascii="Times New Roman" w:hAnsi="Times New Roman" w:cs="Times New Roman"/>
          <w:lang w:bidi="lt-LT"/>
        </w:rPr>
        <w:t>Nepageidaujama reakcija stebėta skiriant kartu su insulinu</w:t>
      </w:r>
    </w:p>
    <w:p w14:paraId="273DF5F0" w14:textId="0F10D03B" w:rsidR="00C42FB2" w:rsidRPr="004804D2" w:rsidRDefault="00C42FB2" w:rsidP="00C42FB2">
      <w:pPr>
        <w:suppressAutoHyphens/>
        <w:autoSpaceDN w:val="0"/>
        <w:spacing w:after="0" w:line="240" w:lineRule="auto"/>
        <w:jc w:val="both"/>
        <w:rPr>
          <w:rFonts w:ascii="Times New Roman" w:eastAsia="Calibri" w:hAnsi="Times New Roman" w:cs="Times New Roman"/>
          <w:lang w:val="pl-PL"/>
        </w:rPr>
      </w:pPr>
    </w:p>
    <w:p w14:paraId="5B5A20BF" w14:textId="77777777" w:rsidR="00C42FB2" w:rsidRPr="004804D2" w:rsidRDefault="00C42FB2" w:rsidP="00E95834">
      <w:pPr>
        <w:suppressAutoHyphens/>
        <w:autoSpaceDN w:val="0"/>
        <w:spacing w:after="0" w:line="240" w:lineRule="auto"/>
        <w:rPr>
          <w:rFonts w:ascii="Times New Roman" w:eastAsia="Calibri" w:hAnsi="Times New Roman" w:cs="Times New Roman"/>
          <w:u w:val="single"/>
          <w:lang w:val="pl-PL"/>
        </w:rPr>
      </w:pPr>
      <w:r w:rsidRPr="004804D2">
        <w:rPr>
          <w:rFonts w:ascii="Times New Roman" w:hAnsi="Times New Roman" w:cs="Times New Roman"/>
          <w:u w:val="single"/>
          <w:lang w:bidi="lt-LT"/>
        </w:rPr>
        <w:t xml:space="preserve">Linagliptino saugumo širdies ir kraujagyslių sistemai bei inkstams tyrimas (CARMELINA) </w:t>
      </w:r>
    </w:p>
    <w:p w14:paraId="13112B52" w14:textId="0B8C3C4B"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CARMELINA tyrimo metu buvo vertinamas linagliptino saugumas širdies ir kraujagyslių sistemai bei inkstams, palyginti su placebu, pacientams, sergantiems 2 tipo cukriniu diabetu, kuriems yra didesnė </w:t>
      </w:r>
      <w:r w:rsidRPr="004804D2">
        <w:rPr>
          <w:rFonts w:ascii="Times New Roman" w:hAnsi="Times New Roman" w:cs="Times New Roman"/>
          <w:lang w:bidi="lt-LT"/>
        </w:rPr>
        <w:lastRenderedPageBreak/>
        <w:t>širdies ir kraujagyslių ligų (ŠKL) rizika, patvirtinta anksčiau nustatyta makrovaskuline arba inkstų liga. (žr. 5.1 skyrių). Šiame tyrime dalyvavo 3</w:t>
      </w:r>
      <w:r w:rsidR="005F6D07">
        <w:rPr>
          <w:rFonts w:ascii="Times New Roman" w:hAnsi="Times New Roman" w:cs="Times New Roman"/>
          <w:lang w:bidi="lt-LT"/>
        </w:rPr>
        <w:t> </w:t>
      </w:r>
      <w:r w:rsidRPr="004804D2">
        <w:rPr>
          <w:rFonts w:ascii="Times New Roman" w:hAnsi="Times New Roman" w:cs="Times New Roman"/>
          <w:lang w:bidi="lt-LT"/>
        </w:rPr>
        <w:t>494 pacientai, kurie buvo gydomi linagliptinu (5 mg), ir 3</w:t>
      </w:r>
      <w:r w:rsidR="005F6D07">
        <w:rPr>
          <w:rFonts w:ascii="Times New Roman" w:hAnsi="Times New Roman" w:cs="Times New Roman"/>
          <w:lang w:bidi="lt-LT"/>
        </w:rPr>
        <w:t> </w:t>
      </w:r>
      <w:r w:rsidRPr="004804D2">
        <w:rPr>
          <w:rFonts w:ascii="Times New Roman" w:hAnsi="Times New Roman" w:cs="Times New Roman"/>
          <w:lang w:bidi="lt-LT"/>
        </w:rPr>
        <w:t>485 pacientai, vartoję placebą. Abu gydymo režimai buvo skiriami papildomai prie standartinio gydymo, taikomo atsižvelgiant į regionui nustatytą HbA1c normą ir su ŠKL susijusius rizikos veiksnius. Bendrasis nepageidaujamų reiškinių ir sunkių nepageidaujamų reiškinių, pasireiškusių linagliptino vartojusiems pacientams, dažnis buvo panašus į pacientų, vartojusių placebo. Šiuo tyrimu gauti saugumo duomenys atitiko anksčiau nustatytą linagliptino saugumo profilį.</w:t>
      </w:r>
    </w:p>
    <w:p w14:paraId="6D8CE60F" w14:textId="5162C81B" w:rsidR="00C42FB2" w:rsidRPr="004804D2" w:rsidRDefault="00C42FB2" w:rsidP="00E95834">
      <w:pPr>
        <w:suppressAutoHyphens/>
        <w:autoSpaceDN w:val="0"/>
        <w:spacing w:after="0" w:line="240" w:lineRule="auto"/>
        <w:rPr>
          <w:rFonts w:ascii="Times New Roman" w:eastAsia="Calibri" w:hAnsi="Times New Roman" w:cs="Times New Roman"/>
        </w:rPr>
      </w:pPr>
    </w:p>
    <w:p w14:paraId="55A39AFC" w14:textId="63AC8446"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Iš gydytos populiacijos gauta pranešimų apie sunkius hipoglikemijos atvejus (kai reikėjo pagalbos), kurie pasireiškė 3</w:t>
      </w:r>
      <w:r w:rsidR="005F6D07">
        <w:rPr>
          <w:rFonts w:ascii="Times New Roman" w:hAnsi="Times New Roman" w:cs="Times New Roman"/>
          <w:lang w:bidi="lt-LT"/>
        </w:rPr>
        <w:t> </w:t>
      </w:r>
      <w:r w:rsidRPr="004804D2">
        <w:rPr>
          <w:rFonts w:ascii="Times New Roman" w:hAnsi="Times New Roman" w:cs="Times New Roman"/>
          <w:lang w:bidi="lt-LT"/>
        </w:rPr>
        <w:t>% pacientų, vartojusių linagliptino, ir 3,1</w:t>
      </w:r>
      <w:r w:rsidR="005F6D07">
        <w:rPr>
          <w:rFonts w:ascii="Times New Roman" w:hAnsi="Times New Roman" w:cs="Times New Roman"/>
          <w:lang w:bidi="lt-LT"/>
        </w:rPr>
        <w:t> </w:t>
      </w:r>
      <w:r w:rsidRPr="004804D2">
        <w:rPr>
          <w:rFonts w:ascii="Times New Roman" w:hAnsi="Times New Roman" w:cs="Times New Roman"/>
          <w:lang w:bidi="lt-LT"/>
        </w:rPr>
        <w:t>% pacientų, vartojusių placebo. Pacientams, pradinio vertinimo metu vartojusiems sulfonilurėjos darinių, sunkios hipoglikemijos dažnis siekė 2</w:t>
      </w:r>
      <w:r w:rsidR="005F6D07">
        <w:rPr>
          <w:rFonts w:ascii="Times New Roman" w:hAnsi="Times New Roman" w:cs="Times New Roman"/>
          <w:lang w:bidi="lt-LT"/>
        </w:rPr>
        <w:t> </w:t>
      </w:r>
      <w:r w:rsidRPr="004804D2">
        <w:rPr>
          <w:rFonts w:ascii="Times New Roman" w:hAnsi="Times New Roman" w:cs="Times New Roman"/>
          <w:lang w:bidi="lt-LT"/>
        </w:rPr>
        <w:t>% linagliptino grupėje ir 1,7</w:t>
      </w:r>
      <w:r w:rsidR="005F6D07">
        <w:rPr>
          <w:rFonts w:ascii="Times New Roman" w:hAnsi="Times New Roman" w:cs="Times New Roman"/>
          <w:lang w:bidi="lt-LT"/>
        </w:rPr>
        <w:t> </w:t>
      </w:r>
      <w:r w:rsidRPr="004804D2">
        <w:rPr>
          <w:rFonts w:ascii="Times New Roman" w:hAnsi="Times New Roman" w:cs="Times New Roman"/>
          <w:lang w:bidi="lt-LT"/>
        </w:rPr>
        <w:t>% placebo grupėje. Pacientams, pradinio vertinimo metu vartojusiems insulino, sunkios hipoglikemijos dažnis siekė 4,4</w:t>
      </w:r>
      <w:r w:rsidR="005F6D07">
        <w:rPr>
          <w:rFonts w:ascii="Times New Roman" w:hAnsi="Times New Roman" w:cs="Times New Roman"/>
          <w:lang w:bidi="lt-LT"/>
        </w:rPr>
        <w:t> </w:t>
      </w:r>
      <w:r w:rsidRPr="004804D2">
        <w:rPr>
          <w:rFonts w:ascii="Times New Roman" w:hAnsi="Times New Roman" w:cs="Times New Roman"/>
          <w:lang w:bidi="lt-LT"/>
        </w:rPr>
        <w:t>% linagliptino grupėje ir 4,9</w:t>
      </w:r>
      <w:r w:rsidR="005F6D07">
        <w:rPr>
          <w:rFonts w:ascii="Times New Roman" w:hAnsi="Times New Roman" w:cs="Times New Roman"/>
          <w:lang w:bidi="lt-LT"/>
        </w:rPr>
        <w:t> </w:t>
      </w:r>
      <w:r w:rsidRPr="004804D2">
        <w:rPr>
          <w:rFonts w:ascii="Times New Roman" w:hAnsi="Times New Roman" w:cs="Times New Roman"/>
          <w:lang w:bidi="lt-LT"/>
        </w:rPr>
        <w:t>% placebo grupėje.</w:t>
      </w:r>
    </w:p>
    <w:p w14:paraId="1DF4FE7E" w14:textId="5AD3E12B" w:rsidR="00C42FB2" w:rsidRPr="004804D2" w:rsidRDefault="00C42FB2" w:rsidP="00C42FB2">
      <w:pPr>
        <w:suppressAutoHyphens/>
        <w:autoSpaceDN w:val="0"/>
        <w:spacing w:after="0" w:line="240" w:lineRule="auto"/>
        <w:jc w:val="both"/>
        <w:rPr>
          <w:rFonts w:ascii="Times New Roman" w:eastAsia="Calibri" w:hAnsi="Times New Roman" w:cs="Times New Roman"/>
        </w:rPr>
      </w:pPr>
    </w:p>
    <w:p w14:paraId="0D720DB5" w14:textId="0A936BFE"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Per visą tyrimo stebėjimo periodą gauta pranešimų apie ūminį pankreatitą, pasireiškusį 0,3</w:t>
      </w:r>
      <w:r w:rsidR="005F6D07">
        <w:rPr>
          <w:rFonts w:ascii="Times New Roman" w:hAnsi="Times New Roman" w:cs="Times New Roman"/>
          <w:lang w:bidi="lt-LT"/>
        </w:rPr>
        <w:t> </w:t>
      </w:r>
      <w:r w:rsidRPr="004804D2">
        <w:rPr>
          <w:rFonts w:ascii="Times New Roman" w:hAnsi="Times New Roman" w:cs="Times New Roman"/>
          <w:lang w:bidi="lt-LT"/>
        </w:rPr>
        <w:t>% pacientų, vartojusių linagliptino, ir 0,1</w:t>
      </w:r>
      <w:r w:rsidR="005F6D07">
        <w:rPr>
          <w:rFonts w:ascii="Times New Roman" w:hAnsi="Times New Roman" w:cs="Times New Roman"/>
          <w:lang w:bidi="lt-LT"/>
        </w:rPr>
        <w:t> </w:t>
      </w:r>
      <w:r w:rsidRPr="004804D2">
        <w:rPr>
          <w:rFonts w:ascii="Times New Roman" w:hAnsi="Times New Roman" w:cs="Times New Roman"/>
          <w:lang w:bidi="lt-LT"/>
        </w:rPr>
        <w:t>% pacientų, vartojusių placebo.</w:t>
      </w:r>
    </w:p>
    <w:p w14:paraId="2A0E106A" w14:textId="789877E4" w:rsidR="00C42FB2" w:rsidRPr="004804D2" w:rsidRDefault="00C42FB2" w:rsidP="00E95834">
      <w:pPr>
        <w:suppressAutoHyphens/>
        <w:autoSpaceDN w:val="0"/>
        <w:spacing w:after="0" w:line="240" w:lineRule="auto"/>
        <w:rPr>
          <w:rFonts w:ascii="Times New Roman" w:eastAsia="Calibri" w:hAnsi="Times New Roman" w:cs="Times New Roman"/>
        </w:rPr>
      </w:pPr>
    </w:p>
    <w:p w14:paraId="0C3C52D1" w14:textId="54A2B089"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Tyrimo CARMELINA metu gauta pranešimų apie pūslinį pemfigoidą, pasireiškusį 0,2</w:t>
      </w:r>
      <w:r w:rsidR="005F6D07">
        <w:rPr>
          <w:rFonts w:ascii="Times New Roman" w:hAnsi="Times New Roman" w:cs="Times New Roman"/>
          <w:lang w:bidi="lt-LT"/>
        </w:rPr>
        <w:t> </w:t>
      </w:r>
      <w:r w:rsidRPr="004804D2">
        <w:rPr>
          <w:rFonts w:ascii="Times New Roman" w:hAnsi="Times New Roman" w:cs="Times New Roman"/>
          <w:lang w:bidi="lt-LT"/>
        </w:rPr>
        <w:t>% pacientų, vartojusių linagliptino; iš placebo vartojusių pacientų tokių pranešimų negauta.</w:t>
      </w:r>
    </w:p>
    <w:p w14:paraId="5F85F7C5" w14:textId="77777777" w:rsidR="000434EC" w:rsidRPr="004804D2" w:rsidRDefault="000434EC" w:rsidP="00E95834">
      <w:pPr>
        <w:suppressAutoHyphens/>
        <w:autoSpaceDN w:val="0"/>
        <w:spacing w:after="0" w:line="240" w:lineRule="auto"/>
        <w:rPr>
          <w:rFonts w:ascii="Times New Roman" w:eastAsia="Calibri" w:hAnsi="Times New Roman" w:cs="Times New Roman"/>
        </w:rPr>
      </w:pPr>
    </w:p>
    <w:p w14:paraId="61C880DD" w14:textId="77777777" w:rsidR="000434EC" w:rsidRPr="004804D2" w:rsidRDefault="000434EC"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i/>
          <w:lang w:bidi="lt-LT"/>
        </w:rPr>
        <w:t>Vaikų populiacija</w:t>
      </w:r>
    </w:p>
    <w:p w14:paraId="28BE9CF7" w14:textId="640499C4" w:rsidR="000434EC" w:rsidRPr="004804D2" w:rsidRDefault="000434E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Klinikiniais tyrimais, kuriuose dalyvavo 10-17 metų 2 tipo cukriniu diabetu sergantys vaikų populiacijos pacientai, nustatyti linagliptino saugumo duomenys iš esmės buvo panašūs į stebėtus suaugusiųjų populiacijoje.</w:t>
      </w:r>
    </w:p>
    <w:p w14:paraId="6CC3C6BD" w14:textId="2DAC315B" w:rsidR="00C42FB2" w:rsidRPr="004804D2" w:rsidRDefault="00C42FB2" w:rsidP="00E95834">
      <w:pPr>
        <w:suppressAutoHyphens/>
        <w:autoSpaceDN w:val="0"/>
        <w:spacing w:after="0" w:line="240" w:lineRule="auto"/>
        <w:rPr>
          <w:rFonts w:ascii="Times New Roman" w:eastAsia="Calibri" w:hAnsi="Times New Roman" w:cs="Times New Roman"/>
        </w:rPr>
      </w:pPr>
    </w:p>
    <w:p w14:paraId="21C163CD" w14:textId="77777777" w:rsidR="00C42FB2" w:rsidRPr="004804D2" w:rsidRDefault="00C42FB2"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Pranešimas apie įtariamas nepageidaujamas reakcijas</w:t>
      </w:r>
    </w:p>
    <w:p w14:paraId="41EE2ABA" w14:textId="403E71B9" w:rsidR="00C42FB2" w:rsidRPr="004804D2" w:rsidRDefault="0090484B" w:rsidP="00E95834">
      <w:pPr>
        <w:suppressAutoHyphens/>
        <w:autoSpaceDN w:val="0"/>
        <w:spacing w:after="0" w:line="240" w:lineRule="auto"/>
        <w:rPr>
          <w:rFonts w:ascii="Times New Roman" w:eastAsia="Calibri" w:hAnsi="Times New Roman" w:cs="Times New Roman"/>
        </w:rPr>
      </w:pPr>
      <w:r w:rsidRPr="0090484B">
        <w:rPr>
          <w:rFonts w:ascii="Times New Roman" w:hAnsi="Times New Roman" w:cs="Times New Roman"/>
          <w:lang w:bidi="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86A1795" w14:textId="59177E67" w:rsidR="00C42FB2" w:rsidRPr="004804D2" w:rsidRDefault="00C42FB2" w:rsidP="00C42FB2">
      <w:pPr>
        <w:suppressAutoHyphens/>
        <w:autoSpaceDN w:val="0"/>
        <w:spacing w:after="0" w:line="240" w:lineRule="auto"/>
        <w:jc w:val="both"/>
        <w:rPr>
          <w:rFonts w:ascii="Times New Roman" w:eastAsia="Calibri" w:hAnsi="Times New Roman" w:cs="Times New Roman"/>
        </w:rPr>
      </w:pPr>
    </w:p>
    <w:p w14:paraId="4F6C8BC9" w14:textId="1D14191B" w:rsidR="00E95834" w:rsidRPr="004804D2" w:rsidRDefault="00C42FB2" w:rsidP="00706810">
      <w:pPr>
        <w:pStyle w:val="Antrat1"/>
        <w:numPr>
          <w:ilvl w:val="1"/>
          <w:numId w:val="5"/>
        </w:numPr>
        <w:spacing w:before="0" w:line="240" w:lineRule="auto"/>
        <w:ind w:left="567" w:hanging="56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Perdozavimas</w:t>
      </w:r>
    </w:p>
    <w:p w14:paraId="48C61D91" w14:textId="77777777" w:rsidR="005F6D07" w:rsidRDefault="005F6D07" w:rsidP="005F6D07">
      <w:pPr>
        <w:suppressAutoHyphens/>
        <w:autoSpaceDN w:val="0"/>
        <w:spacing w:after="0" w:line="240" w:lineRule="auto"/>
        <w:jc w:val="both"/>
        <w:rPr>
          <w:rFonts w:ascii="Times New Roman" w:hAnsi="Times New Roman" w:cs="Times New Roman"/>
          <w:u w:val="single"/>
          <w:lang w:bidi="lt-LT"/>
        </w:rPr>
      </w:pPr>
    </w:p>
    <w:p w14:paraId="5DF59B0F" w14:textId="5D1D5155" w:rsidR="00C42FB2" w:rsidRPr="004804D2" w:rsidRDefault="00C42FB2" w:rsidP="005F6D07">
      <w:pPr>
        <w:suppressAutoHyphens/>
        <w:autoSpaceDN w:val="0"/>
        <w:spacing w:after="0" w:line="240" w:lineRule="auto"/>
        <w:jc w:val="both"/>
        <w:rPr>
          <w:rFonts w:ascii="Times New Roman" w:eastAsia="Calibri" w:hAnsi="Times New Roman" w:cs="Times New Roman"/>
          <w:u w:val="single"/>
          <w:lang w:val="en-US"/>
        </w:rPr>
      </w:pPr>
      <w:r w:rsidRPr="004804D2">
        <w:rPr>
          <w:rFonts w:ascii="Times New Roman" w:hAnsi="Times New Roman" w:cs="Times New Roman"/>
          <w:u w:val="single"/>
          <w:lang w:bidi="lt-LT"/>
        </w:rPr>
        <w:t>Simptomai</w:t>
      </w:r>
    </w:p>
    <w:p w14:paraId="324A6EF5" w14:textId="11999EB6"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Kontroliuojamų klinikinių tyrimų metu vienkartinę ne didesnę kaip 600</w:t>
      </w:r>
      <w:r w:rsidR="005F6D07">
        <w:rPr>
          <w:rFonts w:ascii="Times New Roman" w:hAnsi="Times New Roman" w:cs="Times New Roman"/>
          <w:lang w:bidi="lt-LT"/>
        </w:rPr>
        <w:t> </w:t>
      </w:r>
      <w:r w:rsidRPr="004804D2">
        <w:rPr>
          <w:rFonts w:ascii="Times New Roman" w:hAnsi="Times New Roman" w:cs="Times New Roman"/>
          <w:lang w:bidi="lt-LT"/>
        </w:rPr>
        <w:t>mg linagliptino dozę (ekvivalentišką 120 kartų didesnei už rekomenduojamą dozę) sveiki asmenys paprastai toleruodavo gerai. Patirties vartojant didesnes negu 600</w:t>
      </w:r>
      <w:r w:rsidR="005F6D07">
        <w:rPr>
          <w:rFonts w:ascii="Times New Roman" w:hAnsi="Times New Roman" w:cs="Times New Roman"/>
          <w:lang w:bidi="lt-LT"/>
        </w:rPr>
        <w:t> </w:t>
      </w:r>
      <w:r w:rsidRPr="004804D2">
        <w:rPr>
          <w:rFonts w:ascii="Times New Roman" w:hAnsi="Times New Roman" w:cs="Times New Roman"/>
          <w:lang w:bidi="lt-LT"/>
        </w:rPr>
        <w:t>mg dozes nėra.</w:t>
      </w:r>
    </w:p>
    <w:p w14:paraId="755915FF" w14:textId="36AEC236" w:rsidR="00C42FB2" w:rsidRPr="004804D2" w:rsidRDefault="00C42FB2" w:rsidP="00E95834">
      <w:pPr>
        <w:suppressAutoHyphens/>
        <w:autoSpaceDN w:val="0"/>
        <w:spacing w:after="0" w:line="240" w:lineRule="auto"/>
        <w:rPr>
          <w:rFonts w:ascii="Times New Roman" w:eastAsia="Calibri" w:hAnsi="Times New Roman" w:cs="Times New Roman"/>
        </w:rPr>
      </w:pPr>
    </w:p>
    <w:p w14:paraId="06BC4800" w14:textId="77777777" w:rsidR="00C42FB2" w:rsidRPr="004804D2" w:rsidRDefault="00C42FB2"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Gydymas</w:t>
      </w:r>
    </w:p>
    <w:p w14:paraId="695D67A2" w14:textId="54814689"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Perdozavimo atveju reikia imtis įprastinių palaikomojo gydymo priemonių, pvz., pašalinti iš virškinimo trakto neabsorbuotą vaistinio preparato dalį, pradėti klinikinę stebėseną, prireikus taikyti klinikines gydymo priemones.</w:t>
      </w:r>
    </w:p>
    <w:p w14:paraId="7E7BCD95" w14:textId="6E8AD738" w:rsidR="00C42FB2" w:rsidRPr="004804D2" w:rsidRDefault="00C42FB2" w:rsidP="00C42FB2">
      <w:pPr>
        <w:suppressAutoHyphens/>
        <w:autoSpaceDN w:val="0"/>
        <w:spacing w:after="0" w:line="240" w:lineRule="auto"/>
        <w:jc w:val="both"/>
        <w:rPr>
          <w:rFonts w:ascii="Times New Roman" w:eastAsia="Calibri" w:hAnsi="Times New Roman" w:cs="Times New Roman"/>
        </w:rPr>
      </w:pPr>
    </w:p>
    <w:p w14:paraId="5F6F768E" w14:textId="49FF4AC9" w:rsidR="00C42FB2" w:rsidRPr="004804D2" w:rsidRDefault="00C42FB2" w:rsidP="005F6D07">
      <w:pPr>
        <w:suppressAutoHyphens/>
        <w:autoSpaceDN w:val="0"/>
        <w:spacing w:after="0" w:line="240" w:lineRule="auto"/>
        <w:jc w:val="both"/>
        <w:rPr>
          <w:rFonts w:ascii="Times New Roman" w:eastAsia="Calibri" w:hAnsi="Times New Roman" w:cs="Times New Roman"/>
        </w:rPr>
      </w:pPr>
    </w:p>
    <w:p w14:paraId="26141FEB" w14:textId="54D584DA" w:rsidR="00C42FB2" w:rsidRPr="00706810" w:rsidRDefault="00C42FB2" w:rsidP="005F6D07">
      <w:pPr>
        <w:keepNext/>
        <w:keepLines/>
        <w:numPr>
          <w:ilvl w:val="0"/>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FARMAKOLOGINĖS SAVYBĖS</w:t>
      </w:r>
    </w:p>
    <w:p w14:paraId="1E567AE9" w14:textId="77777777" w:rsidR="005F6D07" w:rsidRPr="004804D2" w:rsidRDefault="005F6D07" w:rsidP="00706810">
      <w:pPr>
        <w:keepNext/>
        <w:keepLines/>
        <w:suppressAutoHyphens/>
        <w:autoSpaceDN w:val="0"/>
        <w:spacing w:after="0" w:line="240" w:lineRule="auto"/>
        <w:jc w:val="both"/>
        <w:outlineLvl w:val="0"/>
        <w:rPr>
          <w:rFonts w:ascii="Times New Roman" w:eastAsiaTheme="majorEastAsia" w:hAnsi="Times New Roman" w:cs="Times New Roman"/>
          <w:b/>
          <w:bCs/>
        </w:rPr>
      </w:pPr>
    </w:p>
    <w:p w14:paraId="134683D7" w14:textId="79A86FA9" w:rsidR="00C42FB2" w:rsidRPr="004804D2" w:rsidRDefault="00C42FB2" w:rsidP="00706810">
      <w:pPr>
        <w:pStyle w:val="Antrat1"/>
        <w:numPr>
          <w:ilvl w:val="1"/>
          <w:numId w:val="5"/>
        </w:numPr>
        <w:spacing w:before="0" w:line="240" w:lineRule="auto"/>
        <w:ind w:left="567" w:hanging="56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Farmakodinaminės savybės</w:t>
      </w:r>
    </w:p>
    <w:p w14:paraId="37445DF6" w14:textId="77777777" w:rsidR="005F6D07" w:rsidRDefault="005F6D07" w:rsidP="005F6D07">
      <w:pPr>
        <w:suppressAutoHyphens/>
        <w:autoSpaceDN w:val="0"/>
        <w:spacing w:after="0" w:line="240" w:lineRule="auto"/>
        <w:rPr>
          <w:rFonts w:ascii="Times New Roman" w:hAnsi="Times New Roman" w:cs="Times New Roman"/>
          <w:lang w:bidi="lt-LT"/>
        </w:rPr>
      </w:pPr>
    </w:p>
    <w:p w14:paraId="61E4EAE4" w14:textId="4D6A746C" w:rsidR="00C42FB2" w:rsidRPr="004804D2" w:rsidRDefault="00C42FB2" w:rsidP="005F6D07">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Farmakoterapinė grupė: Vaistai cukriniam diabetui gydyti, dipeptidilpeptidazės 4 (DPP</w:t>
      </w:r>
      <w:r w:rsidR="005F6D07">
        <w:rPr>
          <w:rFonts w:ascii="Times New Roman" w:hAnsi="Times New Roman" w:cs="Times New Roman"/>
          <w:lang w:bidi="lt-LT"/>
        </w:rPr>
        <w:t>-</w:t>
      </w:r>
      <w:r w:rsidRPr="004804D2">
        <w:rPr>
          <w:rFonts w:ascii="Times New Roman" w:hAnsi="Times New Roman" w:cs="Times New Roman"/>
          <w:lang w:bidi="lt-LT"/>
        </w:rPr>
        <w:t>4) inhibitoriai, ATC kodas: A10BH05</w:t>
      </w:r>
    </w:p>
    <w:p w14:paraId="7970D7DC" w14:textId="7915FFF0" w:rsidR="00C42FB2" w:rsidRPr="004804D2" w:rsidRDefault="00C42FB2" w:rsidP="005F6D07">
      <w:pPr>
        <w:suppressAutoHyphens/>
        <w:autoSpaceDN w:val="0"/>
        <w:spacing w:after="0" w:line="240" w:lineRule="auto"/>
        <w:jc w:val="both"/>
        <w:rPr>
          <w:rFonts w:ascii="Times New Roman" w:eastAsia="Calibri" w:hAnsi="Times New Roman" w:cs="Times New Roman"/>
        </w:rPr>
      </w:pPr>
    </w:p>
    <w:p w14:paraId="564903FD" w14:textId="77777777" w:rsidR="00C42FB2" w:rsidRPr="004804D2" w:rsidRDefault="00C42FB2" w:rsidP="00282DBB">
      <w:pPr>
        <w:suppressAutoHyphens/>
        <w:autoSpaceDN w:val="0"/>
        <w:spacing w:after="0" w:line="240" w:lineRule="auto"/>
        <w:jc w:val="both"/>
        <w:rPr>
          <w:rFonts w:ascii="Times New Roman" w:eastAsia="Calibri" w:hAnsi="Times New Roman" w:cs="Times New Roman"/>
          <w:u w:val="single"/>
        </w:rPr>
      </w:pPr>
      <w:r w:rsidRPr="004804D2">
        <w:rPr>
          <w:rFonts w:ascii="Times New Roman" w:hAnsi="Times New Roman" w:cs="Times New Roman"/>
          <w:u w:val="single"/>
          <w:lang w:bidi="lt-LT"/>
        </w:rPr>
        <w:t>Veikimo mechanizmas</w:t>
      </w:r>
    </w:p>
    <w:p w14:paraId="4A2ADCFF" w14:textId="31CBD0D3" w:rsidR="00C42FB2" w:rsidRPr="004804D2" w:rsidRDefault="00C42FB2">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Linagliptinas yra fermento DPP</w:t>
      </w:r>
      <w:r w:rsidR="005F6D07">
        <w:rPr>
          <w:rFonts w:ascii="Times New Roman" w:hAnsi="Times New Roman" w:cs="Times New Roman"/>
          <w:lang w:bidi="lt-LT"/>
        </w:rPr>
        <w:t>-</w:t>
      </w:r>
      <w:r w:rsidRPr="004804D2">
        <w:rPr>
          <w:rFonts w:ascii="Times New Roman" w:hAnsi="Times New Roman" w:cs="Times New Roman"/>
          <w:lang w:bidi="lt-LT"/>
        </w:rPr>
        <w:t>4 (dipeptidilpeptidazės 4, EC 3.4.14.5), kuris dalyvauja inaktyvinant inkretino hormonus GLP</w:t>
      </w:r>
      <w:r w:rsidR="005F6D07">
        <w:rPr>
          <w:rFonts w:ascii="Times New Roman" w:hAnsi="Times New Roman" w:cs="Times New Roman"/>
          <w:lang w:bidi="lt-LT"/>
        </w:rPr>
        <w:t>-</w:t>
      </w:r>
      <w:r w:rsidRPr="004804D2">
        <w:rPr>
          <w:rFonts w:ascii="Times New Roman" w:hAnsi="Times New Roman" w:cs="Times New Roman"/>
          <w:lang w:bidi="lt-LT"/>
        </w:rPr>
        <w:t xml:space="preserve">1 (į gliukagoną panašų peptidą-1) ir GIP (nuo gliukozės priklausomą </w:t>
      </w:r>
      <w:r w:rsidRPr="004804D2">
        <w:rPr>
          <w:rFonts w:ascii="Times New Roman" w:hAnsi="Times New Roman" w:cs="Times New Roman"/>
          <w:lang w:bidi="lt-LT"/>
        </w:rPr>
        <w:lastRenderedPageBreak/>
        <w:t>insulinotropinį polipeptidą), inhibitorius.  Šiuos hormonus DPP-4 fermentas greitai suskaldo. Abu inkretino hormonai dalyvauja gliukozės homeostazės fiziologinėje reguliacijoje.</w:t>
      </w:r>
    </w:p>
    <w:p w14:paraId="5C08A57A" w14:textId="5A6AB2DE"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Šiek tiek inkretino hormonų išskiriama per visą dieną, pavalgius jų kiekis nedelsiant padidėja. GLP</w:t>
      </w:r>
      <w:r w:rsidR="005F6D07">
        <w:rPr>
          <w:rFonts w:ascii="Times New Roman" w:hAnsi="Times New Roman" w:cs="Times New Roman"/>
          <w:lang w:bidi="lt-LT"/>
        </w:rPr>
        <w:t>-</w:t>
      </w:r>
      <w:r w:rsidRPr="004804D2">
        <w:rPr>
          <w:rFonts w:ascii="Times New Roman" w:hAnsi="Times New Roman" w:cs="Times New Roman"/>
          <w:lang w:bidi="lt-LT"/>
        </w:rPr>
        <w:t>1 ir GIP didina insulino biosintezę kasos beta ląstelėse ir išskyrimą iš jų tiek esant normaliam, tiek padėjusiam gliukozės kiekiui kraujyje. Be to, GLP</w:t>
      </w:r>
      <w:r w:rsidR="005F6D07">
        <w:rPr>
          <w:rFonts w:ascii="Times New Roman" w:hAnsi="Times New Roman" w:cs="Times New Roman"/>
          <w:lang w:bidi="lt-LT"/>
        </w:rPr>
        <w:t>-</w:t>
      </w:r>
      <w:r w:rsidRPr="004804D2">
        <w:rPr>
          <w:rFonts w:ascii="Times New Roman" w:hAnsi="Times New Roman" w:cs="Times New Roman"/>
          <w:lang w:bidi="lt-LT"/>
        </w:rPr>
        <w:t>1 mažina gliukagono išskyrimą iš kasos alfa ląstelių, todėl mažėja gliukozės gamyba kepenyse. Linagliptinas labai veiksmingai laikinai prisijungia prie DPP</w:t>
      </w:r>
      <w:r w:rsidR="005F6D07">
        <w:rPr>
          <w:rFonts w:ascii="Times New Roman" w:hAnsi="Times New Roman" w:cs="Times New Roman"/>
          <w:lang w:bidi="lt-LT"/>
        </w:rPr>
        <w:t>-</w:t>
      </w:r>
      <w:r w:rsidRPr="004804D2">
        <w:rPr>
          <w:rFonts w:ascii="Times New Roman" w:hAnsi="Times New Roman" w:cs="Times New Roman"/>
          <w:lang w:bidi="lt-LT"/>
        </w:rPr>
        <w:t>4 ir tai sukelia ilgalaikį aktyvių inkretino lygių didėjimą ir jų buvimo prailginimą. Linagliptinas, priklausomai nuo gliukozės kiekio, insulino sekreciją didina, o gliukagono išskyrimą mažina, dėl to pagerėja visa gliukozės homeostazė. Prie DPP</w:t>
      </w:r>
      <w:r w:rsidR="005F6D07">
        <w:rPr>
          <w:rFonts w:ascii="Times New Roman" w:hAnsi="Times New Roman" w:cs="Times New Roman"/>
          <w:lang w:bidi="lt-LT"/>
        </w:rPr>
        <w:t>-</w:t>
      </w:r>
      <w:r w:rsidRPr="004804D2">
        <w:rPr>
          <w:rFonts w:ascii="Times New Roman" w:hAnsi="Times New Roman" w:cs="Times New Roman"/>
          <w:lang w:bidi="lt-LT"/>
        </w:rPr>
        <w:t>4 linagliptinas prisijungia selektyviai, jo selektyvumas yra &gt;</w:t>
      </w:r>
      <w:r w:rsidR="005F6D07">
        <w:rPr>
          <w:rFonts w:ascii="Times New Roman" w:hAnsi="Times New Roman" w:cs="Times New Roman"/>
          <w:lang w:bidi="lt-LT"/>
        </w:rPr>
        <w:t> </w:t>
      </w:r>
      <w:r w:rsidRPr="004804D2">
        <w:rPr>
          <w:rFonts w:ascii="Times New Roman" w:hAnsi="Times New Roman" w:cs="Times New Roman"/>
          <w:lang w:bidi="lt-LT"/>
        </w:rPr>
        <w:t>10</w:t>
      </w:r>
      <w:r w:rsidR="005F6D07">
        <w:rPr>
          <w:rFonts w:ascii="Times New Roman" w:hAnsi="Times New Roman" w:cs="Times New Roman"/>
          <w:lang w:bidi="lt-LT"/>
        </w:rPr>
        <w:t> </w:t>
      </w:r>
      <w:r w:rsidRPr="004804D2">
        <w:rPr>
          <w:rFonts w:ascii="Times New Roman" w:hAnsi="Times New Roman" w:cs="Times New Roman"/>
          <w:lang w:bidi="lt-LT"/>
        </w:rPr>
        <w:t>000 kartų didesnis negu DPP</w:t>
      </w:r>
      <w:r w:rsidR="005F6D07">
        <w:rPr>
          <w:rFonts w:ascii="Times New Roman" w:hAnsi="Times New Roman" w:cs="Times New Roman"/>
          <w:lang w:bidi="lt-LT"/>
        </w:rPr>
        <w:t>-</w:t>
      </w:r>
      <w:r w:rsidRPr="004804D2">
        <w:rPr>
          <w:rFonts w:ascii="Times New Roman" w:hAnsi="Times New Roman" w:cs="Times New Roman"/>
          <w:lang w:bidi="lt-LT"/>
        </w:rPr>
        <w:t>8 ar DPP</w:t>
      </w:r>
      <w:r w:rsidR="005F6D07">
        <w:rPr>
          <w:rFonts w:ascii="Times New Roman" w:hAnsi="Times New Roman" w:cs="Times New Roman"/>
          <w:lang w:bidi="lt-LT"/>
        </w:rPr>
        <w:t>-</w:t>
      </w:r>
      <w:r w:rsidRPr="004804D2">
        <w:rPr>
          <w:rFonts w:ascii="Times New Roman" w:hAnsi="Times New Roman" w:cs="Times New Roman"/>
          <w:lang w:bidi="lt-LT"/>
        </w:rPr>
        <w:t xml:space="preserve">9 aktyvumas </w:t>
      </w:r>
      <w:r w:rsidRPr="004804D2">
        <w:rPr>
          <w:rFonts w:ascii="Times New Roman" w:hAnsi="Times New Roman" w:cs="Times New Roman"/>
          <w:i/>
          <w:lang w:bidi="lt-LT"/>
        </w:rPr>
        <w:t>in vitro.</w:t>
      </w:r>
    </w:p>
    <w:p w14:paraId="3DFAD139" w14:textId="5A393E70" w:rsidR="00C42FB2" w:rsidRPr="004804D2" w:rsidRDefault="00C42FB2" w:rsidP="00C42FB2">
      <w:pPr>
        <w:suppressAutoHyphens/>
        <w:autoSpaceDN w:val="0"/>
        <w:spacing w:after="0" w:line="240" w:lineRule="auto"/>
        <w:jc w:val="both"/>
        <w:rPr>
          <w:rFonts w:ascii="Times New Roman" w:eastAsia="Calibri" w:hAnsi="Times New Roman" w:cs="Times New Roman"/>
        </w:rPr>
      </w:pPr>
    </w:p>
    <w:p w14:paraId="10961DAD" w14:textId="77777777" w:rsidR="00C42FB2" w:rsidRPr="004804D2" w:rsidRDefault="00C42FB2" w:rsidP="00C42FB2">
      <w:pPr>
        <w:suppressAutoHyphens/>
        <w:autoSpaceDN w:val="0"/>
        <w:spacing w:after="0" w:line="240" w:lineRule="auto"/>
        <w:jc w:val="both"/>
        <w:rPr>
          <w:rFonts w:ascii="Times New Roman" w:eastAsia="Calibri" w:hAnsi="Times New Roman" w:cs="Times New Roman"/>
          <w:u w:val="single"/>
        </w:rPr>
      </w:pPr>
      <w:r w:rsidRPr="004804D2">
        <w:rPr>
          <w:rFonts w:ascii="Times New Roman" w:hAnsi="Times New Roman" w:cs="Times New Roman"/>
          <w:u w:val="single"/>
          <w:lang w:bidi="lt-LT"/>
        </w:rPr>
        <w:t>Klinikinis veiksmingumas ir saugumas</w:t>
      </w:r>
    </w:p>
    <w:p w14:paraId="611D45F9" w14:textId="6E4907AD"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Atlikti 8 III fazės atsitiktinių imčių kontroliuojami klinikiniai tyrimai, kuriuose dalyvavo 5</w:t>
      </w:r>
      <w:r w:rsidR="005F6D07">
        <w:rPr>
          <w:rFonts w:ascii="Times New Roman" w:hAnsi="Times New Roman" w:cs="Times New Roman"/>
          <w:lang w:bidi="lt-LT"/>
        </w:rPr>
        <w:t> </w:t>
      </w:r>
      <w:r w:rsidRPr="004804D2">
        <w:rPr>
          <w:rFonts w:ascii="Times New Roman" w:hAnsi="Times New Roman" w:cs="Times New Roman"/>
          <w:lang w:bidi="lt-LT"/>
        </w:rPr>
        <w:t>239 pacientai, sergantys 2 tipo cukriniu diabetu, iš kurių 3</w:t>
      </w:r>
      <w:r w:rsidR="005F6D07">
        <w:rPr>
          <w:rFonts w:ascii="Times New Roman" w:hAnsi="Times New Roman" w:cs="Times New Roman"/>
          <w:lang w:bidi="lt-LT"/>
        </w:rPr>
        <w:t> </w:t>
      </w:r>
      <w:r w:rsidRPr="004804D2">
        <w:rPr>
          <w:rFonts w:ascii="Times New Roman" w:hAnsi="Times New Roman" w:cs="Times New Roman"/>
          <w:lang w:bidi="lt-LT"/>
        </w:rPr>
        <w:t>319 buvo gydomi linagliptinu, siekiant įvertinti jo veiksmingumą ir saugumą. 929 šių tyrimų metu linagliptinu gydyti pacientai buvo 65 metų arba vyresni. 1</w:t>
      </w:r>
      <w:r w:rsidR="00506F04">
        <w:rPr>
          <w:rFonts w:ascii="Times New Roman" w:hAnsi="Times New Roman" w:cs="Times New Roman"/>
          <w:lang w:bidi="lt-LT"/>
        </w:rPr>
        <w:t> </w:t>
      </w:r>
      <w:r w:rsidRPr="004804D2">
        <w:rPr>
          <w:rFonts w:ascii="Times New Roman" w:hAnsi="Times New Roman" w:cs="Times New Roman"/>
          <w:lang w:bidi="lt-LT"/>
        </w:rPr>
        <w:t>238 linagliptinu gydomiems pacientams buvo nesunkus inkstų funkcijos sutrikimas, 143 – vidutinio sunkumo inkstų sutrikimas. Kartą per parą vartojamas linagliptinas kliniškai reikšmingai pagerino glikemijos sureguliavimą, nesukeldamas kliniškai reikšmingo kūno svorio pokyčio. Visų pogrupių tiriamiesiems, įskaitant sugrupuotus pagal lytį, amžių, inkstų funkcijos sutrikimą ir kūno masės indeksą (KMI), glikozilinto hemoglobino A1c (HbA1c) kiekio sumažėjimas buvo panašus. Didesnis pradinis HbA1c kiekis buvo susijęs su didesniu HbA1c kiekio sumažėjimu. Visų tyrimų metu HbA1c kiekio sumažėjimas azijiečiams ir baltaodžiams pacientams skyrėsi reikšmingai (atitinkamai 0,8</w:t>
      </w:r>
      <w:r w:rsidR="00506F04">
        <w:rPr>
          <w:rFonts w:ascii="Times New Roman" w:hAnsi="Times New Roman" w:cs="Times New Roman"/>
          <w:lang w:bidi="lt-LT"/>
        </w:rPr>
        <w:t> </w:t>
      </w:r>
      <w:r w:rsidRPr="004804D2">
        <w:rPr>
          <w:rFonts w:ascii="Times New Roman" w:hAnsi="Times New Roman" w:cs="Times New Roman"/>
          <w:lang w:bidi="lt-LT"/>
        </w:rPr>
        <w:t>% ir 0,5</w:t>
      </w:r>
      <w:r w:rsidR="00506F04">
        <w:rPr>
          <w:rFonts w:ascii="Times New Roman" w:hAnsi="Times New Roman" w:cs="Times New Roman"/>
          <w:lang w:bidi="lt-LT"/>
        </w:rPr>
        <w:t> </w:t>
      </w:r>
      <w:r w:rsidRPr="004804D2">
        <w:rPr>
          <w:rFonts w:ascii="Times New Roman" w:hAnsi="Times New Roman" w:cs="Times New Roman"/>
          <w:lang w:bidi="lt-LT"/>
        </w:rPr>
        <w:t>%).</w:t>
      </w:r>
    </w:p>
    <w:p w14:paraId="6CF62B46" w14:textId="3AE713A4" w:rsidR="00C42FB2" w:rsidRPr="004804D2" w:rsidRDefault="00C42FB2" w:rsidP="00E95834">
      <w:pPr>
        <w:suppressAutoHyphens/>
        <w:autoSpaceDN w:val="0"/>
        <w:spacing w:after="0" w:line="240" w:lineRule="auto"/>
        <w:rPr>
          <w:rFonts w:ascii="Times New Roman" w:eastAsia="Calibri" w:hAnsi="Times New Roman" w:cs="Times New Roman"/>
        </w:rPr>
      </w:pPr>
    </w:p>
    <w:p w14:paraId="48C677DA" w14:textId="77777777" w:rsidR="00C42FB2" w:rsidRPr="004804D2" w:rsidRDefault="00C42FB2" w:rsidP="00E95834">
      <w:pPr>
        <w:suppressAutoHyphens/>
        <w:autoSpaceDN w:val="0"/>
        <w:spacing w:after="0" w:line="240" w:lineRule="auto"/>
        <w:rPr>
          <w:rFonts w:ascii="Times New Roman" w:eastAsia="Calibri" w:hAnsi="Times New Roman" w:cs="Times New Roman"/>
          <w:i/>
          <w:iCs/>
          <w:lang w:val="pl-PL"/>
        </w:rPr>
      </w:pPr>
      <w:r w:rsidRPr="004804D2">
        <w:rPr>
          <w:rFonts w:ascii="Times New Roman" w:hAnsi="Times New Roman" w:cs="Times New Roman"/>
          <w:i/>
          <w:lang w:bidi="lt-LT"/>
        </w:rPr>
        <w:t>Monoterapija linagliptinu pacientams, kurie netinkami gydyti metforminu</w:t>
      </w:r>
    </w:p>
    <w:p w14:paraId="4DE9541E" w14:textId="754211C0" w:rsidR="00C42FB2" w:rsidRPr="004804D2" w:rsidRDefault="00C42FB2"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Monoterapijos linagliptinu veiksmingumas ir saugumas buvo tiriami 24 savaičių trukmės dvigubai koduotu, placebu kontroliuojamu tyrimu. Gydant kartą per parą vartojama 5</w:t>
      </w:r>
      <w:r w:rsidR="00506F04">
        <w:rPr>
          <w:rFonts w:ascii="Times New Roman" w:hAnsi="Times New Roman" w:cs="Times New Roman"/>
          <w:lang w:bidi="lt-LT"/>
        </w:rPr>
        <w:t> </w:t>
      </w:r>
      <w:r w:rsidRPr="004804D2">
        <w:rPr>
          <w:rFonts w:ascii="Times New Roman" w:hAnsi="Times New Roman" w:cs="Times New Roman"/>
          <w:lang w:bidi="lt-LT"/>
        </w:rPr>
        <w:t>mg linagliptino doze pacientus, kurių pradinis HbA1c kiekis buvo maždaug 8</w:t>
      </w:r>
      <w:r w:rsidR="00506F04">
        <w:rPr>
          <w:rFonts w:ascii="Times New Roman" w:hAnsi="Times New Roman" w:cs="Times New Roman"/>
          <w:lang w:bidi="lt-LT"/>
        </w:rPr>
        <w:t> </w:t>
      </w:r>
      <w:r w:rsidRPr="004804D2">
        <w:rPr>
          <w:rFonts w:ascii="Times New Roman" w:hAnsi="Times New Roman" w:cs="Times New Roman"/>
          <w:lang w:bidi="lt-LT"/>
        </w:rPr>
        <w:t>%, reikšmingai pagerėjo HbA1c kiekis (-0,69</w:t>
      </w:r>
      <w:r w:rsidR="00506F04">
        <w:rPr>
          <w:rFonts w:ascii="Times New Roman" w:hAnsi="Times New Roman" w:cs="Times New Roman"/>
          <w:lang w:bidi="lt-LT"/>
        </w:rPr>
        <w:t> </w:t>
      </w:r>
      <w:r w:rsidRPr="004804D2">
        <w:rPr>
          <w:rFonts w:ascii="Times New Roman" w:hAnsi="Times New Roman" w:cs="Times New Roman"/>
          <w:lang w:bidi="lt-LT"/>
        </w:rPr>
        <w:t>%, palyginti su placebu). Be to, gydant linagliptinu, palyginti su placebu, reikšmingai pagerėjo gliukozės kiekis kraujo plazmoje nevalgius (GKPN) bei antrą valandą po valgio (GKPV). Linagliptinu gydomiems pacientams hipoglikemijos dažnis buvo panašus į dažnį placebą vartojusiems pacientams.</w:t>
      </w:r>
    </w:p>
    <w:p w14:paraId="368C4811" w14:textId="3EB590E6" w:rsidR="00C42FB2" w:rsidRPr="004804D2" w:rsidRDefault="00C42FB2" w:rsidP="00C42FB2">
      <w:pPr>
        <w:suppressAutoHyphens/>
        <w:autoSpaceDN w:val="0"/>
        <w:spacing w:after="0" w:line="240" w:lineRule="auto"/>
        <w:jc w:val="both"/>
        <w:rPr>
          <w:rFonts w:ascii="Times New Roman" w:eastAsia="Calibri" w:hAnsi="Times New Roman" w:cs="Times New Roman"/>
        </w:rPr>
      </w:pPr>
    </w:p>
    <w:p w14:paraId="5684AC1B" w14:textId="2FBE2949" w:rsidR="00C42FB2"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Monoterapijos linagliptinu veiksmingumas ir saugumas pacientams, kuriems gydymas metforminu netinka dėl netoleravimo arba kurių juo gydyti negalima dėl inkstų funkcijos sutrikimo, buvo tirtas ir dvigubai koduoto, placebu kontroliuojamo 18 savaičių trukmės tyrimo metu. Linagliptinas reikšmingai pagerino HbA1c kiekį (-0,57</w:t>
      </w:r>
      <w:r w:rsidR="00506F04">
        <w:rPr>
          <w:rFonts w:ascii="Times New Roman" w:hAnsi="Times New Roman" w:cs="Times New Roman"/>
          <w:lang w:bidi="lt-LT"/>
        </w:rPr>
        <w:t> </w:t>
      </w:r>
      <w:r w:rsidRPr="004804D2">
        <w:rPr>
          <w:rFonts w:ascii="Times New Roman" w:hAnsi="Times New Roman" w:cs="Times New Roman"/>
          <w:lang w:bidi="lt-LT"/>
        </w:rPr>
        <w:t>%, palyginti su placebu), palyginti su vidutiniu pradiniu 8,09</w:t>
      </w:r>
      <w:r w:rsidR="00506F04">
        <w:rPr>
          <w:rFonts w:ascii="Times New Roman" w:hAnsi="Times New Roman" w:cs="Times New Roman"/>
          <w:lang w:bidi="lt-LT"/>
        </w:rPr>
        <w:t> </w:t>
      </w:r>
      <w:r w:rsidRPr="004804D2">
        <w:rPr>
          <w:rFonts w:ascii="Times New Roman" w:hAnsi="Times New Roman" w:cs="Times New Roman"/>
          <w:lang w:bidi="lt-LT"/>
        </w:rPr>
        <w:t>% HbA1c kiekiu. Be to, gydant linagliptinu, palyginti su placebu, reikšmingai pagerėjo GKPN. Linagliptinu gydomiems pacientams hipoglikemijos dažnis buvo panašus į dažnį placebą vartojusiems pacientams.</w:t>
      </w:r>
    </w:p>
    <w:p w14:paraId="0D17DB2A" w14:textId="673F838B" w:rsidR="00D46A9C" w:rsidRPr="004804D2" w:rsidRDefault="00D46A9C" w:rsidP="00E95834">
      <w:pPr>
        <w:suppressAutoHyphens/>
        <w:autoSpaceDN w:val="0"/>
        <w:spacing w:after="0" w:line="240" w:lineRule="auto"/>
        <w:rPr>
          <w:rFonts w:ascii="Times New Roman" w:eastAsia="Calibri" w:hAnsi="Times New Roman" w:cs="Times New Roman"/>
        </w:rPr>
      </w:pPr>
    </w:p>
    <w:p w14:paraId="44A9DA1B" w14:textId="77777777"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Gydymo metforminu papildymas linagliptinu</w:t>
      </w:r>
    </w:p>
    <w:p w14:paraId="0AA64890" w14:textId="6EE74C48"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ir metformino derinio veiksmingumas ir saugumas buvo tirtas dvigubai koduoto, placebu kontroliuojamo 24 savaičių trukmės tyrimo metu. Linagliptinas reikšmingai pagerino HbA1c kiekį (-0,64</w:t>
      </w:r>
      <w:r w:rsidR="00506F04">
        <w:rPr>
          <w:rFonts w:ascii="Times New Roman" w:hAnsi="Times New Roman" w:cs="Times New Roman"/>
          <w:lang w:bidi="lt-LT"/>
        </w:rPr>
        <w:t> </w:t>
      </w:r>
      <w:r w:rsidRPr="004804D2">
        <w:rPr>
          <w:rFonts w:ascii="Times New Roman" w:hAnsi="Times New Roman" w:cs="Times New Roman"/>
          <w:lang w:bidi="lt-LT"/>
        </w:rPr>
        <w:t>%, palyginti su placebu), palyginti su vidutiniu pradiniu 8</w:t>
      </w:r>
      <w:r w:rsidR="00506F04">
        <w:rPr>
          <w:rFonts w:ascii="Times New Roman" w:hAnsi="Times New Roman" w:cs="Times New Roman"/>
          <w:lang w:bidi="lt-LT"/>
        </w:rPr>
        <w:t> </w:t>
      </w:r>
      <w:r w:rsidRPr="004804D2">
        <w:rPr>
          <w:rFonts w:ascii="Times New Roman" w:hAnsi="Times New Roman" w:cs="Times New Roman"/>
          <w:lang w:bidi="lt-LT"/>
        </w:rPr>
        <w:t>% HbA1c kiekiu. Be to, gydant linagliptinu, palyginti su placebu, reikšmingai pagerėjo gliukozės kiekis kraujo plazmoje nevalgius (GKPN) bei antrą valandą po valgio (GKPV). Linagliptinu gydomiems pacientams hipoglikemijos dažnis buvo panašus į dažnį placebą vartojusiems pacientams.</w:t>
      </w:r>
    </w:p>
    <w:p w14:paraId="4C2DDD0F" w14:textId="16865687"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035A95FF" w14:textId="77777777"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 xml:space="preserve">Gydymo metformino ir sulfonilurėjos darinio deriniu papildymas linagliptinu </w:t>
      </w:r>
    </w:p>
    <w:p w14:paraId="3AB236DC" w14:textId="3DFBA21F"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5</w:t>
      </w:r>
      <w:r w:rsidR="00506F04">
        <w:rPr>
          <w:rFonts w:ascii="Times New Roman" w:hAnsi="Times New Roman" w:cs="Times New Roman"/>
          <w:lang w:bidi="lt-LT"/>
        </w:rPr>
        <w:t> </w:t>
      </w:r>
      <w:r w:rsidRPr="004804D2">
        <w:rPr>
          <w:rFonts w:ascii="Times New Roman" w:hAnsi="Times New Roman" w:cs="Times New Roman"/>
          <w:lang w:bidi="lt-LT"/>
        </w:rPr>
        <w:t>mg paros dozės, palyginti su placebu, veiksmingumas ir saugumas pacientams, kuriems gydymas metformino ir sulfonilurėjos darinio deriniu nebuvo pakankamai veiksmingas, buvo tirtas placebu kontroliuojamo 24 savaičių trukmės tyrimo metu. Linagliptinas reikšmingai pagerino HbA1c kiekį (</w:t>
      </w:r>
      <w:r w:rsidR="00E43BD7" w:rsidRPr="004804D2">
        <w:rPr>
          <w:rFonts w:ascii="Times New Roman" w:hAnsi="Times New Roman" w:cs="Times New Roman"/>
          <w:lang w:bidi="lt-LT"/>
        </w:rPr>
        <w:noBreakHyphen/>
      </w:r>
      <w:r w:rsidRPr="004804D2">
        <w:rPr>
          <w:rFonts w:ascii="Times New Roman" w:hAnsi="Times New Roman" w:cs="Times New Roman"/>
          <w:lang w:bidi="lt-LT"/>
        </w:rPr>
        <w:t>0,62</w:t>
      </w:r>
      <w:r w:rsidR="00506F04">
        <w:rPr>
          <w:rFonts w:ascii="Times New Roman" w:hAnsi="Times New Roman" w:cs="Times New Roman"/>
          <w:lang w:bidi="lt-LT"/>
        </w:rPr>
        <w:t> </w:t>
      </w:r>
      <w:r w:rsidRPr="004804D2">
        <w:rPr>
          <w:rFonts w:ascii="Times New Roman" w:hAnsi="Times New Roman" w:cs="Times New Roman"/>
          <w:lang w:bidi="lt-LT"/>
        </w:rPr>
        <w:t>%, palyginti su placebu), palyginti su vidutiniu pradiniu 8.14</w:t>
      </w:r>
      <w:r w:rsidR="00506F04">
        <w:rPr>
          <w:rFonts w:ascii="Times New Roman" w:hAnsi="Times New Roman" w:cs="Times New Roman"/>
          <w:lang w:bidi="lt-LT"/>
        </w:rPr>
        <w:t> </w:t>
      </w:r>
      <w:r w:rsidRPr="004804D2">
        <w:rPr>
          <w:rFonts w:ascii="Times New Roman" w:hAnsi="Times New Roman" w:cs="Times New Roman"/>
          <w:lang w:bidi="lt-LT"/>
        </w:rPr>
        <w:t>% HbA1c kiekiu. Be to, gydant linagliptinu, palyginti su placebu, reikšmingai pagerėjo paciento gliukozės kiekis kraujo plazmoje nevalgius (GKPN) bei antrą valandą po valgio (GKPV).</w:t>
      </w:r>
    </w:p>
    <w:p w14:paraId="6318E3F3" w14:textId="4CEDBAD1"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25DBA6FD" w14:textId="77777777"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 xml:space="preserve">Gydymo metformino ir empagliflozino deriniu papildymas linagliptinu </w:t>
      </w:r>
    </w:p>
    <w:p w14:paraId="5724C016" w14:textId="0FD19F89"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lastRenderedPageBreak/>
        <w:t>Pacientams, kurių gydymas metforminu ir empagliflozinu (10</w:t>
      </w:r>
      <w:r w:rsidR="00506F04">
        <w:rPr>
          <w:rFonts w:ascii="Times New Roman" w:hAnsi="Times New Roman" w:cs="Times New Roman"/>
          <w:lang w:bidi="lt-LT"/>
        </w:rPr>
        <w:t> </w:t>
      </w:r>
      <w:r w:rsidRPr="004804D2">
        <w:rPr>
          <w:rFonts w:ascii="Times New Roman" w:hAnsi="Times New Roman" w:cs="Times New Roman"/>
          <w:lang w:bidi="lt-LT"/>
        </w:rPr>
        <w:t>mg [n=247] arba 25</w:t>
      </w:r>
      <w:r w:rsidR="00506F04">
        <w:rPr>
          <w:rFonts w:ascii="Times New Roman" w:hAnsi="Times New Roman" w:cs="Times New Roman"/>
          <w:lang w:bidi="lt-LT"/>
        </w:rPr>
        <w:t> </w:t>
      </w:r>
      <w:r w:rsidRPr="004804D2">
        <w:rPr>
          <w:rFonts w:ascii="Times New Roman" w:hAnsi="Times New Roman" w:cs="Times New Roman"/>
          <w:lang w:bidi="lt-LT"/>
        </w:rPr>
        <w:t>mg [n=217]) buvo nepakankamai kontroliuojamas, 24 savaičių trukmės papildomas gydymas 5</w:t>
      </w:r>
      <w:r w:rsidR="00506F04">
        <w:rPr>
          <w:rFonts w:ascii="Times New Roman" w:hAnsi="Times New Roman" w:cs="Times New Roman"/>
          <w:lang w:bidi="lt-LT"/>
        </w:rPr>
        <w:t> </w:t>
      </w:r>
      <w:r w:rsidRPr="004804D2">
        <w:rPr>
          <w:rFonts w:ascii="Times New Roman" w:hAnsi="Times New Roman" w:cs="Times New Roman"/>
          <w:lang w:bidi="lt-LT"/>
        </w:rPr>
        <w:t>mg linagliptino užtikrino koreguotą vidutinį HbA1c sumažėjimą nuo pradinio lygio atitinkamai -0,53</w:t>
      </w:r>
      <w:r w:rsidR="00506F04">
        <w:rPr>
          <w:rFonts w:ascii="Times New Roman" w:hAnsi="Times New Roman" w:cs="Times New Roman"/>
          <w:lang w:bidi="lt-LT"/>
        </w:rPr>
        <w:t> </w:t>
      </w:r>
      <w:r w:rsidRPr="004804D2">
        <w:rPr>
          <w:rFonts w:ascii="Times New Roman" w:hAnsi="Times New Roman" w:cs="Times New Roman"/>
          <w:lang w:bidi="lt-LT"/>
        </w:rPr>
        <w:t>% (reikšmingas skirtumas nuo placebo -0,32</w:t>
      </w:r>
      <w:r w:rsidR="00506F04">
        <w:rPr>
          <w:rFonts w:ascii="Times New Roman" w:hAnsi="Times New Roman" w:cs="Times New Roman"/>
          <w:lang w:bidi="lt-LT"/>
        </w:rPr>
        <w:t> </w:t>
      </w:r>
      <w:r w:rsidRPr="004804D2">
        <w:rPr>
          <w:rFonts w:ascii="Times New Roman" w:hAnsi="Times New Roman" w:cs="Times New Roman"/>
          <w:lang w:bidi="lt-LT"/>
        </w:rPr>
        <w:t>% [95</w:t>
      </w:r>
      <w:r w:rsidR="00506F04">
        <w:rPr>
          <w:rFonts w:ascii="Times New Roman" w:hAnsi="Times New Roman" w:cs="Times New Roman"/>
          <w:lang w:bidi="lt-LT"/>
        </w:rPr>
        <w:t> </w:t>
      </w:r>
      <w:r w:rsidRPr="004804D2">
        <w:rPr>
          <w:rFonts w:ascii="Times New Roman" w:hAnsi="Times New Roman" w:cs="Times New Roman"/>
          <w:lang w:bidi="lt-LT"/>
        </w:rPr>
        <w:t>% CI -0,52, -0,13]) ir -0,58</w:t>
      </w:r>
      <w:r w:rsidR="00506F04">
        <w:rPr>
          <w:rFonts w:ascii="Times New Roman" w:hAnsi="Times New Roman" w:cs="Times New Roman"/>
          <w:lang w:bidi="lt-LT"/>
        </w:rPr>
        <w:t> </w:t>
      </w:r>
      <w:r w:rsidRPr="004804D2">
        <w:rPr>
          <w:rFonts w:ascii="Times New Roman" w:hAnsi="Times New Roman" w:cs="Times New Roman"/>
          <w:lang w:bidi="lt-LT"/>
        </w:rPr>
        <w:t xml:space="preserve">% (reikšmingas skirtumas nuo placebo </w:t>
      </w:r>
      <w:r w:rsidR="00E43BD7" w:rsidRPr="004804D2">
        <w:rPr>
          <w:rFonts w:ascii="Times New Roman" w:hAnsi="Times New Roman" w:cs="Times New Roman"/>
          <w:lang w:bidi="lt-LT"/>
        </w:rPr>
        <w:noBreakHyphen/>
      </w:r>
      <w:r w:rsidRPr="004804D2">
        <w:rPr>
          <w:rFonts w:ascii="Times New Roman" w:hAnsi="Times New Roman" w:cs="Times New Roman"/>
          <w:lang w:bidi="lt-LT"/>
        </w:rPr>
        <w:t>0.47</w:t>
      </w:r>
      <w:r w:rsidR="00506F04">
        <w:rPr>
          <w:rFonts w:ascii="Times New Roman" w:hAnsi="Times New Roman" w:cs="Times New Roman"/>
          <w:lang w:bidi="lt-LT"/>
        </w:rPr>
        <w:t> </w:t>
      </w:r>
      <w:r w:rsidRPr="004804D2">
        <w:rPr>
          <w:rFonts w:ascii="Times New Roman" w:hAnsi="Times New Roman" w:cs="Times New Roman"/>
          <w:lang w:bidi="lt-LT"/>
        </w:rPr>
        <w:t>% [95</w:t>
      </w:r>
      <w:r w:rsidR="00506F04">
        <w:rPr>
          <w:rFonts w:ascii="Times New Roman" w:hAnsi="Times New Roman" w:cs="Times New Roman"/>
          <w:lang w:bidi="lt-LT"/>
        </w:rPr>
        <w:t> </w:t>
      </w:r>
      <w:r w:rsidRPr="004804D2">
        <w:rPr>
          <w:rFonts w:ascii="Times New Roman" w:hAnsi="Times New Roman" w:cs="Times New Roman"/>
          <w:lang w:bidi="lt-LT"/>
        </w:rPr>
        <w:t>% CI -0,66; -0,28]). Statistiškai reikšmingai didesnė dalis pacientų, kurių pradinis HbA1c lygis ≥</w:t>
      </w:r>
      <w:r w:rsidR="00506F04">
        <w:rPr>
          <w:rFonts w:ascii="Times New Roman" w:hAnsi="Times New Roman" w:cs="Times New Roman"/>
          <w:lang w:bidi="lt-LT"/>
        </w:rPr>
        <w:t> </w:t>
      </w:r>
      <w:r w:rsidRPr="004804D2">
        <w:rPr>
          <w:rFonts w:ascii="Times New Roman" w:hAnsi="Times New Roman" w:cs="Times New Roman"/>
          <w:lang w:bidi="lt-LT"/>
        </w:rPr>
        <w:t>7</w:t>
      </w:r>
      <w:r w:rsidR="00506F04">
        <w:rPr>
          <w:rFonts w:ascii="Times New Roman" w:hAnsi="Times New Roman" w:cs="Times New Roman"/>
          <w:lang w:bidi="lt-LT"/>
        </w:rPr>
        <w:t>,</w:t>
      </w:r>
      <w:r w:rsidRPr="004804D2">
        <w:rPr>
          <w:rFonts w:ascii="Times New Roman" w:hAnsi="Times New Roman" w:cs="Times New Roman"/>
          <w:lang w:bidi="lt-LT"/>
        </w:rPr>
        <w:t>0 %, gydytų linagliptinu 5</w:t>
      </w:r>
      <w:r w:rsidR="00506F04">
        <w:rPr>
          <w:rFonts w:ascii="Times New Roman" w:hAnsi="Times New Roman" w:cs="Times New Roman"/>
          <w:lang w:bidi="lt-LT"/>
        </w:rPr>
        <w:t> </w:t>
      </w:r>
      <w:r w:rsidRPr="004804D2">
        <w:rPr>
          <w:rFonts w:ascii="Times New Roman" w:hAnsi="Times New Roman" w:cs="Times New Roman"/>
          <w:lang w:bidi="lt-LT"/>
        </w:rPr>
        <w:t>mg, pasiekė tikslinį HbA1c lygį &lt;</w:t>
      </w:r>
      <w:r w:rsidR="00506F04">
        <w:rPr>
          <w:rFonts w:ascii="Times New Roman" w:hAnsi="Times New Roman" w:cs="Times New Roman"/>
          <w:lang w:bidi="lt-LT"/>
        </w:rPr>
        <w:t> </w:t>
      </w:r>
      <w:r w:rsidRPr="004804D2">
        <w:rPr>
          <w:rFonts w:ascii="Times New Roman" w:hAnsi="Times New Roman" w:cs="Times New Roman"/>
          <w:lang w:bidi="lt-LT"/>
        </w:rPr>
        <w:t>7</w:t>
      </w:r>
      <w:r w:rsidR="00506F04">
        <w:rPr>
          <w:rFonts w:ascii="Times New Roman" w:hAnsi="Times New Roman" w:cs="Times New Roman"/>
          <w:lang w:bidi="lt-LT"/>
        </w:rPr>
        <w:t> </w:t>
      </w:r>
      <w:r w:rsidRPr="004804D2">
        <w:rPr>
          <w:rFonts w:ascii="Times New Roman" w:hAnsi="Times New Roman" w:cs="Times New Roman"/>
          <w:lang w:bidi="lt-LT"/>
        </w:rPr>
        <w:t>%, palyginti su placebu.</w:t>
      </w:r>
    </w:p>
    <w:p w14:paraId="70D571DA" w14:textId="477DBCF8" w:rsidR="00D46A9C" w:rsidRPr="004804D2" w:rsidRDefault="00D46A9C" w:rsidP="00E95834">
      <w:pPr>
        <w:suppressAutoHyphens/>
        <w:autoSpaceDN w:val="0"/>
        <w:spacing w:after="0" w:line="240" w:lineRule="auto"/>
        <w:rPr>
          <w:rFonts w:ascii="Times New Roman" w:eastAsia="Calibri" w:hAnsi="Times New Roman" w:cs="Times New Roman"/>
        </w:rPr>
      </w:pPr>
    </w:p>
    <w:p w14:paraId="34A5FC93" w14:textId="77E2171E"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Gydym</w:t>
      </w:r>
      <w:r w:rsidR="00506F04">
        <w:rPr>
          <w:rFonts w:ascii="Times New Roman" w:hAnsi="Times New Roman" w:cs="Times New Roman"/>
          <w:i/>
          <w:lang w:bidi="lt-LT"/>
        </w:rPr>
        <w:t>o</w:t>
      </w:r>
      <w:r w:rsidRPr="004804D2">
        <w:rPr>
          <w:rFonts w:ascii="Times New Roman" w:hAnsi="Times New Roman" w:cs="Times New Roman"/>
          <w:i/>
          <w:lang w:bidi="lt-LT"/>
        </w:rPr>
        <w:t xml:space="preserve"> insulinu papildymas linagliptinu </w:t>
      </w:r>
    </w:p>
    <w:p w14:paraId="3DC74AD7" w14:textId="4D43B5C5"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Dvigubai koduotu, placebu kontroliuojamu, 24 savaičių trukmės tyrimu įvertintas gydymo vien insulinu ar insulino deriniu su metforminu ir (arba) pioglitazonu papildymo 5</w:t>
      </w:r>
      <w:r w:rsidR="00506F04">
        <w:rPr>
          <w:rFonts w:ascii="Times New Roman" w:hAnsi="Times New Roman" w:cs="Times New Roman"/>
          <w:lang w:bidi="lt-LT"/>
        </w:rPr>
        <w:t> </w:t>
      </w:r>
      <w:r w:rsidRPr="004804D2">
        <w:rPr>
          <w:rFonts w:ascii="Times New Roman" w:hAnsi="Times New Roman" w:cs="Times New Roman"/>
          <w:lang w:bidi="lt-LT"/>
        </w:rPr>
        <w:t>mg linagliptino efektyvumas ir saugumas. Lignaliptinas reikšmingai sumažino HbA1c (-0</w:t>
      </w:r>
      <w:r w:rsidR="00506F04">
        <w:rPr>
          <w:rFonts w:ascii="Times New Roman" w:hAnsi="Times New Roman" w:cs="Times New Roman"/>
          <w:lang w:bidi="lt-LT"/>
        </w:rPr>
        <w:t>,</w:t>
      </w:r>
      <w:r w:rsidRPr="004804D2">
        <w:rPr>
          <w:rFonts w:ascii="Times New Roman" w:hAnsi="Times New Roman" w:cs="Times New Roman"/>
          <w:lang w:bidi="lt-LT"/>
        </w:rPr>
        <w:t>65</w:t>
      </w:r>
      <w:r w:rsidR="00506F04">
        <w:rPr>
          <w:rFonts w:ascii="Times New Roman" w:hAnsi="Times New Roman" w:cs="Times New Roman"/>
          <w:lang w:bidi="lt-LT"/>
        </w:rPr>
        <w:t> </w:t>
      </w:r>
      <w:r w:rsidRPr="004804D2">
        <w:rPr>
          <w:rFonts w:ascii="Times New Roman" w:hAnsi="Times New Roman" w:cs="Times New Roman"/>
          <w:lang w:bidi="lt-LT"/>
        </w:rPr>
        <w:t>% palyginti su placebu), palyginti su vidutiniu pradiniu HbA1c 8</w:t>
      </w:r>
      <w:r w:rsidR="00506F04">
        <w:rPr>
          <w:rFonts w:ascii="Times New Roman" w:hAnsi="Times New Roman" w:cs="Times New Roman"/>
          <w:lang w:bidi="lt-LT"/>
        </w:rPr>
        <w:t>,</w:t>
      </w:r>
      <w:r w:rsidRPr="004804D2">
        <w:rPr>
          <w:rFonts w:ascii="Times New Roman" w:hAnsi="Times New Roman" w:cs="Times New Roman"/>
          <w:lang w:bidi="lt-LT"/>
        </w:rPr>
        <w:t>3</w:t>
      </w:r>
      <w:r w:rsidR="00506F04">
        <w:rPr>
          <w:rFonts w:ascii="Times New Roman" w:hAnsi="Times New Roman" w:cs="Times New Roman"/>
          <w:lang w:bidi="lt-LT"/>
        </w:rPr>
        <w:t> </w:t>
      </w:r>
      <w:r w:rsidRPr="004804D2">
        <w:rPr>
          <w:rFonts w:ascii="Times New Roman" w:hAnsi="Times New Roman" w:cs="Times New Roman"/>
          <w:lang w:bidi="lt-LT"/>
        </w:rPr>
        <w:t>% kiekiu. Be to, vartojant linagliptino, palyginti su placebu, reikšmingai sumažėjo GKPN ir palyginti su placebu, didesnė dalis pacientų pasiekė &lt;</w:t>
      </w:r>
      <w:r w:rsidR="00506F04">
        <w:rPr>
          <w:rFonts w:ascii="Times New Roman" w:hAnsi="Times New Roman" w:cs="Times New Roman"/>
          <w:lang w:bidi="lt-LT"/>
        </w:rPr>
        <w:t> </w:t>
      </w:r>
      <w:r w:rsidRPr="004804D2">
        <w:rPr>
          <w:rFonts w:ascii="Times New Roman" w:hAnsi="Times New Roman" w:cs="Times New Roman"/>
          <w:lang w:bidi="lt-LT"/>
        </w:rPr>
        <w:t>7,0</w:t>
      </w:r>
      <w:r w:rsidR="00506F04">
        <w:rPr>
          <w:rFonts w:ascii="Times New Roman" w:hAnsi="Times New Roman" w:cs="Times New Roman"/>
          <w:lang w:bidi="lt-LT"/>
        </w:rPr>
        <w:t> </w:t>
      </w:r>
      <w:r w:rsidRPr="004804D2">
        <w:rPr>
          <w:rFonts w:ascii="Times New Roman" w:hAnsi="Times New Roman" w:cs="Times New Roman"/>
          <w:lang w:bidi="lt-LT"/>
        </w:rPr>
        <w:t>% tikslinį HbA1c. Tai buvo pasiekta, esant stabiliai insulino dozei (40,1</w:t>
      </w:r>
      <w:r w:rsidR="00506F04">
        <w:rPr>
          <w:rFonts w:ascii="Times New Roman" w:hAnsi="Times New Roman" w:cs="Times New Roman"/>
          <w:lang w:bidi="lt-LT"/>
        </w:rPr>
        <w:t> </w:t>
      </w:r>
      <w:r w:rsidRPr="004804D2">
        <w:rPr>
          <w:rFonts w:ascii="Times New Roman" w:hAnsi="Times New Roman" w:cs="Times New Roman"/>
          <w:lang w:bidi="lt-LT"/>
        </w:rPr>
        <w:t>TV). Tiriamųjų pacientų kūno svoris grupėse reikšmingai nesiskyrė. Poveikis plazmos lipidams buvo nereikšmingas. Pastebėtas hipoglikemijos atvejų skaičius gydytiems linagliptinu ar vartojusiems placebą pacientams buvo panašus (22</w:t>
      </w:r>
      <w:r w:rsidR="00506F04">
        <w:rPr>
          <w:rFonts w:ascii="Times New Roman" w:hAnsi="Times New Roman" w:cs="Times New Roman"/>
          <w:lang w:bidi="lt-LT"/>
        </w:rPr>
        <w:t>,</w:t>
      </w:r>
      <w:r w:rsidRPr="004804D2">
        <w:rPr>
          <w:rFonts w:ascii="Times New Roman" w:hAnsi="Times New Roman" w:cs="Times New Roman"/>
          <w:lang w:bidi="lt-LT"/>
        </w:rPr>
        <w:t>2</w:t>
      </w:r>
      <w:r w:rsidR="00506F04">
        <w:rPr>
          <w:rFonts w:ascii="Times New Roman" w:hAnsi="Times New Roman" w:cs="Times New Roman"/>
          <w:lang w:bidi="lt-LT"/>
        </w:rPr>
        <w:t> </w:t>
      </w:r>
      <w:r w:rsidRPr="004804D2">
        <w:rPr>
          <w:rFonts w:ascii="Times New Roman" w:hAnsi="Times New Roman" w:cs="Times New Roman"/>
          <w:lang w:bidi="lt-LT"/>
        </w:rPr>
        <w:t>% linagliptinui; 21</w:t>
      </w:r>
      <w:r w:rsidR="00506F04">
        <w:rPr>
          <w:rFonts w:ascii="Times New Roman" w:hAnsi="Times New Roman" w:cs="Times New Roman"/>
          <w:lang w:bidi="lt-LT"/>
        </w:rPr>
        <w:t>,</w:t>
      </w:r>
      <w:r w:rsidRPr="004804D2">
        <w:rPr>
          <w:rFonts w:ascii="Times New Roman" w:hAnsi="Times New Roman" w:cs="Times New Roman"/>
          <w:lang w:bidi="lt-LT"/>
        </w:rPr>
        <w:t>2</w:t>
      </w:r>
      <w:r w:rsidR="00506F04">
        <w:rPr>
          <w:rFonts w:ascii="Times New Roman" w:hAnsi="Times New Roman" w:cs="Times New Roman"/>
          <w:lang w:bidi="lt-LT"/>
        </w:rPr>
        <w:t> </w:t>
      </w:r>
      <w:r w:rsidRPr="004804D2">
        <w:rPr>
          <w:rFonts w:ascii="Times New Roman" w:hAnsi="Times New Roman" w:cs="Times New Roman"/>
          <w:lang w:bidi="lt-LT"/>
        </w:rPr>
        <w:t>% placebui).</w:t>
      </w:r>
    </w:p>
    <w:p w14:paraId="3775F4F6" w14:textId="43435703"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3E324D8F" w14:textId="39A128B9" w:rsidR="00D46A9C" w:rsidRPr="00706810" w:rsidRDefault="00D46A9C" w:rsidP="00E95834">
      <w:pPr>
        <w:suppressAutoHyphens/>
        <w:autoSpaceDN w:val="0"/>
        <w:spacing w:after="0" w:line="240" w:lineRule="auto"/>
        <w:rPr>
          <w:rFonts w:ascii="Times New Roman" w:hAnsi="Times New Roman" w:cs="Times New Roman"/>
          <w:lang w:bidi="lt-LT"/>
        </w:rPr>
      </w:pPr>
      <w:r w:rsidRPr="004804D2">
        <w:rPr>
          <w:rFonts w:ascii="Times New Roman" w:hAnsi="Times New Roman" w:cs="Times New Roman"/>
          <w:i/>
          <w:lang w:bidi="lt-LT"/>
        </w:rPr>
        <w:t>Gydymo metforminu papildymas linagliptinu, palyginti su papildymu glimepiridu (24 mėnesių tyrimo duomenys)</w:t>
      </w:r>
    </w:p>
    <w:p w14:paraId="096DD92C" w14:textId="3FE9C419"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Tyrimo, kuriuo buvo lyginamas gydymo metforminu papildymo linagliptino 5</w:t>
      </w:r>
      <w:r w:rsidR="00506F04">
        <w:rPr>
          <w:rFonts w:ascii="Times New Roman" w:hAnsi="Times New Roman" w:cs="Times New Roman"/>
          <w:lang w:bidi="lt-LT"/>
        </w:rPr>
        <w:t> </w:t>
      </w:r>
      <w:r w:rsidRPr="004804D2">
        <w:rPr>
          <w:rFonts w:ascii="Times New Roman" w:hAnsi="Times New Roman" w:cs="Times New Roman"/>
          <w:lang w:bidi="lt-LT"/>
        </w:rPr>
        <w:t>mg paros doze arba glimepiridu (vidutinė dozė – 3</w:t>
      </w:r>
      <w:r w:rsidR="00506F04">
        <w:rPr>
          <w:rFonts w:ascii="Times New Roman" w:hAnsi="Times New Roman" w:cs="Times New Roman"/>
          <w:lang w:bidi="lt-LT"/>
        </w:rPr>
        <w:t> </w:t>
      </w:r>
      <w:r w:rsidRPr="004804D2">
        <w:rPr>
          <w:rFonts w:ascii="Times New Roman" w:hAnsi="Times New Roman" w:cs="Times New Roman"/>
          <w:lang w:bidi="lt-LT"/>
        </w:rPr>
        <w:t>mg) veiksmingumas ir saugumas pacientams, kuriems monoterapija metforminu glikemiją koregavo nepakankamai, metu linagliptinu gydomiems pacientams vidutinis HbA1c kiekio sumažėjimas buvo  -0</w:t>
      </w:r>
      <w:r w:rsidR="00506F04">
        <w:rPr>
          <w:rFonts w:ascii="Times New Roman" w:hAnsi="Times New Roman" w:cs="Times New Roman"/>
          <w:lang w:bidi="lt-LT"/>
        </w:rPr>
        <w:t>,</w:t>
      </w:r>
      <w:r w:rsidRPr="004804D2">
        <w:rPr>
          <w:rFonts w:ascii="Times New Roman" w:hAnsi="Times New Roman" w:cs="Times New Roman"/>
          <w:lang w:bidi="lt-LT"/>
        </w:rPr>
        <w:t>16</w:t>
      </w:r>
      <w:r w:rsidR="00506F04">
        <w:rPr>
          <w:rFonts w:ascii="Times New Roman" w:hAnsi="Times New Roman" w:cs="Times New Roman"/>
          <w:lang w:bidi="lt-LT"/>
        </w:rPr>
        <w:t> </w:t>
      </w:r>
      <w:r w:rsidRPr="004804D2">
        <w:rPr>
          <w:rFonts w:ascii="Times New Roman" w:hAnsi="Times New Roman" w:cs="Times New Roman"/>
          <w:lang w:bidi="lt-LT"/>
        </w:rPr>
        <w:t>% (vidutinis pradinis HbA1c kiekis buvo 7</w:t>
      </w:r>
      <w:r w:rsidR="00506F04">
        <w:rPr>
          <w:rFonts w:ascii="Times New Roman" w:hAnsi="Times New Roman" w:cs="Times New Roman"/>
          <w:lang w:bidi="lt-LT"/>
        </w:rPr>
        <w:t>,</w:t>
      </w:r>
      <w:r w:rsidRPr="004804D2">
        <w:rPr>
          <w:rFonts w:ascii="Times New Roman" w:hAnsi="Times New Roman" w:cs="Times New Roman"/>
          <w:lang w:bidi="lt-LT"/>
        </w:rPr>
        <w:t>69</w:t>
      </w:r>
      <w:r w:rsidR="00506F04">
        <w:rPr>
          <w:rFonts w:ascii="Times New Roman" w:hAnsi="Times New Roman" w:cs="Times New Roman"/>
          <w:lang w:bidi="lt-LT"/>
        </w:rPr>
        <w:t> </w:t>
      </w:r>
      <w:r w:rsidRPr="004804D2">
        <w:rPr>
          <w:rFonts w:ascii="Times New Roman" w:hAnsi="Times New Roman" w:cs="Times New Roman"/>
          <w:lang w:bidi="lt-LT"/>
        </w:rPr>
        <w:t xml:space="preserve">%), glimepiridu gydomiems pacientams –  </w:t>
      </w:r>
      <w:r w:rsidR="00E43BD7" w:rsidRPr="004804D2">
        <w:rPr>
          <w:rFonts w:ascii="Times New Roman" w:hAnsi="Times New Roman" w:cs="Times New Roman"/>
          <w:lang w:bidi="lt-LT"/>
        </w:rPr>
        <w:noBreakHyphen/>
      </w:r>
      <w:r w:rsidRPr="004804D2">
        <w:rPr>
          <w:rFonts w:ascii="Times New Roman" w:hAnsi="Times New Roman" w:cs="Times New Roman"/>
          <w:lang w:bidi="lt-LT"/>
        </w:rPr>
        <w:t>0</w:t>
      </w:r>
      <w:r w:rsidR="00506F04">
        <w:rPr>
          <w:rFonts w:ascii="Times New Roman" w:hAnsi="Times New Roman" w:cs="Times New Roman"/>
          <w:lang w:bidi="lt-LT"/>
        </w:rPr>
        <w:t>,</w:t>
      </w:r>
      <w:r w:rsidRPr="004804D2">
        <w:rPr>
          <w:rFonts w:ascii="Times New Roman" w:hAnsi="Times New Roman" w:cs="Times New Roman"/>
          <w:lang w:bidi="lt-LT"/>
        </w:rPr>
        <w:t>36</w:t>
      </w:r>
      <w:r w:rsidR="00506F04">
        <w:rPr>
          <w:rFonts w:ascii="Times New Roman" w:hAnsi="Times New Roman" w:cs="Times New Roman"/>
          <w:lang w:bidi="lt-LT"/>
        </w:rPr>
        <w:t> </w:t>
      </w:r>
      <w:r w:rsidRPr="004804D2">
        <w:rPr>
          <w:rFonts w:ascii="Times New Roman" w:hAnsi="Times New Roman" w:cs="Times New Roman"/>
          <w:lang w:bidi="lt-LT"/>
        </w:rPr>
        <w:t>% (vidutinis pradinis HbA1c kiekis buvo 7</w:t>
      </w:r>
      <w:r w:rsidR="00506F04">
        <w:rPr>
          <w:rFonts w:ascii="Times New Roman" w:hAnsi="Times New Roman" w:cs="Times New Roman"/>
          <w:lang w:bidi="lt-LT"/>
        </w:rPr>
        <w:t>,</w:t>
      </w:r>
      <w:r w:rsidRPr="004804D2">
        <w:rPr>
          <w:rFonts w:ascii="Times New Roman" w:hAnsi="Times New Roman" w:cs="Times New Roman"/>
          <w:lang w:bidi="lt-LT"/>
        </w:rPr>
        <w:t>69</w:t>
      </w:r>
      <w:r w:rsidR="00506F04">
        <w:rPr>
          <w:rFonts w:ascii="Times New Roman" w:hAnsi="Times New Roman" w:cs="Times New Roman"/>
          <w:lang w:bidi="lt-LT"/>
        </w:rPr>
        <w:t> </w:t>
      </w:r>
      <w:r w:rsidRPr="004804D2">
        <w:rPr>
          <w:rFonts w:ascii="Times New Roman" w:hAnsi="Times New Roman" w:cs="Times New Roman"/>
          <w:lang w:bidi="lt-LT"/>
        </w:rPr>
        <w:t>%), vidutinis gydymo skirtumas – 0</w:t>
      </w:r>
      <w:r w:rsidR="00506F04">
        <w:rPr>
          <w:rFonts w:ascii="Times New Roman" w:hAnsi="Times New Roman" w:cs="Times New Roman"/>
          <w:lang w:bidi="lt-LT"/>
        </w:rPr>
        <w:t>,</w:t>
      </w:r>
      <w:r w:rsidRPr="004804D2">
        <w:rPr>
          <w:rFonts w:ascii="Times New Roman" w:hAnsi="Times New Roman" w:cs="Times New Roman"/>
          <w:lang w:bidi="lt-LT"/>
        </w:rPr>
        <w:t>20</w:t>
      </w:r>
      <w:r w:rsidR="00506F04">
        <w:rPr>
          <w:rFonts w:ascii="Times New Roman" w:hAnsi="Times New Roman" w:cs="Times New Roman"/>
          <w:lang w:bidi="lt-LT"/>
        </w:rPr>
        <w:t> </w:t>
      </w:r>
      <w:r w:rsidRPr="004804D2">
        <w:rPr>
          <w:rFonts w:ascii="Times New Roman" w:hAnsi="Times New Roman" w:cs="Times New Roman"/>
          <w:lang w:bidi="lt-LT"/>
        </w:rPr>
        <w:t>% (97,5</w:t>
      </w:r>
      <w:r w:rsidR="00506F04">
        <w:rPr>
          <w:rFonts w:ascii="Times New Roman" w:hAnsi="Times New Roman" w:cs="Times New Roman"/>
          <w:lang w:bidi="lt-LT"/>
        </w:rPr>
        <w:t> </w:t>
      </w:r>
      <w:r w:rsidRPr="004804D2">
        <w:rPr>
          <w:rFonts w:ascii="Times New Roman" w:hAnsi="Times New Roman" w:cs="Times New Roman"/>
          <w:lang w:bidi="lt-LT"/>
        </w:rPr>
        <w:t>% PI: 0</w:t>
      </w:r>
      <w:r w:rsidR="00506F04">
        <w:rPr>
          <w:rFonts w:ascii="Times New Roman" w:hAnsi="Times New Roman" w:cs="Times New Roman"/>
          <w:lang w:bidi="lt-LT"/>
        </w:rPr>
        <w:t>,</w:t>
      </w:r>
      <w:r w:rsidRPr="004804D2">
        <w:rPr>
          <w:rFonts w:ascii="Times New Roman" w:hAnsi="Times New Roman" w:cs="Times New Roman"/>
          <w:lang w:bidi="lt-LT"/>
        </w:rPr>
        <w:t>09, 0</w:t>
      </w:r>
      <w:r w:rsidR="00506F04">
        <w:rPr>
          <w:rFonts w:ascii="Times New Roman" w:hAnsi="Times New Roman" w:cs="Times New Roman"/>
          <w:lang w:bidi="lt-LT"/>
        </w:rPr>
        <w:t>,</w:t>
      </w:r>
      <w:r w:rsidRPr="004804D2">
        <w:rPr>
          <w:rFonts w:ascii="Times New Roman" w:hAnsi="Times New Roman" w:cs="Times New Roman"/>
          <w:lang w:bidi="lt-LT"/>
        </w:rPr>
        <w:t>299). Linagliptinu gydomos grupės pacientams hipoglikemijos dažnis buvo reikšmingai mažesnis (7,5</w:t>
      </w:r>
      <w:r w:rsidR="00506F04">
        <w:rPr>
          <w:rFonts w:ascii="Times New Roman" w:hAnsi="Times New Roman" w:cs="Times New Roman"/>
          <w:lang w:bidi="lt-LT"/>
        </w:rPr>
        <w:t> </w:t>
      </w:r>
      <w:r w:rsidRPr="004804D2">
        <w:rPr>
          <w:rFonts w:ascii="Times New Roman" w:hAnsi="Times New Roman" w:cs="Times New Roman"/>
          <w:lang w:bidi="lt-LT"/>
        </w:rPr>
        <w:t>%) negu glimepiridu gydomos grupės pacientams (36</w:t>
      </w:r>
      <w:r w:rsidR="00506F04">
        <w:rPr>
          <w:rFonts w:ascii="Times New Roman" w:hAnsi="Times New Roman" w:cs="Times New Roman"/>
          <w:lang w:bidi="lt-LT"/>
        </w:rPr>
        <w:t>,</w:t>
      </w:r>
      <w:r w:rsidRPr="004804D2">
        <w:rPr>
          <w:rFonts w:ascii="Times New Roman" w:hAnsi="Times New Roman" w:cs="Times New Roman"/>
          <w:lang w:bidi="lt-LT"/>
        </w:rPr>
        <w:t>1</w:t>
      </w:r>
      <w:r w:rsidR="00506F04">
        <w:rPr>
          <w:rFonts w:ascii="Times New Roman" w:hAnsi="Times New Roman" w:cs="Times New Roman"/>
          <w:lang w:bidi="lt-LT"/>
        </w:rPr>
        <w:t> </w:t>
      </w:r>
      <w:r w:rsidRPr="004804D2">
        <w:rPr>
          <w:rFonts w:ascii="Times New Roman" w:hAnsi="Times New Roman" w:cs="Times New Roman"/>
          <w:lang w:bidi="lt-LT"/>
        </w:rPr>
        <w:t>%). Linagliptinu gydomų pacientų vidutinis kūno svoris, palyginti su pradiniu, reikšmingai sumažėjo, glimepiridu gydomų pacientų reikšmingai padidėjo (atitinkamai  -1</w:t>
      </w:r>
      <w:r w:rsidR="00506F04">
        <w:rPr>
          <w:rFonts w:ascii="Times New Roman" w:hAnsi="Times New Roman" w:cs="Times New Roman"/>
          <w:lang w:bidi="lt-LT"/>
        </w:rPr>
        <w:t>,</w:t>
      </w:r>
      <w:r w:rsidRPr="004804D2">
        <w:rPr>
          <w:rFonts w:ascii="Times New Roman" w:hAnsi="Times New Roman" w:cs="Times New Roman"/>
          <w:lang w:bidi="lt-LT"/>
        </w:rPr>
        <w:t>39</w:t>
      </w:r>
      <w:r w:rsidR="00506F04">
        <w:rPr>
          <w:rFonts w:ascii="Times New Roman" w:hAnsi="Times New Roman" w:cs="Times New Roman"/>
          <w:lang w:bidi="lt-LT"/>
        </w:rPr>
        <w:t> </w:t>
      </w:r>
      <w:r w:rsidRPr="004804D2">
        <w:rPr>
          <w:rFonts w:ascii="Times New Roman" w:hAnsi="Times New Roman" w:cs="Times New Roman"/>
          <w:lang w:bidi="lt-LT"/>
        </w:rPr>
        <w:t>kg ir +1</w:t>
      </w:r>
      <w:r w:rsidR="00506F04">
        <w:rPr>
          <w:rFonts w:ascii="Times New Roman" w:hAnsi="Times New Roman" w:cs="Times New Roman"/>
          <w:lang w:bidi="lt-LT"/>
        </w:rPr>
        <w:t>,</w:t>
      </w:r>
      <w:r w:rsidRPr="004804D2">
        <w:rPr>
          <w:rFonts w:ascii="Times New Roman" w:hAnsi="Times New Roman" w:cs="Times New Roman"/>
          <w:lang w:bidi="lt-LT"/>
        </w:rPr>
        <w:t>29</w:t>
      </w:r>
      <w:r w:rsidR="00506F04">
        <w:rPr>
          <w:rFonts w:ascii="Times New Roman" w:hAnsi="Times New Roman" w:cs="Times New Roman"/>
          <w:lang w:bidi="lt-LT"/>
        </w:rPr>
        <w:t> </w:t>
      </w:r>
      <w:r w:rsidRPr="004804D2">
        <w:rPr>
          <w:rFonts w:ascii="Times New Roman" w:hAnsi="Times New Roman" w:cs="Times New Roman"/>
          <w:lang w:bidi="lt-LT"/>
        </w:rPr>
        <w:t>kg).</w:t>
      </w:r>
    </w:p>
    <w:p w14:paraId="4CFB27FC" w14:textId="5A39BDAB" w:rsidR="00D46A9C" w:rsidRPr="004804D2" w:rsidRDefault="00D46A9C" w:rsidP="00E95834">
      <w:pPr>
        <w:suppressAutoHyphens/>
        <w:autoSpaceDN w:val="0"/>
        <w:spacing w:after="0" w:line="240" w:lineRule="auto"/>
        <w:rPr>
          <w:rFonts w:ascii="Times New Roman" w:eastAsia="Calibri" w:hAnsi="Times New Roman" w:cs="Times New Roman"/>
        </w:rPr>
      </w:pPr>
    </w:p>
    <w:p w14:paraId="1D2CA00C" w14:textId="6895D96E"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Pacientų, kuriems yra sunkus inkstų funkcijos sutrikimas, gydymo papildymas linagliptinu</w:t>
      </w:r>
      <w:r w:rsidR="00506F04">
        <w:rPr>
          <w:rFonts w:ascii="Times New Roman" w:hAnsi="Times New Roman" w:cs="Times New Roman"/>
          <w:i/>
          <w:lang w:bidi="lt-LT"/>
        </w:rPr>
        <w:t xml:space="preserve"> </w:t>
      </w:r>
      <w:r w:rsidRPr="004804D2">
        <w:rPr>
          <w:rFonts w:ascii="Times New Roman" w:hAnsi="Times New Roman" w:cs="Times New Roman"/>
          <w:i/>
          <w:lang w:bidi="lt-LT"/>
        </w:rPr>
        <w:t>12 savaičių placebu kontroliuojamo tyrimo (foninis gydymas buvo nekeičiamas) ir 40</w:t>
      </w:r>
      <w:r w:rsidR="00506F04">
        <w:rPr>
          <w:rFonts w:ascii="Times New Roman" w:hAnsi="Times New Roman" w:cs="Times New Roman"/>
          <w:lang w:bidi="lt-LT"/>
        </w:rPr>
        <w:t xml:space="preserve"> </w:t>
      </w:r>
      <w:r w:rsidRPr="004804D2">
        <w:rPr>
          <w:rFonts w:ascii="Times New Roman" w:hAnsi="Times New Roman" w:cs="Times New Roman"/>
          <w:i/>
          <w:lang w:bidi="lt-LT"/>
        </w:rPr>
        <w:t>savaičių placebu kontroliuojamo tęstinio tyrimo (foninį gydymą buvo leista koreguoti) duomenys</w:t>
      </w:r>
    </w:p>
    <w:p w14:paraId="742E4221" w14:textId="57C32CF9"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veiksmingumas ir saugumas 2 tipo cukriniu diabetu sergantiems pacientams, kuriuos vargino sunkus inkstų funkcijos sutrikimas, buvo vertinti dvigubai koduotu, placebu kontroliuojamu 12 savaičių tyrimu, kurio metu foninis glikemijos gydymas buvo nekeičiamas. Daugumai pacientų (80,5</w:t>
      </w:r>
      <w:r w:rsidR="00506F04">
        <w:rPr>
          <w:rFonts w:ascii="Times New Roman" w:hAnsi="Times New Roman" w:cs="Times New Roman"/>
          <w:lang w:bidi="lt-LT"/>
        </w:rPr>
        <w:t> </w:t>
      </w:r>
      <w:r w:rsidRPr="004804D2">
        <w:rPr>
          <w:rFonts w:ascii="Times New Roman" w:hAnsi="Times New Roman" w:cs="Times New Roman"/>
          <w:lang w:bidi="lt-LT"/>
        </w:rPr>
        <w:t>%) foninis gydymas buvo taikomas vien insulinu arba insulino deriniu su geriamaisiais antidiabetiniais vaistiniais preparatais, tokiais kaip sulfonilurėjos dariniai, glinidas ir pioglitazonas. Tęstinio 40 savaičių tyrimo metu buvo leista koreguoti foninį antidiabetinį gydymą.</w:t>
      </w:r>
    </w:p>
    <w:p w14:paraId="5526305B" w14:textId="3519F032"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3F207F89" w14:textId="611C2B26"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Linagliptinas reikšmingai sumažino HbA1c kiekį (-0</w:t>
      </w:r>
      <w:r w:rsidR="00506F04">
        <w:rPr>
          <w:rFonts w:ascii="Times New Roman" w:hAnsi="Times New Roman" w:cs="Times New Roman"/>
          <w:lang w:bidi="lt-LT"/>
        </w:rPr>
        <w:t>,</w:t>
      </w:r>
      <w:r w:rsidRPr="004804D2">
        <w:rPr>
          <w:rFonts w:ascii="Times New Roman" w:hAnsi="Times New Roman" w:cs="Times New Roman"/>
          <w:lang w:bidi="lt-LT"/>
        </w:rPr>
        <w:t>59</w:t>
      </w:r>
      <w:r w:rsidR="00506F04">
        <w:rPr>
          <w:rFonts w:ascii="Times New Roman" w:hAnsi="Times New Roman" w:cs="Times New Roman"/>
          <w:lang w:bidi="lt-LT"/>
        </w:rPr>
        <w:t> </w:t>
      </w:r>
      <w:r w:rsidRPr="004804D2">
        <w:rPr>
          <w:rFonts w:ascii="Times New Roman" w:hAnsi="Times New Roman" w:cs="Times New Roman"/>
          <w:lang w:bidi="lt-LT"/>
        </w:rPr>
        <w:t>% pokytis, palyginti su placebu, po 12 savaičių gydymo), lyginant su vidutiniu pradiniu HbA1c 8</w:t>
      </w:r>
      <w:r w:rsidR="00506F04">
        <w:rPr>
          <w:rFonts w:ascii="Times New Roman" w:hAnsi="Times New Roman" w:cs="Times New Roman"/>
          <w:lang w:bidi="lt-LT"/>
        </w:rPr>
        <w:t>,</w:t>
      </w:r>
      <w:r w:rsidRPr="004804D2">
        <w:rPr>
          <w:rFonts w:ascii="Times New Roman" w:hAnsi="Times New Roman" w:cs="Times New Roman"/>
          <w:lang w:bidi="lt-LT"/>
        </w:rPr>
        <w:t>2</w:t>
      </w:r>
      <w:r w:rsidR="00506F04">
        <w:rPr>
          <w:rFonts w:ascii="Times New Roman" w:hAnsi="Times New Roman" w:cs="Times New Roman"/>
          <w:lang w:bidi="lt-LT"/>
        </w:rPr>
        <w:t> </w:t>
      </w:r>
      <w:r w:rsidRPr="004804D2">
        <w:rPr>
          <w:rFonts w:ascii="Times New Roman" w:hAnsi="Times New Roman" w:cs="Times New Roman"/>
          <w:lang w:bidi="lt-LT"/>
        </w:rPr>
        <w:t>% kiekiu. Po 52 gydymo savaičių linagliptino, palyginti su placebu, sukelto HbA1c kiekio sumažėjimo skirtumas buvo  -0</w:t>
      </w:r>
      <w:r w:rsidR="00506F04">
        <w:rPr>
          <w:rFonts w:ascii="Times New Roman" w:hAnsi="Times New Roman" w:cs="Times New Roman"/>
          <w:lang w:bidi="lt-LT"/>
        </w:rPr>
        <w:t>,</w:t>
      </w:r>
      <w:r w:rsidRPr="004804D2">
        <w:rPr>
          <w:rFonts w:ascii="Times New Roman" w:hAnsi="Times New Roman" w:cs="Times New Roman"/>
          <w:lang w:bidi="lt-LT"/>
        </w:rPr>
        <w:t>72</w:t>
      </w:r>
      <w:r w:rsidR="00506F04">
        <w:rPr>
          <w:rFonts w:ascii="Times New Roman" w:hAnsi="Times New Roman" w:cs="Times New Roman"/>
          <w:lang w:bidi="lt-LT"/>
        </w:rPr>
        <w:t> </w:t>
      </w:r>
      <w:r w:rsidRPr="004804D2">
        <w:rPr>
          <w:rFonts w:ascii="Times New Roman" w:hAnsi="Times New Roman" w:cs="Times New Roman"/>
          <w:lang w:bidi="lt-LT"/>
        </w:rPr>
        <w:t>%.</w:t>
      </w:r>
    </w:p>
    <w:p w14:paraId="48B273EC" w14:textId="0115F0F1" w:rsidR="00D46A9C" w:rsidRPr="004804D2" w:rsidRDefault="00D46A9C" w:rsidP="00E95834">
      <w:pPr>
        <w:suppressAutoHyphens/>
        <w:autoSpaceDN w:val="0"/>
        <w:spacing w:after="0" w:line="240" w:lineRule="auto"/>
        <w:rPr>
          <w:rFonts w:ascii="Times New Roman" w:eastAsia="Calibri" w:hAnsi="Times New Roman" w:cs="Times New Roman"/>
        </w:rPr>
      </w:pPr>
    </w:p>
    <w:p w14:paraId="41C8F69D" w14:textId="5605A0AA"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Tiriamųjų pacientų kūno svoris grupėse reikšmingai nesiskyrė. Linagliptinu gydomiems pacientams dėl besimptomės hipoglikemijos pasireiškimo hipoglikemijos dažnis buvo didesnis negu vartojantiems placebo. Sunkių hipoglikemijos reiškinių dažnis tarp grupių nesiskyrė.</w:t>
      </w:r>
    </w:p>
    <w:p w14:paraId="30F17087" w14:textId="3976AB8F" w:rsidR="00D46A9C" w:rsidRPr="004804D2" w:rsidRDefault="00D46A9C" w:rsidP="00E95834">
      <w:pPr>
        <w:suppressAutoHyphens/>
        <w:autoSpaceDN w:val="0"/>
        <w:spacing w:after="0" w:line="240" w:lineRule="auto"/>
        <w:rPr>
          <w:rFonts w:ascii="Times New Roman" w:eastAsia="Calibri" w:hAnsi="Times New Roman" w:cs="Times New Roman"/>
        </w:rPr>
      </w:pPr>
    </w:p>
    <w:p w14:paraId="57C26A83" w14:textId="5FEF6247" w:rsidR="00D46A9C" w:rsidRPr="004804D2" w:rsidRDefault="00D46A9C"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Senyvų žmonių (70 metų ir vyresnių), sergančių 2 tipo cukriniu diabetu, gydymo papildymas linagliptinu</w:t>
      </w:r>
    </w:p>
    <w:p w14:paraId="18A04F7D" w14:textId="18F8DEF2"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veiksmingumas ir saugumas 2 tipo cukriniu diabetu sergantiems senyvo amžiaus (70 metų ir vyresniems) žmonėms buvo vertintas dvigubai koduotu 24 savaičių trukmės tyrimu. Foninis gydymas buvo taikomas metforminu ir (arba) sulfonilurėjos dariniais ir (arba) insulinu. Pirmųjų 12 savaičių foninio antidiabetinio gydymo vaistiniais preparatais dozavimas išliko stabilus, po to buvo leidžiama dozes koreguoti. Linagliptinas reikšmingai sumažino HbA1c kiekį (-0</w:t>
      </w:r>
      <w:r w:rsidR="00506F04">
        <w:rPr>
          <w:rFonts w:ascii="Times New Roman" w:hAnsi="Times New Roman" w:cs="Times New Roman"/>
          <w:lang w:bidi="lt-LT"/>
        </w:rPr>
        <w:t>,</w:t>
      </w:r>
      <w:r w:rsidRPr="004804D2">
        <w:rPr>
          <w:rFonts w:ascii="Times New Roman" w:hAnsi="Times New Roman" w:cs="Times New Roman"/>
          <w:lang w:bidi="lt-LT"/>
        </w:rPr>
        <w:t>64</w:t>
      </w:r>
      <w:r w:rsidR="00506F04">
        <w:rPr>
          <w:rFonts w:ascii="Times New Roman" w:hAnsi="Times New Roman" w:cs="Times New Roman"/>
          <w:lang w:bidi="lt-LT"/>
        </w:rPr>
        <w:t> </w:t>
      </w:r>
      <w:r w:rsidRPr="004804D2">
        <w:rPr>
          <w:rFonts w:ascii="Times New Roman" w:hAnsi="Times New Roman" w:cs="Times New Roman"/>
          <w:lang w:bidi="lt-LT"/>
        </w:rPr>
        <w:t>% pokytis, palyginti su placebu, po 24 savaičių gydymo), lyginant su vidutiniu pradiniu HbA1c 7</w:t>
      </w:r>
      <w:r w:rsidR="00506F04">
        <w:rPr>
          <w:rFonts w:ascii="Times New Roman" w:hAnsi="Times New Roman" w:cs="Times New Roman"/>
          <w:lang w:bidi="lt-LT"/>
        </w:rPr>
        <w:t>,</w:t>
      </w:r>
      <w:r w:rsidRPr="004804D2">
        <w:rPr>
          <w:rFonts w:ascii="Times New Roman" w:hAnsi="Times New Roman" w:cs="Times New Roman"/>
          <w:lang w:bidi="lt-LT"/>
        </w:rPr>
        <w:t>8</w:t>
      </w:r>
      <w:r w:rsidR="00506F04">
        <w:rPr>
          <w:rFonts w:ascii="Times New Roman" w:hAnsi="Times New Roman" w:cs="Times New Roman"/>
          <w:lang w:bidi="lt-LT"/>
        </w:rPr>
        <w:t> </w:t>
      </w:r>
      <w:r w:rsidRPr="004804D2">
        <w:rPr>
          <w:rFonts w:ascii="Times New Roman" w:hAnsi="Times New Roman" w:cs="Times New Roman"/>
          <w:lang w:bidi="lt-LT"/>
        </w:rPr>
        <w:t xml:space="preserve">% kiekiu. Be </w:t>
      </w:r>
      <w:r w:rsidRPr="004804D2">
        <w:rPr>
          <w:rFonts w:ascii="Times New Roman" w:hAnsi="Times New Roman" w:cs="Times New Roman"/>
          <w:lang w:bidi="lt-LT"/>
        </w:rPr>
        <w:lastRenderedPageBreak/>
        <w:t>to, gydant linagliptinu, palyginti su placebu, reikšmingai pagerėjo GKPN. Tiriamųjų pacientų kūno svoris grupėse reikšmingai nesiskyrė.</w:t>
      </w:r>
    </w:p>
    <w:p w14:paraId="2A665578" w14:textId="32E9A546" w:rsidR="00D46A9C" w:rsidRPr="004804D2" w:rsidRDefault="00D46A9C" w:rsidP="00E95834">
      <w:pPr>
        <w:suppressAutoHyphens/>
        <w:autoSpaceDN w:val="0"/>
        <w:spacing w:after="0" w:line="240" w:lineRule="auto"/>
        <w:rPr>
          <w:rFonts w:ascii="Times New Roman" w:eastAsia="Calibri" w:hAnsi="Times New Roman" w:cs="Times New Roman"/>
        </w:rPr>
      </w:pPr>
    </w:p>
    <w:p w14:paraId="472C7250" w14:textId="77777777" w:rsidR="00D46A9C" w:rsidRPr="00282DBB" w:rsidRDefault="00D46A9C" w:rsidP="00E95834">
      <w:pPr>
        <w:suppressAutoHyphens/>
        <w:autoSpaceDN w:val="0"/>
        <w:spacing w:after="0" w:line="240" w:lineRule="auto"/>
        <w:rPr>
          <w:rFonts w:ascii="Times New Roman" w:eastAsia="Calibri" w:hAnsi="Times New Roman" w:cs="Times New Roman"/>
          <w:i/>
          <w:iCs/>
        </w:rPr>
      </w:pPr>
      <w:r w:rsidRPr="00706810">
        <w:rPr>
          <w:rFonts w:ascii="Times New Roman" w:hAnsi="Times New Roman" w:cs="Times New Roman"/>
          <w:i/>
          <w:lang w:bidi="lt-LT"/>
        </w:rPr>
        <w:t xml:space="preserve">Linagliptino saugumo širdies ir kraujagyslių sistemai bei inkstams tyrimas (CARMELINA) </w:t>
      </w:r>
    </w:p>
    <w:p w14:paraId="48764F9D" w14:textId="5136F1E3"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CARMELINA tyrimo metu buvo vertinamas linagliptino saugumas širdies ir kraujagyslių sistemai bei inkstams, palyginti su placebu, 6</w:t>
      </w:r>
      <w:r w:rsidR="00506F04">
        <w:rPr>
          <w:rFonts w:ascii="Times New Roman" w:hAnsi="Times New Roman" w:cs="Times New Roman"/>
          <w:lang w:bidi="lt-LT"/>
        </w:rPr>
        <w:t> </w:t>
      </w:r>
      <w:r w:rsidRPr="004804D2">
        <w:rPr>
          <w:rFonts w:ascii="Times New Roman" w:hAnsi="Times New Roman" w:cs="Times New Roman"/>
          <w:lang w:bidi="lt-LT"/>
        </w:rPr>
        <w:t>979 pacientams, sergantiems 2 tipo cukriniu diabetu, kuriems yra didesnė širdies ir kraujagyslių ligų (ŠKL) rizika, patvirtinta anksčiau nustatyta makrovaskuline arba inkstų liga. Pacientai vartojo 5</w:t>
      </w:r>
      <w:r w:rsidR="00506F04">
        <w:rPr>
          <w:rFonts w:ascii="Times New Roman" w:hAnsi="Times New Roman" w:cs="Times New Roman"/>
          <w:lang w:bidi="lt-LT"/>
        </w:rPr>
        <w:t> </w:t>
      </w:r>
      <w:r w:rsidRPr="004804D2">
        <w:rPr>
          <w:rFonts w:ascii="Times New Roman" w:hAnsi="Times New Roman" w:cs="Times New Roman"/>
          <w:lang w:bidi="lt-LT"/>
        </w:rPr>
        <w:t>mg linagliptino (3</w:t>
      </w:r>
      <w:r w:rsidR="00506F04">
        <w:rPr>
          <w:rFonts w:ascii="Times New Roman" w:hAnsi="Times New Roman" w:cs="Times New Roman"/>
          <w:lang w:bidi="lt-LT"/>
        </w:rPr>
        <w:t> </w:t>
      </w:r>
      <w:r w:rsidRPr="004804D2">
        <w:rPr>
          <w:rFonts w:ascii="Times New Roman" w:hAnsi="Times New Roman" w:cs="Times New Roman"/>
          <w:lang w:bidi="lt-LT"/>
        </w:rPr>
        <w:t>494) arba placebą (3</w:t>
      </w:r>
      <w:r w:rsidR="00506F04">
        <w:rPr>
          <w:rFonts w:ascii="Times New Roman" w:hAnsi="Times New Roman" w:cs="Times New Roman"/>
          <w:lang w:bidi="lt-LT"/>
        </w:rPr>
        <w:t> </w:t>
      </w:r>
      <w:r w:rsidRPr="004804D2">
        <w:rPr>
          <w:rFonts w:ascii="Times New Roman" w:hAnsi="Times New Roman" w:cs="Times New Roman"/>
          <w:lang w:bidi="lt-LT"/>
        </w:rPr>
        <w:t>485), šiuos vaistinius preparatus skiriant papildomai prie standartinio gydymo, taikomo atsižvelgiant į regionui nustatytą HbA1c normą, ŠKL rizikos veiksnius ir inkstų ligą. Tyrimo populiaciją sudarė 1</w:t>
      </w:r>
      <w:r w:rsidR="00506F04">
        <w:rPr>
          <w:rFonts w:ascii="Times New Roman" w:hAnsi="Times New Roman" w:cs="Times New Roman"/>
          <w:lang w:bidi="lt-LT"/>
        </w:rPr>
        <w:t> </w:t>
      </w:r>
      <w:r w:rsidRPr="004804D2">
        <w:rPr>
          <w:rFonts w:ascii="Times New Roman" w:hAnsi="Times New Roman" w:cs="Times New Roman"/>
          <w:lang w:bidi="lt-LT"/>
        </w:rPr>
        <w:t>211 (17</w:t>
      </w:r>
      <w:r w:rsidR="00506F04">
        <w:rPr>
          <w:rFonts w:ascii="Times New Roman" w:hAnsi="Times New Roman" w:cs="Times New Roman"/>
          <w:lang w:bidi="lt-LT"/>
        </w:rPr>
        <w:t>,</w:t>
      </w:r>
      <w:r w:rsidRPr="004804D2">
        <w:rPr>
          <w:rFonts w:ascii="Times New Roman" w:hAnsi="Times New Roman" w:cs="Times New Roman"/>
          <w:lang w:bidi="lt-LT"/>
        </w:rPr>
        <w:t>4</w:t>
      </w:r>
      <w:r w:rsidR="00506F04">
        <w:rPr>
          <w:rFonts w:ascii="Times New Roman" w:hAnsi="Times New Roman" w:cs="Times New Roman"/>
          <w:lang w:bidi="lt-LT"/>
        </w:rPr>
        <w:t> </w:t>
      </w:r>
      <w:r w:rsidRPr="004804D2">
        <w:rPr>
          <w:rFonts w:ascii="Times New Roman" w:hAnsi="Times New Roman" w:cs="Times New Roman"/>
          <w:lang w:bidi="lt-LT"/>
        </w:rPr>
        <w:t>%) pacientų, kurių amžius buvo ≥</w:t>
      </w:r>
      <w:r w:rsidR="00506F04">
        <w:rPr>
          <w:rFonts w:ascii="Times New Roman" w:hAnsi="Times New Roman" w:cs="Times New Roman"/>
          <w:lang w:bidi="lt-LT"/>
        </w:rPr>
        <w:t> </w:t>
      </w:r>
      <w:r w:rsidRPr="004804D2">
        <w:rPr>
          <w:rFonts w:ascii="Times New Roman" w:hAnsi="Times New Roman" w:cs="Times New Roman"/>
          <w:lang w:bidi="lt-LT"/>
        </w:rPr>
        <w:t>75 metų, ir 4</w:t>
      </w:r>
      <w:r w:rsidR="00506F04">
        <w:rPr>
          <w:rFonts w:ascii="Times New Roman" w:hAnsi="Times New Roman" w:cs="Times New Roman"/>
          <w:lang w:bidi="lt-LT"/>
        </w:rPr>
        <w:t> </w:t>
      </w:r>
      <w:r w:rsidRPr="004804D2">
        <w:rPr>
          <w:rFonts w:ascii="Times New Roman" w:hAnsi="Times New Roman" w:cs="Times New Roman"/>
          <w:lang w:bidi="lt-LT"/>
        </w:rPr>
        <w:t>348 (62</w:t>
      </w:r>
      <w:r w:rsidR="00506F04">
        <w:rPr>
          <w:rFonts w:ascii="Times New Roman" w:hAnsi="Times New Roman" w:cs="Times New Roman"/>
          <w:lang w:bidi="lt-LT"/>
        </w:rPr>
        <w:t>,</w:t>
      </w:r>
      <w:r w:rsidRPr="004804D2">
        <w:rPr>
          <w:rFonts w:ascii="Times New Roman" w:hAnsi="Times New Roman" w:cs="Times New Roman"/>
          <w:lang w:bidi="lt-LT"/>
        </w:rPr>
        <w:t>3</w:t>
      </w:r>
      <w:r w:rsidR="00506F04">
        <w:rPr>
          <w:rFonts w:ascii="Times New Roman" w:hAnsi="Times New Roman" w:cs="Times New Roman"/>
          <w:lang w:bidi="lt-LT"/>
        </w:rPr>
        <w:t> </w:t>
      </w:r>
      <w:r w:rsidRPr="004804D2">
        <w:rPr>
          <w:rFonts w:ascii="Times New Roman" w:hAnsi="Times New Roman" w:cs="Times New Roman"/>
          <w:lang w:bidi="lt-LT"/>
        </w:rPr>
        <w:t>%) pacientai, kurių sutrikusi inkstų funkcija. Maždaug 19</w:t>
      </w:r>
      <w:r w:rsidR="00506F04">
        <w:rPr>
          <w:rFonts w:ascii="Times New Roman" w:hAnsi="Times New Roman" w:cs="Times New Roman"/>
          <w:lang w:bidi="lt-LT"/>
        </w:rPr>
        <w:t> </w:t>
      </w:r>
      <w:r w:rsidRPr="004804D2">
        <w:rPr>
          <w:rFonts w:ascii="Times New Roman" w:hAnsi="Times New Roman" w:cs="Times New Roman"/>
          <w:lang w:bidi="lt-LT"/>
        </w:rPr>
        <w:t>% populiacijos aGFG buvo nuo ≥</w:t>
      </w:r>
      <w:r w:rsidR="00506F04">
        <w:rPr>
          <w:rFonts w:ascii="Times New Roman" w:hAnsi="Times New Roman" w:cs="Times New Roman"/>
          <w:lang w:bidi="lt-LT"/>
        </w:rPr>
        <w:t> </w:t>
      </w:r>
      <w:r w:rsidRPr="004804D2">
        <w:rPr>
          <w:rFonts w:ascii="Times New Roman" w:hAnsi="Times New Roman" w:cs="Times New Roman"/>
          <w:lang w:bidi="lt-LT"/>
        </w:rPr>
        <w:t>45 iki &lt;</w:t>
      </w:r>
      <w:r w:rsidR="00506F04">
        <w:rPr>
          <w:rFonts w:ascii="Times New Roman" w:hAnsi="Times New Roman" w:cs="Times New Roman"/>
          <w:lang w:bidi="lt-LT"/>
        </w:rPr>
        <w:t> </w:t>
      </w:r>
      <w:r w:rsidRPr="004804D2">
        <w:rPr>
          <w:rFonts w:ascii="Times New Roman" w:hAnsi="Times New Roman" w:cs="Times New Roman"/>
          <w:lang w:bidi="lt-LT"/>
        </w:rPr>
        <w:t>60</w:t>
      </w:r>
      <w:r w:rsidR="00506F04">
        <w:rPr>
          <w:rFonts w:ascii="Times New Roman" w:hAnsi="Times New Roman" w:cs="Times New Roman"/>
          <w:lang w:bidi="lt-LT"/>
        </w:rPr>
        <w:t> </w:t>
      </w:r>
      <w:r w:rsidRPr="004804D2">
        <w:rPr>
          <w:rFonts w:ascii="Times New Roman" w:hAnsi="Times New Roman" w:cs="Times New Roman"/>
          <w:lang w:bidi="lt-LT"/>
        </w:rPr>
        <w:t>ml/min./1</w:t>
      </w:r>
      <w:r w:rsidR="00506F04">
        <w:rPr>
          <w:rFonts w:ascii="Times New Roman" w:hAnsi="Times New Roman" w:cs="Times New Roman"/>
          <w:lang w:bidi="lt-LT"/>
        </w:rPr>
        <w:t>,</w:t>
      </w:r>
      <w:r w:rsidRPr="004804D2">
        <w:rPr>
          <w:rFonts w:ascii="Times New Roman" w:hAnsi="Times New Roman" w:cs="Times New Roman"/>
          <w:lang w:bidi="lt-LT"/>
        </w:rPr>
        <w:t>73 m</w:t>
      </w:r>
      <w:r w:rsidRPr="004804D2">
        <w:rPr>
          <w:rFonts w:ascii="Times New Roman" w:hAnsi="Times New Roman" w:cs="Times New Roman"/>
          <w:vertAlign w:val="superscript"/>
          <w:lang w:bidi="lt-LT"/>
        </w:rPr>
        <w:t>2</w:t>
      </w:r>
      <w:r w:rsidRPr="004804D2">
        <w:rPr>
          <w:rFonts w:ascii="Times New Roman" w:hAnsi="Times New Roman" w:cs="Times New Roman"/>
          <w:lang w:bidi="lt-LT"/>
        </w:rPr>
        <w:t>, 28</w:t>
      </w:r>
      <w:r w:rsidR="00506F04">
        <w:rPr>
          <w:rFonts w:ascii="Times New Roman" w:hAnsi="Times New Roman" w:cs="Times New Roman"/>
          <w:lang w:bidi="lt-LT"/>
        </w:rPr>
        <w:t> </w:t>
      </w:r>
      <w:r w:rsidRPr="004804D2">
        <w:rPr>
          <w:rFonts w:ascii="Times New Roman" w:hAnsi="Times New Roman" w:cs="Times New Roman"/>
          <w:lang w:bidi="lt-LT"/>
        </w:rPr>
        <w:t>% populiacijos aGFG buvo nuo ≥</w:t>
      </w:r>
      <w:r w:rsidR="00506F04">
        <w:rPr>
          <w:rFonts w:ascii="Times New Roman" w:hAnsi="Times New Roman" w:cs="Times New Roman"/>
          <w:lang w:bidi="lt-LT"/>
        </w:rPr>
        <w:t> </w:t>
      </w:r>
      <w:r w:rsidRPr="004804D2">
        <w:rPr>
          <w:rFonts w:ascii="Times New Roman" w:hAnsi="Times New Roman" w:cs="Times New Roman"/>
          <w:lang w:bidi="lt-LT"/>
        </w:rPr>
        <w:t>30 iki &lt;</w:t>
      </w:r>
      <w:r w:rsidR="00506F04">
        <w:rPr>
          <w:rFonts w:ascii="Times New Roman" w:hAnsi="Times New Roman" w:cs="Times New Roman"/>
          <w:lang w:bidi="lt-LT"/>
        </w:rPr>
        <w:t> </w:t>
      </w:r>
      <w:r w:rsidRPr="004804D2">
        <w:rPr>
          <w:rFonts w:ascii="Times New Roman" w:hAnsi="Times New Roman" w:cs="Times New Roman"/>
          <w:lang w:bidi="lt-LT"/>
        </w:rPr>
        <w:t>45</w:t>
      </w:r>
      <w:r w:rsidR="00506F04">
        <w:rPr>
          <w:rFonts w:ascii="Times New Roman" w:hAnsi="Times New Roman" w:cs="Times New Roman"/>
          <w:lang w:bidi="lt-LT"/>
        </w:rPr>
        <w:t> </w:t>
      </w:r>
      <w:r w:rsidRPr="004804D2">
        <w:rPr>
          <w:rFonts w:ascii="Times New Roman" w:hAnsi="Times New Roman" w:cs="Times New Roman"/>
          <w:lang w:bidi="lt-LT"/>
        </w:rPr>
        <w:t>ml/min./1,73</w:t>
      </w:r>
      <w:r w:rsidR="00506F04">
        <w:rPr>
          <w:rFonts w:ascii="Times New Roman" w:hAnsi="Times New Roman" w:cs="Times New Roman"/>
          <w:lang w:bidi="lt-LT"/>
        </w:rPr>
        <w:t> </w:t>
      </w:r>
      <w:r w:rsidRPr="004804D2">
        <w:rPr>
          <w:rFonts w:ascii="Times New Roman" w:hAnsi="Times New Roman" w:cs="Times New Roman"/>
          <w:lang w:bidi="lt-LT"/>
        </w:rPr>
        <w:t>m</w:t>
      </w:r>
      <w:r w:rsidRPr="004804D2">
        <w:rPr>
          <w:rFonts w:ascii="Times New Roman" w:hAnsi="Times New Roman" w:cs="Times New Roman"/>
          <w:vertAlign w:val="superscript"/>
          <w:lang w:bidi="lt-LT"/>
        </w:rPr>
        <w:t>2</w:t>
      </w:r>
      <w:r w:rsidRPr="004804D2">
        <w:rPr>
          <w:rFonts w:ascii="Times New Roman" w:hAnsi="Times New Roman" w:cs="Times New Roman"/>
          <w:lang w:bidi="lt-LT"/>
        </w:rPr>
        <w:t>, o 15</w:t>
      </w:r>
      <w:r w:rsidR="00506F04">
        <w:rPr>
          <w:rFonts w:ascii="Times New Roman" w:hAnsi="Times New Roman" w:cs="Times New Roman"/>
          <w:lang w:bidi="lt-LT"/>
        </w:rPr>
        <w:t> </w:t>
      </w:r>
      <w:r w:rsidRPr="004804D2">
        <w:rPr>
          <w:rFonts w:ascii="Times New Roman" w:hAnsi="Times New Roman" w:cs="Times New Roman"/>
          <w:lang w:bidi="lt-LT"/>
        </w:rPr>
        <w:t>% aGFG buvo &lt;</w:t>
      </w:r>
      <w:r w:rsidR="00A904B2">
        <w:rPr>
          <w:rFonts w:ascii="Times New Roman" w:hAnsi="Times New Roman" w:cs="Times New Roman"/>
          <w:lang w:bidi="lt-LT"/>
        </w:rPr>
        <w:t> </w:t>
      </w:r>
      <w:r w:rsidRPr="004804D2">
        <w:rPr>
          <w:rFonts w:ascii="Times New Roman" w:hAnsi="Times New Roman" w:cs="Times New Roman"/>
          <w:lang w:bidi="lt-LT"/>
        </w:rPr>
        <w:t>30</w:t>
      </w:r>
      <w:r w:rsidR="00A904B2">
        <w:rPr>
          <w:rFonts w:ascii="Times New Roman" w:hAnsi="Times New Roman" w:cs="Times New Roman"/>
          <w:lang w:bidi="lt-LT"/>
        </w:rPr>
        <w:t> </w:t>
      </w:r>
      <w:r w:rsidRPr="004804D2">
        <w:rPr>
          <w:rFonts w:ascii="Times New Roman" w:hAnsi="Times New Roman" w:cs="Times New Roman"/>
          <w:lang w:bidi="lt-LT"/>
        </w:rPr>
        <w:t>ml/min./1,73</w:t>
      </w:r>
      <w:r w:rsidR="00A904B2">
        <w:rPr>
          <w:rFonts w:ascii="Times New Roman" w:hAnsi="Times New Roman" w:cs="Times New Roman"/>
          <w:lang w:bidi="lt-LT"/>
        </w:rPr>
        <w:t> </w:t>
      </w:r>
      <w:r w:rsidRPr="004804D2">
        <w:rPr>
          <w:rFonts w:ascii="Times New Roman" w:hAnsi="Times New Roman" w:cs="Times New Roman"/>
          <w:lang w:bidi="lt-LT"/>
        </w:rPr>
        <w:t>m</w:t>
      </w:r>
      <w:r w:rsidRPr="004804D2">
        <w:rPr>
          <w:rFonts w:ascii="Times New Roman" w:hAnsi="Times New Roman" w:cs="Times New Roman"/>
          <w:vertAlign w:val="superscript"/>
          <w:lang w:bidi="lt-LT"/>
        </w:rPr>
        <w:t>2</w:t>
      </w:r>
      <w:r w:rsidRPr="004804D2">
        <w:rPr>
          <w:rFonts w:ascii="Times New Roman" w:hAnsi="Times New Roman" w:cs="Times New Roman"/>
          <w:lang w:bidi="lt-LT"/>
        </w:rPr>
        <w:t>. HbA1c vidurkis pradinio vertinimo metu siekė 8</w:t>
      </w:r>
      <w:r w:rsidR="00A904B2">
        <w:rPr>
          <w:rFonts w:ascii="Times New Roman" w:hAnsi="Times New Roman" w:cs="Times New Roman"/>
          <w:lang w:bidi="lt-LT"/>
        </w:rPr>
        <w:t> </w:t>
      </w:r>
      <w:r w:rsidRPr="004804D2">
        <w:rPr>
          <w:rFonts w:ascii="Times New Roman" w:hAnsi="Times New Roman" w:cs="Times New Roman"/>
          <w:lang w:bidi="lt-LT"/>
        </w:rPr>
        <w:t>%. Tyrimo struktūra sudaryta siekiant parodyti, jog linagliptinas ne prastesnis, vertinant pagal pagrindinę sudėtinę vertinamąją baigtį, kurią sudarė mirtis dėl priežasčių, susijusių su širdies ir kraujagyslių ligomis, arba pirmasis nemirtinas miokardo infarktas (MI), arba pirmasis nemirtinas insultas (3P</w:t>
      </w:r>
      <w:r w:rsidR="00E43BD7" w:rsidRPr="004804D2">
        <w:rPr>
          <w:rFonts w:ascii="Times New Roman" w:hAnsi="Times New Roman" w:cs="Times New Roman"/>
          <w:lang w:bidi="lt-LT"/>
        </w:rPr>
        <w:noBreakHyphen/>
      </w:r>
      <w:r w:rsidRPr="004804D2">
        <w:rPr>
          <w:rFonts w:ascii="Times New Roman" w:hAnsi="Times New Roman" w:cs="Times New Roman"/>
          <w:lang w:bidi="lt-LT"/>
        </w:rPr>
        <w:t>MACE). Poveikio inkstams sudėtinė vertinamoji baigtis apibūdinta kaip mirtis dėl inkstų ligos, ilgalaikė galutinės stadijos lėtinė inkstų liga (GSLIL) arba ilgalaikis aGFG sumažėjimas 40</w:t>
      </w:r>
      <w:r w:rsidR="00A904B2">
        <w:rPr>
          <w:rFonts w:ascii="Times New Roman" w:hAnsi="Times New Roman" w:cs="Times New Roman"/>
          <w:lang w:bidi="lt-LT"/>
        </w:rPr>
        <w:t> </w:t>
      </w:r>
      <w:r w:rsidRPr="004804D2">
        <w:rPr>
          <w:rFonts w:ascii="Times New Roman" w:hAnsi="Times New Roman" w:cs="Times New Roman"/>
          <w:lang w:bidi="lt-LT"/>
        </w:rPr>
        <w:t>% arba daugiau.</w:t>
      </w:r>
    </w:p>
    <w:p w14:paraId="6654665A" w14:textId="4EE76D86"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1F619DED" w14:textId="1451336E"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Po stebėjimo laikotarpio, kurio mediana buvo 2,2</w:t>
      </w:r>
      <w:r w:rsidR="00A904B2">
        <w:rPr>
          <w:rFonts w:ascii="Times New Roman" w:hAnsi="Times New Roman" w:cs="Times New Roman"/>
          <w:lang w:bidi="lt-LT"/>
        </w:rPr>
        <w:t> </w:t>
      </w:r>
      <w:r w:rsidRPr="004804D2">
        <w:rPr>
          <w:rFonts w:ascii="Times New Roman" w:hAnsi="Times New Roman" w:cs="Times New Roman"/>
          <w:lang w:bidi="lt-LT"/>
        </w:rPr>
        <w:t>metų, linagliptinas, jo skiriant kartu su įprastu gydymu, didžiųjų nepageidaujamų širdies ir kraujagyslių reiškinių arba su inkstais susijusių išeičių rizikos nedidino. Lyginant su įprastu 2 tipo cukrinio diabeto gydymu be linagliptino, hospitalizacijos dėl širdies nepakankamumo rizikos, kuri buvo papildoma vertinamoji baigtis, padidėjimo nestebėta (žr. 2</w:t>
      </w:r>
      <w:r w:rsidR="00A904B2">
        <w:rPr>
          <w:rFonts w:ascii="Times New Roman" w:hAnsi="Times New Roman" w:cs="Times New Roman"/>
          <w:lang w:bidi="lt-LT"/>
        </w:rPr>
        <w:t> </w:t>
      </w:r>
      <w:r w:rsidRPr="004804D2">
        <w:rPr>
          <w:rFonts w:ascii="Times New Roman" w:hAnsi="Times New Roman" w:cs="Times New Roman"/>
          <w:lang w:bidi="lt-LT"/>
        </w:rPr>
        <w:t>lentelę).</w:t>
      </w:r>
    </w:p>
    <w:p w14:paraId="2FD2CE41" w14:textId="2ABBEAD1" w:rsidR="00D46A9C" w:rsidRPr="004804D2" w:rsidRDefault="00D46A9C" w:rsidP="00E95834">
      <w:pPr>
        <w:suppressAutoHyphens/>
        <w:autoSpaceDN w:val="0"/>
        <w:spacing w:after="0" w:line="240" w:lineRule="auto"/>
        <w:rPr>
          <w:rFonts w:ascii="Times New Roman" w:eastAsia="Calibri" w:hAnsi="Times New Roman" w:cs="Times New Roman"/>
        </w:rPr>
      </w:pPr>
    </w:p>
    <w:p w14:paraId="062C2A52" w14:textId="0A2ED1A4"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2</w:t>
      </w:r>
      <w:r w:rsidR="00A904B2">
        <w:rPr>
          <w:rFonts w:ascii="Times New Roman" w:hAnsi="Times New Roman" w:cs="Times New Roman"/>
          <w:lang w:bidi="lt-LT"/>
        </w:rPr>
        <w:t> </w:t>
      </w:r>
      <w:r w:rsidRPr="004804D2">
        <w:rPr>
          <w:rFonts w:ascii="Times New Roman" w:hAnsi="Times New Roman" w:cs="Times New Roman"/>
          <w:lang w:bidi="lt-LT"/>
        </w:rPr>
        <w:t>lentelė. Su širdimi ir kraujagyslėmis bei inkstais susijusios išeitys pagal gydymo grupę CARMELINA tyrimo metu</w:t>
      </w:r>
    </w:p>
    <w:p w14:paraId="28C88A31" w14:textId="057CDBD2" w:rsidR="00D46A9C" w:rsidRPr="004804D2" w:rsidRDefault="00D46A9C" w:rsidP="00D46A9C">
      <w:pPr>
        <w:suppressAutoHyphens/>
        <w:autoSpaceDN w:val="0"/>
        <w:spacing w:after="0" w:line="240" w:lineRule="auto"/>
        <w:jc w:val="both"/>
        <w:rPr>
          <w:rFonts w:ascii="Times New Roman" w:eastAsia="Calibri" w:hAnsi="Times New Roman" w:cs="Times New Roman"/>
        </w:rPr>
      </w:pPr>
    </w:p>
    <w:tbl>
      <w:tblPr>
        <w:tblStyle w:val="Lentelstinklelis"/>
        <w:tblW w:w="5000" w:type="pct"/>
        <w:jc w:val="center"/>
        <w:tblLook w:val="04A0" w:firstRow="1" w:lastRow="0" w:firstColumn="1" w:lastColumn="0" w:noHBand="0" w:noVBand="1"/>
      </w:tblPr>
      <w:tblGrid>
        <w:gridCol w:w="1805"/>
        <w:gridCol w:w="1451"/>
        <w:gridCol w:w="1451"/>
        <w:gridCol w:w="1451"/>
        <w:gridCol w:w="1451"/>
        <w:gridCol w:w="1451"/>
      </w:tblGrid>
      <w:tr w:rsidR="00812F38" w:rsidRPr="004804D2" w14:paraId="5F80B050" w14:textId="77777777" w:rsidTr="00FF4C0D">
        <w:trPr>
          <w:jc w:val="center"/>
        </w:trPr>
        <w:tc>
          <w:tcPr>
            <w:tcW w:w="1382" w:type="dxa"/>
            <w:vMerge w:val="restart"/>
            <w:vAlign w:val="center"/>
          </w:tcPr>
          <w:p w14:paraId="241DFD56" w14:textId="77777777" w:rsidR="00812F38" w:rsidRPr="004804D2" w:rsidRDefault="00812F38" w:rsidP="00FF4C0D">
            <w:pPr>
              <w:suppressAutoHyphens/>
              <w:autoSpaceDN w:val="0"/>
              <w:rPr>
                <w:rFonts w:ascii="Times New Roman" w:eastAsia="Calibri" w:hAnsi="Times New Roman" w:cs="Times New Roman"/>
              </w:rPr>
            </w:pPr>
          </w:p>
        </w:tc>
        <w:tc>
          <w:tcPr>
            <w:tcW w:w="2765" w:type="dxa"/>
            <w:gridSpan w:val="2"/>
            <w:vAlign w:val="center"/>
          </w:tcPr>
          <w:p w14:paraId="02B06026" w14:textId="412D296A" w:rsidR="00812F38" w:rsidRPr="004804D2" w:rsidRDefault="00812F38" w:rsidP="00FF4C0D">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Linagliptinas 5</w:t>
            </w:r>
            <w:r w:rsidR="00A904B2">
              <w:rPr>
                <w:rFonts w:ascii="Times New Roman" w:hAnsi="Times New Roman" w:cs="Times New Roman"/>
                <w:b/>
                <w:lang w:bidi="lt-LT"/>
              </w:rPr>
              <w:t> </w:t>
            </w:r>
            <w:r w:rsidRPr="004804D2">
              <w:rPr>
                <w:rFonts w:ascii="Times New Roman" w:hAnsi="Times New Roman" w:cs="Times New Roman"/>
                <w:b/>
                <w:lang w:bidi="lt-LT"/>
              </w:rPr>
              <w:t>mg</w:t>
            </w:r>
          </w:p>
        </w:tc>
        <w:tc>
          <w:tcPr>
            <w:tcW w:w="2766" w:type="dxa"/>
            <w:gridSpan w:val="2"/>
            <w:vAlign w:val="center"/>
          </w:tcPr>
          <w:p w14:paraId="1E5955C2" w14:textId="668A5DFB" w:rsidR="00812F38" w:rsidRPr="004804D2" w:rsidRDefault="00812F38" w:rsidP="00FF4C0D">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Placebas</w:t>
            </w:r>
          </w:p>
        </w:tc>
        <w:tc>
          <w:tcPr>
            <w:tcW w:w="1383" w:type="dxa"/>
            <w:vAlign w:val="center"/>
          </w:tcPr>
          <w:p w14:paraId="643BA6F3" w14:textId="2D6DFB3F" w:rsidR="00812F38" w:rsidRPr="004804D2" w:rsidRDefault="00812F38" w:rsidP="00FF4C0D">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Rizikos santykis</w:t>
            </w:r>
          </w:p>
        </w:tc>
      </w:tr>
      <w:tr w:rsidR="00812F38" w:rsidRPr="004804D2" w14:paraId="668CF414" w14:textId="77777777" w:rsidTr="00FF4C0D">
        <w:trPr>
          <w:jc w:val="center"/>
        </w:trPr>
        <w:tc>
          <w:tcPr>
            <w:tcW w:w="1382" w:type="dxa"/>
            <w:vMerge/>
            <w:vAlign w:val="center"/>
          </w:tcPr>
          <w:p w14:paraId="66F8C673" w14:textId="77777777" w:rsidR="00812F38" w:rsidRPr="004804D2" w:rsidRDefault="00812F38" w:rsidP="00FF4C0D">
            <w:pPr>
              <w:suppressAutoHyphens/>
              <w:autoSpaceDN w:val="0"/>
              <w:rPr>
                <w:rFonts w:ascii="Times New Roman" w:eastAsia="Calibri" w:hAnsi="Times New Roman" w:cs="Times New Roman"/>
                <w:lang w:val="en-US"/>
              </w:rPr>
            </w:pPr>
          </w:p>
        </w:tc>
        <w:tc>
          <w:tcPr>
            <w:tcW w:w="1382" w:type="dxa"/>
            <w:vAlign w:val="center"/>
          </w:tcPr>
          <w:p w14:paraId="70E21E5D" w14:textId="070B8D05" w:rsidR="00812F38" w:rsidRPr="004804D2" w:rsidRDefault="00812F38"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Tiriamųjų skaičius (%)</w:t>
            </w:r>
          </w:p>
        </w:tc>
        <w:tc>
          <w:tcPr>
            <w:tcW w:w="1383" w:type="dxa"/>
            <w:vAlign w:val="center"/>
          </w:tcPr>
          <w:p w14:paraId="2DB3C7E7" w14:textId="0322A764" w:rsidR="00812F38" w:rsidRPr="004804D2" w:rsidRDefault="00812F38"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Įvykių dažnis  per 1</w:t>
            </w:r>
            <w:r w:rsidR="00A904B2">
              <w:rPr>
                <w:rFonts w:ascii="Times New Roman" w:hAnsi="Times New Roman" w:cs="Times New Roman"/>
                <w:lang w:bidi="lt-LT"/>
              </w:rPr>
              <w:t> </w:t>
            </w:r>
            <w:r w:rsidRPr="004804D2">
              <w:rPr>
                <w:rFonts w:ascii="Times New Roman" w:hAnsi="Times New Roman" w:cs="Times New Roman"/>
                <w:lang w:bidi="lt-LT"/>
              </w:rPr>
              <w:t>000 PM*</w:t>
            </w:r>
          </w:p>
        </w:tc>
        <w:tc>
          <w:tcPr>
            <w:tcW w:w="1383" w:type="dxa"/>
            <w:vAlign w:val="center"/>
          </w:tcPr>
          <w:p w14:paraId="6508B4F8" w14:textId="0015E67E" w:rsidR="00812F38" w:rsidRPr="004804D2" w:rsidRDefault="00812F38"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Tiriamųjų skaičius (%)</w:t>
            </w:r>
          </w:p>
        </w:tc>
        <w:tc>
          <w:tcPr>
            <w:tcW w:w="1383" w:type="dxa"/>
            <w:vAlign w:val="center"/>
          </w:tcPr>
          <w:p w14:paraId="1A1375F2" w14:textId="637C5A6D" w:rsidR="00812F38" w:rsidRPr="004804D2" w:rsidRDefault="00812F38"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Įvykių dažnis  per 1</w:t>
            </w:r>
            <w:r w:rsidR="00A904B2">
              <w:rPr>
                <w:rFonts w:ascii="Times New Roman" w:hAnsi="Times New Roman" w:cs="Times New Roman"/>
                <w:lang w:bidi="lt-LT"/>
              </w:rPr>
              <w:t> </w:t>
            </w:r>
            <w:r w:rsidRPr="004804D2">
              <w:rPr>
                <w:rFonts w:ascii="Times New Roman" w:hAnsi="Times New Roman" w:cs="Times New Roman"/>
                <w:lang w:bidi="lt-LT"/>
              </w:rPr>
              <w:t>000 PM*</w:t>
            </w:r>
          </w:p>
        </w:tc>
        <w:tc>
          <w:tcPr>
            <w:tcW w:w="1383" w:type="dxa"/>
            <w:vAlign w:val="center"/>
          </w:tcPr>
          <w:p w14:paraId="77A0954F" w14:textId="5F037469" w:rsidR="00812F38" w:rsidRPr="004804D2" w:rsidRDefault="00812F38"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(95% CI)</w:t>
            </w:r>
          </w:p>
        </w:tc>
      </w:tr>
      <w:tr w:rsidR="00812F38" w:rsidRPr="004804D2" w14:paraId="33F4135F" w14:textId="77777777" w:rsidTr="00FF4C0D">
        <w:trPr>
          <w:jc w:val="center"/>
        </w:trPr>
        <w:tc>
          <w:tcPr>
            <w:tcW w:w="1382" w:type="dxa"/>
            <w:vAlign w:val="center"/>
          </w:tcPr>
          <w:p w14:paraId="487C912F" w14:textId="6718130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Pacientų skaičius</w:t>
            </w:r>
          </w:p>
        </w:tc>
        <w:tc>
          <w:tcPr>
            <w:tcW w:w="1382" w:type="dxa"/>
            <w:vAlign w:val="center"/>
          </w:tcPr>
          <w:p w14:paraId="6DDAA3D2" w14:textId="34A60328"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w:t>
            </w:r>
            <w:r w:rsidR="00A904B2">
              <w:rPr>
                <w:rFonts w:ascii="Times New Roman" w:hAnsi="Times New Roman" w:cs="Times New Roman"/>
                <w:lang w:bidi="lt-LT"/>
              </w:rPr>
              <w:t> </w:t>
            </w:r>
            <w:r w:rsidRPr="004804D2">
              <w:rPr>
                <w:rFonts w:ascii="Times New Roman" w:hAnsi="Times New Roman" w:cs="Times New Roman"/>
                <w:lang w:bidi="lt-LT"/>
              </w:rPr>
              <w:t>494</w:t>
            </w:r>
          </w:p>
        </w:tc>
        <w:tc>
          <w:tcPr>
            <w:tcW w:w="1383" w:type="dxa"/>
            <w:vAlign w:val="center"/>
          </w:tcPr>
          <w:p w14:paraId="77CB90C5" w14:textId="77777777" w:rsidR="00812F38" w:rsidRPr="004804D2" w:rsidRDefault="00812F38" w:rsidP="00FF4C0D">
            <w:pPr>
              <w:suppressAutoHyphens/>
              <w:autoSpaceDN w:val="0"/>
              <w:rPr>
                <w:rFonts w:ascii="Times New Roman" w:eastAsia="Calibri" w:hAnsi="Times New Roman" w:cs="Times New Roman"/>
                <w:lang w:val="en-US"/>
              </w:rPr>
            </w:pPr>
          </w:p>
        </w:tc>
        <w:tc>
          <w:tcPr>
            <w:tcW w:w="1383" w:type="dxa"/>
            <w:vAlign w:val="center"/>
          </w:tcPr>
          <w:p w14:paraId="577DBB8B" w14:textId="5FD3F42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w:t>
            </w:r>
            <w:r w:rsidR="00A904B2">
              <w:rPr>
                <w:rFonts w:ascii="Times New Roman" w:hAnsi="Times New Roman" w:cs="Times New Roman"/>
                <w:lang w:bidi="lt-LT"/>
              </w:rPr>
              <w:t> </w:t>
            </w:r>
            <w:r w:rsidRPr="004804D2">
              <w:rPr>
                <w:rFonts w:ascii="Times New Roman" w:hAnsi="Times New Roman" w:cs="Times New Roman"/>
                <w:lang w:bidi="lt-LT"/>
              </w:rPr>
              <w:t>485</w:t>
            </w:r>
          </w:p>
        </w:tc>
        <w:tc>
          <w:tcPr>
            <w:tcW w:w="1383" w:type="dxa"/>
            <w:vAlign w:val="center"/>
          </w:tcPr>
          <w:p w14:paraId="0D90A595" w14:textId="77777777" w:rsidR="00812F38" w:rsidRPr="004804D2" w:rsidRDefault="00812F38" w:rsidP="00FF4C0D">
            <w:pPr>
              <w:suppressAutoHyphens/>
              <w:autoSpaceDN w:val="0"/>
              <w:rPr>
                <w:rFonts w:ascii="Times New Roman" w:eastAsia="Calibri" w:hAnsi="Times New Roman" w:cs="Times New Roman"/>
                <w:lang w:val="en-US"/>
              </w:rPr>
            </w:pPr>
          </w:p>
        </w:tc>
        <w:tc>
          <w:tcPr>
            <w:tcW w:w="1383" w:type="dxa"/>
            <w:vAlign w:val="center"/>
          </w:tcPr>
          <w:p w14:paraId="012CEFB1" w14:textId="77777777" w:rsidR="00812F38" w:rsidRPr="004804D2" w:rsidRDefault="00812F38" w:rsidP="00FF4C0D">
            <w:pPr>
              <w:suppressAutoHyphens/>
              <w:autoSpaceDN w:val="0"/>
              <w:rPr>
                <w:rFonts w:ascii="Times New Roman" w:eastAsia="Calibri" w:hAnsi="Times New Roman" w:cs="Times New Roman"/>
                <w:lang w:val="en-US"/>
              </w:rPr>
            </w:pPr>
          </w:p>
        </w:tc>
      </w:tr>
      <w:tr w:rsidR="00812F38" w:rsidRPr="004804D2" w14:paraId="696B9DC9" w14:textId="77777777" w:rsidTr="00FF4C0D">
        <w:trPr>
          <w:jc w:val="center"/>
        </w:trPr>
        <w:tc>
          <w:tcPr>
            <w:tcW w:w="1382" w:type="dxa"/>
            <w:vAlign w:val="center"/>
          </w:tcPr>
          <w:p w14:paraId="3597F496" w14:textId="2B21ADE7" w:rsidR="00812F38" w:rsidRPr="004804D2" w:rsidRDefault="00FF4C0D" w:rsidP="00FF4C0D">
            <w:pPr>
              <w:suppressAutoHyphens/>
              <w:autoSpaceDN w:val="0"/>
              <w:rPr>
                <w:rFonts w:ascii="Times New Roman" w:eastAsia="Calibri" w:hAnsi="Times New Roman" w:cs="Times New Roman"/>
              </w:rPr>
            </w:pPr>
            <w:r w:rsidRPr="004804D2">
              <w:rPr>
                <w:rFonts w:ascii="Times New Roman" w:hAnsi="Times New Roman" w:cs="Times New Roman"/>
                <w:lang w:bidi="lt-LT"/>
              </w:rPr>
              <w:t>Pagrindinė ŠKL sudėtinė vertinamoji baigtis (mirtis dėl priežasčių, susijusių su širdies ir kraujagyslių ligomis, nemirtinas MI, nemirtinas insultas)</w:t>
            </w:r>
          </w:p>
        </w:tc>
        <w:tc>
          <w:tcPr>
            <w:tcW w:w="1382" w:type="dxa"/>
            <w:vAlign w:val="center"/>
          </w:tcPr>
          <w:p w14:paraId="218EF201" w14:textId="7C9AA11E"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434 (12</w:t>
            </w:r>
            <w:r w:rsidR="00A904B2">
              <w:rPr>
                <w:rFonts w:ascii="Times New Roman" w:hAnsi="Times New Roman" w:cs="Times New Roman"/>
                <w:lang w:bidi="lt-LT"/>
              </w:rPr>
              <w:t>,</w:t>
            </w:r>
            <w:r w:rsidRPr="004804D2">
              <w:rPr>
                <w:rFonts w:ascii="Times New Roman" w:hAnsi="Times New Roman" w:cs="Times New Roman"/>
                <w:lang w:bidi="lt-LT"/>
              </w:rPr>
              <w:t>4)</w:t>
            </w:r>
          </w:p>
        </w:tc>
        <w:tc>
          <w:tcPr>
            <w:tcW w:w="1383" w:type="dxa"/>
            <w:vAlign w:val="center"/>
          </w:tcPr>
          <w:p w14:paraId="03E6C185" w14:textId="53240564"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57</w:t>
            </w:r>
            <w:r w:rsidR="00A904B2">
              <w:rPr>
                <w:rFonts w:ascii="Times New Roman" w:hAnsi="Times New Roman" w:cs="Times New Roman"/>
                <w:lang w:bidi="lt-LT"/>
              </w:rPr>
              <w:t>,</w:t>
            </w:r>
            <w:r w:rsidRPr="004804D2">
              <w:rPr>
                <w:rFonts w:ascii="Times New Roman" w:hAnsi="Times New Roman" w:cs="Times New Roman"/>
                <w:lang w:bidi="lt-LT"/>
              </w:rPr>
              <w:t>7</w:t>
            </w:r>
          </w:p>
        </w:tc>
        <w:tc>
          <w:tcPr>
            <w:tcW w:w="1383" w:type="dxa"/>
            <w:vAlign w:val="center"/>
          </w:tcPr>
          <w:p w14:paraId="469AC4C9" w14:textId="27EFB328"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420 (12</w:t>
            </w:r>
            <w:r w:rsidR="00A904B2">
              <w:rPr>
                <w:rFonts w:ascii="Times New Roman" w:hAnsi="Times New Roman" w:cs="Times New Roman"/>
                <w:lang w:bidi="lt-LT"/>
              </w:rPr>
              <w:t>,</w:t>
            </w:r>
            <w:r w:rsidRPr="004804D2">
              <w:rPr>
                <w:rFonts w:ascii="Times New Roman" w:hAnsi="Times New Roman" w:cs="Times New Roman"/>
                <w:lang w:bidi="lt-LT"/>
              </w:rPr>
              <w:t>1)</w:t>
            </w:r>
          </w:p>
        </w:tc>
        <w:tc>
          <w:tcPr>
            <w:tcW w:w="1383" w:type="dxa"/>
            <w:vAlign w:val="center"/>
          </w:tcPr>
          <w:p w14:paraId="3A7C3913" w14:textId="31B8D99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56</w:t>
            </w:r>
            <w:r w:rsidR="00A904B2">
              <w:rPr>
                <w:rFonts w:ascii="Times New Roman" w:hAnsi="Times New Roman" w:cs="Times New Roman"/>
                <w:lang w:bidi="lt-LT"/>
              </w:rPr>
              <w:t>,</w:t>
            </w:r>
            <w:r w:rsidRPr="004804D2">
              <w:rPr>
                <w:rFonts w:ascii="Times New Roman" w:hAnsi="Times New Roman" w:cs="Times New Roman"/>
                <w:lang w:bidi="lt-LT"/>
              </w:rPr>
              <w:t>3</w:t>
            </w:r>
          </w:p>
        </w:tc>
        <w:tc>
          <w:tcPr>
            <w:tcW w:w="1383" w:type="dxa"/>
            <w:vAlign w:val="center"/>
          </w:tcPr>
          <w:p w14:paraId="4FBA6F4A" w14:textId="349837E2" w:rsidR="00FF4C0D"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02 (0</w:t>
            </w:r>
            <w:r w:rsidR="00A904B2">
              <w:rPr>
                <w:rFonts w:ascii="Times New Roman" w:hAnsi="Times New Roman" w:cs="Times New Roman"/>
                <w:lang w:bidi="lt-LT"/>
              </w:rPr>
              <w:t>,</w:t>
            </w:r>
            <w:r w:rsidRPr="004804D2">
              <w:rPr>
                <w:rFonts w:ascii="Times New Roman" w:hAnsi="Times New Roman" w:cs="Times New Roman"/>
                <w:lang w:bidi="lt-LT"/>
              </w:rPr>
              <w:t>89,</w:t>
            </w:r>
          </w:p>
          <w:p w14:paraId="4AA65083" w14:textId="4EA4B0D8"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17)**</w:t>
            </w:r>
          </w:p>
        </w:tc>
      </w:tr>
      <w:tr w:rsidR="00812F38" w:rsidRPr="004804D2" w14:paraId="5ACA0DBD" w14:textId="77777777" w:rsidTr="00FF4C0D">
        <w:trPr>
          <w:jc w:val="center"/>
        </w:trPr>
        <w:tc>
          <w:tcPr>
            <w:tcW w:w="1382" w:type="dxa"/>
            <w:vAlign w:val="center"/>
          </w:tcPr>
          <w:p w14:paraId="60910CF2" w14:textId="779198F4" w:rsidR="00812F38" w:rsidRPr="004804D2" w:rsidRDefault="00FF4C0D" w:rsidP="00FF4C0D">
            <w:pPr>
              <w:suppressAutoHyphens/>
              <w:autoSpaceDN w:val="0"/>
              <w:rPr>
                <w:rFonts w:ascii="Times New Roman" w:eastAsia="Calibri" w:hAnsi="Times New Roman" w:cs="Times New Roman"/>
              </w:rPr>
            </w:pPr>
            <w:r w:rsidRPr="004804D2">
              <w:rPr>
                <w:rFonts w:ascii="Times New Roman" w:hAnsi="Times New Roman" w:cs="Times New Roman"/>
                <w:lang w:bidi="lt-LT"/>
              </w:rPr>
              <w:t>Antrinė inkstų sudėtinė vertinamoji baigtis (su inkstais susijusi mirtis, GSLIL, ilgalaikis 40 % aGFG sumažėjimas)</w:t>
            </w:r>
          </w:p>
        </w:tc>
        <w:tc>
          <w:tcPr>
            <w:tcW w:w="1382" w:type="dxa"/>
            <w:vAlign w:val="center"/>
          </w:tcPr>
          <w:p w14:paraId="37AA9374" w14:textId="1F211CD9"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327 (9</w:t>
            </w:r>
            <w:r w:rsidR="00A904B2">
              <w:rPr>
                <w:rFonts w:ascii="Times New Roman" w:hAnsi="Times New Roman" w:cs="Times New Roman"/>
                <w:lang w:bidi="lt-LT"/>
              </w:rPr>
              <w:t>,</w:t>
            </w:r>
            <w:r w:rsidRPr="004804D2">
              <w:rPr>
                <w:rFonts w:ascii="Times New Roman" w:hAnsi="Times New Roman" w:cs="Times New Roman"/>
                <w:lang w:bidi="lt-LT"/>
              </w:rPr>
              <w:t>4)</w:t>
            </w:r>
          </w:p>
        </w:tc>
        <w:tc>
          <w:tcPr>
            <w:tcW w:w="1383" w:type="dxa"/>
            <w:vAlign w:val="center"/>
          </w:tcPr>
          <w:p w14:paraId="25E7A66E" w14:textId="545C6428"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48</w:t>
            </w:r>
            <w:r w:rsidR="00A904B2">
              <w:rPr>
                <w:rFonts w:ascii="Times New Roman" w:hAnsi="Times New Roman" w:cs="Times New Roman"/>
                <w:lang w:bidi="lt-LT"/>
              </w:rPr>
              <w:t>,</w:t>
            </w:r>
            <w:r w:rsidRPr="004804D2">
              <w:rPr>
                <w:rFonts w:ascii="Times New Roman" w:hAnsi="Times New Roman" w:cs="Times New Roman"/>
                <w:lang w:bidi="lt-LT"/>
              </w:rPr>
              <w:t>9</w:t>
            </w:r>
          </w:p>
        </w:tc>
        <w:tc>
          <w:tcPr>
            <w:tcW w:w="1383" w:type="dxa"/>
            <w:vAlign w:val="center"/>
          </w:tcPr>
          <w:p w14:paraId="42E882E8" w14:textId="777B3CA0"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306 (8</w:t>
            </w:r>
            <w:r w:rsidR="00A904B2">
              <w:rPr>
                <w:rFonts w:ascii="Times New Roman" w:hAnsi="Times New Roman" w:cs="Times New Roman"/>
                <w:lang w:bidi="lt-LT"/>
              </w:rPr>
              <w:t>,</w:t>
            </w:r>
            <w:r w:rsidRPr="004804D2">
              <w:rPr>
                <w:rFonts w:ascii="Times New Roman" w:hAnsi="Times New Roman" w:cs="Times New Roman"/>
                <w:lang w:bidi="lt-LT"/>
              </w:rPr>
              <w:t>8)</w:t>
            </w:r>
          </w:p>
        </w:tc>
        <w:tc>
          <w:tcPr>
            <w:tcW w:w="1383" w:type="dxa"/>
            <w:vAlign w:val="center"/>
          </w:tcPr>
          <w:p w14:paraId="6CF2D9EB" w14:textId="4DD1CE1F"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46</w:t>
            </w:r>
            <w:r w:rsidR="00A904B2">
              <w:rPr>
                <w:rFonts w:ascii="Times New Roman" w:hAnsi="Times New Roman" w:cs="Times New Roman"/>
                <w:lang w:bidi="lt-LT"/>
              </w:rPr>
              <w:t>,</w:t>
            </w:r>
            <w:r w:rsidRPr="004804D2">
              <w:rPr>
                <w:rFonts w:ascii="Times New Roman" w:hAnsi="Times New Roman" w:cs="Times New Roman"/>
                <w:lang w:bidi="lt-LT"/>
              </w:rPr>
              <w:t>6</w:t>
            </w:r>
          </w:p>
        </w:tc>
        <w:tc>
          <w:tcPr>
            <w:tcW w:w="1383" w:type="dxa"/>
            <w:vAlign w:val="center"/>
          </w:tcPr>
          <w:p w14:paraId="4EDFF9AC" w14:textId="383F2D54" w:rsidR="00FF4C0D"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04 (0</w:t>
            </w:r>
            <w:r w:rsidR="00A904B2">
              <w:rPr>
                <w:rFonts w:ascii="Times New Roman" w:hAnsi="Times New Roman" w:cs="Times New Roman"/>
                <w:lang w:bidi="lt-LT"/>
              </w:rPr>
              <w:t>,</w:t>
            </w:r>
            <w:r w:rsidRPr="004804D2">
              <w:rPr>
                <w:rFonts w:ascii="Times New Roman" w:hAnsi="Times New Roman" w:cs="Times New Roman"/>
                <w:lang w:bidi="lt-LT"/>
              </w:rPr>
              <w:t>89,</w:t>
            </w:r>
          </w:p>
          <w:p w14:paraId="3B9EEBD5" w14:textId="6ABABA38"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22)</w:t>
            </w:r>
          </w:p>
        </w:tc>
      </w:tr>
      <w:tr w:rsidR="00812F38" w:rsidRPr="004804D2" w14:paraId="4B53C911" w14:textId="77777777" w:rsidTr="00FF4C0D">
        <w:trPr>
          <w:jc w:val="center"/>
        </w:trPr>
        <w:tc>
          <w:tcPr>
            <w:tcW w:w="1382" w:type="dxa"/>
            <w:vAlign w:val="center"/>
          </w:tcPr>
          <w:p w14:paraId="147DF0D1" w14:textId="24A0A580" w:rsidR="00812F38" w:rsidRPr="00E1529B" w:rsidRDefault="00FF4C0D" w:rsidP="00FF4C0D">
            <w:pPr>
              <w:suppressAutoHyphens/>
              <w:autoSpaceDN w:val="0"/>
              <w:rPr>
                <w:rFonts w:ascii="Times New Roman" w:eastAsia="Calibri" w:hAnsi="Times New Roman" w:cs="Times New Roman"/>
                <w:lang w:val="pt-PT"/>
              </w:rPr>
            </w:pPr>
            <w:r w:rsidRPr="004804D2">
              <w:rPr>
                <w:rFonts w:ascii="Times New Roman" w:hAnsi="Times New Roman" w:cs="Times New Roman"/>
                <w:lang w:bidi="lt-LT"/>
              </w:rPr>
              <w:lastRenderedPageBreak/>
              <w:t>Mirštamumas dėl bet kurios priežasties</w:t>
            </w:r>
          </w:p>
        </w:tc>
        <w:tc>
          <w:tcPr>
            <w:tcW w:w="1382" w:type="dxa"/>
            <w:vAlign w:val="center"/>
          </w:tcPr>
          <w:p w14:paraId="3E8C3DA5" w14:textId="1886D3DB"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367 (10</w:t>
            </w:r>
            <w:r w:rsidR="00A904B2">
              <w:rPr>
                <w:rFonts w:ascii="Times New Roman" w:hAnsi="Times New Roman" w:cs="Times New Roman"/>
                <w:lang w:bidi="lt-LT"/>
              </w:rPr>
              <w:t>,</w:t>
            </w:r>
            <w:r w:rsidRPr="004804D2">
              <w:rPr>
                <w:rFonts w:ascii="Times New Roman" w:hAnsi="Times New Roman" w:cs="Times New Roman"/>
                <w:lang w:bidi="lt-LT"/>
              </w:rPr>
              <w:t>5)</w:t>
            </w:r>
          </w:p>
        </w:tc>
        <w:tc>
          <w:tcPr>
            <w:tcW w:w="1383" w:type="dxa"/>
            <w:vAlign w:val="center"/>
          </w:tcPr>
          <w:p w14:paraId="2525B3DE" w14:textId="077A466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46</w:t>
            </w:r>
            <w:r w:rsidR="00A904B2">
              <w:rPr>
                <w:rFonts w:ascii="Times New Roman" w:hAnsi="Times New Roman" w:cs="Times New Roman"/>
                <w:lang w:bidi="lt-LT"/>
              </w:rPr>
              <w:t>,</w:t>
            </w:r>
            <w:r w:rsidRPr="004804D2">
              <w:rPr>
                <w:rFonts w:ascii="Times New Roman" w:hAnsi="Times New Roman" w:cs="Times New Roman"/>
                <w:lang w:bidi="lt-LT"/>
              </w:rPr>
              <w:t>9</w:t>
            </w:r>
          </w:p>
        </w:tc>
        <w:tc>
          <w:tcPr>
            <w:tcW w:w="1383" w:type="dxa"/>
            <w:vAlign w:val="center"/>
          </w:tcPr>
          <w:p w14:paraId="327205B8" w14:textId="78EBF96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373 (10</w:t>
            </w:r>
            <w:r w:rsidR="00A904B2">
              <w:rPr>
                <w:rFonts w:ascii="Times New Roman" w:hAnsi="Times New Roman" w:cs="Times New Roman"/>
                <w:lang w:bidi="lt-LT"/>
              </w:rPr>
              <w:t>,</w:t>
            </w:r>
            <w:r w:rsidRPr="004804D2">
              <w:rPr>
                <w:rFonts w:ascii="Times New Roman" w:hAnsi="Times New Roman" w:cs="Times New Roman"/>
                <w:lang w:bidi="lt-LT"/>
              </w:rPr>
              <w:t>7)</w:t>
            </w:r>
          </w:p>
        </w:tc>
        <w:tc>
          <w:tcPr>
            <w:tcW w:w="1383" w:type="dxa"/>
            <w:vAlign w:val="center"/>
          </w:tcPr>
          <w:p w14:paraId="5B5234EA" w14:textId="0FCC5E75"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48</w:t>
            </w:r>
            <w:r w:rsidR="00A904B2">
              <w:rPr>
                <w:rFonts w:ascii="Times New Roman" w:hAnsi="Times New Roman" w:cs="Times New Roman"/>
                <w:lang w:bidi="lt-LT"/>
              </w:rPr>
              <w:t>,</w:t>
            </w:r>
            <w:r w:rsidRPr="004804D2">
              <w:rPr>
                <w:rFonts w:ascii="Times New Roman" w:hAnsi="Times New Roman" w:cs="Times New Roman"/>
                <w:lang w:bidi="lt-LT"/>
              </w:rPr>
              <w:t>0</w:t>
            </w:r>
          </w:p>
        </w:tc>
        <w:tc>
          <w:tcPr>
            <w:tcW w:w="1383" w:type="dxa"/>
            <w:vAlign w:val="center"/>
          </w:tcPr>
          <w:p w14:paraId="28F861E7" w14:textId="5D94E2CD" w:rsidR="00FF4C0D"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0</w:t>
            </w:r>
            <w:r w:rsidR="00A904B2">
              <w:rPr>
                <w:rFonts w:ascii="Times New Roman" w:hAnsi="Times New Roman" w:cs="Times New Roman"/>
                <w:lang w:bidi="lt-LT"/>
              </w:rPr>
              <w:t>,</w:t>
            </w:r>
            <w:r w:rsidRPr="004804D2">
              <w:rPr>
                <w:rFonts w:ascii="Times New Roman" w:hAnsi="Times New Roman" w:cs="Times New Roman"/>
                <w:lang w:bidi="lt-LT"/>
              </w:rPr>
              <w:t>98 (0</w:t>
            </w:r>
            <w:r w:rsidR="00A904B2">
              <w:rPr>
                <w:rFonts w:ascii="Times New Roman" w:hAnsi="Times New Roman" w:cs="Times New Roman"/>
                <w:lang w:bidi="lt-LT"/>
              </w:rPr>
              <w:t>,</w:t>
            </w:r>
            <w:r w:rsidRPr="004804D2">
              <w:rPr>
                <w:rFonts w:ascii="Times New Roman" w:hAnsi="Times New Roman" w:cs="Times New Roman"/>
                <w:lang w:bidi="lt-LT"/>
              </w:rPr>
              <w:t>84,</w:t>
            </w:r>
          </w:p>
          <w:p w14:paraId="7BC4E360" w14:textId="33CDBE4C"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13)</w:t>
            </w:r>
          </w:p>
        </w:tc>
      </w:tr>
      <w:tr w:rsidR="00812F38" w:rsidRPr="004804D2" w14:paraId="1736E781" w14:textId="77777777" w:rsidTr="00FF4C0D">
        <w:trPr>
          <w:jc w:val="center"/>
        </w:trPr>
        <w:tc>
          <w:tcPr>
            <w:tcW w:w="1382" w:type="dxa"/>
            <w:vAlign w:val="center"/>
          </w:tcPr>
          <w:p w14:paraId="6855804B" w14:textId="218F9D01" w:rsidR="00812F38" w:rsidRPr="004804D2" w:rsidRDefault="00FF4C0D" w:rsidP="00FF4C0D">
            <w:pPr>
              <w:suppressAutoHyphens/>
              <w:autoSpaceDN w:val="0"/>
              <w:rPr>
                <w:rFonts w:ascii="Times New Roman" w:eastAsia="Calibri" w:hAnsi="Times New Roman" w:cs="Times New Roman"/>
              </w:rPr>
            </w:pPr>
            <w:r w:rsidRPr="004804D2">
              <w:rPr>
                <w:rFonts w:ascii="Times New Roman" w:hAnsi="Times New Roman" w:cs="Times New Roman"/>
                <w:lang w:bidi="lt-LT"/>
              </w:rPr>
              <w:t>Mirtis dėl priežasčių, susijusių su širdies ir kraujagyslių ligomis</w:t>
            </w:r>
          </w:p>
        </w:tc>
        <w:tc>
          <w:tcPr>
            <w:tcW w:w="1382" w:type="dxa"/>
            <w:vAlign w:val="center"/>
          </w:tcPr>
          <w:p w14:paraId="3327A566" w14:textId="770A2BB1"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255 (7</w:t>
            </w:r>
            <w:r w:rsidR="00A904B2">
              <w:rPr>
                <w:rFonts w:ascii="Times New Roman" w:hAnsi="Times New Roman" w:cs="Times New Roman"/>
                <w:lang w:bidi="lt-LT"/>
              </w:rPr>
              <w:t>,</w:t>
            </w:r>
            <w:r w:rsidRPr="004804D2">
              <w:rPr>
                <w:rFonts w:ascii="Times New Roman" w:hAnsi="Times New Roman" w:cs="Times New Roman"/>
                <w:lang w:bidi="lt-LT"/>
              </w:rPr>
              <w:t>3)</w:t>
            </w:r>
          </w:p>
        </w:tc>
        <w:tc>
          <w:tcPr>
            <w:tcW w:w="1383" w:type="dxa"/>
            <w:vAlign w:val="center"/>
          </w:tcPr>
          <w:p w14:paraId="1300FFF7" w14:textId="5C3B2D72"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32</w:t>
            </w:r>
            <w:r w:rsidR="00A904B2">
              <w:rPr>
                <w:rFonts w:ascii="Times New Roman" w:hAnsi="Times New Roman" w:cs="Times New Roman"/>
                <w:lang w:bidi="lt-LT"/>
              </w:rPr>
              <w:t>,</w:t>
            </w:r>
            <w:r w:rsidRPr="004804D2">
              <w:rPr>
                <w:rFonts w:ascii="Times New Roman" w:hAnsi="Times New Roman" w:cs="Times New Roman"/>
                <w:lang w:bidi="lt-LT"/>
              </w:rPr>
              <w:t>6</w:t>
            </w:r>
          </w:p>
        </w:tc>
        <w:tc>
          <w:tcPr>
            <w:tcW w:w="1383" w:type="dxa"/>
            <w:vAlign w:val="center"/>
          </w:tcPr>
          <w:p w14:paraId="28686C44" w14:textId="654B49E6"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264 (7</w:t>
            </w:r>
            <w:r w:rsidR="00A904B2">
              <w:rPr>
                <w:rFonts w:ascii="Times New Roman" w:hAnsi="Times New Roman" w:cs="Times New Roman"/>
                <w:lang w:bidi="lt-LT"/>
              </w:rPr>
              <w:t>,</w:t>
            </w:r>
            <w:r w:rsidRPr="004804D2">
              <w:rPr>
                <w:rFonts w:ascii="Times New Roman" w:hAnsi="Times New Roman" w:cs="Times New Roman"/>
                <w:lang w:bidi="lt-LT"/>
              </w:rPr>
              <w:t>6)</w:t>
            </w:r>
          </w:p>
        </w:tc>
        <w:tc>
          <w:tcPr>
            <w:tcW w:w="1383" w:type="dxa"/>
            <w:vAlign w:val="center"/>
          </w:tcPr>
          <w:p w14:paraId="490E35C2" w14:textId="7E92FC4A"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34</w:t>
            </w:r>
          </w:p>
        </w:tc>
        <w:tc>
          <w:tcPr>
            <w:tcW w:w="1383" w:type="dxa"/>
            <w:vAlign w:val="center"/>
          </w:tcPr>
          <w:p w14:paraId="4833F19B" w14:textId="19D45E82" w:rsidR="00FF4C0D"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0</w:t>
            </w:r>
            <w:r w:rsidR="00A904B2">
              <w:rPr>
                <w:rFonts w:ascii="Times New Roman" w:hAnsi="Times New Roman" w:cs="Times New Roman"/>
                <w:lang w:bidi="lt-LT"/>
              </w:rPr>
              <w:t>,</w:t>
            </w:r>
            <w:r w:rsidRPr="004804D2">
              <w:rPr>
                <w:rFonts w:ascii="Times New Roman" w:hAnsi="Times New Roman" w:cs="Times New Roman"/>
                <w:lang w:bidi="lt-LT"/>
              </w:rPr>
              <w:t>96 (0</w:t>
            </w:r>
            <w:r w:rsidR="00A904B2">
              <w:rPr>
                <w:rFonts w:ascii="Times New Roman" w:hAnsi="Times New Roman" w:cs="Times New Roman"/>
                <w:lang w:bidi="lt-LT"/>
              </w:rPr>
              <w:t>,</w:t>
            </w:r>
            <w:r w:rsidRPr="004804D2">
              <w:rPr>
                <w:rFonts w:ascii="Times New Roman" w:hAnsi="Times New Roman" w:cs="Times New Roman"/>
                <w:lang w:bidi="lt-LT"/>
              </w:rPr>
              <w:t>81,</w:t>
            </w:r>
          </w:p>
          <w:p w14:paraId="41313123" w14:textId="033A5156"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14)</w:t>
            </w:r>
          </w:p>
        </w:tc>
      </w:tr>
      <w:tr w:rsidR="00812F38" w:rsidRPr="004804D2" w14:paraId="56DF640E" w14:textId="77777777" w:rsidTr="00FF4C0D">
        <w:trPr>
          <w:jc w:val="center"/>
        </w:trPr>
        <w:tc>
          <w:tcPr>
            <w:tcW w:w="1382" w:type="dxa"/>
            <w:vAlign w:val="center"/>
          </w:tcPr>
          <w:p w14:paraId="305C06E6" w14:textId="41F06A02"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Hospitalizacija dėl širdies nepakankamumo</w:t>
            </w:r>
          </w:p>
        </w:tc>
        <w:tc>
          <w:tcPr>
            <w:tcW w:w="1382" w:type="dxa"/>
            <w:vAlign w:val="center"/>
          </w:tcPr>
          <w:p w14:paraId="55816086" w14:textId="6F4EF4E1"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209 (6</w:t>
            </w:r>
            <w:r w:rsidR="00A904B2">
              <w:rPr>
                <w:rFonts w:ascii="Times New Roman" w:hAnsi="Times New Roman" w:cs="Times New Roman"/>
                <w:lang w:bidi="lt-LT"/>
              </w:rPr>
              <w:t>,</w:t>
            </w:r>
            <w:r w:rsidRPr="004804D2">
              <w:rPr>
                <w:rFonts w:ascii="Times New Roman" w:hAnsi="Times New Roman" w:cs="Times New Roman"/>
                <w:lang w:bidi="lt-LT"/>
              </w:rPr>
              <w:t>0)</w:t>
            </w:r>
          </w:p>
        </w:tc>
        <w:tc>
          <w:tcPr>
            <w:tcW w:w="1383" w:type="dxa"/>
            <w:vAlign w:val="center"/>
          </w:tcPr>
          <w:p w14:paraId="5F60CCA5" w14:textId="43155520"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27</w:t>
            </w:r>
            <w:r w:rsidR="00A904B2">
              <w:rPr>
                <w:rFonts w:ascii="Times New Roman" w:hAnsi="Times New Roman" w:cs="Times New Roman"/>
                <w:lang w:bidi="lt-LT"/>
              </w:rPr>
              <w:t>,</w:t>
            </w:r>
            <w:r w:rsidRPr="004804D2">
              <w:rPr>
                <w:rFonts w:ascii="Times New Roman" w:hAnsi="Times New Roman" w:cs="Times New Roman"/>
                <w:lang w:bidi="lt-LT"/>
              </w:rPr>
              <w:t>7</w:t>
            </w:r>
          </w:p>
        </w:tc>
        <w:tc>
          <w:tcPr>
            <w:tcW w:w="1383" w:type="dxa"/>
            <w:vAlign w:val="center"/>
          </w:tcPr>
          <w:p w14:paraId="1F97B939" w14:textId="246F8112"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226 (6</w:t>
            </w:r>
            <w:r w:rsidR="00A904B2">
              <w:rPr>
                <w:rFonts w:ascii="Times New Roman" w:hAnsi="Times New Roman" w:cs="Times New Roman"/>
                <w:lang w:bidi="lt-LT"/>
              </w:rPr>
              <w:t>,</w:t>
            </w:r>
            <w:r w:rsidRPr="004804D2">
              <w:rPr>
                <w:rFonts w:ascii="Times New Roman" w:hAnsi="Times New Roman" w:cs="Times New Roman"/>
                <w:lang w:bidi="lt-LT"/>
              </w:rPr>
              <w:t>5)</w:t>
            </w:r>
          </w:p>
        </w:tc>
        <w:tc>
          <w:tcPr>
            <w:tcW w:w="1383" w:type="dxa"/>
            <w:vAlign w:val="center"/>
          </w:tcPr>
          <w:p w14:paraId="1AA98D09" w14:textId="64B75E36"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30</w:t>
            </w:r>
            <w:r w:rsidR="00A904B2">
              <w:rPr>
                <w:rFonts w:ascii="Times New Roman" w:hAnsi="Times New Roman" w:cs="Times New Roman"/>
                <w:lang w:bidi="lt-LT"/>
              </w:rPr>
              <w:t>,</w:t>
            </w:r>
            <w:r w:rsidRPr="004804D2">
              <w:rPr>
                <w:rFonts w:ascii="Times New Roman" w:hAnsi="Times New Roman" w:cs="Times New Roman"/>
                <w:lang w:bidi="lt-LT"/>
              </w:rPr>
              <w:t>4</w:t>
            </w:r>
          </w:p>
        </w:tc>
        <w:tc>
          <w:tcPr>
            <w:tcW w:w="1383" w:type="dxa"/>
            <w:vAlign w:val="center"/>
          </w:tcPr>
          <w:p w14:paraId="55058171" w14:textId="28064554" w:rsidR="00FF4C0D"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0</w:t>
            </w:r>
            <w:r w:rsidR="00A904B2">
              <w:rPr>
                <w:rFonts w:ascii="Times New Roman" w:hAnsi="Times New Roman" w:cs="Times New Roman"/>
                <w:lang w:bidi="lt-LT"/>
              </w:rPr>
              <w:t>,</w:t>
            </w:r>
            <w:r w:rsidRPr="004804D2">
              <w:rPr>
                <w:rFonts w:ascii="Times New Roman" w:hAnsi="Times New Roman" w:cs="Times New Roman"/>
                <w:lang w:bidi="lt-LT"/>
              </w:rPr>
              <w:t>90 (0</w:t>
            </w:r>
            <w:r w:rsidR="00A904B2">
              <w:rPr>
                <w:rFonts w:ascii="Times New Roman" w:hAnsi="Times New Roman" w:cs="Times New Roman"/>
                <w:lang w:bidi="lt-LT"/>
              </w:rPr>
              <w:t>,</w:t>
            </w:r>
            <w:r w:rsidRPr="004804D2">
              <w:rPr>
                <w:rFonts w:ascii="Times New Roman" w:hAnsi="Times New Roman" w:cs="Times New Roman"/>
                <w:lang w:bidi="lt-LT"/>
              </w:rPr>
              <w:t>74,</w:t>
            </w:r>
          </w:p>
          <w:p w14:paraId="75945720" w14:textId="139E6449" w:rsidR="00812F38" w:rsidRPr="004804D2" w:rsidRDefault="00FF4C0D" w:rsidP="00FF4C0D">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A904B2">
              <w:rPr>
                <w:rFonts w:ascii="Times New Roman" w:hAnsi="Times New Roman" w:cs="Times New Roman"/>
                <w:lang w:bidi="lt-LT"/>
              </w:rPr>
              <w:t>,</w:t>
            </w:r>
            <w:r w:rsidRPr="004804D2">
              <w:rPr>
                <w:rFonts w:ascii="Times New Roman" w:hAnsi="Times New Roman" w:cs="Times New Roman"/>
                <w:lang w:bidi="lt-LT"/>
              </w:rPr>
              <w:t>08)</w:t>
            </w:r>
          </w:p>
        </w:tc>
      </w:tr>
    </w:tbl>
    <w:p w14:paraId="789A31AD" w14:textId="77777777" w:rsidR="00D46A9C" w:rsidRPr="004804D2" w:rsidRDefault="00D46A9C" w:rsidP="00D46A9C">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w:t>
      </w:r>
      <w:r w:rsidRPr="004804D2">
        <w:rPr>
          <w:rFonts w:ascii="Times New Roman" w:hAnsi="Times New Roman" w:cs="Times New Roman"/>
          <w:lang w:bidi="lt-LT"/>
        </w:rPr>
        <w:tab/>
        <w:t>PM =paciento metai</w:t>
      </w:r>
    </w:p>
    <w:p w14:paraId="109168B8" w14:textId="69F4CEBE" w:rsidR="00D46A9C" w:rsidRPr="004804D2" w:rsidRDefault="00D46A9C" w:rsidP="00A5054A">
      <w:pPr>
        <w:suppressAutoHyphens/>
        <w:autoSpaceDN w:val="0"/>
        <w:spacing w:after="0" w:line="240" w:lineRule="auto"/>
        <w:ind w:left="720" w:hanging="720"/>
        <w:jc w:val="both"/>
        <w:rPr>
          <w:rFonts w:ascii="Times New Roman" w:eastAsia="Calibri" w:hAnsi="Times New Roman" w:cs="Times New Roman"/>
          <w:lang w:val="en-US"/>
        </w:rPr>
      </w:pPr>
      <w:r w:rsidRPr="004804D2">
        <w:rPr>
          <w:rFonts w:ascii="Times New Roman" w:hAnsi="Times New Roman" w:cs="Times New Roman"/>
          <w:lang w:bidi="lt-LT"/>
        </w:rPr>
        <w:t xml:space="preserve">** </w:t>
      </w:r>
      <w:r w:rsidRPr="004804D2">
        <w:rPr>
          <w:rFonts w:ascii="Times New Roman" w:hAnsi="Times New Roman" w:cs="Times New Roman"/>
          <w:lang w:bidi="lt-LT"/>
        </w:rPr>
        <w:tab/>
        <w:t>Neprastesnio rezultato testas, skirtas parodyti, kad viršutinė 95</w:t>
      </w:r>
      <w:r w:rsidR="00A904B2">
        <w:rPr>
          <w:rFonts w:ascii="Times New Roman" w:hAnsi="Times New Roman" w:cs="Times New Roman"/>
          <w:lang w:bidi="lt-LT"/>
        </w:rPr>
        <w:t> </w:t>
      </w:r>
      <w:r w:rsidRPr="004804D2">
        <w:rPr>
          <w:rFonts w:ascii="Times New Roman" w:hAnsi="Times New Roman" w:cs="Times New Roman"/>
          <w:lang w:bidi="lt-LT"/>
        </w:rPr>
        <w:t>% PI rizikos santykio riba yra mažesnė kaip 1</w:t>
      </w:r>
      <w:r w:rsidR="00A904B2">
        <w:rPr>
          <w:rFonts w:ascii="Times New Roman" w:hAnsi="Times New Roman" w:cs="Times New Roman"/>
          <w:lang w:bidi="lt-LT"/>
        </w:rPr>
        <w:t>,</w:t>
      </w:r>
      <w:r w:rsidRPr="004804D2">
        <w:rPr>
          <w:rFonts w:ascii="Times New Roman" w:hAnsi="Times New Roman" w:cs="Times New Roman"/>
          <w:lang w:bidi="lt-LT"/>
        </w:rPr>
        <w:t>3</w:t>
      </w:r>
    </w:p>
    <w:p w14:paraId="16DEF31A" w14:textId="0220D7AF" w:rsidR="00D46A9C" w:rsidRPr="004804D2" w:rsidRDefault="00D46A9C" w:rsidP="00D46A9C">
      <w:pPr>
        <w:suppressAutoHyphens/>
        <w:autoSpaceDN w:val="0"/>
        <w:spacing w:after="0" w:line="240" w:lineRule="auto"/>
        <w:jc w:val="both"/>
        <w:rPr>
          <w:rFonts w:ascii="Times New Roman" w:eastAsia="Calibri" w:hAnsi="Times New Roman" w:cs="Times New Roman"/>
          <w:lang w:val="en-US"/>
        </w:rPr>
      </w:pPr>
    </w:p>
    <w:p w14:paraId="40FF00A2" w14:textId="0C3E3E14" w:rsidR="00D46A9C" w:rsidRPr="004804D2" w:rsidRDefault="00D46A9C"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Analizuojant albuminurijos progresavimą (pokytį iš normoalbuminurijos į mikroalbuminuriją ar makroalbuminuriją arba iš mikroalbuminurijos į makroalbuminuriją), apskaičiuotas rizikos santykis siekė 0</w:t>
      </w:r>
      <w:r w:rsidR="00E03573">
        <w:rPr>
          <w:rFonts w:ascii="Times New Roman" w:hAnsi="Times New Roman" w:cs="Times New Roman"/>
          <w:lang w:bidi="lt-LT"/>
        </w:rPr>
        <w:t>,</w:t>
      </w:r>
      <w:r w:rsidRPr="004804D2">
        <w:rPr>
          <w:rFonts w:ascii="Times New Roman" w:hAnsi="Times New Roman" w:cs="Times New Roman"/>
          <w:lang w:bidi="lt-LT"/>
        </w:rPr>
        <w:t>86 (95</w:t>
      </w:r>
      <w:r w:rsidR="00E03573">
        <w:rPr>
          <w:rFonts w:ascii="Times New Roman" w:hAnsi="Times New Roman" w:cs="Times New Roman"/>
          <w:lang w:bidi="lt-LT"/>
        </w:rPr>
        <w:t> </w:t>
      </w:r>
      <w:r w:rsidRPr="004804D2">
        <w:rPr>
          <w:rFonts w:ascii="Times New Roman" w:hAnsi="Times New Roman" w:cs="Times New Roman"/>
          <w:lang w:bidi="lt-LT"/>
        </w:rPr>
        <w:t>% PI 0</w:t>
      </w:r>
      <w:r w:rsidR="00E03573">
        <w:rPr>
          <w:rFonts w:ascii="Times New Roman" w:hAnsi="Times New Roman" w:cs="Times New Roman"/>
          <w:lang w:bidi="lt-LT"/>
        </w:rPr>
        <w:t>,</w:t>
      </w:r>
      <w:r w:rsidRPr="004804D2">
        <w:rPr>
          <w:rFonts w:ascii="Times New Roman" w:hAnsi="Times New Roman" w:cs="Times New Roman"/>
          <w:lang w:bidi="lt-LT"/>
        </w:rPr>
        <w:t>78; 0</w:t>
      </w:r>
      <w:r w:rsidR="00E03573">
        <w:rPr>
          <w:rFonts w:ascii="Times New Roman" w:hAnsi="Times New Roman" w:cs="Times New Roman"/>
          <w:lang w:bidi="lt-LT"/>
        </w:rPr>
        <w:t>,</w:t>
      </w:r>
      <w:r w:rsidRPr="004804D2">
        <w:rPr>
          <w:rFonts w:ascii="Times New Roman" w:hAnsi="Times New Roman" w:cs="Times New Roman"/>
          <w:lang w:bidi="lt-LT"/>
        </w:rPr>
        <w:t>95) linagliptiną lyginant su placebu.</w:t>
      </w:r>
    </w:p>
    <w:p w14:paraId="63B5B0F2" w14:textId="4C522AAD" w:rsidR="00D46A9C" w:rsidRPr="004804D2" w:rsidRDefault="00D46A9C" w:rsidP="00E95834">
      <w:pPr>
        <w:suppressAutoHyphens/>
        <w:autoSpaceDN w:val="0"/>
        <w:spacing w:after="0" w:line="240" w:lineRule="auto"/>
        <w:rPr>
          <w:rFonts w:ascii="Times New Roman" w:eastAsia="Calibri" w:hAnsi="Times New Roman" w:cs="Times New Roman"/>
          <w:lang w:val="en-US"/>
        </w:rPr>
      </w:pPr>
    </w:p>
    <w:p w14:paraId="6A751C3E" w14:textId="77777777" w:rsidR="00D46A9C" w:rsidRPr="00E1529B" w:rsidRDefault="00D46A9C" w:rsidP="00E95834">
      <w:pPr>
        <w:suppressAutoHyphens/>
        <w:autoSpaceDN w:val="0"/>
        <w:spacing w:after="0" w:line="240" w:lineRule="auto"/>
        <w:rPr>
          <w:rFonts w:ascii="Times New Roman" w:eastAsia="Calibri" w:hAnsi="Times New Roman" w:cs="Times New Roman"/>
          <w:i/>
          <w:iCs/>
          <w:lang w:val="pt-PT"/>
        </w:rPr>
      </w:pPr>
      <w:r w:rsidRPr="004804D2">
        <w:rPr>
          <w:rFonts w:ascii="Times New Roman" w:hAnsi="Times New Roman" w:cs="Times New Roman"/>
          <w:i/>
          <w:lang w:bidi="lt-LT"/>
        </w:rPr>
        <w:t>Linagliptino saugumo širdies ir kraujagyslių sistemai tyrimas (CAROLINA)</w:t>
      </w:r>
    </w:p>
    <w:p w14:paraId="073C04DE" w14:textId="7413A6D2"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CAROLINA buvo atsitiktinių imčių tyrimas, kuriame dalyvavo 6</w:t>
      </w:r>
      <w:r w:rsidR="00E03573">
        <w:rPr>
          <w:rFonts w:ascii="Times New Roman" w:hAnsi="Times New Roman" w:cs="Times New Roman"/>
          <w:lang w:bidi="lt-LT"/>
        </w:rPr>
        <w:t> </w:t>
      </w:r>
      <w:r w:rsidRPr="004804D2">
        <w:rPr>
          <w:rFonts w:ascii="Times New Roman" w:hAnsi="Times New Roman" w:cs="Times New Roman"/>
          <w:lang w:bidi="lt-LT"/>
        </w:rPr>
        <w:t>033 pacientai, sergantys ankstyvuoju 2 tipo cukriniu diabetu, kuriems yra didesnė su ŠKL susijusi rizika arba nustatyta komplikacijų. Pacientai vartojo 5 mg linagliptino (3</w:t>
      </w:r>
      <w:r w:rsidR="00E03573">
        <w:rPr>
          <w:rFonts w:ascii="Times New Roman" w:hAnsi="Times New Roman" w:cs="Times New Roman"/>
          <w:lang w:bidi="lt-LT"/>
        </w:rPr>
        <w:t> </w:t>
      </w:r>
      <w:r w:rsidRPr="004804D2">
        <w:rPr>
          <w:rFonts w:ascii="Times New Roman" w:hAnsi="Times New Roman" w:cs="Times New Roman"/>
          <w:lang w:bidi="lt-LT"/>
        </w:rPr>
        <w:t>023) arba 1</w:t>
      </w:r>
      <w:r w:rsidR="00E03573">
        <w:rPr>
          <w:rFonts w:ascii="Times New Roman" w:hAnsi="Times New Roman" w:cs="Times New Roman"/>
          <w:lang w:bidi="lt-LT"/>
        </w:rPr>
        <w:t>-</w:t>
      </w:r>
      <w:r w:rsidRPr="004804D2">
        <w:rPr>
          <w:rFonts w:ascii="Times New Roman" w:hAnsi="Times New Roman" w:cs="Times New Roman"/>
          <w:lang w:bidi="lt-LT"/>
        </w:rPr>
        <w:t>4</w:t>
      </w:r>
      <w:r w:rsidR="00E03573">
        <w:rPr>
          <w:rFonts w:ascii="Times New Roman" w:hAnsi="Times New Roman" w:cs="Times New Roman"/>
          <w:lang w:bidi="lt-LT"/>
        </w:rPr>
        <w:t> </w:t>
      </w:r>
      <w:r w:rsidRPr="004804D2">
        <w:rPr>
          <w:rFonts w:ascii="Times New Roman" w:hAnsi="Times New Roman" w:cs="Times New Roman"/>
          <w:lang w:bidi="lt-LT"/>
        </w:rPr>
        <w:t>mg glimepirido (3</w:t>
      </w:r>
      <w:r w:rsidR="00E03573">
        <w:rPr>
          <w:rFonts w:ascii="Times New Roman" w:hAnsi="Times New Roman" w:cs="Times New Roman"/>
          <w:lang w:bidi="lt-LT"/>
        </w:rPr>
        <w:t> </w:t>
      </w:r>
      <w:r w:rsidRPr="004804D2">
        <w:rPr>
          <w:rFonts w:ascii="Times New Roman" w:hAnsi="Times New Roman" w:cs="Times New Roman"/>
          <w:lang w:bidi="lt-LT"/>
        </w:rPr>
        <w:t>010), šių vaistinių preparatų skiriant papildomai prie standartinio gydymo (įskaitant foninį gydymą metforminu, kuris taikytas 83</w:t>
      </w:r>
      <w:r w:rsidR="00E03573">
        <w:rPr>
          <w:rFonts w:ascii="Times New Roman" w:hAnsi="Times New Roman" w:cs="Times New Roman"/>
          <w:lang w:bidi="lt-LT"/>
        </w:rPr>
        <w:t> </w:t>
      </w:r>
      <w:r w:rsidRPr="004804D2">
        <w:rPr>
          <w:rFonts w:ascii="Times New Roman" w:hAnsi="Times New Roman" w:cs="Times New Roman"/>
          <w:lang w:bidi="lt-LT"/>
        </w:rPr>
        <w:t>% pacientų), taikomo atsižvelgiant į regionui nustatytą HbA1c normą ir su ŠKL susijusius rizikos veiksnius. Tyrimo populiacijos amžiaus vidurkis buvo 64 metai, įskaitant tyrime dalyvavusius 2</w:t>
      </w:r>
      <w:r w:rsidR="00E03573">
        <w:rPr>
          <w:rFonts w:ascii="Times New Roman" w:hAnsi="Times New Roman" w:cs="Times New Roman"/>
          <w:lang w:bidi="lt-LT"/>
        </w:rPr>
        <w:t> </w:t>
      </w:r>
      <w:r w:rsidRPr="004804D2">
        <w:rPr>
          <w:rFonts w:ascii="Times New Roman" w:hAnsi="Times New Roman" w:cs="Times New Roman"/>
          <w:lang w:bidi="lt-LT"/>
        </w:rPr>
        <w:t>030 (34</w:t>
      </w:r>
      <w:r w:rsidR="00E03573">
        <w:rPr>
          <w:rFonts w:ascii="Times New Roman" w:hAnsi="Times New Roman" w:cs="Times New Roman"/>
          <w:lang w:bidi="lt-LT"/>
        </w:rPr>
        <w:t> </w:t>
      </w:r>
      <w:r w:rsidRPr="004804D2">
        <w:rPr>
          <w:rFonts w:ascii="Times New Roman" w:hAnsi="Times New Roman" w:cs="Times New Roman"/>
          <w:lang w:bidi="lt-LT"/>
        </w:rPr>
        <w:t>%) pacientų, kurių amžius buvo ≥</w:t>
      </w:r>
      <w:r w:rsidR="00E03573">
        <w:rPr>
          <w:rFonts w:ascii="Times New Roman" w:hAnsi="Times New Roman" w:cs="Times New Roman"/>
          <w:lang w:bidi="lt-LT"/>
        </w:rPr>
        <w:t> </w:t>
      </w:r>
      <w:r w:rsidRPr="004804D2">
        <w:rPr>
          <w:rFonts w:ascii="Times New Roman" w:hAnsi="Times New Roman" w:cs="Times New Roman"/>
          <w:lang w:bidi="lt-LT"/>
        </w:rPr>
        <w:t>70</w:t>
      </w:r>
      <w:r w:rsidR="00E03573">
        <w:rPr>
          <w:rFonts w:ascii="Times New Roman" w:hAnsi="Times New Roman" w:cs="Times New Roman"/>
          <w:lang w:bidi="lt-LT"/>
        </w:rPr>
        <w:t> </w:t>
      </w:r>
      <w:r w:rsidRPr="004804D2">
        <w:rPr>
          <w:rFonts w:ascii="Times New Roman" w:hAnsi="Times New Roman" w:cs="Times New Roman"/>
          <w:lang w:bidi="lt-LT"/>
        </w:rPr>
        <w:t>metų. Tyrimo populiacijoje buvo 2</w:t>
      </w:r>
      <w:r w:rsidR="00E03573">
        <w:rPr>
          <w:rFonts w:ascii="Times New Roman" w:hAnsi="Times New Roman" w:cs="Times New Roman"/>
          <w:lang w:bidi="lt-LT"/>
        </w:rPr>
        <w:t> </w:t>
      </w:r>
      <w:r w:rsidRPr="004804D2">
        <w:rPr>
          <w:rFonts w:ascii="Times New Roman" w:hAnsi="Times New Roman" w:cs="Times New Roman"/>
          <w:lang w:bidi="lt-LT"/>
        </w:rPr>
        <w:t>089 (35</w:t>
      </w:r>
      <w:r w:rsidR="00E03573">
        <w:rPr>
          <w:rFonts w:ascii="Times New Roman" w:hAnsi="Times New Roman" w:cs="Times New Roman"/>
          <w:lang w:bidi="lt-LT"/>
        </w:rPr>
        <w:t> </w:t>
      </w:r>
      <w:r w:rsidRPr="004804D2">
        <w:rPr>
          <w:rFonts w:ascii="Times New Roman" w:hAnsi="Times New Roman" w:cs="Times New Roman"/>
          <w:lang w:bidi="lt-LT"/>
        </w:rPr>
        <w:t>%) pacientai, sergantys širdies ir kraujagyslių liga, ir 1</w:t>
      </w:r>
      <w:r w:rsidR="00E03573">
        <w:rPr>
          <w:rFonts w:ascii="Times New Roman" w:hAnsi="Times New Roman" w:cs="Times New Roman"/>
          <w:lang w:bidi="lt-LT"/>
        </w:rPr>
        <w:t> </w:t>
      </w:r>
      <w:r w:rsidRPr="004804D2">
        <w:rPr>
          <w:rFonts w:ascii="Times New Roman" w:hAnsi="Times New Roman" w:cs="Times New Roman"/>
          <w:lang w:bidi="lt-LT"/>
        </w:rPr>
        <w:t>130 (19</w:t>
      </w:r>
      <w:r w:rsidR="00E03573">
        <w:rPr>
          <w:rFonts w:ascii="Times New Roman" w:hAnsi="Times New Roman" w:cs="Times New Roman"/>
          <w:lang w:bidi="lt-LT"/>
        </w:rPr>
        <w:t> </w:t>
      </w:r>
      <w:r w:rsidRPr="004804D2">
        <w:rPr>
          <w:rFonts w:ascii="Times New Roman" w:hAnsi="Times New Roman" w:cs="Times New Roman"/>
          <w:lang w:bidi="lt-LT"/>
        </w:rPr>
        <w:t>%) pacientų, kurių sutrikusi inkstų funkcija (aGFG &lt;</w:t>
      </w:r>
      <w:r w:rsidR="00E03573">
        <w:rPr>
          <w:rFonts w:ascii="Times New Roman" w:hAnsi="Times New Roman" w:cs="Times New Roman"/>
          <w:lang w:bidi="lt-LT"/>
        </w:rPr>
        <w:t> </w:t>
      </w:r>
      <w:r w:rsidRPr="004804D2">
        <w:rPr>
          <w:rFonts w:ascii="Times New Roman" w:hAnsi="Times New Roman" w:cs="Times New Roman"/>
          <w:lang w:bidi="lt-LT"/>
        </w:rPr>
        <w:t>60</w:t>
      </w:r>
      <w:r w:rsidR="00E03573">
        <w:rPr>
          <w:rFonts w:ascii="Times New Roman" w:hAnsi="Times New Roman" w:cs="Times New Roman"/>
          <w:lang w:bidi="lt-LT"/>
        </w:rPr>
        <w:t> </w:t>
      </w:r>
      <w:r w:rsidRPr="004804D2">
        <w:rPr>
          <w:rFonts w:ascii="Times New Roman" w:hAnsi="Times New Roman" w:cs="Times New Roman"/>
          <w:lang w:bidi="lt-LT"/>
        </w:rPr>
        <w:t>ml/min./1</w:t>
      </w:r>
      <w:r w:rsidR="00E03573">
        <w:rPr>
          <w:rFonts w:ascii="Times New Roman" w:hAnsi="Times New Roman" w:cs="Times New Roman"/>
          <w:lang w:bidi="lt-LT"/>
        </w:rPr>
        <w:t>,</w:t>
      </w:r>
      <w:r w:rsidRPr="004804D2">
        <w:rPr>
          <w:rFonts w:ascii="Times New Roman" w:hAnsi="Times New Roman" w:cs="Times New Roman"/>
          <w:lang w:bidi="lt-LT"/>
        </w:rPr>
        <w:t>73</w:t>
      </w:r>
      <w:r w:rsidR="00E03573">
        <w:rPr>
          <w:rFonts w:ascii="Times New Roman" w:hAnsi="Times New Roman" w:cs="Times New Roman"/>
          <w:lang w:bidi="lt-LT"/>
        </w:rPr>
        <w:t> </w:t>
      </w:r>
      <w:r w:rsidRPr="004804D2">
        <w:rPr>
          <w:rFonts w:ascii="Times New Roman" w:hAnsi="Times New Roman" w:cs="Times New Roman"/>
          <w:lang w:bidi="lt-LT"/>
        </w:rPr>
        <w:t>m</w:t>
      </w:r>
      <w:r w:rsidRPr="004804D2">
        <w:rPr>
          <w:rFonts w:ascii="Times New Roman" w:hAnsi="Times New Roman" w:cs="Times New Roman"/>
          <w:vertAlign w:val="superscript"/>
          <w:lang w:bidi="lt-LT"/>
        </w:rPr>
        <w:t>2</w:t>
      </w:r>
      <w:r w:rsidRPr="004804D2">
        <w:rPr>
          <w:rFonts w:ascii="Times New Roman" w:hAnsi="Times New Roman" w:cs="Times New Roman"/>
          <w:lang w:bidi="lt-LT"/>
        </w:rPr>
        <w:t xml:space="preserve"> pradinio vertinimo metu). HbA1c vidurkis pradinio vertinimo metu buvo 7,15</w:t>
      </w:r>
      <w:r w:rsidR="00E03573">
        <w:rPr>
          <w:rFonts w:ascii="Times New Roman" w:hAnsi="Times New Roman" w:cs="Times New Roman"/>
          <w:lang w:bidi="lt-LT"/>
        </w:rPr>
        <w:t> </w:t>
      </w:r>
      <w:r w:rsidRPr="004804D2">
        <w:rPr>
          <w:rFonts w:ascii="Times New Roman" w:hAnsi="Times New Roman" w:cs="Times New Roman"/>
          <w:lang w:bidi="lt-LT"/>
        </w:rPr>
        <w:t>%.</w:t>
      </w:r>
    </w:p>
    <w:p w14:paraId="2C1D85E9" w14:textId="03A6F6FE" w:rsidR="00D46A9C" w:rsidRPr="004804D2" w:rsidRDefault="00D46A9C" w:rsidP="00E95834">
      <w:pPr>
        <w:suppressAutoHyphens/>
        <w:autoSpaceDN w:val="0"/>
        <w:spacing w:after="0" w:line="240" w:lineRule="auto"/>
        <w:rPr>
          <w:rFonts w:ascii="Times New Roman" w:eastAsia="Calibri" w:hAnsi="Times New Roman" w:cs="Times New Roman"/>
        </w:rPr>
      </w:pPr>
    </w:p>
    <w:p w14:paraId="375E1C5B" w14:textId="19A8BC89"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Tyrimas buvo skirtas įrodyti ne prastesnį rezultatą, vertinant pagal pagrindinę sudėtinę vertinamąją baigtį (poveikį širdies ir kraujagyslių sistemai), kuri apibūdinama kaip mirtis dėl priežasčių, susijusių su širdies ir kraujagyslių ligomis, arba pirmasis nemirtinas miokardo infarktas (MI), arba pirmasis nemirtinas insultas (3P MACE).</w:t>
      </w:r>
    </w:p>
    <w:p w14:paraId="7955A55D" w14:textId="65B5D991" w:rsidR="00D46A9C" w:rsidRPr="004804D2" w:rsidRDefault="00D46A9C" w:rsidP="00D46A9C">
      <w:pPr>
        <w:suppressAutoHyphens/>
        <w:autoSpaceDN w:val="0"/>
        <w:spacing w:after="0" w:line="240" w:lineRule="auto"/>
        <w:jc w:val="both"/>
        <w:rPr>
          <w:rFonts w:ascii="Times New Roman" w:eastAsia="Calibri" w:hAnsi="Times New Roman" w:cs="Times New Roman"/>
        </w:rPr>
      </w:pPr>
    </w:p>
    <w:p w14:paraId="0C688864" w14:textId="30F3B350"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Po stebėjimo laikotarpio, kurio mediana buvo 6,25 metų, linagliptinas pagrindinių nepageidaujamų širdies ir kraujagyslių reiškinių rizikos, palyginti su glimepiridu, nedidino (žr. 3</w:t>
      </w:r>
      <w:r w:rsidR="00E03573">
        <w:rPr>
          <w:rFonts w:ascii="Times New Roman" w:hAnsi="Times New Roman" w:cs="Times New Roman"/>
          <w:lang w:bidi="lt-LT"/>
        </w:rPr>
        <w:t> </w:t>
      </w:r>
      <w:r w:rsidRPr="004804D2">
        <w:rPr>
          <w:rFonts w:ascii="Times New Roman" w:hAnsi="Times New Roman" w:cs="Times New Roman"/>
          <w:lang w:bidi="lt-LT"/>
        </w:rPr>
        <w:t>lentelę). Nuoseklūs rezultatai gauti nepriklausomai nuo to, ar pacientai buvo gydyti metforminu, ar ne.</w:t>
      </w:r>
    </w:p>
    <w:p w14:paraId="6E2C7E24" w14:textId="3BF02B65" w:rsidR="00D46A9C" w:rsidRPr="004804D2" w:rsidRDefault="00D46A9C" w:rsidP="00E95834">
      <w:pPr>
        <w:suppressAutoHyphens/>
        <w:autoSpaceDN w:val="0"/>
        <w:spacing w:after="0" w:line="240" w:lineRule="auto"/>
        <w:rPr>
          <w:rFonts w:ascii="Times New Roman" w:eastAsia="Calibri" w:hAnsi="Times New Roman" w:cs="Times New Roman"/>
        </w:rPr>
      </w:pPr>
    </w:p>
    <w:p w14:paraId="07BD8AC0" w14:textId="1032C2A2" w:rsidR="00D46A9C" w:rsidRPr="004804D2" w:rsidRDefault="00D46A9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3</w:t>
      </w:r>
      <w:r w:rsidR="00E03573">
        <w:rPr>
          <w:rFonts w:ascii="Times New Roman" w:hAnsi="Times New Roman" w:cs="Times New Roman"/>
          <w:lang w:bidi="lt-LT"/>
        </w:rPr>
        <w:t> </w:t>
      </w:r>
      <w:r w:rsidRPr="004804D2">
        <w:rPr>
          <w:rFonts w:ascii="Times New Roman" w:hAnsi="Times New Roman" w:cs="Times New Roman"/>
          <w:lang w:bidi="lt-LT"/>
        </w:rPr>
        <w:t>lentelė. Pagrindiniai širdies ir kraujagyslių reiškiniai ir mirštamumas pagal gydymo grupę CAROLINA tyrimo metu</w:t>
      </w:r>
    </w:p>
    <w:p w14:paraId="6965CA67" w14:textId="769720F0" w:rsidR="00D46A9C" w:rsidRPr="004804D2" w:rsidRDefault="00D46A9C" w:rsidP="00D46A9C">
      <w:pPr>
        <w:suppressAutoHyphens/>
        <w:autoSpaceDN w:val="0"/>
        <w:spacing w:after="0" w:line="240" w:lineRule="auto"/>
        <w:jc w:val="both"/>
        <w:rPr>
          <w:rFonts w:ascii="Times New Roman" w:eastAsia="Calibri" w:hAnsi="Times New Roman" w:cs="Times New Roman"/>
        </w:rPr>
      </w:pPr>
    </w:p>
    <w:tbl>
      <w:tblPr>
        <w:tblStyle w:val="Lentelstinklelis"/>
        <w:tblW w:w="5000" w:type="pct"/>
        <w:jc w:val="center"/>
        <w:tblLook w:val="04A0" w:firstRow="1" w:lastRow="0" w:firstColumn="1" w:lastColumn="0" w:noHBand="0" w:noVBand="1"/>
      </w:tblPr>
      <w:tblGrid>
        <w:gridCol w:w="1854"/>
        <w:gridCol w:w="1436"/>
        <w:gridCol w:w="1451"/>
        <w:gridCol w:w="1437"/>
        <w:gridCol w:w="1451"/>
        <w:gridCol w:w="1431"/>
      </w:tblGrid>
      <w:tr w:rsidR="00103940" w:rsidRPr="004804D2" w14:paraId="16812827" w14:textId="77777777" w:rsidTr="00103940">
        <w:trPr>
          <w:jc w:val="center"/>
        </w:trPr>
        <w:tc>
          <w:tcPr>
            <w:tcW w:w="1621" w:type="dxa"/>
            <w:vMerge w:val="restart"/>
            <w:vAlign w:val="center"/>
          </w:tcPr>
          <w:p w14:paraId="05E9E639" w14:textId="77777777" w:rsidR="00103940" w:rsidRPr="004804D2" w:rsidRDefault="00103940" w:rsidP="00E43BD7">
            <w:pPr>
              <w:suppressAutoHyphens/>
              <w:autoSpaceDN w:val="0"/>
              <w:rPr>
                <w:rFonts w:ascii="Times New Roman" w:eastAsia="Calibri" w:hAnsi="Times New Roman" w:cs="Times New Roman"/>
              </w:rPr>
            </w:pPr>
          </w:p>
        </w:tc>
        <w:tc>
          <w:tcPr>
            <w:tcW w:w="2674" w:type="dxa"/>
            <w:gridSpan w:val="2"/>
            <w:vAlign w:val="center"/>
          </w:tcPr>
          <w:p w14:paraId="7931C92F" w14:textId="066167AB" w:rsidR="00103940" w:rsidRPr="004804D2" w:rsidRDefault="00103940" w:rsidP="00E43BD7">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Linagliptinas 5</w:t>
            </w:r>
            <w:r w:rsidR="00E03573">
              <w:rPr>
                <w:rFonts w:ascii="Times New Roman" w:hAnsi="Times New Roman" w:cs="Times New Roman"/>
                <w:b/>
                <w:lang w:bidi="lt-LT"/>
              </w:rPr>
              <w:t> </w:t>
            </w:r>
            <w:r w:rsidRPr="004804D2">
              <w:rPr>
                <w:rFonts w:ascii="Times New Roman" w:hAnsi="Times New Roman" w:cs="Times New Roman"/>
                <w:b/>
                <w:lang w:bidi="lt-LT"/>
              </w:rPr>
              <w:t>mg</w:t>
            </w:r>
          </w:p>
        </w:tc>
        <w:tc>
          <w:tcPr>
            <w:tcW w:w="2675" w:type="dxa"/>
            <w:gridSpan w:val="2"/>
            <w:vAlign w:val="center"/>
          </w:tcPr>
          <w:p w14:paraId="05FFFDEC" w14:textId="61D2C20B" w:rsidR="00103940" w:rsidRPr="004804D2" w:rsidRDefault="00103940" w:rsidP="00E43BD7">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Glimepiridas (1-4</w:t>
            </w:r>
            <w:r w:rsidR="00E03573">
              <w:rPr>
                <w:rFonts w:ascii="Times New Roman" w:hAnsi="Times New Roman" w:cs="Times New Roman"/>
                <w:b/>
                <w:lang w:bidi="lt-LT"/>
              </w:rPr>
              <w:t> </w:t>
            </w:r>
            <w:r w:rsidRPr="004804D2">
              <w:rPr>
                <w:rFonts w:ascii="Times New Roman" w:hAnsi="Times New Roman" w:cs="Times New Roman"/>
                <w:b/>
                <w:lang w:bidi="lt-LT"/>
              </w:rPr>
              <w:t>mg)</w:t>
            </w:r>
          </w:p>
        </w:tc>
        <w:tc>
          <w:tcPr>
            <w:tcW w:w="1326" w:type="dxa"/>
            <w:vAlign w:val="center"/>
          </w:tcPr>
          <w:p w14:paraId="48BD054D" w14:textId="77777777" w:rsidR="00103940" w:rsidRPr="004804D2" w:rsidRDefault="00103940" w:rsidP="00E43BD7">
            <w:pPr>
              <w:suppressAutoHyphens/>
              <w:autoSpaceDN w:val="0"/>
              <w:rPr>
                <w:rFonts w:ascii="Times New Roman" w:eastAsia="Calibri" w:hAnsi="Times New Roman" w:cs="Times New Roman"/>
                <w:b/>
                <w:bCs/>
                <w:lang w:val="en-US"/>
              </w:rPr>
            </w:pPr>
            <w:r w:rsidRPr="004804D2">
              <w:rPr>
                <w:rFonts w:ascii="Times New Roman" w:hAnsi="Times New Roman" w:cs="Times New Roman"/>
                <w:b/>
                <w:lang w:bidi="lt-LT"/>
              </w:rPr>
              <w:t>Rizikos santykis</w:t>
            </w:r>
          </w:p>
        </w:tc>
      </w:tr>
      <w:tr w:rsidR="00103940" w:rsidRPr="004804D2" w14:paraId="3C7C8A77" w14:textId="77777777" w:rsidTr="00103940">
        <w:trPr>
          <w:jc w:val="center"/>
        </w:trPr>
        <w:tc>
          <w:tcPr>
            <w:tcW w:w="1621" w:type="dxa"/>
            <w:vMerge/>
            <w:vAlign w:val="center"/>
          </w:tcPr>
          <w:p w14:paraId="73EE1716" w14:textId="77777777" w:rsidR="00103940" w:rsidRPr="004804D2" w:rsidRDefault="00103940" w:rsidP="00E43BD7">
            <w:pPr>
              <w:suppressAutoHyphens/>
              <w:autoSpaceDN w:val="0"/>
              <w:rPr>
                <w:rFonts w:ascii="Times New Roman" w:eastAsia="Calibri" w:hAnsi="Times New Roman" w:cs="Times New Roman"/>
                <w:lang w:val="en-US"/>
              </w:rPr>
            </w:pPr>
          </w:p>
        </w:tc>
        <w:tc>
          <w:tcPr>
            <w:tcW w:w="1330" w:type="dxa"/>
            <w:vAlign w:val="center"/>
          </w:tcPr>
          <w:p w14:paraId="0FF8ACAB" w14:textId="77777777"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Tiriamųjų skaičius (%)</w:t>
            </w:r>
          </w:p>
        </w:tc>
        <w:tc>
          <w:tcPr>
            <w:tcW w:w="1344" w:type="dxa"/>
            <w:vAlign w:val="center"/>
          </w:tcPr>
          <w:p w14:paraId="5204D165" w14:textId="2E5EB988"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Įvykių dažnis  per 1</w:t>
            </w:r>
            <w:r w:rsidR="00E03573">
              <w:rPr>
                <w:rFonts w:ascii="Times New Roman" w:hAnsi="Times New Roman" w:cs="Times New Roman"/>
                <w:lang w:bidi="lt-LT"/>
              </w:rPr>
              <w:t> </w:t>
            </w:r>
            <w:r w:rsidRPr="004804D2">
              <w:rPr>
                <w:rFonts w:ascii="Times New Roman" w:hAnsi="Times New Roman" w:cs="Times New Roman"/>
                <w:lang w:bidi="lt-LT"/>
              </w:rPr>
              <w:t>000 PM*</w:t>
            </w:r>
          </w:p>
        </w:tc>
        <w:tc>
          <w:tcPr>
            <w:tcW w:w="1331" w:type="dxa"/>
            <w:vAlign w:val="center"/>
          </w:tcPr>
          <w:p w14:paraId="1DE1EF27" w14:textId="77777777"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Tiriamųjų skaičius (%)</w:t>
            </w:r>
          </w:p>
        </w:tc>
        <w:tc>
          <w:tcPr>
            <w:tcW w:w="1344" w:type="dxa"/>
            <w:vAlign w:val="center"/>
          </w:tcPr>
          <w:p w14:paraId="7FA06E60" w14:textId="687D6A2A"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Įvykių dažnis  per 1</w:t>
            </w:r>
            <w:r w:rsidR="00E03573">
              <w:rPr>
                <w:rFonts w:ascii="Times New Roman" w:hAnsi="Times New Roman" w:cs="Times New Roman"/>
                <w:lang w:bidi="lt-LT"/>
              </w:rPr>
              <w:t> </w:t>
            </w:r>
            <w:r w:rsidRPr="004804D2">
              <w:rPr>
                <w:rFonts w:ascii="Times New Roman" w:hAnsi="Times New Roman" w:cs="Times New Roman"/>
                <w:lang w:bidi="lt-LT"/>
              </w:rPr>
              <w:t>000 PM*</w:t>
            </w:r>
          </w:p>
        </w:tc>
        <w:tc>
          <w:tcPr>
            <w:tcW w:w="1326" w:type="dxa"/>
            <w:vAlign w:val="center"/>
          </w:tcPr>
          <w:p w14:paraId="48B75674" w14:textId="4E6DE1D4"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(95</w:t>
            </w:r>
            <w:r w:rsidR="00E03573">
              <w:rPr>
                <w:rFonts w:ascii="Times New Roman" w:hAnsi="Times New Roman" w:cs="Times New Roman"/>
                <w:lang w:bidi="lt-LT"/>
              </w:rPr>
              <w:t> </w:t>
            </w:r>
            <w:r w:rsidRPr="004804D2">
              <w:rPr>
                <w:rFonts w:ascii="Times New Roman" w:hAnsi="Times New Roman" w:cs="Times New Roman"/>
                <w:lang w:bidi="lt-LT"/>
              </w:rPr>
              <w:t>% CI)</w:t>
            </w:r>
          </w:p>
        </w:tc>
      </w:tr>
      <w:tr w:rsidR="00103940" w:rsidRPr="004804D2" w14:paraId="6BC33F13" w14:textId="77777777" w:rsidTr="00103940">
        <w:trPr>
          <w:jc w:val="center"/>
        </w:trPr>
        <w:tc>
          <w:tcPr>
            <w:tcW w:w="1621" w:type="dxa"/>
            <w:vAlign w:val="center"/>
          </w:tcPr>
          <w:p w14:paraId="10D8C768" w14:textId="77777777"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Pacientų skaičius</w:t>
            </w:r>
          </w:p>
        </w:tc>
        <w:tc>
          <w:tcPr>
            <w:tcW w:w="1330" w:type="dxa"/>
            <w:vAlign w:val="center"/>
          </w:tcPr>
          <w:p w14:paraId="6766A1E4" w14:textId="03005BF2"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w:t>
            </w:r>
            <w:r w:rsidR="00E03573">
              <w:rPr>
                <w:rFonts w:ascii="Times New Roman" w:hAnsi="Times New Roman" w:cs="Times New Roman"/>
                <w:lang w:bidi="lt-LT"/>
              </w:rPr>
              <w:t> </w:t>
            </w:r>
            <w:r w:rsidRPr="004804D2">
              <w:rPr>
                <w:rFonts w:ascii="Times New Roman" w:hAnsi="Times New Roman" w:cs="Times New Roman"/>
                <w:lang w:bidi="lt-LT"/>
              </w:rPr>
              <w:t>023</w:t>
            </w:r>
          </w:p>
        </w:tc>
        <w:tc>
          <w:tcPr>
            <w:tcW w:w="1344" w:type="dxa"/>
            <w:vAlign w:val="center"/>
          </w:tcPr>
          <w:p w14:paraId="675DA21C" w14:textId="77777777" w:rsidR="00103940" w:rsidRPr="004804D2" w:rsidRDefault="00103940" w:rsidP="00E43BD7">
            <w:pPr>
              <w:suppressAutoHyphens/>
              <w:autoSpaceDN w:val="0"/>
              <w:rPr>
                <w:rFonts w:ascii="Times New Roman" w:eastAsia="Calibri" w:hAnsi="Times New Roman" w:cs="Times New Roman"/>
                <w:lang w:val="en-US"/>
              </w:rPr>
            </w:pPr>
          </w:p>
        </w:tc>
        <w:tc>
          <w:tcPr>
            <w:tcW w:w="1331" w:type="dxa"/>
            <w:vAlign w:val="center"/>
          </w:tcPr>
          <w:p w14:paraId="0E20F6CC" w14:textId="3FD3F59B"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w:t>
            </w:r>
            <w:r w:rsidR="00E03573">
              <w:rPr>
                <w:rFonts w:ascii="Times New Roman" w:hAnsi="Times New Roman" w:cs="Times New Roman"/>
                <w:lang w:bidi="lt-LT"/>
              </w:rPr>
              <w:t> </w:t>
            </w:r>
            <w:r w:rsidRPr="004804D2">
              <w:rPr>
                <w:rFonts w:ascii="Times New Roman" w:hAnsi="Times New Roman" w:cs="Times New Roman"/>
                <w:lang w:bidi="lt-LT"/>
              </w:rPr>
              <w:t>010</w:t>
            </w:r>
          </w:p>
        </w:tc>
        <w:tc>
          <w:tcPr>
            <w:tcW w:w="1344" w:type="dxa"/>
            <w:vAlign w:val="center"/>
          </w:tcPr>
          <w:p w14:paraId="21A8B5CB" w14:textId="77777777" w:rsidR="00103940" w:rsidRPr="004804D2" w:rsidRDefault="00103940" w:rsidP="00E43BD7">
            <w:pPr>
              <w:suppressAutoHyphens/>
              <w:autoSpaceDN w:val="0"/>
              <w:rPr>
                <w:rFonts w:ascii="Times New Roman" w:eastAsia="Calibri" w:hAnsi="Times New Roman" w:cs="Times New Roman"/>
                <w:lang w:val="en-US"/>
              </w:rPr>
            </w:pPr>
          </w:p>
        </w:tc>
        <w:tc>
          <w:tcPr>
            <w:tcW w:w="1326" w:type="dxa"/>
            <w:vAlign w:val="center"/>
          </w:tcPr>
          <w:p w14:paraId="605303BC" w14:textId="77777777" w:rsidR="00103940" w:rsidRPr="004804D2" w:rsidRDefault="00103940" w:rsidP="00E43BD7">
            <w:pPr>
              <w:suppressAutoHyphens/>
              <w:autoSpaceDN w:val="0"/>
              <w:rPr>
                <w:rFonts w:ascii="Times New Roman" w:eastAsia="Calibri" w:hAnsi="Times New Roman" w:cs="Times New Roman"/>
                <w:lang w:val="en-US"/>
              </w:rPr>
            </w:pPr>
          </w:p>
        </w:tc>
      </w:tr>
      <w:tr w:rsidR="00103940" w:rsidRPr="004804D2" w14:paraId="49F80202" w14:textId="77777777" w:rsidTr="00103940">
        <w:trPr>
          <w:jc w:val="center"/>
        </w:trPr>
        <w:tc>
          <w:tcPr>
            <w:tcW w:w="1621" w:type="dxa"/>
            <w:vAlign w:val="center"/>
          </w:tcPr>
          <w:p w14:paraId="3C57BECD" w14:textId="77777777" w:rsidR="00103940" w:rsidRPr="004804D2" w:rsidRDefault="00103940" w:rsidP="00E43BD7">
            <w:pPr>
              <w:suppressAutoHyphens/>
              <w:autoSpaceDN w:val="0"/>
              <w:rPr>
                <w:rFonts w:ascii="Times New Roman" w:eastAsia="Calibri" w:hAnsi="Times New Roman" w:cs="Times New Roman"/>
              </w:rPr>
            </w:pPr>
            <w:r w:rsidRPr="004804D2">
              <w:rPr>
                <w:rFonts w:ascii="Times New Roman" w:hAnsi="Times New Roman" w:cs="Times New Roman"/>
                <w:lang w:bidi="lt-LT"/>
              </w:rPr>
              <w:t xml:space="preserve">Pagrindinė ŠKL sudėtinė vertinamoji baigtis (mirtis dėl priežasčių, susijusių su širdies ir </w:t>
            </w:r>
            <w:r w:rsidRPr="004804D2">
              <w:rPr>
                <w:rFonts w:ascii="Times New Roman" w:hAnsi="Times New Roman" w:cs="Times New Roman"/>
                <w:lang w:bidi="lt-LT"/>
              </w:rPr>
              <w:lastRenderedPageBreak/>
              <w:t>kraujagyslių ligomis, nemirtinas MI, nemirtinas insultas)</w:t>
            </w:r>
          </w:p>
        </w:tc>
        <w:tc>
          <w:tcPr>
            <w:tcW w:w="1330" w:type="dxa"/>
            <w:vAlign w:val="center"/>
          </w:tcPr>
          <w:p w14:paraId="0D3FA4E7" w14:textId="6D6AFF4D"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lastRenderedPageBreak/>
              <w:t>356 (11</w:t>
            </w:r>
            <w:r w:rsidR="00E03573">
              <w:rPr>
                <w:rFonts w:ascii="Times New Roman" w:hAnsi="Times New Roman" w:cs="Times New Roman"/>
                <w:lang w:bidi="lt-LT"/>
              </w:rPr>
              <w:t>,</w:t>
            </w:r>
            <w:r w:rsidRPr="004804D2">
              <w:rPr>
                <w:rFonts w:ascii="Times New Roman" w:hAnsi="Times New Roman" w:cs="Times New Roman"/>
                <w:lang w:bidi="lt-LT"/>
              </w:rPr>
              <w:t>8)</w:t>
            </w:r>
          </w:p>
        </w:tc>
        <w:tc>
          <w:tcPr>
            <w:tcW w:w="1344" w:type="dxa"/>
            <w:vAlign w:val="center"/>
          </w:tcPr>
          <w:p w14:paraId="5DA5F102" w14:textId="3CD12EF9"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20</w:t>
            </w:r>
            <w:r w:rsidR="00E03573">
              <w:rPr>
                <w:rFonts w:ascii="Times New Roman" w:hAnsi="Times New Roman" w:cs="Times New Roman"/>
                <w:lang w:bidi="lt-LT"/>
              </w:rPr>
              <w:t>,</w:t>
            </w:r>
            <w:r w:rsidRPr="004804D2">
              <w:rPr>
                <w:rFonts w:ascii="Times New Roman" w:hAnsi="Times New Roman" w:cs="Times New Roman"/>
                <w:lang w:bidi="lt-LT"/>
              </w:rPr>
              <w:t>7</w:t>
            </w:r>
          </w:p>
        </w:tc>
        <w:tc>
          <w:tcPr>
            <w:tcW w:w="1331" w:type="dxa"/>
            <w:vAlign w:val="center"/>
          </w:tcPr>
          <w:p w14:paraId="421BB151" w14:textId="4003E5FE"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362 (12</w:t>
            </w:r>
            <w:r w:rsidR="00E03573">
              <w:rPr>
                <w:rFonts w:ascii="Times New Roman" w:hAnsi="Times New Roman" w:cs="Times New Roman"/>
                <w:lang w:bidi="lt-LT"/>
              </w:rPr>
              <w:t>,</w:t>
            </w:r>
            <w:r w:rsidRPr="004804D2">
              <w:rPr>
                <w:rFonts w:ascii="Times New Roman" w:hAnsi="Times New Roman" w:cs="Times New Roman"/>
                <w:lang w:bidi="lt-LT"/>
              </w:rPr>
              <w:t>0)</w:t>
            </w:r>
          </w:p>
        </w:tc>
        <w:tc>
          <w:tcPr>
            <w:tcW w:w="1344" w:type="dxa"/>
            <w:vAlign w:val="center"/>
          </w:tcPr>
          <w:p w14:paraId="3B6E573A" w14:textId="709B0B73"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21</w:t>
            </w:r>
            <w:r w:rsidR="00E03573">
              <w:rPr>
                <w:rFonts w:ascii="Times New Roman" w:hAnsi="Times New Roman" w:cs="Times New Roman"/>
                <w:lang w:bidi="lt-LT"/>
              </w:rPr>
              <w:t>,</w:t>
            </w:r>
            <w:r w:rsidRPr="004804D2">
              <w:rPr>
                <w:rFonts w:ascii="Times New Roman" w:hAnsi="Times New Roman" w:cs="Times New Roman"/>
                <w:lang w:bidi="lt-LT"/>
              </w:rPr>
              <w:t>2</w:t>
            </w:r>
          </w:p>
        </w:tc>
        <w:tc>
          <w:tcPr>
            <w:tcW w:w="1326" w:type="dxa"/>
            <w:vAlign w:val="center"/>
          </w:tcPr>
          <w:p w14:paraId="13152E01" w14:textId="06C7CC93"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0</w:t>
            </w:r>
            <w:r w:rsidR="00E03573">
              <w:rPr>
                <w:rFonts w:ascii="Times New Roman" w:hAnsi="Times New Roman" w:cs="Times New Roman"/>
                <w:lang w:bidi="lt-LT"/>
              </w:rPr>
              <w:t>,</w:t>
            </w:r>
            <w:r w:rsidRPr="004804D2">
              <w:rPr>
                <w:rFonts w:ascii="Times New Roman" w:hAnsi="Times New Roman" w:cs="Times New Roman"/>
                <w:lang w:bidi="lt-LT"/>
              </w:rPr>
              <w:t>98 (0</w:t>
            </w:r>
            <w:r w:rsidR="00E03573">
              <w:rPr>
                <w:rFonts w:ascii="Times New Roman" w:hAnsi="Times New Roman" w:cs="Times New Roman"/>
                <w:lang w:bidi="lt-LT"/>
              </w:rPr>
              <w:t>,</w:t>
            </w:r>
            <w:r w:rsidRPr="004804D2">
              <w:rPr>
                <w:rFonts w:ascii="Times New Roman" w:hAnsi="Times New Roman" w:cs="Times New Roman"/>
                <w:lang w:bidi="lt-LT"/>
              </w:rPr>
              <w:t>84,</w:t>
            </w:r>
          </w:p>
          <w:p w14:paraId="2E929F5A" w14:textId="39FFD0A9"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14)**</w:t>
            </w:r>
          </w:p>
        </w:tc>
      </w:tr>
      <w:tr w:rsidR="00103940" w:rsidRPr="004804D2" w14:paraId="4CF49974" w14:textId="77777777" w:rsidTr="00103940">
        <w:trPr>
          <w:jc w:val="center"/>
        </w:trPr>
        <w:tc>
          <w:tcPr>
            <w:tcW w:w="1621" w:type="dxa"/>
            <w:vAlign w:val="center"/>
          </w:tcPr>
          <w:p w14:paraId="1EEA3399" w14:textId="77777777" w:rsidR="00103940" w:rsidRPr="00E1529B" w:rsidRDefault="00103940" w:rsidP="00E43BD7">
            <w:pPr>
              <w:suppressAutoHyphens/>
              <w:autoSpaceDN w:val="0"/>
              <w:rPr>
                <w:rFonts w:ascii="Times New Roman" w:eastAsia="Calibri" w:hAnsi="Times New Roman" w:cs="Times New Roman"/>
                <w:lang w:val="pt-PT"/>
              </w:rPr>
            </w:pPr>
            <w:r w:rsidRPr="004804D2">
              <w:rPr>
                <w:rFonts w:ascii="Times New Roman" w:hAnsi="Times New Roman" w:cs="Times New Roman"/>
                <w:lang w:bidi="lt-LT"/>
              </w:rPr>
              <w:t>Mirštamumas dėl bet kurios priežasties</w:t>
            </w:r>
          </w:p>
        </w:tc>
        <w:tc>
          <w:tcPr>
            <w:tcW w:w="1330" w:type="dxa"/>
            <w:vAlign w:val="center"/>
          </w:tcPr>
          <w:p w14:paraId="19CA3B3E" w14:textId="25F4B225"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308 (10</w:t>
            </w:r>
            <w:r w:rsidR="00E03573">
              <w:rPr>
                <w:rFonts w:ascii="Times New Roman" w:hAnsi="Times New Roman" w:cs="Times New Roman"/>
                <w:lang w:bidi="lt-LT"/>
              </w:rPr>
              <w:t>,</w:t>
            </w:r>
            <w:r w:rsidRPr="004804D2">
              <w:rPr>
                <w:rFonts w:ascii="Times New Roman" w:hAnsi="Times New Roman" w:cs="Times New Roman"/>
                <w:lang w:bidi="lt-LT"/>
              </w:rPr>
              <w:t>2)</w:t>
            </w:r>
          </w:p>
        </w:tc>
        <w:tc>
          <w:tcPr>
            <w:tcW w:w="1344" w:type="dxa"/>
            <w:vAlign w:val="center"/>
          </w:tcPr>
          <w:p w14:paraId="7E4F7803" w14:textId="37630B9C"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16</w:t>
            </w:r>
            <w:r w:rsidR="00E03573">
              <w:rPr>
                <w:rFonts w:ascii="Times New Roman" w:hAnsi="Times New Roman" w:cs="Times New Roman"/>
                <w:lang w:bidi="lt-LT"/>
              </w:rPr>
              <w:t>,</w:t>
            </w:r>
            <w:r w:rsidRPr="004804D2">
              <w:rPr>
                <w:rFonts w:ascii="Times New Roman" w:hAnsi="Times New Roman" w:cs="Times New Roman"/>
                <w:lang w:bidi="lt-LT"/>
              </w:rPr>
              <w:t>8</w:t>
            </w:r>
          </w:p>
        </w:tc>
        <w:tc>
          <w:tcPr>
            <w:tcW w:w="1331" w:type="dxa"/>
            <w:vAlign w:val="center"/>
          </w:tcPr>
          <w:p w14:paraId="49BBF7A9" w14:textId="6DC1352A"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336 (11</w:t>
            </w:r>
            <w:r w:rsidR="00E03573">
              <w:rPr>
                <w:rFonts w:ascii="Times New Roman" w:hAnsi="Times New Roman" w:cs="Times New Roman"/>
                <w:lang w:bidi="lt-LT"/>
              </w:rPr>
              <w:t>,</w:t>
            </w:r>
            <w:r w:rsidRPr="004804D2">
              <w:rPr>
                <w:rFonts w:ascii="Times New Roman" w:hAnsi="Times New Roman" w:cs="Times New Roman"/>
                <w:lang w:bidi="lt-LT"/>
              </w:rPr>
              <w:t>2)</w:t>
            </w:r>
          </w:p>
        </w:tc>
        <w:tc>
          <w:tcPr>
            <w:tcW w:w="1344" w:type="dxa"/>
            <w:vAlign w:val="center"/>
          </w:tcPr>
          <w:p w14:paraId="4B18EFE0" w14:textId="28216FC4"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18</w:t>
            </w:r>
            <w:r w:rsidR="00E03573">
              <w:rPr>
                <w:rFonts w:ascii="Times New Roman" w:hAnsi="Times New Roman" w:cs="Times New Roman"/>
                <w:lang w:bidi="lt-LT"/>
              </w:rPr>
              <w:t>,</w:t>
            </w:r>
            <w:r w:rsidRPr="004804D2">
              <w:rPr>
                <w:rFonts w:ascii="Times New Roman" w:hAnsi="Times New Roman" w:cs="Times New Roman"/>
                <w:lang w:bidi="lt-LT"/>
              </w:rPr>
              <w:t>4</w:t>
            </w:r>
          </w:p>
        </w:tc>
        <w:tc>
          <w:tcPr>
            <w:tcW w:w="1326" w:type="dxa"/>
            <w:vAlign w:val="center"/>
          </w:tcPr>
          <w:p w14:paraId="16B74A48" w14:textId="25C96E13"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0.91 (0</w:t>
            </w:r>
            <w:r w:rsidR="00E03573">
              <w:rPr>
                <w:rFonts w:ascii="Times New Roman" w:hAnsi="Times New Roman" w:cs="Times New Roman"/>
                <w:lang w:bidi="lt-LT"/>
              </w:rPr>
              <w:t>,</w:t>
            </w:r>
            <w:r w:rsidRPr="004804D2">
              <w:rPr>
                <w:rFonts w:ascii="Times New Roman" w:hAnsi="Times New Roman" w:cs="Times New Roman"/>
                <w:lang w:bidi="lt-LT"/>
              </w:rPr>
              <w:t>78,</w:t>
            </w:r>
          </w:p>
          <w:p w14:paraId="10A960D6" w14:textId="3B908766"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06)</w:t>
            </w:r>
          </w:p>
        </w:tc>
      </w:tr>
      <w:tr w:rsidR="00103940" w:rsidRPr="004804D2" w14:paraId="06CCFE76" w14:textId="77777777" w:rsidTr="00103940">
        <w:trPr>
          <w:jc w:val="center"/>
        </w:trPr>
        <w:tc>
          <w:tcPr>
            <w:tcW w:w="1621" w:type="dxa"/>
            <w:vAlign w:val="center"/>
          </w:tcPr>
          <w:p w14:paraId="5EAFDB51" w14:textId="77777777" w:rsidR="00103940" w:rsidRPr="004804D2" w:rsidRDefault="00103940" w:rsidP="00E43BD7">
            <w:pPr>
              <w:suppressAutoHyphens/>
              <w:autoSpaceDN w:val="0"/>
              <w:rPr>
                <w:rFonts w:ascii="Times New Roman" w:eastAsia="Calibri" w:hAnsi="Times New Roman" w:cs="Times New Roman"/>
              </w:rPr>
            </w:pPr>
            <w:r w:rsidRPr="004804D2">
              <w:rPr>
                <w:rFonts w:ascii="Times New Roman" w:hAnsi="Times New Roman" w:cs="Times New Roman"/>
                <w:lang w:bidi="lt-LT"/>
              </w:rPr>
              <w:t>Mirtis dėl priežasčių, susijusių su širdies ir kraujagyslių ligomis</w:t>
            </w:r>
          </w:p>
        </w:tc>
        <w:tc>
          <w:tcPr>
            <w:tcW w:w="1330" w:type="dxa"/>
            <w:vAlign w:val="center"/>
          </w:tcPr>
          <w:p w14:paraId="1B7DAD03" w14:textId="32A72C3F"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169 (5</w:t>
            </w:r>
            <w:r w:rsidR="00E03573">
              <w:rPr>
                <w:rFonts w:ascii="Times New Roman" w:hAnsi="Times New Roman" w:cs="Times New Roman"/>
                <w:lang w:bidi="lt-LT"/>
              </w:rPr>
              <w:t>,</w:t>
            </w:r>
            <w:r w:rsidRPr="004804D2">
              <w:rPr>
                <w:rFonts w:ascii="Times New Roman" w:hAnsi="Times New Roman" w:cs="Times New Roman"/>
                <w:lang w:bidi="lt-LT"/>
              </w:rPr>
              <w:t>6)</w:t>
            </w:r>
          </w:p>
        </w:tc>
        <w:tc>
          <w:tcPr>
            <w:tcW w:w="1344" w:type="dxa"/>
            <w:vAlign w:val="center"/>
          </w:tcPr>
          <w:p w14:paraId="3F6305DC" w14:textId="52593EB5"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9</w:t>
            </w:r>
            <w:r w:rsidR="00E03573">
              <w:rPr>
                <w:rFonts w:ascii="Times New Roman" w:hAnsi="Times New Roman" w:cs="Times New Roman"/>
                <w:lang w:bidi="lt-LT"/>
              </w:rPr>
              <w:t>,</w:t>
            </w:r>
            <w:r w:rsidRPr="004804D2">
              <w:rPr>
                <w:rFonts w:ascii="Times New Roman" w:hAnsi="Times New Roman" w:cs="Times New Roman"/>
                <w:lang w:bidi="lt-LT"/>
              </w:rPr>
              <w:t>2</w:t>
            </w:r>
          </w:p>
        </w:tc>
        <w:tc>
          <w:tcPr>
            <w:tcW w:w="1331" w:type="dxa"/>
            <w:vAlign w:val="center"/>
          </w:tcPr>
          <w:p w14:paraId="54E4A47C" w14:textId="44C78D14"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168 (5</w:t>
            </w:r>
            <w:r w:rsidR="00E03573">
              <w:rPr>
                <w:rFonts w:ascii="Times New Roman" w:hAnsi="Times New Roman" w:cs="Times New Roman"/>
                <w:lang w:bidi="lt-LT"/>
              </w:rPr>
              <w:t>,</w:t>
            </w:r>
            <w:r w:rsidRPr="004804D2">
              <w:rPr>
                <w:rFonts w:ascii="Times New Roman" w:hAnsi="Times New Roman" w:cs="Times New Roman"/>
                <w:lang w:bidi="lt-LT"/>
              </w:rPr>
              <w:t>6)</w:t>
            </w:r>
          </w:p>
        </w:tc>
        <w:tc>
          <w:tcPr>
            <w:tcW w:w="1344" w:type="dxa"/>
            <w:vAlign w:val="center"/>
          </w:tcPr>
          <w:p w14:paraId="62870189" w14:textId="367C249D"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9</w:t>
            </w:r>
            <w:r w:rsidR="00E03573">
              <w:rPr>
                <w:rFonts w:ascii="Times New Roman" w:hAnsi="Times New Roman" w:cs="Times New Roman"/>
                <w:lang w:bidi="lt-LT"/>
              </w:rPr>
              <w:t>,</w:t>
            </w:r>
            <w:r w:rsidRPr="004804D2">
              <w:rPr>
                <w:rFonts w:ascii="Times New Roman" w:hAnsi="Times New Roman" w:cs="Times New Roman"/>
                <w:lang w:bidi="lt-LT"/>
              </w:rPr>
              <w:t>2</w:t>
            </w:r>
          </w:p>
        </w:tc>
        <w:tc>
          <w:tcPr>
            <w:tcW w:w="1326" w:type="dxa"/>
            <w:vAlign w:val="center"/>
          </w:tcPr>
          <w:p w14:paraId="7052D276" w14:textId="25B1DE12"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00 (0</w:t>
            </w:r>
            <w:r w:rsidR="00E03573">
              <w:rPr>
                <w:rFonts w:ascii="Times New Roman" w:hAnsi="Times New Roman" w:cs="Times New Roman"/>
                <w:lang w:bidi="lt-LT"/>
              </w:rPr>
              <w:t>,</w:t>
            </w:r>
            <w:r w:rsidRPr="004804D2">
              <w:rPr>
                <w:rFonts w:ascii="Times New Roman" w:hAnsi="Times New Roman" w:cs="Times New Roman"/>
                <w:lang w:bidi="lt-LT"/>
              </w:rPr>
              <w:t>81,</w:t>
            </w:r>
          </w:p>
          <w:p w14:paraId="3460F613" w14:textId="33A11036"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24)</w:t>
            </w:r>
          </w:p>
        </w:tc>
      </w:tr>
      <w:tr w:rsidR="00103940" w:rsidRPr="004804D2" w14:paraId="11BCE07E" w14:textId="77777777" w:rsidTr="00103940">
        <w:trPr>
          <w:jc w:val="center"/>
        </w:trPr>
        <w:tc>
          <w:tcPr>
            <w:tcW w:w="1621" w:type="dxa"/>
            <w:vAlign w:val="center"/>
          </w:tcPr>
          <w:p w14:paraId="014ABA41" w14:textId="6B422715" w:rsidR="00103940" w:rsidRPr="004804D2" w:rsidRDefault="00103940" w:rsidP="00E43BD7">
            <w:pPr>
              <w:suppressAutoHyphens/>
              <w:autoSpaceDN w:val="0"/>
              <w:rPr>
                <w:rFonts w:ascii="Times New Roman" w:eastAsia="Calibri" w:hAnsi="Times New Roman" w:cs="Times New Roman"/>
                <w:lang w:val="pl-PL"/>
              </w:rPr>
            </w:pPr>
            <w:r w:rsidRPr="004804D2">
              <w:rPr>
                <w:rFonts w:ascii="Times New Roman" w:hAnsi="Times New Roman" w:cs="Times New Roman"/>
                <w:lang w:bidi="lt-LT"/>
              </w:rPr>
              <w:t>Hospitalizacija dėl širdies nepakankamumo (HŠN)</w:t>
            </w:r>
          </w:p>
        </w:tc>
        <w:tc>
          <w:tcPr>
            <w:tcW w:w="1330" w:type="dxa"/>
            <w:vAlign w:val="center"/>
          </w:tcPr>
          <w:p w14:paraId="2AD80ABC" w14:textId="44F7BFE2" w:rsidR="00103940" w:rsidRPr="004804D2" w:rsidRDefault="00BF3AC4"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112 (3</w:t>
            </w:r>
            <w:r w:rsidR="00E03573">
              <w:rPr>
                <w:rFonts w:ascii="Times New Roman" w:hAnsi="Times New Roman" w:cs="Times New Roman"/>
                <w:lang w:bidi="lt-LT"/>
              </w:rPr>
              <w:t>,</w:t>
            </w:r>
            <w:r w:rsidRPr="004804D2">
              <w:rPr>
                <w:rFonts w:ascii="Times New Roman" w:hAnsi="Times New Roman" w:cs="Times New Roman"/>
                <w:lang w:bidi="lt-LT"/>
              </w:rPr>
              <w:t>7)</w:t>
            </w:r>
          </w:p>
        </w:tc>
        <w:tc>
          <w:tcPr>
            <w:tcW w:w="1344" w:type="dxa"/>
            <w:vAlign w:val="center"/>
          </w:tcPr>
          <w:p w14:paraId="3D208DD6" w14:textId="6F8919E4" w:rsidR="00103940" w:rsidRPr="004804D2" w:rsidRDefault="00BF3AC4"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6</w:t>
            </w:r>
            <w:r w:rsidR="00E03573">
              <w:rPr>
                <w:rFonts w:ascii="Times New Roman" w:hAnsi="Times New Roman" w:cs="Times New Roman"/>
                <w:lang w:bidi="lt-LT"/>
              </w:rPr>
              <w:t>,</w:t>
            </w:r>
            <w:r w:rsidRPr="004804D2">
              <w:rPr>
                <w:rFonts w:ascii="Times New Roman" w:hAnsi="Times New Roman" w:cs="Times New Roman"/>
                <w:lang w:bidi="lt-LT"/>
              </w:rPr>
              <w:t>4</w:t>
            </w:r>
          </w:p>
        </w:tc>
        <w:tc>
          <w:tcPr>
            <w:tcW w:w="1331" w:type="dxa"/>
            <w:vAlign w:val="center"/>
          </w:tcPr>
          <w:p w14:paraId="24EE3149" w14:textId="79B32308" w:rsidR="00103940" w:rsidRPr="004804D2" w:rsidRDefault="00BF3AC4"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92 (3</w:t>
            </w:r>
            <w:r w:rsidR="00E03573">
              <w:rPr>
                <w:rFonts w:ascii="Times New Roman" w:hAnsi="Times New Roman" w:cs="Times New Roman"/>
                <w:lang w:bidi="lt-LT"/>
              </w:rPr>
              <w:t>,</w:t>
            </w:r>
            <w:r w:rsidRPr="004804D2">
              <w:rPr>
                <w:rFonts w:ascii="Times New Roman" w:hAnsi="Times New Roman" w:cs="Times New Roman"/>
                <w:lang w:bidi="lt-LT"/>
              </w:rPr>
              <w:t>1)</w:t>
            </w:r>
          </w:p>
        </w:tc>
        <w:tc>
          <w:tcPr>
            <w:tcW w:w="1344" w:type="dxa"/>
            <w:vAlign w:val="center"/>
          </w:tcPr>
          <w:p w14:paraId="60E573EA" w14:textId="6853D6A0"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5</w:t>
            </w:r>
            <w:r w:rsidR="00E03573">
              <w:rPr>
                <w:rFonts w:ascii="Times New Roman" w:hAnsi="Times New Roman" w:cs="Times New Roman"/>
                <w:lang w:bidi="lt-LT"/>
              </w:rPr>
              <w:t>,</w:t>
            </w:r>
            <w:r w:rsidRPr="004804D2">
              <w:rPr>
                <w:rFonts w:ascii="Times New Roman" w:hAnsi="Times New Roman" w:cs="Times New Roman"/>
                <w:lang w:bidi="lt-LT"/>
              </w:rPr>
              <w:t>3</w:t>
            </w:r>
          </w:p>
        </w:tc>
        <w:tc>
          <w:tcPr>
            <w:tcW w:w="1326" w:type="dxa"/>
            <w:vAlign w:val="center"/>
          </w:tcPr>
          <w:p w14:paraId="5D9CD343" w14:textId="6AF15D27"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21 (0</w:t>
            </w:r>
            <w:r w:rsidR="00E03573">
              <w:rPr>
                <w:rFonts w:ascii="Times New Roman" w:hAnsi="Times New Roman" w:cs="Times New Roman"/>
                <w:lang w:bidi="lt-LT"/>
              </w:rPr>
              <w:t>,</w:t>
            </w:r>
            <w:r w:rsidRPr="004804D2">
              <w:rPr>
                <w:rFonts w:ascii="Times New Roman" w:hAnsi="Times New Roman" w:cs="Times New Roman"/>
                <w:lang w:bidi="lt-LT"/>
              </w:rPr>
              <w:t>92,</w:t>
            </w:r>
          </w:p>
          <w:p w14:paraId="6461A9D3" w14:textId="488FA378" w:rsidR="00103940" w:rsidRPr="004804D2" w:rsidRDefault="00103940" w:rsidP="00E43BD7">
            <w:pPr>
              <w:suppressAutoHyphens/>
              <w:autoSpaceDN w:val="0"/>
              <w:rPr>
                <w:rFonts w:ascii="Times New Roman" w:eastAsia="Calibri" w:hAnsi="Times New Roman" w:cs="Times New Roman"/>
                <w:lang w:val="en-US"/>
              </w:rPr>
            </w:pPr>
            <w:r w:rsidRPr="004804D2">
              <w:rPr>
                <w:rFonts w:ascii="Times New Roman" w:hAnsi="Times New Roman" w:cs="Times New Roman"/>
                <w:lang w:bidi="lt-LT"/>
              </w:rPr>
              <w:t>1</w:t>
            </w:r>
            <w:r w:rsidR="00E03573">
              <w:rPr>
                <w:rFonts w:ascii="Times New Roman" w:hAnsi="Times New Roman" w:cs="Times New Roman"/>
                <w:lang w:bidi="lt-LT"/>
              </w:rPr>
              <w:t>,</w:t>
            </w:r>
            <w:r w:rsidRPr="004804D2">
              <w:rPr>
                <w:rFonts w:ascii="Times New Roman" w:hAnsi="Times New Roman" w:cs="Times New Roman"/>
                <w:lang w:bidi="lt-LT"/>
              </w:rPr>
              <w:t>59)</w:t>
            </w:r>
          </w:p>
        </w:tc>
      </w:tr>
    </w:tbl>
    <w:p w14:paraId="1B9DD50E" w14:textId="77777777" w:rsidR="00D46A9C" w:rsidRPr="004804D2" w:rsidRDefault="00D46A9C" w:rsidP="00D46A9C">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w:t>
      </w:r>
      <w:r w:rsidRPr="004804D2">
        <w:rPr>
          <w:rFonts w:ascii="Times New Roman" w:hAnsi="Times New Roman" w:cs="Times New Roman"/>
          <w:lang w:bidi="lt-LT"/>
        </w:rPr>
        <w:tab/>
        <w:t>PM =paciento metai</w:t>
      </w:r>
    </w:p>
    <w:p w14:paraId="44FBAC3E" w14:textId="2954D846" w:rsidR="00D46A9C" w:rsidRPr="004804D2" w:rsidRDefault="00D46A9C" w:rsidP="001F0B9E">
      <w:pPr>
        <w:suppressAutoHyphens/>
        <w:autoSpaceDN w:val="0"/>
        <w:spacing w:after="0" w:line="240" w:lineRule="auto"/>
        <w:ind w:left="720" w:hanging="720"/>
        <w:jc w:val="both"/>
        <w:rPr>
          <w:rFonts w:ascii="Times New Roman" w:eastAsia="Calibri" w:hAnsi="Times New Roman" w:cs="Times New Roman"/>
          <w:lang w:val="en-US"/>
        </w:rPr>
      </w:pPr>
      <w:r w:rsidRPr="004804D2">
        <w:rPr>
          <w:rFonts w:ascii="Times New Roman" w:hAnsi="Times New Roman" w:cs="Times New Roman"/>
          <w:lang w:bidi="lt-LT"/>
        </w:rPr>
        <w:t xml:space="preserve">** </w:t>
      </w:r>
      <w:r w:rsidRPr="004804D2">
        <w:rPr>
          <w:rFonts w:ascii="Times New Roman" w:hAnsi="Times New Roman" w:cs="Times New Roman"/>
          <w:lang w:bidi="lt-LT"/>
        </w:rPr>
        <w:tab/>
        <w:t>Neprastesnio rezultato testas, skirtas parodyti, kad viršutinė 95</w:t>
      </w:r>
      <w:r w:rsidR="00E03573">
        <w:rPr>
          <w:rFonts w:ascii="Times New Roman" w:hAnsi="Times New Roman" w:cs="Times New Roman"/>
          <w:lang w:bidi="lt-LT"/>
        </w:rPr>
        <w:t> </w:t>
      </w:r>
      <w:r w:rsidRPr="004804D2">
        <w:rPr>
          <w:rFonts w:ascii="Times New Roman" w:hAnsi="Times New Roman" w:cs="Times New Roman"/>
          <w:lang w:bidi="lt-LT"/>
        </w:rPr>
        <w:t>% PI rizikos santykio riba yra mažesnė kaip 1</w:t>
      </w:r>
      <w:r w:rsidR="00E03573">
        <w:rPr>
          <w:rFonts w:ascii="Times New Roman" w:hAnsi="Times New Roman" w:cs="Times New Roman"/>
          <w:lang w:bidi="lt-LT"/>
        </w:rPr>
        <w:t>,</w:t>
      </w:r>
      <w:r w:rsidRPr="004804D2">
        <w:rPr>
          <w:rFonts w:ascii="Times New Roman" w:hAnsi="Times New Roman" w:cs="Times New Roman"/>
          <w:lang w:bidi="lt-LT"/>
        </w:rPr>
        <w:t>3</w:t>
      </w:r>
    </w:p>
    <w:p w14:paraId="24C36D5A" w14:textId="7846EEDB" w:rsidR="00D46A9C" w:rsidRPr="004804D2" w:rsidRDefault="00D46A9C" w:rsidP="00D46A9C">
      <w:pPr>
        <w:suppressAutoHyphens/>
        <w:autoSpaceDN w:val="0"/>
        <w:spacing w:after="0" w:line="240" w:lineRule="auto"/>
        <w:jc w:val="both"/>
        <w:rPr>
          <w:rFonts w:ascii="Times New Roman" w:eastAsia="Calibri" w:hAnsi="Times New Roman" w:cs="Times New Roman"/>
          <w:lang w:val="en-US"/>
        </w:rPr>
      </w:pPr>
    </w:p>
    <w:p w14:paraId="54464D9B" w14:textId="37D06533" w:rsidR="00D46A9C" w:rsidRPr="004804D2" w:rsidRDefault="00D46A9C"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Visą gydymo laikotarpį (gydymo laiko mediana siekė 5,9</w:t>
      </w:r>
      <w:r w:rsidR="00E03573">
        <w:rPr>
          <w:rFonts w:ascii="Times New Roman" w:hAnsi="Times New Roman" w:cs="Times New Roman"/>
          <w:lang w:bidi="lt-LT"/>
        </w:rPr>
        <w:t> </w:t>
      </w:r>
      <w:r w:rsidRPr="004804D2">
        <w:rPr>
          <w:rFonts w:ascii="Times New Roman" w:hAnsi="Times New Roman" w:cs="Times New Roman"/>
          <w:lang w:bidi="lt-LT"/>
        </w:rPr>
        <w:t>metų) pacientų, patyrusių vidutinio sunkumo arba sunkią hipoglikemiją, rodiklis linagliptino grupėje buvo 6,5</w:t>
      </w:r>
      <w:r w:rsidR="00E03573">
        <w:rPr>
          <w:rFonts w:ascii="Times New Roman" w:hAnsi="Times New Roman" w:cs="Times New Roman"/>
          <w:lang w:bidi="lt-LT"/>
        </w:rPr>
        <w:t> </w:t>
      </w:r>
      <w:r w:rsidRPr="004804D2">
        <w:rPr>
          <w:rFonts w:ascii="Times New Roman" w:hAnsi="Times New Roman" w:cs="Times New Roman"/>
          <w:lang w:bidi="lt-LT"/>
        </w:rPr>
        <w:t>%, palyginti su 30,9</w:t>
      </w:r>
      <w:r w:rsidR="00E03573">
        <w:rPr>
          <w:rFonts w:ascii="Times New Roman" w:hAnsi="Times New Roman" w:cs="Times New Roman"/>
          <w:lang w:bidi="lt-LT"/>
        </w:rPr>
        <w:t> </w:t>
      </w:r>
      <w:r w:rsidRPr="004804D2">
        <w:rPr>
          <w:rFonts w:ascii="Times New Roman" w:hAnsi="Times New Roman" w:cs="Times New Roman"/>
          <w:lang w:bidi="lt-LT"/>
        </w:rPr>
        <w:t>% glimepirido grupėje; sunki hipoglikemija ištiko 0,3</w:t>
      </w:r>
      <w:r w:rsidR="00E03573">
        <w:rPr>
          <w:rFonts w:ascii="Times New Roman" w:hAnsi="Times New Roman" w:cs="Times New Roman"/>
          <w:lang w:bidi="lt-LT"/>
        </w:rPr>
        <w:t> </w:t>
      </w:r>
      <w:r w:rsidRPr="004804D2">
        <w:rPr>
          <w:rFonts w:ascii="Times New Roman" w:hAnsi="Times New Roman" w:cs="Times New Roman"/>
          <w:lang w:bidi="lt-LT"/>
        </w:rPr>
        <w:t>% pacientų, vartojusių linagliptino, palyginti su 2,2</w:t>
      </w:r>
      <w:r w:rsidR="00E03573">
        <w:rPr>
          <w:rFonts w:ascii="Times New Roman" w:hAnsi="Times New Roman" w:cs="Times New Roman"/>
          <w:lang w:bidi="lt-LT"/>
        </w:rPr>
        <w:t> </w:t>
      </w:r>
      <w:r w:rsidRPr="004804D2">
        <w:rPr>
          <w:rFonts w:ascii="Times New Roman" w:hAnsi="Times New Roman" w:cs="Times New Roman"/>
          <w:lang w:bidi="lt-LT"/>
        </w:rPr>
        <w:t>% pacientų, vartojusių glimepirido.</w:t>
      </w:r>
    </w:p>
    <w:p w14:paraId="7724FE87" w14:textId="61456A51" w:rsidR="00D46A9C" w:rsidRPr="004804D2" w:rsidRDefault="00D46A9C" w:rsidP="00E95834">
      <w:pPr>
        <w:suppressAutoHyphens/>
        <w:autoSpaceDN w:val="0"/>
        <w:spacing w:after="0" w:line="240" w:lineRule="auto"/>
        <w:rPr>
          <w:rFonts w:ascii="Times New Roman" w:eastAsia="Calibri" w:hAnsi="Times New Roman" w:cs="Times New Roman"/>
          <w:lang w:val="en-US"/>
        </w:rPr>
      </w:pPr>
    </w:p>
    <w:p w14:paraId="190E51B8" w14:textId="77777777" w:rsidR="00D46A9C" w:rsidRPr="004804D2" w:rsidRDefault="00D46A9C" w:rsidP="00E95834">
      <w:pPr>
        <w:suppressAutoHyphens/>
        <w:autoSpaceDN w:val="0"/>
        <w:spacing w:after="0" w:line="240" w:lineRule="auto"/>
        <w:rPr>
          <w:rFonts w:ascii="Times New Roman" w:eastAsia="Calibri" w:hAnsi="Times New Roman" w:cs="Times New Roman"/>
          <w:i/>
          <w:iCs/>
          <w:lang w:val="en-US"/>
        </w:rPr>
      </w:pPr>
      <w:r w:rsidRPr="004804D2">
        <w:rPr>
          <w:rFonts w:ascii="Times New Roman" w:hAnsi="Times New Roman" w:cs="Times New Roman"/>
          <w:i/>
          <w:lang w:bidi="lt-LT"/>
        </w:rPr>
        <w:t>Vaikų populiacija</w:t>
      </w:r>
    </w:p>
    <w:p w14:paraId="58938584" w14:textId="1C9B3074" w:rsidR="000434EC" w:rsidRPr="004804D2" w:rsidRDefault="000434EC" w:rsidP="00E95834">
      <w:pPr>
        <w:suppressAutoHyphens/>
        <w:autoSpaceDN w:val="0"/>
        <w:spacing w:after="0" w:line="240" w:lineRule="auto"/>
        <w:rPr>
          <w:rFonts w:ascii="Times New Roman" w:eastAsia="Calibri" w:hAnsi="Times New Roman" w:cs="Times New Roman"/>
          <w:lang w:val="en-US"/>
        </w:rPr>
      </w:pPr>
      <w:r w:rsidRPr="004804D2">
        <w:rPr>
          <w:rFonts w:ascii="Times New Roman" w:hAnsi="Times New Roman" w:cs="Times New Roman"/>
          <w:lang w:bidi="lt-LT"/>
        </w:rPr>
        <w:t>10</w:t>
      </w:r>
      <w:r w:rsidR="00E03573">
        <w:rPr>
          <w:rFonts w:ascii="Times New Roman" w:hAnsi="Times New Roman" w:cs="Times New Roman"/>
          <w:lang w:bidi="lt-LT"/>
        </w:rPr>
        <w:t> </w:t>
      </w:r>
      <w:r w:rsidRPr="004804D2">
        <w:rPr>
          <w:rFonts w:ascii="Times New Roman" w:hAnsi="Times New Roman" w:cs="Times New Roman"/>
          <w:lang w:bidi="lt-LT"/>
        </w:rPr>
        <w:t>mg empagliflozino su galimybe didinti dozę iki 25</w:t>
      </w:r>
      <w:r w:rsidR="00E03573">
        <w:rPr>
          <w:rFonts w:ascii="Times New Roman" w:hAnsi="Times New Roman" w:cs="Times New Roman"/>
          <w:lang w:bidi="lt-LT"/>
        </w:rPr>
        <w:t> </w:t>
      </w:r>
      <w:r w:rsidRPr="004804D2">
        <w:rPr>
          <w:rFonts w:ascii="Times New Roman" w:hAnsi="Times New Roman" w:cs="Times New Roman"/>
          <w:lang w:bidi="lt-LT"/>
        </w:rPr>
        <w:t>mg arba 5</w:t>
      </w:r>
      <w:r w:rsidR="00E03573">
        <w:rPr>
          <w:rFonts w:ascii="Times New Roman" w:hAnsi="Times New Roman" w:cs="Times New Roman"/>
          <w:lang w:bidi="lt-LT"/>
        </w:rPr>
        <w:t> </w:t>
      </w:r>
      <w:r w:rsidRPr="004804D2">
        <w:rPr>
          <w:rFonts w:ascii="Times New Roman" w:hAnsi="Times New Roman" w:cs="Times New Roman"/>
          <w:lang w:bidi="lt-LT"/>
        </w:rPr>
        <w:t>mg linagliptino vieną kartą per parą klinikinis veiksmingumas ir saugumas buvo tiriamas 10-17 metų vaikams ir paaugliams, sergantiems T2DM, atliekant dvigubai koduotą, atsitiktinių imčių, placebu kontroliuojamą lygiagrečių grupių tyrimą (DINAMO), trukusį 26 savaites, su dvigubai koduotu aktyvaus gydymo saugumo pratęsimu iki 52 savaičių.</w:t>
      </w:r>
    </w:p>
    <w:p w14:paraId="3F0C8735" w14:textId="69610422" w:rsidR="00D46A9C" w:rsidRPr="004804D2" w:rsidRDefault="000434E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HbA1c vidurkis pradinio vertinimo metu siekė 8</w:t>
      </w:r>
      <w:r w:rsidR="00E03573">
        <w:rPr>
          <w:rFonts w:ascii="Times New Roman" w:hAnsi="Times New Roman" w:cs="Times New Roman"/>
          <w:lang w:bidi="lt-LT"/>
        </w:rPr>
        <w:t>,</w:t>
      </w:r>
      <w:r w:rsidRPr="004804D2">
        <w:rPr>
          <w:rFonts w:ascii="Times New Roman" w:hAnsi="Times New Roman" w:cs="Times New Roman"/>
          <w:lang w:bidi="lt-LT"/>
        </w:rPr>
        <w:t>03</w:t>
      </w:r>
      <w:r w:rsidR="00E03573">
        <w:rPr>
          <w:rFonts w:ascii="Times New Roman" w:hAnsi="Times New Roman" w:cs="Times New Roman"/>
          <w:lang w:bidi="lt-LT"/>
        </w:rPr>
        <w:t> </w:t>
      </w:r>
      <w:r w:rsidRPr="004804D2">
        <w:rPr>
          <w:rFonts w:ascii="Times New Roman" w:hAnsi="Times New Roman" w:cs="Times New Roman"/>
          <w:lang w:bidi="lt-LT"/>
        </w:rPr>
        <w:t>%. Gydant linagliptinu 5</w:t>
      </w:r>
      <w:r w:rsidR="00E03573">
        <w:rPr>
          <w:rFonts w:ascii="Times New Roman" w:hAnsi="Times New Roman" w:cs="Times New Roman"/>
          <w:lang w:bidi="lt-LT"/>
        </w:rPr>
        <w:t> </w:t>
      </w:r>
      <w:r w:rsidRPr="004804D2">
        <w:rPr>
          <w:rFonts w:ascii="Times New Roman" w:hAnsi="Times New Roman" w:cs="Times New Roman"/>
          <w:lang w:bidi="lt-LT"/>
        </w:rPr>
        <w:t>mg, HbA1c reikšmingai nepagerėjo. Po 26 savaičių gydymo pakoreguotas vidutinis HbA1c pokyčio skirtumas tarp linagliptino ir placebo buvo -0,34</w:t>
      </w:r>
      <w:r w:rsidR="00E03573">
        <w:rPr>
          <w:rFonts w:ascii="Times New Roman" w:hAnsi="Times New Roman" w:cs="Times New Roman"/>
          <w:lang w:bidi="lt-LT"/>
        </w:rPr>
        <w:t> </w:t>
      </w:r>
      <w:r w:rsidRPr="004804D2">
        <w:rPr>
          <w:rFonts w:ascii="Times New Roman" w:hAnsi="Times New Roman" w:cs="Times New Roman"/>
          <w:lang w:bidi="lt-LT"/>
        </w:rPr>
        <w:t>% (95</w:t>
      </w:r>
      <w:r w:rsidR="00E03573">
        <w:rPr>
          <w:rFonts w:ascii="Times New Roman" w:hAnsi="Times New Roman" w:cs="Times New Roman"/>
          <w:lang w:bidi="lt-LT"/>
        </w:rPr>
        <w:t> </w:t>
      </w:r>
      <w:r w:rsidRPr="004804D2">
        <w:rPr>
          <w:rFonts w:ascii="Times New Roman" w:hAnsi="Times New Roman" w:cs="Times New Roman"/>
          <w:lang w:bidi="lt-LT"/>
        </w:rPr>
        <w:t>% PI -0,99, 0,30; p=0,2935). Pakoreguotas vidutinis HbA1c pokytis, palyginti su pradiniu lygiu, buvo 0,33</w:t>
      </w:r>
      <w:r w:rsidR="00E03573">
        <w:rPr>
          <w:rFonts w:ascii="Times New Roman" w:hAnsi="Times New Roman" w:cs="Times New Roman"/>
          <w:lang w:bidi="lt-LT"/>
        </w:rPr>
        <w:t> </w:t>
      </w:r>
      <w:r w:rsidRPr="004804D2">
        <w:rPr>
          <w:rFonts w:ascii="Times New Roman" w:hAnsi="Times New Roman" w:cs="Times New Roman"/>
          <w:lang w:bidi="lt-LT"/>
        </w:rPr>
        <w:t>% linagliptinu gydomiems pacientams ir 0,68</w:t>
      </w:r>
      <w:r w:rsidR="00E03573">
        <w:rPr>
          <w:rFonts w:ascii="Times New Roman" w:hAnsi="Times New Roman" w:cs="Times New Roman"/>
          <w:lang w:bidi="lt-LT"/>
        </w:rPr>
        <w:t> </w:t>
      </w:r>
      <w:r w:rsidRPr="004804D2">
        <w:rPr>
          <w:rFonts w:ascii="Times New Roman" w:hAnsi="Times New Roman" w:cs="Times New Roman"/>
          <w:lang w:bidi="lt-LT"/>
        </w:rPr>
        <w:t>% placebu gydomiems pacientams (žr. 4.2</w:t>
      </w:r>
      <w:r w:rsidR="00E03573">
        <w:rPr>
          <w:rFonts w:ascii="Times New Roman" w:hAnsi="Times New Roman" w:cs="Times New Roman"/>
          <w:lang w:bidi="lt-LT"/>
        </w:rPr>
        <w:t> </w:t>
      </w:r>
      <w:r w:rsidRPr="004804D2">
        <w:rPr>
          <w:rFonts w:ascii="Times New Roman" w:hAnsi="Times New Roman" w:cs="Times New Roman"/>
          <w:lang w:bidi="lt-LT"/>
        </w:rPr>
        <w:t>skyrių).</w:t>
      </w:r>
    </w:p>
    <w:p w14:paraId="045E2E12" w14:textId="2C1A23F5" w:rsidR="0085331F" w:rsidRPr="004804D2" w:rsidRDefault="0085331F" w:rsidP="00D46A9C">
      <w:pPr>
        <w:suppressAutoHyphens/>
        <w:autoSpaceDN w:val="0"/>
        <w:spacing w:after="0" w:line="240" w:lineRule="auto"/>
        <w:jc w:val="both"/>
        <w:rPr>
          <w:rFonts w:ascii="Times New Roman" w:eastAsia="Calibri" w:hAnsi="Times New Roman" w:cs="Times New Roman"/>
        </w:rPr>
      </w:pPr>
    </w:p>
    <w:p w14:paraId="3D781D2D" w14:textId="007BB13D" w:rsidR="0085331F" w:rsidRPr="004804D2" w:rsidRDefault="0085331F" w:rsidP="00706810">
      <w:pPr>
        <w:keepNext/>
        <w:keepLines/>
        <w:numPr>
          <w:ilvl w:val="1"/>
          <w:numId w:val="5"/>
        </w:numPr>
        <w:suppressAutoHyphens/>
        <w:autoSpaceDN w:val="0"/>
        <w:spacing w:after="0" w:line="240" w:lineRule="auto"/>
        <w:ind w:left="567" w:hanging="567"/>
        <w:jc w:val="both"/>
        <w:outlineLvl w:val="0"/>
        <w:rPr>
          <w:rFonts w:ascii="Times New Roman" w:eastAsiaTheme="majorEastAsia" w:hAnsi="Times New Roman" w:cs="Times New Roman"/>
          <w:b/>
          <w:bCs/>
        </w:rPr>
      </w:pPr>
      <w:r w:rsidRPr="004804D2">
        <w:rPr>
          <w:rFonts w:ascii="Times New Roman" w:hAnsi="Times New Roman" w:cs="Times New Roman"/>
          <w:b/>
          <w:lang w:bidi="lt-LT"/>
        </w:rPr>
        <w:t>Farmakokinetinės savybės</w:t>
      </w:r>
    </w:p>
    <w:p w14:paraId="07C160D4" w14:textId="77777777" w:rsidR="00E03573" w:rsidRDefault="00E03573" w:rsidP="00E03573">
      <w:pPr>
        <w:suppressAutoHyphens/>
        <w:autoSpaceDN w:val="0"/>
        <w:spacing w:after="0" w:line="240" w:lineRule="auto"/>
        <w:rPr>
          <w:rFonts w:ascii="Times New Roman" w:hAnsi="Times New Roman" w:cs="Times New Roman"/>
          <w:lang w:bidi="lt-LT"/>
        </w:rPr>
      </w:pPr>
    </w:p>
    <w:p w14:paraId="1A3C4870" w14:textId="75E9DD59" w:rsidR="0085331F" w:rsidRPr="004804D2" w:rsidRDefault="0085331F" w:rsidP="00282DBB">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farmakokinetika plačiai buvo tirta sveikų savanorių ir 2 tipo cukriniu diabetu sergančių pacientų organizme. 5</w:t>
      </w:r>
      <w:r w:rsidR="00E03573">
        <w:rPr>
          <w:rFonts w:ascii="Times New Roman" w:hAnsi="Times New Roman" w:cs="Times New Roman"/>
          <w:lang w:bidi="lt-LT"/>
        </w:rPr>
        <w:t> </w:t>
      </w:r>
      <w:r w:rsidRPr="004804D2">
        <w:rPr>
          <w:rFonts w:ascii="Times New Roman" w:hAnsi="Times New Roman" w:cs="Times New Roman"/>
          <w:lang w:bidi="lt-LT"/>
        </w:rPr>
        <w:t>mg dozę išgėrusių sveikų savanorių ar pacientų organizme linagliptino absorbcija buvo greita, didžiausia koncentracija kraujo plazmoje atsirado po 1,5</w:t>
      </w:r>
      <w:r w:rsidR="00E03573">
        <w:rPr>
          <w:rFonts w:ascii="Times New Roman" w:hAnsi="Times New Roman" w:cs="Times New Roman"/>
          <w:lang w:bidi="lt-LT"/>
        </w:rPr>
        <w:t> </w:t>
      </w:r>
      <w:r w:rsidRPr="004804D2">
        <w:rPr>
          <w:rFonts w:ascii="Times New Roman" w:hAnsi="Times New Roman" w:cs="Times New Roman"/>
          <w:lang w:bidi="lt-LT"/>
        </w:rPr>
        <w:t>val. (T</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vidurkis).</w:t>
      </w:r>
    </w:p>
    <w:p w14:paraId="01E2496C" w14:textId="374034F7" w:rsidR="0085331F" w:rsidRPr="004804D2" w:rsidRDefault="0085331F" w:rsidP="00E95834">
      <w:pPr>
        <w:suppressAutoHyphens/>
        <w:autoSpaceDN w:val="0"/>
        <w:spacing w:after="0" w:line="240" w:lineRule="auto"/>
        <w:rPr>
          <w:rFonts w:ascii="Times New Roman" w:eastAsia="Calibri" w:hAnsi="Times New Roman" w:cs="Times New Roman"/>
        </w:rPr>
      </w:pPr>
    </w:p>
    <w:p w14:paraId="353CC9AA" w14:textId="06E8F967" w:rsidR="0085331F" w:rsidRPr="004804D2" w:rsidRDefault="0085331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koncentracijos mažėjimas kraujo plazmoje yra trifazis, galutinės fazės metu pusinės eliminacijos laikas yra ilgas (galutinė linagliptino pusinė eliminacija trunka ilgiau negu 100</w:t>
      </w:r>
      <w:r w:rsidR="005978D6">
        <w:rPr>
          <w:rFonts w:ascii="Times New Roman" w:hAnsi="Times New Roman" w:cs="Times New Roman"/>
          <w:lang w:bidi="lt-LT"/>
        </w:rPr>
        <w:t> </w:t>
      </w:r>
      <w:r w:rsidRPr="004804D2">
        <w:rPr>
          <w:rFonts w:ascii="Times New Roman" w:hAnsi="Times New Roman" w:cs="Times New Roman"/>
          <w:lang w:bidi="lt-LT"/>
        </w:rPr>
        <w:t>val.) ir daugiausiai priklauso nuo įsotinamojo, tvirto prisijungimo prie DPP-4, o vaistinio preparato kaupimuisi organizme įtakos nedaro. Linagliptino kaupimosi efektyvus laikas, nustatytas daugkartinių 5</w:t>
      </w:r>
      <w:r w:rsidR="005978D6">
        <w:rPr>
          <w:rFonts w:ascii="Times New Roman" w:hAnsi="Times New Roman" w:cs="Times New Roman"/>
          <w:lang w:bidi="lt-LT"/>
        </w:rPr>
        <w:t> </w:t>
      </w:r>
      <w:r w:rsidRPr="004804D2">
        <w:rPr>
          <w:rFonts w:ascii="Times New Roman" w:hAnsi="Times New Roman" w:cs="Times New Roman"/>
          <w:lang w:bidi="lt-LT"/>
        </w:rPr>
        <w:t>mg dozių vartojimo per burną metu, yra maždaug 12</w:t>
      </w:r>
      <w:r w:rsidR="005978D6">
        <w:rPr>
          <w:rFonts w:ascii="Times New Roman" w:hAnsi="Times New Roman" w:cs="Times New Roman"/>
          <w:lang w:bidi="lt-LT"/>
        </w:rPr>
        <w:t> </w:t>
      </w:r>
      <w:r w:rsidRPr="004804D2">
        <w:rPr>
          <w:rFonts w:ascii="Times New Roman" w:hAnsi="Times New Roman" w:cs="Times New Roman"/>
          <w:lang w:bidi="lt-LT"/>
        </w:rPr>
        <w:t>val. Vartojant po vieną 5</w:t>
      </w:r>
      <w:r w:rsidR="005978D6">
        <w:rPr>
          <w:rFonts w:ascii="Times New Roman" w:hAnsi="Times New Roman" w:cs="Times New Roman"/>
          <w:lang w:bidi="lt-LT"/>
        </w:rPr>
        <w:t> </w:t>
      </w:r>
      <w:r w:rsidRPr="004804D2">
        <w:rPr>
          <w:rFonts w:ascii="Times New Roman" w:hAnsi="Times New Roman" w:cs="Times New Roman"/>
          <w:lang w:bidi="lt-LT"/>
        </w:rPr>
        <w:t>mg linagliptino dozę per parą, pusiausvyrinė koncentracija kraujo plazmoje nusistovi po trečiosios dozės pavartojimo. 5</w:t>
      </w:r>
      <w:r w:rsidR="005978D6">
        <w:rPr>
          <w:rFonts w:ascii="Times New Roman" w:hAnsi="Times New Roman" w:cs="Times New Roman"/>
          <w:lang w:bidi="lt-LT"/>
        </w:rPr>
        <w:t> </w:t>
      </w:r>
      <w:r w:rsidRPr="004804D2">
        <w:rPr>
          <w:rFonts w:ascii="Times New Roman" w:hAnsi="Times New Roman" w:cs="Times New Roman"/>
          <w:lang w:bidi="lt-LT"/>
        </w:rPr>
        <w:t>mg dozę vartojant nusistovėjus pusiausvyrinei koncentracijai, linagliptino AUC būna maždaug 33</w:t>
      </w:r>
      <w:r w:rsidR="005978D6">
        <w:rPr>
          <w:rFonts w:ascii="Times New Roman" w:hAnsi="Times New Roman" w:cs="Times New Roman"/>
          <w:lang w:bidi="lt-LT"/>
        </w:rPr>
        <w:t> </w:t>
      </w:r>
      <w:r w:rsidRPr="004804D2">
        <w:rPr>
          <w:rFonts w:ascii="Times New Roman" w:hAnsi="Times New Roman" w:cs="Times New Roman"/>
          <w:lang w:bidi="lt-LT"/>
        </w:rPr>
        <w:t>% didesnis negu po pirmosios dozės pavartojimo. Atskirų ir to paties paciento organizme linagliptino AUC variacijos koeficientas buvo mažas (atitinkamai 12,6</w:t>
      </w:r>
      <w:r w:rsidR="005978D6">
        <w:rPr>
          <w:rFonts w:ascii="Times New Roman" w:hAnsi="Times New Roman" w:cs="Times New Roman"/>
          <w:lang w:bidi="lt-LT"/>
        </w:rPr>
        <w:t> </w:t>
      </w:r>
      <w:r w:rsidRPr="004804D2">
        <w:rPr>
          <w:rFonts w:ascii="Times New Roman" w:hAnsi="Times New Roman" w:cs="Times New Roman"/>
          <w:lang w:bidi="lt-LT"/>
        </w:rPr>
        <w:t>% ir 28,5</w:t>
      </w:r>
      <w:r w:rsidR="005978D6">
        <w:rPr>
          <w:rFonts w:ascii="Times New Roman" w:hAnsi="Times New Roman" w:cs="Times New Roman"/>
          <w:lang w:bidi="lt-LT"/>
        </w:rPr>
        <w:t> </w:t>
      </w:r>
      <w:r w:rsidRPr="004804D2">
        <w:rPr>
          <w:rFonts w:ascii="Times New Roman" w:hAnsi="Times New Roman" w:cs="Times New Roman"/>
          <w:lang w:bidi="lt-LT"/>
        </w:rPr>
        <w:t xml:space="preserve">%). Dėl nuo koncentracijos priklausomo linagliptino prisijungimo prie DPP-4 linagliptino farmakokinetika, remiantis bendra ekspozicija, nėra tiesinė: bendro linagliptino AUC didėja mažiau negu dozei proporcingai, </w:t>
      </w:r>
      <w:r w:rsidRPr="004804D2">
        <w:rPr>
          <w:rFonts w:ascii="Times New Roman" w:hAnsi="Times New Roman" w:cs="Times New Roman"/>
          <w:lang w:bidi="lt-LT"/>
        </w:rPr>
        <w:lastRenderedPageBreak/>
        <w:t>neprisijungusio linagliptino AUC – apytikriai proporcingai dozės dydžiui. Sveikų asmenų ir 2 tipo cukriniu diabetu sergančių pacientų organizme linagliptino farmakokinetika paprastai buvo panaši.</w:t>
      </w:r>
    </w:p>
    <w:p w14:paraId="1177E743" w14:textId="3FEFB0D5" w:rsidR="0085331F" w:rsidRPr="004804D2" w:rsidRDefault="0085331F" w:rsidP="00E95834">
      <w:pPr>
        <w:suppressAutoHyphens/>
        <w:autoSpaceDN w:val="0"/>
        <w:spacing w:after="0" w:line="240" w:lineRule="auto"/>
        <w:rPr>
          <w:rFonts w:ascii="Times New Roman" w:eastAsia="Calibri" w:hAnsi="Times New Roman" w:cs="Times New Roman"/>
        </w:rPr>
      </w:pPr>
    </w:p>
    <w:p w14:paraId="1AC47972" w14:textId="77777777" w:rsidR="0085331F" w:rsidRPr="004804D2" w:rsidRDefault="0085331F"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Absorbcija</w:t>
      </w:r>
    </w:p>
    <w:p w14:paraId="695FBDC2" w14:textId="40EA347C" w:rsidR="0085331F" w:rsidRPr="004804D2" w:rsidRDefault="0085331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Absoliutus linagliptino biologinis prieinamumas yra maždaug 30</w:t>
      </w:r>
      <w:r w:rsidR="005978D6">
        <w:rPr>
          <w:rFonts w:ascii="Times New Roman" w:hAnsi="Times New Roman" w:cs="Times New Roman"/>
          <w:lang w:bidi="lt-LT"/>
        </w:rPr>
        <w:t> </w:t>
      </w:r>
      <w:r w:rsidRPr="004804D2">
        <w:rPr>
          <w:rFonts w:ascii="Times New Roman" w:hAnsi="Times New Roman" w:cs="Times New Roman"/>
          <w:lang w:bidi="lt-LT"/>
        </w:rPr>
        <w:t>%. Labai riebus maistas kartu pavartoto linagliptino laiką iki tol, kol koncentracija kraujo plazmoje tampa didžiausia, pailgino 2</w:t>
      </w:r>
      <w:r w:rsidR="005978D6">
        <w:rPr>
          <w:rFonts w:ascii="Times New Roman" w:hAnsi="Times New Roman" w:cs="Times New Roman"/>
          <w:lang w:bidi="lt-LT"/>
        </w:rPr>
        <w:t> </w:t>
      </w:r>
      <w:r w:rsidRPr="004804D2">
        <w:rPr>
          <w:rFonts w:ascii="Times New Roman" w:hAnsi="Times New Roman" w:cs="Times New Roman"/>
          <w:lang w:bidi="lt-LT"/>
        </w:rPr>
        <w:t>val. ir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sumažino 15</w:t>
      </w:r>
      <w:r w:rsidR="005978D6">
        <w:rPr>
          <w:rFonts w:ascii="Times New Roman" w:hAnsi="Times New Roman" w:cs="Times New Roman"/>
          <w:lang w:bidi="lt-LT"/>
        </w:rPr>
        <w:t> </w:t>
      </w:r>
      <w:r w:rsidRPr="004804D2">
        <w:rPr>
          <w:rFonts w:ascii="Times New Roman" w:hAnsi="Times New Roman" w:cs="Times New Roman"/>
          <w:lang w:bidi="lt-LT"/>
        </w:rPr>
        <w:t xml:space="preserve">%, tačiau AUC </w:t>
      </w:r>
      <w:r w:rsidRPr="004804D2">
        <w:rPr>
          <w:rFonts w:ascii="Times New Roman" w:hAnsi="Times New Roman" w:cs="Times New Roman"/>
          <w:vertAlign w:val="subscript"/>
          <w:lang w:bidi="lt-LT"/>
        </w:rPr>
        <w:t>0-72h</w:t>
      </w:r>
      <w:r w:rsidRPr="004804D2">
        <w:rPr>
          <w:rFonts w:ascii="Times New Roman" w:hAnsi="Times New Roman" w:cs="Times New Roman"/>
          <w:lang w:bidi="lt-LT"/>
        </w:rPr>
        <w:t xml:space="preserve"> poveikio nedarė. Kliniškai reikšmingas poveikis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ir T</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nėra tikėtinas, todėl linagliptino galima gerti valgio metu arba nevalgius.</w:t>
      </w:r>
    </w:p>
    <w:p w14:paraId="7D39A52C" w14:textId="2782934E" w:rsidR="0085331F" w:rsidRPr="004804D2" w:rsidRDefault="0085331F" w:rsidP="0085331F">
      <w:pPr>
        <w:suppressAutoHyphens/>
        <w:autoSpaceDN w:val="0"/>
        <w:spacing w:after="0" w:line="240" w:lineRule="auto"/>
        <w:jc w:val="both"/>
        <w:rPr>
          <w:rFonts w:ascii="Times New Roman" w:eastAsia="Calibri" w:hAnsi="Times New Roman" w:cs="Times New Roman"/>
        </w:rPr>
      </w:pPr>
    </w:p>
    <w:p w14:paraId="1316561C" w14:textId="77777777" w:rsidR="0085331F" w:rsidRPr="004804D2" w:rsidRDefault="0085331F" w:rsidP="0085331F">
      <w:pPr>
        <w:suppressAutoHyphens/>
        <w:autoSpaceDN w:val="0"/>
        <w:spacing w:after="0" w:line="240" w:lineRule="auto"/>
        <w:jc w:val="both"/>
        <w:rPr>
          <w:rFonts w:ascii="Times New Roman" w:eastAsia="Calibri" w:hAnsi="Times New Roman" w:cs="Times New Roman"/>
          <w:u w:val="single"/>
        </w:rPr>
      </w:pPr>
      <w:r w:rsidRPr="004804D2">
        <w:rPr>
          <w:rFonts w:ascii="Times New Roman" w:hAnsi="Times New Roman" w:cs="Times New Roman"/>
          <w:u w:val="single"/>
          <w:lang w:bidi="lt-LT"/>
        </w:rPr>
        <w:t>Pasiskirstymas</w:t>
      </w:r>
    </w:p>
    <w:p w14:paraId="5759D6CD" w14:textId="75F46132" w:rsidR="0085331F" w:rsidRPr="004804D2" w:rsidRDefault="0085331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Sveikų asmenų organizme į veną suleistos 5</w:t>
      </w:r>
      <w:r w:rsidR="005978D6">
        <w:rPr>
          <w:rFonts w:ascii="Times New Roman" w:hAnsi="Times New Roman" w:cs="Times New Roman"/>
          <w:lang w:bidi="lt-LT"/>
        </w:rPr>
        <w:t> </w:t>
      </w:r>
      <w:r w:rsidRPr="004804D2">
        <w:rPr>
          <w:rFonts w:ascii="Times New Roman" w:hAnsi="Times New Roman" w:cs="Times New Roman"/>
          <w:lang w:bidi="lt-LT"/>
        </w:rPr>
        <w:t>mg linagliptino dozės vidutinis tariamasis pasiskirstymo tūris nusistovėjus pusiausvyrinei koncentracijai dėl prisijungimo prie audinių yra maždaug 1</w:t>
      </w:r>
      <w:r w:rsidR="005978D6">
        <w:rPr>
          <w:rFonts w:ascii="Times New Roman" w:hAnsi="Times New Roman" w:cs="Times New Roman"/>
          <w:lang w:bidi="lt-LT"/>
        </w:rPr>
        <w:t> </w:t>
      </w:r>
      <w:r w:rsidRPr="004804D2">
        <w:rPr>
          <w:rFonts w:ascii="Times New Roman" w:hAnsi="Times New Roman" w:cs="Times New Roman"/>
          <w:lang w:bidi="lt-LT"/>
        </w:rPr>
        <w:t>110</w:t>
      </w:r>
      <w:r w:rsidR="005978D6">
        <w:rPr>
          <w:rFonts w:ascii="Times New Roman" w:hAnsi="Times New Roman" w:cs="Times New Roman"/>
          <w:lang w:bidi="lt-LT"/>
        </w:rPr>
        <w:t> </w:t>
      </w:r>
      <w:r w:rsidRPr="004804D2">
        <w:rPr>
          <w:rFonts w:ascii="Times New Roman" w:hAnsi="Times New Roman" w:cs="Times New Roman"/>
          <w:lang w:bidi="lt-LT"/>
        </w:rPr>
        <w:t>litrų. Tai rodo, kad linagliptinas plačiai pasiskirsto audiniuose. Linagliptino prisijungimas prie kraujo plazmos baltymų priklauso nuo jo koncentracijos kraujyje: jei koncentracija yra 1</w:t>
      </w:r>
      <w:r w:rsidR="005978D6">
        <w:rPr>
          <w:rFonts w:ascii="Times New Roman" w:hAnsi="Times New Roman" w:cs="Times New Roman"/>
          <w:lang w:bidi="lt-LT"/>
        </w:rPr>
        <w:t> </w:t>
      </w:r>
      <w:r w:rsidRPr="004804D2">
        <w:rPr>
          <w:rFonts w:ascii="Times New Roman" w:hAnsi="Times New Roman" w:cs="Times New Roman"/>
          <w:lang w:bidi="lt-LT"/>
        </w:rPr>
        <w:t>nmol/l, prisijungia maždaug 99</w:t>
      </w:r>
      <w:r w:rsidR="005978D6">
        <w:rPr>
          <w:rFonts w:ascii="Times New Roman" w:hAnsi="Times New Roman" w:cs="Times New Roman"/>
          <w:lang w:bidi="lt-LT"/>
        </w:rPr>
        <w:t> </w:t>
      </w:r>
      <w:r w:rsidRPr="004804D2">
        <w:rPr>
          <w:rFonts w:ascii="Times New Roman" w:hAnsi="Times New Roman" w:cs="Times New Roman"/>
          <w:lang w:bidi="lt-LT"/>
        </w:rPr>
        <w:t>%, jei ≥</w:t>
      </w:r>
      <w:r w:rsidR="005978D6">
        <w:rPr>
          <w:rFonts w:ascii="Times New Roman" w:hAnsi="Times New Roman" w:cs="Times New Roman"/>
          <w:lang w:bidi="lt-LT"/>
        </w:rPr>
        <w:t> </w:t>
      </w:r>
      <w:r w:rsidRPr="004804D2">
        <w:rPr>
          <w:rFonts w:ascii="Times New Roman" w:hAnsi="Times New Roman" w:cs="Times New Roman"/>
          <w:lang w:bidi="lt-LT"/>
        </w:rPr>
        <w:t>30</w:t>
      </w:r>
      <w:r w:rsidR="00E12246">
        <w:rPr>
          <w:rFonts w:ascii="Times New Roman" w:hAnsi="Times New Roman" w:cs="Times New Roman"/>
          <w:lang w:bidi="lt-LT"/>
        </w:rPr>
        <w:t> </w:t>
      </w:r>
      <w:r w:rsidRPr="004804D2">
        <w:rPr>
          <w:rFonts w:ascii="Times New Roman" w:hAnsi="Times New Roman" w:cs="Times New Roman"/>
          <w:lang w:bidi="lt-LT"/>
        </w:rPr>
        <w:t>nmol/l – 75</w:t>
      </w:r>
      <w:r w:rsidR="00E12246">
        <w:rPr>
          <w:rFonts w:ascii="Times New Roman" w:hAnsi="Times New Roman" w:cs="Times New Roman"/>
          <w:lang w:bidi="lt-LT"/>
        </w:rPr>
        <w:t>-</w:t>
      </w:r>
      <w:r w:rsidRPr="004804D2">
        <w:rPr>
          <w:rFonts w:ascii="Times New Roman" w:hAnsi="Times New Roman" w:cs="Times New Roman"/>
          <w:lang w:bidi="lt-LT"/>
        </w:rPr>
        <w:t>89</w:t>
      </w:r>
      <w:r w:rsidR="00E12246">
        <w:rPr>
          <w:rFonts w:ascii="Times New Roman" w:hAnsi="Times New Roman" w:cs="Times New Roman"/>
          <w:lang w:bidi="lt-LT"/>
        </w:rPr>
        <w:t> </w:t>
      </w:r>
      <w:r w:rsidRPr="004804D2">
        <w:rPr>
          <w:rFonts w:ascii="Times New Roman" w:hAnsi="Times New Roman" w:cs="Times New Roman"/>
          <w:lang w:bidi="lt-LT"/>
        </w:rPr>
        <w:t>%. Tai rodo, kad prisijungimas prie DDP-4 įsotinamas didėjant linagliptino koncentracijai kraujyje. Kai koncentracija didelė ir prisijungimas prie DPP-4 visiškai įsotintas, prie kitokių (ne DPP-4) kraujo plazmos baltymų linagliptino prisijungė 70-80</w:t>
      </w:r>
      <w:r w:rsidR="00E12246">
        <w:rPr>
          <w:rFonts w:ascii="Times New Roman" w:hAnsi="Times New Roman" w:cs="Times New Roman"/>
          <w:lang w:bidi="lt-LT"/>
        </w:rPr>
        <w:t> </w:t>
      </w:r>
      <w:r w:rsidRPr="004804D2">
        <w:rPr>
          <w:rFonts w:ascii="Times New Roman" w:hAnsi="Times New Roman" w:cs="Times New Roman"/>
          <w:lang w:bidi="lt-LT"/>
        </w:rPr>
        <w:t>%, o neprisijungusio kraujo plazmoje buvo 30-20</w:t>
      </w:r>
      <w:r w:rsidR="00E12246">
        <w:rPr>
          <w:rFonts w:ascii="Times New Roman" w:hAnsi="Times New Roman" w:cs="Times New Roman"/>
          <w:lang w:bidi="lt-LT"/>
        </w:rPr>
        <w:t> </w:t>
      </w:r>
      <w:r w:rsidRPr="004804D2">
        <w:rPr>
          <w:rFonts w:ascii="Times New Roman" w:hAnsi="Times New Roman" w:cs="Times New Roman"/>
          <w:lang w:bidi="lt-LT"/>
        </w:rPr>
        <w:t>%.</w:t>
      </w:r>
    </w:p>
    <w:p w14:paraId="48F74F70" w14:textId="52AF52FA" w:rsidR="00A81814" w:rsidRPr="004804D2" w:rsidRDefault="00A81814" w:rsidP="00E95834">
      <w:pPr>
        <w:suppressAutoHyphens/>
        <w:autoSpaceDN w:val="0"/>
        <w:spacing w:after="0" w:line="240" w:lineRule="auto"/>
        <w:rPr>
          <w:rFonts w:ascii="Times New Roman" w:eastAsia="Calibri" w:hAnsi="Times New Roman" w:cs="Times New Roman"/>
        </w:rPr>
      </w:pPr>
    </w:p>
    <w:p w14:paraId="5E498B71" w14:textId="77777777" w:rsidR="00A81814" w:rsidRPr="004804D2" w:rsidRDefault="00A81814"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Biotransformacija</w:t>
      </w:r>
    </w:p>
    <w:p w14:paraId="2B0F321D" w14:textId="3BDE78D6"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Išgėrus 10</w:t>
      </w:r>
      <w:r w:rsidR="00E12246">
        <w:rPr>
          <w:rFonts w:ascii="Times New Roman" w:hAnsi="Times New Roman" w:cs="Times New Roman"/>
          <w:lang w:bidi="lt-LT"/>
        </w:rPr>
        <w:t> </w:t>
      </w:r>
      <w:r w:rsidRPr="004804D2">
        <w:rPr>
          <w:rFonts w:ascii="Times New Roman" w:hAnsi="Times New Roman" w:cs="Times New Roman"/>
          <w:lang w:bidi="lt-LT"/>
        </w:rPr>
        <w:t>mg [</w:t>
      </w:r>
      <w:r w:rsidRPr="004804D2">
        <w:rPr>
          <w:rFonts w:ascii="Times New Roman" w:hAnsi="Times New Roman" w:cs="Times New Roman"/>
          <w:vertAlign w:val="superscript"/>
          <w:lang w:bidi="lt-LT"/>
        </w:rPr>
        <w:t>14</w:t>
      </w:r>
      <w:r w:rsidRPr="004804D2">
        <w:rPr>
          <w:rFonts w:ascii="Times New Roman" w:hAnsi="Times New Roman" w:cs="Times New Roman"/>
          <w:lang w:bidi="lt-LT"/>
        </w:rPr>
        <w:t>C] linagliptino dozę, maždaug 5</w:t>
      </w:r>
      <w:r w:rsidR="00E12246">
        <w:rPr>
          <w:rFonts w:ascii="Times New Roman" w:hAnsi="Times New Roman" w:cs="Times New Roman"/>
          <w:lang w:bidi="lt-LT"/>
        </w:rPr>
        <w:t> </w:t>
      </w:r>
      <w:r w:rsidRPr="004804D2">
        <w:rPr>
          <w:rFonts w:ascii="Times New Roman" w:hAnsi="Times New Roman" w:cs="Times New Roman"/>
          <w:lang w:bidi="lt-LT"/>
        </w:rPr>
        <w:t>% radioaktyvumo iš organizmo buvo išskirta su šlapimu. Metabolizmas linagliptino eliminacijai nėra toks svarbus. Vieno svarbiausio metabolito santykinė 13,3</w:t>
      </w:r>
      <w:r w:rsidR="00E12246">
        <w:rPr>
          <w:rFonts w:ascii="Times New Roman" w:hAnsi="Times New Roman" w:cs="Times New Roman"/>
          <w:lang w:bidi="lt-LT"/>
        </w:rPr>
        <w:t> </w:t>
      </w:r>
      <w:r w:rsidRPr="004804D2">
        <w:rPr>
          <w:rFonts w:ascii="Times New Roman" w:hAnsi="Times New Roman" w:cs="Times New Roman"/>
          <w:lang w:bidi="lt-LT"/>
        </w:rPr>
        <w:t>% ekspozicija buvo nustatyta nusistovėjus linagliptino pusiausvyrinei koncentracijai, tačiau farmakologiškai šis metabolitas yra neveiklus, todėl neprisideda prie linagliptino sukeliamo DPP-4 slopinimo kraujo plazmoje.</w:t>
      </w:r>
    </w:p>
    <w:p w14:paraId="1CC9E318" w14:textId="0819CCF0" w:rsidR="00A81814" w:rsidRPr="004804D2" w:rsidRDefault="00A81814" w:rsidP="00E95834">
      <w:pPr>
        <w:suppressAutoHyphens/>
        <w:autoSpaceDN w:val="0"/>
        <w:spacing w:after="0" w:line="240" w:lineRule="auto"/>
        <w:rPr>
          <w:rFonts w:ascii="Times New Roman" w:eastAsia="Calibri" w:hAnsi="Times New Roman" w:cs="Times New Roman"/>
        </w:rPr>
      </w:pPr>
    </w:p>
    <w:p w14:paraId="4B03E9C3" w14:textId="6B387FA7" w:rsidR="00A81814" w:rsidRPr="004804D2" w:rsidRDefault="00460ADC" w:rsidP="00E95834">
      <w:pPr>
        <w:suppressAutoHyphens/>
        <w:autoSpaceDN w:val="0"/>
        <w:spacing w:after="0" w:line="240" w:lineRule="auto"/>
        <w:rPr>
          <w:rFonts w:ascii="Times New Roman" w:eastAsia="Calibri" w:hAnsi="Times New Roman" w:cs="Times New Roman"/>
          <w:u w:val="single"/>
        </w:rPr>
      </w:pPr>
      <w:r w:rsidRPr="004804D2">
        <w:rPr>
          <w:rFonts w:ascii="Times New Roman" w:hAnsi="Times New Roman" w:cs="Times New Roman"/>
          <w:u w:val="single"/>
          <w:lang w:bidi="lt-LT"/>
        </w:rPr>
        <w:t>Eliminacija</w:t>
      </w:r>
    </w:p>
    <w:p w14:paraId="60D7D606" w14:textId="733E60AE"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Iš sveikų savanorių, išgėrusių 10</w:t>
      </w:r>
      <w:r w:rsidR="00E12246">
        <w:rPr>
          <w:rFonts w:ascii="Times New Roman" w:hAnsi="Times New Roman" w:cs="Times New Roman"/>
          <w:lang w:bidi="lt-LT"/>
        </w:rPr>
        <w:t> </w:t>
      </w:r>
      <w:r w:rsidRPr="004804D2">
        <w:rPr>
          <w:rFonts w:ascii="Times New Roman" w:hAnsi="Times New Roman" w:cs="Times New Roman"/>
          <w:lang w:bidi="lt-LT"/>
        </w:rPr>
        <w:t>mg [</w:t>
      </w:r>
      <w:r w:rsidRPr="004804D2">
        <w:rPr>
          <w:rFonts w:ascii="Times New Roman" w:hAnsi="Times New Roman" w:cs="Times New Roman"/>
          <w:vertAlign w:val="superscript"/>
          <w:lang w:bidi="lt-LT"/>
        </w:rPr>
        <w:t>14</w:t>
      </w:r>
      <w:r w:rsidRPr="004804D2">
        <w:rPr>
          <w:rFonts w:ascii="Times New Roman" w:hAnsi="Times New Roman" w:cs="Times New Roman"/>
          <w:lang w:bidi="lt-LT"/>
        </w:rPr>
        <w:t>C] linagliptino dozę, organizmo maždaug 85</w:t>
      </w:r>
      <w:r w:rsidR="00E12246">
        <w:rPr>
          <w:rFonts w:ascii="Times New Roman" w:hAnsi="Times New Roman" w:cs="Times New Roman"/>
          <w:lang w:bidi="lt-LT"/>
        </w:rPr>
        <w:t> </w:t>
      </w:r>
      <w:r w:rsidRPr="004804D2">
        <w:rPr>
          <w:rFonts w:ascii="Times New Roman" w:hAnsi="Times New Roman" w:cs="Times New Roman"/>
          <w:lang w:bidi="lt-LT"/>
        </w:rPr>
        <w:t>% pavartoto radioaktyvumo buvo pašalinta su išmatomis (80</w:t>
      </w:r>
      <w:r w:rsidR="00E12246">
        <w:rPr>
          <w:rFonts w:ascii="Times New Roman" w:hAnsi="Times New Roman" w:cs="Times New Roman"/>
          <w:lang w:bidi="lt-LT"/>
        </w:rPr>
        <w:t> </w:t>
      </w:r>
      <w:r w:rsidRPr="004804D2">
        <w:rPr>
          <w:rFonts w:ascii="Times New Roman" w:hAnsi="Times New Roman" w:cs="Times New Roman"/>
          <w:lang w:bidi="lt-LT"/>
        </w:rPr>
        <w:t>%) ir šlapimu (5</w:t>
      </w:r>
      <w:r w:rsidR="00E12246">
        <w:rPr>
          <w:rFonts w:ascii="Times New Roman" w:hAnsi="Times New Roman" w:cs="Times New Roman"/>
          <w:lang w:bidi="lt-LT"/>
        </w:rPr>
        <w:t> </w:t>
      </w:r>
      <w:r w:rsidRPr="004804D2">
        <w:rPr>
          <w:rFonts w:ascii="Times New Roman" w:hAnsi="Times New Roman" w:cs="Times New Roman"/>
          <w:lang w:bidi="lt-LT"/>
        </w:rPr>
        <w:t>%) per 4 paras. Inkstų klirensas, esant pusiausvyrinei koncnetracijai, buvo 70</w:t>
      </w:r>
      <w:r w:rsidR="00E12246">
        <w:rPr>
          <w:rFonts w:ascii="Times New Roman" w:hAnsi="Times New Roman" w:cs="Times New Roman"/>
          <w:lang w:bidi="lt-LT"/>
        </w:rPr>
        <w:t> </w:t>
      </w:r>
      <w:r w:rsidRPr="004804D2">
        <w:rPr>
          <w:rFonts w:ascii="Times New Roman" w:hAnsi="Times New Roman" w:cs="Times New Roman"/>
          <w:lang w:bidi="lt-LT"/>
        </w:rPr>
        <w:t>ml/min.</w:t>
      </w:r>
    </w:p>
    <w:p w14:paraId="5C9BC75D" w14:textId="5F3C1419" w:rsidR="00A81814" w:rsidRPr="004804D2" w:rsidRDefault="00A81814" w:rsidP="00E95834">
      <w:pPr>
        <w:suppressAutoHyphens/>
        <w:autoSpaceDN w:val="0"/>
        <w:spacing w:after="0" w:line="240" w:lineRule="auto"/>
        <w:rPr>
          <w:rFonts w:ascii="Times New Roman" w:eastAsia="Calibri" w:hAnsi="Times New Roman" w:cs="Times New Roman"/>
        </w:rPr>
      </w:pPr>
    </w:p>
    <w:p w14:paraId="1EDBF0B4" w14:textId="4FA8622D" w:rsidR="00A81814" w:rsidRPr="004804D2" w:rsidRDefault="00A81814" w:rsidP="00E95834">
      <w:pPr>
        <w:suppressAutoHyphens/>
        <w:autoSpaceDN w:val="0"/>
        <w:spacing w:after="0" w:line="240" w:lineRule="auto"/>
        <w:rPr>
          <w:rFonts w:ascii="Times New Roman" w:eastAsia="Calibri" w:hAnsi="Times New Roman" w:cs="Times New Roman"/>
          <w:iCs/>
          <w:u w:val="single"/>
        </w:rPr>
      </w:pPr>
      <w:r w:rsidRPr="004804D2">
        <w:rPr>
          <w:rFonts w:ascii="Times New Roman" w:hAnsi="Times New Roman" w:cs="Times New Roman"/>
          <w:u w:val="single"/>
          <w:lang w:bidi="lt-LT"/>
        </w:rPr>
        <w:t>Ypatingos populiacijos</w:t>
      </w:r>
    </w:p>
    <w:p w14:paraId="09CB472C" w14:textId="567608E6" w:rsidR="00A81814" w:rsidRPr="004804D2" w:rsidRDefault="00A81814" w:rsidP="00E95834">
      <w:pPr>
        <w:suppressAutoHyphens/>
        <w:autoSpaceDN w:val="0"/>
        <w:spacing w:after="0" w:line="240" w:lineRule="auto"/>
        <w:rPr>
          <w:rFonts w:ascii="Times New Roman" w:eastAsia="Calibri" w:hAnsi="Times New Roman" w:cs="Times New Roman"/>
          <w:i/>
          <w:iCs/>
          <w:u w:val="single"/>
        </w:rPr>
      </w:pPr>
    </w:p>
    <w:p w14:paraId="6A6E5901" w14:textId="77777777" w:rsidR="00A81814" w:rsidRPr="004804D2" w:rsidRDefault="00A81814"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Pacientams, kurių inkstų funkcija sutrikusi</w:t>
      </w:r>
    </w:p>
    <w:p w14:paraId="51A6FE31" w14:textId="5E1EAA1E"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Daugkartinių 5</w:t>
      </w:r>
      <w:r w:rsidR="00E12246">
        <w:rPr>
          <w:rFonts w:ascii="Times New Roman" w:hAnsi="Times New Roman" w:cs="Times New Roman"/>
          <w:lang w:bidi="lt-LT"/>
        </w:rPr>
        <w:t> </w:t>
      </w:r>
      <w:r w:rsidRPr="004804D2">
        <w:rPr>
          <w:rFonts w:ascii="Times New Roman" w:hAnsi="Times New Roman" w:cs="Times New Roman"/>
          <w:lang w:bidi="lt-LT"/>
        </w:rPr>
        <w:t>mg linagliptino dozių farmakokinetika pacientų, sergančių įvairaus sunkumo lėtiniu inkstų nepakankamumu, palyginti su kontrolinės grupės asmenų, kurių inkstų funkcija normali, organizme buvo tirta atviruoju būdu atliekamame tyrime. Tyrime dalyvavo pacientai, kurių inkstų nepakankamumo sunkumas buvo suklasifikuotas, atsižvelgiant į kreatinino klirensą, į lengvą (nuo 50 iki &lt;</w:t>
      </w:r>
      <w:r w:rsidR="00E12246">
        <w:rPr>
          <w:rFonts w:ascii="Times New Roman" w:hAnsi="Times New Roman" w:cs="Times New Roman"/>
          <w:lang w:bidi="lt-LT"/>
        </w:rPr>
        <w:t> </w:t>
      </w:r>
      <w:r w:rsidRPr="004804D2">
        <w:rPr>
          <w:rFonts w:ascii="Times New Roman" w:hAnsi="Times New Roman" w:cs="Times New Roman"/>
          <w:lang w:bidi="lt-LT"/>
        </w:rPr>
        <w:t>80</w:t>
      </w:r>
      <w:r w:rsidR="00E12246">
        <w:rPr>
          <w:rFonts w:ascii="Times New Roman" w:hAnsi="Times New Roman" w:cs="Times New Roman"/>
          <w:lang w:bidi="lt-LT"/>
        </w:rPr>
        <w:t> </w:t>
      </w:r>
      <w:r w:rsidRPr="004804D2">
        <w:rPr>
          <w:rFonts w:ascii="Times New Roman" w:hAnsi="Times New Roman" w:cs="Times New Roman"/>
          <w:lang w:bidi="lt-LT"/>
        </w:rPr>
        <w:t>ml/min.), vidutinio sunkumo (nuo 30 iki &lt;</w:t>
      </w:r>
      <w:r w:rsidR="00E12246">
        <w:rPr>
          <w:rFonts w:ascii="Times New Roman" w:hAnsi="Times New Roman" w:cs="Times New Roman"/>
          <w:lang w:bidi="lt-LT"/>
        </w:rPr>
        <w:t> </w:t>
      </w:r>
      <w:r w:rsidRPr="004804D2">
        <w:rPr>
          <w:rFonts w:ascii="Times New Roman" w:hAnsi="Times New Roman" w:cs="Times New Roman"/>
          <w:lang w:bidi="lt-LT"/>
        </w:rPr>
        <w:t>50</w:t>
      </w:r>
      <w:r w:rsidR="00E12246">
        <w:rPr>
          <w:rFonts w:ascii="Times New Roman" w:hAnsi="Times New Roman" w:cs="Times New Roman"/>
          <w:lang w:bidi="lt-LT"/>
        </w:rPr>
        <w:t> </w:t>
      </w:r>
      <w:r w:rsidRPr="004804D2">
        <w:rPr>
          <w:rFonts w:ascii="Times New Roman" w:hAnsi="Times New Roman" w:cs="Times New Roman"/>
          <w:lang w:bidi="lt-LT"/>
        </w:rPr>
        <w:t>ml/min.) ir sunkų (&lt;</w:t>
      </w:r>
      <w:r w:rsidR="00E12246">
        <w:rPr>
          <w:rFonts w:ascii="Times New Roman" w:hAnsi="Times New Roman" w:cs="Times New Roman"/>
          <w:lang w:bidi="lt-LT"/>
        </w:rPr>
        <w:t> </w:t>
      </w:r>
      <w:r w:rsidRPr="004804D2">
        <w:rPr>
          <w:rFonts w:ascii="Times New Roman" w:hAnsi="Times New Roman" w:cs="Times New Roman"/>
          <w:lang w:bidi="lt-LT"/>
        </w:rPr>
        <w:t>30</w:t>
      </w:r>
      <w:r w:rsidR="00E12246">
        <w:rPr>
          <w:rFonts w:ascii="Times New Roman" w:hAnsi="Times New Roman" w:cs="Times New Roman"/>
          <w:lang w:bidi="lt-LT"/>
        </w:rPr>
        <w:t> </w:t>
      </w:r>
      <w:r w:rsidRPr="004804D2">
        <w:rPr>
          <w:rFonts w:ascii="Times New Roman" w:hAnsi="Times New Roman" w:cs="Times New Roman"/>
          <w:lang w:bidi="lt-LT"/>
        </w:rPr>
        <w:t>ml/min.), bei hemodializuojami pacientai, kuriems buvo galutinė lėtinės inkstų ligos stadija (GSLIL). Be to, farmakokinetika pacientų, kuriems yra 2 tipo cukrinis diabetas ir sunkus inkstų nepakankamumas (kreatinino klirensas &lt;</w:t>
      </w:r>
      <w:r w:rsidR="00E12246">
        <w:rPr>
          <w:rFonts w:ascii="Times New Roman" w:hAnsi="Times New Roman" w:cs="Times New Roman"/>
          <w:lang w:bidi="lt-LT"/>
        </w:rPr>
        <w:t> </w:t>
      </w:r>
      <w:r w:rsidRPr="004804D2">
        <w:rPr>
          <w:rFonts w:ascii="Times New Roman" w:hAnsi="Times New Roman" w:cs="Times New Roman"/>
          <w:lang w:bidi="lt-LT"/>
        </w:rPr>
        <w:t>30</w:t>
      </w:r>
      <w:r w:rsidR="00E12246">
        <w:rPr>
          <w:rFonts w:ascii="Times New Roman" w:hAnsi="Times New Roman" w:cs="Times New Roman"/>
          <w:lang w:bidi="lt-LT"/>
        </w:rPr>
        <w:t> </w:t>
      </w:r>
      <w:r w:rsidRPr="004804D2">
        <w:rPr>
          <w:rFonts w:ascii="Times New Roman" w:hAnsi="Times New Roman" w:cs="Times New Roman"/>
          <w:lang w:bidi="lt-LT"/>
        </w:rPr>
        <w:t>ml/min.), organizme buvo lyginta su farmakokinetika 2 tipo cukriniu diabetu sergančių pacientų, kurių inkstų funkcija normali, organizme. Kreatinino klirensas buvo vertintas atsižvelgiant į su šlapimu išsiskyrusio kreatinino kiekį per 24</w:t>
      </w:r>
      <w:r w:rsidR="00591D9A">
        <w:rPr>
          <w:rFonts w:ascii="Times New Roman" w:hAnsi="Times New Roman" w:cs="Times New Roman"/>
          <w:lang w:bidi="lt-LT"/>
        </w:rPr>
        <w:t> </w:t>
      </w:r>
      <w:r w:rsidRPr="004804D2">
        <w:rPr>
          <w:rFonts w:ascii="Times New Roman" w:hAnsi="Times New Roman" w:cs="Times New Roman"/>
          <w:lang w:bidi="lt-LT"/>
        </w:rPr>
        <w:t xml:space="preserve">val. po pavartojimo arba kreatinino kraujo serume kiekį, apskaičiuotą pagal </w:t>
      </w:r>
      <w:r w:rsidRPr="00706810">
        <w:rPr>
          <w:rFonts w:ascii="Times New Roman" w:hAnsi="Times New Roman" w:cs="Times New Roman"/>
          <w:i/>
          <w:lang w:bidi="lt-LT"/>
        </w:rPr>
        <w:t>Cockcroft-Gault</w:t>
      </w:r>
      <w:r w:rsidRPr="004804D2">
        <w:rPr>
          <w:rFonts w:ascii="Times New Roman" w:hAnsi="Times New Roman" w:cs="Times New Roman"/>
          <w:lang w:bidi="lt-LT"/>
        </w:rPr>
        <w:t xml:space="preserve"> formulę. KrKl = (140 - amžius) x kūno svoris/72 x kreatinino kiekis kraujo serume [x 0,85 moterims], kai amžius nurodomas metais, kūno svoris – kilogramais, kreatinino kiekis kraujo serume – mg/dl.</w:t>
      </w:r>
    </w:p>
    <w:p w14:paraId="094035F3" w14:textId="4C540E3F"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Pacientų, kuriems yra lengvas inkstų funkcijos sutrikimas, organizme linagliptino ekspozicija nusistovėjus pusiausvyrinei koncentracijai buvo panaši į ekspoziciją sveikų asmenų organizme. Pacientų, kuriems yra vidutinio sunkumo inkstų funkcijos sutrikimas, organizme ekspozicija buvo maždaug 1,7 karto didesnė negu kontrolinės grupės tiriamųjų. 2 tipo cukriniu diabetu sergančių pacientų, kuriems yra sunkus inkstų funkcijos sutrikimas, organizme ekspozicija buvo maždaug 1,4 karto didesnė negu 2 tipo cukriniu diabetu sergančių pacientų, kurių inkstų funkcija normali. Pacientų, kuriems yra GSLIL, organizme apskaičiuotas linagliptino AUC nusistovėjus pusiausvyrinei koncentracijai rodo, kad asmenų, kuriems yra vidutinio sunkumo arba sunkus inkstų funkcijos sutrikimas, organizme ekspozicija yra panaši. Be to, nėra tikėtina, kad linagliptino kiekį, kuris yra </w:t>
      </w:r>
      <w:r w:rsidRPr="004804D2">
        <w:rPr>
          <w:rFonts w:ascii="Times New Roman" w:hAnsi="Times New Roman" w:cs="Times New Roman"/>
          <w:lang w:bidi="lt-LT"/>
        </w:rPr>
        <w:lastRenderedPageBreak/>
        <w:t>reikšmingas gydant, būtų galima pašalinti hemodialize ar peritonite dialize. Taigi pacientams, kuriems yra bet kokio sunkumo inkstų nepakankamumas, dozę koreguoti nebūtina.</w:t>
      </w:r>
    </w:p>
    <w:p w14:paraId="49826602" w14:textId="2A9032FE" w:rsidR="00A81814" w:rsidRPr="004804D2" w:rsidRDefault="00A81814" w:rsidP="00A81814">
      <w:pPr>
        <w:suppressAutoHyphens/>
        <w:autoSpaceDN w:val="0"/>
        <w:spacing w:after="0" w:line="240" w:lineRule="auto"/>
        <w:jc w:val="both"/>
        <w:rPr>
          <w:rFonts w:ascii="Times New Roman" w:eastAsia="Calibri" w:hAnsi="Times New Roman" w:cs="Times New Roman"/>
        </w:rPr>
      </w:pPr>
    </w:p>
    <w:p w14:paraId="76F19A37" w14:textId="77777777" w:rsidR="00A81814" w:rsidRPr="004804D2" w:rsidRDefault="00A81814" w:rsidP="00A81814">
      <w:pPr>
        <w:suppressAutoHyphens/>
        <w:autoSpaceDN w:val="0"/>
        <w:spacing w:after="0" w:line="240" w:lineRule="auto"/>
        <w:jc w:val="both"/>
        <w:rPr>
          <w:rFonts w:ascii="Times New Roman" w:eastAsia="Calibri" w:hAnsi="Times New Roman" w:cs="Times New Roman"/>
          <w:i/>
          <w:iCs/>
        </w:rPr>
      </w:pPr>
      <w:r w:rsidRPr="004804D2">
        <w:rPr>
          <w:rFonts w:ascii="Times New Roman" w:hAnsi="Times New Roman" w:cs="Times New Roman"/>
          <w:i/>
          <w:lang w:bidi="lt-LT"/>
        </w:rPr>
        <w:t>Pacientams, kurių kepenų funkcija sutrikusi</w:t>
      </w:r>
    </w:p>
    <w:p w14:paraId="7901130F" w14:textId="597124A0"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Cukriniu diabetu nesergančių pacientų, kuriems yra lengvas, vidutinio sunkumo arba sunkus kepenų funkcijos nepakankamumas (pagal </w:t>
      </w:r>
      <w:r w:rsidRPr="00706810">
        <w:rPr>
          <w:rFonts w:ascii="Times New Roman" w:hAnsi="Times New Roman" w:cs="Times New Roman"/>
          <w:i/>
          <w:lang w:bidi="lt-LT"/>
        </w:rPr>
        <w:t>Child-Pugh</w:t>
      </w:r>
      <w:r w:rsidRPr="004804D2">
        <w:rPr>
          <w:rFonts w:ascii="Times New Roman" w:hAnsi="Times New Roman" w:cs="Times New Roman"/>
          <w:lang w:bidi="lt-LT"/>
        </w:rPr>
        <w:t xml:space="preserve"> klasifikaciją), organizme po daugkartinių 5</w:t>
      </w:r>
      <w:r w:rsidR="00591D9A">
        <w:rPr>
          <w:rFonts w:ascii="Times New Roman" w:hAnsi="Times New Roman" w:cs="Times New Roman"/>
          <w:lang w:bidi="lt-LT"/>
        </w:rPr>
        <w:t> </w:t>
      </w:r>
      <w:r w:rsidRPr="004804D2">
        <w:rPr>
          <w:rFonts w:ascii="Times New Roman" w:hAnsi="Times New Roman" w:cs="Times New Roman"/>
          <w:lang w:bidi="lt-LT"/>
        </w:rPr>
        <w:t>mg dozių vartojimo linagliptino AUC ir C</w:t>
      </w:r>
      <w:r w:rsidRPr="004804D2">
        <w:rPr>
          <w:rFonts w:ascii="Times New Roman" w:hAnsi="Times New Roman" w:cs="Times New Roman"/>
          <w:vertAlign w:val="subscript"/>
          <w:lang w:bidi="lt-LT"/>
        </w:rPr>
        <w:t>max</w:t>
      </w:r>
      <w:r w:rsidRPr="004804D2">
        <w:rPr>
          <w:rFonts w:ascii="Times New Roman" w:hAnsi="Times New Roman" w:cs="Times New Roman"/>
          <w:lang w:bidi="lt-LT"/>
        </w:rPr>
        <w:t xml:space="preserve"> vidurkiai buvo panašūs į nustatytus atitinkamos kontrolinės grupės tiriamųjų organizme. Cukriniu diabetu sergantiems pacientams, kuriems yra lengvas, vidutinio sunkumo arba sunkus kepenų funkcijos sutrikimas, joks linagliptino dozės koregavimas nesiūlomas.</w:t>
      </w:r>
    </w:p>
    <w:p w14:paraId="43477EB9" w14:textId="28D5481D" w:rsidR="00A81814" w:rsidRPr="004804D2" w:rsidRDefault="00A81814" w:rsidP="00E95834">
      <w:pPr>
        <w:suppressAutoHyphens/>
        <w:autoSpaceDN w:val="0"/>
        <w:spacing w:after="0" w:line="240" w:lineRule="auto"/>
        <w:rPr>
          <w:rFonts w:ascii="Times New Roman" w:eastAsia="Calibri" w:hAnsi="Times New Roman" w:cs="Times New Roman"/>
        </w:rPr>
      </w:pPr>
    </w:p>
    <w:p w14:paraId="238FE1D2" w14:textId="77777777" w:rsidR="00A81814" w:rsidRPr="004804D2" w:rsidRDefault="00A81814"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Kūno masės indeksas (KMI)</w:t>
      </w:r>
    </w:p>
    <w:p w14:paraId="5B6CB278" w14:textId="64970542"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Priklausomai nuo KMI dozės keisti nėra būtina. I ir II fazės tyrimų populiacijos farmakokinetikos analizės duomenimis, KMI kliniškai reikšmingos įtakos linagliptino farmakokinetikai nedaro. Prieš vaistinio preparato registraciją klinikiniai tyrimai buvo atlikti su pacientais, kurių KMI buvo ne didesnis kaip 40</w:t>
      </w:r>
      <w:r w:rsidR="00282DBB">
        <w:rPr>
          <w:rFonts w:ascii="Times New Roman" w:hAnsi="Times New Roman" w:cs="Times New Roman"/>
          <w:lang w:bidi="lt-LT"/>
        </w:rPr>
        <w:t> </w:t>
      </w:r>
      <w:r w:rsidRPr="004804D2">
        <w:rPr>
          <w:rFonts w:ascii="Times New Roman" w:hAnsi="Times New Roman" w:cs="Times New Roman"/>
          <w:lang w:bidi="lt-LT"/>
        </w:rPr>
        <w:t>kg/m</w:t>
      </w:r>
      <w:r w:rsidRPr="00706810">
        <w:rPr>
          <w:rFonts w:ascii="Times New Roman" w:hAnsi="Times New Roman" w:cs="Times New Roman"/>
          <w:vertAlign w:val="superscript"/>
          <w:lang w:bidi="lt-LT"/>
        </w:rPr>
        <w:t>2</w:t>
      </w:r>
      <w:r w:rsidRPr="004804D2">
        <w:rPr>
          <w:rFonts w:ascii="Times New Roman" w:hAnsi="Times New Roman" w:cs="Times New Roman"/>
          <w:lang w:bidi="lt-LT"/>
        </w:rPr>
        <w:t>.</w:t>
      </w:r>
    </w:p>
    <w:p w14:paraId="193C5043" w14:textId="20AEF0DF" w:rsidR="00A81814" w:rsidRPr="004804D2" w:rsidRDefault="00A81814" w:rsidP="00E95834">
      <w:pPr>
        <w:suppressAutoHyphens/>
        <w:autoSpaceDN w:val="0"/>
        <w:spacing w:after="0" w:line="240" w:lineRule="auto"/>
        <w:rPr>
          <w:rFonts w:ascii="Times New Roman" w:eastAsia="Calibri" w:hAnsi="Times New Roman" w:cs="Times New Roman"/>
        </w:rPr>
      </w:pPr>
    </w:p>
    <w:p w14:paraId="42E0A9C7" w14:textId="77777777" w:rsidR="00A81814" w:rsidRPr="004804D2" w:rsidRDefault="00A81814" w:rsidP="00E95834">
      <w:pPr>
        <w:suppressAutoHyphens/>
        <w:autoSpaceDN w:val="0"/>
        <w:spacing w:after="0" w:line="240" w:lineRule="auto"/>
        <w:rPr>
          <w:rFonts w:ascii="Times New Roman" w:eastAsia="Calibri" w:hAnsi="Times New Roman" w:cs="Times New Roman"/>
          <w:i/>
          <w:iCs/>
        </w:rPr>
      </w:pPr>
      <w:r w:rsidRPr="004804D2">
        <w:rPr>
          <w:rFonts w:ascii="Times New Roman" w:hAnsi="Times New Roman" w:cs="Times New Roman"/>
          <w:i/>
          <w:lang w:bidi="lt-LT"/>
        </w:rPr>
        <w:t>Lytis</w:t>
      </w:r>
    </w:p>
    <w:p w14:paraId="725B6171" w14:textId="46CB056F"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Priklausomai nuo lyties dozės keisti nėra būtina. I ir II fazės tyrimų populiacijos farmakokinetikos analizės duomenimis, lytis kliniškai reikšmingos įtakos linagliptino farmakokinetikai nedaro.</w:t>
      </w:r>
    </w:p>
    <w:p w14:paraId="759C5BB2" w14:textId="0A76BCD8" w:rsidR="00A81814" w:rsidRPr="004804D2" w:rsidRDefault="00A81814" w:rsidP="00A81814">
      <w:pPr>
        <w:suppressAutoHyphens/>
        <w:autoSpaceDN w:val="0"/>
        <w:spacing w:after="0" w:line="240" w:lineRule="auto"/>
        <w:jc w:val="both"/>
        <w:rPr>
          <w:rFonts w:ascii="Times New Roman" w:eastAsia="Calibri" w:hAnsi="Times New Roman" w:cs="Times New Roman"/>
        </w:rPr>
      </w:pPr>
    </w:p>
    <w:p w14:paraId="561C8BC1" w14:textId="77777777" w:rsidR="00A81814" w:rsidRPr="004804D2" w:rsidRDefault="00A81814" w:rsidP="00A81814">
      <w:pPr>
        <w:suppressAutoHyphens/>
        <w:autoSpaceDN w:val="0"/>
        <w:spacing w:after="0" w:line="240" w:lineRule="auto"/>
        <w:jc w:val="both"/>
        <w:rPr>
          <w:rFonts w:ascii="Times New Roman" w:eastAsia="Calibri" w:hAnsi="Times New Roman" w:cs="Times New Roman"/>
          <w:i/>
          <w:iCs/>
        </w:rPr>
      </w:pPr>
      <w:r w:rsidRPr="004804D2">
        <w:rPr>
          <w:rFonts w:ascii="Times New Roman" w:hAnsi="Times New Roman" w:cs="Times New Roman"/>
          <w:i/>
          <w:lang w:bidi="lt-LT"/>
        </w:rPr>
        <w:t>Senyviems pacientams</w:t>
      </w:r>
    </w:p>
    <w:p w14:paraId="083763A5" w14:textId="128140D9"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Ne vyresniems kaip 80 metų pacientams priklausomai nuo amžiaus dozę keisti nebūtina, kadangi I ir II fazės tyrimų populiacijos farmakokinetikos analizės duomenys rodo, kad amžius kliniškai reikšmingos įtakos linagliptino farmakokinetikai nedaro. Senyvų (iš 65-80 metų pacientų grupės seniausi pacientai buvo 78 metų) asmenų kraujo plazmoje koncentracija buvo panaši į jaunesnių.</w:t>
      </w:r>
    </w:p>
    <w:p w14:paraId="03A17E4E" w14:textId="65773606" w:rsidR="00A81814" w:rsidRPr="004804D2" w:rsidRDefault="00A81814" w:rsidP="00A81814">
      <w:pPr>
        <w:suppressAutoHyphens/>
        <w:autoSpaceDN w:val="0"/>
        <w:spacing w:after="0" w:line="240" w:lineRule="auto"/>
        <w:jc w:val="both"/>
        <w:rPr>
          <w:rFonts w:ascii="Times New Roman" w:eastAsia="Calibri" w:hAnsi="Times New Roman" w:cs="Times New Roman"/>
        </w:rPr>
      </w:pPr>
    </w:p>
    <w:p w14:paraId="1182A335" w14:textId="77777777" w:rsidR="00A81814" w:rsidRPr="004804D2" w:rsidRDefault="00A81814" w:rsidP="00A81814">
      <w:pPr>
        <w:suppressAutoHyphens/>
        <w:autoSpaceDN w:val="0"/>
        <w:spacing w:after="0" w:line="240" w:lineRule="auto"/>
        <w:jc w:val="both"/>
        <w:rPr>
          <w:rFonts w:ascii="Times New Roman" w:eastAsia="Calibri" w:hAnsi="Times New Roman" w:cs="Times New Roman"/>
          <w:i/>
          <w:iCs/>
        </w:rPr>
      </w:pPr>
      <w:r w:rsidRPr="004804D2">
        <w:rPr>
          <w:rFonts w:ascii="Times New Roman" w:hAnsi="Times New Roman" w:cs="Times New Roman"/>
          <w:i/>
          <w:lang w:bidi="lt-LT"/>
        </w:rPr>
        <w:t>Vaikų populiacija</w:t>
      </w:r>
    </w:p>
    <w:p w14:paraId="29606D28" w14:textId="4EDAC38A"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2 fazės pediatrinio tyrimo metu buvo tiriama 1</w:t>
      </w:r>
      <w:r w:rsidR="00282DBB">
        <w:rPr>
          <w:rFonts w:ascii="Times New Roman" w:hAnsi="Times New Roman" w:cs="Times New Roman"/>
          <w:lang w:bidi="lt-LT"/>
        </w:rPr>
        <w:t> </w:t>
      </w:r>
      <w:r w:rsidRPr="004804D2">
        <w:rPr>
          <w:rFonts w:ascii="Times New Roman" w:hAnsi="Times New Roman" w:cs="Times New Roman"/>
          <w:lang w:bidi="lt-LT"/>
        </w:rPr>
        <w:t>mg ir 5</w:t>
      </w:r>
      <w:r w:rsidR="00282DBB">
        <w:rPr>
          <w:rFonts w:ascii="Times New Roman" w:hAnsi="Times New Roman" w:cs="Times New Roman"/>
          <w:lang w:bidi="lt-LT"/>
        </w:rPr>
        <w:t> </w:t>
      </w:r>
      <w:r w:rsidRPr="004804D2">
        <w:rPr>
          <w:rFonts w:ascii="Times New Roman" w:hAnsi="Times New Roman" w:cs="Times New Roman"/>
          <w:lang w:bidi="lt-LT"/>
        </w:rPr>
        <w:t>mg linagliptino farmakokinetika ir farmakodinamika 2 tipo cukriniu diabetu sergančių vaikų ir paauglių, kurių amžius buvo nuo ≥</w:t>
      </w:r>
      <w:r w:rsidR="00282DBB">
        <w:rPr>
          <w:rFonts w:ascii="Times New Roman" w:hAnsi="Times New Roman" w:cs="Times New Roman"/>
          <w:lang w:bidi="lt-LT"/>
        </w:rPr>
        <w:t> </w:t>
      </w:r>
      <w:r w:rsidRPr="004804D2">
        <w:rPr>
          <w:rFonts w:ascii="Times New Roman" w:hAnsi="Times New Roman" w:cs="Times New Roman"/>
          <w:lang w:bidi="lt-LT"/>
        </w:rPr>
        <w:t>10 metų iki &lt;</w:t>
      </w:r>
      <w:r w:rsidR="00282DBB">
        <w:rPr>
          <w:rFonts w:ascii="Times New Roman" w:hAnsi="Times New Roman" w:cs="Times New Roman"/>
          <w:lang w:bidi="lt-LT"/>
        </w:rPr>
        <w:t> </w:t>
      </w:r>
      <w:r w:rsidRPr="004804D2">
        <w:rPr>
          <w:rFonts w:ascii="Times New Roman" w:hAnsi="Times New Roman" w:cs="Times New Roman"/>
          <w:lang w:bidi="lt-LT"/>
        </w:rPr>
        <w:t>18 metų, organizmuose. Gauti farmakokinetikos ir farmakodinamikos duomenys atitiko suaugusiųjų organizmuose nustatytus duomenis. 5</w:t>
      </w:r>
      <w:r w:rsidR="00282DBB">
        <w:rPr>
          <w:rFonts w:ascii="Times New Roman" w:hAnsi="Times New Roman" w:cs="Times New Roman"/>
          <w:lang w:bidi="lt-LT"/>
        </w:rPr>
        <w:t> </w:t>
      </w:r>
      <w:r w:rsidRPr="004804D2">
        <w:rPr>
          <w:rFonts w:ascii="Times New Roman" w:hAnsi="Times New Roman" w:cs="Times New Roman"/>
          <w:lang w:bidi="lt-LT"/>
        </w:rPr>
        <w:t>mg linagliptino dozė buvo pranašesnė už 1</w:t>
      </w:r>
      <w:r w:rsidR="00282DBB">
        <w:rPr>
          <w:rFonts w:ascii="Times New Roman" w:hAnsi="Times New Roman" w:cs="Times New Roman"/>
          <w:lang w:bidi="lt-LT"/>
        </w:rPr>
        <w:t> </w:t>
      </w:r>
      <w:r w:rsidRPr="004804D2">
        <w:rPr>
          <w:rFonts w:ascii="Times New Roman" w:hAnsi="Times New Roman" w:cs="Times New Roman"/>
          <w:lang w:bidi="lt-LT"/>
        </w:rPr>
        <w:t>mg, vertinant pagal DDP-4 slopinimą (72</w:t>
      </w:r>
      <w:r w:rsidR="00282DBB">
        <w:rPr>
          <w:rFonts w:ascii="Times New Roman" w:hAnsi="Times New Roman" w:cs="Times New Roman"/>
          <w:lang w:bidi="lt-LT"/>
        </w:rPr>
        <w:t> </w:t>
      </w:r>
      <w:r w:rsidRPr="004804D2">
        <w:rPr>
          <w:rFonts w:ascii="Times New Roman" w:hAnsi="Times New Roman" w:cs="Times New Roman"/>
          <w:lang w:bidi="lt-LT"/>
        </w:rPr>
        <w:t>%, palyginti su 32</w:t>
      </w:r>
      <w:r w:rsidR="00282DBB">
        <w:rPr>
          <w:rFonts w:ascii="Times New Roman" w:hAnsi="Times New Roman" w:cs="Times New Roman"/>
          <w:lang w:bidi="lt-LT"/>
        </w:rPr>
        <w:t> </w:t>
      </w:r>
      <w:r w:rsidRPr="004804D2">
        <w:rPr>
          <w:rFonts w:ascii="Times New Roman" w:hAnsi="Times New Roman" w:cs="Times New Roman"/>
          <w:lang w:bidi="lt-LT"/>
        </w:rPr>
        <w:t>%, p=0,0050) ir pagal kiekybiškai didesnį koreguoto vidutinio HbA1c pokyčio nuo pradinės vertės sumažėjimą (-0,63</w:t>
      </w:r>
      <w:r w:rsidR="00282DBB">
        <w:rPr>
          <w:rFonts w:ascii="Times New Roman" w:hAnsi="Times New Roman" w:cs="Times New Roman"/>
          <w:lang w:bidi="lt-LT"/>
        </w:rPr>
        <w:t> </w:t>
      </w:r>
      <w:r w:rsidRPr="004804D2">
        <w:rPr>
          <w:rFonts w:ascii="Times New Roman" w:hAnsi="Times New Roman" w:cs="Times New Roman"/>
          <w:lang w:bidi="lt-LT"/>
        </w:rPr>
        <w:t>%, palyginti su  -0,48</w:t>
      </w:r>
      <w:r w:rsidR="00282DBB">
        <w:rPr>
          <w:rFonts w:ascii="Times New Roman" w:hAnsi="Times New Roman" w:cs="Times New Roman"/>
          <w:lang w:bidi="lt-LT"/>
        </w:rPr>
        <w:t> </w:t>
      </w:r>
      <w:r w:rsidRPr="004804D2">
        <w:rPr>
          <w:rFonts w:ascii="Times New Roman" w:hAnsi="Times New Roman" w:cs="Times New Roman"/>
          <w:lang w:bidi="lt-LT"/>
        </w:rPr>
        <w:t>%, nereikšminga). Dėl riboto duomenų pobūdžio šiuos rezultatus reikia vertinti atsargiai.</w:t>
      </w:r>
    </w:p>
    <w:p w14:paraId="26464239" w14:textId="77777777" w:rsidR="00460ADC" w:rsidRPr="004804D2" w:rsidRDefault="00460ADC" w:rsidP="00E95834">
      <w:pPr>
        <w:suppressAutoHyphens/>
        <w:autoSpaceDN w:val="0"/>
        <w:spacing w:after="0" w:line="240" w:lineRule="auto"/>
        <w:rPr>
          <w:rFonts w:ascii="Times New Roman" w:eastAsia="Calibri" w:hAnsi="Times New Roman" w:cs="Times New Roman"/>
        </w:rPr>
      </w:pPr>
    </w:p>
    <w:p w14:paraId="5017B398" w14:textId="64BCD83A" w:rsidR="00460ADC" w:rsidRPr="004804D2" w:rsidRDefault="00460ADC"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3 fazės pediatrinio tyrimo metu buvo tiriama 5</w:t>
      </w:r>
      <w:r w:rsidR="00282DBB">
        <w:rPr>
          <w:rFonts w:ascii="Times New Roman" w:hAnsi="Times New Roman" w:cs="Times New Roman"/>
          <w:lang w:bidi="lt-LT"/>
        </w:rPr>
        <w:t> </w:t>
      </w:r>
      <w:r w:rsidRPr="004804D2">
        <w:rPr>
          <w:rFonts w:ascii="Times New Roman" w:hAnsi="Times New Roman" w:cs="Times New Roman"/>
          <w:lang w:bidi="lt-LT"/>
        </w:rPr>
        <w:t>mg linagliptino farmakokinetika ir farmakodinamika (HbA1c pokytis nuo pradinio vertinimo) 2 tipo cukriniu diabetu sergančių vaikų ir paauglių, kurių amžius buvo 10-17</w:t>
      </w:r>
      <w:r w:rsidR="00282DBB">
        <w:rPr>
          <w:rFonts w:ascii="Times New Roman" w:hAnsi="Times New Roman" w:cs="Times New Roman"/>
          <w:lang w:bidi="lt-LT"/>
        </w:rPr>
        <w:t> </w:t>
      </w:r>
      <w:r w:rsidRPr="004804D2">
        <w:rPr>
          <w:rFonts w:ascii="Times New Roman" w:hAnsi="Times New Roman" w:cs="Times New Roman"/>
          <w:lang w:bidi="lt-LT"/>
        </w:rPr>
        <w:t>metų, organizmuose. Stebėtas ekspozicijos ir atsako santykis vaikams ir suaugusiesiems buvo panašus, tačiau vaikams nustatytas mažesnis vaistinio preparato poveikis. Per burną vartojant linagliptino susidarė ekspozicija, buvusi diapazone, stebėtame suaugusiems pacientams. Stebėtas geometrinis mažiausių koncentracijų prieš vartojant vaistinio preparato vidurkis ir geometrinis koncentracijų vidurkis po suvartojimo praėjus 1,5</w:t>
      </w:r>
      <w:r w:rsidR="00282DBB">
        <w:rPr>
          <w:rFonts w:ascii="Times New Roman" w:hAnsi="Times New Roman" w:cs="Times New Roman"/>
          <w:lang w:bidi="lt-LT"/>
        </w:rPr>
        <w:t> </w:t>
      </w:r>
      <w:r w:rsidRPr="004804D2">
        <w:rPr>
          <w:rFonts w:ascii="Times New Roman" w:hAnsi="Times New Roman" w:cs="Times New Roman"/>
          <w:lang w:bidi="lt-LT"/>
        </w:rPr>
        <w:t>val. (atitinkantis koncentraciją, panašią į t</w:t>
      </w:r>
      <w:r w:rsidRPr="004804D2">
        <w:rPr>
          <w:rFonts w:ascii="Times New Roman" w:hAnsi="Times New Roman" w:cs="Times New Roman"/>
          <w:vertAlign w:val="subscript"/>
          <w:lang w:bidi="lt-LT"/>
        </w:rPr>
        <w:t>max</w:t>
      </w:r>
      <w:r w:rsidRPr="004804D2">
        <w:rPr>
          <w:rFonts w:ascii="Times New Roman" w:hAnsi="Times New Roman" w:cs="Times New Roman"/>
          <w:lang w:bidi="lt-LT"/>
        </w:rPr>
        <w:t>), kai apykaita pusiausvyrinė, atitinkamai buvo 4,30</w:t>
      </w:r>
      <w:r w:rsidR="00282DBB">
        <w:rPr>
          <w:rFonts w:ascii="Times New Roman" w:hAnsi="Times New Roman" w:cs="Times New Roman"/>
          <w:lang w:bidi="lt-LT"/>
        </w:rPr>
        <w:t> </w:t>
      </w:r>
      <w:r w:rsidRPr="004804D2">
        <w:rPr>
          <w:rFonts w:ascii="Times New Roman" w:hAnsi="Times New Roman" w:cs="Times New Roman"/>
          <w:lang w:bidi="lt-LT"/>
        </w:rPr>
        <w:t>nmol/l ir 12,6</w:t>
      </w:r>
      <w:r w:rsidR="00282DBB">
        <w:rPr>
          <w:rFonts w:ascii="Times New Roman" w:hAnsi="Times New Roman" w:cs="Times New Roman"/>
          <w:lang w:bidi="lt-LT"/>
        </w:rPr>
        <w:t> </w:t>
      </w:r>
      <w:r w:rsidRPr="004804D2">
        <w:rPr>
          <w:rFonts w:ascii="Times New Roman" w:hAnsi="Times New Roman" w:cs="Times New Roman"/>
          <w:lang w:bidi="lt-LT"/>
        </w:rPr>
        <w:t>nmol/l. Atitinkama koncentracija plazmoje suaugusiems pacientams buvo 6,04</w:t>
      </w:r>
      <w:r w:rsidR="00282DBB">
        <w:rPr>
          <w:rFonts w:ascii="Times New Roman" w:hAnsi="Times New Roman" w:cs="Times New Roman"/>
          <w:lang w:bidi="lt-LT"/>
        </w:rPr>
        <w:t> </w:t>
      </w:r>
      <w:r w:rsidRPr="004804D2">
        <w:rPr>
          <w:rFonts w:ascii="Times New Roman" w:hAnsi="Times New Roman" w:cs="Times New Roman"/>
          <w:lang w:bidi="lt-LT"/>
        </w:rPr>
        <w:t>nmol/l ir 15,1</w:t>
      </w:r>
      <w:r w:rsidR="00282DBB">
        <w:rPr>
          <w:rFonts w:ascii="Times New Roman" w:hAnsi="Times New Roman" w:cs="Times New Roman"/>
          <w:lang w:bidi="lt-LT"/>
        </w:rPr>
        <w:t> </w:t>
      </w:r>
      <w:r w:rsidRPr="004804D2">
        <w:rPr>
          <w:rFonts w:ascii="Times New Roman" w:hAnsi="Times New Roman" w:cs="Times New Roman"/>
          <w:lang w:bidi="lt-LT"/>
        </w:rPr>
        <w:t>nmol/l.</w:t>
      </w:r>
    </w:p>
    <w:p w14:paraId="63831E21" w14:textId="3827CC81" w:rsidR="00A81814" w:rsidRPr="004804D2" w:rsidRDefault="00A81814" w:rsidP="00A81814">
      <w:pPr>
        <w:suppressAutoHyphens/>
        <w:autoSpaceDN w:val="0"/>
        <w:spacing w:after="0" w:line="240" w:lineRule="auto"/>
        <w:jc w:val="both"/>
        <w:rPr>
          <w:rFonts w:ascii="Times New Roman" w:eastAsia="Calibri" w:hAnsi="Times New Roman" w:cs="Times New Roman"/>
        </w:rPr>
      </w:pPr>
    </w:p>
    <w:p w14:paraId="759A5908" w14:textId="77777777" w:rsidR="00A81814" w:rsidRPr="004804D2" w:rsidRDefault="00A81814" w:rsidP="00A81814">
      <w:pPr>
        <w:suppressAutoHyphens/>
        <w:autoSpaceDN w:val="0"/>
        <w:spacing w:after="0" w:line="240" w:lineRule="auto"/>
        <w:jc w:val="both"/>
        <w:rPr>
          <w:rFonts w:ascii="Times New Roman" w:eastAsia="Calibri" w:hAnsi="Times New Roman" w:cs="Times New Roman"/>
          <w:i/>
          <w:iCs/>
        </w:rPr>
      </w:pPr>
      <w:r w:rsidRPr="004804D2">
        <w:rPr>
          <w:rFonts w:ascii="Times New Roman" w:hAnsi="Times New Roman" w:cs="Times New Roman"/>
          <w:i/>
          <w:lang w:bidi="lt-LT"/>
        </w:rPr>
        <w:t>Rasė</w:t>
      </w:r>
    </w:p>
    <w:p w14:paraId="69DD35A5" w14:textId="1CDE5421" w:rsidR="00A81814" w:rsidRPr="004804D2" w:rsidRDefault="00A81814"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Priklausomai nuo rasės dozę keisti nebūtina. Bendra turimų farmakokinetikos, įskaitant farmakokinetiką europidų, ispanų, afrikiečių ir azijiečių organizme, duomenų analizė rodo, kad rasė akivaizdaus poveikio linagliptino koncentracijai kraujo plazmoje nedaro. Be to, specialiais I fazės tyrimais nustatyta, kad linagliptino farmakokinetika sveikų savanorių japonų, kinų ir europidų organizme yra panaši.</w:t>
      </w:r>
    </w:p>
    <w:p w14:paraId="78E01574" w14:textId="47A3F721" w:rsidR="00E02162" w:rsidRPr="004804D2" w:rsidRDefault="00E02162" w:rsidP="00A81814">
      <w:pPr>
        <w:suppressAutoHyphens/>
        <w:autoSpaceDN w:val="0"/>
        <w:spacing w:after="0" w:line="240" w:lineRule="auto"/>
        <w:jc w:val="both"/>
        <w:rPr>
          <w:rFonts w:ascii="Times New Roman" w:eastAsia="Calibri" w:hAnsi="Times New Roman" w:cs="Times New Roman"/>
        </w:rPr>
      </w:pPr>
    </w:p>
    <w:p w14:paraId="0A760841" w14:textId="1B3F3ECC" w:rsidR="00E02162" w:rsidRPr="004804D2" w:rsidRDefault="00E02162" w:rsidP="00706810">
      <w:pPr>
        <w:pStyle w:val="Antrat1"/>
        <w:numPr>
          <w:ilvl w:val="1"/>
          <w:numId w:val="5"/>
        </w:numPr>
        <w:spacing w:before="0" w:line="240" w:lineRule="auto"/>
        <w:ind w:left="567" w:hanging="56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Ikiklinikinių saugumo tyrimų duomenys</w:t>
      </w:r>
    </w:p>
    <w:p w14:paraId="2C2EB778" w14:textId="77777777" w:rsidR="00282DBB" w:rsidRDefault="00282DBB" w:rsidP="00282DBB">
      <w:pPr>
        <w:suppressAutoHyphens/>
        <w:autoSpaceDN w:val="0"/>
        <w:spacing w:after="0" w:line="240" w:lineRule="auto"/>
        <w:rPr>
          <w:rFonts w:ascii="Times New Roman" w:hAnsi="Times New Roman" w:cs="Times New Roman"/>
          <w:lang w:bidi="lt-LT"/>
        </w:rPr>
      </w:pPr>
    </w:p>
    <w:p w14:paraId="4980F2F3" w14:textId="110C9EA4" w:rsidR="0034702F" w:rsidRPr="004804D2" w:rsidRDefault="0034702F" w:rsidP="00282DBB">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Pelėms ir žiurkėms duodant kartotines linagliptino dozes, kurių ekspozicija daugiau negu 300 kartų viršijo ekspoziciją žmogui, didžiausias toksinis poveikis nustatytas kepenims, inkstams ir virškinimo traktui.</w:t>
      </w:r>
    </w:p>
    <w:p w14:paraId="72F538E7" w14:textId="174151C9" w:rsidR="0034702F" w:rsidRPr="004804D2" w:rsidRDefault="0034702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lastRenderedPageBreak/>
        <w:t>Poveikis žiurkių reprodukcijos organams, skydliaukei bei limfoidiniams organams pasireiškė tada, kai ekspozicija buvo 1</w:t>
      </w:r>
      <w:r w:rsidR="00282DBB">
        <w:rPr>
          <w:rFonts w:ascii="Times New Roman" w:hAnsi="Times New Roman" w:cs="Times New Roman"/>
          <w:lang w:bidi="lt-LT"/>
        </w:rPr>
        <w:t> </w:t>
      </w:r>
      <w:r w:rsidRPr="004804D2">
        <w:rPr>
          <w:rFonts w:ascii="Times New Roman" w:hAnsi="Times New Roman" w:cs="Times New Roman"/>
          <w:lang w:bidi="lt-LT"/>
        </w:rPr>
        <w:t>500 kartų didesnė už ekspoziciją žmogui. Šunims duodant vidutinio stiprumo dozes, nustatyta stiprių pseudoalerginių reakcijų, sukėlusių širdies ir kraujagyslių pokyčių, kurie buvo laikomi specifiniais šunims. Cynomolgus beždžionėms, kurių organizme ekspozicija buvo daugiau negu 450 kartų didesnė negu žmogaus, nustatytas toksinis poveikis kepenims, inkstams, skrandžiui, reprodukcijos organams, užkrūčio liaukai, blužniai ir limfmazgiams. Kai ekspozicija buvo daugiau negu 100 kartų didesnė už ekspoziciją žmogaus organizme, šioms beždžionėms pagrindinis poveikis buvo skrandžio dirginimas.</w:t>
      </w:r>
    </w:p>
    <w:p w14:paraId="784C8DB8" w14:textId="7205681F" w:rsidR="00E02162" w:rsidRPr="004804D2" w:rsidRDefault="00E02162" w:rsidP="00E95834">
      <w:pPr>
        <w:suppressAutoHyphens/>
        <w:autoSpaceDN w:val="0"/>
        <w:spacing w:after="0" w:line="240" w:lineRule="auto"/>
        <w:rPr>
          <w:rFonts w:ascii="Times New Roman" w:eastAsia="Calibri" w:hAnsi="Times New Roman" w:cs="Times New Roman"/>
        </w:rPr>
      </w:pPr>
    </w:p>
    <w:p w14:paraId="1A0B48FE" w14:textId="77777777" w:rsidR="0034702F" w:rsidRPr="004804D2" w:rsidRDefault="0034702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Linagliptino ir svarbiausio jo metabolito galimo genotoksiškumo nenustatyta.</w:t>
      </w:r>
    </w:p>
    <w:p w14:paraId="5478734F" w14:textId="42699C5D" w:rsidR="0034702F" w:rsidRPr="004804D2" w:rsidRDefault="0034702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2 metų trukmės kancerogeniškumo tyrimai su žiurkėmis ir pelėmis per burną vartojamo preparato kancerogeniškumo žiurkėmis ar pelių patinams neparodė. Nustatytas reikšmingai didesnis piktybinės limfomos dažnis tik pelių patelėms duodant didžiausią tirtą dozę (200 kartų viršijančią ekspoziciją žmogaus organizme) žmogui reikšmingu nelaikomas (paaiškinimas: jis priklauso ne nuo gydymo, bet nuo to, kad bazinis dažnis yra labai nepastovus). Remiantis šiais tyrimais, nerimauti dėl kancerogeniškumo žmogui nereikia.</w:t>
      </w:r>
    </w:p>
    <w:p w14:paraId="551427C8" w14:textId="0146FBA0" w:rsidR="0034702F" w:rsidRPr="004804D2" w:rsidRDefault="0034702F" w:rsidP="00E95834">
      <w:pPr>
        <w:suppressAutoHyphens/>
        <w:autoSpaceDN w:val="0"/>
        <w:spacing w:after="0" w:line="240" w:lineRule="auto"/>
        <w:rPr>
          <w:rFonts w:ascii="Times New Roman" w:eastAsia="Calibri" w:hAnsi="Times New Roman" w:cs="Times New Roman"/>
        </w:rPr>
      </w:pPr>
    </w:p>
    <w:p w14:paraId="1B2FE60B" w14:textId="5424C94F" w:rsidR="0034702F" w:rsidRPr="004804D2" w:rsidRDefault="0034702F" w:rsidP="00E95834">
      <w:pPr>
        <w:suppressAutoHyphens/>
        <w:autoSpaceDN w:val="0"/>
        <w:spacing w:after="0" w:line="240" w:lineRule="auto"/>
        <w:rPr>
          <w:rFonts w:ascii="Times New Roman" w:eastAsia="Calibri" w:hAnsi="Times New Roman" w:cs="Times New Roman"/>
        </w:rPr>
      </w:pPr>
      <w:r w:rsidRPr="004804D2">
        <w:rPr>
          <w:rFonts w:ascii="Times New Roman" w:hAnsi="Times New Roman" w:cs="Times New Roman"/>
          <w:lang w:bidi="lt-LT"/>
        </w:rPr>
        <w:t xml:space="preserve">Nepageidaujamo poveikio nesukelianti dozė (angl. </w:t>
      </w:r>
      <w:r w:rsidRPr="00706810">
        <w:rPr>
          <w:rFonts w:ascii="Times New Roman" w:hAnsi="Times New Roman" w:cs="Times New Roman"/>
          <w:i/>
          <w:lang w:bidi="lt-LT"/>
        </w:rPr>
        <w:t>No Observed Adverse Effect Level</w:t>
      </w:r>
      <w:r w:rsidRPr="004804D2">
        <w:rPr>
          <w:rFonts w:ascii="Times New Roman" w:hAnsi="Times New Roman" w:cs="Times New Roman"/>
          <w:lang w:bidi="lt-LT"/>
        </w:rPr>
        <w:t>, NOAEL) žiurkių vaisingumui, ankstyvam embrionų vystymuisi ir nesukelianti teratogeniškumo, buvo &gt;</w:t>
      </w:r>
      <w:r w:rsidR="00282DBB">
        <w:rPr>
          <w:rFonts w:ascii="Times New Roman" w:hAnsi="Times New Roman" w:cs="Times New Roman"/>
          <w:lang w:bidi="lt-LT"/>
        </w:rPr>
        <w:t> </w:t>
      </w:r>
      <w:r w:rsidRPr="004804D2">
        <w:rPr>
          <w:rFonts w:ascii="Times New Roman" w:hAnsi="Times New Roman" w:cs="Times New Roman"/>
          <w:lang w:bidi="lt-LT"/>
        </w:rPr>
        <w:t>900 kartų didesnė už ekspoziciją terapinę dozę vartojančio žmogaus organizme. Nepageidaujamo toksinio poveikio nesukelianti dozė (NOAEL) vaikingoms žiurkėms, jų embrionams, vaisiams ir jaunikliams, buvo 49 kartus didesnė už ekspoziciją terapinę dozę vartojančio žmogaus organizme. Triušiams, kurių organizme ekspozicija buvo &gt;</w:t>
      </w:r>
      <w:r w:rsidR="00282DBB">
        <w:rPr>
          <w:rFonts w:ascii="Times New Roman" w:hAnsi="Times New Roman" w:cs="Times New Roman"/>
          <w:lang w:bidi="lt-LT"/>
        </w:rPr>
        <w:t> </w:t>
      </w:r>
      <w:r w:rsidRPr="004804D2">
        <w:rPr>
          <w:rFonts w:ascii="Times New Roman" w:hAnsi="Times New Roman" w:cs="Times New Roman"/>
          <w:lang w:bidi="lt-LT"/>
        </w:rPr>
        <w:t>1</w:t>
      </w:r>
      <w:r w:rsidR="00282DBB">
        <w:rPr>
          <w:rFonts w:ascii="Times New Roman" w:hAnsi="Times New Roman" w:cs="Times New Roman"/>
          <w:lang w:bidi="lt-LT"/>
        </w:rPr>
        <w:t> </w:t>
      </w:r>
      <w:r w:rsidRPr="004804D2">
        <w:rPr>
          <w:rFonts w:ascii="Times New Roman" w:hAnsi="Times New Roman" w:cs="Times New Roman"/>
          <w:lang w:bidi="lt-LT"/>
        </w:rPr>
        <w:t>000 kartų didesnė už ekspoziciją žmogui, teratogeninio poveikio nenustatyta. Toksinio poveikio nesukelianti dozė triušių embrionams ir vaisiams buvo 78 kartus, vaikingoms triušių patelėms 2,1 karto didesnė už ekspoziciją terapinę dozę vartojančio žmogaus organizme. Taigi manoma, kad mažai tikėtina, jog linagliptinas, esant terapinėms ekspozicijoms darytų įtaką žmogaus reprodukcijai.</w:t>
      </w:r>
    </w:p>
    <w:p w14:paraId="6A068133" w14:textId="16978122" w:rsidR="00F205C5" w:rsidRPr="004804D2" w:rsidRDefault="00F205C5" w:rsidP="0034702F">
      <w:pPr>
        <w:suppressAutoHyphens/>
        <w:autoSpaceDN w:val="0"/>
        <w:spacing w:after="0" w:line="240" w:lineRule="auto"/>
        <w:jc w:val="both"/>
        <w:rPr>
          <w:rFonts w:ascii="Times New Roman" w:eastAsia="Calibri" w:hAnsi="Times New Roman" w:cs="Times New Roman"/>
        </w:rPr>
      </w:pPr>
    </w:p>
    <w:p w14:paraId="4D41B5A4" w14:textId="6CE22892" w:rsidR="00F205C5" w:rsidRPr="004804D2" w:rsidRDefault="00F205C5" w:rsidP="0034702F">
      <w:pPr>
        <w:suppressAutoHyphens/>
        <w:autoSpaceDN w:val="0"/>
        <w:spacing w:after="0" w:line="240" w:lineRule="auto"/>
        <w:jc w:val="both"/>
        <w:rPr>
          <w:rFonts w:ascii="Times New Roman" w:eastAsia="Calibri" w:hAnsi="Times New Roman" w:cs="Times New Roman"/>
        </w:rPr>
      </w:pPr>
    </w:p>
    <w:p w14:paraId="2969C424" w14:textId="77717B02" w:rsidR="00F205C5" w:rsidRPr="004804D2" w:rsidRDefault="00F205C5" w:rsidP="000F2B00">
      <w:pPr>
        <w:pStyle w:val="Antrat1"/>
        <w:numPr>
          <w:ilvl w:val="0"/>
          <w:numId w:val="5"/>
        </w:numPr>
        <w:spacing w:before="0" w:after="240" w:line="240" w:lineRule="auto"/>
        <w:ind w:left="357" w:hanging="35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FARMACINĖ INFORMACIJA</w:t>
      </w:r>
    </w:p>
    <w:p w14:paraId="6E300F26" w14:textId="1914A5AD" w:rsidR="00F205C5" w:rsidRPr="004804D2" w:rsidRDefault="00F205C5" w:rsidP="000F2B00">
      <w:pPr>
        <w:pStyle w:val="Antrat1"/>
        <w:numPr>
          <w:ilvl w:val="1"/>
          <w:numId w:val="5"/>
        </w:numPr>
        <w:spacing w:before="0" w:after="240" w:line="240" w:lineRule="auto"/>
        <w:ind w:left="431" w:hanging="431"/>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Pagalbinių medžiagų sąrašas</w:t>
      </w:r>
    </w:p>
    <w:p w14:paraId="36C1DB63" w14:textId="400A8FE2" w:rsidR="00A83F57" w:rsidRPr="004804D2" w:rsidRDefault="00F205C5" w:rsidP="00F205C5">
      <w:pPr>
        <w:suppressAutoHyphens/>
        <w:autoSpaceDN w:val="0"/>
        <w:spacing w:after="0" w:line="240" w:lineRule="auto"/>
        <w:jc w:val="both"/>
        <w:rPr>
          <w:rFonts w:ascii="Times New Roman" w:eastAsia="Calibri" w:hAnsi="Times New Roman" w:cs="Times New Roman"/>
          <w:u w:val="single"/>
          <w:lang w:val="en-US"/>
        </w:rPr>
      </w:pPr>
      <w:r w:rsidRPr="004804D2">
        <w:rPr>
          <w:rFonts w:ascii="Times New Roman" w:hAnsi="Times New Roman" w:cs="Times New Roman"/>
          <w:u w:val="single"/>
          <w:lang w:bidi="lt-LT"/>
        </w:rPr>
        <w:t>Tabletės šerdis</w:t>
      </w:r>
    </w:p>
    <w:p w14:paraId="511F0F52" w14:textId="40311A11" w:rsidR="00F205C5" w:rsidRPr="004804D2" w:rsidRDefault="00F205C5" w:rsidP="00F205C5">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Manitolis</w:t>
      </w:r>
    </w:p>
    <w:p w14:paraId="11DEB919" w14:textId="25E81A7D" w:rsidR="00A83F57" w:rsidRPr="004804D2" w:rsidRDefault="00BF66D2" w:rsidP="00F205C5">
      <w:pPr>
        <w:suppressAutoHyphens/>
        <w:autoSpaceDN w:val="0"/>
        <w:spacing w:after="0" w:line="240" w:lineRule="auto"/>
        <w:jc w:val="both"/>
        <w:rPr>
          <w:rFonts w:ascii="Times New Roman" w:eastAsia="Calibri" w:hAnsi="Times New Roman" w:cs="Times New Roman"/>
          <w:strike/>
          <w:lang w:val="en-US"/>
        </w:rPr>
      </w:pPr>
      <w:r w:rsidRPr="004804D2">
        <w:rPr>
          <w:rFonts w:ascii="Times New Roman" w:hAnsi="Times New Roman" w:cs="Times New Roman"/>
          <w:lang w:bidi="lt-LT"/>
        </w:rPr>
        <w:t>Pregelifikuotas krakmolas</w:t>
      </w:r>
    </w:p>
    <w:p w14:paraId="2F9B9E1F" w14:textId="460A3D4E" w:rsidR="00F205C5" w:rsidRPr="004804D2" w:rsidRDefault="00F205C5" w:rsidP="00F205C5">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Kukurūzų krakmolas</w:t>
      </w:r>
    </w:p>
    <w:p w14:paraId="5F452191" w14:textId="5061125A" w:rsidR="00A83F57" w:rsidRPr="004804D2" w:rsidRDefault="00F90A38" w:rsidP="00F205C5">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Povidonas K-30</w:t>
      </w:r>
    </w:p>
    <w:p w14:paraId="3B3B5AA2" w14:textId="5B30019F" w:rsidR="00F205C5" w:rsidRPr="004804D2" w:rsidRDefault="00F205C5" w:rsidP="00F205C5">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Magnio stearatas</w:t>
      </w:r>
    </w:p>
    <w:p w14:paraId="5BBB1E28" w14:textId="3480C5DD" w:rsidR="00A83F57" w:rsidRPr="004804D2" w:rsidRDefault="00A83F57" w:rsidP="00F205C5">
      <w:pPr>
        <w:suppressAutoHyphens/>
        <w:autoSpaceDN w:val="0"/>
        <w:spacing w:after="0" w:line="240" w:lineRule="auto"/>
        <w:jc w:val="both"/>
        <w:rPr>
          <w:rFonts w:ascii="Times New Roman" w:eastAsia="Calibri" w:hAnsi="Times New Roman" w:cs="Times New Roman"/>
          <w:highlight w:val="yellow"/>
          <w:lang w:val="en-US"/>
        </w:rPr>
      </w:pPr>
    </w:p>
    <w:p w14:paraId="04F4D7E1" w14:textId="5CAD5827" w:rsidR="00A83F57" w:rsidRPr="004804D2" w:rsidRDefault="00A83F57" w:rsidP="00A83F57">
      <w:pPr>
        <w:suppressAutoHyphens/>
        <w:autoSpaceDN w:val="0"/>
        <w:spacing w:after="0" w:line="240" w:lineRule="auto"/>
        <w:jc w:val="both"/>
        <w:rPr>
          <w:rFonts w:ascii="Times New Roman" w:eastAsia="Calibri" w:hAnsi="Times New Roman" w:cs="Times New Roman"/>
          <w:u w:val="single"/>
          <w:lang w:val="en-US"/>
        </w:rPr>
      </w:pPr>
      <w:r w:rsidRPr="004804D2">
        <w:rPr>
          <w:rFonts w:ascii="Times New Roman" w:hAnsi="Times New Roman" w:cs="Times New Roman"/>
          <w:u w:val="single"/>
          <w:lang w:bidi="lt-LT"/>
        </w:rPr>
        <w:t>Tabletės plėvelė</w:t>
      </w:r>
    </w:p>
    <w:p w14:paraId="6C478767" w14:textId="033AE1CB"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Hipromeliozė</w:t>
      </w:r>
    </w:p>
    <w:p w14:paraId="18541AE6" w14:textId="77777777"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Titano dioksidas (E171)</w:t>
      </w:r>
    </w:p>
    <w:p w14:paraId="092D8064" w14:textId="34FFEC1B"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Makrogolis 400</w:t>
      </w:r>
    </w:p>
    <w:p w14:paraId="4B338740" w14:textId="73C10AFE"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Raudonasis geležies oksidas (E172)</w:t>
      </w:r>
    </w:p>
    <w:p w14:paraId="4FCFB972" w14:textId="6F0A17F6"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p>
    <w:p w14:paraId="20698771" w14:textId="7C4E55A2" w:rsidR="00A83F57" w:rsidRPr="004804D2" w:rsidRDefault="00A83F57" w:rsidP="000F2B00">
      <w:pPr>
        <w:keepNext/>
        <w:keepLines/>
        <w:numPr>
          <w:ilvl w:val="1"/>
          <w:numId w:val="5"/>
        </w:numPr>
        <w:suppressAutoHyphens/>
        <w:autoSpaceDN w:val="0"/>
        <w:spacing w:after="240" w:line="240" w:lineRule="auto"/>
        <w:ind w:left="431" w:hanging="431"/>
        <w:jc w:val="both"/>
        <w:outlineLvl w:val="0"/>
        <w:rPr>
          <w:rFonts w:ascii="Times New Roman" w:eastAsiaTheme="majorEastAsia" w:hAnsi="Times New Roman" w:cs="Times New Roman"/>
          <w:b/>
          <w:bCs/>
        </w:rPr>
      </w:pPr>
      <w:r w:rsidRPr="004804D2">
        <w:rPr>
          <w:rFonts w:ascii="Times New Roman" w:hAnsi="Times New Roman" w:cs="Times New Roman"/>
          <w:b/>
          <w:lang w:bidi="lt-LT"/>
        </w:rPr>
        <w:t>Nesuderinamumas</w:t>
      </w:r>
    </w:p>
    <w:p w14:paraId="19CB8358" w14:textId="369D994E" w:rsidR="00A83F57" w:rsidRPr="004804D2" w:rsidRDefault="00863353" w:rsidP="007176A9">
      <w:pPr>
        <w:suppressAutoHyphens/>
        <w:autoSpaceDN w:val="0"/>
        <w:spacing w:after="0" w:line="240" w:lineRule="auto"/>
        <w:jc w:val="both"/>
        <w:rPr>
          <w:rFonts w:ascii="Times New Roman" w:eastAsia="Calibri" w:hAnsi="Times New Roman" w:cs="Times New Roman"/>
          <w:lang w:val="en-US"/>
        </w:rPr>
      </w:pPr>
      <w:r w:rsidRPr="00863353">
        <w:rPr>
          <w:rFonts w:ascii="Times New Roman" w:hAnsi="Times New Roman" w:cs="Times New Roman"/>
          <w:lang w:bidi="lt-LT"/>
        </w:rPr>
        <w:t>Duomenys nebūtini.</w:t>
      </w:r>
    </w:p>
    <w:p w14:paraId="7146387E" w14:textId="3C1B2418"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p>
    <w:p w14:paraId="559D20EE" w14:textId="4B55327F" w:rsidR="00A83F57" w:rsidRPr="004804D2" w:rsidRDefault="00A83F57" w:rsidP="000F2B00">
      <w:pPr>
        <w:keepNext/>
        <w:keepLines/>
        <w:numPr>
          <w:ilvl w:val="1"/>
          <w:numId w:val="5"/>
        </w:numPr>
        <w:suppressAutoHyphens/>
        <w:autoSpaceDN w:val="0"/>
        <w:spacing w:after="240" w:line="240" w:lineRule="auto"/>
        <w:ind w:left="431" w:hanging="431"/>
        <w:jc w:val="both"/>
        <w:outlineLvl w:val="0"/>
        <w:rPr>
          <w:rFonts w:ascii="Times New Roman" w:eastAsiaTheme="majorEastAsia" w:hAnsi="Times New Roman" w:cs="Times New Roman"/>
          <w:b/>
          <w:bCs/>
        </w:rPr>
      </w:pPr>
      <w:r w:rsidRPr="004804D2">
        <w:rPr>
          <w:rFonts w:ascii="Times New Roman" w:hAnsi="Times New Roman" w:cs="Times New Roman"/>
          <w:b/>
          <w:lang w:bidi="lt-LT"/>
        </w:rPr>
        <w:t>Tinkamumo laikas</w:t>
      </w:r>
    </w:p>
    <w:p w14:paraId="414B99F0" w14:textId="6F74827B" w:rsidR="00A83F57" w:rsidRPr="004804D2" w:rsidRDefault="00BB5886" w:rsidP="007176A9">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30 mėnesių</w:t>
      </w:r>
    </w:p>
    <w:p w14:paraId="784481E9" w14:textId="2387FFA6" w:rsidR="00A83F57" w:rsidRPr="004804D2" w:rsidRDefault="00A83F57" w:rsidP="00A83F57">
      <w:pPr>
        <w:suppressAutoHyphens/>
        <w:autoSpaceDN w:val="0"/>
        <w:spacing w:after="0" w:line="240" w:lineRule="auto"/>
        <w:jc w:val="both"/>
        <w:rPr>
          <w:rFonts w:ascii="Times New Roman" w:eastAsia="Calibri" w:hAnsi="Times New Roman" w:cs="Times New Roman"/>
          <w:lang w:val="en-US"/>
        </w:rPr>
      </w:pPr>
    </w:p>
    <w:p w14:paraId="13BE3A52" w14:textId="650AD3BB" w:rsidR="00A83F57" w:rsidRPr="004804D2" w:rsidRDefault="00A83F57" w:rsidP="000F2B00">
      <w:pPr>
        <w:keepNext/>
        <w:keepLines/>
        <w:numPr>
          <w:ilvl w:val="1"/>
          <w:numId w:val="5"/>
        </w:numPr>
        <w:suppressAutoHyphens/>
        <w:autoSpaceDN w:val="0"/>
        <w:spacing w:after="240" w:line="240" w:lineRule="auto"/>
        <w:ind w:left="431" w:hanging="431"/>
        <w:jc w:val="both"/>
        <w:outlineLvl w:val="0"/>
        <w:rPr>
          <w:rFonts w:ascii="Times New Roman" w:eastAsiaTheme="majorEastAsia" w:hAnsi="Times New Roman" w:cs="Times New Roman"/>
          <w:b/>
          <w:bCs/>
        </w:rPr>
      </w:pPr>
      <w:r w:rsidRPr="004804D2">
        <w:rPr>
          <w:rFonts w:ascii="Times New Roman" w:hAnsi="Times New Roman" w:cs="Times New Roman"/>
          <w:b/>
          <w:lang w:bidi="lt-LT"/>
        </w:rPr>
        <w:t>Specialios laikymo sąlygos</w:t>
      </w:r>
    </w:p>
    <w:p w14:paraId="43F6FCAA" w14:textId="77777777" w:rsidR="00A83F57" w:rsidRPr="004804D2" w:rsidRDefault="00A83F57" w:rsidP="007176A9">
      <w:pPr>
        <w:suppressAutoHyphens/>
        <w:autoSpaceDN w:val="0"/>
        <w:spacing w:after="0" w:line="240" w:lineRule="auto"/>
        <w:jc w:val="both"/>
        <w:rPr>
          <w:rFonts w:ascii="Times New Roman" w:eastAsia="Calibri" w:hAnsi="Times New Roman" w:cs="Times New Roman"/>
        </w:rPr>
      </w:pPr>
      <w:r w:rsidRPr="004804D2">
        <w:rPr>
          <w:rFonts w:ascii="Times New Roman" w:hAnsi="Times New Roman" w:cs="Times New Roman"/>
          <w:lang w:bidi="lt-LT"/>
        </w:rPr>
        <w:t>Šiam vaistiniam preparatui specialių laikymo sąlygų nereikia.</w:t>
      </w:r>
    </w:p>
    <w:p w14:paraId="33673ECD" w14:textId="2F5FE47D" w:rsidR="00A83F57" w:rsidRPr="004804D2" w:rsidRDefault="00A83F57" w:rsidP="00A83F57">
      <w:pPr>
        <w:suppressAutoHyphens/>
        <w:autoSpaceDN w:val="0"/>
        <w:spacing w:after="0" w:line="240" w:lineRule="auto"/>
        <w:jc w:val="both"/>
        <w:rPr>
          <w:rFonts w:ascii="Times New Roman" w:eastAsia="Calibri" w:hAnsi="Times New Roman" w:cs="Times New Roman"/>
        </w:rPr>
      </w:pPr>
    </w:p>
    <w:p w14:paraId="675214FA" w14:textId="73505C56" w:rsidR="00873149" w:rsidRPr="004804D2" w:rsidRDefault="00873149" w:rsidP="000F2B00">
      <w:pPr>
        <w:pStyle w:val="Antrat1"/>
        <w:numPr>
          <w:ilvl w:val="1"/>
          <w:numId w:val="5"/>
        </w:numPr>
        <w:spacing w:before="0" w:after="240" w:line="240" w:lineRule="auto"/>
        <w:ind w:left="431" w:hanging="431"/>
        <w:jc w:val="both"/>
        <w:rPr>
          <w:rFonts w:ascii="Times New Roman" w:hAnsi="Times New Roman" w:cs="Times New Roman"/>
          <w:b/>
          <w:bCs/>
          <w:color w:val="auto"/>
          <w:sz w:val="22"/>
          <w:szCs w:val="22"/>
          <w:lang w:val="en-US"/>
        </w:rPr>
      </w:pPr>
      <w:r w:rsidRPr="004804D2">
        <w:rPr>
          <w:rFonts w:ascii="Times New Roman" w:hAnsi="Times New Roman" w:cs="Times New Roman"/>
          <w:b/>
          <w:color w:val="auto"/>
          <w:sz w:val="22"/>
          <w:szCs w:val="22"/>
          <w:lang w:bidi="lt-LT"/>
        </w:rPr>
        <w:t>Talpyklės pobūdis ir jos turinys</w:t>
      </w:r>
    </w:p>
    <w:p w14:paraId="1FF8EFF1" w14:textId="77777777" w:rsidR="00281065" w:rsidRPr="004804D2" w:rsidRDefault="003F4A89" w:rsidP="00873149">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 xml:space="preserve">Aliuminio/aliuminio lizdinės plokštelės kartono dėžutėse, kuriose yra 10, 14, 28, 30, 56, 60, 84, 90, 98, 100 ir 120 plėvele dengtų tablečių. </w:t>
      </w:r>
    </w:p>
    <w:p w14:paraId="0CCD620F" w14:textId="224BCCC5" w:rsidR="00873149" w:rsidRPr="004804D2" w:rsidRDefault="003F4A89" w:rsidP="00873149">
      <w:pPr>
        <w:suppressAutoHyphens/>
        <w:autoSpaceDN w:val="0"/>
        <w:spacing w:after="0" w:line="240" w:lineRule="auto"/>
        <w:jc w:val="both"/>
        <w:rPr>
          <w:rFonts w:ascii="Times New Roman" w:eastAsia="Calibri" w:hAnsi="Times New Roman" w:cs="Times New Roman"/>
          <w:lang w:val="en-US"/>
        </w:rPr>
      </w:pPr>
      <w:r w:rsidRPr="004804D2">
        <w:rPr>
          <w:rFonts w:ascii="Times New Roman" w:hAnsi="Times New Roman" w:cs="Times New Roman"/>
          <w:lang w:bidi="lt-LT"/>
        </w:rPr>
        <w:t xml:space="preserve">Visų dydžių pakuotės taip pat gali būti pateikiamos kaip </w:t>
      </w:r>
      <w:r w:rsidR="0090484B">
        <w:rPr>
          <w:rFonts w:ascii="Times New Roman" w:hAnsi="Times New Roman" w:cs="Times New Roman"/>
          <w:lang w:bidi="lt-LT"/>
        </w:rPr>
        <w:t>dalomosios</w:t>
      </w:r>
      <w:r w:rsidRPr="004804D2">
        <w:rPr>
          <w:rFonts w:ascii="Times New Roman" w:hAnsi="Times New Roman" w:cs="Times New Roman"/>
          <w:lang w:bidi="lt-LT"/>
        </w:rPr>
        <w:t xml:space="preserve"> lizdinės plokštelės: 10x1, 14x1, 28x1, 30x1, 56x1, 60x1, 84x1, 90x1, 98x1, 100x1 ir 120x1 plėvele dengtos tabletės (vieneto dozė)</w:t>
      </w:r>
    </w:p>
    <w:p w14:paraId="33190C88" w14:textId="63029632" w:rsidR="00873149" w:rsidRPr="004804D2" w:rsidRDefault="00873149" w:rsidP="00873149">
      <w:pPr>
        <w:suppressAutoHyphens/>
        <w:autoSpaceDN w:val="0"/>
        <w:spacing w:after="0" w:line="240" w:lineRule="auto"/>
        <w:jc w:val="both"/>
        <w:rPr>
          <w:rFonts w:ascii="Times New Roman" w:eastAsia="Calibri" w:hAnsi="Times New Roman" w:cs="Times New Roman"/>
          <w:lang w:val="en-US"/>
        </w:rPr>
      </w:pPr>
    </w:p>
    <w:p w14:paraId="7548DF5E" w14:textId="497901D4" w:rsidR="00873149" w:rsidRPr="004B1235" w:rsidRDefault="00873149" w:rsidP="00873149">
      <w:pPr>
        <w:suppressAutoHyphens/>
        <w:autoSpaceDN w:val="0"/>
        <w:spacing w:after="0" w:line="240" w:lineRule="auto"/>
        <w:jc w:val="both"/>
        <w:rPr>
          <w:rFonts w:ascii="Times New Roman" w:eastAsia="Calibri" w:hAnsi="Times New Roman" w:cs="Times New Roman"/>
          <w:lang w:val="it-CH"/>
        </w:rPr>
      </w:pPr>
      <w:r w:rsidRPr="004804D2">
        <w:rPr>
          <w:rFonts w:ascii="Times New Roman" w:hAnsi="Times New Roman" w:cs="Times New Roman"/>
          <w:lang w:bidi="lt-LT"/>
        </w:rPr>
        <w:t>Gali būti tiekiamos ne visų dydžių pakuotės.</w:t>
      </w:r>
    </w:p>
    <w:p w14:paraId="424801C6" w14:textId="5F78E803" w:rsidR="00873149" w:rsidRPr="004B1235" w:rsidRDefault="00873149" w:rsidP="00873149">
      <w:pPr>
        <w:suppressAutoHyphens/>
        <w:autoSpaceDN w:val="0"/>
        <w:spacing w:after="0" w:line="240" w:lineRule="auto"/>
        <w:jc w:val="both"/>
        <w:rPr>
          <w:rFonts w:ascii="Times New Roman" w:eastAsia="Calibri" w:hAnsi="Times New Roman" w:cs="Times New Roman"/>
          <w:lang w:val="it-CH"/>
        </w:rPr>
      </w:pPr>
    </w:p>
    <w:p w14:paraId="2FF07FA5" w14:textId="52300C61" w:rsidR="00873149" w:rsidRPr="004804D2" w:rsidRDefault="00873149" w:rsidP="000F2B00">
      <w:pPr>
        <w:pStyle w:val="Antrat1"/>
        <w:numPr>
          <w:ilvl w:val="1"/>
          <w:numId w:val="5"/>
        </w:numPr>
        <w:spacing w:before="0" w:after="240" w:line="240" w:lineRule="auto"/>
        <w:ind w:left="431" w:hanging="431"/>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Specialios atsargumo priemonės atliekoms tvarkyti</w:t>
      </w:r>
    </w:p>
    <w:p w14:paraId="7B042812" w14:textId="77777777" w:rsidR="00873149" w:rsidRPr="004804D2" w:rsidRDefault="00873149" w:rsidP="00873149">
      <w:pPr>
        <w:suppressAutoHyphens/>
        <w:autoSpaceDN w:val="0"/>
        <w:spacing w:after="0" w:line="240" w:lineRule="auto"/>
        <w:jc w:val="both"/>
        <w:rPr>
          <w:rFonts w:ascii="Times New Roman" w:eastAsia="Calibri" w:hAnsi="Times New Roman" w:cs="Times New Roman"/>
        </w:rPr>
      </w:pPr>
      <w:r w:rsidRPr="004804D2">
        <w:rPr>
          <w:rFonts w:ascii="Times New Roman" w:hAnsi="Times New Roman" w:cs="Times New Roman"/>
          <w:lang w:bidi="lt-LT"/>
        </w:rPr>
        <w:t>Nesuvartotą vaistinį preparatą ar atliekas reikia tvarkyti laikantis vietinių reikalavimų.</w:t>
      </w:r>
    </w:p>
    <w:p w14:paraId="3C69A830" w14:textId="0FB993AC" w:rsidR="00873149" w:rsidRPr="004804D2" w:rsidRDefault="00873149" w:rsidP="00873149">
      <w:pPr>
        <w:suppressAutoHyphens/>
        <w:autoSpaceDN w:val="0"/>
        <w:spacing w:after="0" w:line="240" w:lineRule="auto"/>
        <w:jc w:val="both"/>
        <w:rPr>
          <w:rFonts w:ascii="Times New Roman" w:eastAsia="Calibri" w:hAnsi="Times New Roman" w:cs="Times New Roman"/>
        </w:rPr>
      </w:pPr>
    </w:p>
    <w:p w14:paraId="5D62F14B" w14:textId="37CFB2D9" w:rsidR="00873149" w:rsidRPr="004804D2" w:rsidRDefault="00873149" w:rsidP="00873149">
      <w:pPr>
        <w:suppressAutoHyphens/>
        <w:autoSpaceDN w:val="0"/>
        <w:spacing w:after="0" w:line="240" w:lineRule="auto"/>
        <w:jc w:val="both"/>
        <w:rPr>
          <w:rFonts w:ascii="Times New Roman" w:eastAsia="Calibri" w:hAnsi="Times New Roman" w:cs="Times New Roman"/>
        </w:rPr>
      </w:pPr>
    </w:p>
    <w:p w14:paraId="754857F9" w14:textId="4367DB99" w:rsidR="00873149" w:rsidRPr="004804D2" w:rsidRDefault="00873149" w:rsidP="000F2B00">
      <w:pPr>
        <w:pStyle w:val="Antrat1"/>
        <w:numPr>
          <w:ilvl w:val="0"/>
          <w:numId w:val="5"/>
        </w:numPr>
        <w:spacing w:before="0" w:after="240" w:line="240" w:lineRule="auto"/>
        <w:ind w:left="357" w:hanging="35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REGISTRUOTOJAS</w:t>
      </w:r>
    </w:p>
    <w:p w14:paraId="5BC72809" w14:textId="77777777" w:rsidR="00E1529B" w:rsidRPr="004B1235" w:rsidRDefault="00E1529B" w:rsidP="00E1529B">
      <w:pPr>
        <w:suppressAutoHyphens/>
        <w:autoSpaceDN w:val="0"/>
        <w:spacing w:after="0" w:line="240" w:lineRule="auto"/>
        <w:jc w:val="both"/>
        <w:rPr>
          <w:rFonts w:ascii="Times New Roman" w:hAnsi="Times New Roman" w:cs="Times New Roman"/>
          <w:lang w:bidi="lt-LT"/>
        </w:rPr>
      </w:pPr>
      <w:proofErr w:type="spellStart"/>
      <w:r w:rsidRPr="004B1235">
        <w:rPr>
          <w:rFonts w:ascii="Times New Roman" w:hAnsi="Times New Roman" w:cs="Times New Roman"/>
          <w:lang w:bidi="lt-LT"/>
        </w:rPr>
        <w:t>Genepharm</w:t>
      </w:r>
      <w:proofErr w:type="spellEnd"/>
      <w:r w:rsidRPr="004B1235">
        <w:rPr>
          <w:rFonts w:ascii="Times New Roman" w:hAnsi="Times New Roman" w:cs="Times New Roman"/>
          <w:lang w:bidi="lt-LT"/>
        </w:rPr>
        <w:t xml:space="preserve"> S.A.</w:t>
      </w:r>
    </w:p>
    <w:p w14:paraId="0D76C635" w14:textId="77777777" w:rsidR="00487D3F" w:rsidRPr="004B1235" w:rsidRDefault="00E1529B" w:rsidP="00E1529B">
      <w:pPr>
        <w:suppressAutoHyphens/>
        <w:autoSpaceDN w:val="0"/>
        <w:spacing w:after="0" w:line="240" w:lineRule="auto"/>
        <w:jc w:val="both"/>
        <w:rPr>
          <w:rFonts w:ascii="Times New Roman" w:hAnsi="Times New Roman" w:cs="Times New Roman"/>
          <w:lang w:bidi="lt-LT"/>
        </w:rPr>
      </w:pPr>
      <w:r w:rsidRPr="004B1235">
        <w:rPr>
          <w:rFonts w:ascii="Times New Roman" w:hAnsi="Times New Roman" w:cs="Times New Roman"/>
          <w:lang w:bidi="lt-LT"/>
        </w:rPr>
        <w:t xml:space="preserve">18 Km </w:t>
      </w:r>
      <w:proofErr w:type="spellStart"/>
      <w:r w:rsidRPr="004B1235">
        <w:rPr>
          <w:rFonts w:ascii="Times New Roman" w:hAnsi="Times New Roman" w:cs="Times New Roman"/>
          <w:lang w:bidi="lt-LT"/>
        </w:rPr>
        <w:t>Marathon</w:t>
      </w:r>
      <w:proofErr w:type="spellEnd"/>
      <w:r w:rsidRPr="004B1235">
        <w:rPr>
          <w:rFonts w:ascii="Times New Roman" w:hAnsi="Times New Roman" w:cs="Times New Roman"/>
          <w:lang w:bidi="lt-LT"/>
        </w:rPr>
        <w:t xml:space="preserve"> </w:t>
      </w:r>
      <w:proofErr w:type="spellStart"/>
      <w:r w:rsidRPr="004B1235">
        <w:rPr>
          <w:rFonts w:ascii="Times New Roman" w:hAnsi="Times New Roman" w:cs="Times New Roman"/>
          <w:lang w:bidi="lt-LT"/>
        </w:rPr>
        <w:t>Avenue</w:t>
      </w:r>
      <w:proofErr w:type="spellEnd"/>
    </w:p>
    <w:p w14:paraId="1EFBA801" w14:textId="60D6FE28" w:rsidR="00487D3F" w:rsidRPr="004B1235" w:rsidRDefault="00E1529B" w:rsidP="00E1529B">
      <w:pPr>
        <w:suppressAutoHyphens/>
        <w:autoSpaceDN w:val="0"/>
        <w:spacing w:after="0" w:line="240" w:lineRule="auto"/>
        <w:jc w:val="both"/>
        <w:rPr>
          <w:rFonts w:ascii="Times New Roman" w:hAnsi="Times New Roman" w:cs="Times New Roman"/>
          <w:lang w:bidi="lt-LT"/>
        </w:rPr>
      </w:pPr>
      <w:r w:rsidRPr="004B1235">
        <w:rPr>
          <w:rFonts w:ascii="Times New Roman" w:hAnsi="Times New Roman" w:cs="Times New Roman"/>
          <w:lang w:bidi="lt-LT"/>
        </w:rPr>
        <w:t xml:space="preserve">15351 </w:t>
      </w:r>
      <w:proofErr w:type="spellStart"/>
      <w:r w:rsidRPr="004B1235">
        <w:rPr>
          <w:rFonts w:ascii="Times New Roman" w:hAnsi="Times New Roman" w:cs="Times New Roman"/>
          <w:lang w:bidi="lt-LT"/>
        </w:rPr>
        <w:t>Pallini</w:t>
      </w:r>
      <w:proofErr w:type="spellEnd"/>
    </w:p>
    <w:p w14:paraId="0257D364" w14:textId="0508A9A4" w:rsidR="00E1529B" w:rsidRPr="004B1235" w:rsidRDefault="00E1529B" w:rsidP="00E1529B">
      <w:pPr>
        <w:suppressAutoHyphens/>
        <w:autoSpaceDN w:val="0"/>
        <w:spacing w:after="0" w:line="240" w:lineRule="auto"/>
        <w:jc w:val="both"/>
        <w:rPr>
          <w:rFonts w:ascii="Times New Roman" w:hAnsi="Times New Roman" w:cs="Times New Roman"/>
          <w:lang w:bidi="lt-LT"/>
        </w:rPr>
      </w:pPr>
      <w:r w:rsidRPr="004B1235">
        <w:rPr>
          <w:rFonts w:ascii="Times New Roman" w:hAnsi="Times New Roman" w:cs="Times New Roman"/>
          <w:lang w:bidi="lt-LT"/>
        </w:rPr>
        <w:t>Gr</w:t>
      </w:r>
      <w:r w:rsidR="00487D3F" w:rsidRPr="004B1235">
        <w:rPr>
          <w:rFonts w:ascii="Times New Roman" w:hAnsi="Times New Roman" w:cs="Times New Roman"/>
          <w:lang w:bidi="lt-LT"/>
        </w:rPr>
        <w:t>aikija</w:t>
      </w:r>
    </w:p>
    <w:p w14:paraId="3ECC14A7" w14:textId="77777777" w:rsidR="00487D3F" w:rsidRPr="004B1235" w:rsidRDefault="00E1529B" w:rsidP="00E1529B">
      <w:pPr>
        <w:suppressAutoHyphens/>
        <w:autoSpaceDN w:val="0"/>
        <w:spacing w:after="0" w:line="240" w:lineRule="auto"/>
        <w:jc w:val="both"/>
        <w:rPr>
          <w:rFonts w:ascii="Times New Roman" w:hAnsi="Times New Roman" w:cs="Times New Roman"/>
          <w:lang w:bidi="lt-LT"/>
        </w:rPr>
      </w:pPr>
      <w:r w:rsidRPr="004B1235">
        <w:rPr>
          <w:rFonts w:ascii="Times New Roman" w:hAnsi="Times New Roman" w:cs="Times New Roman"/>
          <w:lang w:bidi="lt-LT"/>
        </w:rPr>
        <w:t>Tel +30.210.60.39.336</w:t>
      </w:r>
    </w:p>
    <w:p w14:paraId="7E5548F0" w14:textId="38609E7E" w:rsidR="00E1529B" w:rsidRPr="00487D3F" w:rsidRDefault="00E1529B" w:rsidP="00E1529B">
      <w:pPr>
        <w:suppressAutoHyphens/>
        <w:autoSpaceDN w:val="0"/>
        <w:spacing w:after="0" w:line="240" w:lineRule="auto"/>
        <w:jc w:val="both"/>
        <w:rPr>
          <w:lang w:eastAsia="lt-LT"/>
        </w:rPr>
      </w:pPr>
      <w:proofErr w:type="spellStart"/>
      <w:r w:rsidRPr="004B1235">
        <w:rPr>
          <w:rFonts w:ascii="Times New Roman" w:hAnsi="Times New Roman" w:cs="Times New Roman"/>
          <w:lang w:bidi="lt-LT"/>
        </w:rPr>
        <w:t>Fax</w:t>
      </w:r>
      <w:proofErr w:type="spellEnd"/>
      <w:r w:rsidRPr="004B1235">
        <w:rPr>
          <w:rFonts w:ascii="Times New Roman" w:hAnsi="Times New Roman" w:cs="Times New Roman"/>
          <w:lang w:bidi="lt-LT"/>
        </w:rPr>
        <w:t xml:space="preserve"> +30.210.60.39.402</w:t>
      </w:r>
    </w:p>
    <w:p w14:paraId="5DA5DCBA" w14:textId="34F679E9" w:rsidR="00873149" w:rsidRDefault="00E1529B" w:rsidP="00E1529B">
      <w:pPr>
        <w:suppressAutoHyphens/>
        <w:autoSpaceDN w:val="0"/>
        <w:spacing w:after="0" w:line="240" w:lineRule="auto"/>
        <w:jc w:val="both"/>
        <w:rPr>
          <w:lang w:eastAsia="lt-LT"/>
        </w:rPr>
      </w:pPr>
      <w:hyperlink r:id="rId8" w:history="1">
        <w:r w:rsidRPr="00487D3F">
          <w:rPr>
            <w:rStyle w:val="Hipersaitas"/>
            <w:lang w:eastAsia="lt-LT"/>
          </w:rPr>
          <w:t>www.genepharm.com</w:t>
        </w:r>
      </w:hyperlink>
    </w:p>
    <w:p w14:paraId="23EF3437" w14:textId="2AB2DC5A" w:rsidR="00873149" w:rsidRDefault="00873149" w:rsidP="00873149">
      <w:pPr>
        <w:suppressAutoHyphens/>
        <w:autoSpaceDN w:val="0"/>
        <w:spacing w:after="0" w:line="240" w:lineRule="auto"/>
        <w:jc w:val="both"/>
        <w:rPr>
          <w:rFonts w:ascii="Times New Roman" w:eastAsia="Calibri" w:hAnsi="Times New Roman" w:cs="Times New Roman"/>
          <w:lang w:val="en-US"/>
        </w:rPr>
      </w:pPr>
    </w:p>
    <w:p w14:paraId="6072A875" w14:textId="77777777" w:rsidR="00487D3F" w:rsidRPr="004804D2" w:rsidRDefault="00487D3F" w:rsidP="00873149">
      <w:pPr>
        <w:suppressAutoHyphens/>
        <w:autoSpaceDN w:val="0"/>
        <w:spacing w:after="0" w:line="240" w:lineRule="auto"/>
        <w:jc w:val="both"/>
        <w:rPr>
          <w:rFonts w:ascii="Times New Roman" w:eastAsia="Calibri" w:hAnsi="Times New Roman" w:cs="Times New Roman"/>
          <w:lang w:val="en-US"/>
        </w:rPr>
      </w:pPr>
    </w:p>
    <w:p w14:paraId="7D4AA189" w14:textId="6863301B" w:rsidR="00873149" w:rsidRPr="004804D2" w:rsidRDefault="00873149" w:rsidP="000F2B00">
      <w:pPr>
        <w:pStyle w:val="Antrat1"/>
        <w:numPr>
          <w:ilvl w:val="0"/>
          <w:numId w:val="5"/>
        </w:numPr>
        <w:spacing w:before="0" w:after="240" w:line="240" w:lineRule="auto"/>
        <w:ind w:left="357" w:hanging="357"/>
        <w:jc w:val="both"/>
        <w:rPr>
          <w:rFonts w:ascii="Times New Roman" w:hAnsi="Times New Roman" w:cs="Times New Roman"/>
          <w:b/>
          <w:bCs/>
          <w:color w:val="auto"/>
          <w:sz w:val="22"/>
          <w:szCs w:val="22"/>
        </w:rPr>
      </w:pPr>
      <w:r w:rsidRPr="004804D2">
        <w:rPr>
          <w:rFonts w:ascii="Times New Roman" w:hAnsi="Times New Roman" w:cs="Times New Roman"/>
          <w:b/>
          <w:color w:val="auto"/>
          <w:sz w:val="22"/>
          <w:szCs w:val="22"/>
          <w:lang w:bidi="lt-LT"/>
        </w:rPr>
        <w:t xml:space="preserve">REGISTRACIJOS PAŽYMĖJIMO NUMERIS (-IAI)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B1235" w14:paraId="06EB1309" w14:textId="77777777" w:rsidTr="004B1235">
        <w:tc>
          <w:tcPr>
            <w:tcW w:w="4530" w:type="dxa"/>
          </w:tcPr>
          <w:p w14:paraId="7858F4CF" w14:textId="77777777" w:rsidR="004B1235" w:rsidRPr="004B1235" w:rsidRDefault="004B1235" w:rsidP="004B1235">
            <w:pPr>
              <w:suppressAutoHyphens/>
              <w:autoSpaceDN w:val="0"/>
              <w:jc w:val="both"/>
              <w:rPr>
                <w:rFonts w:ascii="Times New Roman" w:eastAsia="Calibri" w:hAnsi="Times New Roman" w:cs="Times New Roman"/>
                <w:lang w:val="en-US"/>
              </w:rPr>
            </w:pPr>
            <w:proofErr w:type="spellStart"/>
            <w:r w:rsidRPr="004B1235">
              <w:rPr>
                <w:rFonts w:ascii="Times New Roman" w:eastAsia="Calibri" w:hAnsi="Times New Roman" w:cs="Times New Roman"/>
                <w:u w:val="single"/>
                <w:lang w:val="en-US"/>
              </w:rPr>
              <w:t>Lizdinė</w:t>
            </w:r>
            <w:proofErr w:type="spellEnd"/>
            <w:r w:rsidRPr="004B1235">
              <w:rPr>
                <w:rFonts w:ascii="Times New Roman" w:eastAsia="Calibri" w:hAnsi="Times New Roman" w:cs="Times New Roman"/>
                <w:u w:val="single"/>
                <w:lang w:val="en-US"/>
              </w:rPr>
              <w:t xml:space="preserve"> </w:t>
            </w:r>
            <w:proofErr w:type="spellStart"/>
            <w:r w:rsidRPr="004B1235">
              <w:rPr>
                <w:rFonts w:ascii="Times New Roman" w:eastAsia="Calibri" w:hAnsi="Times New Roman" w:cs="Times New Roman"/>
                <w:u w:val="single"/>
                <w:lang w:val="en-US"/>
              </w:rPr>
              <w:t>plokštelė</w:t>
            </w:r>
            <w:proofErr w:type="spellEnd"/>
            <w:r w:rsidRPr="004B1235">
              <w:rPr>
                <w:rFonts w:ascii="Times New Roman" w:eastAsia="Calibri" w:hAnsi="Times New Roman" w:cs="Times New Roman"/>
                <w:lang w:val="en-US"/>
              </w:rPr>
              <w:t>:</w:t>
            </w:r>
          </w:p>
          <w:p w14:paraId="07B49181"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LT/1/24/5656/001 – N10</w:t>
            </w:r>
          </w:p>
          <w:p w14:paraId="353EAF59"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LT/1/24/5656/002 – N14</w:t>
            </w:r>
          </w:p>
          <w:p w14:paraId="40D9A6A0"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LT/1/24/5656/003 – N28</w:t>
            </w:r>
          </w:p>
          <w:p w14:paraId="78DA11ED"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LT/1/24/5656/004 – N30</w:t>
            </w:r>
          </w:p>
          <w:p w14:paraId="60EEAE14"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LT/1/24/5656/005 – N56</w:t>
            </w:r>
          </w:p>
          <w:p w14:paraId="3F990E35"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LT/1/24/5656/006 – N60</w:t>
            </w:r>
          </w:p>
          <w:p w14:paraId="6DC2D208"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LT/1/24/5656/007 – N84</w:t>
            </w:r>
          </w:p>
          <w:p w14:paraId="66006162"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LT/1/24/5656/008 – N90</w:t>
            </w:r>
          </w:p>
          <w:p w14:paraId="37A4DCC5"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LT/1/24/5656/009 – N98</w:t>
            </w:r>
          </w:p>
          <w:p w14:paraId="4AB6482F"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LT/1/24/5656/010 – N100</w:t>
            </w:r>
          </w:p>
          <w:p w14:paraId="798DD1CD" w14:textId="4DFC0C03" w:rsid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LT/1/24/5656/011 – N120</w:t>
            </w:r>
          </w:p>
        </w:tc>
        <w:tc>
          <w:tcPr>
            <w:tcW w:w="4530" w:type="dxa"/>
          </w:tcPr>
          <w:p w14:paraId="31C27EE2" w14:textId="77777777" w:rsidR="004B1235" w:rsidRPr="004B1235" w:rsidRDefault="004B1235" w:rsidP="004B1235">
            <w:pPr>
              <w:suppressAutoHyphens/>
              <w:autoSpaceDN w:val="0"/>
              <w:jc w:val="both"/>
              <w:rPr>
                <w:rFonts w:ascii="Times New Roman" w:eastAsia="Calibri" w:hAnsi="Times New Roman" w:cs="Times New Roman"/>
                <w:lang w:val="en-US"/>
              </w:rPr>
            </w:pPr>
            <w:proofErr w:type="spellStart"/>
            <w:r w:rsidRPr="004B1235">
              <w:rPr>
                <w:rFonts w:ascii="Times New Roman" w:eastAsia="Calibri" w:hAnsi="Times New Roman" w:cs="Times New Roman"/>
                <w:u w:val="single"/>
                <w:lang w:val="en-US"/>
              </w:rPr>
              <w:t>Dalomoji</w:t>
            </w:r>
            <w:proofErr w:type="spellEnd"/>
            <w:r w:rsidRPr="004B1235">
              <w:rPr>
                <w:rFonts w:ascii="Times New Roman" w:eastAsia="Calibri" w:hAnsi="Times New Roman" w:cs="Times New Roman"/>
                <w:u w:val="single"/>
                <w:lang w:val="en-US"/>
              </w:rPr>
              <w:t xml:space="preserve"> </w:t>
            </w:r>
            <w:proofErr w:type="spellStart"/>
            <w:r w:rsidRPr="004B1235">
              <w:rPr>
                <w:rFonts w:ascii="Times New Roman" w:eastAsia="Calibri" w:hAnsi="Times New Roman" w:cs="Times New Roman"/>
                <w:u w:val="single"/>
                <w:lang w:val="en-US"/>
              </w:rPr>
              <w:t>lizdinė</w:t>
            </w:r>
            <w:proofErr w:type="spellEnd"/>
            <w:r w:rsidRPr="004B1235">
              <w:rPr>
                <w:rFonts w:ascii="Times New Roman" w:eastAsia="Calibri" w:hAnsi="Times New Roman" w:cs="Times New Roman"/>
                <w:lang w:val="en-US"/>
              </w:rPr>
              <w:t xml:space="preserve"> </w:t>
            </w:r>
            <w:proofErr w:type="spellStart"/>
            <w:r w:rsidRPr="004B1235">
              <w:rPr>
                <w:rFonts w:ascii="Times New Roman" w:eastAsia="Calibri" w:hAnsi="Times New Roman" w:cs="Times New Roman"/>
                <w:lang w:val="en-US"/>
              </w:rPr>
              <w:t>plokštelė</w:t>
            </w:r>
            <w:proofErr w:type="spellEnd"/>
            <w:r w:rsidRPr="004B1235">
              <w:rPr>
                <w:rFonts w:ascii="Times New Roman" w:eastAsia="Calibri" w:hAnsi="Times New Roman" w:cs="Times New Roman"/>
                <w:lang w:val="en-US"/>
              </w:rPr>
              <w:t>:</w:t>
            </w:r>
          </w:p>
          <w:p w14:paraId="0D8A82F7"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LT/1/24/5656/012 – N10x1</w:t>
            </w:r>
          </w:p>
          <w:p w14:paraId="15CEEF90"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LT/1/24/5656/013 – N14x1</w:t>
            </w:r>
          </w:p>
          <w:p w14:paraId="3EC912C5"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LT/1/24/5656/014 – N28x1</w:t>
            </w:r>
          </w:p>
          <w:p w14:paraId="42E1F6E5"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LT/1/24/5656/015 – N30x1</w:t>
            </w:r>
          </w:p>
          <w:p w14:paraId="71C9752C"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LT/1/24/5656/016 – N56x1</w:t>
            </w:r>
          </w:p>
          <w:p w14:paraId="58A10BD9"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LT/1/24/5656/017 – N60x1</w:t>
            </w:r>
          </w:p>
          <w:p w14:paraId="35506F35"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LT/1/24/5656/018 – N84x1</w:t>
            </w:r>
          </w:p>
          <w:p w14:paraId="69C702E4"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LT/1/24/5656/019 – N90x1</w:t>
            </w:r>
          </w:p>
          <w:p w14:paraId="12C6DF57"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LT/1/24/5656/020 – N98x1</w:t>
            </w:r>
          </w:p>
          <w:p w14:paraId="7272BF67" w14:textId="77777777" w:rsidR="004B1235" w:rsidRP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LT/1/24/5656/021 – N100x1</w:t>
            </w:r>
          </w:p>
          <w:p w14:paraId="50B69125" w14:textId="3725D877" w:rsidR="004B1235" w:rsidRDefault="004B1235" w:rsidP="004B1235">
            <w:pPr>
              <w:suppressAutoHyphens/>
              <w:autoSpaceDN w:val="0"/>
              <w:jc w:val="both"/>
              <w:rPr>
                <w:rFonts w:ascii="Times New Roman" w:eastAsia="Calibri" w:hAnsi="Times New Roman" w:cs="Times New Roman"/>
                <w:lang w:val="en-US"/>
              </w:rPr>
            </w:pPr>
            <w:r w:rsidRPr="004B1235">
              <w:rPr>
                <w:rFonts w:ascii="Times New Roman" w:eastAsia="Calibri" w:hAnsi="Times New Roman" w:cs="Times New Roman"/>
                <w:lang w:val="en-US"/>
              </w:rPr>
              <w:t>LT/1/24/5656/022 – N120x1</w:t>
            </w:r>
          </w:p>
        </w:tc>
      </w:tr>
    </w:tbl>
    <w:p w14:paraId="2ABC2F48" w14:textId="48DC4853" w:rsidR="00873149" w:rsidRPr="004804D2" w:rsidRDefault="00873149" w:rsidP="00873149">
      <w:pPr>
        <w:suppressAutoHyphens/>
        <w:autoSpaceDN w:val="0"/>
        <w:spacing w:after="0" w:line="240" w:lineRule="auto"/>
        <w:jc w:val="both"/>
        <w:rPr>
          <w:rFonts w:ascii="Times New Roman" w:eastAsia="Calibri" w:hAnsi="Times New Roman" w:cs="Times New Roman"/>
          <w:lang w:val="en-US"/>
        </w:rPr>
      </w:pPr>
    </w:p>
    <w:p w14:paraId="45CF6A0D" w14:textId="41243CA7" w:rsidR="00873149" w:rsidRPr="004804D2" w:rsidRDefault="00873149" w:rsidP="00873149">
      <w:pPr>
        <w:suppressAutoHyphens/>
        <w:autoSpaceDN w:val="0"/>
        <w:spacing w:after="0" w:line="240" w:lineRule="auto"/>
        <w:jc w:val="both"/>
        <w:rPr>
          <w:rFonts w:ascii="Times New Roman" w:eastAsia="Calibri" w:hAnsi="Times New Roman" w:cs="Times New Roman"/>
          <w:lang w:val="en-US"/>
        </w:rPr>
      </w:pPr>
    </w:p>
    <w:p w14:paraId="315ED1BA" w14:textId="7CB31FDD" w:rsidR="00873149" w:rsidRPr="004804D2" w:rsidRDefault="00873149" w:rsidP="000F2B00">
      <w:pPr>
        <w:pStyle w:val="Antrat1"/>
        <w:numPr>
          <w:ilvl w:val="0"/>
          <w:numId w:val="5"/>
        </w:numPr>
        <w:spacing w:before="0" w:after="240" w:line="240" w:lineRule="auto"/>
        <w:ind w:left="357" w:hanging="357"/>
        <w:jc w:val="both"/>
        <w:rPr>
          <w:rFonts w:ascii="Times New Roman" w:hAnsi="Times New Roman" w:cs="Times New Roman"/>
          <w:b/>
          <w:bCs/>
          <w:color w:val="auto"/>
          <w:sz w:val="22"/>
          <w:szCs w:val="22"/>
          <w:lang w:val="en-US"/>
        </w:rPr>
      </w:pPr>
      <w:r w:rsidRPr="004804D2">
        <w:rPr>
          <w:rFonts w:ascii="Times New Roman" w:hAnsi="Times New Roman" w:cs="Times New Roman"/>
          <w:b/>
          <w:color w:val="auto"/>
          <w:sz w:val="22"/>
          <w:szCs w:val="22"/>
          <w:lang w:bidi="lt-LT"/>
        </w:rPr>
        <w:t>REGISTRAVIMO / PERREGISTRAVIMO DATA</w:t>
      </w:r>
    </w:p>
    <w:p w14:paraId="2637BAE5" w14:textId="514A0E83" w:rsidR="00873149" w:rsidRPr="004804D2" w:rsidRDefault="0090484B" w:rsidP="00873149">
      <w:pPr>
        <w:suppressAutoHyphens/>
        <w:autoSpaceDN w:val="0"/>
        <w:spacing w:after="0" w:line="240" w:lineRule="auto"/>
        <w:jc w:val="both"/>
        <w:rPr>
          <w:rFonts w:ascii="Times New Roman" w:eastAsia="Calibri" w:hAnsi="Times New Roman" w:cs="Times New Roman"/>
          <w:lang w:val="pl-PL"/>
        </w:rPr>
      </w:pPr>
      <w:r w:rsidRPr="0090484B">
        <w:rPr>
          <w:rFonts w:ascii="Times New Roman" w:hAnsi="Times New Roman" w:cs="Times New Roman"/>
          <w:lang w:bidi="lt-LT"/>
        </w:rPr>
        <w:t xml:space="preserve">Registravimo data </w:t>
      </w:r>
      <w:r w:rsidR="004B1235">
        <w:rPr>
          <w:rFonts w:ascii="Times New Roman" w:hAnsi="Times New Roman" w:cs="Times New Roman"/>
          <w:lang w:bidi="lt-LT"/>
        </w:rPr>
        <w:t>2024 m. gruodžio 20 d.</w:t>
      </w:r>
    </w:p>
    <w:p w14:paraId="6A7F158C" w14:textId="353628BB" w:rsidR="00873149" w:rsidRPr="004804D2" w:rsidRDefault="00873149" w:rsidP="00873149">
      <w:pPr>
        <w:suppressAutoHyphens/>
        <w:autoSpaceDN w:val="0"/>
        <w:spacing w:after="0" w:line="240" w:lineRule="auto"/>
        <w:jc w:val="both"/>
        <w:rPr>
          <w:rFonts w:ascii="Times New Roman" w:eastAsia="Calibri" w:hAnsi="Times New Roman" w:cs="Times New Roman"/>
          <w:lang w:val="pl-PL"/>
        </w:rPr>
      </w:pPr>
    </w:p>
    <w:p w14:paraId="168C876F" w14:textId="283475A2" w:rsidR="002B68A4" w:rsidRPr="004804D2" w:rsidRDefault="002B68A4" w:rsidP="00873149">
      <w:pPr>
        <w:suppressAutoHyphens/>
        <w:autoSpaceDN w:val="0"/>
        <w:spacing w:after="0" w:line="240" w:lineRule="auto"/>
        <w:jc w:val="both"/>
        <w:rPr>
          <w:rFonts w:ascii="Times New Roman" w:eastAsia="Calibri" w:hAnsi="Times New Roman" w:cs="Times New Roman"/>
          <w:lang w:val="pl-PL"/>
        </w:rPr>
      </w:pPr>
    </w:p>
    <w:p w14:paraId="70D69183" w14:textId="506F0292" w:rsidR="002B68A4" w:rsidRPr="004804D2" w:rsidRDefault="002B68A4" w:rsidP="000F2B00">
      <w:pPr>
        <w:pStyle w:val="Antrat1"/>
        <w:numPr>
          <w:ilvl w:val="0"/>
          <w:numId w:val="5"/>
        </w:numPr>
        <w:spacing w:before="0" w:after="240" w:line="240" w:lineRule="auto"/>
        <w:ind w:left="357" w:hanging="357"/>
        <w:jc w:val="both"/>
        <w:rPr>
          <w:rFonts w:ascii="Times New Roman" w:hAnsi="Times New Roman" w:cs="Times New Roman"/>
          <w:b/>
          <w:bCs/>
          <w:color w:val="auto"/>
          <w:sz w:val="22"/>
          <w:szCs w:val="22"/>
          <w:lang w:val="en-US"/>
        </w:rPr>
      </w:pPr>
      <w:r w:rsidRPr="004804D2">
        <w:rPr>
          <w:rFonts w:ascii="Times New Roman" w:hAnsi="Times New Roman" w:cs="Times New Roman"/>
          <w:b/>
          <w:color w:val="auto"/>
          <w:sz w:val="22"/>
          <w:szCs w:val="22"/>
          <w:lang w:bidi="lt-LT"/>
        </w:rPr>
        <w:t>TEKSTO PERŽIŪROS DATA</w:t>
      </w:r>
    </w:p>
    <w:p w14:paraId="39CB193C" w14:textId="4DD60A5C" w:rsidR="002B68A4" w:rsidRDefault="004B1235" w:rsidP="002B68A4">
      <w:pPr>
        <w:suppressAutoHyphens/>
        <w:autoSpaceDN w:val="0"/>
        <w:spacing w:after="0" w:line="240" w:lineRule="auto"/>
        <w:jc w:val="both"/>
        <w:rPr>
          <w:rFonts w:ascii="Times New Roman" w:hAnsi="Times New Roman" w:cs="Times New Roman"/>
          <w:lang w:bidi="lt-LT"/>
        </w:rPr>
      </w:pPr>
      <w:r>
        <w:rPr>
          <w:rFonts w:ascii="Times New Roman" w:hAnsi="Times New Roman" w:cs="Times New Roman"/>
          <w:lang w:bidi="lt-LT"/>
        </w:rPr>
        <w:t>2024 m. gruodžio 20 d.</w:t>
      </w:r>
    </w:p>
    <w:p w14:paraId="03377AF1" w14:textId="77777777" w:rsidR="004B1235" w:rsidRDefault="004B1235" w:rsidP="002B68A4">
      <w:pPr>
        <w:suppressAutoHyphens/>
        <w:autoSpaceDN w:val="0"/>
        <w:spacing w:after="0" w:line="240" w:lineRule="auto"/>
        <w:jc w:val="both"/>
        <w:rPr>
          <w:rFonts w:ascii="Times New Roman" w:hAnsi="Times New Roman" w:cs="Times New Roman"/>
          <w:lang w:bidi="lt-LT"/>
        </w:rPr>
      </w:pPr>
    </w:p>
    <w:p w14:paraId="15027875" w14:textId="77777777" w:rsidR="005D0E5A" w:rsidRPr="004804D2" w:rsidRDefault="005D0E5A" w:rsidP="002B68A4">
      <w:pPr>
        <w:suppressAutoHyphens/>
        <w:autoSpaceDN w:val="0"/>
        <w:spacing w:after="0" w:line="240" w:lineRule="auto"/>
        <w:jc w:val="both"/>
        <w:rPr>
          <w:rFonts w:ascii="Times New Roman" w:eastAsia="Calibri" w:hAnsi="Times New Roman" w:cs="Times New Roman"/>
          <w:lang w:val="en-US"/>
        </w:rPr>
      </w:pPr>
    </w:p>
    <w:p w14:paraId="4BBA4C5C" w14:textId="77777777" w:rsidR="005D0E5A" w:rsidRPr="00487D3F" w:rsidRDefault="005D0E5A" w:rsidP="005D0E5A">
      <w:pPr>
        <w:tabs>
          <w:tab w:val="center" w:pos="4819"/>
          <w:tab w:val="right" w:pos="9638"/>
        </w:tabs>
        <w:rPr>
          <w:rFonts w:ascii="Times New Roman" w:hAnsi="Times New Roman" w:cs="Times New Roman"/>
        </w:rPr>
      </w:pPr>
      <w:r w:rsidRPr="00487D3F">
        <w:rPr>
          <w:rFonts w:ascii="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487D3F">
        <w:rPr>
          <w:rFonts w:ascii="Times New Roman" w:hAnsi="Times New Roman" w:cs="Times New Roman"/>
          <w:color w:val="0000EE"/>
          <w:u w:val="single"/>
          <w:lang w:eastAsia="lt-LT"/>
        </w:rPr>
        <w:t>https://vvkt.lrv.lt/lt/.</w:t>
      </w:r>
    </w:p>
    <w:p w14:paraId="7F918630" w14:textId="2549C431" w:rsidR="007447A1" w:rsidRDefault="007447A1">
      <w:pPr>
        <w:rPr>
          <w:rFonts w:ascii="Times New Roman" w:eastAsia="Calibri" w:hAnsi="Times New Roman" w:cs="Times New Roman"/>
          <w:lang w:val="en-US"/>
        </w:rPr>
      </w:pPr>
      <w:r w:rsidRPr="004804D2">
        <w:rPr>
          <w:rFonts w:ascii="Times New Roman" w:eastAsia="Calibri" w:hAnsi="Times New Roman" w:cs="Times New Roman"/>
          <w:lang w:val="en-US"/>
        </w:rPr>
        <w:br w:type="page"/>
      </w:r>
    </w:p>
    <w:p w14:paraId="1119A795" w14:textId="77777777" w:rsidR="005D0E5A" w:rsidRDefault="005D0E5A">
      <w:pPr>
        <w:rPr>
          <w:rFonts w:ascii="Times New Roman" w:eastAsia="Calibri" w:hAnsi="Times New Roman" w:cs="Times New Roman"/>
          <w:lang w:val="en-US"/>
        </w:rPr>
      </w:pPr>
    </w:p>
    <w:p w14:paraId="099A3ABC" w14:textId="77777777" w:rsidR="005D0E5A" w:rsidRDefault="005D0E5A">
      <w:pPr>
        <w:rPr>
          <w:rFonts w:ascii="Times New Roman" w:eastAsia="Calibri" w:hAnsi="Times New Roman" w:cs="Times New Roman"/>
          <w:lang w:val="en-US"/>
        </w:rPr>
      </w:pPr>
    </w:p>
    <w:p w14:paraId="19CAD58F" w14:textId="77777777" w:rsidR="0090484B" w:rsidRPr="00E1529B" w:rsidRDefault="0090484B" w:rsidP="00E1529B">
      <w:pPr>
        <w:tabs>
          <w:tab w:val="left" w:pos="4962"/>
        </w:tabs>
        <w:spacing w:after="0"/>
        <w:ind w:firstLine="4962"/>
        <w:rPr>
          <w:rFonts w:ascii="Times New Roman" w:eastAsia="SimSun" w:hAnsi="Times New Roman" w:cs="Times New Roman"/>
          <w:color w:val="008000"/>
          <w:sz w:val="24"/>
          <w:szCs w:val="24"/>
        </w:rPr>
      </w:pPr>
    </w:p>
    <w:p w14:paraId="156F7B89" w14:textId="77777777" w:rsidR="0090484B" w:rsidRPr="00E1529B" w:rsidRDefault="0090484B" w:rsidP="00E1529B">
      <w:pPr>
        <w:tabs>
          <w:tab w:val="left" w:pos="5954"/>
          <w:tab w:val="left" w:pos="6237"/>
          <w:tab w:val="left" w:pos="6663"/>
          <w:tab w:val="left" w:pos="6946"/>
        </w:tabs>
        <w:spacing w:after="0"/>
        <w:jc w:val="center"/>
        <w:rPr>
          <w:rFonts w:ascii="Times New Roman" w:eastAsia="SimSun" w:hAnsi="Times New Roman" w:cs="Times New Roman"/>
          <w:color w:val="000000"/>
          <w:sz w:val="24"/>
          <w:szCs w:val="24"/>
        </w:rPr>
      </w:pPr>
    </w:p>
    <w:p w14:paraId="70E2ED2A"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4CB15F84"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4BAA1D26"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582D1E9C"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55FC1E69"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442796E2"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3DD435CB"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1120707C"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24880051"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1080F0E8"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3DA6A0B7"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3C705B4E" w14:textId="77777777" w:rsidR="0090484B" w:rsidRPr="00E1529B" w:rsidRDefault="0090484B" w:rsidP="00E1529B">
      <w:pPr>
        <w:tabs>
          <w:tab w:val="left" w:pos="567"/>
        </w:tabs>
        <w:spacing w:after="0" w:line="260" w:lineRule="exact"/>
        <w:rPr>
          <w:rFonts w:ascii="Times New Roman" w:hAnsi="Times New Roman" w:cs="Times New Roman"/>
          <w:noProof/>
          <w:snapToGrid w:val="0"/>
          <w:sz w:val="24"/>
          <w:szCs w:val="24"/>
        </w:rPr>
      </w:pPr>
    </w:p>
    <w:p w14:paraId="3D6B9C79" w14:textId="77777777" w:rsidR="0090484B" w:rsidRDefault="0090484B" w:rsidP="000A415D">
      <w:pPr>
        <w:tabs>
          <w:tab w:val="left" w:pos="567"/>
        </w:tabs>
        <w:spacing w:after="0" w:line="260" w:lineRule="exact"/>
        <w:rPr>
          <w:rFonts w:ascii="Times New Roman" w:hAnsi="Times New Roman" w:cs="Times New Roman"/>
          <w:noProof/>
          <w:snapToGrid w:val="0"/>
          <w:sz w:val="24"/>
          <w:szCs w:val="24"/>
        </w:rPr>
      </w:pPr>
    </w:p>
    <w:p w14:paraId="5A79A0B4"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1B29BA4F"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0149681C"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3B812FB5"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0F950258"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089BA57C"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613C0F74" w14:textId="77777777" w:rsidR="000A415D" w:rsidRDefault="000A415D" w:rsidP="000A415D">
      <w:pPr>
        <w:tabs>
          <w:tab w:val="left" w:pos="567"/>
        </w:tabs>
        <w:spacing w:after="0" w:line="260" w:lineRule="exact"/>
        <w:rPr>
          <w:rFonts w:ascii="Times New Roman" w:hAnsi="Times New Roman" w:cs="Times New Roman"/>
          <w:noProof/>
          <w:snapToGrid w:val="0"/>
          <w:sz w:val="24"/>
          <w:szCs w:val="24"/>
        </w:rPr>
      </w:pPr>
    </w:p>
    <w:p w14:paraId="52C5DDDF" w14:textId="77777777" w:rsidR="000A415D" w:rsidRPr="00E1529B" w:rsidRDefault="000A415D" w:rsidP="00E1529B">
      <w:pPr>
        <w:tabs>
          <w:tab w:val="left" w:pos="567"/>
        </w:tabs>
        <w:spacing w:after="0" w:line="260" w:lineRule="exact"/>
        <w:rPr>
          <w:rFonts w:ascii="Times New Roman" w:hAnsi="Times New Roman" w:cs="Times New Roman"/>
          <w:noProof/>
          <w:snapToGrid w:val="0"/>
          <w:sz w:val="24"/>
          <w:szCs w:val="24"/>
        </w:rPr>
      </w:pPr>
    </w:p>
    <w:p w14:paraId="645E9F54" w14:textId="77777777" w:rsidR="0090484B" w:rsidRPr="00E1529B" w:rsidRDefault="0090484B" w:rsidP="00487D3F">
      <w:pPr>
        <w:tabs>
          <w:tab w:val="left" w:pos="567"/>
        </w:tabs>
        <w:spacing w:after="0" w:line="260" w:lineRule="exact"/>
        <w:jc w:val="center"/>
        <w:rPr>
          <w:rFonts w:ascii="Times New Roman" w:hAnsi="Times New Roman" w:cs="Times New Roman"/>
          <w:b/>
          <w:snapToGrid w:val="0"/>
          <w:sz w:val="24"/>
          <w:szCs w:val="24"/>
        </w:rPr>
      </w:pPr>
      <w:r w:rsidRPr="00E1529B">
        <w:rPr>
          <w:rFonts w:ascii="Times New Roman" w:hAnsi="Times New Roman" w:cs="Times New Roman"/>
          <w:b/>
          <w:snapToGrid w:val="0"/>
          <w:sz w:val="24"/>
          <w:szCs w:val="24"/>
        </w:rPr>
        <w:t>II PRIEDAS</w:t>
      </w:r>
    </w:p>
    <w:p w14:paraId="1D133D66" w14:textId="77777777" w:rsidR="0090484B" w:rsidRPr="00E1529B" w:rsidRDefault="0090484B" w:rsidP="00487D3F">
      <w:pPr>
        <w:tabs>
          <w:tab w:val="left" w:pos="567"/>
        </w:tabs>
        <w:spacing w:after="0" w:line="260" w:lineRule="exact"/>
        <w:ind w:right="1416" w:hanging="567"/>
        <w:jc w:val="center"/>
        <w:rPr>
          <w:rFonts w:ascii="Times New Roman" w:hAnsi="Times New Roman" w:cs="Times New Roman"/>
          <w:snapToGrid w:val="0"/>
          <w:sz w:val="24"/>
          <w:szCs w:val="24"/>
        </w:rPr>
      </w:pPr>
    </w:p>
    <w:p w14:paraId="06272A68" w14:textId="77777777" w:rsidR="0090484B" w:rsidRPr="00E1529B" w:rsidRDefault="0090484B" w:rsidP="00487D3F">
      <w:pPr>
        <w:tabs>
          <w:tab w:val="left" w:pos="567"/>
        </w:tabs>
        <w:spacing w:after="0" w:line="260" w:lineRule="exact"/>
        <w:jc w:val="center"/>
        <w:rPr>
          <w:rFonts w:ascii="Times New Roman" w:hAnsi="Times New Roman" w:cs="Times New Roman"/>
          <w:i/>
          <w:snapToGrid w:val="0"/>
          <w:sz w:val="24"/>
          <w:szCs w:val="24"/>
        </w:rPr>
      </w:pPr>
      <w:r w:rsidRPr="00E1529B">
        <w:rPr>
          <w:rFonts w:ascii="Times New Roman" w:hAnsi="Times New Roman" w:cs="Times New Roman"/>
          <w:b/>
          <w:snapToGrid w:val="0"/>
          <w:sz w:val="24"/>
          <w:szCs w:val="24"/>
        </w:rPr>
        <w:t>REGISTRACIJOS SĄLYGOS</w:t>
      </w:r>
    </w:p>
    <w:p w14:paraId="27927BAC" w14:textId="77777777" w:rsidR="0090484B" w:rsidRPr="00E1529B" w:rsidRDefault="0090484B" w:rsidP="00487D3F">
      <w:pPr>
        <w:tabs>
          <w:tab w:val="left" w:pos="567"/>
        </w:tabs>
        <w:spacing w:after="0" w:line="260" w:lineRule="exact"/>
        <w:jc w:val="center"/>
        <w:rPr>
          <w:rFonts w:ascii="Times New Roman" w:hAnsi="Times New Roman" w:cs="Times New Roman"/>
          <w:snapToGrid w:val="0"/>
          <w:sz w:val="24"/>
          <w:szCs w:val="24"/>
        </w:rPr>
      </w:pPr>
    </w:p>
    <w:p w14:paraId="399F4F8D" w14:textId="0E5D9776" w:rsidR="0090484B" w:rsidRPr="00E1529B" w:rsidRDefault="0090484B" w:rsidP="00487D3F">
      <w:pPr>
        <w:tabs>
          <w:tab w:val="left" w:pos="1701"/>
        </w:tabs>
        <w:spacing w:after="0" w:line="260" w:lineRule="exact"/>
        <w:ind w:right="567" w:hanging="567"/>
        <w:jc w:val="center"/>
        <w:rPr>
          <w:rFonts w:ascii="Times New Roman" w:hAnsi="Times New Roman" w:cs="Times New Roman"/>
          <w:b/>
          <w:noProof/>
          <w:snapToGrid w:val="0"/>
          <w:sz w:val="24"/>
          <w:szCs w:val="24"/>
        </w:rPr>
      </w:pPr>
      <w:r w:rsidRPr="00E1529B">
        <w:rPr>
          <w:rFonts w:ascii="Times New Roman" w:hAnsi="Times New Roman" w:cs="Times New Roman"/>
          <w:b/>
          <w:noProof/>
          <w:snapToGrid w:val="0"/>
          <w:sz w:val="24"/>
          <w:szCs w:val="24"/>
        </w:rPr>
        <w:t>A.</w:t>
      </w:r>
      <w:r w:rsidRPr="00E1529B">
        <w:rPr>
          <w:rFonts w:ascii="Times New Roman" w:hAnsi="Times New Roman" w:cs="Times New Roman"/>
          <w:b/>
          <w:noProof/>
          <w:snapToGrid w:val="0"/>
          <w:sz w:val="24"/>
          <w:szCs w:val="24"/>
        </w:rPr>
        <w:tab/>
        <w:t>GAMINTOJAS (-AI), ATSAKINGAS (-I) UŽ SERIJŲ IŠLEIDIMĄ</w:t>
      </w:r>
    </w:p>
    <w:p w14:paraId="2FBB9470" w14:textId="77777777" w:rsidR="0090484B" w:rsidRPr="00E1529B" w:rsidRDefault="0090484B" w:rsidP="00487D3F">
      <w:pPr>
        <w:tabs>
          <w:tab w:val="left" w:pos="1701"/>
        </w:tabs>
        <w:spacing w:after="0" w:line="260" w:lineRule="exact"/>
        <w:ind w:right="567" w:hanging="567"/>
        <w:jc w:val="center"/>
        <w:rPr>
          <w:rFonts w:ascii="Times New Roman" w:hAnsi="Times New Roman" w:cs="Times New Roman"/>
          <w:noProof/>
          <w:snapToGrid w:val="0"/>
          <w:sz w:val="24"/>
          <w:szCs w:val="24"/>
        </w:rPr>
      </w:pPr>
    </w:p>
    <w:p w14:paraId="4A3A59B7" w14:textId="77777777" w:rsidR="0090484B" w:rsidRPr="00E1529B" w:rsidRDefault="0090484B" w:rsidP="00487D3F">
      <w:pPr>
        <w:tabs>
          <w:tab w:val="left" w:pos="1701"/>
        </w:tabs>
        <w:spacing w:after="0" w:line="260" w:lineRule="exact"/>
        <w:ind w:right="567" w:hanging="567"/>
        <w:jc w:val="center"/>
        <w:rPr>
          <w:rFonts w:ascii="Times New Roman" w:hAnsi="Times New Roman" w:cs="Times New Roman"/>
          <w:b/>
          <w:snapToGrid w:val="0"/>
          <w:sz w:val="24"/>
          <w:szCs w:val="24"/>
        </w:rPr>
      </w:pPr>
      <w:r w:rsidRPr="00E1529B">
        <w:rPr>
          <w:rFonts w:ascii="Times New Roman" w:hAnsi="Times New Roman" w:cs="Times New Roman"/>
          <w:b/>
          <w:snapToGrid w:val="0"/>
          <w:sz w:val="24"/>
          <w:szCs w:val="24"/>
        </w:rPr>
        <w:t>B.</w:t>
      </w:r>
      <w:r w:rsidRPr="00E1529B">
        <w:rPr>
          <w:rFonts w:ascii="Times New Roman" w:hAnsi="Times New Roman" w:cs="Times New Roman"/>
          <w:b/>
          <w:snapToGrid w:val="0"/>
          <w:sz w:val="24"/>
          <w:szCs w:val="24"/>
        </w:rPr>
        <w:tab/>
        <w:t>TIEKIMO IR VARTOJIMO SĄLYGOS AR APRIBOJIMAI</w:t>
      </w:r>
    </w:p>
    <w:p w14:paraId="3B9090D5" w14:textId="77777777" w:rsidR="0090484B" w:rsidRPr="00E1529B" w:rsidRDefault="0090484B" w:rsidP="00E1529B">
      <w:pPr>
        <w:tabs>
          <w:tab w:val="left" w:pos="1701"/>
        </w:tabs>
        <w:spacing w:after="0" w:line="260" w:lineRule="exact"/>
        <w:ind w:right="567" w:hanging="567"/>
        <w:rPr>
          <w:rFonts w:ascii="Times New Roman" w:hAnsi="Times New Roman" w:cs="Times New Roman"/>
          <w:snapToGrid w:val="0"/>
          <w:sz w:val="24"/>
          <w:szCs w:val="24"/>
        </w:rPr>
      </w:pPr>
    </w:p>
    <w:p w14:paraId="3565BDA1" w14:textId="77777777" w:rsidR="0090484B" w:rsidRPr="00E1529B" w:rsidRDefault="0090484B" w:rsidP="00E1529B">
      <w:pPr>
        <w:tabs>
          <w:tab w:val="left" w:pos="567"/>
        </w:tabs>
        <w:spacing w:after="0" w:line="260" w:lineRule="exact"/>
        <w:ind w:right="1558" w:hanging="850"/>
        <w:rPr>
          <w:rFonts w:ascii="Times New Roman" w:hAnsi="Times New Roman" w:cs="Times New Roman"/>
          <w:b/>
          <w:snapToGrid w:val="0"/>
          <w:sz w:val="24"/>
          <w:szCs w:val="24"/>
        </w:rPr>
      </w:pPr>
    </w:p>
    <w:p w14:paraId="1B28A7E7" w14:textId="77777777" w:rsidR="0090484B" w:rsidRPr="00E1529B" w:rsidRDefault="0090484B" w:rsidP="00E1529B">
      <w:pPr>
        <w:tabs>
          <w:tab w:val="left" w:pos="567"/>
        </w:tabs>
        <w:spacing w:after="0" w:line="260" w:lineRule="exact"/>
        <w:ind w:hanging="567"/>
        <w:rPr>
          <w:rFonts w:ascii="Times New Roman" w:hAnsi="Times New Roman" w:cs="Times New Roman"/>
          <w:snapToGrid w:val="0"/>
          <w:sz w:val="24"/>
          <w:szCs w:val="24"/>
        </w:rPr>
      </w:pPr>
    </w:p>
    <w:p w14:paraId="01BE05B0" w14:textId="77777777" w:rsidR="0090484B" w:rsidRPr="00E1529B" w:rsidRDefault="0090484B" w:rsidP="00E1529B">
      <w:pPr>
        <w:tabs>
          <w:tab w:val="left" w:pos="567"/>
        </w:tabs>
        <w:spacing w:after="0" w:line="260" w:lineRule="exact"/>
        <w:ind w:right="-1"/>
        <w:rPr>
          <w:rFonts w:ascii="Times New Roman" w:hAnsi="Times New Roman" w:cs="Times New Roman"/>
          <w:snapToGrid w:val="0"/>
          <w:sz w:val="24"/>
          <w:szCs w:val="24"/>
        </w:rPr>
      </w:pPr>
    </w:p>
    <w:p w14:paraId="71ECF053" w14:textId="0342D564" w:rsidR="0090484B" w:rsidRPr="00487D3F" w:rsidRDefault="0090484B" w:rsidP="00E1529B">
      <w:pPr>
        <w:tabs>
          <w:tab w:val="left" w:pos="567"/>
        </w:tabs>
        <w:spacing w:after="0" w:line="260" w:lineRule="exact"/>
        <w:ind w:hanging="567"/>
        <w:rPr>
          <w:rFonts w:ascii="Times New Roman" w:hAnsi="Times New Roman" w:cs="Times New Roman"/>
          <w:b/>
          <w:snapToGrid w:val="0"/>
        </w:rPr>
      </w:pPr>
      <w:r w:rsidRPr="00E1529B">
        <w:rPr>
          <w:rFonts w:ascii="Times New Roman" w:hAnsi="Times New Roman" w:cs="Times New Roman"/>
          <w:snapToGrid w:val="0"/>
          <w:sz w:val="24"/>
          <w:szCs w:val="24"/>
        </w:rPr>
        <w:br w:type="page"/>
      </w:r>
      <w:r w:rsidRPr="00487D3F">
        <w:rPr>
          <w:rFonts w:ascii="Times New Roman" w:hAnsi="Times New Roman" w:cs="Times New Roman"/>
          <w:b/>
          <w:snapToGrid w:val="0"/>
        </w:rPr>
        <w:lastRenderedPageBreak/>
        <w:t>A.</w:t>
      </w:r>
      <w:r w:rsidRPr="00487D3F">
        <w:rPr>
          <w:rFonts w:ascii="Times New Roman" w:hAnsi="Times New Roman" w:cs="Times New Roman"/>
          <w:b/>
          <w:snapToGrid w:val="0"/>
        </w:rPr>
        <w:tab/>
        <w:t>GAMINTOJAS (-AI), ATSAKINGAS (-I) UŽ SERIJŲ IŠLEIDIMĄ</w:t>
      </w:r>
    </w:p>
    <w:p w14:paraId="1E635AB6" w14:textId="77777777" w:rsidR="00706810" w:rsidRPr="00487D3F" w:rsidRDefault="00706810" w:rsidP="00E1529B">
      <w:pPr>
        <w:tabs>
          <w:tab w:val="left" w:pos="567"/>
        </w:tabs>
        <w:spacing w:after="0" w:line="260" w:lineRule="exact"/>
        <w:rPr>
          <w:rFonts w:ascii="Times New Roman" w:hAnsi="Times New Roman" w:cs="Times New Roman"/>
          <w:snapToGrid w:val="0"/>
        </w:rPr>
      </w:pPr>
    </w:p>
    <w:p w14:paraId="4D65F54F" w14:textId="77777777" w:rsidR="0090484B" w:rsidRPr="00487D3F" w:rsidRDefault="0090484B" w:rsidP="00E1529B">
      <w:pPr>
        <w:tabs>
          <w:tab w:val="left" w:pos="567"/>
        </w:tabs>
        <w:spacing w:after="0"/>
        <w:jc w:val="both"/>
        <w:rPr>
          <w:rFonts w:ascii="Times New Roman" w:hAnsi="Times New Roman" w:cs="Times New Roman"/>
          <w:snapToGrid w:val="0"/>
        </w:rPr>
      </w:pPr>
      <w:r w:rsidRPr="00487D3F">
        <w:rPr>
          <w:rFonts w:ascii="Times New Roman" w:hAnsi="Times New Roman" w:cs="Times New Roman"/>
          <w:noProof/>
          <w:snapToGrid w:val="0"/>
          <w:u w:val="single"/>
        </w:rPr>
        <w:t>Gamintojo (-ų), atsakingo (-ų) už serijų išleidimą, pavadinimas (-ai) ir adresas (-ai)</w:t>
      </w:r>
    </w:p>
    <w:p w14:paraId="5B80B881" w14:textId="77777777" w:rsidR="0090484B" w:rsidRPr="00487D3F" w:rsidRDefault="0090484B" w:rsidP="00E1529B">
      <w:pPr>
        <w:tabs>
          <w:tab w:val="left" w:pos="567"/>
        </w:tabs>
        <w:spacing w:after="0" w:line="260" w:lineRule="exact"/>
        <w:rPr>
          <w:rFonts w:ascii="Times New Roman" w:hAnsi="Times New Roman" w:cs="Times New Roman"/>
          <w:snapToGrid w:val="0"/>
        </w:rPr>
      </w:pPr>
    </w:p>
    <w:p w14:paraId="6511FA0E" w14:textId="77777777" w:rsidR="00706810" w:rsidRPr="00487D3F" w:rsidRDefault="00706810" w:rsidP="00E1529B">
      <w:pPr>
        <w:tabs>
          <w:tab w:val="left" w:pos="567"/>
        </w:tabs>
        <w:spacing w:after="0" w:line="260" w:lineRule="exact"/>
        <w:rPr>
          <w:rFonts w:ascii="Times New Roman" w:hAnsi="Times New Roman" w:cs="Times New Roman"/>
          <w:snapToGrid w:val="0"/>
        </w:rPr>
      </w:pPr>
      <w:r w:rsidRPr="00487D3F">
        <w:rPr>
          <w:rFonts w:ascii="Times New Roman" w:hAnsi="Times New Roman" w:cs="Times New Roman"/>
          <w:snapToGrid w:val="0"/>
        </w:rPr>
        <w:t>Genepharm S.A.</w:t>
      </w:r>
    </w:p>
    <w:p w14:paraId="7DB2DF4C" w14:textId="77777777" w:rsidR="00706810" w:rsidRPr="00487D3F" w:rsidRDefault="00706810" w:rsidP="00E1529B">
      <w:pPr>
        <w:tabs>
          <w:tab w:val="left" w:pos="567"/>
        </w:tabs>
        <w:spacing w:after="0" w:line="260" w:lineRule="exact"/>
        <w:rPr>
          <w:rFonts w:ascii="Times New Roman" w:hAnsi="Times New Roman" w:cs="Times New Roman"/>
          <w:snapToGrid w:val="0"/>
        </w:rPr>
      </w:pPr>
      <w:r w:rsidRPr="00487D3F">
        <w:rPr>
          <w:rFonts w:ascii="Times New Roman" w:hAnsi="Times New Roman" w:cs="Times New Roman"/>
          <w:snapToGrid w:val="0"/>
        </w:rPr>
        <w:t>18th Km Marathonos Avenue</w:t>
      </w:r>
    </w:p>
    <w:p w14:paraId="522D5C3F" w14:textId="77777777" w:rsidR="00706810" w:rsidRPr="00487D3F" w:rsidRDefault="00706810" w:rsidP="00E1529B">
      <w:pPr>
        <w:tabs>
          <w:tab w:val="left" w:pos="567"/>
        </w:tabs>
        <w:spacing w:after="0" w:line="260" w:lineRule="exact"/>
        <w:rPr>
          <w:rFonts w:ascii="Times New Roman" w:hAnsi="Times New Roman" w:cs="Times New Roman"/>
          <w:snapToGrid w:val="0"/>
        </w:rPr>
      </w:pPr>
      <w:r w:rsidRPr="00487D3F">
        <w:rPr>
          <w:rFonts w:ascii="Times New Roman" w:hAnsi="Times New Roman" w:cs="Times New Roman"/>
          <w:snapToGrid w:val="0"/>
        </w:rPr>
        <w:t>153 51 Pallini</w:t>
      </w:r>
    </w:p>
    <w:p w14:paraId="3138BD9F" w14:textId="77777777" w:rsidR="00706810" w:rsidRPr="00487D3F" w:rsidRDefault="00706810" w:rsidP="00E1529B">
      <w:pPr>
        <w:tabs>
          <w:tab w:val="left" w:pos="567"/>
        </w:tabs>
        <w:spacing w:after="0" w:line="260" w:lineRule="exact"/>
        <w:rPr>
          <w:rFonts w:ascii="Times New Roman" w:hAnsi="Times New Roman" w:cs="Times New Roman"/>
          <w:snapToGrid w:val="0"/>
        </w:rPr>
      </w:pPr>
      <w:r w:rsidRPr="00487D3F">
        <w:rPr>
          <w:rFonts w:ascii="Times New Roman" w:hAnsi="Times New Roman" w:cs="Times New Roman"/>
          <w:snapToGrid w:val="0"/>
        </w:rPr>
        <w:t>Greece</w:t>
      </w:r>
    </w:p>
    <w:p w14:paraId="6A87C36B" w14:textId="77777777" w:rsidR="0090484B" w:rsidRPr="00487D3F" w:rsidRDefault="0090484B" w:rsidP="00E1529B">
      <w:pPr>
        <w:tabs>
          <w:tab w:val="left" w:pos="567"/>
        </w:tabs>
        <w:spacing w:after="0" w:line="260" w:lineRule="exact"/>
        <w:rPr>
          <w:rFonts w:ascii="Times New Roman" w:hAnsi="Times New Roman" w:cs="Times New Roman"/>
          <w:snapToGrid w:val="0"/>
        </w:rPr>
      </w:pPr>
    </w:p>
    <w:p w14:paraId="7560CBD7" w14:textId="77777777" w:rsidR="0090484B" w:rsidRPr="00487D3F" w:rsidRDefault="0090484B" w:rsidP="00E1529B">
      <w:pPr>
        <w:tabs>
          <w:tab w:val="left" w:pos="567"/>
        </w:tabs>
        <w:spacing w:after="0" w:line="260" w:lineRule="exact"/>
        <w:rPr>
          <w:rFonts w:ascii="Times New Roman" w:hAnsi="Times New Roman" w:cs="Times New Roman"/>
          <w:snapToGrid w:val="0"/>
        </w:rPr>
      </w:pPr>
    </w:p>
    <w:p w14:paraId="1D78ED7F" w14:textId="77777777" w:rsidR="0090484B" w:rsidRPr="00487D3F" w:rsidRDefault="0090484B" w:rsidP="00E1529B">
      <w:pPr>
        <w:tabs>
          <w:tab w:val="left" w:pos="567"/>
        </w:tabs>
        <w:spacing w:after="0"/>
        <w:ind w:hanging="567"/>
        <w:rPr>
          <w:rFonts w:ascii="Times New Roman" w:hAnsi="Times New Roman" w:cs="Times New Roman"/>
          <w:snapToGrid w:val="0"/>
        </w:rPr>
      </w:pPr>
      <w:r w:rsidRPr="00487D3F">
        <w:rPr>
          <w:rFonts w:ascii="Times New Roman" w:hAnsi="Times New Roman" w:cs="Times New Roman"/>
          <w:b/>
          <w:noProof/>
          <w:snapToGrid w:val="0"/>
        </w:rPr>
        <w:t>B.</w:t>
      </w:r>
      <w:r w:rsidRPr="00487D3F">
        <w:rPr>
          <w:rFonts w:ascii="Times New Roman" w:hAnsi="Times New Roman" w:cs="Times New Roman"/>
          <w:b/>
          <w:snapToGrid w:val="0"/>
        </w:rPr>
        <w:tab/>
      </w:r>
      <w:r w:rsidRPr="00487D3F">
        <w:rPr>
          <w:rFonts w:ascii="Times New Roman" w:hAnsi="Times New Roman" w:cs="Times New Roman"/>
          <w:b/>
          <w:noProof/>
          <w:snapToGrid w:val="0"/>
        </w:rPr>
        <w:t>TIEKIMO IR VARTOJIMO SĄLYGOS AR APRIBOJIMAI</w:t>
      </w:r>
    </w:p>
    <w:p w14:paraId="433BD450" w14:textId="77777777" w:rsidR="0090484B" w:rsidRPr="00487D3F" w:rsidRDefault="0090484B" w:rsidP="00E1529B">
      <w:pPr>
        <w:tabs>
          <w:tab w:val="left" w:pos="567"/>
        </w:tabs>
        <w:spacing w:after="0" w:line="260" w:lineRule="exact"/>
        <w:rPr>
          <w:rFonts w:ascii="Times New Roman" w:hAnsi="Times New Roman" w:cs="Times New Roman"/>
          <w:snapToGrid w:val="0"/>
        </w:rPr>
      </w:pPr>
    </w:p>
    <w:p w14:paraId="694CDD39" w14:textId="47301500" w:rsidR="0090484B" w:rsidRPr="00487D3F" w:rsidRDefault="0090484B" w:rsidP="00E1529B">
      <w:pPr>
        <w:tabs>
          <w:tab w:val="left" w:pos="567"/>
        </w:tabs>
        <w:spacing w:after="0" w:line="260" w:lineRule="exact"/>
        <w:rPr>
          <w:rFonts w:ascii="Times New Roman" w:hAnsi="Times New Roman" w:cs="Times New Roman"/>
          <w:snapToGrid w:val="0"/>
        </w:rPr>
      </w:pPr>
      <w:r w:rsidRPr="00487D3F">
        <w:rPr>
          <w:rFonts w:ascii="Times New Roman" w:hAnsi="Times New Roman" w:cs="Times New Roman"/>
          <w:snapToGrid w:val="0"/>
        </w:rPr>
        <w:t>Receptinis vaistinis preparatas.</w:t>
      </w:r>
    </w:p>
    <w:p w14:paraId="6E44FB20" w14:textId="31567A79" w:rsidR="0090484B" w:rsidRPr="00487D3F" w:rsidRDefault="0090484B" w:rsidP="0090484B">
      <w:pPr>
        <w:rPr>
          <w:rFonts w:ascii="Times New Roman" w:hAnsi="Times New Roman"/>
          <w:lang w:val="pt-PT"/>
        </w:rPr>
      </w:pPr>
      <w:r w:rsidRPr="005D554B">
        <w:rPr>
          <w:rFonts w:ascii="Courier New" w:eastAsia="SimSun" w:hAnsi="Courier New"/>
          <w:b/>
          <w:noProof/>
          <w:sz w:val="20"/>
          <w:szCs w:val="24"/>
        </w:rPr>
        <w:br w:type="page"/>
      </w:r>
    </w:p>
    <w:p w14:paraId="0BBFE6EB" w14:textId="77777777" w:rsidR="007447A1" w:rsidRPr="004804D2" w:rsidRDefault="007447A1" w:rsidP="007447A1">
      <w:pPr>
        <w:tabs>
          <w:tab w:val="left" w:pos="4962"/>
        </w:tabs>
        <w:spacing w:after="0"/>
        <w:rPr>
          <w:rFonts w:ascii="Times New Roman" w:eastAsia="SimSun" w:hAnsi="Times New Roman" w:cs="Times New Roman"/>
        </w:rPr>
      </w:pPr>
    </w:p>
    <w:p w14:paraId="5C0A76D3" w14:textId="77777777" w:rsidR="007447A1" w:rsidRPr="004804D2" w:rsidRDefault="007447A1" w:rsidP="007447A1">
      <w:pPr>
        <w:tabs>
          <w:tab w:val="left" w:pos="567"/>
        </w:tabs>
        <w:spacing w:after="0" w:line="260" w:lineRule="exact"/>
        <w:rPr>
          <w:rFonts w:ascii="Times New Roman" w:hAnsi="Times New Roman" w:cs="Times New Roman"/>
        </w:rPr>
      </w:pPr>
    </w:p>
    <w:p w14:paraId="187D5200" w14:textId="77777777" w:rsidR="007447A1" w:rsidRPr="004804D2" w:rsidRDefault="007447A1" w:rsidP="007447A1">
      <w:pPr>
        <w:tabs>
          <w:tab w:val="left" w:pos="567"/>
        </w:tabs>
        <w:spacing w:after="0" w:line="260" w:lineRule="exact"/>
        <w:rPr>
          <w:rFonts w:ascii="Times New Roman" w:hAnsi="Times New Roman" w:cs="Times New Roman"/>
        </w:rPr>
      </w:pPr>
    </w:p>
    <w:p w14:paraId="1ABF7935" w14:textId="77777777" w:rsidR="007447A1" w:rsidRPr="004804D2" w:rsidRDefault="007447A1" w:rsidP="007447A1">
      <w:pPr>
        <w:tabs>
          <w:tab w:val="left" w:pos="567"/>
        </w:tabs>
        <w:spacing w:after="0" w:line="260" w:lineRule="exact"/>
        <w:rPr>
          <w:rFonts w:ascii="Times New Roman" w:hAnsi="Times New Roman" w:cs="Times New Roman"/>
        </w:rPr>
      </w:pPr>
    </w:p>
    <w:p w14:paraId="3E99AA5D" w14:textId="77777777" w:rsidR="007447A1" w:rsidRPr="004804D2" w:rsidRDefault="007447A1" w:rsidP="007447A1">
      <w:pPr>
        <w:tabs>
          <w:tab w:val="left" w:pos="567"/>
        </w:tabs>
        <w:spacing w:after="0" w:line="260" w:lineRule="exact"/>
        <w:rPr>
          <w:rFonts w:ascii="Times New Roman" w:hAnsi="Times New Roman" w:cs="Times New Roman"/>
        </w:rPr>
      </w:pPr>
    </w:p>
    <w:p w14:paraId="28298FE6" w14:textId="77777777" w:rsidR="007447A1" w:rsidRPr="004804D2" w:rsidRDefault="007447A1" w:rsidP="007447A1">
      <w:pPr>
        <w:tabs>
          <w:tab w:val="left" w:pos="567"/>
        </w:tabs>
        <w:spacing w:after="0" w:line="260" w:lineRule="exact"/>
        <w:rPr>
          <w:rFonts w:ascii="Times New Roman" w:hAnsi="Times New Roman" w:cs="Times New Roman"/>
        </w:rPr>
      </w:pPr>
    </w:p>
    <w:p w14:paraId="5D82236C" w14:textId="77777777" w:rsidR="007447A1" w:rsidRPr="004804D2" w:rsidRDefault="007447A1" w:rsidP="007447A1">
      <w:pPr>
        <w:tabs>
          <w:tab w:val="left" w:pos="567"/>
        </w:tabs>
        <w:spacing w:after="0" w:line="260" w:lineRule="exact"/>
        <w:rPr>
          <w:rFonts w:ascii="Times New Roman" w:hAnsi="Times New Roman" w:cs="Times New Roman"/>
        </w:rPr>
      </w:pPr>
    </w:p>
    <w:p w14:paraId="6495E144" w14:textId="77777777" w:rsidR="007447A1" w:rsidRPr="004804D2" w:rsidRDefault="007447A1" w:rsidP="007447A1">
      <w:pPr>
        <w:tabs>
          <w:tab w:val="left" w:pos="567"/>
        </w:tabs>
        <w:spacing w:after="0" w:line="260" w:lineRule="exact"/>
        <w:rPr>
          <w:rFonts w:ascii="Times New Roman" w:hAnsi="Times New Roman" w:cs="Times New Roman"/>
        </w:rPr>
      </w:pPr>
    </w:p>
    <w:p w14:paraId="64EFD148" w14:textId="77777777" w:rsidR="007447A1" w:rsidRPr="004804D2" w:rsidRDefault="007447A1" w:rsidP="007447A1">
      <w:pPr>
        <w:tabs>
          <w:tab w:val="left" w:pos="567"/>
        </w:tabs>
        <w:spacing w:after="0" w:line="260" w:lineRule="exact"/>
        <w:rPr>
          <w:rFonts w:ascii="Times New Roman" w:hAnsi="Times New Roman" w:cs="Times New Roman"/>
        </w:rPr>
      </w:pPr>
    </w:p>
    <w:p w14:paraId="5F3CA05B" w14:textId="77777777" w:rsidR="007447A1" w:rsidRPr="004804D2" w:rsidRDefault="007447A1" w:rsidP="007447A1">
      <w:pPr>
        <w:tabs>
          <w:tab w:val="left" w:pos="567"/>
        </w:tabs>
        <w:spacing w:after="0" w:line="260" w:lineRule="exact"/>
        <w:rPr>
          <w:rFonts w:ascii="Times New Roman" w:hAnsi="Times New Roman" w:cs="Times New Roman"/>
        </w:rPr>
      </w:pPr>
    </w:p>
    <w:p w14:paraId="33E09DCC" w14:textId="77777777" w:rsidR="007447A1" w:rsidRPr="004804D2" w:rsidRDefault="007447A1" w:rsidP="007447A1">
      <w:pPr>
        <w:tabs>
          <w:tab w:val="left" w:pos="567"/>
        </w:tabs>
        <w:spacing w:after="0" w:line="260" w:lineRule="exact"/>
        <w:rPr>
          <w:rFonts w:ascii="Times New Roman" w:hAnsi="Times New Roman" w:cs="Times New Roman"/>
        </w:rPr>
      </w:pPr>
    </w:p>
    <w:p w14:paraId="4B1273AD" w14:textId="77777777" w:rsidR="007447A1" w:rsidRPr="004804D2" w:rsidRDefault="007447A1" w:rsidP="007447A1">
      <w:pPr>
        <w:tabs>
          <w:tab w:val="left" w:pos="567"/>
        </w:tabs>
        <w:spacing w:after="0" w:line="260" w:lineRule="exact"/>
        <w:rPr>
          <w:rFonts w:ascii="Times New Roman" w:hAnsi="Times New Roman" w:cs="Times New Roman"/>
        </w:rPr>
      </w:pPr>
    </w:p>
    <w:p w14:paraId="1DEC8226" w14:textId="77777777" w:rsidR="007447A1" w:rsidRPr="004804D2" w:rsidRDefault="007447A1" w:rsidP="007447A1">
      <w:pPr>
        <w:tabs>
          <w:tab w:val="left" w:pos="567"/>
        </w:tabs>
        <w:spacing w:after="0" w:line="260" w:lineRule="exact"/>
        <w:rPr>
          <w:rFonts w:ascii="Times New Roman" w:hAnsi="Times New Roman" w:cs="Times New Roman"/>
        </w:rPr>
      </w:pPr>
    </w:p>
    <w:p w14:paraId="1549BE87" w14:textId="77777777" w:rsidR="007447A1" w:rsidRPr="004804D2" w:rsidRDefault="007447A1" w:rsidP="007447A1">
      <w:pPr>
        <w:tabs>
          <w:tab w:val="left" w:pos="567"/>
        </w:tabs>
        <w:spacing w:after="0" w:line="260" w:lineRule="exact"/>
        <w:rPr>
          <w:rFonts w:ascii="Times New Roman" w:hAnsi="Times New Roman" w:cs="Times New Roman"/>
        </w:rPr>
      </w:pPr>
    </w:p>
    <w:p w14:paraId="491F08E6" w14:textId="77777777" w:rsidR="007447A1" w:rsidRPr="004804D2" w:rsidRDefault="007447A1" w:rsidP="007447A1">
      <w:pPr>
        <w:tabs>
          <w:tab w:val="left" w:pos="567"/>
        </w:tabs>
        <w:spacing w:after="0" w:line="260" w:lineRule="exact"/>
        <w:rPr>
          <w:rFonts w:ascii="Times New Roman" w:hAnsi="Times New Roman" w:cs="Times New Roman"/>
        </w:rPr>
      </w:pPr>
    </w:p>
    <w:p w14:paraId="46A540D0" w14:textId="77777777" w:rsidR="007447A1" w:rsidRPr="004804D2" w:rsidRDefault="007447A1" w:rsidP="007447A1">
      <w:pPr>
        <w:tabs>
          <w:tab w:val="left" w:pos="567"/>
        </w:tabs>
        <w:spacing w:after="0" w:line="260" w:lineRule="exact"/>
        <w:rPr>
          <w:rFonts w:ascii="Times New Roman" w:hAnsi="Times New Roman" w:cs="Times New Roman"/>
        </w:rPr>
      </w:pPr>
    </w:p>
    <w:p w14:paraId="4CB43C8F" w14:textId="77777777" w:rsidR="007447A1" w:rsidRPr="004804D2" w:rsidRDefault="007447A1" w:rsidP="007447A1">
      <w:pPr>
        <w:tabs>
          <w:tab w:val="left" w:pos="567"/>
        </w:tabs>
        <w:spacing w:after="0" w:line="260" w:lineRule="exact"/>
        <w:rPr>
          <w:rFonts w:ascii="Times New Roman" w:hAnsi="Times New Roman" w:cs="Times New Roman"/>
        </w:rPr>
      </w:pPr>
    </w:p>
    <w:p w14:paraId="3984215A" w14:textId="77777777" w:rsidR="007447A1" w:rsidRPr="004804D2" w:rsidRDefault="007447A1" w:rsidP="007447A1">
      <w:pPr>
        <w:tabs>
          <w:tab w:val="left" w:pos="567"/>
        </w:tabs>
        <w:spacing w:after="0" w:line="260" w:lineRule="exact"/>
        <w:rPr>
          <w:rFonts w:ascii="Times New Roman" w:hAnsi="Times New Roman" w:cs="Times New Roman"/>
          <w:b/>
        </w:rPr>
      </w:pPr>
    </w:p>
    <w:p w14:paraId="1D0046A6" w14:textId="77777777" w:rsidR="007447A1" w:rsidRPr="004804D2" w:rsidRDefault="007447A1" w:rsidP="007447A1">
      <w:pPr>
        <w:tabs>
          <w:tab w:val="left" w:pos="567"/>
        </w:tabs>
        <w:spacing w:after="0" w:line="260" w:lineRule="exact"/>
        <w:rPr>
          <w:rFonts w:ascii="Times New Roman" w:hAnsi="Times New Roman" w:cs="Times New Roman"/>
          <w:b/>
        </w:rPr>
      </w:pPr>
    </w:p>
    <w:p w14:paraId="2EA316B0" w14:textId="77777777" w:rsidR="007447A1" w:rsidRPr="004804D2" w:rsidRDefault="007447A1" w:rsidP="007447A1">
      <w:pPr>
        <w:tabs>
          <w:tab w:val="left" w:pos="567"/>
        </w:tabs>
        <w:spacing w:after="0" w:line="260" w:lineRule="exact"/>
        <w:rPr>
          <w:rFonts w:ascii="Times New Roman" w:hAnsi="Times New Roman" w:cs="Times New Roman"/>
          <w:b/>
        </w:rPr>
      </w:pPr>
    </w:p>
    <w:p w14:paraId="41AA233F" w14:textId="77777777" w:rsidR="007447A1" w:rsidRPr="004804D2" w:rsidRDefault="007447A1" w:rsidP="007447A1">
      <w:pPr>
        <w:tabs>
          <w:tab w:val="left" w:pos="567"/>
        </w:tabs>
        <w:spacing w:after="0" w:line="260" w:lineRule="exact"/>
        <w:rPr>
          <w:rFonts w:ascii="Times New Roman" w:hAnsi="Times New Roman" w:cs="Times New Roman"/>
          <w:b/>
        </w:rPr>
      </w:pPr>
    </w:p>
    <w:p w14:paraId="37170267" w14:textId="77777777" w:rsidR="007447A1" w:rsidRPr="004804D2" w:rsidRDefault="007447A1" w:rsidP="007447A1">
      <w:pPr>
        <w:tabs>
          <w:tab w:val="left" w:pos="567"/>
        </w:tabs>
        <w:spacing w:after="0" w:line="260" w:lineRule="exact"/>
        <w:rPr>
          <w:rFonts w:ascii="Times New Roman" w:hAnsi="Times New Roman" w:cs="Times New Roman"/>
          <w:b/>
        </w:rPr>
      </w:pPr>
    </w:p>
    <w:p w14:paraId="08C3ED15" w14:textId="77777777" w:rsidR="007447A1" w:rsidRPr="004804D2" w:rsidRDefault="007447A1" w:rsidP="007447A1">
      <w:pPr>
        <w:tabs>
          <w:tab w:val="left" w:pos="567"/>
        </w:tabs>
        <w:spacing w:after="0" w:line="260" w:lineRule="exact"/>
        <w:rPr>
          <w:rFonts w:ascii="Times New Roman" w:hAnsi="Times New Roman" w:cs="Times New Roman"/>
          <w:b/>
        </w:rPr>
      </w:pPr>
    </w:p>
    <w:p w14:paraId="5F6AF2ED" w14:textId="77777777" w:rsidR="007447A1" w:rsidRPr="004804D2" w:rsidRDefault="007447A1" w:rsidP="007447A1">
      <w:pPr>
        <w:keepNext/>
        <w:tabs>
          <w:tab w:val="left" w:pos="567"/>
        </w:tabs>
        <w:spacing w:after="0"/>
        <w:jc w:val="center"/>
        <w:outlineLvl w:val="1"/>
        <w:rPr>
          <w:rFonts w:ascii="Times New Roman" w:hAnsi="Times New Roman" w:cs="Times New Roman"/>
          <w:b/>
          <w:lang w:eastAsia="x-none"/>
        </w:rPr>
      </w:pPr>
      <w:r w:rsidRPr="004804D2">
        <w:rPr>
          <w:rFonts w:ascii="Times New Roman" w:hAnsi="Times New Roman" w:cs="Times New Roman"/>
          <w:b/>
          <w:bCs/>
          <w:iCs/>
          <w:lang w:eastAsia="x-none"/>
        </w:rPr>
        <w:t>III PRIEDAS</w:t>
      </w:r>
    </w:p>
    <w:p w14:paraId="24F6660F" w14:textId="77777777" w:rsidR="007447A1" w:rsidRPr="004804D2" w:rsidRDefault="007447A1" w:rsidP="007447A1">
      <w:pPr>
        <w:tabs>
          <w:tab w:val="left" w:pos="567"/>
        </w:tabs>
        <w:spacing w:line="260" w:lineRule="exact"/>
        <w:rPr>
          <w:rFonts w:ascii="Times New Roman" w:hAnsi="Times New Roman" w:cs="Times New Roman"/>
        </w:rPr>
      </w:pPr>
    </w:p>
    <w:p w14:paraId="1BB61FDF" w14:textId="77777777" w:rsidR="007447A1" w:rsidRPr="004804D2" w:rsidRDefault="007447A1" w:rsidP="007447A1">
      <w:pPr>
        <w:keepNext/>
        <w:tabs>
          <w:tab w:val="left" w:pos="567"/>
        </w:tabs>
        <w:spacing w:after="0"/>
        <w:jc w:val="center"/>
        <w:outlineLvl w:val="1"/>
        <w:rPr>
          <w:rFonts w:ascii="Times New Roman" w:hAnsi="Times New Roman" w:cs="Times New Roman"/>
          <w:b/>
          <w:lang w:eastAsia="x-none"/>
        </w:rPr>
      </w:pPr>
      <w:r w:rsidRPr="004804D2">
        <w:rPr>
          <w:rFonts w:ascii="Times New Roman" w:hAnsi="Times New Roman" w:cs="Times New Roman"/>
          <w:b/>
          <w:bCs/>
          <w:iCs/>
          <w:lang w:eastAsia="x-none"/>
        </w:rPr>
        <w:t>ŽENKLINIMAS IR PAKUOTĖS LAPELIS</w:t>
      </w:r>
    </w:p>
    <w:p w14:paraId="34F1805C" w14:textId="77777777" w:rsidR="007447A1" w:rsidRPr="004804D2" w:rsidRDefault="007447A1" w:rsidP="007447A1">
      <w:pPr>
        <w:tabs>
          <w:tab w:val="left" w:pos="567"/>
        </w:tabs>
        <w:spacing w:line="260" w:lineRule="exact"/>
        <w:rPr>
          <w:rFonts w:ascii="Times New Roman" w:hAnsi="Times New Roman" w:cs="Times New Roman"/>
        </w:rPr>
      </w:pPr>
      <w:r w:rsidRPr="004804D2">
        <w:rPr>
          <w:rFonts w:ascii="Times New Roman" w:hAnsi="Times New Roman" w:cs="Times New Roman"/>
        </w:rPr>
        <w:br w:type="page"/>
      </w:r>
    </w:p>
    <w:p w14:paraId="035D03A1"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2260DBFB"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78E3F144"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5BABA9AC"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639921F2"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04B8216D"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26E70447"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079BDBAF"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01476B6C"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2BF0AD1B"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4B2DB85B"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34064E58"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70F84881"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00026218"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7679F57A"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3FCB4375"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73E7A3C3"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18825BE4"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5C0BEA9B"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50341FAA"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7AAF910D"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3C5C86D3"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p>
    <w:p w14:paraId="44AD2418" w14:textId="77777777" w:rsidR="000A415D" w:rsidRPr="00E1529B" w:rsidRDefault="000A415D" w:rsidP="00E1529B">
      <w:pPr>
        <w:keepNext/>
        <w:tabs>
          <w:tab w:val="left" w:pos="567"/>
        </w:tabs>
        <w:spacing w:after="0"/>
        <w:jc w:val="center"/>
        <w:outlineLvl w:val="1"/>
        <w:rPr>
          <w:rFonts w:ascii="Times New Roman" w:hAnsi="Times New Roman" w:cs="Times New Roman"/>
          <w:b/>
          <w:snapToGrid w:val="0"/>
          <w:szCs w:val="24"/>
          <w:lang w:eastAsia="x-none"/>
        </w:rPr>
      </w:pPr>
      <w:r w:rsidRPr="00E1529B">
        <w:rPr>
          <w:rFonts w:ascii="Times New Roman" w:hAnsi="Times New Roman" w:cs="Times New Roman"/>
          <w:b/>
          <w:bCs/>
          <w:iCs/>
          <w:snapToGrid w:val="0"/>
          <w:szCs w:val="28"/>
          <w:lang w:eastAsia="x-none"/>
        </w:rPr>
        <w:t>A. ŽENKLINIMAS</w:t>
      </w:r>
    </w:p>
    <w:p w14:paraId="414E8595" w14:textId="77777777" w:rsidR="000A415D" w:rsidRPr="00E1529B" w:rsidRDefault="000A415D" w:rsidP="00E1529B">
      <w:pPr>
        <w:tabs>
          <w:tab w:val="left" w:pos="567"/>
        </w:tabs>
        <w:spacing w:after="0" w:line="260" w:lineRule="exact"/>
        <w:rPr>
          <w:rFonts w:ascii="Times New Roman" w:hAnsi="Times New Roman" w:cs="Times New Roman"/>
          <w:snapToGrid w:val="0"/>
          <w:szCs w:val="24"/>
        </w:rPr>
      </w:pPr>
      <w:r w:rsidRPr="00E1529B">
        <w:rPr>
          <w:rFonts w:ascii="Times New Roman" w:hAnsi="Times New Roman" w:cs="Times New Roman"/>
          <w:snapToGrid w:val="0"/>
          <w:szCs w:val="24"/>
        </w:rPr>
        <w:br w:type="page"/>
      </w:r>
    </w:p>
    <w:p w14:paraId="0B3D4BE4" w14:textId="76036E0C" w:rsidR="007447A1" w:rsidRPr="007447A1" w:rsidRDefault="000961AF" w:rsidP="007447A1">
      <w:pPr>
        <w:pBdr>
          <w:top w:val="single" w:sz="4" w:space="1" w:color="auto"/>
          <w:left w:val="single" w:sz="4" w:space="4" w:color="auto"/>
          <w:bottom w:val="single" w:sz="4" w:space="9" w:color="auto"/>
          <w:right w:val="single" w:sz="4" w:space="4" w:color="auto"/>
        </w:pBdr>
        <w:tabs>
          <w:tab w:val="left" w:pos="720"/>
        </w:tabs>
        <w:spacing w:after="0" w:line="240" w:lineRule="auto"/>
        <w:jc w:val="both"/>
        <w:rPr>
          <w:rFonts w:ascii="Times New Roman" w:eastAsia="Times New Roman" w:hAnsi="Times New Roman" w:cs="Times New Roman"/>
          <w:b/>
          <w:noProof/>
        </w:rPr>
      </w:pPr>
      <w:r w:rsidRPr="000961AF">
        <w:rPr>
          <w:rFonts w:ascii="Times New Roman" w:eastAsia="Times New Roman" w:hAnsi="Times New Roman" w:cs="Times New Roman"/>
          <w:b/>
          <w:noProof/>
          <w:lang w:bidi="lt-LT"/>
        </w:rPr>
        <w:lastRenderedPageBreak/>
        <w:t>INFORMACIJA ANT IŠORINĖS PAKUOTĖS</w:t>
      </w:r>
    </w:p>
    <w:p w14:paraId="49951450" w14:textId="77777777" w:rsidR="007447A1" w:rsidRPr="007447A1" w:rsidRDefault="007447A1" w:rsidP="007447A1">
      <w:pPr>
        <w:pBdr>
          <w:top w:val="single" w:sz="4" w:space="1" w:color="auto"/>
          <w:left w:val="single" w:sz="4" w:space="4" w:color="auto"/>
          <w:bottom w:val="single" w:sz="4" w:space="9" w:color="auto"/>
          <w:right w:val="single" w:sz="4" w:space="4" w:color="auto"/>
        </w:pBdr>
        <w:tabs>
          <w:tab w:val="left" w:pos="720"/>
        </w:tabs>
        <w:spacing w:after="0" w:line="240" w:lineRule="auto"/>
        <w:jc w:val="both"/>
        <w:rPr>
          <w:rFonts w:ascii="Times New Roman" w:eastAsia="Times New Roman" w:hAnsi="Times New Roman" w:cs="Times New Roman"/>
          <w:b/>
          <w:noProof/>
        </w:rPr>
      </w:pPr>
    </w:p>
    <w:p w14:paraId="34231154" w14:textId="122E442B" w:rsidR="004B1235" w:rsidRPr="004B1235" w:rsidRDefault="000961AF" w:rsidP="004B1235">
      <w:pPr>
        <w:pBdr>
          <w:top w:val="single" w:sz="4" w:space="1" w:color="auto"/>
          <w:left w:val="single" w:sz="4" w:space="4" w:color="auto"/>
          <w:bottom w:val="single" w:sz="4" w:space="9" w:color="auto"/>
          <w:right w:val="single" w:sz="4" w:space="4" w:color="auto"/>
        </w:pBdr>
        <w:tabs>
          <w:tab w:val="left" w:pos="720"/>
        </w:tabs>
        <w:spacing w:after="0" w:line="240" w:lineRule="auto"/>
        <w:ind w:left="567" w:hanging="567"/>
        <w:jc w:val="both"/>
        <w:rPr>
          <w:rFonts w:ascii="Times New Roman" w:eastAsia="Times New Roman" w:hAnsi="Times New Roman" w:cs="Times New Roman"/>
          <w:noProof/>
          <w:sz w:val="16"/>
          <w:szCs w:val="16"/>
          <w:highlight w:val="yellow"/>
        </w:rPr>
      </w:pPr>
      <w:r>
        <w:rPr>
          <w:rFonts w:ascii="Times New Roman" w:eastAsia="Times New Roman" w:hAnsi="Times New Roman" w:cs="Times New Roman"/>
          <w:b/>
          <w:noProof/>
          <w:lang w:bidi="lt-LT"/>
        </w:rPr>
        <w:t>KARTONO DĖŽUTĖ</w:t>
      </w:r>
    </w:p>
    <w:p w14:paraId="2F7F9A2F" w14:textId="77777777" w:rsidR="004804D2" w:rsidRDefault="004804D2" w:rsidP="007447A1">
      <w:pPr>
        <w:tabs>
          <w:tab w:val="left" w:pos="720"/>
        </w:tabs>
        <w:spacing w:after="0" w:line="240" w:lineRule="auto"/>
        <w:jc w:val="both"/>
        <w:rPr>
          <w:rFonts w:ascii="Times New Roman" w:eastAsia="Times New Roman" w:hAnsi="Times New Roman" w:cs="Times New Roman"/>
          <w:noProof/>
          <w:highlight w:val="yellow"/>
        </w:rPr>
      </w:pPr>
    </w:p>
    <w:p w14:paraId="7482F4CF" w14:textId="77777777" w:rsidR="004B1235" w:rsidRPr="007447A1" w:rsidRDefault="004B1235" w:rsidP="007447A1">
      <w:pPr>
        <w:tabs>
          <w:tab w:val="left" w:pos="720"/>
        </w:tabs>
        <w:spacing w:after="0" w:line="240" w:lineRule="auto"/>
        <w:jc w:val="both"/>
        <w:rPr>
          <w:rFonts w:ascii="Times New Roman" w:eastAsia="Times New Roman" w:hAnsi="Times New Roman" w:cs="Times New Roman"/>
          <w:noProof/>
          <w:highlight w:val="yellow"/>
        </w:rPr>
      </w:pPr>
    </w:p>
    <w:p w14:paraId="088025DF" w14:textId="77777777" w:rsidR="007447A1" w:rsidRPr="00487D3F"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lang w:val="pt-PT"/>
        </w:rPr>
      </w:pPr>
      <w:r w:rsidRPr="007447A1">
        <w:rPr>
          <w:rFonts w:ascii="Times New Roman" w:eastAsia="Times New Roman" w:hAnsi="Times New Roman" w:cs="Times New Roman"/>
          <w:b/>
          <w:noProof/>
          <w:lang w:bidi="lt-LT"/>
        </w:rPr>
        <w:t>1.</w:t>
      </w:r>
      <w:r w:rsidRPr="007447A1">
        <w:rPr>
          <w:rFonts w:ascii="Times New Roman" w:eastAsia="Times New Roman" w:hAnsi="Times New Roman" w:cs="Times New Roman"/>
          <w:b/>
          <w:noProof/>
          <w:lang w:bidi="lt-LT"/>
        </w:rPr>
        <w:tab/>
        <w:t>VAISTINIO PREPARATO PAVADINIMAS</w:t>
      </w:r>
    </w:p>
    <w:p w14:paraId="373988F8" w14:textId="77777777" w:rsidR="007447A1" w:rsidRPr="00487D3F" w:rsidRDefault="007447A1" w:rsidP="007447A1">
      <w:pPr>
        <w:tabs>
          <w:tab w:val="left" w:pos="720"/>
        </w:tabs>
        <w:spacing w:after="0" w:line="240" w:lineRule="auto"/>
        <w:jc w:val="both"/>
        <w:rPr>
          <w:rFonts w:ascii="Times New Roman" w:hAnsi="Times New Roman"/>
          <w:highlight w:val="yellow"/>
          <w:lang w:val="pt-PT"/>
        </w:rPr>
      </w:pPr>
    </w:p>
    <w:p w14:paraId="35486B56" w14:textId="615666A7" w:rsidR="007447A1" w:rsidRPr="007447A1" w:rsidRDefault="002452FC" w:rsidP="007447A1">
      <w:pPr>
        <w:tabs>
          <w:tab w:val="left" w:pos="720"/>
        </w:tabs>
        <w:spacing w:after="0" w:line="260" w:lineRule="exact"/>
        <w:jc w:val="both"/>
        <w:rPr>
          <w:rFonts w:ascii="Times New Roman" w:eastAsia="Times New Roman" w:hAnsi="Times New Roman" w:cs="Times New Roman"/>
          <w:lang w:val="fr-FR"/>
        </w:rPr>
      </w:pPr>
      <w:proofErr w:type="spellStart"/>
      <w:r>
        <w:rPr>
          <w:rFonts w:ascii="Times New Roman" w:eastAsia="Times New Roman" w:hAnsi="Times New Roman" w:cs="Times New Roman"/>
          <w:lang w:bidi="lt-LT"/>
        </w:rPr>
        <w:t>Bottiar</w:t>
      </w:r>
      <w:proofErr w:type="spellEnd"/>
      <w:r w:rsidR="007447A1" w:rsidRPr="007447A1">
        <w:rPr>
          <w:rFonts w:ascii="Times New Roman" w:eastAsia="Times New Roman" w:hAnsi="Times New Roman" w:cs="Times New Roman"/>
          <w:lang w:bidi="lt-LT"/>
        </w:rPr>
        <w:t xml:space="preserve"> 5</w:t>
      </w:r>
      <w:r w:rsidR="000961AF">
        <w:rPr>
          <w:rFonts w:ascii="Times New Roman" w:eastAsia="Times New Roman" w:hAnsi="Times New Roman" w:cs="Times New Roman"/>
          <w:lang w:bidi="lt-LT"/>
        </w:rPr>
        <w:t> </w:t>
      </w:r>
      <w:r w:rsidR="007447A1" w:rsidRPr="007447A1">
        <w:rPr>
          <w:rFonts w:ascii="Times New Roman" w:eastAsia="Times New Roman" w:hAnsi="Times New Roman" w:cs="Times New Roman"/>
          <w:lang w:bidi="lt-LT"/>
        </w:rPr>
        <w:t>mg plėvele dengtos tabletės</w:t>
      </w:r>
    </w:p>
    <w:p w14:paraId="364A8288"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lang w:val="fr-FR"/>
        </w:rPr>
      </w:pPr>
      <w:r w:rsidRPr="007447A1">
        <w:rPr>
          <w:rFonts w:ascii="Times New Roman" w:eastAsia="Times New Roman" w:hAnsi="Times New Roman" w:cs="Times New Roman"/>
          <w:lang w:bidi="lt-LT"/>
        </w:rPr>
        <w:t>linagliptinas</w:t>
      </w:r>
    </w:p>
    <w:p w14:paraId="637E6F66" w14:textId="4D4AC827" w:rsidR="007447A1" w:rsidRPr="004804D2" w:rsidRDefault="007447A1" w:rsidP="007447A1">
      <w:pPr>
        <w:tabs>
          <w:tab w:val="left" w:pos="720"/>
        </w:tabs>
        <w:spacing w:after="0" w:line="260" w:lineRule="exact"/>
        <w:jc w:val="both"/>
        <w:rPr>
          <w:rFonts w:ascii="Times New Roman" w:eastAsia="Times New Roman" w:hAnsi="Times New Roman" w:cs="Times New Roman"/>
          <w:noProof/>
          <w:highlight w:val="yellow"/>
          <w:lang w:val="fr-FR"/>
        </w:rPr>
      </w:pPr>
    </w:p>
    <w:p w14:paraId="48ED5A28" w14:textId="77777777" w:rsidR="004804D2" w:rsidRPr="007447A1" w:rsidRDefault="004804D2" w:rsidP="007447A1">
      <w:pPr>
        <w:tabs>
          <w:tab w:val="left" w:pos="720"/>
        </w:tabs>
        <w:spacing w:after="0" w:line="260" w:lineRule="exact"/>
        <w:jc w:val="both"/>
        <w:rPr>
          <w:rFonts w:ascii="Times New Roman" w:eastAsia="Times New Roman" w:hAnsi="Times New Roman" w:cs="Times New Roman"/>
          <w:noProof/>
          <w:highlight w:val="yellow"/>
          <w:lang w:val="fr-FR"/>
        </w:rPr>
      </w:pPr>
    </w:p>
    <w:p w14:paraId="04848DA6"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b/>
          <w:noProof/>
          <w:lang w:val="fr-FR"/>
        </w:rPr>
      </w:pPr>
      <w:r w:rsidRPr="007447A1">
        <w:rPr>
          <w:rFonts w:ascii="Times New Roman" w:eastAsia="Times New Roman" w:hAnsi="Times New Roman" w:cs="Times New Roman"/>
          <w:b/>
          <w:noProof/>
          <w:lang w:bidi="lt-LT"/>
        </w:rPr>
        <w:t>2.</w:t>
      </w:r>
      <w:r w:rsidRPr="007447A1">
        <w:rPr>
          <w:rFonts w:ascii="Times New Roman" w:eastAsia="Times New Roman" w:hAnsi="Times New Roman" w:cs="Times New Roman"/>
          <w:b/>
          <w:noProof/>
          <w:lang w:bidi="lt-LT"/>
        </w:rPr>
        <w:tab/>
        <w:t>VEIKLIOJI (-IOS) MEDŽIAGA (-OS) IR JOS (-Ų) KIEKIS (-IAI)</w:t>
      </w:r>
    </w:p>
    <w:p w14:paraId="6C3ADADD"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28EB4E04" w14:textId="4AACF2B4" w:rsidR="007447A1" w:rsidRPr="007447A1" w:rsidRDefault="007447A1" w:rsidP="007447A1">
      <w:pPr>
        <w:tabs>
          <w:tab w:val="left" w:pos="720"/>
        </w:tabs>
        <w:spacing w:after="0" w:line="240" w:lineRule="auto"/>
        <w:jc w:val="both"/>
        <w:rPr>
          <w:rFonts w:ascii="Times New Roman" w:eastAsia="Times New Roman" w:hAnsi="Times New Roman" w:cs="Times New Roman"/>
          <w:lang w:val="fr-FR"/>
        </w:rPr>
      </w:pPr>
      <w:r w:rsidRPr="007447A1">
        <w:rPr>
          <w:rFonts w:ascii="Times New Roman" w:eastAsia="Times New Roman" w:hAnsi="Times New Roman" w:cs="Times New Roman"/>
          <w:lang w:bidi="lt-LT"/>
        </w:rPr>
        <w:t>Kiekvienoje tabletėje yra 5</w:t>
      </w:r>
      <w:r w:rsidR="000961AF">
        <w:rPr>
          <w:rFonts w:ascii="Times New Roman" w:eastAsia="Times New Roman" w:hAnsi="Times New Roman" w:cs="Times New Roman"/>
          <w:lang w:bidi="lt-LT"/>
        </w:rPr>
        <w:t> </w:t>
      </w:r>
      <w:r w:rsidRPr="007447A1">
        <w:rPr>
          <w:rFonts w:ascii="Times New Roman" w:eastAsia="Times New Roman" w:hAnsi="Times New Roman" w:cs="Times New Roman"/>
          <w:lang w:bidi="lt-LT"/>
        </w:rPr>
        <w:t>mg linagliptino.</w:t>
      </w:r>
    </w:p>
    <w:p w14:paraId="661CC17F" w14:textId="54A89024" w:rsidR="007447A1" w:rsidRPr="004804D2" w:rsidRDefault="007447A1"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61AE8639" w14:textId="77777777" w:rsidR="004804D2" w:rsidRPr="007447A1" w:rsidRDefault="004804D2"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7838215D"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fr-FR"/>
        </w:rPr>
      </w:pPr>
      <w:r w:rsidRPr="007447A1">
        <w:rPr>
          <w:rFonts w:ascii="Times New Roman" w:eastAsia="Times New Roman" w:hAnsi="Times New Roman" w:cs="Times New Roman"/>
          <w:b/>
          <w:noProof/>
          <w:lang w:bidi="lt-LT"/>
        </w:rPr>
        <w:t>3.</w:t>
      </w:r>
      <w:r w:rsidRPr="007447A1">
        <w:rPr>
          <w:rFonts w:ascii="Times New Roman" w:eastAsia="Times New Roman" w:hAnsi="Times New Roman" w:cs="Times New Roman"/>
          <w:b/>
          <w:noProof/>
          <w:lang w:bidi="lt-LT"/>
        </w:rPr>
        <w:tab/>
        <w:t>PAGALBINIŲ MEDŽIAGŲ SĄRAŠAS</w:t>
      </w:r>
    </w:p>
    <w:p w14:paraId="1C64F322"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67D02D0D"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lang w:val="fr-FR"/>
        </w:rPr>
      </w:pPr>
      <w:r w:rsidRPr="007447A1">
        <w:rPr>
          <w:rFonts w:ascii="Times New Roman" w:eastAsia="Times New Roman" w:hAnsi="Times New Roman" w:cs="Times New Roman"/>
          <w:noProof/>
          <w:lang w:bidi="lt-LT"/>
        </w:rPr>
        <w:t>Daugiau informacijos rasite pakuotės lapelyje.</w:t>
      </w:r>
    </w:p>
    <w:p w14:paraId="385D336D" w14:textId="7F602E0B" w:rsidR="007447A1" w:rsidRPr="004804D2" w:rsidRDefault="007447A1"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27D34712" w14:textId="77777777" w:rsidR="004804D2" w:rsidRPr="007447A1" w:rsidRDefault="004804D2"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6A8A9F0F"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fr-FR"/>
        </w:rPr>
      </w:pPr>
      <w:r w:rsidRPr="007447A1">
        <w:rPr>
          <w:rFonts w:ascii="Times New Roman" w:eastAsia="Times New Roman" w:hAnsi="Times New Roman" w:cs="Times New Roman"/>
          <w:b/>
          <w:noProof/>
          <w:lang w:bidi="lt-LT"/>
        </w:rPr>
        <w:t>4.</w:t>
      </w:r>
      <w:r w:rsidRPr="007447A1">
        <w:rPr>
          <w:rFonts w:ascii="Times New Roman" w:eastAsia="Times New Roman" w:hAnsi="Times New Roman" w:cs="Times New Roman"/>
          <w:b/>
          <w:noProof/>
          <w:lang w:bidi="lt-LT"/>
        </w:rPr>
        <w:tab/>
        <w:t>FARMACINĖ FORMA IR KIEKIS PAKUOTĖJE</w:t>
      </w:r>
    </w:p>
    <w:p w14:paraId="6304E0B5"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highlight w:val="yellow"/>
          <w:lang w:val="fr-FR"/>
        </w:rPr>
      </w:pPr>
    </w:p>
    <w:p w14:paraId="4D2D6CED"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fr-FR"/>
        </w:rPr>
      </w:pPr>
      <w:r w:rsidRPr="007447A1">
        <w:rPr>
          <w:rFonts w:ascii="Times New Roman" w:eastAsia="Times New Roman" w:hAnsi="Times New Roman" w:cs="Times New Roman"/>
          <w:noProof/>
          <w:lang w:bidi="lt-LT"/>
        </w:rPr>
        <w:t>Plėvele dengtos tabletės.</w:t>
      </w:r>
    </w:p>
    <w:p w14:paraId="62B88C86"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lang w:val="fr-FR"/>
        </w:rPr>
      </w:pPr>
      <w:r w:rsidRPr="007447A1">
        <w:rPr>
          <w:rFonts w:ascii="Times New Roman" w:eastAsia="Times New Roman" w:hAnsi="Times New Roman" w:cs="Times New Roman"/>
          <w:lang w:bidi="lt-LT"/>
        </w:rPr>
        <w:t>10 plėvele dengtų tablečių</w:t>
      </w:r>
    </w:p>
    <w:p w14:paraId="5CF3D502"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lang w:val="fr-FR"/>
        </w:rPr>
      </w:pPr>
      <w:r w:rsidRPr="007447A1">
        <w:rPr>
          <w:rFonts w:ascii="Times New Roman" w:eastAsia="Times New Roman" w:hAnsi="Times New Roman" w:cs="Times New Roman"/>
          <w:lang w:bidi="lt-LT"/>
        </w:rPr>
        <w:t>14 plėvele dengtų tablečių</w:t>
      </w:r>
    </w:p>
    <w:p w14:paraId="113F8FE3"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28 plėvele dengtos tabletės</w:t>
      </w:r>
    </w:p>
    <w:p w14:paraId="4E7FA8FE"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30 plėvele dengtų tablečių</w:t>
      </w:r>
    </w:p>
    <w:p w14:paraId="1282F497"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56 plėvele dengtos tabletės</w:t>
      </w:r>
    </w:p>
    <w:p w14:paraId="44EDEFF0"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60 plėvele dengtų tablečių</w:t>
      </w:r>
    </w:p>
    <w:p w14:paraId="771AB508"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84 plėvele dengtos tabletės</w:t>
      </w:r>
    </w:p>
    <w:p w14:paraId="569FF4DB"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90 plėvele dengtų tablečių</w:t>
      </w:r>
    </w:p>
    <w:p w14:paraId="518166A0"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98 plėvele dengtos tabletės</w:t>
      </w:r>
    </w:p>
    <w:p w14:paraId="6C4AE5A2"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100 plėvele dengtų tablečių</w:t>
      </w:r>
    </w:p>
    <w:p w14:paraId="10586C12"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120 plėvele dengtų tablečių</w:t>
      </w:r>
    </w:p>
    <w:p w14:paraId="2B369787"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bookmarkStart w:id="0" w:name="_Hlk156905256"/>
      <w:r w:rsidRPr="007447A1">
        <w:rPr>
          <w:rFonts w:ascii="Times New Roman" w:eastAsia="Times New Roman" w:hAnsi="Times New Roman" w:cs="Times New Roman"/>
          <w:lang w:bidi="lt-LT"/>
        </w:rPr>
        <w:t>10x1 plėvele dengtos tabletės (vienkartinė dozė)</w:t>
      </w:r>
    </w:p>
    <w:p w14:paraId="685FD73A"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14x1 plėvele dengtos tabletės (vienkartinė dozė)</w:t>
      </w:r>
    </w:p>
    <w:p w14:paraId="3FD0CD52"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28x1 plėvele dengtos tabletės (vienkartinė dozė)</w:t>
      </w:r>
    </w:p>
    <w:p w14:paraId="4861A94A"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30x1 plėvele dengtos tabletės (vienkartinė dozė)</w:t>
      </w:r>
    </w:p>
    <w:p w14:paraId="65A8684D"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56x1 plėvele dengtos tabletės (vienkartinė dozė)</w:t>
      </w:r>
    </w:p>
    <w:p w14:paraId="08B64BCF"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60x1 plėvele dengtos tabletės (vienkartinė dozė)</w:t>
      </w:r>
    </w:p>
    <w:p w14:paraId="54870503"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84x1 plėvele dengtos tabletės (vienkartinė dozė)</w:t>
      </w:r>
    </w:p>
    <w:p w14:paraId="5AD82280"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90x1 plėvele dengtos tabletės (vienkartinė dozė)</w:t>
      </w:r>
    </w:p>
    <w:p w14:paraId="30B05D3F"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98x1 plėvele dengtos tabletės (vienkartinė dozė)</w:t>
      </w:r>
    </w:p>
    <w:p w14:paraId="78F5FE11"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100x1 plėvele dengtos tabletės (vienkartinė dozė)</w:t>
      </w:r>
    </w:p>
    <w:p w14:paraId="1A1D87CE" w14:textId="37F40156" w:rsidR="007447A1" w:rsidRPr="004804D2" w:rsidRDefault="007447A1" w:rsidP="004804D2">
      <w:pPr>
        <w:tabs>
          <w:tab w:val="left" w:pos="720"/>
        </w:tabs>
        <w:spacing w:after="0" w:line="240" w:lineRule="auto"/>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120x1 plėvele dengtos tabletės (vienkartinė dozė)</w:t>
      </w:r>
      <w:bookmarkEnd w:id="0"/>
    </w:p>
    <w:p w14:paraId="78E7D544" w14:textId="6F5A46BE" w:rsidR="007447A1" w:rsidRPr="004804D2" w:rsidRDefault="007447A1" w:rsidP="007447A1">
      <w:pPr>
        <w:tabs>
          <w:tab w:val="left" w:pos="720"/>
        </w:tabs>
        <w:spacing w:after="0" w:line="240" w:lineRule="auto"/>
        <w:jc w:val="both"/>
        <w:rPr>
          <w:rFonts w:ascii="Times New Roman" w:eastAsia="Times New Roman" w:hAnsi="Times New Roman" w:cs="Times New Roman"/>
          <w:highlight w:val="yellow"/>
          <w:lang w:val="en-GB"/>
        </w:rPr>
      </w:pPr>
    </w:p>
    <w:p w14:paraId="7558D29E" w14:textId="77777777" w:rsidR="004804D2" w:rsidRPr="007447A1" w:rsidRDefault="004804D2" w:rsidP="007447A1">
      <w:pPr>
        <w:tabs>
          <w:tab w:val="left" w:pos="720"/>
        </w:tabs>
        <w:spacing w:after="0" w:line="240" w:lineRule="auto"/>
        <w:jc w:val="both"/>
        <w:rPr>
          <w:rFonts w:ascii="Times New Roman" w:eastAsia="Times New Roman" w:hAnsi="Times New Roman" w:cs="Times New Roman"/>
          <w:highlight w:val="yellow"/>
          <w:lang w:val="en-GB"/>
        </w:rPr>
      </w:pPr>
    </w:p>
    <w:p w14:paraId="79EF9870"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5.</w:t>
      </w:r>
      <w:r w:rsidRPr="007447A1">
        <w:rPr>
          <w:rFonts w:ascii="Times New Roman" w:eastAsia="Times New Roman" w:hAnsi="Times New Roman" w:cs="Times New Roman"/>
          <w:b/>
          <w:noProof/>
          <w:lang w:bidi="lt-LT"/>
        </w:rPr>
        <w:tab/>
        <w:t>VARTOJIMO METODAS IR BŪDAS (-AI)</w:t>
      </w:r>
    </w:p>
    <w:p w14:paraId="77B80023"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i/>
          <w:noProof/>
          <w:highlight w:val="yellow"/>
          <w:lang w:val="pt-PT"/>
        </w:rPr>
      </w:pPr>
    </w:p>
    <w:p w14:paraId="68EA3DDE"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r w:rsidRPr="007447A1">
        <w:rPr>
          <w:rFonts w:ascii="Times New Roman" w:eastAsia="Times New Roman" w:hAnsi="Times New Roman" w:cs="Times New Roman"/>
          <w:noProof/>
          <w:lang w:bidi="lt-LT"/>
        </w:rPr>
        <w:t>Prieš vartojimą perskaitykite pakuotės lapelį.</w:t>
      </w:r>
    </w:p>
    <w:p w14:paraId="7D5450ED" w14:textId="77777777" w:rsidR="007447A1" w:rsidRDefault="007447A1" w:rsidP="007447A1">
      <w:pPr>
        <w:tabs>
          <w:tab w:val="left" w:pos="720"/>
        </w:tabs>
        <w:spacing w:after="0" w:line="240" w:lineRule="auto"/>
        <w:jc w:val="both"/>
        <w:rPr>
          <w:rFonts w:ascii="Times New Roman" w:eastAsia="Times New Roman" w:hAnsi="Times New Roman" w:cs="Times New Roman"/>
          <w:noProof/>
          <w:lang w:bidi="lt-LT"/>
        </w:rPr>
      </w:pPr>
      <w:r w:rsidRPr="007447A1">
        <w:rPr>
          <w:rFonts w:ascii="Times New Roman" w:eastAsia="Times New Roman" w:hAnsi="Times New Roman" w:cs="Times New Roman"/>
          <w:noProof/>
          <w:lang w:bidi="lt-LT"/>
        </w:rPr>
        <w:t>Vartoti per burną.</w:t>
      </w:r>
    </w:p>
    <w:p w14:paraId="37520BA7" w14:textId="77777777" w:rsidR="004B1235" w:rsidRPr="00E1529B" w:rsidRDefault="004B1235" w:rsidP="007447A1">
      <w:pPr>
        <w:tabs>
          <w:tab w:val="left" w:pos="720"/>
        </w:tabs>
        <w:spacing w:after="0" w:line="240" w:lineRule="auto"/>
        <w:jc w:val="both"/>
        <w:rPr>
          <w:rFonts w:ascii="Times New Roman" w:eastAsia="Times New Roman" w:hAnsi="Times New Roman" w:cs="Times New Roman"/>
          <w:noProof/>
          <w:lang w:val="pt-PT"/>
        </w:rPr>
      </w:pPr>
    </w:p>
    <w:p w14:paraId="26B187CA"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03B3153F"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lastRenderedPageBreak/>
        <w:t>6.</w:t>
      </w:r>
      <w:r w:rsidRPr="007447A1">
        <w:rPr>
          <w:rFonts w:ascii="Times New Roman" w:eastAsia="Times New Roman" w:hAnsi="Times New Roman" w:cs="Times New Roman"/>
          <w:b/>
          <w:noProof/>
          <w:lang w:bidi="lt-LT"/>
        </w:rPr>
        <w:tab/>
        <w:t>SPECIALUS ĮSPĖJIMAS, KAD VAISTINĮ PREPARATĄ BŪTINA LAIKYTI VAIKAMS NEPASTEBIMOJE IR NEPASIEKIAMOJE VIETOJE</w:t>
      </w:r>
    </w:p>
    <w:p w14:paraId="4BFA2B8E" w14:textId="77777777" w:rsidR="004804D2" w:rsidRPr="00E1529B" w:rsidRDefault="004804D2"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042FF73F" w14:textId="77777777" w:rsidR="007447A1" w:rsidRPr="00E1529B" w:rsidRDefault="007447A1" w:rsidP="007447A1">
      <w:pPr>
        <w:tabs>
          <w:tab w:val="left" w:pos="720"/>
        </w:tabs>
        <w:spacing w:after="0" w:line="240" w:lineRule="auto"/>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noProof/>
          <w:lang w:bidi="lt-LT"/>
        </w:rPr>
        <w:t>Laikyti vaikams nepastebimoje ir nepasiekiamoje vietoje.</w:t>
      </w:r>
    </w:p>
    <w:p w14:paraId="3F2CDDF0"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374B26EA"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7.</w:t>
      </w:r>
      <w:r w:rsidRPr="007447A1">
        <w:rPr>
          <w:rFonts w:ascii="Times New Roman" w:eastAsia="Times New Roman" w:hAnsi="Times New Roman" w:cs="Times New Roman"/>
          <w:b/>
          <w:noProof/>
          <w:lang w:bidi="lt-LT"/>
        </w:rPr>
        <w:tab/>
        <w:t>KITAS (-I) SPECIALUS (-ŪS) ĮSPĖJIMAS (-AI) (JEI REIKIA)</w:t>
      </w:r>
    </w:p>
    <w:p w14:paraId="5920B9F8" w14:textId="051A7225"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p>
    <w:p w14:paraId="62999AD4" w14:textId="77777777" w:rsidR="004804D2" w:rsidRPr="00E1529B" w:rsidRDefault="004804D2" w:rsidP="007447A1">
      <w:pPr>
        <w:tabs>
          <w:tab w:val="left" w:pos="720"/>
        </w:tabs>
        <w:spacing w:after="0" w:line="240" w:lineRule="auto"/>
        <w:jc w:val="both"/>
        <w:rPr>
          <w:rFonts w:ascii="Times New Roman" w:eastAsia="Times New Roman" w:hAnsi="Times New Roman" w:cs="Times New Roman"/>
          <w:noProof/>
          <w:lang w:val="pt-PT"/>
        </w:rPr>
      </w:pPr>
    </w:p>
    <w:p w14:paraId="578B4C90"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8.</w:t>
      </w:r>
      <w:r w:rsidRPr="007447A1">
        <w:rPr>
          <w:rFonts w:ascii="Times New Roman" w:eastAsia="Times New Roman" w:hAnsi="Times New Roman" w:cs="Times New Roman"/>
          <w:b/>
          <w:noProof/>
          <w:lang w:bidi="lt-LT"/>
        </w:rPr>
        <w:tab/>
        <w:t>TINKAMUMO LAIKAS</w:t>
      </w:r>
    </w:p>
    <w:p w14:paraId="54CEE8F1" w14:textId="77777777" w:rsidR="004804D2" w:rsidRPr="00E1529B" w:rsidRDefault="004804D2" w:rsidP="007447A1">
      <w:pPr>
        <w:tabs>
          <w:tab w:val="left" w:pos="720"/>
        </w:tabs>
        <w:spacing w:after="0" w:line="240" w:lineRule="auto"/>
        <w:jc w:val="both"/>
        <w:rPr>
          <w:rFonts w:ascii="Times New Roman" w:eastAsia="Times New Roman" w:hAnsi="Times New Roman" w:cs="Times New Roman"/>
          <w:noProof/>
          <w:lang w:val="pt-PT"/>
        </w:rPr>
      </w:pPr>
    </w:p>
    <w:p w14:paraId="5C8E12E1" w14:textId="77D072D9"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r w:rsidRPr="007447A1">
        <w:rPr>
          <w:rFonts w:ascii="Times New Roman" w:eastAsia="Times New Roman" w:hAnsi="Times New Roman" w:cs="Times New Roman"/>
          <w:noProof/>
          <w:lang w:bidi="lt-LT"/>
        </w:rPr>
        <w:t>EXP</w:t>
      </w:r>
      <w:r w:rsidR="00706810">
        <w:rPr>
          <w:rFonts w:ascii="Times New Roman" w:eastAsia="Times New Roman" w:hAnsi="Times New Roman" w:cs="Times New Roman"/>
          <w:noProof/>
          <w:lang w:bidi="lt-LT"/>
        </w:rPr>
        <w:t xml:space="preserve">: </w:t>
      </w:r>
      <w:r w:rsidR="00487D3F">
        <w:rPr>
          <w:rFonts w:ascii="Times New Roman" w:eastAsia="Times New Roman" w:hAnsi="Times New Roman" w:cs="Times New Roman"/>
          <w:noProof/>
          <w:lang w:bidi="lt-LT"/>
        </w:rPr>
        <w:t>mm/MMMM</w:t>
      </w:r>
    </w:p>
    <w:p w14:paraId="51772564" w14:textId="77777777" w:rsidR="007447A1" w:rsidRDefault="007447A1" w:rsidP="007447A1">
      <w:pPr>
        <w:tabs>
          <w:tab w:val="left" w:pos="720"/>
        </w:tabs>
        <w:spacing w:after="0" w:line="240" w:lineRule="auto"/>
        <w:jc w:val="both"/>
        <w:rPr>
          <w:rFonts w:ascii="Times New Roman" w:eastAsia="Times New Roman" w:hAnsi="Times New Roman" w:cs="Times New Roman"/>
          <w:noProof/>
          <w:lang w:val="pt-PT"/>
        </w:rPr>
      </w:pPr>
    </w:p>
    <w:p w14:paraId="7C65A139" w14:textId="77777777" w:rsidR="00487D3F" w:rsidRPr="00E1529B" w:rsidRDefault="00487D3F" w:rsidP="007447A1">
      <w:pPr>
        <w:tabs>
          <w:tab w:val="left" w:pos="720"/>
        </w:tabs>
        <w:spacing w:after="0" w:line="240" w:lineRule="auto"/>
        <w:jc w:val="both"/>
        <w:rPr>
          <w:rFonts w:ascii="Times New Roman" w:eastAsia="Times New Roman" w:hAnsi="Times New Roman" w:cs="Times New Roman"/>
          <w:noProof/>
          <w:lang w:val="pt-PT"/>
        </w:rPr>
      </w:pPr>
    </w:p>
    <w:p w14:paraId="62E25D7E"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9.</w:t>
      </w:r>
      <w:r w:rsidRPr="007447A1">
        <w:rPr>
          <w:rFonts w:ascii="Times New Roman" w:eastAsia="Times New Roman" w:hAnsi="Times New Roman" w:cs="Times New Roman"/>
          <w:b/>
          <w:noProof/>
          <w:lang w:bidi="lt-LT"/>
        </w:rPr>
        <w:tab/>
        <w:t>SPECIALIOS LAIKYMO SĄLYGOS</w:t>
      </w:r>
    </w:p>
    <w:p w14:paraId="2129A7C2"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5615700D"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0F7893DE"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jc w:val="both"/>
        <w:outlineLvl w:val="0"/>
        <w:rPr>
          <w:rFonts w:ascii="Times New Roman" w:eastAsia="Times New Roman" w:hAnsi="Times New Roman" w:cs="Times New Roman"/>
          <w:b/>
          <w:noProof/>
          <w:lang w:val="pt-PT"/>
        </w:rPr>
      </w:pPr>
      <w:r w:rsidRPr="007447A1">
        <w:rPr>
          <w:rFonts w:ascii="Times New Roman" w:eastAsia="Times New Roman" w:hAnsi="Times New Roman" w:cs="Times New Roman"/>
          <w:b/>
          <w:noProof/>
          <w:lang w:bidi="lt-LT"/>
        </w:rPr>
        <w:t>10.</w:t>
      </w:r>
      <w:r w:rsidRPr="007447A1">
        <w:rPr>
          <w:rFonts w:ascii="Times New Roman" w:eastAsia="Times New Roman" w:hAnsi="Times New Roman" w:cs="Times New Roman"/>
          <w:b/>
          <w:noProof/>
          <w:lang w:bidi="lt-LT"/>
        </w:rPr>
        <w:tab/>
        <w:t>SPECIALIOS ATSARGUMO PRIEMONĖS DĖL NESUVARTOTO VAISTINIO PREPARATO AR JO ATLIEKŲ TVARKYMO (JEI REIKIA)</w:t>
      </w:r>
    </w:p>
    <w:p w14:paraId="1FCD69C4"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265F4DEF"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313D9979"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b/>
          <w:noProof/>
          <w:lang w:val="pl-PL"/>
        </w:rPr>
      </w:pPr>
      <w:r w:rsidRPr="007447A1">
        <w:rPr>
          <w:rFonts w:ascii="Times New Roman" w:eastAsia="Times New Roman" w:hAnsi="Times New Roman" w:cs="Times New Roman"/>
          <w:b/>
          <w:noProof/>
          <w:lang w:bidi="lt-LT"/>
        </w:rPr>
        <w:t>11.</w:t>
      </w:r>
      <w:r w:rsidRPr="007447A1">
        <w:rPr>
          <w:rFonts w:ascii="Times New Roman" w:eastAsia="Times New Roman" w:hAnsi="Times New Roman" w:cs="Times New Roman"/>
          <w:b/>
          <w:noProof/>
          <w:lang w:bidi="lt-LT"/>
        </w:rPr>
        <w:tab/>
        <w:t>REGISTRUOTOJO PAVADINIMAS IR ADRESAS</w:t>
      </w:r>
    </w:p>
    <w:p w14:paraId="23359405"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65783CBE" w14:textId="77777777" w:rsidR="00E1529B"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proofErr w:type="spellStart"/>
      <w:r w:rsidRPr="004B1235">
        <w:rPr>
          <w:rFonts w:ascii="Times New Roman" w:eastAsia="Times New Roman" w:hAnsi="Times New Roman" w:cs="Times New Roman"/>
          <w:noProof/>
          <w:lang w:bidi="lt-LT"/>
        </w:rPr>
        <w:t>Genepharm</w:t>
      </w:r>
      <w:proofErr w:type="spellEnd"/>
      <w:r w:rsidRPr="004B1235">
        <w:rPr>
          <w:rFonts w:ascii="Times New Roman" w:eastAsia="Times New Roman" w:hAnsi="Times New Roman" w:cs="Times New Roman"/>
          <w:noProof/>
          <w:lang w:bidi="lt-LT"/>
        </w:rPr>
        <w:t xml:space="preserve"> S.A.</w:t>
      </w:r>
    </w:p>
    <w:p w14:paraId="4FB5BF99" w14:textId="77777777" w:rsidR="00487D3F"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r w:rsidRPr="004B1235">
        <w:rPr>
          <w:rFonts w:ascii="Times New Roman" w:eastAsia="Times New Roman" w:hAnsi="Times New Roman" w:cs="Times New Roman"/>
          <w:noProof/>
          <w:lang w:bidi="lt-LT"/>
        </w:rPr>
        <w:t xml:space="preserve">18 Km </w:t>
      </w:r>
      <w:proofErr w:type="spellStart"/>
      <w:r w:rsidRPr="004B1235">
        <w:rPr>
          <w:rFonts w:ascii="Times New Roman" w:eastAsia="Times New Roman" w:hAnsi="Times New Roman" w:cs="Times New Roman"/>
          <w:noProof/>
          <w:lang w:bidi="lt-LT"/>
        </w:rPr>
        <w:t>Marathon</w:t>
      </w:r>
      <w:proofErr w:type="spellEnd"/>
      <w:r w:rsidRPr="004B1235">
        <w:rPr>
          <w:rFonts w:ascii="Times New Roman" w:eastAsia="Times New Roman" w:hAnsi="Times New Roman" w:cs="Times New Roman"/>
          <w:noProof/>
          <w:lang w:bidi="lt-LT"/>
        </w:rPr>
        <w:t xml:space="preserve"> </w:t>
      </w:r>
      <w:proofErr w:type="spellStart"/>
      <w:r w:rsidRPr="004B1235">
        <w:rPr>
          <w:rFonts w:ascii="Times New Roman" w:eastAsia="Times New Roman" w:hAnsi="Times New Roman" w:cs="Times New Roman"/>
          <w:noProof/>
          <w:lang w:bidi="lt-LT"/>
        </w:rPr>
        <w:t>Avenue</w:t>
      </w:r>
      <w:proofErr w:type="spellEnd"/>
    </w:p>
    <w:p w14:paraId="1AE3FB8F" w14:textId="60471699" w:rsidR="00487D3F"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r w:rsidRPr="004B1235">
        <w:rPr>
          <w:rFonts w:ascii="Times New Roman" w:eastAsia="Times New Roman" w:hAnsi="Times New Roman" w:cs="Times New Roman"/>
          <w:noProof/>
          <w:lang w:bidi="lt-LT"/>
        </w:rPr>
        <w:t xml:space="preserve">15351 </w:t>
      </w:r>
      <w:proofErr w:type="spellStart"/>
      <w:r w:rsidRPr="004B1235">
        <w:rPr>
          <w:rFonts w:ascii="Times New Roman" w:eastAsia="Times New Roman" w:hAnsi="Times New Roman" w:cs="Times New Roman"/>
          <w:noProof/>
          <w:lang w:bidi="lt-LT"/>
        </w:rPr>
        <w:t>Pallini</w:t>
      </w:r>
      <w:proofErr w:type="spellEnd"/>
    </w:p>
    <w:p w14:paraId="50BF2EE5" w14:textId="223AD65B" w:rsidR="00E1529B"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r w:rsidRPr="004B1235">
        <w:rPr>
          <w:rFonts w:ascii="Times New Roman" w:eastAsia="Times New Roman" w:hAnsi="Times New Roman" w:cs="Times New Roman"/>
          <w:noProof/>
          <w:lang w:bidi="lt-LT"/>
        </w:rPr>
        <w:t>Gr</w:t>
      </w:r>
      <w:r w:rsidR="00487D3F" w:rsidRPr="004B1235">
        <w:rPr>
          <w:rFonts w:ascii="Times New Roman" w:eastAsia="Times New Roman" w:hAnsi="Times New Roman" w:cs="Times New Roman"/>
          <w:noProof/>
          <w:lang w:bidi="lt-LT"/>
        </w:rPr>
        <w:t>aikija</w:t>
      </w:r>
    </w:p>
    <w:p w14:paraId="24B99DDF" w14:textId="77777777" w:rsidR="00487D3F"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r w:rsidRPr="004B1235">
        <w:rPr>
          <w:rFonts w:ascii="Times New Roman" w:eastAsia="Times New Roman" w:hAnsi="Times New Roman" w:cs="Times New Roman"/>
          <w:noProof/>
          <w:lang w:bidi="lt-LT"/>
        </w:rPr>
        <w:t>Tel +30.210.60.39.336</w:t>
      </w:r>
    </w:p>
    <w:p w14:paraId="5176FA48" w14:textId="248062E7" w:rsidR="00E1529B" w:rsidRPr="004B1235" w:rsidRDefault="00E1529B" w:rsidP="004B1235">
      <w:pPr>
        <w:tabs>
          <w:tab w:val="left" w:pos="720"/>
        </w:tabs>
        <w:spacing w:after="0" w:line="240" w:lineRule="auto"/>
        <w:jc w:val="both"/>
        <w:rPr>
          <w:rFonts w:ascii="Times New Roman" w:eastAsia="Times New Roman" w:hAnsi="Times New Roman" w:cs="Times New Roman"/>
          <w:noProof/>
          <w:lang w:bidi="lt-LT"/>
        </w:rPr>
      </w:pPr>
      <w:proofErr w:type="spellStart"/>
      <w:r w:rsidRPr="004B1235">
        <w:rPr>
          <w:rFonts w:ascii="Times New Roman" w:eastAsia="Times New Roman" w:hAnsi="Times New Roman" w:cs="Times New Roman"/>
          <w:noProof/>
          <w:lang w:bidi="lt-LT"/>
        </w:rPr>
        <w:t>Fax</w:t>
      </w:r>
      <w:proofErr w:type="spellEnd"/>
      <w:r w:rsidRPr="004B1235">
        <w:rPr>
          <w:rFonts w:ascii="Times New Roman" w:eastAsia="Times New Roman" w:hAnsi="Times New Roman" w:cs="Times New Roman"/>
          <w:noProof/>
          <w:lang w:bidi="lt-LT"/>
        </w:rPr>
        <w:t xml:space="preserve"> +30.210.60.39.402</w:t>
      </w:r>
    </w:p>
    <w:p w14:paraId="5C6C75FE" w14:textId="77777777" w:rsidR="00E1529B" w:rsidRDefault="00E1529B" w:rsidP="00E1529B">
      <w:pPr>
        <w:suppressAutoHyphens/>
        <w:autoSpaceDN w:val="0"/>
        <w:spacing w:after="0" w:line="240" w:lineRule="auto"/>
        <w:jc w:val="both"/>
        <w:rPr>
          <w:lang w:eastAsia="lt-LT"/>
        </w:rPr>
      </w:pPr>
      <w:hyperlink r:id="rId9" w:history="1">
        <w:r w:rsidRPr="00A467D5">
          <w:rPr>
            <w:rStyle w:val="Hipersaitas"/>
            <w:lang w:eastAsia="lt-LT"/>
          </w:rPr>
          <w:t>www.genepharm.com</w:t>
        </w:r>
      </w:hyperlink>
    </w:p>
    <w:p w14:paraId="76B35A55" w14:textId="77777777" w:rsidR="004804D2" w:rsidRDefault="004804D2" w:rsidP="007447A1">
      <w:pPr>
        <w:tabs>
          <w:tab w:val="left" w:pos="720"/>
        </w:tabs>
        <w:spacing w:after="0" w:line="240" w:lineRule="auto"/>
        <w:jc w:val="both"/>
        <w:rPr>
          <w:rFonts w:ascii="Times New Roman" w:eastAsia="Times New Roman" w:hAnsi="Times New Roman" w:cs="Times New Roman"/>
          <w:noProof/>
          <w:lang w:val="pl-PL"/>
        </w:rPr>
      </w:pPr>
    </w:p>
    <w:p w14:paraId="7C16A496" w14:textId="77777777" w:rsidR="00487D3F" w:rsidRPr="007447A1" w:rsidRDefault="00487D3F" w:rsidP="007447A1">
      <w:pPr>
        <w:tabs>
          <w:tab w:val="left" w:pos="720"/>
        </w:tabs>
        <w:spacing w:after="0" w:line="240" w:lineRule="auto"/>
        <w:jc w:val="both"/>
        <w:rPr>
          <w:rFonts w:ascii="Times New Roman" w:eastAsia="Times New Roman" w:hAnsi="Times New Roman" w:cs="Times New Roman"/>
          <w:noProof/>
          <w:lang w:val="pl-PL"/>
        </w:rPr>
      </w:pPr>
    </w:p>
    <w:p w14:paraId="554DE84D"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l-PL"/>
        </w:rPr>
      </w:pPr>
      <w:r w:rsidRPr="007447A1">
        <w:rPr>
          <w:rFonts w:ascii="Times New Roman" w:eastAsia="Times New Roman" w:hAnsi="Times New Roman" w:cs="Times New Roman"/>
          <w:b/>
          <w:noProof/>
          <w:lang w:bidi="lt-LT"/>
        </w:rPr>
        <w:t>12.</w:t>
      </w:r>
      <w:r w:rsidRPr="007447A1">
        <w:rPr>
          <w:rFonts w:ascii="Times New Roman" w:eastAsia="Times New Roman" w:hAnsi="Times New Roman" w:cs="Times New Roman"/>
          <w:b/>
          <w:noProof/>
          <w:lang w:bidi="lt-LT"/>
        </w:rPr>
        <w:tab/>
        <w:t xml:space="preserve">REGISTRACIJOS PAŽYMĖJIMO NUMERIS (-IAI)  </w:t>
      </w:r>
    </w:p>
    <w:p w14:paraId="28D5C61D"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02C818DC"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LT/1/24/5656/001 – N10</w:t>
      </w:r>
    </w:p>
    <w:p w14:paraId="516E596E"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LT/1/24/5656/002 – N14</w:t>
      </w:r>
    </w:p>
    <w:p w14:paraId="1169C2EF"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LT/1/24/5656/003 – N28</w:t>
      </w:r>
    </w:p>
    <w:p w14:paraId="2167F982"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LT/1/24/5656/004 – N30</w:t>
      </w:r>
    </w:p>
    <w:p w14:paraId="2CDBA9EC"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LT/1/24/5656/005 – N56</w:t>
      </w:r>
    </w:p>
    <w:p w14:paraId="02129755"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LT/1/24/5656/006 – N60</w:t>
      </w:r>
    </w:p>
    <w:p w14:paraId="1E444E21"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LT/1/24/5656/007 – N84</w:t>
      </w:r>
    </w:p>
    <w:p w14:paraId="3D760EF3"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LT/1/24/5656/008 – N90</w:t>
      </w:r>
    </w:p>
    <w:p w14:paraId="75284B47"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LT/1/24/5656/009 – N98</w:t>
      </w:r>
    </w:p>
    <w:p w14:paraId="25DCDC2E"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LT/1/24/5656/010 – N100</w:t>
      </w:r>
    </w:p>
    <w:p w14:paraId="24F78E14" w14:textId="35A8042C"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LT/1/24/5656/011 – N120</w:t>
      </w:r>
    </w:p>
    <w:p w14:paraId="4812660A"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LT/1/24/5656/012 – N10x1</w:t>
      </w:r>
    </w:p>
    <w:p w14:paraId="04E16022"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LT/1/24/5656/013 – N14x1</w:t>
      </w:r>
    </w:p>
    <w:p w14:paraId="5531AB4D"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LT/1/24/5656/014 – N28x1</w:t>
      </w:r>
    </w:p>
    <w:p w14:paraId="6D859697"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LT/1/24/5656/015 – N30x1</w:t>
      </w:r>
    </w:p>
    <w:p w14:paraId="38EF1518"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LT/1/24/5656/016 – N56x1</w:t>
      </w:r>
    </w:p>
    <w:p w14:paraId="47090579"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LT/1/24/5656/017 – N60x1</w:t>
      </w:r>
    </w:p>
    <w:p w14:paraId="4023BEEF"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LT/1/24/5656/018 – N84x1</w:t>
      </w:r>
    </w:p>
    <w:p w14:paraId="3660B7B5"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LT/1/24/5656/019 – N90x1</w:t>
      </w:r>
    </w:p>
    <w:p w14:paraId="37746F46"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LT/1/24/5656/020 – N98x1</w:t>
      </w:r>
    </w:p>
    <w:p w14:paraId="08DDA614" w14:textId="77777777" w:rsidR="004B1235" w:rsidRPr="004B1235"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LT/1/24/5656/021 – N100x1</w:t>
      </w:r>
    </w:p>
    <w:p w14:paraId="182C32D0" w14:textId="3A38F1FB" w:rsidR="007447A1" w:rsidRPr="004804D2" w:rsidRDefault="004B1235" w:rsidP="004B1235">
      <w:pPr>
        <w:tabs>
          <w:tab w:val="left" w:pos="720"/>
        </w:tabs>
        <w:spacing w:after="0" w:line="240" w:lineRule="auto"/>
        <w:jc w:val="both"/>
        <w:rPr>
          <w:rFonts w:ascii="Times New Roman" w:eastAsia="Times New Roman" w:hAnsi="Times New Roman" w:cs="Times New Roman"/>
          <w:noProof/>
          <w:lang w:val="pl-PL"/>
        </w:rPr>
      </w:pPr>
      <w:r w:rsidRPr="004B1235">
        <w:rPr>
          <w:rFonts w:ascii="Times New Roman" w:eastAsia="Times New Roman" w:hAnsi="Times New Roman" w:cs="Times New Roman"/>
          <w:noProof/>
          <w:lang w:val="pl-PL"/>
        </w:rPr>
        <w:t>LT/1/24/5656/022 – N120x1</w:t>
      </w:r>
    </w:p>
    <w:p w14:paraId="09257A16" w14:textId="77777777" w:rsidR="004804D2" w:rsidRPr="007447A1" w:rsidRDefault="004804D2" w:rsidP="007447A1">
      <w:pPr>
        <w:tabs>
          <w:tab w:val="left" w:pos="720"/>
        </w:tabs>
        <w:spacing w:after="0" w:line="240" w:lineRule="auto"/>
        <w:jc w:val="both"/>
        <w:rPr>
          <w:rFonts w:ascii="Times New Roman" w:eastAsia="Times New Roman" w:hAnsi="Times New Roman" w:cs="Times New Roman"/>
          <w:noProof/>
          <w:lang w:val="pl-PL"/>
        </w:rPr>
      </w:pPr>
    </w:p>
    <w:p w14:paraId="72A60DD5"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13.</w:t>
      </w:r>
      <w:r w:rsidRPr="007447A1">
        <w:rPr>
          <w:rFonts w:ascii="Times New Roman" w:eastAsia="Times New Roman" w:hAnsi="Times New Roman" w:cs="Times New Roman"/>
          <w:b/>
          <w:noProof/>
          <w:lang w:bidi="lt-LT"/>
        </w:rPr>
        <w:tab/>
        <w:t>SERIJOS NUMERIS</w:t>
      </w:r>
    </w:p>
    <w:p w14:paraId="676D8E07"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p>
    <w:p w14:paraId="70EE80E0"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r w:rsidRPr="007447A1">
        <w:rPr>
          <w:rFonts w:ascii="Times New Roman" w:eastAsia="Times New Roman" w:hAnsi="Times New Roman" w:cs="Times New Roman"/>
          <w:noProof/>
          <w:lang w:bidi="lt-LT"/>
        </w:rPr>
        <w:t>Lot</w:t>
      </w:r>
    </w:p>
    <w:p w14:paraId="08D30584" w14:textId="7DC94374" w:rsidR="007447A1" w:rsidRPr="00E1529B" w:rsidRDefault="007447A1"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2D2DB273" w14:textId="77777777" w:rsidR="004804D2" w:rsidRPr="00E1529B" w:rsidRDefault="004804D2" w:rsidP="007447A1">
      <w:pPr>
        <w:tabs>
          <w:tab w:val="left" w:pos="720"/>
        </w:tabs>
        <w:spacing w:after="0" w:line="240" w:lineRule="auto"/>
        <w:jc w:val="both"/>
        <w:rPr>
          <w:rFonts w:ascii="Times New Roman" w:eastAsia="Times New Roman" w:hAnsi="Times New Roman" w:cs="Times New Roman"/>
          <w:noProof/>
          <w:highlight w:val="yellow"/>
          <w:lang w:val="pt-PT"/>
        </w:rPr>
      </w:pPr>
    </w:p>
    <w:p w14:paraId="22876169" w14:textId="77777777" w:rsidR="007447A1" w:rsidRPr="00E1529B"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t-PT"/>
        </w:rPr>
      </w:pPr>
      <w:r w:rsidRPr="007447A1">
        <w:rPr>
          <w:rFonts w:ascii="Times New Roman" w:eastAsia="Times New Roman" w:hAnsi="Times New Roman" w:cs="Times New Roman"/>
          <w:b/>
          <w:noProof/>
          <w:lang w:bidi="lt-LT"/>
        </w:rPr>
        <w:t>14.</w:t>
      </w:r>
      <w:r w:rsidRPr="007447A1">
        <w:rPr>
          <w:rFonts w:ascii="Times New Roman" w:eastAsia="Times New Roman" w:hAnsi="Times New Roman" w:cs="Times New Roman"/>
          <w:b/>
          <w:noProof/>
          <w:lang w:bidi="lt-LT"/>
        </w:rPr>
        <w:tab/>
        <w:t>PARDAVIMO (IŠDAVIMO) TVARKA</w:t>
      </w:r>
    </w:p>
    <w:p w14:paraId="3EB0C56C" w14:textId="77777777" w:rsidR="007447A1" w:rsidRPr="00E1529B" w:rsidRDefault="007447A1" w:rsidP="007447A1">
      <w:pPr>
        <w:tabs>
          <w:tab w:val="left" w:pos="720"/>
        </w:tabs>
        <w:spacing w:after="0" w:line="240" w:lineRule="auto"/>
        <w:jc w:val="both"/>
        <w:rPr>
          <w:rFonts w:ascii="Times New Roman" w:eastAsia="Times New Roman" w:hAnsi="Times New Roman" w:cs="Times New Roman"/>
          <w:noProof/>
          <w:lang w:val="pt-PT"/>
        </w:rPr>
      </w:pPr>
    </w:p>
    <w:p w14:paraId="1E9296A1" w14:textId="4BBAFF7E" w:rsidR="007447A1" w:rsidRPr="007447A1" w:rsidRDefault="000961AF" w:rsidP="007447A1">
      <w:pPr>
        <w:autoSpaceDE w:val="0"/>
        <w:autoSpaceDN w:val="0"/>
        <w:adjustRightInd w:val="0"/>
        <w:spacing w:after="0" w:line="240" w:lineRule="auto"/>
        <w:jc w:val="both"/>
        <w:rPr>
          <w:rFonts w:ascii="Times New Roman" w:eastAsia="Times New Roman" w:hAnsi="Times New Roman" w:cs="Times New Roman"/>
          <w:color w:val="000000"/>
          <w:lang w:val="pl-PL" w:eastAsia="el-GR"/>
        </w:rPr>
      </w:pPr>
      <w:r w:rsidRPr="000961AF">
        <w:rPr>
          <w:rFonts w:ascii="Times New Roman" w:eastAsia="Times New Roman" w:hAnsi="Times New Roman" w:cs="Times New Roman"/>
          <w:color w:val="000000"/>
          <w:lang w:eastAsia="el-GR" w:bidi="lt-LT"/>
        </w:rPr>
        <w:t>Receptinis vaistas</w:t>
      </w:r>
    </w:p>
    <w:p w14:paraId="78A96285" w14:textId="4D23C29D" w:rsidR="007447A1" w:rsidRPr="004804D2" w:rsidRDefault="007447A1" w:rsidP="007447A1">
      <w:pPr>
        <w:autoSpaceDE w:val="0"/>
        <w:autoSpaceDN w:val="0"/>
        <w:adjustRightInd w:val="0"/>
        <w:spacing w:after="0" w:line="240" w:lineRule="auto"/>
        <w:jc w:val="both"/>
        <w:rPr>
          <w:rFonts w:ascii="Times New Roman" w:eastAsia="Times New Roman" w:hAnsi="Times New Roman" w:cs="Times New Roman"/>
          <w:color w:val="000000"/>
          <w:lang w:val="pl-PL" w:eastAsia="el-GR"/>
        </w:rPr>
      </w:pPr>
    </w:p>
    <w:p w14:paraId="6FEDDCE5" w14:textId="77777777" w:rsidR="004804D2" w:rsidRPr="007447A1" w:rsidRDefault="004804D2" w:rsidP="007447A1">
      <w:pPr>
        <w:autoSpaceDE w:val="0"/>
        <w:autoSpaceDN w:val="0"/>
        <w:adjustRightInd w:val="0"/>
        <w:spacing w:after="0" w:line="240" w:lineRule="auto"/>
        <w:jc w:val="both"/>
        <w:rPr>
          <w:rFonts w:ascii="Times New Roman" w:eastAsia="Times New Roman" w:hAnsi="Times New Roman" w:cs="Times New Roman"/>
          <w:color w:val="000000"/>
          <w:lang w:val="pl-PL" w:eastAsia="el-GR"/>
        </w:rPr>
      </w:pPr>
    </w:p>
    <w:p w14:paraId="153585D3"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l-PL"/>
        </w:rPr>
      </w:pPr>
      <w:r w:rsidRPr="007447A1">
        <w:rPr>
          <w:rFonts w:ascii="Times New Roman" w:eastAsia="Times New Roman" w:hAnsi="Times New Roman" w:cs="Times New Roman"/>
          <w:b/>
          <w:noProof/>
          <w:lang w:bidi="lt-LT"/>
        </w:rPr>
        <w:t>15.</w:t>
      </w:r>
      <w:r w:rsidRPr="007447A1">
        <w:rPr>
          <w:rFonts w:ascii="Times New Roman" w:eastAsia="Times New Roman" w:hAnsi="Times New Roman" w:cs="Times New Roman"/>
          <w:b/>
          <w:noProof/>
          <w:lang w:bidi="lt-LT"/>
        </w:rPr>
        <w:tab/>
        <w:t>VARTOJIMO INSTRUKCIJA</w:t>
      </w:r>
    </w:p>
    <w:p w14:paraId="415BACB8" w14:textId="1340318F" w:rsidR="007447A1" w:rsidRPr="004804D2"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20B9F1E0" w14:textId="77777777" w:rsidR="004804D2" w:rsidRPr="007447A1" w:rsidRDefault="004804D2" w:rsidP="007447A1">
      <w:pPr>
        <w:tabs>
          <w:tab w:val="left" w:pos="720"/>
        </w:tabs>
        <w:spacing w:after="0" w:line="240" w:lineRule="auto"/>
        <w:jc w:val="both"/>
        <w:rPr>
          <w:rFonts w:ascii="Times New Roman" w:eastAsia="Times New Roman" w:hAnsi="Times New Roman" w:cs="Times New Roman"/>
          <w:noProof/>
          <w:lang w:val="pl-PL"/>
        </w:rPr>
      </w:pPr>
    </w:p>
    <w:p w14:paraId="74FDEA1A" w14:textId="77777777" w:rsidR="007447A1" w:rsidRPr="007447A1"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l-PL"/>
        </w:rPr>
      </w:pPr>
      <w:r w:rsidRPr="007447A1">
        <w:rPr>
          <w:rFonts w:ascii="Times New Roman" w:eastAsia="Times New Roman" w:hAnsi="Times New Roman" w:cs="Times New Roman"/>
          <w:b/>
          <w:noProof/>
          <w:lang w:bidi="lt-LT"/>
        </w:rPr>
        <w:t>16.</w:t>
      </w:r>
      <w:r w:rsidRPr="007447A1">
        <w:rPr>
          <w:rFonts w:ascii="Times New Roman" w:eastAsia="Times New Roman" w:hAnsi="Times New Roman" w:cs="Times New Roman"/>
          <w:b/>
          <w:noProof/>
          <w:lang w:bidi="lt-LT"/>
        </w:rPr>
        <w:tab/>
        <w:t>INFORMACIJA BRAILIO RAŠTU</w:t>
      </w:r>
    </w:p>
    <w:p w14:paraId="4C0AF0CA"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5AC44D46" w14:textId="506562C2" w:rsidR="007447A1" w:rsidRPr="007447A1" w:rsidRDefault="002452FC" w:rsidP="007447A1">
      <w:pPr>
        <w:tabs>
          <w:tab w:val="left" w:pos="720"/>
        </w:tabs>
        <w:spacing w:after="0" w:line="260" w:lineRule="exact"/>
        <w:jc w:val="both"/>
        <w:rPr>
          <w:rFonts w:ascii="Times New Roman" w:eastAsia="Times New Roman" w:hAnsi="Times New Roman" w:cs="Times New Roman"/>
          <w:lang w:val="fr-FR"/>
        </w:rPr>
      </w:pPr>
      <w:r>
        <w:rPr>
          <w:rFonts w:ascii="Times New Roman" w:eastAsia="Times New Roman" w:hAnsi="Times New Roman" w:cs="Times New Roman"/>
          <w:lang w:bidi="lt-LT"/>
        </w:rPr>
        <w:t>Bottiar</w:t>
      </w:r>
      <w:r w:rsidR="007447A1" w:rsidRPr="007447A1">
        <w:rPr>
          <w:rFonts w:ascii="Times New Roman" w:eastAsia="Times New Roman" w:hAnsi="Times New Roman" w:cs="Times New Roman"/>
          <w:lang w:bidi="lt-LT"/>
        </w:rPr>
        <w:t xml:space="preserve"> 5 mg</w:t>
      </w:r>
    </w:p>
    <w:p w14:paraId="37D552BE" w14:textId="1880D753" w:rsidR="007447A1" w:rsidRPr="004804D2" w:rsidRDefault="007447A1" w:rsidP="004804D2">
      <w:pPr>
        <w:spacing w:after="0"/>
        <w:rPr>
          <w:rFonts w:ascii="Times New Roman" w:eastAsia="Times New Roman" w:hAnsi="Times New Roman" w:cs="Times New Roman"/>
          <w:lang w:val="fr-FR"/>
        </w:rPr>
      </w:pPr>
    </w:p>
    <w:p w14:paraId="660E96EC" w14:textId="77777777" w:rsidR="007447A1" w:rsidRPr="007447A1" w:rsidRDefault="007447A1" w:rsidP="004804D2">
      <w:pPr>
        <w:tabs>
          <w:tab w:val="left" w:pos="720"/>
        </w:tabs>
        <w:spacing w:after="0" w:line="260" w:lineRule="exact"/>
        <w:jc w:val="both"/>
        <w:rPr>
          <w:rFonts w:ascii="Times New Roman" w:eastAsia="Times New Roman" w:hAnsi="Times New Roman" w:cs="Times New Roman"/>
          <w:lang w:val="fr-FR"/>
        </w:rPr>
      </w:pPr>
    </w:p>
    <w:p w14:paraId="0DD41479" w14:textId="77777777" w:rsidR="007447A1" w:rsidRPr="004B1235" w:rsidRDefault="007447A1" w:rsidP="007447A1">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eastAsia="Times New Roman" w:hAnsi="Times New Roman" w:cs="Times New Roman"/>
          <w:noProof/>
          <w:lang w:val="pl-PL"/>
        </w:rPr>
      </w:pPr>
      <w:r w:rsidRPr="007447A1">
        <w:rPr>
          <w:rFonts w:ascii="Times New Roman" w:eastAsia="Times New Roman" w:hAnsi="Times New Roman" w:cs="Times New Roman"/>
          <w:b/>
          <w:noProof/>
          <w:lang w:bidi="lt-LT"/>
        </w:rPr>
        <w:t>17.</w:t>
      </w:r>
      <w:r w:rsidRPr="007447A1">
        <w:rPr>
          <w:rFonts w:ascii="Times New Roman" w:eastAsia="Times New Roman" w:hAnsi="Times New Roman" w:cs="Times New Roman"/>
          <w:b/>
          <w:noProof/>
          <w:lang w:bidi="lt-LT"/>
        </w:rPr>
        <w:tab/>
        <w:t>UNIKALUS IDENTIFIKATORIUS – 2D BRŪKŠNINIS KODAS</w:t>
      </w:r>
    </w:p>
    <w:p w14:paraId="1C222A72" w14:textId="77777777" w:rsidR="007447A1" w:rsidRPr="004B1235"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65C30BA3"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noProof/>
          <w:lang w:val="pl-PL"/>
        </w:rPr>
      </w:pPr>
      <w:r w:rsidRPr="007447A1">
        <w:rPr>
          <w:rFonts w:ascii="Times New Roman" w:eastAsia="Times New Roman" w:hAnsi="Times New Roman" w:cs="Times New Roman"/>
          <w:highlight w:val="lightGray"/>
          <w:lang w:bidi="lt-LT"/>
        </w:rPr>
        <w:t>2D brūkšninis kodas su unikaliu identifikatoriumi.</w:t>
      </w:r>
    </w:p>
    <w:p w14:paraId="06A25D36" w14:textId="21D1406E" w:rsidR="007447A1" w:rsidRPr="004804D2" w:rsidRDefault="007447A1" w:rsidP="007447A1">
      <w:pPr>
        <w:tabs>
          <w:tab w:val="left" w:pos="720"/>
        </w:tabs>
        <w:spacing w:after="0" w:line="260" w:lineRule="exact"/>
        <w:jc w:val="both"/>
        <w:rPr>
          <w:rFonts w:ascii="Times New Roman" w:eastAsia="Times New Roman" w:hAnsi="Times New Roman" w:cs="Times New Roman"/>
          <w:lang w:val="fr-FR"/>
        </w:rPr>
      </w:pPr>
    </w:p>
    <w:p w14:paraId="73A1750E" w14:textId="77777777" w:rsidR="004804D2" w:rsidRPr="007447A1" w:rsidRDefault="004804D2" w:rsidP="007447A1">
      <w:pPr>
        <w:tabs>
          <w:tab w:val="left" w:pos="720"/>
        </w:tabs>
        <w:spacing w:after="0" w:line="260" w:lineRule="exact"/>
        <w:jc w:val="both"/>
        <w:rPr>
          <w:rFonts w:ascii="Times New Roman" w:eastAsia="Times New Roman" w:hAnsi="Times New Roman" w:cs="Times New Roman"/>
          <w:lang w:val="fr-FR"/>
        </w:rPr>
      </w:pPr>
    </w:p>
    <w:p w14:paraId="1DDE90CC" w14:textId="77777777" w:rsidR="007447A1" w:rsidRPr="007447A1" w:rsidRDefault="007447A1" w:rsidP="00E1529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noProof/>
          <w:lang w:val="pl-PL"/>
        </w:rPr>
      </w:pPr>
      <w:r w:rsidRPr="007447A1">
        <w:rPr>
          <w:rFonts w:ascii="Times New Roman" w:eastAsia="Times New Roman" w:hAnsi="Times New Roman" w:cs="Times New Roman"/>
          <w:b/>
          <w:noProof/>
          <w:lang w:bidi="lt-LT"/>
        </w:rPr>
        <w:t>18.</w:t>
      </w:r>
      <w:r w:rsidRPr="007447A1">
        <w:rPr>
          <w:rFonts w:ascii="Times New Roman" w:eastAsia="Times New Roman" w:hAnsi="Times New Roman" w:cs="Times New Roman"/>
          <w:b/>
          <w:noProof/>
          <w:lang w:bidi="lt-LT"/>
        </w:rPr>
        <w:tab/>
        <w:t>UNIKALUS IDENTIFIKATORIUS – ŽMONĖMS SUPRANTAMI DUOMENYS</w:t>
      </w:r>
    </w:p>
    <w:p w14:paraId="7E65B414" w14:textId="77777777" w:rsidR="007447A1" w:rsidRPr="007447A1" w:rsidRDefault="007447A1" w:rsidP="007447A1">
      <w:pPr>
        <w:tabs>
          <w:tab w:val="left" w:pos="720"/>
        </w:tabs>
        <w:spacing w:after="0" w:line="240" w:lineRule="auto"/>
        <w:jc w:val="both"/>
        <w:rPr>
          <w:rFonts w:ascii="Times New Roman" w:eastAsia="Times New Roman" w:hAnsi="Times New Roman" w:cs="Times New Roman"/>
          <w:noProof/>
          <w:lang w:val="pl-PL"/>
        </w:rPr>
      </w:pPr>
    </w:p>
    <w:p w14:paraId="1EBA5888"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lang w:val="pl-PL"/>
        </w:rPr>
      </w:pPr>
      <w:r w:rsidRPr="007447A1">
        <w:rPr>
          <w:rFonts w:ascii="Times New Roman" w:eastAsia="Times New Roman" w:hAnsi="Times New Roman" w:cs="Times New Roman"/>
          <w:lang w:bidi="lt-LT"/>
        </w:rPr>
        <w:t>PC:</w:t>
      </w:r>
    </w:p>
    <w:p w14:paraId="6DE31738"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SN:</w:t>
      </w:r>
    </w:p>
    <w:p w14:paraId="3BFEB9ED"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lang w:val="en-GB"/>
        </w:rPr>
      </w:pPr>
      <w:r w:rsidRPr="007447A1">
        <w:rPr>
          <w:rFonts w:ascii="Times New Roman" w:eastAsia="Times New Roman" w:hAnsi="Times New Roman" w:cs="Times New Roman"/>
          <w:lang w:bidi="lt-LT"/>
        </w:rPr>
        <w:t>NN:</w:t>
      </w:r>
    </w:p>
    <w:p w14:paraId="362F993B"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noProof/>
          <w:lang w:val="en-US"/>
        </w:rPr>
      </w:pPr>
      <w:r w:rsidRPr="007447A1">
        <w:rPr>
          <w:rFonts w:ascii="Times New Roman" w:eastAsia="Times New Roman" w:hAnsi="Times New Roman" w:cs="Times New Roman"/>
          <w:lang w:bidi="lt-L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04107FA3" w14:textId="77777777" w:rsidTr="000E3151">
        <w:trPr>
          <w:trHeight w:val="785"/>
        </w:trPr>
        <w:tc>
          <w:tcPr>
            <w:tcW w:w="5000" w:type="pct"/>
            <w:tcBorders>
              <w:top w:val="single" w:sz="4" w:space="0" w:color="auto"/>
              <w:left w:val="single" w:sz="4" w:space="0" w:color="auto"/>
              <w:bottom w:val="single" w:sz="4" w:space="0" w:color="auto"/>
              <w:right w:val="single" w:sz="4" w:space="0" w:color="auto"/>
            </w:tcBorders>
          </w:tcPr>
          <w:p w14:paraId="5B1647FF"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lastRenderedPageBreak/>
              <w:t>MINIMALI INFORMACIJA ANT LIZDINIŲ PLOKŠTELIŲ ARBA DVISLUOKSNIŲ JUOSTELIŲ</w:t>
            </w:r>
          </w:p>
          <w:p w14:paraId="00D4DA22"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00C0EB53"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 xml:space="preserve">LIZDINĖ PLOKŠTELĖ </w:t>
            </w:r>
          </w:p>
        </w:tc>
      </w:tr>
    </w:tbl>
    <w:p w14:paraId="07FD3CD6"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191393D1"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5375FC4C" w14:textId="77777777" w:rsidTr="000E3151">
        <w:tc>
          <w:tcPr>
            <w:tcW w:w="5000" w:type="pct"/>
            <w:tcBorders>
              <w:top w:val="single" w:sz="4" w:space="0" w:color="auto"/>
              <w:left w:val="single" w:sz="4" w:space="0" w:color="auto"/>
              <w:bottom w:val="single" w:sz="4" w:space="0" w:color="auto"/>
              <w:right w:val="single" w:sz="4" w:space="0" w:color="auto"/>
            </w:tcBorders>
          </w:tcPr>
          <w:p w14:paraId="1F1A6A8A"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1.</w:t>
            </w:r>
            <w:r w:rsidRPr="007447A1">
              <w:rPr>
                <w:rFonts w:ascii="Times New Roman" w:eastAsia="Times New Roman" w:hAnsi="Times New Roman" w:cs="Times New Roman"/>
                <w:b/>
                <w:noProof/>
                <w:lang w:bidi="lt-LT"/>
              </w:rPr>
              <w:tab/>
              <w:t>VAISTINIO PREPARATO PAVADINIMAS</w:t>
            </w:r>
          </w:p>
        </w:tc>
      </w:tr>
    </w:tbl>
    <w:p w14:paraId="705CCEBA"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3373B94C" w14:textId="5FE8717E" w:rsidR="007447A1" w:rsidRPr="007447A1" w:rsidRDefault="002452FC" w:rsidP="007447A1">
      <w:pPr>
        <w:tabs>
          <w:tab w:val="left" w:pos="567"/>
        </w:tabs>
        <w:spacing w:after="0" w:line="260" w:lineRule="exact"/>
        <w:jc w:val="both"/>
        <w:rPr>
          <w:rFonts w:ascii="Times New Roman" w:eastAsia="Times New Roman" w:hAnsi="Times New Roman" w:cs="Times New Roman"/>
          <w:lang w:val="fr-FR"/>
        </w:rPr>
      </w:pPr>
      <w:r>
        <w:rPr>
          <w:rFonts w:ascii="Times New Roman" w:eastAsia="Times New Roman" w:hAnsi="Times New Roman" w:cs="Times New Roman"/>
          <w:lang w:bidi="lt-LT"/>
        </w:rPr>
        <w:t>Bottiar</w:t>
      </w:r>
      <w:r w:rsidR="007447A1" w:rsidRPr="007447A1">
        <w:rPr>
          <w:rFonts w:ascii="Times New Roman" w:eastAsia="Times New Roman" w:hAnsi="Times New Roman" w:cs="Times New Roman"/>
          <w:lang w:bidi="lt-LT"/>
        </w:rPr>
        <w:t xml:space="preserve"> 5</w:t>
      </w:r>
      <w:r w:rsidR="000961AF">
        <w:rPr>
          <w:rFonts w:ascii="Times New Roman" w:eastAsia="Times New Roman" w:hAnsi="Times New Roman" w:cs="Times New Roman"/>
          <w:lang w:bidi="lt-LT"/>
        </w:rPr>
        <w:t> </w:t>
      </w:r>
      <w:r w:rsidR="007447A1" w:rsidRPr="007447A1">
        <w:rPr>
          <w:rFonts w:ascii="Times New Roman" w:eastAsia="Times New Roman" w:hAnsi="Times New Roman" w:cs="Times New Roman"/>
          <w:lang w:bidi="lt-LT"/>
        </w:rPr>
        <w:t>mg plėvele dengtos tabletės</w:t>
      </w:r>
    </w:p>
    <w:p w14:paraId="799858AB"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lang w:val="fr-FR"/>
        </w:rPr>
      </w:pPr>
      <w:r w:rsidRPr="007447A1">
        <w:rPr>
          <w:rFonts w:ascii="Times New Roman" w:eastAsia="Times New Roman" w:hAnsi="Times New Roman" w:cs="Times New Roman"/>
          <w:lang w:bidi="lt-LT"/>
        </w:rPr>
        <w:t>linagliptinas</w:t>
      </w:r>
    </w:p>
    <w:p w14:paraId="648EA3EF" w14:textId="141483AA" w:rsidR="007447A1" w:rsidRPr="004804D2" w:rsidRDefault="007447A1" w:rsidP="007447A1">
      <w:pPr>
        <w:tabs>
          <w:tab w:val="left" w:pos="567"/>
        </w:tabs>
        <w:spacing w:after="0" w:line="260" w:lineRule="exact"/>
        <w:jc w:val="both"/>
        <w:rPr>
          <w:rFonts w:ascii="Times New Roman" w:eastAsia="Times New Roman" w:hAnsi="Times New Roman" w:cs="Times New Roman"/>
          <w:b/>
          <w:noProof/>
          <w:highlight w:val="yellow"/>
          <w:lang w:val="en-GB"/>
        </w:rPr>
      </w:pPr>
    </w:p>
    <w:p w14:paraId="720BC1AF" w14:textId="77777777" w:rsidR="004804D2" w:rsidRPr="007447A1" w:rsidRDefault="004804D2" w:rsidP="007447A1">
      <w:pPr>
        <w:tabs>
          <w:tab w:val="left" w:pos="567"/>
        </w:tabs>
        <w:spacing w:after="0" w:line="260" w:lineRule="exact"/>
        <w:jc w:val="both"/>
        <w:rPr>
          <w:rFonts w:ascii="Times New Roman" w:eastAsia="Times New Roman" w:hAnsi="Times New Roman" w:cs="Times New Roman"/>
          <w:b/>
          <w:noProof/>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19D449D7" w14:textId="77777777" w:rsidTr="000E3151">
        <w:tc>
          <w:tcPr>
            <w:tcW w:w="5000" w:type="pct"/>
            <w:tcBorders>
              <w:top w:val="single" w:sz="4" w:space="0" w:color="auto"/>
              <w:left w:val="single" w:sz="4" w:space="0" w:color="auto"/>
              <w:bottom w:val="single" w:sz="4" w:space="0" w:color="auto"/>
              <w:right w:val="single" w:sz="4" w:space="0" w:color="auto"/>
            </w:tcBorders>
          </w:tcPr>
          <w:p w14:paraId="4F3405EE"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2.</w:t>
            </w:r>
            <w:r w:rsidRPr="007447A1">
              <w:rPr>
                <w:rFonts w:ascii="Times New Roman" w:eastAsia="Times New Roman" w:hAnsi="Times New Roman" w:cs="Times New Roman"/>
                <w:b/>
                <w:noProof/>
                <w:lang w:bidi="lt-LT"/>
              </w:rPr>
              <w:tab/>
              <w:t>REGISTRUOTOJO PAVADINIMAS</w:t>
            </w:r>
          </w:p>
        </w:tc>
      </w:tr>
    </w:tbl>
    <w:p w14:paraId="00217070"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44C9F490" w14:textId="77777777" w:rsidR="00E1529B" w:rsidRPr="00487D3F" w:rsidRDefault="00E1529B" w:rsidP="00E1529B">
      <w:pPr>
        <w:tabs>
          <w:tab w:val="left" w:pos="567"/>
        </w:tabs>
        <w:spacing w:after="0" w:line="260" w:lineRule="exact"/>
        <w:rPr>
          <w:rFonts w:ascii="Times New Roman" w:hAnsi="Times New Roman" w:cs="Times New Roman"/>
          <w:snapToGrid w:val="0"/>
        </w:rPr>
      </w:pPr>
      <w:proofErr w:type="spellStart"/>
      <w:r w:rsidRPr="00487D3F">
        <w:rPr>
          <w:rFonts w:ascii="Times New Roman" w:hAnsi="Times New Roman" w:cs="Times New Roman"/>
          <w:snapToGrid w:val="0"/>
        </w:rPr>
        <w:t>Genepharm</w:t>
      </w:r>
      <w:proofErr w:type="spellEnd"/>
      <w:r w:rsidRPr="00487D3F">
        <w:rPr>
          <w:rFonts w:ascii="Times New Roman" w:hAnsi="Times New Roman" w:cs="Times New Roman"/>
          <w:snapToGrid w:val="0"/>
        </w:rPr>
        <w:t xml:space="preserve"> S.A.</w:t>
      </w:r>
    </w:p>
    <w:p w14:paraId="4AE97878" w14:textId="77777777" w:rsidR="00487D3F" w:rsidRPr="00487D3F" w:rsidRDefault="00487D3F" w:rsidP="00E1529B">
      <w:pPr>
        <w:tabs>
          <w:tab w:val="left" w:pos="567"/>
        </w:tabs>
        <w:spacing w:after="0" w:line="260" w:lineRule="exact"/>
        <w:rPr>
          <w:rFonts w:ascii="Times New Roman" w:hAnsi="Times New Roman" w:cs="Times New Roman"/>
          <w:snapToGrid w:val="0"/>
        </w:rPr>
      </w:pPr>
    </w:p>
    <w:p w14:paraId="005BDBB4" w14:textId="77777777" w:rsidR="004804D2" w:rsidRPr="00487D3F" w:rsidRDefault="004804D2" w:rsidP="007447A1">
      <w:pPr>
        <w:tabs>
          <w:tab w:val="left" w:pos="567"/>
        </w:tabs>
        <w:spacing w:after="0" w:line="260" w:lineRule="exact"/>
        <w:jc w:val="both"/>
        <w:rPr>
          <w:rFonts w:ascii="Times New Roman" w:eastAsia="Times New Roman" w:hAnsi="Times New Roman" w:cs="Times New Roman"/>
          <w:b/>
          <w:noProo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79F363C5" w14:textId="77777777" w:rsidTr="000E3151">
        <w:tc>
          <w:tcPr>
            <w:tcW w:w="5000" w:type="pct"/>
            <w:tcBorders>
              <w:top w:val="single" w:sz="4" w:space="0" w:color="auto"/>
              <w:left w:val="single" w:sz="4" w:space="0" w:color="auto"/>
              <w:bottom w:val="single" w:sz="4" w:space="0" w:color="auto"/>
              <w:right w:val="single" w:sz="4" w:space="0" w:color="auto"/>
            </w:tcBorders>
          </w:tcPr>
          <w:p w14:paraId="36FF447E"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3.</w:t>
            </w:r>
            <w:r w:rsidRPr="007447A1">
              <w:rPr>
                <w:rFonts w:ascii="Times New Roman" w:eastAsia="Times New Roman" w:hAnsi="Times New Roman" w:cs="Times New Roman"/>
                <w:b/>
                <w:noProof/>
                <w:lang w:bidi="lt-LT"/>
              </w:rPr>
              <w:tab/>
              <w:t>TINKAMUMO LAIKAS</w:t>
            </w:r>
          </w:p>
        </w:tc>
      </w:tr>
    </w:tbl>
    <w:p w14:paraId="09478025"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170BBD6C" w14:textId="5627AFD6" w:rsidR="007447A1" w:rsidRPr="007447A1" w:rsidRDefault="007447A1" w:rsidP="007447A1">
      <w:pPr>
        <w:tabs>
          <w:tab w:val="left" w:pos="567"/>
        </w:tabs>
        <w:spacing w:after="0" w:line="260" w:lineRule="exact"/>
        <w:jc w:val="both"/>
        <w:rPr>
          <w:rFonts w:ascii="Times New Roman" w:eastAsia="Times New Roman" w:hAnsi="Times New Roman" w:cs="Times New Roman"/>
          <w:noProof/>
          <w:lang w:val="en-GB"/>
        </w:rPr>
      </w:pPr>
      <w:r w:rsidRPr="007447A1">
        <w:rPr>
          <w:rFonts w:ascii="Times New Roman" w:eastAsia="Times New Roman" w:hAnsi="Times New Roman" w:cs="Times New Roman"/>
          <w:noProof/>
          <w:lang w:bidi="lt-LT"/>
        </w:rPr>
        <w:t>EXP</w:t>
      </w:r>
      <w:r w:rsidR="00706810">
        <w:rPr>
          <w:rFonts w:ascii="Times New Roman" w:eastAsia="Times New Roman" w:hAnsi="Times New Roman" w:cs="Times New Roman"/>
          <w:noProof/>
          <w:lang w:bidi="lt-LT"/>
        </w:rPr>
        <w:t xml:space="preserve">: </w:t>
      </w:r>
      <w:r w:rsidR="005D0E5A">
        <w:rPr>
          <w:rFonts w:ascii="Times New Roman" w:eastAsia="Times New Roman" w:hAnsi="Times New Roman" w:cs="Times New Roman"/>
          <w:noProof/>
          <w:lang w:bidi="lt-LT"/>
        </w:rPr>
        <w:t>mm</w:t>
      </w:r>
      <w:r w:rsidR="00706810">
        <w:rPr>
          <w:rFonts w:ascii="Times New Roman" w:eastAsia="Times New Roman" w:hAnsi="Times New Roman" w:cs="Times New Roman"/>
          <w:noProof/>
          <w:lang w:bidi="lt-LT"/>
        </w:rPr>
        <w:t>/</w:t>
      </w:r>
      <w:r w:rsidR="005D0E5A">
        <w:rPr>
          <w:rFonts w:ascii="Times New Roman" w:eastAsia="Times New Roman" w:hAnsi="Times New Roman" w:cs="Times New Roman"/>
          <w:noProof/>
          <w:lang w:bidi="lt-LT"/>
        </w:rPr>
        <w:t>MMMM</w:t>
      </w:r>
    </w:p>
    <w:p w14:paraId="386E91A1" w14:textId="5F0849E0" w:rsidR="007447A1" w:rsidRPr="004804D2"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5C070D23" w14:textId="77777777" w:rsidR="004804D2" w:rsidRPr="007447A1" w:rsidRDefault="004804D2" w:rsidP="007447A1">
      <w:pPr>
        <w:tabs>
          <w:tab w:val="left" w:pos="567"/>
        </w:tabs>
        <w:spacing w:after="0" w:line="260" w:lineRule="exact"/>
        <w:jc w:val="both"/>
        <w:rPr>
          <w:rFonts w:ascii="Times New Roman" w:eastAsia="Times New Roman" w:hAnsi="Times New Roman" w:cs="Times New Roman"/>
          <w:b/>
          <w:noProo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144A4A23" w14:textId="77777777" w:rsidTr="000E3151">
        <w:tc>
          <w:tcPr>
            <w:tcW w:w="5000" w:type="pct"/>
            <w:tcBorders>
              <w:top w:val="single" w:sz="4" w:space="0" w:color="auto"/>
              <w:left w:val="single" w:sz="4" w:space="0" w:color="auto"/>
              <w:bottom w:val="single" w:sz="4" w:space="0" w:color="auto"/>
              <w:right w:val="single" w:sz="4" w:space="0" w:color="auto"/>
            </w:tcBorders>
          </w:tcPr>
          <w:p w14:paraId="04D5AC94"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4.</w:t>
            </w:r>
            <w:r w:rsidRPr="007447A1">
              <w:rPr>
                <w:rFonts w:ascii="Times New Roman" w:eastAsia="Times New Roman" w:hAnsi="Times New Roman" w:cs="Times New Roman"/>
                <w:b/>
                <w:noProof/>
                <w:lang w:bidi="lt-LT"/>
              </w:rPr>
              <w:tab/>
              <w:t>SERIJOS NUMERIS</w:t>
            </w:r>
          </w:p>
        </w:tc>
      </w:tr>
    </w:tbl>
    <w:p w14:paraId="010AE62D"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1A2D0E70"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noProof/>
          <w:lang w:val="en-GB"/>
        </w:rPr>
      </w:pPr>
      <w:r w:rsidRPr="007447A1">
        <w:rPr>
          <w:rFonts w:ascii="Times New Roman" w:eastAsia="Times New Roman" w:hAnsi="Times New Roman" w:cs="Times New Roman"/>
          <w:noProof/>
          <w:lang w:bidi="lt-LT"/>
        </w:rPr>
        <w:t>Lot</w:t>
      </w:r>
    </w:p>
    <w:p w14:paraId="4D8F9A1B" w14:textId="158FDC1F" w:rsidR="007447A1" w:rsidRPr="004804D2"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4AFC5406" w14:textId="77777777" w:rsidR="004804D2" w:rsidRPr="007447A1" w:rsidRDefault="004804D2" w:rsidP="007447A1">
      <w:pPr>
        <w:tabs>
          <w:tab w:val="left" w:pos="567"/>
        </w:tabs>
        <w:spacing w:after="0" w:line="260" w:lineRule="exact"/>
        <w:jc w:val="both"/>
        <w:rPr>
          <w:rFonts w:ascii="Times New Roman" w:eastAsia="Times New Roman" w:hAnsi="Times New Roman" w:cs="Times New Roman"/>
          <w:b/>
          <w:noProo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447A1" w:rsidRPr="007447A1" w14:paraId="44AE665F" w14:textId="77777777" w:rsidTr="000E3151">
        <w:tc>
          <w:tcPr>
            <w:tcW w:w="5000" w:type="pct"/>
            <w:tcBorders>
              <w:top w:val="single" w:sz="4" w:space="0" w:color="auto"/>
              <w:left w:val="single" w:sz="4" w:space="0" w:color="auto"/>
              <w:bottom w:val="single" w:sz="4" w:space="0" w:color="auto"/>
              <w:right w:val="single" w:sz="4" w:space="0" w:color="auto"/>
            </w:tcBorders>
          </w:tcPr>
          <w:p w14:paraId="1917E4BA"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r w:rsidRPr="007447A1">
              <w:rPr>
                <w:rFonts w:ascii="Times New Roman" w:eastAsia="Times New Roman" w:hAnsi="Times New Roman" w:cs="Times New Roman"/>
                <w:b/>
                <w:noProof/>
                <w:lang w:bidi="lt-LT"/>
              </w:rPr>
              <w:t>5.</w:t>
            </w:r>
            <w:r w:rsidRPr="007447A1">
              <w:rPr>
                <w:rFonts w:ascii="Times New Roman" w:eastAsia="Times New Roman" w:hAnsi="Times New Roman" w:cs="Times New Roman"/>
                <w:b/>
                <w:noProof/>
                <w:lang w:bidi="lt-LT"/>
              </w:rPr>
              <w:tab/>
              <w:t>KITA</w:t>
            </w:r>
          </w:p>
        </w:tc>
      </w:tr>
    </w:tbl>
    <w:p w14:paraId="719A2A31" w14:textId="77777777" w:rsidR="007447A1" w:rsidRPr="007447A1" w:rsidRDefault="007447A1" w:rsidP="007447A1">
      <w:pPr>
        <w:tabs>
          <w:tab w:val="left" w:pos="567"/>
        </w:tabs>
        <w:spacing w:after="0" w:line="260" w:lineRule="exact"/>
        <w:jc w:val="both"/>
        <w:rPr>
          <w:rFonts w:ascii="Times New Roman" w:eastAsia="Times New Roman" w:hAnsi="Times New Roman" w:cs="Times New Roman"/>
          <w:b/>
          <w:noProof/>
          <w:lang w:val="en-GB"/>
        </w:rPr>
      </w:pPr>
    </w:p>
    <w:p w14:paraId="42519848" w14:textId="77777777" w:rsidR="007447A1" w:rsidRPr="007447A1" w:rsidRDefault="007447A1" w:rsidP="007447A1">
      <w:pPr>
        <w:tabs>
          <w:tab w:val="left" w:pos="720"/>
        </w:tabs>
        <w:spacing w:after="0" w:line="260" w:lineRule="exact"/>
        <w:jc w:val="both"/>
        <w:rPr>
          <w:rFonts w:ascii="Times New Roman" w:eastAsia="Times New Roman" w:hAnsi="Times New Roman" w:cs="Times New Roman"/>
          <w:noProof/>
          <w:lang w:val="en-GB"/>
        </w:rPr>
      </w:pPr>
    </w:p>
    <w:p w14:paraId="0B8E7DEF" w14:textId="1057D2E4" w:rsidR="004804D2" w:rsidRPr="004804D2" w:rsidRDefault="004804D2">
      <w:pPr>
        <w:rPr>
          <w:rFonts w:ascii="Times New Roman" w:eastAsia="Calibri" w:hAnsi="Times New Roman" w:cs="Times New Roman"/>
          <w:lang w:val="en-US"/>
        </w:rPr>
      </w:pPr>
      <w:r w:rsidRPr="004804D2">
        <w:rPr>
          <w:rFonts w:ascii="Times New Roman" w:eastAsia="Calibri" w:hAnsi="Times New Roman" w:cs="Times New Roman"/>
          <w:lang w:val="en-US"/>
        </w:rPr>
        <w:br w:type="page"/>
      </w:r>
    </w:p>
    <w:p w14:paraId="5F1270B7" w14:textId="77777777" w:rsidR="004804D2" w:rsidRPr="004804D2" w:rsidRDefault="004804D2" w:rsidP="004804D2">
      <w:pPr>
        <w:tabs>
          <w:tab w:val="left" w:pos="567"/>
        </w:tabs>
        <w:spacing w:after="0" w:line="260" w:lineRule="exact"/>
        <w:rPr>
          <w:rFonts w:ascii="Times New Roman" w:hAnsi="Times New Roman" w:cs="Times New Roman"/>
        </w:rPr>
      </w:pPr>
    </w:p>
    <w:p w14:paraId="617AF9B1" w14:textId="77777777" w:rsidR="004804D2" w:rsidRPr="004804D2" w:rsidRDefault="004804D2" w:rsidP="004804D2">
      <w:pPr>
        <w:tabs>
          <w:tab w:val="left" w:pos="567"/>
        </w:tabs>
        <w:spacing w:after="0" w:line="260" w:lineRule="exact"/>
        <w:rPr>
          <w:rFonts w:ascii="Times New Roman" w:hAnsi="Times New Roman" w:cs="Times New Roman"/>
        </w:rPr>
      </w:pPr>
    </w:p>
    <w:p w14:paraId="45C9D3A4" w14:textId="77777777" w:rsidR="004804D2" w:rsidRPr="004804D2" w:rsidRDefault="004804D2" w:rsidP="004804D2">
      <w:pPr>
        <w:tabs>
          <w:tab w:val="left" w:pos="567"/>
        </w:tabs>
        <w:spacing w:after="0" w:line="260" w:lineRule="exact"/>
        <w:rPr>
          <w:rFonts w:ascii="Times New Roman" w:hAnsi="Times New Roman" w:cs="Times New Roman"/>
        </w:rPr>
      </w:pPr>
    </w:p>
    <w:p w14:paraId="6AC91A56" w14:textId="77777777" w:rsidR="004804D2" w:rsidRPr="004804D2" w:rsidRDefault="004804D2" w:rsidP="004804D2">
      <w:pPr>
        <w:tabs>
          <w:tab w:val="left" w:pos="567"/>
        </w:tabs>
        <w:spacing w:after="0" w:line="260" w:lineRule="exact"/>
        <w:rPr>
          <w:rFonts w:ascii="Times New Roman" w:hAnsi="Times New Roman" w:cs="Times New Roman"/>
        </w:rPr>
      </w:pPr>
    </w:p>
    <w:p w14:paraId="40043454" w14:textId="77777777" w:rsidR="004804D2" w:rsidRPr="004804D2" w:rsidRDefault="004804D2" w:rsidP="004804D2">
      <w:pPr>
        <w:tabs>
          <w:tab w:val="left" w:pos="567"/>
        </w:tabs>
        <w:spacing w:after="0" w:line="260" w:lineRule="exact"/>
        <w:rPr>
          <w:rFonts w:ascii="Times New Roman" w:hAnsi="Times New Roman" w:cs="Times New Roman"/>
        </w:rPr>
      </w:pPr>
    </w:p>
    <w:p w14:paraId="7C584152" w14:textId="77777777" w:rsidR="004804D2" w:rsidRPr="004804D2" w:rsidRDefault="004804D2" w:rsidP="004804D2">
      <w:pPr>
        <w:tabs>
          <w:tab w:val="left" w:pos="567"/>
        </w:tabs>
        <w:spacing w:after="0" w:line="260" w:lineRule="exact"/>
        <w:rPr>
          <w:rFonts w:ascii="Times New Roman" w:hAnsi="Times New Roman" w:cs="Times New Roman"/>
        </w:rPr>
      </w:pPr>
    </w:p>
    <w:p w14:paraId="60CED994" w14:textId="77777777" w:rsidR="004804D2" w:rsidRPr="004804D2" w:rsidRDefault="004804D2" w:rsidP="004804D2">
      <w:pPr>
        <w:tabs>
          <w:tab w:val="left" w:pos="567"/>
        </w:tabs>
        <w:spacing w:after="0" w:line="260" w:lineRule="exact"/>
        <w:rPr>
          <w:rFonts w:ascii="Times New Roman" w:hAnsi="Times New Roman" w:cs="Times New Roman"/>
        </w:rPr>
      </w:pPr>
    </w:p>
    <w:p w14:paraId="7A7DE717" w14:textId="77777777" w:rsidR="004804D2" w:rsidRPr="004804D2" w:rsidRDefault="004804D2" w:rsidP="004804D2">
      <w:pPr>
        <w:tabs>
          <w:tab w:val="left" w:pos="567"/>
        </w:tabs>
        <w:spacing w:after="0" w:line="260" w:lineRule="exact"/>
        <w:rPr>
          <w:rFonts w:ascii="Times New Roman" w:hAnsi="Times New Roman" w:cs="Times New Roman"/>
        </w:rPr>
      </w:pPr>
    </w:p>
    <w:p w14:paraId="4B1765E0" w14:textId="77777777" w:rsidR="004804D2" w:rsidRPr="004804D2" w:rsidRDefault="004804D2" w:rsidP="004804D2">
      <w:pPr>
        <w:tabs>
          <w:tab w:val="left" w:pos="567"/>
        </w:tabs>
        <w:spacing w:after="0" w:line="260" w:lineRule="exact"/>
        <w:rPr>
          <w:rFonts w:ascii="Times New Roman" w:hAnsi="Times New Roman" w:cs="Times New Roman"/>
        </w:rPr>
      </w:pPr>
    </w:p>
    <w:p w14:paraId="5BAC1A6A" w14:textId="77777777" w:rsidR="004804D2" w:rsidRPr="004804D2" w:rsidRDefault="004804D2" w:rsidP="004804D2">
      <w:pPr>
        <w:tabs>
          <w:tab w:val="left" w:pos="567"/>
        </w:tabs>
        <w:spacing w:after="0" w:line="260" w:lineRule="exact"/>
        <w:rPr>
          <w:rFonts w:ascii="Times New Roman" w:hAnsi="Times New Roman" w:cs="Times New Roman"/>
        </w:rPr>
      </w:pPr>
    </w:p>
    <w:p w14:paraId="747E3EC1" w14:textId="77777777" w:rsidR="004804D2" w:rsidRPr="004804D2" w:rsidRDefault="004804D2" w:rsidP="004804D2">
      <w:pPr>
        <w:tabs>
          <w:tab w:val="left" w:pos="567"/>
        </w:tabs>
        <w:spacing w:after="0" w:line="260" w:lineRule="exact"/>
        <w:rPr>
          <w:rFonts w:ascii="Times New Roman" w:hAnsi="Times New Roman" w:cs="Times New Roman"/>
        </w:rPr>
      </w:pPr>
    </w:p>
    <w:p w14:paraId="2A3A61AF" w14:textId="77777777" w:rsidR="004804D2" w:rsidRPr="004804D2" w:rsidRDefault="004804D2" w:rsidP="004804D2">
      <w:pPr>
        <w:tabs>
          <w:tab w:val="left" w:pos="567"/>
        </w:tabs>
        <w:spacing w:after="0" w:line="260" w:lineRule="exact"/>
        <w:rPr>
          <w:rFonts w:ascii="Times New Roman" w:hAnsi="Times New Roman" w:cs="Times New Roman"/>
        </w:rPr>
      </w:pPr>
    </w:p>
    <w:p w14:paraId="1CC23BE3" w14:textId="77777777" w:rsidR="004804D2" w:rsidRPr="004804D2" w:rsidRDefault="004804D2" w:rsidP="004804D2">
      <w:pPr>
        <w:tabs>
          <w:tab w:val="left" w:pos="567"/>
        </w:tabs>
        <w:spacing w:after="0" w:line="260" w:lineRule="exact"/>
        <w:rPr>
          <w:rFonts w:ascii="Times New Roman" w:hAnsi="Times New Roman" w:cs="Times New Roman"/>
        </w:rPr>
      </w:pPr>
    </w:p>
    <w:p w14:paraId="6280279D" w14:textId="77777777" w:rsidR="004804D2" w:rsidRPr="004804D2" w:rsidRDefault="004804D2" w:rsidP="004804D2">
      <w:pPr>
        <w:tabs>
          <w:tab w:val="left" w:pos="567"/>
        </w:tabs>
        <w:spacing w:after="0" w:line="260" w:lineRule="exact"/>
        <w:rPr>
          <w:rFonts w:ascii="Times New Roman" w:hAnsi="Times New Roman" w:cs="Times New Roman"/>
        </w:rPr>
      </w:pPr>
    </w:p>
    <w:p w14:paraId="697C9C0E" w14:textId="77777777" w:rsidR="004804D2" w:rsidRPr="004804D2" w:rsidRDefault="004804D2" w:rsidP="004804D2">
      <w:pPr>
        <w:tabs>
          <w:tab w:val="left" w:pos="567"/>
        </w:tabs>
        <w:spacing w:after="0" w:line="260" w:lineRule="exact"/>
        <w:rPr>
          <w:rFonts w:ascii="Times New Roman" w:hAnsi="Times New Roman" w:cs="Times New Roman"/>
        </w:rPr>
      </w:pPr>
    </w:p>
    <w:p w14:paraId="6C7BC61C" w14:textId="77777777" w:rsidR="004804D2" w:rsidRPr="004804D2" w:rsidRDefault="004804D2" w:rsidP="004804D2">
      <w:pPr>
        <w:tabs>
          <w:tab w:val="left" w:pos="567"/>
        </w:tabs>
        <w:spacing w:after="0" w:line="260" w:lineRule="exact"/>
        <w:rPr>
          <w:rFonts w:ascii="Times New Roman" w:hAnsi="Times New Roman" w:cs="Times New Roman"/>
        </w:rPr>
      </w:pPr>
    </w:p>
    <w:p w14:paraId="636C1821" w14:textId="77777777" w:rsidR="004804D2" w:rsidRPr="004804D2" w:rsidRDefault="004804D2" w:rsidP="004804D2">
      <w:pPr>
        <w:tabs>
          <w:tab w:val="left" w:pos="567"/>
        </w:tabs>
        <w:spacing w:after="0" w:line="260" w:lineRule="exact"/>
        <w:rPr>
          <w:rFonts w:ascii="Times New Roman" w:hAnsi="Times New Roman" w:cs="Times New Roman"/>
        </w:rPr>
      </w:pPr>
    </w:p>
    <w:p w14:paraId="44E6A2D9" w14:textId="77777777" w:rsidR="004804D2" w:rsidRPr="004804D2" w:rsidRDefault="004804D2" w:rsidP="004804D2">
      <w:pPr>
        <w:tabs>
          <w:tab w:val="left" w:pos="567"/>
        </w:tabs>
        <w:spacing w:after="0" w:line="260" w:lineRule="exact"/>
        <w:rPr>
          <w:rFonts w:ascii="Times New Roman" w:hAnsi="Times New Roman" w:cs="Times New Roman"/>
        </w:rPr>
      </w:pPr>
    </w:p>
    <w:p w14:paraId="5F023825" w14:textId="77777777" w:rsidR="004804D2" w:rsidRPr="004804D2" w:rsidRDefault="004804D2" w:rsidP="004804D2">
      <w:pPr>
        <w:tabs>
          <w:tab w:val="left" w:pos="567"/>
        </w:tabs>
        <w:spacing w:after="0" w:line="260" w:lineRule="exact"/>
        <w:rPr>
          <w:rFonts w:ascii="Times New Roman" w:hAnsi="Times New Roman" w:cs="Times New Roman"/>
        </w:rPr>
      </w:pPr>
    </w:p>
    <w:p w14:paraId="7330D10F" w14:textId="77777777" w:rsidR="004804D2" w:rsidRPr="004804D2" w:rsidRDefault="004804D2" w:rsidP="004804D2">
      <w:pPr>
        <w:tabs>
          <w:tab w:val="left" w:pos="567"/>
        </w:tabs>
        <w:spacing w:after="0" w:line="260" w:lineRule="exact"/>
        <w:rPr>
          <w:rFonts w:ascii="Times New Roman" w:hAnsi="Times New Roman" w:cs="Times New Roman"/>
        </w:rPr>
      </w:pPr>
    </w:p>
    <w:p w14:paraId="32D122B0" w14:textId="77777777" w:rsidR="004804D2" w:rsidRPr="004804D2" w:rsidRDefault="004804D2" w:rsidP="004804D2">
      <w:pPr>
        <w:tabs>
          <w:tab w:val="left" w:pos="567"/>
        </w:tabs>
        <w:spacing w:after="0" w:line="260" w:lineRule="exact"/>
        <w:rPr>
          <w:rFonts w:ascii="Times New Roman" w:hAnsi="Times New Roman" w:cs="Times New Roman"/>
        </w:rPr>
      </w:pPr>
    </w:p>
    <w:p w14:paraId="1C2C85B1" w14:textId="77777777" w:rsidR="004804D2" w:rsidRDefault="004804D2" w:rsidP="004804D2">
      <w:pPr>
        <w:tabs>
          <w:tab w:val="left" w:pos="567"/>
        </w:tabs>
        <w:spacing w:after="0" w:line="260" w:lineRule="exact"/>
        <w:rPr>
          <w:rFonts w:ascii="Times New Roman" w:hAnsi="Times New Roman" w:cs="Times New Roman"/>
        </w:rPr>
      </w:pPr>
    </w:p>
    <w:p w14:paraId="1A9F4624" w14:textId="77777777" w:rsidR="000961AF" w:rsidRPr="004804D2" w:rsidRDefault="000961AF" w:rsidP="004804D2">
      <w:pPr>
        <w:tabs>
          <w:tab w:val="left" w:pos="567"/>
        </w:tabs>
        <w:spacing w:after="0" w:line="260" w:lineRule="exact"/>
        <w:rPr>
          <w:rFonts w:ascii="Times New Roman" w:hAnsi="Times New Roman" w:cs="Times New Roman"/>
        </w:rPr>
      </w:pPr>
    </w:p>
    <w:p w14:paraId="7311A346" w14:textId="77777777" w:rsidR="004804D2" w:rsidRPr="004804D2" w:rsidRDefault="004804D2" w:rsidP="004804D2">
      <w:pPr>
        <w:tabs>
          <w:tab w:val="left" w:pos="567"/>
        </w:tabs>
        <w:spacing w:after="0" w:line="260" w:lineRule="exact"/>
        <w:jc w:val="center"/>
        <w:rPr>
          <w:rFonts w:ascii="Times New Roman" w:hAnsi="Times New Roman" w:cs="Times New Roman"/>
          <w:b/>
        </w:rPr>
      </w:pPr>
      <w:r w:rsidRPr="004804D2">
        <w:rPr>
          <w:rFonts w:ascii="Times New Roman" w:hAnsi="Times New Roman" w:cs="Times New Roman"/>
          <w:b/>
        </w:rPr>
        <w:t>B. PAKUOTĖS LAPELIS</w:t>
      </w:r>
    </w:p>
    <w:p w14:paraId="49B49266" w14:textId="77777777" w:rsidR="004804D2" w:rsidRPr="004804D2" w:rsidRDefault="004804D2" w:rsidP="004804D2">
      <w:pPr>
        <w:spacing w:before="65" w:after="0" w:line="240" w:lineRule="auto"/>
        <w:ind w:right="45"/>
        <w:jc w:val="center"/>
        <w:rPr>
          <w:rFonts w:ascii="Times New Roman" w:hAnsi="Times New Roman" w:cs="Times New Roman"/>
          <w:b/>
          <w:bCs/>
          <w:lang w:val="en-US"/>
        </w:rPr>
      </w:pPr>
      <w:r w:rsidRPr="004804D2">
        <w:rPr>
          <w:rFonts w:ascii="Times New Roman" w:hAnsi="Times New Roman" w:cs="Times New Roman"/>
          <w:b/>
          <w:bCs/>
          <w:iCs/>
          <w:lang w:eastAsia="x-none"/>
        </w:rPr>
        <w:br w:type="page"/>
      </w:r>
      <w:r w:rsidRPr="004804D2">
        <w:rPr>
          <w:rFonts w:ascii="Times New Roman" w:hAnsi="Times New Roman" w:cs="Times New Roman"/>
          <w:b/>
          <w:lang w:bidi="lt-LT"/>
        </w:rPr>
        <w:lastRenderedPageBreak/>
        <w:t>Pakuotės lapelis: informacija vartotojui</w:t>
      </w:r>
    </w:p>
    <w:p w14:paraId="2F613523" w14:textId="77777777" w:rsidR="004804D2" w:rsidRPr="004804D2" w:rsidRDefault="004804D2" w:rsidP="004804D2">
      <w:pPr>
        <w:spacing w:after="0" w:line="240" w:lineRule="auto"/>
        <w:jc w:val="center"/>
        <w:rPr>
          <w:rFonts w:ascii="Times New Roman" w:hAnsi="Times New Roman" w:cs="Times New Roman"/>
          <w:lang w:val="en-US"/>
        </w:rPr>
      </w:pPr>
    </w:p>
    <w:p w14:paraId="3F4050A3" w14:textId="37BF1DD7" w:rsidR="004804D2" w:rsidRPr="004804D2" w:rsidRDefault="004804D2" w:rsidP="004804D2">
      <w:pPr>
        <w:tabs>
          <w:tab w:val="center" w:pos="4130"/>
          <w:tab w:val="right" w:pos="8261"/>
        </w:tabs>
        <w:spacing w:after="0" w:line="240" w:lineRule="auto"/>
        <w:ind w:right="45"/>
        <w:rPr>
          <w:rFonts w:ascii="Times New Roman" w:hAnsi="Times New Roman" w:cs="Times New Roman"/>
          <w:b/>
          <w:bCs/>
          <w:lang w:val="en-US"/>
        </w:rPr>
      </w:pPr>
      <w:r w:rsidRPr="004804D2">
        <w:rPr>
          <w:rFonts w:ascii="Times New Roman" w:hAnsi="Times New Roman" w:cs="Times New Roman"/>
          <w:b/>
          <w:lang w:bidi="lt-LT"/>
        </w:rPr>
        <w:tab/>
      </w:r>
      <w:r w:rsidR="002452FC">
        <w:rPr>
          <w:rFonts w:ascii="Times New Roman" w:hAnsi="Times New Roman" w:cs="Times New Roman"/>
          <w:b/>
          <w:lang w:bidi="lt-LT"/>
        </w:rPr>
        <w:t>Bottiar</w:t>
      </w:r>
      <w:r w:rsidRPr="004804D2">
        <w:rPr>
          <w:rFonts w:ascii="Times New Roman" w:hAnsi="Times New Roman" w:cs="Times New Roman"/>
          <w:b/>
          <w:lang w:bidi="lt-LT"/>
        </w:rPr>
        <w:t xml:space="preserve"> 5</w:t>
      </w:r>
      <w:r w:rsidR="00282DBB">
        <w:rPr>
          <w:rFonts w:ascii="Times New Roman" w:hAnsi="Times New Roman" w:cs="Times New Roman"/>
          <w:b/>
          <w:lang w:bidi="lt-LT"/>
        </w:rPr>
        <w:t> </w:t>
      </w:r>
      <w:r w:rsidRPr="004804D2">
        <w:rPr>
          <w:rFonts w:ascii="Times New Roman" w:hAnsi="Times New Roman" w:cs="Times New Roman"/>
          <w:b/>
          <w:lang w:bidi="lt-LT"/>
        </w:rPr>
        <w:t>mg plėvele dengtos tabletės</w:t>
      </w:r>
      <w:r w:rsidRPr="004804D2">
        <w:rPr>
          <w:rFonts w:ascii="Times New Roman" w:hAnsi="Times New Roman" w:cs="Times New Roman"/>
          <w:b/>
          <w:lang w:bidi="lt-LT"/>
        </w:rPr>
        <w:tab/>
      </w:r>
    </w:p>
    <w:p w14:paraId="21625DA6" w14:textId="77777777" w:rsidR="004804D2" w:rsidRPr="004804D2" w:rsidRDefault="004804D2" w:rsidP="004804D2">
      <w:pPr>
        <w:spacing w:after="0" w:line="240" w:lineRule="auto"/>
        <w:ind w:right="45"/>
        <w:jc w:val="center"/>
        <w:rPr>
          <w:rFonts w:ascii="Times New Roman" w:hAnsi="Times New Roman" w:cs="Times New Roman"/>
          <w:lang w:val="en-US"/>
        </w:rPr>
      </w:pPr>
      <w:r w:rsidRPr="004804D2">
        <w:rPr>
          <w:rFonts w:ascii="Times New Roman" w:hAnsi="Times New Roman" w:cs="Times New Roman"/>
          <w:lang w:bidi="lt-LT"/>
        </w:rPr>
        <w:t>linagliptinas</w:t>
      </w:r>
    </w:p>
    <w:p w14:paraId="55AF7A60" w14:textId="77777777" w:rsidR="004804D2" w:rsidRPr="004804D2" w:rsidRDefault="004804D2" w:rsidP="004804D2">
      <w:pPr>
        <w:spacing w:after="0" w:line="240" w:lineRule="auto"/>
        <w:jc w:val="both"/>
        <w:rPr>
          <w:rFonts w:ascii="Times New Roman" w:hAnsi="Times New Roman" w:cs="Times New Roman"/>
          <w:lang w:val="en-US"/>
        </w:rPr>
      </w:pPr>
    </w:p>
    <w:p w14:paraId="47F6A33F" w14:textId="77777777" w:rsidR="004804D2" w:rsidRPr="004804D2" w:rsidRDefault="004804D2" w:rsidP="004804D2">
      <w:pPr>
        <w:keepNext/>
        <w:keepLines/>
        <w:spacing w:before="1" w:after="0"/>
        <w:ind w:right="45"/>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Atidžiai perskaitykite visą šį lapelį, prieš pradėdami vartoti vaistą, nes jame pateikiama Jums svarbi informacija. </w:t>
      </w:r>
    </w:p>
    <w:p w14:paraId="5BE170B7" w14:textId="77777777" w:rsidR="004804D2" w:rsidRPr="004B1235" w:rsidRDefault="004804D2" w:rsidP="004804D2">
      <w:pPr>
        <w:numPr>
          <w:ilvl w:val="0"/>
          <w:numId w:val="6"/>
        </w:numPr>
        <w:contextualSpacing/>
        <w:rPr>
          <w:rFonts w:ascii="Times New Roman" w:hAnsi="Times New Roman" w:cs="Times New Roman"/>
          <w:lang w:val="it-CH"/>
        </w:rPr>
      </w:pPr>
      <w:r w:rsidRPr="004804D2">
        <w:rPr>
          <w:rFonts w:ascii="Times New Roman" w:hAnsi="Times New Roman" w:cs="Times New Roman"/>
          <w:lang w:bidi="lt-LT"/>
        </w:rPr>
        <w:t>Neišmeskite šio lapelio, nes vėl gali prireikti jį perskaityti.</w:t>
      </w:r>
    </w:p>
    <w:p w14:paraId="72AE0B99" w14:textId="39E880DF" w:rsidR="004804D2" w:rsidRPr="004B1235" w:rsidRDefault="004804D2" w:rsidP="004804D2">
      <w:pPr>
        <w:numPr>
          <w:ilvl w:val="0"/>
          <w:numId w:val="6"/>
        </w:numPr>
        <w:contextualSpacing/>
        <w:rPr>
          <w:rFonts w:ascii="Times New Roman" w:hAnsi="Times New Roman" w:cs="Times New Roman"/>
          <w:lang w:val="it-CH"/>
        </w:rPr>
      </w:pPr>
      <w:r w:rsidRPr="004804D2">
        <w:rPr>
          <w:rFonts w:ascii="Times New Roman" w:hAnsi="Times New Roman" w:cs="Times New Roman"/>
          <w:lang w:bidi="lt-LT"/>
        </w:rPr>
        <w:t>Jeigu kiltų daugiau klausimų, kreipkitės į gydytoją, vaistininką arba</w:t>
      </w:r>
      <w:r w:rsidR="00282DBB">
        <w:rPr>
          <w:rFonts w:ascii="Times New Roman" w:hAnsi="Times New Roman" w:cs="Times New Roman"/>
          <w:lang w:bidi="lt-LT"/>
        </w:rPr>
        <w:t xml:space="preserve"> slaugytoją</w:t>
      </w:r>
      <w:r w:rsidRPr="004804D2">
        <w:rPr>
          <w:rFonts w:ascii="Times New Roman" w:hAnsi="Times New Roman" w:cs="Times New Roman"/>
          <w:lang w:bidi="lt-LT"/>
        </w:rPr>
        <w:t>.</w:t>
      </w:r>
    </w:p>
    <w:p w14:paraId="19FFD4BC" w14:textId="77777777" w:rsidR="004804D2" w:rsidRPr="004804D2" w:rsidRDefault="004804D2" w:rsidP="004804D2">
      <w:pPr>
        <w:numPr>
          <w:ilvl w:val="0"/>
          <w:numId w:val="6"/>
        </w:numPr>
        <w:contextualSpacing/>
        <w:rPr>
          <w:rFonts w:ascii="Times New Roman" w:hAnsi="Times New Roman" w:cs="Times New Roman"/>
        </w:rPr>
      </w:pPr>
      <w:r w:rsidRPr="004804D2">
        <w:rPr>
          <w:rFonts w:ascii="Times New Roman" w:hAnsi="Times New Roman" w:cs="Times New Roman"/>
          <w:lang w:bidi="lt-LT"/>
        </w:rPr>
        <w:t>Šis vaistas skirtas tik Jums. Kitiems žmonėms jo duoti negalima. Vaistas gali jiems pakenkti, net jei jų ligos požymiai yra tokie patys kaip Jūsų.</w:t>
      </w:r>
    </w:p>
    <w:p w14:paraId="0690F65C" w14:textId="27A4B498"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 xml:space="preserve">Jeigu pasireiškė šalutinis poveikis, kreipkitės į gydytoją, vaistininką arba </w:t>
      </w:r>
      <w:r w:rsidR="00282DBB">
        <w:rPr>
          <w:rFonts w:ascii="Times New Roman" w:hAnsi="Times New Roman" w:cs="Times New Roman"/>
          <w:lang w:bidi="lt-LT"/>
        </w:rPr>
        <w:t>slaugytoją</w:t>
      </w:r>
      <w:r w:rsidRPr="004804D2">
        <w:rPr>
          <w:rFonts w:ascii="Times New Roman" w:hAnsi="Times New Roman" w:cs="Times New Roman"/>
          <w:lang w:bidi="lt-LT"/>
        </w:rPr>
        <w:t>. Tai apima bet kokį šiame lapelyje nenurodytą galimą šalutinį poveikį. Žr. 4 skyrių.</w:t>
      </w:r>
    </w:p>
    <w:p w14:paraId="0247D488" w14:textId="77777777" w:rsidR="004804D2" w:rsidRPr="004804D2" w:rsidRDefault="004804D2" w:rsidP="004804D2">
      <w:pPr>
        <w:spacing w:after="0" w:line="240" w:lineRule="auto"/>
        <w:jc w:val="both"/>
        <w:rPr>
          <w:rFonts w:ascii="Times New Roman" w:hAnsi="Times New Roman" w:cs="Times New Roman"/>
        </w:rPr>
      </w:pPr>
    </w:p>
    <w:p w14:paraId="18B12639" w14:textId="77777777" w:rsidR="004804D2" w:rsidRPr="00E1529B" w:rsidRDefault="004804D2" w:rsidP="004804D2">
      <w:pPr>
        <w:keepNext/>
        <w:keepLines/>
        <w:spacing w:after="0" w:line="240" w:lineRule="auto"/>
        <w:ind w:right="45"/>
        <w:jc w:val="both"/>
        <w:outlineLvl w:val="0"/>
        <w:rPr>
          <w:rFonts w:ascii="Times New Roman" w:eastAsiaTheme="majorEastAsia" w:hAnsi="Times New Roman" w:cs="Times New Roman"/>
          <w:b/>
          <w:bCs/>
        </w:rPr>
      </w:pPr>
      <w:r w:rsidRPr="004804D2">
        <w:rPr>
          <w:rFonts w:ascii="Times New Roman" w:hAnsi="Times New Roman" w:cs="Times New Roman"/>
          <w:b/>
          <w:lang w:bidi="lt-LT"/>
        </w:rPr>
        <w:t>Apie ką rašoma šiame lapelyje?</w:t>
      </w:r>
    </w:p>
    <w:p w14:paraId="5F1410C1" w14:textId="77777777" w:rsidR="004804D2" w:rsidRPr="00E1529B" w:rsidRDefault="004804D2" w:rsidP="004804D2">
      <w:pPr>
        <w:spacing w:after="0" w:line="240" w:lineRule="auto"/>
        <w:jc w:val="both"/>
        <w:rPr>
          <w:rFonts w:ascii="Times New Roman" w:hAnsi="Times New Roman" w:cs="Times New Roman"/>
        </w:rPr>
      </w:pPr>
    </w:p>
    <w:p w14:paraId="1FD3A7DD" w14:textId="74B0ECEE"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Kas yra </w:t>
      </w:r>
      <w:r w:rsidR="002452FC">
        <w:rPr>
          <w:rFonts w:ascii="Times New Roman" w:hAnsi="Times New Roman" w:cs="Times New Roman"/>
          <w:lang w:bidi="lt-LT"/>
        </w:rPr>
        <w:t>Bottiar</w:t>
      </w:r>
      <w:r w:rsidRPr="004804D2">
        <w:rPr>
          <w:rFonts w:ascii="Times New Roman" w:hAnsi="Times New Roman" w:cs="Times New Roman"/>
          <w:lang w:bidi="lt-LT"/>
        </w:rPr>
        <w:t xml:space="preserve"> ir kam jis vartojamas</w:t>
      </w:r>
    </w:p>
    <w:p w14:paraId="15DB8468" w14:textId="427E4BC4"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Ką būtina žinoti prieš vartojant </w:t>
      </w:r>
      <w:r w:rsidR="002452FC">
        <w:rPr>
          <w:rFonts w:ascii="Times New Roman" w:hAnsi="Times New Roman" w:cs="Times New Roman"/>
          <w:lang w:bidi="lt-LT"/>
        </w:rPr>
        <w:t>Bottiar</w:t>
      </w:r>
    </w:p>
    <w:p w14:paraId="21734953" w14:textId="022D67DD" w:rsidR="004804D2" w:rsidRPr="004804D2" w:rsidRDefault="004804D2" w:rsidP="004804D2">
      <w:pPr>
        <w:numPr>
          <w:ilvl w:val="0"/>
          <w:numId w:val="7"/>
        </w:numPr>
        <w:spacing w:before="6" w:after="0" w:line="240" w:lineRule="auto"/>
        <w:contextualSpacing/>
        <w:jc w:val="both"/>
        <w:rPr>
          <w:rFonts w:ascii="Times New Roman" w:hAnsi="Times New Roman" w:cs="Times New Roman"/>
          <w:lang w:val="en-US"/>
        </w:rPr>
      </w:pPr>
      <w:r w:rsidRPr="004804D2">
        <w:rPr>
          <w:rFonts w:ascii="Times New Roman" w:hAnsi="Times New Roman" w:cs="Times New Roman"/>
          <w:lang w:bidi="lt-LT"/>
        </w:rPr>
        <w:t xml:space="preserve">Kaip vartoti </w:t>
      </w:r>
      <w:r w:rsidR="002452FC">
        <w:rPr>
          <w:rFonts w:ascii="Times New Roman" w:hAnsi="Times New Roman" w:cs="Times New Roman"/>
          <w:lang w:bidi="lt-LT"/>
        </w:rPr>
        <w:t>Bottiar</w:t>
      </w:r>
    </w:p>
    <w:p w14:paraId="5ED0A9D3" w14:textId="77777777" w:rsidR="004804D2" w:rsidRPr="004804D2" w:rsidRDefault="004804D2" w:rsidP="004804D2">
      <w:pPr>
        <w:numPr>
          <w:ilvl w:val="0"/>
          <w:numId w:val="7"/>
        </w:numPr>
        <w:spacing w:before="6" w:after="0" w:line="240" w:lineRule="auto"/>
        <w:contextualSpacing/>
        <w:jc w:val="both"/>
        <w:rPr>
          <w:rFonts w:ascii="Times New Roman" w:hAnsi="Times New Roman" w:cs="Times New Roman"/>
        </w:rPr>
      </w:pPr>
      <w:r w:rsidRPr="004804D2">
        <w:rPr>
          <w:rFonts w:ascii="Times New Roman" w:hAnsi="Times New Roman" w:cs="Times New Roman"/>
          <w:lang w:bidi="lt-LT"/>
        </w:rPr>
        <w:t>Galimas šalutinis poveikis</w:t>
      </w:r>
    </w:p>
    <w:p w14:paraId="060FF818" w14:textId="22F62B9B" w:rsidR="004804D2" w:rsidRPr="004804D2" w:rsidRDefault="004804D2" w:rsidP="004804D2">
      <w:pPr>
        <w:numPr>
          <w:ilvl w:val="0"/>
          <w:numId w:val="7"/>
        </w:numPr>
        <w:spacing w:before="6" w:after="0" w:line="240" w:lineRule="auto"/>
        <w:contextualSpacing/>
        <w:jc w:val="both"/>
        <w:rPr>
          <w:rFonts w:ascii="Times New Roman" w:hAnsi="Times New Roman" w:cs="Times New Roman"/>
          <w:lang w:val="en-US"/>
        </w:rPr>
      </w:pPr>
      <w:r w:rsidRPr="004804D2">
        <w:rPr>
          <w:rFonts w:ascii="Times New Roman" w:hAnsi="Times New Roman" w:cs="Times New Roman"/>
          <w:lang w:bidi="lt-LT"/>
        </w:rPr>
        <w:t xml:space="preserve">Kaip laikyti </w:t>
      </w:r>
      <w:r w:rsidR="002452FC">
        <w:rPr>
          <w:rFonts w:ascii="Times New Roman" w:hAnsi="Times New Roman" w:cs="Times New Roman"/>
          <w:lang w:bidi="lt-LT"/>
        </w:rPr>
        <w:t>Bottiar</w:t>
      </w:r>
    </w:p>
    <w:p w14:paraId="2DAD6E89" w14:textId="77777777" w:rsidR="004804D2" w:rsidRPr="00E1529B" w:rsidRDefault="004804D2" w:rsidP="004804D2">
      <w:pPr>
        <w:numPr>
          <w:ilvl w:val="0"/>
          <w:numId w:val="7"/>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Pakuotės turinys ir kita informacija.</w:t>
      </w:r>
    </w:p>
    <w:p w14:paraId="717651FC" w14:textId="77777777" w:rsidR="004804D2" w:rsidRPr="00E1529B" w:rsidRDefault="004804D2" w:rsidP="004804D2">
      <w:pPr>
        <w:spacing w:after="0" w:line="240" w:lineRule="auto"/>
        <w:jc w:val="both"/>
        <w:rPr>
          <w:rFonts w:ascii="Times New Roman" w:hAnsi="Times New Roman" w:cs="Times New Roman"/>
          <w:lang w:val="pt-PT"/>
        </w:rPr>
      </w:pPr>
    </w:p>
    <w:p w14:paraId="6334370B" w14:textId="77777777" w:rsidR="004804D2" w:rsidRPr="00E1529B" w:rsidRDefault="004804D2" w:rsidP="004804D2">
      <w:pPr>
        <w:spacing w:after="0" w:line="240" w:lineRule="auto"/>
        <w:jc w:val="both"/>
        <w:rPr>
          <w:rFonts w:ascii="Times New Roman" w:hAnsi="Times New Roman" w:cs="Times New Roman"/>
          <w:lang w:val="pt-PT"/>
        </w:rPr>
      </w:pPr>
    </w:p>
    <w:p w14:paraId="65307CA2" w14:textId="58F39421" w:rsidR="004804D2" w:rsidRPr="00E1529B"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 xml:space="preserve">Kas yra </w:t>
      </w:r>
      <w:r w:rsidR="002452FC">
        <w:rPr>
          <w:rFonts w:ascii="Times New Roman" w:hAnsi="Times New Roman" w:cs="Times New Roman"/>
          <w:b/>
          <w:lang w:bidi="lt-LT"/>
        </w:rPr>
        <w:t>Bottiar</w:t>
      </w:r>
      <w:r w:rsidRPr="004804D2">
        <w:rPr>
          <w:rFonts w:ascii="Times New Roman" w:hAnsi="Times New Roman" w:cs="Times New Roman"/>
          <w:b/>
          <w:lang w:bidi="lt-LT"/>
        </w:rPr>
        <w:t xml:space="preserve"> ir kam jis vartojamas</w:t>
      </w:r>
    </w:p>
    <w:p w14:paraId="102A3250" w14:textId="77777777" w:rsidR="004804D2" w:rsidRPr="00E1529B" w:rsidRDefault="004804D2" w:rsidP="004804D2">
      <w:pPr>
        <w:spacing w:before="6" w:after="0" w:line="240" w:lineRule="auto"/>
        <w:jc w:val="both"/>
        <w:rPr>
          <w:rFonts w:ascii="Times New Roman" w:hAnsi="Times New Roman" w:cs="Times New Roman"/>
          <w:lang w:val="pt-PT"/>
        </w:rPr>
      </w:pPr>
    </w:p>
    <w:p w14:paraId="3DD8EA46" w14:textId="13869706"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veiklioji medžiaga yra linagliptinas, kuris priklauso vaistų, vadinamų geriamaisiais antidiabetiniais preparatais, grupei. Geriamieji antidiabetiniai preparatai vartojami gydant nuo didelio cukraus kiekio kraujyje. Jie padeda organizmui sumažinti cukraus kiekį kraujyje.</w:t>
      </w:r>
    </w:p>
    <w:p w14:paraId="45A056A5" w14:textId="77777777" w:rsidR="004804D2" w:rsidRPr="004804D2" w:rsidRDefault="004804D2" w:rsidP="004804D2">
      <w:pPr>
        <w:spacing w:before="6" w:after="0" w:line="240" w:lineRule="auto"/>
        <w:rPr>
          <w:rFonts w:ascii="Times New Roman" w:hAnsi="Times New Roman" w:cs="Times New Roman"/>
        </w:rPr>
      </w:pPr>
    </w:p>
    <w:p w14:paraId="3328E244" w14:textId="503EB3D4"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vartojamas suaugusiųjų 2 tipo cukrinio diabeto gydymui, jeigu gydymas vienu geriamuoju antidiabetiniu preparatu (metforminu arba sulfonilurėjos dariniu) kartu su dieta ir fiziniu krūviu tinkamai ligos nesureguliuoja. </w:t>
      </w:r>
      <w:r>
        <w:rPr>
          <w:rFonts w:ascii="Times New Roman" w:hAnsi="Times New Roman" w:cs="Times New Roman"/>
          <w:lang w:bidi="lt-LT"/>
        </w:rPr>
        <w:t>Bottiar</w:t>
      </w:r>
      <w:r w:rsidR="004804D2" w:rsidRPr="004804D2">
        <w:rPr>
          <w:rFonts w:ascii="Times New Roman" w:hAnsi="Times New Roman" w:cs="Times New Roman"/>
          <w:lang w:bidi="lt-LT"/>
        </w:rPr>
        <w:t xml:space="preserve"> galima vartoti kartu su kitais antidiabetiniais vaistais, pvz., metforminu, sulfonilurėjos dariniu (pvz., glimepiridu, glipizidu), ar insulinu.</w:t>
      </w:r>
    </w:p>
    <w:p w14:paraId="427D1AE0" w14:textId="77777777" w:rsidR="004804D2" w:rsidRPr="004804D2" w:rsidRDefault="004804D2" w:rsidP="004804D2">
      <w:pPr>
        <w:spacing w:before="6" w:after="0" w:line="240" w:lineRule="auto"/>
        <w:rPr>
          <w:rFonts w:ascii="Times New Roman" w:hAnsi="Times New Roman" w:cs="Times New Roman"/>
        </w:rPr>
      </w:pPr>
    </w:p>
    <w:p w14:paraId="547CEADA"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Svarbu, kad laikytumėtės Jūsų gydytojo ar slaugytojo duotų patarimų dėl dietos ir fizinio krūvio.</w:t>
      </w:r>
    </w:p>
    <w:p w14:paraId="574A811D" w14:textId="77777777" w:rsidR="004804D2" w:rsidRPr="004804D2" w:rsidRDefault="004804D2" w:rsidP="004804D2">
      <w:pPr>
        <w:spacing w:after="0" w:line="240" w:lineRule="auto"/>
        <w:rPr>
          <w:rFonts w:ascii="Times New Roman" w:hAnsi="Times New Roman" w:cs="Times New Roman"/>
        </w:rPr>
      </w:pPr>
    </w:p>
    <w:p w14:paraId="60482028" w14:textId="77777777" w:rsidR="004804D2" w:rsidRPr="004804D2" w:rsidRDefault="004804D2" w:rsidP="004804D2">
      <w:pPr>
        <w:spacing w:after="0" w:line="240" w:lineRule="auto"/>
        <w:rPr>
          <w:rFonts w:ascii="Times New Roman" w:hAnsi="Times New Roman" w:cs="Times New Roman"/>
        </w:rPr>
      </w:pPr>
    </w:p>
    <w:p w14:paraId="4A068A94" w14:textId="1085BE36" w:rsidR="004804D2" w:rsidRPr="00E1529B"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 xml:space="preserve">Ką būtina žinoti prieš vartojant </w:t>
      </w:r>
      <w:r w:rsidR="002452FC">
        <w:rPr>
          <w:rFonts w:ascii="Times New Roman" w:hAnsi="Times New Roman" w:cs="Times New Roman"/>
          <w:b/>
          <w:lang w:bidi="lt-LT"/>
        </w:rPr>
        <w:t>Bottiar</w:t>
      </w:r>
    </w:p>
    <w:p w14:paraId="77FF26C1" w14:textId="77777777" w:rsidR="004804D2" w:rsidRPr="00E1529B" w:rsidRDefault="004804D2" w:rsidP="004804D2">
      <w:pPr>
        <w:spacing w:before="6" w:after="0" w:line="240" w:lineRule="auto"/>
        <w:jc w:val="both"/>
        <w:rPr>
          <w:rFonts w:ascii="Times New Roman" w:hAnsi="Times New Roman" w:cs="Times New Roman"/>
          <w:lang w:val="pt-PT"/>
        </w:rPr>
      </w:pPr>
    </w:p>
    <w:p w14:paraId="127EB5E6" w14:textId="75DECA32"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vartoti draudžiama</w:t>
      </w:r>
    </w:p>
    <w:p w14:paraId="2214EEBB" w14:textId="39BF62ED"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jeigu yra alergija linagliptinui arba bet kuriai pagalbinei šio vaisto medžiagai (</w:t>
      </w:r>
      <w:r w:rsidR="00282DBB">
        <w:rPr>
          <w:rFonts w:ascii="Times New Roman" w:hAnsi="Times New Roman" w:cs="Times New Roman"/>
          <w:lang w:bidi="lt-LT"/>
        </w:rPr>
        <w:t xml:space="preserve">jos </w:t>
      </w:r>
      <w:r w:rsidRPr="004804D2">
        <w:rPr>
          <w:rFonts w:ascii="Times New Roman" w:hAnsi="Times New Roman" w:cs="Times New Roman"/>
          <w:lang w:bidi="lt-LT"/>
        </w:rPr>
        <w:t>išvardyt</w:t>
      </w:r>
      <w:r w:rsidR="00282DBB">
        <w:rPr>
          <w:rFonts w:ascii="Times New Roman" w:hAnsi="Times New Roman" w:cs="Times New Roman"/>
          <w:lang w:bidi="lt-LT"/>
        </w:rPr>
        <w:t>os</w:t>
      </w:r>
      <w:r w:rsidRPr="004804D2">
        <w:rPr>
          <w:rFonts w:ascii="Times New Roman" w:hAnsi="Times New Roman" w:cs="Times New Roman"/>
          <w:lang w:bidi="lt-LT"/>
        </w:rPr>
        <w:t xml:space="preserve"> 6</w:t>
      </w:r>
      <w:r w:rsidR="00282DBB">
        <w:rPr>
          <w:rFonts w:ascii="Times New Roman" w:hAnsi="Times New Roman" w:cs="Times New Roman"/>
          <w:lang w:bidi="lt-LT"/>
        </w:rPr>
        <w:t> </w:t>
      </w:r>
      <w:r w:rsidRPr="004804D2">
        <w:rPr>
          <w:rFonts w:ascii="Times New Roman" w:hAnsi="Times New Roman" w:cs="Times New Roman"/>
          <w:lang w:bidi="lt-LT"/>
        </w:rPr>
        <w:t>skyriuje).</w:t>
      </w:r>
    </w:p>
    <w:p w14:paraId="18173BED" w14:textId="77777777" w:rsidR="004804D2" w:rsidRPr="004804D2" w:rsidRDefault="004804D2" w:rsidP="004804D2">
      <w:pPr>
        <w:spacing w:after="0" w:line="240" w:lineRule="auto"/>
        <w:jc w:val="both"/>
        <w:rPr>
          <w:rFonts w:ascii="Times New Roman" w:hAnsi="Times New Roman" w:cs="Times New Roman"/>
          <w:lang w:val="en-US"/>
        </w:rPr>
      </w:pPr>
    </w:p>
    <w:p w14:paraId="4E62AB38" w14:textId="77777777" w:rsidR="004804D2" w:rsidRPr="004804D2" w:rsidRDefault="004804D2" w:rsidP="004804D2">
      <w:pPr>
        <w:keepNext/>
        <w:keepLines/>
        <w:spacing w:after="0" w:line="240" w:lineRule="auto"/>
        <w:ind w:right="45"/>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Įspėjimai ir atsargumo priemonės</w:t>
      </w:r>
    </w:p>
    <w:p w14:paraId="3A4F5F0F" w14:textId="7E42FE3A" w:rsidR="004804D2" w:rsidRPr="004804D2" w:rsidRDefault="004804D2" w:rsidP="00706810">
      <w:pPr>
        <w:spacing w:before="6" w:after="0" w:line="240" w:lineRule="auto"/>
        <w:rPr>
          <w:rFonts w:ascii="Times New Roman" w:hAnsi="Times New Roman" w:cs="Times New Roman"/>
          <w:lang w:val="en-US"/>
        </w:rPr>
      </w:pPr>
      <w:r w:rsidRPr="004804D2">
        <w:rPr>
          <w:rFonts w:ascii="Times New Roman" w:hAnsi="Times New Roman" w:cs="Times New Roman"/>
          <w:lang w:bidi="lt-LT"/>
        </w:rPr>
        <w:t xml:space="preserve">Pasitarkite su gydytoju, vaistininku arba slaugytoju, prieš pradėdami vartoti </w:t>
      </w:r>
      <w:r w:rsidR="002452FC">
        <w:rPr>
          <w:rFonts w:ascii="Times New Roman" w:hAnsi="Times New Roman" w:cs="Times New Roman"/>
          <w:lang w:bidi="lt-LT"/>
        </w:rPr>
        <w:t>Bottiar</w:t>
      </w:r>
      <w:r w:rsidRPr="004804D2">
        <w:rPr>
          <w:rFonts w:ascii="Times New Roman" w:hAnsi="Times New Roman" w:cs="Times New Roman"/>
          <w:lang w:bidi="lt-LT"/>
        </w:rPr>
        <w:t>, jeigu:</w:t>
      </w:r>
    </w:p>
    <w:p w14:paraId="11FE8284" w14:textId="6B1FF8FE"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 xml:space="preserve">sergate 1 tipo cukriniu diabetu (Jūsų organizmas negamina insulino) ar yra diabetinė ketoacidozė (diabeto komplikacija, susijusi su dideliu cukraus kiekiu kraujyje, greitu kūno svorio mažėjimu, pykinimu arba vėmimu), kadangi šių ligų </w:t>
      </w:r>
      <w:r w:rsidR="002452FC">
        <w:rPr>
          <w:rFonts w:ascii="Times New Roman" w:hAnsi="Times New Roman" w:cs="Times New Roman"/>
          <w:lang w:bidi="lt-LT"/>
        </w:rPr>
        <w:t>Bottiar</w:t>
      </w:r>
      <w:r w:rsidRPr="004804D2">
        <w:rPr>
          <w:rFonts w:ascii="Times New Roman" w:hAnsi="Times New Roman" w:cs="Times New Roman"/>
          <w:lang w:bidi="lt-LT"/>
        </w:rPr>
        <w:t xml:space="preserve"> gydyti negalima.</w:t>
      </w:r>
    </w:p>
    <w:p w14:paraId="6BE1C10A" w14:textId="44A0274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 xml:space="preserve">vartojate antidiabetinio vaisto, kuris yra sulfonilurėjos darinys (pvz., glimepirido, glipizido), kadangi Jūsų gydytojas gali nurodyti sumažinti jo dozę pradėjus kartu vartoti </w:t>
      </w:r>
      <w:r w:rsidR="002452FC">
        <w:rPr>
          <w:rFonts w:ascii="Times New Roman" w:hAnsi="Times New Roman" w:cs="Times New Roman"/>
          <w:lang w:bidi="lt-LT"/>
        </w:rPr>
        <w:t>Bottiar</w:t>
      </w:r>
      <w:r w:rsidRPr="004804D2">
        <w:rPr>
          <w:rFonts w:ascii="Times New Roman" w:hAnsi="Times New Roman" w:cs="Times New Roman"/>
          <w:lang w:bidi="lt-LT"/>
        </w:rPr>
        <w:t>, kad cukraus kiekis Jūsų kraujyje pernelyg nesumažėtų.</w:t>
      </w:r>
    </w:p>
    <w:p w14:paraId="4EB79A96" w14:textId="7777777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buvo alerginių reakcijų į bet kokius kitus vaistus, kuriuos vartojote cukraus kiekiui kraujyje sureguliuoti.</w:t>
      </w:r>
    </w:p>
    <w:p w14:paraId="74B2535E"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sirgote ar sergate kasos liga.</w:t>
      </w:r>
    </w:p>
    <w:p w14:paraId="7835260C" w14:textId="77777777" w:rsidR="004804D2" w:rsidRPr="00E1529B" w:rsidRDefault="004804D2" w:rsidP="00706810">
      <w:pPr>
        <w:spacing w:after="0" w:line="240" w:lineRule="auto"/>
        <w:rPr>
          <w:rFonts w:ascii="Times New Roman" w:hAnsi="Times New Roman" w:cs="Times New Roman"/>
          <w:lang w:val="pt-PT"/>
        </w:rPr>
      </w:pPr>
    </w:p>
    <w:p w14:paraId="2A017F97" w14:textId="77777777" w:rsidR="004804D2" w:rsidRPr="00E1529B" w:rsidRDefault="004804D2" w:rsidP="00282DBB">
      <w:pPr>
        <w:spacing w:before="6" w:after="0" w:line="240" w:lineRule="auto"/>
        <w:rPr>
          <w:rFonts w:ascii="Times New Roman" w:hAnsi="Times New Roman" w:cs="Times New Roman"/>
          <w:lang w:val="pt-PT"/>
        </w:rPr>
      </w:pPr>
      <w:r w:rsidRPr="004804D2">
        <w:rPr>
          <w:rFonts w:ascii="Times New Roman" w:hAnsi="Times New Roman" w:cs="Times New Roman"/>
          <w:lang w:bidi="lt-LT"/>
        </w:rPr>
        <w:lastRenderedPageBreak/>
        <w:t>Jeigu Jums pasireiškia ūmaus kasos uždegimo (pankreatito) simptomai, pvz., nuolatinis, stiprus pilvo skausmas, pasitarkite su savo gydytoju.</w:t>
      </w:r>
    </w:p>
    <w:p w14:paraId="1688869F" w14:textId="77777777" w:rsidR="004804D2" w:rsidRPr="00E1529B" w:rsidRDefault="004804D2" w:rsidP="004804D2">
      <w:pPr>
        <w:spacing w:after="0" w:line="240" w:lineRule="auto"/>
        <w:rPr>
          <w:rFonts w:ascii="Times New Roman" w:hAnsi="Times New Roman" w:cs="Times New Roman"/>
          <w:lang w:val="pt-PT"/>
        </w:rPr>
      </w:pPr>
    </w:p>
    <w:p w14:paraId="0EA12F2C" w14:textId="4F0FA423"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Jeigu Jums ant odos atsirado pūslių, tai gali būti ligos, vadinamos pūsliniu pemfigoidu, požymis. Jūsų gydytojas gali paprašyti Jūsų nutraukti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w:t>
      </w:r>
    </w:p>
    <w:p w14:paraId="589B614E" w14:textId="77777777" w:rsidR="004804D2" w:rsidRPr="004804D2" w:rsidRDefault="004804D2" w:rsidP="004804D2">
      <w:pPr>
        <w:spacing w:after="0" w:line="240" w:lineRule="auto"/>
        <w:rPr>
          <w:rFonts w:ascii="Times New Roman" w:hAnsi="Times New Roman" w:cs="Times New Roman"/>
        </w:rPr>
      </w:pPr>
    </w:p>
    <w:p w14:paraId="5BF0E1A0"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Dažna cukrinio diabeto komplikacija yra odos pažaida. Turite laikytis Jūsų gydytojo arba slaugytojo duotų patarimų dėl odos ir pėdų priežiūros.</w:t>
      </w:r>
    </w:p>
    <w:p w14:paraId="430C8D5E" w14:textId="77777777" w:rsidR="004804D2" w:rsidRPr="004804D2" w:rsidRDefault="004804D2" w:rsidP="004804D2">
      <w:pPr>
        <w:spacing w:before="6" w:after="0" w:line="240" w:lineRule="auto"/>
        <w:rPr>
          <w:rFonts w:ascii="Times New Roman" w:hAnsi="Times New Roman" w:cs="Times New Roman"/>
        </w:rPr>
      </w:pPr>
    </w:p>
    <w:p w14:paraId="53982B9C" w14:textId="77777777" w:rsidR="004804D2" w:rsidRPr="00E1529B" w:rsidRDefault="004804D2" w:rsidP="004804D2">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t xml:space="preserve">Vaikams ir paaugliams </w:t>
      </w:r>
    </w:p>
    <w:p w14:paraId="0FCDDF0F" w14:textId="2618A849"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nerekomenduojama vartoti vaikams ir jaunesniems kaip 18 metų paaugliams. Vaistas neveiksmingas 10-17 metų vaikams ir paaugliams. Nežinoma, ar šis vaistas saugus ir veiksmingas, jeigu jo vartoja jaunesni kaip 10 metų vaikai.</w:t>
      </w:r>
    </w:p>
    <w:p w14:paraId="67F2FEB1" w14:textId="77777777" w:rsidR="004804D2" w:rsidRPr="004804D2" w:rsidRDefault="004804D2" w:rsidP="004804D2">
      <w:pPr>
        <w:spacing w:after="0" w:line="240" w:lineRule="auto"/>
        <w:rPr>
          <w:rFonts w:ascii="Times New Roman" w:hAnsi="Times New Roman" w:cs="Times New Roman"/>
        </w:rPr>
      </w:pPr>
    </w:p>
    <w:p w14:paraId="7021A7A3" w14:textId="1AFCBCA2" w:rsidR="004804D2" w:rsidRPr="00706810" w:rsidRDefault="004804D2" w:rsidP="004804D2">
      <w:pPr>
        <w:keepNext/>
        <w:keepLines/>
        <w:spacing w:after="0" w:line="240" w:lineRule="auto"/>
        <w:ind w:right="45"/>
        <w:outlineLvl w:val="0"/>
        <w:rPr>
          <w:rFonts w:ascii="Times New Roman" w:eastAsiaTheme="majorEastAsia" w:hAnsi="Times New Roman" w:cs="Times New Roman"/>
          <w:b/>
          <w:bCs/>
        </w:rPr>
      </w:pPr>
      <w:r w:rsidRPr="004804D2">
        <w:rPr>
          <w:rFonts w:ascii="Times New Roman" w:eastAsiaTheme="majorEastAsia" w:hAnsi="Times New Roman" w:cs="Times New Roman"/>
          <w:b/>
          <w:lang w:bidi="lt-LT"/>
        </w:rPr>
        <w:t xml:space="preserve">Kiti vaistai ir </w:t>
      </w:r>
      <w:r w:rsidR="002452FC">
        <w:rPr>
          <w:rFonts w:ascii="Times New Roman" w:eastAsiaTheme="majorEastAsia" w:hAnsi="Times New Roman" w:cs="Times New Roman"/>
          <w:b/>
          <w:lang w:bidi="lt-LT"/>
        </w:rPr>
        <w:t>Bottiar</w:t>
      </w:r>
    </w:p>
    <w:p w14:paraId="5629022A" w14:textId="77777777" w:rsidR="004804D2" w:rsidRPr="00706810"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Jeigu vartojate ar neseniai vartojote kitų vaistų arba dėl to nesate tikri, apie tai pasakykite gydytojui arba vaistininkui.</w:t>
      </w:r>
    </w:p>
    <w:p w14:paraId="7E44D919" w14:textId="77777777" w:rsidR="004804D2" w:rsidRPr="00706810" w:rsidRDefault="004804D2" w:rsidP="004804D2">
      <w:pPr>
        <w:spacing w:after="0" w:line="240" w:lineRule="auto"/>
        <w:rPr>
          <w:rFonts w:ascii="Times New Roman" w:hAnsi="Times New Roman" w:cs="Times New Roman"/>
        </w:rPr>
      </w:pPr>
    </w:p>
    <w:p w14:paraId="32499E1A" w14:textId="77777777" w:rsidR="004804D2" w:rsidRPr="00706810"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Labai svarbu savo gydytojui pasakyti, jeigu vartojate vaistų, kurių sudėtyje yra toliau išvardytų veikliųjų medžiagų:</w:t>
      </w:r>
    </w:p>
    <w:p w14:paraId="4D431566" w14:textId="77777777" w:rsidR="004804D2" w:rsidRPr="00706810"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karbamazepino, fenobarbitalio arba fenitoino. Jie gali būti vartojami traukulių priepuoliams arba lėtiniam skausmui suvaldyti.</w:t>
      </w:r>
    </w:p>
    <w:p w14:paraId="2198CE9C" w14:textId="77777777" w:rsidR="004804D2" w:rsidRPr="00706810"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rifampicino. Tai antibiotikas, vartojamas gydyti nuo infekcinių ligų, pavyzdžiui, tuberkuliozės.</w:t>
      </w:r>
    </w:p>
    <w:p w14:paraId="7E3B075E" w14:textId="77777777" w:rsidR="004804D2" w:rsidRPr="00706810" w:rsidRDefault="004804D2" w:rsidP="00706810">
      <w:pPr>
        <w:spacing w:before="6" w:after="0" w:line="240" w:lineRule="auto"/>
        <w:rPr>
          <w:rFonts w:ascii="Times New Roman" w:hAnsi="Times New Roman" w:cs="Times New Roman"/>
        </w:rPr>
      </w:pPr>
    </w:p>
    <w:p w14:paraId="3996930A" w14:textId="77777777" w:rsidR="004804D2" w:rsidRPr="00706810" w:rsidRDefault="004804D2" w:rsidP="00282DBB">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t>Nėštumas ir žindymo laikotarpis</w:t>
      </w:r>
    </w:p>
    <w:p w14:paraId="6093C411" w14:textId="77777777" w:rsidR="004804D2" w:rsidRPr="00706810"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Jeigu esate nėščia, žindote kūdikį, manote, kad galbūt esate nėščia, arba planuojate pastoti, tai prieš vartodama šį vaistą, pasitarkite su gydytoju arba vaistininku.</w:t>
      </w:r>
    </w:p>
    <w:p w14:paraId="1FD5AD6C" w14:textId="77777777" w:rsidR="004804D2" w:rsidRPr="00706810" w:rsidRDefault="004804D2">
      <w:pPr>
        <w:spacing w:after="0" w:line="240" w:lineRule="auto"/>
        <w:rPr>
          <w:rFonts w:ascii="Times New Roman" w:hAnsi="Times New Roman" w:cs="Times New Roman"/>
        </w:rPr>
      </w:pPr>
    </w:p>
    <w:p w14:paraId="636ADBA1" w14:textId="0083AED2" w:rsidR="004804D2" w:rsidRPr="004804D2"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Nežinoma, ar </w:t>
      </w:r>
      <w:r w:rsidR="002452FC">
        <w:rPr>
          <w:rFonts w:ascii="Times New Roman" w:hAnsi="Times New Roman" w:cs="Times New Roman"/>
          <w:lang w:bidi="lt-LT"/>
        </w:rPr>
        <w:t>Bottiar</w:t>
      </w:r>
      <w:r w:rsidRPr="004804D2">
        <w:rPr>
          <w:rFonts w:ascii="Times New Roman" w:hAnsi="Times New Roman" w:cs="Times New Roman"/>
          <w:lang w:bidi="lt-LT"/>
        </w:rPr>
        <w:t xml:space="preserve"> sukelia kenksmingą poveikį vaisiui. Todėl, jeigu esate nėščia, </w:t>
      </w:r>
      <w:r w:rsidR="002452FC">
        <w:rPr>
          <w:rFonts w:ascii="Times New Roman" w:hAnsi="Times New Roman" w:cs="Times New Roman"/>
          <w:lang w:bidi="lt-LT"/>
        </w:rPr>
        <w:t>Bottiar</w:t>
      </w:r>
      <w:r w:rsidRPr="004804D2">
        <w:rPr>
          <w:rFonts w:ascii="Times New Roman" w:hAnsi="Times New Roman" w:cs="Times New Roman"/>
          <w:lang w:bidi="lt-LT"/>
        </w:rPr>
        <w:t xml:space="preserve"> geriau nevartoti.</w:t>
      </w:r>
    </w:p>
    <w:p w14:paraId="15788FB3" w14:textId="78ADF6AB" w:rsidR="004804D2" w:rsidRPr="004804D2" w:rsidRDefault="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Nežinoma, ar </w:t>
      </w:r>
      <w:r w:rsidR="002452FC">
        <w:rPr>
          <w:rFonts w:ascii="Times New Roman" w:hAnsi="Times New Roman" w:cs="Times New Roman"/>
          <w:lang w:bidi="lt-LT"/>
        </w:rPr>
        <w:t>Bottiar</w:t>
      </w:r>
      <w:r w:rsidRPr="004804D2">
        <w:rPr>
          <w:rFonts w:ascii="Times New Roman" w:hAnsi="Times New Roman" w:cs="Times New Roman"/>
          <w:lang w:bidi="lt-LT"/>
        </w:rPr>
        <w:t xml:space="preserve"> išskiriamas į gydytų moterų pieną. Gydytojas turi nuspręsti, ar nutraukti žindymą, ar nutraukti/susilaikyti nuo gydymo </w:t>
      </w:r>
      <w:r w:rsidR="002452FC">
        <w:rPr>
          <w:rFonts w:ascii="Times New Roman" w:hAnsi="Times New Roman" w:cs="Times New Roman"/>
          <w:lang w:bidi="lt-LT"/>
        </w:rPr>
        <w:t>Bottiar</w:t>
      </w:r>
      <w:r w:rsidRPr="004804D2">
        <w:rPr>
          <w:rFonts w:ascii="Times New Roman" w:hAnsi="Times New Roman" w:cs="Times New Roman"/>
          <w:lang w:bidi="lt-LT"/>
        </w:rPr>
        <w:t>.</w:t>
      </w:r>
    </w:p>
    <w:p w14:paraId="4D2D8232" w14:textId="77777777" w:rsidR="004804D2" w:rsidRPr="004804D2" w:rsidRDefault="004804D2">
      <w:pPr>
        <w:spacing w:before="6" w:after="0" w:line="240" w:lineRule="auto"/>
        <w:rPr>
          <w:rFonts w:ascii="Times New Roman" w:hAnsi="Times New Roman" w:cs="Times New Roman"/>
        </w:rPr>
      </w:pPr>
    </w:p>
    <w:p w14:paraId="65E88C88" w14:textId="77777777" w:rsidR="004804D2" w:rsidRPr="00E1529B" w:rsidRDefault="004804D2">
      <w:pPr>
        <w:keepNext/>
        <w:keepLines/>
        <w:spacing w:after="0" w:line="240" w:lineRule="auto"/>
        <w:ind w:right="45"/>
        <w:outlineLvl w:val="0"/>
        <w:rPr>
          <w:rFonts w:ascii="Times New Roman" w:eastAsiaTheme="majorEastAsia" w:hAnsi="Times New Roman" w:cs="Times New Roman"/>
          <w:b/>
          <w:bCs/>
          <w:lang w:val="pt-PT"/>
        </w:rPr>
      </w:pPr>
      <w:r w:rsidRPr="004804D2">
        <w:rPr>
          <w:rFonts w:ascii="Times New Roman" w:hAnsi="Times New Roman" w:cs="Times New Roman"/>
          <w:b/>
          <w:lang w:bidi="lt-LT"/>
        </w:rPr>
        <w:t>Vairavimas ir mechanizmų valdymas</w:t>
      </w:r>
    </w:p>
    <w:p w14:paraId="25642B7A" w14:textId="44DCEEAA" w:rsidR="004804D2" w:rsidRPr="00E1529B" w:rsidRDefault="002452FC">
      <w:pPr>
        <w:spacing w:before="6" w:after="0" w:line="240" w:lineRule="auto"/>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gebėjimo vairuoti ir valdyti mechanizmus neveikia arba veikia nereikšmingai.</w:t>
      </w:r>
    </w:p>
    <w:p w14:paraId="0EE4BAA5" w14:textId="77777777" w:rsidR="004804D2" w:rsidRPr="00E1529B" w:rsidRDefault="004804D2">
      <w:pPr>
        <w:spacing w:after="0" w:line="240" w:lineRule="auto"/>
        <w:rPr>
          <w:rFonts w:ascii="Times New Roman" w:hAnsi="Times New Roman" w:cs="Times New Roman"/>
          <w:lang w:val="pt-PT"/>
        </w:rPr>
      </w:pPr>
    </w:p>
    <w:p w14:paraId="77D8FED1" w14:textId="6691CFA2" w:rsidR="004804D2" w:rsidRPr="004804D2" w:rsidRDefault="002452FC" w:rsidP="004804D2">
      <w:pPr>
        <w:spacing w:before="6" w:after="0" w:line="240" w:lineRule="auto"/>
        <w:rPr>
          <w:rFonts w:ascii="Times New Roman" w:hAnsi="Times New Roman" w:cs="Times New Roman"/>
        </w:rPr>
      </w:pPr>
      <w:r>
        <w:rPr>
          <w:rFonts w:ascii="Times New Roman" w:hAnsi="Times New Roman" w:cs="Times New Roman"/>
          <w:lang w:bidi="lt-LT"/>
        </w:rPr>
        <w:t>Bottiar</w:t>
      </w:r>
      <w:r w:rsidR="004804D2" w:rsidRPr="004804D2">
        <w:rPr>
          <w:rFonts w:ascii="Times New Roman" w:hAnsi="Times New Roman" w:cs="Times New Roman"/>
          <w:lang w:bidi="lt-LT"/>
        </w:rPr>
        <w:t xml:space="preserve"> vartojimas derinyje su vaistais, kurie vadinami sulfonilurėjos dariniais ir (arba) insulinu, gali sumažinti cukraus kiekį kraujyje (sukelti hipoglikemiją), tai gali paveikti Jūsų gebėjimą vairuoti ir valdyti mechanizmus bei dirbti be saugios atramos kojoms. Todėl gali būti rekomenduojama dažniau tirti gliukozės kiekį kraujyje, kad sumažėtų hipoglikemijos rizika, ypač </w:t>
      </w:r>
      <w:r>
        <w:rPr>
          <w:rFonts w:ascii="Times New Roman" w:hAnsi="Times New Roman" w:cs="Times New Roman"/>
          <w:lang w:bidi="lt-LT"/>
        </w:rPr>
        <w:t>Bottiar</w:t>
      </w:r>
      <w:r w:rsidR="004804D2" w:rsidRPr="004804D2">
        <w:rPr>
          <w:rFonts w:ascii="Times New Roman" w:hAnsi="Times New Roman" w:cs="Times New Roman"/>
          <w:lang w:bidi="lt-LT"/>
        </w:rPr>
        <w:t xml:space="preserve"> vartojant kartu su sulfonilurėjos dariniu ir (arba) insulinu.</w:t>
      </w:r>
    </w:p>
    <w:p w14:paraId="5AB47E94" w14:textId="77777777" w:rsidR="004804D2" w:rsidRPr="004804D2" w:rsidRDefault="004804D2" w:rsidP="004804D2">
      <w:pPr>
        <w:spacing w:before="6" w:after="0" w:line="240" w:lineRule="auto"/>
        <w:rPr>
          <w:rFonts w:ascii="Times New Roman" w:hAnsi="Times New Roman" w:cs="Times New Roman"/>
        </w:rPr>
      </w:pPr>
    </w:p>
    <w:p w14:paraId="5968C7E9" w14:textId="77777777" w:rsidR="004804D2" w:rsidRPr="004804D2" w:rsidRDefault="004804D2" w:rsidP="004804D2">
      <w:pPr>
        <w:spacing w:before="6" w:after="0" w:line="240" w:lineRule="auto"/>
        <w:jc w:val="both"/>
        <w:rPr>
          <w:rFonts w:ascii="Times New Roman" w:hAnsi="Times New Roman" w:cs="Times New Roman"/>
        </w:rPr>
      </w:pPr>
    </w:p>
    <w:p w14:paraId="23CA0ED0" w14:textId="02D764A1"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Kaip vartoti </w:t>
      </w:r>
      <w:r w:rsidR="002452FC">
        <w:rPr>
          <w:rFonts w:ascii="Times New Roman" w:hAnsi="Times New Roman" w:cs="Times New Roman"/>
          <w:b/>
          <w:lang w:bidi="lt-LT"/>
        </w:rPr>
        <w:t>Bottiar</w:t>
      </w:r>
    </w:p>
    <w:p w14:paraId="19A6FAE3" w14:textId="77777777" w:rsidR="004804D2" w:rsidRPr="004804D2" w:rsidRDefault="004804D2" w:rsidP="004804D2">
      <w:pPr>
        <w:spacing w:before="6" w:after="0" w:line="240" w:lineRule="auto"/>
        <w:jc w:val="both"/>
        <w:rPr>
          <w:rFonts w:ascii="Times New Roman" w:hAnsi="Times New Roman" w:cs="Times New Roman"/>
          <w:lang w:val="en-US"/>
        </w:rPr>
      </w:pPr>
    </w:p>
    <w:p w14:paraId="35F38838"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Visada vartokite šį vaistą tiksliai taip, kaip nurodė gydytojas. Jeigu abejojate, kreipkitės į gydytoją arba vaistininką.</w:t>
      </w:r>
    </w:p>
    <w:p w14:paraId="5ABD9732" w14:textId="77777777" w:rsidR="004804D2" w:rsidRPr="004804D2" w:rsidRDefault="004804D2" w:rsidP="004804D2">
      <w:pPr>
        <w:spacing w:after="0" w:line="240" w:lineRule="auto"/>
        <w:rPr>
          <w:rFonts w:ascii="Times New Roman" w:hAnsi="Times New Roman" w:cs="Times New Roman"/>
        </w:rPr>
      </w:pPr>
    </w:p>
    <w:p w14:paraId="365E449D" w14:textId="4E060AE3"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Rekomenduojama </w:t>
      </w:r>
      <w:r w:rsidR="002452FC">
        <w:rPr>
          <w:rFonts w:ascii="Times New Roman" w:hAnsi="Times New Roman" w:cs="Times New Roman"/>
          <w:lang w:bidi="lt-LT"/>
        </w:rPr>
        <w:t>Bottiar</w:t>
      </w:r>
      <w:r w:rsidRPr="004804D2">
        <w:rPr>
          <w:rFonts w:ascii="Times New Roman" w:hAnsi="Times New Roman" w:cs="Times New Roman"/>
          <w:lang w:bidi="lt-LT"/>
        </w:rPr>
        <w:t xml:space="preserve"> dozė yra viena 5</w:t>
      </w:r>
      <w:r w:rsidR="00282DBB">
        <w:rPr>
          <w:rFonts w:ascii="Times New Roman" w:hAnsi="Times New Roman" w:cs="Times New Roman"/>
          <w:lang w:bidi="lt-LT"/>
        </w:rPr>
        <w:t> </w:t>
      </w:r>
      <w:r w:rsidRPr="004804D2">
        <w:rPr>
          <w:rFonts w:ascii="Times New Roman" w:hAnsi="Times New Roman" w:cs="Times New Roman"/>
          <w:lang w:bidi="lt-LT"/>
        </w:rPr>
        <w:t>mg tabletė kartą per parą.</w:t>
      </w:r>
    </w:p>
    <w:p w14:paraId="597B00A4" w14:textId="77777777" w:rsidR="004804D2" w:rsidRPr="004804D2" w:rsidRDefault="004804D2" w:rsidP="004804D2">
      <w:pPr>
        <w:spacing w:after="0" w:line="240" w:lineRule="auto"/>
        <w:rPr>
          <w:rFonts w:ascii="Times New Roman" w:hAnsi="Times New Roman" w:cs="Times New Roman"/>
        </w:rPr>
      </w:pPr>
    </w:p>
    <w:p w14:paraId="5ED489F7" w14:textId="58DC72E4" w:rsidR="004804D2" w:rsidRPr="00E1529B" w:rsidRDefault="002452FC" w:rsidP="004804D2">
      <w:pPr>
        <w:spacing w:before="6" w:after="0" w:line="240" w:lineRule="auto"/>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galite gerti valgio metu arba nevalgę.</w:t>
      </w:r>
    </w:p>
    <w:p w14:paraId="1ABDA246" w14:textId="77777777" w:rsidR="004804D2" w:rsidRPr="00E1529B" w:rsidRDefault="004804D2" w:rsidP="004804D2">
      <w:pPr>
        <w:spacing w:after="0" w:line="240" w:lineRule="auto"/>
        <w:rPr>
          <w:rFonts w:ascii="Times New Roman" w:hAnsi="Times New Roman" w:cs="Times New Roman"/>
          <w:lang w:val="pt-PT"/>
        </w:rPr>
      </w:pPr>
    </w:p>
    <w:p w14:paraId="78070D3A" w14:textId="1C307929"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Jūsų gydytojas </w:t>
      </w:r>
      <w:r w:rsidR="002452FC">
        <w:rPr>
          <w:rFonts w:ascii="Times New Roman" w:hAnsi="Times New Roman" w:cs="Times New Roman"/>
          <w:lang w:bidi="lt-LT"/>
        </w:rPr>
        <w:t>Bottiar</w:t>
      </w:r>
      <w:r w:rsidRPr="004804D2">
        <w:rPr>
          <w:rFonts w:ascii="Times New Roman" w:hAnsi="Times New Roman" w:cs="Times New Roman"/>
          <w:lang w:bidi="lt-LT"/>
        </w:rPr>
        <w:t xml:space="preserve"> gali skirti vartoti kartu su kitu antidiabetiniu vaistu. Nepamirškite visus vaistus vartoti kaip nurodė gydytojas, kad pasiektumėte geriausius gydymo rezultatus Jūsų sveikatai.</w:t>
      </w:r>
    </w:p>
    <w:p w14:paraId="419353F2" w14:textId="77777777" w:rsidR="004804D2" w:rsidRPr="004804D2" w:rsidRDefault="004804D2" w:rsidP="00282DBB">
      <w:pPr>
        <w:spacing w:before="6" w:after="0" w:line="240" w:lineRule="auto"/>
        <w:rPr>
          <w:rFonts w:ascii="Times New Roman" w:hAnsi="Times New Roman" w:cs="Times New Roman"/>
        </w:rPr>
      </w:pPr>
    </w:p>
    <w:p w14:paraId="4C0837B7" w14:textId="0AA4D5B1" w:rsidR="004804D2" w:rsidRPr="00E1529B" w:rsidRDefault="004804D2" w:rsidP="00706810">
      <w:pPr>
        <w:keepNext/>
        <w:keepLines/>
        <w:spacing w:after="0" w:line="240" w:lineRule="auto"/>
        <w:ind w:right="45"/>
        <w:outlineLvl w:val="0"/>
        <w:rPr>
          <w:rFonts w:ascii="Times New Roman" w:eastAsiaTheme="majorEastAsia" w:hAnsi="Times New Roman" w:cs="Times New Roman"/>
          <w:b/>
          <w:bCs/>
        </w:rPr>
      </w:pPr>
      <w:r w:rsidRPr="004804D2">
        <w:rPr>
          <w:rFonts w:ascii="Times New Roman" w:hAnsi="Times New Roman" w:cs="Times New Roman"/>
          <w:b/>
          <w:lang w:bidi="lt-LT"/>
        </w:rPr>
        <w:lastRenderedPageBreak/>
        <w:t xml:space="preserve">Ką daryti pavartojus per didelę </w:t>
      </w:r>
      <w:r w:rsidR="002452FC">
        <w:rPr>
          <w:rFonts w:ascii="Times New Roman" w:hAnsi="Times New Roman" w:cs="Times New Roman"/>
          <w:b/>
          <w:lang w:bidi="lt-LT"/>
        </w:rPr>
        <w:t>Bottiar</w:t>
      </w:r>
      <w:r w:rsidRPr="004804D2">
        <w:rPr>
          <w:rFonts w:ascii="Times New Roman" w:hAnsi="Times New Roman" w:cs="Times New Roman"/>
          <w:b/>
          <w:lang w:bidi="lt-LT"/>
        </w:rPr>
        <w:t xml:space="preserve"> dozę</w:t>
      </w:r>
    </w:p>
    <w:p w14:paraId="724E4849" w14:textId="70A698D3" w:rsidR="004804D2" w:rsidRPr="00E1529B" w:rsidRDefault="004804D2" w:rsidP="00706810">
      <w:pPr>
        <w:spacing w:before="6" w:after="0" w:line="240" w:lineRule="auto"/>
        <w:rPr>
          <w:rFonts w:ascii="Times New Roman" w:hAnsi="Times New Roman" w:cs="Times New Roman"/>
        </w:rPr>
      </w:pPr>
      <w:r w:rsidRPr="004804D2">
        <w:rPr>
          <w:rFonts w:ascii="Times New Roman" w:hAnsi="Times New Roman" w:cs="Times New Roman"/>
          <w:lang w:bidi="lt-LT"/>
        </w:rPr>
        <w:t xml:space="preserve">Pavartojus per didelę </w:t>
      </w:r>
      <w:r w:rsidR="002452FC">
        <w:rPr>
          <w:rFonts w:ascii="Times New Roman" w:hAnsi="Times New Roman" w:cs="Times New Roman"/>
          <w:lang w:bidi="lt-LT"/>
        </w:rPr>
        <w:t>Bottiar</w:t>
      </w:r>
      <w:r w:rsidRPr="004804D2">
        <w:rPr>
          <w:rFonts w:ascii="Times New Roman" w:hAnsi="Times New Roman" w:cs="Times New Roman"/>
          <w:lang w:bidi="lt-LT"/>
        </w:rPr>
        <w:t xml:space="preserve"> dozę, nedelsiant kreipkitės į gydytoją.</w:t>
      </w:r>
    </w:p>
    <w:p w14:paraId="40380C6F" w14:textId="77777777" w:rsidR="004804D2" w:rsidRPr="00E1529B" w:rsidRDefault="004804D2" w:rsidP="00706810">
      <w:pPr>
        <w:spacing w:before="6" w:after="0" w:line="240" w:lineRule="auto"/>
        <w:rPr>
          <w:rFonts w:ascii="Times New Roman" w:hAnsi="Times New Roman" w:cs="Times New Roman"/>
        </w:rPr>
      </w:pPr>
    </w:p>
    <w:p w14:paraId="4141D82A" w14:textId="4241D954" w:rsidR="004804D2" w:rsidRPr="004804D2" w:rsidRDefault="004804D2" w:rsidP="00706810">
      <w:pPr>
        <w:keepNext/>
        <w:keepLines/>
        <w:spacing w:after="0" w:line="240" w:lineRule="auto"/>
        <w:ind w:right="45"/>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Pamiršus pavartoti </w:t>
      </w:r>
      <w:r w:rsidR="002452FC">
        <w:rPr>
          <w:rFonts w:ascii="Times New Roman" w:hAnsi="Times New Roman" w:cs="Times New Roman"/>
          <w:b/>
          <w:lang w:bidi="lt-LT"/>
        </w:rPr>
        <w:t>Bottiar</w:t>
      </w:r>
    </w:p>
    <w:p w14:paraId="160E94EF" w14:textId="733B3CF6" w:rsidR="004804D2" w:rsidRPr="004804D2"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 xml:space="preserve">Jeigu </w:t>
      </w:r>
      <w:r w:rsidR="002452FC">
        <w:rPr>
          <w:rFonts w:ascii="Times New Roman" w:hAnsi="Times New Roman" w:cs="Times New Roman"/>
          <w:lang w:bidi="lt-LT"/>
        </w:rPr>
        <w:t>Bottiar</w:t>
      </w:r>
      <w:r w:rsidRPr="004804D2">
        <w:rPr>
          <w:rFonts w:ascii="Times New Roman" w:hAnsi="Times New Roman" w:cs="Times New Roman"/>
          <w:lang w:bidi="lt-LT"/>
        </w:rPr>
        <w:t xml:space="preserve"> dozę išgerti pamiršote, gerkite ją tuoj pat, kai tik prisiminsite. Tačiau jeigu jau bus beveik atėjęs kitos dozės vartojimo laikas, pamirštąją dozę praleiskite.</w:t>
      </w:r>
    </w:p>
    <w:p w14:paraId="487447DA" w14:textId="77777777" w:rsidR="004804D2" w:rsidRPr="004804D2" w:rsidRDefault="004804D2" w:rsidP="00706810">
      <w:pPr>
        <w:numPr>
          <w:ilvl w:val="0"/>
          <w:numId w:val="9"/>
        </w:numPr>
        <w:spacing w:before="6" w:after="0" w:line="240" w:lineRule="auto"/>
        <w:contextualSpacing/>
        <w:rPr>
          <w:rFonts w:ascii="Times New Roman" w:hAnsi="Times New Roman" w:cs="Times New Roman"/>
          <w:lang w:val="en-US"/>
        </w:rPr>
      </w:pPr>
      <w:r w:rsidRPr="004804D2">
        <w:rPr>
          <w:rFonts w:ascii="Times New Roman" w:hAnsi="Times New Roman" w:cs="Times New Roman"/>
          <w:lang w:bidi="lt-LT"/>
        </w:rPr>
        <w:t>Negalima vartoti dvigubos dozės norint kompensuoti praleistą dozę. Dviejų dozių tą pačią dieną niekada nevartokite.</w:t>
      </w:r>
    </w:p>
    <w:p w14:paraId="2FF5446C" w14:textId="77777777" w:rsidR="004804D2" w:rsidRPr="004804D2" w:rsidRDefault="004804D2" w:rsidP="00706810">
      <w:pPr>
        <w:spacing w:before="6" w:after="0" w:line="240" w:lineRule="auto"/>
        <w:rPr>
          <w:rFonts w:ascii="Times New Roman" w:hAnsi="Times New Roman" w:cs="Times New Roman"/>
          <w:lang w:val="en-US"/>
        </w:rPr>
      </w:pPr>
    </w:p>
    <w:p w14:paraId="6F4EAEFC" w14:textId="429E9437" w:rsidR="004804D2" w:rsidRPr="004804D2" w:rsidRDefault="004804D2" w:rsidP="00282DBB">
      <w:pPr>
        <w:keepNext/>
        <w:keepLines/>
        <w:spacing w:after="0" w:line="240" w:lineRule="auto"/>
        <w:ind w:right="45"/>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Nustojus vartoti </w:t>
      </w:r>
      <w:r w:rsidR="002452FC">
        <w:rPr>
          <w:rFonts w:ascii="Times New Roman" w:hAnsi="Times New Roman" w:cs="Times New Roman"/>
          <w:b/>
          <w:lang w:bidi="lt-LT"/>
        </w:rPr>
        <w:t>Bottiar</w:t>
      </w:r>
    </w:p>
    <w:p w14:paraId="389BEBE3" w14:textId="61285768" w:rsidR="004804D2" w:rsidRPr="004804D2"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 xml:space="preserve">Nepasitarę su savo gydytoju,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vartojimo nenutraukite. Nutraukus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gali padidėti cukraus kiekis Jūsų kraujyje.</w:t>
      </w:r>
    </w:p>
    <w:p w14:paraId="50B5447F" w14:textId="77777777" w:rsidR="004804D2" w:rsidRPr="004804D2" w:rsidRDefault="004804D2">
      <w:pPr>
        <w:spacing w:after="0" w:line="240" w:lineRule="auto"/>
        <w:rPr>
          <w:rFonts w:ascii="Times New Roman" w:hAnsi="Times New Roman" w:cs="Times New Roman"/>
        </w:rPr>
      </w:pPr>
    </w:p>
    <w:p w14:paraId="55119E97"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Jeigu kiltų daugiau klausimų dėl šio vaisto vartojimo, kreipkitės į gydytoją, vaistininką arba slaugytoją.</w:t>
      </w:r>
    </w:p>
    <w:p w14:paraId="1FFDFA9F" w14:textId="77777777" w:rsidR="004804D2" w:rsidRPr="004804D2" w:rsidRDefault="004804D2" w:rsidP="004804D2">
      <w:pPr>
        <w:spacing w:before="6" w:after="0" w:line="240" w:lineRule="auto"/>
        <w:rPr>
          <w:rFonts w:ascii="Times New Roman" w:hAnsi="Times New Roman" w:cs="Times New Roman"/>
        </w:rPr>
      </w:pPr>
    </w:p>
    <w:p w14:paraId="6D847196" w14:textId="77777777" w:rsidR="004804D2" w:rsidRPr="004804D2" w:rsidRDefault="004804D2" w:rsidP="004804D2">
      <w:pPr>
        <w:spacing w:before="6" w:after="0" w:line="240" w:lineRule="auto"/>
        <w:rPr>
          <w:rFonts w:ascii="Times New Roman" w:hAnsi="Times New Roman" w:cs="Times New Roman"/>
        </w:rPr>
      </w:pPr>
    </w:p>
    <w:p w14:paraId="0D0680CE" w14:textId="77777777" w:rsidR="004804D2" w:rsidRPr="004804D2" w:rsidRDefault="004804D2" w:rsidP="004804D2">
      <w:pPr>
        <w:keepNext/>
        <w:keepLines/>
        <w:numPr>
          <w:ilvl w:val="0"/>
          <w:numId w:val="8"/>
        </w:numPr>
        <w:spacing w:after="0" w:line="240" w:lineRule="auto"/>
        <w:ind w:left="0" w:right="45" w:firstLine="0"/>
        <w:outlineLvl w:val="0"/>
        <w:rPr>
          <w:rFonts w:ascii="Times New Roman" w:eastAsiaTheme="majorEastAsia" w:hAnsi="Times New Roman" w:cs="Times New Roman"/>
          <w:b/>
          <w:bCs/>
        </w:rPr>
      </w:pPr>
      <w:r w:rsidRPr="004804D2">
        <w:rPr>
          <w:rFonts w:ascii="Times New Roman" w:eastAsiaTheme="majorEastAsia" w:hAnsi="Times New Roman" w:cs="Times New Roman"/>
          <w:b/>
          <w:lang w:bidi="lt-LT"/>
        </w:rPr>
        <w:t>Galimas šalutinis poveikis</w:t>
      </w:r>
    </w:p>
    <w:p w14:paraId="4D88154F" w14:textId="77777777" w:rsidR="004804D2" w:rsidRPr="004804D2" w:rsidRDefault="004804D2" w:rsidP="004804D2">
      <w:pPr>
        <w:spacing w:before="6" w:after="0" w:line="240" w:lineRule="auto"/>
        <w:rPr>
          <w:rFonts w:ascii="Times New Roman" w:hAnsi="Times New Roman" w:cs="Times New Roman"/>
        </w:rPr>
      </w:pPr>
    </w:p>
    <w:p w14:paraId="78A6538F" w14:textId="77777777"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Šis vaistas, kaip ir visi kiti, gali sukelti šalutinį poveikį, nors jis pasireiškia ne visiems žmonėms.</w:t>
      </w:r>
    </w:p>
    <w:p w14:paraId="1FE08951" w14:textId="77777777" w:rsidR="004804D2" w:rsidRPr="004804D2" w:rsidRDefault="004804D2" w:rsidP="004804D2">
      <w:pPr>
        <w:spacing w:after="0" w:line="240" w:lineRule="auto"/>
        <w:rPr>
          <w:rFonts w:ascii="Times New Roman" w:hAnsi="Times New Roman" w:cs="Times New Roman"/>
        </w:rPr>
      </w:pPr>
    </w:p>
    <w:p w14:paraId="04009F5A" w14:textId="77777777" w:rsidR="004804D2" w:rsidRPr="004804D2" w:rsidRDefault="004804D2" w:rsidP="004804D2">
      <w:pPr>
        <w:spacing w:before="6" w:after="0" w:line="240" w:lineRule="auto"/>
        <w:rPr>
          <w:rFonts w:ascii="Times New Roman" w:hAnsi="Times New Roman" w:cs="Times New Roman"/>
          <w:u w:val="single"/>
        </w:rPr>
      </w:pPr>
      <w:r w:rsidRPr="004804D2">
        <w:rPr>
          <w:rFonts w:ascii="Times New Roman" w:hAnsi="Times New Roman" w:cs="Times New Roman"/>
          <w:u w:val="single"/>
          <w:lang w:bidi="lt-LT"/>
        </w:rPr>
        <w:t>Dėl kai kurių simptomų būtina skubi gydytojo pagalba</w:t>
      </w:r>
    </w:p>
    <w:p w14:paraId="26EDF8A5" w14:textId="556B5B92"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Nustokite vartoję </w:t>
      </w:r>
      <w:r w:rsidR="002452FC">
        <w:rPr>
          <w:rFonts w:ascii="Times New Roman" w:hAnsi="Times New Roman" w:cs="Times New Roman"/>
          <w:lang w:bidi="lt-LT"/>
        </w:rPr>
        <w:t>Bottiar</w:t>
      </w:r>
      <w:r w:rsidRPr="004804D2">
        <w:rPr>
          <w:rFonts w:ascii="Times New Roman" w:hAnsi="Times New Roman" w:cs="Times New Roman"/>
          <w:lang w:bidi="lt-LT"/>
        </w:rPr>
        <w:t xml:space="preserve"> ir nedelsdami kreipkitės į gydytoją, jei Jums pasireiškė sumažėjusio cukraus kiekio kraujyje simptomai: drebulys, prakaitavimas, nerimas, matymas lyg per miglą, lūpų dilgčiojimas, išblyškimas, nuotaikos pokytis ar sumišimas (hipoglikemija). Hipoglikemija (dažnis: labai dažnas šalutinio poveikio reiškinys, gali pasireikšti ne rečiau kaip 1 iš 10 asmenų) yra nustatytas šalutinis poveikis, kai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vartojamas kartu su metforminu ir sulfonilurėjos dariniu.</w:t>
      </w:r>
    </w:p>
    <w:p w14:paraId="12688738" w14:textId="77777777" w:rsidR="004804D2" w:rsidRPr="004804D2" w:rsidRDefault="004804D2" w:rsidP="004804D2">
      <w:pPr>
        <w:spacing w:after="0" w:line="240" w:lineRule="auto"/>
        <w:rPr>
          <w:rFonts w:ascii="Times New Roman" w:hAnsi="Times New Roman" w:cs="Times New Roman"/>
        </w:rPr>
      </w:pPr>
    </w:p>
    <w:p w14:paraId="4F182870" w14:textId="2812F912"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 xml:space="preserve">Kai kuriems pacientams, vartojantiems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derinyje su kitais vaistais nuo diabeto pasireiškė alerginių reakcijų (padidėjęs jautrumas; dažnis: nedažnas, gali pasireikšti rečiau kaip 1 iš 100 asmenų), kurios gali būti sunkios, įskaitant švokštimą ir dusulį (</w:t>
      </w:r>
      <w:r w:rsidR="00282DBB">
        <w:rPr>
          <w:rFonts w:ascii="Times New Roman" w:hAnsi="Times New Roman" w:cs="Times New Roman"/>
          <w:lang w:bidi="lt-LT"/>
        </w:rPr>
        <w:t xml:space="preserve">per didelis </w:t>
      </w:r>
      <w:r w:rsidRPr="004804D2">
        <w:rPr>
          <w:rFonts w:ascii="Times New Roman" w:hAnsi="Times New Roman" w:cs="Times New Roman"/>
          <w:lang w:bidi="lt-LT"/>
        </w:rPr>
        <w:t xml:space="preserve">bronchų reaktyvumas; dažnis nežinomas </w:t>
      </w:r>
      <w:r w:rsidR="00282DBB">
        <w:rPr>
          <w:rFonts w:ascii="Times New Roman" w:hAnsi="Times New Roman" w:cs="Times New Roman"/>
          <w:lang w:bidi="lt-LT"/>
        </w:rPr>
        <w:t>[</w:t>
      </w:r>
      <w:r w:rsidRPr="004804D2">
        <w:rPr>
          <w:rFonts w:ascii="Times New Roman" w:hAnsi="Times New Roman" w:cs="Times New Roman"/>
          <w:lang w:bidi="lt-LT"/>
        </w:rPr>
        <w:t>negali būti apskaičiuotas pagal turimus duomenis</w:t>
      </w:r>
      <w:r w:rsidR="00282DBB">
        <w:rPr>
          <w:rFonts w:ascii="Times New Roman" w:hAnsi="Times New Roman" w:cs="Times New Roman"/>
          <w:lang w:bidi="lt-LT"/>
        </w:rPr>
        <w:t>]</w:t>
      </w:r>
      <w:r w:rsidRPr="004804D2">
        <w:rPr>
          <w:rFonts w:ascii="Times New Roman" w:hAnsi="Times New Roman" w:cs="Times New Roman"/>
          <w:lang w:bidi="lt-LT"/>
        </w:rPr>
        <w:t xml:space="preserve">). Kai kuriems pacientams pasireiškė išbėrimas (dažnis: nedažnas), dilgėlinė (dažnis: retas, gali pasireikšti rečiau kaip 1 iš 1 000 asmenų) ir veido, lūpų, liežuvio ir gerklės patinimas, dėl kurio gali būti sunku kvėpuoti ar ryti (angioneurozinė edema; dažnis: retas). Jeigu Jums pasireiškė bet kuris iš pirmiau minėtų ligos požymių, nutraukite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ir nedelsdami kreipkitės į gydytoją. Gydytojas gali paskirti vaistą gydyti nuo alerginės reakcijos ir kitą vaistą gydyti nuo diabeto.</w:t>
      </w:r>
    </w:p>
    <w:p w14:paraId="6CD43A42" w14:textId="77777777" w:rsidR="004804D2" w:rsidRPr="004804D2" w:rsidRDefault="004804D2" w:rsidP="004804D2">
      <w:pPr>
        <w:spacing w:after="0" w:line="240" w:lineRule="auto"/>
        <w:rPr>
          <w:rFonts w:ascii="Times New Roman" w:hAnsi="Times New Roman" w:cs="Times New Roman"/>
        </w:rPr>
      </w:pPr>
    </w:p>
    <w:p w14:paraId="24CBF38F" w14:textId="28DCDE96" w:rsidR="004804D2" w:rsidRPr="004804D2" w:rsidRDefault="004804D2" w:rsidP="004804D2">
      <w:pPr>
        <w:spacing w:before="6" w:after="0" w:line="240" w:lineRule="auto"/>
        <w:rPr>
          <w:rFonts w:ascii="Times New Roman" w:hAnsi="Times New Roman" w:cs="Times New Roman"/>
        </w:rPr>
      </w:pPr>
      <w:r w:rsidRPr="004804D2">
        <w:rPr>
          <w:rFonts w:ascii="Times New Roman" w:hAnsi="Times New Roman" w:cs="Times New Roman"/>
          <w:lang w:bidi="lt-LT"/>
        </w:rPr>
        <w:t>Kai kuriems pacientams pasireiškė kasos uždegimas (pankreatitas; dažnis: retas šalutinio poveikio reiškinys, gali pasireikšti rečiau kaip 1 iš 1</w:t>
      </w:r>
      <w:r w:rsidR="00282DBB">
        <w:rPr>
          <w:rFonts w:ascii="Times New Roman" w:hAnsi="Times New Roman" w:cs="Times New Roman"/>
          <w:lang w:bidi="lt-LT"/>
        </w:rPr>
        <w:t> </w:t>
      </w:r>
      <w:r w:rsidRPr="004804D2">
        <w:rPr>
          <w:rFonts w:ascii="Times New Roman" w:hAnsi="Times New Roman" w:cs="Times New Roman"/>
          <w:lang w:bidi="lt-LT"/>
        </w:rPr>
        <w:t xml:space="preserve">000 asmenų), vartojant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w:t>
      </w:r>
      <w:r w:rsidR="00282DBB">
        <w:rPr>
          <w:rFonts w:ascii="Times New Roman" w:hAnsi="Times New Roman" w:cs="Times New Roman"/>
          <w:lang w:bidi="lt-LT"/>
        </w:rPr>
        <w:t>iu</w:t>
      </w:r>
      <w:r w:rsidRPr="004804D2">
        <w:rPr>
          <w:rFonts w:ascii="Times New Roman" w:hAnsi="Times New Roman" w:cs="Times New Roman"/>
          <w:lang w:bidi="lt-LT"/>
        </w:rPr>
        <w:t xml:space="preserve"> su kitais vaistais nuo diabeto.</w:t>
      </w:r>
    </w:p>
    <w:p w14:paraId="3F4B78E9" w14:textId="3C53EB32" w:rsidR="004804D2" w:rsidRPr="004804D2" w:rsidRDefault="004804D2" w:rsidP="00282DBB">
      <w:pPr>
        <w:spacing w:before="6" w:after="0" w:line="240" w:lineRule="auto"/>
        <w:rPr>
          <w:rFonts w:ascii="Times New Roman" w:hAnsi="Times New Roman" w:cs="Times New Roman"/>
        </w:rPr>
      </w:pPr>
      <w:r w:rsidRPr="004804D2">
        <w:rPr>
          <w:rFonts w:ascii="Times New Roman" w:hAnsi="Times New Roman" w:cs="Times New Roman"/>
          <w:lang w:bidi="lt-LT"/>
        </w:rPr>
        <w:t xml:space="preserve">NUTRAUKITE </w:t>
      </w:r>
      <w:r w:rsidR="002452FC">
        <w:rPr>
          <w:rFonts w:ascii="Times New Roman" w:hAnsi="Times New Roman" w:cs="Times New Roman"/>
          <w:lang w:bidi="lt-LT"/>
        </w:rPr>
        <w:t>Bottiar</w:t>
      </w:r>
      <w:r w:rsidRPr="004804D2">
        <w:rPr>
          <w:rFonts w:ascii="Times New Roman" w:hAnsi="Times New Roman" w:cs="Times New Roman"/>
          <w:lang w:bidi="lt-LT"/>
        </w:rPr>
        <w:t xml:space="preserve"> vartojimą ir nedelsdami kreipkitės į gydytoją, jei pastebėjote bet kurį iš toliau išvardytų sunkių šalutinio poveikio reiškinių:</w:t>
      </w:r>
    </w:p>
    <w:p w14:paraId="4D6A52D1" w14:textId="77777777" w:rsidR="004804D2" w:rsidRPr="004804D2" w:rsidRDefault="004804D2" w:rsidP="00706810">
      <w:pPr>
        <w:numPr>
          <w:ilvl w:val="0"/>
          <w:numId w:val="9"/>
        </w:numPr>
        <w:spacing w:before="6" w:after="0" w:line="240" w:lineRule="auto"/>
        <w:contextualSpacing/>
        <w:rPr>
          <w:rFonts w:ascii="Times New Roman" w:hAnsi="Times New Roman" w:cs="Times New Roman"/>
        </w:rPr>
      </w:pPr>
      <w:r w:rsidRPr="004804D2">
        <w:rPr>
          <w:rFonts w:ascii="Times New Roman" w:hAnsi="Times New Roman" w:cs="Times New Roman"/>
          <w:lang w:bidi="lt-LT"/>
        </w:rPr>
        <w:t>Stiprus nuolatinis pilvo skausmas (skrandžio srityje), kuris gali plisti į Jūsų nugarą, taip pat pykinimas ir vėmimas, nes tai gali būti kasos uždegimo (pankreatito) požymiai.</w:t>
      </w:r>
    </w:p>
    <w:p w14:paraId="02F80368" w14:textId="1E704CB3" w:rsidR="004804D2" w:rsidRPr="00E1529B" w:rsidRDefault="004804D2" w:rsidP="00706810">
      <w:pPr>
        <w:spacing w:before="6" w:after="0" w:line="240" w:lineRule="auto"/>
        <w:rPr>
          <w:rFonts w:ascii="Times New Roman" w:hAnsi="Times New Roman" w:cs="Times New Roman"/>
          <w:lang w:val="pt-PT"/>
        </w:rPr>
      </w:pPr>
      <w:r w:rsidRPr="004804D2">
        <w:rPr>
          <w:rFonts w:ascii="Times New Roman" w:hAnsi="Times New Roman" w:cs="Times New Roman"/>
          <w:lang w:bidi="lt-LT"/>
        </w:rPr>
        <w:t xml:space="preserve">Kai kuriems pacientams, vartojantiems </w:t>
      </w:r>
      <w:r w:rsidR="002452FC">
        <w:rPr>
          <w:rFonts w:ascii="Times New Roman" w:hAnsi="Times New Roman" w:cs="Times New Roman"/>
          <w:lang w:bidi="lt-LT"/>
        </w:rPr>
        <w:t>Bottiar</w:t>
      </w:r>
      <w:r w:rsidRPr="004804D2">
        <w:rPr>
          <w:rFonts w:ascii="Times New Roman" w:hAnsi="Times New Roman" w:cs="Times New Roman"/>
          <w:lang w:bidi="lt-LT"/>
        </w:rPr>
        <w:t xml:space="preserve"> vieno arba derin</w:t>
      </w:r>
      <w:r w:rsidR="00282DBB">
        <w:rPr>
          <w:rFonts w:ascii="Times New Roman" w:hAnsi="Times New Roman" w:cs="Times New Roman"/>
          <w:lang w:bidi="lt-LT"/>
        </w:rPr>
        <w:t>iu</w:t>
      </w:r>
      <w:r w:rsidRPr="004804D2">
        <w:rPr>
          <w:rFonts w:ascii="Times New Roman" w:hAnsi="Times New Roman" w:cs="Times New Roman"/>
          <w:lang w:bidi="lt-LT"/>
        </w:rPr>
        <w:t xml:space="preserve"> su kitais vaistais nuo diabeto, pasireiškė toks šalutinis poveikis:</w:t>
      </w:r>
    </w:p>
    <w:p w14:paraId="7FA75A56"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Dažni šalutinio poveikio reiškiniai yra padidėjęs lipazės aktyvumas kraujyje.</w:t>
      </w:r>
    </w:p>
    <w:p w14:paraId="52417FDE"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Nedažni šalutinio poveikio reiškiniai yra nosies arba ryklės uždegimas (nazofaringitas), kosulys, vidurių užkietėjimas (vartojant kartu su insulinu), padidėjęs amilazės aktyvumas kraujyje.</w:t>
      </w:r>
    </w:p>
    <w:p w14:paraId="35D34456" w14:textId="77777777" w:rsidR="004804D2" w:rsidRPr="00E1529B" w:rsidRDefault="004804D2" w:rsidP="00706810">
      <w:pPr>
        <w:numPr>
          <w:ilvl w:val="0"/>
          <w:numId w:val="9"/>
        </w:numPr>
        <w:spacing w:before="6" w:after="0" w:line="240" w:lineRule="auto"/>
        <w:contextualSpacing/>
        <w:rPr>
          <w:rFonts w:ascii="Times New Roman" w:hAnsi="Times New Roman" w:cs="Times New Roman"/>
          <w:lang w:val="pt-PT"/>
        </w:rPr>
      </w:pPr>
      <w:r w:rsidRPr="004804D2">
        <w:rPr>
          <w:rFonts w:ascii="Times New Roman" w:hAnsi="Times New Roman" w:cs="Times New Roman"/>
          <w:lang w:bidi="lt-LT"/>
        </w:rPr>
        <w:t>Reti šalutinio poveikio reiškiniai yra odos pūslėtumas (pūslinis pemfigoidas).</w:t>
      </w:r>
    </w:p>
    <w:p w14:paraId="04F1652C" w14:textId="77777777" w:rsidR="004804D2" w:rsidRPr="00E1529B" w:rsidRDefault="004804D2" w:rsidP="00706810">
      <w:pPr>
        <w:spacing w:before="6" w:after="0" w:line="240" w:lineRule="auto"/>
        <w:rPr>
          <w:rFonts w:ascii="Times New Roman" w:hAnsi="Times New Roman" w:cs="Times New Roman"/>
          <w:lang w:val="pt-PT"/>
        </w:rPr>
      </w:pPr>
    </w:p>
    <w:p w14:paraId="3BC2F8DD" w14:textId="77777777" w:rsidR="004804D2" w:rsidRPr="00E1529B" w:rsidRDefault="004804D2" w:rsidP="004804D2">
      <w:pPr>
        <w:keepNext/>
        <w:keepLines/>
        <w:spacing w:after="0" w:line="240" w:lineRule="auto"/>
        <w:ind w:right="45"/>
        <w:jc w:val="both"/>
        <w:outlineLvl w:val="0"/>
        <w:rPr>
          <w:rFonts w:ascii="Times New Roman" w:eastAsiaTheme="majorEastAsia" w:hAnsi="Times New Roman" w:cs="Times New Roman"/>
          <w:b/>
          <w:bCs/>
          <w:lang w:val="pt-PT"/>
        </w:rPr>
      </w:pPr>
      <w:r w:rsidRPr="004804D2">
        <w:rPr>
          <w:rFonts w:ascii="Times New Roman" w:hAnsi="Times New Roman" w:cs="Times New Roman"/>
          <w:b/>
          <w:lang w:bidi="lt-LT"/>
        </w:rPr>
        <w:t>Pranešimas apie šalutinį poveikį</w:t>
      </w:r>
    </w:p>
    <w:p w14:paraId="332608C6" w14:textId="7A813B8C" w:rsidR="004804D2" w:rsidRPr="00E1529B" w:rsidRDefault="00282DBB" w:rsidP="00706810">
      <w:pPr>
        <w:spacing w:before="6" w:after="0" w:line="240" w:lineRule="auto"/>
        <w:rPr>
          <w:rFonts w:ascii="Times New Roman" w:hAnsi="Times New Roman" w:cs="Times New Roman"/>
        </w:rPr>
      </w:pPr>
      <w:r w:rsidRPr="001B3F35">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w:t>
      </w:r>
      <w:r w:rsidRPr="001B3F35">
        <w:rPr>
          <w:rFonts w:ascii="Times New Roman" w:hAnsi="Times New Roman" w:cs="Times New Roman"/>
          <w:lang w:eastAsia="lt-LT"/>
        </w:rPr>
        <w:lastRenderedPageBreak/>
        <w:t xml:space="preserve">vaistų kontrolės tarnybos prie Lietuvos Respublikos sveikatos apsaugos ministerijos tinklalapyje </w:t>
      </w:r>
      <w:r w:rsidRPr="001B3F35">
        <w:rPr>
          <w:rFonts w:ascii="Times New Roman" w:hAnsi="Times New Roman" w:cs="Times New Roman"/>
          <w:color w:val="0000EE"/>
          <w:u w:val="single"/>
          <w:lang w:eastAsia="lt-LT"/>
        </w:rPr>
        <w:t>https://vvkt.lrv.lt/lt/</w:t>
      </w:r>
      <w:r w:rsidRPr="001B3F35">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552B502C" w14:textId="132105D7" w:rsidR="004804D2" w:rsidRPr="00E1529B" w:rsidRDefault="004804D2" w:rsidP="004804D2">
      <w:pPr>
        <w:spacing w:before="6" w:after="0" w:line="240" w:lineRule="auto"/>
        <w:jc w:val="both"/>
        <w:rPr>
          <w:rFonts w:ascii="Times New Roman" w:hAnsi="Times New Roman" w:cs="Times New Roman"/>
        </w:rPr>
      </w:pPr>
    </w:p>
    <w:p w14:paraId="74E9D0BC" w14:textId="77777777" w:rsidR="00282DBB" w:rsidRPr="00E1529B" w:rsidRDefault="00282DBB" w:rsidP="004804D2">
      <w:pPr>
        <w:spacing w:before="6" w:after="0" w:line="240" w:lineRule="auto"/>
        <w:jc w:val="both"/>
        <w:rPr>
          <w:rFonts w:ascii="Times New Roman" w:hAnsi="Times New Roman" w:cs="Times New Roman"/>
        </w:rPr>
      </w:pPr>
    </w:p>
    <w:p w14:paraId="79AF8352" w14:textId="4AD65648"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 xml:space="preserve">Kaip laikyti </w:t>
      </w:r>
      <w:r w:rsidR="002452FC">
        <w:rPr>
          <w:rFonts w:ascii="Times New Roman" w:hAnsi="Times New Roman" w:cs="Times New Roman"/>
          <w:b/>
          <w:lang w:bidi="lt-LT"/>
        </w:rPr>
        <w:t>Bottiar</w:t>
      </w:r>
    </w:p>
    <w:p w14:paraId="5D4DCABC" w14:textId="77777777" w:rsidR="004804D2" w:rsidRPr="004804D2" w:rsidRDefault="004804D2" w:rsidP="004804D2">
      <w:pPr>
        <w:spacing w:before="6" w:after="0" w:line="240" w:lineRule="auto"/>
        <w:jc w:val="both"/>
        <w:rPr>
          <w:rFonts w:ascii="Times New Roman" w:hAnsi="Times New Roman" w:cs="Times New Roman"/>
          <w:lang w:val="en-US"/>
        </w:rPr>
      </w:pPr>
    </w:p>
    <w:p w14:paraId="0C678882" w14:textId="77777777" w:rsidR="004804D2" w:rsidRPr="00E1529B" w:rsidRDefault="004804D2" w:rsidP="004804D2">
      <w:pPr>
        <w:spacing w:before="6" w:after="0" w:line="240" w:lineRule="auto"/>
        <w:jc w:val="both"/>
        <w:rPr>
          <w:rFonts w:ascii="Times New Roman" w:hAnsi="Times New Roman" w:cs="Times New Roman"/>
          <w:lang w:val="pt-PT"/>
        </w:rPr>
      </w:pPr>
      <w:r w:rsidRPr="004804D2">
        <w:rPr>
          <w:rFonts w:ascii="Times New Roman" w:hAnsi="Times New Roman" w:cs="Times New Roman"/>
          <w:lang w:bidi="lt-LT"/>
        </w:rPr>
        <w:t>Šį vaistą laikykite vaikams nepastebimoje ir nepasiekiamoje vietoje.</w:t>
      </w:r>
    </w:p>
    <w:p w14:paraId="7AECA084" w14:textId="77777777" w:rsidR="004804D2" w:rsidRPr="00E1529B" w:rsidRDefault="004804D2" w:rsidP="004804D2">
      <w:pPr>
        <w:spacing w:after="0" w:line="240" w:lineRule="auto"/>
        <w:jc w:val="both"/>
        <w:rPr>
          <w:rFonts w:ascii="Times New Roman" w:hAnsi="Times New Roman" w:cs="Times New Roman"/>
          <w:lang w:val="pt-PT"/>
        </w:rPr>
      </w:pPr>
    </w:p>
    <w:p w14:paraId="62D6D81E"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Ant kartono dėžutės ir lizdinės plokštelės po „EXP“ nurodytam tinkamumo laikui pasibaigus, šio vaisto vartoti negalima. Vaistas tinkamas vartoti iki paskutinės nurodyto mėnesio dienos.</w:t>
      </w:r>
    </w:p>
    <w:p w14:paraId="672DF3F4" w14:textId="77777777" w:rsidR="004804D2" w:rsidRPr="004804D2" w:rsidRDefault="004804D2" w:rsidP="004804D2">
      <w:pPr>
        <w:spacing w:after="0" w:line="240" w:lineRule="auto"/>
        <w:jc w:val="both"/>
        <w:rPr>
          <w:rFonts w:ascii="Times New Roman" w:hAnsi="Times New Roman" w:cs="Times New Roman"/>
        </w:rPr>
      </w:pPr>
    </w:p>
    <w:p w14:paraId="68F4B78C"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Šiam vaistui specialių laikymo sąlygų nereikia.</w:t>
      </w:r>
    </w:p>
    <w:p w14:paraId="0F3262E2" w14:textId="77777777" w:rsidR="004804D2" w:rsidRPr="004804D2" w:rsidRDefault="004804D2" w:rsidP="004804D2">
      <w:pPr>
        <w:spacing w:after="0" w:line="240" w:lineRule="auto"/>
        <w:jc w:val="both"/>
        <w:rPr>
          <w:rFonts w:ascii="Times New Roman" w:hAnsi="Times New Roman" w:cs="Times New Roman"/>
        </w:rPr>
      </w:pPr>
    </w:p>
    <w:p w14:paraId="1B083698" w14:textId="4B9198BB" w:rsidR="004804D2" w:rsidRPr="004804D2" w:rsidRDefault="000961AF" w:rsidP="004804D2">
      <w:pPr>
        <w:spacing w:before="6" w:after="0" w:line="240" w:lineRule="auto"/>
        <w:jc w:val="both"/>
        <w:rPr>
          <w:rFonts w:ascii="Times New Roman" w:hAnsi="Times New Roman" w:cs="Times New Roman"/>
        </w:rPr>
      </w:pPr>
      <w:r>
        <w:rPr>
          <w:rFonts w:ascii="Times New Roman" w:hAnsi="Times New Roman" w:cs="Times New Roman"/>
          <w:lang w:bidi="lt-LT"/>
        </w:rPr>
        <w:t>Pastebėjus</w:t>
      </w:r>
      <w:r w:rsidR="004804D2" w:rsidRPr="004804D2">
        <w:rPr>
          <w:rFonts w:ascii="Times New Roman" w:hAnsi="Times New Roman" w:cs="Times New Roman"/>
          <w:lang w:bidi="lt-LT"/>
        </w:rPr>
        <w:t>, kad pakuotė yra pažeista arba turi pažeidimo požymių</w:t>
      </w:r>
      <w:r>
        <w:rPr>
          <w:rFonts w:ascii="Times New Roman" w:hAnsi="Times New Roman" w:cs="Times New Roman"/>
          <w:lang w:bidi="lt-LT"/>
        </w:rPr>
        <w:t>, šio vaisto vartoti negalima</w:t>
      </w:r>
      <w:r w:rsidR="004804D2" w:rsidRPr="004804D2">
        <w:rPr>
          <w:rFonts w:ascii="Times New Roman" w:hAnsi="Times New Roman" w:cs="Times New Roman"/>
          <w:lang w:bidi="lt-LT"/>
        </w:rPr>
        <w:t>.</w:t>
      </w:r>
    </w:p>
    <w:p w14:paraId="25232B6E" w14:textId="77777777" w:rsidR="004804D2" w:rsidRPr="004804D2" w:rsidRDefault="004804D2" w:rsidP="004804D2">
      <w:pPr>
        <w:spacing w:after="0" w:line="240" w:lineRule="auto"/>
        <w:jc w:val="both"/>
        <w:rPr>
          <w:rFonts w:ascii="Times New Roman" w:hAnsi="Times New Roman" w:cs="Times New Roman"/>
        </w:rPr>
      </w:pPr>
    </w:p>
    <w:p w14:paraId="5145D601" w14:textId="77777777" w:rsidR="004804D2" w:rsidRPr="004804D2"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lang w:bidi="lt-LT"/>
        </w:rPr>
        <w:t>Vaistų negalima išmesti į kanalizaciją arba su buitinėmis atliekomis. Kaip išmesti nereikalingus vaistus, klauskite vaistininko. Šios priemonės padės apsaugoti aplinką.</w:t>
      </w:r>
    </w:p>
    <w:p w14:paraId="7F2FC34B" w14:textId="77777777" w:rsidR="004804D2" w:rsidRPr="004804D2" w:rsidRDefault="004804D2" w:rsidP="004804D2">
      <w:pPr>
        <w:spacing w:before="6" w:after="0" w:line="240" w:lineRule="auto"/>
        <w:jc w:val="both"/>
        <w:rPr>
          <w:rFonts w:ascii="Times New Roman" w:hAnsi="Times New Roman" w:cs="Times New Roman"/>
        </w:rPr>
      </w:pPr>
    </w:p>
    <w:p w14:paraId="666419C4" w14:textId="77777777" w:rsidR="004804D2" w:rsidRPr="004804D2" w:rsidRDefault="004804D2" w:rsidP="004804D2">
      <w:pPr>
        <w:spacing w:before="6" w:after="0" w:line="240" w:lineRule="auto"/>
        <w:jc w:val="both"/>
        <w:rPr>
          <w:rFonts w:ascii="Times New Roman" w:hAnsi="Times New Roman" w:cs="Times New Roman"/>
        </w:rPr>
      </w:pPr>
    </w:p>
    <w:p w14:paraId="293D686B" w14:textId="77777777" w:rsidR="004804D2" w:rsidRPr="004804D2" w:rsidRDefault="004804D2" w:rsidP="004804D2">
      <w:pPr>
        <w:keepNext/>
        <w:keepLines/>
        <w:numPr>
          <w:ilvl w:val="0"/>
          <w:numId w:val="8"/>
        </w:numPr>
        <w:spacing w:after="0" w:line="240" w:lineRule="auto"/>
        <w:ind w:left="0" w:right="45" w:firstLine="0"/>
        <w:jc w:val="both"/>
        <w:outlineLvl w:val="0"/>
        <w:rPr>
          <w:rFonts w:ascii="Times New Roman" w:eastAsiaTheme="majorEastAsia" w:hAnsi="Times New Roman" w:cs="Times New Roman"/>
          <w:b/>
          <w:bCs/>
          <w:lang w:val="en-US"/>
        </w:rPr>
      </w:pPr>
      <w:r w:rsidRPr="004804D2">
        <w:rPr>
          <w:rFonts w:ascii="Times New Roman" w:hAnsi="Times New Roman" w:cs="Times New Roman"/>
          <w:b/>
          <w:lang w:bidi="lt-LT"/>
        </w:rPr>
        <w:t>Pakuotės turinys ir kita informacija</w:t>
      </w:r>
    </w:p>
    <w:p w14:paraId="33DBA025" w14:textId="77777777" w:rsidR="004804D2" w:rsidRPr="004804D2" w:rsidRDefault="004804D2" w:rsidP="004804D2">
      <w:pPr>
        <w:spacing w:before="6" w:after="0" w:line="240" w:lineRule="auto"/>
        <w:jc w:val="both"/>
        <w:rPr>
          <w:rFonts w:ascii="Times New Roman" w:hAnsi="Times New Roman" w:cs="Times New Roman"/>
          <w:highlight w:val="yellow"/>
          <w:lang w:val="en-US"/>
        </w:rPr>
      </w:pPr>
    </w:p>
    <w:p w14:paraId="0B9B8C07" w14:textId="1BB8DBB4"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sudėtis</w:t>
      </w:r>
    </w:p>
    <w:p w14:paraId="6957A130" w14:textId="77777777"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Veiklioji medžiaga yra linagliptinas.</w:t>
      </w:r>
    </w:p>
    <w:p w14:paraId="61CF9490" w14:textId="77777777" w:rsidR="004804D2" w:rsidRPr="004804D2" w:rsidRDefault="004804D2" w:rsidP="004804D2">
      <w:pPr>
        <w:ind w:left="1080"/>
        <w:contextualSpacing/>
        <w:rPr>
          <w:rFonts w:ascii="Times New Roman" w:hAnsi="Times New Roman" w:cs="Times New Roman"/>
          <w:lang w:val="en-US"/>
        </w:rPr>
      </w:pPr>
      <w:r w:rsidRPr="004804D2">
        <w:rPr>
          <w:rFonts w:ascii="Times New Roman" w:hAnsi="Times New Roman" w:cs="Times New Roman"/>
          <w:lang w:bidi="lt-LT"/>
        </w:rPr>
        <w:t>Kiekvienoje plėvele dengtoje tabletėje yra 5 mg linagliptino.</w:t>
      </w:r>
    </w:p>
    <w:p w14:paraId="73834841" w14:textId="77777777" w:rsidR="004804D2" w:rsidRPr="004804D2" w:rsidRDefault="004804D2" w:rsidP="004804D2">
      <w:pPr>
        <w:spacing w:after="0" w:line="240" w:lineRule="auto"/>
        <w:jc w:val="both"/>
        <w:rPr>
          <w:rFonts w:ascii="Times New Roman" w:hAnsi="Times New Roman" w:cs="Times New Roman"/>
          <w:highlight w:val="yellow"/>
          <w:lang w:val="en-US"/>
        </w:rPr>
      </w:pPr>
    </w:p>
    <w:p w14:paraId="0E77CDB1" w14:textId="77777777" w:rsidR="004804D2" w:rsidRPr="004804D2" w:rsidRDefault="004804D2" w:rsidP="004804D2">
      <w:pPr>
        <w:numPr>
          <w:ilvl w:val="0"/>
          <w:numId w:val="6"/>
        </w:numPr>
        <w:contextualSpacing/>
        <w:rPr>
          <w:rFonts w:ascii="Times New Roman" w:hAnsi="Times New Roman" w:cs="Times New Roman"/>
          <w:lang w:val="en-US"/>
        </w:rPr>
      </w:pPr>
      <w:r w:rsidRPr="004804D2">
        <w:rPr>
          <w:rFonts w:ascii="Times New Roman" w:hAnsi="Times New Roman" w:cs="Times New Roman"/>
          <w:lang w:bidi="lt-LT"/>
        </w:rPr>
        <w:t>Pagalbinės medžiagos yra</w:t>
      </w:r>
    </w:p>
    <w:p w14:paraId="251ABE51" w14:textId="77777777" w:rsidR="004804D2" w:rsidRPr="00E1529B" w:rsidRDefault="004804D2" w:rsidP="004804D2">
      <w:pPr>
        <w:ind w:left="1080"/>
        <w:contextualSpacing/>
        <w:rPr>
          <w:rFonts w:ascii="Times New Roman" w:hAnsi="Times New Roman" w:cs="Times New Roman"/>
          <w:lang w:val="pt-PT"/>
        </w:rPr>
      </w:pPr>
      <w:r w:rsidRPr="004804D2">
        <w:rPr>
          <w:rFonts w:ascii="Times New Roman" w:hAnsi="Times New Roman" w:cs="Times New Roman"/>
          <w:u w:val="single"/>
          <w:lang w:bidi="lt-LT"/>
        </w:rPr>
        <w:t>Tabletės šerdis:</w:t>
      </w:r>
      <w:r w:rsidRPr="004804D2">
        <w:rPr>
          <w:rFonts w:ascii="Times New Roman" w:hAnsi="Times New Roman" w:cs="Times New Roman"/>
          <w:lang w:bidi="lt-LT"/>
        </w:rPr>
        <w:t xml:space="preserve"> Manitolis, pregelifikuotas krakmolas, povidonas K-30, kukurūzų krakmolas, magnio stearatas</w:t>
      </w:r>
    </w:p>
    <w:p w14:paraId="0E03FA0D" w14:textId="77777777" w:rsidR="004804D2" w:rsidRPr="00E1529B" w:rsidRDefault="004804D2" w:rsidP="004804D2">
      <w:pPr>
        <w:ind w:left="1080"/>
        <w:contextualSpacing/>
        <w:rPr>
          <w:rFonts w:ascii="Times New Roman" w:hAnsi="Times New Roman" w:cs="Times New Roman"/>
          <w:lang w:val="pt-PT"/>
        </w:rPr>
      </w:pPr>
      <w:r w:rsidRPr="004804D2">
        <w:rPr>
          <w:rFonts w:ascii="Times New Roman" w:hAnsi="Times New Roman" w:cs="Times New Roman"/>
          <w:u w:val="single"/>
          <w:lang w:bidi="lt-LT"/>
        </w:rPr>
        <w:t>Tabletės plėvelė:</w:t>
      </w:r>
      <w:r w:rsidRPr="004804D2">
        <w:rPr>
          <w:rFonts w:ascii="Times New Roman" w:hAnsi="Times New Roman" w:cs="Times New Roman"/>
          <w:lang w:bidi="lt-LT"/>
        </w:rPr>
        <w:t xml:space="preserve"> Hipromeliozė, titano dioksidas (E171), makrogolis 400, raudonasis geležies oksidas (E172)</w:t>
      </w:r>
    </w:p>
    <w:p w14:paraId="499C8948" w14:textId="77777777" w:rsidR="004804D2" w:rsidRPr="00E1529B" w:rsidRDefault="004804D2" w:rsidP="004804D2">
      <w:pPr>
        <w:spacing w:after="0" w:line="240" w:lineRule="auto"/>
        <w:jc w:val="both"/>
        <w:rPr>
          <w:rFonts w:ascii="Times New Roman" w:hAnsi="Times New Roman" w:cs="Times New Roman"/>
          <w:highlight w:val="yellow"/>
          <w:lang w:val="pt-PT"/>
        </w:rPr>
      </w:pPr>
    </w:p>
    <w:p w14:paraId="154B70B7" w14:textId="1DD1502D" w:rsidR="004804D2" w:rsidRPr="004804D2" w:rsidRDefault="002452FC" w:rsidP="004804D2">
      <w:pPr>
        <w:keepNext/>
        <w:keepLines/>
        <w:spacing w:after="0" w:line="240" w:lineRule="auto"/>
        <w:ind w:right="45"/>
        <w:jc w:val="both"/>
        <w:outlineLvl w:val="0"/>
        <w:rPr>
          <w:rFonts w:ascii="Times New Roman" w:eastAsiaTheme="majorEastAsia" w:hAnsi="Times New Roman" w:cs="Times New Roman"/>
          <w:b/>
          <w:bCs/>
          <w:lang w:val="en-US"/>
        </w:rPr>
      </w:pPr>
      <w:r>
        <w:rPr>
          <w:rFonts w:ascii="Times New Roman" w:hAnsi="Times New Roman" w:cs="Times New Roman"/>
          <w:b/>
          <w:lang w:bidi="lt-LT"/>
        </w:rPr>
        <w:t>Bottiar</w:t>
      </w:r>
      <w:r w:rsidR="004804D2" w:rsidRPr="004804D2">
        <w:rPr>
          <w:rFonts w:ascii="Times New Roman" w:hAnsi="Times New Roman" w:cs="Times New Roman"/>
          <w:b/>
          <w:lang w:bidi="lt-LT"/>
        </w:rPr>
        <w:t xml:space="preserve"> išvaizda ir kiekis pakuotėje</w:t>
      </w:r>
    </w:p>
    <w:p w14:paraId="0A2FE2FE" w14:textId="45AE4CB4" w:rsidR="004804D2" w:rsidRPr="004804D2" w:rsidRDefault="002452FC" w:rsidP="004804D2">
      <w:pPr>
        <w:numPr>
          <w:ilvl w:val="0"/>
          <w:numId w:val="9"/>
        </w:numPr>
        <w:spacing w:before="6" w:after="0" w:line="240" w:lineRule="auto"/>
        <w:contextualSpacing/>
        <w:jc w:val="both"/>
        <w:rPr>
          <w:rFonts w:ascii="Times New Roman" w:hAnsi="Times New Roman" w:cs="Times New Roman"/>
          <w:lang w:val="en-US"/>
        </w:rPr>
      </w:pPr>
      <w:r>
        <w:rPr>
          <w:rFonts w:ascii="Times New Roman" w:hAnsi="Times New Roman" w:cs="Times New Roman"/>
          <w:lang w:bidi="lt-LT"/>
        </w:rPr>
        <w:t>Bottiar</w:t>
      </w:r>
      <w:r w:rsidR="004804D2" w:rsidRPr="004804D2">
        <w:rPr>
          <w:rFonts w:ascii="Times New Roman" w:hAnsi="Times New Roman" w:cs="Times New Roman"/>
          <w:lang w:bidi="lt-LT"/>
        </w:rPr>
        <w:t xml:space="preserve"> 5</w:t>
      </w:r>
      <w:r w:rsidR="000961AF">
        <w:rPr>
          <w:rFonts w:ascii="Times New Roman" w:hAnsi="Times New Roman" w:cs="Times New Roman"/>
          <w:lang w:bidi="lt-LT"/>
        </w:rPr>
        <w:t> </w:t>
      </w:r>
      <w:r w:rsidR="004804D2" w:rsidRPr="004804D2">
        <w:rPr>
          <w:rFonts w:ascii="Times New Roman" w:hAnsi="Times New Roman" w:cs="Times New Roman"/>
          <w:lang w:bidi="lt-LT"/>
        </w:rPr>
        <w:t>mg plėvele dengtos tabletės yra raudonos, apvalios, abipus išgaubtos, kurių nominalus skersmuo yra 8.1</w:t>
      </w:r>
      <w:r w:rsidR="000961AF">
        <w:rPr>
          <w:rFonts w:ascii="Times New Roman" w:hAnsi="Times New Roman" w:cs="Times New Roman"/>
          <w:lang w:bidi="lt-LT"/>
        </w:rPr>
        <w:t> </w:t>
      </w:r>
      <w:r w:rsidR="004804D2" w:rsidRPr="004804D2">
        <w:rPr>
          <w:rFonts w:ascii="Times New Roman" w:hAnsi="Times New Roman" w:cs="Times New Roman"/>
          <w:lang w:bidi="lt-LT"/>
        </w:rPr>
        <w:t>mm, vienoje tabletės pusėje įspausta žyma „5“, o kitoje pusėje yra lygi</w:t>
      </w:r>
      <w:bookmarkStart w:id="1" w:name="_Hlk156902843"/>
      <w:r w:rsidR="004804D2" w:rsidRPr="004804D2">
        <w:rPr>
          <w:rFonts w:ascii="Times New Roman" w:hAnsi="Times New Roman" w:cs="Times New Roman"/>
          <w:lang w:bidi="lt-LT"/>
        </w:rPr>
        <w:t>.</w:t>
      </w:r>
      <w:bookmarkEnd w:id="1"/>
    </w:p>
    <w:p w14:paraId="6A23DAD3" w14:textId="77777777" w:rsidR="004804D2" w:rsidRPr="004804D2" w:rsidRDefault="004804D2" w:rsidP="004804D2">
      <w:pPr>
        <w:spacing w:after="0" w:line="240" w:lineRule="auto"/>
        <w:jc w:val="both"/>
        <w:rPr>
          <w:rFonts w:ascii="Times New Roman" w:hAnsi="Times New Roman" w:cs="Times New Roman"/>
          <w:highlight w:val="yellow"/>
          <w:lang w:val="en-US"/>
        </w:rPr>
      </w:pPr>
    </w:p>
    <w:p w14:paraId="7C8EC576" w14:textId="757B8C8C" w:rsidR="004804D2" w:rsidRPr="00E1529B" w:rsidRDefault="002452FC" w:rsidP="004804D2">
      <w:pPr>
        <w:numPr>
          <w:ilvl w:val="0"/>
          <w:numId w:val="9"/>
        </w:numPr>
        <w:spacing w:before="6" w:after="0" w:line="240" w:lineRule="auto"/>
        <w:contextualSpacing/>
        <w:jc w:val="both"/>
        <w:rPr>
          <w:rFonts w:ascii="Times New Roman" w:hAnsi="Times New Roman" w:cs="Times New Roman"/>
          <w:lang w:val="pt-PT"/>
        </w:rPr>
      </w:pPr>
      <w:r>
        <w:rPr>
          <w:rFonts w:ascii="Times New Roman" w:hAnsi="Times New Roman" w:cs="Times New Roman"/>
          <w:lang w:bidi="lt-LT"/>
        </w:rPr>
        <w:t>Bottiar</w:t>
      </w:r>
      <w:r w:rsidR="004804D2" w:rsidRPr="004804D2">
        <w:rPr>
          <w:rFonts w:ascii="Times New Roman" w:hAnsi="Times New Roman" w:cs="Times New Roman"/>
          <w:lang w:bidi="lt-LT"/>
        </w:rPr>
        <w:t xml:space="preserve"> yra tiekimas aliuminio folijos lizdinėse plokštelėse. Pakuotės dydžiai yra: 10, 14, 28, 30, 56, 60, 84, 90, 98, 100 ir 120 tablečių. </w:t>
      </w:r>
    </w:p>
    <w:p w14:paraId="0C3A46E4" w14:textId="77777777" w:rsidR="004804D2" w:rsidRPr="00E1529B" w:rsidRDefault="004804D2" w:rsidP="004804D2">
      <w:pPr>
        <w:ind w:left="720"/>
        <w:contextualSpacing/>
        <w:rPr>
          <w:rFonts w:ascii="Times New Roman" w:hAnsi="Times New Roman" w:cs="Times New Roman"/>
          <w:lang w:val="pt-PT"/>
        </w:rPr>
      </w:pPr>
    </w:p>
    <w:p w14:paraId="32BE5898" w14:textId="1FCBBDE4" w:rsidR="004804D2" w:rsidRPr="00E1529B" w:rsidRDefault="004804D2" w:rsidP="004804D2">
      <w:pPr>
        <w:numPr>
          <w:ilvl w:val="0"/>
          <w:numId w:val="9"/>
        </w:numPr>
        <w:spacing w:before="6" w:after="0" w:line="240" w:lineRule="auto"/>
        <w:contextualSpacing/>
        <w:jc w:val="both"/>
        <w:rPr>
          <w:rFonts w:ascii="Times New Roman" w:hAnsi="Times New Roman" w:cs="Times New Roman"/>
          <w:lang w:val="pt-PT"/>
        </w:rPr>
      </w:pPr>
      <w:r w:rsidRPr="004804D2">
        <w:rPr>
          <w:rFonts w:ascii="Times New Roman" w:hAnsi="Times New Roman" w:cs="Times New Roman"/>
          <w:lang w:bidi="lt-LT"/>
        </w:rPr>
        <w:t xml:space="preserve">Visų dydžių pakuotės taip pat gali būti pateikiamos kaip </w:t>
      </w:r>
      <w:r w:rsidR="007E67A4">
        <w:rPr>
          <w:rFonts w:ascii="Times New Roman" w:hAnsi="Times New Roman" w:cs="Times New Roman"/>
          <w:lang w:bidi="lt-LT"/>
        </w:rPr>
        <w:t>dalomosios</w:t>
      </w:r>
      <w:r w:rsidRPr="004804D2">
        <w:rPr>
          <w:rFonts w:ascii="Times New Roman" w:hAnsi="Times New Roman" w:cs="Times New Roman"/>
          <w:lang w:bidi="lt-LT"/>
        </w:rPr>
        <w:t xml:space="preserve"> lizdinės plokštelės: 10x1, 14x1, 28x1, 30x1, 56x1, 60x1, 84x1, 90x1, 98x1, 100x1 ir 120x1 plėvele dengtos tabletės (vieneto dozė)</w:t>
      </w:r>
    </w:p>
    <w:p w14:paraId="4B5988CC" w14:textId="77777777" w:rsidR="004804D2" w:rsidRPr="00E1529B" w:rsidRDefault="004804D2" w:rsidP="004804D2">
      <w:pPr>
        <w:spacing w:before="6" w:after="0" w:line="240" w:lineRule="auto"/>
        <w:jc w:val="both"/>
        <w:rPr>
          <w:rFonts w:ascii="Times New Roman" w:hAnsi="Times New Roman" w:cs="Times New Roman"/>
          <w:highlight w:val="yellow"/>
          <w:lang w:val="pt-PT"/>
        </w:rPr>
      </w:pPr>
    </w:p>
    <w:p w14:paraId="44E1E22F" w14:textId="77777777" w:rsidR="004804D2" w:rsidRPr="00E1529B" w:rsidRDefault="004804D2" w:rsidP="004804D2">
      <w:pPr>
        <w:spacing w:before="6" w:after="0" w:line="240" w:lineRule="auto"/>
        <w:jc w:val="both"/>
        <w:rPr>
          <w:rFonts w:ascii="Times New Roman" w:hAnsi="Times New Roman" w:cs="Times New Roman"/>
          <w:lang w:val="pt-PT"/>
        </w:rPr>
      </w:pPr>
      <w:r w:rsidRPr="004804D2">
        <w:rPr>
          <w:rFonts w:ascii="Times New Roman" w:hAnsi="Times New Roman" w:cs="Times New Roman"/>
          <w:lang w:bidi="lt-LT"/>
        </w:rPr>
        <w:t>Gali būti tiekiamos ne visų dydžių pakuotės.</w:t>
      </w:r>
    </w:p>
    <w:p w14:paraId="28AF0A61" w14:textId="77777777" w:rsidR="004804D2" w:rsidRPr="00E1529B" w:rsidRDefault="004804D2" w:rsidP="004804D2">
      <w:pPr>
        <w:spacing w:before="6" w:after="0" w:line="240" w:lineRule="auto"/>
        <w:jc w:val="both"/>
        <w:rPr>
          <w:rFonts w:ascii="Times New Roman" w:hAnsi="Times New Roman" w:cs="Times New Roman"/>
          <w:lang w:val="pt-PT"/>
        </w:rPr>
      </w:pPr>
    </w:p>
    <w:p w14:paraId="5E2DF4E4" w14:textId="4AC17347" w:rsidR="004804D2" w:rsidRPr="00E1529B" w:rsidRDefault="000961AF" w:rsidP="004804D2">
      <w:pPr>
        <w:keepNext/>
        <w:keepLines/>
        <w:spacing w:after="0" w:line="240" w:lineRule="auto"/>
        <w:ind w:right="45"/>
        <w:jc w:val="both"/>
        <w:outlineLvl w:val="0"/>
        <w:rPr>
          <w:rFonts w:ascii="Times New Roman" w:eastAsiaTheme="majorEastAsia" w:hAnsi="Times New Roman" w:cs="Times New Roman"/>
          <w:b/>
          <w:bCs/>
          <w:lang w:val="pt-PT"/>
        </w:rPr>
      </w:pPr>
      <w:r w:rsidRPr="000961AF">
        <w:rPr>
          <w:rFonts w:ascii="Times New Roman" w:hAnsi="Times New Roman" w:cs="Times New Roman"/>
          <w:b/>
          <w:lang w:bidi="lt-LT"/>
        </w:rPr>
        <w:t>Registruotojas ir gamintojas</w:t>
      </w:r>
    </w:p>
    <w:p w14:paraId="2418BDE0" w14:textId="77777777" w:rsidR="004804D2" w:rsidRPr="00E1529B" w:rsidRDefault="004804D2" w:rsidP="004804D2">
      <w:pPr>
        <w:spacing w:before="6" w:after="0" w:line="240" w:lineRule="auto"/>
        <w:jc w:val="both"/>
        <w:rPr>
          <w:rFonts w:ascii="Times New Roman" w:hAnsi="Times New Roman" w:cs="Times New Roman"/>
          <w:lang w:val="pt-PT"/>
        </w:rPr>
      </w:pPr>
    </w:p>
    <w:p w14:paraId="2CFA0AA9" w14:textId="77777777" w:rsidR="001E000B" w:rsidRPr="001E000B" w:rsidRDefault="001E000B" w:rsidP="001E000B">
      <w:pPr>
        <w:spacing w:before="6" w:after="0" w:line="240" w:lineRule="auto"/>
        <w:jc w:val="both"/>
        <w:rPr>
          <w:rFonts w:ascii="Times New Roman" w:hAnsi="Times New Roman" w:cs="Times New Roman"/>
          <w:lang w:bidi="lt-LT"/>
        </w:rPr>
      </w:pPr>
      <w:proofErr w:type="spellStart"/>
      <w:r w:rsidRPr="001E000B">
        <w:rPr>
          <w:rFonts w:ascii="Times New Roman" w:hAnsi="Times New Roman" w:cs="Times New Roman"/>
          <w:lang w:bidi="lt-LT"/>
        </w:rPr>
        <w:t>Genepharm</w:t>
      </w:r>
      <w:proofErr w:type="spellEnd"/>
      <w:r w:rsidRPr="001E000B">
        <w:rPr>
          <w:rFonts w:ascii="Times New Roman" w:hAnsi="Times New Roman" w:cs="Times New Roman"/>
          <w:lang w:bidi="lt-LT"/>
        </w:rPr>
        <w:t xml:space="preserve"> S.A.</w:t>
      </w:r>
    </w:p>
    <w:p w14:paraId="506BBD4F" w14:textId="77777777"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 xml:space="preserve">18 Km </w:t>
      </w:r>
      <w:proofErr w:type="spellStart"/>
      <w:r w:rsidRPr="001E000B">
        <w:rPr>
          <w:rFonts w:ascii="Times New Roman" w:hAnsi="Times New Roman" w:cs="Times New Roman"/>
          <w:lang w:bidi="lt-LT"/>
        </w:rPr>
        <w:t>Marathon</w:t>
      </w:r>
      <w:proofErr w:type="spellEnd"/>
      <w:r w:rsidRPr="001E000B">
        <w:rPr>
          <w:rFonts w:ascii="Times New Roman" w:hAnsi="Times New Roman" w:cs="Times New Roman"/>
          <w:lang w:bidi="lt-LT"/>
        </w:rPr>
        <w:t xml:space="preserve"> </w:t>
      </w:r>
      <w:proofErr w:type="spellStart"/>
      <w:r w:rsidRPr="001E000B">
        <w:rPr>
          <w:rFonts w:ascii="Times New Roman" w:hAnsi="Times New Roman" w:cs="Times New Roman"/>
          <w:lang w:bidi="lt-LT"/>
        </w:rPr>
        <w:t>Avenue</w:t>
      </w:r>
      <w:proofErr w:type="spellEnd"/>
    </w:p>
    <w:p w14:paraId="1D9F8D87" w14:textId="43CB9852"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 xml:space="preserve">15351 </w:t>
      </w:r>
      <w:proofErr w:type="spellStart"/>
      <w:r w:rsidRPr="001E000B">
        <w:rPr>
          <w:rFonts w:ascii="Times New Roman" w:hAnsi="Times New Roman" w:cs="Times New Roman"/>
          <w:lang w:bidi="lt-LT"/>
        </w:rPr>
        <w:t>Pallini</w:t>
      </w:r>
      <w:proofErr w:type="spellEnd"/>
    </w:p>
    <w:p w14:paraId="0F77B47D" w14:textId="22C9E74C" w:rsidR="001E000B" w:rsidRPr="001E000B"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Gr</w:t>
      </w:r>
      <w:r w:rsidR="00487D3F">
        <w:rPr>
          <w:rFonts w:ascii="Times New Roman" w:hAnsi="Times New Roman" w:cs="Times New Roman"/>
          <w:lang w:bidi="lt-LT"/>
        </w:rPr>
        <w:t>aikija</w:t>
      </w:r>
    </w:p>
    <w:p w14:paraId="108E7929" w14:textId="77777777" w:rsidR="00487D3F" w:rsidRDefault="001E000B" w:rsidP="001E000B">
      <w:pPr>
        <w:spacing w:before="6" w:after="0" w:line="240" w:lineRule="auto"/>
        <w:jc w:val="both"/>
        <w:rPr>
          <w:rFonts w:ascii="Times New Roman" w:hAnsi="Times New Roman" w:cs="Times New Roman"/>
          <w:lang w:bidi="lt-LT"/>
        </w:rPr>
      </w:pPr>
      <w:r w:rsidRPr="001E000B">
        <w:rPr>
          <w:rFonts w:ascii="Times New Roman" w:hAnsi="Times New Roman" w:cs="Times New Roman"/>
          <w:lang w:bidi="lt-LT"/>
        </w:rPr>
        <w:t>Tel +30.210.60.39.336</w:t>
      </w:r>
    </w:p>
    <w:p w14:paraId="7E53D0A2" w14:textId="36BB1591" w:rsidR="001E000B" w:rsidRPr="001E000B" w:rsidRDefault="001E000B" w:rsidP="001E000B">
      <w:pPr>
        <w:spacing w:before="6" w:after="0" w:line="240" w:lineRule="auto"/>
        <w:jc w:val="both"/>
        <w:rPr>
          <w:rFonts w:ascii="Times New Roman" w:hAnsi="Times New Roman" w:cs="Times New Roman"/>
          <w:lang w:bidi="lt-LT"/>
        </w:rPr>
      </w:pPr>
      <w:proofErr w:type="spellStart"/>
      <w:r w:rsidRPr="001E000B">
        <w:rPr>
          <w:rFonts w:ascii="Times New Roman" w:hAnsi="Times New Roman" w:cs="Times New Roman"/>
          <w:lang w:bidi="lt-LT"/>
        </w:rPr>
        <w:t>Fax</w:t>
      </w:r>
      <w:proofErr w:type="spellEnd"/>
      <w:r w:rsidRPr="001E000B">
        <w:rPr>
          <w:rFonts w:ascii="Times New Roman" w:hAnsi="Times New Roman" w:cs="Times New Roman"/>
          <w:lang w:bidi="lt-LT"/>
        </w:rPr>
        <w:t xml:space="preserve"> +30.210.60.39.402</w:t>
      </w:r>
    </w:p>
    <w:p w14:paraId="3BA07BDE" w14:textId="44FE3B92" w:rsidR="001E000B" w:rsidRPr="00004E4A" w:rsidRDefault="001E000B" w:rsidP="001E000B">
      <w:pPr>
        <w:spacing w:before="6" w:after="0" w:line="240" w:lineRule="auto"/>
        <w:jc w:val="both"/>
        <w:rPr>
          <w:rFonts w:ascii="Times New Roman" w:hAnsi="Times New Roman" w:cs="Times New Roman"/>
          <w:lang w:bidi="lt-LT"/>
        </w:rPr>
      </w:pPr>
      <w:hyperlink r:id="rId10" w:history="1">
        <w:r w:rsidRPr="00406363">
          <w:rPr>
            <w:rStyle w:val="Hipersaitas"/>
            <w:rFonts w:ascii="Times New Roman" w:hAnsi="Times New Roman" w:cs="Times New Roman"/>
            <w:lang w:bidi="lt-LT"/>
          </w:rPr>
          <w:t>www.genepharm.com</w:t>
        </w:r>
      </w:hyperlink>
    </w:p>
    <w:p w14:paraId="4F268D89" w14:textId="77777777" w:rsidR="00004E4A" w:rsidRPr="00004E4A" w:rsidRDefault="00004E4A" w:rsidP="00004E4A">
      <w:pPr>
        <w:spacing w:before="6" w:after="0" w:line="240" w:lineRule="auto"/>
        <w:jc w:val="both"/>
        <w:rPr>
          <w:rFonts w:ascii="Times New Roman" w:hAnsi="Times New Roman" w:cs="Times New Roman"/>
          <w:lang w:bidi="lt-LT"/>
        </w:rPr>
      </w:pPr>
    </w:p>
    <w:p w14:paraId="39C14AB8" w14:textId="77777777" w:rsidR="00004E4A" w:rsidRPr="00004E4A" w:rsidRDefault="00004E4A" w:rsidP="00004E4A">
      <w:pPr>
        <w:spacing w:before="6" w:after="0" w:line="240" w:lineRule="auto"/>
        <w:jc w:val="both"/>
        <w:rPr>
          <w:rFonts w:ascii="Times New Roman" w:hAnsi="Times New Roman" w:cs="Times New Roman"/>
          <w:lang w:bidi="lt-LT"/>
        </w:rPr>
      </w:pPr>
    </w:p>
    <w:p w14:paraId="475C5AAC" w14:textId="0EED14A7" w:rsidR="00004E4A" w:rsidRPr="00004E4A" w:rsidRDefault="00004E4A" w:rsidP="00004E4A">
      <w:pPr>
        <w:spacing w:before="6" w:after="0" w:line="240" w:lineRule="auto"/>
        <w:jc w:val="both"/>
        <w:rPr>
          <w:rFonts w:ascii="Times New Roman" w:hAnsi="Times New Roman" w:cs="Times New Roman"/>
          <w:lang w:bidi="lt-LT"/>
        </w:rPr>
      </w:pPr>
      <w:r w:rsidRPr="00004E4A">
        <w:rPr>
          <w:rFonts w:ascii="Times New Roman" w:hAnsi="Times New Roman" w:cs="Times New Roman"/>
          <w:lang w:bidi="lt-LT"/>
        </w:rPr>
        <w:t>Šis vaistas Europos ekonominės erdvės valstybėse narėse</w:t>
      </w:r>
      <w:r w:rsidR="00487D3F">
        <w:rPr>
          <w:rFonts w:ascii="Times New Roman" w:hAnsi="Times New Roman" w:cs="Times New Roman"/>
          <w:lang w:bidi="lt-LT"/>
        </w:rPr>
        <w:t xml:space="preserve"> </w:t>
      </w:r>
      <w:r w:rsidRPr="00004E4A">
        <w:rPr>
          <w:rFonts w:ascii="Times New Roman" w:hAnsi="Times New Roman" w:cs="Times New Roman"/>
          <w:lang w:bidi="lt-LT"/>
        </w:rPr>
        <w:t>registruotas tokiais pavadinimais:</w:t>
      </w:r>
    </w:p>
    <w:p w14:paraId="3D0F4C8E" w14:textId="37E4EFA2" w:rsidR="00004E4A" w:rsidRPr="00004E4A" w:rsidRDefault="001E000B" w:rsidP="001E000B">
      <w:pPr>
        <w:spacing w:before="6" w:after="0" w:line="240" w:lineRule="auto"/>
        <w:jc w:val="both"/>
        <w:rPr>
          <w:rFonts w:ascii="Times New Roman" w:hAnsi="Times New Roman" w:cs="Times New Roman"/>
          <w:lang w:bidi="lt-LT"/>
        </w:rPr>
      </w:pPr>
      <w:r>
        <w:rPr>
          <w:rFonts w:ascii="Times New Roman" w:hAnsi="Times New Roman" w:cs="Times New Roman"/>
          <w:lang w:bidi="lt-LT"/>
        </w:rPr>
        <w:t>Li</w:t>
      </w:r>
      <w:r w:rsidR="00487D3F">
        <w:rPr>
          <w:rFonts w:ascii="Times New Roman" w:hAnsi="Times New Roman" w:cs="Times New Roman"/>
          <w:lang w:bidi="lt-LT"/>
        </w:rPr>
        <w:t>etuva</w:t>
      </w:r>
      <w:r w:rsidR="00004E4A" w:rsidRPr="00004E4A">
        <w:rPr>
          <w:rFonts w:ascii="Times New Roman" w:hAnsi="Times New Roman" w:cs="Times New Roman"/>
          <w:lang w:bidi="lt-LT"/>
        </w:rPr>
        <w:t xml:space="preserve"> – </w:t>
      </w:r>
      <w:proofErr w:type="spellStart"/>
      <w:r w:rsidRPr="001E000B">
        <w:rPr>
          <w:rFonts w:ascii="Times New Roman" w:hAnsi="Times New Roman" w:cs="Times New Roman"/>
          <w:lang w:bidi="lt-LT"/>
        </w:rPr>
        <w:t>Bottiar</w:t>
      </w:r>
      <w:proofErr w:type="spellEnd"/>
      <w:r w:rsidRPr="001E000B">
        <w:rPr>
          <w:rFonts w:ascii="Times New Roman" w:hAnsi="Times New Roman" w:cs="Times New Roman"/>
          <w:lang w:bidi="lt-LT"/>
        </w:rPr>
        <w:t xml:space="preserve"> 5 mg plėvele dengtos</w:t>
      </w:r>
      <w:r>
        <w:rPr>
          <w:rFonts w:ascii="Times New Roman" w:hAnsi="Times New Roman" w:cs="Times New Roman"/>
          <w:lang w:bidi="lt-LT"/>
        </w:rPr>
        <w:t xml:space="preserve"> </w:t>
      </w:r>
      <w:r w:rsidRPr="001E000B">
        <w:rPr>
          <w:rFonts w:ascii="Times New Roman" w:hAnsi="Times New Roman" w:cs="Times New Roman"/>
          <w:lang w:bidi="lt-LT"/>
        </w:rPr>
        <w:t>tabletės</w:t>
      </w:r>
    </w:p>
    <w:p w14:paraId="0EF8B5C9" w14:textId="64C9ED05" w:rsidR="00004E4A" w:rsidRDefault="001E000B" w:rsidP="00004E4A">
      <w:pPr>
        <w:spacing w:before="6" w:after="0" w:line="240" w:lineRule="auto"/>
        <w:jc w:val="both"/>
        <w:rPr>
          <w:rFonts w:ascii="Times New Roman" w:hAnsi="Times New Roman" w:cs="Times New Roman"/>
          <w:lang w:bidi="lt-LT"/>
        </w:rPr>
      </w:pPr>
      <w:r>
        <w:rPr>
          <w:rFonts w:ascii="Times New Roman" w:hAnsi="Times New Roman" w:cs="Times New Roman"/>
          <w:lang w:bidi="lt-LT"/>
        </w:rPr>
        <w:t>Gr</w:t>
      </w:r>
      <w:r w:rsidR="00487D3F">
        <w:rPr>
          <w:rFonts w:ascii="Times New Roman" w:hAnsi="Times New Roman" w:cs="Times New Roman"/>
          <w:lang w:bidi="lt-LT"/>
        </w:rPr>
        <w:t>aikija</w:t>
      </w:r>
      <w:r w:rsidR="00004E4A" w:rsidRPr="00004E4A">
        <w:rPr>
          <w:rFonts w:ascii="Times New Roman" w:hAnsi="Times New Roman" w:cs="Times New Roman"/>
          <w:lang w:bidi="lt-LT"/>
        </w:rPr>
        <w:t xml:space="preserve"> – </w:t>
      </w:r>
      <w:r w:rsidRPr="001E000B">
        <w:t xml:space="preserve"> </w:t>
      </w:r>
      <w:proofErr w:type="spellStart"/>
      <w:r w:rsidRPr="001E000B">
        <w:rPr>
          <w:rFonts w:ascii="Times New Roman" w:hAnsi="Times New Roman" w:cs="Times New Roman"/>
          <w:lang w:bidi="lt-LT"/>
        </w:rPr>
        <w:t>Bottiar</w:t>
      </w:r>
      <w:proofErr w:type="spellEnd"/>
    </w:p>
    <w:p w14:paraId="57977C88" w14:textId="77777777" w:rsidR="004B1235" w:rsidRPr="00004E4A" w:rsidRDefault="004B1235" w:rsidP="00004E4A">
      <w:pPr>
        <w:spacing w:before="6" w:after="0" w:line="240" w:lineRule="auto"/>
        <w:jc w:val="both"/>
        <w:rPr>
          <w:rFonts w:ascii="Times New Roman" w:hAnsi="Times New Roman" w:cs="Times New Roman"/>
          <w:lang w:bidi="lt-LT"/>
        </w:rPr>
      </w:pPr>
    </w:p>
    <w:p w14:paraId="0D389B43" w14:textId="77777777" w:rsidR="004804D2" w:rsidRPr="004B1235" w:rsidRDefault="004804D2" w:rsidP="004804D2">
      <w:pPr>
        <w:spacing w:before="6" w:after="0" w:line="240" w:lineRule="auto"/>
        <w:jc w:val="both"/>
        <w:rPr>
          <w:rFonts w:ascii="Times New Roman" w:hAnsi="Times New Roman" w:cs="Times New Roman"/>
        </w:rPr>
      </w:pPr>
    </w:p>
    <w:p w14:paraId="4FA903D3" w14:textId="69214B6B" w:rsidR="004804D2" w:rsidRPr="004B1235" w:rsidRDefault="004804D2" w:rsidP="004804D2">
      <w:pPr>
        <w:spacing w:before="6" w:after="0" w:line="240" w:lineRule="auto"/>
        <w:jc w:val="both"/>
        <w:rPr>
          <w:rFonts w:ascii="Times New Roman" w:hAnsi="Times New Roman" w:cs="Times New Roman"/>
        </w:rPr>
      </w:pPr>
      <w:r w:rsidRPr="004804D2">
        <w:rPr>
          <w:rFonts w:ascii="Times New Roman" w:hAnsi="Times New Roman" w:cs="Times New Roman"/>
          <w:b/>
          <w:lang w:bidi="lt-LT"/>
        </w:rPr>
        <w:t xml:space="preserve">Šis pakuotės lapelis paskutinį kartą </w:t>
      </w:r>
      <w:r w:rsidRPr="007E67A4">
        <w:rPr>
          <w:rFonts w:ascii="Times New Roman" w:hAnsi="Times New Roman" w:cs="Times New Roman"/>
          <w:b/>
          <w:lang w:bidi="lt-LT"/>
        </w:rPr>
        <w:t>peržiūrėtas</w:t>
      </w:r>
      <w:r w:rsidRPr="00706810">
        <w:rPr>
          <w:rFonts w:ascii="Times New Roman" w:hAnsi="Times New Roman" w:cs="Times New Roman"/>
          <w:b/>
          <w:lang w:bidi="lt-LT"/>
        </w:rPr>
        <w:t xml:space="preserve"> </w:t>
      </w:r>
      <w:r w:rsidR="004B1235">
        <w:rPr>
          <w:rFonts w:ascii="Times New Roman" w:hAnsi="Times New Roman" w:cs="Times New Roman"/>
          <w:b/>
          <w:lang w:bidi="lt-LT"/>
        </w:rPr>
        <w:t>2024-12-20.</w:t>
      </w:r>
    </w:p>
    <w:p w14:paraId="22048F1E" w14:textId="77777777" w:rsidR="004804D2" w:rsidRPr="004B1235" w:rsidRDefault="004804D2" w:rsidP="004804D2">
      <w:pPr>
        <w:keepNext/>
        <w:keepLines/>
        <w:spacing w:after="0" w:line="240" w:lineRule="auto"/>
        <w:ind w:right="45"/>
        <w:jc w:val="both"/>
        <w:outlineLvl w:val="0"/>
        <w:rPr>
          <w:rFonts w:ascii="Times New Roman" w:eastAsiaTheme="majorEastAsia" w:hAnsi="Times New Roman" w:cs="Times New Roman"/>
          <w:b/>
          <w:bCs/>
        </w:rPr>
      </w:pPr>
    </w:p>
    <w:p w14:paraId="5524872B" w14:textId="1E61369D" w:rsidR="007E67A4" w:rsidRPr="004B1235" w:rsidRDefault="007E67A4" w:rsidP="007E67A4">
      <w:pPr>
        <w:suppressAutoHyphens/>
        <w:autoSpaceDN w:val="0"/>
        <w:spacing w:after="0" w:line="240" w:lineRule="auto"/>
        <w:jc w:val="both"/>
        <w:rPr>
          <w:rFonts w:ascii="Times New Roman" w:eastAsia="Calibri" w:hAnsi="Times New Roman" w:cs="Times New Roman"/>
          <w:b/>
          <w:bCs/>
        </w:rPr>
      </w:pPr>
      <w:r w:rsidRPr="004B1235">
        <w:rPr>
          <w:rFonts w:ascii="Times New Roman" w:eastAsia="Calibri" w:hAnsi="Times New Roman" w:cs="Times New Roman"/>
          <w:b/>
          <w:bCs/>
        </w:rPr>
        <w:t>Kiti informacijos šaltiniai</w:t>
      </w:r>
    </w:p>
    <w:p w14:paraId="7562722E" w14:textId="77777777" w:rsidR="007E67A4" w:rsidRPr="004B1235" w:rsidRDefault="007E67A4" w:rsidP="007E67A4">
      <w:pPr>
        <w:suppressAutoHyphens/>
        <w:autoSpaceDN w:val="0"/>
        <w:spacing w:after="0" w:line="240" w:lineRule="auto"/>
        <w:jc w:val="both"/>
        <w:rPr>
          <w:rFonts w:ascii="Times New Roman" w:eastAsia="Calibri" w:hAnsi="Times New Roman" w:cs="Times New Roman"/>
        </w:rPr>
      </w:pPr>
    </w:p>
    <w:p w14:paraId="14421F77" w14:textId="31768DD6" w:rsidR="007447A1" w:rsidRPr="004B1235" w:rsidRDefault="007E67A4" w:rsidP="007E67A4">
      <w:pPr>
        <w:suppressAutoHyphens/>
        <w:autoSpaceDN w:val="0"/>
        <w:spacing w:after="0" w:line="240" w:lineRule="auto"/>
        <w:jc w:val="both"/>
        <w:rPr>
          <w:rFonts w:ascii="Times New Roman" w:eastAsia="Calibri" w:hAnsi="Times New Roman" w:cs="Times New Roman"/>
        </w:rPr>
      </w:pPr>
      <w:r w:rsidRPr="004B1235">
        <w:rPr>
          <w:rFonts w:ascii="Times New Roman" w:eastAsia="Calibri" w:hAnsi="Times New Roman" w:cs="Times New Roman"/>
        </w:rPr>
        <w:t>Išsami informacija apie šį vaistą pateikiama Valstybinės vaistų kontrolės tarnybos prie Lietuvos Respublikos sveikatos apsaugos ministerijos tinklalapyje https://vvkt.lrv.lt/lt/.</w:t>
      </w:r>
    </w:p>
    <w:sectPr w:rsidR="007447A1" w:rsidRPr="004B1235" w:rsidSect="00487D3F">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7B4A" w14:textId="77777777" w:rsidR="00487D3F" w:rsidRDefault="00487D3F" w:rsidP="00F27D4F">
      <w:pPr>
        <w:spacing w:after="0" w:line="240" w:lineRule="auto"/>
      </w:pPr>
      <w:r>
        <w:separator/>
      </w:r>
    </w:p>
  </w:endnote>
  <w:endnote w:type="continuationSeparator" w:id="0">
    <w:p w14:paraId="690EF089" w14:textId="77777777" w:rsidR="00487D3F" w:rsidRDefault="00487D3F" w:rsidP="00F27D4F">
      <w:pPr>
        <w:spacing w:after="0" w:line="240" w:lineRule="auto"/>
      </w:pPr>
      <w:r>
        <w:continuationSeparator/>
      </w:r>
    </w:p>
  </w:endnote>
  <w:endnote w:type="continuationNotice" w:id="1">
    <w:p w14:paraId="5663C8A3" w14:textId="77777777" w:rsidR="00487D3F" w:rsidRDefault="00487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D2CD" w14:textId="77777777" w:rsidR="00487D3F" w:rsidRDefault="00487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463E" w14:textId="77777777" w:rsidR="00487D3F" w:rsidRDefault="00487D3F" w:rsidP="00F27D4F">
      <w:pPr>
        <w:spacing w:after="0" w:line="240" w:lineRule="auto"/>
      </w:pPr>
      <w:r>
        <w:separator/>
      </w:r>
    </w:p>
  </w:footnote>
  <w:footnote w:type="continuationSeparator" w:id="0">
    <w:p w14:paraId="4D16F6E9" w14:textId="77777777" w:rsidR="00487D3F" w:rsidRDefault="00487D3F" w:rsidP="00F27D4F">
      <w:pPr>
        <w:spacing w:after="0" w:line="240" w:lineRule="auto"/>
      </w:pPr>
      <w:r>
        <w:continuationSeparator/>
      </w:r>
    </w:p>
  </w:footnote>
  <w:footnote w:type="continuationNotice" w:id="1">
    <w:p w14:paraId="6C5CE4A3" w14:textId="77777777" w:rsidR="00487D3F" w:rsidRDefault="00487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7418" w14:textId="454B20BF" w:rsidR="005978D6" w:rsidRPr="00065CA0" w:rsidRDefault="005978D6" w:rsidP="0099557C">
    <w:pPr>
      <w:widowControl w:val="0"/>
      <w:tabs>
        <w:tab w:val="center" w:pos="4153"/>
        <w:tab w:val="right" w:pos="8306"/>
      </w:tabs>
      <w:autoSpaceDE w:val="0"/>
      <w:autoSpaceDN w:val="0"/>
      <w:adjustRightInd w:val="0"/>
      <w:spacing w:after="0" w:line="240" w:lineRule="auto"/>
      <w:jc w:val="right"/>
      <w:rPr>
        <w:rFonts w:ascii="Times New Roman" w:eastAsiaTheme="minorEastAsia" w:hAnsi="Times New Roman" w:cs="Times New Roman"/>
        <w:sz w:val="18"/>
        <w:szCs w:val="18"/>
        <w:lang w:val="en-US"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3D4A20"/>
    <w:multiLevelType w:val="multilevel"/>
    <w:tmpl w:val="040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A173F"/>
    <w:multiLevelType w:val="hybridMultilevel"/>
    <w:tmpl w:val="330EE9B0"/>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C18E0"/>
    <w:multiLevelType w:val="hybridMultilevel"/>
    <w:tmpl w:val="E306F9CC"/>
    <w:lvl w:ilvl="0" w:tplc="0442A648">
      <w:start w:val="1"/>
      <w:numFmt w:val="bullet"/>
      <w:lvlText w:val="-"/>
      <w:lvlJc w:val="left"/>
      <w:pPr>
        <w:ind w:left="1080" w:hanging="72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F269C1"/>
    <w:multiLevelType w:val="hybridMultilevel"/>
    <w:tmpl w:val="8B663484"/>
    <w:lvl w:ilvl="0" w:tplc="04080001">
      <w:start w:val="1"/>
      <w:numFmt w:val="bullet"/>
      <w:lvlText w:val=""/>
      <w:lvlJc w:val="left"/>
      <w:pPr>
        <w:ind w:left="1080" w:hanging="72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C1657D"/>
    <w:multiLevelType w:val="multilevel"/>
    <w:tmpl w:val="040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46ADF"/>
    <w:multiLevelType w:val="hybridMultilevel"/>
    <w:tmpl w:val="EAA43F8A"/>
    <w:lvl w:ilvl="0" w:tplc="6456D21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FB0B6A"/>
    <w:multiLevelType w:val="hybridMultilevel"/>
    <w:tmpl w:val="17FC7BB4"/>
    <w:lvl w:ilvl="0" w:tplc="1D6CFD32">
      <w:numFmt w:val="bullet"/>
      <w:lvlText w:val="-"/>
      <w:lvlJc w:val="left"/>
      <w:pPr>
        <w:ind w:left="360" w:hanging="360"/>
      </w:pPr>
      <w:rPr>
        <w:rFonts w:ascii="Times New Roman" w:eastAsia="Calibri"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33C32EE"/>
    <w:multiLevelType w:val="hybridMultilevel"/>
    <w:tmpl w:val="2F58BD80"/>
    <w:lvl w:ilvl="0" w:tplc="1D6CFD32">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71207"/>
    <w:multiLevelType w:val="hybridMultilevel"/>
    <w:tmpl w:val="A260E4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7657842">
    <w:abstractNumId w:val="1"/>
  </w:num>
  <w:num w:numId="2" w16cid:durableId="146942933">
    <w:abstractNumId w:val="8"/>
  </w:num>
  <w:num w:numId="3" w16cid:durableId="1826048098">
    <w:abstractNumId w:val="2"/>
  </w:num>
  <w:num w:numId="4" w16cid:durableId="1383675842">
    <w:abstractNumId w:val="9"/>
  </w:num>
  <w:num w:numId="5" w16cid:durableId="1336109650">
    <w:abstractNumId w:val="6"/>
  </w:num>
  <w:num w:numId="6" w16cid:durableId="1149860886">
    <w:abstractNumId w:val="4"/>
  </w:num>
  <w:num w:numId="7" w16cid:durableId="1898206023">
    <w:abstractNumId w:val="7"/>
  </w:num>
  <w:num w:numId="8" w16cid:durableId="531039376">
    <w:abstractNumId w:val="11"/>
  </w:num>
  <w:num w:numId="9" w16cid:durableId="906232145">
    <w:abstractNumId w:val="5"/>
  </w:num>
  <w:num w:numId="10" w16cid:durableId="301160521">
    <w:abstractNumId w:val="3"/>
  </w:num>
  <w:num w:numId="11" w16cid:durableId="729501668">
    <w:abstractNumId w:val="10"/>
  </w:num>
  <w:num w:numId="12" w16cid:durableId="172906574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F3"/>
    <w:rsid w:val="0000157D"/>
    <w:rsid w:val="00004E4A"/>
    <w:rsid w:val="000136AC"/>
    <w:rsid w:val="00024747"/>
    <w:rsid w:val="00035579"/>
    <w:rsid w:val="000434EC"/>
    <w:rsid w:val="00065AB3"/>
    <w:rsid w:val="00065CA0"/>
    <w:rsid w:val="00082CA6"/>
    <w:rsid w:val="000961AF"/>
    <w:rsid w:val="000A415D"/>
    <w:rsid w:val="000C42CF"/>
    <w:rsid w:val="000E3151"/>
    <w:rsid w:val="000E7305"/>
    <w:rsid w:val="000F2B00"/>
    <w:rsid w:val="000F449F"/>
    <w:rsid w:val="000F61B9"/>
    <w:rsid w:val="00103940"/>
    <w:rsid w:val="001A023E"/>
    <w:rsid w:val="001A2581"/>
    <w:rsid w:val="001E000B"/>
    <w:rsid w:val="001E67F8"/>
    <w:rsid w:val="001F0B9E"/>
    <w:rsid w:val="002452FC"/>
    <w:rsid w:val="00266C5F"/>
    <w:rsid w:val="00267C82"/>
    <w:rsid w:val="00281065"/>
    <w:rsid w:val="00282DBB"/>
    <w:rsid w:val="002A70B7"/>
    <w:rsid w:val="002B68A4"/>
    <w:rsid w:val="0034702F"/>
    <w:rsid w:val="00365E4D"/>
    <w:rsid w:val="003B12B1"/>
    <w:rsid w:val="003B793C"/>
    <w:rsid w:val="003D2D38"/>
    <w:rsid w:val="003D38D7"/>
    <w:rsid w:val="003E0C14"/>
    <w:rsid w:val="003F4A89"/>
    <w:rsid w:val="00420DF6"/>
    <w:rsid w:val="004210B7"/>
    <w:rsid w:val="00437A22"/>
    <w:rsid w:val="00460ADC"/>
    <w:rsid w:val="00464B6C"/>
    <w:rsid w:val="0047147B"/>
    <w:rsid w:val="004804D2"/>
    <w:rsid w:val="00487D3F"/>
    <w:rsid w:val="004946D6"/>
    <w:rsid w:val="004A172F"/>
    <w:rsid w:val="004B1235"/>
    <w:rsid w:val="004C4C21"/>
    <w:rsid w:val="00506F04"/>
    <w:rsid w:val="00523579"/>
    <w:rsid w:val="00534406"/>
    <w:rsid w:val="00542846"/>
    <w:rsid w:val="00557CEF"/>
    <w:rsid w:val="00591D9A"/>
    <w:rsid w:val="005978D6"/>
    <w:rsid w:val="005D0E5A"/>
    <w:rsid w:val="005E4C92"/>
    <w:rsid w:val="005E628F"/>
    <w:rsid w:val="005F1F55"/>
    <w:rsid w:val="005F343C"/>
    <w:rsid w:val="005F6D07"/>
    <w:rsid w:val="006010F1"/>
    <w:rsid w:val="00607AAC"/>
    <w:rsid w:val="006108E2"/>
    <w:rsid w:val="00616659"/>
    <w:rsid w:val="00640BCB"/>
    <w:rsid w:val="006C22EB"/>
    <w:rsid w:val="006F0F38"/>
    <w:rsid w:val="00706810"/>
    <w:rsid w:val="007176A9"/>
    <w:rsid w:val="007447A1"/>
    <w:rsid w:val="007717C6"/>
    <w:rsid w:val="007808A1"/>
    <w:rsid w:val="007E67A4"/>
    <w:rsid w:val="007F0FC9"/>
    <w:rsid w:val="007F7037"/>
    <w:rsid w:val="008027E7"/>
    <w:rsid w:val="00812F38"/>
    <w:rsid w:val="008258D2"/>
    <w:rsid w:val="008422C0"/>
    <w:rsid w:val="00842427"/>
    <w:rsid w:val="008505BC"/>
    <w:rsid w:val="0085331F"/>
    <w:rsid w:val="00863353"/>
    <w:rsid w:val="00873149"/>
    <w:rsid w:val="008A023D"/>
    <w:rsid w:val="008F0BC1"/>
    <w:rsid w:val="00904159"/>
    <w:rsid w:val="0090484B"/>
    <w:rsid w:val="009263F3"/>
    <w:rsid w:val="009328AE"/>
    <w:rsid w:val="00961D65"/>
    <w:rsid w:val="009708D3"/>
    <w:rsid w:val="00980D47"/>
    <w:rsid w:val="0099557C"/>
    <w:rsid w:val="009A1D56"/>
    <w:rsid w:val="009A506A"/>
    <w:rsid w:val="009D0684"/>
    <w:rsid w:val="00A36B57"/>
    <w:rsid w:val="00A5054A"/>
    <w:rsid w:val="00A649C6"/>
    <w:rsid w:val="00A71A7B"/>
    <w:rsid w:val="00A81814"/>
    <w:rsid w:val="00A83F57"/>
    <w:rsid w:val="00A85E1C"/>
    <w:rsid w:val="00A904B2"/>
    <w:rsid w:val="00AB0AE8"/>
    <w:rsid w:val="00AB6F76"/>
    <w:rsid w:val="00AD3B26"/>
    <w:rsid w:val="00B0752D"/>
    <w:rsid w:val="00B17F7D"/>
    <w:rsid w:val="00B20D4E"/>
    <w:rsid w:val="00B57819"/>
    <w:rsid w:val="00B8078E"/>
    <w:rsid w:val="00B9427D"/>
    <w:rsid w:val="00BB5886"/>
    <w:rsid w:val="00BD1339"/>
    <w:rsid w:val="00BF3AC4"/>
    <w:rsid w:val="00BF66D2"/>
    <w:rsid w:val="00C030AE"/>
    <w:rsid w:val="00C42FB2"/>
    <w:rsid w:val="00C51DF2"/>
    <w:rsid w:val="00C5317C"/>
    <w:rsid w:val="00C75519"/>
    <w:rsid w:val="00CA39C7"/>
    <w:rsid w:val="00CD1951"/>
    <w:rsid w:val="00CF6230"/>
    <w:rsid w:val="00D22442"/>
    <w:rsid w:val="00D3220B"/>
    <w:rsid w:val="00D3225F"/>
    <w:rsid w:val="00D35C18"/>
    <w:rsid w:val="00D46A9C"/>
    <w:rsid w:val="00D86D1B"/>
    <w:rsid w:val="00E02162"/>
    <w:rsid w:val="00E03573"/>
    <w:rsid w:val="00E12246"/>
    <w:rsid w:val="00E1529B"/>
    <w:rsid w:val="00E43BD7"/>
    <w:rsid w:val="00E43FBB"/>
    <w:rsid w:val="00E6084D"/>
    <w:rsid w:val="00E95834"/>
    <w:rsid w:val="00E95B6A"/>
    <w:rsid w:val="00EB17D4"/>
    <w:rsid w:val="00EB6519"/>
    <w:rsid w:val="00EB709F"/>
    <w:rsid w:val="00ED75E5"/>
    <w:rsid w:val="00F140F9"/>
    <w:rsid w:val="00F205C5"/>
    <w:rsid w:val="00F22BF5"/>
    <w:rsid w:val="00F27D4F"/>
    <w:rsid w:val="00F6631B"/>
    <w:rsid w:val="00F90A38"/>
    <w:rsid w:val="00FD059C"/>
    <w:rsid w:val="00FF4C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4281"/>
  <w15:chartTrackingRefBased/>
  <w15:docId w15:val="{E65FABD6-42D9-480A-A363-FF199CF0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49"/>
  </w:style>
  <w:style w:type="paragraph" w:styleId="Antrat1">
    <w:name w:val="heading 1"/>
    <w:basedOn w:val="prastasis"/>
    <w:next w:val="prastasis"/>
    <w:link w:val="Antrat1Diagrama"/>
    <w:uiPriority w:val="9"/>
    <w:qFormat/>
    <w:rsid w:val="009263F3"/>
    <w:pPr>
      <w:keepNext/>
      <w:keepLines/>
      <w:suppressAutoHyphens/>
      <w:autoSpaceDN w:val="0"/>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9263F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9263F3"/>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uiPriority w:val="9"/>
    <w:rsid w:val="009263F3"/>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rsid w:val="003B793C"/>
    <w:pPr>
      <w:suppressAutoHyphens/>
      <w:autoSpaceDN w:val="0"/>
      <w:spacing w:line="25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F27D4F"/>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F27D4F"/>
  </w:style>
  <w:style w:type="paragraph" w:styleId="Porat">
    <w:name w:val="footer"/>
    <w:basedOn w:val="prastasis"/>
    <w:link w:val="PoratDiagrama"/>
    <w:uiPriority w:val="99"/>
    <w:unhideWhenUsed/>
    <w:rsid w:val="00F27D4F"/>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F27D4F"/>
  </w:style>
  <w:style w:type="table" w:styleId="Lentelstinklelis">
    <w:name w:val="Table Grid"/>
    <w:basedOn w:val="prastojilentel"/>
    <w:uiPriority w:val="39"/>
    <w:rsid w:val="007F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F66D2"/>
    <w:pPr>
      <w:spacing w:after="0" w:line="240" w:lineRule="auto"/>
    </w:pPr>
  </w:style>
  <w:style w:type="character" w:styleId="Komentaronuoroda">
    <w:name w:val="annotation reference"/>
    <w:basedOn w:val="Numatytasispastraiposriftas"/>
    <w:uiPriority w:val="99"/>
    <w:semiHidden/>
    <w:unhideWhenUsed/>
    <w:rsid w:val="00BF66D2"/>
    <w:rPr>
      <w:sz w:val="16"/>
      <w:szCs w:val="16"/>
    </w:rPr>
  </w:style>
  <w:style w:type="paragraph" w:styleId="Komentarotekstas">
    <w:name w:val="annotation text"/>
    <w:basedOn w:val="prastasis"/>
    <w:link w:val="KomentarotekstasDiagrama"/>
    <w:uiPriority w:val="99"/>
    <w:unhideWhenUsed/>
    <w:rsid w:val="00BF66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66D2"/>
    <w:rPr>
      <w:sz w:val="20"/>
      <w:szCs w:val="20"/>
    </w:rPr>
  </w:style>
  <w:style w:type="paragraph" w:styleId="Komentarotema">
    <w:name w:val="annotation subject"/>
    <w:basedOn w:val="Komentarotekstas"/>
    <w:next w:val="Komentarotekstas"/>
    <w:link w:val="KomentarotemaDiagrama"/>
    <w:uiPriority w:val="99"/>
    <w:semiHidden/>
    <w:unhideWhenUsed/>
    <w:rsid w:val="00BF66D2"/>
    <w:rPr>
      <w:b/>
      <w:bCs/>
    </w:rPr>
  </w:style>
  <w:style w:type="character" w:customStyle="1" w:styleId="KomentarotemaDiagrama">
    <w:name w:val="Komentaro tema Diagrama"/>
    <w:basedOn w:val="KomentarotekstasDiagrama"/>
    <w:link w:val="Komentarotema"/>
    <w:uiPriority w:val="99"/>
    <w:semiHidden/>
    <w:rsid w:val="00BF66D2"/>
    <w:rPr>
      <w:b/>
      <w:bCs/>
      <w:sz w:val="20"/>
      <w:szCs w:val="20"/>
    </w:rPr>
  </w:style>
  <w:style w:type="paragraph" w:styleId="Debesliotekstas">
    <w:name w:val="Balloon Text"/>
    <w:basedOn w:val="prastasis"/>
    <w:link w:val="DebesliotekstasDiagrama"/>
    <w:uiPriority w:val="99"/>
    <w:semiHidden/>
    <w:unhideWhenUsed/>
    <w:rsid w:val="005235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579"/>
    <w:rPr>
      <w:rFonts w:ascii="Segoe UI" w:hAnsi="Segoe UI" w:cs="Segoe UI"/>
      <w:sz w:val="18"/>
      <w:szCs w:val="18"/>
    </w:rPr>
  </w:style>
  <w:style w:type="character" w:styleId="Hipersaitas">
    <w:name w:val="Hyperlink"/>
    <w:basedOn w:val="Numatytasispastraiposriftas"/>
    <w:uiPriority w:val="99"/>
    <w:unhideWhenUsed/>
    <w:rsid w:val="00A649C6"/>
    <w:rPr>
      <w:color w:val="0563C1" w:themeColor="hyperlink"/>
      <w:u w:val="single"/>
    </w:rPr>
  </w:style>
  <w:style w:type="character" w:styleId="Neapdorotaspaminjimas">
    <w:name w:val="Unresolved Mention"/>
    <w:basedOn w:val="Numatytasispastraiposriftas"/>
    <w:uiPriority w:val="99"/>
    <w:semiHidden/>
    <w:unhideWhenUsed/>
    <w:rsid w:val="00E15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8733">
      <w:bodyDiv w:val="1"/>
      <w:marLeft w:val="0"/>
      <w:marRight w:val="0"/>
      <w:marTop w:val="0"/>
      <w:marBottom w:val="0"/>
      <w:divBdr>
        <w:top w:val="none" w:sz="0" w:space="0" w:color="auto"/>
        <w:left w:val="none" w:sz="0" w:space="0" w:color="auto"/>
        <w:bottom w:val="none" w:sz="0" w:space="0" w:color="auto"/>
        <w:right w:val="none" w:sz="0" w:space="0" w:color="auto"/>
      </w:divBdr>
    </w:div>
    <w:div w:id="9440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phar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enepharm.com" TargetMode="External"/><Relationship Id="rId4" Type="http://schemas.openxmlformats.org/officeDocument/2006/relationships/settings" Target="settings.xml"/><Relationship Id="rId9" Type="http://schemas.openxmlformats.org/officeDocument/2006/relationships/hyperlink" Target="http://www.genepha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2937-BABB-438E-A665-CB9FB7BF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40080</Words>
  <Characters>22847</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Kyriakopoulou Artemis</dc:creator>
  <cp:keywords/>
  <dc:description/>
  <cp:lastModifiedBy>Birutė Valkauskaitė</cp:lastModifiedBy>
  <cp:revision>2</cp:revision>
  <dcterms:created xsi:type="dcterms:W3CDTF">2024-12-20T09:07:00Z</dcterms:created>
  <dcterms:modified xsi:type="dcterms:W3CDTF">2024-12-20T09:07:00Z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f3ee7240-cbc5-4520-823a-c501b28831e9_Version">
    <vt:lpwstr>1</vt:lpwstr>
  </property>
  <property fmtid="{D5CDD505-2E9C-101B-9397-08002B2CF9AE}" pid="3" name="STCat_f3ee7240-cbc5-4520-823a-c501b28831e9_Id">
    <vt:lpwstr>f3ee7240-cbc5-4520-823a-c501b28831e9</vt:lpwstr>
  </property>
  <property fmtid="{D5CDD505-2E9C-101B-9397-08002B2CF9AE}" pid="4" name="STCat_f3ee7240-cbc5-4520-823a-c501b28831e9_Name">
    <vt:lpwstr>Tagging</vt:lpwstr>
  </property>
</Properties>
</file>