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6B40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3B365F05"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FE805CE"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73337225"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7AEEC21"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CA57D0A"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63BAB44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0CA42613"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055658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372559A4"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EECC1B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4BD175B5"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3D9D78D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D32CDDD"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011082BD"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71742BE7"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0C5334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784E1C69"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67A4E99E"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3CA34DCE"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FECB7E4" w14:textId="77777777" w:rsidR="00D05700" w:rsidRPr="00D05700" w:rsidRDefault="00D05700" w:rsidP="00D05700">
      <w:pPr>
        <w:tabs>
          <w:tab w:val="left" w:pos="567"/>
        </w:tabs>
        <w:spacing w:after="0" w:line="240" w:lineRule="auto"/>
        <w:jc w:val="center"/>
        <w:outlineLvl w:val="0"/>
        <w:rPr>
          <w:rFonts w:ascii="Times New Roman" w:eastAsia="Times New Roman" w:hAnsi="Times New Roman" w:cs="Times New Roman"/>
          <w:b/>
          <w:kern w:val="28"/>
          <w14:ligatures w14:val="none"/>
        </w:rPr>
      </w:pPr>
      <w:r w:rsidRPr="00D05700">
        <w:rPr>
          <w:rFonts w:ascii="Times New Roman" w:eastAsia="Times New Roman" w:hAnsi="Times New Roman" w:cs="Times New Roman"/>
          <w:b/>
          <w:kern w:val="28"/>
          <w14:ligatures w14:val="none"/>
        </w:rPr>
        <w:t>A. ŽENKLINIMAS</w:t>
      </w:r>
    </w:p>
    <w:p w14:paraId="1757A0CA" w14:textId="77777777" w:rsidR="00D05700" w:rsidRPr="00D05700" w:rsidRDefault="00D05700" w:rsidP="00D0570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caps/>
          <w:kern w:val="0"/>
          <w14:ligatures w14:val="none"/>
        </w:rPr>
      </w:pPr>
      <w:r w:rsidRPr="00D05700">
        <w:rPr>
          <w:rFonts w:ascii="Times New Roman" w:eastAsia="Times New Roman" w:hAnsi="Times New Roman" w:cs="Times New Roman"/>
          <w:b/>
          <w:caps/>
          <w:kern w:val="0"/>
          <w14:ligatures w14:val="none"/>
        </w:rPr>
        <w:br w:type="page"/>
      </w:r>
      <w:r w:rsidRPr="00D05700">
        <w:rPr>
          <w:rFonts w:ascii="Times New Roman" w:eastAsia="Times New Roman" w:hAnsi="Times New Roman" w:cs="Times New Roman"/>
          <w:b/>
          <w:caps/>
          <w:kern w:val="0"/>
          <w14:ligatures w14:val="none"/>
        </w:rPr>
        <w:lastRenderedPageBreak/>
        <w:t xml:space="preserve">INFORMACIJA ANT IŠORINĖS PAKUOTĖS </w:t>
      </w:r>
    </w:p>
    <w:p w14:paraId="17C01BA2" w14:textId="77777777" w:rsidR="00D05700" w:rsidRPr="00D05700" w:rsidRDefault="00D05700" w:rsidP="00D057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14:ligatures w14:val="none"/>
        </w:rPr>
      </w:pPr>
    </w:p>
    <w:p w14:paraId="3FF0DCCF" w14:textId="77777777" w:rsidR="00D05700" w:rsidRPr="00D05700" w:rsidRDefault="00D05700" w:rsidP="00D057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KARTONO DĖŽUTĖ</w:t>
      </w:r>
    </w:p>
    <w:p w14:paraId="1653CB91"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7B52F67"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6CE83EF5" w14:textId="77777777" w:rsidR="00D05700" w:rsidRPr="00D05700" w:rsidRDefault="00D05700" w:rsidP="00D05700">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1.</w:t>
      </w:r>
      <w:r w:rsidRPr="00D05700">
        <w:rPr>
          <w:rFonts w:ascii="Times New Roman" w:eastAsia="Times New Roman" w:hAnsi="Times New Roman" w:cs="Times New Roman"/>
          <w:b/>
          <w:kern w:val="0"/>
          <w14:ligatures w14:val="none"/>
        </w:rPr>
        <w:tab/>
        <w:t>VAISTINIO PREPARATO PAVADINIMAS</w:t>
      </w:r>
    </w:p>
    <w:p w14:paraId="24C43438"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613FB86"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Biodroxil 500 mg kietosios kapsulės</w:t>
      </w:r>
    </w:p>
    <w:p w14:paraId="17A4F97B" w14:textId="005BA94C" w:rsidR="00D05700" w:rsidRPr="00D05700" w:rsidRDefault="00873C37" w:rsidP="00D05700">
      <w:pPr>
        <w:tabs>
          <w:tab w:val="left" w:pos="567"/>
        </w:tabs>
        <w:spacing w:after="0" w:line="240" w:lineRule="auto"/>
        <w:jc w:val="both"/>
        <w:rPr>
          <w:rFonts w:ascii="Times New Roman" w:eastAsia="Times New Roman" w:hAnsi="Times New Roman" w:cs="Times New Roman"/>
          <w:kern w:val="0"/>
          <w14:ligatures w14:val="none"/>
        </w:rPr>
      </w:pPr>
      <w:r w:rsidRPr="00873C37">
        <w:rPr>
          <w:rFonts w:ascii="Times New Roman" w:eastAsia="Times New Roman" w:hAnsi="Times New Roman" w:cs="Times New Roman"/>
          <w:kern w:val="0"/>
          <w14:ligatures w14:val="none"/>
        </w:rPr>
        <w:t>c</w:t>
      </w:r>
      <w:r w:rsidR="00D05700" w:rsidRPr="00D05700">
        <w:rPr>
          <w:rFonts w:ascii="Times New Roman" w:eastAsia="Times New Roman" w:hAnsi="Times New Roman" w:cs="Times New Roman"/>
          <w:kern w:val="0"/>
          <w14:ligatures w14:val="none"/>
        </w:rPr>
        <w:t>efadroksilis</w:t>
      </w:r>
    </w:p>
    <w:p w14:paraId="2F03A732"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3A31F5E4"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9B305AB" w14:textId="77777777" w:rsidR="00D05700" w:rsidRPr="00D05700" w:rsidRDefault="00D05700" w:rsidP="00D05700">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2.</w:t>
      </w:r>
      <w:r w:rsidRPr="00D05700">
        <w:rPr>
          <w:rFonts w:ascii="Times New Roman" w:eastAsia="Times New Roman" w:hAnsi="Times New Roman" w:cs="Times New Roman"/>
          <w:b/>
          <w:kern w:val="0"/>
          <w14:ligatures w14:val="none"/>
        </w:rPr>
        <w:tab/>
        <w:t xml:space="preserve">VEIKLIOJI MEDŽIAGA IR JOS KIEKIS </w:t>
      </w:r>
    </w:p>
    <w:p w14:paraId="53ED42CB"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0283F23"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Kiekvienoje kietojoje kapsulėje yra 500 mg cefadroksilio (monohidrato pavidalu).</w:t>
      </w:r>
    </w:p>
    <w:p w14:paraId="330AEFF1"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45A3BC4E"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357BC850" w14:textId="77777777" w:rsidR="00D05700" w:rsidRPr="00D05700" w:rsidRDefault="00D05700" w:rsidP="00D05700">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3.</w:t>
      </w:r>
      <w:r w:rsidRPr="00D05700">
        <w:rPr>
          <w:rFonts w:ascii="Times New Roman" w:eastAsia="Times New Roman" w:hAnsi="Times New Roman" w:cs="Times New Roman"/>
          <w:b/>
          <w:kern w:val="0"/>
          <w14:ligatures w14:val="none"/>
        </w:rPr>
        <w:tab/>
        <w:t>PAGALBINIŲ MEDŽIAGŲ SĄRAŠAS</w:t>
      </w:r>
    </w:p>
    <w:p w14:paraId="68C085F1"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3CDF696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61DC9CF7" w14:textId="77777777" w:rsidR="00D05700" w:rsidRPr="00D05700" w:rsidRDefault="00D05700" w:rsidP="00D05700">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4.</w:t>
      </w:r>
      <w:r w:rsidRPr="00D05700">
        <w:rPr>
          <w:rFonts w:ascii="Times New Roman" w:eastAsia="Times New Roman" w:hAnsi="Times New Roman" w:cs="Times New Roman"/>
          <w:b/>
          <w:kern w:val="0"/>
          <w14:ligatures w14:val="none"/>
        </w:rPr>
        <w:tab/>
        <w:t>FARMACINĖ FORMA IR KIEKIS PAKUOTĖJE</w:t>
      </w:r>
    </w:p>
    <w:p w14:paraId="677EA12B"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highlight w:val="lightGray"/>
          <w14:ligatures w14:val="none"/>
        </w:rPr>
      </w:pPr>
    </w:p>
    <w:p w14:paraId="3D8D82BA" w14:textId="03C735B1" w:rsidR="00FD3038" w:rsidRPr="006A4767" w:rsidRDefault="00FD3038" w:rsidP="00D05700">
      <w:pPr>
        <w:tabs>
          <w:tab w:val="left" w:pos="567"/>
        </w:tabs>
        <w:spacing w:after="0" w:line="240" w:lineRule="auto"/>
        <w:rPr>
          <w:rFonts w:ascii="Times New Roman" w:eastAsia="Times New Roman" w:hAnsi="Times New Roman" w:cs="Times New Roman"/>
          <w:kern w:val="0"/>
          <w14:ligatures w14:val="none"/>
        </w:rPr>
      </w:pPr>
      <w:r w:rsidRPr="008E1EC9">
        <w:rPr>
          <w:rFonts w:ascii="Times New Roman" w:eastAsia="Times New Roman" w:hAnsi="Times New Roman" w:cs="Times New Roman"/>
          <w:kern w:val="0"/>
          <w14:ligatures w14:val="none"/>
        </w:rPr>
        <w:t xml:space="preserve">8 </w:t>
      </w:r>
      <w:r w:rsidRPr="00992DE1">
        <w:rPr>
          <w:rFonts w:ascii="Times New Roman" w:eastAsia="Times New Roman" w:hAnsi="Times New Roman" w:cs="Times New Roman"/>
          <w:kern w:val="0"/>
          <w:highlight w:val="lightGray"/>
          <w14:ligatures w14:val="none"/>
        </w:rPr>
        <w:t>kietosios</w:t>
      </w:r>
      <w:r w:rsidRPr="006A4767">
        <w:rPr>
          <w:rFonts w:ascii="Times New Roman" w:eastAsia="Times New Roman" w:hAnsi="Times New Roman" w:cs="Times New Roman"/>
          <w:kern w:val="0"/>
          <w14:ligatures w14:val="none"/>
        </w:rPr>
        <w:t xml:space="preserve"> kapsulės</w:t>
      </w:r>
    </w:p>
    <w:p w14:paraId="7FF9EEF8" w14:textId="4E3F42A7" w:rsidR="00D05700" w:rsidRPr="00992DE1" w:rsidRDefault="00D05700" w:rsidP="00D05700">
      <w:pPr>
        <w:tabs>
          <w:tab w:val="left" w:pos="567"/>
        </w:tabs>
        <w:spacing w:after="0" w:line="240" w:lineRule="auto"/>
        <w:rPr>
          <w:rFonts w:ascii="Times New Roman" w:eastAsia="Times New Roman" w:hAnsi="Times New Roman" w:cs="Times New Roman"/>
          <w:kern w:val="0"/>
          <w:highlight w:val="lightGray"/>
          <w14:ligatures w14:val="none"/>
        </w:rPr>
      </w:pPr>
      <w:r w:rsidRPr="00992DE1">
        <w:rPr>
          <w:rFonts w:ascii="Times New Roman" w:eastAsia="Times New Roman" w:hAnsi="Times New Roman" w:cs="Times New Roman"/>
          <w:kern w:val="0"/>
          <w:highlight w:val="lightGray"/>
          <w14:ligatures w14:val="none"/>
        </w:rPr>
        <w:t>1</w:t>
      </w:r>
      <w:r w:rsidR="00FD3038" w:rsidRPr="00992DE1">
        <w:rPr>
          <w:rFonts w:ascii="Times New Roman" w:eastAsia="Times New Roman" w:hAnsi="Times New Roman" w:cs="Times New Roman"/>
          <w:kern w:val="0"/>
          <w:highlight w:val="lightGray"/>
          <w14:ligatures w14:val="none"/>
        </w:rPr>
        <w:t>6</w:t>
      </w:r>
      <w:r w:rsidRPr="00992DE1">
        <w:rPr>
          <w:rFonts w:ascii="Times New Roman" w:eastAsia="Times New Roman" w:hAnsi="Times New Roman" w:cs="Times New Roman"/>
          <w:kern w:val="0"/>
          <w:highlight w:val="lightGray"/>
          <w14:ligatures w14:val="none"/>
        </w:rPr>
        <w:t xml:space="preserve"> kietųjų kapsulių</w:t>
      </w:r>
    </w:p>
    <w:p w14:paraId="18E0FDB3" w14:textId="7C6ECB36" w:rsidR="00FD3038" w:rsidRPr="00D05700" w:rsidRDefault="00873C37" w:rsidP="00FD3038">
      <w:pPr>
        <w:tabs>
          <w:tab w:val="left" w:pos="567"/>
        </w:tabs>
        <w:spacing w:after="0" w:line="240" w:lineRule="auto"/>
        <w:rPr>
          <w:rFonts w:ascii="Times New Roman" w:eastAsia="Times New Roman" w:hAnsi="Times New Roman" w:cs="Times New Roman"/>
          <w:kern w:val="0"/>
          <w:highlight w:val="lightGray"/>
          <w14:ligatures w14:val="none"/>
        </w:rPr>
      </w:pPr>
      <w:r w:rsidRPr="00873C37">
        <w:rPr>
          <w:rFonts w:ascii="Times New Roman" w:eastAsia="Times New Roman" w:hAnsi="Times New Roman" w:cs="Times New Roman"/>
          <w:kern w:val="0"/>
          <w:highlight w:val="lightGray"/>
          <w14:ligatures w14:val="none"/>
        </w:rPr>
        <w:t>24</w:t>
      </w:r>
      <w:r w:rsidR="00FD3038" w:rsidRPr="00D05700">
        <w:rPr>
          <w:rFonts w:ascii="Times New Roman" w:eastAsia="Times New Roman" w:hAnsi="Times New Roman" w:cs="Times New Roman"/>
          <w:kern w:val="0"/>
          <w:highlight w:val="lightGray"/>
          <w14:ligatures w14:val="none"/>
        </w:rPr>
        <w:t xml:space="preserve"> </w:t>
      </w:r>
      <w:r w:rsidRPr="00873C37">
        <w:rPr>
          <w:rFonts w:ascii="Times New Roman" w:eastAsia="Times New Roman" w:hAnsi="Times New Roman" w:cs="Times New Roman"/>
          <w:kern w:val="0"/>
          <w:highlight w:val="lightGray"/>
          <w14:ligatures w14:val="none"/>
        </w:rPr>
        <w:t>kietosios kapsulės</w:t>
      </w:r>
    </w:p>
    <w:p w14:paraId="0A716CCF" w14:textId="78273D7E" w:rsidR="00FD3038" w:rsidRPr="00D05700" w:rsidRDefault="00873C37" w:rsidP="00FD3038">
      <w:pPr>
        <w:tabs>
          <w:tab w:val="left" w:pos="567"/>
        </w:tabs>
        <w:spacing w:after="0" w:line="240" w:lineRule="auto"/>
        <w:rPr>
          <w:rFonts w:ascii="Times New Roman" w:eastAsia="Times New Roman" w:hAnsi="Times New Roman" w:cs="Times New Roman"/>
          <w:kern w:val="0"/>
          <w14:ligatures w14:val="none"/>
        </w:rPr>
      </w:pPr>
      <w:r w:rsidRPr="00873C37">
        <w:rPr>
          <w:rFonts w:ascii="Times New Roman" w:eastAsia="Times New Roman" w:hAnsi="Times New Roman" w:cs="Times New Roman"/>
          <w:kern w:val="0"/>
          <w:highlight w:val="lightGray"/>
          <w14:ligatures w14:val="none"/>
        </w:rPr>
        <w:t>32 kietosios kapsulės</w:t>
      </w:r>
    </w:p>
    <w:p w14:paraId="3251A611"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015CAB54"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B255E20" w14:textId="77777777" w:rsidR="00D05700" w:rsidRPr="00D05700" w:rsidRDefault="00D05700" w:rsidP="00D05700">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5.</w:t>
      </w:r>
      <w:r w:rsidRPr="00D05700">
        <w:rPr>
          <w:rFonts w:ascii="Times New Roman" w:eastAsia="Times New Roman" w:hAnsi="Times New Roman" w:cs="Times New Roman"/>
          <w:b/>
          <w:kern w:val="0"/>
          <w14:ligatures w14:val="none"/>
        </w:rPr>
        <w:tab/>
        <w:t>VARTOJIMO METODAS IR BŪDAS</w:t>
      </w:r>
    </w:p>
    <w:p w14:paraId="4398DCB3"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highlight w:val="green"/>
          <w14:ligatures w14:val="none"/>
        </w:rPr>
      </w:pPr>
    </w:p>
    <w:p w14:paraId="5A57939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Vartoti per burną.</w:t>
      </w:r>
    </w:p>
    <w:p w14:paraId="6CC7175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Prieš vartojimą perskaitykite pakuotės lapelį.</w:t>
      </w:r>
    </w:p>
    <w:p w14:paraId="2CD884D5"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096CB9D2"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B2169FC" w14:textId="77777777" w:rsidR="00D05700" w:rsidRPr="00D05700" w:rsidRDefault="00D05700" w:rsidP="00D0570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2"/>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6.</w:t>
      </w:r>
      <w:r w:rsidRPr="00D05700">
        <w:rPr>
          <w:rFonts w:ascii="Times New Roman" w:eastAsia="Times New Roman" w:hAnsi="Times New Roman" w:cs="Times New Roman"/>
          <w:b/>
          <w:kern w:val="0"/>
          <w14:ligatures w14:val="none"/>
        </w:rPr>
        <w:tab/>
        <w:t>SPECIALUS ĮSPĖJIMAS, KAD VAISTINĮ PREPARATĄ BŪTINA LAIKYTI VAIKAMS NEPASTEBIMOJE IR NEPASIEKIAMOJE VIETOJE</w:t>
      </w:r>
    </w:p>
    <w:p w14:paraId="3BEBA0F8"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98B1B51"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Laikyti vaikams nepastebimoje ir nepasiekiamoje vietoje.</w:t>
      </w:r>
    </w:p>
    <w:p w14:paraId="48A3C85E"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4E4AA519"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0AC9FF4" w14:textId="77777777" w:rsidR="00D05700" w:rsidRPr="00D05700" w:rsidRDefault="00D05700" w:rsidP="00D05700">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7.</w:t>
      </w:r>
      <w:r w:rsidRPr="00D05700">
        <w:rPr>
          <w:rFonts w:ascii="Times New Roman" w:eastAsia="Times New Roman" w:hAnsi="Times New Roman" w:cs="Times New Roman"/>
          <w:b/>
          <w:kern w:val="0"/>
          <w14:ligatures w14:val="none"/>
        </w:rPr>
        <w:tab/>
        <w:t>KITAS SPECIALUS ĮSPĖJIMAS (JEI REIKIA)</w:t>
      </w:r>
    </w:p>
    <w:p w14:paraId="19810E63"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0711AF08"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4C7468D3" w14:textId="77777777" w:rsidR="00D05700" w:rsidRPr="00D05700" w:rsidRDefault="00D05700" w:rsidP="00D05700">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8.</w:t>
      </w:r>
      <w:r w:rsidRPr="00D05700">
        <w:rPr>
          <w:rFonts w:ascii="Times New Roman" w:eastAsia="Times New Roman" w:hAnsi="Times New Roman" w:cs="Times New Roman"/>
          <w:b/>
          <w:kern w:val="0"/>
          <w14:ligatures w14:val="none"/>
        </w:rPr>
        <w:tab/>
        <w:t>TINKAMUMO LAIKAS</w:t>
      </w:r>
    </w:p>
    <w:p w14:paraId="28E632DB"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239CAFC" w14:textId="7E8CB45C"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EXP</w:t>
      </w:r>
      <w:r w:rsidR="00FD3038" w:rsidRPr="00873C37">
        <w:rPr>
          <w:rFonts w:ascii="Times New Roman" w:eastAsia="Times New Roman" w:hAnsi="Times New Roman" w:cs="Times New Roman"/>
          <w:kern w:val="0"/>
          <w14:ligatures w14:val="none"/>
        </w:rPr>
        <w:t>:</w:t>
      </w:r>
      <w:r w:rsidRPr="00D05700">
        <w:rPr>
          <w:rFonts w:ascii="Times New Roman" w:eastAsia="Times New Roman" w:hAnsi="Times New Roman" w:cs="Times New Roman"/>
          <w:kern w:val="0"/>
          <w14:ligatures w14:val="none"/>
        </w:rPr>
        <w:t xml:space="preserve"> </w:t>
      </w:r>
      <w:r w:rsidRPr="00D05700">
        <w:rPr>
          <w:rFonts w:ascii="Times New Roman" w:eastAsia="Times New Roman" w:hAnsi="Times New Roman" w:cs="Times New Roman"/>
          <w:kern w:val="0"/>
          <w:lang w:bidi="he-IL"/>
          <w14:ligatures w14:val="none"/>
        </w:rPr>
        <w:t>{</w:t>
      </w:r>
      <w:r w:rsidR="00FD3038" w:rsidRPr="00873C37">
        <w:rPr>
          <w:rFonts w:ascii="Times New Roman" w:eastAsia="Times New Roman" w:hAnsi="Times New Roman" w:cs="Times New Roman"/>
          <w:kern w:val="0"/>
          <w:lang w:bidi="he-IL"/>
          <w14:ligatures w14:val="none"/>
        </w:rPr>
        <w:t>MMMM mm</w:t>
      </w:r>
      <w:r w:rsidRPr="00D05700">
        <w:rPr>
          <w:rFonts w:ascii="Times New Roman" w:eastAsia="Times New Roman" w:hAnsi="Times New Roman" w:cs="Times New Roman"/>
          <w:kern w:val="0"/>
          <w:lang w:bidi="he-IL"/>
          <w14:ligatures w14:val="none"/>
        </w:rPr>
        <w:t>}</w:t>
      </w:r>
    </w:p>
    <w:p w14:paraId="1E2CEDB5"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3CA7E928"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0A88A69" w14:textId="77777777" w:rsidR="00D05700" w:rsidRPr="00D05700" w:rsidRDefault="00D05700" w:rsidP="00D05700">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9.</w:t>
      </w:r>
      <w:r w:rsidRPr="00D05700">
        <w:rPr>
          <w:rFonts w:ascii="Times New Roman" w:eastAsia="Times New Roman" w:hAnsi="Times New Roman" w:cs="Times New Roman"/>
          <w:b/>
          <w:kern w:val="0"/>
          <w14:ligatures w14:val="none"/>
        </w:rPr>
        <w:tab/>
        <w:t>SPECIALIOS LAIKYMO SĄLYGOS</w:t>
      </w:r>
    </w:p>
    <w:p w14:paraId="2CD2A0A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76B1871" w14:textId="5E49E4B3" w:rsidR="00D05700" w:rsidRPr="00D05700" w:rsidRDefault="000D031E" w:rsidP="00D05700">
      <w:pPr>
        <w:tabs>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Laikyti gamintojo pakuotėje.</w:t>
      </w:r>
    </w:p>
    <w:p w14:paraId="529569B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49064476" w14:textId="77777777" w:rsidR="00D05700" w:rsidRPr="00D05700" w:rsidRDefault="00D05700" w:rsidP="00D0570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2"/>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lastRenderedPageBreak/>
        <w:t>10.</w:t>
      </w:r>
      <w:r w:rsidRPr="00D05700">
        <w:rPr>
          <w:rFonts w:ascii="Times New Roman" w:eastAsia="Times New Roman" w:hAnsi="Times New Roman" w:cs="Times New Roman"/>
          <w:b/>
          <w:kern w:val="0"/>
          <w14:ligatures w14:val="none"/>
        </w:rPr>
        <w:tab/>
        <w:t xml:space="preserve">SPECIALIOS ATSARGUMO PRIEMONĖS DĖL NESUVARTOTO </w:t>
      </w:r>
      <w:r w:rsidRPr="00D05700">
        <w:rPr>
          <w:rFonts w:ascii="Times New Roman" w:eastAsia="Times New Roman" w:hAnsi="Times New Roman" w:cs="Times New Roman"/>
          <w:b/>
          <w:bCs/>
          <w:kern w:val="0"/>
          <w14:ligatures w14:val="none"/>
        </w:rPr>
        <w:t xml:space="preserve">VAISTINIO PREPARATO AR JO ATLIEKŲ </w:t>
      </w:r>
      <w:r w:rsidRPr="00D05700">
        <w:rPr>
          <w:rFonts w:ascii="Times New Roman" w:eastAsia="Times New Roman" w:hAnsi="Times New Roman" w:cs="Times New Roman"/>
          <w:b/>
          <w:kern w:val="0"/>
          <w14:ligatures w14:val="none"/>
        </w:rPr>
        <w:t>TVARKYMO (JEI REIKIA)</w:t>
      </w:r>
    </w:p>
    <w:p w14:paraId="107D43AE"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309A1166"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19A4FD2" w14:textId="0E6D08C8" w:rsidR="00D05700" w:rsidRPr="00D05700" w:rsidRDefault="00D05700" w:rsidP="00D05700">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11.</w:t>
      </w:r>
      <w:r w:rsidRPr="00D05700">
        <w:rPr>
          <w:rFonts w:ascii="Times New Roman" w:eastAsia="Times New Roman" w:hAnsi="Times New Roman" w:cs="Times New Roman"/>
          <w:b/>
          <w:kern w:val="0"/>
          <w14:ligatures w14:val="none"/>
        </w:rPr>
        <w:tab/>
      </w:r>
      <w:r w:rsidR="00FD3038" w:rsidRPr="00873C37">
        <w:rPr>
          <w:rFonts w:ascii="Times New Roman" w:eastAsia="Times New Roman" w:hAnsi="Times New Roman" w:cs="Times New Roman"/>
          <w:b/>
          <w:kern w:val="0"/>
          <w14:ligatures w14:val="none"/>
        </w:rPr>
        <w:t>LYGIAGRETUS IMPORTUOTOJAS</w:t>
      </w:r>
    </w:p>
    <w:p w14:paraId="37F4F5FE"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375355A" w14:textId="77777777" w:rsidR="00873C37" w:rsidRPr="00873C37" w:rsidRDefault="00873C37" w:rsidP="00873C37">
      <w:pPr>
        <w:spacing w:after="0" w:line="240" w:lineRule="auto"/>
        <w:rPr>
          <w:rFonts w:ascii="Times New Roman" w:eastAsia="Times New Roman" w:hAnsi="Times New Roman" w:cs="Times New Roman"/>
        </w:rPr>
      </w:pPr>
      <w:r w:rsidRPr="00873C37">
        <w:rPr>
          <w:rFonts w:ascii="Times New Roman" w:eastAsia="Times New Roman" w:hAnsi="Times New Roman" w:cs="Times New Roman"/>
          <w:b/>
        </w:rPr>
        <w:t>Lygiagretus importuotojas</w:t>
      </w:r>
    </w:p>
    <w:p w14:paraId="528CA924" w14:textId="77777777" w:rsidR="00873C37" w:rsidRPr="00873C37" w:rsidRDefault="00873C37" w:rsidP="00873C37">
      <w:pPr>
        <w:spacing w:after="0" w:line="240" w:lineRule="auto"/>
        <w:rPr>
          <w:rFonts w:ascii="Times New Roman" w:eastAsia="Times New Roman" w:hAnsi="Times New Roman" w:cs="Times New Roman"/>
          <w:lang w:eastAsia="lt-LT"/>
        </w:rPr>
      </w:pPr>
      <w:r w:rsidRPr="00873C37">
        <w:rPr>
          <w:rFonts w:ascii="Times New Roman" w:eastAsia="Times New Roman" w:hAnsi="Times New Roman" w:cs="Times New Roman"/>
          <w:lang w:eastAsia="lt-LT"/>
        </w:rPr>
        <w:t>UAB „Ideal Trade Links</w:t>
      </w:r>
      <w:r w:rsidRPr="00873C37">
        <w:rPr>
          <w:rFonts w:ascii="Times New Roman" w:eastAsia="Times New Roman" w:hAnsi="Times New Roman" w:cs="Times New Roman"/>
          <w:lang w:eastAsia="fr-FR"/>
        </w:rPr>
        <w:t>“</w:t>
      </w:r>
    </w:p>
    <w:p w14:paraId="7941B60C" w14:textId="77777777" w:rsidR="00873C37" w:rsidRPr="00873C37" w:rsidRDefault="00873C37" w:rsidP="00873C37">
      <w:pPr>
        <w:spacing w:after="0" w:line="240" w:lineRule="auto"/>
        <w:rPr>
          <w:rFonts w:ascii="Times New Roman" w:hAnsi="Times New Roman" w:cs="Times New Roman"/>
          <w:highlight w:val="lightGray"/>
        </w:rPr>
      </w:pPr>
      <w:r w:rsidRPr="00873C37">
        <w:rPr>
          <w:rFonts w:ascii="Times New Roman" w:eastAsia="Times New Roman" w:hAnsi="Times New Roman" w:cs="Times New Roman"/>
          <w:highlight w:val="lightGray"/>
        </w:rPr>
        <w:t>Kerupės g. 17, Zapyškis</w:t>
      </w:r>
    </w:p>
    <w:p w14:paraId="68F1E0BE" w14:textId="77777777" w:rsidR="00873C37" w:rsidRPr="00873C37" w:rsidRDefault="00873C37" w:rsidP="00873C37">
      <w:pPr>
        <w:spacing w:after="0" w:line="240" w:lineRule="auto"/>
        <w:rPr>
          <w:rFonts w:ascii="Times New Roman" w:eastAsia="Times New Roman" w:hAnsi="Times New Roman" w:cs="Times New Roman"/>
          <w:highlight w:val="lightGray"/>
        </w:rPr>
      </w:pPr>
      <w:r w:rsidRPr="00873C37">
        <w:rPr>
          <w:rFonts w:ascii="Times New Roman" w:eastAsia="Times New Roman" w:hAnsi="Times New Roman" w:cs="Times New Roman"/>
          <w:highlight w:val="lightGray"/>
        </w:rPr>
        <w:t>LT-53431 Kauno r.</w:t>
      </w:r>
    </w:p>
    <w:p w14:paraId="2247D8EE" w14:textId="77777777" w:rsidR="00873C37" w:rsidRPr="00873C37" w:rsidRDefault="00873C37" w:rsidP="00873C37">
      <w:pPr>
        <w:spacing w:after="0" w:line="240" w:lineRule="auto"/>
        <w:rPr>
          <w:rFonts w:ascii="Times New Roman" w:eastAsia="Times New Roman" w:hAnsi="Times New Roman" w:cs="Times New Roman"/>
        </w:rPr>
      </w:pPr>
      <w:r w:rsidRPr="00873C37">
        <w:rPr>
          <w:rFonts w:ascii="Times New Roman" w:eastAsia="Times New Roman" w:hAnsi="Times New Roman" w:cs="Times New Roman"/>
          <w:highlight w:val="lightGray"/>
        </w:rPr>
        <w:t>Lietuva</w:t>
      </w:r>
    </w:p>
    <w:p w14:paraId="57B32574"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p>
    <w:p w14:paraId="0EB0B945"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CC055A6" w14:textId="6F8F69ED" w:rsidR="00D05700" w:rsidRPr="00D05700" w:rsidRDefault="00D05700" w:rsidP="00D05700">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12.</w:t>
      </w:r>
      <w:r w:rsidRPr="00D05700">
        <w:rPr>
          <w:rFonts w:ascii="Times New Roman" w:eastAsia="Times New Roman" w:hAnsi="Times New Roman" w:cs="Times New Roman"/>
          <w:b/>
          <w:kern w:val="0"/>
          <w14:ligatures w14:val="none"/>
        </w:rPr>
        <w:tab/>
      </w:r>
      <w:r w:rsidR="00FD3038" w:rsidRPr="00873C37">
        <w:rPr>
          <w:rFonts w:ascii="Times New Roman" w:eastAsia="Times New Roman" w:hAnsi="Times New Roman" w:cs="Times New Roman"/>
          <w:b/>
          <w:kern w:val="0"/>
          <w14:ligatures w14:val="none"/>
        </w:rPr>
        <w:t>LYGIAGRETAUS IMPORTO LEIDIMO</w:t>
      </w:r>
      <w:r w:rsidRPr="00D05700">
        <w:rPr>
          <w:rFonts w:ascii="Times New Roman" w:eastAsia="Times New Roman" w:hAnsi="Times New Roman" w:cs="Times New Roman"/>
          <w:b/>
          <w:kern w:val="0"/>
          <w14:ligatures w14:val="none"/>
        </w:rPr>
        <w:t xml:space="preserve"> NUMERIS</w:t>
      </w:r>
      <w:r w:rsidR="00FD3038" w:rsidRPr="00873C37">
        <w:rPr>
          <w:rFonts w:ascii="Times New Roman" w:eastAsia="Times New Roman" w:hAnsi="Times New Roman" w:cs="Times New Roman"/>
          <w:b/>
          <w:kern w:val="0"/>
          <w14:ligatures w14:val="none"/>
        </w:rPr>
        <w:t>(-IAI)</w:t>
      </w:r>
    </w:p>
    <w:p w14:paraId="69A28304"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A8915C2" w14:textId="700548F2" w:rsidR="00D05700" w:rsidRPr="008F7BF1" w:rsidRDefault="00FD3038" w:rsidP="00D05700">
      <w:pPr>
        <w:tabs>
          <w:tab w:val="left" w:pos="567"/>
        </w:tabs>
        <w:spacing w:after="0" w:line="240" w:lineRule="auto"/>
        <w:rPr>
          <w:rFonts w:ascii="Times New Roman" w:eastAsia="Times New Roman" w:hAnsi="Times New Roman" w:cs="Times New Roman"/>
          <w:kern w:val="0"/>
          <w14:ligatures w14:val="none"/>
        </w:rPr>
      </w:pPr>
      <w:r w:rsidRPr="008F7BF1">
        <w:rPr>
          <w:rFonts w:ascii="Times New Roman" w:eastAsia="Times New Roman" w:hAnsi="Times New Roman" w:cs="Times New Roman"/>
          <w:kern w:val="0"/>
          <w14:ligatures w14:val="none"/>
        </w:rPr>
        <w:t>N8 – LT/L</w:t>
      </w:r>
      <w:r w:rsidR="008F7BF1" w:rsidRPr="008F7BF1">
        <w:rPr>
          <w:rFonts w:ascii="Times New Roman" w:eastAsia="Times New Roman" w:hAnsi="Times New Roman" w:cs="Times New Roman"/>
          <w:kern w:val="0"/>
          <w14:ligatures w14:val="none"/>
        </w:rPr>
        <w:t>/23/1954/001</w:t>
      </w:r>
    </w:p>
    <w:p w14:paraId="7A3C2000" w14:textId="15CC64ED" w:rsidR="00FD3038" w:rsidRPr="008F7BF1" w:rsidRDefault="00FD3038" w:rsidP="00D05700">
      <w:pPr>
        <w:tabs>
          <w:tab w:val="left" w:pos="567"/>
        </w:tabs>
        <w:spacing w:after="0" w:line="240" w:lineRule="auto"/>
        <w:rPr>
          <w:rFonts w:ascii="Times New Roman" w:eastAsia="Times New Roman" w:hAnsi="Times New Roman" w:cs="Times New Roman"/>
          <w:kern w:val="0"/>
          <w14:ligatures w14:val="none"/>
        </w:rPr>
      </w:pPr>
      <w:r w:rsidRPr="008F7BF1">
        <w:rPr>
          <w:rFonts w:ascii="Times New Roman" w:eastAsia="Times New Roman" w:hAnsi="Times New Roman" w:cs="Times New Roman"/>
          <w:kern w:val="0"/>
          <w14:ligatures w14:val="none"/>
        </w:rPr>
        <w:t>N16 – LT/L</w:t>
      </w:r>
      <w:r w:rsidR="008F7BF1" w:rsidRPr="008F7BF1">
        <w:rPr>
          <w:rFonts w:ascii="Times New Roman" w:eastAsia="Times New Roman" w:hAnsi="Times New Roman" w:cs="Times New Roman"/>
          <w:kern w:val="0"/>
          <w14:ligatures w14:val="none"/>
        </w:rPr>
        <w:t>/23/1954/002</w:t>
      </w:r>
    </w:p>
    <w:p w14:paraId="2EB1CA0C" w14:textId="5D48990F" w:rsidR="00FD3038" w:rsidRPr="008F7BF1" w:rsidRDefault="00FD3038" w:rsidP="00D05700">
      <w:pPr>
        <w:tabs>
          <w:tab w:val="left" w:pos="567"/>
        </w:tabs>
        <w:spacing w:after="0" w:line="240" w:lineRule="auto"/>
        <w:rPr>
          <w:rFonts w:ascii="Times New Roman" w:eastAsia="Times New Roman" w:hAnsi="Times New Roman" w:cs="Times New Roman"/>
          <w:kern w:val="0"/>
          <w14:ligatures w14:val="none"/>
        </w:rPr>
      </w:pPr>
      <w:r w:rsidRPr="008F7BF1">
        <w:rPr>
          <w:rFonts w:ascii="Times New Roman" w:eastAsia="Times New Roman" w:hAnsi="Times New Roman" w:cs="Times New Roman"/>
          <w:kern w:val="0"/>
          <w14:ligatures w14:val="none"/>
        </w:rPr>
        <w:t>N24 – LT/L</w:t>
      </w:r>
      <w:r w:rsidR="008F7BF1" w:rsidRPr="008F7BF1">
        <w:rPr>
          <w:rFonts w:ascii="Times New Roman" w:eastAsia="Times New Roman" w:hAnsi="Times New Roman" w:cs="Times New Roman"/>
          <w:kern w:val="0"/>
          <w14:ligatures w14:val="none"/>
        </w:rPr>
        <w:t>/23/1954/003</w:t>
      </w:r>
    </w:p>
    <w:p w14:paraId="18147D22" w14:textId="4524C0CC" w:rsidR="00D05700" w:rsidRPr="008F7BF1" w:rsidRDefault="00FD3038" w:rsidP="00D05700">
      <w:pPr>
        <w:tabs>
          <w:tab w:val="left" w:pos="567"/>
        </w:tabs>
        <w:spacing w:after="0" w:line="240" w:lineRule="auto"/>
        <w:rPr>
          <w:rFonts w:ascii="Times New Roman" w:eastAsia="Times New Roman" w:hAnsi="Times New Roman" w:cs="Times New Roman"/>
          <w:kern w:val="0"/>
          <w14:ligatures w14:val="none"/>
        </w:rPr>
      </w:pPr>
      <w:r w:rsidRPr="008F7BF1">
        <w:rPr>
          <w:rFonts w:ascii="Times New Roman" w:eastAsia="Times New Roman" w:hAnsi="Times New Roman" w:cs="Times New Roman"/>
          <w:kern w:val="0"/>
          <w14:ligatures w14:val="none"/>
        </w:rPr>
        <w:t>N32 – LT/L</w:t>
      </w:r>
      <w:r w:rsidR="008F7BF1" w:rsidRPr="008F7BF1">
        <w:rPr>
          <w:rFonts w:ascii="Times New Roman" w:eastAsia="Times New Roman" w:hAnsi="Times New Roman" w:cs="Times New Roman"/>
          <w:kern w:val="0"/>
          <w14:ligatures w14:val="none"/>
        </w:rPr>
        <w:t>/23/1954/004</w:t>
      </w:r>
    </w:p>
    <w:p w14:paraId="65114A08" w14:textId="77777777" w:rsidR="00D05700" w:rsidRPr="00873C37" w:rsidRDefault="00D05700" w:rsidP="00D05700">
      <w:pPr>
        <w:tabs>
          <w:tab w:val="left" w:pos="567"/>
        </w:tabs>
        <w:spacing w:after="0" w:line="240" w:lineRule="auto"/>
        <w:rPr>
          <w:rFonts w:ascii="Times New Roman" w:eastAsia="Times New Roman" w:hAnsi="Times New Roman" w:cs="Times New Roman"/>
          <w:kern w:val="0"/>
          <w14:ligatures w14:val="none"/>
        </w:rPr>
      </w:pPr>
    </w:p>
    <w:p w14:paraId="0AB24661" w14:textId="77777777" w:rsidR="00FD3038" w:rsidRPr="00D05700" w:rsidRDefault="00FD3038" w:rsidP="00D05700">
      <w:pPr>
        <w:tabs>
          <w:tab w:val="left" w:pos="567"/>
        </w:tabs>
        <w:spacing w:after="0" w:line="240" w:lineRule="auto"/>
        <w:rPr>
          <w:rFonts w:ascii="Times New Roman" w:eastAsia="Times New Roman" w:hAnsi="Times New Roman" w:cs="Times New Roman"/>
          <w:kern w:val="0"/>
          <w14:ligatures w14:val="none"/>
        </w:rPr>
      </w:pPr>
    </w:p>
    <w:p w14:paraId="6351F616" w14:textId="77777777" w:rsidR="00D05700" w:rsidRPr="00D05700" w:rsidRDefault="00D05700" w:rsidP="00D0570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13.</w:t>
      </w:r>
      <w:r w:rsidRPr="00D05700">
        <w:rPr>
          <w:rFonts w:ascii="Times New Roman" w:eastAsia="Times New Roman" w:hAnsi="Times New Roman" w:cs="Times New Roman"/>
          <w:b/>
          <w:kern w:val="0"/>
          <w14:ligatures w14:val="none"/>
        </w:rPr>
        <w:tab/>
        <w:t>SERIJOS NUMERIS</w:t>
      </w:r>
    </w:p>
    <w:p w14:paraId="5A5A9A62"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60E18D1F" w14:textId="65D36095"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Lot</w:t>
      </w:r>
      <w:r w:rsidR="00873C37" w:rsidRPr="00873C37">
        <w:rPr>
          <w:rFonts w:ascii="Times New Roman" w:eastAsia="Times New Roman" w:hAnsi="Times New Roman" w:cs="Times New Roman"/>
          <w:kern w:val="0"/>
          <w14:ligatures w14:val="none"/>
        </w:rPr>
        <w:t>:</w:t>
      </w:r>
      <w:r w:rsidRPr="00D05700">
        <w:rPr>
          <w:rFonts w:ascii="Times New Roman" w:eastAsia="Times New Roman" w:hAnsi="Times New Roman" w:cs="Times New Roman"/>
          <w:kern w:val="0"/>
          <w14:ligatures w14:val="none"/>
        </w:rPr>
        <w:t xml:space="preserve"> </w:t>
      </w:r>
      <w:r w:rsidRPr="00D05700">
        <w:rPr>
          <w:rFonts w:ascii="Times New Roman" w:eastAsia="Times New Roman" w:hAnsi="Times New Roman" w:cs="Times New Roman"/>
          <w:kern w:val="0"/>
          <w:lang w:bidi="he-IL"/>
          <w14:ligatures w14:val="none"/>
        </w:rPr>
        <w:t>{numeris}</w:t>
      </w:r>
    </w:p>
    <w:p w14:paraId="47EFD134"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63983CB"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7781DCA8" w14:textId="77777777" w:rsidR="00D05700" w:rsidRPr="00D05700" w:rsidRDefault="00D05700" w:rsidP="00D05700">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14.</w:t>
      </w:r>
      <w:r w:rsidRPr="00D05700">
        <w:rPr>
          <w:rFonts w:ascii="Times New Roman" w:eastAsia="Times New Roman" w:hAnsi="Times New Roman" w:cs="Times New Roman"/>
          <w:b/>
          <w:kern w:val="0"/>
          <w14:ligatures w14:val="none"/>
        </w:rPr>
        <w:tab/>
        <w:t>PARDAVIMO (IŠDAVIMO) TVARKA</w:t>
      </w:r>
    </w:p>
    <w:p w14:paraId="4BFB1809"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7AD5E69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Receptinis vaistas.</w:t>
      </w:r>
    </w:p>
    <w:p w14:paraId="7AFCEA9A"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3C10091"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E3FA6CC" w14:textId="77777777" w:rsidR="00D05700" w:rsidRPr="00D05700" w:rsidRDefault="00D05700" w:rsidP="00D05700">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15.</w:t>
      </w:r>
      <w:r w:rsidRPr="00D05700">
        <w:rPr>
          <w:rFonts w:ascii="Times New Roman" w:eastAsia="Times New Roman" w:hAnsi="Times New Roman" w:cs="Times New Roman"/>
          <w:b/>
          <w:kern w:val="0"/>
          <w14:ligatures w14:val="none"/>
        </w:rPr>
        <w:tab/>
        <w:t>VARTOJIMO INSTRUKCIJA</w:t>
      </w:r>
    </w:p>
    <w:p w14:paraId="5AEEBE11"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3FE89D7" w14:textId="77777777" w:rsidR="00D05700" w:rsidRPr="00D05700" w:rsidRDefault="00D05700" w:rsidP="00D05700">
      <w:pPr>
        <w:tabs>
          <w:tab w:val="left" w:pos="567"/>
        </w:tabs>
        <w:spacing w:after="0" w:line="240" w:lineRule="auto"/>
        <w:rPr>
          <w:rFonts w:ascii="Times New Roman" w:eastAsia="Times New Roman" w:hAnsi="Times New Roman" w:cs="Times New Roman"/>
          <w:color w:val="000000"/>
          <w:kern w:val="0"/>
          <w14:ligatures w14:val="none"/>
        </w:rPr>
      </w:pPr>
    </w:p>
    <w:p w14:paraId="26FAB3A8" w14:textId="77777777" w:rsidR="00D05700" w:rsidRPr="00D05700" w:rsidRDefault="00D05700" w:rsidP="00D057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olor w:val="000000"/>
          <w:kern w:val="0"/>
          <w14:ligatures w14:val="none"/>
        </w:rPr>
      </w:pPr>
      <w:r w:rsidRPr="00D05700">
        <w:rPr>
          <w:rFonts w:ascii="Times New Roman" w:eastAsia="Times New Roman" w:hAnsi="Times New Roman" w:cs="Times New Roman"/>
          <w:b/>
          <w:color w:val="000000"/>
          <w:kern w:val="0"/>
          <w14:ligatures w14:val="none"/>
        </w:rPr>
        <w:t>16.</w:t>
      </w:r>
      <w:r w:rsidRPr="00D05700">
        <w:rPr>
          <w:rFonts w:ascii="Times New Roman" w:eastAsia="Times New Roman" w:hAnsi="Times New Roman" w:cs="Times New Roman"/>
          <w:b/>
          <w:color w:val="000000"/>
          <w:kern w:val="0"/>
          <w14:ligatures w14:val="none"/>
        </w:rPr>
        <w:tab/>
        <w:t>INFORMACIJA BRAILIO RAŠTU</w:t>
      </w:r>
    </w:p>
    <w:p w14:paraId="7ACAF07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6792861" w14:textId="304D93A6" w:rsidR="00D05700" w:rsidRPr="00D05700" w:rsidRDefault="00FD3038" w:rsidP="00D05700">
      <w:pPr>
        <w:tabs>
          <w:tab w:val="left" w:pos="567"/>
        </w:tabs>
        <w:spacing w:after="0" w:line="240" w:lineRule="auto"/>
        <w:rPr>
          <w:rFonts w:ascii="Times New Roman" w:eastAsia="Times New Roman" w:hAnsi="Times New Roman" w:cs="Times New Roman"/>
          <w:kern w:val="0"/>
          <w14:ligatures w14:val="none"/>
        </w:rPr>
      </w:pPr>
      <w:r w:rsidRPr="00873C37">
        <w:rPr>
          <w:rFonts w:ascii="Times New Roman" w:eastAsia="Times New Roman" w:hAnsi="Times New Roman" w:cs="Times New Roman"/>
          <w:kern w:val="0"/>
          <w14:ligatures w14:val="none"/>
        </w:rPr>
        <w:t>b</w:t>
      </w:r>
      <w:r w:rsidR="00D05700" w:rsidRPr="00D05700">
        <w:rPr>
          <w:rFonts w:ascii="Times New Roman" w:eastAsia="Times New Roman" w:hAnsi="Times New Roman" w:cs="Times New Roman"/>
          <w:kern w:val="0"/>
          <w14:ligatures w14:val="none"/>
        </w:rPr>
        <w:t>iodroxil 500 mg</w:t>
      </w:r>
    </w:p>
    <w:p w14:paraId="010EEEFA"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34F2A937" w14:textId="77777777" w:rsidR="00D05700" w:rsidRPr="00D05700" w:rsidRDefault="00D05700" w:rsidP="00D05700">
      <w:pPr>
        <w:spacing w:after="0" w:line="240" w:lineRule="auto"/>
        <w:rPr>
          <w:rFonts w:ascii="Times New Roman" w:eastAsia="Times New Roman" w:hAnsi="Times New Roman" w:cs="Times New Roman"/>
          <w:kern w:val="0"/>
          <w:shd w:val="clear" w:color="auto" w:fill="CCCCCC"/>
          <w14:ligatures w14:val="none"/>
        </w:rPr>
      </w:pPr>
    </w:p>
    <w:p w14:paraId="5C5265E4" w14:textId="77777777" w:rsidR="00D05700" w:rsidRPr="00D05700" w:rsidRDefault="00D05700" w:rsidP="00D05700">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kern w:val="0"/>
          <w14:ligatures w14:val="none"/>
        </w:rPr>
      </w:pPr>
      <w:r w:rsidRPr="00D05700">
        <w:rPr>
          <w:rFonts w:ascii="Times New Roman" w:eastAsia="Times New Roman" w:hAnsi="Times New Roman" w:cs="Times New Roman"/>
          <w:b/>
          <w:kern w:val="0"/>
          <w14:ligatures w14:val="none"/>
        </w:rPr>
        <w:t>17.</w:t>
      </w:r>
      <w:r w:rsidRPr="00D05700">
        <w:rPr>
          <w:rFonts w:ascii="Times New Roman" w:eastAsia="Times New Roman" w:hAnsi="Times New Roman" w:cs="Times New Roman"/>
          <w:b/>
          <w:kern w:val="0"/>
          <w14:ligatures w14:val="none"/>
        </w:rPr>
        <w:tab/>
        <w:t>UNIKALUS IDENTIFIKATORIUS – 2D BRŪKŠNINIS KODAS</w:t>
      </w:r>
    </w:p>
    <w:p w14:paraId="601BC909"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p>
    <w:p w14:paraId="24FC4154" w14:textId="77777777" w:rsidR="00D05700" w:rsidRPr="00D05700" w:rsidRDefault="00D05700" w:rsidP="00D05700">
      <w:pPr>
        <w:spacing w:after="0" w:line="240" w:lineRule="auto"/>
        <w:rPr>
          <w:rFonts w:ascii="Times New Roman" w:eastAsia="Times New Roman" w:hAnsi="Times New Roman" w:cs="Times New Roman"/>
          <w:kern w:val="0"/>
          <w:highlight w:val="lightGray"/>
          <w14:ligatures w14:val="none"/>
        </w:rPr>
      </w:pPr>
      <w:r w:rsidRPr="00D05700">
        <w:rPr>
          <w:rFonts w:ascii="Times New Roman" w:eastAsia="Times New Roman" w:hAnsi="Times New Roman" w:cs="Times New Roman"/>
          <w:kern w:val="0"/>
          <w:highlight w:val="lightGray"/>
          <w:lang w:eastAsia="lt-LT" w:bidi="lt-LT"/>
          <w14:ligatures w14:val="none"/>
        </w:rPr>
        <w:t>2D brūkšninis kodas su nurodytu unikaliu identifikatoriumi</w:t>
      </w:r>
    </w:p>
    <w:p w14:paraId="7C62EBEF"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p>
    <w:p w14:paraId="7A022768"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p>
    <w:p w14:paraId="3FAEBD16" w14:textId="77777777" w:rsidR="00D05700" w:rsidRPr="00D05700" w:rsidRDefault="00D05700" w:rsidP="00D05700">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kern w:val="0"/>
          <w14:ligatures w14:val="none"/>
        </w:rPr>
      </w:pPr>
      <w:r w:rsidRPr="00D05700">
        <w:rPr>
          <w:rFonts w:ascii="Times New Roman" w:eastAsia="Times New Roman" w:hAnsi="Times New Roman" w:cs="Times New Roman"/>
          <w:b/>
          <w:kern w:val="0"/>
          <w14:ligatures w14:val="none"/>
        </w:rPr>
        <w:t>18.</w:t>
      </w:r>
      <w:r w:rsidRPr="00D05700">
        <w:rPr>
          <w:rFonts w:ascii="Times New Roman" w:eastAsia="Times New Roman" w:hAnsi="Times New Roman" w:cs="Times New Roman"/>
          <w:b/>
          <w:kern w:val="0"/>
          <w14:ligatures w14:val="none"/>
        </w:rPr>
        <w:tab/>
        <w:t>UNIKALUS IDENTIFIKATORIUS – ŽMONĖMS SUPRANTAMI DUOMENYS</w:t>
      </w:r>
    </w:p>
    <w:p w14:paraId="2D98DC05"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p>
    <w:p w14:paraId="2D27AFBF" w14:textId="668DF9B7" w:rsidR="00FD3038" w:rsidRPr="00873C37" w:rsidRDefault="00D05700" w:rsidP="00D05700">
      <w:pPr>
        <w:tabs>
          <w:tab w:val="left" w:pos="567"/>
        </w:tabs>
        <w:spacing w:after="0" w:line="240" w:lineRule="auto"/>
        <w:contextualSpacing/>
        <w:rPr>
          <w:rFonts w:ascii="Times New Roman" w:eastAsia="Times New Roman" w:hAnsi="Times New Roman" w:cs="Times New Roman"/>
          <w:kern w:val="0"/>
          <w:lang w:eastAsia="lt-LT" w:bidi="lt-LT"/>
          <w14:ligatures w14:val="none"/>
        </w:rPr>
      </w:pPr>
      <w:r w:rsidRPr="00D05700">
        <w:rPr>
          <w:rFonts w:ascii="Times New Roman" w:eastAsia="Times New Roman" w:hAnsi="Times New Roman" w:cs="Times New Roman"/>
          <w:kern w:val="0"/>
          <w:lang w:eastAsia="lt-LT" w:bidi="lt-LT"/>
          <w14:ligatures w14:val="none"/>
        </w:rPr>
        <w:t xml:space="preserve">PC: </w:t>
      </w:r>
    </w:p>
    <w:p w14:paraId="3DD5FFDF" w14:textId="6FB1DEAF" w:rsidR="00D05700" w:rsidRPr="00D05700" w:rsidRDefault="00D05700" w:rsidP="00D05700">
      <w:pPr>
        <w:tabs>
          <w:tab w:val="left" w:pos="567"/>
        </w:tabs>
        <w:spacing w:after="0" w:line="240" w:lineRule="auto"/>
        <w:contextualSpacing/>
        <w:rPr>
          <w:rFonts w:ascii="Times New Roman" w:eastAsia="Times New Roman" w:hAnsi="Times New Roman" w:cs="Times New Roman"/>
          <w:kern w:val="0"/>
          <w:lang w:eastAsia="lt-LT" w:bidi="lt-LT"/>
          <w14:ligatures w14:val="none"/>
        </w:rPr>
      </w:pPr>
      <w:r w:rsidRPr="00D05700">
        <w:rPr>
          <w:rFonts w:ascii="Times New Roman" w:eastAsia="Times New Roman" w:hAnsi="Times New Roman" w:cs="Times New Roman"/>
          <w:kern w:val="0"/>
          <w:lang w:eastAsia="lt-LT" w:bidi="lt-LT"/>
          <w14:ligatures w14:val="none"/>
        </w:rPr>
        <w:t xml:space="preserve">SN: </w:t>
      </w:r>
    </w:p>
    <w:p w14:paraId="55C5D172" w14:textId="15B8CD6C" w:rsidR="00D05700" w:rsidRPr="00873C37" w:rsidRDefault="00D05700" w:rsidP="00D05700">
      <w:pPr>
        <w:tabs>
          <w:tab w:val="left" w:pos="567"/>
        </w:tabs>
        <w:spacing w:after="0" w:line="240" w:lineRule="auto"/>
        <w:rPr>
          <w:rFonts w:ascii="Times New Roman" w:eastAsia="Times New Roman" w:hAnsi="Times New Roman" w:cs="Times New Roman"/>
          <w:kern w:val="0"/>
          <w:lang w:eastAsia="lt-LT" w:bidi="lt-LT"/>
          <w14:ligatures w14:val="none"/>
        </w:rPr>
      </w:pPr>
      <w:r w:rsidRPr="00D05700">
        <w:rPr>
          <w:rFonts w:ascii="Times New Roman" w:eastAsia="Times New Roman" w:hAnsi="Times New Roman" w:cs="Times New Roman"/>
          <w:kern w:val="0"/>
          <w:highlight w:val="lightGray"/>
          <w:lang w:eastAsia="lt-LT" w:bidi="lt-LT"/>
          <w14:ligatures w14:val="none"/>
        </w:rPr>
        <w:t xml:space="preserve">NN: </w:t>
      </w:r>
    </w:p>
    <w:p w14:paraId="1894A994" w14:textId="77777777" w:rsidR="00FD3038" w:rsidRPr="00873C37" w:rsidRDefault="00FD3038" w:rsidP="00D05700">
      <w:pPr>
        <w:tabs>
          <w:tab w:val="left" w:pos="567"/>
        </w:tabs>
        <w:spacing w:after="0" w:line="240" w:lineRule="auto"/>
        <w:rPr>
          <w:rFonts w:ascii="Times New Roman" w:eastAsia="Times New Roman" w:hAnsi="Times New Roman" w:cs="Times New Roman"/>
          <w:kern w:val="0"/>
          <w:lang w:eastAsia="lt-LT" w:bidi="lt-LT"/>
          <w14:ligatures w14:val="none"/>
        </w:rPr>
      </w:pPr>
    </w:p>
    <w:p w14:paraId="5377443B" w14:textId="0A496EDE" w:rsidR="00FD3038" w:rsidRPr="00873C37" w:rsidRDefault="00FD3038" w:rsidP="00FD3038">
      <w:pPr>
        <w:tabs>
          <w:tab w:val="left" w:pos="567"/>
        </w:tabs>
        <w:rPr>
          <w:rFonts w:ascii="Times New Roman" w:hAnsi="Times New Roman" w:cs="Times New Roman"/>
        </w:rPr>
      </w:pPr>
      <w:r w:rsidRPr="00873C37">
        <w:rPr>
          <w:rFonts w:ascii="Times New Roman" w:eastAsia="Times New Roman" w:hAnsi="Times New Roman" w:cs="Times New Roman"/>
          <w:b/>
          <w:bCs/>
          <w:kern w:val="0"/>
          <w:lang w:eastAsia="lt-LT" w:bidi="lt-LT"/>
          <w14:ligatures w14:val="none"/>
        </w:rPr>
        <w:t>Gamintojas</w:t>
      </w:r>
      <w:r w:rsidRPr="00873C37">
        <w:rPr>
          <w:rFonts w:ascii="Times New Roman" w:eastAsia="Times New Roman" w:hAnsi="Times New Roman" w:cs="Times New Roman"/>
          <w:kern w:val="0"/>
          <w:lang w:eastAsia="lt-LT" w:bidi="lt-LT"/>
          <w14:ligatures w14:val="none"/>
        </w:rPr>
        <w:t xml:space="preserve"> </w:t>
      </w:r>
      <w:r w:rsidRPr="00873C37">
        <w:rPr>
          <w:rFonts w:ascii="Times New Roman" w:hAnsi="Times New Roman" w:cs="Times New Roman"/>
        </w:rPr>
        <w:t xml:space="preserve">Sandoz GmbH, </w:t>
      </w:r>
      <w:r w:rsidRPr="00873C37">
        <w:rPr>
          <w:rFonts w:ascii="Times New Roman" w:hAnsi="Times New Roman" w:cs="Times New Roman"/>
          <w:highlight w:val="lightGray"/>
        </w:rPr>
        <w:t>Biochemiestrasse 10, A-6250 Kundl,</w:t>
      </w:r>
      <w:r w:rsidRPr="00873C37">
        <w:rPr>
          <w:rFonts w:ascii="Times New Roman" w:hAnsi="Times New Roman" w:cs="Times New Roman"/>
        </w:rPr>
        <w:t xml:space="preserve"> Austrija</w:t>
      </w:r>
    </w:p>
    <w:p w14:paraId="45E1A7A8" w14:textId="77777777" w:rsidR="00873C37" w:rsidRPr="00873C37" w:rsidRDefault="00873C37" w:rsidP="00873C37">
      <w:pPr>
        <w:spacing w:after="0" w:line="240" w:lineRule="auto"/>
        <w:rPr>
          <w:rFonts w:ascii="Times New Roman" w:eastAsia="Calibri" w:hAnsi="Times New Roman" w:cs="Times New Roman"/>
          <w:highlight w:val="lightGray"/>
        </w:rPr>
      </w:pPr>
      <w:bookmarkStart w:id="0" w:name="_Hlk120804307"/>
      <w:r w:rsidRPr="00873C37">
        <w:rPr>
          <w:rFonts w:ascii="Times New Roman" w:eastAsia="Calibri" w:hAnsi="Times New Roman" w:cs="Times New Roman"/>
          <w:b/>
        </w:rPr>
        <w:t>Perpakavo</w:t>
      </w:r>
      <w:r w:rsidRPr="00873C37">
        <w:rPr>
          <w:rFonts w:ascii="Times New Roman" w:eastAsia="Calibri" w:hAnsi="Times New Roman" w:cs="Times New Roman"/>
        </w:rPr>
        <w:t xml:space="preserve"> </w:t>
      </w:r>
      <w:r w:rsidRPr="00126E5B">
        <w:rPr>
          <w:rFonts w:ascii="Times New Roman" w:eastAsia="Calibri" w:hAnsi="Times New Roman" w:cs="Times New Roman"/>
        </w:rPr>
        <w:t>UAB „</w:t>
      </w:r>
      <w:proofErr w:type="spellStart"/>
      <w:r w:rsidRPr="00126E5B">
        <w:rPr>
          <w:rFonts w:ascii="Times New Roman" w:eastAsia="Calibri" w:hAnsi="Times New Roman" w:cs="Times New Roman"/>
        </w:rPr>
        <w:t>Entafarma</w:t>
      </w:r>
      <w:proofErr w:type="spellEnd"/>
      <w:r w:rsidRPr="00126E5B">
        <w:rPr>
          <w:rFonts w:ascii="Times New Roman" w:eastAsia="Calibri" w:hAnsi="Times New Roman" w:cs="Times New Roman"/>
        </w:rPr>
        <w:t>“</w:t>
      </w:r>
    </w:p>
    <w:p w14:paraId="7CE9A235" w14:textId="12AAD08C" w:rsidR="00873C37" w:rsidRPr="00126E5B" w:rsidRDefault="006B15A5" w:rsidP="00873C37">
      <w:pPr>
        <w:spacing w:after="0" w:line="240" w:lineRule="auto"/>
        <w:rPr>
          <w:rFonts w:ascii="Times New Roman" w:eastAsia="Calibri" w:hAnsi="Times New Roman" w:cs="Times New Roman"/>
          <w:color w:val="010E18"/>
          <w:highlight w:val="lightGray"/>
        </w:rPr>
      </w:pPr>
      <w:r w:rsidRPr="00126E5B">
        <w:rPr>
          <w:rFonts w:ascii="Times New Roman" w:eastAsia="Calibri" w:hAnsi="Times New Roman" w:cs="Times New Roman"/>
          <w:color w:val="010E18"/>
          <w:highlight w:val="lightGray"/>
        </w:rPr>
        <w:t>UAB „</w:t>
      </w:r>
      <w:proofErr w:type="spellStart"/>
      <w:r w:rsidRPr="00126E5B">
        <w:rPr>
          <w:rFonts w:ascii="Times New Roman" w:eastAsia="Calibri" w:hAnsi="Times New Roman" w:cs="Times New Roman"/>
          <w:color w:val="010E18"/>
          <w:highlight w:val="lightGray"/>
        </w:rPr>
        <w:t>Santamed</w:t>
      </w:r>
      <w:proofErr w:type="spellEnd"/>
      <w:r w:rsidRPr="00126E5B">
        <w:rPr>
          <w:rFonts w:ascii="Times New Roman" w:eastAsia="Calibri" w:hAnsi="Times New Roman" w:cs="Times New Roman"/>
          <w:color w:val="010E18"/>
          <w:highlight w:val="lightGray"/>
        </w:rPr>
        <w:t xml:space="preserve"> LT“</w:t>
      </w:r>
    </w:p>
    <w:p w14:paraId="4029153A" w14:textId="654D6864" w:rsidR="006B15A5" w:rsidRPr="00873C37" w:rsidRDefault="006B15A5" w:rsidP="00873C37">
      <w:pPr>
        <w:spacing w:after="0" w:line="240" w:lineRule="auto"/>
        <w:rPr>
          <w:rFonts w:ascii="Times New Roman" w:eastAsia="Times New Roman" w:hAnsi="Times New Roman" w:cs="Times New Roman"/>
          <w:lang w:eastAsia="lt-LT"/>
        </w:rPr>
      </w:pPr>
      <w:r w:rsidRPr="00126E5B">
        <w:rPr>
          <w:rFonts w:ascii="Times New Roman" w:eastAsia="Calibri" w:hAnsi="Times New Roman" w:cs="Times New Roman"/>
          <w:color w:val="010E18"/>
          <w:highlight w:val="lightGray"/>
        </w:rPr>
        <w:t>UAB „Armila“</w:t>
      </w:r>
    </w:p>
    <w:p w14:paraId="2A00C4B7" w14:textId="2188D37C" w:rsidR="00873C37" w:rsidRPr="00873C37" w:rsidRDefault="00873C37" w:rsidP="00873C37">
      <w:pPr>
        <w:autoSpaceDE w:val="0"/>
        <w:autoSpaceDN w:val="0"/>
        <w:adjustRightInd w:val="0"/>
        <w:spacing w:after="0" w:line="240" w:lineRule="auto"/>
        <w:rPr>
          <w:rFonts w:ascii="Times New Roman" w:eastAsia="Calibri" w:hAnsi="Times New Roman" w:cs="Times New Roman"/>
          <w:color w:val="010E18"/>
        </w:rPr>
      </w:pPr>
      <w:r w:rsidRPr="00873C37">
        <w:rPr>
          <w:rFonts w:ascii="Times New Roman" w:eastAsia="Calibri" w:hAnsi="Times New Roman" w:cs="Times New Roman"/>
          <w:highlight w:val="lightGray"/>
        </w:rPr>
        <w:t xml:space="preserve">Medezin </w:t>
      </w:r>
      <w:r w:rsidR="00BA0E32">
        <w:rPr>
          <w:rFonts w:ascii="Times New Roman" w:eastAsia="Calibri" w:hAnsi="Times New Roman" w:cs="Times New Roman"/>
          <w:highlight w:val="lightGray"/>
        </w:rPr>
        <w:t>S</w:t>
      </w:r>
      <w:r w:rsidRPr="00873C37">
        <w:rPr>
          <w:rFonts w:ascii="Times New Roman" w:eastAsia="Calibri" w:hAnsi="Times New Roman" w:cs="Times New Roman"/>
          <w:highlight w:val="lightGray"/>
        </w:rPr>
        <w:t>p. z o.o.</w:t>
      </w:r>
    </w:p>
    <w:bookmarkEnd w:id="0"/>
    <w:p w14:paraId="4A23D8FF" w14:textId="21816008" w:rsidR="00FD3038" w:rsidRPr="00873C37" w:rsidRDefault="00FD3038" w:rsidP="00D05700">
      <w:pPr>
        <w:tabs>
          <w:tab w:val="left" w:pos="567"/>
        </w:tabs>
        <w:spacing w:after="0" w:line="240" w:lineRule="auto"/>
        <w:rPr>
          <w:rFonts w:ascii="Times New Roman" w:eastAsia="Times New Roman" w:hAnsi="Times New Roman" w:cs="Times New Roman"/>
          <w:kern w:val="0"/>
          <w14:ligatures w14:val="none"/>
        </w:rPr>
      </w:pPr>
    </w:p>
    <w:p w14:paraId="006BFE3B" w14:textId="77777777" w:rsidR="00873C37" w:rsidRPr="00873C37" w:rsidRDefault="00873C37" w:rsidP="00873C37">
      <w:pPr>
        <w:spacing w:after="0" w:line="240" w:lineRule="auto"/>
        <w:rPr>
          <w:rFonts w:ascii="Times New Roman" w:eastAsia="Calibri" w:hAnsi="Times New Roman" w:cs="Times New Roman"/>
          <w:b/>
        </w:rPr>
      </w:pPr>
      <w:r w:rsidRPr="00873C37">
        <w:rPr>
          <w:rFonts w:ascii="Times New Roman" w:eastAsia="Calibri" w:hAnsi="Times New Roman" w:cs="Times New Roman"/>
          <w:b/>
          <w:highlight w:val="lightGray"/>
        </w:rPr>
        <w:t>Perpakavimo serija</w:t>
      </w:r>
    </w:p>
    <w:p w14:paraId="2C843E39" w14:textId="77777777" w:rsidR="00873C37" w:rsidRDefault="00873C37" w:rsidP="00D05700">
      <w:pPr>
        <w:tabs>
          <w:tab w:val="left" w:pos="567"/>
        </w:tabs>
        <w:spacing w:after="0" w:line="240" w:lineRule="auto"/>
        <w:rPr>
          <w:rFonts w:ascii="Times New Roman" w:eastAsia="Times New Roman" w:hAnsi="Times New Roman" w:cs="Times New Roman"/>
          <w:kern w:val="0"/>
          <w14:ligatures w14:val="none"/>
        </w:rPr>
      </w:pPr>
    </w:p>
    <w:p w14:paraId="07EF3965" w14:textId="77777777" w:rsidR="00873C37" w:rsidRDefault="00873C37" w:rsidP="00D05700">
      <w:pPr>
        <w:tabs>
          <w:tab w:val="left" w:pos="567"/>
        </w:tabs>
        <w:spacing w:after="0" w:line="240" w:lineRule="auto"/>
        <w:rPr>
          <w:rFonts w:ascii="Times New Roman" w:eastAsia="Times New Roman" w:hAnsi="Times New Roman" w:cs="Times New Roman"/>
          <w:kern w:val="0"/>
          <w14:ligatures w14:val="none"/>
        </w:rPr>
      </w:pPr>
    </w:p>
    <w:p w14:paraId="4714C04C" w14:textId="3B40C77A" w:rsidR="00F474CC" w:rsidRPr="009B15DB" w:rsidRDefault="00873C37" w:rsidP="00F474CC">
      <w:pPr>
        <w:spacing w:after="0" w:line="240" w:lineRule="auto"/>
        <w:rPr>
          <w:rFonts w:ascii="Times New Roman" w:eastAsia="Calibri" w:hAnsi="Times New Roman" w:cs="Times New Roman"/>
          <w:lang w:eastAsia="lt-LT"/>
        </w:rPr>
      </w:pPr>
      <w:r w:rsidRPr="00AD29D6">
        <w:rPr>
          <w:rFonts w:ascii="Times New Roman" w:eastAsia="Times New Roman" w:hAnsi="Times New Roman" w:cs="Times New Roman"/>
          <w:i/>
        </w:rPr>
        <w:t>Lygiagrečiai importuojamas vaistas nuo referencinio skiriasi p</w:t>
      </w:r>
      <w:r w:rsidRPr="00AD29D6">
        <w:rPr>
          <w:rFonts w:ascii="Times New Roman" w:hAnsi="Times New Roman"/>
          <w:i/>
          <w:iCs/>
        </w:rPr>
        <w:t>akuotės dydžiu: referencinio – N</w:t>
      </w:r>
      <w:r>
        <w:rPr>
          <w:rFonts w:ascii="Times New Roman" w:hAnsi="Times New Roman"/>
          <w:i/>
          <w:iCs/>
        </w:rPr>
        <w:t>12</w:t>
      </w:r>
      <w:r w:rsidRPr="00AD29D6">
        <w:rPr>
          <w:rFonts w:ascii="Times New Roman" w:hAnsi="Times New Roman"/>
          <w:i/>
          <w:iCs/>
        </w:rPr>
        <w:t>, lygiagrečiai importuojamo vaisto – N</w:t>
      </w:r>
      <w:r w:rsidRPr="00992DE1">
        <w:rPr>
          <w:rFonts w:ascii="Times New Roman" w:hAnsi="Times New Roman"/>
          <w:i/>
          <w:iCs/>
        </w:rPr>
        <w:t>8, N16, N24 arba N32</w:t>
      </w:r>
      <w:r w:rsidR="00992DE1" w:rsidRPr="00992DE1">
        <w:rPr>
          <w:rFonts w:ascii="Times New Roman" w:hAnsi="Times New Roman"/>
          <w:i/>
          <w:iCs/>
        </w:rPr>
        <w:t>;</w:t>
      </w:r>
      <w:r w:rsidR="00992DE1">
        <w:rPr>
          <w:rFonts w:ascii="Times New Roman" w:hAnsi="Times New Roman"/>
          <w:i/>
          <w:iCs/>
        </w:rPr>
        <w:t xml:space="preserve"> </w:t>
      </w:r>
      <w:r w:rsidR="00F474CC">
        <w:rPr>
          <w:rFonts w:ascii="Times New Roman" w:hAnsi="Times New Roman"/>
          <w:i/>
          <w:iCs/>
        </w:rPr>
        <w:t>laikymo sąlygomis: lygiagrečiai importuojamo – laikyti gamintojo pakuotėje, o referencinio – šiam vaistui</w:t>
      </w:r>
      <w:r w:rsidR="00F474CC" w:rsidRPr="009B15DB">
        <w:rPr>
          <w:rFonts w:ascii="Times New Roman" w:hAnsi="Times New Roman"/>
          <w:i/>
          <w:iCs/>
        </w:rPr>
        <w:t xml:space="preserve"> </w:t>
      </w:r>
      <w:r w:rsidR="00F474CC">
        <w:rPr>
          <w:rFonts w:ascii="Times New Roman" w:hAnsi="Times New Roman"/>
          <w:i/>
          <w:iCs/>
        </w:rPr>
        <w:t>specialių laikymo sąlygų nereikia.</w:t>
      </w:r>
    </w:p>
    <w:p w14:paraId="2100EE8A" w14:textId="77777777" w:rsidR="00D05700" w:rsidRPr="00D05700" w:rsidRDefault="00D05700" w:rsidP="00D057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kern w:val="0"/>
          <w14:ligatures w14:val="none"/>
        </w:rPr>
        <w:br w:type="page"/>
      </w:r>
      <w:r w:rsidRPr="00D05700">
        <w:rPr>
          <w:rFonts w:ascii="Times New Roman" w:eastAsia="Times New Roman" w:hAnsi="Times New Roman" w:cs="Times New Roman"/>
          <w:b/>
          <w:color w:val="000000"/>
          <w:kern w:val="0"/>
          <w14:ligatures w14:val="none"/>
        </w:rPr>
        <w:t xml:space="preserve">MINIMALI INFORMACIJA ANT </w:t>
      </w:r>
      <w:r w:rsidRPr="00D05700">
        <w:rPr>
          <w:rFonts w:ascii="Times New Roman" w:eastAsia="Times New Roman" w:hAnsi="Times New Roman" w:cs="Times New Roman"/>
          <w:b/>
          <w:kern w:val="0"/>
          <w14:ligatures w14:val="none"/>
        </w:rPr>
        <w:t>LIZDINIŲ PLOKŠTELIŲ ARBA DVISLUOKSNIŲ JUOSTELIŲ</w:t>
      </w:r>
    </w:p>
    <w:p w14:paraId="3BCBDBBB" w14:textId="77777777" w:rsidR="00D05700" w:rsidRPr="00D05700" w:rsidRDefault="00D05700" w:rsidP="00D057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olor w:val="000000"/>
          <w:kern w:val="0"/>
          <w14:ligatures w14:val="none"/>
        </w:rPr>
      </w:pPr>
    </w:p>
    <w:p w14:paraId="16B9663C" w14:textId="77777777" w:rsidR="00D05700" w:rsidRPr="00D05700" w:rsidRDefault="00D05700" w:rsidP="00D057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olor w:val="000000"/>
          <w:kern w:val="0"/>
          <w14:ligatures w14:val="none"/>
        </w:rPr>
      </w:pPr>
      <w:r w:rsidRPr="00D05700">
        <w:rPr>
          <w:rFonts w:ascii="Times New Roman" w:eastAsia="Times New Roman" w:hAnsi="Times New Roman" w:cs="Times New Roman"/>
          <w:b/>
          <w:color w:val="000000"/>
          <w:kern w:val="0"/>
          <w14:ligatures w14:val="none"/>
        </w:rPr>
        <w:t>LIZDINĖ PLOKŠTELĖ</w:t>
      </w:r>
    </w:p>
    <w:p w14:paraId="6193C258"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7C938CC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438D5E5A" w14:textId="77777777" w:rsidR="00D05700" w:rsidRPr="00D05700" w:rsidRDefault="00D05700" w:rsidP="00D057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1.</w:t>
      </w:r>
      <w:r w:rsidRPr="00D05700">
        <w:rPr>
          <w:rFonts w:ascii="Times New Roman" w:eastAsia="Times New Roman" w:hAnsi="Times New Roman" w:cs="Times New Roman"/>
          <w:b/>
          <w:kern w:val="0"/>
          <w14:ligatures w14:val="none"/>
        </w:rPr>
        <w:tab/>
        <w:t>VAISTINIO PREPARATO PAVADINIMAS</w:t>
      </w:r>
    </w:p>
    <w:p w14:paraId="2169806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6770DEB7" w14:textId="45A755BD"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 xml:space="preserve">Biodroxil 500 mg </w:t>
      </w:r>
      <w:r w:rsidR="000D031E" w:rsidRPr="005E3045">
        <w:rPr>
          <w:rFonts w:ascii="Times New Roman" w:eastAsia="Times New Roman" w:hAnsi="Times New Roman" w:cs="Times New Roman"/>
          <w:kern w:val="0"/>
          <w:highlight w:val="lightGray"/>
          <w14:ligatures w14:val="none"/>
        </w:rPr>
        <w:t>kietosios</w:t>
      </w:r>
      <w:r w:rsidR="000D031E" w:rsidRPr="000D031E">
        <w:rPr>
          <w:rFonts w:ascii="Times New Roman" w:eastAsia="Times New Roman" w:hAnsi="Times New Roman" w:cs="Times New Roman"/>
          <w:kern w:val="0"/>
          <w14:ligatures w14:val="none"/>
        </w:rPr>
        <w:t xml:space="preserve"> </w:t>
      </w:r>
      <w:r w:rsidRPr="00D05700">
        <w:rPr>
          <w:rFonts w:ascii="Times New Roman" w:eastAsia="Times New Roman" w:hAnsi="Times New Roman" w:cs="Times New Roman"/>
          <w:kern w:val="0"/>
          <w14:ligatures w14:val="none"/>
        </w:rPr>
        <w:t>kapsulės</w:t>
      </w:r>
    </w:p>
    <w:p w14:paraId="701CFBC1" w14:textId="0DF15C1D" w:rsidR="00D05700" w:rsidRPr="00D05700" w:rsidRDefault="00D26EA1" w:rsidP="00D05700">
      <w:pPr>
        <w:tabs>
          <w:tab w:val="left" w:pos="567"/>
        </w:tabs>
        <w:spacing w:after="0" w:line="240" w:lineRule="auto"/>
        <w:rPr>
          <w:rFonts w:ascii="Times New Roman" w:eastAsia="Times New Roman" w:hAnsi="Times New Roman" w:cs="Times New Roman"/>
          <w:kern w:val="0"/>
          <w14:ligatures w14:val="none"/>
        </w:rPr>
      </w:pPr>
      <w:r w:rsidRPr="00873C37">
        <w:rPr>
          <w:rFonts w:ascii="Times New Roman" w:eastAsia="Times New Roman" w:hAnsi="Times New Roman" w:cs="Times New Roman"/>
          <w:kern w:val="0"/>
          <w:highlight w:val="lightGray"/>
          <w14:ligatures w14:val="none"/>
        </w:rPr>
        <w:t>c</w:t>
      </w:r>
      <w:r w:rsidR="00D05700" w:rsidRPr="00D05700">
        <w:rPr>
          <w:rFonts w:ascii="Times New Roman" w:eastAsia="Times New Roman" w:hAnsi="Times New Roman" w:cs="Times New Roman"/>
          <w:kern w:val="0"/>
          <w:highlight w:val="lightGray"/>
          <w14:ligatures w14:val="none"/>
        </w:rPr>
        <w:t>efadroksilis</w:t>
      </w:r>
    </w:p>
    <w:p w14:paraId="22F2FCD2"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ED9D8BB"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665C72F8" w14:textId="65F356CA" w:rsidR="00D05700" w:rsidRPr="00D05700" w:rsidRDefault="00D05700" w:rsidP="00D057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2.</w:t>
      </w:r>
      <w:r w:rsidRPr="00D05700">
        <w:rPr>
          <w:rFonts w:ascii="Times New Roman" w:eastAsia="Times New Roman" w:hAnsi="Times New Roman" w:cs="Times New Roman"/>
          <w:b/>
          <w:kern w:val="0"/>
          <w14:ligatures w14:val="none"/>
        </w:rPr>
        <w:tab/>
      </w:r>
      <w:r w:rsidR="000D031E" w:rsidRPr="000D031E">
        <w:rPr>
          <w:rFonts w:ascii="Times New Roman" w:eastAsia="Times New Roman" w:hAnsi="Times New Roman" w:cs="Times New Roman"/>
          <w:b/>
          <w:kern w:val="0"/>
          <w14:ligatures w14:val="none"/>
        </w:rPr>
        <w:t>LYGIAGRETUS IMPORTUOTOJAS</w:t>
      </w:r>
    </w:p>
    <w:p w14:paraId="03B389A9"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9B4CBA6" w14:textId="226AA90A" w:rsidR="00D05700" w:rsidRPr="00873C37" w:rsidRDefault="00D26EA1" w:rsidP="00D05700">
      <w:pPr>
        <w:tabs>
          <w:tab w:val="left" w:pos="567"/>
        </w:tabs>
        <w:spacing w:after="0" w:line="240" w:lineRule="auto"/>
        <w:rPr>
          <w:rFonts w:ascii="Times New Roman" w:eastAsia="Times New Roman" w:hAnsi="Times New Roman" w:cs="Times New Roman"/>
          <w:kern w:val="0"/>
          <w14:ligatures w14:val="none"/>
        </w:rPr>
      </w:pPr>
      <w:r w:rsidRPr="00873C37">
        <w:rPr>
          <w:rFonts w:ascii="Times New Roman" w:eastAsia="Times New Roman" w:hAnsi="Times New Roman" w:cs="Times New Roman"/>
          <w:kern w:val="0"/>
          <w:highlight w:val="lightGray"/>
          <w14:ligatures w14:val="none"/>
        </w:rPr>
        <w:t>Ideal Trade Links</w:t>
      </w:r>
    </w:p>
    <w:p w14:paraId="0330CA73" w14:textId="77777777" w:rsidR="00FD3038" w:rsidRPr="00873C37" w:rsidRDefault="00FD3038" w:rsidP="00D05700">
      <w:pPr>
        <w:tabs>
          <w:tab w:val="left" w:pos="567"/>
        </w:tabs>
        <w:spacing w:after="0" w:line="240" w:lineRule="auto"/>
        <w:rPr>
          <w:rFonts w:ascii="Times New Roman" w:eastAsia="Times New Roman" w:hAnsi="Times New Roman" w:cs="Times New Roman"/>
          <w:kern w:val="0"/>
          <w14:ligatures w14:val="none"/>
        </w:rPr>
      </w:pPr>
    </w:p>
    <w:p w14:paraId="23B89297" w14:textId="77777777" w:rsidR="00FD3038" w:rsidRPr="00D05700" w:rsidRDefault="00FD3038" w:rsidP="00D05700">
      <w:pPr>
        <w:tabs>
          <w:tab w:val="left" w:pos="567"/>
        </w:tabs>
        <w:spacing w:after="0" w:line="240" w:lineRule="auto"/>
        <w:rPr>
          <w:rFonts w:ascii="Times New Roman" w:eastAsia="Times New Roman" w:hAnsi="Times New Roman" w:cs="Times New Roman"/>
          <w:kern w:val="0"/>
          <w14:ligatures w14:val="none"/>
        </w:rPr>
      </w:pPr>
    </w:p>
    <w:p w14:paraId="08E37E5A" w14:textId="77777777" w:rsidR="00D05700" w:rsidRPr="00D05700" w:rsidRDefault="00D05700" w:rsidP="00D057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3.</w:t>
      </w:r>
      <w:r w:rsidRPr="00D05700">
        <w:rPr>
          <w:rFonts w:ascii="Times New Roman" w:eastAsia="Times New Roman" w:hAnsi="Times New Roman" w:cs="Times New Roman"/>
          <w:b/>
          <w:kern w:val="0"/>
          <w14:ligatures w14:val="none"/>
        </w:rPr>
        <w:tab/>
        <w:t>TINKAMUMO LAIKAS</w:t>
      </w:r>
    </w:p>
    <w:p w14:paraId="1A72F2A7"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46D3ADB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highlight w:val="lightGray"/>
          <w14:ligatures w14:val="none"/>
        </w:rPr>
        <w:t>EXP</w:t>
      </w:r>
      <w:r w:rsidRPr="00D05700">
        <w:rPr>
          <w:rFonts w:ascii="Times New Roman" w:eastAsia="Times New Roman" w:hAnsi="Times New Roman" w:cs="Times New Roman"/>
          <w:kern w:val="0"/>
          <w14:ligatures w14:val="none"/>
        </w:rPr>
        <w:t xml:space="preserve"> {mm_MMMM}</w:t>
      </w:r>
    </w:p>
    <w:p w14:paraId="41BCE08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05FFB0E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3D337247" w14:textId="77777777" w:rsidR="00D05700" w:rsidRPr="00D05700" w:rsidRDefault="00D05700" w:rsidP="00D057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4.</w:t>
      </w:r>
      <w:r w:rsidRPr="00D05700">
        <w:rPr>
          <w:rFonts w:ascii="Times New Roman" w:eastAsia="Times New Roman" w:hAnsi="Times New Roman" w:cs="Times New Roman"/>
          <w:b/>
          <w:kern w:val="0"/>
          <w14:ligatures w14:val="none"/>
        </w:rPr>
        <w:tab/>
        <w:t xml:space="preserve">SERIJOS NUMERIS </w:t>
      </w:r>
    </w:p>
    <w:p w14:paraId="79B3E322"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051D8B49"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highlight w:val="lightGray"/>
          <w14:ligatures w14:val="none"/>
        </w:rPr>
        <w:t>Lot</w:t>
      </w:r>
      <w:r w:rsidRPr="00D05700">
        <w:rPr>
          <w:rFonts w:ascii="Times New Roman" w:eastAsia="Times New Roman" w:hAnsi="Times New Roman" w:cs="Times New Roman"/>
          <w:kern w:val="0"/>
          <w14:ligatures w14:val="none"/>
        </w:rPr>
        <w:t xml:space="preserve"> {numeris}</w:t>
      </w:r>
    </w:p>
    <w:p w14:paraId="597533C7"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00504558"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280F199" w14:textId="77777777" w:rsidR="00D05700" w:rsidRPr="00D05700" w:rsidRDefault="00D05700" w:rsidP="00D0570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5.</w:t>
      </w:r>
      <w:r w:rsidRPr="00D05700">
        <w:rPr>
          <w:rFonts w:ascii="Times New Roman" w:eastAsia="Times New Roman" w:hAnsi="Times New Roman" w:cs="Times New Roman"/>
          <w:b/>
          <w:kern w:val="0"/>
          <w14:ligatures w14:val="none"/>
        </w:rPr>
        <w:tab/>
        <w:t>KITA</w:t>
      </w:r>
    </w:p>
    <w:p w14:paraId="47C15000"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E26FAEC" w14:textId="62E4F85F" w:rsidR="00D05700" w:rsidRPr="00D05700" w:rsidRDefault="00432574" w:rsidP="00D05700">
      <w:pPr>
        <w:tabs>
          <w:tab w:val="left" w:pos="567"/>
        </w:tabs>
        <w:spacing w:after="0" w:line="240" w:lineRule="auto"/>
        <w:rPr>
          <w:rFonts w:ascii="Times New Roman" w:eastAsia="Times New Roman" w:hAnsi="Times New Roman" w:cs="Times New Roman"/>
          <w:kern w:val="0"/>
          <w14:ligatures w14:val="none"/>
        </w:rPr>
      </w:pPr>
      <w:r w:rsidRPr="00097B64">
        <w:rPr>
          <w:rFonts w:ascii="Times New Roman" w:eastAsia="Times New Roman" w:hAnsi="Times New Roman" w:cs="Times New Roman"/>
          <w:kern w:val="0"/>
          <w:highlight w:val="lightGray"/>
          <w14:ligatures w14:val="none"/>
        </w:rPr>
        <w:t>Perpakavimo serija</w:t>
      </w:r>
    </w:p>
    <w:p w14:paraId="1875114B"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br w:type="page"/>
      </w:r>
    </w:p>
    <w:p w14:paraId="5E2530C1"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3CC3307"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BCE885B"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D51EBB8"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6ACCB175"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49C0B783"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014CE68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7E35470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CF38E6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06AB9C61"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009AF23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34B95BA"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5BBE7AD"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64B39463"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850912D"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5DE44D0"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B02B4C1"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1DD3E1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6FA48485"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57CE60B"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7391F40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414CC8E7"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39C41DA9"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33B2AAC5" w14:textId="77777777" w:rsidR="00D05700" w:rsidRPr="00D05700" w:rsidRDefault="00D05700" w:rsidP="00D05700">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D05700">
        <w:rPr>
          <w:rFonts w:ascii="Times New Roman" w:eastAsia="Times New Roman" w:hAnsi="Times New Roman" w:cs="Times New Roman"/>
          <w:b/>
          <w:caps/>
          <w:kern w:val="0"/>
          <w14:ligatures w14:val="none"/>
        </w:rPr>
        <w:t>B. PAKUOTĖS LAPELIS</w:t>
      </w:r>
    </w:p>
    <w:p w14:paraId="684E2141" w14:textId="77777777" w:rsidR="00D05700" w:rsidRPr="00D05700" w:rsidRDefault="00D05700" w:rsidP="00D05700">
      <w:pPr>
        <w:tabs>
          <w:tab w:val="left" w:pos="567"/>
        </w:tabs>
        <w:spacing w:after="0" w:line="240" w:lineRule="auto"/>
        <w:jc w:val="center"/>
        <w:rPr>
          <w:rFonts w:ascii="Times New Roman" w:eastAsia="Times New Roman" w:hAnsi="Times New Roman" w:cs="Times New Roman"/>
          <w:b/>
          <w:kern w:val="0"/>
          <w14:ligatures w14:val="none"/>
        </w:rPr>
      </w:pPr>
      <w:r w:rsidRPr="00D05700">
        <w:rPr>
          <w:rFonts w:ascii="Times New Roman" w:eastAsia="Times New Roman" w:hAnsi="Times New Roman" w:cs="Times New Roman"/>
          <w:kern w:val="0"/>
          <w14:ligatures w14:val="none"/>
        </w:rPr>
        <w:br w:type="page"/>
      </w:r>
      <w:r w:rsidRPr="00D05700">
        <w:rPr>
          <w:rFonts w:ascii="Times New Roman" w:eastAsia="Times New Roman" w:hAnsi="Times New Roman" w:cs="Times New Roman"/>
          <w:b/>
          <w:kern w:val="0"/>
          <w14:ligatures w14:val="none"/>
        </w:rPr>
        <w:t>Pakuotės lapelis: informacija vartotojui</w:t>
      </w:r>
    </w:p>
    <w:p w14:paraId="185EA4B7" w14:textId="77777777" w:rsidR="00D05700" w:rsidRPr="00D05700" w:rsidRDefault="00D05700" w:rsidP="00D05700">
      <w:pPr>
        <w:tabs>
          <w:tab w:val="left" w:pos="567"/>
        </w:tabs>
        <w:spacing w:after="0" w:line="240" w:lineRule="auto"/>
        <w:jc w:val="center"/>
        <w:rPr>
          <w:rFonts w:ascii="Times New Roman" w:eastAsia="Times New Roman" w:hAnsi="Times New Roman" w:cs="Times New Roman"/>
          <w:kern w:val="0"/>
          <w14:ligatures w14:val="none"/>
        </w:rPr>
      </w:pPr>
    </w:p>
    <w:p w14:paraId="01E1BBC1" w14:textId="77777777" w:rsidR="00D05700" w:rsidRPr="00D05700" w:rsidRDefault="00D05700" w:rsidP="00D05700">
      <w:pPr>
        <w:tabs>
          <w:tab w:val="left" w:pos="567"/>
        </w:tabs>
        <w:spacing w:after="0" w:line="240" w:lineRule="auto"/>
        <w:jc w:val="center"/>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Biodroxil 500 mg kietosios kapsulės</w:t>
      </w:r>
    </w:p>
    <w:p w14:paraId="4BEC823A" w14:textId="6F4F86E4" w:rsidR="00D05700" w:rsidRPr="00D05700" w:rsidRDefault="00D26EA1" w:rsidP="00D05700">
      <w:pPr>
        <w:tabs>
          <w:tab w:val="left" w:pos="567"/>
        </w:tabs>
        <w:spacing w:after="0" w:line="240" w:lineRule="auto"/>
        <w:jc w:val="center"/>
        <w:rPr>
          <w:rFonts w:ascii="Times New Roman" w:eastAsia="Times New Roman" w:hAnsi="Times New Roman" w:cs="Times New Roman"/>
          <w:kern w:val="0"/>
          <w14:ligatures w14:val="none"/>
        </w:rPr>
      </w:pPr>
      <w:r w:rsidRPr="00873C37">
        <w:rPr>
          <w:rFonts w:ascii="Times New Roman" w:eastAsia="Times New Roman" w:hAnsi="Times New Roman" w:cs="Times New Roman"/>
          <w:kern w:val="0"/>
          <w14:ligatures w14:val="none"/>
        </w:rPr>
        <w:t>c</w:t>
      </w:r>
      <w:r w:rsidR="00D05700" w:rsidRPr="00D05700">
        <w:rPr>
          <w:rFonts w:ascii="Times New Roman" w:eastAsia="Times New Roman" w:hAnsi="Times New Roman" w:cs="Times New Roman"/>
          <w:kern w:val="0"/>
          <w14:ligatures w14:val="none"/>
        </w:rPr>
        <w:t>efadroksilis</w:t>
      </w:r>
    </w:p>
    <w:p w14:paraId="4B4CBDDE"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A1CD37A"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b/>
          <w:kern w:val="0"/>
          <w14:ligatures w14:val="none"/>
        </w:rPr>
        <w:t>Atidžiai perskaitykite visą šį lapelį, prieš pradėdami vartoti vaistą, nes jame pateikiama Jums svarbi informacija</w:t>
      </w:r>
      <w:r w:rsidRPr="00D05700">
        <w:rPr>
          <w:rFonts w:ascii="Times New Roman" w:eastAsia="Times New Roman" w:hAnsi="Times New Roman" w:cs="Times New Roman"/>
          <w:kern w:val="0"/>
          <w14:ligatures w14:val="none"/>
        </w:rPr>
        <w:t>.</w:t>
      </w:r>
    </w:p>
    <w:p w14:paraId="1EE9C364" w14:textId="77777777" w:rsidR="00D05700" w:rsidRPr="00D05700" w:rsidRDefault="00D05700" w:rsidP="00D05700">
      <w:pPr>
        <w:numPr>
          <w:ilvl w:val="0"/>
          <w:numId w:val="1"/>
        </w:num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Neišmeskite šio lapelio, nes vėl gali prireikti jį perskaityti.</w:t>
      </w:r>
    </w:p>
    <w:p w14:paraId="08F9A587" w14:textId="77777777" w:rsidR="00D05700" w:rsidRPr="00D05700" w:rsidRDefault="00D05700" w:rsidP="00D05700">
      <w:pPr>
        <w:numPr>
          <w:ilvl w:val="0"/>
          <w:numId w:val="1"/>
        </w:num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Jeigu kiltų daugiau klausimų, kreipkitės į gydytoją arba vaistininką.</w:t>
      </w:r>
    </w:p>
    <w:p w14:paraId="6C4FE97B" w14:textId="77777777" w:rsidR="00D05700" w:rsidRPr="00D05700" w:rsidRDefault="00D05700" w:rsidP="00D05700">
      <w:pPr>
        <w:numPr>
          <w:ilvl w:val="0"/>
          <w:numId w:val="1"/>
        </w:num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Šis vaistas skirtas tik Jums, todėl kitiems žmonėms jo duoti negalima. Vaistas gali jiems pakenkti (net tiems, kurių ligos požymiai yra tokie patys kaip Jūsų).</w:t>
      </w:r>
    </w:p>
    <w:p w14:paraId="50BD11CA" w14:textId="77777777" w:rsidR="00D05700" w:rsidRPr="00D05700" w:rsidRDefault="00D05700" w:rsidP="00D05700">
      <w:pPr>
        <w:numPr>
          <w:ilvl w:val="0"/>
          <w:numId w:val="1"/>
        </w:num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Jeigu pasireiškė šalutinis poveikis (net jeigu jis šiame lapelyje nenurodytas), kreipkitės į gydytoją arba vaistininką. Žr. 4 skyrių.</w:t>
      </w:r>
    </w:p>
    <w:p w14:paraId="006040D6"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07A40C0A"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Apie ką rašoma šiame lapelyje?</w:t>
      </w:r>
    </w:p>
    <w:p w14:paraId="3B6E9B40"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p>
    <w:p w14:paraId="1D46B046" w14:textId="77777777" w:rsidR="00D05700" w:rsidRPr="00D05700" w:rsidRDefault="00D05700" w:rsidP="00D05700">
      <w:pPr>
        <w:tabs>
          <w:tab w:val="left" w:pos="567"/>
        </w:tabs>
        <w:spacing w:after="0" w:line="240" w:lineRule="auto"/>
        <w:ind w:left="720" w:hanging="720"/>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1.</w:t>
      </w:r>
      <w:r w:rsidRPr="00D05700">
        <w:rPr>
          <w:rFonts w:ascii="Times New Roman" w:eastAsia="Times New Roman" w:hAnsi="Times New Roman" w:cs="Times New Roman"/>
          <w:kern w:val="0"/>
          <w14:ligatures w14:val="none"/>
        </w:rPr>
        <w:tab/>
        <w:t>Kas yra Biodroxil ir kam jis vartojamas</w:t>
      </w:r>
    </w:p>
    <w:p w14:paraId="3BE5234E" w14:textId="77777777" w:rsidR="00D05700" w:rsidRPr="00D05700" w:rsidRDefault="00D05700" w:rsidP="00D05700">
      <w:pPr>
        <w:tabs>
          <w:tab w:val="left" w:pos="567"/>
        </w:tabs>
        <w:spacing w:after="0" w:line="240" w:lineRule="auto"/>
        <w:ind w:left="720" w:hanging="720"/>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2.</w:t>
      </w:r>
      <w:r w:rsidRPr="00D05700">
        <w:rPr>
          <w:rFonts w:ascii="Times New Roman" w:eastAsia="Times New Roman" w:hAnsi="Times New Roman" w:cs="Times New Roman"/>
          <w:kern w:val="0"/>
          <w14:ligatures w14:val="none"/>
        </w:rPr>
        <w:tab/>
        <w:t>Kas žinotina prieš vartojant Biodroxil</w:t>
      </w:r>
    </w:p>
    <w:p w14:paraId="608831D0" w14:textId="77777777" w:rsidR="00D05700" w:rsidRPr="00D05700" w:rsidRDefault="00D05700" w:rsidP="00D05700">
      <w:pPr>
        <w:tabs>
          <w:tab w:val="left" w:pos="567"/>
        </w:tabs>
        <w:spacing w:after="0" w:line="240" w:lineRule="auto"/>
        <w:ind w:left="720" w:hanging="720"/>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3.</w:t>
      </w:r>
      <w:r w:rsidRPr="00D05700">
        <w:rPr>
          <w:rFonts w:ascii="Times New Roman" w:eastAsia="Times New Roman" w:hAnsi="Times New Roman" w:cs="Times New Roman"/>
          <w:kern w:val="0"/>
          <w14:ligatures w14:val="none"/>
        </w:rPr>
        <w:tab/>
        <w:t>Kaip vartoti Biodroxil</w:t>
      </w:r>
    </w:p>
    <w:p w14:paraId="63EBE788" w14:textId="77777777" w:rsidR="00D05700" w:rsidRPr="00D05700" w:rsidRDefault="00D05700" w:rsidP="00D05700">
      <w:pPr>
        <w:tabs>
          <w:tab w:val="left" w:pos="567"/>
        </w:tabs>
        <w:spacing w:after="0" w:line="240" w:lineRule="auto"/>
        <w:ind w:left="720" w:hanging="720"/>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4.</w:t>
      </w:r>
      <w:r w:rsidRPr="00D05700">
        <w:rPr>
          <w:rFonts w:ascii="Times New Roman" w:eastAsia="Times New Roman" w:hAnsi="Times New Roman" w:cs="Times New Roman"/>
          <w:kern w:val="0"/>
          <w14:ligatures w14:val="none"/>
        </w:rPr>
        <w:tab/>
        <w:t>Galimas šalutinis poveikis</w:t>
      </w:r>
    </w:p>
    <w:p w14:paraId="6C1E269E" w14:textId="77777777" w:rsidR="00D05700" w:rsidRPr="00D05700" w:rsidRDefault="00D05700" w:rsidP="00D05700">
      <w:pPr>
        <w:tabs>
          <w:tab w:val="left" w:pos="567"/>
        </w:tabs>
        <w:spacing w:after="0" w:line="240" w:lineRule="auto"/>
        <w:ind w:left="720" w:hanging="720"/>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5.</w:t>
      </w:r>
      <w:r w:rsidRPr="00D05700">
        <w:rPr>
          <w:rFonts w:ascii="Times New Roman" w:eastAsia="Times New Roman" w:hAnsi="Times New Roman" w:cs="Times New Roman"/>
          <w:kern w:val="0"/>
          <w14:ligatures w14:val="none"/>
        </w:rPr>
        <w:tab/>
        <w:t>Kaip laikyti Biodroxil</w:t>
      </w:r>
    </w:p>
    <w:p w14:paraId="5BBC6FE9" w14:textId="77777777" w:rsidR="00D05700" w:rsidRPr="00D05700" w:rsidRDefault="00D05700" w:rsidP="00D05700">
      <w:pPr>
        <w:tabs>
          <w:tab w:val="left" w:pos="567"/>
        </w:tabs>
        <w:spacing w:after="0" w:line="240" w:lineRule="auto"/>
        <w:ind w:left="720" w:hanging="720"/>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6.</w:t>
      </w:r>
      <w:r w:rsidRPr="00D05700">
        <w:rPr>
          <w:rFonts w:ascii="Times New Roman" w:eastAsia="Times New Roman" w:hAnsi="Times New Roman" w:cs="Times New Roman"/>
          <w:kern w:val="0"/>
          <w14:ligatures w14:val="none"/>
        </w:rPr>
        <w:tab/>
        <w:t>Pakuotės turinys ir kita informacija</w:t>
      </w:r>
    </w:p>
    <w:p w14:paraId="671E28DD" w14:textId="77777777" w:rsid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B4F54E1" w14:textId="77777777" w:rsidR="00F134FC" w:rsidRPr="00D05700" w:rsidRDefault="00F134FC" w:rsidP="00D05700">
      <w:pPr>
        <w:tabs>
          <w:tab w:val="left" w:pos="567"/>
        </w:tabs>
        <w:spacing w:after="0" w:line="240" w:lineRule="auto"/>
        <w:rPr>
          <w:rFonts w:ascii="Times New Roman" w:eastAsia="Times New Roman" w:hAnsi="Times New Roman" w:cs="Times New Roman"/>
          <w:kern w:val="0"/>
          <w14:ligatures w14:val="none"/>
        </w:rPr>
      </w:pPr>
    </w:p>
    <w:p w14:paraId="0B12A3B8"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1.</w:t>
      </w:r>
      <w:r w:rsidRPr="00D05700">
        <w:rPr>
          <w:rFonts w:ascii="Times New Roman" w:eastAsia="Times New Roman" w:hAnsi="Times New Roman" w:cs="Times New Roman"/>
          <w:b/>
          <w:kern w:val="0"/>
          <w14:ligatures w14:val="none"/>
        </w:rPr>
        <w:tab/>
        <w:t>Kas yra Biodroxil ir kam jis vartojamas</w:t>
      </w:r>
    </w:p>
    <w:p w14:paraId="651F7FDD"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04794011"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bCs/>
          <w:kern w:val="0"/>
          <w14:ligatures w14:val="none"/>
        </w:rPr>
        <w:t xml:space="preserve">Biodroxil veiklioji medžiaga yra cefadroksilis, </w:t>
      </w:r>
      <w:r w:rsidRPr="00D05700">
        <w:rPr>
          <w:rFonts w:ascii="Times New Roman" w:eastAsia="Times New Roman" w:hAnsi="Times New Roman" w:cs="Times New Roman"/>
          <w:kern w:val="0"/>
          <w14:ligatures w14:val="none"/>
        </w:rPr>
        <w:t>cefalosporinų grupės antibiotikas. Cefalosporinai pažeidžia bakterijų ląstelių membranas ir tokiu būdu suardo augančias bakterijas.</w:t>
      </w:r>
    </w:p>
    <w:p w14:paraId="3A9B8C8A" w14:textId="77777777" w:rsidR="00D05700" w:rsidRPr="00D05700" w:rsidRDefault="00D05700" w:rsidP="00D05700">
      <w:pPr>
        <w:spacing w:after="0" w:line="240" w:lineRule="auto"/>
        <w:rPr>
          <w:rFonts w:ascii="Times New Roman" w:eastAsia="Times New Roman" w:hAnsi="Times New Roman" w:cs="Times New Roman"/>
          <w:iCs/>
          <w:kern w:val="0"/>
          <w14:ligatures w14:val="none"/>
        </w:rPr>
      </w:pPr>
    </w:p>
    <w:p w14:paraId="7C6B6518" w14:textId="77777777" w:rsidR="00D05700" w:rsidRPr="00D05700" w:rsidRDefault="00D05700" w:rsidP="00D05700">
      <w:pPr>
        <w:spacing w:after="0" w:line="240" w:lineRule="auto"/>
        <w:rPr>
          <w:rFonts w:ascii="Times New Roman" w:eastAsia="Times New Roman" w:hAnsi="Times New Roman" w:cs="Times New Roman"/>
          <w:i/>
          <w:kern w:val="0"/>
          <w14:ligatures w14:val="none"/>
        </w:rPr>
      </w:pPr>
      <w:r w:rsidRPr="00D05700">
        <w:rPr>
          <w:rFonts w:ascii="Times New Roman" w:eastAsia="Times New Roman" w:hAnsi="Times New Roman" w:cs="Times New Roman"/>
          <w:kern w:val="0"/>
          <w14:ligatures w14:val="none"/>
        </w:rPr>
        <w:t>Biodroxil vartojamas šioms jam jautrių bakterijų sukeltoms infekcinėms ligoms gydyti:</w:t>
      </w:r>
    </w:p>
    <w:p w14:paraId="3F123730" w14:textId="77777777" w:rsidR="00D05700" w:rsidRPr="00D05700" w:rsidRDefault="00D05700" w:rsidP="00D05700">
      <w:pPr>
        <w:numPr>
          <w:ilvl w:val="0"/>
          <w:numId w:val="2"/>
        </w:numPr>
        <w:tabs>
          <w:tab w:val="left" w:pos="426"/>
        </w:tabs>
        <w:spacing w:after="0" w:line="240" w:lineRule="auto"/>
        <w:ind w:left="993" w:hanging="567"/>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kvėpavimo takų (tonzilių ir gerklės uždegimui);</w:t>
      </w:r>
    </w:p>
    <w:p w14:paraId="38DC14D0" w14:textId="77777777" w:rsidR="00D05700" w:rsidRPr="00D05700" w:rsidRDefault="00D05700" w:rsidP="00D05700">
      <w:pPr>
        <w:numPr>
          <w:ilvl w:val="0"/>
          <w:numId w:val="2"/>
        </w:numPr>
        <w:tabs>
          <w:tab w:val="left" w:pos="426"/>
        </w:tabs>
        <w:spacing w:after="0" w:line="240" w:lineRule="auto"/>
        <w:ind w:left="709" w:hanging="283"/>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odos ir minkštųjų audinių pūlinėms ligoms (jos vadinamos piodermija, impetiga, pūliniu, šunvote);</w:t>
      </w:r>
    </w:p>
    <w:p w14:paraId="6E174A60" w14:textId="77777777" w:rsidR="00D05700" w:rsidRPr="00D05700" w:rsidRDefault="00D05700" w:rsidP="00D05700">
      <w:pPr>
        <w:numPr>
          <w:ilvl w:val="0"/>
          <w:numId w:val="2"/>
        </w:numPr>
        <w:tabs>
          <w:tab w:val="left" w:pos="426"/>
        </w:tabs>
        <w:spacing w:after="0" w:line="240" w:lineRule="auto"/>
        <w:ind w:left="993" w:hanging="567"/>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šlapimo takų (šlapimo pūslės uždegimui, inkstų geldelių uždegimui).</w:t>
      </w:r>
    </w:p>
    <w:p w14:paraId="0E8D2469"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7BA9A66"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Prireikus gydytojas prieš gydymą šiuo antibiotiku bei gydymo metu nustatys infekcinės ligos sukėlėjo jautrumą cefadroksiliui, ištirs Jūsų inkstų veiklą.</w:t>
      </w:r>
    </w:p>
    <w:p w14:paraId="2CC2151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CB1067A"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E524359" w14:textId="77777777" w:rsidR="00D05700" w:rsidRPr="00D05700" w:rsidRDefault="00D05700" w:rsidP="00D05700">
      <w:pPr>
        <w:tabs>
          <w:tab w:val="left" w:pos="567"/>
        </w:tabs>
        <w:spacing w:after="0" w:line="240" w:lineRule="auto"/>
        <w:jc w:val="both"/>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2.</w:t>
      </w:r>
      <w:r w:rsidRPr="00D05700">
        <w:rPr>
          <w:rFonts w:ascii="Times New Roman" w:eastAsia="Times New Roman" w:hAnsi="Times New Roman" w:cs="Times New Roman"/>
          <w:b/>
          <w:kern w:val="0"/>
          <w14:ligatures w14:val="none"/>
        </w:rPr>
        <w:tab/>
        <w:t>Kas žinotina prieš vartojant Biodroxil</w:t>
      </w:r>
    </w:p>
    <w:p w14:paraId="54EE7CAE"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p>
    <w:p w14:paraId="5C3206C3" w14:textId="0590E4A3"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 xml:space="preserve">Biodroxil vartoti </w:t>
      </w:r>
      <w:r w:rsidR="00D26EA1" w:rsidRPr="00873C37">
        <w:rPr>
          <w:rFonts w:ascii="Times New Roman" w:eastAsia="Times New Roman" w:hAnsi="Times New Roman" w:cs="Times New Roman"/>
          <w:b/>
          <w:kern w:val="0"/>
          <w14:ligatures w14:val="none"/>
        </w:rPr>
        <w:t>draudžiama</w:t>
      </w:r>
      <w:r w:rsidRPr="00D05700">
        <w:rPr>
          <w:rFonts w:ascii="Times New Roman" w:eastAsia="Times New Roman" w:hAnsi="Times New Roman" w:cs="Times New Roman"/>
          <w:b/>
          <w:kern w:val="0"/>
          <w14:ligatures w14:val="none"/>
        </w:rPr>
        <w:t>:</w:t>
      </w:r>
    </w:p>
    <w:p w14:paraId="063A41BB" w14:textId="77777777" w:rsidR="00D05700" w:rsidRPr="00D05700" w:rsidRDefault="00D05700" w:rsidP="00D05700">
      <w:pPr>
        <w:tabs>
          <w:tab w:val="left" w:pos="567"/>
        </w:tabs>
        <w:spacing w:after="0" w:line="240" w:lineRule="auto"/>
        <w:ind w:left="567" w:hanging="567"/>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w:t>
      </w:r>
      <w:r w:rsidRPr="00D05700">
        <w:rPr>
          <w:rFonts w:ascii="Times New Roman" w:eastAsia="Times New Roman" w:hAnsi="Times New Roman" w:cs="Times New Roman"/>
          <w:kern w:val="0"/>
          <w14:ligatures w14:val="none"/>
        </w:rPr>
        <w:tab/>
        <w:t>jeigu yra alergija cefadroksiliui arba bet kuriai pagalbinei šio vaisto medžiagai (jos išvardytos 6 skyriuje);</w:t>
      </w:r>
    </w:p>
    <w:p w14:paraId="03F86314" w14:textId="77777777" w:rsidR="00D05700" w:rsidRPr="00D05700" w:rsidRDefault="00D05700" w:rsidP="00D05700">
      <w:pPr>
        <w:numPr>
          <w:ilvl w:val="0"/>
          <w:numId w:val="3"/>
        </w:numPr>
        <w:tabs>
          <w:tab w:val="left" w:pos="567"/>
        </w:tabs>
        <w:spacing w:after="0" w:line="240" w:lineRule="auto"/>
        <w:ind w:left="567" w:hanging="567"/>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jeigu yra alergija bet kuriam kitam cefalosporinų grupės antibiotikui;</w:t>
      </w:r>
    </w:p>
    <w:p w14:paraId="6AFD95F5" w14:textId="77777777" w:rsidR="00D05700" w:rsidRPr="00D05700" w:rsidRDefault="00D05700" w:rsidP="00D05700">
      <w:pPr>
        <w:numPr>
          <w:ilvl w:val="0"/>
          <w:numId w:val="4"/>
        </w:numPr>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yra buvusi sunki alerginė reakcija, kurią sukėlė penicilinai ar kiti beta laktaminiai antibiotikai.</w:t>
      </w:r>
    </w:p>
    <w:p w14:paraId="1D6ED1D7"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p>
    <w:p w14:paraId="3F74E612"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Įspėjimai ir atsargumo priemonės</w:t>
      </w:r>
    </w:p>
    <w:p w14:paraId="02AB0687"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Pasitarkite su gydytoju arba vaistininku, prieš pradėdami vartoti Biodroxil. Tai ypač svarbu, jeigu:</w:t>
      </w:r>
    </w:p>
    <w:p w14:paraId="76260F2E" w14:textId="77777777" w:rsidR="00D05700" w:rsidRPr="00D05700" w:rsidRDefault="00D05700" w:rsidP="00D05700">
      <w:pPr>
        <w:numPr>
          <w:ilvl w:val="0"/>
          <w:numId w:val="3"/>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praeityje yra buvusi astma arba sunki alerginė reakcija;</w:t>
      </w:r>
    </w:p>
    <w:p w14:paraId="2D214303" w14:textId="067450EB" w:rsidR="00D05700" w:rsidRPr="00D05700" w:rsidRDefault="00D05700" w:rsidP="00D05700">
      <w:pPr>
        <w:numPr>
          <w:ilvl w:val="0"/>
          <w:numId w:val="3"/>
        </w:numPr>
        <w:spacing w:after="0" w:line="240" w:lineRule="auto"/>
        <w:ind w:left="567" w:hanging="567"/>
        <w:contextualSpacing/>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yra alergija penicilinų grupės antibiotikams, kadangi gali pasireikšti kryžminė alergija (ji galima 5</w:t>
      </w:r>
      <w:r w:rsidR="00D26EA1" w:rsidRPr="00873C37">
        <w:rPr>
          <w:rFonts w:ascii="Times New Roman" w:eastAsia="Times New Roman" w:hAnsi="Times New Roman" w:cs="Times New Roman"/>
          <w:kern w:val="0"/>
          <w14:ligatures w14:val="none"/>
        </w:rPr>
        <w:t>–</w:t>
      </w:r>
      <w:r w:rsidRPr="00D05700">
        <w:rPr>
          <w:rFonts w:ascii="Times New Roman" w:eastAsia="Times New Roman" w:hAnsi="Times New Roman" w:cs="Times New Roman"/>
          <w:kern w:val="0"/>
          <w14:ligatures w14:val="none"/>
        </w:rPr>
        <w:t>10 % pacientų);</w:t>
      </w:r>
    </w:p>
    <w:p w14:paraId="701498D6" w14:textId="2078CF72" w:rsidR="00D05700" w:rsidRPr="00D05700" w:rsidRDefault="00D05700" w:rsidP="00D05700">
      <w:pPr>
        <w:numPr>
          <w:ilvl w:val="0"/>
          <w:numId w:val="3"/>
        </w:numPr>
        <w:spacing w:after="0" w:line="240" w:lineRule="auto"/>
        <w:ind w:left="567" w:hanging="567"/>
        <w:contextualSpacing/>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 xml:space="preserve">sergate sunkiu inkstų veiklos sutrikimu. Tokiu atveju reikia ilginti intervalus tarp dozių vartojimo (žr. skyriuje </w:t>
      </w:r>
      <w:r w:rsidR="00D26EA1" w:rsidRPr="00873C37">
        <w:rPr>
          <w:rFonts w:ascii="Times New Roman" w:eastAsia="Times New Roman" w:hAnsi="Times New Roman" w:cs="Times New Roman"/>
          <w:kern w:val="0"/>
          <w14:ligatures w14:val="none"/>
        </w:rPr>
        <w:t>„</w:t>
      </w:r>
      <w:r w:rsidRPr="00D05700">
        <w:rPr>
          <w:rFonts w:ascii="Times New Roman" w:eastAsia="Times New Roman" w:hAnsi="Times New Roman" w:cs="Times New Roman"/>
          <w:kern w:val="0"/>
          <w14:ligatures w14:val="none"/>
        </w:rPr>
        <w:t>Kaip vartoti Biodroxil</w:t>
      </w:r>
      <w:r w:rsidR="00D26EA1" w:rsidRPr="00873C37">
        <w:rPr>
          <w:rFonts w:ascii="Times New Roman" w:eastAsia="Times New Roman" w:hAnsi="Times New Roman" w:cs="Times New Roman"/>
          <w:kern w:val="0"/>
          <w14:ligatures w14:val="none"/>
        </w:rPr>
        <w:t>“</w:t>
      </w:r>
      <w:r w:rsidRPr="00D05700">
        <w:rPr>
          <w:rFonts w:ascii="Times New Roman" w:eastAsia="Times New Roman" w:hAnsi="Times New Roman" w:cs="Times New Roman"/>
          <w:kern w:val="0"/>
          <w14:ligatures w14:val="none"/>
        </w:rPr>
        <w:t xml:space="preserve"> pateiktą lentelę);</w:t>
      </w:r>
    </w:p>
    <w:p w14:paraId="61384645" w14:textId="77777777" w:rsidR="00D05700" w:rsidRPr="00D05700" w:rsidRDefault="00D05700" w:rsidP="00D05700">
      <w:pPr>
        <w:numPr>
          <w:ilvl w:val="0"/>
          <w:numId w:val="3"/>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sergate sunkia, gyvybei pavojinga infekcine liga. Iš pradžių Jums turi būti skiriami leidžiami antibiotikai;</w:t>
      </w:r>
    </w:p>
    <w:p w14:paraId="46ECC113" w14:textId="77777777" w:rsidR="00D05700" w:rsidRPr="00D05700" w:rsidRDefault="00D05700" w:rsidP="00D05700">
      <w:pPr>
        <w:numPr>
          <w:ilvl w:val="0"/>
          <w:numId w:val="3"/>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praeityje sirgote sunkiu virškinimo trakto veiklos sutrikimu.</w:t>
      </w:r>
    </w:p>
    <w:p w14:paraId="03B7C0F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3B73372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Vartojant, ypač ilgai, Biodroxil, kaip ir kitokių antibiotikų, gydytojas gali dažnai tirti kraujo ląstelių kiekį ir kepenų bei inkstų veiklą.</w:t>
      </w:r>
    </w:p>
    <w:p w14:paraId="4E187298"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AF1025E"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 xml:space="preserve">Jei </w:t>
      </w:r>
      <w:r w:rsidRPr="00D05700">
        <w:rPr>
          <w:rFonts w:ascii="Times New Roman" w:eastAsia="Times New Roman" w:hAnsi="Times New Roman" w:cs="Times New Roman"/>
          <w:b/>
          <w:kern w:val="0"/>
          <w14:ligatures w14:val="none"/>
        </w:rPr>
        <w:t>atsiranda alergijos požymių</w:t>
      </w:r>
      <w:r w:rsidRPr="00D05700">
        <w:rPr>
          <w:rFonts w:ascii="Times New Roman" w:eastAsia="Times New Roman" w:hAnsi="Times New Roman" w:cs="Times New Roman"/>
          <w:kern w:val="0"/>
          <w14:ligatures w14:val="none"/>
        </w:rPr>
        <w:t xml:space="preserve"> (dilgėlinė, egzantema (išbėrimas), niežulys, kraujospūdžio mažėjimas, širdies ritmo padažnėjimas, kvėpavimo sutrikimas, kolapsas ar kt.), vaisto vartojimą būtina nutraukti ir kreiptis į gydytoją.</w:t>
      </w:r>
    </w:p>
    <w:p w14:paraId="2AF49F20"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05895357"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Jeigu viduriuojate, gali mažėti Biodroxil pasisavinimas organizme ir dėl to vaisto poveikis gali būti silpnesnis.</w:t>
      </w:r>
    </w:p>
    <w:p w14:paraId="004ED360"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6B0FC823"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 xml:space="preserve">Jeigu prasideda </w:t>
      </w:r>
      <w:r w:rsidRPr="00D05700">
        <w:rPr>
          <w:rFonts w:ascii="Times New Roman" w:eastAsia="Times New Roman" w:hAnsi="Times New Roman" w:cs="Times New Roman"/>
          <w:b/>
          <w:kern w:val="0"/>
          <w14:ligatures w14:val="none"/>
        </w:rPr>
        <w:t>sunkus ir nepraeinantis viduriavimas</w:t>
      </w:r>
      <w:r w:rsidRPr="00D05700">
        <w:rPr>
          <w:rFonts w:ascii="Times New Roman" w:eastAsia="Times New Roman" w:hAnsi="Times New Roman" w:cs="Times New Roman"/>
          <w:kern w:val="0"/>
          <w14:ligatures w14:val="none"/>
        </w:rPr>
        <w:t>, kreipkitės į gydytoją. Gydytojas ištirs, ar nėra pseudomembraninio kolito (infekcinio žarnyno uždegimo). Kadangi jis gali būti net pavojingas gyvybei, Biodroxil vartojimą būtina tuoj pat nutraukti ir pradėti vartoti tinkamų vaistų (pvz., kitokių antibiotikų). Žarnų veiklą slopinančių vaistų vartoti draudžiama.</w:t>
      </w:r>
    </w:p>
    <w:p w14:paraId="577DE4B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3BD492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 xml:space="preserve">Biodroxil, kaip ir kitokiais antibiotikais, gydant ilgai, gali atsirasti grybelių (pvz., </w:t>
      </w:r>
      <w:r w:rsidRPr="00D05700">
        <w:rPr>
          <w:rFonts w:ascii="Times New Roman" w:eastAsia="Times New Roman" w:hAnsi="Times New Roman" w:cs="Times New Roman"/>
          <w:i/>
          <w:kern w:val="0"/>
          <w14:ligatures w14:val="none"/>
        </w:rPr>
        <w:t>Candida</w:t>
      </w:r>
      <w:r w:rsidRPr="00D05700">
        <w:rPr>
          <w:rFonts w:ascii="Times New Roman" w:eastAsia="Times New Roman" w:hAnsi="Times New Roman" w:cs="Times New Roman"/>
          <w:kern w:val="0"/>
          <w14:ligatures w14:val="none"/>
        </w:rPr>
        <w:t>) sukeltų pažeidimų.</w:t>
      </w:r>
    </w:p>
    <w:p w14:paraId="5FAD42B9" w14:textId="77777777" w:rsid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0DAD730A" w14:textId="77777777" w:rsidR="006B15A5" w:rsidRPr="006B15A5" w:rsidRDefault="006B15A5" w:rsidP="006B15A5">
      <w:pPr>
        <w:spacing w:after="0" w:line="240" w:lineRule="auto"/>
        <w:rPr>
          <w:rFonts w:ascii="Times New Roman" w:eastAsia="Times New Roman" w:hAnsi="Times New Roman" w:cs="Times New Roman"/>
          <w:kern w:val="0"/>
          <w:szCs w:val="20"/>
          <w:u w:val="single"/>
          <w14:ligatures w14:val="none"/>
        </w:rPr>
      </w:pPr>
      <w:bookmarkStart w:id="1" w:name="_Hlk163224690"/>
      <w:r w:rsidRPr="006B15A5">
        <w:rPr>
          <w:rFonts w:ascii="Times New Roman" w:eastAsia="Times New Roman" w:hAnsi="Times New Roman" w:cs="Times New Roman"/>
          <w:kern w:val="0"/>
          <w:szCs w:val="20"/>
          <w:u w:val="single"/>
          <w14:ligatures w14:val="none"/>
        </w:rPr>
        <w:t xml:space="preserve">Ypač atsargiai elkitės su Biodroxil: </w:t>
      </w:r>
    </w:p>
    <w:p w14:paraId="52230CEA" w14:textId="77777777" w:rsidR="006B15A5" w:rsidRPr="006B15A5" w:rsidRDefault="006B15A5" w:rsidP="006B15A5">
      <w:pPr>
        <w:spacing w:after="0" w:line="240" w:lineRule="auto"/>
        <w:rPr>
          <w:rFonts w:ascii="Times New Roman" w:eastAsia="Times New Roman" w:hAnsi="Times New Roman" w:cs="Times New Roman"/>
          <w:kern w:val="0"/>
          <w:szCs w:val="20"/>
          <w14:ligatures w14:val="none"/>
        </w:rPr>
      </w:pPr>
      <w:r w:rsidRPr="006B15A5">
        <w:rPr>
          <w:rFonts w:ascii="Times New Roman" w:eastAsia="Times New Roman" w:hAnsi="Times New Roman" w:cs="Times New Roman"/>
          <w:kern w:val="0"/>
          <w:szCs w:val="20"/>
          <w14:ligatures w14:val="none"/>
        </w:rPr>
        <w:t xml:space="preserve">Gydant beta </w:t>
      </w:r>
      <w:proofErr w:type="spellStart"/>
      <w:r w:rsidRPr="006B15A5">
        <w:rPr>
          <w:rFonts w:ascii="Times New Roman" w:eastAsia="Times New Roman" w:hAnsi="Times New Roman" w:cs="Times New Roman"/>
          <w:kern w:val="0"/>
          <w:szCs w:val="20"/>
          <w14:ligatures w14:val="none"/>
        </w:rPr>
        <w:t>laktaminių</w:t>
      </w:r>
      <w:proofErr w:type="spellEnd"/>
      <w:r w:rsidRPr="006B15A5">
        <w:rPr>
          <w:rFonts w:ascii="Times New Roman" w:eastAsia="Times New Roman" w:hAnsi="Times New Roman" w:cs="Times New Roman"/>
          <w:kern w:val="0"/>
          <w:szCs w:val="20"/>
          <w14:ligatures w14:val="none"/>
        </w:rPr>
        <w:t xml:space="preserve"> grupės antibiotikais  buvo pranešta apie sunkias odos reakcijas, įskaitant </w:t>
      </w:r>
      <w:proofErr w:type="spellStart"/>
      <w:r w:rsidRPr="006B15A5">
        <w:rPr>
          <w:rFonts w:ascii="Times New Roman" w:eastAsia="Times New Roman" w:hAnsi="Times New Roman" w:cs="Times New Roman"/>
          <w:kern w:val="0"/>
          <w:szCs w:val="20"/>
          <w14:ligatures w14:val="none"/>
        </w:rPr>
        <w:t>Stivenso</w:t>
      </w:r>
      <w:proofErr w:type="spellEnd"/>
      <w:r w:rsidRPr="006B15A5">
        <w:rPr>
          <w:rFonts w:ascii="Times New Roman" w:eastAsia="Times New Roman" w:hAnsi="Times New Roman" w:cs="Times New Roman"/>
          <w:kern w:val="0"/>
          <w:szCs w:val="20"/>
          <w14:ligatures w14:val="none"/>
        </w:rPr>
        <w:t xml:space="preserve">-Džonsono sindromą, toksinę epidermio </w:t>
      </w:r>
      <w:proofErr w:type="spellStart"/>
      <w:r w:rsidRPr="006B15A5">
        <w:rPr>
          <w:rFonts w:ascii="Times New Roman" w:eastAsia="Times New Roman" w:hAnsi="Times New Roman" w:cs="Times New Roman"/>
          <w:kern w:val="0"/>
          <w:szCs w:val="20"/>
          <w14:ligatures w14:val="none"/>
        </w:rPr>
        <w:t>nekrolizę</w:t>
      </w:r>
      <w:proofErr w:type="spellEnd"/>
      <w:r w:rsidRPr="006B15A5">
        <w:rPr>
          <w:rFonts w:ascii="Times New Roman" w:eastAsia="Times New Roman" w:hAnsi="Times New Roman" w:cs="Times New Roman"/>
          <w:kern w:val="0"/>
          <w:szCs w:val="20"/>
          <w14:ligatures w14:val="none"/>
        </w:rPr>
        <w:t xml:space="preserve">, vaistų sukeltą reakciją su eozinofilija ir sisteminiais simptomais (VRESS) ir ūminę </w:t>
      </w:r>
      <w:proofErr w:type="spellStart"/>
      <w:r w:rsidRPr="006B15A5">
        <w:rPr>
          <w:rFonts w:ascii="Times New Roman" w:eastAsia="Times New Roman" w:hAnsi="Times New Roman" w:cs="Times New Roman"/>
          <w:kern w:val="0"/>
          <w:szCs w:val="20"/>
          <w14:ligatures w14:val="none"/>
        </w:rPr>
        <w:t>generalizuotą</w:t>
      </w:r>
      <w:proofErr w:type="spellEnd"/>
      <w:r w:rsidRPr="006B15A5">
        <w:rPr>
          <w:rFonts w:ascii="Times New Roman" w:eastAsia="Times New Roman" w:hAnsi="Times New Roman" w:cs="Times New Roman"/>
          <w:kern w:val="0"/>
          <w:szCs w:val="20"/>
          <w14:ligatures w14:val="none"/>
        </w:rPr>
        <w:t xml:space="preserve"> </w:t>
      </w:r>
      <w:proofErr w:type="spellStart"/>
      <w:r w:rsidRPr="006B15A5">
        <w:rPr>
          <w:rFonts w:ascii="Times New Roman" w:eastAsia="Times New Roman" w:hAnsi="Times New Roman" w:cs="Times New Roman"/>
          <w:kern w:val="0"/>
          <w:szCs w:val="20"/>
          <w14:ligatures w14:val="none"/>
        </w:rPr>
        <w:t>egzanteminę</w:t>
      </w:r>
      <w:proofErr w:type="spellEnd"/>
      <w:r w:rsidRPr="006B15A5">
        <w:rPr>
          <w:rFonts w:ascii="Times New Roman" w:eastAsia="Times New Roman" w:hAnsi="Times New Roman" w:cs="Times New Roman"/>
          <w:kern w:val="0"/>
          <w:szCs w:val="20"/>
          <w14:ligatures w14:val="none"/>
        </w:rPr>
        <w:t xml:space="preserve"> </w:t>
      </w:r>
      <w:proofErr w:type="spellStart"/>
      <w:r w:rsidRPr="006B15A5">
        <w:rPr>
          <w:rFonts w:ascii="Times New Roman" w:eastAsia="Times New Roman" w:hAnsi="Times New Roman" w:cs="Times New Roman"/>
          <w:kern w:val="0"/>
          <w:szCs w:val="20"/>
          <w14:ligatures w14:val="none"/>
        </w:rPr>
        <w:t>pustuliozę</w:t>
      </w:r>
      <w:proofErr w:type="spellEnd"/>
      <w:r w:rsidRPr="006B15A5">
        <w:rPr>
          <w:rFonts w:ascii="Times New Roman" w:eastAsia="Times New Roman" w:hAnsi="Times New Roman" w:cs="Times New Roman"/>
          <w:kern w:val="0"/>
          <w:szCs w:val="20"/>
          <w14:ligatures w14:val="none"/>
        </w:rPr>
        <w:t xml:space="preserve"> (ŪGEP). Nustokite vartoti </w:t>
      </w:r>
      <w:proofErr w:type="spellStart"/>
      <w:r w:rsidRPr="006B15A5">
        <w:rPr>
          <w:rFonts w:ascii="Times New Roman" w:eastAsia="Times New Roman" w:hAnsi="Times New Roman" w:cs="Times New Roman"/>
          <w:kern w:val="0"/>
          <w:szCs w:val="20"/>
          <w14:ligatures w14:val="none"/>
        </w:rPr>
        <w:t>cefadroksilio</w:t>
      </w:r>
      <w:proofErr w:type="spellEnd"/>
      <w:r w:rsidRPr="006B15A5">
        <w:rPr>
          <w:rFonts w:ascii="Times New Roman" w:eastAsia="Times New Roman" w:hAnsi="Times New Roman" w:cs="Times New Roman"/>
          <w:kern w:val="0"/>
          <w:szCs w:val="20"/>
          <w14:ligatures w14:val="none"/>
        </w:rPr>
        <w:t xml:space="preserve"> ir nedelsdami kreipkitės į gydytoją, jei pastebėjote bet kurį su šiomis sunkiomis odos reakcijomis susijusį simptomą (žr. skyrių 4).</w:t>
      </w:r>
    </w:p>
    <w:bookmarkEnd w:id="1"/>
    <w:p w14:paraId="3C70C131" w14:textId="77777777" w:rsidR="006B15A5" w:rsidRPr="00D05700" w:rsidRDefault="006B15A5" w:rsidP="00D05700">
      <w:pPr>
        <w:tabs>
          <w:tab w:val="left" w:pos="567"/>
        </w:tabs>
        <w:spacing w:after="0" w:line="240" w:lineRule="auto"/>
        <w:rPr>
          <w:rFonts w:ascii="Times New Roman" w:eastAsia="Times New Roman" w:hAnsi="Times New Roman" w:cs="Times New Roman"/>
          <w:kern w:val="0"/>
          <w14:ligatures w14:val="none"/>
        </w:rPr>
      </w:pPr>
    </w:p>
    <w:p w14:paraId="14E5AB52"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Kiti vaistai ir Biodroxil</w:t>
      </w:r>
    </w:p>
    <w:p w14:paraId="49EA22C9"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Jeigu vartojate ar neseniai vartojote kitų vaistų arba dėl to nesate tikri, apie tai pasakykite gydytojui arba vaistininkui.</w:t>
      </w:r>
    </w:p>
    <w:p w14:paraId="36454320"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A2CEEC1" w14:textId="0AC41B83"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bCs/>
          <w:kern w:val="0"/>
          <w14:ligatures w14:val="none"/>
        </w:rPr>
        <w:t>Biodroxil</w:t>
      </w:r>
      <w:r w:rsidRPr="00D05700">
        <w:rPr>
          <w:rFonts w:ascii="Times New Roman" w:eastAsia="Times New Roman" w:hAnsi="Times New Roman" w:cs="Times New Roman"/>
          <w:kern w:val="0"/>
          <w14:ligatures w14:val="none"/>
        </w:rPr>
        <w:t xml:space="preserve"> </w:t>
      </w:r>
      <w:r w:rsidR="00D26EA1" w:rsidRPr="00873C37">
        <w:rPr>
          <w:rFonts w:ascii="Times New Roman" w:eastAsia="Times New Roman" w:hAnsi="Times New Roman" w:cs="Times New Roman"/>
          <w:kern w:val="0"/>
          <w14:ligatures w14:val="none"/>
        </w:rPr>
        <w:t>draudžiama</w:t>
      </w:r>
      <w:r w:rsidRPr="00D05700">
        <w:rPr>
          <w:rFonts w:ascii="Times New Roman" w:eastAsia="Times New Roman" w:hAnsi="Times New Roman" w:cs="Times New Roman"/>
          <w:kern w:val="0"/>
          <w14:ligatures w14:val="none"/>
        </w:rPr>
        <w:t xml:space="preserve"> vartoti kartu su šiais vaistais:</w:t>
      </w:r>
    </w:p>
    <w:p w14:paraId="48D02A92" w14:textId="77777777" w:rsidR="00D05700" w:rsidRPr="00D05700" w:rsidRDefault="00D05700" w:rsidP="00D05700">
      <w:pPr>
        <w:numPr>
          <w:ilvl w:val="0"/>
          <w:numId w:val="7"/>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antibiotikais, kurie slopina bakterijų dauginimąsi (pvz., tetraciklinais, eritromicinu, sulfamidais, chloramfenikoliu). Kartu vartojami šie vaistai gali sutrikdyti vieni kitų veikimą;</w:t>
      </w:r>
    </w:p>
    <w:p w14:paraId="74FDEF50" w14:textId="77777777" w:rsidR="00D05700" w:rsidRPr="00D05700" w:rsidRDefault="00D05700" w:rsidP="00D05700">
      <w:pPr>
        <w:numPr>
          <w:ilvl w:val="0"/>
          <w:numId w:val="7"/>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kai kuriais kitais antibiotikais (aminoglikozidais, polimiksinu B, kolistinu). Gali sustiprėti toksinis poveikis inkstams;</w:t>
      </w:r>
    </w:p>
    <w:p w14:paraId="4CD2CCD1" w14:textId="77777777" w:rsidR="00D05700" w:rsidRPr="00D05700" w:rsidRDefault="00D05700" w:rsidP="00D05700">
      <w:pPr>
        <w:numPr>
          <w:ilvl w:val="0"/>
          <w:numId w:val="7"/>
        </w:numPr>
        <w:tabs>
          <w:tab w:val="left" w:pos="567"/>
        </w:tabs>
        <w:spacing w:after="0" w:line="240" w:lineRule="auto"/>
        <w:ind w:left="567" w:hanging="567"/>
        <w:contextualSpacing/>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 xml:space="preserve">kai kuriais diuretikais (šlapimą varančiais vaistais), vartojamais didelėmis dozėmis. </w:t>
      </w:r>
      <w:r w:rsidRPr="00D05700">
        <w:rPr>
          <w:rFonts w:ascii="Times New Roman" w:eastAsia="Times New Roman" w:hAnsi="Times New Roman" w:cs="Times New Roman"/>
          <w:bCs/>
          <w:kern w:val="0"/>
          <w14:ligatures w14:val="none"/>
        </w:rPr>
        <w:t>G</w:t>
      </w:r>
      <w:r w:rsidRPr="00D05700">
        <w:rPr>
          <w:rFonts w:ascii="Times New Roman" w:eastAsia="Times New Roman" w:hAnsi="Times New Roman" w:cs="Times New Roman"/>
          <w:kern w:val="0"/>
          <w14:ligatures w14:val="none"/>
        </w:rPr>
        <w:t>ali sustiprėti toksinis poveikis inkstams.</w:t>
      </w:r>
    </w:p>
    <w:p w14:paraId="4E085866"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p>
    <w:p w14:paraId="31341F2A"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Pasakykite gydytojui arba vaistininkui, jeigu vartojate kurio nors iš šių vaistų:</w:t>
      </w:r>
    </w:p>
    <w:p w14:paraId="379C6D7E" w14:textId="77777777" w:rsidR="00D05700" w:rsidRPr="00D05700" w:rsidRDefault="00D05700" w:rsidP="00D05700">
      <w:pPr>
        <w:numPr>
          <w:ilvl w:val="0"/>
          <w:numId w:val="6"/>
        </w:numPr>
        <w:spacing w:after="0" w:line="240" w:lineRule="auto"/>
        <w:ind w:left="567" w:hanging="567"/>
        <w:contextualSpacing/>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probenecido (nuo podagros). Gali išlikti didesnė Biodroxil koncentracija kraujyje;</w:t>
      </w:r>
    </w:p>
    <w:p w14:paraId="07214F72" w14:textId="77777777" w:rsidR="00D05700" w:rsidRPr="00D05700" w:rsidRDefault="00D05700" w:rsidP="00D05700">
      <w:pPr>
        <w:numPr>
          <w:ilvl w:val="0"/>
          <w:numId w:val="6"/>
        </w:numPr>
        <w:spacing w:after="0" w:line="240" w:lineRule="auto"/>
        <w:ind w:left="567" w:hanging="567"/>
        <w:contextualSpacing/>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geriamųjų kraujo krešėjimą slopinančių vaistų. Gali sustiprėti šių vaistų poveikis;</w:t>
      </w:r>
    </w:p>
    <w:p w14:paraId="23F185A2" w14:textId="77777777" w:rsidR="00D05700" w:rsidRPr="00D05700" w:rsidRDefault="00D05700" w:rsidP="00D05700">
      <w:pPr>
        <w:numPr>
          <w:ilvl w:val="0"/>
          <w:numId w:val="6"/>
        </w:numPr>
        <w:spacing w:after="0" w:line="240" w:lineRule="auto"/>
        <w:ind w:left="567" w:hanging="567"/>
        <w:contextualSpacing/>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kolestiramino (vaisto cholesterolio kiekiui kraujyje mažinti). Biodroxil poveikis gali susilpnėti.</w:t>
      </w:r>
    </w:p>
    <w:p w14:paraId="03A05AB1"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p>
    <w:p w14:paraId="39C3ECAD" w14:textId="77777777" w:rsidR="00D05700" w:rsidRPr="00D05700" w:rsidRDefault="00D05700" w:rsidP="00D05700">
      <w:pPr>
        <w:tabs>
          <w:tab w:val="left" w:pos="567"/>
        </w:tabs>
        <w:spacing w:after="0" w:line="240" w:lineRule="auto"/>
        <w:rPr>
          <w:rFonts w:ascii="Times New Roman" w:eastAsia="Times New Roman" w:hAnsi="Times New Roman" w:cs="Times New Roman"/>
          <w:b/>
          <w:iCs/>
          <w:kern w:val="0"/>
          <w14:ligatures w14:val="none"/>
        </w:rPr>
      </w:pPr>
      <w:r w:rsidRPr="00D05700">
        <w:rPr>
          <w:rFonts w:ascii="Times New Roman" w:eastAsia="Times New Roman" w:hAnsi="Times New Roman" w:cs="Times New Roman"/>
          <w:b/>
          <w:iCs/>
          <w:kern w:val="0"/>
          <w14:ligatures w14:val="none"/>
        </w:rPr>
        <w:t>Įtaka laboratorinių tyrimų rezultatams</w:t>
      </w:r>
    </w:p>
    <w:p w14:paraId="2C5B816A"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Vartojant Biodroxil, gali būti klaidingai teigiamas gliukozės kiekio šlapime tyrimo rezultatas. Jeigu Jums reikia atlikti tokį tyrimą, pasakykite gydytojui, kad vartojate Biodroxil. Atsižvelgdamas į tai, gydytojas paskirs kitą tyrimo metodą (pvz., testo juostele).</w:t>
      </w:r>
    </w:p>
    <w:p w14:paraId="4D808DC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7CD10EB"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bCs/>
          <w:kern w:val="0"/>
          <w14:ligatures w14:val="none"/>
        </w:rPr>
        <w:t>Biodroxil</w:t>
      </w:r>
      <w:r w:rsidRPr="00D05700">
        <w:rPr>
          <w:rFonts w:ascii="Times New Roman" w:eastAsia="Times New Roman" w:hAnsi="Times New Roman" w:cs="Times New Roman"/>
          <w:b/>
          <w:kern w:val="0"/>
          <w14:ligatures w14:val="none"/>
        </w:rPr>
        <w:t xml:space="preserve"> vartojimas su maistu ir gėrimais</w:t>
      </w:r>
    </w:p>
    <w:p w14:paraId="710EF597"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 xml:space="preserve">Maistas neturi įtakos vaisto pasisavinimui organizme, todėl </w:t>
      </w:r>
      <w:r w:rsidRPr="00D05700">
        <w:rPr>
          <w:rFonts w:ascii="Times New Roman" w:eastAsia="Times New Roman" w:hAnsi="Times New Roman" w:cs="Times New Roman"/>
          <w:bCs/>
          <w:kern w:val="0"/>
          <w14:ligatures w14:val="none"/>
        </w:rPr>
        <w:t xml:space="preserve">Biodroxil </w:t>
      </w:r>
      <w:r w:rsidRPr="00D05700">
        <w:rPr>
          <w:rFonts w:ascii="Times New Roman" w:eastAsia="Times New Roman" w:hAnsi="Times New Roman" w:cs="Times New Roman"/>
          <w:kern w:val="0"/>
          <w14:ligatures w14:val="none"/>
        </w:rPr>
        <w:t>galima vartoti nepriklausomai nuo valgymo laiko.</w:t>
      </w:r>
    </w:p>
    <w:p w14:paraId="65F0831C"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p>
    <w:p w14:paraId="56E2C0AE"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Nėštumas ir žindymo laikotarpis</w:t>
      </w:r>
    </w:p>
    <w:p w14:paraId="5406C88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Jeigu esate nėščia, žindote kūdikį, manote, kad galbūt esate nėščia, arba planuojate pastoti, tai prieš vartodama šį vaistą, pasitarkite su gydytoju arba vaistininku.</w:t>
      </w:r>
    </w:p>
    <w:p w14:paraId="23488DE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 xml:space="preserve">Nėščioms moterims </w:t>
      </w:r>
      <w:r w:rsidRPr="00D05700">
        <w:rPr>
          <w:rFonts w:ascii="Times New Roman" w:eastAsia="Times New Roman" w:hAnsi="Times New Roman" w:cs="Times New Roman"/>
          <w:bCs/>
          <w:kern w:val="0"/>
          <w14:ligatures w14:val="none"/>
        </w:rPr>
        <w:t xml:space="preserve">Biodroxil </w:t>
      </w:r>
      <w:r w:rsidRPr="00D05700">
        <w:rPr>
          <w:rFonts w:ascii="Times New Roman" w:eastAsia="Times New Roman" w:hAnsi="Times New Roman" w:cs="Times New Roman"/>
          <w:kern w:val="0"/>
          <w14:ligatures w14:val="none"/>
        </w:rPr>
        <w:t>galima vartoti tik gydytojo leidimu.</w:t>
      </w:r>
    </w:p>
    <w:p w14:paraId="3179D2F5"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 xml:space="preserve">Veikliosios </w:t>
      </w:r>
      <w:r w:rsidRPr="00D05700">
        <w:rPr>
          <w:rFonts w:ascii="Times New Roman" w:eastAsia="Times New Roman" w:hAnsi="Times New Roman" w:cs="Times New Roman"/>
          <w:bCs/>
          <w:kern w:val="0"/>
          <w14:ligatures w14:val="none"/>
        </w:rPr>
        <w:t xml:space="preserve">Biodroxil </w:t>
      </w:r>
      <w:r w:rsidRPr="00D05700">
        <w:rPr>
          <w:rFonts w:ascii="Times New Roman" w:eastAsia="Times New Roman" w:hAnsi="Times New Roman" w:cs="Times New Roman"/>
          <w:kern w:val="0"/>
          <w14:ligatures w14:val="none"/>
        </w:rPr>
        <w:t xml:space="preserve">medžiagos cefadroksilio išsiskiria su motinos pienu. Žindyvėms </w:t>
      </w:r>
      <w:r w:rsidRPr="00D05700">
        <w:rPr>
          <w:rFonts w:ascii="Times New Roman" w:eastAsia="Times New Roman" w:hAnsi="Times New Roman" w:cs="Times New Roman"/>
          <w:bCs/>
          <w:kern w:val="0"/>
          <w14:ligatures w14:val="none"/>
        </w:rPr>
        <w:t xml:space="preserve">Biodroxil </w:t>
      </w:r>
      <w:r w:rsidRPr="00D05700">
        <w:rPr>
          <w:rFonts w:ascii="Times New Roman" w:eastAsia="Times New Roman" w:hAnsi="Times New Roman" w:cs="Times New Roman"/>
          <w:kern w:val="0"/>
          <w14:ligatures w14:val="none"/>
        </w:rPr>
        <w:t>galima vartoti tik gydytojo leidimu.</w:t>
      </w:r>
    </w:p>
    <w:p w14:paraId="299EBF45"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4A1C91BB"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Vairavimas ir mechanizmų valdymas</w:t>
      </w:r>
    </w:p>
    <w:p w14:paraId="450FA0B4"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bCs/>
          <w:kern w:val="0"/>
          <w14:ligatures w14:val="none"/>
        </w:rPr>
        <w:t xml:space="preserve">Biodroxil </w:t>
      </w:r>
      <w:r w:rsidRPr="00D05700">
        <w:rPr>
          <w:rFonts w:ascii="Times New Roman" w:eastAsia="Times New Roman" w:hAnsi="Times New Roman" w:cs="Times New Roman"/>
          <w:kern w:val="0"/>
          <w14:ligatures w14:val="none"/>
        </w:rPr>
        <w:t>gali sukelti galvos skausmą, svaigulį, nervingumą, nemigą ir nuovargį, todėl gali daryti įtaką gebėjimui vairuoti ir valdyti mechanizmus.</w:t>
      </w:r>
    </w:p>
    <w:p w14:paraId="0394F734" w14:textId="77777777" w:rsidR="00D05700" w:rsidRPr="00873C37"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5D662AC" w14:textId="3459032F" w:rsidR="00D26EA1" w:rsidRPr="00D05700" w:rsidRDefault="00D26EA1" w:rsidP="00D05700">
      <w:pPr>
        <w:tabs>
          <w:tab w:val="left" w:pos="567"/>
        </w:tabs>
        <w:spacing w:after="0" w:line="240" w:lineRule="auto"/>
        <w:rPr>
          <w:rFonts w:ascii="Times New Roman" w:eastAsia="Times New Roman" w:hAnsi="Times New Roman" w:cs="Times New Roman"/>
          <w:b/>
          <w:bCs/>
          <w:kern w:val="0"/>
          <w14:ligatures w14:val="none"/>
        </w:rPr>
      </w:pPr>
      <w:r w:rsidRPr="00873C37">
        <w:rPr>
          <w:rFonts w:ascii="Times New Roman" w:eastAsia="Times New Roman" w:hAnsi="Times New Roman" w:cs="Times New Roman"/>
          <w:b/>
          <w:bCs/>
          <w:kern w:val="0"/>
          <w14:ligatures w14:val="none"/>
        </w:rPr>
        <w:t>Biodroxil sudėtyje yra natrio</w:t>
      </w:r>
    </w:p>
    <w:p w14:paraId="04DC4941" w14:textId="403C6EA4"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Šio vaisto 1 kietojoje kapsulėje yra mažiau kaip 1 mmol (23 mg) natrio, t.</w:t>
      </w:r>
      <w:r w:rsidR="00D26EA1" w:rsidRPr="00873C37">
        <w:rPr>
          <w:rFonts w:ascii="Times New Roman" w:eastAsia="Times New Roman" w:hAnsi="Times New Roman" w:cs="Times New Roman"/>
          <w:kern w:val="0"/>
          <w14:ligatures w14:val="none"/>
        </w:rPr>
        <w:t xml:space="preserve"> </w:t>
      </w:r>
      <w:r w:rsidRPr="00D05700">
        <w:rPr>
          <w:rFonts w:ascii="Times New Roman" w:eastAsia="Times New Roman" w:hAnsi="Times New Roman" w:cs="Times New Roman"/>
          <w:kern w:val="0"/>
          <w14:ligatures w14:val="none"/>
        </w:rPr>
        <w:t>y. jis beveik neturi reikšmės.</w:t>
      </w:r>
    </w:p>
    <w:p w14:paraId="11F30168" w14:textId="77777777" w:rsidR="00D05700" w:rsidRPr="00873C37" w:rsidRDefault="00D05700" w:rsidP="00D05700">
      <w:pPr>
        <w:tabs>
          <w:tab w:val="left" w:pos="567"/>
        </w:tabs>
        <w:spacing w:after="0" w:line="240" w:lineRule="auto"/>
        <w:rPr>
          <w:rFonts w:ascii="Times New Roman" w:eastAsia="Times New Roman" w:hAnsi="Times New Roman" w:cs="Times New Roman"/>
          <w:kern w:val="0"/>
          <w14:ligatures w14:val="none"/>
        </w:rPr>
      </w:pPr>
    </w:p>
    <w:p w14:paraId="7478A4E0" w14:textId="77777777" w:rsidR="00D26EA1" w:rsidRPr="00D05700" w:rsidRDefault="00D26EA1" w:rsidP="00D05700">
      <w:pPr>
        <w:tabs>
          <w:tab w:val="left" w:pos="567"/>
        </w:tabs>
        <w:spacing w:after="0" w:line="240" w:lineRule="auto"/>
        <w:rPr>
          <w:rFonts w:ascii="Times New Roman" w:eastAsia="Times New Roman" w:hAnsi="Times New Roman" w:cs="Times New Roman"/>
          <w:kern w:val="0"/>
          <w14:ligatures w14:val="none"/>
        </w:rPr>
      </w:pPr>
    </w:p>
    <w:p w14:paraId="3289AE80"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3.</w:t>
      </w:r>
      <w:r w:rsidRPr="00D05700">
        <w:rPr>
          <w:rFonts w:ascii="Times New Roman" w:eastAsia="Times New Roman" w:hAnsi="Times New Roman" w:cs="Times New Roman"/>
          <w:b/>
          <w:kern w:val="0"/>
          <w14:ligatures w14:val="none"/>
        </w:rPr>
        <w:tab/>
        <w:t>Kaip vartoti Biodroxil</w:t>
      </w:r>
    </w:p>
    <w:p w14:paraId="66F8356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5B2650AA"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Visada vartokite šį vaistą tiksliai kaip nurodė gydytojas arba vaistininkas. Jeigu abejojate, kreipkitės į gydytoją arba vaistininką.</w:t>
      </w:r>
    </w:p>
    <w:p w14:paraId="67F18131"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36F6232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Biodroxil kapsulių galima vartoti nepriklausomai nuo valgymo laiko.</w:t>
      </w:r>
    </w:p>
    <w:p w14:paraId="1BB017D1"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Kapsules nurykite nekramtytas, užsigerdami dideliu kiekiu skysčio.</w:t>
      </w:r>
    </w:p>
    <w:p w14:paraId="4D8E75AE" w14:textId="77777777" w:rsidR="00D05700" w:rsidRPr="00D05700" w:rsidRDefault="00D05700" w:rsidP="00D05700">
      <w:pPr>
        <w:tabs>
          <w:tab w:val="left" w:pos="567"/>
        </w:tabs>
        <w:spacing w:after="0" w:line="240" w:lineRule="auto"/>
        <w:rPr>
          <w:rFonts w:ascii="Times New Roman" w:eastAsia="Times New Roman" w:hAnsi="Times New Roman" w:cs="Times New Roman"/>
          <w:bCs/>
          <w:kern w:val="0"/>
          <w14:ligatures w14:val="none"/>
        </w:rPr>
      </w:pPr>
    </w:p>
    <w:p w14:paraId="6D457C5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bCs/>
          <w:kern w:val="0"/>
          <w14:ligatures w14:val="none"/>
        </w:rPr>
        <w:t xml:space="preserve">Gydytojas nustatys, kokia vaisto dozė yra Jums tinkama, atsižvelgdamas į Jūsų </w:t>
      </w:r>
      <w:r w:rsidRPr="00D05700">
        <w:rPr>
          <w:rFonts w:ascii="Times New Roman" w:eastAsia="Times New Roman" w:hAnsi="Times New Roman" w:cs="Times New Roman"/>
          <w:kern w:val="0"/>
          <w14:ligatures w14:val="none"/>
        </w:rPr>
        <w:t>amžių, svorį, inkstų veiklą, infekcinės ligos rūšį ir sunkumą, ligą sukėlusios bakterijos jautrumą.</w:t>
      </w:r>
    </w:p>
    <w:p w14:paraId="1DC0C1B2"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u w:val="single"/>
          <w14:ligatures w14:val="none"/>
        </w:rPr>
      </w:pPr>
    </w:p>
    <w:p w14:paraId="06D38F47" w14:textId="77777777" w:rsidR="00D05700" w:rsidRPr="00D05700" w:rsidRDefault="00D05700" w:rsidP="00D05700">
      <w:pPr>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Suaugusiesiems ir vaikams, sveriantiems daugiau kaip 40 kg</w:t>
      </w:r>
    </w:p>
    <w:p w14:paraId="7D2C4073"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p>
    <w:p w14:paraId="25B17BAF" w14:textId="77777777" w:rsidR="00D05700" w:rsidRPr="00D05700" w:rsidRDefault="00D05700" w:rsidP="00D05700">
      <w:pPr>
        <w:spacing w:after="0" w:line="240" w:lineRule="auto"/>
        <w:rPr>
          <w:rFonts w:ascii="Times New Roman" w:eastAsia="Times New Roman" w:hAnsi="Times New Roman" w:cs="Times New Roman"/>
          <w:kern w:val="0"/>
          <w:u w:val="single"/>
          <w14:ligatures w14:val="none"/>
        </w:rPr>
      </w:pPr>
      <w:r w:rsidRPr="00D05700">
        <w:rPr>
          <w:rFonts w:ascii="Times New Roman" w:eastAsia="Times New Roman" w:hAnsi="Times New Roman" w:cs="Times New Roman"/>
          <w:kern w:val="0"/>
          <w:u w:val="single"/>
          <w14:ligatures w14:val="none"/>
        </w:rPr>
        <w:t>Tonzilių ir gerklės uždegimas</w:t>
      </w:r>
    </w:p>
    <w:p w14:paraId="24E29E73"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Įprasta dozė yra 1 g (2 kapsulės) per parą. Ji išgeriama iš karto arba padalijama į 2 lygias dozes. Vaisto vartojama 10 parų.</w:t>
      </w:r>
    </w:p>
    <w:p w14:paraId="24E56C42"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p>
    <w:p w14:paraId="1076E896" w14:textId="77777777" w:rsidR="00D05700" w:rsidRPr="00D05700" w:rsidRDefault="00D05700" w:rsidP="00D05700">
      <w:pPr>
        <w:spacing w:after="0" w:line="240" w:lineRule="auto"/>
        <w:rPr>
          <w:rFonts w:ascii="Times New Roman" w:eastAsia="Times New Roman" w:hAnsi="Times New Roman" w:cs="Times New Roman"/>
          <w:kern w:val="0"/>
          <w:u w:val="single"/>
          <w14:ligatures w14:val="none"/>
        </w:rPr>
      </w:pPr>
      <w:r w:rsidRPr="00D05700">
        <w:rPr>
          <w:rFonts w:ascii="Times New Roman" w:eastAsia="Times New Roman" w:hAnsi="Times New Roman" w:cs="Times New Roman"/>
          <w:kern w:val="0"/>
          <w:u w:val="single"/>
          <w14:ligatures w14:val="none"/>
        </w:rPr>
        <w:t>Odos ir poodinio audinio infekcinės ligos</w:t>
      </w:r>
    </w:p>
    <w:p w14:paraId="3CC57658"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Įprasta dozė yra 1 g (2 kapsulės) per parą. Ji išgeriama iš karto arba padalijama į 2 lygias dozes.</w:t>
      </w:r>
    </w:p>
    <w:p w14:paraId="7E59DC1E"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p>
    <w:p w14:paraId="585E560B" w14:textId="77777777" w:rsidR="00D05700" w:rsidRPr="00D05700" w:rsidRDefault="00D05700" w:rsidP="00D05700">
      <w:pPr>
        <w:spacing w:after="0" w:line="240" w:lineRule="auto"/>
        <w:rPr>
          <w:rFonts w:ascii="Times New Roman" w:eastAsia="Times New Roman" w:hAnsi="Times New Roman" w:cs="Times New Roman"/>
          <w:kern w:val="0"/>
          <w:u w:val="single"/>
          <w14:ligatures w14:val="none"/>
        </w:rPr>
      </w:pPr>
      <w:r w:rsidRPr="00D05700">
        <w:rPr>
          <w:rFonts w:ascii="Times New Roman" w:eastAsia="Times New Roman" w:hAnsi="Times New Roman" w:cs="Times New Roman"/>
          <w:kern w:val="0"/>
          <w:u w:val="single"/>
          <w14:ligatures w14:val="none"/>
        </w:rPr>
        <w:t>Šlapimo takų infekcinės ligos</w:t>
      </w:r>
    </w:p>
    <w:p w14:paraId="3617DA9C"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Įprasta dozė yra 2 g (4 kapsulės) per parą. Ji padalijama į 2 lygias dozes.</w:t>
      </w:r>
    </w:p>
    <w:p w14:paraId="4C2A5AC1" w14:textId="2DDE324D" w:rsidR="00D05700" w:rsidRPr="00D05700" w:rsidRDefault="00D05700" w:rsidP="00D05700">
      <w:pPr>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Įprasta dozė nekomplikuotoms apatinių šlapimo takų infekcinėms ligoms (t.</w:t>
      </w:r>
      <w:r w:rsidR="00D26EA1" w:rsidRPr="00873C37">
        <w:rPr>
          <w:rFonts w:ascii="Times New Roman" w:eastAsia="Times New Roman" w:hAnsi="Times New Roman" w:cs="Times New Roman"/>
          <w:kern w:val="0"/>
          <w14:ligatures w14:val="none"/>
        </w:rPr>
        <w:t xml:space="preserve"> </w:t>
      </w:r>
      <w:r w:rsidRPr="00D05700">
        <w:rPr>
          <w:rFonts w:ascii="Times New Roman" w:eastAsia="Times New Roman" w:hAnsi="Times New Roman" w:cs="Times New Roman"/>
          <w:kern w:val="0"/>
          <w14:ligatures w14:val="none"/>
        </w:rPr>
        <w:t>y. šlapimo pūslės uždegimui) gydyti yra 1 g (2 kapsulės) arba 2 g (4 kapsulės) per parą. Ji išgeriama iš karto arba padalijama į 2 lygias vienkartines dozes.</w:t>
      </w:r>
    </w:p>
    <w:p w14:paraId="0FE86DEA"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p>
    <w:p w14:paraId="62CD6EA4" w14:textId="77777777" w:rsidR="00D05700" w:rsidRPr="00D05700" w:rsidRDefault="00D05700" w:rsidP="00D05700">
      <w:pPr>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Vaikams, sveriantiems mažiau kaip 40 kg</w:t>
      </w:r>
    </w:p>
    <w:p w14:paraId="7E1A721A" w14:textId="482E3A26" w:rsidR="00D05700" w:rsidRPr="00D05700" w:rsidRDefault="00D05700" w:rsidP="00D05700">
      <w:pPr>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Rekomenduojama įprasta paros dozė yra 25–50 mg/kg kūno svorio. Ji lygiomis dalimis išgeriama per du kartus (kas 12 val.).</w:t>
      </w:r>
    </w:p>
    <w:p w14:paraId="57983832"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Gydant tonzilių ar gerklės uždegimą arba impetigą (pūlinėlinę), visą rekomenduojamą paros dozę galima išgerti vienu kartu.</w:t>
      </w:r>
    </w:p>
    <w:p w14:paraId="05B0AD9C"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Vaikams negalima vartoti didesnės paros dozės už didžiausią nurodytą suaugusiesiems.</w:t>
      </w:r>
    </w:p>
    <w:p w14:paraId="6600EC2C"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p>
    <w:p w14:paraId="4C713E28"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Senyviems ligoniams</w:t>
      </w:r>
    </w:p>
    <w:p w14:paraId="2F6A6D22"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 xml:space="preserve">Gydytojas gali paskirti mažesnę dozę, nei jaunesnio amžiaus ligoniams. </w:t>
      </w:r>
    </w:p>
    <w:p w14:paraId="20E97AB5"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p>
    <w:p w14:paraId="381544ED"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Ligoniams, kurių inkstų veikla sutrikusi</w:t>
      </w:r>
    </w:p>
    <w:p w14:paraId="23020367"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Biodroxil dozę nustato gydytojas, įvertinęs inkstų veiklos sutrikimo sunkumą pagal kreatinino klirenso (tam tikro inkstų veiklą atspindinčio rodiklio) rodmenis.</w:t>
      </w:r>
    </w:p>
    <w:p w14:paraId="1F494EF3"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Ligoniams, kurių kreatinino klirensas yra 50 ml/min., rekomenduojama vadovautis šia sumažinto dozavimo schema.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268"/>
        <w:gridCol w:w="1985"/>
        <w:gridCol w:w="1559"/>
      </w:tblGrid>
      <w:tr w:rsidR="00D05700" w:rsidRPr="00D05700" w14:paraId="62C3AB02" w14:textId="77777777" w:rsidTr="00D85EBA">
        <w:tc>
          <w:tcPr>
            <w:tcW w:w="2409" w:type="dxa"/>
            <w:tcBorders>
              <w:top w:val="single" w:sz="4" w:space="0" w:color="auto"/>
              <w:left w:val="single" w:sz="4" w:space="0" w:color="auto"/>
              <w:bottom w:val="single" w:sz="4" w:space="0" w:color="auto"/>
              <w:right w:val="single" w:sz="4" w:space="0" w:color="auto"/>
            </w:tcBorders>
            <w:hideMark/>
          </w:tcPr>
          <w:p w14:paraId="5A669385"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Kreatinino klirensas</w:t>
            </w:r>
          </w:p>
          <w:p w14:paraId="2C364DF4"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(ml/min./1,73 m</w:t>
            </w:r>
            <w:r w:rsidRPr="00D05700">
              <w:rPr>
                <w:rFonts w:ascii="Times New Roman" w:eastAsia="Times New Roman" w:hAnsi="Times New Roman" w:cs="Times New Roman"/>
                <w:b/>
                <w:kern w:val="0"/>
                <w:vertAlign w:val="superscript"/>
                <w14:ligatures w14:val="none"/>
              </w:rPr>
              <w:t>2</w:t>
            </w:r>
            <w:r w:rsidRPr="00D05700">
              <w:rPr>
                <w:rFonts w:ascii="Times New Roman" w:eastAsia="Times New Roman" w:hAnsi="Times New Roman" w:cs="Times New Roman"/>
                <w:b/>
                <w:kern w:val="0"/>
                <w14:ligatures w14:val="none"/>
              </w:rPr>
              <w:t>)</w:t>
            </w:r>
          </w:p>
        </w:tc>
        <w:tc>
          <w:tcPr>
            <w:tcW w:w="2268" w:type="dxa"/>
            <w:tcBorders>
              <w:top w:val="single" w:sz="4" w:space="0" w:color="auto"/>
              <w:left w:val="single" w:sz="4" w:space="0" w:color="auto"/>
              <w:bottom w:val="single" w:sz="4" w:space="0" w:color="auto"/>
              <w:right w:val="single" w:sz="4" w:space="0" w:color="auto"/>
            </w:tcBorders>
            <w:hideMark/>
          </w:tcPr>
          <w:p w14:paraId="3A594E0D" w14:textId="77777777" w:rsidR="00D05700" w:rsidRPr="00D05700" w:rsidRDefault="00D05700" w:rsidP="00D05700">
            <w:pPr>
              <w:tabs>
                <w:tab w:val="left" w:pos="567"/>
              </w:tabs>
              <w:spacing w:after="0" w:line="240" w:lineRule="auto"/>
              <w:jc w:val="both"/>
              <w:outlineLvl w:val="6"/>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Pradinė dozė</w:t>
            </w:r>
          </w:p>
        </w:tc>
        <w:tc>
          <w:tcPr>
            <w:tcW w:w="1985" w:type="dxa"/>
            <w:tcBorders>
              <w:top w:val="single" w:sz="4" w:space="0" w:color="auto"/>
              <w:left w:val="single" w:sz="4" w:space="0" w:color="auto"/>
              <w:bottom w:val="single" w:sz="4" w:space="0" w:color="auto"/>
              <w:right w:val="single" w:sz="4" w:space="0" w:color="auto"/>
            </w:tcBorders>
            <w:hideMark/>
          </w:tcPr>
          <w:p w14:paraId="0F141C59" w14:textId="77777777" w:rsidR="00D05700" w:rsidRPr="00D05700" w:rsidRDefault="00D05700" w:rsidP="00D05700">
            <w:pPr>
              <w:tabs>
                <w:tab w:val="left" w:pos="567"/>
              </w:tabs>
              <w:spacing w:after="0" w:line="240" w:lineRule="auto"/>
              <w:jc w:val="both"/>
              <w:outlineLvl w:val="6"/>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Palaikomoji dozė</w:t>
            </w:r>
          </w:p>
        </w:tc>
        <w:tc>
          <w:tcPr>
            <w:tcW w:w="1559" w:type="dxa"/>
            <w:tcBorders>
              <w:top w:val="single" w:sz="4" w:space="0" w:color="auto"/>
              <w:left w:val="single" w:sz="4" w:space="0" w:color="auto"/>
              <w:bottom w:val="single" w:sz="4" w:space="0" w:color="auto"/>
              <w:right w:val="single" w:sz="4" w:space="0" w:color="auto"/>
            </w:tcBorders>
            <w:hideMark/>
          </w:tcPr>
          <w:p w14:paraId="11902AB9"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Intervalai tarp dozių</w:t>
            </w:r>
          </w:p>
        </w:tc>
      </w:tr>
      <w:tr w:rsidR="00D05700" w:rsidRPr="00D05700" w14:paraId="488AE7E5" w14:textId="77777777" w:rsidTr="00D85EBA">
        <w:tc>
          <w:tcPr>
            <w:tcW w:w="2409" w:type="dxa"/>
            <w:tcBorders>
              <w:top w:val="single" w:sz="4" w:space="0" w:color="auto"/>
              <w:left w:val="single" w:sz="4" w:space="0" w:color="auto"/>
              <w:bottom w:val="single" w:sz="4" w:space="0" w:color="auto"/>
              <w:right w:val="single" w:sz="4" w:space="0" w:color="auto"/>
            </w:tcBorders>
            <w:hideMark/>
          </w:tcPr>
          <w:p w14:paraId="07846796" w14:textId="31DB04B7" w:rsidR="00D05700" w:rsidRPr="00D05700" w:rsidRDefault="00D05700" w:rsidP="00D05700">
            <w:pPr>
              <w:tabs>
                <w:tab w:val="left" w:pos="567"/>
              </w:tabs>
              <w:spacing w:after="0" w:line="240" w:lineRule="auto"/>
              <w:jc w:val="center"/>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50</w:t>
            </w:r>
            <w:r w:rsidR="00D520D5" w:rsidRPr="00873C37">
              <w:rPr>
                <w:rFonts w:ascii="Times New Roman" w:eastAsia="Times New Roman" w:hAnsi="Times New Roman" w:cs="Times New Roman"/>
                <w:kern w:val="0"/>
                <w14:ligatures w14:val="none"/>
              </w:rPr>
              <w:t>–</w:t>
            </w:r>
            <w:r w:rsidRPr="00D05700">
              <w:rPr>
                <w:rFonts w:ascii="Times New Roman" w:eastAsia="Times New Roman" w:hAnsi="Times New Roman" w:cs="Times New Roman"/>
                <w:kern w:val="0"/>
                <w14:ligatures w14:val="none"/>
              </w:rPr>
              <w:t>25</w:t>
            </w:r>
          </w:p>
          <w:p w14:paraId="7D86A2A1" w14:textId="44C3DC13" w:rsidR="00D05700" w:rsidRPr="00D05700" w:rsidRDefault="00D05700" w:rsidP="00D05700">
            <w:pPr>
              <w:tabs>
                <w:tab w:val="left" w:pos="567"/>
              </w:tabs>
              <w:spacing w:after="0" w:line="240" w:lineRule="auto"/>
              <w:jc w:val="center"/>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10</w:t>
            </w:r>
            <w:r w:rsidR="00D520D5" w:rsidRPr="00873C37">
              <w:rPr>
                <w:rFonts w:ascii="Times New Roman" w:eastAsia="Times New Roman" w:hAnsi="Times New Roman" w:cs="Times New Roman"/>
                <w:kern w:val="0"/>
                <w14:ligatures w14:val="none"/>
              </w:rPr>
              <w:t>–</w:t>
            </w:r>
            <w:r w:rsidRPr="00D05700">
              <w:rPr>
                <w:rFonts w:ascii="Times New Roman" w:eastAsia="Times New Roman" w:hAnsi="Times New Roman" w:cs="Times New Roman"/>
                <w:kern w:val="0"/>
                <w14:ligatures w14:val="none"/>
              </w:rPr>
              <w:t>25</w:t>
            </w:r>
          </w:p>
          <w:p w14:paraId="311A0315" w14:textId="3079AD28" w:rsidR="00D05700" w:rsidRPr="00D05700" w:rsidRDefault="00D05700" w:rsidP="00D05700">
            <w:pPr>
              <w:tabs>
                <w:tab w:val="left" w:pos="567"/>
              </w:tabs>
              <w:spacing w:after="0" w:line="240" w:lineRule="auto"/>
              <w:jc w:val="center"/>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10</w:t>
            </w:r>
            <w:r w:rsidR="00D520D5" w:rsidRPr="00873C37">
              <w:rPr>
                <w:rFonts w:ascii="Times New Roman" w:eastAsia="Times New Roman" w:hAnsi="Times New Roman" w:cs="Times New Roman"/>
                <w:kern w:val="0"/>
                <w14:ligatures w14:val="none"/>
              </w:rPr>
              <w:t>–</w:t>
            </w:r>
            <w:r w:rsidRPr="00D05700">
              <w:rPr>
                <w:rFonts w:ascii="Times New Roman" w:eastAsia="Times New Roman" w:hAnsi="Times New Roman" w:cs="Times New Roman"/>
                <w:kern w:val="0"/>
                <w14:ligatures w14:val="none"/>
              </w:rPr>
              <w:t>0</w:t>
            </w:r>
          </w:p>
        </w:tc>
        <w:tc>
          <w:tcPr>
            <w:tcW w:w="2268" w:type="dxa"/>
            <w:tcBorders>
              <w:top w:val="single" w:sz="4" w:space="0" w:color="auto"/>
              <w:left w:val="single" w:sz="4" w:space="0" w:color="auto"/>
              <w:bottom w:val="single" w:sz="4" w:space="0" w:color="auto"/>
              <w:right w:val="single" w:sz="4" w:space="0" w:color="auto"/>
            </w:tcBorders>
            <w:hideMark/>
          </w:tcPr>
          <w:p w14:paraId="4DF51B90" w14:textId="77777777" w:rsidR="00D05700" w:rsidRPr="00D05700" w:rsidRDefault="00D05700" w:rsidP="00D05700">
            <w:pPr>
              <w:tabs>
                <w:tab w:val="left" w:pos="567"/>
              </w:tabs>
              <w:spacing w:after="0" w:line="240" w:lineRule="auto"/>
              <w:jc w:val="center"/>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1000 mg (2 kapsulės)</w:t>
            </w:r>
          </w:p>
          <w:p w14:paraId="4F2F4279" w14:textId="77777777" w:rsidR="00D05700" w:rsidRPr="00D05700" w:rsidRDefault="00D05700" w:rsidP="00D05700">
            <w:pPr>
              <w:tabs>
                <w:tab w:val="left" w:pos="567"/>
              </w:tabs>
              <w:spacing w:after="0" w:line="240" w:lineRule="auto"/>
              <w:jc w:val="center"/>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1000 mg (2 kapsulės)</w:t>
            </w:r>
          </w:p>
          <w:p w14:paraId="6315E9A8" w14:textId="77777777" w:rsidR="00D05700" w:rsidRPr="00D05700" w:rsidRDefault="00D05700" w:rsidP="00D05700">
            <w:pPr>
              <w:tabs>
                <w:tab w:val="left" w:pos="567"/>
              </w:tabs>
              <w:spacing w:after="0" w:line="240" w:lineRule="auto"/>
              <w:jc w:val="center"/>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1000 mg (2 kapsulės)</w:t>
            </w:r>
          </w:p>
        </w:tc>
        <w:tc>
          <w:tcPr>
            <w:tcW w:w="1985" w:type="dxa"/>
            <w:tcBorders>
              <w:top w:val="single" w:sz="4" w:space="0" w:color="auto"/>
              <w:left w:val="single" w:sz="4" w:space="0" w:color="auto"/>
              <w:bottom w:val="single" w:sz="4" w:space="0" w:color="auto"/>
              <w:right w:val="single" w:sz="4" w:space="0" w:color="auto"/>
            </w:tcBorders>
            <w:hideMark/>
          </w:tcPr>
          <w:p w14:paraId="5AB1B9BB" w14:textId="77777777" w:rsidR="00D05700" w:rsidRPr="00D05700" w:rsidRDefault="00D05700" w:rsidP="00D05700">
            <w:pPr>
              <w:tabs>
                <w:tab w:val="left" w:pos="567"/>
              </w:tabs>
              <w:spacing w:after="0" w:line="240" w:lineRule="auto"/>
              <w:jc w:val="center"/>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500 mg (1 kapsulė)</w:t>
            </w:r>
          </w:p>
          <w:p w14:paraId="6F2F23C1" w14:textId="77777777" w:rsidR="00D05700" w:rsidRPr="00D05700" w:rsidRDefault="00D05700" w:rsidP="00D05700">
            <w:pPr>
              <w:tabs>
                <w:tab w:val="left" w:pos="567"/>
              </w:tabs>
              <w:spacing w:after="0" w:line="240" w:lineRule="auto"/>
              <w:jc w:val="center"/>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500 mg (1 kapsulė)</w:t>
            </w:r>
          </w:p>
          <w:p w14:paraId="7E7BA7BC" w14:textId="77777777" w:rsidR="00D05700" w:rsidRPr="00D05700" w:rsidRDefault="00D05700" w:rsidP="00D05700">
            <w:pPr>
              <w:tabs>
                <w:tab w:val="left" w:pos="567"/>
              </w:tabs>
              <w:spacing w:after="0" w:line="240" w:lineRule="auto"/>
              <w:jc w:val="center"/>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500 mg (1 kapsulė)</w:t>
            </w:r>
          </w:p>
        </w:tc>
        <w:tc>
          <w:tcPr>
            <w:tcW w:w="1559" w:type="dxa"/>
            <w:tcBorders>
              <w:top w:val="single" w:sz="4" w:space="0" w:color="auto"/>
              <w:left w:val="single" w:sz="4" w:space="0" w:color="auto"/>
              <w:bottom w:val="single" w:sz="4" w:space="0" w:color="auto"/>
              <w:right w:val="single" w:sz="4" w:space="0" w:color="auto"/>
            </w:tcBorders>
            <w:hideMark/>
          </w:tcPr>
          <w:p w14:paraId="68DEC49D" w14:textId="77777777" w:rsidR="00D05700" w:rsidRPr="00D05700" w:rsidRDefault="00D05700" w:rsidP="00D05700">
            <w:pPr>
              <w:tabs>
                <w:tab w:val="left" w:pos="567"/>
              </w:tabs>
              <w:spacing w:after="0" w:line="240" w:lineRule="auto"/>
              <w:jc w:val="center"/>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12 val.</w:t>
            </w:r>
          </w:p>
          <w:p w14:paraId="4529BBD6" w14:textId="77777777" w:rsidR="00D05700" w:rsidRPr="00D05700" w:rsidRDefault="00D05700" w:rsidP="00D05700">
            <w:pPr>
              <w:tabs>
                <w:tab w:val="left" w:pos="567"/>
              </w:tabs>
              <w:spacing w:after="0" w:line="240" w:lineRule="auto"/>
              <w:jc w:val="center"/>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24 val.</w:t>
            </w:r>
          </w:p>
          <w:p w14:paraId="6D17E3CC" w14:textId="77777777" w:rsidR="00D05700" w:rsidRPr="00D05700" w:rsidRDefault="00D05700" w:rsidP="00D05700">
            <w:pPr>
              <w:tabs>
                <w:tab w:val="left" w:pos="567"/>
              </w:tabs>
              <w:spacing w:after="0" w:line="240" w:lineRule="auto"/>
              <w:jc w:val="center"/>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36 val.</w:t>
            </w:r>
          </w:p>
        </w:tc>
      </w:tr>
    </w:tbl>
    <w:p w14:paraId="13EF0D7E" w14:textId="77777777" w:rsidR="00D05700" w:rsidRPr="00D05700" w:rsidRDefault="00D05700" w:rsidP="00D05700">
      <w:pPr>
        <w:tabs>
          <w:tab w:val="left" w:pos="567"/>
        </w:tabs>
        <w:spacing w:after="0" w:line="240" w:lineRule="auto"/>
        <w:rPr>
          <w:rFonts w:ascii="Times New Roman" w:eastAsia="Times New Roman" w:hAnsi="Times New Roman" w:cs="Times New Roman"/>
          <w:i/>
          <w:kern w:val="0"/>
          <w:u w:val="single"/>
          <w14:ligatures w14:val="none"/>
        </w:rPr>
      </w:pPr>
    </w:p>
    <w:p w14:paraId="54E55152"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Ligoniams, kuriems atliekama inkstų dializė</w:t>
      </w:r>
    </w:p>
    <w:p w14:paraId="7C6D999E" w14:textId="42B40E05"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Tokiems ligoniams 500 mg dozę (1 kapsulę) reikia gerti likus 48 val. iki dializės ir 500 mg dozę (1</w:t>
      </w:r>
      <w:r w:rsidR="00D520D5" w:rsidRPr="00873C37">
        <w:rPr>
          <w:rFonts w:ascii="Times New Roman" w:eastAsia="Times New Roman" w:hAnsi="Times New Roman" w:cs="Times New Roman"/>
          <w:kern w:val="0"/>
          <w14:ligatures w14:val="none"/>
        </w:rPr>
        <w:t> </w:t>
      </w:r>
      <w:r w:rsidRPr="00D05700">
        <w:rPr>
          <w:rFonts w:ascii="Times New Roman" w:eastAsia="Times New Roman" w:hAnsi="Times New Roman" w:cs="Times New Roman"/>
          <w:kern w:val="0"/>
          <w14:ligatures w14:val="none"/>
        </w:rPr>
        <w:t>kapsulę) ją baigus. Tokią pat dozę reikia gerti ir likus 48 valandoms iki kitos dializės, jei dializė atliekama du ar tris kartus per savaitę.</w:t>
      </w:r>
    </w:p>
    <w:p w14:paraId="13AB32A5"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p>
    <w:p w14:paraId="29C29B51"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Gydymo trukmė</w:t>
      </w:r>
    </w:p>
    <w:p w14:paraId="29CD2ED2" w14:textId="7D55A26B"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Biodroxil paprastai gydoma 7</w:t>
      </w:r>
      <w:r w:rsidR="00D520D5" w:rsidRPr="00873C37">
        <w:rPr>
          <w:rFonts w:ascii="Times New Roman" w:eastAsia="Times New Roman" w:hAnsi="Times New Roman" w:cs="Times New Roman"/>
          <w:kern w:val="0"/>
          <w14:ligatures w14:val="none"/>
        </w:rPr>
        <w:t>–</w:t>
      </w:r>
      <w:r w:rsidRPr="00D05700">
        <w:rPr>
          <w:rFonts w:ascii="Times New Roman" w:eastAsia="Times New Roman" w:hAnsi="Times New Roman" w:cs="Times New Roman"/>
          <w:kern w:val="0"/>
          <w14:ligatures w14:val="none"/>
        </w:rPr>
        <w:t>10 parų, tačiau jo patariama vartoti dar 2</w:t>
      </w:r>
      <w:r w:rsidR="00D520D5" w:rsidRPr="00873C37">
        <w:rPr>
          <w:rFonts w:ascii="Times New Roman" w:eastAsia="Times New Roman" w:hAnsi="Times New Roman" w:cs="Times New Roman"/>
          <w:kern w:val="0"/>
          <w14:ligatures w14:val="none"/>
        </w:rPr>
        <w:t>–</w:t>
      </w:r>
      <w:r w:rsidRPr="00D05700">
        <w:rPr>
          <w:rFonts w:ascii="Times New Roman" w:eastAsia="Times New Roman" w:hAnsi="Times New Roman" w:cs="Times New Roman"/>
          <w:kern w:val="0"/>
          <w14:ligatures w14:val="none"/>
        </w:rPr>
        <w:t>3 paras po to, kai išnyksta ligos simptomai. Tam tikros bakterijos (</w:t>
      </w:r>
      <w:r w:rsidRPr="00D05700">
        <w:rPr>
          <w:rFonts w:ascii="Times New Roman" w:eastAsia="Times New Roman" w:hAnsi="Times New Roman" w:cs="Times New Roman"/>
          <w:i/>
          <w:kern w:val="0"/>
          <w14:ligatures w14:val="none"/>
        </w:rPr>
        <w:t>Streptococcus pyogenes)</w:t>
      </w:r>
      <w:r w:rsidRPr="00D05700">
        <w:rPr>
          <w:rFonts w:ascii="Times New Roman" w:eastAsia="Times New Roman" w:hAnsi="Times New Roman" w:cs="Times New Roman"/>
          <w:kern w:val="0"/>
          <w14:ligatures w14:val="none"/>
        </w:rPr>
        <w:t xml:space="preserve"> sukeltą infekcinę ligą reikia gydyti ne trumpiau kaip 10 parų.</w:t>
      </w:r>
    </w:p>
    <w:p w14:paraId="3F89F133"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9F7133C" w14:textId="5E43B6A2" w:rsidR="00D05700" w:rsidRPr="00D05700" w:rsidRDefault="00D05700" w:rsidP="00D05700">
      <w:pPr>
        <w:tabs>
          <w:tab w:val="left" w:pos="567"/>
        </w:tabs>
        <w:spacing w:after="0" w:line="240" w:lineRule="auto"/>
        <w:rPr>
          <w:rFonts w:ascii="Times New Roman" w:eastAsia="Times New Roman" w:hAnsi="Times New Roman" w:cs="Times New Roman"/>
          <w:b/>
          <w:kern w:val="0"/>
          <w:u w:val="single"/>
          <w14:ligatures w14:val="none"/>
        </w:rPr>
      </w:pPr>
      <w:r w:rsidRPr="00D05700">
        <w:rPr>
          <w:rFonts w:ascii="Times New Roman" w:eastAsia="Times New Roman" w:hAnsi="Times New Roman" w:cs="Times New Roman"/>
          <w:b/>
          <w:kern w:val="0"/>
          <w14:ligatures w14:val="none"/>
        </w:rPr>
        <w:t>Ką daryti pavartojus per didelę Biodroxil dozę</w:t>
      </w:r>
    </w:p>
    <w:p w14:paraId="06A9B93F" w14:textId="77777777" w:rsidR="00D05700" w:rsidRPr="00D05700" w:rsidRDefault="00D05700" w:rsidP="00D05700">
      <w:pPr>
        <w:tabs>
          <w:tab w:val="left" w:pos="567"/>
        </w:tabs>
        <w:spacing w:after="0" w:line="240" w:lineRule="auto"/>
        <w:rPr>
          <w:rFonts w:ascii="Times New Roman" w:eastAsia="Times New Roman" w:hAnsi="Times New Roman" w:cs="Times New Roman"/>
          <w:i/>
          <w:kern w:val="0"/>
          <w14:ligatures w14:val="none"/>
        </w:rPr>
      </w:pPr>
      <w:r w:rsidRPr="00D05700">
        <w:rPr>
          <w:rFonts w:ascii="Times New Roman" w:eastAsia="Times New Roman" w:hAnsi="Times New Roman" w:cs="Times New Roman"/>
          <w:kern w:val="0"/>
          <w14:ligatures w14:val="none"/>
        </w:rPr>
        <w:t xml:space="preserve">Jeigu įtariate, kad išgėrėte per didelę vaisto dozę arba manote, kad jo nurijo vaikas, nedelsdami kvieskite gydytoją. Gali sutrikti inkstų veikla, virškinimas, pritemti sąmonė, sustiprėti refleksai, išberti odą. Vaisto perdozavus, tuoj pat būtina sukelti vėmimą arba išplauti skrandį, gerti daug skysčių. </w:t>
      </w:r>
    </w:p>
    <w:p w14:paraId="38344E33" w14:textId="77777777" w:rsidR="00D05700" w:rsidRPr="00D05700" w:rsidRDefault="00D05700" w:rsidP="00D05700">
      <w:pPr>
        <w:tabs>
          <w:tab w:val="left" w:pos="567"/>
        </w:tabs>
        <w:spacing w:after="0" w:line="240" w:lineRule="auto"/>
        <w:rPr>
          <w:rFonts w:ascii="Times New Roman" w:eastAsia="Times New Roman" w:hAnsi="Times New Roman" w:cs="Times New Roman"/>
          <w:i/>
          <w:kern w:val="0"/>
          <w14:ligatures w14:val="none"/>
        </w:rPr>
      </w:pPr>
    </w:p>
    <w:p w14:paraId="49A8C9BA"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Pamiršus pavartoti Biodroxil</w:t>
      </w:r>
    </w:p>
    <w:p w14:paraId="6B4FBE2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Jeigu įprastiniu laiku vaisto išgerti pamiršite, gerkite jo tuoj pat, kai tik prisiminsite, tačiau jeigu iki kitos dozės vartojimo laiko bus likę mažiau negu 4 valandos, užmirštosios dozės negerkite, o toliau vaisto vartokite įprastu laiku. Negalima vartoti dvigubos dozės norint kompensuoti praleistą dozę.</w:t>
      </w:r>
    </w:p>
    <w:p w14:paraId="6D3FF434" w14:textId="77777777" w:rsidR="00D05700" w:rsidRPr="00D05700" w:rsidRDefault="00D05700" w:rsidP="00D05700">
      <w:pPr>
        <w:tabs>
          <w:tab w:val="left" w:pos="567"/>
        </w:tabs>
        <w:spacing w:after="0" w:line="240" w:lineRule="auto"/>
        <w:rPr>
          <w:rFonts w:ascii="Times New Roman" w:eastAsia="Times New Roman" w:hAnsi="Times New Roman" w:cs="Times New Roman"/>
          <w:b/>
          <w:bCs/>
          <w:i/>
          <w:kern w:val="0"/>
          <w14:ligatures w14:val="none"/>
        </w:rPr>
      </w:pPr>
    </w:p>
    <w:p w14:paraId="498854B8"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Nustojus vartoti Biodroxil</w:t>
      </w:r>
    </w:p>
    <w:p w14:paraId="0E26EAFE"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Jeigu Jūs nutrauksite Biodroxil vartojimą nebaigę viso gydymo kurso, gali vėl atsirasti ligos simptomų, kadangi Jūs esate ne visiškai pasveikę. Jeigu Jūs norite nutraukti Biodroxil vartojimą nebaigę viso gydymo kurso, prieš tai reikia pasitarti su gydytoju ar vaistininku.</w:t>
      </w:r>
    </w:p>
    <w:p w14:paraId="0611C514"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72C24995"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Jeigu kiltų daugiau klausimų dėl šio vaisto vartojimo, kreipkitės į gydytoją arba vaistininką.</w:t>
      </w:r>
    </w:p>
    <w:p w14:paraId="228DD79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36954687"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7BF6E21"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4.</w:t>
      </w:r>
      <w:r w:rsidRPr="00D05700">
        <w:rPr>
          <w:rFonts w:ascii="Times New Roman" w:eastAsia="Times New Roman" w:hAnsi="Times New Roman" w:cs="Times New Roman"/>
          <w:b/>
          <w:kern w:val="0"/>
          <w14:ligatures w14:val="none"/>
        </w:rPr>
        <w:tab/>
        <w:t>Galimas šalutinis poveikis</w:t>
      </w:r>
    </w:p>
    <w:p w14:paraId="25F0AD99"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D40969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Šis vaistas, kaip ir visi kiti, gali sukelti šalutinį poveikį, nors jis pasireiškia ne visiems žmonėms.</w:t>
      </w:r>
    </w:p>
    <w:p w14:paraId="51DE91D9"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Šis antibiotikas, kaip ir kiti cefalosporinai, paprastai toleruojamas gerai. Šalutinis poveikis pasireiškia maždaug 6 % ligonių.</w:t>
      </w:r>
    </w:p>
    <w:p w14:paraId="628E0DFE" w14:textId="77777777" w:rsidR="00D05700" w:rsidRPr="00D05700" w:rsidRDefault="00D05700" w:rsidP="00D05700">
      <w:pPr>
        <w:spacing w:after="0" w:line="240" w:lineRule="auto"/>
        <w:rPr>
          <w:rFonts w:ascii="Times New Roman" w:eastAsia="Times New Roman" w:hAnsi="Times New Roman" w:cs="Times New Roman"/>
          <w:b/>
          <w:kern w:val="0"/>
          <w14:ligatures w14:val="none"/>
        </w:rPr>
      </w:pPr>
    </w:p>
    <w:p w14:paraId="1FF806DE" w14:textId="77777777" w:rsidR="006B15A5" w:rsidRDefault="00D520D5" w:rsidP="00D05700">
      <w:pPr>
        <w:spacing w:after="0" w:line="240" w:lineRule="auto"/>
        <w:rPr>
          <w:rFonts w:ascii="Times New Roman" w:eastAsia="Times New Roman" w:hAnsi="Times New Roman" w:cs="Times New Roman"/>
          <w:kern w:val="0"/>
          <w14:ligatures w14:val="none"/>
        </w:rPr>
      </w:pPr>
      <w:r w:rsidRPr="00873C37">
        <w:rPr>
          <w:rFonts w:ascii="Times New Roman" w:hAnsi="Times New Roman" w:cs="Times New Roman"/>
          <w:b/>
          <w:bCs/>
          <w:noProof/>
          <w:snapToGrid w:val="0"/>
        </w:rPr>
        <w:t>Dažni šalutinio poveikio reiškiniai (gali pasireikšti rečiau kaip 1 iš 10 asmenų):</w:t>
      </w:r>
      <w:r w:rsidRPr="00873C37">
        <w:rPr>
          <w:rFonts w:ascii="Times New Roman" w:eastAsia="Times New Roman" w:hAnsi="Times New Roman" w:cs="Times New Roman"/>
          <w:kern w:val="0"/>
          <w14:ligatures w14:val="none"/>
        </w:rPr>
        <w:t xml:space="preserve"> </w:t>
      </w:r>
    </w:p>
    <w:p w14:paraId="01D48589" w14:textId="10A834A3" w:rsidR="00D05700" w:rsidRPr="00D05700" w:rsidRDefault="00D520D5" w:rsidP="00D05700">
      <w:pPr>
        <w:spacing w:after="0" w:line="240" w:lineRule="auto"/>
        <w:rPr>
          <w:rFonts w:ascii="Times New Roman" w:eastAsia="Times New Roman" w:hAnsi="Times New Roman" w:cs="Times New Roman"/>
          <w:kern w:val="0"/>
          <w14:ligatures w14:val="none"/>
        </w:rPr>
      </w:pPr>
      <w:r w:rsidRPr="00873C37">
        <w:rPr>
          <w:rFonts w:ascii="Times New Roman" w:eastAsia="Times New Roman" w:hAnsi="Times New Roman" w:cs="Times New Roman"/>
          <w:kern w:val="0"/>
          <w14:ligatures w14:val="none"/>
        </w:rPr>
        <w:t>v</w:t>
      </w:r>
      <w:r w:rsidR="00D05700" w:rsidRPr="00D05700">
        <w:rPr>
          <w:rFonts w:ascii="Times New Roman" w:eastAsia="Times New Roman" w:hAnsi="Times New Roman" w:cs="Times New Roman"/>
          <w:kern w:val="0"/>
          <w14:ligatures w14:val="none"/>
        </w:rPr>
        <w:t>iduriavimas, sutrikęs virškinimas, pykinimas, vėmimas ir karščiavimas, pilvo skausmas, liežuvio uždegimas, dilgėlinė, išbėrimas, niežulys.</w:t>
      </w:r>
    </w:p>
    <w:p w14:paraId="51138C3F"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p>
    <w:p w14:paraId="74EF8DAF" w14:textId="77777777" w:rsidR="006B15A5" w:rsidRDefault="00D520D5" w:rsidP="00D520D5">
      <w:pPr>
        <w:tabs>
          <w:tab w:val="left" w:pos="567"/>
        </w:tabs>
        <w:spacing w:after="0" w:line="240" w:lineRule="auto"/>
        <w:rPr>
          <w:rFonts w:ascii="Times New Roman" w:eastAsia="Times New Roman" w:hAnsi="Times New Roman" w:cs="Times New Roman"/>
          <w:kern w:val="0"/>
          <w14:ligatures w14:val="none"/>
        </w:rPr>
      </w:pPr>
      <w:r w:rsidRPr="00873C37">
        <w:rPr>
          <w:rFonts w:ascii="Times New Roman" w:hAnsi="Times New Roman" w:cs="Times New Roman"/>
          <w:b/>
          <w:bCs/>
          <w:noProof/>
          <w:snapToGrid w:val="0"/>
        </w:rPr>
        <w:t>Nedažni šalutinio poveikio reiškiniai (gali pasireikšti rečiau kaip 1 iš 100 asmenų</w:t>
      </w:r>
      <w:r w:rsidRPr="00873C37">
        <w:rPr>
          <w:rFonts w:ascii="Times New Roman" w:eastAsia="Times New Roman" w:hAnsi="Times New Roman" w:cs="Times New Roman"/>
          <w:b/>
          <w:bCs/>
          <w:kern w:val="0"/>
          <w14:ligatures w14:val="none"/>
        </w:rPr>
        <w:t>):</w:t>
      </w:r>
      <w:r w:rsidRPr="00873C37">
        <w:rPr>
          <w:rFonts w:ascii="Times New Roman" w:eastAsia="Times New Roman" w:hAnsi="Times New Roman" w:cs="Times New Roman"/>
          <w:kern w:val="0"/>
          <w14:ligatures w14:val="none"/>
        </w:rPr>
        <w:t xml:space="preserve"> </w:t>
      </w:r>
    </w:p>
    <w:p w14:paraId="4AB94457" w14:textId="26ADCF1F" w:rsidR="00D05700" w:rsidRPr="00D05700" w:rsidRDefault="00D520D5" w:rsidP="00D520D5">
      <w:pPr>
        <w:tabs>
          <w:tab w:val="left" w:pos="567"/>
        </w:tabs>
        <w:spacing w:after="0" w:line="240" w:lineRule="auto"/>
        <w:rPr>
          <w:rFonts w:ascii="Times New Roman" w:eastAsia="Times New Roman" w:hAnsi="Times New Roman" w:cs="Times New Roman"/>
          <w:kern w:val="0"/>
          <w14:ligatures w14:val="none"/>
        </w:rPr>
      </w:pPr>
      <w:r w:rsidRPr="00873C37">
        <w:rPr>
          <w:rFonts w:ascii="Times New Roman" w:eastAsia="Times New Roman" w:hAnsi="Times New Roman" w:cs="Times New Roman"/>
          <w:kern w:val="0"/>
          <w14:ligatures w14:val="none"/>
        </w:rPr>
        <w:t>m</w:t>
      </w:r>
      <w:r w:rsidR="00D05700" w:rsidRPr="00D05700">
        <w:rPr>
          <w:rFonts w:ascii="Times New Roman" w:eastAsia="Times New Roman" w:hAnsi="Times New Roman" w:cs="Times New Roman"/>
          <w:kern w:val="0"/>
          <w14:ligatures w14:val="none"/>
        </w:rPr>
        <w:t>akšties grybelinė infekcija, burnos pienligė.</w:t>
      </w:r>
    </w:p>
    <w:p w14:paraId="407FA921"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p>
    <w:p w14:paraId="0A454C11" w14:textId="77777777" w:rsidR="006B15A5" w:rsidRDefault="00D520D5" w:rsidP="00D05700">
      <w:pPr>
        <w:tabs>
          <w:tab w:val="left" w:pos="567"/>
        </w:tabs>
        <w:spacing w:after="0" w:line="240" w:lineRule="auto"/>
        <w:rPr>
          <w:rFonts w:ascii="Times New Roman" w:hAnsi="Times New Roman" w:cs="Times New Roman"/>
          <w:b/>
          <w:bCs/>
          <w:noProof/>
          <w:snapToGrid w:val="0"/>
        </w:rPr>
      </w:pPr>
      <w:r w:rsidRPr="00873C37">
        <w:rPr>
          <w:rFonts w:ascii="Times New Roman" w:hAnsi="Times New Roman" w:cs="Times New Roman"/>
          <w:b/>
          <w:bCs/>
          <w:noProof/>
          <w:snapToGrid w:val="0"/>
        </w:rPr>
        <w:t xml:space="preserve">Reti šalutinio poveikio reiškiniai (gali pasireikšti rečiau kaip 1 iš 1 000 asmenų): </w:t>
      </w:r>
    </w:p>
    <w:p w14:paraId="0DC93D95" w14:textId="07BD752F" w:rsidR="00D05700" w:rsidRPr="00D05700" w:rsidRDefault="00D520D5" w:rsidP="00D05700">
      <w:pPr>
        <w:tabs>
          <w:tab w:val="left" w:pos="567"/>
        </w:tabs>
        <w:spacing w:after="0" w:line="240" w:lineRule="auto"/>
        <w:rPr>
          <w:rFonts w:ascii="Times New Roman" w:eastAsia="Times New Roman" w:hAnsi="Times New Roman" w:cs="Times New Roman"/>
          <w:kern w:val="0"/>
          <w14:ligatures w14:val="none"/>
        </w:rPr>
      </w:pPr>
      <w:r w:rsidRPr="00873C37">
        <w:rPr>
          <w:rFonts w:ascii="Times New Roman" w:hAnsi="Times New Roman" w:cs="Times New Roman"/>
          <w:noProof/>
          <w:snapToGrid w:val="0"/>
        </w:rPr>
        <w:t>k</w:t>
      </w:r>
      <w:r w:rsidR="00D05700" w:rsidRPr="00D05700">
        <w:rPr>
          <w:rFonts w:ascii="Times New Roman" w:eastAsia="Times New Roman" w:hAnsi="Times New Roman" w:cs="Times New Roman"/>
          <w:kern w:val="0"/>
          <w14:ligatures w14:val="none"/>
        </w:rPr>
        <w:t>raujo ląstelių kiekio pokyčiai (eozinofilija, leukopenija, agranulocitozė, neutropenija, trombocitopenija), alergija (angioneurozinis patinimas, seruminė liga), kepenų sutrikimai (kepenų nepakankamumas, tulžies sąstovis, padidėjęs kepenų fermentų (transaminazių) aktyvumas), sąnarių skausmas, vaistų sukeltas karščiavimas, inkstų uždegimas.</w:t>
      </w:r>
    </w:p>
    <w:p w14:paraId="7C4C30C0" w14:textId="77777777" w:rsidR="00D05700" w:rsidRPr="00D05700" w:rsidRDefault="00D05700" w:rsidP="00D05700">
      <w:pPr>
        <w:spacing w:after="0" w:line="240" w:lineRule="auto"/>
        <w:rPr>
          <w:rFonts w:ascii="Times New Roman" w:eastAsia="Times New Roman" w:hAnsi="Times New Roman" w:cs="Times New Roman"/>
          <w:kern w:val="0"/>
          <w14:ligatures w14:val="none"/>
        </w:rPr>
      </w:pPr>
    </w:p>
    <w:p w14:paraId="7DDB77EA" w14:textId="77777777" w:rsidR="006B15A5" w:rsidRDefault="00D520D5" w:rsidP="00D05700">
      <w:pPr>
        <w:spacing w:after="0" w:line="240" w:lineRule="auto"/>
        <w:rPr>
          <w:rFonts w:ascii="Times New Roman" w:eastAsia="Times New Roman" w:hAnsi="Times New Roman" w:cs="Times New Roman"/>
          <w:kern w:val="0"/>
          <w14:ligatures w14:val="none"/>
        </w:rPr>
      </w:pPr>
      <w:r w:rsidRPr="00873C37">
        <w:rPr>
          <w:rFonts w:ascii="Times New Roman" w:hAnsi="Times New Roman" w:cs="Times New Roman"/>
          <w:b/>
          <w:bCs/>
          <w:noProof/>
          <w:snapToGrid w:val="0"/>
        </w:rPr>
        <w:t>Labai reti šalutinio poveikio reiškiniai (gali pasireikšti rečiau kaip 1 iš 10 000 asmenų</w:t>
      </w:r>
      <w:r w:rsidR="00D05700" w:rsidRPr="00D05700">
        <w:rPr>
          <w:rFonts w:ascii="Times New Roman" w:eastAsia="Times New Roman" w:hAnsi="Times New Roman" w:cs="Times New Roman"/>
          <w:b/>
          <w:bCs/>
          <w:kern w:val="0"/>
          <w14:ligatures w14:val="none"/>
        </w:rPr>
        <w:t>)</w:t>
      </w:r>
      <w:r w:rsidRPr="00873C37">
        <w:rPr>
          <w:rFonts w:ascii="Times New Roman" w:eastAsia="Times New Roman" w:hAnsi="Times New Roman" w:cs="Times New Roman"/>
          <w:b/>
          <w:bCs/>
          <w:kern w:val="0"/>
          <w14:ligatures w14:val="none"/>
        </w:rPr>
        <w:t>:</w:t>
      </w:r>
      <w:r w:rsidRPr="00873C37">
        <w:rPr>
          <w:rFonts w:ascii="Times New Roman" w:eastAsia="Times New Roman" w:hAnsi="Times New Roman" w:cs="Times New Roman"/>
          <w:kern w:val="0"/>
          <w14:ligatures w14:val="none"/>
        </w:rPr>
        <w:t xml:space="preserve"> </w:t>
      </w:r>
    </w:p>
    <w:p w14:paraId="54BAF95A" w14:textId="60D59C56" w:rsidR="00D05700" w:rsidRPr="00D05700" w:rsidRDefault="00D520D5" w:rsidP="00D05700">
      <w:pPr>
        <w:spacing w:after="0" w:line="240" w:lineRule="auto"/>
        <w:rPr>
          <w:rFonts w:ascii="Times New Roman" w:eastAsia="Times New Roman" w:hAnsi="Times New Roman" w:cs="Times New Roman"/>
          <w:kern w:val="0"/>
          <w14:ligatures w14:val="none"/>
        </w:rPr>
      </w:pPr>
      <w:r w:rsidRPr="00873C37">
        <w:rPr>
          <w:rFonts w:ascii="Times New Roman" w:eastAsia="Times New Roman" w:hAnsi="Times New Roman" w:cs="Times New Roman"/>
          <w:kern w:val="0"/>
          <w14:ligatures w14:val="none"/>
        </w:rPr>
        <w:t>k</w:t>
      </w:r>
      <w:r w:rsidR="00D05700" w:rsidRPr="00D05700">
        <w:rPr>
          <w:rFonts w:ascii="Times New Roman" w:eastAsia="Times New Roman" w:hAnsi="Times New Roman" w:cs="Times New Roman"/>
          <w:kern w:val="0"/>
          <w14:ligatures w14:val="none"/>
        </w:rPr>
        <w:t>raujo sutrikimas (hemolizinė anemija), ūmi alerginė reakcija (anafilaksinis šokas), galvos skausmas, nemiga, svaigulys, nervingumas, tam tikros rūšies viduriavimas (pseudomembraninis kolitas), odos sutrikimai (Stivenso-Džonsono sindromas, daugiaformė eritema), nuovargis, pakitę kai kurių tyrimų duomenys (Kumbso reakcijų tyrimo rodmenys).</w:t>
      </w:r>
    </w:p>
    <w:p w14:paraId="23FCE709" w14:textId="77777777" w:rsidR="00D05700" w:rsidRPr="00D05700" w:rsidRDefault="00D05700" w:rsidP="00D05700">
      <w:pPr>
        <w:spacing w:after="0" w:line="240" w:lineRule="auto"/>
        <w:ind w:left="567" w:hanging="567"/>
        <w:rPr>
          <w:rFonts w:ascii="Times New Roman" w:eastAsia="Times New Roman" w:hAnsi="Times New Roman" w:cs="Times New Roman"/>
          <w:kern w:val="0"/>
          <w14:ligatures w14:val="none"/>
        </w:rPr>
      </w:pPr>
    </w:p>
    <w:p w14:paraId="383808FB" w14:textId="77777777" w:rsidR="00D05700" w:rsidRPr="00D05700" w:rsidRDefault="00D05700" w:rsidP="00D05700">
      <w:pPr>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Pranešimas apie šalutinį poveikį</w:t>
      </w:r>
    </w:p>
    <w:p w14:paraId="58BD4E50" w14:textId="5C41B9D0" w:rsidR="00D05700" w:rsidRPr="00D05700" w:rsidRDefault="00D05700" w:rsidP="00D05700">
      <w:pPr>
        <w:spacing w:after="0" w:line="240" w:lineRule="auto"/>
        <w:ind w:right="-2"/>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Jeigu pasireiškė šalutinis poveikis, įskaitant šiame lapelyje nenurodytą, pasakykite gydytojui arba vaistininkui.</w:t>
      </w:r>
      <w:r w:rsidR="004B367A">
        <w:rPr>
          <w:rFonts w:ascii="Times New Roman" w:hAnsi="Times New Roman" w:cs="Times New Roman"/>
          <w:snapToGrid w:val="0"/>
        </w:rPr>
        <w:t xml:space="preserve"> </w:t>
      </w:r>
      <w:r w:rsidR="004B367A" w:rsidRPr="004B367A">
        <w:rPr>
          <w:rFonts w:ascii="Times New Roman" w:eastAsia="Times New Roman" w:hAnsi="Times New Roman" w:cs="Times New Roman"/>
          <w:kern w:val="0"/>
          <w:szCs w:val="20"/>
          <w14:ligatures w14:val="none"/>
        </w:rPr>
        <w:t xml:space="preserve">Pranešimą apie šalutinį poveikį galite užpildyti ir pateikti Valstybinės vaistų kontrolės tarnybos prie Lietuvos Respublikos sveikatos apsaugos ministerijos tinklalapyje </w:t>
      </w:r>
      <w:hyperlink r:id="rId8" w:history="1">
        <w:r w:rsidR="004B367A" w:rsidRPr="004B367A">
          <w:rPr>
            <w:rStyle w:val="Hyperlink"/>
            <w:rFonts w:ascii="Times New Roman" w:eastAsia="Times New Roman" w:hAnsi="Times New Roman" w:cs="Times New Roman"/>
            <w:kern w:val="0"/>
            <w:szCs w:val="20"/>
            <w14:ligatures w14:val="none"/>
          </w:rPr>
          <w:t>https://vvkt.lrv.lt/lt/</w:t>
        </w:r>
      </w:hyperlink>
      <w:r w:rsidR="004B367A" w:rsidRPr="004B367A">
        <w:rPr>
          <w:rFonts w:ascii="Times New Roman" w:eastAsia="Times New Roman" w:hAnsi="Times New Roman" w:cs="Times New Roman"/>
          <w:kern w:val="0"/>
          <w:szCs w:val="20"/>
          <w14:ligatures w14:val="none"/>
        </w:rPr>
        <w:t xml:space="preserve"> nurodytais būdais arba paskambinti nemokamu telefonu </w:t>
      </w:r>
      <w:r w:rsidR="004B367A">
        <w:rPr>
          <w:rFonts w:ascii="Times New Roman" w:eastAsia="Times New Roman" w:hAnsi="Times New Roman" w:cs="Times New Roman"/>
          <w:kern w:val="0"/>
          <w:szCs w:val="20"/>
          <w14:ligatures w14:val="none"/>
        </w:rPr>
        <w:t>+370</w:t>
      </w:r>
      <w:r w:rsidR="004B367A" w:rsidRPr="004B367A">
        <w:rPr>
          <w:rFonts w:ascii="Times New Roman" w:eastAsia="Times New Roman" w:hAnsi="Times New Roman" w:cs="Times New Roman"/>
          <w:kern w:val="0"/>
          <w:szCs w:val="20"/>
          <w14:ligatures w14:val="none"/>
        </w:rPr>
        <w:t xml:space="preserve"> 800 73 568</w:t>
      </w:r>
      <w:r w:rsidR="00D520D5" w:rsidRPr="00873C37">
        <w:rPr>
          <w:rFonts w:ascii="Times New Roman" w:hAnsi="Times New Roman" w:cs="Times New Roman"/>
          <w:snapToGrid w:val="0"/>
        </w:rPr>
        <w:t>. Pranešdami apie šalutinį poveikį galite mums padėti gauti daugiau informacijos apie šio vaisto saugumą.</w:t>
      </w:r>
    </w:p>
    <w:p w14:paraId="717237B0"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45CF58F8" w14:textId="77777777" w:rsidR="00D05700" w:rsidRPr="00D05700" w:rsidRDefault="00D05700" w:rsidP="00D05700">
      <w:pPr>
        <w:tabs>
          <w:tab w:val="left" w:pos="567"/>
        </w:tabs>
        <w:spacing w:after="0" w:line="240" w:lineRule="auto"/>
        <w:rPr>
          <w:rFonts w:ascii="Times New Roman" w:eastAsia="Times New Roman" w:hAnsi="Times New Roman" w:cs="Times New Roman"/>
          <w:bCs/>
          <w:kern w:val="0"/>
          <w14:ligatures w14:val="none"/>
        </w:rPr>
      </w:pPr>
    </w:p>
    <w:p w14:paraId="3E94E9A7" w14:textId="77777777" w:rsidR="00D05700" w:rsidRPr="00D05700" w:rsidRDefault="00D05700" w:rsidP="00D05700">
      <w:pPr>
        <w:tabs>
          <w:tab w:val="left" w:pos="567"/>
        </w:tabs>
        <w:spacing w:after="0" w:line="240" w:lineRule="auto"/>
        <w:rPr>
          <w:rFonts w:ascii="Times New Roman" w:eastAsia="Times New Roman" w:hAnsi="Times New Roman" w:cs="Times New Roman"/>
          <w:b/>
          <w:bCs/>
          <w:kern w:val="0"/>
          <w14:ligatures w14:val="none"/>
        </w:rPr>
      </w:pPr>
      <w:r w:rsidRPr="00D05700">
        <w:rPr>
          <w:rFonts w:ascii="Times New Roman" w:eastAsia="Times New Roman" w:hAnsi="Times New Roman" w:cs="Times New Roman"/>
          <w:b/>
          <w:bCs/>
          <w:kern w:val="0"/>
          <w14:ligatures w14:val="none"/>
        </w:rPr>
        <w:t>5.</w:t>
      </w:r>
      <w:r w:rsidRPr="00D05700">
        <w:rPr>
          <w:rFonts w:ascii="Times New Roman" w:eastAsia="Times New Roman" w:hAnsi="Times New Roman" w:cs="Times New Roman"/>
          <w:b/>
          <w:bCs/>
          <w:kern w:val="0"/>
          <w14:ligatures w14:val="none"/>
        </w:rPr>
        <w:tab/>
      </w:r>
      <w:r w:rsidRPr="00D05700">
        <w:rPr>
          <w:rFonts w:ascii="Times New Roman" w:eastAsia="Times New Roman" w:hAnsi="Times New Roman" w:cs="Times New Roman"/>
          <w:b/>
          <w:kern w:val="0"/>
          <w14:ligatures w14:val="none"/>
        </w:rPr>
        <w:t>Kaip laikyti Biodroxil</w:t>
      </w:r>
    </w:p>
    <w:p w14:paraId="71D4710D"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7E01E133"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Šį vaistą laikykite vaikams nepastebimoje ir nepasiekiamoje vietoje.</w:t>
      </w:r>
    </w:p>
    <w:p w14:paraId="29296DDF"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3568BFBB" w14:textId="43557AAB" w:rsidR="00D05700" w:rsidRPr="00D05700" w:rsidRDefault="000D031E" w:rsidP="00D05700">
      <w:pPr>
        <w:tabs>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Laikyti gamintojo pakuotėje.</w:t>
      </w:r>
    </w:p>
    <w:p w14:paraId="0E9039D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4E0866FE" w14:textId="6EDDC2F9"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Ant dėžutės po „EXP“ ir lizdinės plokštelės nurodytam tinkamumo laikui pasibaigus, šio vaisto vartoti negalima. Vaistas tinkamas vartoti iki paskutinės nurodyto mėnesio dienos.</w:t>
      </w:r>
    </w:p>
    <w:p w14:paraId="3363EF59"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BE1F157"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45F45F70"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p>
    <w:p w14:paraId="4AFE1471"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10631B34"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bookmarkStart w:id="2" w:name="_Toc129243269"/>
      <w:bookmarkStart w:id="3" w:name="_Toc129243144"/>
      <w:r w:rsidRPr="00D05700">
        <w:rPr>
          <w:rFonts w:ascii="Times New Roman" w:eastAsia="Times New Roman" w:hAnsi="Times New Roman" w:cs="Times New Roman"/>
          <w:b/>
          <w:kern w:val="0"/>
          <w14:ligatures w14:val="none"/>
        </w:rPr>
        <w:t>6.</w:t>
      </w:r>
      <w:r w:rsidRPr="00D05700">
        <w:rPr>
          <w:rFonts w:ascii="Times New Roman" w:eastAsia="Times New Roman" w:hAnsi="Times New Roman" w:cs="Times New Roman"/>
          <w:b/>
          <w:kern w:val="0"/>
          <w14:ligatures w14:val="none"/>
        </w:rPr>
        <w:tab/>
        <w:t>Pakuotės turinys ir kita informacija</w:t>
      </w:r>
      <w:bookmarkEnd w:id="2"/>
      <w:bookmarkEnd w:id="3"/>
    </w:p>
    <w:p w14:paraId="45175FC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2CC30102"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Biodroxil sudėtis</w:t>
      </w:r>
    </w:p>
    <w:p w14:paraId="500A72C8" w14:textId="77777777" w:rsidR="00D05700" w:rsidRPr="00D05700" w:rsidRDefault="00D05700" w:rsidP="00D05700">
      <w:pPr>
        <w:numPr>
          <w:ilvl w:val="0"/>
          <w:numId w:val="5"/>
        </w:numPr>
        <w:tabs>
          <w:tab w:val="left" w:pos="567"/>
        </w:tabs>
        <w:spacing w:after="0" w:line="240" w:lineRule="auto"/>
        <w:ind w:hanging="283"/>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Veiklioji medžiaga yra cefadroksilis. Kiekvienoje kietojoje kapsulėje yra 500 mg cefadroksilio (monohidrato pavidalu).</w:t>
      </w:r>
    </w:p>
    <w:p w14:paraId="3BE24051" w14:textId="77777777" w:rsidR="00D05700" w:rsidRPr="00D05700" w:rsidRDefault="00D05700" w:rsidP="00D05700">
      <w:pPr>
        <w:numPr>
          <w:ilvl w:val="0"/>
          <w:numId w:val="5"/>
        </w:numPr>
        <w:tabs>
          <w:tab w:val="left" w:pos="567"/>
        </w:tabs>
        <w:spacing w:after="0" w:line="240" w:lineRule="auto"/>
        <w:ind w:hanging="283"/>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Pagalbinės medžiagos kapsulės turinyje yra magnio stearatas, natrio laurilsulfatas, mikrokristalinė celiuliozė; kapsulės korpuse - želatina, titano dioksidas (E171).</w:t>
      </w:r>
    </w:p>
    <w:p w14:paraId="71CA3F36"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p>
    <w:p w14:paraId="76E7E802"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Biodroxil išvaizda ir kiekis pakuotėje</w:t>
      </w:r>
    </w:p>
    <w:p w14:paraId="39BC9C6C"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Kapsulės yra baltos, pailgos, užpildytos baltais ar gelsvais milteliais.</w:t>
      </w:r>
    </w:p>
    <w:p w14:paraId="13C9B347" w14:textId="08D87690" w:rsidR="00D05700" w:rsidRPr="00873C37"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 xml:space="preserve">Kartono dėžutėje yra </w:t>
      </w:r>
      <w:r w:rsidR="00D1198A">
        <w:rPr>
          <w:rFonts w:ascii="Times New Roman" w:eastAsia="Times New Roman" w:hAnsi="Times New Roman" w:cs="Times New Roman"/>
          <w:kern w:val="0"/>
          <w14:ligatures w14:val="none"/>
        </w:rPr>
        <w:t xml:space="preserve">8, </w:t>
      </w:r>
      <w:r w:rsidRPr="00873C37">
        <w:rPr>
          <w:rFonts w:ascii="Times New Roman" w:eastAsia="Times New Roman" w:hAnsi="Times New Roman" w:cs="Times New Roman"/>
          <w:kern w:val="0"/>
          <w14:ligatures w14:val="none"/>
        </w:rPr>
        <w:t xml:space="preserve">16, 24 arba 32 </w:t>
      </w:r>
      <w:r w:rsidRPr="00D05700">
        <w:rPr>
          <w:rFonts w:ascii="Times New Roman" w:eastAsia="Times New Roman" w:hAnsi="Times New Roman" w:cs="Times New Roman"/>
          <w:kern w:val="0"/>
          <w14:ligatures w14:val="none"/>
        </w:rPr>
        <w:t>kiet</w:t>
      </w:r>
      <w:r w:rsidRPr="00873C37">
        <w:rPr>
          <w:rFonts w:ascii="Times New Roman" w:eastAsia="Times New Roman" w:hAnsi="Times New Roman" w:cs="Times New Roman"/>
          <w:kern w:val="0"/>
          <w14:ligatures w14:val="none"/>
        </w:rPr>
        <w:t>osios kapsulės</w:t>
      </w:r>
      <w:r w:rsidRPr="00D05700">
        <w:rPr>
          <w:rFonts w:ascii="Times New Roman" w:eastAsia="Times New Roman" w:hAnsi="Times New Roman" w:cs="Times New Roman"/>
          <w:kern w:val="0"/>
          <w14:ligatures w14:val="none"/>
        </w:rPr>
        <w:t>, supakuot</w:t>
      </w:r>
      <w:r w:rsidRPr="00873C37">
        <w:rPr>
          <w:rFonts w:ascii="Times New Roman" w:eastAsia="Times New Roman" w:hAnsi="Times New Roman" w:cs="Times New Roman"/>
          <w:kern w:val="0"/>
          <w14:ligatures w14:val="none"/>
        </w:rPr>
        <w:t>os</w:t>
      </w:r>
      <w:r w:rsidRPr="00D05700">
        <w:rPr>
          <w:rFonts w:ascii="Times New Roman" w:eastAsia="Times New Roman" w:hAnsi="Times New Roman" w:cs="Times New Roman"/>
          <w:kern w:val="0"/>
          <w14:ligatures w14:val="none"/>
        </w:rPr>
        <w:t xml:space="preserve"> į PVC/PVDC/aliuminio lizdin</w:t>
      </w:r>
      <w:r w:rsidRPr="00873C37">
        <w:rPr>
          <w:rFonts w:ascii="Times New Roman" w:eastAsia="Times New Roman" w:hAnsi="Times New Roman" w:cs="Times New Roman"/>
          <w:kern w:val="0"/>
          <w14:ligatures w14:val="none"/>
        </w:rPr>
        <w:t>es</w:t>
      </w:r>
      <w:r w:rsidRPr="00D05700">
        <w:rPr>
          <w:rFonts w:ascii="Times New Roman" w:eastAsia="Times New Roman" w:hAnsi="Times New Roman" w:cs="Times New Roman"/>
          <w:kern w:val="0"/>
          <w14:ligatures w14:val="none"/>
        </w:rPr>
        <w:t xml:space="preserve"> plokštel</w:t>
      </w:r>
      <w:r w:rsidRPr="00873C37">
        <w:rPr>
          <w:rFonts w:ascii="Times New Roman" w:eastAsia="Times New Roman" w:hAnsi="Times New Roman" w:cs="Times New Roman"/>
          <w:kern w:val="0"/>
          <w14:ligatures w14:val="none"/>
        </w:rPr>
        <w:t>es</w:t>
      </w:r>
      <w:r w:rsidRPr="00D05700">
        <w:rPr>
          <w:rFonts w:ascii="Times New Roman" w:eastAsia="Times New Roman" w:hAnsi="Times New Roman" w:cs="Times New Roman"/>
          <w:kern w:val="0"/>
          <w14:ligatures w14:val="none"/>
        </w:rPr>
        <w:t>.</w:t>
      </w:r>
    </w:p>
    <w:p w14:paraId="2B195460" w14:textId="3432C5AC"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873C37">
        <w:rPr>
          <w:rFonts w:ascii="Times New Roman" w:eastAsia="Times New Roman" w:hAnsi="Times New Roman" w:cs="Times New Roman"/>
          <w:kern w:val="0"/>
          <w14:ligatures w14:val="none"/>
        </w:rPr>
        <w:t>Gali būti tiekiamos ne visų dydžių pakuotės.</w:t>
      </w:r>
    </w:p>
    <w:p w14:paraId="3BEF6EAE" w14:textId="77777777" w:rsidR="00D05700" w:rsidRPr="00D05700" w:rsidRDefault="00D05700" w:rsidP="00D05700">
      <w:pPr>
        <w:tabs>
          <w:tab w:val="left" w:pos="567"/>
        </w:tabs>
        <w:spacing w:after="0" w:line="240" w:lineRule="auto"/>
        <w:rPr>
          <w:rFonts w:ascii="Times New Roman" w:eastAsia="Times New Roman" w:hAnsi="Times New Roman" w:cs="Times New Roman"/>
          <w:b/>
          <w:kern w:val="0"/>
          <w14:ligatures w14:val="none"/>
        </w:rPr>
      </w:pPr>
    </w:p>
    <w:p w14:paraId="0154D6E8" w14:textId="66506EF3" w:rsidR="00D520D5" w:rsidRPr="00873C37" w:rsidRDefault="00D05700" w:rsidP="00D05700">
      <w:pPr>
        <w:tabs>
          <w:tab w:val="left" w:pos="567"/>
        </w:tabs>
        <w:spacing w:after="0" w:line="240" w:lineRule="auto"/>
        <w:rPr>
          <w:rFonts w:ascii="Times New Roman" w:eastAsia="Times New Roman" w:hAnsi="Times New Roman" w:cs="Times New Roman"/>
          <w:b/>
          <w:kern w:val="0"/>
          <w14:ligatures w14:val="none"/>
        </w:rPr>
      </w:pPr>
      <w:r w:rsidRPr="00D05700">
        <w:rPr>
          <w:rFonts w:ascii="Times New Roman" w:eastAsia="Times New Roman" w:hAnsi="Times New Roman" w:cs="Times New Roman"/>
          <w:b/>
          <w:kern w:val="0"/>
          <w14:ligatures w14:val="none"/>
        </w:rPr>
        <w:t xml:space="preserve">Registruotojas </w:t>
      </w:r>
      <w:r w:rsidR="00D520D5" w:rsidRPr="00873C37">
        <w:rPr>
          <w:rFonts w:ascii="Times New Roman" w:eastAsia="Times New Roman" w:hAnsi="Times New Roman" w:cs="Times New Roman"/>
          <w:b/>
          <w:kern w:val="0"/>
          <w14:ligatures w14:val="none"/>
        </w:rPr>
        <w:t xml:space="preserve">eksportuojančioje valstybėje </w:t>
      </w:r>
    </w:p>
    <w:p w14:paraId="2161198D" w14:textId="77777777" w:rsidR="00D520D5" w:rsidRPr="00873C37" w:rsidRDefault="00D520D5" w:rsidP="00D520D5">
      <w:pPr>
        <w:autoSpaceDE w:val="0"/>
        <w:autoSpaceDN w:val="0"/>
        <w:adjustRightInd w:val="0"/>
        <w:spacing w:after="0" w:line="240" w:lineRule="auto"/>
        <w:rPr>
          <w:rFonts w:ascii="Times New Roman" w:eastAsia="TimesNewRomanPSMT" w:hAnsi="Times New Roman" w:cs="Times New Roman"/>
          <w:kern w:val="0"/>
        </w:rPr>
      </w:pPr>
      <w:r w:rsidRPr="00873C37">
        <w:rPr>
          <w:rFonts w:ascii="Times New Roman" w:eastAsia="TimesNewRomanPSMT" w:hAnsi="Times New Roman" w:cs="Times New Roman"/>
          <w:kern w:val="0"/>
        </w:rPr>
        <w:t>Sandoz nv/sa</w:t>
      </w:r>
    </w:p>
    <w:p w14:paraId="251DEC79" w14:textId="77777777" w:rsidR="00D520D5" w:rsidRPr="00873C37" w:rsidRDefault="00D520D5" w:rsidP="00D520D5">
      <w:pPr>
        <w:autoSpaceDE w:val="0"/>
        <w:autoSpaceDN w:val="0"/>
        <w:adjustRightInd w:val="0"/>
        <w:spacing w:after="0" w:line="240" w:lineRule="auto"/>
        <w:rPr>
          <w:rFonts w:ascii="Times New Roman" w:eastAsia="TimesNewRomanPSMT" w:hAnsi="Times New Roman" w:cs="Times New Roman"/>
          <w:kern w:val="0"/>
        </w:rPr>
      </w:pPr>
      <w:r w:rsidRPr="00873C37">
        <w:rPr>
          <w:rFonts w:ascii="Times New Roman" w:eastAsia="TimesNewRomanPSMT" w:hAnsi="Times New Roman" w:cs="Times New Roman"/>
          <w:kern w:val="0"/>
        </w:rPr>
        <w:t>Telecom Gardens</w:t>
      </w:r>
    </w:p>
    <w:p w14:paraId="0805A4EB" w14:textId="77777777" w:rsidR="00D520D5" w:rsidRPr="00873C37" w:rsidRDefault="00D520D5" w:rsidP="00D520D5">
      <w:pPr>
        <w:autoSpaceDE w:val="0"/>
        <w:autoSpaceDN w:val="0"/>
        <w:adjustRightInd w:val="0"/>
        <w:spacing w:after="0" w:line="240" w:lineRule="auto"/>
        <w:rPr>
          <w:rFonts w:ascii="Times New Roman" w:eastAsia="TimesNewRomanPSMT" w:hAnsi="Times New Roman" w:cs="Times New Roman"/>
          <w:kern w:val="0"/>
        </w:rPr>
      </w:pPr>
      <w:r w:rsidRPr="00873C37">
        <w:rPr>
          <w:rFonts w:ascii="Times New Roman" w:eastAsia="TimesNewRomanPSMT" w:hAnsi="Times New Roman" w:cs="Times New Roman"/>
          <w:kern w:val="0"/>
        </w:rPr>
        <w:t>Medialaan 40</w:t>
      </w:r>
    </w:p>
    <w:p w14:paraId="6453E781" w14:textId="77777777" w:rsidR="00D520D5" w:rsidRPr="00873C37" w:rsidRDefault="00D520D5" w:rsidP="00D520D5">
      <w:pPr>
        <w:tabs>
          <w:tab w:val="left" w:pos="567"/>
        </w:tabs>
        <w:spacing w:after="0" w:line="240" w:lineRule="auto"/>
        <w:rPr>
          <w:rFonts w:ascii="Times New Roman" w:eastAsia="TimesNewRomanPSMT" w:hAnsi="Times New Roman" w:cs="Times New Roman"/>
          <w:kern w:val="0"/>
        </w:rPr>
      </w:pPr>
      <w:r w:rsidRPr="00873C37">
        <w:rPr>
          <w:rFonts w:ascii="Times New Roman" w:eastAsia="TimesNewRomanPSMT" w:hAnsi="Times New Roman" w:cs="Times New Roman"/>
          <w:kern w:val="0"/>
        </w:rPr>
        <w:t>B-1800 Vilvoorde</w:t>
      </w:r>
    </w:p>
    <w:p w14:paraId="50735965" w14:textId="3FAA0430" w:rsidR="00D520D5" w:rsidRPr="00873C37" w:rsidRDefault="00D520D5" w:rsidP="00D520D5">
      <w:pPr>
        <w:tabs>
          <w:tab w:val="left" w:pos="567"/>
        </w:tabs>
        <w:spacing w:after="0" w:line="240" w:lineRule="auto"/>
        <w:rPr>
          <w:rFonts w:ascii="Times New Roman" w:eastAsia="TimesNewRomanPSMT" w:hAnsi="Times New Roman" w:cs="Times New Roman"/>
          <w:kern w:val="0"/>
        </w:rPr>
      </w:pPr>
      <w:r w:rsidRPr="00873C37">
        <w:rPr>
          <w:rFonts w:ascii="Times New Roman" w:eastAsia="TimesNewRomanPSMT" w:hAnsi="Times New Roman" w:cs="Times New Roman"/>
          <w:kern w:val="0"/>
        </w:rPr>
        <w:t>Belgija</w:t>
      </w:r>
    </w:p>
    <w:p w14:paraId="67AC4163" w14:textId="77777777" w:rsidR="00D520D5" w:rsidRPr="00873C37" w:rsidRDefault="00D520D5" w:rsidP="00D520D5">
      <w:pPr>
        <w:tabs>
          <w:tab w:val="left" w:pos="567"/>
        </w:tabs>
        <w:spacing w:after="0" w:line="240" w:lineRule="auto"/>
        <w:rPr>
          <w:rFonts w:ascii="Times New Roman" w:eastAsia="TimesNewRomanPSMT" w:hAnsi="Times New Roman" w:cs="Times New Roman"/>
          <w:kern w:val="0"/>
        </w:rPr>
      </w:pPr>
    </w:p>
    <w:p w14:paraId="6B75D26A" w14:textId="0B83BA6E" w:rsidR="00D05700" w:rsidRPr="00D05700" w:rsidRDefault="00D520D5" w:rsidP="00D520D5">
      <w:pPr>
        <w:tabs>
          <w:tab w:val="left" w:pos="567"/>
        </w:tabs>
        <w:spacing w:after="0" w:line="240" w:lineRule="auto"/>
        <w:rPr>
          <w:rFonts w:ascii="Times New Roman" w:eastAsia="Times New Roman" w:hAnsi="Times New Roman" w:cs="Times New Roman"/>
          <w:b/>
          <w:kern w:val="0"/>
          <w14:ligatures w14:val="none"/>
        </w:rPr>
      </w:pPr>
      <w:r w:rsidRPr="00873C37">
        <w:rPr>
          <w:rFonts w:ascii="Times New Roman" w:eastAsia="Times New Roman" w:hAnsi="Times New Roman" w:cs="Times New Roman"/>
          <w:b/>
          <w:kern w:val="0"/>
          <w14:ligatures w14:val="none"/>
        </w:rPr>
        <w:t>G</w:t>
      </w:r>
      <w:r w:rsidR="00D05700" w:rsidRPr="00D05700">
        <w:rPr>
          <w:rFonts w:ascii="Times New Roman" w:eastAsia="Times New Roman" w:hAnsi="Times New Roman" w:cs="Times New Roman"/>
          <w:b/>
          <w:kern w:val="0"/>
          <w14:ligatures w14:val="none"/>
        </w:rPr>
        <w:t>amintojas</w:t>
      </w:r>
    </w:p>
    <w:p w14:paraId="2216181B"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Sandoz GmbH</w:t>
      </w:r>
    </w:p>
    <w:p w14:paraId="44A7975B"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Biochemiestrasse 10</w:t>
      </w:r>
    </w:p>
    <w:p w14:paraId="6C6645D6"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A-6250 Kundl</w:t>
      </w:r>
    </w:p>
    <w:p w14:paraId="2A922365" w14:textId="77777777" w:rsidR="00D05700" w:rsidRPr="00D05700" w:rsidRDefault="00D05700" w:rsidP="00D05700">
      <w:pPr>
        <w:tabs>
          <w:tab w:val="left" w:pos="567"/>
        </w:tabs>
        <w:spacing w:after="0" w:line="240" w:lineRule="auto"/>
        <w:rPr>
          <w:rFonts w:ascii="Times New Roman" w:eastAsia="Times New Roman" w:hAnsi="Times New Roman" w:cs="Times New Roman"/>
          <w:kern w:val="0"/>
          <w14:ligatures w14:val="none"/>
        </w:rPr>
      </w:pPr>
      <w:r w:rsidRPr="00D05700">
        <w:rPr>
          <w:rFonts w:ascii="Times New Roman" w:eastAsia="Times New Roman" w:hAnsi="Times New Roman" w:cs="Times New Roman"/>
          <w:kern w:val="0"/>
          <w14:ligatures w14:val="none"/>
        </w:rPr>
        <w:t>Austrija</w:t>
      </w:r>
    </w:p>
    <w:p w14:paraId="4364AEE3" w14:textId="77777777" w:rsidR="00D05700" w:rsidRDefault="00D05700" w:rsidP="00D05700">
      <w:pPr>
        <w:tabs>
          <w:tab w:val="left" w:pos="567"/>
        </w:tabs>
        <w:spacing w:after="0" w:line="240" w:lineRule="auto"/>
        <w:rPr>
          <w:rFonts w:ascii="Times New Roman" w:eastAsia="PMingLiU" w:hAnsi="Times New Roman" w:cs="Times New Roman"/>
          <w:kern w:val="0"/>
          <w:lang w:eastAsia="zh-TW"/>
          <w14:ligatures w14:val="none"/>
        </w:rPr>
      </w:pPr>
    </w:p>
    <w:p w14:paraId="24A76239" w14:textId="77777777" w:rsidR="00873C37" w:rsidRPr="009B15DB" w:rsidRDefault="00873C37" w:rsidP="00873C37">
      <w:pPr>
        <w:tabs>
          <w:tab w:val="left" w:pos="567"/>
        </w:tabs>
        <w:autoSpaceDE w:val="0"/>
        <w:autoSpaceDN w:val="0"/>
        <w:adjustRightInd w:val="0"/>
        <w:spacing w:after="0" w:line="240" w:lineRule="auto"/>
        <w:rPr>
          <w:rFonts w:ascii="Times New Roman" w:eastAsia="Times New Roman" w:hAnsi="Times New Roman" w:cs="Times New Roman"/>
          <w:b/>
          <w:szCs w:val="20"/>
          <w:lang w:eastAsia="fr-FR"/>
        </w:rPr>
      </w:pPr>
      <w:r w:rsidRPr="009B15DB">
        <w:rPr>
          <w:rFonts w:ascii="Times New Roman" w:eastAsia="Times New Roman" w:hAnsi="Times New Roman" w:cs="Times New Roman"/>
          <w:b/>
          <w:szCs w:val="20"/>
          <w:lang w:eastAsia="fr-FR"/>
        </w:rPr>
        <w:t>Lygiagretus importuotojas</w:t>
      </w:r>
    </w:p>
    <w:p w14:paraId="446FF4A8" w14:textId="77777777" w:rsidR="00873C37" w:rsidRPr="009B15DB" w:rsidRDefault="00873C37" w:rsidP="00873C37">
      <w:pPr>
        <w:spacing w:after="0" w:line="240" w:lineRule="auto"/>
        <w:rPr>
          <w:rFonts w:ascii="Times New Roman" w:eastAsia="Times New Roman" w:hAnsi="Times New Roman" w:cs="Times New Roman"/>
          <w:lang w:eastAsia="lt-LT"/>
        </w:rPr>
      </w:pPr>
      <w:r w:rsidRPr="009B15DB">
        <w:rPr>
          <w:rFonts w:ascii="Times New Roman" w:eastAsia="Times New Roman" w:hAnsi="Times New Roman" w:cs="Times New Roman"/>
          <w:lang w:eastAsia="lt-LT"/>
        </w:rPr>
        <w:t xml:space="preserve">UAB </w:t>
      </w:r>
      <w:r w:rsidRPr="009B15DB">
        <w:rPr>
          <w:rFonts w:ascii="Times New Roman" w:eastAsia="Times New Roman" w:hAnsi="Times New Roman" w:cs="Times New Roman"/>
          <w:szCs w:val="20"/>
          <w:lang w:eastAsia="fr-FR"/>
        </w:rPr>
        <w:t>„</w:t>
      </w:r>
      <w:r w:rsidRPr="009B15DB">
        <w:rPr>
          <w:rFonts w:ascii="Times New Roman" w:eastAsia="Times New Roman" w:hAnsi="Times New Roman" w:cs="Times New Roman"/>
          <w:lang w:eastAsia="lt-LT"/>
        </w:rPr>
        <w:t>Ideal Trade Links</w:t>
      </w:r>
      <w:r w:rsidRPr="009B15DB">
        <w:rPr>
          <w:rFonts w:ascii="Times New Roman" w:eastAsia="Times New Roman" w:hAnsi="Times New Roman" w:cs="Times New Roman"/>
          <w:szCs w:val="20"/>
          <w:lang w:eastAsia="fr-FR"/>
        </w:rPr>
        <w:t>“</w:t>
      </w:r>
    </w:p>
    <w:p w14:paraId="1609A39B" w14:textId="77777777" w:rsidR="00873C37" w:rsidRPr="009B15DB" w:rsidRDefault="00873C37" w:rsidP="00873C37">
      <w:pPr>
        <w:spacing w:after="0" w:line="240" w:lineRule="auto"/>
        <w:rPr>
          <w:rFonts w:ascii="Times New Roman" w:eastAsia="Calibri" w:hAnsi="Times New Roman" w:cs="Times New Roman"/>
        </w:rPr>
      </w:pPr>
      <w:r w:rsidRPr="009B15DB">
        <w:rPr>
          <w:rFonts w:ascii="Times New Roman" w:eastAsia="Times New Roman" w:hAnsi="Times New Roman" w:cs="Times New Roman"/>
        </w:rPr>
        <w:t>Kerupės g. 17, Zapyškis</w:t>
      </w:r>
    </w:p>
    <w:p w14:paraId="0AD62B3B" w14:textId="77777777" w:rsidR="00873C37" w:rsidRPr="009B15DB" w:rsidRDefault="00873C37" w:rsidP="00873C37">
      <w:pPr>
        <w:spacing w:after="0" w:line="240" w:lineRule="auto"/>
        <w:rPr>
          <w:rFonts w:ascii="Times New Roman" w:eastAsia="Times New Roman" w:hAnsi="Times New Roman" w:cs="Times New Roman"/>
        </w:rPr>
      </w:pPr>
      <w:r w:rsidRPr="009B15DB">
        <w:rPr>
          <w:rFonts w:ascii="Times New Roman" w:eastAsia="Times New Roman" w:hAnsi="Times New Roman" w:cs="Times New Roman"/>
        </w:rPr>
        <w:t>LT-53431 Kauno r.</w:t>
      </w:r>
    </w:p>
    <w:p w14:paraId="55453992" w14:textId="77777777" w:rsidR="00873C37" w:rsidRPr="009B15DB" w:rsidRDefault="00873C37" w:rsidP="00873C37">
      <w:pPr>
        <w:spacing w:after="0" w:line="240" w:lineRule="auto"/>
        <w:rPr>
          <w:rFonts w:ascii="Times New Roman" w:eastAsia="Times New Roman" w:hAnsi="Times New Roman" w:cs="Times New Roman"/>
        </w:rPr>
      </w:pPr>
      <w:r w:rsidRPr="009B15DB">
        <w:rPr>
          <w:rFonts w:ascii="Times New Roman" w:eastAsia="Times New Roman" w:hAnsi="Times New Roman" w:cs="Times New Roman"/>
        </w:rPr>
        <w:t>Lietuva</w:t>
      </w:r>
    </w:p>
    <w:p w14:paraId="5BBE6649" w14:textId="77777777" w:rsidR="00873C37" w:rsidRPr="009B15DB" w:rsidRDefault="00873C37" w:rsidP="00873C37">
      <w:pPr>
        <w:tabs>
          <w:tab w:val="left" w:pos="567"/>
        </w:tabs>
        <w:autoSpaceDE w:val="0"/>
        <w:autoSpaceDN w:val="0"/>
        <w:adjustRightInd w:val="0"/>
        <w:spacing w:after="0" w:line="240" w:lineRule="auto"/>
        <w:rPr>
          <w:rFonts w:ascii="Times New Roman" w:eastAsia="Times New Roman" w:hAnsi="Times New Roman" w:cs="Times New Roman"/>
          <w:b/>
          <w:szCs w:val="20"/>
          <w:lang w:eastAsia="fr-FR"/>
        </w:rPr>
      </w:pPr>
    </w:p>
    <w:p w14:paraId="3266ECF7" w14:textId="77777777" w:rsidR="00873C37" w:rsidRPr="009B15DB" w:rsidRDefault="00873C37" w:rsidP="00873C37">
      <w:pPr>
        <w:tabs>
          <w:tab w:val="left" w:pos="567"/>
        </w:tabs>
        <w:autoSpaceDE w:val="0"/>
        <w:autoSpaceDN w:val="0"/>
        <w:adjustRightInd w:val="0"/>
        <w:spacing w:after="0" w:line="240" w:lineRule="auto"/>
        <w:rPr>
          <w:rFonts w:ascii="Times New Roman" w:eastAsia="Times New Roman" w:hAnsi="Times New Roman" w:cs="Times New Roman"/>
          <w:b/>
          <w:szCs w:val="20"/>
          <w:lang w:eastAsia="fr-FR"/>
        </w:rPr>
      </w:pPr>
      <w:r w:rsidRPr="009B15DB">
        <w:rPr>
          <w:rFonts w:ascii="Times New Roman" w:eastAsia="Times New Roman" w:hAnsi="Times New Roman" w:cs="Times New Roman"/>
          <w:b/>
          <w:szCs w:val="20"/>
          <w:lang w:eastAsia="fr-FR"/>
        </w:rPr>
        <w:t xml:space="preserve">Perpakavo </w:t>
      </w:r>
    </w:p>
    <w:p w14:paraId="319D8F88" w14:textId="77777777" w:rsidR="00873C37" w:rsidRPr="009B15DB" w:rsidRDefault="00873C37" w:rsidP="00873C37">
      <w:pPr>
        <w:spacing w:after="0" w:line="240" w:lineRule="auto"/>
        <w:rPr>
          <w:rFonts w:ascii="Times New Roman" w:eastAsia="Times New Roman" w:hAnsi="Times New Roman" w:cs="Times New Roman"/>
          <w:bCs/>
          <w:iCs/>
          <w:lang w:eastAsia="lt-LT"/>
        </w:rPr>
      </w:pPr>
      <w:r w:rsidRPr="009B15DB">
        <w:rPr>
          <w:rFonts w:ascii="Times New Roman" w:eastAsia="Times New Roman" w:hAnsi="Times New Roman" w:cs="Times New Roman"/>
          <w:bCs/>
          <w:iCs/>
          <w:lang w:eastAsia="lt-LT"/>
        </w:rPr>
        <w:t>UAB „Entafarma“</w:t>
      </w:r>
    </w:p>
    <w:p w14:paraId="0498190B" w14:textId="77777777" w:rsidR="00873C37" w:rsidRPr="009B15DB" w:rsidRDefault="00873C37" w:rsidP="00873C37">
      <w:pPr>
        <w:spacing w:after="0" w:line="240" w:lineRule="auto"/>
        <w:rPr>
          <w:rFonts w:ascii="Times New Roman" w:eastAsia="Times New Roman" w:hAnsi="Times New Roman" w:cs="Times New Roman"/>
          <w:bCs/>
          <w:iCs/>
          <w:lang w:eastAsia="lt-LT"/>
        </w:rPr>
      </w:pPr>
      <w:r w:rsidRPr="009B15DB">
        <w:rPr>
          <w:rFonts w:ascii="Times New Roman" w:eastAsia="Times New Roman" w:hAnsi="Times New Roman" w:cs="Times New Roman"/>
          <w:bCs/>
          <w:iCs/>
          <w:lang w:eastAsia="lt-LT"/>
        </w:rPr>
        <w:t>Klonėnų vs. 1</w:t>
      </w:r>
    </w:p>
    <w:p w14:paraId="5A057D28" w14:textId="77777777" w:rsidR="00873C37" w:rsidRPr="009B15DB" w:rsidRDefault="00873C37" w:rsidP="00873C37">
      <w:pPr>
        <w:spacing w:after="0" w:line="240" w:lineRule="auto"/>
        <w:rPr>
          <w:rFonts w:ascii="Times New Roman" w:eastAsia="Times New Roman" w:hAnsi="Times New Roman" w:cs="Times New Roman"/>
          <w:bCs/>
          <w:iCs/>
          <w:lang w:eastAsia="lt-LT"/>
        </w:rPr>
      </w:pPr>
      <w:r w:rsidRPr="009B15DB">
        <w:rPr>
          <w:rFonts w:ascii="Times New Roman" w:eastAsia="Times New Roman" w:hAnsi="Times New Roman" w:cs="Times New Roman"/>
          <w:bCs/>
          <w:iCs/>
          <w:lang w:eastAsia="lt-LT"/>
        </w:rPr>
        <w:t>LT-19156 Širvintų r. sav., Jauniūnų sen.</w:t>
      </w:r>
    </w:p>
    <w:p w14:paraId="1F9F5049" w14:textId="77777777" w:rsidR="00873C37" w:rsidRPr="009B15DB" w:rsidRDefault="00873C37" w:rsidP="00873C37">
      <w:pPr>
        <w:spacing w:after="0" w:line="240" w:lineRule="auto"/>
        <w:ind w:left="567" w:hanging="567"/>
        <w:rPr>
          <w:rFonts w:ascii="Times New Roman" w:eastAsia="Calibri" w:hAnsi="Times New Roman" w:cs="Times New Roman"/>
          <w:b/>
        </w:rPr>
      </w:pPr>
      <w:r w:rsidRPr="009B15DB">
        <w:rPr>
          <w:rFonts w:ascii="Times New Roman" w:eastAsia="Times New Roman" w:hAnsi="Times New Roman" w:cs="Times New Roman"/>
          <w:bCs/>
          <w:iCs/>
          <w:lang w:eastAsia="lt-LT"/>
        </w:rPr>
        <w:t>Lietuva</w:t>
      </w:r>
    </w:p>
    <w:p w14:paraId="3DD7B173" w14:textId="77777777" w:rsidR="00873C37" w:rsidRPr="009B15DB" w:rsidRDefault="00873C37" w:rsidP="00873C37">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6BF53B5" w14:textId="77777777" w:rsidR="00873C37" w:rsidRPr="009B15DB" w:rsidRDefault="00873C37" w:rsidP="00873C37">
      <w:pPr>
        <w:spacing w:after="0" w:line="240" w:lineRule="auto"/>
        <w:rPr>
          <w:rFonts w:ascii="Times New Roman" w:eastAsia="Calibri" w:hAnsi="Times New Roman" w:cs="Times New Roman"/>
          <w:bCs/>
          <w:iCs/>
        </w:rPr>
      </w:pPr>
      <w:r w:rsidRPr="009B15DB">
        <w:rPr>
          <w:rFonts w:ascii="Times New Roman" w:eastAsia="Calibri" w:hAnsi="Times New Roman" w:cs="Times New Roman"/>
          <w:bCs/>
          <w:iCs/>
        </w:rPr>
        <w:t xml:space="preserve">arba </w:t>
      </w:r>
    </w:p>
    <w:p w14:paraId="44FB12CE" w14:textId="77777777" w:rsidR="00873C37" w:rsidRPr="009B15DB" w:rsidRDefault="00873C37" w:rsidP="00873C37">
      <w:pPr>
        <w:spacing w:after="0" w:line="240" w:lineRule="auto"/>
        <w:rPr>
          <w:rFonts w:ascii="Times New Roman" w:eastAsia="Calibri" w:hAnsi="Times New Roman" w:cs="Times New Roman"/>
          <w:bCs/>
          <w:iCs/>
        </w:rPr>
      </w:pPr>
    </w:p>
    <w:p w14:paraId="0E0FF1EC" w14:textId="77777777" w:rsidR="00C51465" w:rsidRPr="00C51465" w:rsidRDefault="00C51465" w:rsidP="00C51465">
      <w:pPr>
        <w:numPr>
          <w:ilvl w:val="12"/>
          <w:numId w:val="0"/>
        </w:numPr>
        <w:spacing w:after="0" w:line="240" w:lineRule="auto"/>
        <w:ind w:right="-2"/>
        <w:rPr>
          <w:rFonts w:ascii="Times New Roman" w:eastAsia="Times New Roman" w:hAnsi="Times New Roman" w:cs="Times New Roman"/>
          <w:kern w:val="0"/>
          <w14:ligatures w14:val="none"/>
        </w:rPr>
      </w:pPr>
      <w:r w:rsidRPr="00C51465">
        <w:rPr>
          <w:rFonts w:ascii="Times New Roman" w:eastAsia="Times New Roman" w:hAnsi="Times New Roman" w:cs="Times New Roman"/>
          <w:kern w:val="0"/>
          <w14:ligatures w14:val="none"/>
        </w:rPr>
        <w:t>AB „Santamed LT“</w:t>
      </w:r>
    </w:p>
    <w:p w14:paraId="14C09825" w14:textId="77777777" w:rsidR="00C51465" w:rsidRPr="00C51465" w:rsidRDefault="00C51465" w:rsidP="00C51465">
      <w:pPr>
        <w:numPr>
          <w:ilvl w:val="12"/>
          <w:numId w:val="0"/>
        </w:numPr>
        <w:spacing w:after="0" w:line="240" w:lineRule="auto"/>
        <w:ind w:right="-2"/>
        <w:rPr>
          <w:rFonts w:ascii="Times New Roman" w:eastAsia="Times New Roman" w:hAnsi="Times New Roman" w:cs="Times New Roman"/>
          <w:kern w:val="0"/>
          <w14:ligatures w14:val="none"/>
        </w:rPr>
      </w:pPr>
      <w:r w:rsidRPr="00C51465">
        <w:rPr>
          <w:rFonts w:ascii="Times New Roman" w:eastAsia="Times New Roman" w:hAnsi="Times New Roman" w:cs="Times New Roman"/>
          <w:kern w:val="0"/>
          <w14:ligatures w14:val="none"/>
        </w:rPr>
        <w:t>Kauno r. sav.</w:t>
      </w:r>
    </w:p>
    <w:p w14:paraId="3B9979C4" w14:textId="77777777" w:rsidR="00C51465" w:rsidRPr="00C51465" w:rsidRDefault="00C51465" w:rsidP="00C51465">
      <w:pPr>
        <w:numPr>
          <w:ilvl w:val="12"/>
          <w:numId w:val="0"/>
        </w:numPr>
        <w:spacing w:after="0" w:line="240" w:lineRule="auto"/>
        <w:ind w:right="-2"/>
        <w:rPr>
          <w:rFonts w:ascii="Times New Roman" w:eastAsia="Times New Roman" w:hAnsi="Times New Roman" w:cs="Times New Roman"/>
          <w:kern w:val="0"/>
          <w14:ligatures w14:val="none"/>
        </w:rPr>
      </w:pPr>
      <w:r w:rsidRPr="00C51465">
        <w:rPr>
          <w:rFonts w:ascii="Times New Roman" w:eastAsia="Times New Roman" w:hAnsi="Times New Roman" w:cs="Times New Roman"/>
          <w:kern w:val="0"/>
          <w14:ligatures w14:val="none"/>
        </w:rPr>
        <w:t>Linksmakalnio sen., Linksmakalnio km.</w:t>
      </w:r>
    </w:p>
    <w:p w14:paraId="09E12222" w14:textId="77777777" w:rsidR="00C51465" w:rsidRPr="00C51465" w:rsidRDefault="00C51465" w:rsidP="00C51465">
      <w:pPr>
        <w:numPr>
          <w:ilvl w:val="12"/>
          <w:numId w:val="0"/>
        </w:numPr>
        <w:spacing w:after="0" w:line="240" w:lineRule="auto"/>
        <w:ind w:right="-2"/>
        <w:rPr>
          <w:rFonts w:ascii="Times New Roman" w:eastAsia="Times New Roman" w:hAnsi="Times New Roman" w:cs="Times New Roman"/>
          <w:kern w:val="0"/>
          <w14:ligatures w14:val="none"/>
        </w:rPr>
      </w:pPr>
      <w:r w:rsidRPr="00C51465">
        <w:rPr>
          <w:rFonts w:ascii="Times New Roman" w:eastAsia="Times New Roman" w:hAnsi="Times New Roman" w:cs="Times New Roman"/>
          <w:kern w:val="0"/>
          <w14:ligatures w14:val="none"/>
        </w:rPr>
        <w:t>LT-53290, Liepų g. 9</w:t>
      </w:r>
    </w:p>
    <w:p w14:paraId="1CE7223C" w14:textId="77777777" w:rsidR="00C51465" w:rsidRPr="00C51465" w:rsidRDefault="00C51465" w:rsidP="00C51465">
      <w:pPr>
        <w:numPr>
          <w:ilvl w:val="12"/>
          <w:numId w:val="0"/>
        </w:numPr>
        <w:spacing w:after="0" w:line="240" w:lineRule="auto"/>
        <w:ind w:right="-2"/>
        <w:rPr>
          <w:rFonts w:ascii="Times New Roman" w:eastAsia="Times New Roman" w:hAnsi="Times New Roman" w:cs="Times New Roman"/>
          <w:kern w:val="0"/>
          <w14:ligatures w14:val="none"/>
        </w:rPr>
      </w:pPr>
      <w:r w:rsidRPr="00C51465">
        <w:rPr>
          <w:rFonts w:ascii="Times New Roman" w:eastAsia="Times New Roman" w:hAnsi="Times New Roman" w:cs="Times New Roman"/>
          <w:kern w:val="0"/>
          <w14:ligatures w14:val="none"/>
        </w:rPr>
        <w:t>Lietuva</w:t>
      </w:r>
    </w:p>
    <w:p w14:paraId="6A190DE5" w14:textId="77777777" w:rsidR="00C51465" w:rsidRPr="00C51465" w:rsidRDefault="00C51465" w:rsidP="00C51465">
      <w:pPr>
        <w:numPr>
          <w:ilvl w:val="12"/>
          <w:numId w:val="0"/>
        </w:numPr>
        <w:spacing w:after="0" w:line="240" w:lineRule="auto"/>
        <w:ind w:right="-2"/>
        <w:rPr>
          <w:rFonts w:ascii="Times New Roman" w:eastAsia="Times New Roman" w:hAnsi="Times New Roman" w:cs="Times New Roman"/>
          <w:kern w:val="0"/>
          <w14:ligatures w14:val="none"/>
        </w:rPr>
      </w:pPr>
    </w:p>
    <w:p w14:paraId="5E36E993" w14:textId="77777777" w:rsidR="00C51465" w:rsidRPr="00C51465" w:rsidRDefault="00C51465" w:rsidP="00C51465">
      <w:pPr>
        <w:numPr>
          <w:ilvl w:val="12"/>
          <w:numId w:val="0"/>
        </w:numPr>
        <w:spacing w:after="0" w:line="240" w:lineRule="auto"/>
        <w:ind w:right="-2"/>
        <w:rPr>
          <w:rFonts w:ascii="Times New Roman" w:eastAsia="Times New Roman" w:hAnsi="Times New Roman" w:cs="Times New Roman"/>
          <w:kern w:val="0"/>
          <w14:ligatures w14:val="none"/>
        </w:rPr>
      </w:pPr>
      <w:r w:rsidRPr="00C51465">
        <w:rPr>
          <w:rFonts w:ascii="Times New Roman" w:eastAsia="Times New Roman" w:hAnsi="Times New Roman" w:cs="Times New Roman"/>
          <w:kern w:val="0"/>
          <w14:ligatures w14:val="none"/>
        </w:rPr>
        <w:t xml:space="preserve">arba </w:t>
      </w:r>
    </w:p>
    <w:p w14:paraId="7BAB8F01" w14:textId="77777777" w:rsidR="00C51465" w:rsidRPr="00C51465" w:rsidRDefault="00C51465" w:rsidP="00C51465">
      <w:pPr>
        <w:numPr>
          <w:ilvl w:val="12"/>
          <w:numId w:val="0"/>
        </w:numPr>
        <w:spacing w:after="0" w:line="240" w:lineRule="auto"/>
        <w:ind w:right="-2"/>
        <w:rPr>
          <w:rFonts w:ascii="Times New Roman" w:eastAsia="Times New Roman" w:hAnsi="Times New Roman" w:cs="Times New Roman"/>
          <w:kern w:val="0"/>
          <w14:ligatures w14:val="none"/>
        </w:rPr>
      </w:pPr>
    </w:p>
    <w:p w14:paraId="7F9A1B10" w14:textId="77777777" w:rsidR="00C51465" w:rsidRPr="00C51465" w:rsidRDefault="00C51465" w:rsidP="00C51465">
      <w:pPr>
        <w:numPr>
          <w:ilvl w:val="12"/>
          <w:numId w:val="0"/>
        </w:numPr>
        <w:spacing w:after="0" w:line="240" w:lineRule="auto"/>
        <w:ind w:right="-2"/>
        <w:rPr>
          <w:rFonts w:ascii="Times New Roman" w:eastAsia="Times New Roman" w:hAnsi="Times New Roman" w:cs="Times New Roman"/>
          <w:kern w:val="0"/>
          <w14:ligatures w14:val="none"/>
        </w:rPr>
      </w:pPr>
      <w:r w:rsidRPr="00C51465">
        <w:rPr>
          <w:rFonts w:ascii="Times New Roman" w:eastAsia="Times New Roman" w:hAnsi="Times New Roman" w:cs="Times New Roman"/>
          <w:kern w:val="0"/>
          <w14:ligatures w14:val="none"/>
        </w:rPr>
        <w:t>UAB „Armila“</w:t>
      </w:r>
    </w:p>
    <w:p w14:paraId="560D1ED6" w14:textId="77777777" w:rsidR="00C51465" w:rsidRPr="00C51465" w:rsidRDefault="00C51465" w:rsidP="00C51465">
      <w:pPr>
        <w:numPr>
          <w:ilvl w:val="12"/>
          <w:numId w:val="0"/>
        </w:numPr>
        <w:spacing w:after="0" w:line="240" w:lineRule="auto"/>
        <w:ind w:right="-2"/>
        <w:rPr>
          <w:rFonts w:ascii="Times New Roman" w:eastAsia="Times New Roman" w:hAnsi="Times New Roman" w:cs="Times New Roman"/>
          <w:kern w:val="0"/>
          <w14:ligatures w14:val="none"/>
        </w:rPr>
      </w:pPr>
      <w:r w:rsidRPr="00C51465">
        <w:rPr>
          <w:rFonts w:ascii="Times New Roman" w:eastAsia="Times New Roman" w:hAnsi="Times New Roman" w:cs="Times New Roman"/>
          <w:kern w:val="0"/>
          <w14:ligatures w14:val="none"/>
        </w:rPr>
        <w:t>Molėtų pl. 75</w:t>
      </w:r>
    </w:p>
    <w:p w14:paraId="5064D27B" w14:textId="77777777" w:rsidR="00C51465" w:rsidRPr="00C51465" w:rsidRDefault="00C51465" w:rsidP="00C51465">
      <w:pPr>
        <w:numPr>
          <w:ilvl w:val="12"/>
          <w:numId w:val="0"/>
        </w:numPr>
        <w:spacing w:after="0" w:line="240" w:lineRule="auto"/>
        <w:ind w:right="-2"/>
        <w:rPr>
          <w:rFonts w:ascii="Times New Roman" w:eastAsia="Times New Roman" w:hAnsi="Times New Roman" w:cs="Times New Roman"/>
          <w:kern w:val="0"/>
          <w14:ligatures w14:val="none"/>
        </w:rPr>
      </w:pPr>
      <w:r w:rsidRPr="00C51465">
        <w:rPr>
          <w:rFonts w:ascii="Times New Roman" w:eastAsia="Times New Roman" w:hAnsi="Times New Roman" w:cs="Times New Roman"/>
          <w:kern w:val="0"/>
          <w14:ligatures w14:val="none"/>
        </w:rPr>
        <w:t>LT-14259 Vilnius</w:t>
      </w:r>
    </w:p>
    <w:p w14:paraId="46EB9140" w14:textId="77777777" w:rsidR="00C51465" w:rsidRPr="00C51465" w:rsidRDefault="00C51465" w:rsidP="00C51465">
      <w:pPr>
        <w:numPr>
          <w:ilvl w:val="12"/>
          <w:numId w:val="0"/>
        </w:numPr>
        <w:spacing w:after="0" w:line="240" w:lineRule="auto"/>
        <w:ind w:right="-2"/>
        <w:rPr>
          <w:rFonts w:ascii="Times New Roman" w:eastAsia="Times New Roman" w:hAnsi="Times New Roman" w:cs="Times New Roman"/>
          <w:kern w:val="0"/>
          <w14:ligatures w14:val="none"/>
        </w:rPr>
      </w:pPr>
      <w:r w:rsidRPr="00C51465">
        <w:rPr>
          <w:rFonts w:ascii="Times New Roman" w:eastAsia="Times New Roman" w:hAnsi="Times New Roman" w:cs="Times New Roman"/>
          <w:kern w:val="0"/>
          <w14:ligatures w14:val="none"/>
        </w:rPr>
        <w:t>Lietuva</w:t>
      </w:r>
    </w:p>
    <w:p w14:paraId="49E1F4C6" w14:textId="77777777" w:rsidR="00873C37" w:rsidRPr="009B15DB" w:rsidRDefault="00873C37" w:rsidP="00126E5B">
      <w:pPr>
        <w:numPr>
          <w:ilvl w:val="12"/>
          <w:numId w:val="0"/>
        </w:numPr>
        <w:overflowPunct w:val="0"/>
        <w:autoSpaceDE w:val="0"/>
        <w:autoSpaceDN w:val="0"/>
        <w:adjustRightInd w:val="0"/>
        <w:spacing w:after="0" w:line="240" w:lineRule="auto"/>
        <w:ind w:right="-2"/>
        <w:textAlignment w:val="baseline"/>
        <w:rPr>
          <w:rFonts w:ascii="Times New Roman" w:eastAsia="Calibri" w:hAnsi="Times New Roman" w:cs="Times New Roman"/>
          <w:iCs/>
        </w:rPr>
      </w:pPr>
    </w:p>
    <w:p w14:paraId="7C7834A1" w14:textId="77777777" w:rsidR="00873C37" w:rsidRPr="009B15DB" w:rsidRDefault="00873C37" w:rsidP="00873C37">
      <w:pPr>
        <w:spacing w:after="0" w:line="240" w:lineRule="auto"/>
        <w:rPr>
          <w:rFonts w:ascii="Times New Roman" w:eastAsia="Calibri" w:hAnsi="Times New Roman" w:cs="Times New Roman"/>
          <w:bCs/>
          <w:iCs/>
        </w:rPr>
      </w:pPr>
      <w:r w:rsidRPr="009B15DB">
        <w:rPr>
          <w:rFonts w:ascii="Times New Roman" w:eastAsia="Calibri" w:hAnsi="Times New Roman" w:cs="Times New Roman"/>
          <w:bCs/>
          <w:iCs/>
        </w:rPr>
        <w:t>arba</w:t>
      </w:r>
    </w:p>
    <w:p w14:paraId="2A88097D" w14:textId="77777777" w:rsidR="00873C37" w:rsidRPr="009B15DB" w:rsidRDefault="00873C37" w:rsidP="00873C37">
      <w:pPr>
        <w:spacing w:after="0" w:line="240" w:lineRule="auto"/>
        <w:rPr>
          <w:rFonts w:ascii="Times New Roman" w:eastAsia="Calibri" w:hAnsi="Times New Roman" w:cs="Times New Roman"/>
          <w:iCs/>
        </w:rPr>
      </w:pPr>
    </w:p>
    <w:p w14:paraId="3FE0C3C5" w14:textId="69CEB566" w:rsidR="00873C37" w:rsidRPr="009B15DB" w:rsidRDefault="00873C37" w:rsidP="00873C37">
      <w:pPr>
        <w:spacing w:after="0" w:line="240" w:lineRule="auto"/>
        <w:rPr>
          <w:rFonts w:ascii="Times New Roman" w:eastAsia="Calibri" w:hAnsi="Times New Roman" w:cs="Times New Roman"/>
        </w:rPr>
      </w:pPr>
      <w:r w:rsidRPr="009B15DB">
        <w:rPr>
          <w:rFonts w:ascii="Times New Roman" w:eastAsia="Calibri" w:hAnsi="Times New Roman" w:cs="Times New Roman"/>
        </w:rPr>
        <w:t>M</w:t>
      </w:r>
      <w:r>
        <w:rPr>
          <w:rFonts w:ascii="Times New Roman" w:eastAsia="Calibri" w:hAnsi="Times New Roman" w:cs="Times New Roman"/>
        </w:rPr>
        <w:t>edezin</w:t>
      </w:r>
      <w:r w:rsidRPr="009B15DB">
        <w:rPr>
          <w:rFonts w:ascii="Times New Roman" w:eastAsia="Calibri" w:hAnsi="Times New Roman" w:cs="Times New Roman"/>
        </w:rPr>
        <w:t xml:space="preserve"> </w:t>
      </w:r>
      <w:r w:rsidR="006A4767">
        <w:rPr>
          <w:rFonts w:ascii="Times New Roman" w:eastAsia="Calibri" w:hAnsi="Times New Roman" w:cs="Times New Roman"/>
        </w:rPr>
        <w:t>S</w:t>
      </w:r>
      <w:r w:rsidRPr="009B15DB">
        <w:rPr>
          <w:rFonts w:ascii="Times New Roman" w:eastAsia="Calibri" w:hAnsi="Times New Roman" w:cs="Times New Roman"/>
        </w:rPr>
        <w:t>p. z o.o.</w:t>
      </w:r>
    </w:p>
    <w:p w14:paraId="2CC341B9" w14:textId="6FFB02C3" w:rsidR="00873C37" w:rsidRPr="009B15DB" w:rsidRDefault="00471610" w:rsidP="00873C37">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Ul. </w:t>
      </w:r>
      <w:r w:rsidR="00873C37" w:rsidRPr="009B15DB">
        <w:rPr>
          <w:rFonts w:ascii="Times New Roman" w:eastAsia="Calibri" w:hAnsi="Times New Roman" w:cs="Times New Roman"/>
        </w:rPr>
        <w:t>Księdza Kazimierza Janika 14</w:t>
      </w:r>
    </w:p>
    <w:p w14:paraId="59BD11EC" w14:textId="77777777" w:rsidR="00873C37" w:rsidRPr="009B15DB" w:rsidRDefault="00873C37" w:rsidP="00873C37">
      <w:pPr>
        <w:autoSpaceDE w:val="0"/>
        <w:autoSpaceDN w:val="0"/>
        <w:adjustRightInd w:val="0"/>
        <w:spacing w:after="0" w:line="240" w:lineRule="auto"/>
        <w:rPr>
          <w:rFonts w:ascii="Times New Roman" w:eastAsia="Calibri" w:hAnsi="Times New Roman" w:cs="Times New Roman"/>
        </w:rPr>
      </w:pPr>
      <w:r w:rsidRPr="009B15DB">
        <w:rPr>
          <w:rFonts w:ascii="Times New Roman" w:eastAsia="Calibri" w:hAnsi="Times New Roman" w:cs="Times New Roman"/>
        </w:rPr>
        <w:t xml:space="preserve">Konstantynów </w:t>
      </w:r>
      <w:bookmarkStart w:id="4" w:name="_Hlk123635316"/>
      <w:r w:rsidRPr="009B15DB">
        <w:rPr>
          <w:rFonts w:ascii="Times New Roman" w:eastAsia="Calibri" w:hAnsi="Times New Roman" w:cs="Times New Roman"/>
        </w:rPr>
        <w:t>Ł</w:t>
      </w:r>
      <w:bookmarkEnd w:id="4"/>
      <w:r w:rsidRPr="009B15DB">
        <w:rPr>
          <w:rFonts w:ascii="Times New Roman" w:eastAsia="Calibri" w:hAnsi="Times New Roman" w:cs="Times New Roman"/>
        </w:rPr>
        <w:t>ódzki, Łódzkie, 95-050</w:t>
      </w:r>
    </w:p>
    <w:p w14:paraId="45658205" w14:textId="77777777" w:rsidR="00873C37" w:rsidRPr="009B15DB" w:rsidRDefault="00873C37" w:rsidP="00873C37">
      <w:pPr>
        <w:autoSpaceDE w:val="0"/>
        <w:autoSpaceDN w:val="0"/>
        <w:adjustRightInd w:val="0"/>
        <w:spacing w:after="0" w:line="240" w:lineRule="auto"/>
        <w:rPr>
          <w:rFonts w:ascii="Verdana" w:eastAsia="Calibri" w:hAnsi="Verdana" w:cs="Verdana"/>
          <w:sz w:val="18"/>
          <w:szCs w:val="18"/>
        </w:rPr>
      </w:pPr>
      <w:r w:rsidRPr="009B15DB">
        <w:rPr>
          <w:rFonts w:ascii="Times New Roman" w:eastAsia="Calibri" w:hAnsi="Times New Roman" w:cs="Times New Roman"/>
        </w:rPr>
        <w:t>Lenkija</w:t>
      </w:r>
    </w:p>
    <w:p w14:paraId="6239DA3F" w14:textId="77777777" w:rsidR="00873C37" w:rsidRPr="00CD489F" w:rsidRDefault="00873C37" w:rsidP="00873C37">
      <w:pPr>
        <w:pStyle w:val="BodyText"/>
        <w:spacing w:after="0"/>
        <w:rPr>
          <w:szCs w:val="22"/>
        </w:rPr>
      </w:pPr>
    </w:p>
    <w:p w14:paraId="60769A52" w14:textId="5E93D501" w:rsidR="00873C37" w:rsidRPr="009B15DB" w:rsidRDefault="00873C37" w:rsidP="00873C37">
      <w:pPr>
        <w:spacing w:after="0" w:line="240" w:lineRule="auto"/>
        <w:rPr>
          <w:rFonts w:ascii="Times New Roman" w:eastAsia="Calibri" w:hAnsi="Times New Roman" w:cs="Times New Roman"/>
          <w:lang w:eastAsia="lt-LT"/>
        </w:rPr>
      </w:pPr>
      <w:r w:rsidRPr="00AD29D6">
        <w:rPr>
          <w:rFonts w:ascii="Times New Roman" w:eastAsia="Times New Roman" w:hAnsi="Times New Roman" w:cs="Times New Roman"/>
          <w:i/>
        </w:rPr>
        <w:t>Lygiagrečiai importuojamas vaistas nuo referencinio skiriasi p</w:t>
      </w:r>
      <w:r w:rsidRPr="00AD29D6">
        <w:rPr>
          <w:rFonts w:ascii="Times New Roman" w:hAnsi="Times New Roman"/>
          <w:i/>
          <w:iCs/>
        </w:rPr>
        <w:t>akuotės dydžiu: referencinio – N</w:t>
      </w:r>
      <w:r>
        <w:rPr>
          <w:rFonts w:ascii="Times New Roman" w:hAnsi="Times New Roman"/>
          <w:i/>
          <w:iCs/>
        </w:rPr>
        <w:t>12</w:t>
      </w:r>
      <w:r w:rsidRPr="00AD29D6">
        <w:rPr>
          <w:rFonts w:ascii="Times New Roman" w:hAnsi="Times New Roman"/>
          <w:i/>
          <w:iCs/>
        </w:rPr>
        <w:t>, lygiagrečiai importuojamo vaisto – N</w:t>
      </w:r>
      <w:r>
        <w:rPr>
          <w:rFonts w:ascii="Times New Roman" w:hAnsi="Times New Roman"/>
          <w:i/>
          <w:iCs/>
        </w:rPr>
        <w:t>8, N16, N24 arba N32</w:t>
      </w:r>
      <w:r w:rsidR="001C4B12">
        <w:rPr>
          <w:rFonts w:ascii="Times New Roman" w:hAnsi="Times New Roman"/>
          <w:i/>
          <w:iCs/>
        </w:rPr>
        <w:t xml:space="preserve">; </w:t>
      </w:r>
      <w:r w:rsidR="00471610">
        <w:rPr>
          <w:rFonts w:ascii="Times New Roman" w:hAnsi="Times New Roman"/>
          <w:i/>
          <w:iCs/>
        </w:rPr>
        <w:t>laikymo sąlygomis: lygiagrečiai importuojamo – laikyti gamintojo pakuotėje, o referencinio – šiam vaistui</w:t>
      </w:r>
      <w:r w:rsidRPr="009B15DB">
        <w:rPr>
          <w:rFonts w:ascii="Times New Roman" w:hAnsi="Times New Roman"/>
          <w:i/>
          <w:iCs/>
        </w:rPr>
        <w:t xml:space="preserve"> </w:t>
      </w:r>
      <w:r w:rsidR="00471610">
        <w:rPr>
          <w:rFonts w:ascii="Times New Roman" w:hAnsi="Times New Roman"/>
          <w:i/>
          <w:iCs/>
        </w:rPr>
        <w:t>specialių laikymo sąlygų nereikia.</w:t>
      </w:r>
    </w:p>
    <w:p w14:paraId="410B2A29" w14:textId="77777777" w:rsidR="00873C37" w:rsidRPr="00CD489F" w:rsidRDefault="00873C37" w:rsidP="00873C37">
      <w:pPr>
        <w:spacing w:after="0" w:line="240" w:lineRule="auto"/>
        <w:rPr>
          <w:rFonts w:ascii="Times New Roman" w:eastAsia="Times New Roman" w:hAnsi="Times New Roman" w:cs="Times New Roman"/>
          <w:bCs/>
          <w:iCs/>
          <w:lang w:eastAsia="lt-LT"/>
        </w:rPr>
      </w:pPr>
    </w:p>
    <w:p w14:paraId="13FE7A52" w14:textId="77777777" w:rsidR="00873C37" w:rsidRPr="00D05700" w:rsidRDefault="00873C37" w:rsidP="00D05700">
      <w:pPr>
        <w:tabs>
          <w:tab w:val="left" w:pos="567"/>
        </w:tabs>
        <w:spacing w:after="0" w:line="240" w:lineRule="auto"/>
        <w:rPr>
          <w:rFonts w:ascii="Times New Roman" w:eastAsia="PMingLiU" w:hAnsi="Times New Roman" w:cs="Times New Roman"/>
          <w:kern w:val="0"/>
          <w:lang w:eastAsia="zh-TW"/>
          <w14:ligatures w14:val="none"/>
        </w:rPr>
      </w:pPr>
    </w:p>
    <w:p w14:paraId="08298630" w14:textId="3E2D4AF7" w:rsidR="00D05700" w:rsidRPr="00D05700" w:rsidRDefault="00D05700" w:rsidP="00D05700">
      <w:pPr>
        <w:tabs>
          <w:tab w:val="left" w:pos="567"/>
        </w:tabs>
        <w:spacing w:after="0" w:line="240" w:lineRule="auto"/>
        <w:rPr>
          <w:rFonts w:ascii="Times New Roman" w:eastAsia="PMingLiU" w:hAnsi="Times New Roman" w:cs="Times New Roman"/>
          <w:b/>
          <w:kern w:val="0"/>
          <w:lang w:eastAsia="zh-TW"/>
          <w14:ligatures w14:val="none"/>
        </w:rPr>
      </w:pPr>
      <w:r w:rsidRPr="00D05700">
        <w:rPr>
          <w:rFonts w:ascii="Times New Roman" w:eastAsia="PMingLiU" w:hAnsi="Times New Roman" w:cs="Times New Roman"/>
          <w:b/>
          <w:bCs/>
          <w:kern w:val="0"/>
          <w:lang w:eastAsia="zh-TW"/>
          <w14:ligatures w14:val="none"/>
        </w:rPr>
        <w:t>Šis pakuotės lapelis</w:t>
      </w:r>
      <w:r w:rsidRPr="00D05700">
        <w:rPr>
          <w:rFonts w:ascii="Times New Roman" w:eastAsia="PMingLiU" w:hAnsi="Times New Roman" w:cs="Times New Roman"/>
          <w:b/>
          <w:kern w:val="0"/>
          <w:lang w:eastAsia="zh-TW"/>
          <w14:ligatures w14:val="none"/>
        </w:rPr>
        <w:t xml:space="preserve"> paskutinį kartą peržiūrėtas </w:t>
      </w:r>
      <w:r w:rsidR="00126E5B">
        <w:rPr>
          <w:rFonts w:ascii="Times New Roman" w:eastAsia="PMingLiU" w:hAnsi="Times New Roman" w:cs="Times New Roman"/>
          <w:b/>
          <w:kern w:val="0"/>
          <w:lang w:eastAsia="zh-TW"/>
          <w14:ligatures w14:val="none"/>
        </w:rPr>
        <w:t>2025-08-21.</w:t>
      </w:r>
      <w:bookmarkStart w:id="5" w:name="_GoBack"/>
      <w:bookmarkEnd w:id="5"/>
    </w:p>
    <w:p w14:paraId="3C0D8820" w14:textId="77777777" w:rsidR="00D05700" w:rsidRPr="00D05700" w:rsidRDefault="00D05700" w:rsidP="00D05700">
      <w:pPr>
        <w:tabs>
          <w:tab w:val="left" w:pos="567"/>
        </w:tabs>
        <w:spacing w:after="0" w:line="240" w:lineRule="auto"/>
        <w:jc w:val="both"/>
        <w:rPr>
          <w:rFonts w:ascii="Times New Roman" w:eastAsia="Times New Roman" w:hAnsi="Times New Roman" w:cs="Times New Roman"/>
          <w:kern w:val="0"/>
          <w14:ligatures w14:val="none"/>
        </w:rPr>
      </w:pPr>
    </w:p>
    <w:p w14:paraId="6E2BFF4D" w14:textId="77777777" w:rsidR="00D05700" w:rsidRPr="00D05700" w:rsidRDefault="00D05700" w:rsidP="00D05700">
      <w:pPr>
        <w:tabs>
          <w:tab w:val="left" w:pos="567"/>
        </w:tabs>
        <w:spacing w:after="0" w:line="240" w:lineRule="auto"/>
        <w:rPr>
          <w:rFonts w:ascii="Times New Roman" w:eastAsia="PMingLiU" w:hAnsi="Times New Roman" w:cs="Times New Roman"/>
          <w:color w:val="0000FF"/>
          <w:kern w:val="0"/>
          <w:u w:val="single"/>
          <w:lang w:eastAsia="zh-TW"/>
          <w14:ligatures w14:val="none"/>
        </w:rPr>
      </w:pPr>
      <w:r w:rsidRPr="00D05700">
        <w:rPr>
          <w:rFonts w:ascii="Times New Roman" w:eastAsia="PMingLiU" w:hAnsi="Times New Roman" w:cs="Times New Roman"/>
          <w:kern w:val="0"/>
          <w:lang w:eastAsia="zh-TW"/>
          <w14:ligatures w14:val="none"/>
        </w:rPr>
        <w:t xml:space="preserve">Išsami informacija apie šį vaistą pateikiama Valstybinės vaistų kontrolės tarnybos prie Lietuvos Respublikos sveikatos apsaugos ministerijos tinklalapyje </w:t>
      </w:r>
      <w:hyperlink r:id="rId9" w:history="1">
        <w:r w:rsidRPr="00D05700">
          <w:rPr>
            <w:rFonts w:ascii="Times New Roman" w:eastAsia="PMingLiU" w:hAnsi="Times New Roman" w:cs="Times New Roman"/>
            <w:color w:val="0000FF"/>
            <w:kern w:val="0"/>
            <w:u w:val="single"/>
            <w:lang w:eastAsia="zh-TW"/>
            <w14:ligatures w14:val="none"/>
          </w:rPr>
          <w:t>http://www.vvkt.lt/</w:t>
        </w:r>
      </w:hyperlink>
      <w:r w:rsidRPr="00D05700">
        <w:rPr>
          <w:rFonts w:ascii="Times New Roman" w:eastAsia="PMingLiU" w:hAnsi="Times New Roman" w:cs="Times New Roman"/>
          <w:color w:val="0000FF"/>
          <w:kern w:val="0"/>
          <w:u w:val="single"/>
          <w:lang w:eastAsia="zh-TW"/>
          <w14:ligatures w14:val="none"/>
        </w:rPr>
        <w:t>.</w:t>
      </w:r>
    </w:p>
    <w:p w14:paraId="68EA443A" w14:textId="77777777" w:rsidR="00867275" w:rsidRPr="00873C37" w:rsidRDefault="00867275">
      <w:pPr>
        <w:rPr>
          <w:rFonts w:ascii="Times New Roman" w:hAnsi="Times New Roman" w:cs="Times New Roman"/>
        </w:rPr>
      </w:pPr>
    </w:p>
    <w:sectPr w:rsidR="00867275" w:rsidRPr="00873C3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26F6A"/>
    <w:multiLevelType w:val="hybridMultilevel"/>
    <w:tmpl w:val="07E4218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2E80276"/>
    <w:multiLevelType w:val="hybridMultilevel"/>
    <w:tmpl w:val="1B18AB3C"/>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B66012"/>
    <w:multiLevelType w:val="hybridMultilevel"/>
    <w:tmpl w:val="AA58663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2A3685"/>
    <w:multiLevelType w:val="hybridMultilevel"/>
    <w:tmpl w:val="7A5805D8"/>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9B681A"/>
    <w:multiLevelType w:val="hybridMultilevel"/>
    <w:tmpl w:val="504AB4D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32A024E"/>
    <w:multiLevelType w:val="hybridMultilevel"/>
    <w:tmpl w:val="0FF4542E"/>
    <w:lvl w:ilvl="0" w:tplc="CCF69B2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9E31F5"/>
    <w:multiLevelType w:val="hybridMultilevel"/>
    <w:tmpl w:val="29E6C23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700"/>
    <w:rsid w:val="00072232"/>
    <w:rsid w:val="00097B64"/>
    <w:rsid w:val="000D031E"/>
    <w:rsid w:val="00123517"/>
    <w:rsid w:val="00126E5B"/>
    <w:rsid w:val="0013158C"/>
    <w:rsid w:val="001C4B12"/>
    <w:rsid w:val="004160D7"/>
    <w:rsid w:val="00432574"/>
    <w:rsid w:val="00471610"/>
    <w:rsid w:val="004B367A"/>
    <w:rsid w:val="005E3045"/>
    <w:rsid w:val="005F2B9C"/>
    <w:rsid w:val="00602923"/>
    <w:rsid w:val="006771BE"/>
    <w:rsid w:val="006A4767"/>
    <w:rsid w:val="006B15A5"/>
    <w:rsid w:val="00720EA8"/>
    <w:rsid w:val="00867275"/>
    <w:rsid w:val="00873C37"/>
    <w:rsid w:val="008F7BF1"/>
    <w:rsid w:val="0094695A"/>
    <w:rsid w:val="00992DE1"/>
    <w:rsid w:val="009E5E6C"/>
    <w:rsid w:val="00A13BEB"/>
    <w:rsid w:val="00BA0E32"/>
    <w:rsid w:val="00C264C7"/>
    <w:rsid w:val="00C51465"/>
    <w:rsid w:val="00C60E15"/>
    <w:rsid w:val="00D05700"/>
    <w:rsid w:val="00D1198A"/>
    <w:rsid w:val="00D26EA1"/>
    <w:rsid w:val="00D520D5"/>
    <w:rsid w:val="00DC5B90"/>
    <w:rsid w:val="00E26B4C"/>
    <w:rsid w:val="00EB663D"/>
    <w:rsid w:val="00F06D6A"/>
    <w:rsid w:val="00F134FC"/>
    <w:rsid w:val="00F474CC"/>
    <w:rsid w:val="00FD3038"/>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9762"/>
  <w15:chartTrackingRefBased/>
  <w15:docId w15:val="{CFCE314A-9AF0-4CB9-B5D3-AF8EC71C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3C37"/>
    <w:pPr>
      <w:spacing w:after="120" w:line="240" w:lineRule="auto"/>
    </w:pPr>
    <w:rPr>
      <w:rFonts w:ascii="Times New Roman" w:eastAsia="Times New Roman" w:hAnsi="Times New Roman" w:cs="Times New Roman"/>
      <w:kern w:val="0"/>
      <w:szCs w:val="20"/>
      <w:lang w:eastAsia="lt-LT"/>
      <w14:ligatures w14:val="none"/>
    </w:rPr>
  </w:style>
  <w:style w:type="character" w:customStyle="1" w:styleId="BodyTextChar">
    <w:name w:val="Body Text Char"/>
    <w:basedOn w:val="DefaultParagraphFont"/>
    <w:link w:val="BodyText"/>
    <w:rsid w:val="00873C37"/>
    <w:rPr>
      <w:rFonts w:ascii="Times New Roman" w:eastAsia="Times New Roman" w:hAnsi="Times New Roman" w:cs="Times New Roman"/>
      <w:kern w:val="0"/>
      <w:szCs w:val="20"/>
      <w:lang w:eastAsia="lt-LT"/>
      <w14:ligatures w14:val="none"/>
    </w:rPr>
  </w:style>
  <w:style w:type="paragraph" w:styleId="Revision">
    <w:name w:val="Revision"/>
    <w:hidden/>
    <w:uiPriority w:val="99"/>
    <w:semiHidden/>
    <w:rsid w:val="00471610"/>
    <w:pPr>
      <w:spacing w:after="0" w:line="240" w:lineRule="auto"/>
    </w:pPr>
  </w:style>
  <w:style w:type="character" w:styleId="Hyperlink">
    <w:name w:val="Hyperlink"/>
    <w:basedOn w:val="DefaultParagraphFont"/>
    <w:uiPriority w:val="99"/>
    <w:unhideWhenUsed/>
    <w:rsid w:val="004B367A"/>
    <w:rPr>
      <w:color w:val="0563C1" w:themeColor="hyperlink"/>
      <w:u w:val="single"/>
    </w:rPr>
  </w:style>
  <w:style w:type="character" w:customStyle="1" w:styleId="UnresolvedMention">
    <w:name w:val="Unresolved Mention"/>
    <w:basedOn w:val="DefaultParagraphFont"/>
    <w:uiPriority w:val="99"/>
    <w:semiHidden/>
    <w:unhideWhenUsed/>
    <w:rsid w:val="004B367A"/>
    <w:rPr>
      <w:color w:val="605E5C"/>
      <w:shd w:val="clear" w:color="auto" w:fill="E1DFDD"/>
    </w:rPr>
  </w:style>
  <w:style w:type="paragraph" w:styleId="BalloonText">
    <w:name w:val="Balloon Text"/>
    <w:basedOn w:val="Normal"/>
    <w:link w:val="BalloonTextChar"/>
    <w:uiPriority w:val="99"/>
    <w:semiHidden/>
    <w:unhideWhenUsed/>
    <w:rsid w:val="00720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E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B7F7C-45A4-48E8-BC12-CDA4AE9C4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6984D-3226-41DC-9874-167F6C295930}">
  <ds:schemaRef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8c54d1d4-8a50-4b16-b050-2289fc7c4d80"/>
    <ds:schemaRef ds:uri="71aa4cd2-bec5-4f2f-9760-54a51ac0c700"/>
    <ds:schemaRef ds:uri="http://purl.org/dc/terms/"/>
  </ds:schemaRefs>
</ds:datastoreItem>
</file>

<file path=customXml/itemProps3.xml><?xml version="1.0" encoding="utf-8"?>
<ds:datastoreItem xmlns:ds="http://schemas.openxmlformats.org/officeDocument/2006/customXml" ds:itemID="{F6DB8779-297E-4E38-9307-EEA960A71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10721</Words>
  <Characters>6112</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0419</dc:creator>
  <cp:keywords/>
  <dc:description/>
  <cp:lastModifiedBy>Božena Kuntelija</cp:lastModifiedBy>
  <cp:revision>3</cp:revision>
  <dcterms:created xsi:type="dcterms:W3CDTF">2025-08-20T12:41:00Z</dcterms:created>
  <dcterms:modified xsi:type="dcterms:W3CDTF">2025-08-24T07:18:00Z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