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 xml:space="preserve">Pakuotės lapelis: informacija </w:t>
      </w:r>
      <w:r>
        <w:rPr>
          <w:rFonts w:ascii="Times New Roman" w:eastAsia="Calibri" w:hAnsi="Times New Roman" w:cs="Times New Roman"/>
          <w:b/>
          <w:lang w:eastAsia="lt-LT"/>
        </w:rPr>
        <w:t>vartotojui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A43DB">
        <w:rPr>
          <w:rFonts w:ascii="Times New Roman" w:eastAsia="Calibri" w:hAnsi="Times New Roman" w:cs="Times New Roman"/>
          <w:b/>
        </w:rPr>
        <w:t>SUVYD 20 000 TV minkštosios kapsulės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kolekalciferolis (vitaminas D</w:t>
      </w:r>
      <w:r w:rsidRPr="009A43DB">
        <w:rPr>
          <w:rFonts w:ascii="Times New Roman" w:eastAsia="Calibri" w:hAnsi="Times New Roman" w:cs="Times New Roman"/>
          <w:vertAlign w:val="subscript"/>
          <w:lang w:eastAsia="lt-LT"/>
        </w:rPr>
        <w:t>3</w:t>
      </w:r>
      <w:r w:rsidRPr="009A43DB">
        <w:rPr>
          <w:rFonts w:ascii="Times New Roman" w:eastAsia="Calibri" w:hAnsi="Times New Roman" w:cs="Times New Roman"/>
          <w:lang w:eastAsia="lt-LT"/>
        </w:rPr>
        <w:t>)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B12BE7" w:rsidRPr="009A43DB" w:rsidRDefault="00B12BE7" w:rsidP="00B12BE7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Neišmeskite šio lapelio, nes vėl gali prireikti jį perskaityti.</w:t>
      </w:r>
    </w:p>
    <w:p w:rsidR="00B12BE7" w:rsidRPr="009A43DB" w:rsidRDefault="00B12BE7" w:rsidP="00B12BE7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kiltų daugiau klausimų, kreipkitės į gydytoją arba vaistininką.</w:t>
      </w:r>
    </w:p>
    <w:p w:rsidR="00B12BE7" w:rsidRPr="009A43DB" w:rsidRDefault="00B12BE7" w:rsidP="00B12BE7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Šis vaistas skirtas tik Jums, todėl kitiems žmonėms jo duoti negalima. Vaistas gali jiems pakenkti (net tiems, kurių ligos požymiai yra tokie patys kaip Jūsų).</w:t>
      </w:r>
    </w:p>
    <w:p w:rsidR="00B12BE7" w:rsidRPr="009A43DB" w:rsidRDefault="00B12BE7" w:rsidP="00B12BE7">
      <w:pPr>
        <w:widowControl w:val="0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1.</w:t>
      </w:r>
      <w:r w:rsidRPr="009A43DB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r w:rsidRPr="009A43DB">
        <w:rPr>
          <w:rFonts w:ascii="Times New Roman" w:eastAsia="Calibri" w:hAnsi="Times New Roman" w:cs="Times New Roman"/>
        </w:rPr>
        <w:t>SUVYD</w:t>
      </w:r>
      <w:r w:rsidRPr="009A43DB">
        <w:rPr>
          <w:rFonts w:ascii="Times New Roman" w:eastAsia="Calibri" w:hAnsi="Times New Roman" w:cs="Times New Roman"/>
          <w:b/>
        </w:rPr>
        <w:t xml:space="preserve"> </w:t>
      </w:r>
      <w:r w:rsidRPr="009A43DB">
        <w:rPr>
          <w:rFonts w:ascii="Times New Roman" w:eastAsia="Calibri" w:hAnsi="Times New Roman" w:cs="Times New Roman"/>
          <w:lang w:eastAsia="lt-LT"/>
        </w:rPr>
        <w:t>ir kam jis vartojamas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9A43DB">
        <w:rPr>
          <w:rFonts w:ascii="Times New Roman" w:eastAsia="Calibri" w:hAnsi="Times New Roman" w:cs="Times New Roman"/>
          <w:lang w:eastAsia="lt-LT"/>
        </w:rPr>
        <w:t>2.</w:t>
      </w:r>
      <w:r w:rsidRPr="009A43DB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 w:rsidRPr="009A43DB">
        <w:rPr>
          <w:rFonts w:ascii="Times New Roman" w:eastAsia="Calibri" w:hAnsi="Times New Roman" w:cs="Times New Roman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9A43DB">
        <w:rPr>
          <w:rFonts w:ascii="Times New Roman" w:eastAsia="Calibri" w:hAnsi="Times New Roman" w:cs="Times New Roman"/>
          <w:lang w:eastAsia="lt-LT"/>
        </w:rPr>
        <w:t>3.</w:t>
      </w:r>
      <w:r w:rsidRPr="009A43DB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 w:rsidRPr="009A43DB">
        <w:rPr>
          <w:rFonts w:ascii="Times New Roman" w:eastAsia="Calibri" w:hAnsi="Times New Roman" w:cs="Times New Roman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4.</w:t>
      </w:r>
      <w:r w:rsidRPr="009A43DB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b/>
        </w:rPr>
      </w:pPr>
      <w:r w:rsidRPr="009A43DB">
        <w:rPr>
          <w:rFonts w:ascii="Times New Roman" w:eastAsia="Calibri" w:hAnsi="Times New Roman" w:cs="Times New Roman"/>
          <w:lang w:eastAsia="lt-LT"/>
        </w:rPr>
        <w:t>5.</w:t>
      </w:r>
      <w:r w:rsidRPr="009A43DB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 w:rsidRPr="009A43DB">
        <w:rPr>
          <w:rFonts w:ascii="Times New Roman" w:eastAsia="Calibri" w:hAnsi="Times New Roman" w:cs="Times New Roman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6.</w:t>
      </w:r>
      <w:r w:rsidRPr="009A43DB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0" w:name="_Toc129243264"/>
      <w:bookmarkStart w:id="1" w:name="_Toc129243139"/>
      <w:r w:rsidRPr="009A43DB">
        <w:rPr>
          <w:rFonts w:ascii="Times New Roman" w:eastAsia="Calibri" w:hAnsi="Times New Roman" w:cs="Times New Roman"/>
          <w:b/>
          <w:lang w:eastAsia="lt-LT"/>
        </w:rPr>
        <w:t>1.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>Kas yra SUVYD ir kam jis vartojamas</w:t>
      </w:r>
      <w:bookmarkEnd w:id="0"/>
      <w:bookmarkEnd w:id="1"/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SUVYD sudėtyje yra veikliosios medžiagos kolekalciferolio (vitamino D</w:t>
      </w:r>
      <w:r w:rsidRPr="009A43DB">
        <w:rPr>
          <w:rFonts w:ascii="Times New Roman" w:eastAsia="Calibri" w:hAnsi="Times New Roman" w:cs="Times New Roman"/>
          <w:vertAlign w:val="subscript"/>
          <w:lang w:eastAsia="lt-LT"/>
        </w:rPr>
        <w:t>3</w:t>
      </w:r>
      <w:r w:rsidRPr="009A43DB">
        <w:rPr>
          <w:rFonts w:ascii="Times New Roman" w:eastAsia="Calibri" w:hAnsi="Times New Roman" w:cs="Times New Roman"/>
          <w:lang w:eastAsia="lt-LT"/>
        </w:rPr>
        <w:t xml:space="preserve">), kuris reguliuoja kalcio pasisavinimą ir apykaitą bei kalcio </w:t>
      </w:r>
      <w:r>
        <w:rPr>
          <w:rFonts w:ascii="Times New Roman" w:eastAsia="Calibri" w:hAnsi="Times New Roman" w:cs="Times New Roman"/>
          <w:lang w:eastAsia="lt-LT"/>
        </w:rPr>
        <w:t>įsisavinimą</w:t>
      </w:r>
      <w:r w:rsidRPr="009A43DB">
        <w:rPr>
          <w:rFonts w:ascii="Times New Roman" w:eastAsia="Calibri" w:hAnsi="Times New Roman" w:cs="Times New Roman"/>
          <w:lang w:eastAsia="lt-LT"/>
        </w:rPr>
        <w:t xml:space="preserve"> į kaulų audinį.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SUVYD skirtas suaugusiųjų, kuriems pasireiškia klinikiniu požiūriu reikšmingas vitamino D</w:t>
      </w:r>
      <w:r w:rsidRPr="009A43DB">
        <w:rPr>
          <w:rFonts w:ascii="Times New Roman" w:eastAsia="Calibri" w:hAnsi="Times New Roman" w:cs="Times New Roman"/>
          <w:vertAlign w:val="subscript"/>
          <w:lang w:eastAsia="lt-LT"/>
        </w:rPr>
        <w:t xml:space="preserve">3 </w:t>
      </w:r>
      <w:r w:rsidRPr="009A43DB">
        <w:rPr>
          <w:rFonts w:ascii="Times New Roman" w:eastAsia="Calibri" w:hAnsi="Times New Roman" w:cs="Times New Roman"/>
          <w:lang w:eastAsia="lt-LT"/>
        </w:rPr>
        <w:t>trūkumas, pradiniam gydymui.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2" w:name="_Toc129243265"/>
      <w:bookmarkStart w:id="3" w:name="_Toc129243140"/>
      <w:r w:rsidRPr="009A43DB">
        <w:rPr>
          <w:rFonts w:ascii="Times New Roman" w:eastAsia="Calibri" w:hAnsi="Times New Roman" w:cs="Times New Roman"/>
          <w:b/>
          <w:lang w:eastAsia="lt-LT"/>
        </w:rPr>
        <w:t>2.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 xml:space="preserve">Kas žinotina prieš vartojant </w:t>
      </w:r>
      <w:bookmarkEnd w:id="2"/>
      <w:bookmarkEnd w:id="3"/>
      <w:r w:rsidRPr="009A43DB">
        <w:rPr>
          <w:rFonts w:ascii="Times New Roman" w:eastAsia="Calibri" w:hAnsi="Times New Roman" w:cs="Times New Roman"/>
          <w:b/>
          <w:lang w:eastAsia="lt-LT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SUVYD vartoti draudžiama:</w:t>
      </w:r>
    </w:p>
    <w:p w:rsidR="00B12BE7" w:rsidRPr="009A43DB" w:rsidRDefault="00B12BE7" w:rsidP="00B12BE7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yra alergija kolekalciferoliui (vitaminui D</w:t>
      </w:r>
      <w:r w:rsidRPr="009A43DB">
        <w:rPr>
          <w:rFonts w:ascii="Times New Roman" w:eastAsia="Calibri" w:hAnsi="Times New Roman" w:cs="Times New Roman"/>
          <w:vertAlign w:val="subscript"/>
          <w:lang w:eastAsia="lt-LT"/>
        </w:rPr>
        <w:t>3</w:t>
      </w:r>
      <w:r w:rsidRPr="009A43DB">
        <w:rPr>
          <w:rFonts w:ascii="Times New Roman" w:eastAsia="Calibri" w:hAnsi="Times New Roman" w:cs="Times New Roman"/>
          <w:lang w:eastAsia="lt-LT"/>
        </w:rPr>
        <w:t>), žemės riešutams ar sojai, arba bet kuriai pagalbinei šio vaisto medžiagai (jos išvardytos 6 skyriuje);</w:t>
      </w:r>
    </w:p>
    <w:p w:rsidR="00B12BE7" w:rsidRPr="009A43DB" w:rsidRDefault="00B12BE7" w:rsidP="00B12BE7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Jūsų kraujyje yra didelis vitamino D kiekis (vitamino D hipervitaminozė);</w:t>
      </w:r>
    </w:p>
    <w:p w:rsidR="00B12BE7" w:rsidRPr="009A43DB" w:rsidRDefault="00B12BE7" w:rsidP="00B12BE7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Jūsų kraujyje (hiperkalcemija) ar šlapime (hiperkalciurija) yra didelis kalcio kiekis;</w:t>
      </w:r>
    </w:p>
    <w:p w:rsidR="00B12BE7" w:rsidRPr="009A43DB" w:rsidRDefault="00B12BE7" w:rsidP="00B12BE7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inkstuose yra kalcio sankaupų (nefrokalcinozė);</w:t>
      </w:r>
    </w:p>
    <w:p w:rsidR="00B12BE7" w:rsidRPr="009A43DB" w:rsidRDefault="00B12BE7" w:rsidP="00B12BE7">
      <w:pPr>
        <w:widowControl w:val="0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inkstuose yra akmenų ar yra sunkus inkstų funkcijos sutrikimas.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 kas nors iš aukščiau išvardytų teiginių tinka jums, nevartokite SUVYD.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Įspėjimai ir atsargumo priemonės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Pasitarkite su gydytoju arba vaistininku, prieš pradėdami vartoti SUVYD:</w:t>
      </w:r>
    </w:p>
    <w:p w:rsidR="00B12BE7" w:rsidRPr="009A43DB" w:rsidRDefault="00B12BE7" w:rsidP="00B12BE7">
      <w:pPr>
        <w:pStyle w:val="Sraopastraipa"/>
        <w:numPr>
          <w:ilvl w:val="0"/>
          <w:numId w:val="4"/>
        </w:numPr>
        <w:ind w:left="567" w:hanging="567"/>
        <w:rPr>
          <w:szCs w:val="22"/>
        </w:rPr>
      </w:pPr>
      <w:r w:rsidRPr="009A43DB">
        <w:t xml:space="preserve">jeigu </w:t>
      </w:r>
      <w:r>
        <w:t>sergate</w:t>
      </w:r>
      <w:r w:rsidRPr="009A43DB">
        <w:t xml:space="preserve"> inkstų funkcijos sutrikim</w:t>
      </w:r>
      <w:r>
        <w:t>u</w:t>
      </w:r>
      <w:r w:rsidRPr="009A43DB">
        <w:t xml:space="preserve"> ar inkstuose yra akmenų. </w:t>
      </w:r>
      <w:r w:rsidRPr="009A43DB">
        <w:rPr>
          <w:szCs w:val="22"/>
        </w:rPr>
        <w:t>Gydytojui reikės nustatyti kalcio kiekį Jūsų kraujyje ar šlapime;</w:t>
      </w:r>
    </w:p>
    <w:p w:rsidR="00B12BE7" w:rsidRPr="009A43DB" w:rsidRDefault="00B12BE7" w:rsidP="00B12BE7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gydotės nuo širdies ligos;</w:t>
      </w:r>
    </w:p>
    <w:p w:rsidR="00B12BE7" w:rsidRPr="009A43DB" w:rsidRDefault="00B12BE7" w:rsidP="00B12BE7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jūsų judėjimo galimybės labai ribotos, nes tokiais atvejais kyla didelio kalcio kiekio kraujyje (hiperkalcemijos) arba didelio kalcio kiekio šlapime (hiperkalciurijos) rizika;</w:t>
      </w:r>
    </w:p>
    <w:p w:rsidR="00B12BE7" w:rsidRPr="009A43DB" w:rsidRDefault="00B12BE7" w:rsidP="00B12BE7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sergate sarkoidoze (imuninės sistemos sutrikimu, kuris gali pažeisti kepenis, plaučius, odą ar limfmazgius);</w:t>
      </w:r>
    </w:p>
    <w:p w:rsidR="00B12BE7" w:rsidRPr="009A43DB" w:rsidRDefault="00B12BE7" w:rsidP="00B12BE7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 vartojate vaistus ir (arba) maisto papildus, kurių sudėtyje yra vitamino D ir kalcio, arba valgote maisto produktų, praturtintų vitaminu D; kol vartojate SUVYD, Jūsų gydytojas stebės vitamino D ir kalcio kiekį Jūsų kraujyje, kad įsitikintų, jog jis nėra per didelis;</w:t>
      </w:r>
    </w:p>
    <w:p w:rsidR="00B12BE7" w:rsidRPr="009A43DB" w:rsidRDefault="00B12BE7" w:rsidP="00B12BE7">
      <w:pPr>
        <w:widowControl w:val="0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lastRenderedPageBreak/>
        <w:t>jeigu Jums diagnozuota pseudohipoparatirozė (retas genetinis sutrikimas, kai organizmas nereaguoja į paratiroidinį hormoną (PTH)).</w:t>
      </w: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b/>
          <w:bCs/>
          <w:lang w:eastAsia="lt-LT"/>
        </w:rPr>
        <w:t>Vaikams ir paaugliams</w:t>
      </w: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Šis vaistas netinkamas vartoti vaikams ir jaunesniems kaip 18 metų paaugliams.</w:t>
      </w: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 xml:space="preserve">Kiti vaistai ir </w:t>
      </w:r>
      <w:r>
        <w:rPr>
          <w:rFonts w:ascii="Times New Roman" w:eastAsia="Calibri" w:hAnsi="Times New Roman" w:cs="Times New Roman"/>
          <w:b/>
          <w:lang w:eastAsia="lt-LT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9A43DB">
        <w:rPr>
          <w:rFonts w:ascii="Times New Roman" w:eastAsia="Calibri" w:hAnsi="Times New Roman" w:cs="Times New Roman"/>
          <w:color w:val="000000"/>
          <w:lang w:eastAsia="lt-LT"/>
        </w:rPr>
        <w:t>Jeigu vartojate ar neseniai vartojote kitų vaistų arba dėl to nesate tikri, apie tai pasakykite gydytojui arba vaistininkui.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9A43DB">
        <w:rPr>
          <w:rFonts w:ascii="Times New Roman" w:eastAsia="Calibri" w:hAnsi="Times New Roman" w:cs="Times New Roman"/>
          <w:color w:val="000000"/>
          <w:lang w:eastAsia="lt-LT"/>
        </w:rPr>
        <w:t>Šie vaistai gali ypač sąveikauti su SUVYD: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vaistai širdžiai (širdį veikiantys glikozidai, pvz., digoksinas). Gydytojas gali stebėti jūsų širdį, atlikdamas elektrokardiogramą (EKG), ir matuoti kalcio kiekį kraujyje.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tiazidiniai diuretikai (skirti aukšto kraujospūdžio gydymui) mažina kalcio išsiskyrimą su šlapimu ir gali padidinti hiperkalcemijos riziką;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vaistai epilepsijai gydyti (pvz., fenitoinas) ar migdantys vaistai (barbitūratai, pvz., fenobarbitalis) gali sumažinti vitamino D poveikį;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gliukokortikoidai (steroidiniai hormonai, pvz., hidrokortizonas ar prednizolonas) gali sumažinti vitamino D poveikį;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vidurius laisvinantys vaistai (pvz., parafino aliejus) ar cholesterolį mažinantys vaistai (kolestiraminas, kolestipolis), orlistatas gali sumažinti vitamino D įsisavinimą;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aktinomicinas (vaistas tam tikroms vėžio formoms gydyti) ir imidazolas (vaistai, pvz., klotrimazolas ir ketokonazolas, skirti grybelių sukeltoms ligoms gydyti) gali keisti vitamino D metabolizmą;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vaistai tuberkuliozei gydyti (pvz., rifampicinas, izoniazidas) gali sumažinti vitamino D poveikį;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preparatai, kurių sudėtyje yra kalcio arba fosfatų, gali padidinti kalcio arba fosfatų kiekio kraujyje padidėjimo riziką;</w:t>
      </w:r>
    </w:p>
    <w:p w:rsidR="00B12BE7" w:rsidRPr="009A43DB" w:rsidRDefault="00B12BE7" w:rsidP="00B12BE7">
      <w:pPr>
        <w:pStyle w:val="Sraopastraipa"/>
        <w:widowControl w:val="0"/>
        <w:numPr>
          <w:ilvl w:val="0"/>
          <w:numId w:val="5"/>
        </w:numPr>
        <w:tabs>
          <w:tab w:val="left" w:pos="567"/>
        </w:tabs>
        <w:ind w:left="567" w:hanging="567"/>
        <w:rPr>
          <w:color w:val="000000"/>
        </w:rPr>
      </w:pPr>
      <w:r w:rsidRPr="009A43DB">
        <w:rPr>
          <w:color w:val="000000"/>
        </w:rPr>
        <w:t>preparatai, kurių sudėtyje yra magnio (pvz., antacidai) gali padidinti magnio kiekio kraujyje padidėjimo riziką (hipermagnezemija).</w:t>
      </w: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SUVYD vartojimas su maistu ir gėrimais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SUVYD geriau vartokite su pagrindiniu maistu, kad padėtumėte organizmui absorbuoti vitaminą D.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Nėštumas, žindymo laikotarpis ir vaisingumas</w:t>
      </w: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 arba planuojate pastoti, tai prieš vartodama šį vaistą pasitarkite su gydytoju arba vaistininku.</w:t>
      </w: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Dėl didelės vitamino D dozės, SUVYD nerekomenduojama vartoti nėštumo ir žindymo laikotarpiu.</w:t>
      </w: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Duomenų apie vitamino D poveikį vaisingumui nėra. Vis dėlto nemanoma, kad normalus endogeninis vitamino D kiekis gali sukelti neigiamą poveikį vaisingumui.</w:t>
      </w:r>
    </w:p>
    <w:p w:rsidR="00B12BE7" w:rsidRPr="009A43DB" w:rsidRDefault="00B12BE7" w:rsidP="00B12BE7">
      <w:pPr>
        <w:widowControl w:val="0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Vairavimas ir mechanizmų valdymas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SUVYD gebėjimo vairuoti ir valdyti mechanizmus neveikia arba veikia nereikšmingai.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SUVYD sudėtyje yra sojų aliejaus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 xml:space="preserve">SUVYD sudėtyje yra sojų aliejaus. </w:t>
      </w:r>
      <w:r w:rsidRPr="009E7669">
        <w:rPr>
          <w:rFonts w:ascii="Times New Roman" w:eastAsia="Calibri" w:hAnsi="Times New Roman" w:cs="Times New Roman"/>
          <w:lang w:eastAsia="lt-LT"/>
        </w:rPr>
        <w:t xml:space="preserve"> </w:t>
      </w:r>
      <w:r w:rsidRPr="00A5076A">
        <w:rPr>
          <w:rFonts w:ascii="Times New Roman" w:eastAsia="Calibri" w:hAnsi="Times New Roman" w:cs="Times New Roman"/>
          <w:lang w:eastAsia="lt-LT"/>
        </w:rPr>
        <w:t>Jei esate alergiškas (alergiška) žemės riešutams arba sojai, Jums šio vaisto vartoti negalima.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4" w:name="_Toc129243266"/>
      <w:bookmarkStart w:id="5" w:name="_Toc129243141"/>
      <w:r w:rsidRPr="009A43DB">
        <w:rPr>
          <w:rFonts w:ascii="Times New Roman" w:eastAsia="Calibri" w:hAnsi="Times New Roman" w:cs="Times New Roman"/>
          <w:b/>
          <w:lang w:eastAsia="lt-LT"/>
        </w:rPr>
        <w:t>3.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 xml:space="preserve">Kaip vartoti </w:t>
      </w:r>
      <w:bookmarkEnd w:id="4"/>
      <w:bookmarkEnd w:id="5"/>
      <w:r w:rsidRPr="009A43DB">
        <w:rPr>
          <w:rFonts w:ascii="Times New Roman" w:eastAsia="Calibri" w:hAnsi="Times New Roman" w:cs="Times New Roman"/>
          <w:b/>
          <w:lang w:eastAsia="lt-LT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Visada vartokite šį vaistą tiksliai kaip nurodė gydytojas ar vaistininkas. Jeigu abejojate, kreipkitės į gydytoją arba vaistininką. Pasitarkite su gydytoju prieš vartojant kalcio.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Vartojimas suaugusiesiems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9A43DB">
        <w:rPr>
          <w:rFonts w:ascii="Times New Roman" w:eastAsia="Calibri" w:hAnsi="Times New Roman" w:cs="Times New Roman"/>
          <w:bCs/>
          <w:lang w:eastAsia="lt-LT"/>
        </w:rPr>
        <w:t>Rekomenduojama dozė yra 1 kapsulė vieną kartą per savaitę, iki 4</w:t>
      </w:r>
      <w:r w:rsidRPr="009A43DB">
        <w:rPr>
          <w:rFonts w:ascii="Times New Roman" w:eastAsia="Calibri" w:hAnsi="Times New Roman" w:cs="Times New Roman"/>
          <w:bCs/>
          <w:lang w:eastAsia="lt-LT"/>
        </w:rPr>
        <w:noBreakHyphen/>
        <w:t>5 savaičių.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Kapsulę reikia nuryti visą, užgeriant vandeniu, geriausia kartu su pagrindiniu dienos maistu.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Vartojimas vaikams ir paaugliams</w:t>
      </w:r>
    </w:p>
    <w:p w:rsidR="00B12BE7" w:rsidRPr="009A43DB" w:rsidRDefault="00B12BE7" w:rsidP="00B12BE7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SUVYD nėra skirtas vartoti vaikams ir jaunesniems kaip 18 metų paaugliams. Kitos šio vaisto formos gali būti tinkamesnės vaikams; pasitarkite su gydytoju arba vaistininku.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 xml:space="preserve">Ką daryti pavartojus per didelę </w:t>
      </w:r>
      <w:r>
        <w:rPr>
          <w:rFonts w:ascii="Times New Roman" w:eastAsia="Calibri" w:hAnsi="Times New Roman" w:cs="Times New Roman"/>
          <w:b/>
          <w:lang w:eastAsia="lt-LT"/>
        </w:rPr>
        <w:t>SUVYD</w:t>
      </w:r>
      <w:r w:rsidRPr="009A43DB">
        <w:rPr>
          <w:rFonts w:ascii="Times New Roman" w:eastAsia="Calibri" w:hAnsi="Times New Roman" w:cs="Times New Roman"/>
          <w:b/>
          <w:lang w:eastAsia="lt-LT"/>
        </w:rPr>
        <w:t xml:space="preserve"> dozę</w:t>
      </w:r>
    </w:p>
    <w:p w:rsidR="00B12BE7" w:rsidRPr="008F0175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55151">
        <w:rPr>
          <w:rFonts w:ascii="Times New Roman" w:eastAsia="Calibri" w:hAnsi="Times New Roman" w:cs="Times New Roman"/>
          <w:bCs/>
          <w:lang w:eastAsia="lt-LT"/>
        </w:rPr>
        <w:t>Jei išgėrėte šio vaisto daugiau negu nurodyta, arba jūsų vaikas atsitiktinai išgėrė šio vaisto, siekiant įvertinti riziką ir gauti tolesnes rekomendacijas kreipkitės į gydytoją arba skubios pagalbos skyrių.</w:t>
      </w:r>
    </w:p>
    <w:p w:rsidR="00B12BE7" w:rsidRPr="008F0175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F0175">
        <w:rPr>
          <w:rFonts w:ascii="Times New Roman" w:eastAsia="Calibri" w:hAnsi="Times New Roman" w:cs="Times New Roman"/>
          <w:bCs/>
          <w:lang w:eastAsia="lt-LT"/>
        </w:rPr>
        <w:t xml:space="preserve">Jei išgėrėte per daug kapsulių, galite jaustis blogai; taip pat gali pasireikšti pykinimas, vėmimas, </w:t>
      </w:r>
      <w:r>
        <w:rPr>
          <w:rFonts w:ascii="Times New Roman" w:eastAsia="Calibri" w:hAnsi="Times New Roman" w:cs="Times New Roman"/>
          <w:bCs/>
          <w:lang w:eastAsia="lt-LT"/>
        </w:rPr>
        <w:t>stiprus</w:t>
      </w:r>
      <w:r w:rsidRPr="008F0175">
        <w:rPr>
          <w:rFonts w:ascii="Times New Roman" w:eastAsia="Calibri" w:hAnsi="Times New Roman" w:cs="Times New Roman"/>
          <w:bCs/>
          <w:lang w:eastAsia="lt-LT"/>
        </w:rPr>
        <w:t xml:space="preserve"> troškulys, </w:t>
      </w:r>
      <w:r w:rsidRPr="00E55151">
        <w:rPr>
          <w:rFonts w:ascii="Times New Roman" w:eastAsia="Calibri" w:hAnsi="Times New Roman" w:cs="Times New Roman"/>
          <w:bCs/>
          <w:lang w:eastAsia="lt-LT"/>
        </w:rPr>
        <w:t>per 24</w:t>
      </w:r>
      <w:r>
        <w:rPr>
          <w:rFonts w:ascii="Times New Roman" w:eastAsia="Calibri" w:hAnsi="Times New Roman" w:cs="Times New Roman"/>
          <w:bCs/>
          <w:lang w:eastAsia="lt-LT"/>
        </w:rPr>
        <w:t> </w:t>
      </w:r>
      <w:r w:rsidRPr="00E55151">
        <w:rPr>
          <w:rFonts w:ascii="Times New Roman" w:eastAsia="Calibri" w:hAnsi="Times New Roman" w:cs="Times New Roman"/>
          <w:bCs/>
          <w:lang w:eastAsia="lt-LT"/>
        </w:rPr>
        <w:t>val. susidaryti didelis šlapimo kiekis</w:t>
      </w:r>
      <w:r w:rsidRPr="008F0175">
        <w:rPr>
          <w:rFonts w:ascii="Times New Roman" w:eastAsia="Calibri" w:hAnsi="Times New Roman" w:cs="Times New Roman"/>
          <w:bCs/>
          <w:lang w:eastAsia="lt-LT"/>
        </w:rPr>
        <w:t>, vidurių užkietėjimas, dehidratacija, pilvo skausmai, raumenų silpnumas, nuovargis, apetito stoka, laboratoriniu tyrimu nustatytas didelis kalcio kiekis kraujyje (hiperkalcemija) ir šlapime (hiperkalciurija).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 xml:space="preserve">Pamiršus pavartoti </w:t>
      </w:r>
      <w:r>
        <w:rPr>
          <w:rFonts w:ascii="Times New Roman" w:eastAsia="Calibri" w:hAnsi="Times New Roman" w:cs="Times New Roman"/>
          <w:b/>
          <w:lang w:eastAsia="lt-LT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15E4A">
        <w:rPr>
          <w:rFonts w:ascii="Times New Roman" w:eastAsia="Calibri" w:hAnsi="Times New Roman" w:cs="Times New Roman"/>
          <w:lang w:eastAsia="lt-LT"/>
        </w:rPr>
        <w:t>Jei pamiršote suvartoti kapsules, suvartokite jas kiek įmanoma greičiau. Kitą dozę vartokite tinkamu laiku laikydamiesi gydytojo pateiktų nurodymų.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Negalima vartoti dvigubos dozės norint kompensuoti praleistą tabletę.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Jeigu kiltų daugiau klausimų dėl šio vaisto vartojimo, kreipkitės į gydytoją</w:t>
      </w:r>
      <w:r>
        <w:rPr>
          <w:rFonts w:ascii="Times New Roman" w:eastAsia="Calibri" w:hAnsi="Times New Roman" w:cs="Times New Roman"/>
          <w:lang w:eastAsia="lt-LT"/>
        </w:rPr>
        <w:t xml:space="preserve"> arba</w:t>
      </w:r>
      <w:r w:rsidRPr="009A43DB">
        <w:rPr>
          <w:rFonts w:ascii="Times New Roman" w:eastAsia="Calibri" w:hAnsi="Times New Roman" w:cs="Times New Roman"/>
          <w:lang w:eastAsia="lt-LT"/>
        </w:rPr>
        <w:t xml:space="preserve"> vaistininką.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6" w:name="_Toc129243267"/>
      <w:bookmarkStart w:id="7" w:name="_Toc129243142"/>
      <w:r w:rsidRPr="009A43DB">
        <w:rPr>
          <w:rFonts w:ascii="Times New Roman" w:eastAsia="Calibri" w:hAnsi="Times New Roman" w:cs="Times New Roman"/>
          <w:b/>
          <w:lang w:eastAsia="lt-LT"/>
        </w:rPr>
        <w:t>4.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>Galimas šalutinis poveikis</w:t>
      </w:r>
      <w:bookmarkEnd w:id="6"/>
      <w:bookmarkEnd w:id="7"/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A66ABF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A66ABF">
        <w:rPr>
          <w:rFonts w:ascii="Times New Roman" w:eastAsia="Calibri" w:hAnsi="Times New Roman" w:cs="Times New Roman"/>
          <w:b/>
          <w:lang w:eastAsia="lt-LT"/>
        </w:rPr>
        <w:t>Kai kuris šalutinis poveikis gali būti sunkus ir gali prireikti skubios medicininės pagalbos.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66ABF">
        <w:rPr>
          <w:rFonts w:ascii="Times New Roman" w:eastAsia="Calibri" w:hAnsi="Times New Roman" w:cs="Times New Roman"/>
          <w:lang w:eastAsia="lt-LT"/>
        </w:rPr>
        <w:t>Nedelsdami kreipkitės į gydytoją, jei pajusite tokių sunkių alerginių reakcijų požymių:</w:t>
      </w:r>
    </w:p>
    <w:p w:rsidR="00B12BE7" w:rsidRPr="00A66ABF" w:rsidRDefault="00B12BE7" w:rsidP="00B12BE7">
      <w:pPr>
        <w:pStyle w:val="Sraopastraipa"/>
        <w:widowControl w:val="0"/>
        <w:numPr>
          <w:ilvl w:val="0"/>
          <w:numId w:val="6"/>
        </w:numPr>
        <w:tabs>
          <w:tab w:val="left" w:pos="567"/>
        </w:tabs>
        <w:ind w:left="567" w:hanging="567"/>
      </w:pPr>
      <w:r w:rsidRPr="00A66ABF">
        <w:t>veido, lūpų, liežuvio arba gerklės</w:t>
      </w:r>
      <w:r>
        <w:t xml:space="preserve"> (ryklės)</w:t>
      </w:r>
      <w:r w:rsidRPr="00A66ABF">
        <w:t xml:space="preserve"> patinimą</w:t>
      </w:r>
      <w:r>
        <w:t>;</w:t>
      </w:r>
    </w:p>
    <w:p w:rsidR="00B12BE7" w:rsidRPr="00A66ABF" w:rsidRDefault="00B12BE7" w:rsidP="00B12BE7">
      <w:pPr>
        <w:pStyle w:val="Sraopastraipa"/>
        <w:widowControl w:val="0"/>
        <w:numPr>
          <w:ilvl w:val="0"/>
          <w:numId w:val="6"/>
        </w:numPr>
        <w:tabs>
          <w:tab w:val="left" w:pos="567"/>
        </w:tabs>
        <w:ind w:left="567" w:hanging="567"/>
      </w:pPr>
      <w:r w:rsidRPr="00A66ABF">
        <w:t>pasunkėjusį rijimą</w:t>
      </w:r>
      <w:r>
        <w:t>;</w:t>
      </w:r>
    </w:p>
    <w:p w:rsidR="00B12BE7" w:rsidRPr="00A66ABF" w:rsidRDefault="00B12BE7" w:rsidP="00B12BE7">
      <w:pPr>
        <w:pStyle w:val="Sraopastraipa"/>
        <w:widowControl w:val="0"/>
        <w:numPr>
          <w:ilvl w:val="0"/>
          <w:numId w:val="6"/>
        </w:numPr>
        <w:tabs>
          <w:tab w:val="left" w:pos="567"/>
        </w:tabs>
        <w:ind w:left="567" w:hanging="567"/>
      </w:pPr>
      <w:r w:rsidRPr="00A66ABF">
        <w:t>dilgėlin</w:t>
      </w:r>
      <w:r>
        <w:t>ę</w:t>
      </w:r>
      <w:r w:rsidRPr="00A66ABF">
        <w:t xml:space="preserve"> arba tapo sunku kvėpuoti.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A66ABF">
        <w:rPr>
          <w:rFonts w:ascii="Times New Roman" w:eastAsia="Calibri" w:hAnsi="Times New Roman" w:cs="Times New Roman"/>
          <w:lang w:eastAsia="lt-LT"/>
        </w:rPr>
        <w:t>Kitas galimas šalutinis poveikis, paminėtas vartojant</w:t>
      </w:r>
      <w:r>
        <w:rPr>
          <w:rFonts w:ascii="Times New Roman" w:eastAsia="Calibri" w:hAnsi="Times New Roman" w:cs="Times New Roman"/>
          <w:lang w:eastAsia="lt-LT"/>
        </w:rPr>
        <w:t xml:space="preserve"> SUVYD:</w:t>
      </w:r>
    </w:p>
    <w:p w:rsidR="00B12BE7" w:rsidRPr="00BD3D46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9A43DB">
        <w:rPr>
          <w:rFonts w:ascii="Times New Roman" w:eastAsia="Times New Roman" w:hAnsi="Times New Roman" w:cs="Times New Roman"/>
          <w:b/>
          <w:bCs/>
          <w:lang w:eastAsia="sl-SI"/>
        </w:rPr>
        <w:t>Nedažni šalutinio poveikio reiškiniai (gali pasireikšti rečiau kaip 1 iš 100 asmenų):</w:t>
      </w:r>
    </w:p>
    <w:p w:rsidR="00B12BE7" w:rsidRPr="00A66ABF" w:rsidRDefault="00B12BE7" w:rsidP="00B12BE7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ind w:left="567" w:hanging="567"/>
        <w:rPr>
          <w:rFonts w:eastAsia="Times New Roman"/>
          <w:lang w:eastAsia="sl-SI"/>
        </w:rPr>
      </w:pPr>
      <w:r w:rsidRPr="00A66ABF">
        <w:rPr>
          <w:rFonts w:eastAsia="Times New Roman"/>
          <w:lang w:eastAsia="sl-SI"/>
        </w:rPr>
        <w:t>per didelis kalcio kiekis kraujyje (hiperkalcemija)</w:t>
      </w:r>
      <w:r>
        <w:rPr>
          <w:rFonts w:eastAsia="Times New Roman"/>
          <w:lang w:eastAsia="sl-SI"/>
        </w:rPr>
        <w:t>;</w:t>
      </w:r>
      <w:r w:rsidRPr="00A66ABF">
        <w:rPr>
          <w:rFonts w:eastAsia="Times New Roman"/>
          <w:lang w:eastAsia="sl-SI"/>
        </w:rPr>
        <w:t xml:space="preserve"> </w:t>
      </w:r>
    </w:p>
    <w:p w:rsidR="00B12BE7" w:rsidRPr="00A66ABF" w:rsidRDefault="00B12BE7" w:rsidP="00B12BE7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ind w:left="567" w:hanging="567"/>
        <w:rPr>
          <w:rFonts w:eastAsia="Times New Roman"/>
          <w:lang w:eastAsia="sl-SI"/>
        </w:rPr>
      </w:pPr>
      <w:r w:rsidRPr="00A66ABF">
        <w:rPr>
          <w:rFonts w:eastAsia="Times New Roman"/>
          <w:lang w:eastAsia="sl-SI"/>
        </w:rPr>
        <w:t>per didelis kalcio kiekis šlapime (hiperkalciurija)</w:t>
      </w:r>
      <w:r>
        <w:rPr>
          <w:rFonts w:eastAsia="Times New Roman"/>
          <w:lang w:eastAsia="sl-SI"/>
        </w:rPr>
        <w:t>.</w:t>
      </w:r>
      <w:r w:rsidRPr="00A66ABF">
        <w:rPr>
          <w:rFonts w:eastAsia="Times New Roman"/>
          <w:lang w:eastAsia="sl-SI"/>
        </w:rPr>
        <w:t xml:space="preserve"> 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9A43DB">
        <w:rPr>
          <w:rFonts w:ascii="Times New Roman" w:eastAsia="Times New Roman" w:hAnsi="Times New Roman" w:cs="Times New Roman"/>
          <w:b/>
          <w:bCs/>
          <w:lang w:eastAsia="sl-SI"/>
        </w:rPr>
        <w:t>Reti šalutinio poveikio reiškiniai (gali pasireikšti rečiau kaip 1 iš 1 000 asmenų):</w:t>
      </w:r>
    </w:p>
    <w:p w:rsidR="00B12BE7" w:rsidRDefault="00B12BE7" w:rsidP="00B12BE7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odos išbėrimas;</w:t>
      </w:r>
    </w:p>
    <w:p w:rsidR="00B12BE7" w:rsidRDefault="00B12BE7" w:rsidP="00B12BE7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niežėjimas;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8"/>
        </w:numPr>
        <w:tabs>
          <w:tab w:val="left" w:pos="567"/>
        </w:tabs>
        <w:ind w:left="567" w:hanging="567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dilgėlinė.</w:t>
      </w:r>
    </w:p>
    <w:p w:rsidR="00B12BE7" w:rsidRPr="00BD3D46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B12BE7" w:rsidRDefault="00B12BE7" w:rsidP="00B12B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sl-SI"/>
        </w:rPr>
      </w:pPr>
      <w:r w:rsidRPr="00880552">
        <w:rPr>
          <w:rFonts w:ascii="Times New Roman" w:eastAsia="Times New Roman" w:hAnsi="Times New Roman" w:cs="Times New Roman"/>
          <w:b/>
          <w:bCs/>
          <w:lang w:eastAsia="sl-SI"/>
        </w:rPr>
        <w:t>Šalutinio poveikio reiškiniai, kurių dažnis nežinomas (negali būti apskaičiuotas pagal turimus duomenis):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ind w:left="567" w:right="227" w:hanging="567"/>
      </w:pPr>
      <w:r w:rsidRPr="00880552">
        <w:t xml:space="preserve">vidurių užkietėjimas 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ind w:left="567" w:right="227" w:hanging="567"/>
      </w:pPr>
      <w:r w:rsidRPr="00880552">
        <w:t xml:space="preserve">dujų kaupimasis žarnyne 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ind w:left="567" w:right="227" w:hanging="567"/>
      </w:pPr>
      <w:r w:rsidRPr="00880552">
        <w:t xml:space="preserve">pykinimas 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ind w:left="567" w:right="227" w:hanging="567"/>
      </w:pPr>
      <w:r w:rsidRPr="00880552">
        <w:t>pilvo skausmas</w:t>
      </w:r>
    </w:p>
    <w:p w:rsidR="00B12BE7" w:rsidRPr="00880552" w:rsidRDefault="00B12BE7" w:rsidP="00B12BE7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ind w:left="567" w:right="227" w:hanging="567"/>
      </w:pPr>
      <w:r w:rsidRPr="00880552">
        <w:t>viduriavimas</w:t>
      </w:r>
    </w:p>
    <w:p w:rsidR="00B12BE7" w:rsidRPr="00BD3D46" w:rsidRDefault="00B12BE7" w:rsidP="00B12BE7">
      <w:pPr>
        <w:widowControl w:val="0"/>
        <w:tabs>
          <w:tab w:val="left" w:pos="567"/>
        </w:tabs>
        <w:spacing w:after="0" w:line="240" w:lineRule="auto"/>
        <w:ind w:right="227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9A43DB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snapToGrid w:val="0"/>
        </w:rPr>
      </w:pPr>
      <w:r w:rsidRPr="009A43DB">
        <w:rPr>
          <w:rFonts w:ascii="Times New Roman" w:eastAsia="Times New Roman" w:hAnsi="Times New Roman" w:cs="Times New Roman"/>
          <w:snapToGrid w:val="0"/>
        </w:rPr>
        <w:t xml:space="preserve">Jeigu pasireiškė šalutinis poveikis, įskaitant šiame lapelyje nenurodytą, pasakykite gydytojui arba vaistininkui. </w:t>
      </w:r>
      <w:r w:rsidRPr="00880552">
        <w:rPr>
          <w:rFonts w:ascii="Times New Roman" w:eastAsia="Times New Roman" w:hAnsi="Times New Roman" w:cs="Times New Roman"/>
          <w:color w:val="000000"/>
        </w:rPr>
        <w:t>Pranešimą apie šalutinį poveikį galite užpildyti ir pateikti Valstybinės vaistų kontrolės tarnybos prie Lietuvos Respublikos sveikatos apsaugos ministerijos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80552">
        <w:rPr>
          <w:rFonts w:ascii="Times New Roman" w:eastAsia="Times New Roman" w:hAnsi="Times New Roman" w:cs="Times New Roman"/>
          <w:color w:val="000000"/>
        </w:rPr>
        <w:t>tinklalapyje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80552">
        <w:rPr>
          <w:rFonts w:ascii="Times New Roman" w:eastAsia="Times New Roman" w:hAnsi="Times New Roman" w:cs="Times New Roman"/>
          <w:color w:val="0000EE"/>
          <w:u w:val="single"/>
        </w:rPr>
        <w:t>https://vvkt.lrv.lt/lt/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80552">
        <w:rPr>
          <w:rFonts w:ascii="Times New Roman" w:eastAsia="Times New Roman" w:hAnsi="Times New Roman" w:cs="Times New Roman"/>
          <w:color w:val="000000"/>
        </w:rPr>
        <w:t>nurodytais būdais arba paskambinti nemokamu telefonu 8 800 73 568. Pranešdami apie šalutinį poveikį galite mums padėti gauti daugiau informacijos apie šio vaisto saugumą.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8" w:name="_Toc129243268"/>
      <w:bookmarkStart w:id="9" w:name="_Toc129243143"/>
      <w:r w:rsidRPr="009A43DB">
        <w:rPr>
          <w:rFonts w:ascii="Times New Roman" w:eastAsia="Calibri" w:hAnsi="Times New Roman" w:cs="Times New Roman"/>
          <w:b/>
          <w:lang w:eastAsia="lt-LT"/>
        </w:rPr>
        <w:t>5.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 xml:space="preserve">Kaip laikyti </w:t>
      </w:r>
      <w:bookmarkEnd w:id="8"/>
      <w:bookmarkEnd w:id="9"/>
      <w:r>
        <w:rPr>
          <w:rFonts w:ascii="Times New Roman" w:eastAsia="Calibri" w:hAnsi="Times New Roman" w:cs="Times New Roman"/>
          <w:b/>
          <w:lang w:eastAsia="lt-LT"/>
        </w:rPr>
        <w:t>SUVYD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Ant lizdinės plokštelės ir ant kartono dėžutės po ‚,</w:t>
      </w:r>
      <w:r w:rsidRPr="009A43DB">
        <w:rPr>
          <w:rFonts w:ascii="Times New Roman" w:eastAsia="Calibri" w:hAnsi="Times New Roman" w:cs="Times New Roman"/>
          <w:caps/>
          <w:color w:val="000000"/>
          <w:lang w:eastAsia="lt-LT"/>
        </w:rPr>
        <w:t>Exp“</w:t>
      </w:r>
      <w:r w:rsidRPr="009A43DB">
        <w:rPr>
          <w:rFonts w:ascii="Times New Roman" w:eastAsia="Calibri" w:hAnsi="Times New Roman" w:cs="Times New Roman"/>
          <w:lang w:eastAsia="lt-LT"/>
        </w:rPr>
        <w:t xml:space="preserve"> nurodytam tinkamumo laikui pasibaigus, šio vaisto vartoti negalima. Vaistas tinkamas vartoti iki paskutinės nurodyto mėnesio dienos.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9A43DB">
        <w:rPr>
          <w:rFonts w:ascii="Times New Roman" w:eastAsia="Times New Roman" w:hAnsi="Times New Roman" w:cs="Times New Roman"/>
          <w:snapToGrid w:val="0"/>
        </w:rPr>
        <w:t>Šiam vaistui specialių laikymo sąlygų nereikia.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  <w:bookmarkStart w:id="10" w:name="_Toc129243269"/>
      <w:bookmarkStart w:id="11" w:name="_Toc129243144"/>
      <w:r w:rsidRPr="009A43DB">
        <w:rPr>
          <w:rFonts w:ascii="Times New Roman" w:eastAsia="Calibri" w:hAnsi="Times New Roman" w:cs="Times New Roman"/>
          <w:b/>
          <w:lang w:eastAsia="lt-LT"/>
        </w:rPr>
        <w:t>6.</w:t>
      </w:r>
      <w:r w:rsidRPr="009A43DB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  <w:bookmarkEnd w:id="10"/>
      <w:bookmarkEnd w:id="11"/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SUVYD</w:t>
      </w:r>
      <w:r w:rsidRPr="009A43DB">
        <w:rPr>
          <w:rFonts w:ascii="Times New Roman" w:eastAsia="Calibri" w:hAnsi="Times New Roman" w:cs="Times New Roman"/>
          <w:b/>
          <w:lang w:eastAsia="lt-LT"/>
        </w:rPr>
        <w:t xml:space="preserve"> sudėtis</w:t>
      </w:r>
    </w:p>
    <w:p w:rsidR="00B12BE7" w:rsidRPr="00701D2E" w:rsidRDefault="00B12BE7" w:rsidP="00B12BE7">
      <w:pPr>
        <w:pStyle w:val="Sraopastraipa"/>
        <w:widowControl w:val="0"/>
        <w:numPr>
          <w:ilvl w:val="0"/>
          <w:numId w:val="10"/>
        </w:numPr>
        <w:tabs>
          <w:tab w:val="left" w:pos="567"/>
        </w:tabs>
        <w:ind w:left="567" w:hanging="567"/>
      </w:pPr>
      <w:r w:rsidRPr="00701D2E">
        <w:t>Veiklioji medžiaga yra kolekalciferolis. Kiekvienoje minkštojoje kapsulėje yra 0,5 mg kolekalciferolio (vitamino D</w:t>
      </w:r>
      <w:r w:rsidRPr="00701D2E">
        <w:rPr>
          <w:vertAlign w:val="subscript"/>
        </w:rPr>
        <w:t>3</w:t>
      </w:r>
      <w:r w:rsidRPr="00701D2E">
        <w:t>;</w:t>
      </w:r>
      <w:r>
        <w:t xml:space="preserve"> tai</w:t>
      </w:r>
      <w:r w:rsidRPr="00701D2E">
        <w:t xml:space="preserve"> atitinka 20 000 TV).</w:t>
      </w:r>
    </w:p>
    <w:p w:rsidR="00B12BE7" w:rsidRDefault="00B12BE7" w:rsidP="00B12BE7">
      <w:pPr>
        <w:pStyle w:val="Sraopastraipa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</w:pPr>
      <w:r w:rsidRPr="009A43DB">
        <w:t>Pagalbinės medžiagos yra</w:t>
      </w:r>
      <w:r>
        <w:t>:</w:t>
      </w:r>
    </w:p>
    <w:p w:rsidR="00B12BE7" w:rsidRDefault="00B12BE7" w:rsidP="00B12BE7">
      <w:pPr>
        <w:pStyle w:val="Sraopastraipa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851" w:hanging="284"/>
      </w:pPr>
      <w:r>
        <w:t>kapsulės turinys: vidutinės grandinės trigliceridai, D</w:t>
      </w:r>
      <w:r>
        <w:noBreakHyphen/>
        <w:t>alfa tokoferolis, rafinuotas sojų aliejus</w:t>
      </w:r>
    </w:p>
    <w:p w:rsidR="00B12BE7" w:rsidRDefault="00B12BE7" w:rsidP="00B12BE7">
      <w:pPr>
        <w:pStyle w:val="Sraopastraipa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851" w:hanging="284"/>
      </w:pPr>
      <w:r>
        <w:t>kapsulės apvalkalas: želatina, glicerolis, išgrynintas vanduo.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>
        <w:rPr>
          <w:rFonts w:ascii="Times New Roman" w:eastAsia="Calibri" w:hAnsi="Times New Roman" w:cs="Times New Roman"/>
          <w:b/>
          <w:lang w:eastAsia="lt-LT"/>
        </w:rPr>
        <w:t>SUVYD</w:t>
      </w:r>
      <w:r w:rsidRPr="009A43DB">
        <w:rPr>
          <w:rFonts w:ascii="Times New Roman" w:eastAsia="Calibri" w:hAnsi="Times New Roman" w:cs="Times New Roman"/>
          <w:b/>
          <w:lang w:eastAsia="lt-LT"/>
        </w:rPr>
        <w:t xml:space="preserve"> išvaizda ir kiekis pakuotėje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SUVYD yra š</w:t>
      </w:r>
      <w:r w:rsidRPr="009A43DB">
        <w:rPr>
          <w:rFonts w:ascii="Times New Roman" w:eastAsia="Calibri" w:hAnsi="Times New Roman" w:cs="Times New Roman"/>
        </w:rPr>
        <w:t>viesiai geltonos, skaidrios, ovalo formos, minkštosios želatinos kapsulės, kuriose yra skaidraus bespalvio skysto užpildo. Kiekviena kapsulė turi žymenį „58“. Apytikslis kapsulės dydis yra 11 x 6 mm.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Supakuota į PVDC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9A43DB">
        <w:rPr>
          <w:rFonts w:ascii="Times New Roman" w:eastAsia="Calibri" w:hAnsi="Times New Roman" w:cs="Times New Roman"/>
          <w:lang w:eastAsia="lt-LT"/>
        </w:rPr>
        <w:t>/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9A43DB">
        <w:rPr>
          <w:rFonts w:ascii="Times New Roman" w:eastAsia="Calibri" w:hAnsi="Times New Roman" w:cs="Times New Roman"/>
          <w:lang w:eastAsia="lt-LT"/>
        </w:rPr>
        <w:t xml:space="preserve">PVC </w:t>
      </w:r>
      <w:r>
        <w:rPr>
          <w:rFonts w:ascii="Times New Roman" w:eastAsia="Calibri" w:hAnsi="Times New Roman" w:cs="Times New Roman"/>
          <w:lang w:eastAsia="lt-LT"/>
        </w:rPr>
        <w:t>a</w:t>
      </w:r>
      <w:r w:rsidRPr="009A43DB">
        <w:rPr>
          <w:rFonts w:ascii="Times New Roman" w:eastAsia="Calibri" w:hAnsi="Times New Roman" w:cs="Times New Roman"/>
          <w:lang w:eastAsia="lt-LT"/>
        </w:rPr>
        <w:t>liuminio lizdines plokšteles.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Pakuotės dyd</w:t>
      </w:r>
      <w:r>
        <w:rPr>
          <w:rFonts w:ascii="Times New Roman" w:eastAsia="Calibri" w:hAnsi="Times New Roman" w:cs="Times New Roman"/>
          <w:lang w:eastAsia="lt-LT"/>
        </w:rPr>
        <w:t>žiai</w:t>
      </w:r>
      <w:r w:rsidRPr="009A43DB">
        <w:rPr>
          <w:rFonts w:ascii="Times New Roman" w:eastAsia="Calibri" w:hAnsi="Times New Roman" w:cs="Times New Roman"/>
          <w:lang w:eastAsia="lt-LT"/>
        </w:rPr>
        <w:t xml:space="preserve">: 4, 5, 14 </w:t>
      </w:r>
      <w:r>
        <w:rPr>
          <w:rFonts w:ascii="Times New Roman" w:eastAsia="Calibri" w:hAnsi="Times New Roman" w:cs="Times New Roman"/>
          <w:lang w:eastAsia="lt-LT"/>
        </w:rPr>
        <w:t>ir 50 </w:t>
      </w:r>
      <w:r w:rsidRPr="009A43DB">
        <w:rPr>
          <w:rFonts w:ascii="Times New Roman" w:eastAsia="Calibri" w:hAnsi="Times New Roman" w:cs="Times New Roman"/>
          <w:lang w:eastAsia="lt-LT"/>
        </w:rPr>
        <w:t>minkštųjų kapsulių.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 New Roman" w:eastAsia="Calibri" w:hAnsi="Times New Roman" w:cs="Times New Roman"/>
          <w:lang w:eastAsia="lt-LT"/>
        </w:rPr>
        <w:t>Gali būti tiekiamos ne visų dydžių pakuotės.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lang w:eastAsia="lt-LT"/>
        </w:rPr>
        <w:t>Registruotojas ir gamintojas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</w:rPr>
      </w:pPr>
      <w:r w:rsidRPr="009A43DB">
        <w:rPr>
          <w:rFonts w:ascii="Times New Roman" w:eastAsia="Times New Roman" w:hAnsi="Times New Roman" w:cs="Times New Roman"/>
          <w:i/>
          <w:snapToGrid w:val="0"/>
        </w:rPr>
        <w:t>Registruotojas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bookmarkStart w:id="12" w:name="_Hlk157503654"/>
      <w:r w:rsidRPr="009A43DB">
        <w:rPr>
          <w:rFonts w:ascii="Times New Roman" w:eastAsia="Times New Roman" w:hAnsi="Times New Roman" w:cs="Times New Roman"/>
          <w:bCs/>
          <w:snapToGrid w:val="0"/>
        </w:rPr>
        <w:t>Zentiva, k.s.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9A43DB">
        <w:rPr>
          <w:rFonts w:ascii="Times New Roman" w:eastAsia="Times New Roman" w:hAnsi="Times New Roman" w:cs="Times New Roman"/>
          <w:bCs/>
          <w:snapToGrid w:val="0"/>
        </w:rPr>
        <w:t>U kabelovny 130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9A43DB">
        <w:rPr>
          <w:rFonts w:ascii="Times New Roman" w:eastAsia="Times New Roman" w:hAnsi="Times New Roman" w:cs="Times New Roman"/>
          <w:bCs/>
          <w:snapToGrid w:val="0"/>
        </w:rPr>
        <w:t>Dolní Měcholupy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9A43DB">
        <w:rPr>
          <w:rFonts w:ascii="Times New Roman" w:eastAsia="Times New Roman" w:hAnsi="Times New Roman" w:cs="Times New Roman"/>
          <w:bCs/>
          <w:snapToGrid w:val="0"/>
        </w:rPr>
        <w:t>102 37 Praha 10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</w:rPr>
      </w:pPr>
      <w:r w:rsidRPr="009A43DB">
        <w:rPr>
          <w:rFonts w:ascii="Times New Roman" w:eastAsia="Times New Roman" w:hAnsi="Times New Roman" w:cs="Times New Roman"/>
          <w:bCs/>
          <w:snapToGrid w:val="0"/>
        </w:rPr>
        <w:t>Čekija</w:t>
      </w:r>
      <w:bookmarkEnd w:id="12"/>
    </w:p>
    <w:p w:rsidR="00B12BE7" w:rsidRPr="00BD3D46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16"/>
          <w:szCs w:val="16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</w:rPr>
      </w:pPr>
      <w:r w:rsidRPr="009A43DB">
        <w:rPr>
          <w:rFonts w:ascii="Times New Roman" w:eastAsia="Times New Roman" w:hAnsi="Times New Roman" w:cs="Times New Roman"/>
          <w:bCs/>
          <w:i/>
          <w:snapToGrid w:val="0"/>
        </w:rPr>
        <w:t>Gamintojas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-Bold" w:hAnsi="Times-Bold" w:cs="Times-Bold"/>
        </w:rPr>
      </w:pPr>
      <w:r w:rsidRPr="009A43DB">
        <w:rPr>
          <w:rFonts w:ascii="Times-Bold" w:hAnsi="Times-Bold" w:cs="Times-Bold"/>
        </w:rPr>
        <w:t>FLAVINE PHARMA FRANCE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-Bold" w:hAnsi="Times-Bold" w:cs="Times-Bold"/>
        </w:rPr>
      </w:pPr>
      <w:r w:rsidRPr="009A43DB">
        <w:rPr>
          <w:rFonts w:ascii="Times-Bold" w:hAnsi="Times-Bold" w:cs="Times-Bold"/>
        </w:rPr>
        <w:t>3 voie d’Allemagne, 13127, VITROLLES</w:t>
      </w: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A43DB">
        <w:rPr>
          <w:rFonts w:ascii="Times-Bold" w:hAnsi="Times-Bold" w:cs="Times-Bold"/>
        </w:rPr>
        <w:t>Prancūzija</w:t>
      </w:r>
    </w:p>
    <w:p w:rsidR="00B12BE7" w:rsidRPr="00BD3D46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B12BE7" w:rsidRPr="009A43DB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9A43DB">
        <w:rPr>
          <w:rFonts w:ascii="Times New Roman" w:eastAsia="Times New Roman" w:hAnsi="Times New Roman" w:cs="Times New Roman"/>
          <w:b/>
          <w:snapToGrid w:val="0"/>
        </w:rPr>
        <w:t>Šis vaistas Europos ekonominės erdvės valstybėse narėse registruotas tokiais pavadinimais</w:t>
      </w:r>
      <w:r w:rsidRPr="009A43DB">
        <w:rPr>
          <w:rFonts w:ascii="Times New Roman" w:eastAsia="Times New Roman" w:hAnsi="Times New Roman" w:cs="Times New Roman"/>
          <w:snapToGrid w:val="0"/>
        </w:rPr>
        <w:t>:</w:t>
      </w:r>
    </w:p>
    <w:p w:rsidR="00B12BE7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Estija, Latvija, Lietuva – SUVYD</w:t>
      </w:r>
    </w:p>
    <w:p w:rsidR="00B12BE7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Italija – Colecalciferolo Zentiva Srl</w:t>
      </w:r>
    </w:p>
    <w:p w:rsidR="00B12BE7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Lenkija – Prodywit</w:t>
      </w:r>
    </w:p>
    <w:p w:rsidR="00B12BE7" w:rsidRPr="00DC48E8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Vokietija – Vitamin D</w:t>
      </w:r>
      <w:r w:rsidRPr="00904A1C">
        <w:rPr>
          <w:rFonts w:ascii="Times New Roman" w:eastAsia="Times New Roman" w:hAnsi="Times New Roman" w:cs="Times New Roman"/>
          <w:snapToGrid w:val="0"/>
          <w:lang w:val="pt-PT"/>
        </w:rPr>
        <w:t>3</w:t>
      </w:r>
      <w:r>
        <w:rPr>
          <w:rFonts w:ascii="Times New Roman" w:eastAsia="Times New Roman" w:hAnsi="Times New Roman" w:cs="Times New Roman"/>
          <w:snapToGrid w:val="0"/>
        </w:rPr>
        <w:t xml:space="preserve"> Zentiva</w:t>
      </w:r>
    </w:p>
    <w:p w:rsidR="00B12BE7" w:rsidRPr="009A43DB" w:rsidRDefault="00B12BE7" w:rsidP="00B12BE7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9A43DB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9A43DB">
        <w:rPr>
          <w:rFonts w:ascii="Times New Roman" w:eastAsia="Calibri" w:hAnsi="Times New Roman" w:cs="Times New Roman"/>
          <w:b/>
          <w:lang w:eastAsia="lt-LT"/>
        </w:rPr>
        <w:t xml:space="preserve"> paskutinį kartą peržiūrėtas </w:t>
      </w:r>
      <w:r>
        <w:rPr>
          <w:rFonts w:ascii="Times New Roman" w:eastAsia="Calibri" w:hAnsi="Times New Roman" w:cs="Times New Roman"/>
          <w:b/>
          <w:lang w:eastAsia="lt-LT"/>
        </w:rPr>
        <w:t>2025-01-06.</w:t>
      </w:r>
    </w:p>
    <w:p w:rsidR="00B12BE7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:rsidR="00B12BE7" w:rsidRPr="009A43DB" w:rsidRDefault="00B12BE7" w:rsidP="00B12BE7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701D2E">
        <w:rPr>
          <w:rFonts w:ascii="Times New Roman" w:eastAsia="Times New Roman" w:hAnsi="Times New Roman" w:cs="Times New Roman"/>
          <w:szCs w:val="20"/>
        </w:rPr>
        <w:t xml:space="preserve">Išsami informacija apie šį </w:t>
      </w:r>
      <w:r w:rsidRPr="00701D2E">
        <w:rPr>
          <w:rFonts w:ascii="Times New Roman" w:eastAsia="Times New Roman" w:hAnsi="Times New Roman" w:cs="Times New Roman"/>
          <w:szCs w:val="24"/>
        </w:rPr>
        <w:t>vaistą</w:t>
      </w:r>
      <w:r w:rsidRPr="00701D2E">
        <w:rPr>
          <w:rFonts w:ascii="Times New Roman" w:eastAsia="Times New Roman" w:hAnsi="Times New Roman" w:cs="Times New Roman"/>
          <w:szCs w:val="20"/>
        </w:rPr>
        <w:t xml:space="preserve"> pateikiama Valstybinės vaistų kontrolės tarnybos prie Lietuvos Respublikos sveikatos apsaugos ministerijos tinklalapyje</w:t>
      </w:r>
      <w:r w:rsidRPr="00701D2E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Pr="00701D2E">
        <w:rPr>
          <w:rFonts w:ascii="Times New Roman" w:eastAsia="SimSun" w:hAnsi="Times New Roman" w:cs="Times New Roman"/>
          <w:color w:val="0000FF"/>
          <w:szCs w:val="20"/>
          <w:u w:val="single"/>
        </w:rPr>
        <w:t>https://vvkt.lrv.lt/lt/</w:t>
      </w:r>
      <w:r w:rsidRPr="00701D2E">
        <w:rPr>
          <w:rFonts w:ascii="Times New Roman" w:eastAsia="Times New Roman" w:hAnsi="Times New Roman" w:cs="Times New Roman"/>
          <w:szCs w:val="20"/>
        </w:rPr>
        <w:t>.</w:t>
      </w:r>
    </w:p>
    <w:p w:rsidR="00BA6577" w:rsidRDefault="00BA6577">
      <w:bookmarkStart w:id="13" w:name="_GoBack"/>
      <w:bookmarkEnd w:id="13"/>
    </w:p>
    <w:sectPr w:rsidR="00BA6577" w:rsidSect="003F1B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E6" w:rsidRDefault="00B12BE7" w:rsidP="003F1BE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3F1BE6" w:rsidRDefault="00B12BE7" w:rsidP="003F1B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00192"/>
      <w:docPartObj>
        <w:docPartGallery w:val="Page Numbers (Bottom of Page)"/>
        <w:docPartUnique/>
      </w:docPartObj>
    </w:sdtPr>
    <w:sdtEndPr/>
    <w:sdtContent>
      <w:p w:rsidR="003F1BE6" w:rsidRDefault="00B12BE7">
        <w:pPr>
          <w:pStyle w:val="Porat"/>
          <w:jc w:val="center"/>
        </w:pPr>
        <w:r w:rsidRPr="006037C4">
          <w:rPr>
            <w:sz w:val="22"/>
          </w:rPr>
          <w:fldChar w:fldCharType="begin"/>
        </w:r>
        <w:r w:rsidRPr="006037C4">
          <w:rPr>
            <w:sz w:val="22"/>
          </w:rPr>
          <w:instrText>PAGE   \* MERGEFORMAT</w:instrText>
        </w:r>
        <w:r w:rsidRPr="006037C4">
          <w:rPr>
            <w:sz w:val="22"/>
          </w:rPr>
          <w:fldChar w:fldCharType="separate"/>
        </w:r>
        <w:r w:rsidRPr="00B12BE7">
          <w:rPr>
            <w:noProof/>
            <w:sz w:val="22"/>
            <w:lang w:val="lt-LT"/>
          </w:rPr>
          <w:t>1</w:t>
        </w:r>
        <w:r w:rsidRPr="006037C4">
          <w:rPr>
            <w:sz w:val="22"/>
          </w:rPr>
          <w:fldChar w:fldCharType="end"/>
        </w:r>
      </w:p>
    </w:sdtContent>
  </w:sdt>
  <w:p w:rsidR="003F1BE6" w:rsidRDefault="00B12BE7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E6" w:rsidRDefault="00B12BE7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CBFF5" wp14:editId="028CF2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1BE6" w:rsidRPr="00743652" w:rsidRDefault="00B12BE7" w:rsidP="003F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6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CB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-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" filled="f" stroked="f">
              <v:textbox style="mso-fit-shape-to-text:t" inset="0,15pt,20pt,0">
                <w:txbxContent>
                  <w:p w:rsidR="003F1BE6" w:rsidRPr="00743652" w:rsidRDefault="00B12BE7" w:rsidP="003F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6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E" w:rsidRDefault="00B12BE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E6" w:rsidRDefault="00B12BE7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457935" wp14:editId="2847DB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F1BE6" w:rsidRPr="00743652" w:rsidRDefault="00B12BE7" w:rsidP="003F1BE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36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7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-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eBQgp2kCAACvBAAADgAAAAAAAAAAAAAAAAAuAgAAZHJz&#10;L2Uyb0RvYy54bWxQSwECLQAUAAYACAAAACEAd1eEQtoAAAADAQAADwAAAAAAAAAAAAAAAADDBAAA&#10;ZHJzL2Rvd25yZXYueG1sUEsFBgAAAAAEAAQA8wAAAMoFAAAAAA==&#10;" filled="f" stroked="f">
              <v:textbox style="mso-fit-shape-to-text:t" inset="0,15pt,20pt,0">
                <w:txbxContent>
                  <w:p w:rsidR="003F1BE6" w:rsidRPr="00743652" w:rsidRDefault="00B12BE7" w:rsidP="003F1BE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36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5F08"/>
    <w:multiLevelType w:val="hybridMultilevel"/>
    <w:tmpl w:val="60FAF4C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349"/>
    <w:multiLevelType w:val="hybridMultilevel"/>
    <w:tmpl w:val="648C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51C8"/>
    <w:multiLevelType w:val="hybridMultilevel"/>
    <w:tmpl w:val="466A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B53"/>
    <w:multiLevelType w:val="hybridMultilevel"/>
    <w:tmpl w:val="0D0C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46DFB"/>
    <w:multiLevelType w:val="hybridMultilevel"/>
    <w:tmpl w:val="0A2EE85E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20EF"/>
    <w:multiLevelType w:val="hybridMultilevel"/>
    <w:tmpl w:val="485664E4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A6553"/>
    <w:multiLevelType w:val="hybridMultilevel"/>
    <w:tmpl w:val="F4EA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23358"/>
    <w:multiLevelType w:val="hybridMultilevel"/>
    <w:tmpl w:val="2102B6CA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B52CC"/>
    <w:multiLevelType w:val="hybridMultilevel"/>
    <w:tmpl w:val="3E52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E7A27"/>
    <w:multiLevelType w:val="hybridMultilevel"/>
    <w:tmpl w:val="7086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E4890">
      <w:numFmt w:val="bullet"/>
      <w:lvlText w:val="•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36B6A"/>
    <w:multiLevelType w:val="hybridMultilevel"/>
    <w:tmpl w:val="C39C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E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12BE7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9EE1"/>
  <w15:chartTrackingRefBased/>
  <w15:docId w15:val="{28A22902-623A-4478-BA0F-BE2DAEA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2B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12B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B12BE7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B12B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2BE7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Puslapionumeris">
    <w:name w:val="page number"/>
    <w:basedOn w:val="Numatytasispastraiposriftas"/>
    <w:uiPriority w:val="99"/>
    <w:rsid w:val="00B12BE7"/>
  </w:style>
  <w:style w:type="paragraph" w:styleId="Sraopastraipa">
    <w:name w:val="List Paragraph"/>
    <w:basedOn w:val="prastasis"/>
    <w:uiPriority w:val="34"/>
    <w:qFormat/>
    <w:rsid w:val="00B12B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6538</Words>
  <Characters>3727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2025-01-17T08:37:00Z</dcterms:created>
  <dcterms:modified xsi:type="dcterms:W3CDTF">2025-01-17T08:38:00Z</dcterms:modified>
</cp:coreProperties>
</file>