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78FA" w14:textId="0D71DF05" w:rsidR="00FB10DC" w:rsidRPr="00372A4B" w:rsidRDefault="00FB10DC" w:rsidP="00FB10DC">
      <w:pPr>
        <w:pStyle w:val="TTEMEASMCA"/>
        <w:rPr>
          <w:lang w:val="lt-LT"/>
        </w:rPr>
      </w:pPr>
      <w:bookmarkStart w:id="0" w:name="_Toc129243138"/>
      <w:bookmarkStart w:id="1" w:name="_Toc129243263"/>
      <w:r w:rsidRPr="00372A4B">
        <w:rPr>
          <w:caps w:val="0"/>
          <w:lang w:val="lt-LT"/>
        </w:rPr>
        <w:t>Pakuotės lapelis: informacija vartotojui</w:t>
      </w:r>
      <w:bookmarkEnd w:id="0"/>
      <w:bookmarkEnd w:id="1"/>
    </w:p>
    <w:p w14:paraId="13EBF3D4" w14:textId="77777777" w:rsidR="00FB10DC" w:rsidRPr="00372A4B" w:rsidRDefault="00FB10DC" w:rsidP="00F1291E">
      <w:pPr>
        <w:pStyle w:val="BTEMEASMCA"/>
      </w:pPr>
    </w:p>
    <w:p w14:paraId="5DF5B9CC" w14:textId="5530D3E8" w:rsidR="00FB10DC" w:rsidRPr="00372A4B" w:rsidRDefault="00372A4B" w:rsidP="00F1291E">
      <w:pPr>
        <w:pStyle w:val="BTbeEMEASMCA"/>
      </w:pPr>
      <w:r w:rsidRPr="00372A4B">
        <w:t>Amolytin</w:t>
      </w:r>
      <w:r w:rsidR="00FB10DC" w:rsidRPr="00372A4B">
        <w:t xml:space="preserve"> 30 mg tabletės </w:t>
      </w:r>
    </w:p>
    <w:p w14:paraId="36E5A046" w14:textId="77777777" w:rsidR="00FB10DC" w:rsidRPr="00372A4B" w:rsidRDefault="00FB10DC" w:rsidP="00F1291E">
      <w:pPr>
        <w:pStyle w:val="BTeEMEASMCA"/>
      </w:pPr>
      <w:r w:rsidRPr="00372A4B">
        <w:t>ambroksolio hidrochloridas</w:t>
      </w:r>
    </w:p>
    <w:p w14:paraId="22427D1E" w14:textId="77777777" w:rsidR="00FB10DC" w:rsidRPr="00372A4B" w:rsidRDefault="00FB10DC" w:rsidP="00F1291E">
      <w:pPr>
        <w:pStyle w:val="BTeEMEASMCA"/>
      </w:pPr>
    </w:p>
    <w:p w14:paraId="4EB60AA9" w14:textId="0A0E724C" w:rsidR="00372A4B" w:rsidRPr="00372A4B" w:rsidRDefault="00372A4B" w:rsidP="00372A4B">
      <w:pPr>
        <w:keepNext/>
        <w:numPr>
          <w:ilvl w:val="12"/>
          <w:numId w:val="0"/>
        </w:numPr>
        <w:ind w:right="-2"/>
        <w:rPr>
          <w:sz w:val="22"/>
          <w:szCs w:val="20"/>
          <w:lang w:eastAsia="lt-LT"/>
        </w:rPr>
      </w:pPr>
      <w:r w:rsidRPr="00372A4B">
        <w:rPr>
          <w:b/>
          <w:sz w:val="22"/>
          <w:szCs w:val="20"/>
          <w:lang w:eastAsia="lt-LT"/>
        </w:rPr>
        <w:t>Atidžiai perskaitykite visą šį lapelį, prieš pradėdami vartoti vaistą, nes jame pateikiama Jums svarbi informacija.</w:t>
      </w:r>
    </w:p>
    <w:p w14:paraId="38C3DE72" w14:textId="087E8E3E" w:rsidR="00372A4B" w:rsidRPr="00372A4B" w:rsidRDefault="00372A4B" w:rsidP="00372A4B">
      <w:pPr>
        <w:numPr>
          <w:ilvl w:val="12"/>
          <w:numId w:val="0"/>
        </w:numPr>
        <w:ind w:right="-2"/>
        <w:rPr>
          <w:sz w:val="22"/>
          <w:szCs w:val="20"/>
          <w:lang w:eastAsia="lt-LT"/>
        </w:rPr>
      </w:pPr>
      <w:r w:rsidRPr="00372A4B">
        <w:rPr>
          <w:sz w:val="22"/>
          <w:szCs w:val="20"/>
          <w:lang w:eastAsia="lt-LT"/>
        </w:rPr>
        <w:t xml:space="preserve">Visada vartokite šį vaistą tiksliai kaip aprašyta šiame lapelyje arba kaip nurodė gydytojas arba vaistininkas. </w:t>
      </w:r>
    </w:p>
    <w:p w14:paraId="4D398837" w14:textId="77777777" w:rsidR="00372A4B" w:rsidRPr="00372A4B" w:rsidRDefault="00372A4B" w:rsidP="00372A4B">
      <w:pPr>
        <w:numPr>
          <w:ilvl w:val="0"/>
          <w:numId w:val="7"/>
        </w:numPr>
        <w:tabs>
          <w:tab w:val="left" w:pos="567"/>
        </w:tabs>
        <w:spacing w:line="260" w:lineRule="exact"/>
        <w:ind w:left="567" w:hanging="567"/>
        <w:rPr>
          <w:sz w:val="22"/>
          <w:szCs w:val="20"/>
          <w:lang w:eastAsia="lt-LT"/>
        </w:rPr>
      </w:pPr>
      <w:r w:rsidRPr="00372A4B">
        <w:rPr>
          <w:sz w:val="22"/>
          <w:szCs w:val="20"/>
          <w:lang w:eastAsia="lt-LT"/>
        </w:rPr>
        <w:t xml:space="preserve">Neišmeskite šio lapelio, nes vėl gali prireikti jį perskaityti. </w:t>
      </w:r>
    </w:p>
    <w:p w14:paraId="332B86CA" w14:textId="64186B99" w:rsidR="00372A4B" w:rsidRPr="00372A4B" w:rsidRDefault="00372A4B" w:rsidP="00372A4B">
      <w:pPr>
        <w:numPr>
          <w:ilvl w:val="0"/>
          <w:numId w:val="7"/>
        </w:numPr>
        <w:tabs>
          <w:tab w:val="left" w:pos="567"/>
        </w:tabs>
        <w:spacing w:line="260" w:lineRule="exact"/>
        <w:ind w:left="567" w:hanging="567"/>
        <w:rPr>
          <w:sz w:val="22"/>
          <w:szCs w:val="20"/>
          <w:lang w:eastAsia="lt-LT"/>
        </w:rPr>
      </w:pPr>
      <w:r w:rsidRPr="00372A4B">
        <w:rPr>
          <w:sz w:val="22"/>
          <w:szCs w:val="20"/>
          <w:lang w:eastAsia="lt-LT"/>
        </w:rPr>
        <w:t>Jeigu norite sužinoti daugiau arba pasitarti, kreipkitės į</w:t>
      </w:r>
      <w:r w:rsidR="00BC27A4">
        <w:rPr>
          <w:sz w:val="22"/>
          <w:szCs w:val="20"/>
          <w:lang w:eastAsia="lt-LT"/>
        </w:rPr>
        <w:t xml:space="preserve"> gydytoją arba</w:t>
      </w:r>
      <w:r w:rsidRPr="00372A4B">
        <w:rPr>
          <w:sz w:val="22"/>
          <w:szCs w:val="20"/>
          <w:lang w:eastAsia="lt-LT"/>
        </w:rPr>
        <w:t xml:space="preserve"> vaistininką.</w:t>
      </w:r>
    </w:p>
    <w:p w14:paraId="27DEC0EF" w14:textId="350DA8C7" w:rsidR="00372A4B" w:rsidRPr="00372A4B" w:rsidRDefault="00372A4B" w:rsidP="00372A4B">
      <w:pPr>
        <w:numPr>
          <w:ilvl w:val="0"/>
          <w:numId w:val="7"/>
        </w:numPr>
        <w:tabs>
          <w:tab w:val="left" w:pos="567"/>
        </w:tabs>
        <w:spacing w:line="260" w:lineRule="exact"/>
        <w:ind w:left="567" w:hanging="567"/>
        <w:rPr>
          <w:sz w:val="22"/>
          <w:szCs w:val="20"/>
          <w:lang w:eastAsia="lt-LT"/>
        </w:rPr>
      </w:pPr>
      <w:r w:rsidRPr="00372A4B">
        <w:rPr>
          <w:sz w:val="22"/>
          <w:szCs w:val="20"/>
          <w:lang w:eastAsia="lt-LT"/>
        </w:rPr>
        <w:t>Jeigu pasireiškė šalutinis poveikis (net jeigu jis šiame lapelyje nenurodytas), kreipkitės į gydytoją arba vaistininką. Žr. 4 skyrių.</w:t>
      </w:r>
    </w:p>
    <w:p w14:paraId="67E333F5" w14:textId="47D973A3" w:rsidR="00372A4B" w:rsidRPr="00372A4B" w:rsidRDefault="00372A4B" w:rsidP="00FB10DC">
      <w:pPr>
        <w:numPr>
          <w:ilvl w:val="0"/>
          <w:numId w:val="7"/>
        </w:numPr>
        <w:tabs>
          <w:tab w:val="left" w:pos="567"/>
        </w:tabs>
        <w:spacing w:line="260" w:lineRule="exact"/>
        <w:ind w:left="567" w:hanging="567"/>
        <w:rPr>
          <w:sz w:val="22"/>
          <w:szCs w:val="20"/>
          <w:lang w:eastAsia="lt-LT"/>
        </w:rPr>
      </w:pPr>
      <w:r w:rsidRPr="00372A4B">
        <w:rPr>
          <w:sz w:val="22"/>
          <w:szCs w:val="20"/>
          <w:lang w:eastAsia="lt-LT"/>
        </w:rPr>
        <w:t>Jeigu per 4</w:t>
      </w:r>
      <w:r w:rsidRPr="00372A4B">
        <w:rPr>
          <w:sz w:val="22"/>
          <w:szCs w:val="20"/>
          <w:lang w:eastAsia="lt-LT"/>
        </w:rPr>
        <w:sym w:font="Symbol" w:char="F02D"/>
      </w:r>
      <w:r w:rsidRPr="00372A4B">
        <w:rPr>
          <w:sz w:val="22"/>
          <w:szCs w:val="20"/>
          <w:lang w:eastAsia="lt-LT"/>
        </w:rPr>
        <w:t>5 dienas Jūsų savijauta nepagerėjo arba net pablogėjo, kreipkitės į gydytoją.</w:t>
      </w:r>
    </w:p>
    <w:p w14:paraId="3838AA59" w14:textId="77777777" w:rsidR="00372A4B" w:rsidRPr="00372A4B" w:rsidRDefault="00372A4B" w:rsidP="00F1291E">
      <w:pPr>
        <w:pStyle w:val="BTbEMEASMCA"/>
      </w:pPr>
    </w:p>
    <w:p w14:paraId="27B06868" w14:textId="77777777" w:rsidR="00372A4B" w:rsidRPr="00372A4B" w:rsidRDefault="00372A4B" w:rsidP="00F1291E">
      <w:pPr>
        <w:pStyle w:val="BTbEMEASMCA"/>
      </w:pPr>
    </w:p>
    <w:p w14:paraId="5A209224" w14:textId="08346772" w:rsidR="00372A4B" w:rsidRDefault="00FB10DC" w:rsidP="00F1291E">
      <w:pPr>
        <w:pStyle w:val="BTbEMEASMCA"/>
      </w:pPr>
      <w:r w:rsidRPr="00372A4B">
        <w:t>Apie ką rašoma šiame lapelyje?</w:t>
      </w:r>
    </w:p>
    <w:p w14:paraId="5B6A7D4A" w14:textId="77777777" w:rsidR="00126C00" w:rsidRPr="00372A4B" w:rsidRDefault="00126C00" w:rsidP="00F1291E">
      <w:pPr>
        <w:pStyle w:val="BTbEMEASMCA"/>
      </w:pPr>
    </w:p>
    <w:p w14:paraId="110C8B1F" w14:textId="6E81242C" w:rsidR="00FB10DC" w:rsidRPr="00FB61E6" w:rsidRDefault="00FB10DC" w:rsidP="00FB10DC">
      <w:pPr>
        <w:ind w:left="567" w:hanging="567"/>
        <w:rPr>
          <w:sz w:val="22"/>
        </w:rPr>
      </w:pPr>
      <w:r w:rsidRPr="00FB61E6">
        <w:rPr>
          <w:sz w:val="22"/>
        </w:rPr>
        <w:t xml:space="preserve">1.      Kas yra </w:t>
      </w:r>
      <w:r w:rsidR="00372A4B" w:rsidRPr="00FB61E6">
        <w:rPr>
          <w:sz w:val="22"/>
        </w:rPr>
        <w:t>Amolytin</w:t>
      </w:r>
      <w:r w:rsidRPr="00FB61E6">
        <w:rPr>
          <w:sz w:val="22"/>
        </w:rPr>
        <w:t xml:space="preserve"> ir kam jis vartojamas</w:t>
      </w:r>
    </w:p>
    <w:p w14:paraId="2941DD6F" w14:textId="344336F8" w:rsidR="00FB10DC" w:rsidRPr="00FB61E6" w:rsidRDefault="00FB10DC" w:rsidP="00FB10DC">
      <w:pPr>
        <w:ind w:left="567" w:hanging="567"/>
        <w:rPr>
          <w:sz w:val="22"/>
        </w:rPr>
      </w:pPr>
      <w:r w:rsidRPr="00FB61E6">
        <w:rPr>
          <w:sz w:val="22"/>
        </w:rPr>
        <w:t xml:space="preserve">2.      Kas žinotina prieš vartojant </w:t>
      </w:r>
      <w:r w:rsidR="00372A4B" w:rsidRPr="00FB61E6">
        <w:rPr>
          <w:sz w:val="22"/>
        </w:rPr>
        <w:t>Amolytin</w:t>
      </w:r>
      <w:r w:rsidRPr="00FB61E6">
        <w:rPr>
          <w:sz w:val="22"/>
        </w:rPr>
        <w:t xml:space="preserve"> </w:t>
      </w:r>
    </w:p>
    <w:p w14:paraId="5ED8B580" w14:textId="1208B86E" w:rsidR="00FB10DC" w:rsidRPr="00FB61E6" w:rsidRDefault="00FB10DC" w:rsidP="00FB10DC">
      <w:pPr>
        <w:ind w:left="567" w:hanging="567"/>
        <w:rPr>
          <w:sz w:val="22"/>
        </w:rPr>
      </w:pPr>
      <w:r w:rsidRPr="00FB61E6">
        <w:rPr>
          <w:sz w:val="22"/>
        </w:rPr>
        <w:t xml:space="preserve">3.      Kaip vartoti </w:t>
      </w:r>
      <w:r w:rsidR="00372A4B" w:rsidRPr="00FB61E6">
        <w:rPr>
          <w:sz w:val="22"/>
        </w:rPr>
        <w:t>Amolytin</w:t>
      </w:r>
      <w:r w:rsidRPr="00FB61E6">
        <w:rPr>
          <w:sz w:val="22"/>
        </w:rPr>
        <w:t xml:space="preserve"> </w:t>
      </w:r>
    </w:p>
    <w:p w14:paraId="3AB7E8F6" w14:textId="77777777" w:rsidR="00FB10DC" w:rsidRPr="00FB61E6" w:rsidRDefault="00FB10DC" w:rsidP="00FB10DC">
      <w:pPr>
        <w:ind w:left="567" w:hanging="567"/>
        <w:rPr>
          <w:sz w:val="22"/>
        </w:rPr>
      </w:pPr>
      <w:r w:rsidRPr="00FB61E6">
        <w:rPr>
          <w:sz w:val="22"/>
        </w:rPr>
        <w:t>4.      Galimas šalutinis poveikis</w:t>
      </w:r>
    </w:p>
    <w:p w14:paraId="3C70E9B4" w14:textId="6A84C170" w:rsidR="00FB10DC" w:rsidRPr="00FB61E6" w:rsidRDefault="00FB10DC" w:rsidP="00FB10DC">
      <w:pPr>
        <w:ind w:left="567" w:hanging="567"/>
        <w:rPr>
          <w:sz w:val="22"/>
        </w:rPr>
      </w:pPr>
      <w:r w:rsidRPr="00FB61E6">
        <w:rPr>
          <w:sz w:val="22"/>
        </w:rPr>
        <w:t xml:space="preserve">5.      Kaip laikyti </w:t>
      </w:r>
      <w:r w:rsidR="00372A4B" w:rsidRPr="00FB61E6">
        <w:rPr>
          <w:sz w:val="22"/>
        </w:rPr>
        <w:t>Amoly</w:t>
      </w:r>
      <w:r w:rsidR="00476D93" w:rsidRPr="00FB61E6">
        <w:rPr>
          <w:sz w:val="22"/>
        </w:rPr>
        <w:t>ti</w:t>
      </w:r>
      <w:r w:rsidR="00372A4B" w:rsidRPr="00FB61E6">
        <w:rPr>
          <w:sz w:val="22"/>
        </w:rPr>
        <w:t>n</w:t>
      </w:r>
      <w:r w:rsidRPr="00FB61E6">
        <w:rPr>
          <w:sz w:val="22"/>
        </w:rPr>
        <w:t xml:space="preserve"> </w:t>
      </w:r>
    </w:p>
    <w:p w14:paraId="52C26B0B" w14:textId="77777777" w:rsidR="00FB10DC" w:rsidRPr="00FB61E6" w:rsidRDefault="00FB10DC" w:rsidP="00FB10DC">
      <w:pPr>
        <w:ind w:left="567" w:hanging="567"/>
        <w:rPr>
          <w:sz w:val="22"/>
        </w:rPr>
      </w:pPr>
      <w:r w:rsidRPr="00FB61E6">
        <w:rPr>
          <w:sz w:val="22"/>
        </w:rPr>
        <w:t>6.      Pakuotės turinys ir kita informacija</w:t>
      </w:r>
    </w:p>
    <w:p w14:paraId="079157DF" w14:textId="77777777" w:rsidR="00FB10DC" w:rsidRPr="00CC1603" w:rsidRDefault="00FB10DC" w:rsidP="00F1291E">
      <w:pPr>
        <w:pStyle w:val="BTEMEASMCA"/>
      </w:pPr>
    </w:p>
    <w:p w14:paraId="6DE4B570" w14:textId="77777777" w:rsidR="00FB10DC" w:rsidRPr="00CC1603" w:rsidRDefault="00FB10DC" w:rsidP="00F1291E">
      <w:pPr>
        <w:pStyle w:val="BTEMEASMCA"/>
      </w:pPr>
    </w:p>
    <w:p w14:paraId="7A118910" w14:textId="6556FBF9" w:rsidR="00FB10DC" w:rsidRPr="00CC1603" w:rsidRDefault="00FB10DC" w:rsidP="00FB10DC">
      <w:pPr>
        <w:pStyle w:val="PI-1EMEASMCA"/>
      </w:pPr>
      <w:bookmarkStart w:id="2" w:name="_Toc129243139"/>
      <w:bookmarkStart w:id="3" w:name="_Toc129243264"/>
      <w:r w:rsidRPr="00CC1603">
        <w:t>1.</w:t>
      </w:r>
      <w:r w:rsidRPr="00CC1603">
        <w:tab/>
        <w:t xml:space="preserve">Kas yra </w:t>
      </w:r>
      <w:r w:rsidR="00CE792C">
        <w:t>Amolytin</w:t>
      </w:r>
      <w:r w:rsidRPr="00CC1603">
        <w:t xml:space="preserve"> ir kam jis vartojamas</w:t>
      </w:r>
      <w:bookmarkEnd w:id="2"/>
      <w:bookmarkEnd w:id="3"/>
    </w:p>
    <w:p w14:paraId="0DC422ED" w14:textId="77777777" w:rsidR="00FB10DC" w:rsidRPr="00CC1603" w:rsidRDefault="00FB10DC" w:rsidP="00F1291E">
      <w:pPr>
        <w:pStyle w:val="BTEMEASMCA"/>
      </w:pPr>
    </w:p>
    <w:p w14:paraId="2624219E" w14:textId="7687BE79" w:rsidR="007A5778" w:rsidRDefault="007A5778" w:rsidP="00F1291E">
      <w:pPr>
        <w:pStyle w:val="BTEMEASMCA"/>
        <w:rPr>
          <w:highlight w:val="yellow"/>
        </w:rPr>
      </w:pPr>
      <w:r>
        <w:t>Amolytin</w:t>
      </w:r>
      <w:r w:rsidRPr="007A5778">
        <w:t xml:space="preserve"> tablečių sudėtyje yra veikliosios medžiagos ambroksolio hidrochlorido, kuris skystina </w:t>
      </w:r>
      <w:r>
        <w:t>klampų</w:t>
      </w:r>
      <w:r w:rsidRPr="007A5778">
        <w:t xml:space="preserve"> bronchų sekretą, susidarantį sergant įvairiomis kvėpavimo takų ligomis.</w:t>
      </w:r>
    </w:p>
    <w:p w14:paraId="77F778A7" w14:textId="77777777" w:rsidR="007A5778" w:rsidRDefault="007A5778" w:rsidP="00F1291E">
      <w:pPr>
        <w:pStyle w:val="BTEMEASMCA"/>
      </w:pPr>
    </w:p>
    <w:p w14:paraId="31632E5E" w14:textId="36273847" w:rsidR="00476D93" w:rsidRDefault="00476D93" w:rsidP="00F1291E">
      <w:pPr>
        <w:pStyle w:val="BTEMEASMCA"/>
      </w:pPr>
      <w:r>
        <w:t>Amolytin</w:t>
      </w:r>
      <w:r w:rsidRPr="00476D93">
        <w:t xml:space="preserve"> tabletės </w:t>
      </w:r>
      <w:r w:rsidRPr="007A5778">
        <w:t>skirt</w:t>
      </w:r>
      <w:r>
        <w:t>o</w:t>
      </w:r>
      <w:r w:rsidRPr="007A5778">
        <w:t>s vaikams nuo 6 metų</w:t>
      </w:r>
      <w:r w:rsidRPr="00476D93">
        <w:t xml:space="preserve">, paaugliams ir suaugusiesiems atsikosėjimui lengvinti ir kosuliui malšinti sergant ūminėmis ir lėtinėmis bronchų ir plaučių ligomis, susijusiomis su </w:t>
      </w:r>
      <w:r>
        <w:t>klampių gleivių</w:t>
      </w:r>
      <w:r w:rsidRPr="00476D93">
        <w:t xml:space="preserve"> susidarymu kvėpavimo takuose.</w:t>
      </w:r>
    </w:p>
    <w:p w14:paraId="07ADF011" w14:textId="77777777" w:rsidR="00C51EB8" w:rsidRDefault="00C51EB8" w:rsidP="00F1291E">
      <w:pPr>
        <w:pStyle w:val="BTEMEASMCA"/>
      </w:pPr>
    </w:p>
    <w:p w14:paraId="3C4D91BF" w14:textId="77777777" w:rsidR="00C51EB8" w:rsidRPr="00C51EB8" w:rsidRDefault="00C51EB8" w:rsidP="00F1291E">
      <w:pPr>
        <w:pStyle w:val="BTEMEASMCA"/>
      </w:pPr>
      <w:r w:rsidRPr="00C51EB8">
        <w:t>Jeigu per 4</w:t>
      </w:r>
      <w:r w:rsidRPr="00C51EB8">
        <w:sym w:font="Symbol" w:char="F02D"/>
      </w:r>
      <w:r w:rsidRPr="00C51EB8">
        <w:t>5 dienas Jūsų savijauta nepagerėjo arba net pablogėjo, kreipkitės į gydytoją.</w:t>
      </w:r>
    </w:p>
    <w:p w14:paraId="44BB7D51" w14:textId="77777777" w:rsidR="00FB10DC" w:rsidRPr="00CC1603" w:rsidRDefault="00FB10DC" w:rsidP="00F1291E">
      <w:pPr>
        <w:pStyle w:val="BTEMEASMCA"/>
      </w:pPr>
    </w:p>
    <w:p w14:paraId="67C3552E" w14:textId="77777777" w:rsidR="00FB10DC" w:rsidRPr="00CC1603" w:rsidRDefault="00FB10DC" w:rsidP="00F1291E">
      <w:pPr>
        <w:pStyle w:val="BTEMEASMCA"/>
      </w:pPr>
    </w:p>
    <w:p w14:paraId="4BA7ADDC" w14:textId="12BF9963" w:rsidR="00FB10DC" w:rsidRPr="00977208" w:rsidRDefault="00FB10DC" w:rsidP="00FB10DC">
      <w:pPr>
        <w:pStyle w:val="PI-1EMEASMCA"/>
      </w:pPr>
      <w:bookmarkStart w:id="4" w:name="_Toc129243140"/>
      <w:bookmarkStart w:id="5" w:name="_Toc129243265"/>
      <w:r w:rsidRPr="00977208">
        <w:t>2.</w:t>
      </w:r>
      <w:r w:rsidRPr="00977208">
        <w:tab/>
        <w:t xml:space="preserve">Kas žinotina prieš vartojant </w:t>
      </w:r>
      <w:bookmarkEnd w:id="4"/>
      <w:bookmarkEnd w:id="5"/>
      <w:r w:rsidR="007A5778" w:rsidRPr="00977208">
        <w:t>Amolytin</w:t>
      </w:r>
      <w:r w:rsidRPr="00977208">
        <w:t xml:space="preserve"> </w:t>
      </w:r>
    </w:p>
    <w:p w14:paraId="7AC5BD31" w14:textId="77777777" w:rsidR="00FB10DC" w:rsidRPr="00977208" w:rsidRDefault="00FB10DC" w:rsidP="00F1291E">
      <w:pPr>
        <w:pStyle w:val="BTEMEASMCA"/>
      </w:pPr>
    </w:p>
    <w:p w14:paraId="0EF7ECB3" w14:textId="031532BE" w:rsidR="00FB10DC" w:rsidRPr="00977208" w:rsidRDefault="00476D93" w:rsidP="00C5246B">
      <w:pPr>
        <w:pStyle w:val="PI-3EMEASMCA"/>
      </w:pPr>
      <w:r w:rsidRPr="00977208">
        <w:t>Amolytin</w:t>
      </w:r>
      <w:r w:rsidR="00FB10DC" w:rsidRPr="00977208">
        <w:t xml:space="preserve"> vartoti draudžiama</w:t>
      </w:r>
    </w:p>
    <w:p w14:paraId="58405815" w14:textId="56894D8D" w:rsidR="00FB10DC" w:rsidRPr="00977208" w:rsidRDefault="00FB10DC" w:rsidP="00F1291E">
      <w:pPr>
        <w:pStyle w:val="BT-EMEASMCA"/>
      </w:pPr>
      <w:r w:rsidRPr="00977208">
        <w:t>jeigu yra alergija ambroksolio hidrochloridui arba bet kuriai pagalbinei šio vaisto</w:t>
      </w:r>
      <w:r w:rsidRPr="00977208" w:rsidDel="00664B2F">
        <w:t xml:space="preserve"> </w:t>
      </w:r>
      <w:r w:rsidRPr="00977208">
        <w:t>medžiagai (jos išvardytos 6 skyriuje);</w:t>
      </w:r>
    </w:p>
    <w:p w14:paraId="377FFB4A" w14:textId="3B6500A0" w:rsidR="00FB10DC" w:rsidRPr="00977208" w:rsidRDefault="00FB10DC" w:rsidP="00F1291E">
      <w:pPr>
        <w:pStyle w:val="BT-EMEASMCA"/>
      </w:pPr>
      <w:r w:rsidRPr="00977208">
        <w:t xml:space="preserve">jaunesniems </w:t>
      </w:r>
      <w:r w:rsidR="00476D93" w:rsidRPr="00977208">
        <w:t>kaip</w:t>
      </w:r>
      <w:r w:rsidRPr="00977208">
        <w:t xml:space="preserve"> 6 metų vaikams.</w:t>
      </w:r>
    </w:p>
    <w:p w14:paraId="43D821AC" w14:textId="77777777" w:rsidR="00FB10DC" w:rsidRPr="00977208" w:rsidRDefault="00FB10DC" w:rsidP="00F1291E">
      <w:pPr>
        <w:pStyle w:val="BTEMEASMCA"/>
      </w:pPr>
    </w:p>
    <w:p w14:paraId="55908A84" w14:textId="77777777" w:rsidR="00FB10DC" w:rsidRPr="00977208" w:rsidRDefault="00FB10DC" w:rsidP="00C5246B">
      <w:pPr>
        <w:pStyle w:val="PI-3EMEASMCA"/>
      </w:pPr>
      <w:r w:rsidRPr="00977208">
        <w:t>Įspėjimai ir atsargumo priemonės</w:t>
      </w:r>
    </w:p>
    <w:p w14:paraId="251ECB49" w14:textId="3B163EAA" w:rsidR="00FB10DC" w:rsidRPr="00977208" w:rsidRDefault="00FB10DC" w:rsidP="00FB10DC">
      <w:pPr>
        <w:pStyle w:val="Formatvorlage5"/>
        <w:tabs>
          <w:tab w:val="left" w:pos="2127"/>
        </w:tabs>
        <w:spacing w:after="0"/>
        <w:ind w:left="0" w:firstLine="0"/>
        <w:rPr>
          <w:rFonts w:ascii="Times New Roman" w:hAnsi="Times New Roman"/>
          <w:b w:val="0"/>
          <w:lang w:val="lt-LT"/>
        </w:rPr>
      </w:pPr>
      <w:r w:rsidRPr="00977208">
        <w:rPr>
          <w:rFonts w:ascii="Times New Roman" w:hAnsi="Times New Roman"/>
          <w:b w:val="0"/>
          <w:lang w:val="lt-LT"/>
        </w:rPr>
        <w:t xml:space="preserve">Pasitarkite su gydytoju arba vaistininku, prieš pradėdami vartoti </w:t>
      </w:r>
      <w:r w:rsidR="00CC3A90" w:rsidRPr="00977208">
        <w:rPr>
          <w:rFonts w:ascii="Times New Roman" w:hAnsi="Times New Roman"/>
          <w:b w:val="0"/>
          <w:lang w:val="lt-LT"/>
        </w:rPr>
        <w:t>Amolytin</w:t>
      </w:r>
      <w:r w:rsidR="0021709B" w:rsidRPr="00977208">
        <w:rPr>
          <w:rFonts w:ascii="Times New Roman" w:hAnsi="Times New Roman"/>
          <w:b w:val="0"/>
          <w:lang w:val="lt-LT"/>
        </w:rPr>
        <w:t>:</w:t>
      </w:r>
    </w:p>
    <w:p w14:paraId="004808EA" w14:textId="2FCFA1FD" w:rsidR="00473C56" w:rsidRPr="00977208" w:rsidRDefault="00473C56" w:rsidP="00473C56">
      <w:pPr>
        <w:numPr>
          <w:ilvl w:val="12"/>
          <w:numId w:val="0"/>
        </w:numPr>
        <w:tabs>
          <w:tab w:val="left" w:pos="567"/>
        </w:tabs>
        <w:ind w:left="567" w:hanging="567"/>
        <w:rPr>
          <w:sz w:val="22"/>
          <w:szCs w:val="22"/>
        </w:rPr>
      </w:pPr>
      <w:r w:rsidRPr="00977208">
        <w:rPr>
          <w:sz w:val="22"/>
          <w:szCs w:val="22"/>
        </w:rPr>
        <w:t>-</w:t>
      </w:r>
      <w:r w:rsidRPr="00977208">
        <w:rPr>
          <w:sz w:val="22"/>
          <w:szCs w:val="22"/>
        </w:rPr>
        <w:tab/>
        <w:t xml:space="preserve">jeigu Jums sutrikusi inkstų funkcija arba yra sunkus kepenų </w:t>
      </w:r>
      <w:r w:rsidR="00BC27A4">
        <w:rPr>
          <w:sz w:val="22"/>
          <w:szCs w:val="22"/>
        </w:rPr>
        <w:t>funkcijos</w:t>
      </w:r>
      <w:r w:rsidR="00BC27A4" w:rsidRPr="00977208">
        <w:rPr>
          <w:sz w:val="22"/>
          <w:szCs w:val="22"/>
        </w:rPr>
        <w:t xml:space="preserve"> </w:t>
      </w:r>
      <w:r w:rsidRPr="00977208">
        <w:rPr>
          <w:sz w:val="22"/>
          <w:szCs w:val="22"/>
        </w:rPr>
        <w:t>sutrikimas;</w:t>
      </w:r>
    </w:p>
    <w:p w14:paraId="6DF88856" w14:textId="15D64FF0" w:rsidR="00473C56" w:rsidRPr="00977208" w:rsidRDefault="00473C56" w:rsidP="00473C56">
      <w:pPr>
        <w:numPr>
          <w:ilvl w:val="12"/>
          <w:numId w:val="0"/>
        </w:numPr>
        <w:tabs>
          <w:tab w:val="left" w:pos="567"/>
        </w:tabs>
        <w:ind w:left="567" w:hanging="567"/>
        <w:rPr>
          <w:sz w:val="22"/>
          <w:szCs w:val="22"/>
        </w:rPr>
      </w:pPr>
      <w:r w:rsidRPr="00977208">
        <w:rPr>
          <w:sz w:val="22"/>
          <w:szCs w:val="22"/>
        </w:rPr>
        <w:t>-</w:t>
      </w:r>
      <w:r w:rsidRPr="00977208">
        <w:rPr>
          <w:sz w:val="22"/>
          <w:szCs w:val="22"/>
        </w:rPr>
        <w:tab/>
        <w:t>jeigu anksčiau sirgote opalige;</w:t>
      </w:r>
    </w:p>
    <w:p w14:paraId="55105ADB" w14:textId="1C5A7D65" w:rsidR="00473C56" w:rsidRPr="00977208" w:rsidRDefault="00473C56" w:rsidP="00473C56">
      <w:pPr>
        <w:numPr>
          <w:ilvl w:val="12"/>
          <w:numId w:val="0"/>
        </w:numPr>
        <w:tabs>
          <w:tab w:val="left" w:pos="567"/>
        </w:tabs>
        <w:ind w:left="567" w:hanging="567"/>
        <w:rPr>
          <w:sz w:val="22"/>
          <w:szCs w:val="22"/>
        </w:rPr>
      </w:pPr>
      <w:r w:rsidRPr="00977208">
        <w:rPr>
          <w:sz w:val="22"/>
          <w:szCs w:val="22"/>
        </w:rPr>
        <w:t>-</w:t>
      </w:r>
      <w:r w:rsidRPr="00977208">
        <w:rPr>
          <w:sz w:val="22"/>
          <w:szCs w:val="22"/>
        </w:rPr>
        <w:tab/>
        <w:t>jeigu Jums sutrikusi bronchų motorika ir išsiskiria daug gleivių (</w:t>
      </w:r>
      <w:r w:rsidR="0021709B" w:rsidRPr="00977208">
        <w:rPr>
          <w:sz w:val="22"/>
          <w:szCs w:val="22"/>
        </w:rPr>
        <w:t>pavyzdžiui,</w:t>
      </w:r>
      <w:r w:rsidRPr="00977208">
        <w:rPr>
          <w:sz w:val="22"/>
          <w:szCs w:val="22"/>
        </w:rPr>
        <w:t xml:space="preserve"> esant vadinamajai pirminei </w:t>
      </w:r>
      <w:proofErr w:type="spellStart"/>
      <w:r w:rsidRPr="00977208">
        <w:rPr>
          <w:sz w:val="22"/>
          <w:szCs w:val="22"/>
        </w:rPr>
        <w:t>ciliarinei</w:t>
      </w:r>
      <w:proofErr w:type="spellEnd"/>
      <w:r w:rsidRPr="00977208">
        <w:rPr>
          <w:sz w:val="22"/>
          <w:szCs w:val="22"/>
        </w:rPr>
        <w:t xml:space="preserve"> </w:t>
      </w:r>
      <w:proofErr w:type="spellStart"/>
      <w:r w:rsidRPr="00977208">
        <w:rPr>
          <w:sz w:val="22"/>
          <w:szCs w:val="22"/>
        </w:rPr>
        <w:t>diskinezijai</w:t>
      </w:r>
      <w:proofErr w:type="spellEnd"/>
      <w:r w:rsidRPr="00977208">
        <w:rPr>
          <w:sz w:val="22"/>
          <w:szCs w:val="22"/>
        </w:rPr>
        <w:t xml:space="preserve">). </w:t>
      </w:r>
    </w:p>
    <w:p w14:paraId="79BF1F30" w14:textId="77777777" w:rsidR="00473C56" w:rsidRPr="00105029" w:rsidRDefault="00473C56" w:rsidP="00473C56">
      <w:pPr>
        <w:numPr>
          <w:ilvl w:val="12"/>
          <w:numId w:val="0"/>
        </w:numPr>
        <w:tabs>
          <w:tab w:val="left" w:pos="567"/>
        </w:tabs>
        <w:ind w:left="567" w:hanging="567"/>
        <w:rPr>
          <w:sz w:val="22"/>
          <w:szCs w:val="22"/>
        </w:rPr>
      </w:pPr>
    </w:p>
    <w:p w14:paraId="01CD500F" w14:textId="7BE20BA7" w:rsidR="00CC3A90" w:rsidRPr="00977208" w:rsidRDefault="0021709B" w:rsidP="00CC3A90">
      <w:pPr>
        <w:rPr>
          <w:sz w:val="22"/>
          <w:szCs w:val="22"/>
          <w:lang w:eastAsia="de-DE"/>
        </w:rPr>
      </w:pPr>
      <w:r w:rsidRPr="00977208">
        <w:rPr>
          <w:sz w:val="22"/>
          <w:szCs w:val="22"/>
          <w:lang w:eastAsia="de-DE"/>
        </w:rPr>
        <w:t>Gauta pranešimų apie sunkias odos reakcijas, susijusias su ambroksolio hidrochlorido vartojimu. Nutraukite Amolytin vartojimą ir nedelsdami kreipkitės į gydytoją, jei atsirado išbėrimas (įskaitant pokyčius ant gleivinių, pvz., burnos, gerklės, nosies, akių ir lyties organų).</w:t>
      </w:r>
    </w:p>
    <w:p w14:paraId="22642885" w14:textId="77777777" w:rsidR="00FB10DC" w:rsidRPr="00977208" w:rsidRDefault="00FB10DC" w:rsidP="00F1291E">
      <w:pPr>
        <w:pStyle w:val="BTEMEASMCA"/>
      </w:pPr>
    </w:p>
    <w:p w14:paraId="77734CEE" w14:textId="03523FBA" w:rsidR="00FB10DC" w:rsidRPr="00977208" w:rsidRDefault="00FB10DC" w:rsidP="00C5246B">
      <w:pPr>
        <w:pStyle w:val="PI-3EMEASMCA"/>
      </w:pPr>
      <w:r w:rsidRPr="00977208">
        <w:t xml:space="preserve">Kiti vaistai ir </w:t>
      </w:r>
      <w:r w:rsidR="0021709B" w:rsidRPr="00977208">
        <w:t>Amolytin</w:t>
      </w:r>
    </w:p>
    <w:p w14:paraId="1D5B45C4" w14:textId="77777777" w:rsidR="00FB10DC" w:rsidRPr="00977208" w:rsidRDefault="00FB10DC" w:rsidP="00F1291E">
      <w:pPr>
        <w:pStyle w:val="BTEMEASMCA"/>
      </w:pPr>
      <w:r w:rsidRPr="00977208">
        <w:rPr>
          <w:snapToGrid w:val="0"/>
        </w:rPr>
        <w:lastRenderedPageBreak/>
        <w:t>Jeigu vartojate ar neseniai vartojote kitų vaistų arba dėl to nesate tikri, apie tai pasakykite gydytojui arba vaistininkui</w:t>
      </w:r>
      <w:r w:rsidRPr="00977208">
        <w:t>.</w:t>
      </w:r>
    </w:p>
    <w:p w14:paraId="6CCB9378" w14:textId="77777777" w:rsidR="00C5246B" w:rsidRPr="00977208" w:rsidRDefault="00C5246B" w:rsidP="00F1291E">
      <w:pPr>
        <w:pStyle w:val="BTEMEASMCA"/>
      </w:pPr>
    </w:p>
    <w:p w14:paraId="4C4B0AD3" w14:textId="1591E4BC" w:rsidR="00C5246B" w:rsidRPr="00977208" w:rsidRDefault="00C5246B" w:rsidP="00F1291E">
      <w:pPr>
        <w:pStyle w:val="BTEMEASMCA"/>
      </w:pPr>
      <w:r w:rsidRPr="00977208">
        <w:t>Amolytin ir kosulį slopinančių vaistų kartu vartoti nerekomenduojama.</w:t>
      </w:r>
    </w:p>
    <w:p w14:paraId="75EB1CF6" w14:textId="77777777" w:rsidR="00C5246B" w:rsidRPr="00977208" w:rsidRDefault="00C5246B" w:rsidP="00F1291E">
      <w:pPr>
        <w:pStyle w:val="BTEMEASMCA"/>
      </w:pPr>
    </w:p>
    <w:p w14:paraId="6F3AA9D3" w14:textId="57C3012D" w:rsidR="00C5246B" w:rsidRPr="00977208" w:rsidRDefault="00C5246B" w:rsidP="00F1291E">
      <w:pPr>
        <w:pStyle w:val="BTEMEASMCA"/>
      </w:pPr>
      <w:r w:rsidRPr="00977208">
        <w:t>Kliniškai reikšmingo nepageidaujamo poveikio vartojant kartu kitus vaistus nepastebėta.</w:t>
      </w:r>
    </w:p>
    <w:p w14:paraId="1F499D44" w14:textId="77777777" w:rsidR="00FB10DC" w:rsidRPr="00977208" w:rsidRDefault="00FB10DC" w:rsidP="00C5246B">
      <w:pPr>
        <w:pStyle w:val="PI-3EMEASMCA"/>
      </w:pPr>
    </w:p>
    <w:p w14:paraId="6622ECE1" w14:textId="77777777" w:rsidR="00FB10DC" w:rsidRPr="00977208" w:rsidRDefault="00FB10DC" w:rsidP="00C5246B">
      <w:pPr>
        <w:pStyle w:val="PI-3EMEASMCA"/>
      </w:pPr>
      <w:r w:rsidRPr="00977208">
        <w:t>Nėštumo ir žindymo laikotarpis</w:t>
      </w:r>
    </w:p>
    <w:p w14:paraId="64E64FE6" w14:textId="77777777" w:rsidR="00FB10DC" w:rsidRPr="00977208" w:rsidRDefault="00FB10DC" w:rsidP="00C5246B">
      <w:pPr>
        <w:pStyle w:val="PI-3EMEASMCA"/>
        <w:rPr>
          <w:b w:val="0"/>
          <w:bCs/>
        </w:rPr>
      </w:pPr>
      <w:r w:rsidRPr="00977208">
        <w:rPr>
          <w:b w:val="0"/>
          <w:bCs/>
          <w:noProof/>
        </w:rPr>
        <w:t>Jeigu esate nėščia, žindote kūdikį, manote, kad galbūt esate nėščia, arba planuojate pastoti, tai prieš vartodama šį vaistą, pasitarkite</w:t>
      </w:r>
      <w:r w:rsidRPr="00977208">
        <w:rPr>
          <w:b w:val="0"/>
          <w:bCs/>
        </w:rPr>
        <w:t xml:space="preserve"> su gydytoju arba vaistininku.</w:t>
      </w:r>
    </w:p>
    <w:p w14:paraId="7294146D" w14:textId="77777777" w:rsidR="00FB10DC" w:rsidRPr="00977208" w:rsidRDefault="00FB10DC" w:rsidP="00C5246B">
      <w:pPr>
        <w:pStyle w:val="PI-3EMEASMCA"/>
        <w:rPr>
          <w:b w:val="0"/>
          <w:bCs/>
        </w:rPr>
      </w:pPr>
    </w:p>
    <w:p w14:paraId="1E7321E3" w14:textId="7A6C3916" w:rsidR="001F3121" w:rsidRPr="00977208" w:rsidRDefault="001F3121" w:rsidP="00C5246B">
      <w:pPr>
        <w:pStyle w:val="PI-3EMEASMCA"/>
        <w:rPr>
          <w:b w:val="0"/>
          <w:bCs/>
          <w:u w:val="single"/>
        </w:rPr>
      </w:pPr>
      <w:r w:rsidRPr="00977208">
        <w:rPr>
          <w:b w:val="0"/>
          <w:bCs/>
          <w:u w:val="single"/>
        </w:rPr>
        <w:t>Nėštumas</w:t>
      </w:r>
    </w:p>
    <w:p w14:paraId="049704D9" w14:textId="7EC2600D" w:rsidR="001F3121" w:rsidRPr="00977208" w:rsidRDefault="000B2B57" w:rsidP="00C5246B">
      <w:pPr>
        <w:pStyle w:val="PI-3EMEASMCA"/>
        <w:rPr>
          <w:b w:val="0"/>
          <w:bCs/>
        </w:rPr>
      </w:pPr>
      <w:r w:rsidRPr="00977208">
        <w:rPr>
          <w:b w:val="0"/>
          <w:bCs/>
        </w:rPr>
        <w:t>Amolytin nerekomenduojama vartoti nėštumo metu, ypač per pirmuosius tris nėštumo mėnesius.</w:t>
      </w:r>
    </w:p>
    <w:p w14:paraId="50C5333C" w14:textId="77777777" w:rsidR="000B2B57" w:rsidRPr="00977208" w:rsidRDefault="000B2B57" w:rsidP="00C5246B">
      <w:pPr>
        <w:pStyle w:val="PI-3EMEASMCA"/>
        <w:rPr>
          <w:b w:val="0"/>
          <w:bCs/>
        </w:rPr>
      </w:pPr>
    </w:p>
    <w:p w14:paraId="644AAFE2" w14:textId="72C82540" w:rsidR="001F3121" w:rsidRPr="00977208" w:rsidRDefault="001F3121" w:rsidP="00C5246B">
      <w:pPr>
        <w:pStyle w:val="PI-3EMEASMCA"/>
        <w:rPr>
          <w:b w:val="0"/>
          <w:bCs/>
          <w:u w:val="single"/>
        </w:rPr>
      </w:pPr>
      <w:r w:rsidRPr="00977208">
        <w:rPr>
          <w:b w:val="0"/>
          <w:bCs/>
          <w:u w:val="single"/>
        </w:rPr>
        <w:t>Žindymas</w:t>
      </w:r>
    </w:p>
    <w:p w14:paraId="1D8BBDB8" w14:textId="7507DE9B" w:rsidR="001F3121" w:rsidRPr="00977208" w:rsidRDefault="000B2B57" w:rsidP="00C5246B">
      <w:pPr>
        <w:pStyle w:val="PI-3EMEASMCA"/>
        <w:rPr>
          <w:b w:val="0"/>
          <w:bCs/>
        </w:rPr>
      </w:pPr>
      <w:r w:rsidRPr="00977208">
        <w:rPr>
          <w:b w:val="0"/>
          <w:bCs/>
        </w:rPr>
        <w:t xml:space="preserve">Amolytin nerekomenduojama vartoti, jei maitinate krūtimi, nes ambroksolio hidrochloridas išsiskiria </w:t>
      </w:r>
      <w:r w:rsidR="00BC27A4">
        <w:rPr>
          <w:b w:val="0"/>
          <w:bCs/>
        </w:rPr>
        <w:t>į</w:t>
      </w:r>
      <w:r w:rsidRPr="00977208">
        <w:rPr>
          <w:b w:val="0"/>
          <w:bCs/>
        </w:rPr>
        <w:t xml:space="preserve"> žindyvės pien</w:t>
      </w:r>
      <w:r w:rsidR="00BC27A4">
        <w:rPr>
          <w:b w:val="0"/>
          <w:bCs/>
        </w:rPr>
        <w:t>ą</w:t>
      </w:r>
      <w:r w:rsidRPr="00977208">
        <w:rPr>
          <w:b w:val="0"/>
          <w:bCs/>
        </w:rPr>
        <w:t>.</w:t>
      </w:r>
    </w:p>
    <w:p w14:paraId="4B1D9F89" w14:textId="77777777" w:rsidR="00FB10DC" w:rsidRPr="00977208" w:rsidRDefault="00FB10DC" w:rsidP="00C5246B">
      <w:pPr>
        <w:pStyle w:val="PI-3EMEASMCA"/>
      </w:pPr>
    </w:p>
    <w:p w14:paraId="4A7E1E8A" w14:textId="77777777" w:rsidR="00FB10DC" w:rsidRPr="00977208" w:rsidRDefault="00FB10DC" w:rsidP="00C5246B">
      <w:pPr>
        <w:pStyle w:val="PI-3EMEASMCA"/>
      </w:pPr>
      <w:r w:rsidRPr="00977208">
        <w:t>Vairavimas ir mechanizmų valdymas</w:t>
      </w:r>
    </w:p>
    <w:p w14:paraId="74D96C57" w14:textId="78172F2E" w:rsidR="00585839" w:rsidRPr="00977208" w:rsidRDefault="00585839" w:rsidP="00F1291E">
      <w:pPr>
        <w:pStyle w:val="BTEMEASMCA"/>
      </w:pPr>
      <w:r w:rsidRPr="00977208">
        <w:t>Duomenų apie vaisto poveikį gebėjimui vairuoti ir valdyti mechanizmus, gautų po pateikimo į rinką, nėra.</w:t>
      </w:r>
    </w:p>
    <w:p w14:paraId="48AC7239" w14:textId="5F732EF5" w:rsidR="00FB10DC" w:rsidRPr="00977208" w:rsidRDefault="00585839" w:rsidP="00F1291E">
      <w:pPr>
        <w:pStyle w:val="BTEMEASMCA"/>
      </w:pPr>
      <w:r w:rsidRPr="00977208">
        <w:t>Vaisto poveikio gebėjimui vairuoti ir valdyti mechanizmus tyrimų neatlikta.</w:t>
      </w:r>
    </w:p>
    <w:p w14:paraId="079EB49B" w14:textId="77777777" w:rsidR="00585839" w:rsidRPr="00977208" w:rsidRDefault="00585839" w:rsidP="00F1291E">
      <w:pPr>
        <w:pStyle w:val="BTEMEASMCA"/>
      </w:pPr>
    </w:p>
    <w:p w14:paraId="1AA6D13F" w14:textId="6FA205A6" w:rsidR="00FB10DC" w:rsidRPr="00977208" w:rsidRDefault="00585839" w:rsidP="00C5246B">
      <w:pPr>
        <w:pStyle w:val="PI-3EMEASMCA"/>
      </w:pPr>
      <w:r w:rsidRPr="00977208">
        <w:t>Amolytin</w:t>
      </w:r>
      <w:r w:rsidR="00FB10DC" w:rsidRPr="00977208">
        <w:t xml:space="preserve"> sudėtyje yra </w:t>
      </w:r>
      <w:r w:rsidRPr="00977208">
        <w:t>laktozės monohidrato</w:t>
      </w:r>
    </w:p>
    <w:p w14:paraId="0CB61DE1" w14:textId="77777777" w:rsidR="00FB10DC" w:rsidRPr="00977208" w:rsidRDefault="00FB10DC" w:rsidP="00F1291E">
      <w:pPr>
        <w:pStyle w:val="BTEMEASMCA"/>
      </w:pPr>
      <w:r w:rsidRPr="00977208">
        <w:t>Jei Jums gydytojas yra sakęs, kad netoleruojate kokių nors angliavandenių, kreipkitės į jį prieš pradėdami vartoti šį vaistą.</w:t>
      </w:r>
    </w:p>
    <w:p w14:paraId="27016553" w14:textId="77777777" w:rsidR="00FB10DC" w:rsidRPr="00977208" w:rsidRDefault="00FB10DC" w:rsidP="00F1291E">
      <w:pPr>
        <w:pStyle w:val="BTEMEASMCA"/>
      </w:pPr>
    </w:p>
    <w:p w14:paraId="7B98D958" w14:textId="77777777" w:rsidR="00FB10DC" w:rsidRPr="00977208" w:rsidRDefault="00FB10DC" w:rsidP="00F1291E">
      <w:pPr>
        <w:pStyle w:val="BTEMEASMCA"/>
      </w:pPr>
    </w:p>
    <w:p w14:paraId="31D70E04" w14:textId="6A6DB9AD" w:rsidR="00FB10DC" w:rsidRPr="00977208" w:rsidRDefault="00FB10DC" w:rsidP="00FB10DC">
      <w:pPr>
        <w:pStyle w:val="PI-1EMEASMCA"/>
      </w:pPr>
      <w:bookmarkStart w:id="6" w:name="_Toc129243141"/>
      <w:bookmarkStart w:id="7" w:name="_Toc129243266"/>
      <w:r w:rsidRPr="00977208">
        <w:t>3.</w:t>
      </w:r>
      <w:r w:rsidRPr="00977208">
        <w:tab/>
        <w:t xml:space="preserve">Kaip vartoti </w:t>
      </w:r>
      <w:bookmarkEnd w:id="6"/>
      <w:bookmarkEnd w:id="7"/>
      <w:r w:rsidR="00FC6358" w:rsidRPr="00977208">
        <w:t>Amolytin</w:t>
      </w:r>
    </w:p>
    <w:p w14:paraId="22416B79" w14:textId="77777777" w:rsidR="00FB10DC" w:rsidRPr="00977208" w:rsidRDefault="00FB10DC" w:rsidP="00F1291E">
      <w:pPr>
        <w:pStyle w:val="BTEMEASMCA"/>
      </w:pPr>
    </w:p>
    <w:p w14:paraId="42C4C764" w14:textId="77777777" w:rsidR="00FB10DC" w:rsidRPr="00977208" w:rsidRDefault="00FB10DC" w:rsidP="00F1291E">
      <w:pPr>
        <w:pStyle w:val="BTEMEASMCA"/>
      </w:pPr>
      <w:r w:rsidRPr="00977208">
        <w:t xml:space="preserve">Visada vartokite šį vaistą tiksliai kaip aprašyta šiame lapelyje arba kaip nurodė gydytojas arba vaistininkas. Jeigu abejojate, kreipkitės į gydytoją arba vaistininką. </w:t>
      </w:r>
    </w:p>
    <w:p w14:paraId="13F0B034" w14:textId="77777777" w:rsidR="00543FE5" w:rsidRPr="00977208" w:rsidRDefault="00543FE5" w:rsidP="00F1291E">
      <w:pPr>
        <w:pStyle w:val="BTEMEASMCA"/>
      </w:pPr>
    </w:p>
    <w:p w14:paraId="29107C75" w14:textId="35D6AD8D" w:rsidR="00543FE5" w:rsidRPr="00424721" w:rsidRDefault="00543FE5" w:rsidP="00424721">
      <w:pPr>
        <w:rPr>
          <w:u w:val="single"/>
        </w:rPr>
      </w:pPr>
      <w:r w:rsidRPr="00424721">
        <w:rPr>
          <w:sz w:val="22"/>
          <w:szCs w:val="22"/>
          <w:u w:val="single"/>
        </w:rPr>
        <w:t>Rekomenduojama dozė yra:</w:t>
      </w:r>
    </w:p>
    <w:p w14:paraId="547AE351" w14:textId="3B01D6C6" w:rsidR="00543FE5" w:rsidRPr="00424721" w:rsidRDefault="00B0578D" w:rsidP="00424721">
      <w:pPr>
        <w:rPr>
          <w:i/>
        </w:rPr>
      </w:pPr>
      <w:r w:rsidRPr="00424721">
        <w:rPr>
          <w:i/>
          <w:iCs/>
          <w:sz w:val="22"/>
          <w:szCs w:val="22"/>
        </w:rPr>
        <w:t>Suaugusiesiems:</w:t>
      </w:r>
    </w:p>
    <w:p w14:paraId="4993CF53" w14:textId="79830B53" w:rsidR="00B0578D" w:rsidRPr="00977208" w:rsidRDefault="00B0578D" w:rsidP="00F1291E">
      <w:pPr>
        <w:pStyle w:val="BTEMEASMCA"/>
      </w:pPr>
      <w:r w:rsidRPr="00977208">
        <w:t>Po 1 tabletę (30 mg ambroksolio) 3 kartus per parą pirmąsias 2</w:t>
      </w:r>
      <w:r w:rsidRPr="00977208">
        <w:sym w:font="Symbol" w:char="F02D"/>
      </w:r>
      <w:r w:rsidRPr="00977208">
        <w:t>3</w:t>
      </w:r>
      <w:r w:rsidR="002075FF" w:rsidRPr="00977208">
        <w:t> </w:t>
      </w:r>
      <w:r w:rsidRPr="00977208">
        <w:t>dienas, vėliau po 1 tabletę (30 mg ambroksolio) 2 kartus per parą.</w:t>
      </w:r>
    </w:p>
    <w:p w14:paraId="14396177" w14:textId="0D2B1A12" w:rsidR="00543FE5" w:rsidRPr="00977208" w:rsidRDefault="00B0578D" w:rsidP="00F1291E">
      <w:pPr>
        <w:pStyle w:val="BTEMEASMCA"/>
      </w:pPr>
      <w:r w:rsidRPr="00977208">
        <w:t>Paros dozę galima didinti iki 2 tablečių (60 mg ambroksolio) 2 kartus per parą.</w:t>
      </w:r>
    </w:p>
    <w:p w14:paraId="198F88A3" w14:textId="77777777" w:rsidR="00543FE5" w:rsidRPr="00977208" w:rsidRDefault="00543FE5" w:rsidP="00F1291E">
      <w:pPr>
        <w:pStyle w:val="BTEMEASMCA"/>
      </w:pPr>
    </w:p>
    <w:p w14:paraId="451A2821" w14:textId="77777777" w:rsidR="00B0578D" w:rsidRPr="00424721" w:rsidRDefault="00B0578D" w:rsidP="00424721">
      <w:pPr>
        <w:rPr>
          <w:i/>
        </w:rPr>
      </w:pPr>
      <w:r w:rsidRPr="00424721">
        <w:rPr>
          <w:i/>
          <w:iCs/>
          <w:sz w:val="22"/>
          <w:szCs w:val="22"/>
        </w:rPr>
        <w:t>Vyresniems kaip 12 metų paaugliams:</w:t>
      </w:r>
    </w:p>
    <w:p w14:paraId="4FF672B0" w14:textId="49F3CEC1" w:rsidR="00B0578D" w:rsidRPr="00977208" w:rsidRDefault="00B0578D" w:rsidP="00F1291E">
      <w:pPr>
        <w:pStyle w:val="BTEMEASMCA"/>
      </w:pPr>
      <w:r w:rsidRPr="00977208">
        <w:t>Po 1 tabletę (30 mg ambroksolio) 3 kartus per parą pirmąsias 2</w:t>
      </w:r>
      <w:r w:rsidRPr="00977208">
        <w:sym w:font="Symbol" w:char="F02D"/>
      </w:r>
      <w:r w:rsidRPr="00977208">
        <w:t>3 dienas, vėliau po 1 tabletę</w:t>
      </w:r>
      <w:r w:rsidR="00C51EB8">
        <w:t xml:space="preserve"> </w:t>
      </w:r>
      <w:r w:rsidR="00C51EB8" w:rsidRPr="00977208">
        <w:t>(30 mg ambroksolio)</w:t>
      </w:r>
      <w:r w:rsidRPr="00977208">
        <w:t xml:space="preserve"> 2 kartus per parą.</w:t>
      </w:r>
    </w:p>
    <w:p w14:paraId="44C1E358" w14:textId="77777777" w:rsidR="00B0578D" w:rsidRPr="00977208" w:rsidRDefault="00B0578D" w:rsidP="00F1291E">
      <w:pPr>
        <w:pStyle w:val="BTEMEASMCA"/>
      </w:pPr>
    </w:p>
    <w:p w14:paraId="745DF234" w14:textId="22D1323F" w:rsidR="00B0578D" w:rsidRPr="00424721" w:rsidRDefault="00B0578D" w:rsidP="00424721">
      <w:pPr>
        <w:rPr>
          <w:i/>
        </w:rPr>
      </w:pPr>
      <w:r w:rsidRPr="00424721">
        <w:rPr>
          <w:i/>
          <w:iCs/>
          <w:sz w:val="22"/>
          <w:szCs w:val="22"/>
        </w:rPr>
        <w:t>6</w:t>
      </w:r>
      <w:r w:rsidRPr="00424721">
        <w:rPr>
          <w:i/>
          <w:iCs/>
          <w:sz w:val="22"/>
          <w:szCs w:val="22"/>
        </w:rPr>
        <w:sym w:font="Symbol" w:char="F02D"/>
      </w:r>
      <w:r w:rsidRPr="00424721">
        <w:rPr>
          <w:i/>
          <w:iCs/>
          <w:sz w:val="22"/>
          <w:szCs w:val="22"/>
        </w:rPr>
        <w:t>12 metų vaikams:</w:t>
      </w:r>
    </w:p>
    <w:p w14:paraId="3C9AAA4C" w14:textId="294F9210" w:rsidR="00B0578D" w:rsidRPr="00977208" w:rsidRDefault="00B0578D" w:rsidP="00F1291E">
      <w:pPr>
        <w:pStyle w:val="BTEMEASMCA"/>
      </w:pPr>
      <w:r w:rsidRPr="00977208">
        <w:t>Po pusę tabletės (15 mg ambroksolio) 2</w:t>
      </w:r>
      <w:r w:rsidRPr="00977208">
        <w:sym w:font="Symbol" w:char="F02D"/>
      </w:r>
      <w:r w:rsidRPr="00977208">
        <w:t>3 kartus per parą.</w:t>
      </w:r>
    </w:p>
    <w:p w14:paraId="35E1FE8B" w14:textId="77777777" w:rsidR="00543FE5" w:rsidRPr="00977208" w:rsidRDefault="00543FE5" w:rsidP="00F1291E">
      <w:pPr>
        <w:pStyle w:val="BTEMEASMCA"/>
      </w:pPr>
    </w:p>
    <w:p w14:paraId="76D82B85" w14:textId="642BCBC8" w:rsidR="00430874" w:rsidRPr="00977208" w:rsidRDefault="00430874" w:rsidP="00F1291E">
      <w:pPr>
        <w:pStyle w:val="BTEMEASMCA"/>
      </w:pPr>
      <w:r w:rsidRPr="00977208">
        <w:t>Ši gydymo schema tinka ūminiams kvėpavimo takų sutrikimams gydyti ir pradiniam lėtinių susirgimų gydymui iki 14 dienų.</w:t>
      </w:r>
    </w:p>
    <w:p w14:paraId="1E31C3A7" w14:textId="0568A353" w:rsidR="00543FE5" w:rsidRPr="00977208" w:rsidRDefault="00430874" w:rsidP="00F1291E">
      <w:pPr>
        <w:pStyle w:val="BTEMEASMCA"/>
      </w:pPr>
      <w:r w:rsidRPr="00977208">
        <w:t>Gydymo trukmė be gydytojo rekomendacijų neturėtų būti ilgesnė kaip 4</w:t>
      </w:r>
      <w:r w:rsidRPr="00977208">
        <w:sym w:font="Symbol" w:char="F02D"/>
      </w:r>
      <w:r w:rsidRPr="00977208">
        <w:t>5 dienos.</w:t>
      </w:r>
    </w:p>
    <w:p w14:paraId="098A4891" w14:textId="77777777" w:rsidR="003A4529" w:rsidRPr="00977208" w:rsidRDefault="003A4529" w:rsidP="00F1291E">
      <w:pPr>
        <w:pStyle w:val="BTEMEASMCA"/>
      </w:pPr>
    </w:p>
    <w:p w14:paraId="5F022F15" w14:textId="3A4B2D1D" w:rsidR="003A4529" w:rsidRPr="00977208" w:rsidRDefault="003A4529" w:rsidP="00F1291E">
      <w:pPr>
        <w:pStyle w:val="BTEMEASMCA"/>
      </w:pPr>
      <w:r w:rsidRPr="00977208">
        <w:t>Amolytin reikia vartoti po valgio, užsigeriant pakankamu kiekiu skysčių (pvz., vandens, arbatos ar vaisių sulčių).</w:t>
      </w:r>
    </w:p>
    <w:p w14:paraId="703B49AC" w14:textId="77777777" w:rsidR="00FB10DC" w:rsidRPr="00977208" w:rsidRDefault="00FB10DC" w:rsidP="00FB10DC">
      <w:pPr>
        <w:rPr>
          <w:b/>
          <w:sz w:val="22"/>
          <w:szCs w:val="22"/>
        </w:rPr>
      </w:pPr>
    </w:p>
    <w:p w14:paraId="35680D5E" w14:textId="7C31D59F" w:rsidR="00FB10DC" w:rsidRPr="00977208" w:rsidRDefault="00FB10DC" w:rsidP="00C5246B">
      <w:pPr>
        <w:pStyle w:val="PI-3EMEASMCA"/>
      </w:pPr>
      <w:r w:rsidRPr="00977208">
        <w:t xml:space="preserve">Pavartojus per didelę </w:t>
      </w:r>
      <w:r w:rsidR="00151E45" w:rsidRPr="00977208">
        <w:t>Amolytin</w:t>
      </w:r>
      <w:r w:rsidRPr="00977208">
        <w:t xml:space="preserve"> dozę</w:t>
      </w:r>
    </w:p>
    <w:p w14:paraId="57DE75B0" w14:textId="5E19EAB9" w:rsidR="00151E45" w:rsidRPr="00977208" w:rsidRDefault="00151E45" w:rsidP="00151E45">
      <w:pPr>
        <w:widowControl w:val="0"/>
        <w:autoSpaceDE w:val="0"/>
        <w:autoSpaceDN w:val="0"/>
        <w:adjustRightInd w:val="0"/>
        <w:rPr>
          <w:sz w:val="22"/>
          <w:szCs w:val="22"/>
          <w:lang w:eastAsia="lt-LT"/>
        </w:rPr>
      </w:pPr>
      <w:r w:rsidRPr="00977208">
        <w:rPr>
          <w:sz w:val="22"/>
          <w:szCs w:val="22"/>
        </w:rPr>
        <w:t xml:space="preserve">Jeigu išgėrėte daugiau Amolytin nei turėtumėte, kreipkitės į gydytoją arba vaistininką patarimo. Specifinių perdozavimo simptomų žmonėms iki šiol nepastebėta. </w:t>
      </w:r>
      <w:r w:rsidRPr="00977208">
        <w:rPr>
          <w:rFonts w:eastAsia="Calibri"/>
          <w:sz w:val="22"/>
          <w:szCs w:val="22"/>
        </w:rPr>
        <w:t xml:space="preserve">Remiantis pranešimais apie atsitiktinį perdozavimą ir (arba) vartojimo klaidas, stebėti simptomai atitinka rekomenduojamos </w:t>
      </w:r>
      <w:r w:rsidRPr="00977208">
        <w:rPr>
          <w:sz w:val="22"/>
          <w:szCs w:val="22"/>
          <w:lang w:eastAsia="lt-LT"/>
        </w:rPr>
        <w:lastRenderedPageBreak/>
        <w:t>Amolytin dozės sukeliamą žinomą šalutinį poveikį. Gali prireikti simptominio gydymo.</w:t>
      </w:r>
    </w:p>
    <w:p w14:paraId="5B4FFEB0" w14:textId="0C55B469" w:rsidR="00151E45" w:rsidRPr="00977208" w:rsidRDefault="00151E45" w:rsidP="00FB10DC">
      <w:pPr>
        <w:rPr>
          <w:sz w:val="22"/>
          <w:szCs w:val="22"/>
        </w:rPr>
      </w:pPr>
    </w:p>
    <w:p w14:paraId="746F8813" w14:textId="0C58EC4F" w:rsidR="00FB10DC" w:rsidRPr="00977208" w:rsidRDefault="00FB10DC" w:rsidP="00C5246B">
      <w:pPr>
        <w:pStyle w:val="PI-3EMEASMCA"/>
      </w:pPr>
      <w:r w:rsidRPr="00977208">
        <w:t xml:space="preserve">Pamiršus pavartoti </w:t>
      </w:r>
      <w:r w:rsidR="00151E45" w:rsidRPr="00977208">
        <w:t>Amolytin</w:t>
      </w:r>
      <w:r w:rsidRPr="00977208">
        <w:t xml:space="preserve"> </w:t>
      </w:r>
    </w:p>
    <w:p w14:paraId="4B654C60" w14:textId="6CA34262" w:rsidR="00151E45" w:rsidRPr="00977208" w:rsidRDefault="00151E45" w:rsidP="00F1291E">
      <w:pPr>
        <w:pStyle w:val="BTEMEASMCA"/>
      </w:pPr>
      <w:r w:rsidRPr="00977208">
        <w:t xml:space="preserve">Jei pamiršote išgerti vaisto dozę, išgerkite ją kuo greičiau. Negalima vartoti dvigubos dozės norint kompensuoti praleistą dozę. </w:t>
      </w:r>
      <w:r w:rsidR="00A74902">
        <w:t>Kitas</w:t>
      </w:r>
      <w:r w:rsidR="00A74902" w:rsidRPr="00977208">
        <w:t xml:space="preserve"> </w:t>
      </w:r>
      <w:r w:rsidRPr="00977208">
        <w:t xml:space="preserve">dozes vartokite </w:t>
      </w:r>
      <w:r w:rsidR="004B2D1B" w:rsidRPr="00977208">
        <w:t>įprastine</w:t>
      </w:r>
      <w:r w:rsidRPr="00977208">
        <w:t xml:space="preserve"> tvarka.</w:t>
      </w:r>
    </w:p>
    <w:p w14:paraId="1967B41F" w14:textId="77777777" w:rsidR="004B2D1B" w:rsidRPr="00977208" w:rsidRDefault="004B2D1B" w:rsidP="00F1291E">
      <w:pPr>
        <w:pStyle w:val="BTEMEASMCA"/>
      </w:pPr>
    </w:p>
    <w:p w14:paraId="11F013BF" w14:textId="3FA78A0C" w:rsidR="00FB10DC" w:rsidRPr="00977208" w:rsidRDefault="00FB10DC" w:rsidP="00F1291E">
      <w:pPr>
        <w:pStyle w:val="BTEMEASMCA"/>
      </w:pPr>
      <w:r w:rsidRPr="00977208">
        <w:t>Jeigu kiltų daugiau klausimų dėl šio vaisto vartojimo, kreipkitės į gydytoją arba vaistininką.</w:t>
      </w:r>
    </w:p>
    <w:p w14:paraId="42325330" w14:textId="77777777" w:rsidR="00FB10DC" w:rsidRPr="00977208" w:rsidRDefault="00FB10DC" w:rsidP="00F1291E">
      <w:pPr>
        <w:pStyle w:val="BTEMEASMCA"/>
      </w:pPr>
    </w:p>
    <w:p w14:paraId="1FAE393F" w14:textId="77777777" w:rsidR="00FB10DC" w:rsidRPr="00977208" w:rsidRDefault="00FB10DC" w:rsidP="00F1291E">
      <w:pPr>
        <w:pStyle w:val="BTEMEASMCA"/>
      </w:pPr>
    </w:p>
    <w:p w14:paraId="79D6F36F" w14:textId="2AA559FC" w:rsidR="00FB10DC" w:rsidRPr="00977208" w:rsidRDefault="00FB10DC" w:rsidP="00FB10DC">
      <w:pPr>
        <w:pStyle w:val="PI-1EMEASMCA"/>
      </w:pPr>
      <w:bookmarkStart w:id="8" w:name="_Toc129243142"/>
      <w:bookmarkStart w:id="9" w:name="_Toc129243267"/>
      <w:r w:rsidRPr="00977208">
        <w:t>4.</w:t>
      </w:r>
      <w:r w:rsidRPr="00977208">
        <w:tab/>
        <w:t>Galimas šalutinis poveikis</w:t>
      </w:r>
      <w:bookmarkEnd w:id="8"/>
      <w:bookmarkEnd w:id="9"/>
    </w:p>
    <w:p w14:paraId="4645E974" w14:textId="77777777" w:rsidR="00FB10DC" w:rsidRPr="00977208" w:rsidRDefault="00FB10DC" w:rsidP="00F1291E">
      <w:pPr>
        <w:pStyle w:val="BTEMEASMCA"/>
      </w:pPr>
    </w:p>
    <w:p w14:paraId="0319D1FF" w14:textId="77777777" w:rsidR="00FB10DC" w:rsidRPr="00977208" w:rsidRDefault="00FB10DC" w:rsidP="00F1291E">
      <w:pPr>
        <w:pStyle w:val="BTEMEASMCA"/>
      </w:pPr>
      <w:r w:rsidRPr="00977208">
        <w:t>Šis vaistas, kaip ir visi kiti, gali sukelti šalutinį poveikį, nors jis pasireiškia ne visiems žmonėms.</w:t>
      </w:r>
    </w:p>
    <w:p w14:paraId="1099E8B9" w14:textId="77777777" w:rsidR="00FB10DC" w:rsidRPr="00977208" w:rsidRDefault="00FB10DC" w:rsidP="00F1291E">
      <w:pPr>
        <w:pStyle w:val="BTEMEASMCA"/>
      </w:pPr>
    </w:p>
    <w:p w14:paraId="7B81C6D0" w14:textId="77777777" w:rsidR="00FB10DC" w:rsidRPr="00977208" w:rsidRDefault="00FB10DC" w:rsidP="00FB10DC">
      <w:pPr>
        <w:pStyle w:val="Formatvorlage3"/>
        <w:ind w:left="0"/>
        <w:rPr>
          <w:rFonts w:ascii="Times New Roman" w:hAnsi="Times New Roman" w:cs="Times New Roman"/>
          <w:i/>
          <w:lang w:val="lt-LT"/>
        </w:rPr>
      </w:pPr>
      <w:r w:rsidRPr="00977208">
        <w:rPr>
          <w:rFonts w:ascii="Times New Roman" w:hAnsi="Times New Roman" w:cs="Times New Roman"/>
          <w:b/>
          <w:bCs/>
          <w:noProof/>
          <w:snapToGrid w:val="0"/>
          <w:lang w:val="lt-LT"/>
        </w:rPr>
        <w:t>Dažni šalutinio poveikio reiškiniai (gali pasireikšti rečiau kaip 1 iš 10 asmenų)</w:t>
      </w:r>
      <w:r w:rsidRPr="00977208">
        <w:rPr>
          <w:rFonts w:ascii="Times New Roman" w:hAnsi="Times New Roman" w:cs="Times New Roman"/>
          <w:b/>
          <w:bCs/>
          <w:iCs/>
          <w:lang w:val="lt-LT"/>
        </w:rPr>
        <w:t>:</w:t>
      </w:r>
    </w:p>
    <w:p w14:paraId="3CB526F4" w14:textId="77777777" w:rsidR="00FB10DC" w:rsidRPr="00977208" w:rsidRDefault="00FB10DC" w:rsidP="00F1291E">
      <w:pPr>
        <w:pStyle w:val="BTEMEASMCA"/>
        <w:numPr>
          <w:ilvl w:val="0"/>
          <w:numId w:val="5"/>
        </w:numPr>
      </w:pPr>
      <w:r w:rsidRPr="00977208">
        <w:t>pykinimas.</w:t>
      </w:r>
    </w:p>
    <w:p w14:paraId="0CA42F31" w14:textId="77777777" w:rsidR="00FB10DC" w:rsidRPr="00977208" w:rsidRDefault="00FB10DC" w:rsidP="00F1291E">
      <w:pPr>
        <w:pStyle w:val="BTEMEASMCA"/>
      </w:pPr>
    </w:p>
    <w:p w14:paraId="11B32865" w14:textId="77777777" w:rsidR="00FB10DC" w:rsidRPr="00424721" w:rsidRDefault="00FB10DC" w:rsidP="00424721">
      <w:pPr>
        <w:rPr>
          <w:b/>
          <w:bCs/>
        </w:rPr>
      </w:pPr>
      <w:r w:rsidRPr="00424721">
        <w:rPr>
          <w:b/>
          <w:bCs/>
          <w:snapToGrid w:val="0"/>
          <w:sz w:val="22"/>
          <w:szCs w:val="22"/>
        </w:rPr>
        <w:t>Nedažni šalutinio poveikio reiškiniai (gali pasireikšti rečiau kaip 1 iš 100 asmenų)</w:t>
      </w:r>
      <w:r w:rsidRPr="00424721">
        <w:rPr>
          <w:b/>
          <w:bCs/>
          <w:sz w:val="22"/>
          <w:szCs w:val="22"/>
        </w:rPr>
        <w:t xml:space="preserve">: </w:t>
      </w:r>
    </w:p>
    <w:p w14:paraId="21216A02" w14:textId="0BCD5026" w:rsidR="00FB10DC" w:rsidRPr="00977208" w:rsidRDefault="00FB10DC" w:rsidP="00F1291E">
      <w:pPr>
        <w:pStyle w:val="BTEMEASMCA"/>
        <w:numPr>
          <w:ilvl w:val="0"/>
          <w:numId w:val="3"/>
        </w:numPr>
      </w:pPr>
      <w:r w:rsidRPr="00977208">
        <w:t xml:space="preserve">vėmimas, viduriavimas, </w:t>
      </w:r>
      <w:r w:rsidR="00977208" w:rsidRPr="00977208">
        <w:t xml:space="preserve">virškinimo sutrikimas, </w:t>
      </w:r>
      <w:r w:rsidRPr="00977208">
        <w:t>pilvo skausmas.</w:t>
      </w:r>
    </w:p>
    <w:p w14:paraId="19EC94DD" w14:textId="77777777" w:rsidR="00FB10DC" w:rsidRPr="00977208" w:rsidRDefault="00FB10DC" w:rsidP="00FB10DC">
      <w:pPr>
        <w:pStyle w:val="Formatvorlage3"/>
        <w:ind w:left="0"/>
        <w:rPr>
          <w:rFonts w:ascii="Times New Roman" w:hAnsi="Times New Roman" w:cs="Times New Roman"/>
          <w:i/>
          <w:lang w:val="lt-LT"/>
        </w:rPr>
      </w:pPr>
    </w:p>
    <w:p w14:paraId="2417965D" w14:textId="77777777" w:rsidR="00FB10DC" w:rsidRPr="00977208" w:rsidRDefault="00FB10DC" w:rsidP="00FB10DC">
      <w:pPr>
        <w:pStyle w:val="Formatvorlage3"/>
        <w:ind w:left="0"/>
        <w:rPr>
          <w:rFonts w:ascii="Times New Roman" w:hAnsi="Times New Roman" w:cs="Times New Roman"/>
          <w:i/>
          <w:lang w:val="lt-LT"/>
        </w:rPr>
      </w:pPr>
      <w:r w:rsidRPr="00977208">
        <w:rPr>
          <w:rFonts w:ascii="Times New Roman" w:hAnsi="Times New Roman" w:cs="Times New Roman"/>
          <w:b/>
          <w:bCs/>
          <w:noProof/>
          <w:snapToGrid w:val="0"/>
          <w:lang w:val="lt-LT"/>
        </w:rPr>
        <w:t>Reti šalutinio poveikio reiškiniai (gali pasireikšti rečiau kaip 1 iš 1 000 asmenų)</w:t>
      </w:r>
      <w:r w:rsidRPr="00424721">
        <w:rPr>
          <w:rFonts w:ascii="Times New Roman" w:hAnsi="Times New Roman" w:cs="Times New Roman"/>
          <w:b/>
          <w:bCs/>
          <w:iCs/>
          <w:lang w:val="lt-LT"/>
        </w:rPr>
        <w:t>:</w:t>
      </w:r>
    </w:p>
    <w:p w14:paraId="37F02A7A" w14:textId="35E5475C" w:rsidR="00FB10DC" w:rsidRPr="00977208" w:rsidRDefault="00FB10DC" w:rsidP="00FB10DC">
      <w:pPr>
        <w:pStyle w:val="Formatvorlage3"/>
        <w:numPr>
          <w:ilvl w:val="0"/>
          <w:numId w:val="3"/>
        </w:numPr>
        <w:ind w:left="567" w:hanging="567"/>
        <w:rPr>
          <w:rFonts w:ascii="Times New Roman" w:hAnsi="Times New Roman" w:cs="Times New Roman"/>
          <w:lang w:val="lt-LT"/>
        </w:rPr>
      </w:pPr>
      <w:r w:rsidRPr="00977208">
        <w:rPr>
          <w:rFonts w:ascii="Times New Roman" w:hAnsi="Times New Roman" w:cs="Times New Roman"/>
          <w:lang w:val="lt-LT"/>
        </w:rPr>
        <w:t>padidėjusio jautrumo reakcijos</w:t>
      </w:r>
      <w:r w:rsidR="00977208" w:rsidRPr="00977208">
        <w:rPr>
          <w:rFonts w:ascii="Times New Roman" w:hAnsi="Times New Roman" w:cs="Times New Roman"/>
          <w:noProof/>
          <w:lang w:val="lt-LT"/>
        </w:rPr>
        <w:t>;</w:t>
      </w:r>
    </w:p>
    <w:p w14:paraId="139A691C" w14:textId="77777777" w:rsidR="00FB10DC" w:rsidRPr="00977208" w:rsidRDefault="00FB10DC" w:rsidP="00FB10DC">
      <w:pPr>
        <w:pStyle w:val="Formatvorlage3"/>
        <w:numPr>
          <w:ilvl w:val="0"/>
          <w:numId w:val="3"/>
        </w:numPr>
        <w:ind w:left="567" w:hanging="567"/>
        <w:rPr>
          <w:rFonts w:ascii="Times New Roman" w:hAnsi="Times New Roman" w:cs="Times New Roman"/>
          <w:lang w:val="lt-LT"/>
        </w:rPr>
      </w:pPr>
      <w:r w:rsidRPr="00977208">
        <w:rPr>
          <w:rFonts w:ascii="Times New Roman" w:hAnsi="Times New Roman" w:cs="Times New Roman"/>
          <w:lang w:val="lt-LT"/>
        </w:rPr>
        <w:t>odos bėrimas, dilgėlinė (urtikarija).</w:t>
      </w:r>
    </w:p>
    <w:p w14:paraId="25BF0208" w14:textId="77777777" w:rsidR="00FB10DC" w:rsidRPr="00977208" w:rsidRDefault="00FB10DC" w:rsidP="00F1291E">
      <w:pPr>
        <w:pStyle w:val="BTEMEASMCA"/>
      </w:pPr>
    </w:p>
    <w:p w14:paraId="2BBDC2DA" w14:textId="77777777" w:rsidR="00FB10DC" w:rsidRPr="00977208" w:rsidRDefault="00FB10DC" w:rsidP="00FB10DC">
      <w:pPr>
        <w:rPr>
          <w:i/>
          <w:sz w:val="22"/>
        </w:rPr>
      </w:pPr>
      <w:r w:rsidRPr="00977208">
        <w:rPr>
          <w:b/>
          <w:bCs/>
          <w:noProof/>
          <w:snapToGrid w:val="0"/>
          <w:sz w:val="22"/>
          <w:szCs w:val="22"/>
        </w:rPr>
        <w:t>Šalutinio poveikio reiškiniai, kurių dažnis nežinomas (negali būti apskaičiuotas pagal turimus duomenis)</w:t>
      </w:r>
      <w:r w:rsidRPr="00977208">
        <w:rPr>
          <w:b/>
          <w:bCs/>
          <w:iCs/>
          <w:sz w:val="22"/>
        </w:rPr>
        <w:t>:</w:t>
      </w:r>
    </w:p>
    <w:p w14:paraId="29E8E5C9" w14:textId="095FD3B0" w:rsidR="00FB10DC" w:rsidRPr="00977208" w:rsidRDefault="00FB10DC" w:rsidP="00977208">
      <w:pPr>
        <w:pStyle w:val="Sraopastraipa"/>
        <w:numPr>
          <w:ilvl w:val="0"/>
          <w:numId w:val="3"/>
        </w:numPr>
        <w:ind w:left="567" w:hanging="567"/>
        <w:rPr>
          <w:i/>
          <w:sz w:val="22"/>
        </w:rPr>
      </w:pPr>
      <w:r w:rsidRPr="00977208">
        <w:rPr>
          <w:noProof/>
          <w:sz w:val="22"/>
          <w:szCs w:val="22"/>
        </w:rPr>
        <w:t>anafilaksinės</w:t>
      </w:r>
      <w:r w:rsidRPr="00977208">
        <w:rPr>
          <w:sz w:val="22"/>
        </w:rPr>
        <w:t xml:space="preserve"> reakcijos, įskaitant </w:t>
      </w:r>
      <w:r w:rsidRPr="00977208">
        <w:rPr>
          <w:noProof/>
          <w:sz w:val="22"/>
          <w:szCs w:val="22"/>
        </w:rPr>
        <w:t xml:space="preserve">anafilaksinį </w:t>
      </w:r>
      <w:r w:rsidRPr="00977208">
        <w:rPr>
          <w:sz w:val="22"/>
        </w:rPr>
        <w:t>šoką, angioneurozinę edemą</w:t>
      </w:r>
      <w:r w:rsidRPr="00977208">
        <w:rPr>
          <w:noProof/>
          <w:sz w:val="22"/>
          <w:szCs w:val="22"/>
        </w:rPr>
        <w:t xml:space="preserve"> (greitai besivystantį odos, gleivinės, po oda ar gleivine esančių audinių tinimą) ir niežėjimą;</w:t>
      </w:r>
    </w:p>
    <w:p w14:paraId="66C41986" w14:textId="37F2E917" w:rsidR="00FB10DC" w:rsidRPr="00977208" w:rsidRDefault="00FB10DC" w:rsidP="00977208">
      <w:pPr>
        <w:pStyle w:val="Sraopastraipa"/>
        <w:numPr>
          <w:ilvl w:val="0"/>
          <w:numId w:val="3"/>
        </w:numPr>
        <w:tabs>
          <w:tab w:val="left" w:pos="2127"/>
        </w:tabs>
        <w:ind w:left="567" w:hanging="567"/>
        <w:rPr>
          <w:sz w:val="22"/>
        </w:rPr>
      </w:pPr>
      <w:r w:rsidRPr="00977208">
        <w:rPr>
          <w:noProof/>
          <w:sz w:val="22"/>
          <w:szCs w:val="22"/>
        </w:rPr>
        <w:t xml:space="preserve">sunkios nepageidaujamos poodinės reakcijos (įskaitant </w:t>
      </w:r>
      <w:r w:rsidRPr="00977208">
        <w:rPr>
          <w:sz w:val="22"/>
          <w:szCs w:val="22"/>
        </w:rPr>
        <w:t>daugiaformę eritemą, Stivenso-Džonsono sindromą / toksinę epidermio nekrolizę ir ūminę generalizuotą egzanteminę pustuliozę)</w:t>
      </w:r>
      <w:r w:rsidRPr="00977208">
        <w:rPr>
          <w:sz w:val="22"/>
        </w:rPr>
        <w:t>.</w:t>
      </w:r>
    </w:p>
    <w:p w14:paraId="17DA9905" w14:textId="77777777" w:rsidR="00FB10DC" w:rsidRPr="00CC1603" w:rsidRDefault="00FB10DC" w:rsidP="00F1291E">
      <w:pPr>
        <w:pStyle w:val="BTEMEASMCA"/>
      </w:pPr>
    </w:p>
    <w:p w14:paraId="382D0BD1" w14:textId="77777777" w:rsidR="00FB10DC" w:rsidRPr="00CC1603" w:rsidRDefault="00FB10DC" w:rsidP="00FB10DC">
      <w:pPr>
        <w:rPr>
          <w:b/>
          <w:sz w:val="22"/>
          <w:szCs w:val="22"/>
        </w:rPr>
      </w:pPr>
      <w:r w:rsidRPr="00CC1603">
        <w:rPr>
          <w:b/>
          <w:noProof/>
          <w:sz w:val="22"/>
          <w:szCs w:val="22"/>
        </w:rPr>
        <w:t>Pranešimas apie šalutinį poveikį</w:t>
      </w:r>
    </w:p>
    <w:p w14:paraId="1631DFA0" w14:textId="4B1A1CB4" w:rsidR="00FB10DC" w:rsidRDefault="002D05E4" w:rsidP="00F1291E">
      <w:pPr>
        <w:pStyle w:val="BTEMEASMCA"/>
      </w:pPr>
      <w:r w:rsidRPr="002D05E4">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6A1690">
          <w:rPr>
            <w:rStyle w:val="Hipersaitas"/>
          </w:rPr>
          <w:t>https://vvkt.lrv.lt/lt/</w:t>
        </w:r>
      </w:hyperlink>
      <w:r w:rsidRPr="002D05E4">
        <w:t xml:space="preserve"> nurodytais būdais arba paskambinti nemokamu telefonu +370 800 73 568. Pranešdami apie šalutinį poveikį galite mums padėti gauti daugiau informacijos apie šio vaisto saugumą.</w:t>
      </w:r>
    </w:p>
    <w:p w14:paraId="4B597934" w14:textId="77777777" w:rsidR="00E4571B" w:rsidRDefault="00E4571B" w:rsidP="00F1291E">
      <w:pPr>
        <w:pStyle w:val="BTEMEASMCA"/>
      </w:pPr>
    </w:p>
    <w:p w14:paraId="6D87986A" w14:textId="77777777" w:rsidR="00116D7D" w:rsidRPr="00CC1603" w:rsidRDefault="00116D7D" w:rsidP="00F1291E">
      <w:pPr>
        <w:pStyle w:val="BTEMEASMCA"/>
      </w:pPr>
    </w:p>
    <w:p w14:paraId="125CB699" w14:textId="4AE1C915" w:rsidR="00FB10DC" w:rsidRPr="00E4571B" w:rsidRDefault="00FB10DC" w:rsidP="00FB10DC">
      <w:pPr>
        <w:pStyle w:val="PI-1EMEASMCA"/>
      </w:pPr>
      <w:bookmarkStart w:id="10" w:name="_Toc129243143"/>
      <w:bookmarkStart w:id="11" w:name="_Toc129243268"/>
      <w:r w:rsidRPr="00E4571B">
        <w:t>5.</w:t>
      </w:r>
      <w:r w:rsidRPr="00E4571B">
        <w:tab/>
        <w:t xml:space="preserve">Kaip laikyti </w:t>
      </w:r>
      <w:bookmarkEnd w:id="10"/>
      <w:bookmarkEnd w:id="11"/>
      <w:r w:rsidR="00E4571B" w:rsidRPr="00E4571B">
        <w:t>Amolytin</w:t>
      </w:r>
      <w:r w:rsidRPr="00E4571B">
        <w:t xml:space="preserve"> </w:t>
      </w:r>
    </w:p>
    <w:p w14:paraId="09D5CB46" w14:textId="77777777" w:rsidR="00FB10DC" w:rsidRPr="00E4571B" w:rsidRDefault="00FB10DC" w:rsidP="00FB10DC">
      <w:pPr>
        <w:pStyle w:val="PI-1EMEASMCA"/>
      </w:pPr>
    </w:p>
    <w:p w14:paraId="69E3FF0A" w14:textId="77777777" w:rsidR="00FB10DC" w:rsidRPr="00E4571B" w:rsidRDefault="00FB10DC" w:rsidP="00F1291E">
      <w:pPr>
        <w:pStyle w:val="BTEMEASMCA"/>
      </w:pPr>
      <w:r w:rsidRPr="00E4571B">
        <w:t>Šį vaistą laikykite vaikams nepastebimoje ir nepasiekiamoje vietoje.</w:t>
      </w:r>
    </w:p>
    <w:p w14:paraId="6ABC0ED4" w14:textId="77777777" w:rsidR="00FB10DC" w:rsidRPr="00E4571B" w:rsidRDefault="00FB10DC" w:rsidP="00F1291E">
      <w:pPr>
        <w:pStyle w:val="BTEMEASMCA"/>
      </w:pPr>
    </w:p>
    <w:p w14:paraId="4B91BFF2" w14:textId="4EC0CF98" w:rsidR="00FB10DC" w:rsidRPr="00E4571B" w:rsidRDefault="00FB10DC" w:rsidP="00F1291E">
      <w:pPr>
        <w:pStyle w:val="BTEMEASMCA"/>
      </w:pPr>
      <w:r w:rsidRPr="00E4571B">
        <w:t>Ant dėžutės po „</w:t>
      </w:r>
      <w:r w:rsidR="00E4571B" w:rsidRPr="00E4571B">
        <w:t>Tinka iki</w:t>
      </w:r>
      <w:r w:rsidRPr="00E4571B">
        <w:t>“ nurodytam tinkamumo laikui pasibaigus, šio vaisto vartoti negalima. Vaistas tinka vartoti iki paskutinės nurodyto mėnesio dienos.</w:t>
      </w:r>
    </w:p>
    <w:p w14:paraId="317D7417" w14:textId="77777777" w:rsidR="00FB10DC" w:rsidRPr="00E4571B" w:rsidRDefault="00FB10DC" w:rsidP="00F1291E">
      <w:pPr>
        <w:pStyle w:val="BTEMEASMCA"/>
      </w:pPr>
    </w:p>
    <w:p w14:paraId="34DB73A4" w14:textId="5EB4C549" w:rsidR="00FB10DC" w:rsidRPr="00E4571B" w:rsidRDefault="00FB10DC" w:rsidP="00F1291E">
      <w:pPr>
        <w:pStyle w:val="BTEMEASMCA"/>
      </w:pPr>
      <w:r w:rsidRPr="00E4571B">
        <w:t>Laikyti ne aukštesnėje kaip 25</w:t>
      </w:r>
      <w:r w:rsidR="00E4571B" w:rsidRPr="00E4571B">
        <w:t> </w:t>
      </w:r>
      <w:r w:rsidRPr="00E4571B">
        <w:t>ºC temperatūroje.</w:t>
      </w:r>
    </w:p>
    <w:p w14:paraId="61F039E3" w14:textId="77777777" w:rsidR="00FB10DC" w:rsidRPr="00E4571B" w:rsidRDefault="00FB10DC" w:rsidP="00F1291E">
      <w:pPr>
        <w:pStyle w:val="BTEMEASMCA"/>
      </w:pPr>
    </w:p>
    <w:p w14:paraId="57E9951A" w14:textId="77777777" w:rsidR="00FB10DC" w:rsidRPr="00E4571B" w:rsidRDefault="00FB10DC" w:rsidP="00F1291E">
      <w:pPr>
        <w:pStyle w:val="BTEMEASMCA"/>
      </w:pPr>
      <w:r w:rsidRPr="00E4571B">
        <w:t>Vaistų negalima išmesti į kanalizaciją arba išmesti su buitinėmis atliekomis. Kaip išmesti nereikalingus vaistus, klauskite vaistininko. Šios priemonės padės apsaugoti aplinką.</w:t>
      </w:r>
    </w:p>
    <w:p w14:paraId="3709E5E8" w14:textId="77777777" w:rsidR="00FB10DC" w:rsidRPr="00E4571B" w:rsidRDefault="00FB10DC" w:rsidP="00F1291E">
      <w:pPr>
        <w:pStyle w:val="BTEMEASMCA"/>
      </w:pPr>
    </w:p>
    <w:p w14:paraId="11C5B87F" w14:textId="77777777" w:rsidR="00FB10DC" w:rsidRPr="00E4571B" w:rsidRDefault="00FB10DC" w:rsidP="00F1291E">
      <w:pPr>
        <w:pStyle w:val="BTEMEASMCA"/>
      </w:pPr>
    </w:p>
    <w:p w14:paraId="694390FD" w14:textId="5A886CB5" w:rsidR="00FB10DC" w:rsidRPr="00E4571B" w:rsidRDefault="00FB10DC" w:rsidP="00FB10DC">
      <w:pPr>
        <w:pStyle w:val="PI-1EMEASMCA"/>
      </w:pPr>
      <w:bookmarkStart w:id="12" w:name="_Toc129243144"/>
      <w:bookmarkStart w:id="13" w:name="_Toc129243269"/>
      <w:r w:rsidRPr="00E4571B">
        <w:t>6.</w:t>
      </w:r>
      <w:r w:rsidRPr="00E4571B">
        <w:tab/>
        <w:t>Kita informacija</w:t>
      </w:r>
      <w:bookmarkEnd w:id="12"/>
      <w:bookmarkEnd w:id="13"/>
    </w:p>
    <w:p w14:paraId="601E243B" w14:textId="77777777" w:rsidR="00FB10DC" w:rsidRPr="00E4571B" w:rsidRDefault="00FB10DC" w:rsidP="00F1291E">
      <w:pPr>
        <w:pStyle w:val="BTEMEASMCA"/>
      </w:pPr>
    </w:p>
    <w:p w14:paraId="7F60E1F7" w14:textId="7B461BC7" w:rsidR="00FB10DC" w:rsidRPr="00792A59" w:rsidRDefault="00792A59" w:rsidP="00C5246B">
      <w:pPr>
        <w:pStyle w:val="PI-3EMEASMCA"/>
      </w:pPr>
      <w:r w:rsidRPr="00792A59">
        <w:t>Amolytin</w:t>
      </w:r>
      <w:r w:rsidR="00FB10DC" w:rsidRPr="00792A59">
        <w:t xml:space="preserve"> sudėtis</w:t>
      </w:r>
    </w:p>
    <w:p w14:paraId="53068B08" w14:textId="383F534A" w:rsidR="00FB10DC" w:rsidRPr="00792A59" w:rsidRDefault="00FB10DC" w:rsidP="00F1291E">
      <w:pPr>
        <w:pStyle w:val="BTEMEASMCA"/>
      </w:pPr>
      <w:r w:rsidRPr="00792A59">
        <w:t>-</w:t>
      </w:r>
      <w:r w:rsidRPr="00792A59">
        <w:tab/>
        <w:t>Veiklioji medžiaga yra ambroksolio hidrochloridas. Vienoje tabletėje yra 30 mg ambroksolio</w:t>
      </w:r>
      <w:r w:rsidR="00792A59" w:rsidRPr="00792A59">
        <w:t xml:space="preserve"> </w:t>
      </w:r>
      <w:r w:rsidRPr="00792A59">
        <w:t>hidrochlorido.</w:t>
      </w:r>
    </w:p>
    <w:p w14:paraId="425D2710" w14:textId="4E3689E2" w:rsidR="00FB10DC" w:rsidRPr="00CC1603" w:rsidRDefault="00FB10DC" w:rsidP="00F1291E">
      <w:pPr>
        <w:pStyle w:val="BTEMEASMCA"/>
      </w:pPr>
      <w:r w:rsidRPr="00792A59">
        <w:lastRenderedPageBreak/>
        <w:t>-</w:t>
      </w:r>
      <w:r w:rsidRPr="00792A59">
        <w:tab/>
        <w:t xml:space="preserve">Pagalbinės medžiagos yra laktozė monohidratas, kukurūzų krakmolas, </w:t>
      </w:r>
      <w:r w:rsidR="00792A59" w:rsidRPr="00792A59">
        <w:t>bevandenis koloidinis silici</w:t>
      </w:r>
      <w:r w:rsidR="008459E7">
        <w:t>o dioksidas</w:t>
      </w:r>
      <w:r w:rsidRPr="00792A59">
        <w:t>, magnio stearatas.</w:t>
      </w:r>
      <w:r w:rsidRPr="00CC1603">
        <w:t xml:space="preserve"> </w:t>
      </w:r>
    </w:p>
    <w:p w14:paraId="0AB0682F" w14:textId="77777777" w:rsidR="00FB10DC" w:rsidRPr="00CC1603" w:rsidRDefault="00FB10DC" w:rsidP="00F1291E">
      <w:pPr>
        <w:pStyle w:val="BTEMEASMCA"/>
      </w:pPr>
    </w:p>
    <w:p w14:paraId="2C997E9C" w14:textId="06C990D0" w:rsidR="00FB10DC" w:rsidRPr="001922CB" w:rsidRDefault="001922CB" w:rsidP="00C5246B">
      <w:pPr>
        <w:pStyle w:val="PI-3EMEASMCA"/>
      </w:pPr>
      <w:r w:rsidRPr="001922CB">
        <w:t>Amolytin</w:t>
      </w:r>
      <w:r w:rsidR="00FB10DC" w:rsidRPr="001922CB">
        <w:t xml:space="preserve"> išvaizda ir kiekis pakuotėje</w:t>
      </w:r>
    </w:p>
    <w:p w14:paraId="22DA3ADB" w14:textId="43952502" w:rsidR="001922CB" w:rsidRPr="001922CB" w:rsidRDefault="001922CB" w:rsidP="00F1291E">
      <w:pPr>
        <w:pStyle w:val="BTEMEASMCA"/>
      </w:pPr>
      <w:r w:rsidRPr="001922CB">
        <w:t>Tabletės yra baltos arba balkšvos, plokščios, apvalios, iš abiejų pusių briaunotos, su vagele, 9 mm skersmens. Tabletę galima padalyti į dvi lygias dozes.</w:t>
      </w:r>
    </w:p>
    <w:p w14:paraId="39B88C65" w14:textId="77777777" w:rsidR="001922CB" w:rsidRPr="001922CB" w:rsidRDefault="001922CB" w:rsidP="00F1291E">
      <w:pPr>
        <w:pStyle w:val="BTEMEASMCA"/>
      </w:pPr>
    </w:p>
    <w:p w14:paraId="0F3A33A5" w14:textId="77777777" w:rsidR="001922CB" w:rsidRPr="001922CB" w:rsidRDefault="001922CB" w:rsidP="00F1291E">
      <w:pPr>
        <w:pStyle w:val="BTEMEASMCA"/>
      </w:pPr>
      <w:r w:rsidRPr="001922CB">
        <w:t>10 (dešimt) tablečių supakuota į PVC/aliuminio arba PVC/PVdC/aliuminio lizdines plokšteles.</w:t>
      </w:r>
    </w:p>
    <w:p w14:paraId="46DBF9A9" w14:textId="77777777" w:rsidR="001922CB" w:rsidRPr="001922CB" w:rsidRDefault="001922CB" w:rsidP="00F1291E">
      <w:pPr>
        <w:pStyle w:val="BTEMEASMCA"/>
      </w:pPr>
      <w:r w:rsidRPr="001922CB">
        <w:t>2 (dvi), 3 (trys) arba 5 (penkios) lizdinės plokštelės ir pakuotės lapelis sudėti į vieną sulankstomą dėžutę.</w:t>
      </w:r>
    </w:p>
    <w:p w14:paraId="209C8F17" w14:textId="77777777" w:rsidR="001922CB" w:rsidRPr="001922CB" w:rsidRDefault="001922CB" w:rsidP="00F1291E">
      <w:pPr>
        <w:pStyle w:val="BTEMEASMCA"/>
      </w:pPr>
    </w:p>
    <w:p w14:paraId="4AE8CEDC" w14:textId="77EED634" w:rsidR="00FB10DC" w:rsidRPr="001922CB" w:rsidRDefault="00FB10DC" w:rsidP="00F1291E">
      <w:pPr>
        <w:pStyle w:val="BTEMEASMCA"/>
      </w:pPr>
      <w:r w:rsidRPr="001922CB">
        <w:t>Gali būti tiekiamos ne visų dydžių pakuotės.</w:t>
      </w:r>
    </w:p>
    <w:p w14:paraId="6054B5B2" w14:textId="77777777" w:rsidR="00FB10DC" w:rsidRPr="001922CB" w:rsidRDefault="00FB10DC" w:rsidP="00F1291E">
      <w:pPr>
        <w:pStyle w:val="BTEMEASMCA"/>
      </w:pPr>
    </w:p>
    <w:p w14:paraId="2CCB5D75" w14:textId="229AB74C" w:rsidR="00FB10DC" w:rsidRPr="00424721" w:rsidRDefault="00FB10DC" w:rsidP="00424721">
      <w:pPr>
        <w:rPr>
          <w:b/>
          <w:bCs/>
          <w:caps/>
        </w:rPr>
      </w:pPr>
      <w:r w:rsidRPr="00424721">
        <w:rPr>
          <w:b/>
          <w:bCs/>
          <w:sz w:val="22"/>
          <w:szCs w:val="22"/>
        </w:rPr>
        <w:t>Registruotojas</w:t>
      </w:r>
      <w:r w:rsidR="006E5B2E" w:rsidRPr="00424721">
        <w:rPr>
          <w:b/>
          <w:bCs/>
          <w:sz w:val="22"/>
          <w:szCs w:val="22"/>
        </w:rPr>
        <w:t xml:space="preserve"> ir gamintojas</w:t>
      </w:r>
    </w:p>
    <w:p w14:paraId="2476AAE3" w14:textId="77777777" w:rsidR="006E5B2E" w:rsidRPr="001D3509" w:rsidRDefault="006E5B2E" w:rsidP="006E5B2E">
      <w:pPr>
        <w:rPr>
          <w:rFonts w:eastAsia="Calibri"/>
          <w:sz w:val="22"/>
          <w:szCs w:val="22"/>
        </w:rPr>
      </w:pPr>
      <w:r w:rsidRPr="001D3509">
        <w:rPr>
          <w:rFonts w:eastAsia="Calibri"/>
          <w:sz w:val="22"/>
          <w:szCs w:val="22"/>
        </w:rPr>
        <w:t>SOPHARMA AD</w:t>
      </w:r>
    </w:p>
    <w:p w14:paraId="77869CDB" w14:textId="77777777" w:rsidR="006E5B2E" w:rsidRPr="001D3509" w:rsidRDefault="006E5B2E" w:rsidP="006E5B2E">
      <w:pPr>
        <w:rPr>
          <w:rFonts w:eastAsia="Calibri"/>
          <w:sz w:val="22"/>
          <w:szCs w:val="22"/>
        </w:rPr>
      </w:pPr>
      <w:r w:rsidRPr="001D3509">
        <w:rPr>
          <w:rFonts w:eastAsia="Calibri"/>
          <w:sz w:val="22"/>
          <w:szCs w:val="22"/>
        </w:rPr>
        <w:t xml:space="preserve">16 </w:t>
      </w:r>
      <w:proofErr w:type="spellStart"/>
      <w:r w:rsidRPr="001D3509">
        <w:rPr>
          <w:rFonts w:eastAsia="Calibri"/>
          <w:sz w:val="22"/>
          <w:szCs w:val="22"/>
        </w:rPr>
        <w:t>Iliensko</w:t>
      </w:r>
      <w:proofErr w:type="spellEnd"/>
      <w:r w:rsidRPr="001D3509">
        <w:rPr>
          <w:rFonts w:eastAsia="Calibri"/>
          <w:sz w:val="22"/>
          <w:szCs w:val="22"/>
        </w:rPr>
        <w:t xml:space="preserve"> </w:t>
      </w:r>
      <w:proofErr w:type="spellStart"/>
      <w:r w:rsidRPr="001D3509">
        <w:rPr>
          <w:rFonts w:eastAsia="Calibri"/>
          <w:sz w:val="22"/>
          <w:szCs w:val="22"/>
        </w:rPr>
        <w:t>Shosse</w:t>
      </w:r>
      <w:proofErr w:type="spellEnd"/>
      <w:r w:rsidRPr="001D3509">
        <w:rPr>
          <w:rFonts w:eastAsia="Calibri"/>
          <w:sz w:val="22"/>
          <w:szCs w:val="22"/>
        </w:rPr>
        <w:t xml:space="preserve"> Str.</w:t>
      </w:r>
    </w:p>
    <w:p w14:paraId="023C67F6" w14:textId="604F34D4" w:rsidR="006E5B2E" w:rsidRPr="001D3509" w:rsidRDefault="006E5B2E" w:rsidP="006E5B2E">
      <w:pPr>
        <w:rPr>
          <w:rFonts w:eastAsia="Calibri"/>
          <w:sz w:val="22"/>
          <w:szCs w:val="22"/>
        </w:rPr>
      </w:pPr>
      <w:r w:rsidRPr="001D3509">
        <w:rPr>
          <w:rFonts w:eastAsia="Calibri"/>
          <w:sz w:val="22"/>
          <w:szCs w:val="22"/>
        </w:rPr>
        <w:t>Sofia</w:t>
      </w:r>
      <w:r w:rsidR="005C6AC4">
        <w:rPr>
          <w:rFonts w:eastAsia="Calibri"/>
          <w:sz w:val="22"/>
          <w:szCs w:val="22"/>
        </w:rPr>
        <w:t xml:space="preserve"> 1220</w:t>
      </w:r>
    </w:p>
    <w:p w14:paraId="626CF925" w14:textId="77777777" w:rsidR="006E5B2E" w:rsidRPr="001D3509" w:rsidRDefault="006E5B2E" w:rsidP="006E5B2E">
      <w:pPr>
        <w:rPr>
          <w:rFonts w:eastAsia="Calibri"/>
          <w:sz w:val="22"/>
          <w:szCs w:val="22"/>
        </w:rPr>
      </w:pPr>
      <w:r w:rsidRPr="001D3509">
        <w:rPr>
          <w:rFonts w:eastAsia="Calibri"/>
          <w:sz w:val="22"/>
          <w:szCs w:val="22"/>
        </w:rPr>
        <w:t>Bulgarija</w:t>
      </w:r>
    </w:p>
    <w:p w14:paraId="55C87704" w14:textId="77777777" w:rsidR="00FB10DC" w:rsidRPr="00CC1603" w:rsidRDefault="00FB10DC" w:rsidP="00F1291E">
      <w:pPr>
        <w:pStyle w:val="BTEMEASMCA"/>
      </w:pPr>
    </w:p>
    <w:p w14:paraId="6990CE3A" w14:textId="77777777" w:rsidR="00FB10DC" w:rsidRDefault="00FB10DC" w:rsidP="00FB10DC">
      <w:pPr>
        <w:pStyle w:val="Formatvorlage3"/>
        <w:tabs>
          <w:tab w:val="left" w:pos="2127"/>
        </w:tabs>
        <w:ind w:left="0"/>
        <w:rPr>
          <w:rFonts w:ascii="Times New Roman" w:hAnsi="Times New Roman" w:cs="Times New Roman"/>
          <w:b/>
          <w:lang w:val="lt-LT"/>
        </w:rPr>
      </w:pPr>
      <w:r w:rsidRPr="00CC1603">
        <w:rPr>
          <w:rFonts w:ascii="Times New Roman" w:hAnsi="Times New Roman" w:cs="Times New Roman"/>
          <w:b/>
          <w:lang w:val="lt-LT"/>
        </w:rPr>
        <w:t xml:space="preserve">Šis vaistas </w:t>
      </w:r>
      <w:r w:rsidRPr="00CC1603">
        <w:rPr>
          <w:rFonts w:ascii="Times New Roman" w:hAnsi="Times New Roman" w:cs="Times New Roman"/>
          <w:b/>
          <w:snapToGrid w:val="0"/>
          <w:lang w:val="lt-LT"/>
        </w:rPr>
        <w:t>Europos ekonominės erdvės</w:t>
      </w:r>
      <w:r w:rsidRPr="00CC1603">
        <w:rPr>
          <w:rFonts w:ascii="Times New Roman" w:hAnsi="Times New Roman" w:cs="Times New Roman"/>
          <w:b/>
          <w:lang w:val="lt-LT"/>
        </w:rPr>
        <w:t xml:space="preserve"> valstybėse narėse registruotas tokiais pavadinimais:</w:t>
      </w:r>
    </w:p>
    <w:p w14:paraId="2F95F468" w14:textId="77777777" w:rsidR="006E5B2E" w:rsidRPr="00925DDE" w:rsidRDefault="006E5B2E" w:rsidP="00FB10DC">
      <w:pPr>
        <w:pStyle w:val="Formatvorlage3"/>
        <w:tabs>
          <w:tab w:val="left" w:pos="2127"/>
        </w:tabs>
        <w:ind w:left="0"/>
        <w:rPr>
          <w:rFonts w:ascii="Times New Roman" w:hAnsi="Times New Roman" w:cs="Times New Roman"/>
          <w:b/>
          <w:lang w:val="lt-LT"/>
        </w:rPr>
      </w:pPr>
    </w:p>
    <w:p w14:paraId="2D1BB5C5" w14:textId="3C37E939" w:rsidR="00925DDE" w:rsidRPr="00925DDE" w:rsidRDefault="00925DDE" w:rsidP="00925DDE">
      <w:pPr>
        <w:pStyle w:val="Standard-Einzug2"/>
        <w:tabs>
          <w:tab w:val="left" w:pos="2127"/>
        </w:tabs>
        <w:spacing w:after="0"/>
        <w:ind w:left="0"/>
        <w:rPr>
          <w:rFonts w:ascii="Times New Roman" w:hAnsi="Times New Roman"/>
          <w:sz w:val="22"/>
          <w:szCs w:val="22"/>
          <w:lang w:val="lt-LT"/>
        </w:rPr>
      </w:pPr>
      <w:r w:rsidRPr="00925DDE">
        <w:rPr>
          <w:rFonts w:ascii="Times New Roman" w:hAnsi="Times New Roman"/>
          <w:sz w:val="22"/>
          <w:szCs w:val="22"/>
          <w:lang w:val="lt-LT"/>
        </w:rPr>
        <w:t>Latvija</w:t>
      </w:r>
      <w:r w:rsidRPr="00925DDE">
        <w:rPr>
          <w:rFonts w:ascii="Times New Roman" w:hAnsi="Times New Roman"/>
          <w:sz w:val="22"/>
          <w:szCs w:val="22"/>
          <w:lang w:val="lt-LT"/>
        </w:rPr>
        <w:tab/>
      </w:r>
      <w:r w:rsidRPr="00925DDE">
        <w:rPr>
          <w:rFonts w:ascii="Times New Roman" w:hAnsi="Times New Roman"/>
          <w:sz w:val="22"/>
          <w:szCs w:val="22"/>
          <w:lang w:val="lt-LT"/>
        </w:rPr>
        <w:tab/>
      </w:r>
      <w:r w:rsidRPr="00925DDE">
        <w:rPr>
          <w:rFonts w:ascii="Times New Roman" w:hAnsi="Times New Roman"/>
          <w:sz w:val="22"/>
          <w:szCs w:val="22"/>
          <w:lang w:val="lt-LT"/>
        </w:rPr>
        <w:tab/>
      </w:r>
      <w:proofErr w:type="spellStart"/>
      <w:r w:rsidRPr="00925DDE">
        <w:rPr>
          <w:rFonts w:ascii="Times New Roman" w:hAnsi="Times New Roman"/>
          <w:sz w:val="22"/>
          <w:szCs w:val="22"/>
          <w:lang w:val="lt-LT"/>
        </w:rPr>
        <w:t>Ambrolytin</w:t>
      </w:r>
      <w:proofErr w:type="spellEnd"/>
      <w:r w:rsidRPr="00925DDE">
        <w:rPr>
          <w:rFonts w:ascii="Times New Roman" w:hAnsi="Times New Roman"/>
          <w:sz w:val="22"/>
          <w:szCs w:val="22"/>
          <w:lang w:val="lt-LT"/>
        </w:rPr>
        <w:t xml:space="preserve"> 30 mg tabletes</w:t>
      </w:r>
    </w:p>
    <w:p w14:paraId="73447A75" w14:textId="65A3044D" w:rsidR="00FB10DC" w:rsidRPr="00925DDE" w:rsidRDefault="00FB10DC" w:rsidP="00FB10DC">
      <w:pPr>
        <w:pStyle w:val="Standard-Einzug2"/>
        <w:tabs>
          <w:tab w:val="left" w:pos="2127"/>
        </w:tabs>
        <w:spacing w:after="0"/>
        <w:ind w:left="0"/>
        <w:rPr>
          <w:rFonts w:ascii="Times New Roman" w:hAnsi="Times New Roman"/>
          <w:sz w:val="22"/>
          <w:szCs w:val="22"/>
          <w:lang w:val="lt-LT"/>
        </w:rPr>
      </w:pPr>
      <w:r w:rsidRPr="00925DDE">
        <w:rPr>
          <w:rFonts w:ascii="Times New Roman" w:hAnsi="Times New Roman"/>
          <w:sz w:val="22"/>
          <w:szCs w:val="22"/>
          <w:lang w:val="lt-LT"/>
        </w:rPr>
        <w:t>Bulgarija</w:t>
      </w:r>
      <w:r w:rsidRPr="00925DDE">
        <w:rPr>
          <w:rFonts w:ascii="Times New Roman" w:hAnsi="Times New Roman"/>
          <w:sz w:val="22"/>
          <w:szCs w:val="22"/>
          <w:lang w:val="lt-LT"/>
        </w:rPr>
        <w:tab/>
      </w:r>
      <w:r w:rsidRPr="00925DDE">
        <w:rPr>
          <w:rFonts w:ascii="Times New Roman" w:hAnsi="Times New Roman"/>
          <w:sz w:val="22"/>
          <w:szCs w:val="22"/>
          <w:lang w:val="lt-LT"/>
        </w:rPr>
        <w:tab/>
      </w:r>
      <w:r w:rsidRPr="00925DDE">
        <w:rPr>
          <w:rFonts w:ascii="Times New Roman" w:hAnsi="Times New Roman"/>
          <w:sz w:val="22"/>
          <w:szCs w:val="22"/>
          <w:lang w:val="lt-LT"/>
        </w:rPr>
        <w:tab/>
      </w:r>
      <w:proofErr w:type="spellStart"/>
      <w:r w:rsidR="00925DDE" w:rsidRPr="00925DDE">
        <w:rPr>
          <w:rFonts w:ascii="Times New Roman" w:hAnsi="Times New Roman"/>
          <w:sz w:val="22"/>
          <w:szCs w:val="22"/>
          <w:lang w:val="lt-LT"/>
        </w:rPr>
        <w:t>Амбролитин</w:t>
      </w:r>
      <w:proofErr w:type="spellEnd"/>
      <w:r w:rsidR="00925DDE" w:rsidRPr="00925DDE">
        <w:rPr>
          <w:rFonts w:ascii="Times New Roman" w:hAnsi="Times New Roman"/>
          <w:sz w:val="22"/>
          <w:szCs w:val="22"/>
          <w:lang w:val="lt-LT"/>
        </w:rPr>
        <w:t xml:space="preserve"> 30 mg </w:t>
      </w:r>
      <w:proofErr w:type="spellStart"/>
      <w:r w:rsidR="00925DDE" w:rsidRPr="00925DDE">
        <w:rPr>
          <w:rFonts w:ascii="Times New Roman" w:hAnsi="Times New Roman"/>
          <w:sz w:val="22"/>
          <w:szCs w:val="22"/>
          <w:lang w:val="lt-LT"/>
        </w:rPr>
        <w:t>таблетки</w:t>
      </w:r>
      <w:proofErr w:type="spellEnd"/>
    </w:p>
    <w:p w14:paraId="251AD038" w14:textId="14E72709" w:rsidR="00FB10DC" w:rsidRPr="00925DDE" w:rsidRDefault="00FB10DC" w:rsidP="00FB10DC">
      <w:pPr>
        <w:pStyle w:val="Standard-Einzug2"/>
        <w:tabs>
          <w:tab w:val="left" w:pos="2127"/>
        </w:tabs>
        <w:spacing w:after="0"/>
        <w:ind w:left="0"/>
        <w:rPr>
          <w:rFonts w:ascii="Times New Roman" w:hAnsi="Times New Roman"/>
          <w:sz w:val="22"/>
          <w:szCs w:val="22"/>
          <w:lang w:val="lt-LT"/>
        </w:rPr>
      </w:pPr>
      <w:r w:rsidRPr="00925DDE">
        <w:rPr>
          <w:rFonts w:ascii="Times New Roman" w:hAnsi="Times New Roman"/>
          <w:sz w:val="22"/>
          <w:szCs w:val="22"/>
          <w:lang w:val="lt-LT"/>
        </w:rPr>
        <w:t>Estija</w:t>
      </w:r>
      <w:r w:rsidRPr="00925DDE">
        <w:rPr>
          <w:rFonts w:ascii="Times New Roman" w:hAnsi="Times New Roman"/>
          <w:sz w:val="22"/>
          <w:szCs w:val="22"/>
          <w:lang w:val="lt-LT"/>
        </w:rPr>
        <w:tab/>
      </w:r>
      <w:r w:rsidRPr="00925DDE">
        <w:rPr>
          <w:rFonts w:ascii="Times New Roman" w:hAnsi="Times New Roman"/>
          <w:sz w:val="22"/>
          <w:szCs w:val="22"/>
          <w:lang w:val="lt-LT"/>
        </w:rPr>
        <w:tab/>
      </w:r>
      <w:r w:rsidRPr="00925DDE">
        <w:rPr>
          <w:rFonts w:ascii="Times New Roman" w:hAnsi="Times New Roman"/>
          <w:sz w:val="22"/>
          <w:szCs w:val="22"/>
          <w:lang w:val="lt-LT"/>
        </w:rPr>
        <w:tab/>
      </w:r>
      <w:proofErr w:type="spellStart"/>
      <w:r w:rsidR="00925DDE" w:rsidRPr="00925DDE">
        <w:rPr>
          <w:rFonts w:ascii="Times New Roman" w:hAnsi="Times New Roman"/>
          <w:sz w:val="22"/>
          <w:szCs w:val="22"/>
          <w:lang w:val="lt-LT"/>
        </w:rPr>
        <w:t>Ambrolytin</w:t>
      </w:r>
      <w:proofErr w:type="spellEnd"/>
    </w:p>
    <w:p w14:paraId="7A8F9B09" w14:textId="012DAA71" w:rsidR="00FB10DC" w:rsidRPr="00925DDE" w:rsidRDefault="00FB10DC" w:rsidP="00FB10DC">
      <w:pPr>
        <w:pStyle w:val="Standard-Einzug2"/>
        <w:tabs>
          <w:tab w:val="left" w:pos="2127"/>
        </w:tabs>
        <w:spacing w:after="0"/>
        <w:ind w:left="0"/>
        <w:jc w:val="both"/>
        <w:rPr>
          <w:rFonts w:ascii="Times New Roman" w:hAnsi="Times New Roman"/>
          <w:sz w:val="22"/>
          <w:szCs w:val="22"/>
          <w:lang w:val="lt-LT"/>
        </w:rPr>
      </w:pPr>
      <w:r w:rsidRPr="00925DDE">
        <w:rPr>
          <w:rFonts w:ascii="Times New Roman" w:hAnsi="Times New Roman"/>
          <w:sz w:val="22"/>
          <w:szCs w:val="22"/>
          <w:lang w:val="lt-LT"/>
        </w:rPr>
        <w:t>Lenkija</w:t>
      </w:r>
      <w:r w:rsidRPr="00925DDE">
        <w:rPr>
          <w:rFonts w:ascii="Times New Roman" w:hAnsi="Times New Roman"/>
          <w:sz w:val="22"/>
          <w:szCs w:val="22"/>
          <w:lang w:val="lt-LT"/>
        </w:rPr>
        <w:tab/>
      </w:r>
      <w:r w:rsidRPr="00925DDE">
        <w:rPr>
          <w:rFonts w:ascii="Times New Roman" w:hAnsi="Times New Roman"/>
          <w:sz w:val="22"/>
          <w:szCs w:val="22"/>
          <w:lang w:val="lt-LT"/>
        </w:rPr>
        <w:tab/>
      </w:r>
      <w:r w:rsidRPr="00925DDE">
        <w:rPr>
          <w:rFonts w:ascii="Times New Roman" w:hAnsi="Times New Roman"/>
          <w:sz w:val="22"/>
          <w:szCs w:val="22"/>
          <w:lang w:val="lt-LT"/>
        </w:rPr>
        <w:tab/>
      </w:r>
      <w:r w:rsidR="00925DDE" w:rsidRPr="00925DDE">
        <w:rPr>
          <w:rFonts w:ascii="Times New Roman" w:hAnsi="Times New Roman"/>
          <w:sz w:val="22"/>
          <w:szCs w:val="22"/>
          <w:lang w:val="bg-BG"/>
        </w:rPr>
        <w:t>Ambrolytin max</w:t>
      </w:r>
    </w:p>
    <w:p w14:paraId="58ABC94C" w14:textId="77777777" w:rsidR="00FB10DC" w:rsidRPr="00925DDE" w:rsidRDefault="00FB10DC" w:rsidP="00F1291E">
      <w:pPr>
        <w:pStyle w:val="BTEMEASMCA"/>
      </w:pPr>
    </w:p>
    <w:p w14:paraId="362E88E9" w14:textId="0CCCB2C1" w:rsidR="00FB10DC" w:rsidRPr="00424721" w:rsidRDefault="00FB10DC" w:rsidP="00424721">
      <w:pPr>
        <w:rPr>
          <w:b/>
          <w:bCs/>
        </w:rPr>
      </w:pPr>
      <w:r w:rsidRPr="00424721">
        <w:rPr>
          <w:b/>
          <w:bCs/>
          <w:sz w:val="22"/>
          <w:szCs w:val="22"/>
        </w:rPr>
        <w:t xml:space="preserve">Šis pakuotės lapelis paskutinį kartą peržiūrėtas </w:t>
      </w:r>
      <w:r w:rsidR="00E645FA">
        <w:rPr>
          <w:b/>
          <w:bCs/>
          <w:sz w:val="22"/>
          <w:szCs w:val="22"/>
        </w:rPr>
        <w:t>2025-07-31.</w:t>
      </w:r>
    </w:p>
    <w:p w14:paraId="32472F42" w14:textId="77777777" w:rsidR="00FB10DC" w:rsidRPr="00CC1603" w:rsidRDefault="00FB10DC" w:rsidP="00F1291E">
      <w:pPr>
        <w:pStyle w:val="BTEMEASMCA"/>
      </w:pPr>
    </w:p>
    <w:p w14:paraId="6FECBDEE" w14:textId="488BB830" w:rsidR="00FB10DC" w:rsidRPr="00CC1603" w:rsidRDefault="00FB10DC" w:rsidP="00FB10DC">
      <w:pPr>
        <w:rPr>
          <w:sz w:val="22"/>
        </w:rPr>
      </w:pPr>
      <w:r w:rsidRPr="00CC1603">
        <w:rPr>
          <w:sz w:val="22"/>
          <w:szCs w:val="22"/>
        </w:rPr>
        <w:t>Išsami informacija apie šį vaistą</w:t>
      </w:r>
      <w:r w:rsidRPr="00CC1603">
        <w:rPr>
          <w:sz w:val="22"/>
        </w:rPr>
        <w:t xml:space="preserve"> pateikiama Valstybinės vaistų kontrolės tarnybos prie Lietuvos Respublikos</w:t>
      </w:r>
      <w:r w:rsidRPr="00CC1603">
        <w:rPr>
          <w:sz w:val="22"/>
          <w:szCs w:val="22"/>
        </w:rPr>
        <w:t xml:space="preserve"> </w:t>
      </w:r>
      <w:r w:rsidRPr="00CC1603">
        <w:rPr>
          <w:sz w:val="22"/>
        </w:rPr>
        <w:t xml:space="preserve">sveikatos apsaugos ministerijos </w:t>
      </w:r>
      <w:r w:rsidRPr="00CC1603">
        <w:rPr>
          <w:sz w:val="22"/>
          <w:szCs w:val="22"/>
        </w:rPr>
        <w:t>tinklalapyje</w:t>
      </w:r>
      <w:r w:rsidRPr="00CC1603">
        <w:rPr>
          <w:sz w:val="22"/>
        </w:rPr>
        <w:t xml:space="preserve"> </w:t>
      </w:r>
      <w:hyperlink r:id="rId8" w:history="1">
        <w:r w:rsidR="00E67939" w:rsidRPr="00E67939">
          <w:rPr>
            <w:rFonts w:eastAsia="Calibri"/>
            <w:color w:val="0563C1"/>
            <w:sz w:val="22"/>
            <w:szCs w:val="22"/>
            <w:u w:val="single"/>
          </w:rPr>
          <w:t>https://vvkt.lrv.lt/lt/</w:t>
        </w:r>
      </w:hyperlink>
      <w:r w:rsidR="00E67939">
        <w:rPr>
          <w:rFonts w:ascii="Aptos" w:eastAsia="Aptos" w:hAnsi="Aptos"/>
          <w:sz w:val="22"/>
          <w:szCs w:val="22"/>
        </w:rPr>
        <w:t>.</w:t>
      </w:r>
    </w:p>
    <w:p w14:paraId="6FF44B35" w14:textId="77777777" w:rsidR="00627DA1" w:rsidRPr="00CC1603" w:rsidRDefault="00627DA1"/>
    <w:sectPr w:rsidR="00627DA1" w:rsidRPr="00CC1603">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D554" w14:textId="77777777" w:rsidR="00FB61E6" w:rsidRDefault="00FB61E6">
      <w:r>
        <w:separator/>
      </w:r>
    </w:p>
  </w:endnote>
  <w:endnote w:type="continuationSeparator" w:id="0">
    <w:p w14:paraId="18160DB4" w14:textId="77777777" w:rsidR="00FB61E6" w:rsidRDefault="00FB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1ABE" w14:textId="745A54C6" w:rsidR="00BE5CB0" w:rsidRPr="00C64289" w:rsidRDefault="008459E7">
    <w:pPr>
      <w:pStyle w:val="Porat"/>
      <w:jc w:val="right"/>
      <w:rPr>
        <w:sz w:val="20"/>
        <w:szCs w:val="20"/>
      </w:rPr>
    </w:pPr>
    <w:r w:rsidRPr="00C64289">
      <w:rPr>
        <w:rStyle w:val="Puslapionumeris"/>
        <w:sz w:val="20"/>
      </w:rPr>
      <w:fldChar w:fldCharType="begin"/>
    </w:r>
    <w:r w:rsidRPr="00C64289">
      <w:rPr>
        <w:rStyle w:val="Puslapionumeris"/>
        <w:sz w:val="20"/>
      </w:rPr>
      <w:instrText xml:space="preserve"> PAGE </w:instrText>
    </w:r>
    <w:r w:rsidRPr="00C64289">
      <w:rPr>
        <w:rStyle w:val="Puslapionumeris"/>
        <w:sz w:val="20"/>
      </w:rPr>
      <w:fldChar w:fldCharType="separate"/>
    </w:r>
    <w:r w:rsidR="00424721">
      <w:rPr>
        <w:rStyle w:val="Puslapionumeris"/>
        <w:noProof/>
        <w:sz w:val="20"/>
      </w:rPr>
      <w:t>1</w:t>
    </w:r>
    <w:r w:rsidR="00424721">
      <w:rPr>
        <w:rStyle w:val="Puslapionumeris"/>
        <w:noProof/>
        <w:sz w:val="20"/>
      </w:rPr>
      <w:t>9</w:t>
    </w:r>
    <w:r w:rsidRPr="00C64289">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D0FA" w14:textId="77777777" w:rsidR="00FB61E6" w:rsidRDefault="00FB61E6">
      <w:r>
        <w:separator/>
      </w:r>
    </w:p>
  </w:footnote>
  <w:footnote w:type="continuationSeparator" w:id="0">
    <w:p w14:paraId="0ED3EAE0" w14:textId="77777777" w:rsidR="00FB61E6" w:rsidRDefault="00FB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5A01F4"/>
    <w:multiLevelType w:val="hybridMultilevel"/>
    <w:tmpl w:val="5EB6F8F2"/>
    <w:lvl w:ilvl="0" w:tplc="AACCF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D32E1"/>
    <w:multiLevelType w:val="hybridMultilevel"/>
    <w:tmpl w:val="A4027C3C"/>
    <w:lvl w:ilvl="0" w:tplc="3F0C12C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97781E"/>
    <w:multiLevelType w:val="hybridMultilevel"/>
    <w:tmpl w:val="6F1E3B7C"/>
    <w:lvl w:ilvl="0" w:tplc="0AE40AE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C96510"/>
    <w:multiLevelType w:val="hybridMultilevel"/>
    <w:tmpl w:val="03649548"/>
    <w:lvl w:ilvl="0" w:tplc="7542F40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C5916"/>
    <w:multiLevelType w:val="multilevel"/>
    <w:tmpl w:val="BE986FA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9A27EB7"/>
    <w:multiLevelType w:val="hybridMultilevel"/>
    <w:tmpl w:val="83E8F9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478885567">
    <w:abstractNumId w:val="5"/>
  </w:num>
  <w:num w:numId="2" w16cid:durableId="549994808">
    <w:abstractNumId w:val="6"/>
  </w:num>
  <w:num w:numId="3" w16cid:durableId="2074423626">
    <w:abstractNumId w:val="3"/>
  </w:num>
  <w:num w:numId="4" w16cid:durableId="1059666680">
    <w:abstractNumId w:val="2"/>
  </w:num>
  <w:num w:numId="5" w16cid:durableId="989868181">
    <w:abstractNumId w:val="1"/>
  </w:num>
  <w:num w:numId="6" w16cid:durableId="276300532">
    <w:abstractNumId w:val="4"/>
  </w:num>
  <w:num w:numId="7" w16cid:durableId="26719858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DC"/>
    <w:rsid w:val="000327F1"/>
    <w:rsid w:val="00044570"/>
    <w:rsid w:val="000A357F"/>
    <w:rsid w:val="000B2B57"/>
    <w:rsid w:val="000B7F88"/>
    <w:rsid w:val="000C4ED7"/>
    <w:rsid w:val="000D2F17"/>
    <w:rsid w:val="000E452A"/>
    <w:rsid w:val="000F2003"/>
    <w:rsid w:val="00105029"/>
    <w:rsid w:val="00116D7D"/>
    <w:rsid w:val="00126C00"/>
    <w:rsid w:val="00131632"/>
    <w:rsid w:val="00151E45"/>
    <w:rsid w:val="00175E8C"/>
    <w:rsid w:val="001922CB"/>
    <w:rsid w:val="001B5451"/>
    <w:rsid w:val="001D3509"/>
    <w:rsid w:val="001F3121"/>
    <w:rsid w:val="00205F78"/>
    <w:rsid w:val="002075FF"/>
    <w:rsid w:val="0021709B"/>
    <w:rsid w:val="002502C6"/>
    <w:rsid w:val="002B26C6"/>
    <w:rsid w:val="002D00A4"/>
    <w:rsid w:val="002D05E4"/>
    <w:rsid w:val="002F3244"/>
    <w:rsid w:val="003048CD"/>
    <w:rsid w:val="00324341"/>
    <w:rsid w:val="0034426A"/>
    <w:rsid w:val="00372A4B"/>
    <w:rsid w:val="00385E82"/>
    <w:rsid w:val="003A4529"/>
    <w:rsid w:val="003C275A"/>
    <w:rsid w:val="00424721"/>
    <w:rsid w:val="00430874"/>
    <w:rsid w:val="00430DE9"/>
    <w:rsid w:val="00445FEA"/>
    <w:rsid w:val="00456547"/>
    <w:rsid w:val="0046248E"/>
    <w:rsid w:val="00470E50"/>
    <w:rsid w:val="00473654"/>
    <w:rsid w:val="00473C56"/>
    <w:rsid w:val="00476D93"/>
    <w:rsid w:val="00485E46"/>
    <w:rsid w:val="00492D4F"/>
    <w:rsid w:val="004B2D1B"/>
    <w:rsid w:val="004F2585"/>
    <w:rsid w:val="00525B9F"/>
    <w:rsid w:val="00543FE5"/>
    <w:rsid w:val="00547D36"/>
    <w:rsid w:val="00550E62"/>
    <w:rsid w:val="0055415B"/>
    <w:rsid w:val="00585839"/>
    <w:rsid w:val="005C4F13"/>
    <w:rsid w:val="005C6AC4"/>
    <w:rsid w:val="005E626A"/>
    <w:rsid w:val="005F282B"/>
    <w:rsid w:val="00603530"/>
    <w:rsid w:val="00605DA1"/>
    <w:rsid w:val="00627DA1"/>
    <w:rsid w:val="00631B45"/>
    <w:rsid w:val="00642E89"/>
    <w:rsid w:val="006B53A4"/>
    <w:rsid w:val="006D3637"/>
    <w:rsid w:val="006E5B2E"/>
    <w:rsid w:val="007048C9"/>
    <w:rsid w:val="00717C11"/>
    <w:rsid w:val="00717FBB"/>
    <w:rsid w:val="0072292C"/>
    <w:rsid w:val="007374AC"/>
    <w:rsid w:val="0074296B"/>
    <w:rsid w:val="00784438"/>
    <w:rsid w:val="00792A59"/>
    <w:rsid w:val="007A5778"/>
    <w:rsid w:val="007C12B1"/>
    <w:rsid w:val="007D315E"/>
    <w:rsid w:val="007F166C"/>
    <w:rsid w:val="00812B48"/>
    <w:rsid w:val="00815309"/>
    <w:rsid w:val="00826B80"/>
    <w:rsid w:val="008459E7"/>
    <w:rsid w:val="0086651F"/>
    <w:rsid w:val="008738B4"/>
    <w:rsid w:val="008B4556"/>
    <w:rsid w:val="008B618F"/>
    <w:rsid w:val="008D575E"/>
    <w:rsid w:val="008E18E4"/>
    <w:rsid w:val="008E2091"/>
    <w:rsid w:val="009256F4"/>
    <w:rsid w:val="00925DDE"/>
    <w:rsid w:val="00960A46"/>
    <w:rsid w:val="0096777C"/>
    <w:rsid w:val="00977208"/>
    <w:rsid w:val="00984E39"/>
    <w:rsid w:val="009B0EDD"/>
    <w:rsid w:val="009C0908"/>
    <w:rsid w:val="009C7165"/>
    <w:rsid w:val="009D589A"/>
    <w:rsid w:val="00A22DAE"/>
    <w:rsid w:val="00A339EF"/>
    <w:rsid w:val="00A74902"/>
    <w:rsid w:val="00AA42D9"/>
    <w:rsid w:val="00AB2D61"/>
    <w:rsid w:val="00AC0DB1"/>
    <w:rsid w:val="00AD6E5F"/>
    <w:rsid w:val="00AF3AEF"/>
    <w:rsid w:val="00B0578D"/>
    <w:rsid w:val="00B618A8"/>
    <w:rsid w:val="00B70DBD"/>
    <w:rsid w:val="00BB7FD1"/>
    <w:rsid w:val="00BC27A4"/>
    <w:rsid w:val="00BD2CA9"/>
    <w:rsid w:val="00BD61B9"/>
    <w:rsid w:val="00BE5CB0"/>
    <w:rsid w:val="00C02AB6"/>
    <w:rsid w:val="00C06D30"/>
    <w:rsid w:val="00C36750"/>
    <w:rsid w:val="00C51BBD"/>
    <w:rsid w:val="00C51EB8"/>
    <w:rsid w:val="00C5246B"/>
    <w:rsid w:val="00C548DE"/>
    <w:rsid w:val="00C554B2"/>
    <w:rsid w:val="00C876C0"/>
    <w:rsid w:val="00C93DA5"/>
    <w:rsid w:val="00CB23EF"/>
    <w:rsid w:val="00CC1603"/>
    <w:rsid w:val="00CC3A90"/>
    <w:rsid w:val="00CC79A5"/>
    <w:rsid w:val="00CE792C"/>
    <w:rsid w:val="00D261A6"/>
    <w:rsid w:val="00DA47DF"/>
    <w:rsid w:val="00DC7D8E"/>
    <w:rsid w:val="00DD796E"/>
    <w:rsid w:val="00E0119C"/>
    <w:rsid w:val="00E4571B"/>
    <w:rsid w:val="00E645FA"/>
    <w:rsid w:val="00E67939"/>
    <w:rsid w:val="00E86028"/>
    <w:rsid w:val="00EA1A01"/>
    <w:rsid w:val="00EB2BDD"/>
    <w:rsid w:val="00EF70EB"/>
    <w:rsid w:val="00F1291E"/>
    <w:rsid w:val="00F23EB0"/>
    <w:rsid w:val="00F2540A"/>
    <w:rsid w:val="00F3713F"/>
    <w:rsid w:val="00F43E02"/>
    <w:rsid w:val="00F9661B"/>
    <w:rsid w:val="00FA474C"/>
    <w:rsid w:val="00FB10DC"/>
    <w:rsid w:val="00FB61E6"/>
    <w:rsid w:val="00FC6358"/>
    <w:rsid w:val="00FF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A814"/>
  <w15:chartTrackingRefBased/>
  <w15:docId w15:val="{2CD72C97-2F6E-4821-9642-46E63327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0DC"/>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FB10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B10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B10DC"/>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FB10DC"/>
    <w:rPr>
      <w:color w:val="0000FF"/>
      <w:u w:val="single"/>
    </w:rPr>
  </w:style>
  <w:style w:type="paragraph" w:customStyle="1" w:styleId="PI-1EMEASMCA">
    <w:name w:val="PI-1 EMEA_SMCA"/>
    <w:basedOn w:val="Antrat2"/>
    <w:autoRedefine/>
    <w:rsid w:val="00FB10D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FB10D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FB10DC"/>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F1291E"/>
    <w:rPr>
      <w:iCs/>
      <w:noProof/>
      <w:sz w:val="22"/>
      <w:szCs w:val="22"/>
    </w:rPr>
  </w:style>
  <w:style w:type="paragraph" w:customStyle="1" w:styleId="TTEMEASMCA">
    <w:name w:val="TT EMEA_SMCA"/>
    <w:basedOn w:val="Antrat1"/>
    <w:autoRedefine/>
    <w:rsid w:val="00FB10D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FB10DC"/>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9C7165"/>
    <w:pPr>
      <w:numPr>
        <w:numId w:val="6"/>
      </w:numPr>
      <w:tabs>
        <w:tab w:val="left" w:pos="540"/>
        <w:tab w:val="left" w:pos="567"/>
      </w:tabs>
      <w:ind w:left="567" w:hanging="567"/>
    </w:pPr>
  </w:style>
  <w:style w:type="paragraph" w:customStyle="1" w:styleId="PI-3EMEASMCA">
    <w:name w:val="PI-3 EMEA_SMCA"/>
    <w:basedOn w:val="prastasis"/>
    <w:autoRedefine/>
    <w:rsid w:val="00C5246B"/>
    <w:rPr>
      <w:b/>
      <w:sz w:val="22"/>
      <w:szCs w:val="22"/>
    </w:rPr>
  </w:style>
  <w:style w:type="paragraph" w:customStyle="1" w:styleId="BTbEMEASMCA">
    <w:name w:val="BT(b) EMEA_SMCA"/>
    <w:basedOn w:val="BTEMEASMCA"/>
    <w:autoRedefine/>
    <w:rsid w:val="00FB10DC"/>
    <w:rPr>
      <w:b/>
    </w:rPr>
  </w:style>
  <w:style w:type="paragraph" w:customStyle="1" w:styleId="BTbeEMEASMCA">
    <w:name w:val="BT(be) EMEA_SMCA"/>
    <w:basedOn w:val="BTEMEASMCA"/>
    <w:autoRedefine/>
    <w:rsid w:val="00FB10DC"/>
    <w:pPr>
      <w:jc w:val="center"/>
    </w:pPr>
    <w:rPr>
      <w:b/>
    </w:rPr>
  </w:style>
  <w:style w:type="paragraph" w:customStyle="1" w:styleId="BTeEMEASMCA">
    <w:name w:val="BT(e) EMEA_SMCA"/>
    <w:basedOn w:val="BTEMEASMCA"/>
    <w:autoRedefine/>
    <w:rsid w:val="00FB10DC"/>
    <w:pPr>
      <w:jc w:val="center"/>
    </w:pPr>
  </w:style>
  <w:style w:type="paragraph" w:styleId="Pavadinimas">
    <w:name w:val="Title"/>
    <w:basedOn w:val="prastasis"/>
    <w:link w:val="PavadinimasDiagrama"/>
    <w:qFormat/>
    <w:rsid w:val="00FB10DC"/>
    <w:pPr>
      <w:jc w:val="center"/>
    </w:pPr>
    <w:rPr>
      <w:b/>
      <w:sz w:val="22"/>
      <w:szCs w:val="20"/>
      <w:lang w:val="en-GB"/>
    </w:rPr>
  </w:style>
  <w:style w:type="character" w:customStyle="1" w:styleId="PavadinimasDiagrama">
    <w:name w:val="Pavadinimas Diagrama"/>
    <w:basedOn w:val="Numatytasispastraiposriftas"/>
    <w:link w:val="Pavadinimas"/>
    <w:rsid w:val="00FB10DC"/>
    <w:rPr>
      <w:rFonts w:ascii="Times New Roman" w:eastAsia="Times New Roman" w:hAnsi="Times New Roman" w:cs="Times New Roman"/>
      <w:b/>
      <w:kern w:val="0"/>
      <w:szCs w:val="20"/>
      <w:lang w:val="en-GB"/>
      <w14:ligatures w14:val="none"/>
    </w:rPr>
  </w:style>
  <w:style w:type="paragraph" w:customStyle="1" w:styleId="Formatvorlage3">
    <w:name w:val="Formatvorlage3"/>
    <w:basedOn w:val="prastasis"/>
    <w:link w:val="Formatvorlage3Char"/>
    <w:rsid w:val="00FB10DC"/>
    <w:pPr>
      <w:ind w:left="567"/>
    </w:pPr>
    <w:rPr>
      <w:rFonts w:ascii="Arial" w:hAnsi="Arial" w:cs="Arial"/>
      <w:sz w:val="22"/>
      <w:szCs w:val="22"/>
      <w:lang w:val="de-DE" w:eastAsia="de-DE"/>
    </w:rPr>
  </w:style>
  <w:style w:type="paragraph" w:styleId="Pagrindinistekstas">
    <w:name w:val="Body Text"/>
    <w:basedOn w:val="prastasis"/>
    <w:link w:val="PagrindinistekstasDiagrama"/>
    <w:rsid w:val="00FB10DC"/>
    <w:rPr>
      <w:i/>
      <w:color w:val="008000"/>
      <w:sz w:val="22"/>
      <w:szCs w:val="20"/>
      <w:lang w:val="en-GB"/>
    </w:rPr>
  </w:style>
  <w:style w:type="character" w:customStyle="1" w:styleId="PagrindinistekstasDiagrama">
    <w:name w:val="Pagrindinis tekstas Diagrama"/>
    <w:basedOn w:val="Numatytasispastraiposriftas"/>
    <w:link w:val="Pagrindinistekstas"/>
    <w:rsid w:val="00FB10DC"/>
    <w:rPr>
      <w:rFonts w:ascii="Times New Roman" w:eastAsia="Times New Roman" w:hAnsi="Times New Roman" w:cs="Times New Roman"/>
      <w:i/>
      <w:color w:val="008000"/>
      <w:kern w:val="0"/>
      <w:szCs w:val="20"/>
      <w:lang w:val="en-GB"/>
      <w14:ligatures w14:val="none"/>
    </w:rPr>
  </w:style>
  <w:style w:type="paragraph" w:customStyle="1" w:styleId="btemeasmca0">
    <w:name w:val="btemeasmca"/>
    <w:basedOn w:val="prastasis"/>
    <w:rsid w:val="00FB10DC"/>
    <w:rPr>
      <w:sz w:val="22"/>
      <w:szCs w:val="22"/>
      <w:lang w:val="en-US" w:bidi="lo-LA"/>
    </w:rPr>
  </w:style>
  <w:style w:type="character" w:styleId="Puslapionumeris">
    <w:name w:val="page number"/>
    <w:basedOn w:val="Numatytasispastraiposriftas"/>
    <w:rsid w:val="00FB10DC"/>
  </w:style>
  <w:style w:type="paragraph" w:customStyle="1" w:styleId="Standard-Einzug2">
    <w:name w:val="Standard-Einzug 2"/>
    <w:basedOn w:val="prastasis"/>
    <w:link w:val="Standard-Einzug2Char"/>
    <w:uiPriority w:val="99"/>
    <w:rsid w:val="00FB10DC"/>
    <w:pPr>
      <w:spacing w:after="120"/>
      <w:ind w:left="709"/>
    </w:pPr>
    <w:rPr>
      <w:rFonts w:ascii="Arial" w:hAnsi="Arial"/>
      <w:lang w:val="de-DE"/>
    </w:rPr>
  </w:style>
  <w:style w:type="paragraph" w:styleId="Porat">
    <w:name w:val="footer"/>
    <w:basedOn w:val="prastasis"/>
    <w:link w:val="PoratDiagrama"/>
    <w:rsid w:val="00FB10DC"/>
    <w:pPr>
      <w:tabs>
        <w:tab w:val="center" w:pos="4153"/>
        <w:tab w:val="right" w:pos="8306"/>
      </w:tabs>
    </w:pPr>
  </w:style>
  <w:style w:type="character" w:customStyle="1" w:styleId="PoratDiagrama">
    <w:name w:val="Poraštė Diagrama"/>
    <w:basedOn w:val="Numatytasispastraiposriftas"/>
    <w:link w:val="Porat"/>
    <w:rsid w:val="00FB10DC"/>
    <w:rPr>
      <w:rFonts w:ascii="Times New Roman" w:eastAsia="Times New Roman" w:hAnsi="Times New Roman" w:cs="Times New Roman"/>
      <w:kern w:val="0"/>
      <w:sz w:val="24"/>
      <w:szCs w:val="24"/>
      <w:lang w:val="lt-LT"/>
      <w14:ligatures w14:val="none"/>
    </w:rPr>
  </w:style>
  <w:style w:type="character" w:customStyle="1" w:styleId="Standard-Einzug2Char">
    <w:name w:val="Standard-Einzug 2 Char"/>
    <w:basedOn w:val="Numatytasispastraiposriftas"/>
    <w:link w:val="Standard-Einzug2"/>
    <w:uiPriority w:val="99"/>
    <w:rsid w:val="00FB10DC"/>
    <w:rPr>
      <w:rFonts w:ascii="Arial" w:eastAsia="Times New Roman" w:hAnsi="Arial" w:cs="Times New Roman"/>
      <w:kern w:val="0"/>
      <w:sz w:val="24"/>
      <w:szCs w:val="24"/>
      <w:lang w:val="de-DE"/>
      <w14:ligatures w14:val="none"/>
    </w:rPr>
  </w:style>
  <w:style w:type="character" w:customStyle="1" w:styleId="BTEMEASMCAChar">
    <w:name w:val="BT EMEA_SMCA Char"/>
    <w:link w:val="BTEMEASMCA"/>
    <w:rsid w:val="00F1291E"/>
    <w:rPr>
      <w:rFonts w:ascii="Times New Roman" w:eastAsia="Times New Roman" w:hAnsi="Times New Roman" w:cs="Times New Roman"/>
      <w:iCs/>
      <w:noProof/>
      <w:kern w:val="0"/>
      <w:lang w:val="lt-LT"/>
      <w14:ligatures w14:val="none"/>
    </w:rPr>
  </w:style>
  <w:style w:type="character" w:customStyle="1" w:styleId="Formatvorlage3Char">
    <w:name w:val="Formatvorlage3 Char"/>
    <w:link w:val="Formatvorlage3"/>
    <w:rsid w:val="00FB10DC"/>
    <w:rPr>
      <w:rFonts w:ascii="Arial" w:eastAsia="Times New Roman" w:hAnsi="Arial" w:cs="Arial"/>
      <w:kern w:val="0"/>
      <w:lang w:val="de-DE" w:eastAsia="de-DE"/>
      <w14:ligatures w14:val="none"/>
    </w:rPr>
  </w:style>
  <w:style w:type="paragraph" w:customStyle="1" w:styleId="Formatvorlage5">
    <w:name w:val="Formatvorlage5"/>
    <w:basedOn w:val="prastasis"/>
    <w:next w:val="prastasis"/>
    <w:uiPriority w:val="99"/>
    <w:rsid w:val="00FB10DC"/>
    <w:pPr>
      <w:spacing w:after="120"/>
      <w:ind w:left="1134" w:hanging="567"/>
    </w:pPr>
    <w:rPr>
      <w:rFonts w:ascii="Arial" w:hAnsi="Arial" w:cs="Arial"/>
      <w:b/>
      <w:bCs/>
      <w:sz w:val="22"/>
      <w:szCs w:val="22"/>
      <w:lang w:val="de-DE" w:eastAsia="de-DE"/>
    </w:rPr>
  </w:style>
  <w:style w:type="character" w:customStyle="1" w:styleId="Char19">
    <w:name w:val="Char19"/>
    <w:locked/>
    <w:rsid w:val="00FB10DC"/>
    <w:rPr>
      <w:rFonts w:eastAsia="Times New Roman"/>
      <w:noProof/>
      <w:sz w:val="22"/>
      <w:lang w:val="en-GB" w:eastAsia="en-US"/>
    </w:rPr>
  </w:style>
  <w:style w:type="paragraph" w:styleId="Sraopastraipa">
    <w:name w:val="List Paragraph"/>
    <w:basedOn w:val="prastasis"/>
    <w:uiPriority w:val="34"/>
    <w:qFormat/>
    <w:rsid w:val="00FB10DC"/>
    <w:pPr>
      <w:ind w:left="720"/>
      <w:contextualSpacing/>
    </w:pPr>
  </w:style>
  <w:style w:type="character" w:customStyle="1" w:styleId="Antrat2Diagrama">
    <w:name w:val="Antraštė 2 Diagrama"/>
    <w:basedOn w:val="Numatytasispastraiposriftas"/>
    <w:link w:val="Antrat2"/>
    <w:uiPriority w:val="9"/>
    <w:semiHidden/>
    <w:rsid w:val="00FB10DC"/>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Antrat3Diagrama">
    <w:name w:val="Antraštė 3 Diagrama"/>
    <w:basedOn w:val="Numatytasispastraiposriftas"/>
    <w:link w:val="Antrat3"/>
    <w:uiPriority w:val="9"/>
    <w:semiHidden/>
    <w:rsid w:val="00FB10DC"/>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Antrat1Diagrama">
    <w:name w:val="Antraštė 1 Diagrama"/>
    <w:basedOn w:val="Numatytasispastraiposriftas"/>
    <w:link w:val="Antrat1"/>
    <w:uiPriority w:val="9"/>
    <w:rsid w:val="00FB10DC"/>
    <w:rPr>
      <w:rFonts w:asciiTheme="majorHAnsi" w:eastAsiaTheme="majorEastAsia" w:hAnsiTheme="majorHAnsi" w:cstheme="majorBidi"/>
      <w:color w:val="2F5496" w:themeColor="accent1" w:themeShade="BF"/>
      <w:kern w:val="0"/>
      <w:sz w:val="32"/>
      <w:szCs w:val="32"/>
      <w:lang w:val="lt-LT"/>
      <w14:ligatures w14:val="none"/>
    </w:rPr>
  </w:style>
  <w:style w:type="paragraph" w:styleId="Debesliotekstas">
    <w:name w:val="Balloon Text"/>
    <w:basedOn w:val="prastasis"/>
    <w:link w:val="DebesliotekstasDiagrama"/>
    <w:uiPriority w:val="99"/>
    <w:semiHidden/>
    <w:unhideWhenUsed/>
    <w:rsid w:val="00FB10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0DC"/>
    <w:rPr>
      <w:rFonts w:ascii="Segoe UI" w:eastAsia="Times New Roman"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8B618F"/>
    <w:rPr>
      <w:sz w:val="16"/>
      <w:szCs w:val="16"/>
    </w:rPr>
  </w:style>
  <w:style w:type="paragraph" w:styleId="Komentarotekstas">
    <w:name w:val="annotation text"/>
    <w:basedOn w:val="prastasis"/>
    <w:link w:val="KomentarotekstasDiagrama"/>
    <w:uiPriority w:val="99"/>
    <w:unhideWhenUsed/>
    <w:rsid w:val="008B618F"/>
    <w:rPr>
      <w:sz w:val="20"/>
      <w:szCs w:val="20"/>
    </w:rPr>
  </w:style>
  <w:style w:type="character" w:customStyle="1" w:styleId="KomentarotekstasDiagrama">
    <w:name w:val="Komentaro tekstas Diagrama"/>
    <w:basedOn w:val="Numatytasispastraiposriftas"/>
    <w:link w:val="Komentarotekstas"/>
    <w:uiPriority w:val="99"/>
    <w:rsid w:val="008B618F"/>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B618F"/>
    <w:rPr>
      <w:b/>
      <w:bCs/>
    </w:rPr>
  </w:style>
  <w:style w:type="character" w:customStyle="1" w:styleId="KomentarotemaDiagrama">
    <w:name w:val="Komentaro tema Diagrama"/>
    <w:basedOn w:val="KomentarotekstasDiagrama"/>
    <w:link w:val="Komentarotema"/>
    <w:uiPriority w:val="99"/>
    <w:semiHidden/>
    <w:rsid w:val="008B618F"/>
    <w:rPr>
      <w:rFonts w:ascii="Times New Roman" w:eastAsia="Times New Roman" w:hAnsi="Times New Roman" w:cs="Times New Roman"/>
      <w:b/>
      <w:bCs/>
      <w:kern w:val="0"/>
      <w:sz w:val="20"/>
      <w:szCs w:val="20"/>
      <w:lang w:val="lt-LT"/>
      <w14:ligatures w14:val="none"/>
    </w:rPr>
  </w:style>
  <w:style w:type="character" w:customStyle="1" w:styleId="rynqvb">
    <w:name w:val="rynqvb"/>
    <w:basedOn w:val="Numatytasispastraiposriftas"/>
    <w:rsid w:val="00175E8C"/>
  </w:style>
  <w:style w:type="character" w:customStyle="1" w:styleId="UnresolvedMention1">
    <w:name w:val="Unresolved Mention1"/>
    <w:basedOn w:val="Numatytasispastraiposriftas"/>
    <w:uiPriority w:val="99"/>
    <w:semiHidden/>
    <w:unhideWhenUsed/>
    <w:rsid w:val="00131632"/>
    <w:rPr>
      <w:color w:val="605E5C"/>
      <w:shd w:val="clear" w:color="auto" w:fill="E1DFDD"/>
    </w:rPr>
  </w:style>
  <w:style w:type="character" w:customStyle="1" w:styleId="hwtze">
    <w:name w:val="hwtze"/>
    <w:basedOn w:val="Numatytasispastraiposriftas"/>
    <w:rsid w:val="000C4ED7"/>
  </w:style>
  <w:style w:type="paragraph" w:styleId="Pataisymai">
    <w:name w:val="Revision"/>
    <w:hidden/>
    <w:uiPriority w:val="99"/>
    <w:semiHidden/>
    <w:rsid w:val="000D2F17"/>
    <w:pPr>
      <w:spacing w:after="0" w:line="240" w:lineRule="auto"/>
    </w:pPr>
    <w:rPr>
      <w:rFonts w:ascii="Times New Roman" w:eastAsia="Times New Roman" w:hAnsi="Times New Roman" w:cs="Times New Roman"/>
      <w:kern w:val="0"/>
      <w:sz w:val="24"/>
      <w:szCs w:val="24"/>
      <w:lang w:val="lt-LT"/>
      <w14:ligatures w14:val="none"/>
    </w:rPr>
  </w:style>
  <w:style w:type="character" w:styleId="Neapdorotaspaminjimas">
    <w:name w:val="Unresolved Mention"/>
    <w:basedOn w:val="Numatytasispastraiposriftas"/>
    <w:uiPriority w:val="99"/>
    <w:semiHidden/>
    <w:unhideWhenUsed/>
    <w:rsid w:val="002D05E4"/>
    <w:rPr>
      <w:color w:val="605E5C"/>
      <w:shd w:val="clear" w:color="auto" w:fill="E1DFDD"/>
    </w:rPr>
  </w:style>
  <w:style w:type="paragraph" w:styleId="Antrats">
    <w:name w:val="header"/>
    <w:basedOn w:val="prastasis"/>
    <w:link w:val="AntratsDiagrama"/>
    <w:uiPriority w:val="99"/>
    <w:unhideWhenUsed/>
    <w:rsid w:val="00FB61E6"/>
    <w:pPr>
      <w:tabs>
        <w:tab w:val="center" w:pos="4819"/>
        <w:tab w:val="right" w:pos="9638"/>
      </w:tabs>
    </w:pPr>
  </w:style>
  <w:style w:type="character" w:customStyle="1" w:styleId="AntratsDiagrama">
    <w:name w:val="Antraštės Diagrama"/>
    <w:basedOn w:val="Numatytasispastraiposriftas"/>
    <w:link w:val="Antrats"/>
    <w:uiPriority w:val="99"/>
    <w:rsid w:val="00FB61E6"/>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5452</Words>
  <Characters>3108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2025-08-01T04:26:00Z</dcterms:created>
  <dcterms:modified xsi:type="dcterms:W3CDTF">2025-08-01T04:26:00Z</dcterms:modified>
</cp:coreProperties>
</file>