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618" w14:textId="77777777" w:rsidR="000A4B39" w:rsidRPr="001702CB" w:rsidRDefault="000A4B39" w:rsidP="000A4B39">
      <w:pPr>
        <w:jc w:val="center"/>
        <w:rPr>
          <w:noProof w:val="0"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Pakuotės lapelis: informacija vartotojui</w:t>
      </w:r>
    </w:p>
    <w:p w14:paraId="12182403" w14:textId="77777777" w:rsidR="000A4B39" w:rsidRPr="001702CB" w:rsidRDefault="000A4B39" w:rsidP="000A4B39">
      <w:pPr>
        <w:jc w:val="center"/>
        <w:rPr>
          <w:noProof w:val="0"/>
          <w:sz w:val="22"/>
          <w:szCs w:val="22"/>
          <w:lang w:val="lt-LT"/>
        </w:rPr>
      </w:pPr>
    </w:p>
    <w:p w14:paraId="432A50E5" w14:textId="77777777" w:rsidR="000A4B39" w:rsidRPr="001702CB" w:rsidRDefault="000A4B39" w:rsidP="000A4B39">
      <w:pPr>
        <w:jc w:val="center"/>
        <w:rPr>
          <w:b/>
          <w:noProof w:val="0"/>
          <w:sz w:val="22"/>
          <w:szCs w:val="22"/>
          <w:lang w:val="lt-LT"/>
        </w:rPr>
      </w:pPr>
      <w:proofErr w:type="spellStart"/>
      <w:r w:rsidRPr="001702CB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Pharma 500 mg tabletės</w:t>
      </w:r>
    </w:p>
    <w:p w14:paraId="496E37CF" w14:textId="77777777" w:rsidR="000A4B39" w:rsidRPr="001702CB" w:rsidRDefault="000A4B39" w:rsidP="000A4B39">
      <w:pPr>
        <w:jc w:val="center"/>
        <w:rPr>
          <w:noProof w:val="0"/>
          <w:sz w:val="22"/>
          <w:szCs w:val="22"/>
          <w:lang w:val="lt-LT"/>
        </w:rPr>
      </w:pPr>
      <w:proofErr w:type="spellStart"/>
      <w:r w:rsidRPr="001702CB">
        <w:rPr>
          <w:noProof w:val="0"/>
          <w:sz w:val="22"/>
          <w:szCs w:val="22"/>
          <w:lang w:val="lt-LT"/>
        </w:rPr>
        <w:t>paracetamolis</w:t>
      </w:r>
      <w:proofErr w:type="spellEnd"/>
    </w:p>
    <w:p w14:paraId="245FD924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0C1A04DC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5D392A09" w14:textId="77777777" w:rsidR="000A4B39" w:rsidRPr="001702CB" w:rsidRDefault="000A4B39" w:rsidP="000A4B39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750E8B5C" w14:textId="77777777" w:rsidR="000A4B39" w:rsidRPr="001702CB" w:rsidRDefault="000A4B39" w:rsidP="000A4B39">
      <w:pPr>
        <w:numPr>
          <w:ilvl w:val="0"/>
          <w:numId w:val="1"/>
        </w:numPr>
        <w:ind w:left="567" w:hanging="567"/>
        <w:jc w:val="both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 xml:space="preserve">Neišmeskite šio lapelio, nes vėl gali prireikti jį perskaityti. </w:t>
      </w:r>
    </w:p>
    <w:p w14:paraId="4A053E6F" w14:textId="77777777" w:rsidR="000A4B39" w:rsidRPr="001702CB" w:rsidRDefault="000A4B39" w:rsidP="000A4B39">
      <w:pPr>
        <w:numPr>
          <w:ilvl w:val="0"/>
          <w:numId w:val="1"/>
        </w:numPr>
        <w:ind w:left="567" w:hanging="567"/>
        <w:jc w:val="both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Jeigu norite sužinoti daugiau arba pasitarti, kreipkitės į vaistininką.</w:t>
      </w:r>
    </w:p>
    <w:p w14:paraId="46390576" w14:textId="77777777" w:rsidR="000A4B39" w:rsidRPr="001702CB" w:rsidRDefault="000A4B39" w:rsidP="000A4B39">
      <w:pPr>
        <w:numPr>
          <w:ilvl w:val="0"/>
          <w:numId w:val="1"/>
        </w:numPr>
        <w:ind w:left="567" w:hanging="567"/>
        <w:jc w:val="both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1493513E" w14:textId="77777777" w:rsidR="000A4B39" w:rsidRPr="001702CB" w:rsidRDefault="000A4B39" w:rsidP="000A4B39">
      <w:pPr>
        <w:numPr>
          <w:ilvl w:val="0"/>
          <w:numId w:val="1"/>
        </w:numPr>
        <w:ind w:left="567" w:hanging="567"/>
        <w:jc w:val="both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Jeigu per 3 dienas Jūsų savijauta nepagerėjo arba net pablogėjo, kreipkitės į gydytoją.</w:t>
      </w:r>
    </w:p>
    <w:p w14:paraId="72A07509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10B6DF58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Apie ką rašoma šiame lapelyje?</w:t>
      </w:r>
    </w:p>
    <w:p w14:paraId="52A2FD39" w14:textId="77777777" w:rsidR="000A4B39" w:rsidRPr="001702CB" w:rsidRDefault="000A4B39" w:rsidP="000A4B39">
      <w:pPr>
        <w:numPr>
          <w:ilvl w:val="12"/>
          <w:numId w:val="0"/>
        </w:numPr>
        <w:ind w:left="426" w:right="-2" w:hanging="426"/>
        <w:rPr>
          <w:sz w:val="22"/>
          <w:szCs w:val="22"/>
          <w:lang w:val="lt-LT"/>
        </w:rPr>
      </w:pPr>
    </w:p>
    <w:p w14:paraId="51D94DC5" w14:textId="77777777" w:rsidR="000A4B39" w:rsidRPr="001702CB" w:rsidRDefault="000A4B39" w:rsidP="000A4B39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1.</w:t>
      </w:r>
      <w:r w:rsidRPr="001702CB">
        <w:rPr>
          <w:sz w:val="22"/>
          <w:szCs w:val="22"/>
          <w:lang w:val="lt-LT"/>
        </w:rPr>
        <w:tab/>
        <w:t xml:space="preserve">Kas yra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Pharma</w:t>
      </w:r>
      <w:r w:rsidRPr="001702CB">
        <w:rPr>
          <w:bCs/>
          <w:sz w:val="22"/>
          <w:szCs w:val="22"/>
          <w:lang w:val="lt-LT"/>
        </w:rPr>
        <w:t xml:space="preserve"> </w:t>
      </w:r>
      <w:r w:rsidRPr="001702CB">
        <w:rPr>
          <w:sz w:val="22"/>
          <w:szCs w:val="22"/>
          <w:lang w:val="lt-LT"/>
        </w:rPr>
        <w:t xml:space="preserve">ir kam jis vartojamas </w:t>
      </w:r>
    </w:p>
    <w:p w14:paraId="18896525" w14:textId="77777777" w:rsidR="000A4B39" w:rsidRPr="001702CB" w:rsidRDefault="000A4B39" w:rsidP="000A4B39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2.</w:t>
      </w:r>
      <w:r w:rsidRPr="001702C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Pharma</w:t>
      </w:r>
    </w:p>
    <w:p w14:paraId="69FA0977" w14:textId="77777777" w:rsidR="000A4B39" w:rsidRPr="001702CB" w:rsidRDefault="000A4B39" w:rsidP="000A4B39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3.</w:t>
      </w:r>
      <w:r w:rsidRPr="001702CB">
        <w:rPr>
          <w:sz w:val="22"/>
          <w:szCs w:val="22"/>
          <w:lang w:val="lt-LT"/>
        </w:rPr>
        <w:tab/>
        <w:t xml:space="preserve">Kaip vartoti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Pharma</w:t>
      </w:r>
    </w:p>
    <w:p w14:paraId="384A0FF2" w14:textId="77777777" w:rsidR="000A4B39" w:rsidRPr="001702CB" w:rsidRDefault="000A4B39" w:rsidP="000A4B39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4.</w:t>
      </w:r>
      <w:r w:rsidRPr="001702CB">
        <w:rPr>
          <w:sz w:val="22"/>
          <w:szCs w:val="22"/>
          <w:lang w:val="lt-LT"/>
        </w:rPr>
        <w:tab/>
        <w:t xml:space="preserve">Galimas šalutinis poveikis </w:t>
      </w:r>
    </w:p>
    <w:p w14:paraId="0C52781B" w14:textId="77777777" w:rsidR="000A4B39" w:rsidRPr="001702CB" w:rsidRDefault="000A4B39" w:rsidP="000A4B39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5.</w:t>
      </w:r>
      <w:r w:rsidRPr="001702CB">
        <w:rPr>
          <w:sz w:val="22"/>
          <w:szCs w:val="22"/>
          <w:lang w:val="lt-LT"/>
        </w:rPr>
        <w:tab/>
        <w:t xml:space="preserve">Kaip laikyti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Cs/>
          <w:noProof w:val="0"/>
          <w:sz w:val="22"/>
          <w:szCs w:val="22"/>
          <w:lang w:val="lt-LT"/>
        </w:rPr>
        <w:t xml:space="preserve"> Pharma</w:t>
      </w:r>
    </w:p>
    <w:p w14:paraId="52D65855" w14:textId="77777777" w:rsidR="000A4B39" w:rsidRPr="001702CB" w:rsidRDefault="000A4B39" w:rsidP="000A4B39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6.</w:t>
      </w:r>
      <w:r w:rsidRPr="001702CB">
        <w:rPr>
          <w:sz w:val="22"/>
          <w:szCs w:val="22"/>
          <w:lang w:val="lt-LT"/>
        </w:rPr>
        <w:tab/>
        <w:t>Pakuotės turinys ir kita informacija</w:t>
      </w:r>
    </w:p>
    <w:p w14:paraId="04079B63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32E0C4A9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73E55ADD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1.</w:t>
      </w:r>
      <w:r w:rsidRPr="001702CB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1702CB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Pharma</w:t>
      </w:r>
      <w:r w:rsidRPr="001702CB">
        <w:rPr>
          <w:b/>
          <w:sz w:val="22"/>
          <w:szCs w:val="22"/>
          <w:lang w:val="lt-LT"/>
        </w:rPr>
        <w:t xml:space="preserve"> ir kam jis vartojamas</w:t>
      </w:r>
    </w:p>
    <w:p w14:paraId="40DBB776" w14:textId="77777777" w:rsidR="000A4B39" w:rsidRPr="001702CB" w:rsidRDefault="000A4B39" w:rsidP="000A4B39">
      <w:pPr>
        <w:keepNext/>
        <w:jc w:val="both"/>
        <w:rPr>
          <w:noProof w:val="0"/>
          <w:sz w:val="22"/>
          <w:szCs w:val="22"/>
          <w:lang w:val="lt-LT"/>
        </w:rPr>
      </w:pPr>
    </w:p>
    <w:p w14:paraId="481A085A" w14:textId="77777777" w:rsidR="000A4B39" w:rsidRDefault="000A4B39" w:rsidP="000A4B39">
      <w:pPr>
        <w:pStyle w:val="Pagrindinistekstas"/>
        <w:rPr>
          <w:sz w:val="22"/>
          <w:szCs w:val="22"/>
        </w:rPr>
      </w:pPr>
      <w:proofErr w:type="spellStart"/>
      <w:r w:rsidRPr="00263390">
        <w:rPr>
          <w:bCs/>
          <w:sz w:val="22"/>
          <w:szCs w:val="22"/>
          <w:lang w:val="lt-LT"/>
        </w:rPr>
        <w:t>Paracetamol</w:t>
      </w:r>
      <w:proofErr w:type="spellEnd"/>
      <w:r w:rsidRPr="00263390">
        <w:rPr>
          <w:bCs/>
          <w:sz w:val="22"/>
          <w:szCs w:val="22"/>
          <w:lang w:val="lt-LT"/>
        </w:rPr>
        <w:t xml:space="preserve"> </w:t>
      </w:r>
      <w:proofErr w:type="spellStart"/>
      <w:r w:rsidRPr="00263390">
        <w:rPr>
          <w:bCs/>
          <w:sz w:val="22"/>
          <w:szCs w:val="22"/>
          <w:lang w:val="lt-LT"/>
        </w:rPr>
        <w:t>Ingen</w:t>
      </w:r>
      <w:proofErr w:type="spellEnd"/>
      <w:r w:rsidRPr="00263390">
        <w:rPr>
          <w:bCs/>
          <w:sz w:val="22"/>
          <w:szCs w:val="22"/>
          <w:lang w:val="lt-LT"/>
        </w:rPr>
        <w:t xml:space="preserve"> Pharma</w:t>
      </w:r>
      <w:r>
        <w:rPr>
          <w:sz w:val="22"/>
          <w:szCs w:val="22"/>
        </w:rPr>
        <w:t xml:space="preserve"> tablečių veiklioji medžiaga paracetamolis yra analgetikas (malšina skausmą) ir antipiretikas (mažina karščiavimą). </w:t>
      </w:r>
    </w:p>
    <w:p w14:paraId="29BF4069" w14:textId="77777777" w:rsidR="000A4B39" w:rsidRDefault="000A4B39" w:rsidP="000A4B39">
      <w:pPr>
        <w:pStyle w:val="Pagrindinistekstas"/>
      </w:pPr>
      <w:r>
        <w:rPr>
          <w:sz w:val="22"/>
          <w:szCs w:val="22"/>
        </w:rPr>
        <w:t xml:space="preserve">Tabletės skirtos </w:t>
      </w:r>
      <w:r w:rsidRPr="00631034">
        <w:rPr>
          <w:sz w:val="22"/>
          <w:szCs w:val="22"/>
        </w:rPr>
        <w:t>malšinti silpną ir vidutinio stiprumo skausmą bei mažinti temperatūrą.</w:t>
      </w:r>
    </w:p>
    <w:p w14:paraId="2916BC36" w14:textId="77777777" w:rsidR="000A4B39" w:rsidRDefault="000A4B39" w:rsidP="000A4B39">
      <w:pPr>
        <w:pStyle w:val="Pagrindinistekstas"/>
        <w:rPr>
          <w:sz w:val="22"/>
          <w:szCs w:val="22"/>
        </w:rPr>
      </w:pPr>
    </w:p>
    <w:p w14:paraId="683F22B4" w14:textId="77777777" w:rsidR="000A4B39" w:rsidRDefault="000A4B39" w:rsidP="000A4B39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Jeigu per 3 dienas Jūsų savijauta nepagerėjo arba net pablogėjo, kreipkitės į gydytoją.</w:t>
      </w:r>
    </w:p>
    <w:p w14:paraId="59235158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</w:p>
    <w:p w14:paraId="3AF483C5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</w:p>
    <w:p w14:paraId="516FFE7F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2.</w:t>
      </w:r>
      <w:r w:rsidRPr="001702CB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1702CB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Pharma</w:t>
      </w:r>
    </w:p>
    <w:p w14:paraId="5083377C" w14:textId="77777777" w:rsidR="000A4B39" w:rsidRPr="001702CB" w:rsidRDefault="000A4B39" w:rsidP="000A4B39">
      <w:pPr>
        <w:jc w:val="both"/>
        <w:rPr>
          <w:b/>
          <w:noProof w:val="0"/>
          <w:sz w:val="22"/>
          <w:szCs w:val="22"/>
          <w:lang w:val="lt-LT"/>
        </w:rPr>
      </w:pPr>
    </w:p>
    <w:p w14:paraId="54F478B9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proofErr w:type="spellStart"/>
      <w:r w:rsidRPr="001702CB">
        <w:rPr>
          <w:b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noProof w:val="0"/>
          <w:sz w:val="22"/>
          <w:szCs w:val="22"/>
          <w:lang w:val="lt-LT"/>
        </w:rPr>
        <w:t xml:space="preserve"> Pharma</w:t>
      </w:r>
      <w:r w:rsidRPr="001702CB">
        <w:rPr>
          <w:b/>
          <w:sz w:val="22"/>
          <w:szCs w:val="22"/>
          <w:lang w:val="lt-LT"/>
        </w:rPr>
        <w:t xml:space="preserve"> vartoti </w:t>
      </w:r>
      <w:r w:rsidRPr="001702CB">
        <w:rPr>
          <w:b/>
          <w:bCs/>
          <w:sz w:val="22"/>
          <w:szCs w:val="22"/>
          <w:lang w:val="lt-LT" w:eastAsia="x-none"/>
        </w:rPr>
        <w:t>draudžiama</w:t>
      </w:r>
      <w:r w:rsidRPr="001702CB">
        <w:rPr>
          <w:b/>
          <w:sz w:val="22"/>
          <w:szCs w:val="22"/>
          <w:lang w:val="lt-LT"/>
        </w:rPr>
        <w:t>:</w:t>
      </w:r>
    </w:p>
    <w:p w14:paraId="41C82188" w14:textId="77777777" w:rsidR="000A4B39" w:rsidRPr="001702CB" w:rsidRDefault="000A4B39" w:rsidP="000A4B39">
      <w:pPr>
        <w:numPr>
          <w:ilvl w:val="0"/>
          <w:numId w:val="1"/>
        </w:numPr>
        <w:ind w:left="567" w:hanging="567"/>
        <w:jc w:val="both"/>
        <w:rPr>
          <w:noProof w:val="0"/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jeigu yra alergija</w:t>
      </w:r>
      <w:r w:rsidRPr="001702CB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/>
        </w:rPr>
        <w:t>paracetamoliui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</w:t>
      </w:r>
      <w:r w:rsidRPr="001702CB">
        <w:rPr>
          <w:sz w:val="22"/>
          <w:szCs w:val="22"/>
          <w:lang w:val="lt-LT"/>
        </w:rPr>
        <w:t>arba bet kuriai pagalbinei šio vaisto medžiagai (jos išvardytos 6 skyriuje);</w:t>
      </w:r>
    </w:p>
    <w:p w14:paraId="35BB2D75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68CBAD2E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 xml:space="preserve">Įspėjimai ir atsargumo priemonės </w:t>
      </w:r>
    </w:p>
    <w:p w14:paraId="68BFA915" w14:textId="77777777" w:rsidR="000A4B39" w:rsidRPr="00263390" w:rsidRDefault="000A4B39" w:rsidP="000A4B39">
      <w:pPr>
        <w:rPr>
          <w:sz w:val="22"/>
          <w:szCs w:val="22"/>
          <w:lang w:val="lt-LT"/>
        </w:rPr>
      </w:pPr>
      <w:r w:rsidRPr="00263390">
        <w:rPr>
          <w:sz w:val="22"/>
          <w:szCs w:val="22"/>
          <w:lang w:val="lt-LT"/>
        </w:rPr>
        <w:t>Per didelis paracetamolio vartojimas gali sukelti sunkų kepenų pažeidimą.</w:t>
      </w:r>
    </w:p>
    <w:p w14:paraId="1BC66FA3" w14:textId="77777777" w:rsidR="000A4B39" w:rsidRPr="00263390" w:rsidRDefault="000A4B39" w:rsidP="000A4B39">
      <w:pPr>
        <w:rPr>
          <w:sz w:val="22"/>
          <w:szCs w:val="22"/>
          <w:lang w:val="lt-LT"/>
        </w:rPr>
      </w:pPr>
      <w:r w:rsidRPr="00263390">
        <w:rPr>
          <w:sz w:val="22"/>
          <w:szCs w:val="22"/>
          <w:lang w:val="lt-LT"/>
        </w:rPr>
        <w:t xml:space="preserve">Nevartokite šio vaisto, jei vartojate kitų receptinių ar nereceptinių vaistų, kurių sudėtyje yra paracetamolio, skirtų gydyti skausmą, karščiavimą, peršalimo ir gripo simptomus ar gerinančių miegą. </w:t>
      </w:r>
    </w:p>
    <w:p w14:paraId="26B56DFF" w14:textId="77777777" w:rsidR="000A4B39" w:rsidRPr="00263390" w:rsidRDefault="000A4B39" w:rsidP="000A4B39">
      <w:pPr>
        <w:rPr>
          <w:sz w:val="22"/>
          <w:szCs w:val="22"/>
          <w:lang w:val="lt-LT"/>
        </w:rPr>
      </w:pPr>
    </w:p>
    <w:p w14:paraId="1949A8CE" w14:textId="77777777" w:rsidR="000A4B39" w:rsidRPr="00263390" w:rsidRDefault="000A4B39" w:rsidP="000A4B39">
      <w:pPr>
        <w:rPr>
          <w:sz w:val="22"/>
          <w:szCs w:val="22"/>
          <w:lang w:val="lt-LT" w:eastAsia="lt-LT"/>
        </w:rPr>
      </w:pPr>
      <w:r w:rsidRPr="00263390">
        <w:rPr>
          <w:sz w:val="22"/>
          <w:szCs w:val="22"/>
          <w:lang w:val="lt-LT" w:eastAsia="lt-LT"/>
        </w:rPr>
        <w:t xml:space="preserve">Pasitarkite su gydytoju arba vaistininku, prieš pradėdami vartoti </w:t>
      </w:r>
      <w:proofErr w:type="spellStart"/>
      <w:r w:rsidRPr="00263390">
        <w:rPr>
          <w:bCs/>
          <w:noProof w:val="0"/>
          <w:sz w:val="22"/>
          <w:szCs w:val="22"/>
          <w:lang w:val="lt-LT"/>
        </w:rPr>
        <w:t>Paracetamol</w:t>
      </w:r>
      <w:proofErr w:type="spellEnd"/>
      <w:r w:rsidRPr="00263390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263390">
        <w:rPr>
          <w:bCs/>
          <w:noProof w:val="0"/>
          <w:sz w:val="22"/>
          <w:szCs w:val="22"/>
          <w:lang w:val="lt-LT"/>
        </w:rPr>
        <w:t>Ingen</w:t>
      </w:r>
      <w:proofErr w:type="spellEnd"/>
      <w:r w:rsidRPr="00263390">
        <w:rPr>
          <w:bCs/>
          <w:noProof w:val="0"/>
          <w:sz w:val="22"/>
          <w:szCs w:val="22"/>
          <w:lang w:val="lt-LT"/>
        </w:rPr>
        <w:t xml:space="preserve"> Pharma</w:t>
      </w:r>
      <w:r w:rsidRPr="00263390">
        <w:rPr>
          <w:sz w:val="22"/>
          <w:szCs w:val="22"/>
          <w:lang w:val="lt-LT" w:eastAsia="lt-LT"/>
        </w:rPr>
        <w:t>, jeigu:</w:t>
      </w:r>
    </w:p>
    <w:p w14:paraId="39DDA028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sergate sunkia inkstų ar kepenų liga;</w:t>
      </w:r>
    </w:p>
    <w:p w14:paraId="0655F6A7" w14:textId="77777777" w:rsidR="000A4B39" w:rsidRPr="00995F20" w:rsidRDefault="000A4B39" w:rsidP="000A4B39">
      <w:pPr>
        <w:pStyle w:val="Pagrindinistekstas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>-</w:t>
      </w:r>
      <w:r w:rsidRPr="00995F20">
        <w:rPr>
          <w:sz w:val="22"/>
          <w:szCs w:val="22"/>
        </w:rPr>
        <w:tab/>
        <w:t>esate per mažo svorio ar nepakankamai maitinatės;</w:t>
      </w:r>
    </w:p>
    <w:p w14:paraId="2AE40929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>-</w:t>
      </w:r>
      <w:r w:rsidRPr="00995F20">
        <w:rPr>
          <w:sz w:val="22"/>
          <w:szCs w:val="22"/>
        </w:rPr>
        <w:tab/>
        <w:t>reguliariai vartojate alkoholį</w:t>
      </w:r>
      <w:r>
        <w:rPr>
          <w:sz w:val="22"/>
          <w:szCs w:val="22"/>
        </w:rPr>
        <w:t>;</w:t>
      </w:r>
    </w:p>
    <w:p w14:paraId="09402EFB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-        </w:t>
      </w:r>
      <w:r w:rsidRPr="00C726E8">
        <w:rPr>
          <w:sz w:val="22"/>
          <w:szCs w:val="22"/>
        </w:rPr>
        <w:t>jeigu yra gliukozės-6-fosfatdehidrogenazės (G6PD) stoka (gali pasireikšti hemolizinė anemija)</w:t>
      </w:r>
      <w:r>
        <w:rPr>
          <w:sz w:val="22"/>
          <w:szCs w:val="22"/>
        </w:rPr>
        <w:t>.</w:t>
      </w:r>
    </w:p>
    <w:p w14:paraId="7E5718CA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</w:p>
    <w:p w14:paraId="6E5EF3C4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 xml:space="preserve">Jums gali tekti vengti šio </w:t>
      </w:r>
      <w:r>
        <w:rPr>
          <w:sz w:val="22"/>
          <w:szCs w:val="22"/>
        </w:rPr>
        <w:t>vaisto</w:t>
      </w:r>
      <w:r w:rsidRPr="00995F20">
        <w:rPr>
          <w:sz w:val="22"/>
          <w:szCs w:val="22"/>
        </w:rPr>
        <w:t xml:space="preserve"> vartojimo ar riboti vartojamo paracetamolio kiekį.</w:t>
      </w:r>
    </w:p>
    <w:p w14:paraId="4BBAA61B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 w:rsidRPr="00995F20">
        <w:rPr>
          <w:sz w:val="22"/>
          <w:szCs w:val="22"/>
        </w:rPr>
        <w:t xml:space="preserve">Pasitarkite su gydytoju, prieš pradėdami vartoti </w:t>
      </w:r>
      <w:proofErr w:type="spellStart"/>
      <w:r w:rsidRPr="001702CB">
        <w:rPr>
          <w:sz w:val="22"/>
          <w:szCs w:val="22"/>
          <w:lang w:val="lt-LT"/>
        </w:rPr>
        <w:t>Paracetamol</w:t>
      </w:r>
      <w:proofErr w:type="spellEnd"/>
      <w:r w:rsidRPr="001702CB">
        <w:rPr>
          <w:sz w:val="22"/>
          <w:szCs w:val="22"/>
          <w:lang w:val="lt-LT"/>
        </w:rPr>
        <w:t xml:space="preserve"> </w:t>
      </w:r>
      <w:proofErr w:type="spellStart"/>
      <w:r w:rsidRPr="001702CB">
        <w:rPr>
          <w:sz w:val="22"/>
          <w:szCs w:val="22"/>
          <w:lang w:val="lt-LT"/>
        </w:rPr>
        <w:t>Ingen</w:t>
      </w:r>
      <w:proofErr w:type="spellEnd"/>
      <w:r w:rsidRPr="001702CB">
        <w:rPr>
          <w:sz w:val="22"/>
          <w:szCs w:val="22"/>
          <w:lang w:val="lt-LT"/>
        </w:rPr>
        <w:t xml:space="preserve"> Pharma</w:t>
      </w:r>
      <w:r w:rsidRPr="00995F20">
        <w:rPr>
          <w:sz w:val="22"/>
          <w:szCs w:val="22"/>
        </w:rPr>
        <w:t>, jeigu:</w:t>
      </w:r>
    </w:p>
    <w:p w14:paraId="5283360B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</w:p>
    <w:p w14:paraId="0EBD34D7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sergate sunkia infekcine liga, nes gali padidėti metabolinės acidozės rizika.</w:t>
      </w:r>
    </w:p>
    <w:p w14:paraId="0BA0E4B7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</w:p>
    <w:p w14:paraId="3672F455" w14:textId="77777777" w:rsidR="000A4B39" w:rsidRDefault="000A4B39" w:rsidP="000A4B39">
      <w:pPr>
        <w:rPr>
          <w:sz w:val="22"/>
          <w:szCs w:val="22"/>
        </w:rPr>
      </w:pPr>
      <w:r>
        <w:rPr>
          <w:sz w:val="22"/>
          <w:szCs w:val="22"/>
        </w:rPr>
        <w:t>Metabolinės acidozės požymiai:</w:t>
      </w:r>
    </w:p>
    <w:p w14:paraId="73142F07" w14:textId="77777777" w:rsidR="000A4B39" w:rsidRPr="00BE57E7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BE57E7">
        <w:rPr>
          <w:sz w:val="22"/>
          <w:szCs w:val="22"/>
          <w:lang w:val="lt-LT"/>
        </w:rPr>
        <w:lastRenderedPageBreak/>
        <w:t>gilus, pagreitėjęs, sunkus kvėpavimas;</w:t>
      </w:r>
    </w:p>
    <w:p w14:paraId="685D0AB0" w14:textId="77777777" w:rsidR="000A4B39" w:rsidRPr="00BE57E7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BE57E7">
        <w:rPr>
          <w:sz w:val="22"/>
          <w:szCs w:val="22"/>
          <w:lang w:val="lt-LT"/>
        </w:rPr>
        <w:t>blogumo jausmas (pykinimas), vėmimas;</w:t>
      </w:r>
    </w:p>
    <w:p w14:paraId="546FF88C" w14:textId="77777777" w:rsidR="000A4B39" w:rsidRPr="00BE57E7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BE57E7">
        <w:rPr>
          <w:sz w:val="22"/>
          <w:szCs w:val="22"/>
          <w:lang w:val="lt-LT"/>
        </w:rPr>
        <w:t>apetito praradimas.</w:t>
      </w:r>
    </w:p>
    <w:p w14:paraId="669F014D" w14:textId="77777777" w:rsidR="000A4B39" w:rsidRDefault="000A4B39" w:rsidP="000A4B39">
      <w:pPr>
        <w:pStyle w:val="Spalvotassraas1parykinimas1"/>
        <w:rPr>
          <w:sz w:val="22"/>
          <w:szCs w:val="22"/>
        </w:rPr>
      </w:pPr>
    </w:p>
    <w:p w14:paraId="7D01DD22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>
        <w:rPr>
          <w:sz w:val="22"/>
          <w:szCs w:val="22"/>
        </w:rPr>
        <w:t>Jeigu pajutote šių simptomų derinį, nedelsiant kreipkitės į gydytoją.</w:t>
      </w:r>
    </w:p>
    <w:p w14:paraId="4B8D4C59" w14:textId="77777777" w:rsidR="000A4B39" w:rsidRDefault="000A4B39" w:rsidP="000A4B39">
      <w:pPr>
        <w:jc w:val="both"/>
        <w:rPr>
          <w:b/>
          <w:bCs/>
          <w:noProof w:val="0"/>
          <w:sz w:val="22"/>
          <w:szCs w:val="22"/>
          <w:lang w:val="lt-LT"/>
        </w:rPr>
      </w:pPr>
    </w:p>
    <w:p w14:paraId="06B6DADC" w14:textId="77777777" w:rsidR="000A4B39" w:rsidRPr="004C27D7" w:rsidRDefault="000A4B39" w:rsidP="000A4B39">
      <w:pPr>
        <w:jc w:val="both"/>
        <w:rPr>
          <w:noProof w:val="0"/>
          <w:sz w:val="22"/>
          <w:szCs w:val="22"/>
          <w:lang w:val="lt-LT"/>
        </w:rPr>
      </w:pPr>
      <w:r w:rsidRPr="004C27D7">
        <w:rPr>
          <w:noProof w:val="0"/>
          <w:sz w:val="22"/>
          <w:szCs w:val="22"/>
          <w:lang w:val="lt-LT"/>
        </w:rPr>
        <w:t xml:space="preserve">Gydymo </w:t>
      </w:r>
      <w:r w:rsidRPr="001702CB">
        <w:rPr>
          <w:sz w:val="22"/>
          <w:szCs w:val="22"/>
          <w:lang w:val="lt-LT"/>
        </w:rPr>
        <w:t>Paracetamol Ingen Pharma</w:t>
      </w:r>
      <w:r w:rsidRPr="004C27D7">
        <w:rPr>
          <w:noProof w:val="0"/>
          <w:sz w:val="22"/>
          <w:szCs w:val="22"/>
          <w:lang w:val="lt-LT"/>
        </w:rPr>
        <w:t xml:space="preserve"> laikotarpiu nedelsdami pasakykite gydytojui, jeigu:</w:t>
      </w:r>
    </w:p>
    <w:p w14:paraId="2FF6EC4F" w14:textId="77777777" w:rsidR="000A4B39" w:rsidRPr="00010481" w:rsidRDefault="000A4B39" w:rsidP="000A4B39">
      <w:pPr>
        <w:pStyle w:val="Pagrindinistekstas"/>
        <w:numPr>
          <w:ilvl w:val="0"/>
          <w:numId w:val="5"/>
        </w:numPr>
        <w:rPr>
          <w:sz w:val="22"/>
          <w:szCs w:val="22"/>
          <w:lang w:val="lt-LT"/>
        </w:rPr>
      </w:pPr>
      <w:r w:rsidRPr="00010481">
        <w:rPr>
          <w:sz w:val="22"/>
          <w:szCs w:val="22"/>
          <w:lang w:val="lt-LT"/>
        </w:rPr>
        <w:t xml:space="preserve">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010481">
        <w:rPr>
          <w:sz w:val="22"/>
          <w:szCs w:val="22"/>
          <w:lang w:val="lt-LT"/>
        </w:rPr>
        <w:t>flukloksacilino</w:t>
      </w:r>
      <w:proofErr w:type="spellEnd"/>
      <w:r w:rsidRPr="00010481">
        <w:rPr>
          <w:sz w:val="22"/>
          <w:szCs w:val="22"/>
          <w:lang w:val="lt-LT"/>
        </w:rPr>
        <w:t xml:space="preserve"> (antibiotiko). Gauta pranešimų apie sunkų sveikatos sutrikimą, vadinamą </w:t>
      </w:r>
      <w:proofErr w:type="spellStart"/>
      <w:r w:rsidRPr="00010481">
        <w:rPr>
          <w:sz w:val="22"/>
          <w:szCs w:val="22"/>
          <w:lang w:val="lt-LT"/>
        </w:rPr>
        <w:t>metaboline</w:t>
      </w:r>
      <w:proofErr w:type="spellEnd"/>
      <w:r w:rsidRPr="00010481">
        <w:rPr>
          <w:sz w:val="22"/>
          <w:szCs w:val="22"/>
          <w:lang w:val="lt-LT"/>
        </w:rPr>
        <w:t xml:space="preserve"> </w:t>
      </w:r>
      <w:proofErr w:type="spellStart"/>
      <w:r w:rsidRPr="00010481">
        <w:rPr>
          <w:sz w:val="22"/>
          <w:szCs w:val="22"/>
          <w:lang w:val="lt-LT"/>
        </w:rPr>
        <w:t>acidoze</w:t>
      </w:r>
      <w:proofErr w:type="spellEnd"/>
      <w:r w:rsidRPr="00010481">
        <w:rPr>
          <w:sz w:val="22"/>
          <w:szCs w:val="22"/>
          <w:lang w:val="lt-LT"/>
        </w:rPr>
        <w:t xml:space="preserve"> (nenormalių kraujo ir skysčių tyrimų rodiklių), pasireiškusį pacientams, vartojantiems </w:t>
      </w:r>
      <w:proofErr w:type="spellStart"/>
      <w:r w:rsidRPr="00010481">
        <w:rPr>
          <w:sz w:val="22"/>
          <w:szCs w:val="22"/>
          <w:lang w:val="lt-LT"/>
        </w:rPr>
        <w:t>paracetamolį</w:t>
      </w:r>
      <w:proofErr w:type="spellEnd"/>
      <w:r w:rsidRPr="00010481">
        <w:rPr>
          <w:sz w:val="22"/>
          <w:szCs w:val="22"/>
          <w:lang w:val="lt-LT"/>
        </w:rPr>
        <w:t xml:space="preserve"> įprastinėmis dozėmis ilgą laiką arba kai </w:t>
      </w:r>
      <w:proofErr w:type="spellStart"/>
      <w:r w:rsidRPr="00010481">
        <w:rPr>
          <w:sz w:val="22"/>
          <w:szCs w:val="22"/>
          <w:lang w:val="lt-LT"/>
        </w:rPr>
        <w:t>paracetamolis</w:t>
      </w:r>
      <w:proofErr w:type="spellEnd"/>
      <w:r w:rsidRPr="00010481">
        <w:rPr>
          <w:sz w:val="22"/>
          <w:szCs w:val="22"/>
          <w:lang w:val="lt-LT"/>
        </w:rPr>
        <w:t xml:space="preserve"> vartojamas kartu su </w:t>
      </w:r>
      <w:proofErr w:type="spellStart"/>
      <w:r w:rsidRPr="00010481">
        <w:rPr>
          <w:sz w:val="22"/>
          <w:szCs w:val="22"/>
          <w:lang w:val="lt-LT"/>
        </w:rPr>
        <w:t>flukloksacilinu</w:t>
      </w:r>
      <w:proofErr w:type="spellEnd"/>
      <w:r w:rsidRPr="00010481">
        <w:rPr>
          <w:sz w:val="22"/>
          <w:szCs w:val="22"/>
          <w:lang w:val="lt-LT"/>
        </w:rPr>
        <w:t xml:space="preserve">. </w:t>
      </w:r>
      <w:proofErr w:type="spellStart"/>
      <w:r w:rsidRPr="00010481">
        <w:rPr>
          <w:sz w:val="22"/>
          <w:szCs w:val="22"/>
          <w:lang w:val="lt-LT"/>
        </w:rPr>
        <w:t>Metabolinės</w:t>
      </w:r>
      <w:proofErr w:type="spellEnd"/>
      <w:r w:rsidRPr="00010481">
        <w:rPr>
          <w:sz w:val="22"/>
          <w:szCs w:val="22"/>
          <w:lang w:val="lt-LT"/>
        </w:rPr>
        <w:t xml:space="preserve"> </w:t>
      </w:r>
      <w:proofErr w:type="spellStart"/>
      <w:r w:rsidRPr="00010481">
        <w:rPr>
          <w:sz w:val="22"/>
          <w:szCs w:val="22"/>
          <w:lang w:val="lt-LT"/>
        </w:rPr>
        <w:t>acidozės</w:t>
      </w:r>
      <w:proofErr w:type="spellEnd"/>
      <w:r w:rsidRPr="00010481">
        <w:rPr>
          <w:sz w:val="22"/>
          <w:szCs w:val="22"/>
          <w:lang w:val="lt-LT"/>
        </w:rPr>
        <w:t xml:space="preserve"> simptomai gali būti šie: labai pasunkėjęs kvėpavimas – pagreitėjęs kvėpavimas, mieguistumas, pykinimas ir vėmimas.</w:t>
      </w:r>
    </w:p>
    <w:p w14:paraId="2ED469FE" w14:textId="77777777" w:rsidR="000A4B39" w:rsidRPr="001702CB" w:rsidRDefault="000A4B39" w:rsidP="000A4B39">
      <w:pPr>
        <w:jc w:val="both"/>
        <w:rPr>
          <w:b/>
          <w:bCs/>
          <w:noProof w:val="0"/>
          <w:sz w:val="22"/>
          <w:szCs w:val="22"/>
          <w:lang w:val="lt-LT"/>
        </w:rPr>
      </w:pPr>
    </w:p>
    <w:p w14:paraId="25F30034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bookmarkStart w:id="0" w:name="_Hlk25760660"/>
      <w:r w:rsidRPr="001702CB">
        <w:rPr>
          <w:b/>
          <w:sz w:val="22"/>
          <w:szCs w:val="22"/>
          <w:lang w:val="lt-LT"/>
        </w:rPr>
        <w:t xml:space="preserve">Vaikams </w:t>
      </w:r>
    </w:p>
    <w:p w14:paraId="765B96F1" w14:textId="77777777" w:rsidR="000A4B39" w:rsidRPr="001702CB" w:rsidRDefault="000A4B39" w:rsidP="000A4B39">
      <w:pPr>
        <w:jc w:val="both"/>
        <w:rPr>
          <w:noProof w:val="0"/>
          <w:sz w:val="22"/>
          <w:szCs w:val="22"/>
          <w:highlight w:val="lightGray"/>
          <w:lang w:val="lt-LT"/>
        </w:rPr>
      </w:pPr>
      <w:proofErr w:type="spellStart"/>
      <w:r w:rsidRPr="001702CB">
        <w:rPr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Pharma </w:t>
      </w:r>
      <w:r>
        <w:rPr>
          <w:noProof w:val="0"/>
          <w:sz w:val="22"/>
          <w:szCs w:val="22"/>
          <w:lang w:val="lt-LT"/>
        </w:rPr>
        <w:t>nerekomenduojama</w:t>
      </w:r>
      <w:r w:rsidRPr="001702CB">
        <w:rPr>
          <w:noProof w:val="0"/>
          <w:sz w:val="22"/>
          <w:szCs w:val="22"/>
          <w:lang w:val="lt-LT"/>
        </w:rPr>
        <w:t xml:space="preserve"> vartoti jaunesniems kaip 6 metų</w:t>
      </w:r>
      <w:r>
        <w:rPr>
          <w:noProof w:val="0"/>
          <w:sz w:val="22"/>
          <w:szCs w:val="22"/>
          <w:lang w:val="lt-LT"/>
        </w:rPr>
        <w:t xml:space="preserve"> vaikams.</w:t>
      </w:r>
    </w:p>
    <w:bookmarkEnd w:id="0"/>
    <w:p w14:paraId="32BA8367" w14:textId="77777777" w:rsidR="000A4B39" w:rsidRDefault="000A4B39" w:rsidP="000A4B39">
      <w:pPr>
        <w:keepNext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</w:p>
    <w:p w14:paraId="384FD6F7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1702CB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bCs/>
          <w:noProof w:val="0"/>
          <w:sz w:val="22"/>
          <w:szCs w:val="22"/>
          <w:lang w:val="lt-LT"/>
        </w:rPr>
        <w:t xml:space="preserve"> Pharma</w:t>
      </w:r>
    </w:p>
    <w:p w14:paraId="69F6A5AF" w14:textId="77777777" w:rsidR="000A4B39" w:rsidRDefault="000A4B39" w:rsidP="000A4B39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 arba dėl to nesate tikri, pasakykite gydytojui arba vaistininkui.</w:t>
      </w:r>
    </w:p>
    <w:p w14:paraId="363F1041" w14:textId="77777777" w:rsidR="000A4B39" w:rsidRDefault="000A4B39" w:rsidP="000A4B39">
      <w:pPr>
        <w:pStyle w:val="Pagrindinistekstas"/>
        <w:rPr>
          <w:sz w:val="22"/>
          <w:szCs w:val="22"/>
        </w:rPr>
      </w:pPr>
      <w:r>
        <w:rPr>
          <w:sz w:val="22"/>
          <w:szCs w:val="22"/>
          <w:lang w:eastAsia="lt-LT"/>
        </w:rPr>
        <w:t xml:space="preserve">Pasitarkite su gydytoju ar vaistininku prieš vartodami </w:t>
      </w:r>
      <w:proofErr w:type="spellStart"/>
      <w:r w:rsidRPr="001702CB">
        <w:rPr>
          <w:sz w:val="22"/>
          <w:szCs w:val="22"/>
          <w:lang w:val="lt-LT"/>
        </w:rPr>
        <w:t>Paracetamol</w:t>
      </w:r>
      <w:proofErr w:type="spellEnd"/>
      <w:r w:rsidRPr="001702CB">
        <w:rPr>
          <w:sz w:val="22"/>
          <w:szCs w:val="22"/>
          <w:lang w:val="lt-LT"/>
        </w:rPr>
        <w:t xml:space="preserve"> </w:t>
      </w:r>
      <w:proofErr w:type="spellStart"/>
      <w:r w:rsidRPr="001702CB">
        <w:rPr>
          <w:sz w:val="22"/>
          <w:szCs w:val="22"/>
          <w:lang w:val="lt-LT"/>
        </w:rPr>
        <w:t>Ingen</w:t>
      </w:r>
      <w:proofErr w:type="spellEnd"/>
      <w:r w:rsidRPr="001702CB">
        <w:rPr>
          <w:sz w:val="22"/>
          <w:szCs w:val="22"/>
          <w:lang w:val="lt-LT"/>
        </w:rPr>
        <w:t xml:space="preserve"> Pharma</w:t>
      </w:r>
      <w:r>
        <w:rPr>
          <w:sz w:val="22"/>
          <w:szCs w:val="22"/>
          <w:lang w:eastAsia="lt-LT"/>
        </w:rPr>
        <w:t>:</w:t>
      </w:r>
    </w:p>
    <w:p w14:paraId="2C5F53BF" w14:textId="77777777" w:rsidR="000A4B39" w:rsidRPr="00BE57E7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BE57E7">
        <w:rPr>
          <w:sz w:val="22"/>
          <w:szCs w:val="22"/>
          <w:lang w:val="lt-LT"/>
        </w:rPr>
        <w:t xml:space="preserve">jei vartojate antikoaguliantų (varfarino ar kitų vaistų, mažinančių kraujo krešėjimą) ir Jums reikia ilgai kasdien vartoti vaistų nuo skausmo, retkarčiais galima išgerti </w:t>
      </w:r>
      <w:proofErr w:type="spellStart"/>
      <w:r w:rsidRPr="00BE57E7">
        <w:rPr>
          <w:sz w:val="22"/>
          <w:szCs w:val="22"/>
          <w:lang w:val="lt-LT"/>
        </w:rPr>
        <w:t>paracetamolio</w:t>
      </w:r>
      <w:proofErr w:type="spellEnd"/>
      <w:r w:rsidRPr="00BE57E7">
        <w:rPr>
          <w:sz w:val="22"/>
          <w:szCs w:val="22"/>
          <w:lang w:val="lt-LT"/>
        </w:rPr>
        <w:t>, bet prieš tai reikia pasitarti su gydytoju</w:t>
      </w:r>
      <w:r>
        <w:rPr>
          <w:sz w:val="22"/>
          <w:szCs w:val="22"/>
          <w:lang w:val="lt-LT"/>
        </w:rPr>
        <w:t>;</w:t>
      </w:r>
    </w:p>
    <w:p w14:paraId="601CA0D3" w14:textId="77777777" w:rsidR="000A4B39" w:rsidRPr="00BE57E7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BE57E7">
        <w:rPr>
          <w:sz w:val="22"/>
          <w:szCs w:val="22"/>
          <w:lang w:val="lt-LT"/>
        </w:rPr>
        <w:t xml:space="preserve">jei vartojate </w:t>
      </w:r>
      <w:proofErr w:type="spellStart"/>
      <w:r w:rsidRPr="00BE57E7">
        <w:rPr>
          <w:sz w:val="22"/>
          <w:szCs w:val="22"/>
          <w:lang w:val="lt-LT"/>
        </w:rPr>
        <w:t>metoklopramido</w:t>
      </w:r>
      <w:proofErr w:type="spellEnd"/>
      <w:r w:rsidRPr="00BE57E7">
        <w:rPr>
          <w:sz w:val="22"/>
          <w:szCs w:val="22"/>
          <w:lang w:val="lt-LT"/>
        </w:rPr>
        <w:t xml:space="preserve">, </w:t>
      </w:r>
      <w:proofErr w:type="spellStart"/>
      <w:r w:rsidRPr="00BE57E7">
        <w:rPr>
          <w:sz w:val="22"/>
          <w:szCs w:val="22"/>
          <w:lang w:val="lt-LT"/>
        </w:rPr>
        <w:t>domperidono</w:t>
      </w:r>
      <w:proofErr w:type="spellEnd"/>
      <w:r w:rsidRPr="00BE57E7">
        <w:rPr>
          <w:sz w:val="22"/>
          <w:szCs w:val="22"/>
          <w:lang w:val="lt-LT"/>
        </w:rPr>
        <w:t xml:space="preserve"> (vaistų nuo pykinimo ir vėmimo)</w:t>
      </w:r>
      <w:r>
        <w:rPr>
          <w:sz w:val="22"/>
          <w:szCs w:val="22"/>
          <w:lang w:val="lt-LT"/>
        </w:rPr>
        <w:t>;</w:t>
      </w:r>
      <w:r w:rsidRPr="00BE57E7">
        <w:rPr>
          <w:sz w:val="22"/>
          <w:szCs w:val="22"/>
          <w:lang w:val="lt-LT"/>
        </w:rPr>
        <w:t xml:space="preserve"> </w:t>
      </w:r>
    </w:p>
    <w:p w14:paraId="4552A1B5" w14:textId="77777777" w:rsidR="000A4B39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BE57E7">
        <w:rPr>
          <w:sz w:val="22"/>
          <w:szCs w:val="22"/>
          <w:lang w:val="lt-LT"/>
        </w:rPr>
        <w:t xml:space="preserve">jei vartojate </w:t>
      </w:r>
      <w:proofErr w:type="spellStart"/>
      <w:r w:rsidRPr="00BE57E7">
        <w:rPr>
          <w:sz w:val="22"/>
          <w:szCs w:val="22"/>
          <w:lang w:val="lt-LT"/>
        </w:rPr>
        <w:t>cholestiramino</w:t>
      </w:r>
      <w:proofErr w:type="spellEnd"/>
      <w:r w:rsidRPr="00BE57E7">
        <w:rPr>
          <w:sz w:val="22"/>
          <w:szCs w:val="22"/>
          <w:lang w:val="lt-LT"/>
        </w:rPr>
        <w:t xml:space="preserve"> (vaisto padidėjusiai cholesterolio koncentracijai kraujyje mažinti)</w:t>
      </w:r>
      <w:r>
        <w:rPr>
          <w:sz w:val="22"/>
          <w:szCs w:val="22"/>
          <w:lang w:val="lt-LT"/>
        </w:rPr>
        <w:t>;</w:t>
      </w:r>
    </w:p>
    <w:p w14:paraId="0E127B8B" w14:textId="77777777" w:rsidR="000A4B39" w:rsidRPr="00BE57E7" w:rsidRDefault="000A4B39" w:rsidP="000A4B39">
      <w:pPr>
        <w:pStyle w:val="Pagrindinistekstas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proofErr w:type="spellStart"/>
      <w:r w:rsidRPr="00DC59F4">
        <w:rPr>
          <w:sz w:val="22"/>
          <w:szCs w:val="22"/>
          <w:lang w:val="lt-LT"/>
        </w:rPr>
        <w:t>flukloksacilin</w:t>
      </w:r>
      <w:r>
        <w:rPr>
          <w:sz w:val="22"/>
          <w:szCs w:val="22"/>
          <w:lang w:val="lt-LT"/>
        </w:rPr>
        <w:t>o</w:t>
      </w:r>
      <w:proofErr w:type="spellEnd"/>
      <w:r w:rsidRPr="00DC59F4">
        <w:rPr>
          <w:sz w:val="22"/>
          <w:szCs w:val="22"/>
          <w:lang w:val="lt-LT"/>
        </w:rPr>
        <w:t xml:space="preserve"> (antibiotik</w:t>
      </w:r>
      <w:r>
        <w:rPr>
          <w:sz w:val="22"/>
          <w:szCs w:val="22"/>
          <w:lang w:val="lt-LT"/>
        </w:rPr>
        <w:t>o</w:t>
      </w:r>
      <w:r w:rsidRPr="00DC59F4">
        <w:rPr>
          <w:sz w:val="22"/>
          <w:szCs w:val="22"/>
          <w:lang w:val="lt-LT"/>
        </w:rPr>
        <w:t xml:space="preserve">) dėl didelės kraujo ir skysčių tyrimų nenormalių rodiklių (vadinamos </w:t>
      </w:r>
      <w:proofErr w:type="spellStart"/>
      <w:r w:rsidRPr="00DC59F4">
        <w:rPr>
          <w:sz w:val="22"/>
          <w:szCs w:val="22"/>
          <w:lang w:val="lt-LT"/>
        </w:rPr>
        <w:t>metabolinės</w:t>
      </w:r>
      <w:proofErr w:type="spellEnd"/>
      <w:r w:rsidRPr="00DC59F4">
        <w:rPr>
          <w:sz w:val="22"/>
          <w:szCs w:val="22"/>
          <w:lang w:val="lt-LT"/>
        </w:rPr>
        <w:t xml:space="preserve"> </w:t>
      </w:r>
      <w:proofErr w:type="spellStart"/>
      <w:r w:rsidRPr="00DC59F4">
        <w:rPr>
          <w:sz w:val="22"/>
          <w:szCs w:val="22"/>
          <w:lang w:val="lt-LT"/>
        </w:rPr>
        <w:t>acidozės</w:t>
      </w:r>
      <w:proofErr w:type="spellEnd"/>
      <w:r w:rsidRPr="00DC59F4">
        <w:rPr>
          <w:sz w:val="22"/>
          <w:szCs w:val="22"/>
          <w:lang w:val="lt-LT"/>
        </w:rPr>
        <w:t>) rizikos (žr. 2 skyrių), kurią reikia skubiai gydyti</w:t>
      </w:r>
    </w:p>
    <w:p w14:paraId="761A2E5A" w14:textId="77777777" w:rsidR="000A4B39" w:rsidRDefault="000A4B39" w:rsidP="000A4B39">
      <w:pPr>
        <w:pStyle w:val="Pagrindinistekstas"/>
        <w:rPr>
          <w:sz w:val="22"/>
          <w:szCs w:val="22"/>
        </w:rPr>
      </w:pPr>
    </w:p>
    <w:p w14:paraId="65712F00" w14:textId="77777777" w:rsidR="000A4B39" w:rsidRDefault="000A4B39" w:rsidP="000A4B39">
      <w:pPr>
        <w:pStyle w:val="Pagrindinistekstas"/>
        <w:rPr>
          <w:iCs/>
          <w:sz w:val="22"/>
          <w:szCs w:val="22"/>
        </w:rPr>
      </w:pPr>
      <w:r>
        <w:rPr>
          <w:iCs/>
          <w:sz w:val="22"/>
          <w:szCs w:val="22"/>
        </w:rPr>
        <w:t>Šio vaisto negalima vartoti kartu su kitais vaistais, kurių sudėtyje yra paracetamolio.</w:t>
      </w:r>
    </w:p>
    <w:p w14:paraId="4224FA07" w14:textId="77777777" w:rsidR="000A4B39" w:rsidRDefault="000A4B39" w:rsidP="000A4B39">
      <w:pPr>
        <w:pStyle w:val="Pagrindinistekstas"/>
        <w:ind w:left="540" w:hanging="540"/>
        <w:rPr>
          <w:sz w:val="22"/>
          <w:szCs w:val="22"/>
        </w:rPr>
      </w:pPr>
      <w:r>
        <w:rPr>
          <w:sz w:val="22"/>
          <w:szCs w:val="22"/>
        </w:rPr>
        <w:t>Jeigu simptomai nepalengvėja pasitarkite su gydytoju.</w:t>
      </w:r>
    </w:p>
    <w:p w14:paraId="1F98AF05" w14:textId="77777777" w:rsidR="000A4B39" w:rsidRPr="001702CB" w:rsidRDefault="000A4B39" w:rsidP="000A4B39">
      <w:pPr>
        <w:jc w:val="both"/>
        <w:rPr>
          <w:sz w:val="22"/>
          <w:szCs w:val="22"/>
          <w:lang w:val="lt-LT"/>
        </w:rPr>
      </w:pPr>
    </w:p>
    <w:p w14:paraId="3F7F0971" w14:textId="77777777" w:rsidR="000A4B39" w:rsidRPr="001702CB" w:rsidRDefault="000A4B39" w:rsidP="000A4B39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proofErr w:type="spellStart"/>
      <w:r w:rsidRPr="001702CB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bCs/>
          <w:noProof w:val="0"/>
          <w:sz w:val="22"/>
          <w:szCs w:val="22"/>
          <w:lang w:val="lt-LT"/>
        </w:rPr>
        <w:t xml:space="preserve"> Pharma</w:t>
      </w:r>
      <w:r w:rsidRPr="001702CB">
        <w:rPr>
          <w:b/>
          <w:sz w:val="22"/>
          <w:szCs w:val="22"/>
          <w:lang w:val="lt-LT"/>
        </w:rPr>
        <w:t xml:space="preserve"> vartojimas su maistu ir alkoholiu</w:t>
      </w:r>
    </w:p>
    <w:p w14:paraId="0799F77D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  <w:r w:rsidRPr="001702CB">
        <w:rPr>
          <w:noProof w:val="0"/>
          <w:sz w:val="22"/>
          <w:szCs w:val="22"/>
          <w:lang w:val="lt-LT"/>
        </w:rPr>
        <w:t xml:space="preserve">Vartodami šį vaistą negerkite alkoholinių gėrimų. </w:t>
      </w:r>
    </w:p>
    <w:p w14:paraId="38B83C2B" w14:textId="77777777" w:rsidR="000A4B39" w:rsidRPr="001702CB" w:rsidRDefault="000A4B39" w:rsidP="000A4B39">
      <w:pPr>
        <w:rPr>
          <w:b/>
          <w:noProof w:val="0"/>
          <w:sz w:val="22"/>
          <w:szCs w:val="22"/>
          <w:lang w:val="lt-LT"/>
        </w:rPr>
      </w:pPr>
    </w:p>
    <w:p w14:paraId="0EE91B96" w14:textId="77777777" w:rsidR="000A4B39" w:rsidRPr="001702CB" w:rsidRDefault="000A4B39" w:rsidP="000A4B39">
      <w:pPr>
        <w:rPr>
          <w:b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Nėštumas ir žindymo laikotarpis</w:t>
      </w:r>
    </w:p>
    <w:p w14:paraId="1FD3F46E" w14:textId="77777777" w:rsidR="000A4B39" w:rsidRDefault="000A4B39" w:rsidP="000A4B39">
      <w:pPr>
        <w:pStyle w:val="Pagrindinistekstas"/>
        <w:rPr>
          <w:sz w:val="22"/>
          <w:szCs w:val="22"/>
        </w:rPr>
      </w:pPr>
      <w:r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>
        <w:rPr>
          <w:sz w:val="22"/>
          <w:szCs w:val="22"/>
        </w:rPr>
        <w:t xml:space="preserve"> </w:t>
      </w:r>
      <w:proofErr w:type="spellStart"/>
      <w:r w:rsidRPr="001702CB">
        <w:rPr>
          <w:sz w:val="22"/>
          <w:szCs w:val="22"/>
          <w:lang w:val="lt-LT"/>
        </w:rPr>
        <w:t>Paracetamol</w:t>
      </w:r>
      <w:proofErr w:type="spellEnd"/>
      <w:r w:rsidRPr="001702CB">
        <w:rPr>
          <w:sz w:val="22"/>
          <w:szCs w:val="22"/>
          <w:lang w:val="lt-LT"/>
        </w:rPr>
        <w:t xml:space="preserve"> </w:t>
      </w:r>
      <w:proofErr w:type="spellStart"/>
      <w:r w:rsidRPr="001702CB">
        <w:rPr>
          <w:sz w:val="22"/>
          <w:szCs w:val="22"/>
          <w:lang w:val="lt-LT"/>
        </w:rPr>
        <w:t>Ingen</w:t>
      </w:r>
      <w:proofErr w:type="spellEnd"/>
      <w:r w:rsidRPr="001702CB">
        <w:rPr>
          <w:sz w:val="22"/>
          <w:szCs w:val="22"/>
          <w:lang w:val="lt-LT"/>
        </w:rPr>
        <w:t xml:space="preserve"> Pharma</w:t>
      </w:r>
      <w:r w:rsidRPr="002534E9">
        <w:rPr>
          <w:sz w:val="22"/>
          <w:szCs w:val="22"/>
        </w:rPr>
        <w:t xml:space="preserve"> gali būti vartojamas nėštumo ir žindymo metu taip, kaip nurodė gydytojas. Turėtų būti vartojama mažiausia veiksminga dozė, trumpiausiu laikotarpiu.</w:t>
      </w:r>
    </w:p>
    <w:p w14:paraId="2154D683" w14:textId="77777777" w:rsidR="000A4B39" w:rsidRPr="001702CB" w:rsidRDefault="000A4B39" w:rsidP="000A4B39">
      <w:pPr>
        <w:rPr>
          <w:b/>
          <w:bCs/>
          <w:noProof w:val="0"/>
          <w:sz w:val="22"/>
          <w:szCs w:val="22"/>
          <w:lang w:val="lt-LT"/>
        </w:rPr>
      </w:pPr>
    </w:p>
    <w:p w14:paraId="4EB61C0E" w14:textId="77777777" w:rsidR="000A4B39" w:rsidRPr="001702CB" w:rsidRDefault="000A4B39" w:rsidP="000A4B39">
      <w:pPr>
        <w:keepNext/>
        <w:tabs>
          <w:tab w:val="left" w:pos="567"/>
        </w:tabs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Vairavimas ir mechanizmų valdymas</w:t>
      </w:r>
    </w:p>
    <w:p w14:paraId="3B5F3554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  <w:proofErr w:type="spellStart"/>
      <w:r w:rsidRPr="001702CB">
        <w:rPr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Pharma </w:t>
      </w:r>
      <w:r w:rsidRPr="001702CB">
        <w:rPr>
          <w:sz w:val="22"/>
          <w:szCs w:val="22"/>
          <w:lang w:val="lt-LT"/>
        </w:rPr>
        <w:t>gebėjimo vairuoti ir valdyti mechanizmus neveikia</w:t>
      </w:r>
      <w:r>
        <w:rPr>
          <w:noProof w:val="0"/>
          <w:sz w:val="22"/>
          <w:szCs w:val="22"/>
          <w:lang w:val="lt-LT"/>
        </w:rPr>
        <w:t xml:space="preserve"> arba veikia nereikšmingai.</w:t>
      </w:r>
    </w:p>
    <w:p w14:paraId="4E8DB51A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</w:p>
    <w:p w14:paraId="2D697B44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</w:p>
    <w:p w14:paraId="42AAAADB" w14:textId="77777777" w:rsidR="000A4B39" w:rsidRPr="001702CB" w:rsidRDefault="000A4B39" w:rsidP="000A4B39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3.</w:t>
      </w:r>
      <w:r w:rsidRPr="001702CB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1702CB">
        <w:rPr>
          <w:b/>
          <w:bCs/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b/>
          <w:bCs/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b/>
          <w:bCs/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b/>
          <w:bCs/>
          <w:noProof w:val="0"/>
          <w:sz w:val="22"/>
          <w:szCs w:val="22"/>
          <w:lang w:val="lt-LT"/>
        </w:rPr>
        <w:t xml:space="preserve"> Pharma</w:t>
      </w:r>
    </w:p>
    <w:p w14:paraId="28697484" w14:textId="77777777" w:rsidR="000A4B39" w:rsidRPr="001702CB" w:rsidRDefault="000A4B39" w:rsidP="000A4B39">
      <w:pPr>
        <w:rPr>
          <w:i/>
          <w:noProof w:val="0"/>
          <w:sz w:val="22"/>
          <w:szCs w:val="22"/>
          <w:lang w:val="lt-LT"/>
        </w:rPr>
      </w:pPr>
    </w:p>
    <w:p w14:paraId="70A7C770" w14:textId="77777777" w:rsidR="000A4B39" w:rsidRPr="00263390" w:rsidRDefault="000A4B39" w:rsidP="000A4B39">
      <w:pPr>
        <w:rPr>
          <w:sz w:val="22"/>
          <w:szCs w:val="22"/>
          <w:lang w:val="lt-LT"/>
        </w:rPr>
      </w:pPr>
      <w:r w:rsidRPr="00263390">
        <w:rPr>
          <w:sz w:val="22"/>
          <w:szCs w:val="22"/>
          <w:lang w:val="lt-LT"/>
        </w:rPr>
        <w:t>Visada vartokite šį vaistą tiksliai, kaip aprašyta šiame lapelyje, arba kaip nurodė gydytojas ar vaistininkas. Jeigu abejojate, kreipkitės į gydytoją arba vaistininką.</w:t>
      </w:r>
    </w:p>
    <w:p w14:paraId="6F9B0B92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2A17D1DB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Neviršykite rekomenduojamos dozės.</w:t>
      </w:r>
    </w:p>
    <w:p w14:paraId="6EDA9519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Visada vartokite mažiausią veiksmingą dozę, reikalingą palengvinti Jūsų simptomams, trumpiausiu laikotarpiu.</w:t>
      </w:r>
    </w:p>
    <w:p w14:paraId="5296D86B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lastRenderedPageBreak/>
        <w:t>Ne</w:t>
      </w:r>
      <w:r>
        <w:rPr>
          <w:rFonts w:eastAsia="Times New Roman"/>
          <w:noProof w:val="0"/>
          <w:sz w:val="22"/>
          <w:szCs w:val="22"/>
          <w:lang w:val="lt-LT" w:eastAsia="en-US"/>
        </w:rPr>
        <w:t xml:space="preserve">vartokite 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vaisto dažniau kaip kas 4</w:t>
      </w:r>
      <w:r>
        <w:rPr>
          <w:rFonts w:eastAsia="Times New Roman"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val.</w:t>
      </w:r>
    </w:p>
    <w:p w14:paraId="7FF94FEB" w14:textId="77777777" w:rsidR="000A4B39" w:rsidRPr="00AC5093" w:rsidRDefault="000A4B39" w:rsidP="000A4B39">
      <w:pPr>
        <w:rPr>
          <w:rFonts w:eastAsia="Times New Roman"/>
          <w:i/>
          <w:noProof w:val="0"/>
          <w:sz w:val="22"/>
          <w:szCs w:val="22"/>
          <w:lang w:val="lt-LT" w:eastAsia="en-US"/>
        </w:rPr>
      </w:pPr>
    </w:p>
    <w:p w14:paraId="1A7BDC6A" w14:textId="77777777" w:rsidR="000A4B39" w:rsidRPr="00AC5093" w:rsidRDefault="000A4B39" w:rsidP="000A4B39">
      <w:pPr>
        <w:rPr>
          <w:rFonts w:eastAsia="Times New Roman"/>
          <w:i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i/>
          <w:noProof w:val="0"/>
          <w:sz w:val="22"/>
          <w:szCs w:val="22"/>
          <w:lang w:val="lt-LT" w:eastAsia="en-US"/>
        </w:rPr>
        <w:t xml:space="preserve">Suaugusiesiems žmonėms (įskaitant senyvo amžiaus) bei 12 metų ir vyresniems </w:t>
      </w:r>
      <w:r>
        <w:rPr>
          <w:rFonts w:eastAsia="Times New Roman"/>
          <w:i/>
          <w:noProof w:val="0"/>
          <w:sz w:val="22"/>
          <w:szCs w:val="22"/>
          <w:lang w:val="lt-LT" w:eastAsia="en-US"/>
        </w:rPr>
        <w:t>paaugliams</w:t>
      </w:r>
      <w:r w:rsidRPr="00AC5093">
        <w:rPr>
          <w:rFonts w:eastAsia="Times New Roman"/>
          <w:i/>
          <w:noProof w:val="0"/>
          <w:sz w:val="22"/>
          <w:szCs w:val="22"/>
          <w:lang w:val="lt-LT" w:eastAsia="en-US"/>
        </w:rPr>
        <w:t>, kurių kūno svoris didesnis nei 50</w:t>
      </w:r>
      <w:r>
        <w:rPr>
          <w:rFonts w:eastAsia="Times New Roman"/>
          <w:i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i/>
          <w:noProof w:val="0"/>
          <w:sz w:val="22"/>
          <w:szCs w:val="22"/>
          <w:lang w:val="lt-LT" w:eastAsia="en-US"/>
        </w:rPr>
        <w:t>kg:</w:t>
      </w:r>
    </w:p>
    <w:p w14:paraId="1CC393AB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500</w:t>
      </w:r>
      <w:r>
        <w:rPr>
          <w:rFonts w:eastAsia="Times New Roman"/>
          <w:noProof w:val="0"/>
          <w:sz w:val="22"/>
          <w:szCs w:val="22"/>
          <w:lang w:val="lt-LT" w:eastAsia="en-US"/>
        </w:rPr>
        <w:t>–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1000 mg </w:t>
      </w:r>
      <w:proofErr w:type="spellStart"/>
      <w:r w:rsidRPr="00AC5093">
        <w:rPr>
          <w:rFonts w:eastAsia="Times New Roman"/>
          <w:noProof w:val="0"/>
          <w:sz w:val="22"/>
          <w:szCs w:val="22"/>
          <w:lang w:val="lt-LT" w:eastAsia="en-US"/>
        </w:rPr>
        <w:t>paracetamolio</w:t>
      </w:r>
      <w:proofErr w:type="spellEnd"/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 (1</w:t>
      </w:r>
      <w:r>
        <w:rPr>
          <w:rFonts w:eastAsia="Times New Roman"/>
          <w:noProof w:val="0"/>
          <w:sz w:val="22"/>
          <w:szCs w:val="22"/>
          <w:lang w:val="lt-LT" w:eastAsia="en-US"/>
        </w:rPr>
        <w:t>–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2 tabletės) kas 4</w:t>
      </w:r>
      <w:r>
        <w:rPr>
          <w:rFonts w:eastAsia="Times New Roman"/>
          <w:noProof w:val="0"/>
          <w:sz w:val="22"/>
          <w:szCs w:val="22"/>
          <w:lang w:val="lt-LT" w:eastAsia="en-US"/>
        </w:rPr>
        <w:t>–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6 valandas, pagal poreikį. </w:t>
      </w:r>
    </w:p>
    <w:p w14:paraId="1604D3B3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Per 24 valandas nevartoti daugiau kaip 8</w:t>
      </w:r>
      <w:r>
        <w:rPr>
          <w:rFonts w:eastAsia="Times New Roman"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tablečių.</w:t>
      </w:r>
    </w:p>
    <w:p w14:paraId="523A45EE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Didžiausia paros dozė yra 4000</w:t>
      </w:r>
      <w:r>
        <w:rPr>
          <w:rFonts w:eastAsia="Times New Roman"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mg.</w:t>
      </w:r>
    </w:p>
    <w:p w14:paraId="20999561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3F045C84" w14:textId="77777777" w:rsidR="000A4B39" w:rsidRPr="00AC5093" w:rsidRDefault="000A4B39" w:rsidP="000A4B39">
      <w:pPr>
        <w:rPr>
          <w:rFonts w:eastAsia="Times New Roman"/>
          <w:i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i/>
          <w:noProof w:val="0"/>
          <w:sz w:val="22"/>
          <w:szCs w:val="22"/>
          <w:lang w:val="lt-LT" w:eastAsia="en-US"/>
        </w:rPr>
        <w:t xml:space="preserve">Suaugusiems žmonėms ir 12 metų ir vyresniems </w:t>
      </w:r>
      <w:r>
        <w:rPr>
          <w:rFonts w:eastAsia="Times New Roman"/>
          <w:i/>
          <w:noProof w:val="0"/>
          <w:sz w:val="22"/>
          <w:szCs w:val="22"/>
          <w:lang w:val="lt-LT" w:eastAsia="en-US"/>
        </w:rPr>
        <w:t>paaugliams</w:t>
      </w:r>
      <w:r w:rsidRPr="00AC5093">
        <w:rPr>
          <w:rFonts w:eastAsia="Times New Roman"/>
          <w:i/>
          <w:noProof w:val="0"/>
          <w:sz w:val="22"/>
          <w:szCs w:val="22"/>
          <w:lang w:val="lt-LT" w:eastAsia="en-US"/>
        </w:rPr>
        <w:t>, kurių kūno svoris mažesnis nei 50</w:t>
      </w:r>
      <w:r>
        <w:rPr>
          <w:rFonts w:eastAsia="Times New Roman"/>
          <w:i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i/>
          <w:noProof w:val="0"/>
          <w:sz w:val="22"/>
          <w:szCs w:val="22"/>
          <w:lang w:val="lt-LT" w:eastAsia="en-US"/>
        </w:rPr>
        <w:t xml:space="preserve">kg </w:t>
      </w:r>
    </w:p>
    <w:p w14:paraId="255E0939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500</w:t>
      </w:r>
      <w:r>
        <w:rPr>
          <w:rFonts w:eastAsia="Times New Roman"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mg (1 tabletė) kas 4</w:t>
      </w:r>
      <w:r>
        <w:rPr>
          <w:rFonts w:eastAsia="Times New Roman"/>
          <w:noProof w:val="0"/>
          <w:sz w:val="22"/>
          <w:szCs w:val="22"/>
          <w:lang w:val="lt-LT" w:eastAsia="en-US"/>
        </w:rPr>
        <w:t>–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6 valandas pagal poreikį.</w:t>
      </w:r>
    </w:p>
    <w:p w14:paraId="23949E4F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Per 24 valandas nevartoti daugiau kaip 6</w:t>
      </w:r>
      <w:r>
        <w:rPr>
          <w:rFonts w:eastAsia="Times New Roman"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tablečių. </w:t>
      </w:r>
    </w:p>
    <w:p w14:paraId="178A04EF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Didžiausia paros dozė yra 3000</w:t>
      </w:r>
      <w:r>
        <w:rPr>
          <w:rFonts w:eastAsia="Times New Roman"/>
          <w:noProof w:val="0"/>
          <w:sz w:val="22"/>
          <w:szCs w:val="22"/>
          <w:lang w:val="lt-LT" w:eastAsia="en-US"/>
        </w:rPr>
        <w:t> 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mg.</w:t>
      </w:r>
    </w:p>
    <w:p w14:paraId="24EBFC33" w14:textId="77777777" w:rsidR="000A4B39" w:rsidRPr="00AC5093" w:rsidRDefault="000A4B39" w:rsidP="000A4B39">
      <w:pPr>
        <w:rPr>
          <w:rFonts w:eastAsia="Times New Roman"/>
          <w:noProof w:val="0"/>
          <w:sz w:val="20"/>
          <w:szCs w:val="20"/>
          <w:lang w:val="lt-LT" w:eastAsia="en-US"/>
        </w:rPr>
      </w:pPr>
    </w:p>
    <w:p w14:paraId="0C36ECEC" w14:textId="77777777" w:rsidR="000A4B39" w:rsidRPr="00AC5093" w:rsidRDefault="000A4B39" w:rsidP="000A4B39">
      <w:pPr>
        <w:rPr>
          <w:rFonts w:eastAsia="Times New Roman"/>
          <w:b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b/>
          <w:noProof w:val="0"/>
          <w:sz w:val="22"/>
          <w:szCs w:val="22"/>
          <w:lang w:val="lt-LT" w:eastAsia="en-US"/>
        </w:rPr>
        <w:t xml:space="preserve">Vartojimas vaikams </w:t>
      </w:r>
    </w:p>
    <w:p w14:paraId="322BDCA6" w14:textId="77777777" w:rsidR="000A4B39" w:rsidRPr="00263390" w:rsidRDefault="000A4B39" w:rsidP="000A4B39">
      <w:pPr>
        <w:rPr>
          <w:rFonts w:eastAsia="Times New Roman"/>
          <w:i/>
          <w:iCs/>
          <w:noProof w:val="0"/>
          <w:sz w:val="22"/>
          <w:szCs w:val="22"/>
          <w:lang w:val="lt-LT" w:eastAsia="en-US"/>
        </w:rPr>
      </w:pPr>
      <w:r w:rsidRPr="00263390">
        <w:rPr>
          <w:rFonts w:eastAsia="Times New Roman"/>
          <w:i/>
          <w:iCs/>
          <w:noProof w:val="0"/>
          <w:sz w:val="22"/>
          <w:szCs w:val="22"/>
          <w:lang w:val="lt-LT" w:eastAsia="en-US"/>
        </w:rPr>
        <w:t>6–8 metų vaikams:</w:t>
      </w:r>
    </w:p>
    <w:p w14:paraId="57BC87A6" w14:textId="77777777" w:rsidR="000A4B39" w:rsidRPr="00263390" w:rsidRDefault="000A4B39" w:rsidP="000A4B39">
      <w:pPr>
        <w:pStyle w:val="Sraopastraipa"/>
        <w:numPr>
          <w:ilvl w:val="0"/>
          <w:numId w:val="3"/>
        </w:numPr>
        <w:ind w:left="567" w:hanging="567"/>
        <w:rPr>
          <w:rFonts w:eastAsia="Times New Roman"/>
          <w:noProof w:val="0"/>
          <w:sz w:val="22"/>
          <w:szCs w:val="22"/>
          <w:lang w:val="lt-LT" w:eastAsia="en-US"/>
        </w:rPr>
      </w:pPr>
      <w:r>
        <w:rPr>
          <w:rFonts w:eastAsia="Times New Roman"/>
          <w:noProof w:val="0"/>
          <w:sz w:val="22"/>
          <w:szCs w:val="22"/>
          <w:lang w:val="lt-LT" w:eastAsia="en-US"/>
        </w:rPr>
        <w:t>g</w:t>
      </w:r>
      <w:r w:rsidRPr="00263390">
        <w:rPr>
          <w:rFonts w:eastAsia="Times New Roman"/>
          <w:noProof w:val="0"/>
          <w:sz w:val="22"/>
          <w:szCs w:val="22"/>
          <w:lang w:val="lt-LT" w:eastAsia="en-US"/>
        </w:rPr>
        <w:t>erti po pusę tabletės kas 4</w:t>
      </w:r>
      <w:r>
        <w:rPr>
          <w:rFonts w:eastAsia="Times New Roman"/>
          <w:noProof w:val="0"/>
          <w:sz w:val="22"/>
          <w:szCs w:val="22"/>
          <w:lang w:val="lt-LT" w:eastAsia="en-US"/>
        </w:rPr>
        <w:t>–</w:t>
      </w:r>
      <w:r w:rsidRPr="00263390">
        <w:rPr>
          <w:rFonts w:eastAsia="Times New Roman"/>
          <w:noProof w:val="0"/>
          <w:sz w:val="22"/>
          <w:szCs w:val="22"/>
          <w:lang w:val="lt-LT" w:eastAsia="en-US"/>
        </w:rPr>
        <w:t>6 val. (pagal poreikį)</w:t>
      </w:r>
      <w:r>
        <w:rPr>
          <w:rFonts w:eastAsia="Times New Roman"/>
          <w:noProof w:val="0"/>
          <w:sz w:val="22"/>
          <w:szCs w:val="22"/>
          <w:lang w:val="lt-LT" w:eastAsia="en-US"/>
        </w:rPr>
        <w:t>;</w:t>
      </w:r>
    </w:p>
    <w:p w14:paraId="76ACBFBF" w14:textId="77777777" w:rsidR="000A4B39" w:rsidRPr="00263390" w:rsidRDefault="000A4B39" w:rsidP="000A4B39">
      <w:pPr>
        <w:pStyle w:val="Sraopastraipa"/>
        <w:numPr>
          <w:ilvl w:val="0"/>
          <w:numId w:val="3"/>
        </w:numPr>
        <w:ind w:left="567" w:hanging="567"/>
        <w:rPr>
          <w:rFonts w:eastAsia="Times New Roman"/>
          <w:noProof w:val="0"/>
          <w:sz w:val="22"/>
          <w:szCs w:val="22"/>
          <w:lang w:val="lt-LT" w:eastAsia="en-US"/>
        </w:rPr>
      </w:pPr>
      <w:r>
        <w:rPr>
          <w:rFonts w:eastAsia="Times New Roman"/>
          <w:noProof w:val="0"/>
          <w:sz w:val="22"/>
          <w:szCs w:val="22"/>
          <w:lang w:val="lt-LT" w:eastAsia="en-US"/>
        </w:rPr>
        <w:t>ne</w:t>
      </w:r>
      <w:r w:rsidRPr="00263390">
        <w:rPr>
          <w:rFonts w:eastAsia="Times New Roman"/>
          <w:noProof w:val="0"/>
          <w:sz w:val="22"/>
          <w:szCs w:val="22"/>
          <w:lang w:val="lt-LT" w:eastAsia="en-US"/>
        </w:rPr>
        <w:t xml:space="preserve">vartoti daugiau kaip 2 tablečių per </w:t>
      </w:r>
      <w:r>
        <w:rPr>
          <w:rFonts w:eastAsia="Times New Roman"/>
          <w:noProof w:val="0"/>
          <w:sz w:val="22"/>
          <w:szCs w:val="22"/>
          <w:lang w:val="lt-LT" w:eastAsia="en-US"/>
        </w:rPr>
        <w:t>parą</w:t>
      </w:r>
      <w:r w:rsidRPr="00263390">
        <w:rPr>
          <w:rFonts w:eastAsia="Times New Roman"/>
          <w:noProof w:val="0"/>
          <w:sz w:val="22"/>
          <w:szCs w:val="22"/>
          <w:lang w:val="lt-LT" w:eastAsia="en-US"/>
        </w:rPr>
        <w:t>.</w:t>
      </w:r>
    </w:p>
    <w:p w14:paraId="5C44F76C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5CD4DFF2" w14:textId="77777777" w:rsidR="000A4B39" w:rsidRPr="00263390" w:rsidRDefault="000A4B39" w:rsidP="000A4B39">
      <w:pPr>
        <w:rPr>
          <w:rFonts w:eastAsia="Times New Roman"/>
          <w:i/>
          <w:iCs/>
          <w:noProof w:val="0"/>
          <w:sz w:val="22"/>
          <w:szCs w:val="22"/>
          <w:lang w:val="lt-LT" w:eastAsia="en-US"/>
        </w:rPr>
      </w:pPr>
      <w:r w:rsidRPr="00263390">
        <w:rPr>
          <w:rFonts w:eastAsia="Times New Roman"/>
          <w:i/>
          <w:iCs/>
          <w:noProof w:val="0"/>
          <w:sz w:val="22"/>
          <w:szCs w:val="22"/>
          <w:lang w:val="lt-LT" w:eastAsia="en-US"/>
        </w:rPr>
        <w:t>9–11 metų vaikams</w:t>
      </w:r>
      <w:r>
        <w:rPr>
          <w:rFonts w:eastAsia="Times New Roman"/>
          <w:i/>
          <w:iCs/>
          <w:noProof w:val="0"/>
          <w:sz w:val="22"/>
          <w:szCs w:val="22"/>
          <w:lang w:val="lt-LT" w:eastAsia="en-US"/>
        </w:rPr>
        <w:t xml:space="preserve"> ir paaugliams</w:t>
      </w:r>
      <w:r w:rsidRPr="00263390">
        <w:rPr>
          <w:rFonts w:eastAsia="Times New Roman"/>
          <w:i/>
          <w:iCs/>
          <w:noProof w:val="0"/>
          <w:sz w:val="22"/>
          <w:szCs w:val="22"/>
          <w:lang w:val="lt-LT" w:eastAsia="en-US"/>
        </w:rPr>
        <w:t>:</w:t>
      </w:r>
    </w:p>
    <w:p w14:paraId="6DA02E76" w14:textId="77777777" w:rsidR="000A4B39" w:rsidRPr="00AC5093" w:rsidRDefault="000A4B39" w:rsidP="000A4B39">
      <w:pPr>
        <w:pStyle w:val="Sraopastraipa"/>
        <w:numPr>
          <w:ilvl w:val="0"/>
          <w:numId w:val="3"/>
        </w:numPr>
        <w:ind w:left="567" w:hanging="567"/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gerti po 1 tabletę kas 4</w:t>
      </w:r>
      <w:r>
        <w:rPr>
          <w:rFonts w:eastAsia="Times New Roman"/>
          <w:noProof w:val="0"/>
          <w:sz w:val="22"/>
          <w:szCs w:val="22"/>
          <w:lang w:val="lt-LT" w:eastAsia="en-US"/>
        </w:rPr>
        <w:t>–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6 val. (pagal poreikį)</w:t>
      </w:r>
      <w:r>
        <w:rPr>
          <w:rFonts w:eastAsia="Times New Roman"/>
          <w:noProof w:val="0"/>
          <w:sz w:val="22"/>
          <w:szCs w:val="22"/>
          <w:lang w:val="lt-LT" w:eastAsia="en-US"/>
        </w:rPr>
        <w:t>;</w:t>
      </w:r>
    </w:p>
    <w:p w14:paraId="3523661F" w14:textId="77777777" w:rsidR="000A4B39" w:rsidRPr="00AC5093" w:rsidRDefault="000A4B39" w:rsidP="000A4B39">
      <w:pPr>
        <w:pStyle w:val="Sraopastraipa"/>
        <w:numPr>
          <w:ilvl w:val="0"/>
          <w:numId w:val="3"/>
        </w:numPr>
        <w:ind w:left="567" w:hanging="567"/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nevartoti daugiau kaip 4 tablečių per </w:t>
      </w:r>
      <w:r>
        <w:rPr>
          <w:rFonts w:eastAsia="Times New Roman"/>
          <w:noProof w:val="0"/>
          <w:sz w:val="22"/>
          <w:szCs w:val="22"/>
          <w:lang w:val="lt-LT" w:eastAsia="en-US"/>
        </w:rPr>
        <w:t>parą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>.</w:t>
      </w:r>
    </w:p>
    <w:p w14:paraId="2A11737A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7A87DC58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>Ne</w:t>
      </w:r>
      <w:r>
        <w:rPr>
          <w:rFonts w:eastAsia="Times New Roman"/>
          <w:noProof w:val="0"/>
          <w:sz w:val="22"/>
          <w:szCs w:val="22"/>
          <w:lang w:val="lt-LT" w:eastAsia="en-US"/>
        </w:rPr>
        <w:t>vartokite ilgiau kaip 3 dienas be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 gydytoj</w:t>
      </w:r>
      <w:r>
        <w:rPr>
          <w:rFonts w:eastAsia="Times New Roman"/>
          <w:noProof w:val="0"/>
          <w:sz w:val="22"/>
          <w:szCs w:val="22"/>
          <w:lang w:val="lt-LT" w:eastAsia="en-US"/>
        </w:rPr>
        <w:t>o leidimo</w:t>
      </w: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. </w:t>
      </w:r>
    </w:p>
    <w:p w14:paraId="491D11AE" w14:textId="77777777" w:rsidR="000A4B39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7B3C27D5" w14:textId="77777777" w:rsidR="000A4B39" w:rsidRPr="00263390" w:rsidRDefault="000A4B39" w:rsidP="000A4B39">
      <w:pPr>
        <w:rPr>
          <w:rFonts w:eastAsia="Times New Roman"/>
          <w:i/>
          <w:sz w:val="22"/>
          <w:szCs w:val="22"/>
          <w:lang w:val="lt-LT"/>
        </w:rPr>
      </w:pPr>
      <w:r w:rsidRPr="00263390">
        <w:rPr>
          <w:rFonts w:eastAsia="Times New Roman"/>
          <w:i/>
          <w:sz w:val="22"/>
          <w:szCs w:val="22"/>
          <w:lang w:val="lt-LT"/>
        </w:rPr>
        <w:t>Jaunesniems kaip 6 metų vaikams</w:t>
      </w:r>
      <w:r>
        <w:rPr>
          <w:rFonts w:eastAsia="Times New Roman"/>
          <w:i/>
          <w:sz w:val="22"/>
          <w:szCs w:val="22"/>
          <w:lang w:val="lt-LT"/>
        </w:rPr>
        <w:t>:</w:t>
      </w:r>
    </w:p>
    <w:p w14:paraId="4DD11E99" w14:textId="77777777" w:rsidR="000A4B39" w:rsidRPr="00263390" w:rsidRDefault="000A4B39" w:rsidP="000A4B39">
      <w:pPr>
        <w:pStyle w:val="Sraopastraipa"/>
        <w:numPr>
          <w:ilvl w:val="0"/>
          <w:numId w:val="3"/>
        </w:numPr>
        <w:ind w:left="567" w:hanging="567"/>
        <w:rPr>
          <w:rFonts w:eastAsia="Times New Roman"/>
          <w:noProof w:val="0"/>
          <w:sz w:val="22"/>
          <w:szCs w:val="22"/>
          <w:lang w:val="lt-LT" w:eastAsia="en-US"/>
        </w:rPr>
      </w:pPr>
      <w:r>
        <w:rPr>
          <w:rFonts w:eastAsia="Times New Roman"/>
          <w:noProof w:val="0"/>
          <w:sz w:val="22"/>
          <w:szCs w:val="22"/>
          <w:lang w:val="lt-LT" w:eastAsia="en-US"/>
        </w:rPr>
        <w:t>n</w:t>
      </w:r>
      <w:r w:rsidRPr="00263390">
        <w:rPr>
          <w:rFonts w:eastAsia="Times New Roman"/>
          <w:noProof w:val="0"/>
          <w:sz w:val="22"/>
          <w:szCs w:val="22"/>
          <w:lang w:val="lt-LT" w:eastAsia="en-US"/>
        </w:rPr>
        <w:t xml:space="preserve">etinka vartoti jaunesniems kaip 6 metų vaikams. </w:t>
      </w:r>
    </w:p>
    <w:p w14:paraId="6A8FB61C" w14:textId="77777777" w:rsidR="000A4B39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264A4AE8" w14:textId="77777777" w:rsidR="000A4B39" w:rsidRPr="00AC5093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AC5093">
        <w:rPr>
          <w:rFonts w:eastAsia="Times New Roman"/>
          <w:noProof w:val="0"/>
          <w:sz w:val="22"/>
          <w:szCs w:val="22"/>
          <w:lang w:val="lt-LT" w:eastAsia="en-US"/>
        </w:rPr>
        <w:t xml:space="preserve">Nevartoti su kitais vaistais, kurių sudėtyje yra </w:t>
      </w:r>
      <w:proofErr w:type="spellStart"/>
      <w:r w:rsidRPr="00AC5093">
        <w:rPr>
          <w:rFonts w:eastAsia="Times New Roman"/>
          <w:noProof w:val="0"/>
          <w:sz w:val="22"/>
          <w:szCs w:val="22"/>
          <w:lang w:val="lt-LT" w:eastAsia="en-US"/>
        </w:rPr>
        <w:t>paracetamolio</w:t>
      </w:r>
      <w:proofErr w:type="spellEnd"/>
      <w:r w:rsidRPr="00AC5093">
        <w:rPr>
          <w:rFonts w:eastAsia="Times New Roman"/>
          <w:noProof w:val="0"/>
          <w:sz w:val="22"/>
          <w:szCs w:val="22"/>
          <w:lang w:val="lt-LT" w:eastAsia="en-US"/>
        </w:rPr>
        <w:t>.</w:t>
      </w:r>
    </w:p>
    <w:p w14:paraId="0B286DFE" w14:textId="77777777" w:rsidR="000A4B39" w:rsidRPr="001702CB" w:rsidRDefault="000A4B39" w:rsidP="000A4B39">
      <w:pPr>
        <w:rPr>
          <w:noProof w:val="0"/>
          <w:sz w:val="22"/>
          <w:szCs w:val="22"/>
          <w:lang w:val="lt-LT"/>
        </w:rPr>
      </w:pPr>
    </w:p>
    <w:p w14:paraId="2910563B" w14:textId="77777777" w:rsidR="000A4B39" w:rsidRPr="001702CB" w:rsidRDefault="000A4B39" w:rsidP="000A4B39">
      <w:pPr>
        <w:rPr>
          <w:b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Ką daryti pavartojus per didelę Paracetamol Ingen Pharma dozę</w:t>
      </w:r>
    </w:p>
    <w:p w14:paraId="72C8EEAC" w14:textId="77777777" w:rsidR="000A4B39" w:rsidRDefault="000A4B39" w:rsidP="000A4B39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Negalima viršyti nurodytos dozės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Jei išgėrėte didesnę negu rekomenduojama dozę, nedelsdami kreipkitės į gydytoją, net jei nejaučiate jokių simptomų. Perdozavus šio vaisto gali būti pažeistos kepenys ir kasa.</w:t>
      </w:r>
    </w:p>
    <w:p w14:paraId="21792323" w14:textId="77777777" w:rsidR="000A4B39" w:rsidRDefault="000A4B39" w:rsidP="000A4B39">
      <w:pPr>
        <w:pStyle w:val="Pagrindinistekstas"/>
        <w:rPr>
          <w:sz w:val="22"/>
          <w:szCs w:val="22"/>
        </w:rPr>
      </w:pPr>
    </w:p>
    <w:p w14:paraId="3F45C9DC" w14:textId="77777777" w:rsidR="000A4B39" w:rsidRPr="00CD21FD" w:rsidRDefault="000A4B39" w:rsidP="000A4B39">
      <w:pPr>
        <w:pStyle w:val="Pagrindinistekstas"/>
        <w:rPr>
          <w:sz w:val="22"/>
          <w:szCs w:val="22"/>
          <w:lang w:val="lt-LT"/>
        </w:rPr>
      </w:pPr>
      <w:r w:rsidRPr="00CD21FD">
        <w:rPr>
          <w:sz w:val="22"/>
          <w:szCs w:val="22"/>
          <w:lang w:val="lt-LT"/>
        </w:rPr>
        <w:t>Perdozavimas taip pat gali sukelti: krešėjimo sutrikimus (kraujo krešėjimą ir kraujavimą</w:t>
      </w:r>
      <w:r>
        <w:rPr>
          <w:sz w:val="22"/>
          <w:szCs w:val="22"/>
          <w:lang w:val="lt-LT"/>
        </w:rPr>
        <w:t>).</w:t>
      </w:r>
    </w:p>
    <w:p w14:paraId="735DD615" w14:textId="77777777" w:rsidR="000A4B39" w:rsidRDefault="000A4B39" w:rsidP="000A4B39">
      <w:pPr>
        <w:pStyle w:val="Pagrindinistekstas"/>
        <w:rPr>
          <w:sz w:val="22"/>
          <w:szCs w:val="22"/>
        </w:rPr>
      </w:pPr>
    </w:p>
    <w:p w14:paraId="71EAE9AC" w14:textId="77777777" w:rsidR="000A4B39" w:rsidRDefault="000A4B39" w:rsidP="000A4B39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 xml:space="preserve">Jeigu manote, kad </w:t>
      </w:r>
      <w:proofErr w:type="spellStart"/>
      <w:r w:rsidRPr="00263390">
        <w:rPr>
          <w:bCs/>
          <w:sz w:val="22"/>
          <w:szCs w:val="22"/>
          <w:lang w:val="lt-LT"/>
        </w:rPr>
        <w:t>Paracetamol</w:t>
      </w:r>
      <w:proofErr w:type="spellEnd"/>
      <w:r w:rsidRPr="00263390">
        <w:rPr>
          <w:bCs/>
          <w:sz w:val="22"/>
          <w:szCs w:val="22"/>
          <w:lang w:val="lt-LT"/>
        </w:rPr>
        <w:t xml:space="preserve"> </w:t>
      </w:r>
      <w:proofErr w:type="spellStart"/>
      <w:r w:rsidRPr="00263390">
        <w:rPr>
          <w:bCs/>
          <w:sz w:val="22"/>
          <w:szCs w:val="22"/>
          <w:lang w:val="lt-LT"/>
        </w:rPr>
        <w:t>Ingen</w:t>
      </w:r>
      <w:proofErr w:type="spellEnd"/>
      <w:r w:rsidRPr="00263390">
        <w:rPr>
          <w:bCs/>
          <w:sz w:val="22"/>
          <w:szCs w:val="22"/>
          <w:lang w:val="lt-LT"/>
        </w:rPr>
        <w:t xml:space="preserve"> Pharma</w:t>
      </w:r>
      <w:r>
        <w:rPr>
          <w:sz w:val="22"/>
          <w:szCs w:val="22"/>
        </w:rPr>
        <w:t xml:space="preserve"> veikia per stipriai arba per silpnai, kreipkitės į gydytoją arba vaistininką.</w:t>
      </w:r>
    </w:p>
    <w:p w14:paraId="5C136A09" w14:textId="77777777" w:rsidR="000A4B39" w:rsidRPr="001702CB" w:rsidRDefault="000A4B39" w:rsidP="000A4B39">
      <w:pPr>
        <w:jc w:val="both"/>
        <w:rPr>
          <w:bCs/>
          <w:noProof w:val="0"/>
          <w:sz w:val="22"/>
          <w:szCs w:val="22"/>
          <w:lang w:val="lt-LT"/>
        </w:rPr>
      </w:pPr>
    </w:p>
    <w:p w14:paraId="6FD7D387" w14:textId="77777777" w:rsidR="000A4B39" w:rsidRPr="001702CB" w:rsidRDefault="000A4B39" w:rsidP="000A4B39">
      <w:pPr>
        <w:rPr>
          <w:b/>
          <w:caps/>
          <w:noProof w:val="0"/>
          <w:sz w:val="22"/>
          <w:szCs w:val="22"/>
          <w:lang w:val="lt-LT"/>
        </w:rPr>
      </w:pPr>
    </w:p>
    <w:p w14:paraId="45DAD056" w14:textId="77777777" w:rsidR="000A4B39" w:rsidRPr="001702CB" w:rsidRDefault="000A4B39" w:rsidP="000A4B39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4.</w:t>
      </w:r>
      <w:r w:rsidRPr="001702CB">
        <w:rPr>
          <w:b/>
          <w:sz w:val="22"/>
          <w:szCs w:val="22"/>
          <w:lang w:val="lt-LT"/>
        </w:rPr>
        <w:tab/>
        <w:t>Galimas šalutinis poveikis</w:t>
      </w:r>
    </w:p>
    <w:p w14:paraId="76775B77" w14:textId="77777777" w:rsidR="000A4B39" w:rsidRPr="001702CB" w:rsidRDefault="000A4B39" w:rsidP="000A4B39">
      <w:pPr>
        <w:rPr>
          <w:rFonts w:eastAsia="MS Mincho"/>
          <w:noProof w:val="0"/>
          <w:sz w:val="22"/>
          <w:szCs w:val="22"/>
          <w:lang w:val="lt-LT" w:eastAsia="fr-FR"/>
        </w:rPr>
      </w:pPr>
    </w:p>
    <w:p w14:paraId="5BFCD778" w14:textId="77777777" w:rsidR="000A4B39" w:rsidRPr="001702CB" w:rsidRDefault="000A4B39" w:rsidP="000A4B39">
      <w:pPr>
        <w:ind w:right="-29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0DE2FE86" w14:textId="77777777" w:rsidR="000A4B39" w:rsidRPr="001702CB" w:rsidRDefault="000A4B39" w:rsidP="000A4B39">
      <w:pPr>
        <w:rPr>
          <w:i/>
          <w:noProof w:val="0"/>
          <w:sz w:val="22"/>
          <w:szCs w:val="22"/>
          <w:lang w:val="lt-LT"/>
        </w:rPr>
      </w:pPr>
    </w:p>
    <w:p w14:paraId="584B0BAE" w14:textId="77777777" w:rsidR="000A4B39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sz w:val="22"/>
          <w:szCs w:val="22"/>
          <w:lang w:val="lt-LT" w:eastAsia="en-US"/>
        </w:rPr>
        <w:t>Nustokite vartoti vaisto ir pasitarkite su gydytoju, jeigu Jums pasireiškė:</w:t>
      </w:r>
    </w:p>
    <w:p w14:paraId="520C0A78" w14:textId="77777777" w:rsidR="000A4B39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32FA8BE4" w14:textId="77777777" w:rsidR="000A4B39" w:rsidRPr="00472B9E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263390">
        <w:rPr>
          <w:b/>
          <w:bCs/>
          <w:snapToGrid w:val="0"/>
          <w:sz w:val="22"/>
          <w:szCs w:val="22"/>
          <w:lang w:val="lt-LT"/>
        </w:rPr>
        <w:t>Labai reti šalutinio poveikio reiškiniai (gali pasireikšti rečiau kaip 1 iš 10 000 asmenų</w:t>
      </w:r>
      <w:r>
        <w:rPr>
          <w:b/>
          <w:bCs/>
          <w:snapToGrid w:val="0"/>
          <w:sz w:val="22"/>
          <w:szCs w:val="22"/>
          <w:lang w:val="lt-LT"/>
        </w:rPr>
        <w:t>):</w:t>
      </w:r>
    </w:p>
    <w:p w14:paraId="50D56BB0" w14:textId="77777777" w:rsidR="000A4B39" w:rsidRPr="00472B9E" w:rsidRDefault="000A4B39" w:rsidP="000A4B39">
      <w:pPr>
        <w:numPr>
          <w:ilvl w:val="0"/>
          <w:numId w:val="4"/>
        </w:num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sz w:val="22"/>
          <w:szCs w:val="22"/>
          <w:lang w:val="lt-LT" w:eastAsia="en-US"/>
        </w:rPr>
        <w:t>Alerginės reakcijos, tokios kaip odos išbėrimas, niežulys, kartais su kvėpavimo sutrikimais arba lūpų, liežuvio, gerklės, veido patinimas. Labai retais atvejais buvo pranešta apie sunkias odos reakcijas.</w:t>
      </w:r>
    </w:p>
    <w:p w14:paraId="2691322E" w14:textId="77777777" w:rsidR="000A4B39" w:rsidRPr="00472B9E" w:rsidRDefault="000A4B39" w:rsidP="000A4B39">
      <w:pPr>
        <w:numPr>
          <w:ilvl w:val="0"/>
          <w:numId w:val="4"/>
        </w:num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sz w:val="22"/>
          <w:szCs w:val="22"/>
          <w:lang w:val="lt-LT" w:eastAsia="en-US"/>
        </w:rPr>
        <w:t>Odos išbėrimas, lupimasis arba burnos gleivinės opos.</w:t>
      </w:r>
    </w:p>
    <w:p w14:paraId="2B3ED020" w14:textId="77777777" w:rsidR="000A4B39" w:rsidRPr="00472B9E" w:rsidRDefault="000A4B39" w:rsidP="000A4B39">
      <w:pPr>
        <w:numPr>
          <w:ilvl w:val="0"/>
          <w:numId w:val="4"/>
        </w:num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sz w:val="22"/>
          <w:szCs w:val="22"/>
          <w:lang w:val="lt-LT" w:eastAsia="en-US"/>
        </w:rPr>
        <w:t xml:space="preserve">Jei vartojant </w:t>
      </w: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aspirin</w:t>
      </w:r>
      <w:r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o</w:t>
      </w: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arba kit</w:t>
      </w:r>
      <w:r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ų</w:t>
      </w: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nesteroidini</w:t>
      </w:r>
      <w:r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ų</w:t>
      </w: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vaist</w:t>
      </w:r>
      <w:r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ų</w:t>
      </w: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nuo uždegimo Jums buvo problemų su kvėpavimu ir atsirado panašių reakcijų vartojant šio vaisto.</w:t>
      </w:r>
    </w:p>
    <w:p w14:paraId="23C3250F" w14:textId="77777777" w:rsidR="000A4B39" w:rsidRPr="00472B9E" w:rsidRDefault="000A4B39" w:rsidP="000A4B39">
      <w:pPr>
        <w:numPr>
          <w:ilvl w:val="0"/>
          <w:numId w:val="4"/>
        </w:num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Nepaaiškinamos mėlynės arba kraujavimai.</w:t>
      </w:r>
    </w:p>
    <w:p w14:paraId="1071643A" w14:textId="77777777" w:rsidR="000A4B39" w:rsidRPr="004C27D7" w:rsidRDefault="000A4B39" w:rsidP="000A4B39">
      <w:pPr>
        <w:numPr>
          <w:ilvl w:val="0"/>
          <w:numId w:val="4"/>
        </w:num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Kepenų funkcijos sutrikimas.</w:t>
      </w:r>
    </w:p>
    <w:p w14:paraId="691ECC40" w14:textId="77777777" w:rsidR="000A4B39" w:rsidRPr="00472B9E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</w:p>
    <w:p w14:paraId="5D8EA284" w14:textId="77777777" w:rsidR="000A4B39" w:rsidRDefault="000A4B39" w:rsidP="000A4B39">
      <w:pPr>
        <w:rPr>
          <w:b/>
          <w:bCs/>
          <w:sz w:val="22"/>
          <w:szCs w:val="22"/>
          <w:lang w:val="lt-LT" w:eastAsia="lt-LT"/>
        </w:rPr>
      </w:pPr>
      <w:r w:rsidRPr="004C27D7">
        <w:rPr>
          <w:b/>
          <w:bCs/>
          <w:sz w:val="22"/>
          <w:szCs w:val="22"/>
          <w:lang w:val="lt-LT" w:eastAsia="lt-LT"/>
        </w:rPr>
        <w:lastRenderedPageBreak/>
        <w:t>Šalutinio poveikio reiškiniai, kurių dažnis nežinomas (negali būti apskaičiuotas pagal turimus duomenis)</w:t>
      </w:r>
      <w:r>
        <w:rPr>
          <w:b/>
          <w:bCs/>
          <w:sz w:val="22"/>
          <w:szCs w:val="22"/>
          <w:lang w:val="lt-LT" w:eastAsia="lt-LT"/>
        </w:rPr>
        <w:t>:</w:t>
      </w:r>
    </w:p>
    <w:p w14:paraId="43FD980A" w14:textId="77777777" w:rsidR="000A4B39" w:rsidRPr="004C27D7" w:rsidRDefault="000A4B39" w:rsidP="000A4B39">
      <w:pPr>
        <w:numPr>
          <w:ilvl w:val="0"/>
          <w:numId w:val="4"/>
        </w:numPr>
        <w:rPr>
          <w:rFonts w:eastAsia="Times New Roman"/>
          <w:noProof w:val="0"/>
          <w:color w:val="000000"/>
          <w:sz w:val="22"/>
          <w:szCs w:val="22"/>
          <w:lang w:val="lt-LT" w:eastAsia="en-US"/>
        </w:rPr>
      </w:pPr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Sunkus sutrikimas, dėl kurio gali padidėti kraujo rūgštingumas (vadinamas </w:t>
      </w:r>
      <w:proofErr w:type="spellStart"/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metaboline</w:t>
      </w:r>
      <w:proofErr w:type="spellEnd"/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</w:t>
      </w:r>
      <w:proofErr w:type="spellStart"/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acidoze</w:t>
      </w:r>
      <w:proofErr w:type="spellEnd"/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) sunkia liga sergantiems pacientams, vartojantiems </w:t>
      </w:r>
      <w:proofErr w:type="spellStart"/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paracetamol</w:t>
      </w:r>
      <w:r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į</w:t>
      </w:r>
      <w:proofErr w:type="spellEnd"/>
      <w:r w:rsidRPr="004C27D7"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 xml:space="preserve"> (žr. 2 skyrių</w:t>
      </w:r>
      <w:r>
        <w:rPr>
          <w:rFonts w:eastAsia="Times New Roman"/>
          <w:noProof w:val="0"/>
          <w:color w:val="000000"/>
          <w:sz w:val="22"/>
          <w:szCs w:val="22"/>
          <w:lang w:val="lt-LT" w:eastAsia="en-US"/>
        </w:rPr>
        <w:t>).</w:t>
      </w:r>
    </w:p>
    <w:p w14:paraId="72BE9BA9" w14:textId="77777777" w:rsidR="000A4B39" w:rsidRPr="00472B9E" w:rsidRDefault="000A4B39" w:rsidP="000A4B39">
      <w:pPr>
        <w:rPr>
          <w:rFonts w:eastAsia="Times New Roman"/>
          <w:noProof w:val="0"/>
          <w:sz w:val="22"/>
          <w:szCs w:val="22"/>
          <w:lang w:val="lt-LT" w:eastAsia="en-US"/>
        </w:rPr>
      </w:pPr>
      <w:r w:rsidRPr="00472B9E">
        <w:rPr>
          <w:rFonts w:eastAsia="Times New Roman"/>
          <w:noProof w:val="0"/>
          <w:sz w:val="22"/>
          <w:szCs w:val="22"/>
          <w:lang w:val="lt-LT" w:eastAsia="en-US"/>
        </w:rPr>
        <w:t xml:space="preserve">Jeigu pasireiškė sunkus šalutinis poveikis arba pastebėjote šiame lapelyje neminėtą šalutinį poveikį, nutraukite </w:t>
      </w:r>
      <w:proofErr w:type="spellStart"/>
      <w:r w:rsidRPr="001702CB">
        <w:rPr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Pharma</w:t>
      </w:r>
      <w:r w:rsidRPr="00472B9E">
        <w:rPr>
          <w:rFonts w:eastAsia="Times New Roman"/>
          <w:noProof w:val="0"/>
          <w:sz w:val="22"/>
          <w:szCs w:val="22"/>
          <w:lang w:val="lt-LT" w:eastAsia="en-US"/>
        </w:rPr>
        <w:t xml:space="preserve"> vartojimą ir pasakykite gydytojui arba vaistininkui.</w:t>
      </w:r>
    </w:p>
    <w:p w14:paraId="15668F0B" w14:textId="77777777" w:rsidR="000A4B39" w:rsidRPr="001702CB" w:rsidRDefault="000A4B39" w:rsidP="000A4B39">
      <w:pPr>
        <w:jc w:val="both"/>
        <w:rPr>
          <w:noProof w:val="0"/>
          <w:sz w:val="22"/>
          <w:szCs w:val="22"/>
          <w:u w:val="single"/>
          <w:lang w:val="lt-LT"/>
        </w:rPr>
      </w:pPr>
    </w:p>
    <w:p w14:paraId="1A8A5B29" w14:textId="77777777" w:rsidR="000A4B39" w:rsidRPr="001702CB" w:rsidRDefault="000A4B39" w:rsidP="000A4B39">
      <w:pPr>
        <w:tabs>
          <w:tab w:val="left" w:pos="567"/>
        </w:tabs>
        <w:rPr>
          <w:b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Pranešimas apie šalutinį poveikį</w:t>
      </w:r>
    </w:p>
    <w:p w14:paraId="48D7F648" w14:textId="77777777" w:rsidR="000A4B39" w:rsidRPr="001702CB" w:rsidRDefault="000A4B39" w:rsidP="000A4B39">
      <w:pPr>
        <w:tabs>
          <w:tab w:val="left" w:pos="567"/>
        </w:tabs>
        <w:ind w:right="-1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Jeigu pasireiškė šalutinis poveikis, įskaitant šiame lapelyje nenurodytą, pasakykite gydytojui arba vaistininkui.</w:t>
      </w:r>
      <w:r>
        <w:rPr>
          <w:sz w:val="22"/>
          <w:szCs w:val="22"/>
          <w:lang w:val="lt-LT"/>
        </w:rPr>
        <w:t xml:space="preserve"> </w:t>
      </w:r>
      <w:r w:rsidRPr="00CD21FD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CD4D64">
        <w:rPr>
          <w:color w:val="0000EE"/>
          <w:sz w:val="22"/>
          <w:u w:val="single"/>
          <w:lang w:val="lt-LT"/>
        </w:rPr>
        <w:t>https://vvkt.</w:t>
      </w:r>
      <w:r w:rsidRPr="00CD21FD">
        <w:rPr>
          <w:color w:val="0000EE"/>
          <w:sz w:val="22"/>
          <w:szCs w:val="22"/>
          <w:u w:val="single"/>
          <w:lang w:val="lt-LT" w:eastAsia="lt-LT"/>
        </w:rPr>
        <w:t>lrv.</w:t>
      </w:r>
      <w:r w:rsidRPr="00CD4D64">
        <w:rPr>
          <w:color w:val="0000EE"/>
          <w:sz w:val="22"/>
          <w:u w:val="single"/>
          <w:lang w:val="lt-LT"/>
        </w:rPr>
        <w:t>lt/</w:t>
      </w:r>
      <w:r w:rsidRPr="00CD21FD">
        <w:rPr>
          <w:color w:val="0000EE"/>
          <w:sz w:val="22"/>
          <w:szCs w:val="22"/>
          <w:u w:val="single"/>
          <w:lang w:val="lt-LT" w:eastAsia="lt-LT"/>
        </w:rPr>
        <w:t>lt/</w:t>
      </w:r>
      <w:r w:rsidRPr="00CD21FD">
        <w:rPr>
          <w:sz w:val="22"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1702CB">
        <w:rPr>
          <w:sz w:val="22"/>
          <w:szCs w:val="22"/>
          <w:lang w:val="lt-LT"/>
        </w:rPr>
        <w:t>.</w:t>
      </w:r>
    </w:p>
    <w:p w14:paraId="200FFF73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20C7A9B5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26C650CF" w14:textId="77777777" w:rsidR="000A4B39" w:rsidRPr="001702CB" w:rsidRDefault="000A4B39" w:rsidP="000A4B39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5.</w:t>
      </w:r>
      <w:r w:rsidRPr="001702CB">
        <w:rPr>
          <w:b/>
          <w:sz w:val="22"/>
          <w:szCs w:val="22"/>
          <w:lang w:val="lt-LT"/>
        </w:rPr>
        <w:tab/>
        <w:t>Kaip laikyti Paracetamol Ingen Pharma</w:t>
      </w:r>
    </w:p>
    <w:p w14:paraId="2116D6B0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0436EE57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Šį vaistą laikykite vaikams nepastebimoje ir nepasiekiamoje vietoje.</w:t>
      </w:r>
    </w:p>
    <w:p w14:paraId="4A622F42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33BBE4E6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Ant dėžutės</w:t>
      </w:r>
      <w:r w:rsidRPr="00F71D6A">
        <w:rPr>
          <w:sz w:val="22"/>
          <w:szCs w:val="22"/>
          <w:lang w:val="lt-LT"/>
        </w:rPr>
        <w:t xml:space="preserve"> </w:t>
      </w:r>
      <w:r w:rsidRPr="001702CB">
        <w:rPr>
          <w:sz w:val="22"/>
          <w:szCs w:val="22"/>
          <w:lang w:val="lt-LT"/>
        </w:rPr>
        <w:t>po „</w:t>
      </w:r>
      <w:r w:rsidRPr="00BE57E7">
        <w:rPr>
          <w:sz w:val="22"/>
          <w:szCs w:val="22"/>
          <w:highlight w:val="lightGray"/>
          <w:lang w:val="lt-LT"/>
        </w:rPr>
        <w:t>Tinka iki/</w:t>
      </w:r>
      <w:r w:rsidRPr="001702CB">
        <w:rPr>
          <w:sz w:val="22"/>
          <w:szCs w:val="22"/>
          <w:lang w:val="lt-LT"/>
        </w:rPr>
        <w:t>EXP“ ir lizdinės plokštelės nurodytam tinkamumo laikui pasibaigus, šio vaisto vartoti negalima. Vaistas tinkamas vartoti iki paskutinės nurodyto mėnesio dienos.</w:t>
      </w:r>
    </w:p>
    <w:p w14:paraId="4A4910F0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701BA8AB" w14:textId="77777777" w:rsidR="000A4B39" w:rsidRPr="001702CB" w:rsidRDefault="000A4B39" w:rsidP="000A4B39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1702CB">
        <w:rPr>
          <w:sz w:val="22"/>
          <w:szCs w:val="22"/>
          <w:lang w:val="lt-LT" w:eastAsia="en-US"/>
        </w:rPr>
        <w:t>Šiam vaistui specialių laikymo sąlygų nereikia.</w:t>
      </w:r>
    </w:p>
    <w:p w14:paraId="70228E05" w14:textId="77777777" w:rsidR="000A4B39" w:rsidRPr="001702CB" w:rsidRDefault="000A4B39" w:rsidP="000A4B39">
      <w:pPr>
        <w:tabs>
          <w:tab w:val="left" w:pos="567"/>
        </w:tabs>
        <w:rPr>
          <w:sz w:val="22"/>
          <w:szCs w:val="22"/>
          <w:lang w:val="lt-LT" w:eastAsia="en-US"/>
        </w:rPr>
      </w:pPr>
    </w:p>
    <w:p w14:paraId="78AF5737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i/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9B1CD7E" w14:textId="77777777" w:rsidR="000A4B39" w:rsidRPr="001702CB" w:rsidRDefault="000A4B39" w:rsidP="000A4B39">
      <w:pPr>
        <w:jc w:val="both"/>
        <w:rPr>
          <w:b/>
          <w:caps/>
          <w:noProof w:val="0"/>
          <w:sz w:val="22"/>
          <w:szCs w:val="22"/>
          <w:lang w:val="lt-LT"/>
        </w:rPr>
      </w:pPr>
    </w:p>
    <w:p w14:paraId="352545FF" w14:textId="77777777" w:rsidR="000A4B39" w:rsidRPr="001702CB" w:rsidRDefault="000A4B39" w:rsidP="000A4B39">
      <w:pPr>
        <w:jc w:val="both"/>
        <w:rPr>
          <w:b/>
          <w:caps/>
          <w:noProof w:val="0"/>
          <w:sz w:val="22"/>
          <w:szCs w:val="22"/>
          <w:lang w:val="lt-LT"/>
        </w:rPr>
      </w:pPr>
    </w:p>
    <w:p w14:paraId="71FB1EC7" w14:textId="77777777" w:rsidR="000A4B39" w:rsidRPr="001702CB" w:rsidRDefault="000A4B39" w:rsidP="000A4B39">
      <w:pPr>
        <w:keepNext/>
        <w:keepLines/>
        <w:tabs>
          <w:tab w:val="left" w:pos="567"/>
        </w:tabs>
        <w:outlineLvl w:val="2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6.</w:t>
      </w:r>
      <w:r w:rsidRPr="001702CB">
        <w:rPr>
          <w:sz w:val="22"/>
          <w:szCs w:val="22"/>
          <w:lang w:val="lt-LT"/>
        </w:rPr>
        <w:tab/>
      </w:r>
      <w:r w:rsidRPr="001702CB">
        <w:rPr>
          <w:b/>
          <w:sz w:val="22"/>
          <w:szCs w:val="22"/>
          <w:lang w:val="lt-LT"/>
        </w:rPr>
        <w:t>Pakuotės turinys ir kita informacija</w:t>
      </w:r>
    </w:p>
    <w:p w14:paraId="49D89BA6" w14:textId="77777777" w:rsidR="000A4B39" w:rsidRPr="001702CB" w:rsidRDefault="000A4B39" w:rsidP="000A4B39">
      <w:pPr>
        <w:keepNext/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15D803C0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Paracetamol Ingen Pharma sudėtis</w:t>
      </w:r>
    </w:p>
    <w:p w14:paraId="1B14AB6D" w14:textId="77777777" w:rsidR="000A4B39" w:rsidRPr="001702CB" w:rsidRDefault="000A4B39" w:rsidP="000A4B39">
      <w:pPr>
        <w:numPr>
          <w:ilvl w:val="0"/>
          <w:numId w:val="2"/>
        </w:numPr>
        <w:ind w:left="567" w:hanging="567"/>
        <w:rPr>
          <w:noProof w:val="0"/>
          <w:sz w:val="22"/>
          <w:szCs w:val="22"/>
          <w:lang w:val="lt-LT"/>
        </w:rPr>
      </w:pPr>
      <w:r w:rsidRPr="001702CB">
        <w:rPr>
          <w:noProof w:val="0"/>
          <w:sz w:val="22"/>
          <w:szCs w:val="22"/>
          <w:lang w:val="lt-LT"/>
        </w:rPr>
        <w:t xml:space="preserve">Veiklioji medžiaga yra </w:t>
      </w:r>
      <w:proofErr w:type="spellStart"/>
      <w:r w:rsidRPr="001702CB">
        <w:rPr>
          <w:noProof w:val="0"/>
          <w:sz w:val="22"/>
          <w:szCs w:val="22"/>
          <w:lang w:val="lt-LT"/>
        </w:rPr>
        <w:t>paracetamolis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. Kiekvienoje tabletėje yra 500 mg </w:t>
      </w:r>
      <w:proofErr w:type="spellStart"/>
      <w:r w:rsidRPr="001702CB">
        <w:rPr>
          <w:noProof w:val="0"/>
          <w:sz w:val="22"/>
          <w:szCs w:val="22"/>
          <w:lang w:val="lt-LT"/>
        </w:rPr>
        <w:t>paracetamolio</w:t>
      </w:r>
      <w:proofErr w:type="spellEnd"/>
      <w:r w:rsidRPr="001702CB">
        <w:rPr>
          <w:noProof w:val="0"/>
          <w:sz w:val="22"/>
          <w:szCs w:val="22"/>
          <w:lang w:val="lt-LT"/>
        </w:rPr>
        <w:t>.</w:t>
      </w:r>
    </w:p>
    <w:p w14:paraId="030143CD" w14:textId="77777777" w:rsidR="000A4B39" w:rsidRPr="001702CB" w:rsidRDefault="000A4B39" w:rsidP="000A4B39">
      <w:pPr>
        <w:numPr>
          <w:ilvl w:val="0"/>
          <w:numId w:val="2"/>
        </w:numPr>
        <w:ind w:left="567" w:hanging="567"/>
        <w:rPr>
          <w:noProof w:val="0"/>
          <w:sz w:val="22"/>
          <w:szCs w:val="22"/>
          <w:lang w:val="lt-LT"/>
        </w:rPr>
      </w:pPr>
      <w:r w:rsidRPr="001702CB">
        <w:rPr>
          <w:noProof w:val="0"/>
          <w:sz w:val="22"/>
          <w:szCs w:val="22"/>
          <w:lang w:val="lt-LT"/>
        </w:rPr>
        <w:t xml:space="preserve">Pagalbinės medžiagos yra </w:t>
      </w:r>
      <w:proofErr w:type="spellStart"/>
      <w:r w:rsidRPr="001702CB">
        <w:rPr>
          <w:noProof w:val="0"/>
          <w:sz w:val="22"/>
          <w:szCs w:val="22"/>
          <w:lang w:val="lt-LT"/>
        </w:rPr>
        <w:t>pregelifikuotas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kukurūzų krakmolas, magnio </w:t>
      </w:r>
      <w:proofErr w:type="spellStart"/>
      <w:r w:rsidRPr="001702CB">
        <w:rPr>
          <w:noProof w:val="0"/>
          <w:sz w:val="22"/>
          <w:szCs w:val="22"/>
          <w:lang w:val="lt-LT"/>
        </w:rPr>
        <w:t>stearatas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(E572).</w:t>
      </w:r>
    </w:p>
    <w:p w14:paraId="6292C2B9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noProof w:val="0"/>
          <w:sz w:val="22"/>
          <w:szCs w:val="22"/>
          <w:lang w:val="lt-LT"/>
        </w:rPr>
      </w:pPr>
    </w:p>
    <w:p w14:paraId="33451657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Paracetamol Ingen Pharma išvaizda ir kiekis pakuotėje</w:t>
      </w:r>
    </w:p>
    <w:p w14:paraId="7C76DDFF" w14:textId="77777777" w:rsidR="000A4B39" w:rsidRPr="001702CB" w:rsidRDefault="000A4B39" w:rsidP="000A4B39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1702CB">
        <w:rPr>
          <w:noProof w:val="0"/>
          <w:sz w:val="22"/>
          <w:szCs w:val="22"/>
          <w:lang w:val="lt-LT"/>
        </w:rPr>
        <w:t>Baltos ar beveik baltos kapsulės formos tabletės 16,5 mm x 8,25</w:t>
      </w:r>
      <w:r>
        <w:rPr>
          <w:noProof w:val="0"/>
          <w:sz w:val="22"/>
          <w:szCs w:val="22"/>
          <w:lang w:val="lt-LT"/>
        </w:rPr>
        <w:t> </w:t>
      </w:r>
      <w:r w:rsidRPr="001702CB">
        <w:rPr>
          <w:noProof w:val="0"/>
          <w:sz w:val="22"/>
          <w:szCs w:val="22"/>
          <w:lang w:val="lt-LT"/>
        </w:rPr>
        <w:t>mm dydžio, su vagele vienoje pusėje, o kita pusė lygi. Tabletę galima padalyti į dvi lygias dozes.</w:t>
      </w:r>
    </w:p>
    <w:p w14:paraId="772F6A08" w14:textId="77777777" w:rsidR="000A4B39" w:rsidRPr="001702CB" w:rsidRDefault="000A4B39" w:rsidP="000A4B39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</w:p>
    <w:p w14:paraId="7103B269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1702CB">
        <w:rPr>
          <w:noProof w:val="0"/>
          <w:sz w:val="22"/>
          <w:szCs w:val="22"/>
          <w:lang w:val="lt-LT"/>
        </w:rPr>
        <w:t>Paracetamol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/>
        </w:rPr>
        <w:t>Ingen</w:t>
      </w:r>
      <w:proofErr w:type="spellEnd"/>
      <w:r w:rsidRPr="001702CB">
        <w:rPr>
          <w:noProof w:val="0"/>
          <w:sz w:val="22"/>
          <w:szCs w:val="22"/>
          <w:lang w:val="lt-LT"/>
        </w:rPr>
        <w:t xml:space="preserve"> Pharma yra supakuotas PVC/Aliuminio lizdinėse plokštelėse.</w:t>
      </w:r>
    </w:p>
    <w:p w14:paraId="35E04993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  <w:r w:rsidRPr="001702CB">
        <w:rPr>
          <w:noProof w:val="0"/>
          <w:sz w:val="22"/>
          <w:szCs w:val="22"/>
          <w:lang w:val="lt-LT"/>
        </w:rPr>
        <w:t>Kartono dėžutėje yra 10, 20 arba 30 tablečių.</w:t>
      </w:r>
    </w:p>
    <w:p w14:paraId="787367BD" w14:textId="77777777" w:rsidR="000A4B39" w:rsidRPr="001702CB" w:rsidRDefault="000A4B39" w:rsidP="000A4B39">
      <w:pPr>
        <w:jc w:val="both"/>
        <w:rPr>
          <w:bCs/>
          <w:noProof w:val="0"/>
          <w:sz w:val="22"/>
          <w:szCs w:val="22"/>
          <w:lang w:val="lt-LT"/>
        </w:rPr>
      </w:pPr>
    </w:p>
    <w:p w14:paraId="7E5FA79B" w14:textId="77777777" w:rsidR="000A4B39" w:rsidRPr="001702CB" w:rsidRDefault="000A4B39" w:rsidP="000A4B39">
      <w:pPr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Gali būti tiekiamos ne visų dydžių pakuotės.</w:t>
      </w:r>
    </w:p>
    <w:p w14:paraId="36ADDF84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4764AEAF" w14:textId="77777777" w:rsidR="000A4B39" w:rsidRPr="001702CB" w:rsidRDefault="000A4B39" w:rsidP="000A4B39">
      <w:pPr>
        <w:keepNext/>
        <w:tabs>
          <w:tab w:val="left" w:pos="567"/>
        </w:tabs>
        <w:jc w:val="both"/>
        <w:outlineLvl w:val="3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Registruotojas ir gamintojas</w:t>
      </w:r>
    </w:p>
    <w:p w14:paraId="7C8E4058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784768D3" w14:textId="77777777" w:rsidR="000A4B39" w:rsidRPr="001702CB" w:rsidRDefault="000A4B39" w:rsidP="000A4B39">
      <w:pPr>
        <w:rPr>
          <w:i/>
          <w:iCs/>
          <w:sz w:val="22"/>
          <w:szCs w:val="22"/>
          <w:lang w:val="lt-LT"/>
        </w:rPr>
      </w:pPr>
      <w:r w:rsidRPr="001702CB">
        <w:rPr>
          <w:i/>
          <w:iCs/>
          <w:sz w:val="22"/>
          <w:szCs w:val="22"/>
          <w:lang w:val="lt-LT"/>
        </w:rPr>
        <w:t>Registruotojas</w:t>
      </w:r>
    </w:p>
    <w:p w14:paraId="668D6667" w14:textId="77777777" w:rsidR="000A4B39" w:rsidRPr="001702CB" w:rsidRDefault="000A4B39" w:rsidP="000A4B39">
      <w:pPr>
        <w:rPr>
          <w:rFonts w:eastAsia="Times New Roman"/>
          <w:sz w:val="22"/>
          <w:szCs w:val="22"/>
          <w:lang w:val="lt-LT"/>
        </w:rPr>
      </w:pPr>
      <w:bookmarkStart w:id="1" w:name="_Hlk196748261"/>
      <w:r w:rsidRPr="001702CB">
        <w:rPr>
          <w:rFonts w:eastAsia="Times New Roman"/>
          <w:sz w:val="22"/>
          <w:szCs w:val="22"/>
          <w:lang w:val="lt-LT"/>
        </w:rPr>
        <w:t>SIA Ingen Pharma</w:t>
      </w:r>
    </w:p>
    <w:p w14:paraId="599E7215" w14:textId="77777777" w:rsidR="000A4B39" w:rsidRPr="001702CB" w:rsidRDefault="000A4B39" w:rsidP="000A4B39">
      <w:pPr>
        <w:rPr>
          <w:rFonts w:eastAsia="Times New Roman"/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t>Kārļa Ulmaņa gatve 119, Mārupe</w:t>
      </w:r>
    </w:p>
    <w:p w14:paraId="2E8B625A" w14:textId="77777777" w:rsidR="000A4B39" w:rsidRPr="001702CB" w:rsidRDefault="000A4B39" w:rsidP="000A4B39">
      <w:pPr>
        <w:rPr>
          <w:rFonts w:eastAsia="Times New Roman"/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t>LV-2167, Rīga</w:t>
      </w:r>
    </w:p>
    <w:p w14:paraId="3448DE8D" w14:textId="77777777" w:rsidR="000A4B39" w:rsidRPr="001702CB" w:rsidRDefault="000A4B39" w:rsidP="000A4B39">
      <w:pPr>
        <w:rPr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t>Latvija</w:t>
      </w:r>
    </w:p>
    <w:bookmarkEnd w:id="1"/>
    <w:p w14:paraId="6A8EA87A" w14:textId="77777777" w:rsidR="000A4B39" w:rsidRPr="001702CB" w:rsidRDefault="000A4B39" w:rsidP="000A4B39">
      <w:pPr>
        <w:rPr>
          <w:sz w:val="22"/>
          <w:szCs w:val="22"/>
          <w:lang w:val="lt-LT"/>
        </w:rPr>
      </w:pPr>
    </w:p>
    <w:p w14:paraId="7DE247AD" w14:textId="77777777" w:rsidR="000A4B39" w:rsidRPr="001702CB" w:rsidRDefault="000A4B39" w:rsidP="000A4B39">
      <w:pPr>
        <w:numPr>
          <w:ilvl w:val="12"/>
          <w:numId w:val="0"/>
        </w:numPr>
        <w:ind w:right="-2"/>
        <w:rPr>
          <w:i/>
          <w:iCs/>
          <w:sz w:val="22"/>
          <w:szCs w:val="22"/>
          <w:lang w:val="lt-LT"/>
        </w:rPr>
      </w:pPr>
      <w:r w:rsidRPr="001702CB">
        <w:rPr>
          <w:i/>
          <w:iCs/>
          <w:sz w:val="22"/>
          <w:szCs w:val="22"/>
          <w:lang w:val="lt-LT"/>
        </w:rPr>
        <w:t>Gamintojas</w:t>
      </w:r>
    </w:p>
    <w:p w14:paraId="6CE4C59C" w14:textId="77777777" w:rsidR="000A4B39" w:rsidRPr="001702CB" w:rsidRDefault="000A4B39" w:rsidP="000A4B39">
      <w:pPr>
        <w:autoSpaceDE w:val="0"/>
        <w:autoSpaceDN w:val="0"/>
        <w:adjustRightInd w:val="0"/>
        <w:rPr>
          <w:noProof w:val="0"/>
          <w:sz w:val="22"/>
          <w:szCs w:val="22"/>
          <w:lang w:val="lt-LT" w:eastAsia="lt-LT"/>
        </w:rPr>
      </w:pPr>
      <w:r w:rsidRPr="001702CB">
        <w:rPr>
          <w:noProof w:val="0"/>
          <w:sz w:val="22"/>
          <w:szCs w:val="22"/>
          <w:lang w:val="lt-LT" w:eastAsia="lt-LT"/>
        </w:rPr>
        <w:t>INTERPHARMA SERVICES Ltd.</w:t>
      </w:r>
    </w:p>
    <w:p w14:paraId="1F7DE4FD" w14:textId="77777777" w:rsidR="000A4B39" w:rsidRPr="001702CB" w:rsidRDefault="000A4B39" w:rsidP="000A4B39">
      <w:pPr>
        <w:tabs>
          <w:tab w:val="left" w:pos="567"/>
        </w:tabs>
        <w:rPr>
          <w:noProof w:val="0"/>
          <w:sz w:val="22"/>
          <w:szCs w:val="22"/>
          <w:lang w:val="lt-LT" w:eastAsia="lt-LT"/>
        </w:rPr>
      </w:pPr>
      <w:r w:rsidRPr="001702CB">
        <w:rPr>
          <w:noProof w:val="0"/>
          <w:sz w:val="22"/>
          <w:szCs w:val="22"/>
          <w:lang w:val="lt-LT" w:eastAsia="lt-LT"/>
        </w:rPr>
        <w:t xml:space="preserve">43A, </w:t>
      </w:r>
      <w:proofErr w:type="spellStart"/>
      <w:r w:rsidRPr="001702CB">
        <w:rPr>
          <w:noProof w:val="0"/>
          <w:sz w:val="22"/>
          <w:szCs w:val="22"/>
          <w:lang w:val="lt-LT" w:eastAsia="lt-LT"/>
        </w:rPr>
        <w:t>Cherni</w:t>
      </w:r>
      <w:proofErr w:type="spellEnd"/>
      <w:r w:rsidRPr="001702CB">
        <w:rPr>
          <w:noProof w:val="0"/>
          <w:sz w:val="22"/>
          <w:szCs w:val="22"/>
          <w:lang w:val="lt-LT" w:eastAsia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 w:eastAsia="lt-LT"/>
        </w:rPr>
        <w:t>Vrach</w:t>
      </w:r>
      <w:proofErr w:type="spellEnd"/>
      <w:r w:rsidRPr="001702CB">
        <w:rPr>
          <w:noProof w:val="0"/>
          <w:sz w:val="22"/>
          <w:szCs w:val="22"/>
          <w:lang w:val="lt-LT" w:eastAsia="lt-LT"/>
        </w:rPr>
        <w:t xml:space="preserve"> </w:t>
      </w:r>
      <w:proofErr w:type="spellStart"/>
      <w:r w:rsidRPr="001702CB">
        <w:rPr>
          <w:noProof w:val="0"/>
          <w:sz w:val="22"/>
          <w:szCs w:val="22"/>
          <w:lang w:val="lt-LT" w:eastAsia="lt-LT"/>
        </w:rPr>
        <w:t>Blyd</w:t>
      </w:r>
      <w:proofErr w:type="spellEnd"/>
      <w:r w:rsidRPr="001702CB">
        <w:rPr>
          <w:noProof w:val="0"/>
          <w:sz w:val="22"/>
          <w:szCs w:val="22"/>
          <w:lang w:val="lt-LT" w:eastAsia="lt-LT"/>
        </w:rPr>
        <w:t>.</w:t>
      </w:r>
    </w:p>
    <w:p w14:paraId="3BC6865E" w14:textId="77777777" w:rsidR="000A4B39" w:rsidRPr="001702CB" w:rsidRDefault="000A4B39" w:rsidP="000A4B39">
      <w:pPr>
        <w:tabs>
          <w:tab w:val="left" w:pos="567"/>
        </w:tabs>
        <w:rPr>
          <w:noProof w:val="0"/>
          <w:sz w:val="22"/>
          <w:szCs w:val="22"/>
          <w:lang w:val="lt-LT" w:eastAsia="lt-LT"/>
        </w:rPr>
      </w:pPr>
      <w:r w:rsidRPr="001702CB">
        <w:rPr>
          <w:noProof w:val="0"/>
          <w:sz w:val="22"/>
          <w:szCs w:val="22"/>
          <w:lang w:val="lt-LT" w:eastAsia="lt-LT"/>
        </w:rPr>
        <w:t>Sofija, 1407</w:t>
      </w:r>
    </w:p>
    <w:p w14:paraId="4A1D906D" w14:textId="77777777" w:rsidR="000A4B39" w:rsidRPr="001702CB" w:rsidRDefault="000A4B39" w:rsidP="000A4B39">
      <w:pPr>
        <w:tabs>
          <w:tab w:val="left" w:pos="567"/>
        </w:tabs>
        <w:rPr>
          <w:sz w:val="22"/>
          <w:szCs w:val="22"/>
          <w:lang w:val="lt-LT"/>
        </w:rPr>
      </w:pPr>
      <w:r w:rsidRPr="001702CB">
        <w:rPr>
          <w:noProof w:val="0"/>
          <w:sz w:val="22"/>
          <w:szCs w:val="22"/>
          <w:lang w:val="lt-LT" w:eastAsia="lt-LT"/>
        </w:rPr>
        <w:t>Bulgarija</w:t>
      </w:r>
    </w:p>
    <w:p w14:paraId="6B3A7BFD" w14:textId="77777777" w:rsidR="000A4B39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3DB3834F" w14:textId="77777777" w:rsidR="000A4B39" w:rsidRPr="001702CB" w:rsidRDefault="000A4B39" w:rsidP="000A4B39">
      <w:pPr>
        <w:rPr>
          <w:rFonts w:eastAsia="Times New Roman"/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lastRenderedPageBreak/>
        <w:t>SIA Ingen Pharma</w:t>
      </w:r>
    </w:p>
    <w:p w14:paraId="2AC144D8" w14:textId="77777777" w:rsidR="000A4B39" w:rsidRPr="001702CB" w:rsidRDefault="000A4B39" w:rsidP="000A4B39">
      <w:pPr>
        <w:rPr>
          <w:rFonts w:eastAsia="Times New Roman"/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t>Kārļa Ulmaņa gatve 119, Mārupe</w:t>
      </w:r>
    </w:p>
    <w:p w14:paraId="537ACF76" w14:textId="77777777" w:rsidR="000A4B39" w:rsidRPr="001702CB" w:rsidRDefault="000A4B39" w:rsidP="000A4B39">
      <w:pPr>
        <w:rPr>
          <w:rFonts w:eastAsia="Times New Roman"/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t>LV-2167, Rīga</w:t>
      </w:r>
    </w:p>
    <w:p w14:paraId="2975B62A" w14:textId="77777777" w:rsidR="000A4B39" w:rsidRPr="001702CB" w:rsidRDefault="000A4B39" w:rsidP="000A4B39">
      <w:pPr>
        <w:rPr>
          <w:sz w:val="22"/>
          <w:szCs w:val="22"/>
          <w:lang w:val="lt-LT"/>
        </w:rPr>
      </w:pPr>
      <w:r w:rsidRPr="001702CB">
        <w:rPr>
          <w:rFonts w:eastAsia="Times New Roman"/>
          <w:sz w:val="22"/>
          <w:szCs w:val="22"/>
          <w:lang w:val="lt-LT"/>
        </w:rPr>
        <w:t>Latvija</w:t>
      </w:r>
    </w:p>
    <w:p w14:paraId="23DA29FF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0389F315" w14:textId="77777777" w:rsidR="000A4B39" w:rsidRPr="001702CB" w:rsidRDefault="000A4B39" w:rsidP="000A4B39">
      <w:pPr>
        <w:autoSpaceDE w:val="0"/>
        <w:autoSpaceDN w:val="0"/>
        <w:adjustRightInd w:val="0"/>
        <w:rPr>
          <w:rFonts w:eastAsia="Times New Roman"/>
          <w:sz w:val="22"/>
          <w:szCs w:val="22"/>
          <w:lang w:val="lt-LT" w:eastAsia="lt-LT"/>
        </w:rPr>
      </w:pPr>
      <w:r w:rsidRPr="001702CB">
        <w:rPr>
          <w:rFonts w:eastAsia="Times New Roman"/>
          <w:sz w:val="22"/>
          <w:szCs w:val="22"/>
          <w:lang w:val="lt-LT" w:eastAsia="lt-LT"/>
        </w:rPr>
        <w:t>Jeigu apie šį vaistą norite sužinoti daugiau, kreipkitės į registruotoją.</w:t>
      </w:r>
    </w:p>
    <w:p w14:paraId="5E3F1F21" w14:textId="77777777" w:rsidR="000A4B39" w:rsidRPr="001702CB" w:rsidRDefault="000A4B39" w:rsidP="000A4B39">
      <w:pPr>
        <w:autoSpaceDE w:val="0"/>
        <w:autoSpaceDN w:val="0"/>
        <w:adjustRightInd w:val="0"/>
        <w:rPr>
          <w:rFonts w:eastAsia="Times New Roman"/>
          <w:sz w:val="22"/>
          <w:szCs w:val="22"/>
          <w:lang w:val="lt-LT" w:eastAsia="lt-LT"/>
        </w:rPr>
      </w:pPr>
    </w:p>
    <w:p w14:paraId="369A1F2A" w14:textId="77777777" w:rsidR="000A4B39" w:rsidRPr="001702CB" w:rsidRDefault="000A4B39" w:rsidP="000A4B39">
      <w:pPr>
        <w:jc w:val="both"/>
        <w:rPr>
          <w:sz w:val="22"/>
          <w:szCs w:val="22"/>
          <w:lang w:val="lt-LT"/>
        </w:rPr>
      </w:pPr>
      <w:r w:rsidRPr="001702CB">
        <w:rPr>
          <w:b/>
          <w:sz w:val="22"/>
          <w:szCs w:val="22"/>
          <w:lang w:val="lt-LT"/>
        </w:rPr>
        <w:t>Šis pakuotės lapelis paskutinį kartą peržiūrėtas</w:t>
      </w:r>
      <w:r>
        <w:rPr>
          <w:b/>
          <w:sz w:val="22"/>
          <w:szCs w:val="22"/>
          <w:lang w:val="lt-LT"/>
        </w:rPr>
        <w:t xml:space="preserve"> 2025-05-21.</w:t>
      </w:r>
    </w:p>
    <w:p w14:paraId="51AA507E" w14:textId="77777777" w:rsidR="000A4B39" w:rsidRPr="001702CB" w:rsidRDefault="000A4B39" w:rsidP="000A4B39">
      <w:pPr>
        <w:jc w:val="both"/>
        <w:rPr>
          <w:sz w:val="22"/>
          <w:szCs w:val="22"/>
          <w:lang w:val="lt-LT"/>
        </w:rPr>
      </w:pPr>
    </w:p>
    <w:p w14:paraId="0DDEE17F" w14:textId="77777777" w:rsidR="000A4B39" w:rsidRPr="001702CB" w:rsidRDefault="000A4B39" w:rsidP="000A4B39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</w:p>
    <w:p w14:paraId="3A7D71F2" w14:textId="77777777" w:rsidR="000A4B39" w:rsidRPr="001702CB" w:rsidRDefault="000A4B39" w:rsidP="000A4B39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  <w:r w:rsidRPr="001702C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CD4D64">
        <w:rPr>
          <w:color w:val="0000EE"/>
          <w:sz w:val="22"/>
          <w:u w:val="single"/>
          <w:lang w:val="lt-LT"/>
        </w:rPr>
        <w:t xml:space="preserve"> </w:t>
      </w:r>
      <w:r w:rsidRPr="00DC301B">
        <w:rPr>
          <w:color w:val="0000EE"/>
          <w:sz w:val="22"/>
          <w:szCs w:val="22"/>
          <w:u w:val="single"/>
          <w:lang w:val="lt-LT" w:eastAsia="lt-LT"/>
        </w:rPr>
        <w:t>https://vvkt.lrv.lt/lt</w:t>
      </w:r>
      <w:r w:rsidRPr="001702CB">
        <w:rPr>
          <w:sz w:val="22"/>
          <w:szCs w:val="22"/>
          <w:lang w:val="lt-LT"/>
        </w:rPr>
        <w:t>.</w:t>
      </w:r>
    </w:p>
    <w:p w14:paraId="79891C37" w14:textId="77777777" w:rsidR="000A4B39" w:rsidRPr="001702CB" w:rsidRDefault="000A4B39" w:rsidP="000A4B39">
      <w:pPr>
        <w:jc w:val="both"/>
        <w:rPr>
          <w:noProof w:val="0"/>
          <w:sz w:val="22"/>
          <w:szCs w:val="22"/>
          <w:lang w:val="lt-LT"/>
        </w:rPr>
      </w:pPr>
    </w:p>
    <w:p w14:paraId="573A9244" w14:textId="77777777" w:rsidR="00222FED" w:rsidRDefault="00222FED"/>
    <w:sectPr w:rsidR="00222FED" w:rsidSect="000A4B39">
      <w:headerReference w:type="default" r:id="rId5"/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1209" w14:textId="77777777" w:rsidR="000A4B39" w:rsidRDefault="000A4B39" w:rsidP="00F9656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12</w:t>
    </w:r>
    <w:r>
      <w:rPr>
        <w:rStyle w:val="Puslapionumeris"/>
      </w:rPr>
      <w:fldChar w:fldCharType="end"/>
    </w:r>
  </w:p>
  <w:p w14:paraId="5440A7AE" w14:textId="77777777" w:rsidR="000A4B39" w:rsidRDefault="000A4B39">
    <w:pPr>
      <w:pStyle w:val="Porat"/>
    </w:pPr>
  </w:p>
  <w:p w14:paraId="4F6D91D5" w14:textId="77777777" w:rsidR="000A4B39" w:rsidRDefault="000A4B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3329" w14:textId="77777777" w:rsidR="000A4B39" w:rsidRDefault="000A4B39" w:rsidP="004D2149">
    <w:pPr>
      <w:pStyle w:val="Porat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58E0" w14:textId="77777777" w:rsidR="000A4B39" w:rsidRDefault="000A4B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6E6"/>
    <w:multiLevelType w:val="hybridMultilevel"/>
    <w:tmpl w:val="0A3047EA"/>
    <w:lvl w:ilvl="0" w:tplc="54C6C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1612"/>
    <w:multiLevelType w:val="hybridMultilevel"/>
    <w:tmpl w:val="D6C01C5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D737C"/>
    <w:multiLevelType w:val="hybridMultilevel"/>
    <w:tmpl w:val="4B76646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00F6"/>
    <w:multiLevelType w:val="hybridMultilevel"/>
    <w:tmpl w:val="19DC6CFE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B7788"/>
    <w:multiLevelType w:val="hybridMultilevel"/>
    <w:tmpl w:val="ED2692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261412">
    <w:abstractNumId w:val="0"/>
  </w:num>
  <w:num w:numId="2" w16cid:durableId="241529122">
    <w:abstractNumId w:val="3"/>
  </w:num>
  <w:num w:numId="3" w16cid:durableId="337780963">
    <w:abstractNumId w:val="1"/>
  </w:num>
  <w:num w:numId="4" w16cid:durableId="18120038">
    <w:abstractNumId w:val="4"/>
  </w:num>
  <w:num w:numId="5" w16cid:durableId="6981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39"/>
    <w:rsid w:val="000A4B39"/>
    <w:rsid w:val="00222FED"/>
    <w:rsid w:val="00340BFF"/>
    <w:rsid w:val="005F173E"/>
    <w:rsid w:val="008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B88"/>
  <w15:chartTrackingRefBased/>
  <w15:docId w15:val="{C527172D-CA38-463F-875B-5D534EBB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B39"/>
    <w:pPr>
      <w:spacing w:after="0" w:line="240" w:lineRule="auto"/>
    </w:pPr>
    <w:rPr>
      <w:rFonts w:ascii="Times New Roman" w:eastAsia="SimSun" w:hAnsi="Times New Roman" w:cs="Times New Roman"/>
      <w:noProof/>
      <w:kern w:val="0"/>
      <w:lang w:val="en-US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4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4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4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4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4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4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4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4B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4B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4B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4B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4B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4B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4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4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4B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4B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4B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4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4B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4B3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0A4B39"/>
    <w:pPr>
      <w:widowControl w:val="0"/>
      <w:snapToGrid w:val="0"/>
    </w:pPr>
    <w:rPr>
      <w:rFonts w:eastAsia="Times New Roman"/>
      <w:noProof w:val="0"/>
      <w:color w:val="000000"/>
      <w:szCs w:val="20"/>
      <w:lang w:val="cs-CZ" w:eastAsia="cs-CZ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4B39"/>
    <w:rPr>
      <w:rFonts w:ascii="Times New Roman" w:eastAsia="Times New Roman" w:hAnsi="Times New Roman" w:cs="Times New Roman"/>
      <w:color w:val="000000"/>
      <w:kern w:val="0"/>
      <w:szCs w:val="20"/>
      <w:lang w:val="cs-CZ" w:eastAsia="cs-CZ"/>
      <w14:ligatures w14:val="none"/>
    </w:rPr>
  </w:style>
  <w:style w:type="paragraph" w:styleId="Antrats">
    <w:name w:val="header"/>
    <w:basedOn w:val="prastasis"/>
    <w:link w:val="AntratsDiagrama"/>
    <w:rsid w:val="000A4B39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rsid w:val="000A4B39"/>
    <w:rPr>
      <w:rFonts w:ascii="Times New Roman" w:eastAsia="SimSun" w:hAnsi="Times New Roman" w:cs="Times New Roman"/>
      <w:noProof/>
      <w:kern w:val="0"/>
      <w:lang w:val="en-US" w:eastAsia="zh-CN"/>
      <w14:ligatures w14:val="none"/>
    </w:rPr>
  </w:style>
  <w:style w:type="paragraph" w:styleId="Porat">
    <w:name w:val="footer"/>
    <w:basedOn w:val="prastasis"/>
    <w:link w:val="PoratDiagrama"/>
    <w:uiPriority w:val="99"/>
    <w:rsid w:val="000A4B39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4B39"/>
    <w:rPr>
      <w:rFonts w:ascii="Times New Roman" w:eastAsia="SimSun" w:hAnsi="Times New Roman" w:cs="Times New Roman"/>
      <w:noProof/>
      <w:kern w:val="0"/>
      <w:lang w:val="en-US" w:eastAsia="zh-CN"/>
      <w14:ligatures w14:val="none"/>
    </w:rPr>
  </w:style>
  <w:style w:type="character" w:styleId="Puslapionumeris">
    <w:name w:val="page number"/>
    <w:basedOn w:val="Numatytasispastraiposriftas"/>
    <w:rsid w:val="000A4B39"/>
  </w:style>
  <w:style w:type="paragraph" w:customStyle="1" w:styleId="Spalvotassraas1parykinimas1">
    <w:name w:val="Spalvotas sąrašas – 1 paryškinimas1"/>
    <w:basedOn w:val="prastasis"/>
    <w:uiPriority w:val="34"/>
    <w:qFormat/>
    <w:rsid w:val="000A4B39"/>
    <w:pPr>
      <w:ind w:left="720"/>
      <w:contextualSpacing/>
    </w:pPr>
    <w:rPr>
      <w:rFonts w:eastAsia="Times New Roman"/>
      <w:noProof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6666</Words>
  <Characters>3801</Characters>
  <Application>Microsoft Office Word</Application>
  <DocSecurity>0</DocSecurity>
  <Lines>31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2025-07-28T12:07:00Z</dcterms:created>
  <dcterms:modified xsi:type="dcterms:W3CDTF">2025-07-28T12:08:00Z</dcterms:modified>
</cp:coreProperties>
</file>