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6BE0" w14:textId="2D19052C" w:rsidR="00DE01F8" w:rsidRPr="00220850" w:rsidRDefault="00DE01F8">
      <w:pPr>
        <w:tabs>
          <w:tab w:val="left" w:pos="4962"/>
        </w:tabs>
        <w:rPr>
          <w:rFonts w:eastAsia="SimSun"/>
        </w:rPr>
      </w:pPr>
    </w:p>
    <w:p w14:paraId="56FE4C03" w14:textId="77777777" w:rsidR="00DE01F8" w:rsidRPr="00220850" w:rsidRDefault="00DE01F8">
      <w:pPr>
        <w:tabs>
          <w:tab w:val="left" w:pos="-1440"/>
          <w:tab w:val="left" w:pos="-720"/>
          <w:tab w:val="left" w:pos="567"/>
        </w:tabs>
        <w:spacing w:line="260" w:lineRule="exact"/>
        <w:rPr>
          <w:b/>
          <w:sz w:val="22"/>
        </w:rPr>
      </w:pPr>
    </w:p>
    <w:p w14:paraId="74B6EE8C" w14:textId="77777777" w:rsidR="00DE01F8" w:rsidRPr="00220850" w:rsidRDefault="00DE01F8">
      <w:pPr>
        <w:tabs>
          <w:tab w:val="left" w:pos="-1440"/>
          <w:tab w:val="left" w:pos="-720"/>
          <w:tab w:val="left" w:pos="567"/>
        </w:tabs>
        <w:spacing w:line="260" w:lineRule="exact"/>
        <w:rPr>
          <w:b/>
          <w:sz w:val="22"/>
        </w:rPr>
      </w:pPr>
    </w:p>
    <w:p w14:paraId="28EA5A6F" w14:textId="77777777" w:rsidR="00DE01F8" w:rsidRPr="00220850" w:rsidRDefault="00DE01F8">
      <w:pPr>
        <w:tabs>
          <w:tab w:val="left" w:pos="-1440"/>
          <w:tab w:val="left" w:pos="-720"/>
          <w:tab w:val="left" w:pos="567"/>
        </w:tabs>
        <w:spacing w:line="260" w:lineRule="exact"/>
        <w:rPr>
          <w:b/>
          <w:sz w:val="22"/>
        </w:rPr>
      </w:pPr>
    </w:p>
    <w:p w14:paraId="419C2B9E" w14:textId="77777777" w:rsidR="00DE01F8" w:rsidRPr="00220850" w:rsidRDefault="00DE01F8">
      <w:pPr>
        <w:tabs>
          <w:tab w:val="left" w:pos="-1440"/>
          <w:tab w:val="left" w:pos="-720"/>
          <w:tab w:val="left" w:pos="567"/>
        </w:tabs>
        <w:spacing w:line="260" w:lineRule="exact"/>
        <w:rPr>
          <w:b/>
          <w:sz w:val="22"/>
        </w:rPr>
      </w:pPr>
    </w:p>
    <w:p w14:paraId="1F421754" w14:textId="77777777" w:rsidR="00DE01F8" w:rsidRPr="00220850" w:rsidRDefault="00DE01F8">
      <w:pPr>
        <w:tabs>
          <w:tab w:val="left" w:pos="-1440"/>
          <w:tab w:val="left" w:pos="-720"/>
          <w:tab w:val="left" w:pos="567"/>
        </w:tabs>
        <w:spacing w:line="260" w:lineRule="exact"/>
        <w:rPr>
          <w:b/>
          <w:sz w:val="22"/>
        </w:rPr>
      </w:pPr>
    </w:p>
    <w:p w14:paraId="4585BD91" w14:textId="77777777" w:rsidR="00DE01F8" w:rsidRPr="00220850" w:rsidRDefault="00DE01F8">
      <w:pPr>
        <w:tabs>
          <w:tab w:val="left" w:pos="-1440"/>
          <w:tab w:val="left" w:pos="-720"/>
          <w:tab w:val="left" w:pos="567"/>
        </w:tabs>
        <w:spacing w:line="260" w:lineRule="exact"/>
        <w:rPr>
          <w:b/>
          <w:sz w:val="22"/>
        </w:rPr>
      </w:pPr>
    </w:p>
    <w:p w14:paraId="36C64B87" w14:textId="77777777" w:rsidR="00DE01F8" w:rsidRPr="00220850" w:rsidRDefault="00DE01F8">
      <w:pPr>
        <w:tabs>
          <w:tab w:val="left" w:pos="-1440"/>
          <w:tab w:val="left" w:pos="-720"/>
          <w:tab w:val="left" w:pos="567"/>
        </w:tabs>
        <w:spacing w:line="260" w:lineRule="exact"/>
        <w:rPr>
          <w:b/>
          <w:sz w:val="22"/>
        </w:rPr>
      </w:pPr>
    </w:p>
    <w:p w14:paraId="704C4A70" w14:textId="77777777" w:rsidR="00DE01F8" w:rsidRPr="00220850" w:rsidRDefault="00DE01F8">
      <w:pPr>
        <w:tabs>
          <w:tab w:val="left" w:pos="-1440"/>
          <w:tab w:val="left" w:pos="-720"/>
          <w:tab w:val="left" w:pos="567"/>
        </w:tabs>
        <w:spacing w:line="260" w:lineRule="exact"/>
        <w:rPr>
          <w:b/>
          <w:sz w:val="22"/>
        </w:rPr>
      </w:pPr>
    </w:p>
    <w:p w14:paraId="39D0A712" w14:textId="77777777" w:rsidR="00DE01F8" w:rsidRPr="00220850" w:rsidRDefault="00DE01F8">
      <w:pPr>
        <w:tabs>
          <w:tab w:val="left" w:pos="-1440"/>
          <w:tab w:val="left" w:pos="-720"/>
          <w:tab w:val="left" w:pos="567"/>
        </w:tabs>
        <w:spacing w:line="260" w:lineRule="exact"/>
        <w:rPr>
          <w:b/>
          <w:sz w:val="22"/>
        </w:rPr>
      </w:pPr>
    </w:p>
    <w:p w14:paraId="14A62519" w14:textId="77777777" w:rsidR="00DE01F8" w:rsidRPr="00220850" w:rsidRDefault="00DE01F8">
      <w:pPr>
        <w:tabs>
          <w:tab w:val="left" w:pos="-1440"/>
          <w:tab w:val="left" w:pos="-720"/>
          <w:tab w:val="left" w:pos="567"/>
        </w:tabs>
        <w:spacing w:line="260" w:lineRule="exact"/>
        <w:rPr>
          <w:b/>
          <w:sz w:val="22"/>
        </w:rPr>
      </w:pPr>
    </w:p>
    <w:p w14:paraId="44E9F577" w14:textId="77777777" w:rsidR="00DE01F8" w:rsidRPr="00220850" w:rsidRDefault="00DE01F8">
      <w:pPr>
        <w:tabs>
          <w:tab w:val="left" w:pos="-1440"/>
          <w:tab w:val="left" w:pos="-720"/>
          <w:tab w:val="left" w:pos="567"/>
        </w:tabs>
        <w:spacing w:line="260" w:lineRule="exact"/>
        <w:rPr>
          <w:b/>
          <w:sz w:val="22"/>
        </w:rPr>
      </w:pPr>
    </w:p>
    <w:p w14:paraId="5E7AB7B6" w14:textId="77777777" w:rsidR="00DE01F8" w:rsidRPr="00220850" w:rsidRDefault="00DE01F8">
      <w:pPr>
        <w:tabs>
          <w:tab w:val="left" w:pos="-1440"/>
          <w:tab w:val="left" w:pos="-720"/>
          <w:tab w:val="left" w:pos="567"/>
        </w:tabs>
        <w:spacing w:line="260" w:lineRule="exact"/>
        <w:rPr>
          <w:b/>
          <w:sz w:val="22"/>
        </w:rPr>
      </w:pPr>
    </w:p>
    <w:p w14:paraId="24E6A706" w14:textId="77777777" w:rsidR="00DE01F8" w:rsidRPr="00220850" w:rsidRDefault="00DE01F8">
      <w:pPr>
        <w:tabs>
          <w:tab w:val="left" w:pos="-1440"/>
          <w:tab w:val="left" w:pos="-720"/>
          <w:tab w:val="left" w:pos="567"/>
        </w:tabs>
        <w:spacing w:line="260" w:lineRule="exact"/>
        <w:rPr>
          <w:b/>
          <w:sz w:val="22"/>
        </w:rPr>
      </w:pPr>
    </w:p>
    <w:p w14:paraId="3FA245DB" w14:textId="77777777" w:rsidR="00DE01F8" w:rsidRPr="00220850" w:rsidRDefault="00DE01F8">
      <w:pPr>
        <w:tabs>
          <w:tab w:val="left" w:pos="-1440"/>
          <w:tab w:val="left" w:pos="-720"/>
          <w:tab w:val="left" w:pos="567"/>
        </w:tabs>
        <w:spacing w:line="260" w:lineRule="exact"/>
        <w:rPr>
          <w:b/>
          <w:sz w:val="22"/>
        </w:rPr>
      </w:pPr>
    </w:p>
    <w:p w14:paraId="4F5EB0A2" w14:textId="77777777" w:rsidR="00DE01F8" w:rsidRPr="00220850" w:rsidRDefault="00DE01F8">
      <w:pPr>
        <w:tabs>
          <w:tab w:val="left" w:pos="-1440"/>
          <w:tab w:val="left" w:pos="-720"/>
          <w:tab w:val="left" w:pos="567"/>
        </w:tabs>
        <w:spacing w:line="260" w:lineRule="exact"/>
        <w:rPr>
          <w:b/>
          <w:sz w:val="22"/>
        </w:rPr>
      </w:pPr>
    </w:p>
    <w:p w14:paraId="717014EA" w14:textId="77777777" w:rsidR="00830EB8" w:rsidRPr="00220850" w:rsidRDefault="00830EB8">
      <w:pPr>
        <w:tabs>
          <w:tab w:val="left" w:pos="-1440"/>
          <w:tab w:val="left" w:pos="-720"/>
          <w:tab w:val="left" w:pos="567"/>
        </w:tabs>
        <w:spacing w:line="260" w:lineRule="exact"/>
        <w:rPr>
          <w:b/>
          <w:sz w:val="22"/>
        </w:rPr>
      </w:pPr>
    </w:p>
    <w:p w14:paraId="7EFFCAD6" w14:textId="77777777" w:rsidR="00830EB8" w:rsidRPr="00220850" w:rsidRDefault="00830EB8">
      <w:pPr>
        <w:tabs>
          <w:tab w:val="left" w:pos="-1440"/>
          <w:tab w:val="left" w:pos="-720"/>
          <w:tab w:val="left" w:pos="567"/>
        </w:tabs>
        <w:spacing w:line="260" w:lineRule="exact"/>
        <w:rPr>
          <w:b/>
          <w:sz w:val="22"/>
        </w:rPr>
      </w:pPr>
    </w:p>
    <w:p w14:paraId="7249EE63" w14:textId="77777777" w:rsidR="00830EB8" w:rsidRPr="00220850" w:rsidRDefault="00830EB8">
      <w:pPr>
        <w:tabs>
          <w:tab w:val="left" w:pos="-1440"/>
          <w:tab w:val="left" w:pos="-720"/>
          <w:tab w:val="left" w:pos="567"/>
        </w:tabs>
        <w:spacing w:line="260" w:lineRule="exact"/>
        <w:rPr>
          <w:b/>
          <w:sz w:val="22"/>
        </w:rPr>
      </w:pPr>
    </w:p>
    <w:p w14:paraId="3CAA1A9B" w14:textId="77777777" w:rsidR="00830EB8" w:rsidRPr="00220850" w:rsidRDefault="00830EB8">
      <w:pPr>
        <w:tabs>
          <w:tab w:val="left" w:pos="-1440"/>
          <w:tab w:val="left" w:pos="-720"/>
          <w:tab w:val="left" w:pos="567"/>
        </w:tabs>
        <w:spacing w:line="260" w:lineRule="exact"/>
        <w:rPr>
          <w:b/>
          <w:sz w:val="22"/>
        </w:rPr>
      </w:pPr>
    </w:p>
    <w:p w14:paraId="758DEB0C" w14:textId="77777777" w:rsidR="00830EB8" w:rsidRPr="00220850" w:rsidRDefault="00830EB8">
      <w:pPr>
        <w:tabs>
          <w:tab w:val="left" w:pos="-1440"/>
          <w:tab w:val="left" w:pos="-720"/>
          <w:tab w:val="left" w:pos="567"/>
        </w:tabs>
        <w:spacing w:line="260" w:lineRule="exact"/>
        <w:rPr>
          <w:b/>
          <w:sz w:val="22"/>
        </w:rPr>
      </w:pPr>
    </w:p>
    <w:p w14:paraId="1973133D" w14:textId="77777777" w:rsidR="00830EB8" w:rsidRPr="00220850" w:rsidRDefault="00830EB8">
      <w:pPr>
        <w:tabs>
          <w:tab w:val="left" w:pos="-1440"/>
          <w:tab w:val="left" w:pos="-720"/>
          <w:tab w:val="left" w:pos="567"/>
        </w:tabs>
        <w:spacing w:line="260" w:lineRule="exact"/>
        <w:rPr>
          <w:b/>
          <w:sz w:val="22"/>
        </w:rPr>
      </w:pPr>
    </w:p>
    <w:p w14:paraId="3B5B0F2C" w14:textId="77777777" w:rsidR="00830EB8" w:rsidRPr="00220850" w:rsidRDefault="00830EB8">
      <w:pPr>
        <w:tabs>
          <w:tab w:val="left" w:pos="-1440"/>
          <w:tab w:val="left" w:pos="-720"/>
          <w:tab w:val="left" w:pos="567"/>
        </w:tabs>
        <w:spacing w:line="260" w:lineRule="exact"/>
        <w:rPr>
          <w:b/>
          <w:sz w:val="22"/>
        </w:rPr>
      </w:pPr>
    </w:p>
    <w:p w14:paraId="7EAB1B07" w14:textId="77777777" w:rsidR="00DE01F8" w:rsidRPr="00220850" w:rsidRDefault="002D5C8E">
      <w:pPr>
        <w:keepNext/>
        <w:tabs>
          <w:tab w:val="left" w:pos="567"/>
        </w:tabs>
        <w:jc w:val="center"/>
        <w:outlineLvl w:val="1"/>
        <w:rPr>
          <w:b/>
          <w:sz w:val="22"/>
          <w:szCs w:val="24"/>
          <w:lang w:eastAsia="x-none"/>
        </w:rPr>
      </w:pPr>
      <w:r w:rsidRPr="00220850">
        <w:rPr>
          <w:b/>
          <w:bCs/>
          <w:iCs/>
          <w:sz w:val="22"/>
          <w:szCs w:val="28"/>
          <w:lang w:eastAsia="x-none"/>
        </w:rPr>
        <w:t>I PRIEDAS</w:t>
      </w:r>
    </w:p>
    <w:p w14:paraId="0538D621" w14:textId="77777777" w:rsidR="00DE01F8" w:rsidRPr="00220850" w:rsidRDefault="00DE01F8">
      <w:pPr>
        <w:tabs>
          <w:tab w:val="left" w:pos="567"/>
        </w:tabs>
        <w:rPr>
          <w:sz w:val="22"/>
          <w:szCs w:val="24"/>
        </w:rPr>
      </w:pPr>
    </w:p>
    <w:p w14:paraId="707B69C1" w14:textId="77777777" w:rsidR="00DE01F8" w:rsidRPr="00220850" w:rsidRDefault="002D5C8E">
      <w:pPr>
        <w:tabs>
          <w:tab w:val="left" w:pos="-1440"/>
          <w:tab w:val="left" w:pos="-720"/>
          <w:tab w:val="left" w:pos="567"/>
        </w:tabs>
        <w:spacing w:line="260" w:lineRule="exact"/>
        <w:jc w:val="center"/>
        <w:rPr>
          <w:b/>
          <w:sz w:val="22"/>
        </w:rPr>
      </w:pPr>
      <w:r w:rsidRPr="00220850">
        <w:rPr>
          <w:b/>
          <w:sz w:val="22"/>
        </w:rPr>
        <w:t>PREPARATO CHARAKTERISTIKŲ SANTRAUKA</w:t>
      </w:r>
    </w:p>
    <w:p w14:paraId="4995130A" w14:textId="77777777" w:rsidR="00DE01F8" w:rsidRPr="00220850" w:rsidRDefault="002D5C8E">
      <w:pPr>
        <w:tabs>
          <w:tab w:val="left" w:pos="-1440"/>
          <w:tab w:val="left" w:pos="-720"/>
          <w:tab w:val="left" w:pos="567"/>
        </w:tabs>
        <w:spacing w:line="260" w:lineRule="exact"/>
        <w:jc w:val="center"/>
        <w:rPr>
          <w:sz w:val="22"/>
        </w:rPr>
      </w:pPr>
      <w:r w:rsidRPr="00220850">
        <w:rPr>
          <w:sz w:val="22"/>
          <w:lang w:eastAsia="zh-CN"/>
        </w:rPr>
        <w:br w:type="page"/>
      </w:r>
    </w:p>
    <w:p w14:paraId="77083F45" w14:textId="77777777" w:rsidR="00DE01F8" w:rsidRPr="00220850" w:rsidRDefault="002D5C8E">
      <w:pPr>
        <w:keepNext/>
        <w:keepLines/>
        <w:tabs>
          <w:tab w:val="left" w:pos="567"/>
        </w:tabs>
        <w:outlineLvl w:val="2"/>
        <w:rPr>
          <w:b/>
          <w:bCs/>
          <w:sz w:val="22"/>
          <w:szCs w:val="22"/>
          <w:lang w:eastAsia="x-none"/>
        </w:rPr>
      </w:pPr>
      <w:r w:rsidRPr="00220850">
        <w:rPr>
          <w:b/>
          <w:bCs/>
          <w:sz w:val="22"/>
          <w:szCs w:val="22"/>
          <w:lang w:eastAsia="x-none"/>
        </w:rPr>
        <w:lastRenderedPageBreak/>
        <w:t>1.</w:t>
      </w:r>
      <w:r w:rsidRPr="00220850">
        <w:rPr>
          <w:b/>
          <w:bCs/>
          <w:sz w:val="22"/>
          <w:szCs w:val="26"/>
          <w:lang w:eastAsia="x-none"/>
        </w:rPr>
        <w:tab/>
      </w:r>
      <w:r w:rsidRPr="00220850">
        <w:rPr>
          <w:b/>
          <w:bCs/>
          <w:sz w:val="22"/>
          <w:szCs w:val="22"/>
          <w:lang w:eastAsia="x-none"/>
        </w:rPr>
        <w:t>VAISTINIO PREPARATO PAVADINIMAS</w:t>
      </w:r>
    </w:p>
    <w:p w14:paraId="127035B4" w14:textId="77777777" w:rsidR="00DE01F8" w:rsidRPr="00220850" w:rsidRDefault="00DE01F8">
      <w:pPr>
        <w:tabs>
          <w:tab w:val="left" w:pos="567"/>
        </w:tabs>
        <w:spacing w:line="260" w:lineRule="exact"/>
        <w:rPr>
          <w:sz w:val="22"/>
          <w:szCs w:val="24"/>
        </w:rPr>
      </w:pPr>
    </w:p>
    <w:p w14:paraId="75C8E2C6" w14:textId="77777777" w:rsidR="007151A8" w:rsidRPr="00220850" w:rsidRDefault="0042604C" w:rsidP="007151A8">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w:t>
      </w:r>
      <w:r w:rsidR="007151A8" w:rsidRPr="00220850">
        <w:rPr>
          <w:sz w:val="22"/>
          <w:szCs w:val="22"/>
        </w:rPr>
        <w:t>mg minkštosios kapsulės</w:t>
      </w:r>
    </w:p>
    <w:p w14:paraId="36B0C276" w14:textId="77777777" w:rsidR="007151A8" w:rsidRPr="00220850" w:rsidRDefault="0042604C" w:rsidP="007151A8">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150 </w:t>
      </w:r>
      <w:r w:rsidR="007151A8" w:rsidRPr="00220850">
        <w:rPr>
          <w:sz w:val="22"/>
          <w:szCs w:val="22"/>
        </w:rPr>
        <w:t>mg minkštosios kapsulės</w:t>
      </w:r>
    </w:p>
    <w:p w14:paraId="3620FE83" w14:textId="77777777" w:rsidR="007151A8" w:rsidRPr="00220850" w:rsidRDefault="007151A8" w:rsidP="007151A8">
      <w:pPr>
        <w:tabs>
          <w:tab w:val="left" w:pos="567"/>
        </w:tabs>
        <w:spacing w:line="260" w:lineRule="exact"/>
        <w:rPr>
          <w:sz w:val="22"/>
          <w:szCs w:val="24"/>
        </w:rPr>
      </w:pPr>
    </w:p>
    <w:p w14:paraId="2AD0B2AB" w14:textId="77777777" w:rsidR="007151A8" w:rsidRPr="00220850" w:rsidRDefault="007151A8" w:rsidP="007151A8">
      <w:pPr>
        <w:tabs>
          <w:tab w:val="left" w:pos="567"/>
        </w:tabs>
        <w:spacing w:line="260" w:lineRule="exact"/>
        <w:rPr>
          <w:sz w:val="22"/>
          <w:szCs w:val="24"/>
        </w:rPr>
      </w:pPr>
    </w:p>
    <w:p w14:paraId="2363241D"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2.</w:t>
      </w:r>
      <w:r w:rsidRPr="00220850">
        <w:rPr>
          <w:b/>
          <w:bCs/>
          <w:sz w:val="22"/>
          <w:szCs w:val="26"/>
          <w:lang w:eastAsia="x-none"/>
        </w:rPr>
        <w:tab/>
        <w:t>KOKYBINĖ IR KIEKYBINĖ SUDĖTIS</w:t>
      </w:r>
    </w:p>
    <w:p w14:paraId="2D6D25C8" w14:textId="77777777" w:rsidR="00DE01F8" w:rsidRPr="00220850" w:rsidRDefault="00DE01F8">
      <w:pPr>
        <w:tabs>
          <w:tab w:val="left" w:pos="567"/>
        </w:tabs>
        <w:spacing w:line="260" w:lineRule="exact"/>
        <w:rPr>
          <w:sz w:val="22"/>
          <w:szCs w:val="24"/>
        </w:rPr>
      </w:pPr>
    </w:p>
    <w:p w14:paraId="4F4F3ACE" w14:textId="77777777" w:rsidR="0042604C" w:rsidRPr="00220850" w:rsidRDefault="0042604C" w:rsidP="0042604C">
      <w:pPr>
        <w:shd w:val="clear" w:color="auto" w:fill="FFFFFF"/>
        <w:rPr>
          <w:i/>
          <w:sz w:val="22"/>
          <w:szCs w:val="22"/>
        </w:rPr>
      </w:pPr>
      <w:proofErr w:type="spellStart"/>
      <w:r w:rsidRPr="00220850">
        <w:rPr>
          <w:i/>
          <w:sz w:val="22"/>
          <w:szCs w:val="22"/>
        </w:rPr>
        <w:t>Nintedanib</w:t>
      </w:r>
      <w:proofErr w:type="spellEnd"/>
      <w:r w:rsidRPr="00220850">
        <w:rPr>
          <w:i/>
          <w:sz w:val="22"/>
          <w:szCs w:val="22"/>
        </w:rPr>
        <w:t xml:space="preserve"> </w:t>
      </w:r>
      <w:proofErr w:type="spellStart"/>
      <w:r w:rsidRPr="00220850">
        <w:rPr>
          <w:i/>
          <w:sz w:val="22"/>
          <w:szCs w:val="22"/>
        </w:rPr>
        <w:t>Teva</w:t>
      </w:r>
      <w:proofErr w:type="spellEnd"/>
      <w:r w:rsidRPr="00220850">
        <w:rPr>
          <w:i/>
          <w:sz w:val="22"/>
          <w:szCs w:val="22"/>
        </w:rPr>
        <w:t xml:space="preserve"> 100 mg minkštosios kapsulės</w:t>
      </w:r>
    </w:p>
    <w:p w14:paraId="2D8FBFD0" w14:textId="0020C2F5" w:rsidR="007151A8" w:rsidRPr="00220850" w:rsidRDefault="004D21C7" w:rsidP="007151A8">
      <w:pPr>
        <w:autoSpaceDE w:val="0"/>
        <w:autoSpaceDN w:val="0"/>
        <w:adjustRightInd w:val="0"/>
        <w:rPr>
          <w:rFonts w:eastAsia="TimesNewRoman"/>
          <w:sz w:val="22"/>
          <w:szCs w:val="22"/>
        </w:rPr>
      </w:pPr>
      <w:r w:rsidRPr="00220850">
        <w:rPr>
          <w:rFonts w:eastAsia="TimesNewRoman"/>
          <w:sz w:val="22"/>
          <w:szCs w:val="22"/>
        </w:rPr>
        <w:t>Kiekv</w:t>
      </w:r>
      <w:r w:rsidR="007151A8" w:rsidRPr="00220850">
        <w:rPr>
          <w:rFonts w:eastAsia="TimesNewRoman"/>
          <w:sz w:val="22"/>
          <w:szCs w:val="22"/>
        </w:rPr>
        <w:t>ienoje minkštojoje kapsulė</w:t>
      </w:r>
      <w:r w:rsidR="0042604C" w:rsidRPr="00220850">
        <w:rPr>
          <w:rFonts w:eastAsia="TimesNewRoman"/>
          <w:sz w:val="22"/>
          <w:szCs w:val="22"/>
        </w:rPr>
        <w:t>je yra 100 </w:t>
      </w:r>
      <w:r w:rsidR="007151A8" w:rsidRPr="00220850">
        <w:rPr>
          <w:rFonts w:eastAsia="TimesNewRoman"/>
          <w:sz w:val="22"/>
          <w:szCs w:val="22"/>
        </w:rPr>
        <w:t xml:space="preserve">mg </w:t>
      </w:r>
      <w:proofErr w:type="spellStart"/>
      <w:r w:rsidR="007151A8" w:rsidRPr="00220850">
        <w:rPr>
          <w:rFonts w:eastAsia="TimesNewRoman"/>
          <w:sz w:val="22"/>
          <w:szCs w:val="22"/>
        </w:rPr>
        <w:t>nintedanibo</w:t>
      </w:r>
      <w:proofErr w:type="spellEnd"/>
      <w:r w:rsidR="007151A8" w:rsidRPr="00220850">
        <w:rPr>
          <w:rFonts w:eastAsia="TimesNewRoman"/>
          <w:sz w:val="22"/>
          <w:szCs w:val="22"/>
        </w:rPr>
        <w:t xml:space="preserve"> </w:t>
      </w:r>
      <w:proofErr w:type="spellStart"/>
      <w:r w:rsidR="007151A8" w:rsidRPr="00220850">
        <w:rPr>
          <w:rFonts w:eastAsia="TimesNewRoman"/>
          <w:sz w:val="22"/>
          <w:szCs w:val="22"/>
        </w:rPr>
        <w:t>esilato</w:t>
      </w:r>
      <w:proofErr w:type="spellEnd"/>
      <w:r w:rsidR="00D721B0" w:rsidRPr="00220850">
        <w:rPr>
          <w:rFonts w:eastAsia="TimesNewRoman"/>
          <w:sz w:val="22"/>
          <w:szCs w:val="22"/>
        </w:rPr>
        <w:t xml:space="preserve">, atitinkančio 100 mg </w:t>
      </w:r>
      <w:proofErr w:type="spellStart"/>
      <w:r w:rsidR="00D721B0" w:rsidRPr="00220850">
        <w:rPr>
          <w:rFonts w:eastAsia="TimesNewRoman"/>
          <w:sz w:val="22"/>
          <w:szCs w:val="22"/>
        </w:rPr>
        <w:t>ninte</w:t>
      </w:r>
      <w:r w:rsidR="006E2B44" w:rsidRPr="00220850">
        <w:rPr>
          <w:rFonts w:eastAsia="TimesNewRoman"/>
          <w:sz w:val="22"/>
          <w:szCs w:val="22"/>
        </w:rPr>
        <w:t>dan</w:t>
      </w:r>
      <w:r w:rsidR="00D721B0" w:rsidRPr="00220850">
        <w:rPr>
          <w:rFonts w:eastAsia="TimesNewRoman"/>
          <w:sz w:val="22"/>
          <w:szCs w:val="22"/>
        </w:rPr>
        <w:t>ibo</w:t>
      </w:r>
      <w:proofErr w:type="spellEnd"/>
      <w:r w:rsidR="007151A8" w:rsidRPr="00220850">
        <w:rPr>
          <w:rFonts w:eastAsia="TimesNewRoman"/>
          <w:sz w:val="22"/>
          <w:szCs w:val="22"/>
        </w:rPr>
        <w:t>.</w:t>
      </w:r>
    </w:p>
    <w:p w14:paraId="7EBE5345" w14:textId="77777777" w:rsidR="0042604C" w:rsidRPr="00220850" w:rsidRDefault="0042604C" w:rsidP="007151A8">
      <w:pPr>
        <w:autoSpaceDE w:val="0"/>
        <w:autoSpaceDN w:val="0"/>
        <w:adjustRightInd w:val="0"/>
        <w:rPr>
          <w:rFonts w:eastAsia="TimesNewRoman"/>
          <w:sz w:val="22"/>
          <w:szCs w:val="22"/>
        </w:rPr>
      </w:pPr>
    </w:p>
    <w:p w14:paraId="668D6D8F" w14:textId="77777777" w:rsidR="0042604C" w:rsidRPr="00220850" w:rsidRDefault="0042604C" w:rsidP="0042604C">
      <w:pPr>
        <w:shd w:val="clear" w:color="auto" w:fill="FFFFFF"/>
        <w:rPr>
          <w:i/>
          <w:iCs/>
          <w:sz w:val="22"/>
          <w:szCs w:val="22"/>
        </w:rPr>
      </w:pPr>
      <w:proofErr w:type="spellStart"/>
      <w:r w:rsidRPr="00220850">
        <w:rPr>
          <w:i/>
          <w:iCs/>
          <w:sz w:val="22"/>
          <w:szCs w:val="22"/>
        </w:rPr>
        <w:t>Nintedanib</w:t>
      </w:r>
      <w:proofErr w:type="spellEnd"/>
      <w:r w:rsidRPr="00220850">
        <w:rPr>
          <w:i/>
          <w:iCs/>
          <w:sz w:val="22"/>
          <w:szCs w:val="22"/>
        </w:rPr>
        <w:t xml:space="preserve"> </w:t>
      </w:r>
      <w:proofErr w:type="spellStart"/>
      <w:r w:rsidRPr="00220850">
        <w:rPr>
          <w:i/>
          <w:iCs/>
          <w:sz w:val="22"/>
          <w:szCs w:val="22"/>
        </w:rPr>
        <w:t>Teva</w:t>
      </w:r>
      <w:proofErr w:type="spellEnd"/>
      <w:r w:rsidRPr="00220850">
        <w:rPr>
          <w:i/>
          <w:iCs/>
          <w:sz w:val="22"/>
          <w:szCs w:val="22"/>
        </w:rPr>
        <w:t xml:space="preserve"> 150 mg minkštosios kapsulės</w:t>
      </w:r>
    </w:p>
    <w:p w14:paraId="5AB0EB94" w14:textId="03E3DA71" w:rsidR="007151A8" w:rsidRPr="00220850" w:rsidRDefault="004D21C7" w:rsidP="007151A8">
      <w:pPr>
        <w:autoSpaceDE w:val="0"/>
        <w:autoSpaceDN w:val="0"/>
        <w:adjustRightInd w:val="0"/>
        <w:rPr>
          <w:rFonts w:eastAsia="TimesNewRoman"/>
          <w:sz w:val="22"/>
          <w:szCs w:val="22"/>
        </w:rPr>
      </w:pPr>
      <w:r w:rsidRPr="00220850">
        <w:rPr>
          <w:rFonts w:eastAsia="TimesNewRoman"/>
          <w:sz w:val="22"/>
          <w:szCs w:val="22"/>
        </w:rPr>
        <w:t>Kiekv</w:t>
      </w:r>
      <w:r w:rsidR="007151A8" w:rsidRPr="00220850">
        <w:rPr>
          <w:rFonts w:eastAsia="TimesNewRoman"/>
          <w:sz w:val="22"/>
          <w:szCs w:val="22"/>
        </w:rPr>
        <w:t>ienoje minkštojoje kapsulė</w:t>
      </w:r>
      <w:r w:rsidR="0042604C" w:rsidRPr="00220850">
        <w:rPr>
          <w:rFonts w:eastAsia="TimesNewRoman"/>
          <w:sz w:val="22"/>
          <w:szCs w:val="22"/>
        </w:rPr>
        <w:t>je yra 150 </w:t>
      </w:r>
      <w:r w:rsidR="007151A8" w:rsidRPr="00220850">
        <w:rPr>
          <w:rFonts w:eastAsia="TimesNewRoman"/>
          <w:sz w:val="22"/>
          <w:szCs w:val="22"/>
        </w:rPr>
        <w:t xml:space="preserve">mg </w:t>
      </w:r>
      <w:proofErr w:type="spellStart"/>
      <w:r w:rsidR="007151A8" w:rsidRPr="00220850">
        <w:rPr>
          <w:rFonts w:eastAsia="TimesNewRoman"/>
          <w:sz w:val="22"/>
          <w:szCs w:val="22"/>
        </w:rPr>
        <w:t>nintedanibo</w:t>
      </w:r>
      <w:proofErr w:type="spellEnd"/>
      <w:r w:rsidR="007151A8" w:rsidRPr="00220850">
        <w:rPr>
          <w:rFonts w:eastAsia="TimesNewRoman"/>
          <w:sz w:val="22"/>
          <w:szCs w:val="22"/>
        </w:rPr>
        <w:t xml:space="preserve"> </w:t>
      </w:r>
      <w:proofErr w:type="spellStart"/>
      <w:r w:rsidR="007151A8" w:rsidRPr="00220850">
        <w:rPr>
          <w:rFonts w:eastAsia="TimesNewRoman"/>
          <w:sz w:val="22"/>
          <w:szCs w:val="22"/>
        </w:rPr>
        <w:t>esilato</w:t>
      </w:r>
      <w:proofErr w:type="spellEnd"/>
      <w:r w:rsidR="00D721B0" w:rsidRPr="00220850">
        <w:rPr>
          <w:rFonts w:eastAsia="TimesNewRoman"/>
          <w:sz w:val="22"/>
          <w:szCs w:val="22"/>
        </w:rPr>
        <w:t xml:space="preserve">, atitinkančio 150 mg </w:t>
      </w:r>
      <w:proofErr w:type="spellStart"/>
      <w:r w:rsidR="00D721B0" w:rsidRPr="00220850">
        <w:rPr>
          <w:rFonts w:eastAsia="TimesNewRoman"/>
          <w:sz w:val="22"/>
          <w:szCs w:val="22"/>
        </w:rPr>
        <w:t>ninte</w:t>
      </w:r>
      <w:r w:rsidR="006E2B44" w:rsidRPr="00220850">
        <w:rPr>
          <w:rFonts w:eastAsia="TimesNewRoman"/>
          <w:sz w:val="22"/>
          <w:szCs w:val="22"/>
        </w:rPr>
        <w:t>dani</w:t>
      </w:r>
      <w:r w:rsidR="00D721B0" w:rsidRPr="00220850">
        <w:rPr>
          <w:rFonts w:eastAsia="TimesNewRoman"/>
          <w:sz w:val="22"/>
          <w:szCs w:val="22"/>
        </w:rPr>
        <w:t>bo</w:t>
      </w:r>
      <w:proofErr w:type="spellEnd"/>
      <w:r w:rsidR="007151A8" w:rsidRPr="00220850">
        <w:rPr>
          <w:rFonts w:eastAsia="TimesNewRoman"/>
          <w:sz w:val="22"/>
          <w:szCs w:val="22"/>
        </w:rPr>
        <w:t>.</w:t>
      </w:r>
    </w:p>
    <w:p w14:paraId="504A646E" w14:textId="77777777" w:rsidR="007151A8" w:rsidRPr="00220850" w:rsidRDefault="007151A8">
      <w:pPr>
        <w:tabs>
          <w:tab w:val="left" w:pos="567"/>
        </w:tabs>
        <w:spacing w:line="260" w:lineRule="exact"/>
        <w:rPr>
          <w:sz w:val="22"/>
        </w:rPr>
      </w:pPr>
    </w:p>
    <w:p w14:paraId="50FBBDBB" w14:textId="77777777" w:rsidR="00DE01F8" w:rsidRPr="00220850" w:rsidRDefault="002D5C8E">
      <w:pPr>
        <w:tabs>
          <w:tab w:val="left" w:pos="567"/>
        </w:tabs>
        <w:spacing w:line="260" w:lineRule="exact"/>
        <w:rPr>
          <w:sz w:val="22"/>
        </w:rPr>
      </w:pPr>
      <w:r w:rsidRPr="00220850">
        <w:rPr>
          <w:sz w:val="22"/>
        </w:rPr>
        <w:t>Visos pagalbinės medžiagos išvardytos 6.1 skyriuje.</w:t>
      </w:r>
    </w:p>
    <w:p w14:paraId="64AA8CBE" w14:textId="77777777" w:rsidR="00DE01F8" w:rsidRPr="00220850" w:rsidRDefault="00DE01F8">
      <w:pPr>
        <w:tabs>
          <w:tab w:val="left" w:pos="567"/>
        </w:tabs>
        <w:spacing w:line="260" w:lineRule="exact"/>
        <w:rPr>
          <w:sz w:val="22"/>
          <w:szCs w:val="24"/>
        </w:rPr>
      </w:pPr>
    </w:p>
    <w:p w14:paraId="7DE63EBE" w14:textId="77777777" w:rsidR="00DE01F8" w:rsidRPr="00220850" w:rsidRDefault="00DE01F8">
      <w:pPr>
        <w:tabs>
          <w:tab w:val="left" w:pos="567"/>
        </w:tabs>
        <w:spacing w:line="260" w:lineRule="exact"/>
        <w:rPr>
          <w:sz w:val="22"/>
          <w:szCs w:val="24"/>
        </w:rPr>
      </w:pPr>
    </w:p>
    <w:p w14:paraId="05020A8B"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3.</w:t>
      </w:r>
      <w:r w:rsidRPr="00220850">
        <w:rPr>
          <w:b/>
          <w:bCs/>
          <w:sz w:val="22"/>
          <w:szCs w:val="26"/>
          <w:lang w:eastAsia="x-none"/>
        </w:rPr>
        <w:tab/>
        <w:t>FARMACINĖ FORMA</w:t>
      </w:r>
    </w:p>
    <w:p w14:paraId="3A5B325D" w14:textId="77777777" w:rsidR="00DE01F8" w:rsidRPr="00220850" w:rsidRDefault="00DE01F8">
      <w:pPr>
        <w:tabs>
          <w:tab w:val="left" w:pos="567"/>
        </w:tabs>
        <w:spacing w:line="260" w:lineRule="exact"/>
        <w:rPr>
          <w:sz w:val="22"/>
          <w:szCs w:val="24"/>
        </w:rPr>
      </w:pPr>
    </w:p>
    <w:p w14:paraId="57A7F8A5" w14:textId="77777777" w:rsidR="0042604C" w:rsidRPr="00220850" w:rsidRDefault="0042604C" w:rsidP="0042604C">
      <w:pPr>
        <w:autoSpaceDE w:val="0"/>
        <w:autoSpaceDN w:val="0"/>
        <w:adjustRightInd w:val="0"/>
        <w:rPr>
          <w:rFonts w:eastAsia="TimesNewRoman"/>
          <w:sz w:val="22"/>
          <w:szCs w:val="22"/>
        </w:rPr>
      </w:pPr>
      <w:r w:rsidRPr="00220850">
        <w:rPr>
          <w:rFonts w:eastAsia="TimesNewRoman"/>
          <w:sz w:val="22"/>
          <w:szCs w:val="22"/>
        </w:rPr>
        <w:t>Minkštoji kapsulė (kapsulė)</w:t>
      </w:r>
    </w:p>
    <w:p w14:paraId="61FAAA21" w14:textId="77777777" w:rsidR="0042604C" w:rsidRPr="00220850" w:rsidRDefault="0042604C" w:rsidP="0042604C">
      <w:pPr>
        <w:autoSpaceDE w:val="0"/>
        <w:autoSpaceDN w:val="0"/>
        <w:adjustRightInd w:val="0"/>
        <w:rPr>
          <w:rFonts w:eastAsia="TimesNewRoman"/>
          <w:sz w:val="22"/>
          <w:szCs w:val="22"/>
        </w:rPr>
      </w:pPr>
    </w:p>
    <w:p w14:paraId="685DAC2C" w14:textId="77777777" w:rsidR="00D721B0" w:rsidRPr="00220850" w:rsidRDefault="00D721B0" w:rsidP="00D721B0">
      <w:pPr>
        <w:shd w:val="clear" w:color="auto" w:fill="FFFFFF"/>
        <w:rPr>
          <w:i/>
          <w:sz w:val="22"/>
          <w:szCs w:val="22"/>
          <w:u w:val="single"/>
        </w:rPr>
      </w:pPr>
      <w:proofErr w:type="spellStart"/>
      <w:r w:rsidRPr="00220850">
        <w:rPr>
          <w:i/>
          <w:sz w:val="22"/>
          <w:szCs w:val="22"/>
          <w:u w:val="single"/>
        </w:rPr>
        <w:t>Nintedanib</w:t>
      </w:r>
      <w:proofErr w:type="spellEnd"/>
      <w:r w:rsidRPr="00220850">
        <w:rPr>
          <w:i/>
          <w:sz w:val="22"/>
          <w:szCs w:val="22"/>
          <w:u w:val="single"/>
        </w:rPr>
        <w:t xml:space="preserve"> </w:t>
      </w:r>
      <w:proofErr w:type="spellStart"/>
      <w:r w:rsidRPr="00220850">
        <w:rPr>
          <w:i/>
          <w:sz w:val="22"/>
          <w:szCs w:val="22"/>
          <w:u w:val="single"/>
        </w:rPr>
        <w:t>Teva</w:t>
      </w:r>
      <w:proofErr w:type="spellEnd"/>
      <w:r w:rsidRPr="00220850">
        <w:rPr>
          <w:i/>
          <w:sz w:val="22"/>
          <w:szCs w:val="22"/>
          <w:u w:val="single"/>
        </w:rPr>
        <w:t xml:space="preserve"> 100 mg minkštosios kapsulės</w:t>
      </w:r>
    </w:p>
    <w:p w14:paraId="6CA2FB4F" w14:textId="1AA58D66" w:rsidR="00D721B0" w:rsidRPr="00220850" w:rsidRDefault="00D721B0" w:rsidP="0042604C">
      <w:pPr>
        <w:autoSpaceDE w:val="0"/>
        <w:autoSpaceDN w:val="0"/>
        <w:adjustRightInd w:val="0"/>
        <w:rPr>
          <w:rFonts w:eastAsia="TimesNewRoman"/>
          <w:sz w:val="22"/>
          <w:szCs w:val="22"/>
        </w:rPr>
      </w:pPr>
      <w:r w:rsidRPr="00220850">
        <w:rPr>
          <w:rFonts w:eastAsia="TimesNewRoman"/>
          <w:sz w:val="22"/>
          <w:szCs w:val="22"/>
        </w:rPr>
        <w:t>P</w:t>
      </w:r>
      <w:r w:rsidR="0042604C" w:rsidRPr="00220850">
        <w:rPr>
          <w:rFonts w:eastAsia="TimesNewRoman"/>
          <w:sz w:val="22"/>
          <w:szCs w:val="22"/>
        </w:rPr>
        <w:t>er</w:t>
      </w:r>
      <w:r w:rsidRPr="00220850">
        <w:rPr>
          <w:rFonts w:eastAsia="TimesNewRoman"/>
          <w:sz w:val="22"/>
          <w:szCs w:val="22"/>
        </w:rPr>
        <w:t>siko spalvos, matinės, pailgos</w:t>
      </w:r>
      <w:r w:rsidR="00477A66" w:rsidRPr="00220850">
        <w:rPr>
          <w:rFonts w:eastAsia="TimesNewRoman"/>
          <w:sz w:val="22"/>
          <w:szCs w:val="22"/>
        </w:rPr>
        <w:t>,</w:t>
      </w:r>
      <w:r w:rsidRPr="00220850">
        <w:rPr>
          <w:rFonts w:eastAsia="TimesNewRoman"/>
          <w:sz w:val="22"/>
          <w:szCs w:val="22"/>
        </w:rPr>
        <w:t xml:space="preserve"> maždaug 16 mm ilgio </w:t>
      </w:r>
      <w:r w:rsidR="0042604C" w:rsidRPr="00220850">
        <w:rPr>
          <w:rFonts w:eastAsia="TimesNewRoman"/>
          <w:sz w:val="22"/>
          <w:szCs w:val="22"/>
        </w:rPr>
        <w:t>kapsulės</w:t>
      </w:r>
      <w:r w:rsidRPr="00220850">
        <w:rPr>
          <w:rFonts w:eastAsia="TimesNewRoman"/>
          <w:sz w:val="22"/>
          <w:szCs w:val="22"/>
        </w:rPr>
        <w:t>,</w:t>
      </w:r>
      <w:r w:rsidR="0042604C" w:rsidRPr="00220850">
        <w:rPr>
          <w:rFonts w:eastAsia="TimesNewRoman"/>
          <w:sz w:val="22"/>
          <w:szCs w:val="22"/>
        </w:rPr>
        <w:t xml:space="preserve"> </w:t>
      </w:r>
      <w:r w:rsidRPr="00220850">
        <w:rPr>
          <w:rFonts w:eastAsia="TimesNewRoman"/>
          <w:sz w:val="22"/>
          <w:szCs w:val="22"/>
        </w:rPr>
        <w:t>užpildytos geltona klampia suspensija, ant kurių yra raudono rašalo užrašas “NT 100”</w:t>
      </w:r>
      <w:r w:rsidR="004D21C7" w:rsidRPr="00220850">
        <w:rPr>
          <w:rFonts w:eastAsia="TimesNewRoman"/>
          <w:sz w:val="22"/>
          <w:szCs w:val="22"/>
        </w:rPr>
        <w:t>.</w:t>
      </w:r>
    </w:p>
    <w:p w14:paraId="438FF20C" w14:textId="77777777" w:rsidR="00D721B0" w:rsidRPr="00220850" w:rsidRDefault="00D721B0" w:rsidP="0042604C">
      <w:pPr>
        <w:autoSpaceDE w:val="0"/>
        <w:autoSpaceDN w:val="0"/>
        <w:adjustRightInd w:val="0"/>
        <w:rPr>
          <w:rFonts w:eastAsia="TimesNewRoman"/>
          <w:sz w:val="22"/>
          <w:szCs w:val="22"/>
        </w:rPr>
      </w:pPr>
    </w:p>
    <w:p w14:paraId="04458304" w14:textId="77777777" w:rsidR="00D721B0" w:rsidRPr="00220850" w:rsidRDefault="00D721B0" w:rsidP="00D721B0">
      <w:pPr>
        <w:shd w:val="clear" w:color="auto" w:fill="FFFFFF"/>
        <w:rPr>
          <w:i/>
          <w:sz w:val="22"/>
          <w:szCs w:val="22"/>
          <w:u w:val="single"/>
        </w:rPr>
      </w:pPr>
      <w:proofErr w:type="spellStart"/>
      <w:r w:rsidRPr="00220850">
        <w:rPr>
          <w:i/>
          <w:sz w:val="22"/>
          <w:szCs w:val="22"/>
          <w:u w:val="single"/>
        </w:rPr>
        <w:t>Nintedanib</w:t>
      </w:r>
      <w:proofErr w:type="spellEnd"/>
      <w:r w:rsidRPr="00220850">
        <w:rPr>
          <w:i/>
          <w:sz w:val="22"/>
          <w:szCs w:val="22"/>
          <w:u w:val="single"/>
        </w:rPr>
        <w:t xml:space="preserve"> </w:t>
      </w:r>
      <w:proofErr w:type="spellStart"/>
      <w:r w:rsidRPr="00220850">
        <w:rPr>
          <w:i/>
          <w:sz w:val="22"/>
          <w:szCs w:val="22"/>
          <w:u w:val="single"/>
        </w:rPr>
        <w:t>Teva</w:t>
      </w:r>
      <w:proofErr w:type="spellEnd"/>
      <w:r w:rsidRPr="00220850">
        <w:rPr>
          <w:i/>
          <w:sz w:val="22"/>
          <w:szCs w:val="22"/>
          <w:u w:val="single"/>
        </w:rPr>
        <w:t xml:space="preserve"> 150 mg minkštosios kapsulės</w:t>
      </w:r>
    </w:p>
    <w:p w14:paraId="79BFDCF5" w14:textId="18C23620" w:rsidR="00D721B0" w:rsidRPr="00220850" w:rsidRDefault="00D721B0" w:rsidP="00D721B0">
      <w:pPr>
        <w:autoSpaceDE w:val="0"/>
        <w:autoSpaceDN w:val="0"/>
        <w:adjustRightInd w:val="0"/>
        <w:rPr>
          <w:rFonts w:eastAsia="TimesNewRoman"/>
          <w:sz w:val="22"/>
          <w:szCs w:val="22"/>
        </w:rPr>
      </w:pPr>
      <w:r w:rsidRPr="00220850">
        <w:rPr>
          <w:rFonts w:eastAsia="TimesNewRoman"/>
          <w:sz w:val="22"/>
          <w:szCs w:val="22"/>
        </w:rPr>
        <w:t>R</w:t>
      </w:r>
      <w:r w:rsidR="0042604C" w:rsidRPr="00220850">
        <w:rPr>
          <w:rFonts w:eastAsia="TimesNewRoman"/>
          <w:sz w:val="22"/>
          <w:szCs w:val="22"/>
        </w:rPr>
        <w:t>udos</w:t>
      </w:r>
      <w:r w:rsidRPr="00220850">
        <w:rPr>
          <w:rFonts w:eastAsia="TimesNewRoman"/>
          <w:sz w:val="22"/>
          <w:szCs w:val="22"/>
        </w:rPr>
        <w:t xml:space="preserve"> </w:t>
      </w:r>
      <w:r w:rsidR="004D21C7" w:rsidRPr="00220850">
        <w:rPr>
          <w:rFonts w:eastAsia="TimesNewRoman"/>
          <w:sz w:val="22"/>
          <w:szCs w:val="22"/>
        </w:rPr>
        <w:t xml:space="preserve">spalvos, </w:t>
      </w:r>
      <w:r w:rsidRPr="00220850">
        <w:rPr>
          <w:rFonts w:eastAsia="TimesNewRoman"/>
          <w:sz w:val="22"/>
          <w:szCs w:val="22"/>
        </w:rPr>
        <w:t xml:space="preserve">matinės, pailgos, maždaug 17 mm ilgio kapsulės, užpildytos geltona klampia suspensija, ant kurių yra </w:t>
      </w:r>
      <w:r w:rsidR="00A0382B" w:rsidRPr="00220850">
        <w:rPr>
          <w:rFonts w:eastAsia="TimesNewRoman"/>
          <w:sz w:val="22"/>
          <w:szCs w:val="22"/>
        </w:rPr>
        <w:t>juodo</w:t>
      </w:r>
      <w:r w:rsidRPr="00220850">
        <w:rPr>
          <w:rFonts w:eastAsia="TimesNewRoman"/>
          <w:sz w:val="22"/>
          <w:szCs w:val="22"/>
        </w:rPr>
        <w:t xml:space="preserve"> rašalo užrašas “NT 150”</w:t>
      </w:r>
      <w:r w:rsidR="004D21C7" w:rsidRPr="00220850">
        <w:rPr>
          <w:rFonts w:eastAsia="TimesNewRoman"/>
          <w:sz w:val="22"/>
          <w:szCs w:val="22"/>
        </w:rPr>
        <w:t>.</w:t>
      </w:r>
    </w:p>
    <w:p w14:paraId="508C9F29" w14:textId="77777777" w:rsidR="00DE01F8" w:rsidRPr="00220850" w:rsidRDefault="00DE01F8">
      <w:pPr>
        <w:tabs>
          <w:tab w:val="left" w:pos="567"/>
        </w:tabs>
        <w:spacing w:line="260" w:lineRule="exact"/>
        <w:rPr>
          <w:sz w:val="22"/>
          <w:szCs w:val="24"/>
        </w:rPr>
      </w:pPr>
    </w:p>
    <w:p w14:paraId="3DC2C0FC" w14:textId="77777777" w:rsidR="00DE01F8" w:rsidRPr="00220850" w:rsidRDefault="00DE01F8">
      <w:pPr>
        <w:tabs>
          <w:tab w:val="left" w:pos="567"/>
        </w:tabs>
        <w:spacing w:line="260" w:lineRule="exact"/>
        <w:rPr>
          <w:sz w:val="22"/>
          <w:szCs w:val="24"/>
        </w:rPr>
      </w:pPr>
    </w:p>
    <w:p w14:paraId="73725C42"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4.</w:t>
      </w:r>
      <w:r w:rsidRPr="00220850">
        <w:rPr>
          <w:b/>
          <w:bCs/>
          <w:sz w:val="22"/>
          <w:szCs w:val="26"/>
          <w:lang w:eastAsia="x-none"/>
        </w:rPr>
        <w:tab/>
        <w:t>KLINIKINĖ INFORMACIJA</w:t>
      </w:r>
    </w:p>
    <w:p w14:paraId="054A5295" w14:textId="77777777" w:rsidR="00DE01F8" w:rsidRPr="00220850" w:rsidRDefault="00DE01F8">
      <w:pPr>
        <w:tabs>
          <w:tab w:val="left" w:pos="567"/>
        </w:tabs>
        <w:spacing w:line="260" w:lineRule="exact"/>
        <w:rPr>
          <w:sz w:val="22"/>
          <w:szCs w:val="24"/>
        </w:rPr>
      </w:pPr>
    </w:p>
    <w:p w14:paraId="0F4EC253"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4.1</w:t>
      </w:r>
      <w:r w:rsidRPr="00220850">
        <w:rPr>
          <w:b/>
          <w:bCs/>
          <w:sz w:val="22"/>
          <w:szCs w:val="28"/>
          <w:lang w:eastAsia="x-none"/>
        </w:rPr>
        <w:tab/>
        <w:t>Terapinės indikacijos</w:t>
      </w:r>
    </w:p>
    <w:p w14:paraId="5B81935D" w14:textId="77777777" w:rsidR="00DE01F8" w:rsidRPr="00220850" w:rsidRDefault="00DE01F8">
      <w:pPr>
        <w:tabs>
          <w:tab w:val="left" w:pos="567"/>
        </w:tabs>
        <w:spacing w:line="260" w:lineRule="exact"/>
        <w:rPr>
          <w:sz w:val="22"/>
          <w:szCs w:val="24"/>
        </w:rPr>
      </w:pPr>
    </w:p>
    <w:p w14:paraId="14FF2CE1" w14:textId="77777777" w:rsidR="006872FC" w:rsidRPr="00220850" w:rsidRDefault="00CE11B4" w:rsidP="00CE11B4">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6872FC" w:rsidRPr="00220850">
        <w:rPr>
          <w:rFonts w:eastAsia="TimesNewRoman"/>
          <w:sz w:val="22"/>
          <w:szCs w:val="22"/>
        </w:rPr>
        <w:t>skirtas suaugusiųjų idiopatinės plaučių fibrozės (IPF) gydymui.</w:t>
      </w:r>
    </w:p>
    <w:p w14:paraId="1C698244" w14:textId="77777777" w:rsidR="00CE11B4" w:rsidRPr="00220850" w:rsidRDefault="00CE11B4" w:rsidP="00CE11B4">
      <w:pPr>
        <w:shd w:val="clear" w:color="auto" w:fill="FFFFFF"/>
        <w:rPr>
          <w:sz w:val="22"/>
          <w:szCs w:val="22"/>
        </w:rPr>
      </w:pPr>
    </w:p>
    <w:p w14:paraId="16B72BF8" w14:textId="77777777" w:rsidR="006872FC" w:rsidRPr="00220850" w:rsidRDefault="00CE11B4" w:rsidP="00CE11B4">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6872FC" w:rsidRPr="00220850">
        <w:rPr>
          <w:rFonts w:eastAsia="TimesNewRoman"/>
          <w:sz w:val="22"/>
          <w:szCs w:val="22"/>
        </w:rPr>
        <w:t xml:space="preserve">taip pat yra skirtas suaugusiųjų kitų lėtinių </w:t>
      </w:r>
      <w:proofErr w:type="spellStart"/>
      <w:r w:rsidR="006872FC" w:rsidRPr="00220850">
        <w:rPr>
          <w:rFonts w:eastAsia="TimesNewRoman"/>
          <w:sz w:val="22"/>
          <w:szCs w:val="22"/>
        </w:rPr>
        <w:t>fibrozinių</w:t>
      </w:r>
      <w:proofErr w:type="spellEnd"/>
      <w:r w:rsidR="006872FC" w:rsidRPr="00220850">
        <w:rPr>
          <w:rFonts w:eastAsia="TimesNewRoman"/>
          <w:sz w:val="22"/>
          <w:szCs w:val="22"/>
        </w:rPr>
        <w:t xml:space="preserve"> progresuojančio fenotipo </w:t>
      </w:r>
      <w:proofErr w:type="spellStart"/>
      <w:r w:rsidR="006872FC" w:rsidRPr="00220850">
        <w:rPr>
          <w:rFonts w:eastAsia="TimesNewRoman"/>
          <w:sz w:val="22"/>
          <w:szCs w:val="22"/>
        </w:rPr>
        <w:t>intersticinių</w:t>
      </w:r>
      <w:proofErr w:type="spellEnd"/>
      <w:r w:rsidRPr="00220850">
        <w:rPr>
          <w:rFonts w:eastAsia="TimesNewRoman"/>
          <w:sz w:val="22"/>
          <w:szCs w:val="22"/>
        </w:rPr>
        <w:t xml:space="preserve"> </w:t>
      </w:r>
      <w:r w:rsidR="006872FC" w:rsidRPr="00220850">
        <w:rPr>
          <w:rFonts w:eastAsia="TimesNewRoman"/>
          <w:sz w:val="22"/>
          <w:szCs w:val="22"/>
        </w:rPr>
        <w:t>plaučių ligų (IPL) gydymui (žr. 5.1 skyrių).</w:t>
      </w:r>
    </w:p>
    <w:p w14:paraId="4DC56861" w14:textId="5B596D7B" w:rsidR="00252B76" w:rsidRPr="00220850" w:rsidRDefault="00342B59" w:rsidP="00CE11B4">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5E5A06" w:rsidRPr="00220850">
        <w:rPr>
          <w:sz w:val="22"/>
          <w:szCs w:val="22"/>
        </w:rPr>
        <w:t xml:space="preserve">skirtas 6–17 metų vaikų ir paauglių kliniškai reikšmingų, progresuojančių </w:t>
      </w:r>
      <w:proofErr w:type="spellStart"/>
      <w:r w:rsidR="005E5A06" w:rsidRPr="00220850">
        <w:rPr>
          <w:sz w:val="22"/>
          <w:szCs w:val="22"/>
        </w:rPr>
        <w:t>fibrozinių</w:t>
      </w:r>
      <w:proofErr w:type="spellEnd"/>
      <w:r w:rsidR="005E5A06" w:rsidRPr="00220850">
        <w:rPr>
          <w:sz w:val="22"/>
          <w:szCs w:val="22"/>
        </w:rPr>
        <w:t xml:space="preserve"> </w:t>
      </w:r>
      <w:proofErr w:type="spellStart"/>
      <w:r w:rsidR="005E5A06" w:rsidRPr="00220850">
        <w:rPr>
          <w:sz w:val="22"/>
          <w:szCs w:val="22"/>
        </w:rPr>
        <w:t>intersticinių</w:t>
      </w:r>
      <w:proofErr w:type="spellEnd"/>
      <w:r w:rsidR="005E5A06" w:rsidRPr="00220850">
        <w:rPr>
          <w:sz w:val="22"/>
          <w:szCs w:val="22"/>
        </w:rPr>
        <w:t xml:space="preserve"> plaučių ligų (IPL) gydymui (žr. 4.2 ir 5.1 skyrius).</w:t>
      </w:r>
    </w:p>
    <w:p w14:paraId="30153B4D" w14:textId="77777777" w:rsidR="005E5A06" w:rsidRPr="00220850" w:rsidRDefault="005E5A06" w:rsidP="00CE11B4">
      <w:pPr>
        <w:shd w:val="clear" w:color="auto" w:fill="FFFFFF"/>
        <w:rPr>
          <w:sz w:val="22"/>
          <w:szCs w:val="22"/>
        </w:rPr>
      </w:pPr>
    </w:p>
    <w:p w14:paraId="09D150E0" w14:textId="5AC693AE" w:rsidR="00DE01F8" w:rsidRPr="00220850" w:rsidRDefault="00CE11B4" w:rsidP="00CE11B4">
      <w:pPr>
        <w:shd w:val="clear" w:color="auto" w:fill="FFFFFF"/>
        <w:rPr>
          <w:sz w:val="22"/>
          <w:szCs w:val="24"/>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6872FC" w:rsidRPr="00220850">
        <w:rPr>
          <w:rFonts w:eastAsia="TimesNewRoman"/>
          <w:sz w:val="22"/>
          <w:szCs w:val="22"/>
        </w:rPr>
        <w:t xml:space="preserve">skirtas su sistemine skleroze susijusiai </w:t>
      </w:r>
      <w:r w:rsidRPr="00220850">
        <w:rPr>
          <w:rFonts w:eastAsia="TimesNewRoman"/>
          <w:sz w:val="22"/>
          <w:szCs w:val="22"/>
        </w:rPr>
        <w:t>suaugusiųjų</w:t>
      </w:r>
      <w:r w:rsidR="00252B76" w:rsidRPr="00220850">
        <w:rPr>
          <w:rFonts w:eastAsia="TimesNewRoman"/>
          <w:sz w:val="22"/>
          <w:szCs w:val="22"/>
        </w:rPr>
        <w:t xml:space="preserve">, </w:t>
      </w:r>
      <w:r w:rsidR="005E5A06" w:rsidRPr="00220850">
        <w:rPr>
          <w:rFonts w:eastAsia="TimesNewRoman"/>
          <w:sz w:val="22"/>
          <w:szCs w:val="22"/>
        </w:rPr>
        <w:t xml:space="preserve">paauglių ir 6 metų bei vyresnių vaikų </w:t>
      </w:r>
      <w:proofErr w:type="spellStart"/>
      <w:r w:rsidR="006872FC" w:rsidRPr="00220850">
        <w:rPr>
          <w:rFonts w:eastAsia="TimesNewRoman"/>
          <w:sz w:val="22"/>
          <w:szCs w:val="22"/>
        </w:rPr>
        <w:t>intersticinei</w:t>
      </w:r>
      <w:proofErr w:type="spellEnd"/>
      <w:r w:rsidR="006872FC" w:rsidRPr="00220850">
        <w:rPr>
          <w:rFonts w:eastAsia="TimesNewRoman"/>
          <w:sz w:val="22"/>
          <w:szCs w:val="22"/>
        </w:rPr>
        <w:t xml:space="preserve"> plaučių</w:t>
      </w:r>
      <w:r w:rsidRPr="00220850">
        <w:rPr>
          <w:rFonts w:eastAsia="TimesNewRoman"/>
          <w:sz w:val="22"/>
          <w:szCs w:val="22"/>
        </w:rPr>
        <w:t xml:space="preserve"> ligai (SS-IPL) gydyti.</w:t>
      </w:r>
    </w:p>
    <w:p w14:paraId="226A32ED" w14:textId="77777777" w:rsidR="00220850" w:rsidRPr="00220850" w:rsidRDefault="00220850">
      <w:pPr>
        <w:keepNext/>
        <w:tabs>
          <w:tab w:val="left" w:pos="567"/>
        </w:tabs>
        <w:spacing w:line="260" w:lineRule="exact"/>
        <w:jc w:val="both"/>
        <w:outlineLvl w:val="3"/>
        <w:rPr>
          <w:b/>
          <w:bCs/>
          <w:sz w:val="22"/>
          <w:szCs w:val="28"/>
          <w:lang w:eastAsia="x-none"/>
        </w:rPr>
      </w:pPr>
    </w:p>
    <w:p w14:paraId="49534026" w14:textId="5E23E738"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4.2</w:t>
      </w:r>
      <w:r w:rsidRPr="00220850">
        <w:rPr>
          <w:b/>
          <w:bCs/>
          <w:sz w:val="22"/>
          <w:szCs w:val="28"/>
          <w:lang w:eastAsia="x-none"/>
        </w:rPr>
        <w:tab/>
        <w:t>Dozavimas ir vartojimo metodas</w:t>
      </w:r>
    </w:p>
    <w:p w14:paraId="19D0C461" w14:textId="77777777" w:rsidR="00DE01F8" w:rsidRPr="00220850" w:rsidRDefault="00DE01F8">
      <w:pPr>
        <w:tabs>
          <w:tab w:val="left" w:pos="567"/>
        </w:tabs>
        <w:spacing w:line="260" w:lineRule="exact"/>
        <w:rPr>
          <w:sz w:val="22"/>
          <w:szCs w:val="24"/>
        </w:rPr>
      </w:pPr>
    </w:p>
    <w:p w14:paraId="790A7728" w14:textId="035D4BB8" w:rsidR="00CE11B4" w:rsidRPr="00220850" w:rsidRDefault="00252B76">
      <w:pPr>
        <w:tabs>
          <w:tab w:val="left" w:pos="567"/>
        </w:tabs>
        <w:spacing w:line="260" w:lineRule="exact"/>
        <w:rPr>
          <w:sz w:val="22"/>
          <w:szCs w:val="24"/>
        </w:rPr>
      </w:pPr>
      <w:r w:rsidRPr="00220850">
        <w:rPr>
          <w:i/>
          <w:iCs/>
          <w:sz w:val="22"/>
          <w:szCs w:val="24"/>
        </w:rPr>
        <w:t>Suaugusiesiems:</w:t>
      </w:r>
      <w:r w:rsidRPr="00220850">
        <w:rPr>
          <w:sz w:val="22"/>
          <w:szCs w:val="24"/>
        </w:rPr>
        <w:t xml:space="preserve"> g</w:t>
      </w:r>
      <w:r w:rsidR="00CE11B4" w:rsidRPr="00220850">
        <w:rPr>
          <w:sz w:val="22"/>
          <w:szCs w:val="24"/>
        </w:rPr>
        <w:t xml:space="preserve">ydymą turi pradėti gydytojai, turintys ligų, kurioms gydyti </w:t>
      </w:r>
      <w:proofErr w:type="spellStart"/>
      <w:r w:rsidR="0023629B" w:rsidRPr="00220850">
        <w:rPr>
          <w:sz w:val="22"/>
          <w:szCs w:val="24"/>
        </w:rPr>
        <w:t>Nintedanib</w:t>
      </w:r>
      <w:proofErr w:type="spellEnd"/>
      <w:r w:rsidR="0023629B" w:rsidRPr="00220850">
        <w:rPr>
          <w:sz w:val="22"/>
          <w:szCs w:val="24"/>
        </w:rPr>
        <w:t xml:space="preserve"> </w:t>
      </w:r>
      <w:proofErr w:type="spellStart"/>
      <w:r w:rsidR="0023629B" w:rsidRPr="00220850">
        <w:rPr>
          <w:sz w:val="22"/>
          <w:szCs w:val="24"/>
        </w:rPr>
        <w:t>Teva</w:t>
      </w:r>
      <w:proofErr w:type="spellEnd"/>
      <w:r w:rsidR="00CE11B4" w:rsidRPr="00220850">
        <w:rPr>
          <w:sz w:val="22"/>
          <w:szCs w:val="24"/>
        </w:rPr>
        <w:t xml:space="preserve"> yra patvirtintas, valdymo patirties.</w:t>
      </w:r>
    </w:p>
    <w:p w14:paraId="218A2308" w14:textId="2D2E90EF" w:rsidR="00CE11B4" w:rsidRPr="00220850" w:rsidRDefault="005E5A06">
      <w:pPr>
        <w:tabs>
          <w:tab w:val="left" w:pos="567"/>
        </w:tabs>
        <w:spacing w:line="260" w:lineRule="exact"/>
        <w:rPr>
          <w:sz w:val="22"/>
          <w:szCs w:val="24"/>
          <w:u w:val="single"/>
        </w:rPr>
      </w:pPr>
      <w:r w:rsidRPr="00220850">
        <w:rPr>
          <w:sz w:val="22"/>
          <w:szCs w:val="24"/>
        </w:rPr>
        <w:t xml:space="preserve">Vaikams: </w:t>
      </w:r>
      <w:r w:rsidR="006406C7" w:rsidRPr="00220850">
        <w:rPr>
          <w:sz w:val="22"/>
          <w:szCs w:val="24"/>
        </w:rPr>
        <w:t xml:space="preserve">gydymas turi būti pradedamas tik po to, kai sprendimą priima </w:t>
      </w:r>
      <w:proofErr w:type="spellStart"/>
      <w:r w:rsidR="006406C7" w:rsidRPr="00220850">
        <w:rPr>
          <w:sz w:val="22"/>
          <w:szCs w:val="24"/>
        </w:rPr>
        <w:t>daugiadalykė</w:t>
      </w:r>
      <w:proofErr w:type="spellEnd"/>
      <w:r w:rsidR="006406C7" w:rsidRPr="00220850">
        <w:rPr>
          <w:sz w:val="22"/>
          <w:szCs w:val="24"/>
        </w:rPr>
        <w:t xml:space="preserve"> komanda </w:t>
      </w:r>
      <w:r w:rsidRPr="00220850">
        <w:rPr>
          <w:sz w:val="22"/>
          <w:szCs w:val="24"/>
        </w:rPr>
        <w:t xml:space="preserve">(gydantis gydytojas, radiologas, patologas), turintys </w:t>
      </w:r>
      <w:proofErr w:type="spellStart"/>
      <w:r w:rsidRPr="00220850">
        <w:rPr>
          <w:sz w:val="22"/>
          <w:szCs w:val="24"/>
        </w:rPr>
        <w:t>fibrozinių</w:t>
      </w:r>
      <w:proofErr w:type="spellEnd"/>
      <w:r w:rsidRPr="00220850">
        <w:rPr>
          <w:sz w:val="22"/>
          <w:szCs w:val="24"/>
        </w:rPr>
        <w:t xml:space="preserve"> </w:t>
      </w:r>
      <w:proofErr w:type="spellStart"/>
      <w:r w:rsidRPr="00220850">
        <w:rPr>
          <w:sz w:val="22"/>
          <w:szCs w:val="24"/>
        </w:rPr>
        <w:t>intersticinių</w:t>
      </w:r>
      <w:proofErr w:type="spellEnd"/>
      <w:r w:rsidRPr="00220850">
        <w:rPr>
          <w:sz w:val="22"/>
          <w:szCs w:val="22"/>
        </w:rPr>
        <w:t xml:space="preserve"> plaučių ligų (IPL) diagnozavimo ir gydymo patirties.</w:t>
      </w:r>
    </w:p>
    <w:p w14:paraId="2C77042C" w14:textId="77777777" w:rsidR="00C44324" w:rsidRPr="00220850" w:rsidRDefault="00C44324">
      <w:pPr>
        <w:tabs>
          <w:tab w:val="left" w:pos="567"/>
        </w:tabs>
        <w:spacing w:line="260" w:lineRule="exact"/>
        <w:rPr>
          <w:sz w:val="22"/>
          <w:szCs w:val="24"/>
          <w:u w:val="single"/>
        </w:rPr>
      </w:pPr>
    </w:p>
    <w:p w14:paraId="4B6EBA27" w14:textId="67BF2EE5" w:rsidR="00DE01F8" w:rsidRPr="00220850" w:rsidRDefault="002D5C8E">
      <w:pPr>
        <w:tabs>
          <w:tab w:val="left" w:pos="567"/>
        </w:tabs>
        <w:spacing w:line="260" w:lineRule="exact"/>
        <w:rPr>
          <w:sz w:val="22"/>
          <w:szCs w:val="24"/>
          <w:u w:val="single"/>
        </w:rPr>
      </w:pPr>
      <w:r w:rsidRPr="00220850">
        <w:rPr>
          <w:sz w:val="22"/>
          <w:szCs w:val="24"/>
          <w:u w:val="single"/>
        </w:rPr>
        <w:t>Dozavimas</w:t>
      </w:r>
    </w:p>
    <w:p w14:paraId="71E8589C" w14:textId="77777777" w:rsidR="00DE01F8" w:rsidRPr="00220850" w:rsidRDefault="00DE01F8">
      <w:pPr>
        <w:tabs>
          <w:tab w:val="left" w:pos="567"/>
        </w:tabs>
        <w:spacing w:line="260" w:lineRule="exact"/>
        <w:rPr>
          <w:sz w:val="22"/>
          <w:szCs w:val="24"/>
        </w:rPr>
      </w:pPr>
    </w:p>
    <w:p w14:paraId="799C4ED5" w14:textId="6B9F5402" w:rsidR="00CE11B4" w:rsidRPr="00220850" w:rsidRDefault="00CE11B4" w:rsidP="00CE11B4">
      <w:pPr>
        <w:autoSpaceDE w:val="0"/>
        <w:autoSpaceDN w:val="0"/>
        <w:adjustRightInd w:val="0"/>
        <w:rPr>
          <w:rFonts w:eastAsia="TimesNewRoman,Italic"/>
          <w:i/>
          <w:iCs/>
          <w:sz w:val="22"/>
          <w:szCs w:val="22"/>
        </w:rPr>
      </w:pPr>
      <w:r w:rsidRPr="00220850">
        <w:rPr>
          <w:rFonts w:eastAsia="TimesNewRoman,Italic"/>
          <w:i/>
          <w:iCs/>
          <w:sz w:val="22"/>
          <w:szCs w:val="22"/>
        </w:rPr>
        <w:t>Suaugusie</w:t>
      </w:r>
      <w:r w:rsidR="006855F3" w:rsidRPr="00220850">
        <w:rPr>
          <w:rFonts w:eastAsia="TimesNewRoman,Italic"/>
          <w:i/>
          <w:iCs/>
          <w:sz w:val="22"/>
          <w:szCs w:val="22"/>
        </w:rPr>
        <w:t>siems</w:t>
      </w:r>
    </w:p>
    <w:p w14:paraId="6323E41D" w14:textId="77777777" w:rsidR="005E5A06" w:rsidRPr="00220850" w:rsidRDefault="005E5A06" w:rsidP="005E5A06">
      <w:pPr>
        <w:pStyle w:val="Default"/>
        <w:rPr>
          <w:color w:val="auto"/>
        </w:rPr>
      </w:pPr>
    </w:p>
    <w:p w14:paraId="72F308B2" w14:textId="77777777" w:rsidR="005E5A06" w:rsidRPr="00220850" w:rsidRDefault="005E5A06" w:rsidP="00F676CB">
      <w:pPr>
        <w:pStyle w:val="Default"/>
        <w:numPr>
          <w:ilvl w:val="0"/>
          <w:numId w:val="75"/>
        </w:numPr>
        <w:ind w:left="567" w:hanging="567"/>
        <w:rPr>
          <w:color w:val="auto"/>
          <w:sz w:val="22"/>
          <w:szCs w:val="22"/>
          <w:lang w:val="lt-LT"/>
        </w:rPr>
      </w:pPr>
      <w:r w:rsidRPr="00220850">
        <w:rPr>
          <w:i/>
          <w:iCs/>
          <w:color w:val="auto"/>
          <w:sz w:val="22"/>
          <w:szCs w:val="22"/>
          <w:lang w:val="lt-LT"/>
        </w:rPr>
        <w:lastRenderedPageBreak/>
        <w:t xml:space="preserve">Idiopatinė plaučių fibrozė (IPF); </w:t>
      </w:r>
    </w:p>
    <w:p w14:paraId="70A17E89" w14:textId="78108158" w:rsidR="005E5A06" w:rsidRPr="00220850" w:rsidRDefault="005E5A06" w:rsidP="00F676CB">
      <w:pPr>
        <w:pStyle w:val="Default"/>
        <w:numPr>
          <w:ilvl w:val="0"/>
          <w:numId w:val="75"/>
        </w:numPr>
        <w:ind w:left="567" w:hanging="567"/>
        <w:rPr>
          <w:color w:val="auto"/>
          <w:sz w:val="22"/>
          <w:szCs w:val="22"/>
          <w:lang w:val="lt-LT"/>
        </w:rPr>
      </w:pPr>
      <w:r w:rsidRPr="00220850">
        <w:rPr>
          <w:i/>
          <w:iCs/>
          <w:color w:val="auto"/>
          <w:sz w:val="22"/>
          <w:szCs w:val="22"/>
          <w:lang w:val="lt-LT"/>
        </w:rPr>
        <w:t xml:space="preserve">Kitos lėtinės </w:t>
      </w:r>
      <w:proofErr w:type="spellStart"/>
      <w:r w:rsidRPr="00220850">
        <w:rPr>
          <w:i/>
          <w:iCs/>
          <w:color w:val="auto"/>
          <w:sz w:val="22"/>
          <w:szCs w:val="22"/>
          <w:lang w:val="lt-LT"/>
        </w:rPr>
        <w:t>fibrozinės</w:t>
      </w:r>
      <w:proofErr w:type="spellEnd"/>
      <w:r w:rsidRPr="00220850">
        <w:rPr>
          <w:i/>
          <w:iCs/>
          <w:color w:val="auto"/>
          <w:sz w:val="22"/>
          <w:szCs w:val="22"/>
          <w:lang w:val="lt-LT"/>
        </w:rPr>
        <w:t xml:space="preserve"> progresuojančio fenotipo </w:t>
      </w:r>
      <w:proofErr w:type="spellStart"/>
      <w:r w:rsidRPr="00220850">
        <w:rPr>
          <w:i/>
          <w:iCs/>
          <w:color w:val="auto"/>
          <w:sz w:val="22"/>
          <w:szCs w:val="22"/>
          <w:lang w:val="lt-LT"/>
        </w:rPr>
        <w:t>intersticinės</w:t>
      </w:r>
      <w:proofErr w:type="spellEnd"/>
      <w:r w:rsidRPr="00220850">
        <w:rPr>
          <w:i/>
          <w:iCs/>
          <w:color w:val="auto"/>
          <w:sz w:val="22"/>
          <w:szCs w:val="22"/>
          <w:lang w:val="lt-LT"/>
        </w:rPr>
        <w:t xml:space="preserve"> plaučių ligos (IPL); </w:t>
      </w:r>
    </w:p>
    <w:p w14:paraId="7E8040EE" w14:textId="0A537DE0" w:rsidR="005E5A06" w:rsidRPr="00220850" w:rsidRDefault="005E5A06" w:rsidP="00F676CB">
      <w:pPr>
        <w:pStyle w:val="Default"/>
        <w:numPr>
          <w:ilvl w:val="0"/>
          <w:numId w:val="75"/>
        </w:numPr>
        <w:ind w:left="567" w:hanging="567"/>
        <w:rPr>
          <w:color w:val="auto"/>
          <w:sz w:val="22"/>
          <w:szCs w:val="22"/>
          <w:lang w:val="lt-LT"/>
        </w:rPr>
      </w:pPr>
      <w:r w:rsidRPr="00220850">
        <w:rPr>
          <w:i/>
          <w:iCs/>
          <w:color w:val="auto"/>
          <w:sz w:val="22"/>
          <w:szCs w:val="22"/>
          <w:lang w:val="lt-LT"/>
        </w:rPr>
        <w:t xml:space="preserve">Su sistemine skleroze susijusi </w:t>
      </w:r>
      <w:proofErr w:type="spellStart"/>
      <w:r w:rsidRPr="00220850">
        <w:rPr>
          <w:i/>
          <w:iCs/>
          <w:color w:val="auto"/>
          <w:sz w:val="22"/>
          <w:szCs w:val="22"/>
          <w:lang w:val="lt-LT"/>
        </w:rPr>
        <w:t>intersticinė</w:t>
      </w:r>
      <w:proofErr w:type="spellEnd"/>
      <w:r w:rsidRPr="00220850">
        <w:rPr>
          <w:i/>
          <w:iCs/>
          <w:color w:val="auto"/>
          <w:sz w:val="22"/>
          <w:szCs w:val="22"/>
          <w:lang w:val="lt-LT"/>
        </w:rPr>
        <w:t xml:space="preserve"> plaučių liga (SS-IPL). </w:t>
      </w:r>
    </w:p>
    <w:p w14:paraId="460F7896" w14:textId="77777777" w:rsidR="00252B76" w:rsidRPr="00220850" w:rsidRDefault="00252B76" w:rsidP="00F676CB">
      <w:pPr>
        <w:autoSpaceDE w:val="0"/>
        <w:autoSpaceDN w:val="0"/>
        <w:adjustRightInd w:val="0"/>
        <w:ind w:left="567" w:hanging="567"/>
        <w:rPr>
          <w:rFonts w:eastAsia="TimesNewRoman"/>
          <w:sz w:val="22"/>
          <w:szCs w:val="22"/>
        </w:rPr>
      </w:pPr>
    </w:p>
    <w:p w14:paraId="7C892C73" w14:textId="2F5409FA" w:rsidR="00CE11B4" w:rsidRPr="00220850" w:rsidRDefault="00CE11B4" w:rsidP="00252B76">
      <w:pPr>
        <w:autoSpaceDE w:val="0"/>
        <w:autoSpaceDN w:val="0"/>
        <w:adjustRightInd w:val="0"/>
        <w:rPr>
          <w:rFonts w:eastAsia="TimesNewRoman"/>
          <w:sz w:val="22"/>
          <w:szCs w:val="22"/>
        </w:rPr>
      </w:pPr>
      <w:r w:rsidRPr="00220850">
        <w:rPr>
          <w:rFonts w:eastAsia="TimesNewRoman"/>
          <w:sz w:val="22"/>
          <w:szCs w:val="22"/>
        </w:rPr>
        <w:t xml:space="preserve">Rekomenduojama </w:t>
      </w:r>
      <w:proofErr w:type="spellStart"/>
      <w:r w:rsidRPr="00220850">
        <w:rPr>
          <w:rFonts w:eastAsia="TimesNewRoman"/>
          <w:sz w:val="22"/>
          <w:szCs w:val="22"/>
        </w:rPr>
        <w:t>nintedanibo</w:t>
      </w:r>
      <w:proofErr w:type="spellEnd"/>
      <w:r w:rsidRPr="00220850">
        <w:rPr>
          <w:rFonts w:eastAsia="TimesNewRoman"/>
          <w:sz w:val="22"/>
          <w:szCs w:val="22"/>
        </w:rPr>
        <w:t xml:space="preserve"> dozė yra 150 mg du kartus per parą, maždaug kas 12 valandų.</w:t>
      </w:r>
    </w:p>
    <w:p w14:paraId="357B2759" w14:textId="77777777"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100 mg dozė, vartojama du kartus per parą, rekomenduojama tik tiems pacientams, kurie netoleruoja 150 mg dozės, vartojamos du kartus per parą.</w:t>
      </w:r>
    </w:p>
    <w:p w14:paraId="50A146A4" w14:textId="77777777" w:rsidR="00CE11B4" w:rsidRPr="00220850" w:rsidRDefault="00CE11B4" w:rsidP="00CE11B4">
      <w:pPr>
        <w:autoSpaceDE w:val="0"/>
        <w:autoSpaceDN w:val="0"/>
        <w:adjustRightInd w:val="0"/>
        <w:rPr>
          <w:rFonts w:eastAsia="TimesNewRoman"/>
          <w:sz w:val="22"/>
          <w:szCs w:val="22"/>
        </w:rPr>
      </w:pPr>
    </w:p>
    <w:p w14:paraId="561FDC17" w14:textId="77777777"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Jei dozė praleidžiama, vartojimą reikia atnaujinti rekomenduojamą dozę vartojant planuotu artimiausios dozės laiku. Jei pacientas dozę praleidžia, papildomos dozės jam vartoti negalima. Negalima viršyti maksimalios rekomenduojamos 30</w:t>
      </w:r>
      <w:r w:rsidR="00AD1927" w:rsidRPr="00220850">
        <w:rPr>
          <w:rFonts w:eastAsia="TimesNewRoman"/>
          <w:sz w:val="22"/>
          <w:szCs w:val="22"/>
        </w:rPr>
        <w:t>0</w:t>
      </w:r>
      <w:r w:rsidRPr="00220850">
        <w:rPr>
          <w:rFonts w:eastAsia="TimesNewRoman"/>
          <w:sz w:val="22"/>
          <w:szCs w:val="22"/>
        </w:rPr>
        <w:t> mg paros dozės.</w:t>
      </w:r>
    </w:p>
    <w:p w14:paraId="1F4B4862" w14:textId="77777777" w:rsidR="00CE11B4" w:rsidRPr="00220850" w:rsidRDefault="00CE11B4" w:rsidP="00CE11B4">
      <w:pPr>
        <w:autoSpaceDE w:val="0"/>
        <w:autoSpaceDN w:val="0"/>
        <w:adjustRightInd w:val="0"/>
        <w:rPr>
          <w:rFonts w:eastAsia="TimesNewRoman,Italic"/>
          <w:i/>
          <w:iCs/>
          <w:sz w:val="22"/>
          <w:szCs w:val="22"/>
        </w:rPr>
      </w:pPr>
    </w:p>
    <w:p w14:paraId="26248BE7" w14:textId="77777777" w:rsidR="00CE11B4" w:rsidRPr="00220850" w:rsidRDefault="00CE11B4" w:rsidP="00CE11B4">
      <w:pPr>
        <w:autoSpaceDE w:val="0"/>
        <w:autoSpaceDN w:val="0"/>
        <w:adjustRightInd w:val="0"/>
        <w:rPr>
          <w:rFonts w:eastAsia="TimesNewRoman,Italic"/>
          <w:i/>
          <w:iCs/>
          <w:sz w:val="22"/>
          <w:szCs w:val="22"/>
        </w:rPr>
      </w:pPr>
      <w:r w:rsidRPr="00220850">
        <w:rPr>
          <w:rFonts w:eastAsia="TimesNewRoman,Italic"/>
          <w:i/>
          <w:iCs/>
          <w:sz w:val="22"/>
          <w:szCs w:val="22"/>
        </w:rPr>
        <w:t>Dozės koregavimas</w:t>
      </w:r>
    </w:p>
    <w:p w14:paraId="6317EE83" w14:textId="17D0A39A" w:rsidR="00CE11B4" w:rsidRPr="00220850" w:rsidRDefault="00CE11B4" w:rsidP="00CE11B4">
      <w:pPr>
        <w:shd w:val="clear" w:color="auto" w:fill="FFFFFF"/>
        <w:rPr>
          <w:rFonts w:eastAsia="TimesNewRoman"/>
          <w:sz w:val="22"/>
          <w:szCs w:val="22"/>
        </w:rPr>
      </w:pPr>
      <w:r w:rsidRPr="00220850">
        <w:rPr>
          <w:rFonts w:eastAsia="TimesNewRoman"/>
          <w:sz w:val="22"/>
          <w:szCs w:val="22"/>
        </w:rPr>
        <w:t xml:space="preserve">Nepageidaujamoms reakcijoms į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Pr="00220850">
        <w:rPr>
          <w:rFonts w:eastAsia="TimesNewRoman"/>
          <w:sz w:val="22"/>
          <w:szCs w:val="22"/>
        </w:rPr>
        <w:t xml:space="preserve">(žr. 4.4 ir 4.8 skyrius) valdyti be simptominio gydymo, jeigu jis taikytinas, </w:t>
      </w:r>
      <w:r w:rsidR="006D0324" w:rsidRPr="00220850">
        <w:rPr>
          <w:rFonts w:eastAsia="TimesNewRoman"/>
          <w:sz w:val="22"/>
          <w:szCs w:val="22"/>
        </w:rPr>
        <w:t xml:space="preserve">papildomai </w:t>
      </w:r>
      <w:r w:rsidRPr="00220850">
        <w:rPr>
          <w:rFonts w:eastAsia="TimesNewRoman"/>
          <w:sz w:val="22"/>
          <w:szCs w:val="22"/>
        </w:rPr>
        <w:t xml:space="preserve">galima sumažinti dozę arba laikinai </w:t>
      </w:r>
      <w:r w:rsidR="005D2E06" w:rsidRPr="00220850">
        <w:rPr>
          <w:rFonts w:eastAsia="TimesNewRoman"/>
          <w:sz w:val="22"/>
          <w:szCs w:val="22"/>
        </w:rPr>
        <w:t xml:space="preserve">nutraukti </w:t>
      </w:r>
      <w:r w:rsidRPr="00220850">
        <w:rPr>
          <w:rFonts w:eastAsia="TimesNewRoman"/>
          <w:sz w:val="22"/>
          <w:szCs w:val="22"/>
        </w:rPr>
        <w:t xml:space="preserve">gydymą, kol specifinė nepageidaujama reakcija susilpnės iki lygio, leidžiančio gydymą tęsti. Gydymas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5D2E06" w:rsidRPr="00220850">
        <w:rPr>
          <w:sz w:val="22"/>
          <w:szCs w:val="22"/>
        </w:rPr>
        <w:t xml:space="preserve">vartojimas </w:t>
      </w:r>
      <w:r w:rsidRPr="00220850">
        <w:rPr>
          <w:rFonts w:eastAsia="TimesNewRoman"/>
          <w:sz w:val="22"/>
          <w:szCs w:val="22"/>
        </w:rPr>
        <w:t xml:space="preserve">gali būti atnaujintas visa doze (150 mg du kartus per parą suaugusiems pacientams) arba sumažinta doze (100 mg du kartus per parą suaugusiems pacientams). Jei suaugęs pacientas netoleruoja </w:t>
      </w:r>
      <w:r w:rsidR="006D0324" w:rsidRPr="00220850">
        <w:rPr>
          <w:rFonts w:eastAsia="TimesNewRoman"/>
          <w:sz w:val="22"/>
          <w:szCs w:val="22"/>
        </w:rPr>
        <w:t xml:space="preserve">100 mg </w:t>
      </w:r>
      <w:r w:rsidRPr="00220850">
        <w:rPr>
          <w:rFonts w:eastAsia="TimesNewRoman"/>
          <w:sz w:val="22"/>
          <w:szCs w:val="22"/>
        </w:rPr>
        <w:t xml:space="preserve">du kartus per parą dozės, gydymą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Pr="00220850">
        <w:rPr>
          <w:rFonts w:eastAsia="TimesNewRoman"/>
          <w:sz w:val="22"/>
          <w:szCs w:val="22"/>
        </w:rPr>
        <w:t>reikia nutraukti.</w:t>
      </w:r>
    </w:p>
    <w:p w14:paraId="28261060" w14:textId="77777777" w:rsidR="00CE11B4" w:rsidRPr="00220850" w:rsidRDefault="00CE11B4" w:rsidP="00CE11B4">
      <w:pPr>
        <w:autoSpaceDE w:val="0"/>
        <w:autoSpaceDN w:val="0"/>
        <w:adjustRightInd w:val="0"/>
        <w:rPr>
          <w:rFonts w:eastAsia="TimesNewRoman"/>
          <w:sz w:val="22"/>
          <w:szCs w:val="22"/>
        </w:rPr>
      </w:pPr>
    </w:p>
    <w:p w14:paraId="574F0538" w14:textId="33EE1376"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Jei nepaisant tinkamo pa</w:t>
      </w:r>
      <w:r w:rsidR="006D0324" w:rsidRPr="00220850">
        <w:rPr>
          <w:rFonts w:eastAsia="TimesNewRoman"/>
          <w:sz w:val="22"/>
          <w:szCs w:val="22"/>
        </w:rPr>
        <w:t xml:space="preserve">pildomo </w:t>
      </w:r>
      <w:r w:rsidRPr="00220850">
        <w:rPr>
          <w:rFonts w:eastAsia="TimesNewRoman"/>
          <w:sz w:val="22"/>
          <w:szCs w:val="22"/>
        </w:rPr>
        <w:t>gydymo (įskaitant vėmimą slopinan</w:t>
      </w:r>
      <w:r w:rsidR="005D2E06" w:rsidRPr="00220850">
        <w:rPr>
          <w:rFonts w:eastAsia="TimesNewRoman"/>
          <w:sz w:val="22"/>
          <w:szCs w:val="22"/>
        </w:rPr>
        <w:t>tį</w:t>
      </w:r>
      <w:r w:rsidR="004A16EB" w:rsidRPr="00220850">
        <w:rPr>
          <w:rFonts w:eastAsia="TimesNewRoman"/>
          <w:sz w:val="22"/>
          <w:szCs w:val="22"/>
        </w:rPr>
        <w:t xml:space="preserve"> </w:t>
      </w:r>
      <w:r w:rsidR="005D2E06" w:rsidRPr="00220850">
        <w:rPr>
          <w:rFonts w:eastAsia="TimesNewRoman"/>
          <w:sz w:val="22"/>
          <w:szCs w:val="22"/>
        </w:rPr>
        <w:t>gydymą</w:t>
      </w:r>
      <w:r w:rsidRPr="00220850">
        <w:rPr>
          <w:rFonts w:eastAsia="TimesNewRoman"/>
          <w:sz w:val="22"/>
          <w:szCs w:val="22"/>
        </w:rPr>
        <w:t>) viduriavimas,</w:t>
      </w:r>
      <w:r w:rsidR="004A16EB" w:rsidRPr="00220850">
        <w:rPr>
          <w:rFonts w:eastAsia="TimesNewRoman"/>
          <w:sz w:val="22"/>
          <w:szCs w:val="22"/>
        </w:rPr>
        <w:t xml:space="preserve"> </w:t>
      </w:r>
      <w:r w:rsidRPr="00220850">
        <w:rPr>
          <w:rFonts w:eastAsia="TimesNewRoman"/>
          <w:sz w:val="22"/>
          <w:szCs w:val="22"/>
        </w:rPr>
        <w:t xml:space="preserve">pykinimas ir (arba) vėmimas išlieka, gali prireikti sumažinti dozę ar </w:t>
      </w:r>
      <w:r w:rsidR="005D2E06" w:rsidRPr="00220850">
        <w:rPr>
          <w:rFonts w:eastAsia="TimesNewRoman"/>
          <w:sz w:val="22"/>
          <w:szCs w:val="22"/>
        </w:rPr>
        <w:t xml:space="preserve">nutraukti </w:t>
      </w:r>
      <w:r w:rsidRPr="00220850">
        <w:rPr>
          <w:rFonts w:eastAsia="TimesNewRoman"/>
          <w:sz w:val="22"/>
          <w:szCs w:val="22"/>
        </w:rPr>
        <w:t>gydymą. Gydymas</w:t>
      </w:r>
      <w:r w:rsidR="004A16EB" w:rsidRPr="00220850">
        <w:rPr>
          <w:rFonts w:eastAsia="TimesNewRoman"/>
          <w:sz w:val="22"/>
          <w:szCs w:val="22"/>
        </w:rPr>
        <w:t xml:space="preserve"> </w:t>
      </w:r>
      <w:r w:rsidRPr="00220850">
        <w:rPr>
          <w:rFonts w:eastAsia="TimesNewRoman"/>
          <w:sz w:val="22"/>
          <w:szCs w:val="22"/>
        </w:rPr>
        <w:t>gali būti atnaujintas sumaž</w:t>
      </w:r>
      <w:r w:rsidR="004A16EB" w:rsidRPr="00220850">
        <w:rPr>
          <w:rFonts w:eastAsia="TimesNewRoman"/>
          <w:sz w:val="22"/>
          <w:szCs w:val="22"/>
        </w:rPr>
        <w:t>inta doze (100 </w:t>
      </w:r>
      <w:r w:rsidRPr="00220850">
        <w:rPr>
          <w:rFonts w:eastAsia="TimesNewRoman"/>
          <w:sz w:val="22"/>
          <w:szCs w:val="22"/>
        </w:rPr>
        <w:t>mg du kartus per parą suaugusiems pacientams) arba</w:t>
      </w:r>
      <w:r w:rsidR="004A16EB" w:rsidRPr="00220850">
        <w:rPr>
          <w:rFonts w:eastAsia="TimesNewRoman"/>
          <w:sz w:val="22"/>
          <w:szCs w:val="22"/>
        </w:rPr>
        <w:t xml:space="preserve"> visa doze (150 </w:t>
      </w:r>
      <w:r w:rsidRPr="00220850">
        <w:rPr>
          <w:rFonts w:eastAsia="TimesNewRoman"/>
          <w:sz w:val="22"/>
          <w:szCs w:val="22"/>
        </w:rPr>
        <w:t>mg du kartus per parą suaugusiems pacientams). Jei nepaisant simptominio gydymo</w:t>
      </w:r>
      <w:r w:rsidR="004A16EB" w:rsidRPr="00220850">
        <w:rPr>
          <w:rFonts w:eastAsia="TimesNewRoman"/>
          <w:sz w:val="22"/>
          <w:szCs w:val="22"/>
        </w:rPr>
        <w:t xml:space="preserve"> </w:t>
      </w:r>
      <w:r w:rsidRPr="00220850">
        <w:rPr>
          <w:rFonts w:eastAsia="TimesNewRoman"/>
          <w:sz w:val="22"/>
          <w:szCs w:val="22"/>
        </w:rPr>
        <w:t xml:space="preserve">stiprus viduriavimas, pykinimas ir (arba) vėmimas išsilaiko, gydymas </w:t>
      </w:r>
      <w:proofErr w:type="spellStart"/>
      <w:r w:rsidR="004A16EB" w:rsidRPr="00220850">
        <w:rPr>
          <w:sz w:val="22"/>
          <w:szCs w:val="22"/>
        </w:rPr>
        <w:t>Nintedanib</w:t>
      </w:r>
      <w:proofErr w:type="spellEnd"/>
      <w:r w:rsidR="004A16EB" w:rsidRPr="00220850">
        <w:rPr>
          <w:sz w:val="22"/>
          <w:szCs w:val="22"/>
        </w:rPr>
        <w:t xml:space="preserve"> </w:t>
      </w:r>
      <w:proofErr w:type="spellStart"/>
      <w:r w:rsidR="004A16EB" w:rsidRPr="00220850">
        <w:rPr>
          <w:sz w:val="22"/>
          <w:szCs w:val="22"/>
        </w:rPr>
        <w:t>Teva</w:t>
      </w:r>
      <w:proofErr w:type="spellEnd"/>
      <w:r w:rsidRPr="00220850">
        <w:rPr>
          <w:rFonts w:eastAsia="TimesNewRoman"/>
          <w:sz w:val="22"/>
          <w:szCs w:val="22"/>
        </w:rPr>
        <w:t xml:space="preserve"> turi būti nutrauktas (žr.</w:t>
      </w:r>
      <w:r w:rsidR="004A16EB" w:rsidRPr="00220850">
        <w:rPr>
          <w:rFonts w:eastAsia="TimesNewRoman"/>
          <w:sz w:val="22"/>
          <w:szCs w:val="22"/>
        </w:rPr>
        <w:t xml:space="preserve"> </w:t>
      </w:r>
      <w:r w:rsidRPr="00220850">
        <w:rPr>
          <w:rFonts w:eastAsia="TimesNewRoman"/>
          <w:sz w:val="22"/>
          <w:szCs w:val="22"/>
        </w:rPr>
        <w:t>4.4 skyrių).</w:t>
      </w:r>
    </w:p>
    <w:p w14:paraId="0D882717" w14:textId="77777777" w:rsidR="004A16EB" w:rsidRPr="00220850" w:rsidRDefault="004A16EB" w:rsidP="00CE11B4">
      <w:pPr>
        <w:autoSpaceDE w:val="0"/>
        <w:autoSpaceDN w:val="0"/>
        <w:adjustRightInd w:val="0"/>
        <w:rPr>
          <w:rFonts w:eastAsia="TimesNewRoman"/>
          <w:sz w:val="22"/>
          <w:szCs w:val="22"/>
        </w:rPr>
      </w:pPr>
    </w:p>
    <w:p w14:paraId="3B50467E" w14:textId="6B1FC10B"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 xml:space="preserve">Jei gydymas buvo </w:t>
      </w:r>
      <w:r w:rsidR="005D2E06" w:rsidRPr="00220850">
        <w:rPr>
          <w:rFonts w:eastAsia="TimesNewRoman"/>
          <w:sz w:val="22"/>
          <w:szCs w:val="22"/>
        </w:rPr>
        <w:t xml:space="preserve">nutrauktas </w:t>
      </w:r>
      <w:r w:rsidRPr="00220850">
        <w:rPr>
          <w:rFonts w:eastAsia="TimesNewRoman"/>
          <w:sz w:val="22"/>
          <w:szCs w:val="22"/>
        </w:rPr>
        <w:t>dėl aspartataminotransferazės (AST) ar alaninaminotransferazės (ALT)</w:t>
      </w:r>
      <w:r w:rsidR="004A16EB" w:rsidRPr="00220850">
        <w:rPr>
          <w:rFonts w:eastAsia="TimesNewRoman"/>
          <w:sz w:val="22"/>
          <w:szCs w:val="22"/>
        </w:rPr>
        <w:t xml:space="preserve"> </w:t>
      </w:r>
      <w:r w:rsidRPr="00220850">
        <w:rPr>
          <w:rFonts w:eastAsia="TimesNewRoman"/>
          <w:sz w:val="22"/>
          <w:szCs w:val="22"/>
        </w:rPr>
        <w:t>aktyvumo padidė</w:t>
      </w:r>
      <w:r w:rsidR="004A16EB" w:rsidRPr="00220850">
        <w:rPr>
          <w:rFonts w:eastAsia="TimesNewRoman"/>
          <w:sz w:val="22"/>
          <w:szCs w:val="22"/>
        </w:rPr>
        <w:t>jimo &gt; </w:t>
      </w:r>
      <w:r w:rsidRPr="00220850">
        <w:rPr>
          <w:rFonts w:eastAsia="TimesNewRoman"/>
          <w:sz w:val="22"/>
          <w:szCs w:val="22"/>
        </w:rPr>
        <w:t xml:space="preserve">3x virš viršutinės normos ribos (VNR), tai </w:t>
      </w:r>
      <w:proofErr w:type="spellStart"/>
      <w:r w:rsidRPr="00220850">
        <w:rPr>
          <w:rFonts w:eastAsia="TimesNewRoman"/>
          <w:sz w:val="22"/>
          <w:szCs w:val="22"/>
        </w:rPr>
        <w:t>transaminazių</w:t>
      </w:r>
      <w:proofErr w:type="spellEnd"/>
      <w:r w:rsidRPr="00220850">
        <w:rPr>
          <w:rFonts w:eastAsia="TimesNewRoman"/>
          <w:sz w:val="22"/>
          <w:szCs w:val="22"/>
        </w:rPr>
        <w:t xml:space="preserve"> vertėms grįžus į</w:t>
      </w:r>
      <w:r w:rsidR="004A16EB" w:rsidRPr="00220850">
        <w:rPr>
          <w:rFonts w:eastAsia="TimesNewRoman"/>
          <w:sz w:val="22"/>
          <w:szCs w:val="22"/>
        </w:rPr>
        <w:t xml:space="preserve"> </w:t>
      </w:r>
      <w:r w:rsidRPr="00220850">
        <w:rPr>
          <w:rFonts w:eastAsia="TimesNewRoman"/>
          <w:sz w:val="22"/>
          <w:szCs w:val="22"/>
        </w:rPr>
        <w:t xml:space="preserve">pradinį lygį, gydymą </w:t>
      </w:r>
      <w:proofErr w:type="spellStart"/>
      <w:r w:rsidR="004A16EB" w:rsidRPr="00220850">
        <w:rPr>
          <w:sz w:val="22"/>
          <w:szCs w:val="22"/>
        </w:rPr>
        <w:t>Nintedanib</w:t>
      </w:r>
      <w:proofErr w:type="spellEnd"/>
      <w:r w:rsidR="004A16EB" w:rsidRPr="00220850">
        <w:rPr>
          <w:sz w:val="22"/>
          <w:szCs w:val="22"/>
        </w:rPr>
        <w:t xml:space="preserve"> </w:t>
      </w:r>
      <w:proofErr w:type="spellStart"/>
      <w:r w:rsidR="004A16EB" w:rsidRPr="00220850">
        <w:rPr>
          <w:sz w:val="22"/>
          <w:szCs w:val="22"/>
        </w:rPr>
        <w:t>Teva</w:t>
      </w:r>
      <w:proofErr w:type="spellEnd"/>
      <w:r w:rsidRPr="00220850">
        <w:rPr>
          <w:rFonts w:eastAsia="TimesNewRoman"/>
          <w:sz w:val="22"/>
          <w:szCs w:val="22"/>
        </w:rPr>
        <w:t xml:space="preserve"> galima atnaujinti sumaž</w:t>
      </w:r>
      <w:r w:rsidR="004A16EB" w:rsidRPr="00220850">
        <w:rPr>
          <w:rFonts w:eastAsia="TimesNewRoman"/>
          <w:sz w:val="22"/>
          <w:szCs w:val="22"/>
        </w:rPr>
        <w:t>inta doze (100 </w:t>
      </w:r>
      <w:r w:rsidRPr="00220850">
        <w:rPr>
          <w:rFonts w:eastAsia="TimesNewRoman"/>
          <w:sz w:val="22"/>
          <w:szCs w:val="22"/>
        </w:rPr>
        <w:t>mg du kartus per parą suaugusiems</w:t>
      </w:r>
      <w:r w:rsidR="004A16EB" w:rsidRPr="00220850">
        <w:rPr>
          <w:rFonts w:eastAsia="TimesNewRoman"/>
          <w:sz w:val="22"/>
          <w:szCs w:val="22"/>
        </w:rPr>
        <w:t xml:space="preserve"> </w:t>
      </w:r>
      <w:r w:rsidRPr="00220850">
        <w:rPr>
          <w:rFonts w:eastAsia="TimesNewRoman"/>
          <w:sz w:val="22"/>
          <w:szCs w:val="22"/>
        </w:rPr>
        <w:t>pacientams), kuri vėliau gali būti padidinta iki visos dozė</w:t>
      </w:r>
      <w:r w:rsidR="004A16EB" w:rsidRPr="00220850">
        <w:rPr>
          <w:rFonts w:eastAsia="TimesNewRoman"/>
          <w:sz w:val="22"/>
          <w:szCs w:val="22"/>
        </w:rPr>
        <w:t>s (150 </w:t>
      </w:r>
      <w:r w:rsidRPr="00220850">
        <w:rPr>
          <w:rFonts w:eastAsia="TimesNewRoman"/>
          <w:sz w:val="22"/>
          <w:szCs w:val="22"/>
        </w:rPr>
        <w:t>mg du kartus per parą suaugusiems</w:t>
      </w:r>
      <w:r w:rsidR="004A16EB" w:rsidRPr="00220850">
        <w:rPr>
          <w:rFonts w:eastAsia="TimesNewRoman"/>
          <w:sz w:val="22"/>
          <w:szCs w:val="22"/>
        </w:rPr>
        <w:t xml:space="preserve"> </w:t>
      </w:r>
      <w:r w:rsidRPr="00220850">
        <w:rPr>
          <w:rFonts w:eastAsia="TimesNewRoman"/>
          <w:sz w:val="22"/>
          <w:szCs w:val="22"/>
        </w:rPr>
        <w:t>pacientams) (žr. 4.4 ir 4.8 skyrius).</w:t>
      </w:r>
    </w:p>
    <w:p w14:paraId="67171DA2" w14:textId="7CD8BCCB" w:rsidR="00621BBC" w:rsidRPr="00220850" w:rsidRDefault="00621BBC" w:rsidP="00252B76">
      <w:pPr>
        <w:pStyle w:val="Pagrindinistekstas"/>
        <w:rPr>
          <w:i w:val="0"/>
          <w:iCs/>
          <w:color w:val="auto"/>
          <w:szCs w:val="22"/>
          <w:lang w:val="lt-LT"/>
        </w:rPr>
      </w:pPr>
      <w:r w:rsidRPr="00220850">
        <w:rPr>
          <w:i w:val="0"/>
          <w:color w:val="auto"/>
          <w:szCs w:val="22"/>
          <w:lang w:val="lt-LT"/>
        </w:rPr>
        <w:t>Konkrečios dozės mažinimo rekomendacijos vaikų populiacijai pasireiškusioms nepageidaujamoms reakcijoms suvaldyti pateikiamos 1 lentelėje.</w:t>
      </w:r>
    </w:p>
    <w:p w14:paraId="01C08F27" w14:textId="77777777" w:rsidR="00C44324" w:rsidRPr="00220850" w:rsidRDefault="00C44324" w:rsidP="00621BBC">
      <w:pPr>
        <w:pStyle w:val="Default"/>
        <w:rPr>
          <w:i/>
          <w:iCs/>
          <w:color w:val="auto"/>
          <w:sz w:val="22"/>
          <w:szCs w:val="22"/>
          <w:highlight w:val="cyan"/>
          <w:lang w:val="lt-LT"/>
        </w:rPr>
      </w:pPr>
    </w:p>
    <w:p w14:paraId="1EC2B952" w14:textId="10B16D73" w:rsidR="00621BBC" w:rsidRPr="00220850" w:rsidRDefault="00621BBC" w:rsidP="00621BBC">
      <w:pPr>
        <w:pStyle w:val="Default"/>
        <w:rPr>
          <w:color w:val="auto"/>
          <w:sz w:val="22"/>
          <w:szCs w:val="22"/>
          <w:lang w:val="lt-LT"/>
        </w:rPr>
      </w:pPr>
      <w:r w:rsidRPr="00220850">
        <w:rPr>
          <w:i/>
          <w:iCs/>
          <w:color w:val="auto"/>
          <w:sz w:val="22"/>
          <w:szCs w:val="22"/>
          <w:lang w:val="lt-LT"/>
        </w:rPr>
        <w:t xml:space="preserve">Vaikai ir paaugliai nuo 6 iki 17 metų </w:t>
      </w:r>
    </w:p>
    <w:p w14:paraId="2F4C53FC" w14:textId="3420522D" w:rsidR="00621BBC" w:rsidRPr="00220850" w:rsidRDefault="00621BBC" w:rsidP="0035166F">
      <w:pPr>
        <w:pStyle w:val="Default"/>
        <w:numPr>
          <w:ilvl w:val="0"/>
          <w:numId w:val="84"/>
        </w:numPr>
        <w:spacing w:after="37"/>
        <w:ind w:left="567" w:hanging="567"/>
        <w:rPr>
          <w:color w:val="auto"/>
          <w:sz w:val="22"/>
          <w:szCs w:val="22"/>
          <w:lang w:val="lt-LT"/>
        </w:rPr>
      </w:pPr>
      <w:r w:rsidRPr="00220850">
        <w:rPr>
          <w:i/>
          <w:iCs/>
          <w:color w:val="auto"/>
          <w:sz w:val="22"/>
          <w:szCs w:val="22"/>
          <w:lang w:val="lt-LT"/>
        </w:rPr>
        <w:t xml:space="preserve">Kliniškai reikšmingų, progresuojančių </w:t>
      </w:r>
      <w:proofErr w:type="spellStart"/>
      <w:r w:rsidRPr="00220850">
        <w:rPr>
          <w:i/>
          <w:iCs/>
          <w:color w:val="auto"/>
          <w:sz w:val="22"/>
          <w:szCs w:val="22"/>
          <w:lang w:val="lt-LT"/>
        </w:rPr>
        <w:t>fibrozinių</w:t>
      </w:r>
      <w:proofErr w:type="spellEnd"/>
      <w:r w:rsidRPr="00220850">
        <w:rPr>
          <w:i/>
          <w:iCs/>
          <w:color w:val="auto"/>
          <w:sz w:val="22"/>
          <w:szCs w:val="22"/>
          <w:lang w:val="lt-LT"/>
        </w:rPr>
        <w:t xml:space="preserve"> </w:t>
      </w:r>
      <w:proofErr w:type="spellStart"/>
      <w:r w:rsidRPr="00220850">
        <w:rPr>
          <w:i/>
          <w:iCs/>
          <w:color w:val="auto"/>
          <w:sz w:val="22"/>
          <w:szCs w:val="22"/>
          <w:lang w:val="lt-LT"/>
        </w:rPr>
        <w:t>intersticinių</w:t>
      </w:r>
      <w:proofErr w:type="spellEnd"/>
      <w:r w:rsidRPr="00220850">
        <w:rPr>
          <w:i/>
          <w:iCs/>
          <w:color w:val="auto"/>
          <w:sz w:val="22"/>
          <w:szCs w:val="22"/>
          <w:lang w:val="lt-LT"/>
        </w:rPr>
        <w:t xml:space="preserve"> plaučių ligų (IPL) gydymas; </w:t>
      </w:r>
    </w:p>
    <w:p w14:paraId="1E3EB22E" w14:textId="4DCA09DB" w:rsidR="00621BBC" w:rsidRPr="00220850" w:rsidRDefault="00621BBC" w:rsidP="0035166F">
      <w:pPr>
        <w:pStyle w:val="Default"/>
        <w:numPr>
          <w:ilvl w:val="0"/>
          <w:numId w:val="84"/>
        </w:numPr>
        <w:ind w:left="567" w:hanging="567"/>
        <w:rPr>
          <w:color w:val="auto"/>
          <w:sz w:val="22"/>
          <w:szCs w:val="22"/>
          <w:lang w:val="lt-LT"/>
        </w:rPr>
      </w:pPr>
      <w:r w:rsidRPr="00220850">
        <w:rPr>
          <w:i/>
          <w:iCs/>
          <w:color w:val="auto"/>
          <w:sz w:val="22"/>
          <w:szCs w:val="22"/>
          <w:lang w:val="lt-LT"/>
        </w:rPr>
        <w:t xml:space="preserve">Su sistemine skleroze susijusios </w:t>
      </w:r>
      <w:proofErr w:type="spellStart"/>
      <w:r w:rsidRPr="00220850">
        <w:rPr>
          <w:i/>
          <w:iCs/>
          <w:color w:val="auto"/>
          <w:sz w:val="22"/>
          <w:szCs w:val="22"/>
          <w:lang w:val="lt-LT"/>
        </w:rPr>
        <w:t>intersticinės</w:t>
      </w:r>
      <w:proofErr w:type="spellEnd"/>
      <w:r w:rsidRPr="00220850">
        <w:rPr>
          <w:i/>
          <w:iCs/>
          <w:color w:val="auto"/>
          <w:sz w:val="22"/>
          <w:szCs w:val="22"/>
          <w:lang w:val="lt-LT"/>
        </w:rPr>
        <w:t xml:space="preserve"> plaučių ligos (SS-IPL) gydymas. </w:t>
      </w:r>
    </w:p>
    <w:p w14:paraId="6B68E9D9" w14:textId="77777777" w:rsidR="00252B76" w:rsidRPr="00220850" w:rsidRDefault="00252B76" w:rsidP="00252B76">
      <w:pPr>
        <w:pStyle w:val="Pagrindinistekstas"/>
        <w:spacing w:before="4"/>
        <w:rPr>
          <w:i w:val="0"/>
          <w:iCs/>
          <w:color w:val="auto"/>
          <w:szCs w:val="22"/>
          <w:highlight w:val="yellow"/>
          <w:lang w:val="lt-LT"/>
        </w:rPr>
      </w:pPr>
    </w:p>
    <w:p w14:paraId="5C5A915C" w14:textId="08A1C10D" w:rsidR="00252B76" w:rsidRPr="00220850" w:rsidRDefault="00717F68" w:rsidP="00252B76">
      <w:pPr>
        <w:pStyle w:val="Pagrindinistekstas"/>
        <w:ind w:right="-1"/>
        <w:rPr>
          <w:i w:val="0"/>
          <w:iCs/>
          <w:color w:val="auto"/>
          <w:szCs w:val="22"/>
          <w:lang w:val="lt-LT"/>
        </w:rPr>
      </w:pPr>
      <w:r w:rsidRPr="00220850">
        <w:rPr>
          <w:i w:val="0"/>
          <w:color w:val="auto"/>
          <w:szCs w:val="22"/>
          <w:lang w:val="lt-LT"/>
        </w:rPr>
        <w:t>Reikia reguliariai stebėti pacientų, kurių epifizės atviros, augimą ir rekomenduojama vertinti epifizių augimo plokštelių pakitimus, atliekant kasmetinį kaulų vaizdinį tyrimą. Pacientams, kuriems pasireiškia augimo sutrikimo požymių arba epifizių augimo plokštelių pokyčių, reikia įvertinti gydymo nutraukimo galimybę (žr. 4.4 ir 4.8 skyrius).</w:t>
      </w:r>
    </w:p>
    <w:p w14:paraId="69D41AA7" w14:textId="77777777" w:rsidR="008055F8" w:rsidRPr="00220850" w:rsidRDefault="008055F8" w:rsidP="00252B76">
      <w:pPr>
        <w:pStyle w:val="Pagrindinistekstas"/>
        <w:ind w:right="237"/>
        <w:rPr>
          <w:i w:val="0"/>
          <w:iCs/>
          <w:color w:val="auto"/>
          <w:szCs w:val="22"/>
          <w:highlight w:val="yellow"/>
          <w:lang w:val="lt-LT"/>
        </w:rPr>
      </w:pPr>
    </w:p>
    <w:p w14:paraId="23BD1C47" w14:textId="6E7AF86A" w:rsidR="00252B76" w:rsidRPr="00220850" w:rsidRDefault="00717F68" w:rsidP="00252B76">
      <w:pPr>
        <w:pStyle w:val="Pagrindinistekstas"/>
        <w:spacing w:line="247" w:lineRule="auto"/>
        <w:ind w:right="267"/>
        <w:rPr>
          <w:i w:val="0"/>
          <w:iCs/>
          <w:color w:val="auto"/>
          <w:szCs w:val="22"/>
          <w:highlight w:val="yellow"/>
          <w:lang w:val="lt-LT"/>
        </w:rPr>
      </w:pPr>
      <w:r w:rsidRPr="00220850">
        <w:rPr>
          <w:color w:val="auto"/>
          <w:lang w:val="lt-LT"/>
        </w:rPr>
        <w:t>Reikia reguliariai bent kas 6 mėnesius atlikti burnos ertmės ir dantų patikrą, kol baigsis dantų vystymasis ir augimas (žr. 4.4 ir 4.8 skyrius).</w:t>
      </w:r>
    </w:p>
    <w:p w14:paraId="28F28A2A" w14:textId="2DBE0034" w:rsidR="00252B76" w:rsidRPr="00220850" w:rsidRDefault="008055F8" w:rsidP="00252B76">
      <w:pPr>
        <w:pStyle w:val="Pagrindinistekstas"/>
        <w:rPr>
          <w:i w:val="0"/>
          <w:iCs/>
          <w:color w:val="auto"/>
          <w:szCs w:val="22"/>
          <w:lang w:val="lt-LT"/>
        </w:rPr>
      </w:pPr>
      <w:r w:rsidRPr="00220850">
        <w:rPr>
          <w:i w:val="0"/>
          <w:color w:val="auto"/>
          <w:szCs w:val="22"/>
          <w:lang w:val="lt-LT"/>
        </w:rPr>
        <w:t xml:space="preserve">Rekomenduojama </w:t>
      </w:r>
      <w:proofErr w:type="spellStart"/>
      <w:r w:rsidRPr="00220850">
        <w:rPr>
          <w:i w:val="0"/>
          <w:color w:val="auto"/>
          <w:szCs w:val="22"/>
          <w:lang w:val="lt-LT"/>
        </w:rPr>
        <w:t>Nintedanib</w:t>
      </w:r>
      <w:proofErr w:type="spellEnd"/>
      <w:r w:rsidRPr="00220850">
        <w:rPr>
          <w:i w:val="0"/>
          <w:color w:val="auto"/>
          <w:szCs w:val="22"/>
          <w:lang w:val="lt-LT"/>
        </w:rPr>
        <w:t xml:space="preserve"> </w:t>
      </w:r>
      <w:proofErr w:type="spellStart"/>
      <w:r w:rsidRPr="00220850">
        <w:rPr>
          <w:i w:val="0"/>
          <w:color w:val="auto"/>
          <w:szCs w:val="22"/>
          <w:lang w:val="lt-LT"/>
        </w:rPr>
        <w:t>Teva</w:t>
      </w:r>
      <w:proofErr w:type="spellEnd"/>
      <w:r w:rsidRPr="00220850">
        <w:rPr>
          <w:i w:val="0"/>
          <w:color w:val="auto"/>
          <w:szCs w:val="22"/>
          <w:lang w:val="lt-LT"/>
        </w:rPr>
        <w:t xml:space="preserve"> </w:t>
      </w:r>
      <w:r w:rsidR="00717F68" w:rsidRPr="00220850">
        <w:rPr>
          <w:i w:val="0"/>
          <w:color w:val="auto"/>
          <w:szCs w:val="22"/>
          <w:lang w:val="lt-LT"/>
        </w:rPr>
        <w:t>dozė 6–17 metų pacientams vaikams parenkama pagal paciento svorį, ji vartojama du kartus per parą, maždaug kas 12 valandų (žr. 1 lentelę). Gydymo metu dozę reikia koreguoti pagal svorį.</w:t>
      </w:r>
    </w:p>
    <w:p w14:paraId="326DC8A3" w14:textId="77777777" w:rsidR="008055F8" w:rsidRPr="00220850" w:rsidRDefault="008055F8" w:rsidP="00252B76">
      <w:pPr>
        <w:pStyle w:val="Pagrindinistekstas"/>
        <w:rPr>
          <w:i w:val="0"/>
          <w:iCs/>
          <w:color w:val="auto"/>
          <w:szCs w:val="22"/>
          <w:highlight w:val="yellow"/>
          <w:lang w:val="lt-LT"/>
        </w:rPr>
      </w:pPr>
    </w:p>
    <w:p w14:paraId="71F09CFD" w14:textId="20FEFC4A" w:rsidR="00252B76" w:rsidRPr="00220850" w:rsidRDefault="008055F8" w:rsidP="00252B76">
      <w:pPr>
        <w:pStyle w:val="Pagrindinistekstas"/>
        <w:rPr>
          <w:i w:val="0"/>
          <w:iCs/>
          <w:color w:val="auto"/>
          <w:szCs w:val="22"/>
          <w:lang w:val="lt-LT"/>
        </w:rPr>
      </w:pPr>
      <w:r w:rsidRPr="00220850">
        <w:rPr>
          <w:i w:val="0"/>
          <w:iCs/>
          <w:color w:val="auto"/>
          <w:szCs w:val="22"/>
          <w:lang w:val="lt-LT"/>
        </w:rPr>
        <w:t xml:space="preserve">Jei šiuo vaistiniu preparatu </w:t>
      </w:r>
      <w:r w:rsidR="00631705" w:rsidRPr="00220850">
        <w:rPr>
          <w:i w:val="0"/>
          <w:iCs/>
          <w:color w:val="auto"/>
          <w:szCs w:val="22"/>
          <w:lang w:val="lt-LT"/>
        </w:rPr>
        <w:t xml:space="preserve">tinkamų </w:t>
      </w:r>
      <w:r w:rsidRPr="00220850">
        <w:rPr>
          <w:i w:val="0"/>
          <w:iCs/>
          <w:color w:val="auto"/>
          <w:szCs w:val="22"/>
          <w:lang w:val="lt-LT"/>
        </w:rPr>
        <w:t>dozių</w:t>
      </w:r>
      <w:r w:rsidR="00631705" w:rsidRPr="00220850">
        <w:rPr>
          <w:i w:val="0"/>
          <w:iCs/>
          <w:color w:val="auto"/>
          <w:szCs w:val="22"/>
          <w:lang w:val="lt-LT"/>
        </w:rPr>
        <w:t xml:space="preserve"> </w:t>
      </w:r>
      <w:r w:rsidR="005509C6" w:rsidRPr="00220850">
        <w:rPr>
          <w:i w:val="0"/>
          <w:iCs/>
          <w:color w:val="auto"/>
          <w:szCs w:val="22"/>
          <w:lang w:val="lt-LT"/>
        </w:rPr>
        <w:t>vartoti</w:t>
      </w:r>
      <w:r w:rsidRPr="00220850">
        <w:rPr>
          <w:i w:val="0"/>
          <w:iCs/>
          <w:color w:val="auto"/>
          <w:szCs w:val="22"/>
          <w:lang w:val="lt-LT"/>
        </w:rPr>
        <w:t xml:space="preserve"> neįmanoma, galima įsigyti tinkamesnio stiprumo </w:t>
      </w:r>
      <w:proofErr w:type="spellStart"/>
      <w:r w:rsidRPr="00220850">
        <w:rPr>
          <w:i w:val="0"/>
          <w:iCs/>
          <w:color w:val="auto"/>
          <w:szCs w:val="22"/>
          <w:lang w:val="lt-LT"/>
        </w:rPr>
        <w:t>nintedanibo</w:t>
      </w:r>
      <w:proofErr w:type="spellEnd"/>
      <w:r w:rsidRPr="00220850">
        <w:rPr>
          <w:i w:val="0"/>
          <w:iCs/>
          <w:color w:val="auto"/>
          <w:szCs w:val="22"/>
          <w:lang w:val="lt-LT"/>
        </w:rPr>
        <w:t xml:space="preserve"> vaistinių preparatų</w:t>
      </w:r>
      <w:r w:rsidR="00C44324" w:rsidRPr="00220850">
        <w:rPr>
          <w:i w:val="0"/>
          <w:iCs/>
          <w:color w:val="auto"/>
          <w:szCs w:val="22"/>
          <w:lang w:val="lt-LT"/>
        </w:rPr>
        <w:t>.</w:t>
      </w:r>
    </w:p>
    <w:p w14:paraId="731997F9" w14:textId="2EA1407C" w:rsidR="00C148C9" w:rsidRPr="00220850" w:rsidRDefault="00C148C9" w:rsidP="00CE11B4">
      <w:pPr>
        <w:autoSpaceDE w:val="0"/>
        <w:autoSpaceDN w:val="0"/>
        <w:adjustRightInd w:val="0"/>
        <w:rPr>
          <w:b/>
          <w:bCs/>
          <w:sz w:val="22"/>
          <w:szCs w:val="22"/>
        </w:rPr>
      </w:pPr>
    </w:p>
    <w:p w14:paraId="6B3DBD85" w14:textId="7B33AF2F" w:rsidR="00C148C9" w:rsidRPr="00220850" w:rsidRDefault="00C148C9" w:rsidP="00CE11B4">
      <w:pPr>
        <w:autoSpaceDE w:val="0"/>
        <w:autoSpaceDN w:val="0"/>
        <w:adjustRightInd w:val="0"/>
        <w:rPr>
          <w:b/>
          <w:bCs/>
          <w:sz w:val="22"/>
          <w:szCs w:val="22"/>
        </w:rPr>
      </w:pPr>
    </w:p>
    <w:p w14:paraId="1830D270" w14:textId="590C1177" w:rsidR="00252B76" w:rsidRPr="00220850" w:rsidRDefault="008055F8" w:rsidP="00CE11B4">
      <w:pPr>
        <w:autoSpaceDE w:val="0"/>
        <w:autoSpaceDN w:val="0"/>
        <w:adjustRightInd w:val="0"/>
        <w:rPr>
          <w:b/>
          <w:bCs/>
          <w:sz w:val="22"/>
          <w:szCs w:val="22"/>
        </w:rPr>
      </w:pPr>
      <w:r w:rsidRPr="00220850">
        <w:rPr>
          <w:b/>
          <w:bCs/>
          <w:sz w:val="22"/>
          <w:szCs w:val="22"/>
        </w:rPr>
        <w:t xml:space="preserve">1 lentelė. </w:t>
      </w:r>
      <w:proofErr w:type="spellStart"/>
      <w:r w:rsidR="00342B59" w:rsidRPr="00220850">
        <w:rPr>
          <w:b/>
          <w:sz w:val="22"/>
          <w:szCs w:val="22"/>
        </w:rPr>
        <w:t>Nintedanib</w:t>
      </w:r>
      <w:proofErr w:type="spellEnd"/>
      <w:r w:rsidR="00342B59" w:rsidRPr="00220850">
        <w:rPr>
          <w:b/>
          <w:sz w:val="22"/>
          <w:szCs w:val="22"/>
        </w:rPr>
        <w:t xml:space="preserve"> </w:t>
      </w:r>
      <w:proofErr w:type="spellStart"/>
      <w:r w:rsidR="00342B59" w:rsidRPr="00220850">
        <w:rPr>
          <w:b/>
          <w:sz w:val="22"/>
          <w:szCs w:val="22"/>
        </w:rPr>
        <w:t>Teva</w:t>
      </w:r>
      <w:proofErr w:type="spellEnd"/>
      <w:r w:rsidRPr="00220850">
        <w:rPr>
          <w:b/>
          <w:bCs/>
          <w:sz w:val="22"/>
          <w:szCs w:val="22"/>
        </w:rPr>
        <w:t xml:space="preserve"> dozė ir sumažintosios dozės rekomendacijos miligramais (mg) pagal kūno svorį kilogramais (kg) pacientams vaikams nuo 6 iki 17 metų</w:t>
      </w:r>
    </w:p>
    <w:p w14:paraId="79F643F6" w14:textId="77777777" w:rsidR="00C44324" w:rsidRPr="00220850" w:rsidRDefault="00C44324" w:rsidP="00CE11B4">
      <w:pPr>
        <w:autoSpaceDE w:val="0"/>
        <w:autoSpaceDN w:val="0"/>
        <w:adjustRightInd w:val="0"/>
        <w:rPr>
          <w:rFonts w:eastAsia="TimesNewRoman"/>
          <w:sz w:val="22"/>
          <w:szCs w:val="22"/>
        </w:rPr>
      </w:pPr>
    </w:p>
    <w:tbl>
      <w:tblPr>
        <w:tblStyle w:val="TableNormal1"/>
        <w:tblW w:w="90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3022"/>
        <w:gridCol w:w="3025"/>
      </w:tblGrid>
      <w:tr w:rsidR="008055F8" w:rsidRPr="00220850" w14:paraId="3006B20D" w14:textId="77777777" w:rsidTr="00C45503">
        <w:trPr>
          <w:trHeight w:val="780"/>
        </w:trPr>
        <w:tc>
          <w:tcPr>
            <w:tcW w:w="3001" w:type="dxa"/>
          </w:tcPr>
          <w:p w14:paraId="40D8830A" w14:textId="2FAB14DB" w:rsidR="008055F8" w:rsidRPr="00220850" w:rsidRDefault="008055F8" w:rsidP="00C45503">
            <w:pPr>
              <w:pStyle w:val="TableParagraph"/>
              <w:spacing w:before="27"/>
              <w:ind w:left="7"/>
              <w:jc w:val="center"/>
              <w:rPr>
                <w:rFonts w:ascii="Times New Roman" w:hAnsi="Times New Roman" w:cs="Times New Roman"/>
                <w:b/>
                <w:lang w:val="lt-LT"/>
              </w:rPr>
            </w:pPr>
            <w:r w:rsidRPr="00220850">
              <w:rPr>
                <w:b/>
                <w:lang w:val="lt-LT"/>
              </w:rPr>
              <w:lastRenderedPageBreak/>
              <w:t>Svorio intervalas</w:t>
            </w:r>
          </w:p>
        </w:tc>
        <w:tc>
          <w:tcPr>
            <w:tcW w:w="3022" w:type="dxa"/>
          </w:tcPr>
          <w:p w14:paraId="4D27EE4C" w14:textId="1EC3D54B" w:rsidR="008055F8" w:rsidRPr="00220850" w:rsidRDefault="008055F8" w:rsidP="00C45503">
            <w:pPr>
              <w:pStyle w:val="TableParagraph"/>
              <w:spacing w:before="27"/>
              <w:ind w:left="115" w:right="106"/>
              <w:jc w:val="center"/>
              <w:rPr>
                <w:rFonts w:ascii="Times New Roman" w:hAnsi="Times New Roman" w:cs="Times New Roman"/>
                <w:b/>
                <w:lang w:val="lt-LT"/>
              </w:rPr>
            </w:pPr>
            <w:proofErr w:type="spellStart"/>
            <w:r w:rsidRPr="00220850">
              <w:rPr>
                <w:b/>
                <w:lang w:val="lt-LT"/>
              </w:rPr>
              <w:t>Nintedanib</w:t>
            </w:r>
            <w:proofErr w:type="spellEnd"/>
            <w:r w:rsidRPr="00220850">
              <w:rPr>
                <w:b/>
                <w:lang w:val="lt-LT"/>
              </w:rPr>
              <w:t xml:space="preserve"> </w:t>
            </w:r>
            <w:proofErr w:type="spellStart"/>
            <w:r w:rsidRPr="00220850">
              <w:rPr>
                <w:b/>
                <w:lang w:val="lt-LT"/>
              </w:rPr>
              <w:t>Teva</w:t>
            </w:r>
            <w:proofErr w:type="spellEnd"/>
            <w:r w:rsidRPr="00220850">
              <w:rPr>
                <w:b/>
                <w:lang w:val="lt-LT"/>
              </w:rPr>
              <w:t xml:space="preserve"> dozė</w:t>
            </w:r>
          </w:p>
        </w:tc>
        <w:tc>
          <w:tcPr>
            <w:tcW w:w="3025" w:type="dxa"/>
          </w:tcPr>
          <w:p w14:paraId="0FEDC762" w14:textId="33A3D58C" w:rsidR="008055F8" w:rsidRPr="00220850" w:rsidRDefault="008055F8" w:rsidP="008055F8">
            <w:pPr>
              <w:pStyle w:val="TableParagraph"/>
              <w:spacing w:before="27"/>
              <w:ind w:left="610"/>
              <w:rPr>
                <w:rFonts w:ascii="Times New Roman" w:hAnsi="Times New Roman" w:cs="Times New Roman"/>
                <w:b/>
                <w:lang w:val="lt-LT"/>
              </w:rPr>
            </w:pPr>
            <w:proofErr w:type="spellStart"/>
            <w:r w:rsidRPr="00220850">
              <w:rPr>
                <w:b/>
                <w:lang w:val="lt-LT"/>
              </w:rPr>
              <w:t>Nintedanib</w:t>
            </w:r>
            <w:proofErr w:type="spellEnd"/>
            <w:r w:rsidRPr="00220850">
              <w:rPr>
                <w:b/>
                <w:lang w:val="lt-LT"/>
              </w:rPr>
              <w:t xml:space="preserve"> </w:t>
            </w:r>
            <w:proofErr w:type="spellStart"/>
            <w:r w:rsidRPr="00220850">
              <w:rPr>
                <w:b/>
                <w:lang w:val="lt-LT"/>
              </w:rPr>
              <w:t>Teva</w:t>
            </w:r>
            <w:proofErr w:type="spellEnd"/>
            <w:r w:rsidRPr="00220850">
              <w:rPr>
                <w:b/>
                <w:lang w:val="lt-LT"/>
              </w:rPr>
              <w:t xml:space="preserve"> sumažinta doze*</w:t>
            </w:r>
          </w:p>
        </w:tc>
      </w:tr>
      <w:tr w:rsidR="008055F8" w:rsidRPr="00220850" w14:paraId="119F0F96" w14:textId="77777777" w:rsidTr="00C45503">
        <w:trPr>
          <w:trHeight w:val="700"/>
        </w:trPr>
        <w:tc>
          <w:tcPr>
            <w:tcW w:w="3001" w:type="dxa"/>
          </w:tcPr>
          <w:p w14:paraId="0BE96016" w14:textId="1EE2AD85" w:rsidR="008055F8" w:rsidRPr="00220850" w:rsidRDefault="008055F8" w:rsidP="005A7BD2">
            <w:pPr>
              <w:pStyle w:val="TableParagraph"/>
              <w:spacing w:before="29"/>
              <w:ind w:left="115" w:right="106"/>
              <w:jc w:val="center"/>
              <w:rPr>
                <w:rFonts w:ascii="Times New Roman" w:hAnsi="Times New Roman" w:cs="Times New Roman"/>
                <w:lang w:val="lt-LT"/>
              </w:rPr>
            </w:pPr>
            <w:r w:rsidRPr="00220850">
              <w:rPr>
                <w:rFonts w:ascii="Times New Roman" w:hAnsi="Times New Roman" w:cs="Times New Roman"/>
                <w:lang w:val="lt-LT"/>
              </w:rPr>
              <w:t>13</w:t>
            </w:r>
            <w:r w:rsidR="005A7BD2" w:rsidRPr="00220850">
              <w:rPr>
                <w:rFonts w:ascii="Times New Roman" w:hAnsi="Times New Roman" w:cs="Times New Roman"/>
                <w:lang w:val="lt-LT"/>
              </w:rPr>
              <w:t>,</w:t>
            </w:r>
            <w:r w:rsidRPr="00220850">
              <w:rPr>
                <w:rFonts w:ascii="Times New Roman" w:hAnsi="Times New Roman" w:cs="Times New Roman"/>
                <w:lang w:val="lt-LT"/>
              </w:rPr>
              <w:t>5</w:t>
            </w:r>
            <w:r w:rsidRPr="00220850">
              <w:rPr>
                <w:rFonts w:ascii="Times New Roman" w:hAnsi="Times New Roman" w:cs="Times New Roman"/>
                <w:vertAlign w:val="superscript"/>
                <w:lang w:val="lt-LT"/>
              </w:rPr>
              <w:t>**</w:t>
            </w:r>
            <w:r w:rsidRPr="00220850">
              <w:rPr>
                <w:rFonts w:ascii="Times New Roman" w:hAnsi="Times New Roman" w:cs="Times New Roman"/>
                <w:spacing w:val="-1"/>
                <w:lang w:val="lt-LT"/>
              </w:rPr>
              <w:t xml:space="preserve"> </w:t>
            </w:r>
            <w:r w:rsidRPr="00220850">
              <w:rPr>
                <w:rFonts w:ascii="Times New Roman" w:hAnsi="Times New Roman" w:cs="Times New Roman"/>
                <w:lang w:val="lt-LT"/>
              </w:rPr>
              <w:t>-</w:t>
            </w:r>
            <w:r w:rsidRPr="00220850">
              <w:rPr>
                <w:rFonts w:ascii="Times New Roman" w:hAnsi="Times New Roman" w:cs="Times New Roman"/>
                <w:spacing w:val="-3"/>
                <w:lang w:val="lt-LT"/>
              </w:rPr>
              <w:t xml:space="preserve"> </w:t>
            </w:r>
            <w:r w:rsidRPr="00220850">
              <w:rPr>
                <w:rFonts w:ascii="Times New Roman" w:hAnsi="Times New Roman" w:cs="Times New Roman"/>
                <w:lang w:val="lt-LT"/>
              </w:rPr>
              <w:t>22</w:t>
            </w:r>
            <w:r w:rsidR="005A7BD2" w:rsidRPr="00220850">
              <w:rPr>
                <w:rFonts w:ascii="Times New Roman" w:hAnsi="Times New Roman" w:cs="Times New Roman"/>
                <w:lang w:val="lt-LT"/>
              </w:rPr>
              <w:t>,</w:t>
            </w:r>
            <w:r w:rsidRPr="00220850">
              <w:rPr>
                <w:rFonts w:ascii="Times New Roman" w:hAnsi="Times New Roman" w:cs="Times New Roman"/>
                <w:lang w:val="lt-LT"/>
              </w:rPr>
              <w:t>9</w:t>
            </w:r>
            <w:r w:rsidR="005A7BD2" w:rsidRPr="00220850">
              <w:rPr>
                <w:rFonts w:ascii="Times New Roman" w:hAnsi="Times New Roman" w:cs="Times New Roman"/>
                <w:spacing w:val="-1"/>
                <w:lang w:val="lt-LT"/>
              </w:rPr>
              <w:t> </w:t>
            </w:r>
            <w:r w:rsidRPr="00220850">
              <w:rPr>
                <w:rFonts w:ascii="Times New Roman" w:hAnsi="Times New Roman" w:cs="Times New Roman"/>
                <w:spacing w:val="-5"/>
                <w:lang w:val="lt-LT"/>
              </w:rPr>
              <w:t>kg</w:t>
            </w:r>
          </w:p>
        </w:tc>
        <w:tc>
          <w:tcPr>
            <w:tcW w:w="3022" w:type="dxa"/>
          </w:tcPr>
          <w:p w14:paraId="1317EAC9" w14:textId="58522F96" w:rsidR="008055F8" w:rsidRPr="00220850" w:rsidRDefault="008055F8" w:rsidP="008055F8">
            <w:pPr>
              <w:pStyle w:val="Default"/>
              <w:ind w:left="112"/>
              <w:rPr>
                <w:rFonts w:ascii="Times New Roman" w:hAnsi="Times New Roman" w:cs="Times New Roman"/>
                <w:color w:val="auto"/>
                <w:lang w:val="lt-LT"/>
              </w:rPr>
            </w:pPr>
            <w:r w:rsidRPr="00220850">
              <w:rPr>
                <w:rFonts w:ascii="Times New Roman" w:hAnsi="Times New Roman" w:cs="Times New Roman"/>
                <w:color w:val="auto"/>
                <w:szCs w:val="22"/>
                <w:lang w:val="lt-LT"/>
              </w:rPr>
              <w:t xml:space="preserve">po 50 mg (dvi 25 mg kapsules) du kartus per parą </w:t>
            </w:r>
          </w:p>
        </w:tc>
        <w:tc>
          <w:tcPr>
            <w:tcW w:w="3025" w:type="dxa"/>
          </w:tcPr>
          <w:p w14:paraId="1796DCBD" w14:textId="4E0CE634" w:rsidR="008055F8" w:rsidRPr="00220850" w:rsidRDefault="00C148C9" w:rsidP="00C148C9">
            <w:pPr>
              <w:pStyle w:val="TableParagraph"/>
              <w:spacing w:before="25" w:line="266" w:lineRule="auto"/>
              <w:ind w:left="118" w:right="106"/>
              <w:rPr>
                <w:rFonts w:ascii="Times New Roman" w:hAnsi="Times New Roman" w:cs="Times New Roman"/>
                <w:lang w:val="lt-LT"/>
              </w:rPr>
            </w:pPr>
            <w:r w:rsidRPr="00220850">
              <w:rPr>
                <w:rFonts w:ascii="Times New Roman" w:hAnsi="Times New Roman" w:cs="Times New Roman"/>
                <w:lang w:val="lt-LT"/>
              </w:rPr>
              <w:t xml:space="preserve">po </w:t>
            </w:r>
            <w:r w:rsidR="008055F8" w:rsidRPr="00220850">
              <w:rPr>
                <w:rFonts w:ascii="Times New Roman" w:hAnsi="Times New Roman" w:cs="Times New Roman"/>
                <w:lang w:val="lt-LT"/>
              </w:rPr>
              <w:t>2</w:t>
            </w:r>
            <w:r w:rsidRPr="00220850">
              <w:rPr>
                <w:rFonts w:ascii="Times New Roman" w:hAnsi="Times New Roman" w:cs="Times New Roman"/>
                <w:lang w:val="lt-LT"/>
              </w:rPr>
              <w:t>5 </w:t>
            </w:r>
            <w:r w:rsidR="008055F8" w:rsidRPr="00220850">
              <w:rPr>
                <w:rFonts w:ascii="Times New Roman" w:hAnsi="Times New Roman" w:cs="Times New Roman"/>
                <w:lang w:val="lt-LT"/>
              </w:rPr>
              <w:t>mg (</w:t>
            </w:r>
            <w:r w:rsidRPr="00220850">
              <w:rPr>
                <w:rFonts w:ascii="Times New Roman" w:hAnsi="Times New Roman" w:cs="Times New Roman"/>
                <w:lang w:val="lt-LT"/>
              </w:rPr>
              <w:t>vieną 25 mg kapsulę) du kartus per parą</w:t>
            </w:r>
          </w:p>
        </w:tc>
      </w:tr>
      <w:tr w:rsidR="008055F8" w:rsidRPr="00220850" w14:paraId="414EB24A" w14:textId="77777777" w:rsidTr="00C45503">
        <w:trPr>
          <w:trHeight w:val="700"/>
        </w:trPr>
        <w:tc>
          <w:tcPr>
            <w:tcW w:w="3001" w:type="dxa"/>
          </w:tcPr>
          <w:p w14:paraId="1E25A790" w14:textId="69EE8D57" w:rsidR="008055F8" w:rsidRPr="00220850" w:rsidRDefault="005A7BD2" w:rsidP="00C45503">
            <w:pPr>
              <w:pStyle w:val="TableParagraph"/>
              <w:spacing w:before="27"/>
              <w:ind w:left="894"/>
              <w:rPr>
                <w:rFonts w:ascii="Times New Roman" w:hAnsi="Times New Roman" w:cs="Times New Roman"/>
                <w:lang w:val="lt-LT"/>
              </w:rPr>
            </w:pPr>
            <w:r w:rsidRPr="00220850">
              <w:rPr>
                <w:rFonts w:ascii="Times New Roman" w:hAnsi="Times New Roman" w:cs="Times New Roman"/>
                <w:lang w:val="lt-LT"/>
              </w:rPr>
              <w:t>23,</w:t>
            </w:r>
            <w:r w:rsidR="008055F8" w:rsidRPr="00220850">
              <w:rPr>
                <w:rFonts w:ascii="Times New Roman" w:hAnsi="Times New Roman" w:cs="Times New Roman"/>
                <w:lang w:val="lt-LT"/>
              </w:rPr>
              <w:t xml:space="preserve">0 </w:t>
            </w:r>
            <w:r w:rsidRPr="00220850">
              <w:rPr>
                <w:rFonts w:ascii="Times New Roman" w:hAnsi="Times New Roman" w:cs="Times New Roman"/>
                <w:lang w:val="lt-LT"/>
              </w:rPr>
              <w:t>–</w:t>
            </w:r>
            <w:r w:rsidR="008055F8" w:rsidRPr="00220850">
              <w:rPr>
                <w:rFonts w:ascii="Times New Roman" w:hAnsi="Times New Roman" w:cs="Times New Roman"/>
                <w:spacing w:val="-2"/>
                <w:lang w:val="lt-LT"/>
              </w:rPr>
              <w:t xml:space="preserve"> </w:t>
            </w:r>
            <w:r w:rsidRPr="00220850">
              <w:rPr>
                <w:rFonts w:ascii="Times New Roman" w:hAnsi="Times New Roman" w:cs="Times New Roman"/>
                <w:lang w:val="lt-LT"/>
              </w:rPr>
              <w:t>33,4 </w:t>
            </w:r>
            <w:r w:rsidR="008055F8" w:rsidRPr="00220850">
              <w:rPr>
                <w:rFonts w:ascii="Times New Roman" w:hAnsi="Times New Roman" w:cs="Times New Roman"/>
                <w:spacing w:val="-5"/>
                <w:lang w:val="lt-LT"/>
              </w:rPr>
              <w:t>kg</w:t>
            </w:r>
          </w:p>
        </w:tc>
        <w:tc>
          <w:tcPr>
            <w:tcW w:w="3022" w:type="dxa"/>
          </w:tcPr>
          <w:p w14:paraId="259A1063" w14:textId="3DBEC921" w:rsidR="008055F8" w:rsidRPr="00220850" w:rsidRDefault="008055F8" w:rsidP="00C148C9">
            <w:pPr>
              <w:pStyle w:val="TableParagraph"/>
              <w:spacing w:before="25" w:line="266" w:lineRule="auto"/>
              <w:ind w:left="127" w:hanging="12"/>
              <w:rPr>
                <w:rFonts w:ascii="Times New Roman" w:hAnsi="Times New Roman" w:cs="Times New Roman"/>
                <w:lang w:val="lt-LT"/>
              </w:rPr>
            </w:pPr>
            <w:r w:rsidRPr="00220850">
              <w:rPr>
                <w:rFonts w:ascii="Times New Roman" w:hAnsi="Times New Roman" w:cs="Times New Roman"/>
                <w:lang w:val="lt-LT"/>
              </w:rPr>
              <w:t>po 75</w:t>
            </w:r>
            <w:r w:rsidR="00C148C9" w:rsidRPr="00220850">
              <w:rPr>
                <w:rFonts w:ascii="Times New Roman" w:hAnsi="Times New Roman" w:cs="Times New Roman"/>
                <w:spacing w:val="-7"/>
                <w:lang w:val="lt-LT"/>
              </w:rPr>
              <w:t> </w:t>
            </w:r>
            <w:r w:rsidRPr="00220850">
              <w:rPr>
                <w:rFonts w:ascii="Times New Roman" w:hAnsi="Times New Roman" w:cs="Times New Roman"/>
                <w:lang w:val="lt-LT"/>
              </w:rPr>
              <w:t>mg</w:t>
            </w:r>
            <w:r w:rsidRPr="00220850">
              <w:rPr>
                <w:rFonts w:ascii="Times New Roman" w:hAnsi="Times New Roman" w:cs="Times New Roman"/>
                <w:spacing w:val="-9"/>
                <w:lang w:val="lt-LT"/>
              </w:rPr>
              <w:t xml:space="preserve"> </w:t>
            </w:r>
            <w:r w:rsidRPr="00220850">
              <w:rPr>
                <w:rFonts w:ascii="Times New Roman" w:hAnsi="Times New Roman" w:cs="Times New Roman"/>
                <w:lang w:val="lt-LT"/>
              </w:rPr>
              <w:t>(t</w:t>
            </w:r>
            <w:r w:rsidR="00C148C9" w:rsidRPr="00220850">
              <w:rPr>
                <w:rFonts w:ascii="Times New Roman" w:hAnsi="Times New Roman" w:cs="Times New Roman"/>
                <w:lang w:val="lt-LT"/>
              </w:rPr>
              <w:t xml:space="preserve">ris </w:t>
            </w:r>
            <w:r w:rsidRPr="00220850">
              <w:rPr>
                <w:rFonts w:ascii="Times New Roman" w:hAnsi="Times New Roman" w:cs="Times New Roman"/>
                <w:lang w:val="lt-LT"/>
              </w:rPr>
              <w:t>25</w:t>
            </w:r>
            <w:r w:rsidR="00C148C9" w:rsidRPr="00220850">
              <w:rPr>
                <w:rFonts w:ascii="Times New Roman" w:hAnsi="Times New Roman" w:cs="Times New Roman"/>
                <w:spacing w:val="-9"/>
                <w:lang w:val="lt-LT"/>
              </w:rPr>
              <w:t> </w:t>
            </w:r>
            <w:r w:rsidRPr="00220850">
              <w:rPr>
                <w:rFonts w:ascii="Times New Roman" w:hAnsi="Times New Roman" w:cs="Times New Roman"/>
                <w:lang w:val="lt-LT"/>
              </w:rPr>
              <w:t>mg</w:t>
            </w:r>
            <w:r w:rsidRPr="00220850">
              <w:rPr>
                <w:rFonts w:ascii="Times New Roman" w:hAnsi="Times New Roman" w:cs="Times New Roman"/>
                <w:spacing w:val="-7"/>
                <w:lang w:val="lt-LT"/>
              </w:rPr>
              <w:t xml:space="preserve"> </w:t>
            </w:r>
            <w:r w:rsidR="00C148C9" w:rsidRPr="00220850">
              <w:rPr>
                <w:rFonts w:ascii="Times New Roman" w:hAnsi="Times New Roman" w:cs="Times New Roman"/>
                <w:spacing w:val="-7"/>
                <w:lang w:val="lt-LT"/>
              </w:rPr>
              <w:t>k</w:t>
            </w:r>
            <w:r w:rsidRPr="00220850">
              <w:rPr>
                <w:rFonts w:ascii="Times New Roman" w:hAnsi="Times New Roman" w:cs="Times New Roman"/>
                <w:lang w:val="lt-LT"/>
              </w:rPr>
              <w:t xml:space="preserve">apsules) </w:t>
            </w:r>
            <w:r w:rsidR="00C148C9" w:rsidRPr="00220850">
              <w:rPr>
                <w:rFonts w:ascii="Times New Roman" w:hAnsi="Times New Roman" w:cs="Times New Roman"/>
                <w:lang w:val="lt-LT"/>
              </w:rPr>
              <w:t>du kartus per parą</w:t>
            </w:r>
          </w:p>
        </w:tc>
        <w:tc>
          <w:tcPr>
            <w:tcW w:w="3025" w:type="dxa"/>
          </w:tcPr>
          <w:p w14:paraId="22736DF9" w14:textId="35584F9C" w:rsidR="008055F8" w:rsidRPr="00220850" w:rsidRDefault="00C148C9" w:rsidP="00C148C9">
            <w:pPr>
              <w:pStyle w:val="TableParagraph"/>
              <w:spacing w:before="25" w:line="266" w:lineRule="auto"/>
              <w:ind w:left="118" w:right="106"/>
              <w:rPr>
                <w:rFonts w:ascii="Times New Roman" w:hAnsi="Times New Roman" w:cs="Times New Roman"/>
                <w:lang w:val="lt-LT"/>
              </w:rPr>
            </w:pPr>
            <w:r w:rsidRPr="00220850">
              <w:rPr>
                <w:rFonts w:ascii="Times New Roman" w:hAnsi="Times New Roman" w:cs="Times New Roman"/>
                <w:lang w:val="lt-LT"/>
              </w:rPr>
              <w:t xml:space="preserve">po </w:t>
            </w:r>
            <w:r w:rsidR="008055F8" w:rsidRPr="00220850">
              <w:rPr>
                <w:rFonts w:ascii="Times New Roman" w:hAnsi="Times New Roman" w:cs="Times New Roman"/>
                <w:lang w:val="lt-LT"/>
              </w:rPr>
              <w:t>5</w:t>
            </w:r>
            <w:r w:rsidRPr="00220850">
              <w:rPr>
                <w:rFonts w:ascii="Times New Roman" w:hAnsi="Times New Roman" w:cs="Times New Roman"/>
                <w:lang w:val="lt-LT"/>
              </w:rPr>
              <w:t>0 </w:t>
            </w:r>
            <w:r w:rsidR="008055F8" w:rsidRPr="00220850">
              <w:rPr>
                <w:rFonts w:ascii="Times New Roman" w:hAnsi="Times New Roman" w:cs="Times New Roman"/>
                <w:lang w:val="lt-LT"/>
              </w:rPr>
              <w:t>mg (</w:t>
            </w:r>
            <w:r w:rsidRPr="00220850">
              <w:rPr>
                <w:rFonts w:ascii="Times New Roman" w:hAnsi="Times New Roman" w:cs="Times New Roman"/>
                <w:lang w:val="lt-LT"/>
              </w:rPr>
              <w:t>dvi 25 mg kapsules) du kartus per parą</w:t>
            </w:r>
          </w:p>
        </w:tc>
      </w:tr>
      <w:tr w:rsidR="008055F8" w:rsidRPr="00220850" w14:paraId="711671FC" w14:textId="77777777" w:rsidTr="00C45503">
        <w:trPr>
          <w:trHeight w:val="981"/>
        </w:trPr>
        <w:tc>
          <w:tcPr>
            <w:tcW w:w="3001" w:type="dxa"/>
          </w:tcPr>
          <w:p w14:paraId="031A89A4" w14:textId="796FB259" w:rsidR="008055F8" w:rsidRPr="00220850" w:rsidRDefault="005A7BD2" w:rsidP="00C45503">
            <w:pPr>
              <w:pStyle w:val="TableParagraph"/>
              <w:spacing w:before="27"/>
              <w:ind w:left="894"/>
              <w:rPr>
                <w:rFonts w:ascii="Times New Roman" w:hAnsi="Times New Roman" w:cs="Times New Roman"/>
                <w:lang w:val="lt-LT"/>
              </w:rPr>
            </w:pPr>
            <w:r w:rsidRPr="00220850">
              <w:rPr>
                <w:rFonts w:ascii="Times New Roman" w:hAnsi="Times New Roman" w:cs="Times New Roman"/>
                <w:lang w:val="lt-LT"/>
              </w:rPr>
              <w:t>33,</w:t>
            </w:r>
            <w:r w:rsidR="008055F8" w:rsidRPr="00220850">
              <w:rPr>
                <w:rFonts w:ascii="Times New Roman" w:hAnsi="Times New Roman" w:cs="Times New Roman"/>
                <w:lang w:val="lt-LT"/>
              </w:rPr>
              <w:t xml:space="preserve">5 </w:t>
            </w:r>
            <w:r w:rsidRPr="00220850">
              <w:rPr>
                <w:rFonts w:ascii="Times New Roman" w:hAnsi="Times New Roman" w:cs="Times New Roman"/>
                <w:lang w:val="lt-LT"/>
              </w:rPr>
              <w:t>–</w:t>
            </w:r>
            <w:r w:rsidR="008055F8" w:rsidRPr="00220850">
              <w:rPr>
                <w:rFonts w:ascii="Times New Roman" w:hAnsi="Times New Roman" w:cs="Times New Roman"/>
                <w:spacing w:val="-2"/>
                <w:lang w:val="lt-LT"/>
              </w:rPr>
              <w:t xml:space="preserve"> </w:t>
            </w:r>
            <w:r w:rsidRPr="00220850">
              <w:rPr>
                <w:rFonts w:ascii="Times New Roman" w:hAnsi="Times New Roman" w:cs="Times New Roman"/>
                <w:lang w:val="lt-LT"/>
              </w:rPr>
              <w:t>57,4 </w:t>
            </w:r>
            <w:r w:rsidR="008055F8" w:rsidRPr="00220850">
              <w:rPr>
                <w:rFonts w:ascii="Times New Roman" w:hAnsi="Times New Roman" w:cs="Times New Roman"/>
                <w:spacing w:val="-5"/>
                <w:lang w:val="lt-LT"/>
              </w:rPr>
              <w:t>kg</w:t>
            </w:r>
          </w:p>
        </w:tc>
        <w:tc>
          <w:tcPr>
            <w:tcW w:w="3022" w:type="dxa"/>
          </w:tcPr>
          <w:p w14:paraId="2C1F1A5E" w14:textId="5CDA30E1" w:rsidR="008055F8" w:rsidRPr="00220850" w:rsidRDefault="00C148C9" w:rsidP="00C148C9">
            <w:pPr>
              <w:pStyle w:val="TableParagraph"/>
              <w:spacing w:before="25" w:line="266" w:lineRule="auto"/>
              <w:ind w:left="127" w:hanging="12"/>
              <w:rPr>
                <w:rFonts w:ascii="Times New Roman" w:hAnsi="Times New Roman" w:cs="Times New Roman"/>
                <w:lang w:val="lt-LT"/>
              </w:rPr>
            </w:pPr>
            <w:r w:rsidRPr="00220850">
              <w:rPr>
                <w:rFonts w:ascii="Times New Roman" w:hAnsi="Times New Roman" w:cs="Times New Roman"/>
                <w:lang w:val="lt-LT"/>
              </w:rPr>
              <w:t xml:space="preserve">po </w:t>
            </w:r>
            <w:r w:rsidR="008055F8" w:rsidRPr="00220850">
              <w:rPr>
                <w:rFonts w:ascii="Times New Roman" w:hAnsi="Times New Roman" w:cs="Times New Roman"/>
                <w:lang w:val="lt-LT"/>
              </w:rPr>
              <w:t>100</w:t>
            </w:r>
            <w:r w:rsidRPr="00220850">
              <w:rPr>
                <w:rFonts w:ascii="Times New Roman" w:hAnsi="Times New Roman" w:cs="Times New Roman"/>
                <w:spacing w:val="-5"/>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8"/>
                <w:lang w:val="lt-LT"/>
              </w:rPr>
              <w:t xml:space="preserve"> </w:t>
            </w:r>
            <w:r w:rsidR="008055F8" w:rsidRPr="00220850">
              <w:rPr>
                <w:rFonts w:ascii="Times New Roman" w:hAnsi="Times New Roman" w:cs="Times New Roman"/>
                <w:lang w:val="lt-LT"/>
              </w:rPr>
              <w:t>(</w:t>
            </w:r>
            <w:r w:rsidRPr="00220850">
              <w:rPr>
                <w:rFonts w:ascii="Times New Roman" w:hAnsi="Times New Roman" w:cs="Times New Roman"/>
                <w:lang w:val="lt-LT"/>
              </w:rPr>
              <w:t>vieną</w:t>
            </w:r>
            <w:r w:rsidR="008055F8" w:rsidRPr="00220850">
              <w:rPr>
                <w:rFonts w:ascii="Times New Roman" w:hAnsi="Times New Roman" w:cs="Times New Roman"/>
                <w:spacing w:val="-5"/>
                <w:lang w:val="lt-LT"/>
              </w:rPr>
              <w:t xml:space="preserve"> </w:t>
            </w:r>
            <w:r w:rsidR="008055F8" w:rsidRPr="00220850">
              <w:rPr>
                <w:rFonts w:ascii="Times New Roman" w:hAnsi="Times New Roman" w:cs="Times New Roman"/>
                <w:lang w:val="lt-LT"/>
              </w:rPr>
              <w:t>100</w:t>
            </w:r>
            <w:r w:rsidRPr="00220850">
              <w:rPr>
                <w:rFonts w:ascii="Times New Roman" w:hAnsi="Times New Roman" w:cs="Times New Roman"/>
                <w:spacing w:val="-7"/>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008055F8" w:rsidRPr="00220850">
              <w:rPr>
                <w:rFonts w:ascii="Times New Roman" w:hAnsi="Times New Roman" w:cs="Times New Roman"/>
                <w:spacing w:val="-4"/>
                <w:lang w:val="lt-LT"/>
              </w:rPr>
              <w:t xml:space="preserve"> </w:t>
            </w:r>
            <w:r w:rsidRPr="00220850">
              <w:rPr>
                <w:rFonts w:ascii="Times New Roman" w:hAnsi="Times New Roman" w:cs="Times New Roman"/>
                <w:spacing w:val="-4"/>
                <w:lang w:val="lt-LT"/>
              </w:rPr>
              <w:t xml:space="preserve">arba keturias </w:t>
            </w:r>
            <w:r w:rsidR="008055F8" w:rsidRPr="00220850">
              <w:rPr>
                <w:rFonts w:ascii="Times New Roman" w:hAnsi="Times New Roman" w:cs="Times New Roman"/>
                <w:lang w:val="lt-LT"/>
              </w:rPr>
              <w:t>25</w:t>
            </w:r>
            <w:r w:rsidRPr="00220850">
              <w:rPr>
                <w:rFonts w:ascii="Times New Roman" w:hAnsi="Times New Roman" w:cs="Times New Roman"/>
                <w:lang w:val="lt-LT"/>
              </w:rPr>
              <w:t xml:space="preserve"> mg kapsules) du </w:t>
            </w:r>
            <w:r w:rsidR="00AA239D" w:rsidRPr="00220850">
              <w:rPr>
                <w:rFonts w:ascii="Times New Roman" w:hAnsi="Times New Roman" w:cs="Times New Roman"/>
                <w:lang w:val="lt-LT"/>
              </w:rPr>
              <w:t>k</w:t>
            </w:r>
            <w:r w:rsidRPr="00220850">
              <w:rPr>
                <w:rFonts w:ascii="Times New Roman" w:hAnsi="Times New Roman" w:cs="Times New Roman"/>
                <w:lang w:val="lt-LT"/>
              </w:rPr>
              <w:t>artus per parą</w:t>
            </w:r>
          </w:p>
        </w:tc>
        <w:tc>
          <w:tcPr>
            <w:tcW w:w="3025" w:type="dxa"/>
          </w:tcPr>
          <w:p w14:paraId="40434E0F" w14:textId="40892EBA" w:rsidR="008055F8" w:rsidRPr="00220850" w:rsidRDefault="008055F8" w:rsidP="00C148C9">
            <w:pPr>
              <w:pStyle w:val="TableParagraph"/>
              <w:spacing w:before="25" w:line="266" w:lineRule="auto"/>
              <w:ind w:left="118" w:right="106"/>
              <w:rPr>
                <w:rFonts w:ascii="Times New Roman" w:hAnsi="Times New Roman" w:cs="Times New Roman"/>
                <w:lang w:val="lt-LT"/>
              </w:rPr>
            </w:pPr>
            <w:r w:rsidRPr="00220850">
              <w:rPr>
                <w:rFonts w:ascii="Times New Roman" w:hAnsi="Times New Roman" w:cs="Times New Roman"/>
                <w:lang w:val="lt-LT"/>
              </w:rPr>
              <w:t>75</w:t>
            </w:r>
            <w:r w:rsidR="00C148C9" w:rsidRPr="00220850">
              <w:rPr>
                <w:rFonts w:ascii="Times New Roman" w:hAnsi="Times New Roman" w:cs="Times New Roman"/>
                <w:lang w:val="lt-LT"/>
              </w:rPr>
              <w:t> m</w:t>
            </w:r>
            <w:r w:rsidRPr="00220850">
              <w:rPr>
                <w:rFonts w:ascii="Times New Roman" w:hAnsi="Times New Roman" w:cs="Times New Roman"/>
                <w:lang w:val="lt-LT"/>
              </w:rPr>
              <w:t>g (t</w:t>
            </w:r>
            <w:r w:rsidR="00C148C9" w:rsidRPr="00220850">
              <w:rPr>
                <w:rFonts w:ascii="Times New Roman" w:hAnsi="Times New Roman" w:cs="Times New Roman"/>
                <w:lang w:val="lt-LT"/>
              </w:rPr>
              <w:t xml:space="preserve">ris </w:t>
            </w:r>
            <w:r w:rsidRPr="00220850">
              <w:rPr>
                <w:rFonts w:ascii="Times New Roman" w:hAnsi="Times New Roman" w:cs="Times New Roman"/>
                <w:lang w:val="lt-LT"/>
              </w:rPr>
              <w:t>25</w:t>
            </w:r>
            <w:r w:rsidR="00C148C9" w:rsidRPr="00220850">
              <w:rPr>
                <w:rFonts w:ascii="Times New Roman" w:hAnsi="Times New Roman" w:cs="Times New Roman"/>
                <w:lang w:val="lt-LT"/>
              </w:rPr>
              <w:t> mg k</w:t>
            </w:r>
            <w:r w:rsidRPr="00220850">
              <w:rPr>
                <w:rFonts w:ascii="Times New Roman" w:hAnsi="Times New Roman" w:cs="Times New Roman"/>
                <w:lang w:val="lt-LT"/>
              </w:rPr>
              <w:t xml:space="preserve">apsules) </w:t>
            </w:r>
            <w:r w:rsidR="00C148C9" w:rsidRPr="00220850">
              <w:rPr>
                <w:rFonts w:ascii="Times New Roman" w:hAnsi="Times New Roman" w:cs="Times New Roman"/>
                <w:lang w:val="lt-LT"/>
              </w:rPr>
              <w:t>du kartus per parą</w:t>
            </w:r>
          </w:p>
        </w:tc>
      </w:tr>
      <w:tr w:rsidR="008055F8" w:rsidRPr="00220850" w14:paraId="43D70D2D" w14:textId="77777777" w:rsidTr="00C45503">
        <w:trPr>
          <w:trHeight w:val="978"/>
        </w:trPr>
        <w:tc>
          <w:tcPr>
            <w:tcW w:w="3001" w:type="dxa"/>
          </w:tcPr>
          <w:p w14:paraId="051FB6E7" w14:textId="01D417C2" w:rsidR="008055F8" w:rsidRPr="00220850" w:rsidRDefault="005A7BD2" w:rsidP="005A7BD2">
            <w:pPr>
              <w:pStyle w:val="TableParagraph"/>
              <w:spacing w:before="27"/>
              <w:ind w:left="702"/>
              <w:rPr>
                <w:rFonts w:ascii="Times New Roman" w:hAnsi="Times New Roman" w:cs="Times New Roman"/>
                <w:lang w:val="lt-LT"/>
              </w:rPr>
            </w:pPr>
            <w:r w:rsidRPr="00220850">
              <w:rPr>
                <w:rFonts w:ascii="Times New Roman" w:hAnsi="Times New Roman" w:cs="Times New Roman"/>
                <w:lang w:val="lt-LT"/>
              </w:rPr>
              <w:t>57,</w:t>
            </w:r>
            <w:r w:rsidR="008055F8" w:rsidRPr="00220850">
              <w:rPr>
                <w:rFonts w:ascii="Times New Roman" w:hAnsi="Times New Roman" w:cs="Times New Roman"/>
                <w:lang w:val="lt-LT"/>
              </w:rPr>
              <w:t>5</w:t>
            </w:r>
            <w:r w:rsidRPr="00220850">
              <w:rPr>
                <w:rFonts w:ascii="Times New Roman" w:hAnsi="Times New Roman" w:cs="Times New Roman"/>
                <w:spacing w:val="-1"/>
                <w:lang w:val="lt-LT"/>
              </w:rPr>
              <w:t> </w:t>
            </w:r>
            <w:r w:rsidR="008055F8" w:rsidRPr="00220850">
              <w:rPr>
                <w:rFonts w:ascii="Times New Roman" w:hAnsi="Times New Roman" w:cs="Times New Roman"/>
                <w:lang w:val="lt-LT"/>
              </w:rPr>
              <w:t>kg</w:t>
            </w:r>
            <w:r w:rsidR="008055F8" w:rsidRPr="00220850">
              <w:rPr>
                <w:rFonts w:ascii="Times New Roman" w:hAnsi="Times New Roman" w:cs="Times New Roman"/>
                <w:spacing w:val="-1"/>
                <w:lang w:val="lt-LT"/>
              </w:rPr>
              <w:t xml:space="preserve"> </w:t>
            </w:r>
            <w:r w:rsidRPr="00220850">
              <w:rPr>
                <w:rFonts w:ascii="Times New Roman" w:hAnsi="Times New Roman" w:cs="Times New Roman"/>
                <w:spacing w:val="-1"/>
                <w:lang w:val="lt-LT"/>
              </w:rPr>
              <w:t>ir daugiau</w:t>
            </w:r>
          </w:p>
        </w:tc>
        <w:tc>
          <w:tcPr>
            <w:tcW w:w="3022" w:type="dxa"/>
          </w:tcPr>
          <w:p w14:paraId="2CB87431" w14:textId="47D15A6E" w:rsidR="008055F8" w:rsidRPr="00220850" w:rsidRDefault="00C148C9" w:rsidP="00C148C9">
            <w:pPr>
              <w:pStyle w:val="TableParagraph"/>
              <w:spacing w:before="25" w:line="266" w:lineRule="auto"/>
              <w:ind w:left="127" w:hanging="12"/>
              <w:rPr>
                <w:rFonts w:ascii="Times New Roman" w:hAnsi="Times New Roman" w:cs="Times New Roman"/>
                <w:lang w:val="lt-LT"/>
              </w:rPr>
            </w:pPr>
            <w:r w:rsidRPr="00220850">
              <w:rPr>
                <w:rFonts w:ascii="Times New Roman" w:hAnsi="Times New Roman" w:cs="Times New Roman"/>
                <w:lang w:val="lt-LT"/>
              </w:rPr>
              <w:t xml:space="preserve">po </w:t>
            </w:r>
            <w:r w:rsidR="008055F8" w:rsidRPr="00220850">
              <w:rPr>
                <w:rFonts w:ascii="Times New Roman" w:hAnsi="Times New Roman" w:cs="Times New Roman"/>
                <w:lang w:val="lt-LT"/>
              </w:rPr>
              <w:t>150</w:t>
            </w:r>
            <w:r w:rsidRPr="00220850">
              <w:rPr>
                <w:rFonts w:ascii="Times New Roman" w:hAnsi="Times New Roman" w:cs="Times New Roman"/>
                <w:spacing w:val="-5"/>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8"/>
                <w:lang w:val="lt-LT"/>
              </w:rPr>
              <w:t xml:space="preserve"> </w:t>
            </w:r>
            <w:r w:rsidR="008055F8" w:rsidRPr="00220850">
              <w:rPr>
                <w:rFonts w:ascii="Times New Roman" w:hAnsi="Times New Roman" w:cs="Times New Roman"/>
                <w:lang w:val="lt-LT"/>
              </w:rPr>
              <w:t>(</w:t>
            </w:r>
            <w:r w:rsidRPr="00220850">
              <w:rPr>
                <w:rFonts w:ascii="Times New Roman" w:hAnsi="Times New Roman" w:cs="Times New Roman"/>
                <w:lang w:val="lt-LT"/>
              </w:rPr>
              <w:t>vieną</w:t>
            </w:r>
            <w:r w:rsidR="008055F8" w:rsidRPr="00220850">
              <w:rPr>
                <w:rFonts w:ascii="Times New Roman" w:hAnsi="Times New Roman" w:cs="Times New Roman"/>
                <w:spacing w:val="-5"/>
                <w:lang w:val="lt-LT"/>
              </w:rPr>
              <w:t xml:space="preserve"> </w:t>
            </w:r>
            <w:r w:rsidR="008055F8" w:rsidRPr="00220850">
              <w:rPr>
                <w:rFonts w:ascii="Times New Roman" w:hAnsi="Times New Roman" w:cs="Times New Roman"/>
                <w:lang w:val="lt-LT"/>
              </w:rPr>
              <w:t>150</w:t>
            </w:r>
            <w:r w:rsidRPr="00220850">
              <w:rPr>
                <w:rFonts w:ascii="Times New Roman" w:hAnsi="Times New Roman" w:cs="Times New Roman"/>
                <w:spacing w:val="-8"/>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008055F8" w:rsidRPr="00220850">
              <w:rPr>
                <w:rFonts w:ascii="Times New Roman" w:hAnsi="Times New Roman" w:cs="Times New Roman"/>
                <w:spacing w:val="-4"/>
                <w:lang w:val="lt-LT"/>
              </w:rPr>
              <w:t xml:space="preserve"> </w:t>
            </w:r>
            <w:r w:rsidRPr="00220850">
              <w:rPr>
                <w:rFonts w:ascii="Times New Roman" w:hAnsi="Times New Roman" w:cs="Times New Roman"/>
                <w:lang w:val="lt-LT"/>
              </w:rPr>
              <w:t xml:space="preserve">arba šešias </w:t>
            </w:r>
            <w:r w:rsidR="008055F8" w:rsidRPr="00220850">
              <w:rPr>
                <w:rFonts w:ascii="Times New Roman" w:hAnsi="Times New Roman" w:cs="Times New Roman"/>
                <w:lang w:val="lt-LT"/>
              </w:rPr>
              <w:t>25</w:t>
            </w:r>
            <w:r w:rsidRPr="00220850">
              <w:rPr>
                <w:rFonts w:ascii="Times New Roman" w:hAnsi="Times New Roman" w:cs="Times New Roman"/>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5"/>
                <w:lang w:val="lt-LT"/>
              </w:rPr>
              <w:t xml:space="preserve"> </w:t>
            </w:r>
            <w:r w:rsidRPr="00220850">
              <w:rPr>
                <w:rFonts w:ascii="Times New Roman" w:hAnsi="Times New Roman" w:cs="Times New Roman"/>
                <w:lang w:val="lt-LT"/>
              </w:rPr>
              <w:t>k</w:t>
            </w:r>
            <w:r w:rsidR="008055F8" w:rsidRPr="00220850">
              <w:rPr>
                <w:rFonts w:ascii="Times New Roman" w:hAnsi="Times New Roman" w:cs="Times New Roman"/>
                <w:lang w:val="lt-LT"/>
              </w:rPr>
              <w:t>apsules)</w:t>
            </w:r>
            <w:r w:rsidRPr="00220850">
              <w:rPr>
                <w:rFonts w:ascii="Times New Roman" w:hAnsi="Times New Roman" w:cs="Times New Roman"/>
                <w:lang w:val="lt-LT"/>
              </w:rPr>
              <w:t xml:space="preserve"> du kartus per parą</w:t>
            </w:r>
          </w:p>
        </w:tc>
        <w:tc>
          <w:tcPr>
            <w:tcW w:w="3025" w:type="dxa"/>
          </w:tcPr>
          <w:p w14:paraId="3B4E3F16" w14:textId="4BF53FA9" w:rsidR="008055F8" w:rsidRPr="00220850" w:rsidRDefault="00C148C9" w:rsidP="00C148C9">
            <w:pPr>
              <w:pStyle w:val="TableParagraph"/>
              <w:spacing w:before="25" w:line="266" w:lineRule="auto"/>
              <w:ind w:left="118" w:right="106"/>
              <w:rPr>
                <w:rFonts w:ascii="Times New Roman" w:hAnsi="Times New Roman" w:cs="Times New Roman"/>
                <w:lang w:val="lt-LT"/>
              </w:rPr>
            </w:pPr>
            <w:r w:rsidRPr="00220850">
              <w:rPr>
                <w:rFonts w:ascii="Times New Roman" w:hAnsi="Times New Roman" w:cs="Times New Roman"/>
                <w:lang w:val="lt-LT"/>
              </w:rPr>
              <w:t xml:space="preserve">po </w:t>
            </w:r>
            <w:r w:rsidR="008055F8" w:rsidRPr="00220850">
              <w:rPr>
                <w:rFonts w:ascii="Times New Roman" w:hAnsi="Times New Roman" w:cs="Times New Roman"/>
                <w:lang w:val="lt-LT"/>
              </w:rPr>
              <w:t>100</w:t>
            </w:r>
            <w:r w:rsidRPr="00220850">
              <w:rPr>
                <w:rFonts w:ascii="Times New Roman" w:hAnsi="Times New Roman" w:cs="Times New Roman"/>
                <w:spacing w:val="-5"/>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8"/>
                <w:lang w:val="lt-LT"/>
              </w:rPr>
              <w:t xml:space="preserve"> </w:t>
            </w:r>
            <w:r w:rsidR="008055F8" w:rsidRPr="00220850">
              <w:rPr>
                <w:rFonts w:ascii="Times New Roman" w:hAnsi="Times New Roman" w:cs="Times New Roman"/>
                <w:lang w:val="lt-LT"/>
              </w:rPr>
              <w:t>(</w:t>
            </w:r>
            <w:r w:rsidRPr="00220850">
              <w:rPr>
                <w:rFonts w:ascii="Times New Roman" w:hAnsi="Times New Roman" w:cs="Times New Roman"/>
                <w:lang w:val="lt-LT"/>
              </w:rPr>
              <w:t xml:space="preserve">vieną </w:t>
            </w:r>
            <w:r w:rsidR="008055F8" w:rsidRPr="00220850">
              <w:rPr>
                <w:rFonts w:ascii="Times New Roman" w:hAnsi="Times New Roman" w:cs="Times New Roman"/>
                <w:lang w:val="lt-LT"/>
              </w:rPr>
              <w:t>100</w:t>
            </w:r>
            <w:r w:rsidRPr="00220850">
              <w:rPr>
                <w:rFonts w:ascii="Times New Roman" w:hAnsi="Times New Roman" w:cs="Times New Roman"/>
                <w:spacing w:val="-7"/>
                <w:lang w:val="lt-LT"/>
              </w:rPr>
              <w:t> </w:t>
            </w:r>
            <w:r w:rsidR="008055F8" w:rsidRPr="00220850">
              <w:rPr>
                <w:rFonts w:ascii="Times New Roman" w:hAnsi="Times New Roman" w:cs="Times New Roman"/>
                <w:lang w:val="lt-LT"/>
              </w:rPr>
              <w:t>mg</w:t>
            </w:r>
            <w:r w:rsidR="008055F8"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008055F8" w:rsidRPr="00220850">
              <w:rPr>
                <w:rFonts w:ascii="Times New Roman" w:hAnsi="Times New Roman" w:cs="Times New Roman"/>
                <w:spacing w:val="-4"/>
                <w:lang w:val="lt-LT"/>
              </w:rPr>
              <w:t xml:space="preserve"> </w:t>
            </w:r>
            <w:r w:rsidRPr="00220850">
              <w:rPr>
                <w:rFonts w:ascii="Times New Roman" w:hAnsi="Times New Roman" w:cs="Times New Roman"/>
                <w:spacing w:val="-4"/>
                <w:lang w:val="lt-LT"/>
              </w:rPr>
              <w:t xml:space="preserve">arba keturias </w:t>
            </w:r>
            <w:r w:rsidR="008055F8" w:rsidRPr="00220850">
              <w:rPr>
                <w:rFonts w:ascii="Times New Roman" w:hAnsi="Times New Roman" w:cs="Times New Roman"/>
                <w:lang w:val="lt-LT"/>
              </w:rPr>
              <w:t>25</w:t>
            </w:r>
            <w:r w:rsidRPr="00220850">
              <w:rPr>
                <w:rFonts w:ascii="Times New Roman" w:hAnsi="Times New Roman" w:cs="Times New Roman"/>
                <w:lang w:val="lt-LT"/>
              </w:rPr>
              <w:t> mg k</w:t>
            </w:r>
            <w:r w:rsidR="008055F8" w:rsidRPr="00220850">
              <w:rPr>
                <w:rFonts w:ascii="Times New Roman" w:hAnsi="Times New Roman" w:cs="Times New Roman"/>
                <w:lang w:val="lt-LT"/>
              </w:rPr>
              <w:t xml:space="preserve">apsules) </w:t>
            </w:r>
            <w:r w:rsidRPr="00220850">
              <w:rPr>
                <w:rFonts w:ascii="Times New Roman" w:hAnsi="Times New Roman" w:cs="Times New Roman"/>
                <w:lang w:val="lt-LT"/>
              </w:rPr>
              <w:t>du kartus per parą</w:t>
            </w:r>
          </w:p>
        </w:tc>
      </w:tr>
    </w:tbl>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8055F8" w:rsidRPr="00220850" w14:paraId="2B1FFB86" w14:textId="77777777" w:rsidTr="00C45503">
        <w:trPr>
          <w:trHeight w:val="840"/>
        </w:trPr>
        <w:tc>
          <w:tcPr>
            <w:tcW w:w="9072" w:type="dxa"/>
          </w:tcPr>
          <w:p w14:paraId="454D524C" w14:textId="16001F21" w:rsidR="00C148C9" w:rsidRPr="00220850" w:rsidRDefault="00AA239D" w:rsidP="00C148C9">
            <w:pPr>
              <w:pStyle w:val="Default"/>
              <w:rPr>
                <w:color w:val="auto"/>
                <w:sz w:val="22"/>
                <w:szCs w:val="22"/>
                <w:lang w:val="lt-LT"/>
              </w:rPr>
            </w:pPr>
            <w:r w:rsidRPr="00220850">
              <w:rPr>
                <w:color w:val="auto"/>
                <w:sz w:val="22"/>
                <w:szCs w:val="22"/>
                <w:lang w:val="lt-LT"/>
              </w:rPr>
              <w:t>*</w:t>
            </w:r>
            <w:r w:rsidR="00C148C9" w:rsidRPr="00220850">
              <w:rPr>
                <w:b/>
                <w:bCs/>
                <w:color w:val="auto"/>
                <w:sz w:val="22"/>
                <w:szCs w:val="22"/>
                <w:lang w:val="lt-LT"/>
              </w:rPr>
              <w:t xml:space="preserve">Sumažintoji dozė </w:t>
            </w:r>
            <w:r w:rsidR="00C148C9" w:rsidRPr="00220850">
              <w:rPr>
                <w:color w:val="auto"/>
                <w:sz w:val="22"/>
                <w:szCs w:val="22"/>
                <w:lang w:val="lt-LT"/>
              </w:rPr>
              <w:t>rekomenduojama vaikams ir paaugliams, kuriems nustatytas lengvas kepenų funkcijos sutrikimas (</w:t>
            </w:r>
            <w:r w:rsidR="00B672A6" w:rsidRPr="00220850">
              <w:rPr>
                <w:color w:val="auto"/>
                <w:sz w:val="22"/>
                <w:szCs w:val="22"/>
                <w:lang w:val="lt-LT"/>
              </w:rPr>
              <w:t xml:space="preserve">A klasė </w:t>
            </w:r>
            <w:r w:rsidR="00342B59" w:rsidRPr="00220850">
              <w:rPr>
                <w:color w:val="auto"/>
                <w:sz w:val="22"/>
                <w:szCs w:val="22"/>
                <w:lang w:val="lt-LT"/>
              </w:rPr>
              <w:t xml:space="preserve">pagal </w:t>
            </w:r>
            <w:proofErr w:type="spellStart"/>
            <w:r w:rsidR="00C148C9" w:rsidRPr="00220850">
              <w:rPr>
                <w:color w:val="auto"/>
                <w:sz w:val="22"/>
                <w:szCs w:val="22"/>
                <w:lang w:val="lt-LT"/>
              </w:rPr>
              <w:t>Child</w:t>
            </w:r>
            <w:proofErr w:type="spellEnd"/>
            <w:r w:rsidR="00C148C9" w:rsidRPr="00220850">
              <w:rPr>
                <w:color w:val="auto"/>
                <w:sz w:val="22"/>
                <w:szCs w:val="22"/>
                <w:lang w:val="lt-LT"/>
              </w:rPr>
              <w:t xml:space="preserve"> </w:t>
            </w:r>
            <w:proofErr w:type="spellStart"/>
            <w:r w:rsidR="00C148C9" w:rsidRPr="00220850">
              <w:rPr>
                <w:color w:val="auto"/>
                <w:sz w:val="22"/>
                <w:szCs w:val="22"/>
                <w:lang w:val="lt-LT"/>
              </w:rPr>
              <w:t>Pugh</w:t>
            </w:r>
            <w:proofErr w:type="spellEnd"/>
            <w:r w:rsidR="00C148C9" w:rsidRPr="00220850">
              <w:rPr>
                <w:color w:val="auto"/>
                <w:sz w:val="22"/>
                <w:szCs w:val="22"/>
                <w:lang w:val="lt-LT"/>
              </w:rPr>
              <w:t xml:space="preserve">), ir nepageidaujamoms reakcijoms suvaldyti vaikų </w:t>
            </w:r>
            <w:proofErr w:type="spellStart"/>
            <w:r w:rsidR="00C148C9" w:rsidRPr="00220850">
              <w:rPr>
                <w:color w:val="auto"/>
                <w:sz w:val="22"/>
                <w:szCs w:val="22"/>
                <w:lang w:val="lt-LT"/>
              </w:rPr>
              <w:t>populiacijjoje</w:t>
            </w:r>
            <w:proofErr w:type="spellEnd"/>
            <w:r w:rsidR="00C148C9" w:rsidRPr="00220850">
              <w:rPr>
                <w:color w:val="auto"/>
                <w:sz w:val="22"/>
                <w:szCs w:val="22"/>
                <w:lang w:val="lt-LT"/>
              </w:rPr>
              <w:t xml:space="preserve">. Daugiau informacijos apie nepageidaujamų reakcijų į vaistinį preparatą valdymą pateikiama </w:t>
            </w:r>
            <w:r w:rsidRPr="00220850">
              <w:rPr>
                <w:color w:val="auto"/>
                <w:sz w:val="22"/>
                <w:szCs w:val="22"/>
                <w:lang w:val="lt-LT"/>
              </w:rPr>
              <w:t>aukščiau</w:t>
            </w:r>
            <w:r w:rsidR="00342B59" w:rsidRPr="00220850">
              <w:rPr>
                <w:color w:val="auto"/>
                <w:sz w:val="22"/>
                <w:szCs w:val="22"/>
                <w:lang w:val="lt-LT"/>
              </w:rPr>
              <w:t>.</w:t>
            </w:r>
          </w:p>
          <w:p w14:paraId="170EBAC6" w14:textId="46CA654B" w:rsidR="00C148C9" w:rsidRPr="00220850" w:rsidRDefault="00C148C9" w:rsidP="00C45503">
            <w:pPr>
              <w:pStyle w:val="TableParagraph"/>
              <w:spacing w:line="260" w:lineRule="atLeast"/>
              <w:rPr>
                <w:highlight w:val="yellow"/>
                <w:lang w:val="lt-LT"/>
              </w:rPr>
            </w:pPr>
          </w:p>
        </w:tc>
      </w:tr>
    </w:tbl>
    <w:tbl>
      <w:tblPr>
        <w:tblStyle w:val="TableNormal1"/>
        <w:tblW w:w="90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8"/>
      </w:tblGrid>
      <w:tr w:rsidR="008055F8" w:rsidRPr="00220850" w14:paraId="385C7E01" w14:textId="77777777" w:rsidTr="00C45503">
        <w:trPr>
          <w:trHeight w:val="605"/>
        </w:trPr>
        <w:tc>
          <w:tcPr>
            <w:tcW w:w="9048" w:type="dxa"/>
          </w:tcPr>
          <w:p w14:paraId="7A285081" w14:textId="3767C462" w:rsidR="00342B59" w:rsidRPr="00220850" w:rsidRDefault="00342B59" w:rsidP="00342B59">
            <w:pPr>
              <w:pStyle w:val="Default"/>
              <w:rPr>
                <w:rFonts w:ascii="Times New Roman" w:hAnsi="Times New Roman" w:cs="Times New Roman"/>
                <w:color w:val="auto"/>
                <w:szCs w:val="22"/>
                <w:lang w:val="lt-LT"/>
              </w:rPr>
            </w:pPr>
            <w:r w:rsidRPr="00220850">
              <w:rPr>
                <w:color w:val="auto"/>
                <w:sz w:val="24"/>
                <w:szCs w:val="22"/>
                <w:lang w:val="lt-LT"/>
              </w:rPr>
              <w:t>**</w:t>
            </w:r>
            <w:r w:rsidRPr="00220850">
              <w:rPr>
                <w:b/>
                <w:bCs/>
                <w:color w:val="auto"/>
                <w:szCs w:val="22"/>
                <w:lang w:val="lt-LT"/>
              </w:rPr>
              <w:t>Mažesnis kaip 13,5 kg kūno svoris</w:t>
            </w:r>
            <w:r w:rsidRPr="00220850">
              <w:rPr>
                <w:color w:val="auto"/>
                <w:szCs w:val="22"/>
                <w:lang w:val="lt-LT"/>
              </w:rPr>
              <w:t xml:space="preserve">: </w:t>
            </w:r>
          </w:p>
          <w:p w14:paraId="12DCB6C6" w14:textId="6DF12DAD" w:rsidR="00342B59" w:rsidRPr="00220850" w:rsidRDefault="00342B59" w:rsidP="00342B59">
            <w:pPr>
              <w:pStyle w:val="TableParagraph"/>
              <w:spacing w:before="11" w:line="236" w:lineRule="exact"/>
              <w:rPr>
                <w:rFonts w:ascii="Times New Roman" w:hAnsi="Times New Roman" w:cs="Times New Roman"/>
                <w:spacing w:val="-5"/>
                <w:lang w:val="lt-LT"/>
              </w:rPr>
            </w:pPr>
            <w:r w:rsidRPr="00220850">
              <w:rPr>
                <w:lang w:val="lt-LT"/>
              </w:rPr>
              <w:t xml:space="preserve">Jeigu paciento svoris sumažėja iki mažiau kaip 13,5 kg, gydymą reikia pertraukti. </w:t>
            </w:r>
          </w:p>
        </w:tc>
      </w:tr>
    </w:tbl>
    <w:p w14:paraId="64A7650F" w14:textId="77777777" w:rsidR="008055F8" w:rsidRPr="00220850" w:rsidRDefault="008055F8" w:rsidP="00CE11B4">
      <w:pPr>
        <w:autoSpaceDE w:val="0"/>
        <w:autoSpaceDN w:val="0"/>
        <w:adjustRightInd w:val="0"/>
        <w:rPr>
          <w:rFonts w:eastAsia="TimesNewRoman"/>
          <w:sz w:val="22"/>
          <w:szCs w:val="22"/>
          <w:u w:val="single"/>
        </w:rPr>
      </w:pPr>
    </w:p>
    <w:p w14:paraId="2AD82A8A" w14:textId="77777777" w:rsidR="008055F8" w:rsidRPr="00220850" w:rsidRDefault="008055F8" w:rsidP="00CE11B4">
      <w:pPr>
        <w:autoSpaceDE w:val="0"/>
        <w:autoSpaceDN w:val="0"/>
        <w:adjustRightInd w:val="0"/>
        <w:rPr>
          <w:rFonts w:eastAsia="TimesNewRoman"/>
          <w:sz w:val="22"/>
          <w:szCs w:val="22"/>
          <w:u w:val="single"/>
        </w:rPr>
      </w:pPr>
    </w:p>
    <w:p w14:paraId="39873034" w14:textId="41E4C2DB" w:rsidR="00CE11B4" w:rsidRPr="00220850" w:rsidRDefault="00CE11B4" w:rsidP="00CE11B4">
      <w:pPr>
        <w:autoSpaceDE w:val="0"/>
        <w:autoSpaceDN w:val="0"/>
        <w:adjustRightInd w:val="0"/>
        <w:rPr>
          <w:rFonts w:eastAsia="TimesNewRoman"/>
          <w:sz w:val="22"/>
          <w:szCs w:val="22"/>
          <w:u w:val="single"/>
        </w:rPr>
      </w:pPr>
      <w:r w:rsidRPr="00220850">
        <w:rPr>
          <w:rFonts w:eastAsia="TimesNewRoman"/>
          <w:sz w:val="22"/>
          <w:szCs w:val="22"/>
          <w:u w:val="single"/>
        </w:rPr>
        <w:t>Ypatingos populiacijos</w:t>
      </w:r>
    </w:p>
    <w:p w14:paraId="1250FBC8" w14:textId="77777777" w:rsidR="004A16EB" w:rsidRPr="00220850" w:rsidRDefault="004A16EB" w:rsidP="00CE11B4">
      <w:pPr>
        <w:autoSpaceDE w:val="0"/>
        <w:autoSpaceDN w:val="0"/>
        <w:adjustRightInd w:val="0"/>
        <w:rPr>
          <w:rFonts w:eastAsia="TimesNewRoman,Italic"/>
          <w:i/>
          <w:iCs/>
          <w:sz w:val="22"/>
          <w:szCs w:val="22"/>
        </w:rPr>
      </w:pPr>
    </w:p>
    <w:p w14:paraId="47D7E6AC" w14:textId="77777777" w:rsidR="00CE11B4" w:rsidRPr="00220850" w:rsidRDefault="00CE11B4" w:rsidP="00CE11B4">
      <w:pPr>
        <w:autoSpaceDE w:val="0"/>
        <w:autoSpaceDN w:val="0"/>
        <w:adjustRightInd w:val="0"/>
        <w:rPr>
          <w:rFonts w:eastAsia="TimesNewRoman,Italic"/>
          <w:i/>
          <w:iCs/>
          <w:sz w:val="22"/>
          <w:szCs w:val="22"/>
        </w:rPr>
      </w:pPr>
      <w:r w:rsidRPr="00220850">
        <w:rPr>
          <w:rFonts w:eastAsia="TimesNewRoman,Italic"/>
          <w:i/>
          <w:iCs/>
          <w:sz w:val="22"/>
          <w:szCs w:val="22"/>
        </w:rPr>
        <w:t>Senyvi</w:t>
      </w:r>
      <w:r w:rsidR="00C34A50" w:rsidRPr="00220850">
        <w:rPr>
          <w:rFonts w:eastAsia="TimesNewRoman,Italic"/>
          <w:i/>
          <w:iCs/>
          <w:sz w:val="22"/>
          <w:szCs w:val="22"/>
        </w:rPr>
        <w:t>ems</w:t>
      </w:r>
      <w:r w:rsidRPr="00220850">
        <w:rPr>
          <w:rFonts w:eastAsia="TimesNewRoman,Italic"/>
          <w:i/>
          <w:iCs/>
          <w:sz w:val="22"/>
          <w:szCs w:val="22"/>
        </w:rPr>
        <w:t xml:space="preserve"> (≥ 65 metų) pacienta</w:t>
      </w:r>
      <w:r w:rsidR="006D0324" w:rsidRPr="00220850">
        <w:rPr>
          <w:rFonts w:eastAsia="TimesNewRoman,Italic"/>
          <w:i/>
          <w:iCs/>
          <w:sz w:val="22"/>
          <w:szCs w:val="22"/>
        </w:rPr>
        <w:t>ms</w:t>
      </w:r>
    </w:p>
    <w:p w14:paraId="40B9251C" w14:textId="77777777"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Senyviems pacientams apskritai nebuvo pastebėta kokių nors saugumo ir veiksmingumo skirtumų.</w:t>
      </w:r>
      <w:r w:rsidR="00C34A50" w:rsidRPr="00220850">
        <w:rPr>
          <w:rFonts w:eastAsia="TimesNewRoman"/>
          <w:sz w:val="22"/>
          <w:szCs w:val="22"/>
        </w:rPr>
        <w:t xml:space="preserve"> </w:t>
      </w:r>
      <w:r w:rsidRPr="00220850">
        <w:rPr>
          <w:rFonts w:eastAsia="TimesNewRoman"/>
          <w:sz w:val="22"/>
          <w:szCs w:val="22"/>
        </w:rPr>
        <w:t>Senyviems pacientams iš anksto dozės koreguoti nebūtina. 75 metų ir vyresniems pacientams labiau</w:t>
      </w:r>
      <w:r w:rsidR="00C34A50" w:rsidRPr="00220850">
        <w:rPr>
          <w:rFonts w:eastAsia="TimesNewRoman"/>
          <w:sz w:val="22"/>
          <w:szCs w:val="22"/>
        </w:rPr>
        <w:t xml:space="preserve"> </w:t>
      </w:r>
      <w:r w:rsidRPr="00220850">
        <w:rPr>
          <w:rFonts w:eastAsia="TimesNewRoman"/>
          <w:sz w:val="22"/>
          <w:szCs w:val="22"/>
        </w:rPr>
        <w:t xml:space="preserve">tikėtina, kad reikės dozę </w:t>
      </w:r>
      <w:r w:rsidR="00C34A50" w:rsidRPr="00220850">
        <w:rPr>
          <w:rFonts w:eastAsia="TimesNewRoman"/>
          <w:sz w:val="22"/>
          <w:szCs w:val="22"/>
        </w:rPr>
        <w:t xml:space="preserve">mažinti </w:t>
      </w:r>
      <w:r w:rsidRPr="00220850">
        <w:rPr>
          <w:rFonts w:eastAsia="TimesNewRoman"/>
          <w:sz w:val="22"/>
          <w:szCs w:val="22"/>
        </w:rPr>
        <w:t>nepageidaujamų reiškinių suvaldymui (žr. 5.2 skyrių).</w:t>
      </w:r>
    </w:p>
    <w:p w14:paraId="19D167BC" w14:textId="77777777" w:rsidR="00C34A50" w:rsidRPr="00220850" w:rsidRDefault="00C34A50" w:rsidP="00CE11B4">
      <w:pPr>
        <w:autoSpaceDE w:val="0"/>
        <w:autoSpaceDN w:val="0"/>
        <w:adjustRightInd w:val="0"/>
        <w:rPr>
          <w:rFonts w:eastAsia="TimesNewRoman,Italic"/>
          <w:i/>
          <w:iCs/>
          <w:sz w:val="22"/>
          <w:szCs w:val="22"/>
        </w:rPr>
      </w:pPr>
    </w:p>
    <w:p w14:paraId="1185527E" w14:textId="77777777" w:rsidR="00C34A50" w:rsidRPr="00220850" w:rsidRDefault="00C34A50" w:rsidP="00CE11B4">
      <w:pPr>
        <w:autoSpaceDE w:val="0"/>
        <w:autoSpaceDN w:val="0"/>
        <w:adjustRightInd w:val="0"/>
        <w:rPr>
          <w:rFonts w:eastAsia="TimesNewRoman,Italic"/>
          <w:i/>
          <w:iCs/>
          <w:sz w:val="22"/>
          <w:szCs w:val="22"/>
        </w:rPr>
      </w:pPr>
      <w:r w:rsidRPr="00220850">
        <w:rPr>
          <w:i/>
          <w:iCs/>
          <w:sz w:val="22"/>
          <w:szCs w:val="22"/>
        </w:rPr>
        <w:t>Pacientams, kurių inkstų funkcija sutrikusi</w:t>
      </w:r>
      <w:r w:rsidRPr="00220850">
        <w:rPr>
          <w:rFonts w:eastAsia="TimesNewRoman,Italic"/>
          <w:i/>
          <w:iCs/>
          <w:sz w:val="22"/>
          <w:szCs w:val="22"/>
        </w:rPr>
        <w:t xml:space="preserve"> </w:t>
      </w:r>
    </w:p>
    <w:p w14:paraId="42BA7248" w14:textId="71216F15"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Jei yra lengvas arba vidutinio sunkumo inkstų funkcijos sutrikimas, pradinės dozės koreg</w:t>
      </w:r>
      <w:r w:rsidR="00C34A50" w:rsidRPr="00220850">
        <w:rPr>
          <w:rFonts w:eastAsia="TimesNewRoman"/>
          <w:sz w:val="22"/>
          <w:szCs w:val="22"/>
        </w:rPr>
        <w:t>avimas</w:t>
      </w:r>
      <w:r w:rsidR="00252B76" w:rsidRPr="00220850">
        <w:rPr>
          <w:rFonts w:eastAsia="TimesNewRoman"/>
          <w:sz w:val="22"/>
          <w:szCs w:val="22"/>
        </w:rPr>
        <w:t xml:space="preserve"> </w:t>
      </w:r>
      <w:r w:rsidR="00342B59" w:rsidRPr="00220850">
        <w:rPr>
          <w:rFonts w:eastAsia="TimesNewRoman"/>
          <w:sz w:val="22"/>
          <w:szCs w:val="22"/>
        </w:rPr>
        <w:t xml:space="preserve">suaugusiesiems ir vaikams </w:t>
      </w:r>
      <w:r w:rsidR="00C34A50" w:rsidRPr="00220850">
        <w:rPr>
          <w:rFonts w:eastAsia="TimesNewRoman"/>
          <w:sz w:val="22"/>
          <w:szCs w:val="22"/>
        </w:rPr>
        <w:t xml:space="preserve">nėra </w:t>
      </w:r>
      <w:r w:rsidR="00276D02" w:rsidRPr="00220850">
        <w:rPr>
          <w:rFonts w:eastAsia="TimesNewRoman"/>
          <w:sz w:val="22"/>
          <w:szCs w:val="22"/>
        </w:rPr>
        <w:t>reikalingas</w:t>
      </w:r>
      <w:r w:rsidRPr="00220850">
        <w:rPr>
          <w:rFonts w:eastAsia="TimesNewRoman"/>
          <w:sz w:val="22"/>
          <w:szCs w:val="22"/>
        </w:rPr>
        <w:t>.</w:t>
      </w:r>
    </w:p>
    <w:p w14:paraId="05BF0B14" w14:textId="6911E8BF" w:rsidR="00CE11B4" w:rsidRPr="00220850" w:rsidRDefault="00CE11B4" w:rsidP="00CE11B4">
      <w:pPr>
        <w:autoSpaceDE w:val="0"/>
        <w:autoSpaceDN w:val="0"/>
        <w:adjustRightInd w:val="0"/>
        <w:rPr>
          <w:rFonts w:eastAsia="TimesNewRoman"/>
          <w:sz w:val="22"/>
          <w:szCs w:val="22"/>
        </w:rPr>
      </w:pPr>
      <w:proofErr w:type="spellStart"/>
      <w:r w:rsidRPr="00220850">
        <w:rPr>
          <w:rFonts w:eastAsia="TimesNewRoman"/>
          <w:sz w:val="22"/>
          <w:szCs w:val="22"/>
        </w:rPr>
        <w:t>Nintedanibo</w:t>
      </w:r>
      <w:proofErr w:type="spellEnd"/>
      <w:r w:rsidRPr="00220850">
        <w:rPr>
          <w:rFonts w:eastAsia="TimesNewRoman"/>
          <w:sz w:val="22"/>
          <w:szCs w:val="22"/>
        </w:rPr>
        <w:t xml:space="preserve"> saugumo, veiksmingumo ir farmakokinetikos tyrimų su </w:t>
      </w:r>
      <w:r w:rsidR="00342B59" w:rsidRPr="00220850">
        <w:rPr>
          <w:rFonts w:eastAsia="TimesNewRoman"/>
          <w:sz w:val="22"/>
          <w:szCs w:val="22"/>
        </w:rPr>
        <w:t xml:space="preserve">suaugusiais </w:t>
      </w:r>
      <w:r w:rsidRPr="00220850">
        <w:rPr>
          <w:rFonts w:eastAsia="TimesNewRoman"/>
          <w:sz w:val="22"/>
          <w:szCs w:val="22"/>
        </w:rPr>
        <w:t>pacientais</w:t>
      </w:r>
      <w:r w:rsidR="00342B59" w:rsidRPr="00220850">
        <w:rPr>
          <w:rFonts w:eastAsia="TimesNewRoman"/>
          <w:sz w:val="22"/>
          <w:szCs w:val="22"/>
        </w:rPr>
        <w:t xml:space="preserve"> ir vaikais</w:t>
      </w:r>
      <w:r w:rsidRPr="00220850">
        <w:rPr>
          <w:rFonts w:eastAsia="TimesNewRoman"/>
          <w:sz w:val="22"/>
          <w:szCs w:val="22"/>
        </w:rPr>
        <w:t>, kuri</w:t>
      </w:r>
      <w:r w:rsidR="00DD6203" w:rsidRPr="00220850">
        <w:rPr>
          <w:rFonts w:eastAsia="TimesNewRoman"/>
          <w:sz w:val="22"/>
          <w:szCs w:val="22"/>
        </w:rPr>
        <w:t>ems</w:t>
      </w:r>
      <w:r w:rsidRPr="00220850">
        <w:rPr>
          <w:rFonts w:eastAsia="TimesNewRoman"/>
          <w:sz w:val="22"/>
          <w:szCs w:val="22"/>
        </w:rPr>
        <w:t xml:space="preserve"> </w:t>
      </w:r>
      <w:r w:rsidR="00DD6203" w:rsidRPr="00220850">
        <w:rPr>
          <w:rFonts w:eastAsia="TimesNewRoman"/>
          <w:sz w:val="22"/>
          <w:szCs w:val="22"/>
        </w:rPr>
        <w:t xml:space="preserve">yra sunkus </w:t>
      </w:r>
      <w:r w:rsidRPr="00220850">
        <w:rPr>
          <w:rFonts w:eastAsia="TimesNewRoman"/>
          <w:sz w:val="22"/>
          <w:szCs w:val="22"/>
        </w:rPr>
        <w:t>inkstų funkcij</w:t>
      </w:r>
      <w:r w:rsidR="00DD6203" w:rsidRPr="00220850">
        <w:rPr>
          <w:rFonts w:eastAsia="TimesNewRoman"/>
          <w:sz w:val="22"/>
          <w:szCs w:val="22"/>
        </w:rPr>
        <w:t>os</w:t>
      </w:r>
      <w:r w:rsidR="00C34A50" w:rsidRPr="00220850">
        <w:rPr>
          <w:rFonts w:eastAsia="TimesNewRoman"/>
          <w:sz w:val="22"/>
          <w:szCs w:val="22"/>
        </w:rPr>
        <w:t xml:space="preserve"> </w:t>
      </w:r>
      <w:r w:rsidRPr="00220850">
        <w:rPr>
          <w:rFonts w:eastAsia="TimesNewRoman"/>
          <w:sz w:val="22"/>
          <w:szCs w:val="22"/>
        </w:rPr>
        <w:t>su</w:t>
      </w:r>
      <w:r w:rsidR="00C34A50" w:rsidRPr="00220850">
        <w:rPr>
          <w:rFonts w:eastAsia="TimesNewRoman"/>
          <w:sz w:val="22"/>
          <w:szCs w:val="22"/>
        </w:rPr>
        <w:t>trik</w:t>
      </w:r>
      <w:r w:rsidR="00DD6203" w:rsidRPr="00220850">
        <w:rPr>
          <w:rFonts w:eastAsia="TimesNewRoman"/>
          <w:sz w:val="22"/>
          <w:szCs w:val="22"/>
        </w:rPr>
        <w:t>imas</w:t>
      </w:r>
      <w:r w:rsidR="00C34A50" w:rsidRPr="00220850">
        <w:rPr>
          <w:rFonts w:eastAsia="TimesNewRoman"/>
          <w:sz w:val="22"/>
          <w:szCs w:val="22"/>
        </w:rPr>
        <w:t xml:space="preserve"> (kreatinino klirensas &lt; 30 </w:t>
      </w:r>
      <w:r w:rsidRPr="00220850">
        <w:rPr>
          <w:rFonts w:eastAsia="TimesNewRoman"/>
          <w:sz w:val="22"/>
          <w:szCs w:val="22"/>
        </w:rPr>
        <w:t>ml/min), neatlikta.</w:t>
      </w:r>
    </w:p>
    <w:p w14:paraId="0D18A65B" w14:textId="77777777" w:rsidR="00C34A50" w:rsidRPr="00220850" w:rsidRDefault="00C34A50" w:rsidP="00CE11B4">
      <w:pPr>
        <w:autoSpaceDE w:val="0"/>
        <w:autoSpaceDN w:val="0"/>
        <w:adjustRightInd w:val="0"/>
        <w:rPr>
          <w:rFonts w:eastAsia="TimesNewRoman,Italic"/>
          <w:i/>
          <w:iCs/>
          <w:sz w:val="22"/>
          <w:szCs w:val="22"/>
        </w:rPr>
      </w:pPr>
    </w:p>
    <w:p w14:paraId="05B2AB5B" w14:textId="77777777" w:rsidR="00C34A50" w:rsidRPr="00220850" w:rsidRDefault="00C34A50" w:rsidP="00CE11B4">
      <w:pPr>
        <w:autoSpaceDE w:val="0"/>
        <w:autoSpaceDN w:val="0"/>
        <w:adjustRightInd w:val="0"/>
        <w:rPr>
          <w:rFonts w:eastAsia="TimesNewRoman,Italic"/>
          <w:i/>
          <w:iCs/>
          <w:sz w:val="22"/>
          <w:szCs w:val="22"/>
        </w:rPr>
      </w:pPr>
      <w:r w:rsidRPr="00220850">
        <w:rPr>
          <w:i/>
          <w:sz w:val="22"/>
        </w:rPr>
        <w:t>Pacientams, kurių kepenų funkcija sutrikusi</w:t>
      </w:r>
      <w:r w:rsidRPr="00220850">
        <w:rPr>
          <w:rFonts w:eastAsia="TimesNewRoman,Italic"/>
          <w:i/>
          <w:iCs/>
          <w:sz w:val="22"/>
          <w:szCs w:val="22"/>
        </w:rPr>
        <w:t xml:space="preserve"> </w:t>
      </w:r>
    </w:p>
    <w:p w14:paraId="326481AD" w14:textId="557F2E4F" w:rsidR="00CE11B4" w:rsidRPr="00220850" w:rsidRDefault="00CE11B4" w:rsidP="00CE11B4">
      <w:pPr>
        <w:autoSpaceDE w:val="0"/>
        <w:autoSpaceDN w:val="0"/>
        <w:adjustRightInd w:val="0"/>
        <w:rPr>
          <w:rFonts w:eastAsia="TimesNewRoman"/>
          <w:sz w:val="22"/>
          <w:szCs w:val="22"/>
        </w:rPr>
      </w:pPr>
      <w:r w:rsidRPr="00220850">
        <w:rPr>
          <w:rFonts w:eastAsia="TimesNewRoman"/>
          <w:sz w:val="22"/>
          <w:szCs w:val="22"/>
        </w:rPr>
        <w:t>Suaugusiems pacientams, kuriems yra lengvas kepenų funkcijos sutrikimas (</w:t>
      </w:r>
      <w:r w:rsidR="00CC769A" w:rsidRPr="00220850">
        <w:rPr>
          <w:rFonts w:eastAsia="TimesNewRoman"/>
          <w:sz w:val="22"/>
          <w:szCs w:val="22"/>
        </w:rPr>
        <w:t xml:space="preserve">A klasė pagal </w:t>
      </w:r>
      <w:proofErr w:type="spellStart"/>
      <w:r w:rsidR="00CC769A" w:rsidRPr="00220850">
        <w:rPr>
          <w:rFonts w:eastAsia="TimesNewRoman"/>
          <w:sz w:val="22"/>
          <w:szCs w:val="22"/>
        </w:rPr>
        <w:t>Child</w:t>
      </w:r>
      <w:proofErr w:type="spellEnd"/>
      <w:r w:rsidR="00CC769A" w:rsidRPr="00220850">
        <w:rPr>
          <w:rFonts w:eastAsia="TimesNewRoman"/>
          <w:sz w:val="22"/>
          <w:szCs w:val="22"/>
        </w:rPr>
        <w:t xml:space="preserve"> </w:t>
      </w:r>
      <w:proofErr w:type="spellStart"/>
      <w:r w:rsidR="00CC769A" w:rsidRPr="00220850">
        <w:rPr>
          <w:rFonts w:eastAsia="TimesNewRoman"/>
          <w:sz w:val="22"/>
          <w:szCs w:val="22"/>
        </w:rPr>
        <w:t>Pugh</w:t>
      </w:r>
      <w:proofErr w:type="spellEnd"/>
      <w:r w:rsidRPr="00220850">
        <w:rPr>
          <w:rFonts w:eastAsia="TimesNewRoman"/>
          <w:sz w:val="22"/>
          <w:szCs w:val="22"/>
        </w:rPr>
        <w:t>),</w:t>
      </w:r>
      <w:r w:rsidR="00CC769A" w:rsidRPr="00220850">
        <w:rPr>
          <w:rFonts w:eastAsia="TimesNewRoman"/>
          <w:sz w:val="22"/>
          <w:szCs w:val="22"/>
        </w:rPr>
        <w:t xml:space="preserve"> </w:t>
      </w:r>
      <w:r w:rsidRPr="00220850">
        <w:rPr>
          <w:rFonts w:eastAsia="TimesNewRoman"/>
          <w:sz w:val="22"/>
          <w:szCs w:val="22"/>
        </w:rPr>
        <w:t xml:space="preserve">rekomenduojama </w:t>
      </w:r>
      <w:proofErr w:type="spellStart"/>
      <w:r w:rsidR="00CC769A" w:rsidRPr="00220850">
        <w:rPr>
          <w:sz w:val="22"/>
          <w:szCs w:val="22"/>
        </w:rPr>
        <w:t>Nintedanib</w:t>
      </w:r>
      <w:proofErr w:type="spellEnd"/>
      <w:r w:rsidR="00CC769A" w:rsidRPr="00220850">
        <w:rPr>
          <w:sz w:val="22"/>
          <w:szCs w:val="22"/>
        </w:rPr>
        <w:t xml:space="preserve"> Teva </w:t>
      </w:r>
      <w:r w:rsidRPr="00220850">
        <w:rPr>
          <w:rFonts w:eastAsia="TimesNewRoman"/>
          <w:sz w:val="22"/>
          <w:szCs w:val="22"/>
        </w:rPr>
        <w:t>dozė</w:t>
      </w:r>
      <w:r w:rsidR="00CC769A" w:rsidRPr="00220850">
        <w:rPr>
          <w:rFonts w:eastAsia="TimesNewRoman"/>
          <w:sz w:val="22"/>
          <w:szCs w:val="22"/>
        </w:rPr>
        <w:t xml:space="preserve"> yra 100 </w:t>
      </w:r>
      <w:r w:rsidRPr="00220850">
        <w:rPr>
          <w:rFonts w:eastAsia="TimesNewRoman"/>
          <w:sz w:val="22"/>
          <w:szCs w:val="22"/>
        </w:rPr>
        <w:t>mg du kartus per parą</w:t>
      </w:r>
      <w:r w:rsidR="00CC769A" w:rsidRPr="00220850">
        <w:rPr>
          <w:rFonts w:eastAsia="TimesNewRoman"/>
          <w:sz w:val="22"/>
          <w:szCs w:val="22"/>
        </w:rPr>
        <w:t xml:space="preserve"> apytiksliai kas 12 </w:t>
      </w:r>
      <w:r w:rsidRPr="00220850">
        <w:rPr>
          <w:rFonts w:eastAsia="TimesNewRoman"/>
          <w:sz w:val="22"/>
          <w:szCs w:val="22"/>
        </w:rPr>
        <w:t>val. Pacientams</w:t>
      </w:r>
      <w:r w:rsidR="00B672A6" w:rsidRPr="00220850">
        <w:rPr>
          <w:rFonts w:eastAsia="TimesNewRoman"/>
          <w:sz w:val="22"/>
          <w:szCs w:val="22"/>
        </w:rPr>
        <w:t xml:space="preserve"> vaikams</w:t>
      </w:r>
      <w:r w:rsidRPr="00220850">
        <w:rPr>
          <w:rFonts w:eastAsia="TimesNewRoman"/>
          <w:sz w:val="22"/>
          <w:szCs w:val="22"/>
        </w:rPr>
        <w:t>, kuriems</w:t>
      </w:r>
      <w:r w:rsidR="00CC769A" w:rsidRPr="00220850">
        <w:rPr>
          <w:rFonts w:eastAsia="TimesNewRoman"/>
          <w:sz w:val="22"/>
          <w:szCs w:val="22"/>
        </w:rPr>
        <w:t xml:space="preserve"> </w:t>
      </w:r>
      <w:r w:rsidRPr="00220850">
        <w:rPr>
          <w:rFonts w:eastAsia="TimesNewRoman"/>
          <w:sz w:val="22"/>
          <w:szCs w:val="22"/>
        </w:rPr>
        <w:t>yra lengvas kepenų funkcijos sutrikimas (</w:t>
      </w:r>
      <w:r w:rsidR="00CC769A" w:rsidRPr="00220850">
        <w:rPr>
          <w:rFonts w:eastAsia="TimesNewRoman"/>
          <w:sz w:val="22"/>
          <w:szCs w:val="22"/>
        </w:rPr>
        <w:t xml:space="preserve">A klasė pagal </w:t>
      </w:r>
      <w:proofErr w:type="spellStart"/>
      <w:r w:rsidRPr="00220850">
        <w:rPr>
          <w:rFonts w:eastAsia="TimesNewRoman"/>
          <w:sz w:val="22"/>
          <w:szCs w:val="22"/>
        </w:rPr>
        <w:t>Child</w:t>
      </w:r>
      <w:proofErr w:type="spellEnd"/>
      <w:r w:rsidRPr="00220850">
        <w:rPr>
          <w:rFonts w:eastAsia="TimesNewRoman"/>
          <w:sz w:val="22"/>
          <w:szCs w:val="22"/>
        </w:rPr>
        <w:t xml:space="preserve"> </w:t>
      </w:r>
      <w:proofErr w:type="spellStart"/>
      <w:r w:rsidRPr="00220850">
        <w:rPr>
          <w:rFonts w:eastAsia="TimesNewRoman"/>
          <w:sz w:val="22"/>
          <w:szCs w:val="22"/>
        </w:rPr>
        <w:t>Pugh</w:t>
      </w:r>
      <w:proofErr w:type="spellEnd"/>
      <w:r w:rsidRPr="00220850">
        <w:rPr>
          <w:rFonts w:eastAsia="TimesNewRoman"/>
          <w:sz w:val="22"/>
          <w:szCs w:val="22"/>
        </w:rPr>
        <w:t>),</w:t>
      </w:r>
      <w:r w:rsidR="00D8706D" w:rsidRPr="00220850">
        <w:rPr>
          <w:rFonts w:eastAsia="TimesNewRoman"/>
          <w:sz w:val="22"/>
          <w:szCs w:val="22"/>
        </w:rPr>
        <w:t xml:space="preserve"> </w:t>
      </w:r>
      <w:r w:rsidR="004B2460" w:rsidRPr="00220850">
        <w:t xml:space="preserve"> </w:t>
      </w:r>
      <w:r w:rsidR="00D8706D" w:rsidRPr="00220850">
        <w:rPr>
          <w:rFonts w:eastAsia="TimesNewRoman"/>
          <w:sz w:val="22"/>
          <w:szCs w:val="22"/>
        </w:rPr>
        <w:t xml:space="preserve">rekomenduojama vartoti </w:t>
      </w:r>
      <w:r w:rsidR="00D8706D" w:rsidRPr="00220850">
        <w:rPr>
          <w:sz w:val="22"/>
          <w:szCs w:val="22"/>
        </w:rPr>
        <w:t>sumažintą pradinę dozę (žr. 1 lentelę). Suaugusiesiems ir vaikams, kuriems yra lengvas kepenų funkcijos sutrikimas (</w:t>
      </w:r>
      <w:proofErr w:type="spellStart"/>
      <w:r w:rsidR="00D8706D" w:rsidRPr="00220850">
        <w:rPr>
          <w:sz w:val="22"/>
          <w:szCs w:val="22"/>
        </w:rPr>
        <w:t>Child</w:t>
      </w:r>
      <w:proofErr w:type="spellEnd"/>
      <w:r w:rsidR="00D8706D" w:rsidRPr="00220850">
        <w:rPr>
          <w:sz w:val="22"/>
          <w:szCs w:val="22"/>
        </w:rPr>
        <w:t xml:space="preserve"> </w:t>
      </w:r>
      <w:proofErr w:type="spellStart"/>
      <w:r w:rsidR="00D8706D" w:rsidRPr="00220850">
        <w:rPr>
          <w:sz w:val="22"/>
          <w:szCs w:val="22"/>
        </w:rPr>
        <w:t>Pugh</w:t>
      </w:r>
      <w:proofErr w:type="spellEnd"/>
      <w:r w:rsidR="00D8706D" w:rsidRPr="00220850">
        <w:rPr>
          <w:sz w:val="22"/>
          <w:szCs w:val="22"/>
        </w:rPr>
        <w:t xml:space="preserve"> A), </w:t>
      </w:r>
      <w:r w:rsidRPr="00220850">
        <w:rPr>
          <w:rFonts w:eastAsia="TimesNewRoman"/>
          <w:sz w:val="22"/>
          <w:szCs w:val="22"/>
        </w:rPr>
        <w:t>nepageidaujamų reakcijų suvaldymui turi</w:t>
      </w:r>
      <w:r w:rsidR="00CC769A" w:rsidRPr="00220850">
        <w:rPr>
          <w:rFonts w:eastAsia="TimesNewRoman"/>
          <w:sz w:val="22"/>
          <w:szCs w:val="22"/>
        </w:rPr>
        <w:t xml:space="preserve"> </w:t>
      </w:r>
      <w:r w:rsidRPr="00220850">
        <w:rPr>
          <w:rFonts w:eastAsia="TimesNewRoman"/>
          <w:sz w:val="22"/>
          <w:szCs w:val="22"/>
        </w:rPr>
        <w:t xml:space="preserve">būti apgalvotas gydymo pertraukimas ar nutraukimas. </w:t>
      </w:r>
      <w:proofErr w:type="spellStart"/>
      <w:r w:rsidRPr="00220850">
        <w:rPr>
          <w:rFonts w:eastAsia="TimesNewRoman"/>
          <w:sz w:val="22"/>
          <w:szCs w:val="22"/>
        </w:rPr>
        <w:t>Nintedanibo</w:t>
      </w:r>
      <w:proofErr w:type="spellEnd"/>
      <w:r w:rsidRPr="00220850">
        <w:rPr>
          <w:rFonts w:eastAsia="TimesNewRoman"/>
          <w:sz w:val="22"/>
          <w:szCs w:val="22"/>
        </w:rPr>
        <w:t xml:space="preserve"> saugumo ir veiksmingumo tyrimų</w:t>
      </w:r>
      <w:r w:rsidR="00CC769A" w:rsidRPr="00220850">
        <w:rPr>
          <w:rFonts w:eastAsia="TimesNewRoman"/>
          <w:sz w:val="22"/>
          <w:szCs w:val="22"/>
        </w:rPr>
        <w:t xml:space="preserve"> </w:t>
      </w:r>
      <w:r w:rsidRPr="00220850">
        <w:rPr>
          <w:rFonts w:eastAsia="TimesNewRoman"/>
          <w:sz w:val="22"/>
          <w:szCs w:val="22"/>
        </w:rPr>
        <w:t xml:space="preserve">su </w:t>
      </w:r>
      <w:r w:rsidR="00D8706D" w:rsidRPr="00220850">
        <w:rPr>
          <w:rFonts w:eastAsia="TimesNewRoman"/>
          <w:sz w:val="22"/>
          <w:szCs w:val="22"/>
        </w:rPr>
        <w:t xml:space="preserve">suaugusiais </w:t>
      </w:r>
      <w:r w:rsidRPr="00220850">
        <w:rPr>
          <w:rFonts w:eastAsia="TimesNewRoman"/>
          <w:sz w:val="22"/>
          <w:szCs w:val="22"/>
        </w:rPr>
        <w:t>pacientais</w:t>
      </w:r>
      <w:r w:rsidR="00D8706D" w:rsidRPr="00220850">
        <w:rPr>
          <w:rFonts w:eastAsia="TimesNewRoman"/>
          <w:sz w:val="22"/>
          <w:szCs w:val="22"/>
        </w:rPr>
        <w:t xml:space="preserve"> ir vaikais</w:t>
      </w:r>
      <w:r w:rsidRPr="00220850">
        <w:rPr>
          <w:rFonts w:eastAsia="TimesNewRoman"/>
          <w:sz w:val="22"/>
          <w:szCs w:val="22"/>
        </w:rPr>
        <w:t xml:space="preserve">, kurių kepenų funkcijos sutrikimas klasifikuojamas kaip </w:t>
      </w:r>
      <w:r w:rsidR="00CC769A" w:rsidRPr="00220850">
        <w:rPr>
          <w:rFonts w:eastAsia="TimesNewRoman"/>
          <w:sz w:val="22"/>
          <w:szCs w:val="22"/>
        </w:rPr>
        <w:t xml:space="preserve">B arba C </w:t>
      </w:r>
      <w:r w:rsidR="00633722" w:rsidRPr="00220850">
        <w:rPr>
          <w:rFonts w:eastAsia="TimesNewRoman"/>
          <w:sz w:val="22"/>
          <w:szCs w:val="22"/>
        </w:rPr>
        <w:t xml:space="preserve">klasės </w:t>
      </w:r>
      <w:r w:rsidR="00CC769A" w:rsidRPr="00220850">
        <w:rPr>
          <w:rFonts w:eastAsia="TimesNewRoman"/>
          <w:sz w:val="22"/>
          <w:szCs w:val="22"/>
        </w:rPr>
        <w:t xml:space="preserve">pagal </w:t>
      </w:r>
      <w:proofErr w:type="spellStart"/>
      <w:r w:rsidRPr="00220850">
        <w:rPr>
          <w:rFonts w:eastAsia="TimesNewRoman"/>
          <w:sz w:val="22"/>
          <w:szCs w:val="22"/>
        </w:rPr>
        <w:t>Child</w:t>
      </w:r>
      <w:proofErr w:type="spellEnd"/>
      <w:r w:rsidRPr="00220850">
        <w:rPr>
          <w:rFonts w:eastAsia="TimesNewRoman"/>
          <w:sz w:val="22"/>
          <w:szCs w:val="22"/>
        </w:rPr>
        <w:t xml:space="preserve"> </w:t>
      </w:r>
      <w:proofErr w:type="spellStart"/>
      <w:r w:rsidRPr="00220850">
        <w:rPr>
          <w:rFonts w:eastAsia="TimesNewRoman"/>
          <w:sz w:val="22"/>
          <w:szCs w:val="22"/>
        </w:rPr>
        <w:t>Pugh</w:t>
      </w:r>
      <w:proofErr w:type="spellEnd"/>
      <w:r w:rsidRPr="00220850">
        <w:rPr>
          <w:rFonts w:eastAsia="TimesNewRoman"/>
          <w:sz w:val="22"/>
          <w:szCs w:val="22"/>
        </w:rPr>
        <w:t xml:space="preserve">, </w:t>
      </w:r>
      <w:r w:rsidR="00D8706D" w:rsidRPr="00220850">
        <w:rPr>
          <w:rFonts w:eastAsia="TimesNewRoman"/>
          <w:sz w:val="22"/>
          <w:szCs w:val="22"/>
        </w:rPr>
        <w:t xml:space="preserve">su suaugusiais pacientais ir vaikais </w:t>
      </w:r>
      <w:r w:rsidRPr="00220850">
        <w:rPr>
          <w:rFonts w:eastAsia="TimesNewRoman"/>
          <w:sz w:val="22"/>
          <w:szCs w:val="22"/>
        </w:rPr>
        <w:t>neatlikta.</w:t>
      </w:r>
      <w:r w:rsidR="00CC769A" w:rsidRPr="00220850">
        <w:rPr>
          <w:rFonts w:eastAsia="TimesNewRoman"/>
          <w:sz w:val="22"/>
          <w:szCs w:val="22"/>
        </w:rPr>
        <w:t xml:space="preserve"> </w:t>
      </w:r>
      <w:r w:rsidR="00AA239D" w:rsidRPr="00220850">
        <w:rPr>
          <w:rFonts w:eastAsia="TimesNewRoman"/>
          <w:sz w:val="22"/>
          <w:szCs w:val="22"/>
        </w:rPr>
        <w:t>Suaugusių p</w:t>
      </w:r>
      <w:r w:rsidRPr="00220850">
        <w:rPr>
          <w:rFonts w:eastAsia="TimesNewRoman"/>
          <w:sz w:val="22"/>
          <w:szCs w:val="22"/>
        </w:rPr>
        <w:t>acientų</w:t>
      </w:r>
      <w:r w:rsidR="00AA239D" w:rsidRPr="00220850">
        <w:rPr>
          <w:rFonts w:eastAsia="TimesNewRoman"/>
          <w:sz w:val="22"/>
          <w:szCs w:val="22"/>
        </w:rPr>
        <w:t xml:space="preserve"> ir vaikų</w:t>
      </w:r>
      <w:r w:rsidRPr="00220850">
        <w:rPr>
          <w:rFonts w:eastAsia="TimesNewRoman"/>
          <w:sz w:val="22"/>
          <w:szCs w:val="22"/>
        </w:rPr>
        <w:t>, kuriems yra vidutinio sunkumo (</w:t>
      </w:r>
      <w:r w:rsidR="00CC769A" w:rsidRPr="00220850">
        <w:rPr>
          <w:rFonts w:eastAsia="TimesNewRoman"/>
          <w:sz w:val="22"/>
          <w:szCs w:val="22"/>
        </w:rPr>
        <w:t xml:space="preserve">B klasė pagal </w:t>
      </w:r>
      <w:proofErr w:type="spellStart"/>
      <w:r w:rsidR="00CC769A" w:rsidRPr="00220850">
        <w:rPr>
          <w:rFonts w:eastAsia="TimesNewRoman"/>
          <w:sz w:val="22"/>
          <w:szCs w:val="22"/>
        </w:rPr>
        <w:t>Child</w:t>
      </w:r>
      <w:proofErr w:type="spellEnd"/>
      <w:r w:rsidR="00CC769A" w:rsidRPr="00220850">
        <w:rPr>
          <w:rFonts w:eastAsia="TimesNewRoman"/>
          <w:sz w:val="22"/>
          <w:szCs w:val="22"/>
        </w:rPr>
        <w:t xml:space="preserve"> </w:t>
      </w:r>
      <w:proofErr w:type="spellStart"/>
      <w:r w:rsidR="00CC769A" w:rsidRPr="00220850">
        <w:rPr>
          <w:rFonts w:eastAsia="TimesNewRoman"/>
          <w:sz w:val="22"/>
          <w:szCs w:val="22"/>
        </w:rPr>
        <w:t>Pugh</w:t>
      </w:r>
      <w:proofErr w:type="spellEnd"/>
      <w:r w:rsidRPr="00220850">
        <w:rPr>
          <w:rFonts w:eastAsia="TimesNewRoman"/>
          <w:sz w:val="22"/>
          <w:szCs w:val="22"/>
        </w:rPr>
        <w:t>) arba sunkus (</w:t>
      </w:r>
      <w:r w:rsidR="00CC769A" w:rsidRPr="00220850">
        <w:rPr>
          <w:rFonts w:eastAsia="TimesNewRoman"/>
          <w:sz w:val="22"/>
          <w:szCs w:val="22"/>
        </w:rPr>
        <w:t>C klasė paga</w:t>
      </w:r>
      <w:r w:rsidR="00633722" w:rsidRPr="00220850">
        <w:rPr>
          <w:rFonts w:eastAsia="TimesNewRoman"/>
          <w:sz w:val="22"/>
          <w:szCs w:val="22"/>
        </w:rPr>
        <w:t>l</w:t>
      </w:r>
      <w:r w:rsidR="00CC769A" w:rsidRPr="00220850">
        <w:rPr>
          <w:rFonts w:eastAsia="TimesNewRoman"/>
          <w:sz w:val="22"/>
          <w:szCs w:val="22"/>
        </w:rPr>
        <w:t xml:space="preserve"> </w:t>
      </w:r>
      <w:proofErr w:type="spellStart"/>
      <w:r w:rsidRPr="00220850">
        <w:rPr>
          <w:rFonts w:eastAsia="TimesNewRoman"/>
          <w:sz w:val="22"/>
          <w:szCs w:val="22"/>
        </w:rPr>
        <w:t>Child</w:t>
      </w:r>
      <w:proofErr w:type="spellEnd"/>
      <w:r w:rsidRPr="00220850">
        <w:rPr>
          <w:rFonts w:eastAsia="TimesNewRoman"/>
          <w:sz w:val="22"/>
          <w:szCs w:val="22"/>
        </w:rPr>
        <w:t xml:space="preserve"> </w:t>
      </w:r>
      <w:proofErr w:type="spellStart"/>
      <w:r w:rsidRPr="00220850">
        <w:rPr>
          <w:rFonts w:eastAsia="TimesNewRoman"/>
          <w:sz w:val="22"/>
          <w:szCs w:val="22"/>
        </w:rPr>
        <w:t>Pugh</w:t>
      </w:r>
      <w:proofErr w:type="spellEnd"/>
      <w:r w:rsidRPr="00220850">
        <w:rPr>
          <w:rFonts w:eastAsia="TimesNewRoman"/>
          <w:sz w:val="22"/>
          <w:szCs w:val="22"/>
        </w:rPr>
        <w:t>) kepenų</w:t>
      </w:r>
      <w:r w:rsidR="00CC769A" w:rsidRPr="00220850">
        <w:rPr>
          <w:rFonts w:eastAsia="TimesNewRoman"/>
          <w:sz w:val="22"/>
          <w:szCs w:val="22"/>
        </w:rPr>
        <w:t xml:space="preserve"> </w:t>
      </w:r>
      <w:r w:rsidRPr="00220850">
        <w:rPr>
          <w:rFonts w:eastAsia="TimesNewRoman"/>
          <w:sz w:val="22"/>
          <w:szCs w:val="22"/>
        </w:rPr>
        <w:t xml:space="preserve">funkcijos sutrikimas, </w:t>
      </w:r>
      <w:r w:rsidR="00CC769A" w:rsidRPr="00220850">
        <w:rPr>
          <w:rFonts w:eastAsia="TimesNewRoman"/>
          <w:sz w:val="22"/>
          <w:szCs w:val="22"/>
        </w:rPr>
        <w:t xml:space="preserve">gydyti </w:t>
      </w:r>
      <w:proofErr w:type="spellStart"/>
      <w:r w:rsidR="00CC769A" w:rsidRPr="00220850">
        <w:rPr>
          <w:sz w:val="22"/>
          <w:szCs w:val="22"/>
        </w:rPr>
        <w:t>Nintedanib</w:t>
      </w:r>
      <w:proofErr w:type="spellEnd"/>
      <w:r w:rsidR="00CC769A" w:rsidRPr="00220850">
        <w:rPr>
          <w:sz w:val="22"/>
          <w:szCs w:val="22"/>
        </w:rPr>
        <w:t xml:space="preserve"> </w:t>
      </w:r>
      <w:proofErr w:type="spellStart"/>
      <w:r w:rsidR="00CC769A" w:rsidRPr="00220850">
        <w:rPr>
          <w:sz w:val="22"/>
          <w:szCs w:val="22"/>
        </w:rPr>
        <w:t>Teva</w:t>
      </w:r>
      <w:proofErr w:type="spellEnd"/>
      <w:r w:rsidR="00CC769A" w:rsidRPr="00220850">
        <w:rPr>
          <w:sz w:val="22"/>
          <w:szCs w:val="22"/>
        </w:rPr>
        <w:t xml:space="preserve"> </w:t>
      </w:r>
      <w:r w:rsidRPr="00220850">
        <w:rPr>
          <w:rFonts w:eastAsia="TimesNewRoman"/>
          <w:sz w:val="22"/>
          <w:szCs w:val="22"/>
        </w:rPr>
        <w:t>nerekomenduojama (žr. 5.2 skyrių).</w:t>
      </w:r>
    </w:p>
    <w:p w14:paraId="54CF857D" w14:textId="77777777" w:rsidR="00CC769A" w:rsidRPr="00220850" w:rsidRDefault="00CC769A" w:rsidP="00CE11B4">
      <w:pPr>
        <w:autoSpaceDE w:val="0"/>
        <w:autoSpaceDN w:val="0"/>
        <w:adjustRightInd w:val="0"/>
        <w:rPr>
          <w:rFonts w:eastAsia="TimesNewRoman,Italic"/>
          <w:i/>
          <w:iCs/>
          <w:sz w:val="22"/>
          <w:szCs w:val="22"/>
        </w:rPr>
      </w:pPr>
    </w:p>
    <w:p w14:paraId="3840FCBA" w14:textId="77777777" w:rsidR="00CE11B4" w:rsidRPr="00220850" w:rsidRDefault="00CE11B4" w:rsidP="00CE11B4">
      <w:pPr>
        <w:autoSpaceDE w:val="0"/>
        <w:autoSpaceDN w:val="0"/>
        <w:adjustRightInd w:val="0"/>
        <w:rPr>
          <w:rFonts w:eastAsia="TimesNewRoman,Italic"/>
          <w:i/>
          <w:iCs/>
          <w:sz w:val="22"/>
          <w:szCs w:val="22"/>
        </w:rPr>
      </w:pPr>
      <w:r w:rsidRPr="00220850">
        <w:rPr>
          <w:rFonts w:eastAsia="TimesNewRoman,Italic"/>
          <w:i/>
          <w:iCs/>
          <w:sz w:val="22"/>
          <w:szCs w:val="22"/>
        </w:rPr>
        <w:t>Vaikų populiacija</w:t>
      </w:r>
    </w:p>
    <w:p w14:paraId="302C5020" w14:textId="0B207394" w:rsidR="00CC769A" w:rsidRPr="00220850" w:rsidRDefault="004B2460" w:rsidP="0035166F">
      <w:pPr>
        <w:pStyle w:val="Pagrindinistekstas"/>
        <w:ind w:right="-1"/>
        <w:rPr>
          <w:iCs/>
          <w:color w:val="auto"/>
          <w:lang w:val="lt-LT"/>
        </w:rPr>
      </w:pPr>
      <w:r w:rsidRPr="00220850">
        <w:rPr>
          <w:i w:val="0"/>
          <w:iCs/>
          <w:color w:val="auto"/>
          <w:lang w:val="lt-LT"/>
        </w:rPr>
        <w:t xml:space="preserve"> </w:t>
      </w:r>
    </w:p>
    <w:p w14:paraId="2F0AAC53" w14:textId="2479E631" w:rsidR="00DE01F8" w:rsidRPr="00220850" w:rsidRDefault="00D8706D">
      <w:pPr>
        <w:tabs>
          <w:tab w:val="left" w:pos="567"/>
        </w:tabs>
        <w:spacing w:line="260" w:lineRule="exact"/>
        <w:rPr>
          <w:sz w:val="22"/>
          <w:szCs w:val="22"/>
        </w:rPr>
      </w:pPr>
      <w:proofErr w:type="spellStart"/>
      <w:r w:rsidRPr="00220850">
        <w:rPr>
          <w:sz w:val="22"/>
          <w:szCs w:val="22"/>
        </w:rPr>
        <w:t>Nintedanibo</w:t>
      </w:r>
      <w:proofErr w:type="spellEnd"/>
      <w:r w:rsidRPr="00220850">
        <w:rPr>
          <w:sz w:val="22"/>
          <w:szCs w:val="22"/>
        </w:rPr>
        <w:t xml:space="preserve"> saugumas ir veiksmingumas jaunesniems kaip 6 metų pacientams vaikams neištirti. Todėl </w:t>
      </w:r>
      <w:proofErr w:type="spellStart"/>
      <w:r w:rsidRPr="00220850">
        <w:rPr>
          <w:sz w:val="22"/>
          <w:szCs w:val="22"/>
        </w:rPr>
        <w:t>nintedanibu</w:t>
      </w:r>
      <w:proofErr w:type="spellEnd"/>
      <w:r w:rsidRPr="00220850">
        <w:rPr>
          <w:sz w:val="22"/>
          <w:szCs w:val="22"/>
        </w:rPr>
        <w:t xml:space="preserve"> gydyti jaunesnius kaip 6 metų vaikus nerekomenduojama. Pacientams, sveriantiems mažiau kaip 13,5 kg, </w:t>
      </w:r>
      <w:proofErr w:type="spellStart"/>
      <w:r w:rsidRPr="00220850">
        <w:rPr>
          <w:sz w:val="22"/>
          <w:szCs w:val="22"/>
        </w:rPr>
        <w:t>nintedanibo</w:t>
      </w:r>
      <w:proofErr w:type="spellEnd"/>
      <w:r w:rsidRPr="00220850">
        <w:rPr>
          <w:sz w:val="22"/>
          <w:szCs w:val="22"/>
        </w:rPr>
        <w:t xml:space="preserve"> vartojimas neištirtas, todėl šiai populiacijai jo skirti nerekomenduojama (žr. 5.1 skyrių).</w:t>
      </w:r>
    </w:p>
    <w:p w14:paraId="7371DCA1" w14:textId="77777777" w:rsidR="00AA239D" w:rsidRPr="00220850" w:rsidRDefault="00AA239D">
      <w:pPr>
        <w:tabs>
          <w:tab w:val="left" w:pos="567"/>
        </w:tabs>
        <w:spacing w:line="260" w:lineRule="exact"/>
        <w:rPr>
          <w:sz w:val="22"/>
          <w:szCs w:val="24"/>
        </w:rPr>
      </w:pPr>
    </w:p>
    <w:p w14:paraId="4781B7AE" w14:textId="77777777" w:rsidR="00DE01F8" w:rsidRPr="00220850" w:rsidRDefault="002D5C8E">
      <w:pPr>
        <w:tabs>
          <w:tab w:val="left" w:pos="567"/>
        </w:tabs>
        <w:spacing w:line="260" w:lineRule="exact"/>
        <w:rPr>
          <w:sz w:val="22"/>
          <w:szCs w:val="24"/>
          <w:u w:val="single"/>
        </w:rPr>
      </w:pPr>
      <w:r w:rsidRPr="00220850">
        <w:rPr>
          <w:sz w:val="22"/>
          <w:szCs w:val="24"/>
          <w:u w:val="single"/>
        </w:rPr>
        <w:t xml:space="preserve">Vartojimo metodas </w:t>
      </w:r>
    </w:p>
    <w:p w14:paraId="56706BA5" w14:textId="77777777" w:rsidR="002A0CA9" w:rsidRPr="00220850" w:rsidRDefault="002A0CA9" w:rsidP="002A0CA9">
      <w:pPr>
        <w:autoSpaceDE w:val="0"/>
        <w:autoSpaceDN w:val="0"/>
        <w:adjustRightInd w:val="0"/>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CC769A" w:rsidRPr="00220850">
        <w:rPr>
          <w:rFonts w:eastAsia="TimesNewRoman"/>
          <w:sz w:val="22"/>
          <w:szCs w:val="22"/>
        </w:rPr>
        <w:t>vartojamas per burną</w:t>
      </w:r>
      <w:r w:rsidRPr="00220850">
        <w:rPr>
          <w:rFonts w:eastAsia="TimesNewRoman"/>
          <w:sz w:val="22"/>
          <w:szCs w:val="22"/>
        </w:rPr>
        <w:t>. K</w:t>
      </w:r>
      <w:r w:rsidR="00CC769A" w:rsidRPr="00220850">
        <w:rPr>
          <w:rFonts w:eastAsia="TimesNewRoman"/>
          <w:sz w:val="22"/>
          <w:szCs w:val="22"/>
        </w:rPr>
        <w:t>apsules reikia vartoti su maistu. Reikia nuryti visą kapsulę,</w:t>
      </w:r>
      <w:r w:rsidRPr="00220850">
        <w:rPr>
          <w:rFonts w:eastAsia="TimesNewRoman"/>
          <w:sz w:val="22"/>
          <w:szCs w:val="22"/>
        </w:rPr>
        <w:t xml:space="preserve"> </w:t>
      </w:r>
      <w:r w:rsidR="00CC769A" w:rsidRPr="00220850">
        <w:rPr>
          <w:rFonts w:eastAsia="TimesNewRoman"/>
          <w:sz w:val="22"/>
          <w:szCs w:val="22"/>
        </w:rPr>
        <w:t>už</w:t>
      </w:r>
      <w:r w:rsidRPr="00220850">
        <w:rPr>
          <w:rFonts w:eastAsia="TimesNewRoman"/>
          <w:sz w:val="22"/>
          <w:szCs w:val="22"/>
        </w:rPr>
        <w:t>sigeriant vandeniu, k</w:t>
      </w:r>
      <w:r w:rsidR="00CC769A" w:rsidRPr="00220850">
        <w:rPr>
          <w:rFonts w:eastAsia="TimesNewRoman"/>
          <w:sz w:val="22"/>
          <w:szCs w:val="22"/>
        </w:rPr>
        <w:t>apsulės negalima kramtyti</w:t>
      </w:r>
      <w:r w:rsidRPr="00220850">
        <w:rPr>
          <w:rFonts w:eastAsia="TimesNewRoman"/>
          <w:sz w:val="22"/>
          <w:szCs w:val="22"/>
        </w:rPr>
        <w:t>.</w:t>
      </w:r>
    </w:p>
    <w:p w14:paraId="31DE8630" w14:textId="553C1E5F" w:rsidR="00DE01F8" w:rsidRPr="00220850" w:rsidRDefault="002A0CA9" w:rsidP="002A0CA9">
      <w:pPr>
        <w:autoSpaceDE w:val="0"/>
        <w:autoSpaceDN w:val="0"/>
        <w:adjustRightInd w:val="0"/>
        <w:rPr>
          <w:sz w:val="22"/>
          <w:szCs w:val="24"/>
        </w:rPr>
      </w:pPr>
      <w:r w:rsidRPr="00220850">
        <w:rPr>
          <w:rFonts w:eastAsia="TimesNewRoman"/>
          <w:sz w:val="22"/>
          <w:szCs w:val="22"/>
        </w:rPr>
        <w:t>Kapsulės negalima</w:t>
      </w:r>
      <w:r w:rsidR="00CC769A" w:rsidRPr="00220850">
        <w:rPr>
          <w:rFonts w:eastAsia="TimesNewRoman"/>
          <w:sz w:val="22"/>
          <w:szCs w:val="22"/>
        </w:rPr>
        <w:t xml:space="preserve"> atidaryti ar traiškyti</w:t>
      </w:r>
      <w:r w:rsidRPr="00220850">
        <w:rPr>
          <w:rFonts w:eastAsia="TimesNewRoman"/>
          <w:sz w:val="22"/>
          <w:szCs w:val="22"/>
        </w:rPr>
        <w:t xml:space="preserve"> </w:t>
      </w:r>
      <w:r w:rsidR="00CC769A" w:rsidRPr="00220850">
        <w:rPr>
          <w:rFonts w:eastAsia="TimesNewRoman"/>
          <w:sz w:val="22"/>
          <w:szCs w:val="22"/>
        </w:rPr>
        <w:t>(žr. 6.6 skyrių).</w:t>
      </w:r>
    </w:p>
    <w:p w14:paraId="3083D078" w14:textId="74BC7A07" w:rsidR="004B2460" w:rsidRPr="00220850" w:rsidRDefault="00D8706D">
      <w:pPr>
        <w:tabs>
          <w:tab w:val="left" w:pos="567"/>
        </w:tabs>
        <w:spacing w:line="260" w:lineRule="exact"/>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kapsules galima vartoti su mažu kiekiu (vienu arbatiniu šaukšteliu) šalto arba kambario temperatūros minkšto maisto, pvz., obuolių tyrės arba šokoladinio pudingo</w:t>
      </w:r>
      <w:r w:rsidR="00AA239D" w:rsidRPr="00220850">
        <w:rPr>
          <w:sz w:val="22"/>
          <w:szCs w:val="22"/>
        </w:rPr>
        <w:t>.</w:t>
      </w:r>
      <w:r w:rsidRPr="00220850">
        <w:rPr>
          <w:sz w:val="22"/>
          <w:szCs w:val="22"/>
        </w:rPr>
        <w:t xml:space="preserve"> </w:t>
      </w:r>
      <w:r w:rsidR="00AA239D" w:rsidRPr="00220850">
        <w:rPr>
          <w:sz w:val="22"/>
          <w:szCs w:val="22"/>
        </w:rPr>
        <w:t>K</w:t>
      </w:r>
      <w:r w:rsidRPr="00220850">
        <w:rPr>
          <w:sz w:val="22"/>
          <w:szCs w:val="22"/>
        </w:rPr>
        <w:t>apsulę reikia nedelsiant nuryti nekramčius, kad ji išliktų nepažeista.</w:t>
      </w:r>
    </w:p>
    <w:p w14:paraId="2C8B9FEB" w14:textId="77777777" w:rsidR="00D8706D" w:rsidRPr="00220850" w:rsidRDefault="00D8706D">
      <w:pPr>
        <w:tabs>
          <w:tab w:val="left" w:pos="567"/>
        </w:tabs>
        <w:spacing w:line="260" w:lineRule="exact"/>
        <w:rPr>
          <w:sz w:val="22"/>
          <w:szCs w:val="24"/>
        </w:rPr>
      </w:pPr>
    </w:p>
    <w:p w14:paraId="54AF7596"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4.3</w:t>
      </w:r>
      <w:r w:rsidRPr="00220850">
        <w:rPr>
          <w:b/>
          <w:bCs/>
          <w:sz w:val="22"/>
          <w:szCs w:val="28"/>
          <w:lang w:eastAsia="x-none"/>
        </w:rPr>
        <w:tab/>
        <w:t>Kontraindikacijos</w:t>
      </w:r>
    </w:p>
    <w:p w14:paraId="6A3EDE05" w14:textId="77777777" w:rsidR="00CC769A" w:rsidRPr="00220850" w:rsidRDefault="00CC769A">
      <w:pPr>
        <w:tabs>
          <w:tab w:val="left" w:pos="567"/>
        </w:tabs>
        <w:spacing w:line="260" w:lineRule="exact"/>
        <w:rPr>
          <w:sz w:val="22"/>
          <w:szCs w:val="24"/>
        </w:rPr>
      </w:pPr>
    </w:p>
    <w:p w14:paraId="08D8608D" w14:textId="77777777" w:rsidR="00DE01F8" w:rsidRPr="00220850" w:rsidRDefault="002D5C8E" w:rsidP="0035166F">
      <w:pPr>
        <w:pStyle w:val="Sraopastraipa"/>
        <w:numPr>
          <w:ilvl w:val="0"/>
          <w:numId w:val="67"/>
        </w:numPr>
        <w:tabs>
          <w:tab w:val="left" w:pos="567"/>
        </w:tabs>
        <w:spacing w:line="260" w:lineRule="exact"/>
        <w:ind w:left="567" w:hanging="567"/>
        <w:rPr>
          <w:sz w:val="22"/>
          <w:szCs w:val="24"/>
        </w:rPr>
      </w:pPr>
      <w:r w:rsidRPr="00220850">
        <w:rPr>
          <w:sz w:val="22"/>
          <w:szCs w:val="24"/>
        </w:rPr>
        <w:t>Padidėjęs jautrumas veikliajai arba bet kuriai 6.1 skyriuje nurodytai pagalbinei medžiagai</w:t>
      </w:r>
      <w:r w:rsidR="002A0CA9" w:rsidRPr="00220850">
        <w:rPr>
          <w:sz w:val="22"/>
          <w:szCs w:val="24"/>
        </w:rPr>
        <w:t>.</w:t>
      </w:r>
    </w:p>
    <w:p w14:paraId="6FFCC8ED" w14:textId="77777777" w:rsidR="002A0CA9" w:rsidRPr="00220850" w:rsidRDefault="002A0CA9" w:rsidP="0035166F">
      <w:pPr>
        <w:pStyle w:val="Sraopastraipa"/>
        <w:numPr>
          <w:ilvl w:val="0"/>
          <w:numId w:val="67"/>
        </w:numPr>
        <w:tabs>
          <w:tab w:val="left" w:pos="567"/>
        </w:tabs>
        <w:spacing w:line="260" w:lineRule="exact"/>
        <w:ind w:left="567" w:hanging="567"/>
        <w:rPr>
          <w:rFonts w:eastAsia="TimesNewRoman"/>
          <w:sz w:val="22"/>
          <w:szCs w:val="22"/>
        </w:rPr>
      </w:pPr>
      <w:r w:rsidRPr="00220850">
        <w:rPr>
          <w:rFonts w:eastAsia="TimesNewRoman"/>
          <w:sz w:val="22"/>
          <w:szCs w:val="22"/>
        </w:rPr>
        <w:t>Nėštumas (žr. 4.6 skyrių).</w:t>
      </w:r>
    </w:p>
    <w:p w14:paraId="4FB525C8" w14:textId="77777777" w:rsidR="00DE01F8" w:rsidRPr="00220850" w:rsidRDefault="00DE01F8" w:rsidP="002A0CA9">
      <w:pPr>
        <w:tabs>
          <w:tab w:val="left" w:pos="567"/>
        </w:tabs>
        <w:spacing w:line="260" w:lineRule="exact"/>
        <w:ind w:left="567" w:hanging="567"/>
        <w:rPr>
          <w:sz w:val="22"/>
          <w:szCs w:val="24"/>
        </w:rPr>
      </w:pPr>
    </w:p>
    <w:p w14:paraId="737742E5" w14:textId="77777777" w:rsidR="00DE01F8" w:rsidRPr="00220850" w:rsidRDefault="002D5C8E">
      <w:pPr>
        <w:tabs>
          <w:tab w:val="left" w:pos="567"/>
        </w:tabs>
        <w:spacing w:line="260" w:lineRule="exact"/>
        <w:rPr>
          <w:sz w:val="22"/>
        </w:rPr>
      </w:pPr>
      <w:r w:rsidRPr="00220850">
        <w:rPr>
          <w:b/>
          <w:sz w:val="22"/>
        </w:rPr>
        <w:t>4.4</w:t>
      </w:r>
      <w:r w:rsidRPr="00220850">
        <w:rPr>
          <w:b/>
          <w:sz w:val="22"/>
        </w:rPr>
        <w:tab/>
        <w:t>Specialūs įspėjimai ir atsargumo priemonės</w:t>
      </w:r>
    </w:p>
    <w:p w14:paraId="414E31D8" w14:textId="77777777" w:rsidR="00DE01F8" w:rsidRPr="00220850" w:rsidRDefault="00DE01F8">
      <w:pPr>
        <w:tabs>
          <w:tab w:val="left" w:pos="567"/>
        </w:tabs>
        <w:spacing w:line="260" w:lineRule="exact"/>
        <w:rPr>
          <w:sz w:val="22"/>
        </w:rPr>
      </w:pPr>
    </w:p>
    <w:p w14:paraId="6FDAFF9C" w14:textId="77777777" w:rsidR="00CC769A" w:rsidRPr="00220850" w:rsidRDefault="00CC769A" w:rsidP="00CC769A">
      <w:pPr>
        <w:autoSpaceDE w:val="0"/>
        <w:autoSpaceDN w:val="0"/>
        <w:adjustRightInd w:val="0"/>
        <w:rPr>
          <w:rFonts w:eastAsia="TimesNewRoman"/>
          <w:sz w:val="22"/>
          <w:szCs w:val="22"/>
          <w:u w:val="single"/>
        </w:rPr>
      </w:pPr>
      <w:r w:rsidRPr="00220850">
        <w:rPr>
          <w:rFonts w:eastAsia="TimesNewRoman"/>
          <w:sz w:val="22"/>
          <w:szCs w:val="22"/>
          <w:u w:val="single"/>
        </w:rPr>
        <w:t>Virškinimo trakto sutrikimai</w:t>
      </w:r>
    </w:p>
    <w:p w14:paraId="3F8D0333" w14:textId="77777777" w:rsidR="002A0CA9" w:rsidRPr="00220850" w:rsidRDefault="002A0CA9" w:rsidP="00CC769A">
      <w:pPr>
        <w:autoSpaceDE w:val="0"/>
        <w:autoSpaceDN w:val="0"/>
        <w:adjustRightInd w:val="0"/>
        <w:rPr>
          <w:rFonts w:eastAsia="TimesNewRoman,Italic"/>
          <w:i/>
          <w:iCs/>
          <w:sz w:val="22"/>
          <w:szCs w:val="22"/>
        </w:rPr>
      </w:pPr>
    </w:p>
    <w:p w14:paraId="1FC09B5D" w14:textId="77777777" w:rsidR="00CC769A" w:rsidRPr="00220850" w:rsidRDefault="00CC769A" w:rsidP="00CC769A">
      <w:pPr>
        <w:autoSpaceDE w:val="0"/>
        <w:autoSpaceDN w:val="0"/>
        <w:adjustRightInd w:val="0"/>
        <w:rPr>
          <w:rFonts w:eastAsia="TimesNewRoman,Italic"/>
          <w:i/>
          <w:iCs/>
          <w:sz w:val="22"/>
          <w:szCs w:val="22"/>
        </w:rPr>
      </w:pPr>
      <w:r w:rsidRPr="00220850">
        <w:rPr>
          <w:rFonts w:eastAsia="TimesNewRoman,Italic"/>
          <w:i/>
          <w:iCs/>
          <w:sz w:val="22"/>
          <w:szCs w:val="22"/>
        </w:rPr>
        <w:t>Viduriavimas</w:t>
      </w:r>
    </w:p>
    <w:p w14:paraId="3B14FE7A" w14:textId="2D858CB7" w:rsidR="00CC769A" w:rsidRPr="00220850" w:rsidRDefault="00CC769A" w:rsidP="00CC769A">
      <w:pPr>
        <w:autoSpaceDE w:val="0"/>
        <w:autoSpaceDN w:val="0"/>
        <w:adjustRightInd w:val="0"/>
        <w:rPr>
          <w:rFonts w:eastAsia="TimesNewRoman"/>
          <w:sz w:val="22"/>
          <w:szCs w:val="22"/>
        </w:rPr>
      </w:pPr>
      <w:r w:rsidRPr="00220850">
        <w:rPr>
          <w:rFonts w:eastAsia="TimesNewRoman"/>
          <w:sz w:val="22"/>
          <w:szCs w:val="22"/>
        </w:rPr>
        <w:t>Klinikinių tyrimų metu</w:t>
      </w:r>
      <w:r w:rsidR="00276D02" w:rsidRPr="00220850">
        <w:rPr>
          <w:rFonts w:eastAsia="TimesNewRoman"/>
          <w:sz w:val="22"/>
          <w:szCs w:val="22"/>
        </w:rPr>
        <w:t xml:space="preserve"> </w:t>
      </w:r>
      <w:r w:rsidRPr="00220850">
        <w:rPr>
          <w:rFonts w:eastAsia="TimesNewRoman"/>
          <w:sz w:val="22"/>
          <w:szCs w:val="22"/>
        </w:rPr>
        <w:t>viduriavimas buvo dažniausia virškinimo trakto</w:t>
      </w:r>
      <w:r w:rsidR="002A0CA9" w:rsidRPr="00220850">
        <w:rPr>
          <w:rFonts w:eastAsia="TimesNewRoman"/>
          <w:sz w:val="22"/>
          <w:szCs w:val="22"/>
        </w:rPr>
        <w:t xml:space="preserve"> </w:t>
      </w:r>
      <w:r w:rsidRPr="00220850">
        <w:rPr>
          <w:rFonts w:eastAsia="TimesNewRoman"/>
          <w:sz w:val="22"/>
          <w:szCs w:val="22"/>
        </w:rPr>
        <w:t>nepageidaujama reakcija (žr. 4.8 skyrių). Daugumai pacientų ši nepageidaujama reakcija buvo lengva</w:t>
      </w:r>
      <w:r w:rsidR="002A0CA9" w:rsidRPr="00220850">
        <w:rPr>
          <w:rFonts w:eastAsia="TimesNewRoman"/>
          <w:sz w:val="22"/>
          <w:szCs w:val="22"/>
        </w:rPr>
        <w:t xml:space="preserve"> </w:t>
      </w:r>
      <w:r w:rsidRPr="00220850">
        <w:rPr>
          <w:rFonts w:eastAsia="TimesNewRoman"/>
          <w:sz w:val="22"/>
          <w:szCs w:val="22"/>
        </w:rPr>
        <w:t>arba vidutinio sunkumo ir pasireiškė pirmaisiais 3 gydymo mėnesiais.</w:t>
      </w:r>
    </w:p>
    <w:p w14:paraId="2F7350EF" w14:textId="77777777" w:rsidR="002A0CA9" w:rsidRPr="00220850" w:rsidRDefault="002A0CA9" w:rsidP="00CC769A">
      <w:pPr>
        <w:autoSpaceDE w:val="0"/>
        <w:autoSpaceDN w:val="0"/>
        <w:adjustRightInd w:val="0"/>
        <w:rPr>
          <w:rFonts w:eastAsia="TimesNewRoman"/>
          <w:sz w:val="22"/>
          <w:szCs w:val="22"/>
        </w:rPr>
      </w:pPr>
    </w:p>
    <w:p w14:paraId="75F4A6A8" w14:textId="50B266C6" w:rsidR="00CC769A" w:rsidRPr="00220850" w:rsidRDefault="00CC769A" w:rsidP="00CC769A">
      <w:pPr>
        <w:autoSpaceDE w:val="0"/>
        <w:autoSpaceDN w:val="0"/>
        <w:adjustRightInd w:val="0"/>
        <w:rPr>
          <w:rFonts w:eastAsia="TimesNewRoman"/>
          <w:sz w:val="22"/>
          <w:szCs w:val="22"/>
        </w:rPr>
      </w:pPr>
      <w:r w:rsidRPr="00220850">
        <w:rPr>
          <w:rFonts w:eastAsia="TimesNewRoman"/>
          <w:sz w:val="22"/>
          <w:szCs w:val="22"/>
        </w:rPr>
        <w:t>Vaistiniam preparatui patekus į rinką, gauta pranešimų apie sunkius viduriavimo atvejus, sukėlusius</w:t>
      </w:r>
      <w:r w:rsidR="002A0CA9" w:rsidRPr="00220850">
        <w:rPr>
          <w:rFonts w:eastAsia="TimesNewRoman"/>
          <w:sz w:val="22"/>
          <w:szCs w:val="22"/>
        </w:rPr>
        <w:t xml:space="preserve"> </w:t>
      </w:r>
      <w:r w:rsidRPr="00220850">
        <w:rPr>
          <w:rFonts w:eastAsia="TimesNewRoman"/>
          <w:sz w:val="22"/>
          <w:szCs w:val="22"/>
        </w:rPr>
        <w:t>dehidrataciją ir elektrolitų pusiausvyros sutrikimus. Pacientus reikia gydyti nuo pirmųjų požymių</w:t>
      </w:r>
      <w:r w:rsidR="002A0CA9" w:rsidRPr="00220850">
        <w:rPr>
          <w:rFonts w:eastAsia="TimesNewRoman"/>
          <w:sz w:val="22"/>
          <w:szCs w:val="22"/>
        </w:rPr>
        <w:t xml:space="preserve"> </w:t>
      </w:r>
      <w:r w:rsidRPr="00220850">
        <w:rPr>
          <w:rFonts w:eastAsia="TimesNewRoman"/>
          <w:sz w:val="22"/>
          <w:szCs w:val="22"/>
        </w:rPr>
        <w:t xml:space="preserve">atsiradimo pakankama hidratacija ir vaistiniais preparatais nuo viduriavimo, pvz., </w:t>
      </w:r>
      <w:proofErr w:type="spellStart"/>
      <w:r w:rsidRPr="00220850">
        <w:rPr>
          <w:rFonts w:eastAsia="TimesNewRoman"/>
          <w:sz w:val="22"/>
          <w:szCs w:val="22"/>
        </w:rPr>
        <w:t>loperamidu</w:t>
      </w:r>
      <w:proofErr w:type="spellEnd"/>
      <w:r w:rsidRPr="00220850">
        <w:rPr>
          <w:rFonts w:eastAsia="TimesNewRoman"/>
          <w:sz w:val="22"/>
          <w:szCs w:val="22"/>
        </w:rPr>
        <w:t>, gali</w:t>
      </w:r>
      <w:r w:rsidR="002A0CA9" w:rsidRPr="00220850">
        <w:rPr>
          <w:rFonts w:eastAsia="TimesNewRoman"/>
          <w:sz w:val="22"/>
          <w:szCs w:val="22"/>
        </w:rPr>
        <w:t xml:space="preserve"> </w:t>
      </w:r>
      <w:r w:rsidRPr="00220850">
        <w:rPr>
          <w:rFonts w:eastAsia="TimesNewRoman"/>
          <w:sz w:val="22"/>
          <w:szCs w:val="22"/>
        </w:rPr>
        <w:t xml:space="preserve">prireikti sumažinti dozę arba </w:t>
      </w:r>
      <w:r w:rsidR="00DD6203" w:rsidRPr="00220850">
        <w:rPr>
          <w:rFonts w:eastAsia="TimesNewRoman"/>
          <w:sz w:val="22"/>
          <w:szCs w:val="22"/>
        </w:rPr>
        <w:t xml:space="preserve">nutraukti </w:t>
      </w:r>
      <w:r w:rsidRPr="00220850">
        <w:rPr>
          <w:rFonts w:eastAsia="TimesNewRoman"/>
          <w:sz w:val="22"/>
          <w:szCs w:val="22"/>
        </w:rPr>
        <w:t xml:space="preserve">gydymą. Gydymas </w:t>
      </w:r>
      <w:proofErr w:type="spellStart"/>
      <w:r w:rsidR="002A0CA9" w:rsidRPr="00220850">
        <w:rPr>
          <w:sz w:val="22"/>
          <w:szCs w:val="22"/>
        </w:rPr>
        <w:t>Nintedanib</w:t>
      </w:r>
      <w:proofErr w:type="spellEnd"/>
      <w:r w:rsidR="002A0CA9" w:rsidRPr="00220850">
        <w:rPr>
          <w:sz w:val="22"/>
          <w:szCs w:val="22"/>
        </w:rPr>
        <w:t xml:space="preserve"> </w:t>
      </w:r>
      <w:proofErr w:type="spellStart"/>
      <w:r w:rsidR="002A0CA9" w:rsidRPr="00220850">
        <w:rPr>
          <w:sz w:val="22"/>
          <w:szCs w:val="22"/>
        </w:rPr>
        <w:t>Teva</w:t>
      </w:r>
      <w:proofErr w:type="spellEnd"/>
      <w:r w:rsidR="002A0CA9" w:rsidRPr="00220850">
        <w:rPr>
          <w:sz w:val="22"/>
          <w:szCs w:val="22"/>
        </w:rPr>
        <w:t xml:space="preserve"> </w:t>
      </w:r>
      <w:r w:rsidRPr="00220850">
        <w:rPr>
          <w:rFonts w:eastAsia="TimesNewRoman"/>
          <w:sz w:val="22"/>
          <w:szCs w:val="22"/>
        </w:rPr>
        <w:t xml:space="preserve"> gali būti atnaujintas sumažinta doze</w:t>
      </w:r>
      <w:r w:rsidR="002A0CA9" w:rsidRPr="00220850">
        <w:rPr>
          <w:rFonts w:eastAsia="TimesNewRoman"/>
          <w:sz w:val="22"/>
          <w:szCs w:val="22"/>
        </w:rPr>
        <w:t xml:space="preserve"> </w:t>
      </w:r>
      <w:r w:rsidRPr="00220850">
        <w:rPr>
          <w:rFonts w:eastAsia="TimesNewRoman"/>
          <w:sz w:val="22"/>
          <w:szCs w:val="22"/>
        </w:rPr>
        <w:t xml:space="preserve">arba visa doze (žr. </w:t>
      </w:r>
      <w:r w:rsidR="00276D02" w:rsidRPr="00220850">
        <w:rPr>
          <w:rFonts w:eastAsia="TimesNewRoman"/>
          <w:sz w:val="22"/>
          <w:szCs w:val="22"/>
        </w:rPr>
        <w:t xml:space="preserve">4.2 skyrių </w:t>
      </w:r>
      <w:r w:rsidRPr="00220850">
        <w:rPr>
          <w:rFonts w:eastAsia="TimesNewRoman"/>
          <w:sz w:val="22"/>
          <w:szCs w:val="22"/>
        </w:rPr>
        <w:t>„Dozės koregavimas“). Jei nepaisant simptominio gydymo stiprus</w:t>
      </w:r>
      <w:r w:rsidR="002A0CA9" w:rsidRPr="00220850">
        <w:rPr>
          <w:rFonts w:eastAsia="TimesNewRoman"/>
          <w:sz w:val="22"/>
          <w:szCs w:val="22"/>
        </w:rPr>
        <w:t xml:space="preserve"> </w:t>
      </w:r>
      <w:r w:rsidRPr="00220850">
        <w:rPr>
          <w:rFonts w:eastAsia="TimesNewRoman"/>
          <w:sz w:val="22"/>
          <w:szCs w:val="22"/>
        </w:rPr>
        <w:t xml:space="preserve">viduriavimas nepraeina, reikia nutraukti gydymą </w:t>
      </w:r>
      <w:proofErr w:type="spellStart"/>
      <w:r w:rsidR="002A0CA9" w:rsidRPr="00220850">
        <w:rPr>
          <w:sz w:val="22"/>
          <w:szCs w:val="22"/>
        </w:rPr>
        <w:t>Nintedanib</w:t>
      </w:r>
      <w:proofErr w:type="spellEnd"/>
      <w:r w:rsidR="002A0CA9" w:rsidRPr="00220850">
        <w:rPr>
          <w:sz w:val="22"/>
          <w:szCs w:val="22"/>
        </w:rPr>
        <w:t xml:space="preserve"> </w:t>
      </w:r>
      <w:proofErr w:type="spellStart"/>
      <w:r w:rsidR="002A0CA9" w:rsidRPr="00220850">
        <w:rPr>
          <w:sz w:val="22"/>
          <w:szCs w:val="22"/>
        </w:rPr>
        <w:t>Teva</w:t>
      </w:r>
      <w:proofErr w:type="spellEnd"/>
      <w:r w:rsidRPr="00220850">
        <w:rPr>
          <w:rFonts w:eastAsia="TimesNewRoman"/>
          <w:sz w:val="22"/>
          <w:szCs w:val="22"/>
        </w:rPr>
        <w:t>.</w:t>
      </w:r>
    </w:p>
    <w:p w14:paraId="45AA5FF6" w14:textId="77777777" w:rsidR="002A0CA9" w:rsidRPr="00220850" w:rsidRDefault="002A0CA9" w:rsidP="00CC769A">
      <w:pPr>
        <w:autoSpaceDE w:val="0"/>
        <w:autoSpaceDN w:val="0"/>
        <w:adjustRightInd w:val="0"/>
        <w:rPr>
          <w:rFonts w:eastAsia="TimesNewRoman,Italic"/>
          <w:i/>
          <w:iCs/>
          <w:sz w:val="22"/>
          <w:szCs w:val="22"/>
        </w:rPr>
      </w:pPr>
    </w:p>
    <w:p w14:paraId="34302D9F" w14:textId="77777777" w:rsidR="00CC769A" w:rsidRPr="00220850" w:rsidRDefault="00CC769A" w:rsidP="00CC769A">
      <w:pPr>
        <w:autoSpaceDE w:val="0"/>
        <w:autoSpaceDN w:val="0"/>
        <w:adjustRightInd w:val="0"/>
        <w:rPr>
          <w:rFonts w:eastAsia="TimesNewRoman,Italic"/>
          <w:i/>
          <w:iCs/>
          <w:sz w:val="22"/>
          <w:szCs w:val="22"/>
        </w:rPr>
      </w:pPr>
      <w:r w:rsidRPr="00220850">
        <w:rPr>
          <w:rFonts w:eastAsia="TimesNewRoman,Italic"/>
          <w:i/>
          <w:iCs/>
          <w:sz w:val="22"/>
          <w:szCs w:val="22"/>
        </w:rPr>
        <w:t>Pykinimas ir vėmimas</w:t>
      </w:r>
    </w:p>
    <w:p w14:paraId="3752EAA7" w14:textId="77777777" w:rsidR="00CC769A" w:rsidRPr="00220850" w:rsidRDefault="00CC769A" w:rsidP="00CC769A">
      <w:pPr>
        <w:autoSpaceDE w:val="0"/>
        <w:autoSpaceDN w:val="0"/>
        <w:adjustRightInd w:val="0"/>
        <w:rPr>
          <w:rFonts w:eastAsia="TimesNewRoman"/>
          <w:sz w:val="22"/>
          <w:szCs w:val="22"/>
        </w:rPr>
      </w:pPr>
      <w:r w:rsidRPr="00220850">
        <w:rPr>
          <w:rFonts w:eastAsia="TimesNewRoman"/>
          <w:sz w:val="22"/>
          <w:szCs w:val="22"/>
        </w:rPr>
        <w:t>Dažnai stebėtos nepageidaujamos virškinimo trakto reakcijos buvo pykinimas ir vėmimas (žr.</w:t>
      </w:r>
      <w:r w:rsidR="002A0CA9" w:rsidRPr="00220850">
        <w:rPr>
          <w:rFonts w:eastAsia="TimesNewRoman"/>
          <w:sz w:val="22"/>
          <w:szCs w:val="22"/>
        </w:rPr>
        <w:t xml:space="preserve"> </w:t>
      </w:r>
      <w:r w:rsidRPr="00220850">
        <w:rPr>
          <w:rFonts w:eastAsia="TimesNewRoman"/>
          <w:sz w:val="22"/>
          <w:szCs w:val="22"/>
        </w:rPr>
        <w:t>4.8 skyrių). Daugumai pacientų pykinimas ir vėmimas buvo lengvi arba vidutinio stiprumo. Klinikinių</w:t>
      </w:r>
      <w:r w:rsidR="002A0CA9" w:rsidRPr="00220850">
        <w:rPr>
          <w:rFonts w:eastAsia="TimesNewRoman"/>
          <w:sz w:val="22"/>
          <w:szCs w:val="22"/>
        </w:rPr>
        <w:t xml:space="preserve"> </w:t>
      </w:r>
      <w:r w:rsidRPr="00220850">
        <w:rPr>
          <w:rFonts w:eastAsia="TimesNewRoman"/>
          <w:sz w:val="22"/>
          <w:szCs w:val="22"/>
        </w:rPr>
        <w:t xml:space="preserve">tyrimų metu dėl pykinimo </w:t>
      </w:r>
      <w:proofErr w:type="spellStart"/>
      <w:r w:rsidR="002A0CA9" w:rsidRPr="00220850">
        <w:rPr>
          <w:sz w:val="22"/>
          <w:szCs w:val="22"/>
        </w:rPr>
        <w:t>Nintedanib</w:t>
      </w:r>
      <w:proofErr w:type="spellEnd"/>
      <w:r w:rsidR="002A0CA9" w:rsidRPr="00220850">
        <w:rPr>
          <w:sz w:val="22"/>
          <w:szCs w:val="22"/>
        </w:rPr>
        <w:t xml:space="preserve"> </w:t>
      </w:r>
      <w:proofErr w:type="spellStart"/>
      <w:r w:rsidR="002A0CA9" w:rsidRPr="00220850">
        <w:rPr>
          <w:sz w:val="22"/>
          <w:szCs w:val="22"/>
        </w:rPr>
        <w:t>Teva</w:t>
      </w:r>
      <w:proofErr w:type="spellEnd"/>
      <w:r w:rsidR="002A0CA9" w:rsidRPr="00220850">
        <w:rPr>
          <w:sz w:val="22"/>
          <w:szCs w:val="22"/>
        </w:rPr>
        <w:t xml:space="preserve"> </w:t>
      </w:r>
      <w:r w:rsidRPr="00220850">
        <w:rPr>
          <w:rFonts w:eastAsia="TimesNewRoman"/>
          <w:sz w:val="22"/>
          <w:szCs w:val="22"/>
        </w:rPr>
        <w:t>vartojimą</w:t>
      </w:r>
      <w:r w:rsidR="002A0CA9" w:rsidRPr="00220850">
        <w:rPr>
          <w:rFonts w:eastAsia="TimesNewRoman"/>
          <w:sz w:val="22"/>
          <w:szCs w:val="22"/>
        </w:rPr>
        <w:t xml:space="preserve"> teko nutraukti iki 2,1 </w:t>
      </w:r>
      <w:r w:rsidRPr="00220850">
        <w:rPr>
          <w:rFonts w:eastAsia="TimesNewRoman"/>
          <w:sz w:val="22"/>
          <w:szCs w:val="22"/>
        </w:rPr>
        <w:t>% pacientų, o dėl vė</w:t>
      </w:r>
      <w:r w:rsidR="0023629B" w:rsidRPr="00220850">
        <w:rPr>
          <w:rFonts w:eastAsia="TimesNewRoman"/>
          <w:sz w:val="22"/>
          <w:szCs w:val="22"/>
        </w:rPr>
        <w:t>mimo</w:t>
      </w:r>
      <w:r w:rsidR="002A0CA9" w:rsidRPr="00220850">
        <w:rPr>
          <w:rFonts w:eastAsia="TimesNewRoman"/>
          <w:sz w:val="22"/>
          <w:szCs w:val="22"/>
        </w:rPr>
        <w:t xml:space="preserve"> </w:t>
      </w:r>
      <w:proofErr w:type="spellStart"/>
      <w:r w:rsidR="00276D02" w:rsidRPr="00220850">
        <w:rPr>
          <w:sz w:val="22"/>
          <w:szCs w:val="22"/>
        </w:rPr>
        <w:t>Nintedanib</w:t>
      </w:r>
      <w:proofErr w:type="spellEnd"/>
      <w:r w:rsidR="00276D02" w:rsidRPr="00220850">
        <w:rPr>
          <w:sz w:val="22"/>
          <w:szCs w:val="22"/>
        </w:rPr>
        <w:t xml:space="preserve"> </w:t>
      </w:r>
      <w:proofErr w:type="spellStart"/>
      <w:r w:rsidR="00276D02" w:rsidRPr="00220850">
        <w:rPr>
          <w:sz w:val="22"/>
          <w:szCs w:val="22"/>
        </w:rPr>
        <w:t>Teva</w:t>
      </w:r>
      <w:proofErr w:type="spellEnd"/>
      <w:r w:rsidR="00276D02" w:rsidRPr="00220850">
        <w:rPr>
          <w:sz w:val="22"/>
          <w:szCs w:val="22"/>
        </w:rPr>
        <w:t xml:space="preserve"> </w:t>
      </w:r>
      <w:r w:rsidR="00276D02" w:rsidRPr="00220850">
        <w:rPr>
          <w:rFonts w:eastAsia="TimesNewRoman"/>
          <w:sz w:val="22"/>
          <w:szCs w:val="22"/>
        </w:rPr>
        <w:t xml:space="preserve">vartojimą teko nutraukti </w:t>
      </w:r>
      <w:r w:rsidR="002A0CA9" w:rsidRPr="00220850">
        <w:rPr>
          <w:rFonts w:eastAsia="TimesNewRoman"/>
          <w:sz w:val="22"/>
          <w:szCs w:val="22"/>
        </w:rPr>
        <w:t>iki 1,4 </w:t>
      </w:r>
      <w:r w:rsidRPr="00220850">
        <w:rPr>
          <w:rFonts w:eastAsia="TimesNewRoman"/>
          <w:sz w:val="22"/>
          <w:szCs w:val="22"/>
        </w:rPr>
        <w:t>%</w:t>
      </w:r>
      <w:r w:rsidR="002A0CA9" w:rsidRPr="00220850">
        <w:rPr>
          <w:rFonts w:eastAsia="TimesNewRoman"/>
          <w:sz w:val="22"/>
          <w:szCs w:val="22"/>
        </w:rPr>
        <w:t xml:space="preserve"> </w:t>
      </w:r>
      <w:r w:rsidRPr="00220850">
        <w:rPr>
          <w:rFonts w:eastAsia="TimesNewRoman"/>
          <w:sz w:val="22"/>
          <w:szCs w:val="22"/>
        </w:rPr>
        <w:t>pacientų.</w:t>
      </w:r>
    </w:p>
    <w:p w14:paraId="0300E3DC" w14:textId="77777777" w:rsidR="002A0CA9" w:rsidRPr="00220850" w:rsidRDefault="002A0CA9" w:rsidP="00CC769A">
      <w:pPr>
        <w:autoSpaceDE w:val="0"/>
        <w:autoSpaceDN w:val="0"/>
        <w:adjustRightInd w:val="0"/>
        <w:rPr>
          <w:rFonts w:eastAsia="TimesNewRoman"/>
          <w:sz w:val="22"/>
          <w:szCs w:val="22"/>
        </w:rPr>
      </w:pPr>
    </w:p>
    <w:p w14:paraId="54322492" w14:textId="0634CA00" w:rsidR="00CC769A" w:rsidRPr="00220850" w:rsidRDefault="00CC769A" w:rsidP="00CC769A">
      <w:pPr>
        <w:autoSpaceDE w:val="0"/>
        <w:autoSpaceDN w:val="0"/>
        <w:adjustRightInd w:val="0"/>
        <w:rPr>
          <w:rFonts w:eastAsia="TimesNewRoman"/>
          <w:sz w:val="22"/>
          <w:szCs w:val="22"/>
        </w:rPr>
      </w:pPr>
      <w:r w:rsidRPr="00220850">
        <w:rPr>
          <w:rFonts w:eastAsia="TimesNewRoman"/>
          <w:sz w:val="22"/>
          <w:szCs w:val="22"/>
        </w:rPr>
        <w:t>Jei nepaisant tinkamo palaikomojo gydymo (įskaitant vėmimą slopinantį gydymą) simptomai išlieka,</w:t>
      </w:r>
      <w:r w:rsidR="0023629B" w:rsidRPr="00220850">
        <w:rPr>
          <w:rFonts w:eastAsia="TimesNewRoman"/>
          <w:sz w:val="22"/>
          <w:szCs w:val="22"/>
        </w:rPr>
        <w:t xml:space="preserve"> </w:t>
      </w:r>
      <w:r w:rsidRPr="00220850">
        <w:rPr>
          <w:rFonts w:eastAsia="TimesNewRoman"/>
          <w:sz w:val="22"/>
          <w:szCs w:val="22"/>
        </w:rPr>
        <w:t xml:space="preserve">gali prireikti sumažinti dozę ar </w:t>
      </w:r>
      <w:r w:rsidR="00014A9C" w:rsidRPr="00220850">
        <w:rPr>
          <w:rFonts w:eastAsia="TimesNewRoman"/>
          <w:sz w:val="22"/>
          <w:szCs w:val="22"/>
        </w:rPr>
        <w:t xml:space="preserve">nutraukti </w:t>
      </w:r>
      <w:r w:rsidRPr="00220850">
        <w:rPr>
          <w:rFonts w:eastAsia="TimesNewRoman"/>
          <w:sz w:val="22"/>
          <w:szCs w:val="22"/>
        </w:rPr>
        <w:t>gydymą. Gydymas gali būti atnaujintas sumažinta doze</w:t>
      </w:r>
      <w:r w:rsidR="0023629B" w:rsidRPr="00220850">
        <w:rPr>
          <w:rFonts w:eastAsia="TimesNewRoman"/>
          <w:sz w:val="22"/>
          <w:szCs w:val="22"/>
        </w:rPr>
        <w:t xml:space="preserve"> </w:t>
      </w:r>
      <w:r w:rsidRPr="00220850">
        <w:rPr>
          <w:rFonts w:eastAsia="TimesNewRoman"/>
          <w:sz w:val="22"/>
          <w:szCs w:val="22"/>
        </w:rPr>
        <w:t xml:space="preserve">arba visa doze (žr. </w:t>
      </w:r>
      <w:r w:rsidR="00276D02" w:rsidRPr="00220850">
        <w:rPr>
          <w:rFonts w:eastAsia="TimesNewRoman"/>
          <w:sz w:val="22"/>
          <w:szCs w:val="22"/>
        </w:rPr>
        <w:t xml:space="preserve">4.2 skyrių </w:t>
      </w:r>
      <w:r w:rsidRPr="00220850">
        <w:rPr>
          <w:rFonts w:eastAsia="TimesNewRoman"/>
          <w:sz w:val="22"/>
          <w:szCs w:val="22"/>
        </w:rPr>
        <w:t>„Dozės koregavimas“). Jei nepaisant simptominio gydymo stiprūs</w:t>
      </w:r>
      <w:r w:rsidR="0023629B" w:rsidRPr="00220850">
        <w:rPr>
          <w:rFonts w:eastAsia="TimesNewRoman"/>
          <w:sz w:val="22"/>
          <w:szCs w:val="22"/>
        </w:rPr>
        <w:t xml:space="preserve"> </w:t>
      </w:r>
      <w:r w:rsidRPr="00220850">
        <w:rPr>
          <w:rFonts w:eastAsia="TimesNewRoman"/>
          <w:sz w:val="22"/>
          <w:szCs w:val="22"/>
        </w:rPr>
        <w:t xml:space="preserve">simptomai išsilaiko, reikia nutraukti gydymą </w:t>
      </w:r>
      <w:proofErr w:type="spellStart"/>
      <w:r w:rsidR="0023629B" w:rsidRPr="00220850">
        <w:rPr>
          <w:sz w:val="22"/>
          <w:szCs w:val="22"/>
        </w:rPr>
        <w:t>Nintedanib</w:t>
      </w:r>
      <w:proofErr w:type="spellEnd"/>
      <w:r w:rsidR="0023629B" w:rsidRPr="00220850">
        <w:rPr>
          <w:sz w:val="22"/>
          <w:szCs w:val="22"/>
        </w:rPr>
        <w:t xml:space="preserve"> </w:t>
      </w:r>
      <w:proofErr w:type="spellStart"/>
      <w:r w:rsidR="0023629B" w:rsidRPr="00220850">
        <w:rPr>
          <w:sz w:val="22"/>
          <w:szCs w:val="22"/>
        </w:rPr>
        <w:t>Teva</w:t>
      </w:r>
      <w:proofErr w:type="spellEnd"/>
      <w:r w:rsidRPr="00220850">
        <w:rPr>
          <w:rFonts w:eastAsia="TimesNewRoman"/>
          <w:sz w:val="22"/>
          <w:szCs w:val="22"/>
        </w:rPr>
        <w:t>.</w:t>
      </w:r>
    </w:p>
    <w:p w14:paraId="22B1D0FB" w14:textId="77777777" w:rsidR="0023629B" w:rsidRPr="00220850" w:rsidRDefault="0023629B" w:rsidP="00CC769A">
      <w:pPr>
        <w:autoSpaceDE w:val="0"/>
        <w:autoSpaceDN w:val="0"/>
        <w:adjustRightInd w:val="0"/>
        <w:rPr>
          <w:rFonts w:eastAsia="TimesNewRoman"/>
          <w:sz w:val="22"/>
          <w:szCs w:val="22"/>
        </w:rPr>
      </w:pPr>
    </w:p>
    <w:p w14:paraId="1AAAF2CB" w14:textId="77777777" w:rsidR="00CC769A" w:rsidRPr="00220850" w:rsidRDefault="00CC769A" w:rsidP="00CC769A">
      <w:pPr>
        <w:autoSpaceDE w:val="0"/>
        <w:autoSpaceDN w:val="0"/>
        <w:adjustRightInd w:val="0"/>
        <w:rPr>
          <w:rFonts w:eastAsia="TimesNewRoman"/>
          <w:sz w:val="22"/>
          <w:szCs w:val="22"/>
          <w:u w:val="single"/>
        </w:rPr>
      </w:pPr>
      <w:r w:rsidRPr="00220850">
        <w:rPr>
          <w:rFonts w:eastAsia="TimesNewRoman"/>
          <w:sz w:val="22"/>
          <w:szCs w:val="22"/>
          <w:u w:val="single"/>
        </w:rPr>
        <w:t>Kepenų funkcija</w:t>
      </w:r>
    </w:p>
    <w:p w14:paraId="2B3125C5" w14:textId="77777777" w:rsidR="00CC769A" w:rsidRPr="00220850" w:rsidRDefault="0023629B" w:rsidP="00CC769A">
      <w:pPr>
        <w:autoSpaceDE w:val="0"/>
        <w:autoSpaceDN w:val="0"/>
        <w:adjustRightInd w:val="0"/>
        <w:rPr>
          <w:rFonts w:eastAsia="TimesNewRoman"/>
          <w:sz w:val="22"/>
          <w:szCs w:val="22"/>
        </w:rPr>
      </w:pPr>
      <w:proofErr w:type="spellStart"/>
      <w:r w:rsidRPr="00220850">
        <w:rPr>
          <w:rFonts w:eastAsia="TimesNewRoman"/>
          <w:sz w:val="22"/>
          <w:szCs w:val="22"/>
        </w:rPr>
        <w:t>Nintedanibo</w:t>
      </w:r>
      <w:proofErr w:type="spellEnd"/>
      <w:r w:rsidR="00CC769A" w:rsidRPr="00220850">
        <w:rPr>
          <w:rFonts w:eastAsia="TimesNewRoman"/>
          <w:sz w:val="22"/>
          <w:szCs w:val="22"/>
        </w:rPr>
        <w:t xml:space="preserve"> saugumas ir veiksmingumas pacientams, kuriems yra vidutinio sunkumo (</w:t>
      </w:r>
      <w:r w:rsidRPr="00220850">
        <w:rPr>
          <w:rFonts w:eastAsia="TimesNewRoman"/>
          <w:sz w:val="22"/>
          <w:szCs w:val="22"/>
        </w:rPr>
        <w:t xml:space="preserve">B klasė pagal </w:t>
      </w:r>
      <w:proofErr w:type="spellStart"/>
      <w:r w:rsidR="00CC769A" w:rsidRPr="00220850">
        <w:rPr>
          <w:rFonts w:eastAsia="TimesNewRoman"/>
          <w:sz w:val="22"/>
          <w:szCs w:val="22"/>
        </w:rPr>
        <w:t>Child</w:t>
      </w:r>
      <w:proofErr w:type="spellEnd"/>
      <w:r w:rsidR="00CC769A" w:rsidRPr="00220850">
        <w:rPr>
          <w:rFonts w:eastAsia="TimesNewRoman"/>
          <w:sz w:val="22"/>
          <w:szCs w:val="22"/>
        </w:rPr>
        <w:t xml:space="preserve"> </w:t>
      </w:r>
      <w:proofErr w:type="spellStart"/>
      <w:r w:rsidR="00CC769A" w:rsidRPr="00220850">
        <w:rPr>
          <w:rFonts w:eastAsia="TimesNewRoman"/>
          <w:sz w:val="22"/>
          <w:szCs w:val="22"/>
        </w:rPr>
        <w:t>Pugh</w:t>
      </w:r>
      <w:proofErr w:type="spellEnd"/>
      <w:r w:rsidR="00CC769A" w:rsidRPr="00220850">
        <w:rPr>
          <w:rFonts w:eastAsia="TimesNewRoman"/>
          <w:sz w:val="22"/>
          <w:szCs w:val="22"/>
        </w:rPr>
        <w:t>) ar</w:t>
      </w:r>
      <w:r w:rsidRPr="00220850">
        <w:rPr>
          <w:rFonts w:eastAsia="TimesNewRoman"/>
          <w:sz w:val="22"/>
          <w:szCs w:val="22"/>
        </w:rPr>
        <w:t xml:space="preserve"> </w:t>
      </w:r>
      <w:r w:rsidR="00CC769A" w:rsidRPr="00220850">
        <w:rPr>
          <w:rFonts w:eastAsia="TimesNewRoman"/>
          <w:sz w:val="22"/>
          <w:szCs w:val="22"/>
        </w:rPr>
        <w:t>sunkus (</w:t>
      </w:r>
      <w:r w:rsidRPr="00220850">
        <w:rPr>
          <w:rFonts w:eastAsia="TimesNewRoman"/>
          <w:sz w:val="22"/>
          <w:szCs w:val="22"/>
        </w:rPr>
        <w:t xml:space="preserve">C klasė pagal </w:t>
      </w:r>
      <w:proofErr w:type="spellStart"/>
      <w:r w:rsidR="00CC769A" w:rsidRPr="00220850">
        <w:rPr>
          <w:rFonts w:eastAsia="TimesNewRoman"/>
          <w:sz w:val="22"/>
          <w:szCs w:val="22"/>
        </w:rPr>
        <w:t>Child</w:t>
      </w:r>
      <w:proofErr w:type="spellEnd"/>
      <w:r w:rsidR="00CC769A" w:rsidRPr="00220850">
        <w:rPr>
          <w:rFonts w:eastAsia="TimesNewRoman"/>
          <w:sz w:val="22"/>
          <w:szCs w:val="22"/>
        </w:rPr>
        <w:t xml:space="preserve"> </w:t>
      </w:r>
      <w:proofErr w:type="spellStart"/>
      <w:r w:rsidR="00CC769A" w:rsidRPr="00220850">
        <w:rPr>
          <w:rFonts w:eastAsia="TimesNewRoman"/>
          <w:sz w:val="22"/>
          <w:szCs w:val="22"/>
        </w:rPr>
        <w:t>Pugh</w:t>
      </w:r>
      <w:proofErr w:type="spellEnd"/>
      <w:r w:rsidR="00CC769A" w:rsidRPr="00220850">
        <w:rPr>
          <w:rFonts w:eastAsia="TimesNewRoman"/>
          <w:sz w:val="22"/>
          <w:szCs w:val="22"/>
        </w:rPr>
        <w:t>) kepenų funkcijos sutrikimas, netirtas. T</w:t>
      </w:r>
      <w:r w:rsidRPr="00220850">
        <w:rPr>
          <w:rFonts w:eastAsia="TimesNewRoman"/>
          <w:sz w:val="22"/>
          <w:szCs w:val="22"/>
        </w:rPr>
        <w:t>odėl</w:t>
      </w:r>
      <w:r w:rsidR="00CC769A" w:rsidRPr="00220850">
        <w:rPr>
          <w:rFonts w:eastAsia="TimesNewRoman"/>
          <w:sz w:val="22"/>
          <w:szCs w:val="22"/>
        </w:rPr>
        <w:t xml:space="preserve"> tokių pacientų nerekomenduojama</w:t>
      </w:r>
      <w:r w:rsidRPr="00220850">
        <w:rPr>
          <w:rFonts w:eastAsia="TimesNewRoman"/>
          <w:sz w:val="22"/>
          <w:szCs w:val="22"/>
        </w:rPr>
        <w:t xml:space="preserve"> </w:t>
      </w:r>
      <w:r w:rsidR="00CC769A" w:rsidRPr="00220850">
        <w:rPr>
          <w:rFonts w:eastAsia="TimesNewRoman"/>
          <w:sz w:val="22"/>
          <w:szCs w:val="22"/>
        </w:rPr>
        <w:t xml:space="preserve">gydyti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CC769A" w:rsidRPr="00220850">
        <w:rPr>
          <w:rFonts w:eastAsia="TimesNewRoman"/>
          <w:sz w:val="22"/>
          <w:szCs w:val="22"/>
        </w:rPr>
        <w:t>(žr. 4.2 skyrių). Dėl padidėjusios ekspozicijos pacientams, kuriems yra lengvas kepenų</w:t>
      </w:r>
      <w:r w:rsidRPr="00220850">
        <w:rPr>
          <w:rFonts w:eastAsia="TimesNewRoman"/>
          <w:sz w:val="22"/>
          <w:szCs w:val="22"/>
        </w:rPr>
        <w:t xml:space="preserve"> </w:t>
      </w:r>
      <w:r w:rsidR="00CC769A" w:rsidRPr="00220850">
        <w:rPr>
          <w:rFonts w:eastAsia="TimesNewRoman"/>
          <w:sz w:val="22"/>
          <w:szCs w:val="22"/>
        </w:rPr>
        <w:t>funkcijos sutrikimas (</w:t>
      </w:r>
      <w:r w:rsidRPr="00220850">
        <w:rPr>
          <w:rFonts w:eastAsia="TimesNewRoman"/>
          <w:sz w:val="22"/>
          <w:szCs w:val="22"/>
        </w:rPr>
        <w:t xml:space="preserve">A klasė pagal </w:t>
      </w:r>
      <w:proofErr w:type="spellStart"/>
      <w:r w:rsidR="00CC769A" w:rsidRPr="00220850">
        <w:rPr>
          <w:rFonts w:eastAsia="TimesNewRoman"/>
          <w:sz w:val="22"/>
          <w:szCs w:val="22"/>
        </w:rPr>
        <w:t>Child</w:t>
      </w:r>
      <w:proofErr w:type="spellEnd"/>
      <w:r w:rsidR="00CC769A" w:rsidRPr="00220850">
        <w:rPr>
          <w:rFonts w:eastAsia="TimesNewRoman"/>
          <w:sz w:val="22"/>
          <w:szCs w:val="22"/>
        </w:rPr>
        <w:t xml:space="preserve"> </w:t>
      </w:r>
      <w:proofErr w:type="spellStart"/>
      <w:r w:rsidR="00CC769A" w:rsidRPr="00220850">
        <w:rPr>
          <w:rFonts w:eastAsia="TimesNewRoman"/>
          <w:sz w:val="22"/>
          <w:szCs w:val="22"/>
        </w:rPr>
        <w:t>Pugh</w:t>
      </w:r>
      <w:proofErr w:type="spellEnd"/>
      <w:r w:rsidR="00CC769A" w:rsidRPr="00220850">
        <w:rPr>
          <w:rFonts w:eastAsia="TimesNewRoman"/>
          <w:sz w:val="22"/>
          <w:szCs w:val="22"/>
        </w:rPr>
        <w:t>), gali padidėti nepageidaujamų reakcijų pavojus. Suaugusius</w:t>
      </w:r>
      <w:r w:rsidRPr="00220850">
        <w:rPr>
          <w:rFonts w:eastAsia="TimesNewRoman"/>
          <w:sz w:val="22"/>
          <w:szCs w:val="22"/>
        </w:rPr>
        <w:t xml:space="preserve"> </w:t>
      </w:r>
      <w:r w:rsidR="00CC769A" w:rsidRPr="00220850">
        <w:rPr>
          <w:rFonts w:eastAsia="TimesNewRoman"/>
          <w:sz w:val="22"/>
          <w:szCs w:val="22"/>
        </w:rPr>
        <w:t>pacientus, kuriems yra lengvas kepenų funkcijos sutrikimas (</w:t>
      </w:r>
      <w:r w:rsidRPr="00220850">
        <w:rPr>
          <w:rFonts w:eastAsia="TimesNewRoman"/>
          <w:sz w:val="22"/>
          <w:szCs w:val="22"/>
        </w:rPr>
        <w:t xml:space="preserve">A klasė pagal </w:t>
      </w:r>
      <w:proofErr w:type="spellStart"/>
      <w:r w:rsidR="00CC769A" w:rsidRPr="00220850">
        <w:rPr>
          <w:rFonts w:eastAsia="TimesNewRoman"/>
          <w:sz w:val="22"/>
          <w:szCs w:val="22"/>
        </w:rPr>
        <w:t>Child</w:t>
      </w:r>
      <w:proofErr w:type="spellEnd"/>
      <w:r w:rsidR="00CC769A" w:rsidRPr="00220850">
        <w:rPr>
          <w:rFonts w:eastAsia="TimesNewRoman"/>
          <w:sz w:val="22"/>
          <w:szCs w:val="22"/>
        </w:rPr>
        <w:t xml:space="preserve"> </w:t>
      </w:r>
      <w:proofErr w:type="spellStart"/>
      <w:r w:rsidR="00CC769A" w:rsidRPr="00220850">
        <w:rPr>
          <w:rFonts w:eastAsia="TimesNewRoman"/>
          <w:sz w:val="22"/>
          <w:szCs w:val="22"/>
        </w:rPr>
        <w:t>Pugh</w:t>
      </w:r>
      <w:proofErr w:type="spellEnd"/>
      <w:r w:rsidR="00CC769A" w:rsidRPr="00220850">
        <w:rPr>
          <w:rFonts w:eastAsia="TimesNewRoman"/>
          <w:sz w:val="22"/>
          <w:szCs w:val="22"/>
        </w:rPr>
        <w:t>), reikia gydyti sumažinta</w:t>
      </w:r>
      <w:r w:rsidRPr="00220850">
        <w:rPr>
          <w:rFonts w:eastAsia="TimesNewRoman"/>
          <w:sz w:val="22"/>
          <w:szCs w:val="22"/>
        </w:rPr>
        <w:t xml:space="preserve">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00CC769A" w:rsidRPr="00220850">
        <w:rPr>
          <w:rFonts w:eastAsia="TimesNewRoman"/>
          <w:sz w:val="22"/>
          <w:szCs w:val="22"/>
        </w:rPr>
        <w:t xml:space="preserve"> doze (žr. 4.2 ir 5.2 skyrius).</w:t>
      </w:r>
    </w:p>
    <w:p w14:paraId="1782D01C" w14:textId="77777777" w:rsidR="0023629B" w:rsidRPr="00220850" w:rsidRDefault="0023629B" w:rsidP="00CC769A">
      <w:pPr>
        <w:autoSpaceDE w:val="0"/>
        <w:autoSpaceDN w:val="0"/>
        <w:adjustRightInd w:val="0"/>
        <w:rPr>
          <w:rFonts w:eastAsia="TimesNewRoman"/>
          <w:sz w:val="22"/>
          <w:szCs w:val="22"/>
        </w:rPr>
      </w:pPr>
    </w:p>
    <w:p w14:paraId="107677F9" w14:textId="77777777" w:rsidR="00CC769A" w:rsidRPr="00220850" w:rsidRDefault="00CC769A" w:rsidP="00CC769A">
      <w:pPr>
        <w:autoSpaceDE w:val="0"/>
        <w:autoSpaceDN w:val="0"/>
        <w:adjustRightInd w:val="0"/>
        <w:rPr>
          <w:rFonts w:eastAsia="TimesNewRoman"/>
          <w:sz w:val="22"/>
          <w:szCs w:val="22"/>
        </w:rPr>
      </w:pPr>
      <w:r w:rsidRPr="00220850">
        <w:rPr>
          <w:rFonts w:eastAsia="TimesNewRoman"/>
          <w:sz w:val="22"/>
          <w:szCs w:val="22"/>
        </w:rPr>
        <w:t xml:space="preserve">Gydant </w:t>
      </w:r>
      <w:proofErr w:type="spellStart"/>
      <w:r w:rsidRPr="00220850">
        <w:rPr>
          <w:rFonts w:eastAsia="TimesNewRoman"/>
          <w:sz w:val="22"/>
          <w:szCs w:val="22"/>
        </w:rPr>
        <w:t>nintedanibu</w:t>
      </w:r>
      <w:proofErr w:type="spellEnd"/>
      <w:r w:rsidRPr="00220850">
        <w:rPr>
          <w:rFonts w:eastAsia="TimesNewRoman"/>
          <w:sz w:val="22"/>
          <w:szCs w:val="22"/>
        </w:rPr>
        <w:t>, nustatyta vaistinio preparato sukelto kepenų pažeidimo atvejų, įskaitant sunkų</w:t>
      </w:r>
      <w:r w:rsidR="0023629B" w:rsidRPr="00220850">
        <w:rPr>
          <w:rFonts w:eastAsia="TimesNewRoman"/>
          <w:sz w:val="22"/>
          <w:szCs w:val="22"/>
        </w:rPr>
        <w:t xml:space="preserve"> </w:t>
      </w:r>
      <w:r w:rsidRPr="00220850">
        <w:rPr>
          <w:rFonts w:eastAsia="TimesNewRoman"/>
          <w:sz w:val="22"/>
          <w:szCs w:val="22"/>
        </w:rPr>
        <w:t>kepenų pažeidimą, pasibaigusį mirtimi. Dauguma kepenų reiškinių įvyksta pirmaisiais trimis gydymo</w:t>
      </w:r>
      <w:r w:rsidR="0023629B" w:rsidRPr="00220850">
        <w:rPr>
          <w:rFonts w:eastAsia="TimesNewRoman"/>
          <w:sz w:val="22"/>
          <w:szCs w:val="22"/>
        </w:rPr>
        <w:t xml:space="preserve"> </w:t>
      </w:r>
      <w:r w:rsidRPr="00220850">
        <w:rPr>
          <w:rFonts w:eastAsia="TimesNewRoman"/>
          <w:sz w:val="22"/>
          <w:szCs w:val="22"/>
        </w:rPr>
        <w:t xml:space="preserve">mėnesiais. Todėl prieš pradedant gydymą </w:t>
      </w:r>
      <w:proofErr w:type="spellStart"/>
      <w:r w:rsidR="0023629B" w:rsidRPr="00220850">
        <w:rPr>
          <w:rFonts w:eastAsia="TimesNewRoman"/>
          <w:sz w:val="22"/>
          <w:szCs w:val="22"/>
        </w:rPr>
        <w:t>Nintedanib</w:t>
      </w:r>
      <w:proofErr w:type="spellEnd"/>
      <w:r w:rsidR="0023629B" w:rsidRPr="00220850">
        <w:rPr>
          <w:rFonts w:eastAsia="TimesNewRoman"/>
          <w:sz w:val="22"/>
          <w:szCs w:val="22"/>
        </w:rPr>
        <w:t xml:space="preserve"> </w:t>
      </w:r>
      <w:proofErr w:type="spellStart"/>
      <w:r w:rsidR="0023629B" w:rsidRPr="00220850">
        <w:rPr>
          <w:rFonts w:eastAsia="TimesNewRoman"/>
          <w:sz w:val="22"/>
          <w:szCs w:val="22"/>
        </w:rPr>
        <w:t>Teva</w:t>
      </w:r>
      <w:proofErr w:type="spellEnd"/>
      <w:r w:rsidRPr="00220850">
        <w:rPr>
          <w:rFonts w:eastAsia="TimesNewRoman"/>
          <w:sz w:val="22"/>
          <w:szCs w:val="22"/>
        </w:rPr>
        <w:t xml:space="preserve"> ir pirmąjį mėnesį juo gydant reikia ištirti kepenų</w:t>
      </w:r>
      <w:r w:rsidR="0023629B" w:rsidRPr="00220850">
        <w:rPr>
          <w:rFonts w:eastAsia="TimesNewRoman"/>
          <w:sz w:val="22"/>
          <w:szCs w:val="22"/>
        </w:rPr>
        <w:t xml:space="preserve"> </w:t>
      </w:r>
      <w:proofErr w:type="spellStart"/>
      <w:r w:rsidRPr="00220850">
        <w:rPr>
          <w:rFonts w:eastAsia="TimesNewRoman"/>
          <w:sz w:val="22"/>
          <w:szCs w:val="22"/>
        </w:rPr>
        <w:t>transaminazių</w:t>
      </w:r>
      <w:proofErr w:type="spellEnd"/>
      <w:r w:rsidRPr="00220850">
        <w:rPr>
          <w:rFonts w:eastAsia="TimesNewRoman"/>
          <w:sz w:val="22"/>
          <w:szCs w:val="22"/>
        </w:rPr>
        <w:t xml:space="preserve"> aktyvumą ir </w:t>
      </w:r>
      <w:proofErr w:type="spellStart"/>
      <w:r w:rsidRPr="00220850">
        <w:rPr>
          <w:rFonts w:eastAsia="TimesNewRoman"/>
          <w:sz w:val="22"/>
          <w:szCs w:val="22"/>
        </w:rPr>
        <w:t>bilirubino</w:t>
      </w:r>
      <w:proofErr w:type="spellEnd"/>
      <w:r w:rsidRPr="00220850">
        <w:rPr>
          <w:rFonts w:eastAsia="TimesNewRoman"/>
          <w:sz w:val="22"/>
          <w:szCs w:val="22"/>
        </w:rPr>
        <w:t xml:space="preserve"> kiekį. </w:t>
      </w:r>
      <w:r w:rsidR="0023629B" w:rsidRPr="00220850">
        <w:rPr>
          <w:rFonts w:eastAsia="TimesNewRoman"/>
          <w:sz w:val="22"/>
          <w:szCs w:val="22"/>
        </w:rPr>
        <w:t>Vėlesnių</w:t>
      </w:r>
      <w:r w:rsidRPr="00220850">
        <w:rPr>
          <w:rFonts w:eastAsia="TimesNewRoman"/>
          <w:sz w:val="22"/>
          <w:szCs w:val="22"/>
        </w:rPr>
        <w:t xml:space="preserve"> dviejų gydymo mėnesių laikotarpiu pacientus</w:t>
      </w:r>
      <w:r w:rsidR="0023629B" w:rsidRPr="00220850">
        <w:rPr>
          <w:rFonts w:eastAsia="TimesNewRoman"/>
          <w:sz w:val="22"/>
          <w:szCs w:val="22"/>
        </w:rPr>
        <w:t xml:space="preserve"> </w:t>
      </w:r>
      <w:r w:rsidRPr="00220850">
        <w:rPr>
          <w:rFonts w:eastAsia="TimesNewRoman"/>
          <w:sz w:val="22"/>
          <w:szCs w:val="22"/>
        </w:rPr>
        <w:t>reikia tikrinti reguliariais intervalais, o po to juos reikia tirti periodiškai, pvz., per kiekvieną paciento</w:t>
      </w:r>
      <w:r w:rsidR="0023629B" w:rsidRPr="00220850">
        <w:rPr>
          <w:rFonts w:eastAsia="TimesNewRoman"/>
          <w:sz w:val="22"/>
          <w:szCs w:val="22"/>
        </w:rPr>
        <w:t xml:space="preserve"> </w:t>
      </w:r>
      <w:r w:rsidRPr="00220850">
        <w:rPr>
          <w:rFonts w:eastAsia="TimesNewRoman"/>
          <w:sz w:val="22"/>
          <w:szCs w:val="22"/>
        </w:rPr>
        <w:t>apsilankymą, arba tada, kai kliniškai būtina.</w:t>
      </w:r>
    </w:p>
    <w:p w14:paraId="2BE54EF8" w14:textId="77777777" w:rsidR="0023629B" w:rsidRPr="00220850" w:rsidRDefault="0023629B" w:rsidP="00CC769A">
      <w:pPr>
        <w:autoSpaceDE w:val="0"/>
        <w:autoSpaceDN w:val="0"/>
        <w:adjustRightInd w:val="0"/>
        <w:rPr>
          <w:rFonts w:eastAsia="TimesNewRoman"/>
          <w:sz w:val="22"/>
          <w:szCs w:val="22"/>
        </w:rPr>
      </w:pPr>
    </w:p>
    <w:p w14:paraId="17134CD3" w14:textId="18AC4775" w:rsidR="0072519C" w:rsidRPr="00220850" w:rsidRDefault="00CC769A" w:rsidP="0023629B">
      <w:pPr>
        <w:autoSpaceDE w:val="0"/>
        <w:autoSpaceDN w:val="0"/>
        <w:adjustRightInd w:val="0"/>
        <w:rPr>
          <w:rFonts w:eastAsia="TimesNewRoman"/>
          <w:sz w:val="22"/>
          <w:szCs w:val="22"/>
        </w:rPr>
      </w:pPr>
      <w:r w:rsidRPr="00220850">
        <w:rPr>
          <w:rFonts w:eastAsia="TimesNewRoman"/>
          <w:sz w:val="22"/>
          <w:szCs w:val="22"/>
        </w:rPr>
        <w:lastRenderedPageBreak/>
        <w:t>Daugumoje atvejų kepenų fermentų (ALT, AST, šarminės fosfatazės [ŠF] kraujyje, gama</w:t>
      </w:r>
      <w:r w:rsidR="0023629B" w:rsidRPr="00220850">
        <w:rPr>
          <w:rFonts w:eastAsia="TimesNewRoman"/>
          <w:sz w:val="22"/>
          <w:szCs w:val="22"/>
        </w:rPr>
        <w:t xml:space="preserve"> </w:t>
      </w:r>
      <w:proofErr w:type="spellStart"/>
      <w:r w:rsidRPr="00220850">
        <w:rPr>
          <w:rFonts w:eastAsia="TimesNewRoman"/>
          <w:sz w:val="22"/>
          <w:szCs w:val="22"/>
        </w:rPr>
        <w:t>glutamiltransferazės</w:t>
      </w:r>
      <w:proofErr w:type="spellEnd"/>
      <w:r w:rsidRPr="00220850">
        <w:rPr>
          <w:rFonts w:eastAsia="TimesNewRoman"/>
          <w:sz w:val="22"/>
          <w:szCs w:val="22"/>
        </w:rPr>
        <w:t xml:space="preserve"> [GGT], žr. 4.8 skyrių) aktyvumo ir </w:t>
      </w:r>
      <w:proofErr w:type="spellStart"/>
      <w:r w:rsidRPr="00220850">
        <w:rPr>
          <w:rFonts w:eastAsia="TimesNewRoman"/>
          <w:sz w:val="22"/>
          <w:szCs w:val="22"/>
        </w:rPr>
        <w:t>bilirubino</w:t>
      </w:r>
      <w:proofErr w:type="spellEnd"/>
      <w:r w:rsidRPr="00220850">
        <w:rPr>
          <w:rFonts w:eastAsia="TimesNewRoman"/>
          <w:sz w:val="22"/>
          <w:szCs w:val="22"/>
        </w:rPr>
        <w:t xml:space="preserve"> kiekio padidėjimas buvo laikinas ir</w:t>
      </w:r>
      <w:r w:rsidR="0023629B" w:rsidRPr="00220850">
        <w:rPr>
          <w:rFonts w:eastAsia="TimesNewRoman"/>
          <w:sz w:val="22"/>
          <w:szCs w:val="22"/>
        </w:rPr>
        <w:t xml:space="preserve"> </w:t>
      </w:r>
      <w:r w:rsidRPr="00220850">
        <w:rPr>
          <w:rFonts w:eastAsia="TimesNewRoman"/>
          <w:sz w:val="22"/>
          <w:szCs w:val="22"/>
        </w:rPr>
        <w:t xml:space="preserve">normalizavosi sumažinus dozę ar </w:t>
      </w:r>
      <w:r w:rsidR="008B35EA" w:rsidRPr="00220850">
        <w:rPr>
          <w:rFonts w:eastAsia="TimesNewRoman"/>
          <w:sz w:val="22"/>
          <w:szCs w:val="22"/>
        </w:rPr>
        <w:t xml:space="preserve">nutraukus </w:t>
      </w:r>
      <w:r w:rsidRPr="00220850">
        <w:rPr>
          <w:rFonts w:eastAsia="TimesNewRoman"/>
          <w:sz w:val="22"/>
          <w:szCs w:val="22"/>
        </w:rPr>
        <w:t xml:space="preserve">vartojimą. Jei nustatoma, kad </w:t>
      </w:r>
      <w:proofErr w:type="spellStart"/>
      <w:r w:rsidRPr="00220850">
        <w:rPr>
          <w:rFonts w:eastAsia="TimesNewRoman"/>
          <w:sz w:val="22"/>
          <w:szCs w:val="22"/>
        </w:rPr>
        <w:t>transaminazių</w:t>
      </w:r>
      <w:proofErr w:type="spellEnd"/>
      <w:r w:rsidRPr="00220850">
        <w:rPr>
          <w:rFonts w:eastAsia="TimesNewRoman"/>
          <w:sz w:val="22"/>
          <w:szCs w:val="22"/>
        </w:rPr>
        <w:t xml:space="preserve"> (AST ar</w:t>
      </w:r>
      <w:r w:rsidR="0023629B" w:rsidRPr="00220850">
        <w:rPr>
          <w:rFonts w:eastAsia="TimesNewRoman"/>
          <w:sz w:val="22"/>
          <w:szCs w:val="22"/>
        </w:rPr>
        <w:t xml:space="preserve"> ALT) aktyvumas &gt; </w:t>
      </w:r>
      <w:r w:rsidRPr="00220850">
        <w:rPr>
          <w:rFonts w:eastAsia="TimesNewRoman"/>
          <w:sz w:val="22"/>
          <w:szCs w:val="22"/>
        </w:rPr>
        <w:t xml:space="preserve">3 kartus viršija VNR, rekomenduojama sumažinti </w:t>
      </w:r>
      <w:proofErr w:type="spellStart"/>
      <w:r w:rsidR="0023629B" w:rsidRPr="00220850">
        <w:rPr>
          <w:rFonts w:eastAsia="TimesNewRoman"/>
          <w:sz w:val="22"/>
          <w:szCs w:val="22"/>
        </w:rPr>
        <w:t>Nintedanib</w:t>
      </w:r>
      <w:proofErr w:type="spellEnd"/>
      <w:r w:rsidR="0023629B" w:rsidRPr="00220850">
        <w:rPr>
          <w:rFonts w:eastAsia="TimesNewRoman"/>
          <w:sz w:val="22"/>
          <w:szCs w:val="22"/>
        </w:rPr>
        <w:t xml:space="preserve"> </w:t>
      </w:r>
      <w:proofErr w:type="spellStart"/>
      <w:r w:rsidR="0023629B" w:rsidRPr="00220850">
        <w:rPr>
          <w:rFonts w:eastAsia="TimesNewRoman"/>
          <w:sz w:val="22"/>
          <w:szCs w:val="22"/>
        </w:rPr>
        <w:t>Teva</w:t>
      </w:r>
      <w:proofErr w:type="spellEnd"/>
      <w:r w:rsidRPr="00220850">
        <w:rPr>
          <w:rFonts w:eastAsia="TimesNewRoman"/>
          <w:sz w:val="22"/>
          <w:szCs w:val="22"/>
        </w:rPr>
        <w:t xml:space="preserve"> dozę ar </w:t>
      </w:r>
      <w:r w:rsidR="008B35EA" w:rsidRPr="00220850">
        <w:rPr>
          <w:rFonts w:eastAsia="TimesNewRoman"/>
          <w:sz w:val="22"/>
          <w:szCs w:val="22"/>
        </w:rPr>
        <w:t xml:space="preserve">nutraukti </w:t>
      </w:r>
      <w:r w:rsidRPr="00220850">
        <w:rPr>
          <w:rFonts w:eastAsia="TimesNewRoman"/>
          <w:sz w:val="22"/>
          <w:szCs w:val="22"/>
        </w:rPr>
        <w:t>gydymą</w:t>
      </w:r>
      <w:r w:rsidR="0023629B" w:rsidRPr="00220850">
        <w:rPr>
          <w:rFonts w:eastAsia="TimesNewRoman"/>
          <w:sz w:val="22"/>
          <w:szCs w:val="22"/>
        </w:rPr>
        <w:t xml:space="preserve"> </w:t>
      </w:r>
      <w:r w:rsidRPr="00220850">
        <w:rPr>
          <w:rFonts w:eastAsia="TimesNewRoman"/>
          <w:sz w:val="22"/>
          <w:szCs w:val="22"/>
        </w:rPr>
        <w:t xml:space="preserve">ir atidžiai pacientą stebėti. </w:t>
      </w:r>
      <w:proofErr w:type="spellStart"/>
      <w:r w:rsidRPr="00220850">
        <w:rPr>
          <w:rFonts w:eastAsia="TimesNewRoman"/>
          <w:sz w:val="22"/>
          <w:szCs w:val="22"/>
        </w:rPr>
        <w:t>Transaminazių</w:t>
      </w:r>
      <w:proofErr w:type="spellEnd"/>
      <w:r w:rsidRPr="00220850">
        <w:rPr>
          <w:rFonts w:eastAsia="TimesNewRoman"/>
          <w:sz w:val="22"/>
          <w:szCs w:val="22"/>
        </w:rPr>
        <w:t xml:space="preserve"> aktyvumui grįžus į pradinį lygį, gydymas </w:t>
      </w:r>
      <w:proofErr w:type="spellStart"/>
      <w:r w:rsidR="0023629B" w:rsidRPr="00220850">
        <w:rPr>
          <w:rFonts w:eastAsia="TimesNewRoman"/>
          <w:sz w:val="22"/>
          <w:szCs w:val="22"/>
        </w:rPr>
        <w:t>Nintedanib</w:t>
      </w:r>
      <w:proofErr w:type="spellEnd"/>
      <w:r w:rsidR="0023629B" w:rsidRPr="00220850">
        <w:rPr>
          <w:rFonts w:eastAsia="TimesNewRoman"/>
          <w:sz w:val="22"/>
          <w:szCs w:val="22"/>
        </w:rPr>
        <w:t xml:space="preserve"> </w:t>
      </w:r>
      <w:proofErr w:type="spellStart"/>
      <w:r w:rsidR="0023629B" w:rsidRPr="00220850">
        <w:rPr>
          <w:rFonts w:eastAsia="TimesNewRoman"/>
          <w:sz w:val="22"/>
          <w:szCs w:val="22"/>
        </w:rPr>
        <w:t>Teva</w:t>
      </w:r>
      <w:proofErr w:type="spellEnd"/>
      <w:r w:rsidRPr="00220850">
        <w:rPr>
          <w:rFonts w:eastAsia="TimesNewRoman"/>
          <w:sz w:val="22"/>
          <w:szCs w:val="22"/>
        </w:rPr>
        <w:t xml:space="preserve"> gali būti</w:t>
      </w:r>
      <w:r w:rsidR="0023629B" w:rsidRPr="00220850">
        <w:rPr>
          <w:rFonts w:eastAsia="TimesNewRoman"/>
          <w:sz w:val="22"/>
          <w:szCs w:val="22"/>
        </w:rPr>
        <w:t xml:space="preserve"> </w:t>
      </w:r>
      <w:r w:rsidRPr="00220850">
        <w:rPr>
          <w:rFonts w:eastAsia="TimesNewRoman"/>
          <w:sz w:val="22"/>
          <w:szCs w:val="22"/>
        </w:rPr>
        <w:t>atnaujintas visa doze arba sumažinta doze, kuri vėliau gali būti padidinta iki visos dozės (žr. „Dozės</w:t>
      </w:r>
      <w:r w:rsidR="0023629B" w:rsidRPr="00220850">
        <w:rPr>
          <w:rFonts w:eastAsia="TimesNewRoman"/>
          <w:sz w:val="22"/>
          <w:szCs w:val="22"/>
        </w:rPr>
        <w:t xml:space="preserve"> koregavimas“ 4.2 skyriuje). Jei bet koks kepenų funkcijos rodiklių padidėjimas yra susijęs su</w:t>
      </w:r>
      <w:r w:rsidR="0072519C" w:rsidRPr="00220850">
        <w:rPr>
          <w:rFonts w:eastAsia="TimesNewRoman"/>
          <w:sz w:val="22"/>
          <w:szCs w:val="22"/>
        </w:rPr>
        <w:t xml:space="preserve"> </w:t>
      </w:r>
      <w:r w:rsidR="0023629B" w:rsidRPr="00220850">
        <w:rPr>
          <w:rFonts w:eastAsia="TimesNewRoman"/>
          <w:sz w:val="22"/>
          <w:szCs w:val="22"/>
        </w:rPr>
        <w:t xml:space="preserve">klinikiniais kepenų pažaidos požymiais ar simptomais, pvz., gelta, gydymą </w:t>
      </w:r>
      <w:proofErr w:type="spellStart"/>
      <w:r w:rsidR="0023629B" w:rsidRPr="00220850">
        <w:rPr>
          <w:rFonts w:eastAsia="TimesNewRoman"/>
          <w:sz w:val="22"/>
          <w:szCs w:val="22"/>
        </w:rPr>
        <w:t>Nintedanib</w:t>
      </w:r>
      <w:proofErr w:type="spellEnd"/>
      <w:r w:rsidR="0023629B" w:rsidRPr="00220850">
        <w:rPr>
          <w:rFonts w:eastAsia="TimesNewRoman"/>
          <w:sz w:val="22"/>
          <w:szCs w:val="22"/>
        </w:rPr>
        <w:t xml:space="preserve"> </w:t>
      </w:r>
      <w:proofErr w:type="spellStart"/>
      <w:r w:rsidR="0023629B" w:rsidRPr="00220850">
        <w:rPr>
          <w:rFonts w:eastAsia="TimesNewRoman"/>
          <w:sz w:val="22"/>
          <w:szCs w:val="22"/>
        </w:rPr>
        <w:t>Teva</w:t>
      </w:r>
      <w:proofErr w:type="spellEnd"/>
      <w:r w:rsidR="0023629B" w:rsidRPr="00220850">
        <w:rPr>
          <w:rFonts w:eastAsia="TimesNewRoman"/>
          <w:sz w:val="22"/>
          <w:szCs w:val="22"/>
        </w:rPr>
        <w:t xml:space="preserve"> reikia visam laikui</w:t>
      </w:r>
      <w:r w:rsidR="0072519C" w:rsidRPr="00220850">
        <w:rPr>
          <w:rFonts w:eastAsia="TimesNewRoman"/>
          <w:sz w:val="22"/>
          <w:szCs w:val="22"/>
        </w:rPr>
        <w:t xml:space="preserve"> </w:t>
      </w:r>
      <w:r w:rsidR="0023629B" w:rsidRPr="00220850">
        <w:rPr>
          <w:rFonts w:eastAsia="TimesNewRoman"/>
          <w:sz w:val="22"/>
          <w:szCs w:val="22"/>
        </w:rPr>
        <w:t>nutraukti. Reikia ištirti, ar nėra kitų kepenų fermentų aktyvumo padidėjimo priežasčių.</w:t>
      </w:r>
      <w:r w:rsidR="0072519C" w:rsidRPr="00220850">
        <w:rPr>
          <w:rFonts w:eastAsia="TimesNewRoman"/>
          <w:sz w:val="22"/>
          <w:szCs w:val="22"/>
        </w:rPr>
        <w:t xml:space="preserve"> </w:t>
      </w:r>
    </w:p>
    <w:p w14:paraId="5A76EE20" w14:textId="77777777" w:rsidR="0072519C" w:rsidRPr="00220850" w:rsidRDefault="0072519C" w:rsidP="0023629B">
      <w:pPr>
        <w:autoSpaceDE w:val="0"/>
        <w:autoSpaceDN w:val="0"/>
        <w:adjustRightInd w:val="0"/>
        <w:rPr>
          <w:rFonts w:eastAsia="TimesNewRoman"/>
          <w:sz w:val="22"/>
          <w:szCs w:val="22"/>
        </w:rPr>
      </w:pPr>
    </w:p>
    <w:p w14:paraId="1F9A39AA" w14:textId="77777777" w:rsidR="0023629B" w:rsidRPr="00220850" w:rsidRDefault="0023629B" w:rsidP="0023629B">
      <w:pPr>
        <w:autoSpaceDE w:val="0"/>
        <w:autoSpaceDN w:val="0"/>
        <w:adjustRightInd w:val="0"/>
        <w:rPr>
          <w:rFonts w:eastAsia="TimesNewRoman"/>
          <w:sz w:val="22"/>
          <w:szCs w:val="22"/>
        </w:rPr>
      </w:pPr>
      <w:r w:rsidRPr="00220850">
        <w:rPr>
          <w:rFonts w:eastAsia="TimesNewRoman"/>
          <w:sz w:val="22"/>
          <w:szCs w:val="22"/>
        </w:rPr>
        <w:t>Mažai sverian</w:t>
      </w:r>
      <w:r w:rsidR="0072519C" w:rsidRPr="00220850">
        <w:rPr>
          <w:rFonts w:eastAsia="TimesNewRoman"/>
          <w:sz w:val="22"/>
          <w:szCs w:val="22"/>
        </w:rPr>
        <w:t>tiems suaugusiems pacientams (&lt; 65 </w:t>
      </w:r>
      <w:r w:rsidRPr="00220850">
        <w:rPr>
          <w:rFonts w:eastAsia="TimesNewRoman"/>
          <w:sz w:val="22"/>
          <w:szCs w:val="22"/>
        </w:rPr>
        <w:t>kg), pacientams azijiečiams ir pacientėms</w:t>
      </w:r>
      <w:r w:rsidR="0072519C" w:rsidRPr="00220850">
        <w:rPr>
          <w:rFonts w:eastAsia="TimesNewRoman"/>
          <w:sz w:val="22"/>
          <w:szCs w:val="22"/>
        </w:rPr>
        <w:t xml:space="preserve"> </w:t>
      </w:r>
      <w:r w:rsidRPr="00220850">
        <w:rPr>
          <w:rFonts w:eastAsia="TimesNewRoman"/>
          <w:sz w:val="22"/>
          <w:szCs w:val="22"/>
        </w:rPr>
        <w:t xml:space="preserve">moterims fermentų aktyvumo padidėjimo rizika yra didesnė. </w:t>
      </w:r>
      <w:proofErr w:type="spellStart"/>
      <w:r w:rsidRPr="00220850">
        <w:rPr>
          <w:rFonts w:eastAsia="TimesNewRoman"/>
          <w:sz w:val="22"/>
          <w:szCs w:val="22"/>
        </w:rPr>
        <w:t>Nintedanibo</w:t>
      </w:r>
      <w:proofErr w:type="spellEnd"/>
      <w:r w:rsidRPr="00220850">
        <w:rPr>
          <w:rFonts w:eastAsia="TimesNewRoman"/>
          <w:sz w:val="22"/>
          <w:szCs w:val="22"/>
        </w:rPr>
        <w:t xml:space="preserve"> ekspozicija didėjo</w:t>
      </w:r>
      <w:r w:rsidR="0072519C" w:rsidRPr="00220850">
        <w:rPr>
          <w:rFonts w:eastAsia="TimesNewRoman"/>
          <w:sz w:val="22"/>
          <w:szCs w:val="22"/>
        </w:rPr>
        <w:t xml:space="preserve"> </w:t>
      </w:r>
      <w:r w:rsidRPr="00220850">
        <w:rPr>
          <w:rFonts w:eastAsia="TimesNewRoman"/>
          <w:sz w:val="22"/>
          <w:szCs w:val="22"/>
        </w:rPr>
        <w:t>proporcingai paciento amžiui, o tai gali sąlygoti didesnę kepenų fermentų aktyvumo padidėjimo riziką</w:t>
      </w:r>
      <w:r w:rsidR="0072519C" w:rsidRPr="00220850">
        <w:rPr>
          <w:rFonts w:eastAsia="TimesNewRoman"/>
          <w:sz w:val="22"/>
          <w:szCs w:val="22"/>
        </w:rPr>
        <w:t xml:space="preserve"> </w:t>
      </w:r>
      <w:r w:rsidRPr="00220850">
        <w:rPr>
          <w:rFonts w:eastAsia="TimesNewRoman"/>
          <w:sz w:val="22"/>
          <w:szCs w:val="22"/>
        </w:rPr>
        <w:t>(žr. 5.2 skyrių). Pacientus, kuriems yra šios rizikos veiksnių, reikia atidžiai stebėti.</w:t>
      </w:r>
    </w:p>
    <w:p w14:paraId="7AA2E1C8" w14:textId="77777777" w:rsidR="0072519C" w:rsidRPr="00220850" w:rsidRDefault="0072519C" w:rsidP="0023629B">
      <w:pPr>
        <w:autoSpaceDE w:val="0"/>
        <w:autoSpaceDN w:val="0"/>
        <w:adjustRightInd w:val="0"/>
        <w:rPr>
          <w:rFonts w:eastAsia="TimesNewRoman"/>
          <w:sz w:val="22"/>
          <w:szCs w:val="22"/>
        </w:rPr>
      </w:pPr>
    </w:p>
    <w:p w14:paraId="55BCAA3E" w14:textId="77777777" w:rsidR="0023629B" w:rsidRPr="00220850" w:rsidRDefault="0023629B" w:rsidP="0023629B">
      <w:pPr>
        <w:autoSpaceDE w:val="0"/>
        <w:autoSpaceDN w:val="0"/>
        <w:adjustRightInd w:val="0"/>
        <w:rPr>
          <w:rFonts w:eastAsia="TimesNewRoman"/>
          <w:sz w:val="22"/>
          <w:szCs w:val="22"/>
          <w:u w:val="single"/>
        </w:rPr>
      </w:pPr>
      <w:r w:rsidRPr="00220850">
        <w:rPr>
          <w:rFonts w:eastAsia="TimesNewRoman"/>
          <w:sz w:val="22"/>
          <w:szCs w:val="22"/>
          <w:u w:val="single"/>
        </w:rPr>
        <w:t>Inkstų funkcija</w:t>
      </w:r>
    </w:p>
    <w:p w14:paraId="41DBFEA4" w14:textId="77777777" w:rsidR="0023629B" w:rsidRPr="00220850" w:rsidRDefault="0023629B" w:rsidP="0023629B">
      <w:pPr>
        <w:autoSpaceDE w:val="0"/>
        <w:autoSpaceDN w:val="0"/>
        <w:adjustRightInd w:val="0"/>
        <w:rPr>
          <w:rFonts w:eastAsia="TimesNewRoman"/>
          <w:sz w:val="22"/>
          <w:szCs w:val="22"/>
        </w:rPr>
      </w:pPr>
      <w:r w:rsidRPr="00220850">
        <w:rPr>
          <w:rFonts w:eastAsia="TimesNewRoman"/>
          <w:sz w:val="22"/>
          <w:szCs w:val="22"/>
        </w:rPr>
        <w:t xml:space="preserve">Gauta pranešimų apie inkstų pažeidimo </w:t>
      </w:r>
      <w:r w:rsidR="0072519C" w:rsidRPr="00220850">
        <w:rPr>
          <w:rFonts w:eastAsia="TimesNewRoman"/>
          <w:sz w:val="22"/>
          <w:szCs w:val="22"/>
        </w:rPr>
        <w:t>arba</w:t>
      </w:r>
      <w:r w:rsidRPr="00220850">
        <w:rPr>
          <w:rFonts w:eastAsia="TimesNewRoman"/>
          <w:sz w:val="22"/>
          <w:szCs w:val="22"/>
        </w:rPr>
        <w:t xml:space="preserve"> nepakankamumo atvejus, kartais pasibaigusius mirtimi,</w:t>
      </w:r>
      <w:r w:rsidR="0072519C"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vartojusiems pacientams (žr. 4.8 skyrių).</w:t>
      </w:r>
    </w:p>
    <w:p w14:paraId="2FC4A58F" w14:textId="3583EAF8" w:rsidR="0023629B" w:rsidRPr="00220850" w:rsidRDefault="0023629B" w:rsidP="0023629B">
      <w:pPr>
        <w:autoSpaceDE w:val="0"/>
        <w:autoSpaceDN w:val="0"/>
        <w:adjustRightInd w:val="0"/>
        <w:rPr>
          <w:rFonts w:eastAsia="TimesNewRoman"/>
          <w:sz w:val="22"/>
          <w:szCs w:val="22"/>
        </w:rPr>
      </w:pPr>
      <w:proofErr w:type="spellStart"/>
      <w:r w:rsidRPr="00220850">
        <w:rPr>
          <w:rFonts w:eastAsia="TimesNewRoman"/>
          <w:sz w:val="22"/>
          <w:szCs w:val="22"/>
        </w:rPr>
        <w:t>Nintedanibu</w:t>
      </w:r>
      <w:proofErr w:type="spellEnd"/>
      <w:r w:rsidRPr="00220850">
        <w:rPr>
          <w:rFonts w:eastAsia="TimesNewRoman"/>
          <w:sz w:val="22"/>
          <w:szCs w:val="22"/>
        </w:rPr>
        <w:t xml:space="preserve"> gydomus pacientus reikia stebėti, ypatingą dėmesį skiriant pacientams, turintiems inkstų</w:t>
      </w:r>
      <w:r w:rsidR="0072519C" w:rsidRPr="00220850">
        <w:rPr>
          <w:rFonts w:eastAsia="TimesNewRoman"/>
          <w:sz w:val="22"/>
          <w:szCs w:val="22"/>
        </w:rPr>
        <w:t xml:space="preserve"> </w:t>
      </w:r>
      <w:r w:rsidR="00407979" w:rsidRPr="00220850">
        <w:rPr>
          <w:rFonts w:eastAsia="TimesNewRoman"/>
          <w:sz w:val="22"/>
          <w:szCs w:val="22"/>
        </w:rPr>
        <w:t xml:space="preserve">funkcijos sutrikimo </w:t>
      </w:r>
      <w:r w:rsidR="0072519C" w:rsidRPr="00220850">
        <w:rPr>
          <w:rFonts w:eastAsia="TimesNewRoman"/>
          <w:sz w:val="22"/>
          <w:szCs w:val="22"/>
        </w:rPr>
        <w:t>arba</w:t>
      </w:r>
      <w:r w:rsidRPr="00220850">
        <w:rPr>
          <w:rFonts w:eastAsia="TimesNewRoman"/>
          <w:sz w:val="22"/>
          <w:szCs w:val="22"/>
        </w:rPr>
        <w:t xml:space="preserve"> nepakankamumo rizikos veiksnių. Inkstų </w:t>
      </w:r>
      <w:r w:rsidR="00407979" w:rsidRPr="00220850">
        <w:rPr>
          <w:rFonts w:eastAsia="TimesNewRoman"/>
          <w:sz w:val="22"/>
          <w:szCs w:val="22"/>
        </w:rPr>
        <w:t xml:space="preserve">funkcijos sutrikimo </w:t>
      </w:r>
      <w:r w:rsidR="0072519C" w:rsidRPr="00220850">
        <w:rPr>
          <w:rFonts w:eastAsia="TimesNewRoman"/>
          <w:sz w:val="22"/>
          <w:szCs w:val="22"/>
        </w:rPr>
        <w:t>arba</w:t>
      </w:r>
      <w:r w:rsidRPr="00220850">
        <w:rPr>
          <w:rFonts w:eastAsia="TimesNewRoman"/>
          <w:sz w:val="22"/>
          <w:szCs w:val="22"/>
        </w:rPr>
        <w:t xml:space="preserve"> nepakankamumo atvejais reikia</w:t>
      </w:r>
      <w:r w:rsidR="0072519C" w:rsidRPr="00220850">
        <w:rPr>
          <w:rFonts w:eastAsia="TimesNewRoman"/>
          <w:sz w:val="22"/>
          <w:szCs w:val="22"/>
        </w:rPr>
        <w:t xml:space="preserve"> </w:t>
      </w:r>
      <w:r w:rsidRPr="00220850">
        <w:rPr>
          <w:rFonts w:eastAsia="TimesNewRoman"/>
          <w:sz w:val="22"/>
          <w:szCs w:val="22"/>
        </w:rPr>
        <w:t xml:space="preserve">apsvarstyti gydymo koregavimo galimybes (žr. </w:t>
      </w:r>
      <w:r w:rsidR="00276D02" w:rsidRPr="00220850">
        <w:rPr>
          <w:rFonts w:eastAsia="TimesNewRoman"/>
          <w:sz w:val="22"/>
          <w:szCs w:val="22"/>
        </w:rPr>
        <w:t xml:space="preserve">4.2 skyrių </w:t>
      </w:r>
      <w:r w:rsidRPr="00220850">
        <w:rPr>
          <w:rFonts w:eastAsia="TimesNewRoman"/>
          <w:sz w:val="22"/>
          <w:szCs w:val="22"/>
        </w:rPr>
        <w:t>„Dozės koregavimas“).</w:t>
      </w:r>
    </w:p>
    <w:p w14:paraId="26101978" w14:textId="77777777" w:rsidR="0072519C" w:rsidRPr="00220850" w:rsidRDefault="0072519C" w:rsidP="0023629B">
      <w:pPr>
        <w:autoSpaceDE w:val="0"/>
        <w:autoSpaceDN w:val="0"/>
        <w:adjustRightInd w:val="0"/>
        <w:rPr>
          <w:rFonts w:eastAsia="TimesNewRoman"/>
          <w:sz w:val="22"/>
          <w:szCs w:val="22"/>
        </w:rPr>
      </w:pPr>
    </w:p>
    <w:p w14:paraId="52ADE51D" w14:textId="77777777" w:rsidR="0023629B" w:rsidRPr="00220850" w:rsidRDefault="0023629B" w:rsidP="0023629B">
      <w:pPr>
        <w:autoSpaceDE w:val="0"/>
        <w:autoSpaceDN w:val="0"/>
        <w:adjustRightInd w:val="0"/>
        <w:rPr>
          <w:rFonts w:eastAsia="TimesNewRoman"/>
          <w:sz w:val="22"/>
          <w:szCs w:val="22"/>
          <w:u w:val="single"/>
        </w:rPr>
      </w:pPr>
      <w:r w:rsidRPr="00220850">
        <w:rPr>
          <w:rFonts w:eastAsia="TimesNewRoman"/>
          <w:sz w:val="22"/>
          <w:szCs w:val="22"/>
          <w:u w:val="single"/>
        </w:rPr>
        <w:t>Kraujavimas</w:t>
      </w:r>
    </w:p>
    <w:p w14:paraId="743B5F2D" w14:textId="77777777" w:rsidR="0023629B" w:rsidRPr="00220850" w:rsidRDefault="003A4612" w:rsidP="0023629B">
      <w:pPr>
        <w:autoSpaceDE w:val="0"/>
        <w:autoSpaceDN w:val="0"/>
        <w:adjustRightInd w:val="0"/>
        <w:rPr>
          <w:rFonts w:eastAsia="TimesNewRoman"/>
          <w:sz w:val="22"/>
          <w:szCs w:val="22"/>
        </w:rPr>
      </w:pPr>
      <w:r w:rsidRPr="00220850">
        <w:rPr>
          <w:rFonts w:eastAsia="TimesNewRoman"/>
          <w:sz w:val="22"/>
          <w:szCs w:val="22"/>
        </w:rPr>
        <w:t>Su kraujavimo rizikos padidėjimu gali būti susijęs k</w:t>
      </w:r>
      <w:r w:rsidR="0023629B" w:rsidRPr="00220850">
        <w:rPr>
          <w:rFonts w:eastAsia="TimesNewRoman"/>
          <w:sz w:val="22"/>
          <w:szCs w:val="22"/>
        </w:rPr>
        <w:t xml:space="preserve">raujagyslių </w:t>
      </w:r>
      <w:proofErr w:type="spellStart"/>
      <w:r w:rsidR="0023629B" w:rsidRPr="00220850">
        <w:rPr>
          <w:rFonts w:eastAsia="TimesNewRoman"/>
          <w:sz w:val="22"/>
          <w:szCs w:val="22"/>
        </w:rPr>
        <w:t>endotelio</w:t>
      </w:r>
      <w:proofErr w:type="spellEnd"/>
      <w:r w:rsidR="0023629B" w:rsidRPr="00220850">
        <w:rPr>
          <w:rFonts w:eastAsia="TimesNewRoman"/>
          <w:sz w:val="22"/>
          <w:szCs w:val="22"/>
        </w:rPr>
        <w:t xml:space="preserve"> augimo faktoriaus receptorių (KEAFR) slopinimas</w:t>
      </w:r>
      <w:r w:rsidRPr="00220850">
        <w:rPr>
          <w:rFonts w:eastAsia="TimesNewRoman"/>
          <w:sz w:val="22"/>
          <w:szCs w:val="22"/>
        </w:rPr>
        <w:t>.</w:t>
      </w:r>
      <w:r w:rsidR="0023629B" w:rsidRPr="00220850">
        <w:rPr>
          <w:rFonts w:eastAsia="TimesNewRoman"/>
          <w:sz w:val="22"/>
          <w:szCs w:val="22"/>
        </w:rPr>
        <w:t xml:space="preserve"> </w:t>
      </w:r>
    </w:p>
    <w:p w14:paraId="24BF32CB" w14:textId="77777777" w:rsidR="0072519C" w:rsidRPr="00220850" w:rsidRDefault="0072519C" w:rsidP="0023629B">
      <w:pPr>
        <w:autoSpaceDE w:val="0"/>
        <w:autoSpaceDN w:val="0"/>
        <w:adjustRightInd w:val="0"/>
        <w:rPr>
          <w:rFonts w:eastAsia="TimesNewRoman"/>
          <w:sz w:val="22"/>
          <w:szCs w:val="22"/>
        </w:rPr>
      </w:pPr>
    </w:p>
    <w:p w14:paraId="560C4985" w14:textId="77777777" w:rsidR="0072519C" w:rsidRPr="00220850" w:rsidRDefault="0023629B" w:rsidP="0023629B">
      <w:pPr>
        <w:autoSpaceDE w:val="0"/>
        <w:autoSpaceDN w:val="0"/>
        <w:adjustRightInd w:val="0"/>
        <w:rPr>
          <w:rFonts w:eastAsia="TimesNewRoman"/>
          <w:sz w:val="22"/>
          <w:szCs w:val="22"/>
        </w:rPr>
      </w:pPr>
      <w:r w:rsidRPr="00220850">
        <w:rPr>
          <w:rFonts w:eastAsia="TimesNewRoman"/>
          <w:sz w:val="22"/>
          <w:szCs w:val="22"/>
        </w:rPr>
        <w:t>Pacientai, kuriems yra žinoma kraujavimo rizika, įskaitant pacientus, kuriems yra paveldėtas polinkis</w:t>
      </w:r>
      <w:r w:rsidR="0072519C" w:rsidRPr="00220850">
        <w:rPr>
          <w:rFonts w:eastAsia="TimesNewRoman"/>
          <w:sz w:val="22"/>
          <w:szCs w:val="22"/>
        </w:rPr>
        <w:t xml:space="preserve"> </w:t>
      </w:r>
      <w:r w:rsidRPr="00220850">
        <w:rPr>
          <w:rFonts w:eastAsia="TimesNewRoman"/>
          <w:sz w:val="22"/>
          <w:szCs w:val="22"/>
        </w:rPr>
        <w:t xml:space="preserve">kraujuoti, arba pacientai, kuriems taikomas </w:t>
      </w:r>
      <w:proofErr w:type="spellStart"/>
      <w:r w:rsidRPr="00220850">
        <w:rPr>
          <w:rFonts w:eastAsia="TimesNewRoman"/>
          <w:sz w:val="22"/>
          <w:szCs w:val="22"/>
        </w:rPr>
        <w:t>antikoaguliacinis</w:t>
      </w:r>
      <w:proofErr w:type="spellEnd"/>
      <w:r w:rsidRPr="00220850">
        <w:rPr>
          <w:rFonts w:eastAsia="TimesNewRoman"/>
          <w:sz w:val="22"/>
          <w:szCs w:val="22"/>
        </w:rPr>
        <w:t xml:space="preserve"> gydymas visa doze, nebuvo įtraukti į</w:t>
      </w:r>
      <w:r w:rsidR="0072519C" w:rsidRPr="00220850">
        <w:rPr>
          <w:rFonts w:eastAsia="TimesNewRoman"/>
          <w:sz w:val="22"/>
          <w:szCs w:val="22"/>
        </w:rPr>
        <w:t xml:space="preserve"> </w:t>
      </w:r>
      <w:r w:rsidRPr="00220850">
        <w:rPr>
          <w:rFonts w:eastAsia="TimesNewRoman"/>
          <w:sz w:val="22"/>
          <w:szCs w:val="22"/>
        </w:rPr>
        <w:t>klinikinius tyrimus. Vaistiniam preparatui patekus į rinką, gauta pranešimų apie nesunkius ir sunkius</w:t>
      </w:r>
      <w:r w:rsidR="0072519C" w:rsidRPr="00220850">
        <w:rPr>
          <w:rFonts w:eastAsia="TimesNewRoman"/>
          <w:sz w:val="22"/>
          <w:szCs w:val="22"/>
        </w:rPr>
        <w:t xml:space="preserve"> </w:t>
      </w:r>
      <w:r w:rsidRPr="00220850">
        <w:rPr>
          <w:rFonts w:eastAsia="TimesNewRoman"/>
          <w:sz w:val="22"/>
          <w:szCs w:val="22"/>
        </w:rPr>
        <w:t>kraujavimo atvejus, kurių kai kurie buvo mirtini (įskaitant pacientus, gydomus ar negydomus</w:t>
      </w:r>
      <w:r w:rsidR="0072519C" w:rsidRPr="00220850">
        <w:rPr>
          <w:rFonts w:eastAsia="TimesNewRoman"/>
          <w:sz w:val="22"/>
          <w:szCs w:val="22"/>
        </w:rPr>
        <w:t xml:space="preserve"> </w:t>
      </w:r>
      <w:r w:rsidRPr="00220850">
        <w:rPr>
          <w:rFonts w:eastAsia="TimesNewRoman"/>
          <w:sz w:val="22"/>
          <w:szCs w:val="22"/>
        </w:rPr>
        <w:t>antikoaguliantais ar kitais vaistiniais preparatais, galinčiais sukelti kraujavimą). Taigi šiuos pacientus</w:t>
      </w:r>
      <w:r w:rsidR="0072519C" w:rsidRPr="00220850">
        <w:rPr>
          <w:rFonts w:eastAsia="TimesNewRoman"/>
          <w:sz w:val="22"/>
          <w:szCs w:val="22"/>
        </w:rPr>
        <w:t xml:space="preserve">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galima gydyti tik tuo atveju, jei numatoma nauda </w:t>
      </w:r>
      <w:r w:rsidR="003A4612" w:rsidRPr="00220850">
        <w:rPr>
          <w:rFonts w:eastAsia="TimesNewRoman"/>
          <w:sz w:val="22"/>
          <w:szCs w:val="22"/>
        </w:rPr>
        <w:t>viršija</w:t>
      </w:r>
      <w:r w:rsidRPr="00220850">
        <w:rPr>
          <w:rFonts w:eastAsia="TimesNewRoman"/>
          <w:sz w:val="22"/>
          <w:szCs w:val="22"/>
        </w:rPr>
        <w:t xml:space="preserve"> galimą riziką.</w:t>
      </w:r>
      <w:r w:rsidR="0072519C" w:rsidRPr="00220850">
        <w:rPr>
          <w:rFonts w:eastAsia="TimesNewRoman"/>
          <w:sz w:val="22"/>
          <w:szCs w:val="22"/>
        </w:rPr>
        <w:t xml:space="preserve"> </w:t>
      </w:r>
    </w:p>
    <w:p w14:paraId="306D60DD" w14:textId="77777777" w:rsidR="0072519C" w:rsidRPr="00220850" w:rsidRDefault="0072519C" w:rsidP="0023629B">
      <w:pPr>
        <w:autoSpaceDE w:val="0"/>
        <w:autoSpaceDN w:val="0"/>
        <w:adjustRightInd w:val="0"/>
        <w:rPr>
          <w:rFonts w:eastAsia="TimesNewRoman"/>
          <w:sz w:val="22"/>
          <w:szCs w:val="22"/>
        </w:rPr>
      </w:pPr>
    </w:p>
    <w:p w14:paraId="6F29C730" w14:textId="77777777" w:rsidR="0023629B" w:rsidRPr="00220850" w:rsidRDefault="0023629B" w:rsidP="0023629B">
      <w:pPr>
        <w:autoSpaceDE w:val="0"/>
        <w:autoSpaceDN w:val="0"/>
        <w:adjustRightInd w:val="0"/>
        <w:rPr>
          <w:rFonts w:eastAsia="TimesNewRoman"/>
          <w:sz w:val="22"/>
          <w:szCs w:val="22"/>
          <w:u w:val="single"/>
        </w:rPr>
      </w:pPr>
      <w:r w:rsidRPr="00220850">
        <w:rPr>
          <w:rFonts w:eastAsia="TimesNewRoman"/>
          <w:sz w:val="22"/>
          <w:szCs w:val="22"/>
          <w:u w:val="single"/>
        </w:rPr>
        <w:t xml:space="preserve">Arterijų </w:t>
      </w:r>
      <w:proofErr w:type="spellStart"/>
      <w:r w:rsidRPr="00220850">
        <w:rPr>
          <w:rFonts w:eastAsia="TimesNewRoman"/>
          <w:sz w:val="22"/>
          <w:szCs w:val="22"/>
          <w:u w:val="single"/>
        </w:rPr>
        <w:t>tromboemboliniai</w:t>
      </w:r>
      <w:proofErr w:type="spellEnd"/>
      <w:r w:rsidRPr="00220850">
        <w:rPr>
          <w:rFonts w:eastAsia="TimesNewRoman"/>
          <w:sz w:val="22"/>
          <w:szCs w:val="22"/>
          <w:u w:val="single"/>
        </w:rPr>
        <w:t xml:space="preserve"> reiškiniai</w:t>
      </w:r>
    </w:p>
    <w:p w14:paraId="30CB7287" w14:textId="77777777" w:rsidR="0023629B" w:rsidRPr="00220850" w:rsidRDefault="0023629B" w:rsidP="0023629B">
      <w:pPr>
        <w:autoSpaceDE w:val="0"/>
        <w:autoSpaceDN w:val="0"/>
        <w:adjustRightInd w:val="0"/>
        <w:rPr>
          <w:rFonts w:eastAsia="TimesNewRoman"/>
          <w:sz w:val="22"/>
          <w:szCs w:val="22"/>
        </w:rPr>
      </w:pPr>
      <w:r w:rsidRPr="00220850">
        <w:rPr>
          <w:rFonts w:eastAsia="TimesNewRoman"/>
          <w:sz w:val="22"/>
          <w:szCs w:val="22"/>
        </w:rPr>
        <w:t>Pacientai, kuriuos neseniai buvo ištikęs miokardo infarktas ar smegenų insultas, į klinikinius tyrimus</w:t>
      </w:r>
      <w:r w:rsidR="00421585" w:rsidRPr="00220850">
        <w:rPr>
          <w:rFonts w:eastAsia="TimesNewRoman"/>
          <w:sz w:val="22"/>
          <w:szCs w:val="22"/>
        </w:rPr>
        <w:t xml:space="preserve"> </w:t>
      </w:r>
      <w:r w:rsidRPr="00220850">
        <w:rPr>
          <w:rFonts w:eastAsia="TimesNewRoman"/>
          <w:sz w:val="22"/>
          <w:szCs w:val="22"/>
        </w:rPr>
        <w:t>įtraukti</w:t>
      </w:r>
      <w:r w:rsidR="00421585" w:rsidRPr="00220850">
        <w:rPr>
          <w:rFonts w:eastAsia="TimesNewRoman"/>
          <w:sz w:val="22"/>
          <w:szCs w:val="22"/>
        </w:rPr>
        <w:t xml:space="preserve"> nebuvo</w:t>
      </w:r>
      <w:r w:rsidRPr="00220850">
        <w:rPr>
          <w:rFonts w:eastAsia="TimesNewRoman"/>
          <w:sz w:val="22"/>
          <w:szCs w:val="22"/>
        </w:rPr>
        <w:t>.</w:t>
      </w:r>
      <w:r w:rsidR="00421585" w:rsidRPr="00220850">
        <w:rPr>
          <w:rFonts w:eastAsia="TimesNewRoman"/>
          <w:sz w:val="22"/>
          <w:szCs w:val="22"/>
        </w:rPr>
        <w:t xml:space="preserve"> </w:t>
      </w:r>
      <w:r w:rsidRPr="00220850">
        <w:rPr>
          <w:rFonts w:eastAsia="TimesNewRoman"/>
          <w:sz w:val="22"/>
          <w:szCs w:val="22"/>
        </w:rPr>
        <w:t xml:space="preserve">Klinikinių tyrimų su suaugusiais pacientais metu arterijų </w:t>
      </w:r>
      <w:proofErr w:type="spellStart"/>
      <w:r w:rsidRPr="00220850">
        <w:rPr>
          <w:rFonts w:eastAsia="TimesNewRoman"/>
          <w:sz w:val="22"/>
          <w:szCs w:val="22"/>
        </w:rPr>
        <w:t>tromboemboliniai</w:t>
      </w:r>
      <w:proofErr w:type="spellEnd"/>
      <w:r w:rsidRPr="00220850">
        <w:rPr>
          <w:rFonts w:eastAsia="TimesNewRoman"/>
          <w:sz w:val="22"/>
          <w:szCs w:val="22"/>
        </w:rPr>
        <w:t xml:space="preserve"> reiškiniai buvo nedažni</w:t>
      </w:r>
      <w:r w:rsidR="00421585" w:rsidRPr="00220850">
        <w:rPr>
          <w:rFonts w:eastAsia="TimesNewRoman"/>
          <w:sz w:val="22"/>
          <w:szCs w:val="22"/>
        </w:rPr>
        <w:t xml:space="preserve"> </w:t>
      </w:r>
      <w:r w:rsidRPr="00220850">
        <w:rPr>
          <w:rFonts w:eastAsia="TimesNewRoman"/>
          <w:sz w:val="22"/>
          <w:szCs w:val="22"/>
        </w:rPr>
        <w:t>(</w:t>
      </w:r>
      <w:proofErr w:type="spellStart"/>
      <w:r w:rsidR="00421585" w:rsidRPr="00220850">
        <w:rPr>
          <w:rFonts w:eastAsia="TimesNewRoman"/>
          <w:sz w:val="22"/>
          <w:szCs w:val="22"/>
        </w:rPr>
        <w:t>n</w:t>
      </w:r>
      <w:r w:rsidRPr="00220850">
        <w:rPr>
          <w:rFonts w:eastAsia="TimesNewRoman"/>
          <w:sz w:val="22"/>
          <w:szCs w:val="22"/>
        </w:rPr>
        <w:t>intedanib</w:t>
      </w:r>
      <w:r w:rsidR="00421585" w:rsidRPr="00220850">
        <w:rPr>
          <w:rFonts w:eastAsia="TimesNewRoman"/>
          <w:sz w:val="22"/>
          <w:szCs w:val="22"/>
        </w:rPr>
        <w:t>o</w:t>
      </w:r>
      <w:proofErr w:type="spellEnd"/>
      <w:r w:rsidR="00421585" w:rsidRPr="00220850">
        <w:rPr>
          <w:rFonts w:eastAsia="TimesNewRoman"/>
          <w:sz w:val="22"/>
          <w:szCs w:val="22"/>
        </w:rPr>
        <w:t xml:space="preserve"> 2,5 %, palyginti su placebo 0,7 </w:t>
      </w:r>
      <w:r w:rsidRPr="00220850">
        <w:rPr>
          <w:rFonts w:eastAsia="TimesNewRoman"/>
          <w:sz w:val="22"/>
          <w:szCs w:val="22"/>
        </w:rPr>
        <w:t xml:space="preserve">%, INPULSIS tyrime; </w:t>
      </w:r>
      <w:proofErr w:type="spellStart"/>
      <w:r w:rsidR="00421585" w:rsidRPr="00220850">
        <w:rPr>
          <w:rFonts w:eastAsia="TimesNewRoman"/>
          <w:sz w:val="22"/>
          <w:szCs w:val="22"/>
        </w:rPr>
        <w:t>nintedanibo</w:t>
      </w:r>
      <w:proofErr w:type="spellEnd"/>
      <w:r w:rsidR="00421585" w:rsidRPr="00220850">
        <w:rPr>
          <w:rFonts w:eastAsia="TimesNewRoman"/>
          <w:sz w:val="22"/>
          <w:szCs w:val="22"/>
        </w:rPr>
        <w:t xml:space="preserve"> 0,9 </w:t>
      </w:r>
      <w:r w:rsidRPr="00220850">
        <w:rPr>
          <w:rFonts w:eastAsia="TimesNewRoman"/>
          <w:sz w:val="22"/>
          <w:szCs w:val="22"/>
        </w:rPr>
        <w:t xml:space="preserve">%, palyginti su </w:t>
      </w:r>
      <w:r w:rsidR="00421585" w:rsidRPr="00220850">
        <w:rPr>
          <w:rFonts w:eastAsia="TimesNewRoman"/>
          <w:sz w:val="22"/>
          <w:szCs w:val="22"/>
        </w:rPr>
        <w:t>placebo 0,9 </w:t>
      </w:r>
      <w:r w:rsidRPr="00220850">
        <w:rPr>
          <w:rFonts w:eastAsia="TimesNewRoman"/>
          <w:sz w:val="22"/>
          <w:szCs w:val="22"/>
        </w:rPr>
        <w:t>%,</w:t>
      </w:r>
      <w:r w:rsidR="00421585" w:rsidRPr="00220850">
        <w:rPr>
          <w:rFonts w:eastAsia="TimesNewRoman"/>
          <w:sz w:val="22"/>
          <w:szCs w:val="22"/>
        </w:rPr>
        <w:t xml:space="preserve"> </w:t>
      </w:r>
      <w:r w:rsidRPr="00220850">
        <w:rPr>
          <w:rFonts w:eastAsia="TimesNewRoman"/>
          <w:sz w:val="22"/>
          <w:szCs w:val="22"/>
        </w:rPr>
        <w:t xml:space="preserve">INBUILD tyrime; </w:t>
      </w:r>
      <w:proofErr w:type="spellStart"/>
      <w:r w:rsidR="00421585" w:rsidRPr="00220850">
        <w:rPr>
          <w:rFonts w:eastAsia="TimesNewRoman"/>
          <w:sz w:val="22"/>
          <w:szCs w:val="22"/>
        </w:rPr>
        <w:t>nintedanibo</w:t>
      </w:r>
      <w:proofErr w:type="spellEnd"/>
      <w:r w:rsidR="00421585" w:rsidRPr="00220850">
        <w:rPr>
          <w:rFonts w:eastAsia="TimesNewRoman"/>
          <w:sz w:val="22"/>
          <w:szCs w:val="22"/>
        </w:rPr>
        <w:t xml:space="preserve"> 0,7 %, palyginti su placebo 0,7 </w:t>
      </w:r>
      <w:r w:rsidRPr="00220850">
        <w:rPr>
          <w:rFonts w:eastAsia="TimesNewRoman"/>
          <w:sz w:val="22"/>
          <w:szCs w:val="22"/>
        </w:rPr>
        <w:t>%, SENSCIS tyrime). INPULSIS tyrimuose</w:t>
      </w:r>
      <w:r w:rsidR="00421585" w:rsidRPr="00220850">
        <w:rPr>
          <w:rFonts w:eastAsia="TimesNewRoman"/>
          <w:sz w:val="22"/>
          <w:szCs w:val="22"/>
        </w:rPr>
        <w:t xml:space="preserve"> </w:t>
      </w:r>
      <w:r w:rsidRPr="00220850">
        <w:rPr>
          <w:rFonts w:eastAsia="TimesNewRoman"/>
          <w:sz w:val="22"/>
          <w:szCs w:val="22"/>
        </w:rPr>
        <w:t xml:space="preserve">miokardo infarktą didesnė procentinė dalis pacientų patyrė </w:t>
      </w:r>
      <w:proofErr w:type="spellStart"/>
      <w:r w:rsidR="00421585" w:rsidRPr="00220850">
        <w:rPr>
          <w:rFonts w:eastAsia="TimesNewRoman"/>
          <w:sz w:val="22"/>
          <w:szCs w:val="22"/>
        </w:rPr>
        <w:t>n</w:t>
      </w:r>
      <w:r w:rsidRPr="00220850">
        <w:rPr>
          <w:rFonts w:eastAsia="TimesNewRoman"/>
          <w:sz w:val="22"/>
          <w:szCs w:val="22"/>
        </w:rPr>
        <w:t>intedanib</w:t>
      </w:r>
      <w:r w:rsidR="00421585" w:rsidRPr="00220850">
        <w:rPr>
          <w:rFonts w:eastAsia="TimesNewRoman"/>
          <w:sz w:val="22"/>
          <w:szCs w:val="22"/>
        </w:rPr>
        <w:t>o</w:t>
      </w:r>
      <w:proofErr w:type="spellEnd"/>
      <w:r w:rsidRPr="00220850">
        <w:rPr>
          <w:rFonts w:eastAsia="TimesNewRoman"/>
          <w:sz w:val="22"/>
          <w:szCs w:val="22"/>
        </w:rPr>
        <w:t xml:space="preserve"> grupė</w:t>
      </w:r>
      <w:r w:rsidR="00421585" w:rsidRPr="00220850">
        <w:rPr>
          <w:rFonts w:eastAsia="TimesNewRoman"/>
          <w:sz w:val="22"/>
          <w:szCs w:val="22"/>
        </w:rPr>
        <w:t>je (1,6 </w:t>
      </w:r>
      <w:r w:rsidRPr="00220850">
        <w:rPr>
          <w:rFonts w:eastAsia="TimesNewRoman"/>
          <w:sz w:val="22"/>
          <w:szCs w:val="22"/>
        </w:rPr>
        <w:t>%), palyginti su placebo</w:t>
      </w:r>
      <w:r w:rsidR="00421585" w:rsidRPr="00220850">
        <w:rPr>
          <w:rFonts w:eastAsia="TimesNewRoman"/>
          <w:sz w:val="22"/>
          <w:szCs w:val="22"/>
        </w:rPr>
        <w:t xml:space="preserve"> </w:t>
      </w:r>
      <w:r w:rsidRPr="00220850">
        <w:rPr>
          <w:rFonts w:eastAsia="TimesNewRoman"/>
          <w:sz w:val="22"/>
          <w:szCs w:val="22"/>
        </w:rPr>
        <w:t>grupe (0,5</w:t>
      </w:r>
      <w:r w:rsidR="00421585" w:rsidRPr="00220850">
        <w:rPr>
          <w:rFonts w:eastAsia="TimesNewRoman"/>
          <w:sz w:val="22"/>
          <w:szCs w:val="22"/>
        </w:rPr>
        <w:t> </w:t>
      </w:r>
      <w:r w:rsidRPr="00220850">
        <w:rPr>
          <w:rFonts w:eastAsia="TimesNewRoman"/>
          <w:sz w:val="22"/>
          <w:szCs w:val="22"/>
        </w:rPr>
        <w:t xml:space="preserve">%), nors išeminę širdies ligą atspindintys nepageidaujami reiškiniai </w:t>
      </w:r>
      <w:r w:rsidR="00421585" w:rsidRPr="00220850">
        <w:rPr>
          <w:rFonts w:eastAsia="TimesNewRoman"/>
          <w:sz w:val="22"/>
          <w:szCs w:val="22"/>
        </w:rPr>
        <w:t xml:space="preserve">tarp </w:t>
      </w:r>
      <w:proofErr w:type="spellStart"/>
      <w:r w:rsidR="00421585" w:rsidRPr="00220850">
        <w:rPr>
          <w:rFonts w:eastAsia="TimesNewRoman"/>
          <w:sz w:val="22"/>
          <w:szCs w:val="22"/>
        </w:rPr>
        <w:t>n</w:t>
      </w:r>
      <w:r w:rsidRPr="00220850">
        <w:rPr>
          <w:rFonts w:eastAsia="TimesNewRoman"/>
          <w:sz w:val="22"/>
          <w:szCs w:val="22"/>
        </w:rPr>
        <w:t>intedanib</w:t>
      </w:r>
      <w:r w:rsidR="00421585" w:rsidRPr="00220850">
        <w:rPr>
          <w:rFonts w:eastAsia="TimesNewRoman"/>
          <w:sz w:val="22"/>
          <w:szCs w:val="22"/>
        </w:rPr>
        <w:t>u</w:t>
      </w:r>
      <w:proofErr w:type="spellEnd"/>
      <w:r w:rsidRPr="00220850">
        <w:rPr>
          <w:rFonts w:eastAsia="TimesNewRoman"/>
          <w:sz w:val="22"/>
          <w:szCs w:val="22"/>
        </w:rPr>
        <w:t xml:space="preserve"> ar placeb</w:t>
      </w:r>
      <w:r w:rsidR="00421585" w:rsidRPr="00220850">
        <w:rPr>
          <w:rFonts w:eastAsia="TimesNewRoman"/>
          <w:sz w:val="22"/>
          <w:szCs w:val="22"/>
        </w:rPr>
        <w:t xml:space="preserve">u </w:t>
      </w:r>
      <w:r w:rsidRPr="00220850">
        <w:rPr>
          <w:rFonts w:eastAsia="TimesNewRoman"/>
          <w:sz w:val="22"/>
          <w:szCs w:val="22"/>
        </w:rPr>
        <w:t>gydyt</w:t>
      </w:r>
      <w:r w:rsidR="00421585" w:rsidRPr="00220850">
        <w:rPr>
          <w:rFonts w:eastAsia="TimesNewRoman"/>
          <w:sz w:val="22"/>
          <w:szCs w:val="22"/>
        </w:rPr>
        <w:t xml:space="preserve">ų </w:t>
      </w:r>
      <w:r w:rsidRPr="00220850">
        <w:rPr>
          <w:rFonts w:eastAsia="TimesNewRoman"/>
          <w:sz w:val="22"/>
          <w:szCs w:val="22"/>
        </w:rPr>
        <w:t>grup</w:t>
      </w:r>
      <w:r w:rsidR="00421585" w:rsidRPr="00220850">
        <w:rPr>
          <w:rFonts w:eastAsia="TimesNewRoman"/>
          <w:sz w:val="22"/>
          <w:szCs w:val="22"/>
        </w:rPr>
        <w:t>ių</w:t>
      </w:r>
      <w:r w:rsidRPr="00220850">
        <w:rPr>
          <w:rFonts w:eastAsia="TimesNewRoman"/>
          <w:sz w:val="22"/>
          <w:szCs w:val="22"/>
        </w:rPr>
        <w:t xml:space="preserve"> buvo subalansuoti. Miokardo infarkto dažnis INBUILD tyrime buvo mažas: </w:t>
      </w:r>
      <w:proofErr w:type="spellStart"/>
      <w:r w:rsidR="00421585" w:rsidRPr="00220850">
        <w:rPr>
          <w:rFonts w:eastAsia="TimesNewRoman"/>
          <w:sz w:val="22"/>
          <w:szCs w:val="22"/>
        </w:rPr>
        <w:t>n</w:t>
      </w:r>
      <w:r w:rsidRPr="00220850">
        <w:rPr>
          <w:rFonts w:eastAsia="TimesNewRoman"/>
          <w:sz w:val="22"/>
          <w:szCs w:val="22"/>
        </w:rPr>
        <w:t>intedanib</w:t>
      </w:r>
      <w:r w:rsidR="00421585" w:rsidRPr="00220850">
        <w:rPr>
          <w:rFonts w:eastAsia="TimesNewRoman"/>
          <w:sz w:val="22"/>
          <w:szCs w:val="22"/>
        </w:rPr>
        <w:t>o</w:t>
      </w:r>
      <w:proofErr w:type="spellEnd"/>
      <w:r w:rsidR="00421585" w:rsidRPr="00220850">
        <w:rPr>
          <w:rFonts w:eastAsia="TimesNewRoman"/>
          <w:sz w:val="22"/>
          <w:szCs w:val="22"/>
        </w:rPr>
        <w:t xml:space="preserve"> </w:t>
      </w:r>
      <w:r w:rsidRPr="00220850">
        <w:rPr>
          <w:rFonts w:eastAsia="TimesNewRoman"/>
          <w:sz w:val="22"/>
          <w:szCs w:val="22"/>
        </w:rPr>
        <w:t>0</w:t>
      </w:r>
      <w:r w:rsidR="00421585" w:rsidRPr="00220850">
        <w:rPr>
          <w:rFonts w:eastAsia="TimesNewRoman"/>
          <w:sz w:val="22"/>
          <w:szCs w:val="22"/>
        </w:rPr>
        <w:t>,9 </w:t>
      </w:r>
      <w:r w:rsidRPr="00220850">
        <w:rPr>
          <w:rFonts w:eastAsia="TimesNewRoman"/>
          <w:sz w:val="22"/>
          <w:szCs w:val="22"/>
        </w:rPr>
        <w:t>%, palyginti su placebo 0,9</w:t>
      </w:r>
      <w:r w:rsidR="00421585" w:rsidRPr="00220850">
        <w:rPr>
          <w:rFonts w:eastAsia="TimesNewRoman"/>
          <w:sz w:val="22"/>
          <w:szCs w:val="22"/>
        </w:rPr>
        <w:t> </w:t>
      </w:r>
      <w:r w:rsidRPr="00220850">
        <w:rPr>
          <w:rFonts w:eastAsia="TimesNewRoman"/>
          <w:sz w:val="22"/>
          <w:szCs w:val="22"/>
        </w:rPr>
        <w:t>%. SENSCIS tyrimo metu miokardo infarkto dažnis placebo grupėje</w:t>
      </w:r>
      <w:r w:rsidR="00421585" w:rsidRPr="00220850">
        <w:rPr>
          <w:rFonts w:eastAsia="TimesNewRoman"/>
          <w:sz w:val="22"/>
          <w:szCs w:val="22"/>
        </w:rPr>
        <w:t xml:space="preserve"> </w:t>
      </w:r>
      <w:r w:rsidRPr="00220850">
        <w:rPr>
          <w:rFonts w:eastAsia="TimesNewRoman"/>
          <w:sz w:val="22"/>
          <w:szCs w:val="22"/>
        </w:rPr>
        <w:t>buvo ž</w:t>
      </w:r>
      <w:r w:rsidR="00421585" w:rsidRPr="00220850">
        <w:rPr>
          <w:rFonts w:eastAsia="TimesNewRoman"/>
          <w:sz w:val="22"/>
          <w:szCs w:val="22"/>
        </w:rPr>
        <w:t>emas (0,7 </w:t>
      </w:r>
      <w:r w:rsidRPr="00220850">
        <w:rPr>
          <w:rFonts w:eastAsia="TimesNewRoman"/>
          <w:sz w:val="22"/>
          <w:szCs w:val="22"/>
        </w:rPr>
        <w:t xml:space="preserve">%), o </w:t>
      </w:r>
      <w:proofErr w:type="spellStart"/>
      <w:r w:rsidR="00421585" w:rsidRPr="00220850">
        <w:rPr>
          <w:rFonts w:eastAsia="TimesNewRoman"/>
          <w:sz w:val="22"/>
          <w:szCs w:val="22"/>
        </w:rPr>
        <w:t>n</w:t>
      </w:r>
      <w:r w:rsidRPr="00220850">
        <w:rPr>
          <w:rFonts w:eastAsia="TimesNewRoman"/>
          <w:sz w:val="22"/>
          <w:szCs w:val="22"/>
        </w:rPr>
        <w:t>intedanib</w:t>
      </w:r>
      <w:r w:rsidR="00421585" w:rsidRPr="00220850">
        <w:rPr>
          <w:rFonts w:eastAsia="TimesNewRoman"/>
          <w:sz w:val="22"/>
          <w:szCs w:val="22"/>
        </w:rPr>
        <w:t>o</w:t>
      </w:r>
      <w:proofErr w:type="spellEnd"/>
      <w:r w:rsidR="00421585" w:rsidRPr="00220850">
        <w:rPr>
          <w:rFonts w:eastAsia="TimesNewRoman"/>
          <w:sz w:val="22"/>
          <w:szCs w:val="22"/>
        </w:rPr>
        <w:t xml:space="preserve"> </w:t>
      </w:r>
      <w:r w:rsidRPr="00220850">
        <w:rPr>
          <w:rFonts w:eastAsia="TimesNewRoman"/>
          <w:sz w:val="22"/>
          <w:szCs w:val="22"/>
        </w:rPr>
        <w:t>grupėje nebuvo stebėtas.</w:t>
      </w:r>
    </w:p>
    <w:p w14:paraId="07F562B6" w14:textId="7EFDCEAE" w:rsidR="0023629B" w:rsidRPr="00220850" w:rsidRDefault="0023629B" w:rsidP="0023629B">
      <w:pPr>
        <w:autoSpaceDE w:val="0"/>
        <w:autoSpaceDN w:val="0"/>
        <w:adjustRightInd w:val="0"/>
        <w:rPr>
          <w:rFonts w:eastAsia="TimesNewRoman"/>
          <w:sz w:val="22"/>
          <w:szCs w:val="22"/>
        </w:rPr>
      </w:pPr>
      <w:r w:rsidRPr="00220850">
        <w:rPr>
          <w:rFonts w:eastAsia="TimesNewRoman"/>
          <w:sz w:val="22"/>
          <w:szCs w:val="22"/>
        </w:rPr>
        <w:t>Pacientus, kuriems rizika širdies ir kraujagyslių sistemai, įskaitant sergančius širdies vainikinių arterijų</w:t>
      </w:r>
      <w:r w:rsidR="00421585" w:rsidRPr="00220850">
        <w:rPr>
          <w:rFonts w:eastAsia="TimesNewRoman"/>
          <w:sz w:val="22"/>
          <w:szCs w:val="22"/>
        </w:rPr>
        <w:t xml:space="preserve"> </w:t>
      </w:r>
      <w:r w:rsidRPr="00220850">
        <w:rPr>
          <w:rFonts w:eastAsia="TimesNewRoman"/>
          <w:sz w:val="22"/>
          <w:szCs w:val="22"/>
        </w:rPr>
        <w:t>liga, yra didesnė, reikia gydyti atsargiai. Pacientams, kuriems atsiranda ūminės miokardo išemijos</w:t>
      </w:r>
      <w:r w:rsidR="00421585" w:rsidRPr="00220850">
        <w:rPr>
          <w:rFonts w:eastAsia="TimesNewRoman"/>
          <w:sz w:val="22"/>
          <w:szCs w:val="22"/>
        </w:rPr>
        <w:t xml:space="preserve"> </w:t>
      </w:r>
      <w:r w:rsidRPr="00220850">
        <w:rPr>
          <w:rFonts w:eastAsia="TimesNewRoman"/>
          <w:sz w:val="22"/>
          <w:szCs w:val="22"/>
        </w:rPr>
        <w:t xml:space="preserve">požymių ar simptomų, turi būti apsvarstytas gydymo </w:t>
      </w:r>
      <w:r w:rsidR="004B1282" w:rsidRPr="00220850">
        <w:rPr>
          <w:rFonts w:eastAsia="TimesNewRoman"/>
          <w:sz w:val="22"/>
          <w:szCs w:val="22"/>
        </w:rPr>
        <w:t>nutraukimas</w:t>
      </w:r>
      <w:r w:rsidRPr="00220850">
        <w:rPr>
          <w:rFonts w:eastAsia="TimesNewRoman"/>
          <w:sz w:val="22"/>
          <w:szCs w:val="22"/>
        </w:rPr>
        <w:t>.</w:t>
      </w:r>
    </w:p>
    <w:p w14:paraId="6BD8A666" w14:textId="77777777" w:rsidR="00421585" w:rsidRPr="00220850" w:rsidRDefault="00421585" w:rsidP="0023629B">
      <w:pPr>
        <w:autoSpaceDE w:val="0"/>
        <w:autoSpaceDN w:val="0"/>
        <w:adjustRightInd w:val="0"/>
        <w:rPr>
          <w:rFonts w:eastAsia="TimesNewRoman"/>
          <w:sz w:val="22"/>
          <w:szCs w:val="22"/>
        </w:rPr>
      </w:pPr>
    </w:p>
    <w:p w14:paraId="71747F6D" w14:textId="77777777" w:rsidR="0023629B" w:rsidRPr="00220850" w:rsidRDefault="0023629B" w:rsidP="0023629B">
      <w:pPr>
        <w:autoSpaceDE w:val="0"/>
        <w:autoSpaceDN w:val="0"/>
        <w:adjustRightInd w:val="0"/>
        <w:rPr>
          <w:rFonts w:eastAsia="TimesNewRoman"/>
          <w:sz w:val="22"/>
          <w:szCs w:val="22"/>
          <w:u w:val="single"/>
        </w:rPr>
      </w:pPr>
      <w:r w:rsidRPr="00220850">
        <w:rPr>
          <w:rFonts w:eastAsia="TimesNewRoman"/>
          <w:sz w:val="22"/>
          <w:szCs w:val="22"/>
          <w:u w:val="single"/>
        </w:rPr>
        <w:t xml:space="preserve">Aneurizmos ir arterijų </w:t>
      </w:r>
      <w:proofErr w:type="spellStart"/>
      <w:r w:rsidRPr="00220850">
        <w:rPr>
          <w:rFonts w:eastAsia="TimesNewRoman"/>
          <w:sz w:val="22"/>
          <w:szCs w:val="22"/>
          <w:u w:val="single"/>
        </w:rPr>
        <w:t>disekacijos</w:t>
      </w:r>
      <w:proofErr w:type="spellEnd"/>
    </w:p>
    <w:p w14:paraId="1D4979DA" w14:textId="77777777" w:rsidR="0023629B" w:rsidRPr="00220850" w:rsidRDefault="0023629B" w:rsidP="0023629B">
      <w:pPr>
        <w:autoSpaceDE w:val="0"/>
        <w:autoSpaceDN w:val="0"/>
        <w:adjustRightInd w:val="0"/>
        <w:rPr>
          <w:rFonts w:eastAsia="TimesNewRoman"/>
          <w:sz w:val="22"/>
          <w:szCs w:val="22"/>
        </w:rPr>
      </w:pPr>
      <w:r w:rsidRPr="00220850">
        <w:rPr>
          <w:rFonts w:eastAsia="TimesNewRoman"/>
          <w:sz w:val="22"/>
          <w:szCs w:val="22"/>
        </w:rPr>
        <w:t>KEAF</w:t>
      </w:r>
      <w:r w:rsidR="003A4612" w:rsidRPr="00220850">
        <w:rPr>
          <w:rFonts w:eastAsia="TimesNewRoman"/>
          <w:sz w:val="22"/>
          <w:szCs w:val="22"/>
        </w:rPr>
        <w:t>R</w:t>
      </w:r>
      <w:r w:rsidRPr="00220850">
        <w:rPr>
          <w:rFonts w:eastAsia="TimesNewRoman"/>
          <w:sz w:val="22"/>
          <w:szCs w:val="22"/>
        </w:rPr>
        <w:t xml:space="preserve"> sekos inhibitorių vartojimas gali paskatinti aneurizmų ir (arba) arterijos </w:t>
      </w:r>
      <w:proofErr w:type="spellStart"/>
      <w:r w:rsidRPr="00220850">
        <w:rPr>
          <w:rFonts w:eastAsia="TimesNewRoman"/>
          <w:sz w:val="22"/>
          <w:szCs w:val="22"/>
        </w:rPr>
        <w:t>disekacijų</w:t>
      </w:r>
      <w:proofErr w:type="spellEnd"/>
      <w:r w:rsidR="00E53515" w:rsidRPr="00220850">
        <w:rPr>
          <w:rFonts w:eastAsia="TimesNewRoman"/>
          <w:sz w:val="22"/>
          <w:szCs w:val="22"/>
        </w:rPr>
        <w:t xml:space="preserve"> </w:t>
      </w:r>
      <w:r w:rsidRPr="00220850">
        <w:rPr>
          <w:rFonts w:eastAsia="TimesNewRoman"/>
          <w:sz w:val="22"/>
          <w:szCs w:val="22"/>
        </w:rPr>
        <w:t>vystymąsi pacientams, kuriems diagnozuota arba nediagnozuota hipertenzija. Prieš pradedant gydyti</w:t>
      </w:r>
      <w:r w:rsidR="003A4612" w:rsidRPr="00220850">
        <w:rPr>
          <w:rFonts w:eastAsia="TimesNewRoman"/>
          <w:sz w:val="22"/>
          <w:szCs w:val="22"/>
        </w:rPr>
        <w:t xml:space="preserve">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reikia atidžiai įvertinti šią riziką pacientams, kuriems nustatyta tokių rizikos veiksnių, kaip</w:t>
      </w:r>
      <w:r w:rsidR="00E53515" w:rsidRPr="00220850">
        <w:rPr>
          <w:rFonts w:eastAsia="TimesNewRoman"/>
          <w:sz w:val="22"/>
          <w:szCs w:val="22"/>
        </w:rPr>
        <w:t xml:space="preserve"> </w:t>
      </w:r>
      <w:r w:rsidRPr="00220850">
        <w:rPr>
          <w:rFonts w:eastAsia="TimesNewRoman"/>
          <w:sz w:val="22"/>
          <w:szCs w:val="22"/>
        </w:rPr>
        <w:t>hipertenzija arba anksčiau diagnozuota aortos aneurizma.</w:t>
      </w:r>
    </w:p>
    <w:p w14:paraId="26D46069" w14:textId="77777777" w:rsidR="00E53515" w:rsidRPr="00220850" w:rsidRDefault="00E53515" w:rsidP="0023629B">
      <w:pPr>
        <w:autoSpaceDE w:val="0"/>
        <w:autoSpaceDN w:val="0"/>
        <w:adjustRightInd w:val="0"/>
        <w:rPr>
          <w:rFonts w:eastAsia="TimesNewRoman"/>
          <w:sz w:val="22"/>
          <w:szCs w:val="22"/>
        </w:rPr>
      </w:pPr>
    </w:p>
    <w:p w14:paraId="3C83692C" w14:textId="77777777" w:rsidR="0023629B" w:rsidRPr="00220850" w:rsidRDefault="0023629B" w:rsidP="0023629B">
      <w:pPr>
        <w:autoSpaceDE w:val="0"/>
        <w:autoSpaceDN w:val="0"/>
        <w:adjustRightInd w:val="0"/>
        <w:rPr>
          <w:rFonts w:eastAsia="TimesNewRoman"/>
          <w:sz w:val="22"/>
          <w:szCs w:val="22"/>
          <w:u w:val="single"/>
        </w:rPr>
      </w:pPr>
      <w:r w:rsidRPr="00220850">
        <w:rPr>
          <w:rFonts w:eastAsia="TimesNewRoman"/>
          <w:sz w:val="22"/>
          <w:szCs w:val="22"/>
          <w:u w:val="single"/>
        </w:rPr>
        <w:t>Venų tromboembolija</w:t>
      </w:r>
    </w:p>
    <w:p w14:paraId="18668C56" w14:textId="4842F573" w:rsidR="0023629B" w:rsidRPr="00220850" w:rsidRDefault="0023629B" w:rsidP="0023629B">
      <w:pPr>
        <w:autoSpaceDE w:val="0"/>
        <w:autoSpaceDN w:val="0"/>
        <w:adjustRightInd w:val="0"/>
        <w:rPr>
          <w:rFonts w:eastAsia="TimesNewRoman"/>
          <w:sz w:val="22"/>
          <w:szCs w:val="22"/>
        </w:rPr>
      </w:pPr>
      <w:r w:rsidRPr="00220850">
        <w:rPr>
          <w:rFonts w:eastAsia="TimesNewRoman"/>
          <w:sz w:val="22"/>
          <w:szCs w:val="22"/>
        </w:rPr>
        <w:lastRenderedPageBreak/>
        <w:t xml:space="preserve">Klinikinių tyrimų metu venų tromboembolijos rizikos padidėjimo </w:t>
      </w:r>
      <w:proofErr w:type="spellStart"/>
      <w:r w:rsidRPr="00220850">
        <w:rPr>
          <w:rFonts w:eastAsia="TimesNewRoman"/>
          <w:sz w:val="22"/>
          <w:szCs w:val="22"/>
        </w:rPr>
        <w:t>nintedanibu</w:t>
      </w:r>
      <w:proofErr w:type="spellEnd"/>
      <w:r w:rsidRPr="00220850">
        <w:rPr>
          <w:rFonts w:eastAsia="TimesNewRoman"/>
          <w:sz w:val="22"/>
          <w:szCs w:val="22"/>
        </w:rPr>
        <w:t xml:space="preserve"> gydytiems pacientams</w:t>
      </w:r>
      <w:r w:rsidR="00E53515" w:rsidRPr="00220850">
        <w:rPr>
          <w:rFonts w:eastAsia="TimesNewRoman"/>
          <w:sz w:val="22"/>
          <w:szCs w:val="22"/>
        </w:rPr>
        <w:t xml:space="preserve"> </w:t>
      </w:r>
      <w:r w:rsidRPr="00220850">
        <w:rPr>
          <w:rFonts w:eastAsia="TimesNewRoman"/>
          <w:sz w:val="22"/>
          <w:szCs w:val="22"/>
        </w:rPr>
        <w:t xml:space="preserve">nestebėta. Dėl </w:t>
      </w:r>
      <w:proofErr w:type="spellStart"/>
      <w:r w:rsidRPr="00220850">
        <w:rPr>
          <w:rFonts w:eastAsia="TimesNewRoman"/>
          <w:sz w:val="22"/>
          <w:szCs w:val="22"/>
        </w:rPr>
        <w:t>nintedanibo</w:t>
      </w:r>
      <w:proofErr w:type="spellEnd"/>
      <w:r w:rsidRPr="00220850">
        <w:rPr>
          <w:rFonts w:eastAsia="TimesNewRoman"/>
          <w:sz w:val="22"/>
          <w:szCs w:val="22"/>
        </w:rPr>
        <w:t xml:space="preserve"> veikimo mechanizmo pacientams </w:t>
      </w:r>
      <w:proofErr w:type="spellStart"/>
      <w:r w:rsidRPr="00220850">
        <w:rPr>
          <w:rFonts w:eastAsia="TimesNewRoman"/>
          <w:sz w:val="22"/>
          <w:szCs w:val="22"/>
        </w:rPr>
        <w:t>tromboembolinių</w:t>
      </w:r>
      <w:proofErr w:type="spellEnd"/>
      <w:r w:rsidRPr="00220850">
        <w:rPr>
          <w:rFonts w:eastAsia="TimesNewRoman"/>
          <w:sz w:val="22"/>
          <w:szCs w:val="22"/>
        </w:rPr>
        <w:t xml:space="preserve"> reiškinių rizika gal</w:t>
      </w:r>
      <w:r w:rsidR="00905303" w:rsidRPr="00220850">
        <w:rPr>
          <w:rFonts w:eastAsia="TimesNewRoman"/>
          <w:sz w:val="22"/>
          <w:szCs w:val="22"/>
        </w:rPr>
        <w:t>i</w:t>
      </w:r>
      <w:r w:rsidR="00E53515" w:rsidRPr="00220850">
        <w:rPr>
          <w:rFonts w:eastAsia="TimesNewRoman"/>
          <w:sz w:val="22"/>
          <w:szCs w:val="22"/>
        </w:rPr>
        <w:t xml:space="preserve"> </w:t>
      </w:r>
      <w:r w:rsidRPr="00220850">
        <w:rPr>
          <w:rFonts w:eastAsia="TimesNewRoman"/>
          <w:sz w:val="22"/>
          <w:szCs w:val="22"/>
        </w:rPr>
        <w:t>būti padidėjusi.</w:t>
      </w:r>
    </w:p>
    <w:p w14:paraId="3122806E" w14:textId="77777777" w:rsidR="00E53515" w:rsidRPr="00220850" w:rsidRDefault="00E53515" w:rsidP="0023629B">
      <w:pPr>
        <w:autoSpaceDE w:val="0"/>
        <w:autoSpaceDN w:val="0"/>
        <w:adjustRightInd w:val="0"/>
        <w:rPr>
          <w:rFonts w:eastAsia="TimesNewRoman"/>
          <w:sz w:val="22"/>
          <w:szCs w:val="22"/>
        </w:rPr>
      </w:pPr>
    </w:p>
    <w:p w14:paraId="13A5D6DA" w14:textId="77777777" w:rsidR="0023629B" w:rsidRPr="00220850" w:rsidRDefault="0023629B" w:rsidP="0023629B">
      <w:pPr>
        <w:autoSpaceDE w:val="0"/>
        <w:autoSpaceDN w:val="0"/>
        <w:adjustRightInd w:val="0"/>
        <w:rPr>
          <w:rFonts w:eastAsia="TimesNewRoman"/>
          <w:sz w:val="22"/>
          <w:szCs w:val="22"/>
          <w:u w:val="single"/>
        </w:rPr>
      </w:pPr>
      <w:r w:rsidRPr="00220850">
        <w:rPr>
          <w:rFonts w:eastAsia="TimesNewRoman"/>
          <w:sz w:val="22"/>
          <w:szCs w:val="22"/>
          <w:u w:val="single"/>
        </w:rPr>
        <w:t>Virškinimo trakto perforacijos ir išeminis kolitas</w:t>
      </w:r>
    </w:p>
    <w:p w14:paraId="5C302955" w14:textId="5979C252"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Suaugusių pacientų k</w:t>
      </w:r>
      <w:r w:rsidR="0023629B" w:rsidRPr="00220850">
        <w:rPr>
          <w:rFonts w:eastAsia="TimesNewRoman"/>
          <w:sz w:val="22"/>
          <w:szCs w:val="22"/>
        </w:rPr>
        <w:t>linikinių tyrimų metu abiejose gydymo grupėse pacientams nustatytas iki</w:t>
      </w:r>
      <w:r w:rsidRPr="00220850">
        <w:rPr>
          <w:rFonts w:eastAsia="TimesNewRoman"/>
          <w:sz w:val="22"/>
          <w:szCs w:val="22"/>
        </w:rPr>
        <w:t xml:space="preserve"> 0,3 </w:t>
      </w:r>
      <w:r w:rsidR="0023629B" w:rsidRPr="00220850">
        <w:rPr>
          <w:rFonts w:eastAsia="TimesNewRoman"/>
          <w:sz w:val="22"/>
          <w:szCs w:val="22"/>
        </w:rPr>
        <w:t xml:space="preserve">% perforacijos dažnis. Dėl </w:t>
      </w:r>
      <w:proofErr w:type="spellStart"/>
      <w:r w:rsidR="0023629B" w:rsidRPr="00220850">
        <w:rPr>
          <w:rFonts w:eastAsia="TimesNewRoman"/>
          <w:sz w:val="22"/>
          <w:szCs w:val="22"/>
        </w:rPr>
        <w:t>nintedanibo</w:t>
      </w:r>
      <w:proofErr w:type="spellEnd"/>
      <w:r w:rsidR="0023629B" w:rsidRPr="00220850">
        <w:rPr>
          <w:rFonts w:eastAsia="TimesNewRoman"/>
          <w:sz w:val="22"/>
          <w:szCs w:val="22"/>
        </w:rPr>
        <w:t xml:space="preserve"> veikimo mechanizmo pacientams virškinimo trakto</w:t>
      </w:r>
      <w:r w:rsidRPr="00220850">
        <w:rPr>
          <w:rFonts w:eastAsia="TimesNewRoman"/>
          <w:sz w:val="22"/>
          <w:szCs w:val="22"/>
        </w:rPr>
        <w:t xml:space="preserve"> </w:t>
      </w:r>
      <w:r w:rsidR="0023629B" w:rsidRPr="00220850">
        <w:rPr>
          <w:rFonts w:eastAsia="TimesNewRoman"/>
          <w:sz w:val="22"/>
          <w:szCs w:val="22"/>
        </w:rPr>
        <w:t>perforacijos rizika galėtų būti padidėjusi. Vaistiniam preparatui patekus į rinką, gauta pranešimų apie</w:t>
      </w:r>
      <w:r w:rsidRPr="00220850">
        <w:rPr>
          <w:rFonts w:eastAsia="TimesNewRoman"/>
          <w:sz w:val="22"/>
          <w:szCs w:val="22"/>
        </w:rPr>
        <w:t xml:space="preserve"> </w:t>
      </w:r>
      <w:r w:rsidR="0023629B" w:rsidRPr="00220850">
        <w:rPr>
          <w:rFonts w:eastAsia="TimesNewRoman"/>
          <w:sz w:val="22"/>
          <w:szCs w:val="22"/>
        </w:rPr>
        <w:t>virškinimo trakto perforacijos ir išeminio kolito atvejus, kai kurie iš jų buvo mirtini. Ypač atsargiai</w:t>
      </w:r>
      <w:r w:rsidRPr="00220850">
        <w:rPr>
          <w:rFonts w:eastAsia="TimesNewRoman"/>
          <w:sz w:val="22"/>
          <w:szCs w:val="22"/>
        </w:rPr>
        <w:t xml:space="preserve"> reikia gydyti pacientus, kuriems anksčiau buvo atlikta operacija pilvo ertmėje, kurie anksčiau sirgo pep</w:t>
      </w:r>
      <w:r w:rsidR="001B2ACC" w:rsidRPr="00220850">
        <w:rPr>
          <w:rFonts w:eastAsia="TimesNewRoman"/>
          <w:sz w:val="22"/>
          <w:szCs w:val="22"/>
        </w:rPr>
        <w:t>s</w:t>
      </w:r>
      <w:r w:rsidRPr="00220850">
        <w:rPr>
          <w:rFonts w:eastAsia="TimesNewRoman"/>
          <w:sz w:val="22"/>
          <w:szCs w:val="22"/>
        </w:rPr>
        <w:t xml:space="preserve">ine opa arba </w:t>
      </w:r>
      <w:proofErr w:type="spellStart"/>
      <w:r w:rsidRPr="00220850">
        <w:rPr>
          <w:rFonts w:eastAsia="TimesNewRoman"/>
          <w:sz w:val="22"/>
          <w:szCs w:val="22"/>
        </w:rPr>
        <w:t>divertikuline</w:t>
      </w:r>
      <w:proofErr w:type="spellEnd"/>
      <w:r w:rsidRPr="00220850">
        <w:rPr>
          <w:rFonts w:eastAsia="TimesNewRoman"/>
          <w:sz w:val="22"/>
          <w:szCs w:val="22"/>
        </w:rPr>
        <w:t xml:space="preserve"> liga arba kartu vartoja kortikosteroidų arba NVNU.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rFonts w:eastAsia="TimesNewRoman"/>
          <w:sz w:val="22"/>
          <w:szCs w:val="22"/>
        </w:rPr>
        <w:t xml:space="preserve"> galima pradėti vartoti tik praėjus mažiausiai 4 savaitėms po operacijos pilvo ertmėje. Pacientams, kuriems išsivystė virškinimo trakto perforacija arba išeminis kolitas, gydymą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rFonts w:eastAsia="TimesNewRoman"/>
          <w:sz w:val="22"/>
          <w:szCs w:val="22"/>
        </w:rPr>
        <w:t xml:space="preserve"> reikia nutraukti visam laikui. Išskirtiniais atvejais galima vėl pradėti gydymą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rFonts w:eastAsia="TimesNewRoman"/>
          <w:sz w:val="22"/>
          <w:szCs w:val="22"/>
        </w:rPr>
        <w:t xml:space="preserve"> visiškai išgijus nuo išeminio kolito ir atidžiai įvertinus paciento būklę bei kitus rizikos veiksnius.</w:t>
      </w:r>
    </w:p>
    <w:p w14:paraId="3EAE8E4D" w14:textId="77777777" w:rsidR="0058123B" w:rsidRPr="00220850" w:rsidRDefault="0058123B" w:rsidP="00E53515">
      <w:pPr>
        <w:autoSpaceDE w:val="0"/>
        <w:autoSpaceDN w:val="0"/>
        <w:adjustRightInd w:val="0"/>
        <w:rPr>
          <w:rFonts w:eastAsia="TimesNewRoman"/>
          <w:sz w:val="22"/>
          <w:szCs w:val="22"/>
        </w:rPr>
      </w:pPr>
    </w:p>
    <w:p w14:paraId="4995F371" w14:textId="77777777" w:rsidR="00E53515" w:rsidRPr="00220850" w:rsidRDefault="00E53515" w:rsidP="00E53515">
      <w:pPr>
        <w:autoSpaceDE w:val="0"/>
        <w:autoSpaceDN w:val="0"/>
        <w:adjustRightInd w:val="0"/>
        <w:rPr>
          <w:rFonts w:eastAsia="TimesNewRoman"/>
          <w:sz w:val="22"/>
          <w:szCs w:val="22"/>
          <w:u w:val="single"/>
        </w:rPr>
      </w:pPr>
      <w:proofErr w:type="spellStart"/>
      <w:r w:rsidRPr="00220850">
        <w:rPr>
          <w:rFonts w:eastAsia="TimesNewRoman"/>
          <w:sz w:val="22"/>
          <w:szCs w:val="22"/>
          <w:u w:val="single"/>
        </w:rPr>
        <w:t>Nefrozinio</w:t>
      </w:r>
      <w:proofErr w:type="spellEnd"/>
      <w:r w:rsidRPr="00220850">
        <w:rPr>
          <w:rFonts w:eastAsia="TimesNewRoman"/>
          <w:sz w:val="22"/>
          <w:szCs w:val="22"/>
          <w:u w:val="single"/>
        </w:rPr>
        <w:t xml:space="preserve"> lygio </w:t>
      </w:r>
      <w:proofErr w:type="spellStart"/>
      <w:r w:rsidRPr="00220850">
        <w:rPr>
          <w:rFonts w:eastAsia="TimesNewRoman"/>
          <w:sz w:val="22"/>
          <w:szCs w:val="22"/>
          <w:u w:val="single"/>
        </w:rPr>
        <w:t>proteinurija</w:t>
      </w:r>
      <w:proofErr w:type="spellEnd"/>
      <w:r w:rsidRPr="00220850">
        <w:rPr>
          <w:rFonts w:eastAsia="TimesNewRoman"/>
          <w:sz w:val="22"/>
          <w:szCs w:val="22"/>
          <w:u w:val="single"/>
        </w:rPr>
        <w:t xml:space="preserve"> ir </w:t>
      </w:r>
      <w:proofErr w:type="spellStart"/>
      <w:r w:rsidRPr="00220850">
        <w:rPr>
          <w:rFonts w:eastAsia="TimesNewRoman"/>
          <w:sz w:val="22"/>
          <w:szCs w:val="22"/>
          <w:u w:val="single"/>
        </w:rPr>
        <w:t>trombozinė</w:t>
      </w:r>
      <w:proofErr w:type="spellEnd"/>
      <w:r w:rsidRPr="00220850">
        <w:rPr>
          <w:rFonts w:eastAsia="TimesNewRoman"/>
          <w:sz w:val="22"/>
          <w:szCs w:val="22"/>
          <w:u w:val="single"/>
        </w:rPr>
        <w:t xml:space="preserve"> </w:t>
      </w:r>
      <w:proofErr w:type="spellStart"/>
      <w:r w:rsidRPr="00220850">
        <w:rPr>
          <w:rFonts w:eastAsia="TimesNewRoman"/>
          <w:sz w:val="22"/>
          <w:szCs w:val="22"/>
          <w:u w:val="single"/>
        </w:rPr>
        <w:t>mikroangiopatija</w:t>
      </w:r>
      <w:proofErr w:type="spellEnd"/>
    </w:p>
    <w:p w14:paraId="18A91D3B" w14:textId="0E4BED5C"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Po</w:t>
      </w:r>
      <w:r w:rsidR="003A4612" w:rsidRPr="00220850">
        <w:rPr>
          <w:rFonts w:eastAsia="TimesNewRoman"/>
          <w:sz w:val="22"/>
          <w:szCs w:val="22"/>
        </w:rPr>
        <w:t xml:space="preserve"> vaistinio preparato </w:t>
      </w:r>
      <w:r w:rsidRPr="00220850">
        <w:rPr>
          <w:rFonts w:eastAsia="TimesNewRoman"/>
          <w:sz w:val="22"/>
          <w:szCs w:val="22"/>
        </w:rPr>
        <w:t>registraci</w:t>
      </w:r>
      <w:r w:rsidR="003A4612" w:rsidRPr="00220850">
        <w:rPr>
          <w:rFonts w:eastAsia="TimesNewRoman"/>
          <w:sz w:val="22"/>
          <w:szCs w:val="22"/>
        </w:rPr>
        <w:t>jos</w:t>
      </w:r>
      <w:r w:rsidRPr="00220850">
        <w:rPr>
          <w:rFonts w:eastAsia="TimesNewRoman"/>
          <w:sz w:val="22"/>
          <w:szCs w:val="22"/>
        </w:rPr>
        <w:t xml:space="preserve"> gauta labai </w:t>
      </w:r>
      <w:r w:rsidR="0058123B" w:rsidRPr="00220850">
        <w:rPr>
          <w:rFonts w:eastAsia="TimesNewRoman"/>
          <w:sz w:val="22"/>
          <w:szCs w:val="22"/>
        </w:rPr>
        <w:t>mažai</w:t>
      </w:r>
      <w:r w:rsidRPr="00220850">
        <w:rPr>
          <w:rFonts w:eastAsia="TimesNewRoman"/>
          <w:sz w:val="22"/>
          <w:szCs w:val="22"/>
        </w:rPr>
        <w:t xml:space="preserve"> pranešimų apie </w:t>
      </w:r>
      <w:proofErr w:type="spellStart"/>
      <w:r w:rsidRPr="00220850">
        <w:rPr>
          <w:rFonts w:eastAsia="TimesNewRoman"/>
          <w:sz w:val="22"/>
          <w:szCs w:val="22"/>
        </w:rPr>
        <w:t>nefrozinio</w:t>
      </w:r>
      <w:proofErr w:type="spellEnd"/>
      <w:r w:rsidRPr="00220850">
        <w:rPr>
          <w:rFonts w:eastAsia="TimesNewRoman"/>
          <w:sz w:val="22"/>
          <w:szCs w:val="22"/>
        </w:rPr>
        <w:t xml:space="preserve"> lygio </w:t>
      </w:r>
      <w:proofErr w:type="spellStart"/>
      <w:r w:rsidRPr="00220850">
        <w:rPr>
          <w:rFonts w:eastAsia="TimesNewRoman"/>
          <w:sz w:val="22"/>
          <w:szCs w:val="22"/>
        </w:rPr>
        <w:t>proteinurijos</w:t>
      </w:r>
      <w:proofErr w:type="spellEnd"/>
      <w:r w:rsidRPr="00220850">
        <w:rPr>
          <w:rFonts w:eastAsia="TimesNewRoman"/>
          <w:sz w:val="22"/>
          <w:szCs w:val="22"/>
        </w:rPr>
        <w:t xml:space="preserve"> atvejus su</w:t>
      </w:r>
      <w:r w:rsidR="0058123B" w:rsidRPr="00220850">
        <w:rPr>
          <w:rFonts w:eastAsia="TimesNewRoman"/>
          <w:sz w:val="22"/>
          <w:szCs w:val="22"/>
        </w:rPr>
        <w:t xml:space="preserve"> </w:t>
      </w:r>
      <w:r w:rsidRPr="00220850">
        <w:rPr>
          <w:rFonts w:eastAsia="TimesNewRoman"/>
          <w:sz w:val="22"/>
          <w:szCs w:val="22"/>
        </w:rPr>
        <w:t>inkstų funkcijos sutrikimu arba be jo. Individualių atvejų histologini</w:t>
      </w:r>
      <w:r w:rsidR="003A4612" w:rsidRPr="00220850">
        <w:rPr>
          <w:rFonts w:eastAsia="TimesNewRoman"/>
          <w:sz w:val="22"/>
          <w:szCs w:val="22"/>
        </w:rPr>
        <w:t>ų tyrimų duomenys</w:t>
      </w:r>
      <w:r w:rsidRPr="00220850">
        <w:rPr>
          <w:rFonts w:eastAsia="TimesNewRoman"/>
          <w:sz w:val="22"/>
          <w:szCs w:val="22"/>
        </w:rPr>
        <w:t xml:space="preserve"> rodė </w:t>
      </w:r>
      <w:proofErr w:type="spellStart"/>
      <w:r w:rsidRPr="00220850">
        <w:rPr>
          <w:rFonts w:eastAsia="TimesNewRoman"/>
          <w:sz w:val="22"/>
          <w:szCs w:val="22"/>
        </w:rPr>
        <w:t>glomerulų</w:t>
      </w:r>
      <w:proofErr w:type="spellEnd"/>
      <w:r w:rsidR="0058123B" w:rsidRPr="00220850">
        <w:rPr>
          <w:rFonts w:eastAsia="TimesNewRoman"/>
          <w:sz w:val="22"/>
          <w:szCs w:val="22"/>
        </w:rPr>
        <w:t xml:space="preserve"> </w:t>
      </w:r>
      <w:proofErr w:type="spellStart"/>
      <w:r w:rsidRPr="00220850">
        <w:rPr>
          <w:rFonts w:eastAsia="TimesNewRoman"/>
          <w:sz w:val="22"/>
          <w:szCs w:val="22"/>
        </w:rPr>
        <w:t>mikroangiopatiją</w:t>
      </w:r>
      <w:proofErr w:type="spellEnd"/>
      <w:r w:rsidRPr="00220850">
        <w:rPr>
          <w:rFonts w:eastAsia="TimesNewRoman"/>
          <w:sz w:val="22"/>
          <w:szCs w:val="22"/>
        </w:rPr>
        <w:t xml:space="preserve"> su inkstų </w:t>
      </w:r>
      <w:proofErr w:type="spellStart"/>
      <w:r w:rsidRPr="00220850">
        <w:rPr>
          <w:rFonts w:eastAsia="TimesNewRoman"/>
          <w:sz w:val="22"/>
          <w:szCs w:val="22"/>
        </w:rPr>
        <w:t>trombais</w:t>
      </w:r>
      <w:proofErr w:type="spellEnd"/>
      <w:r w:rsidRPr="00220850">
        <w:rPr>
          <w:rFonts w:eastAsia="TimesNewRoman"/>
          <w:sz w:val="22"/>
          <w:szCs w:val="22"/>
        </w:rPr>
        <w:t xml:space="preserve"> arba be jų. Pastebėta, kad simptomai išnyko nutraukus gydymą</w:t>
      </w:r>
      <w:r w:rsidR="0058123B" w:rsidRPr="00220850">
        <w:rPr>
          <w:rFonts w:eastAsia="TimesNewRoman"/>
          <w:sz w:val="22"/>
          <w:szCs w:val="22"/>
        </w:rPr>
        <w:t xml:space="preserve"> </w:t>
      </w:r>
      <w:proofErr w:type="spellStart"/>
      <w:r w:rsidR="0058123B" w:rsidRPr="00220850">
        <w:rPr>
          <w:rFonts w:eastAsia="TimesNewRoman"/>
          <w:sz w:val="22"/>
          <w:szCs w:val="22"/>
        </w:rPr>
        <w:t>nintedanibu</w:t>
      </w:r>
      <w:proofErr w:type="spellEnd"/>
      <w:r w:rsidRPr="00220850">
        <w:rPr>
          <w:rFonts w:eastAsia="TimesNewRoman"/>
          <w:sz w:val="22"/>
          <w:szCs w:val="22"/>
        </w:rPr>
        <w:t xml:space="preserve">, kai kuriais atvejais išliko tam tikra </w:t>
      </w:r>
      <w:proofErr w:type="spellStart"/>
      <w:r w:rsidRPr="00220850">
        <w:rPr>
          <w:rFonts w:eastAsia="TimesNewRoman"/>
          <w:sz w:val="22"/>
          <w:szCs w:val="22"/>
        </w:rPr>
        <w:t>proteinurija</w:t>
      </w:r>
      <w:proofErr w:type="spellEnd"/>
      <w:r w:rsidRPr="00220850">
        <w:rPr>
          <w:rFonts w:eastAsia="TimesNewRoman"/>
          <w:sz w:val="22"/>
          <w:szCs w:val="22"/>
        </w:rPr>
        <w:t>.</w:t>
      </w:r>
      <w:r w:rsidR="0058123B" w:rsidRPr="00220850">
        <w:rPr>
          <w:rFonts w:eastAsia="TimesNewRoman"/>
          <w:sz w:val="22"/>
          <w:szCs w:val="22"/>
        </w:rPr>
        <w:t xml:space="preserve"> </w:t>
      </w:r>
      <w:r w:rsidRPr="00220850">
        <w:rPr>
          <w:rFonts w:eastAsia="TimesNewRoman"/>
          <w:sz w:val="22"/>
          <w:szCs w:val="22"/>
        </w:rPr>
        <w:t xml:space="preserve">Pacientams, kuriems atsiranda </w:t>
      </w:r>
      <w:proofErr w:type="spellStart"/>
      <w:r w:rsidRPr="00220850">
        <w:rPr>
          <w:rFonts w:eastAsia="TimesNewRoman"/>
          <w:sz w:val="22"/>
          <w:szCs w:val="22"/>
        </w:rPr>
        <w:t>nefrozinio</w:t>
      </w:r>
      <w:proofErr w:type="spellEnd"/>
      <w:r w:rsidRPr="00220850">
        <w:rPr>
          <w:rFonts w:eastAsia="TimesNewRoman"/>
          <w:sz w:val="22"/>
          <w:szCs w:val="22"/>
        </w:rPr>
        <w:t xml:space="preserve"> sindromo požymių ar simptomų, reikia įvertinti gydymo</w:t>
      </w:r>
      <w:r w:rsidR="0058123B" w:rsidRPr="00220850">
        <w:rPr>
          <w:rFonts w:eastAsia="TimesNewRoman"/>
          <w:sz w:val="22"/>
          <w:szCs w:val="22"/>
        </w:rPr>
        <w:t xml:space="preserve"> </w:t>
      </w:r>
      <w:r w:rsidR="004B1282" w:rsidRPr="00220850">
        <w:rPr>
          <w:rFonts w:eastAsia="TimesNewRoman"/>
          <w:sz w:val="22"/>
          <w:szCs w:val="22"/>
        </w:rPr>
        <w:t xml:space="preserve">nutraukimo </w:t>
      </w:r>
      <w:r w:rsidRPr="00220850">
        <w:rPr>
          <w:rFonts w:eastAsia="TimesNewRoman"/>
          <w:sz w:val="22"/>
          <w:szCs w:val="22"/>
        </w:rPr>
        <w:t>būtinybę.</w:t>
      </w:r>
    </w:p>
    <w:p w14:paraId="2AD3187B" w14:textId="77777777" w:rsidR="0058123B" w:rsidRPr="00220850" w:rsidRDefault="0058123B" w:rsidP="00E53515">
      <w:pPr>
        <w:autoSpaceDE w:val="0"/>
        <w:autoSpaceDN w:val="0"/>
        <w:adjustRightInd w:val="0"/>
        <w:rPr>
          <w:rFonts w:eastAsia="TimesNewRoman"/>
          <w:sz w:val="22"/>
          <w:szCs w:val="22"/>
        </w:rPr>
      </w:pPr>
    </w:p>
    <w:p w14:paraId="7F5EFB6D" w14:textId="77777777"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KEAF</w:t>
      </w:r>
      <w:r w:rsidR="003A4612" w:rsidRPr="00220850">
        <w:rPr>
          <w:rFonts w:eastAsia="TimesNewRoman"/>
          <w:sz w:val="22"/>
          <w:szCs w:val="22"/>
        </w:rPr>
        <w:t>R</w:t>
      </w:r>
      <w:r w:rsidRPr="00220850">
        <w:rPr>
          <w:rFonts w:eastAsia="TimesNewRoman"/>
          <w:sz w:val="22"/>
          <w:szCs w:val="22"/>
        </w:rPr>
        <w:t xml:space="preserve"> sekos inhibitoriai buvo susieti su </w:t>
      </w:r>
      <w:proofErr w:type="spellStart"/>
      <w:r w:rsidRPr="00220850">
        <w:rPr>
          <w:rFonts w:eastAsia="TimesNewRoman"/>
          <w:sz w:val="22"/>
          <w:szCs w:val="22"/>
        </w:rPr>
        <w:t>trombozine</w:t>
      </w:r>
      <w:proofErr w:type="spellEnd"/>
      <w:r w:rsidRPr="00220850">
        <w:rPr>
          <w:rFonts w:eastAsia="TimesNewRoman"/>
          <w:sz w:val="22"/>
          <w:szCs w:val="22"/>
        </w:rPr>
        <w:t xml:space="preserve"> </w:t>
      </w:r>
      <w:proofErr w:type="spellStart"/>
      <w:r w:rsidRPr="00220850">
        <w:rPr>
          <w:rFonts w:eastAsia="TimesNewRoman"/>
          <w:sz w:val="22"/>
          <w:szCs w:val="22"/>
        </w:rPr>
        <w:t>mikroangiopatija</w:t>
      </w:r>
      <w:proofErr w:type="spellEnd"/>
      <w:r w:rsidRPr="00220850">
        <w:rPr>
          <w:rFonts w:eastAsia="TimesNewRoman"/>
          <w:sz w:val="22"/>
          <w:szCs w:val="22"/>
        </w:rPr>
        <w:t xml:space="preserve"> (TMA), įskaitant labai</w:t>
      </w:r>
      <w:r w:rsidR="0058123B" w:rsidRPr="00220850">
        <w:rPr>
          <w:rFonts w:eastAsia="TimesNewRoman"/>
          <w:sz w:val="22"/>
          <w:szCs w:val="22"/>
        </w:rPr>
        <w:t xml:space="preserve"> </w:t>
      </w:r>
      <w:r w:rsidRPr="00220850">
        <w:rPr>
          <w:rFonts w:eastAsia="TimesNewRoman"/>
          <w:sz w:val="22"/>
          <w:szCs w:val="22"/>
        </w:rPr>
        <w:t xml:space="preserve">mažai atvejų, nustatytų vartojant </w:t>
      </w:r>
      <w:proofErr w:type="spellStart"/>
      <w:r w:rsidRPr="00220850">
        <w:rPr>
          <w:rFonts w:eastAsia="TimesNewRoman"/>
          <w:sz w:val="22"/>
          <w:szCs w:val="22"/>
        </w:rPr>
        <w:t>nintedanibą</w:t>
      </w:r>
      <w:proofErr w:type="spellEnd"/>
      <w:r w:rsidRPr="00220850">
        <w:rPr>
          <w:rFonts w:eastAsia="TimesNewRoman"/>
          <w:sz w:val="22"/>
          <w:szCs w:val="22"/>
        </w:rPr>
        <w:t xml:space="preserve">. </w:t>
      </w:r>
      <w:proofErr w:type="spellStart"/>
      <w:r w:rsidRPr="00220850">
        <w:rPr>
          <w:rFonts w:eastAsia="TimesNewRoman"/>
          <w:sz w:val="22"/>
          <w:szCs w:val="22"/>
        </w:rPr>
        <w:t>Nintedanibą</w:t>
      </w:r>
      <w:proofErr w:type="spellEnd"/>
      <w:r w:rsidRPr="00220850">
        <w:rPr>
          <w:rFonts w:eastAsia="TimesNewRoman"/>
          <w:sz w:val="22"/>
          <w:szCs w:val="22"/>
        </w:rPr>
        <w:t xml:space="preserve"> vartojančiam pacientui nustačius su TMA</w:t>
      </w:r>
      <w:r w:rsidR="0058123B" w:rsidRPr="00220850">
        <w:rPr>
          <w:rFonts w:eastAsia="TimesNewRoman"/>
          <w:sz w:val="22"/>
          <w:szCs w:val="22"/>
        </w:rPr>
        <w:t xml:space="preserve"> </w:t>
      </w:r>
      <w:r w:rsidRPr="00220850">
        <w:rPr>
          <w:rFonts w:eastAsia="TimesNewRoman"/>
          <w:sz w:val="22"/>
          <w:szCs w:val="22"/>
        </w:rPr>
        <w:t xml:space="preserve">susijusių laboratorinių arba klinikinių pakitimų, reikia nutraukti gydymą </w:t>
      </w:r>
      <w:proofErr w:type="spellStart"/>
      <w:r w:rsidRPr="00220850">
        <w:rPr>
          <w:rFonts w:eastAsia="TimesNewRoman"/>
          <w:sz w:val="22"/>
          <w:szCs w:val="22"/>
        </w:rPr>
        <w:t>nintedanibu</w:t>
      </w:r>
      <w:proofErr w:type="spellEnd"/>
      <w:r w:rsidRPr="00220850">
        <w:rPr>
          <w:rFonts w:eastAsia="TimesNewRoman"/>
          <w:sz w:val="22"/>
          <w:szCs w:val="22"/>
        </w:rPr>
        <w:t xml:space="preserve"> ir atlikti</w:t>
      </w:r>
      <w:r w:rsidR="0058123B" w:rsidRPr="00220850">
        <w:rPr>
          <w:rFonts w:eastAsia="TimesNewRoman"/>
          <w:sz w:val="22"/>
          <w:szCs w:val="22"/>
        </w:rPr>
        <w:t xml:space="preserve"> </w:t>
      </w:r>
      <w:r w:rsidRPr="00220850">
        <w:rPr>
          <w:rFonts w:eastAsia="TimesNewRoman"/>
          <w:sz w:val="22"/>
          <w:szCs w:val="22"/>
        </w:rPr>
        <w:t>nuodugnų vertinimą dėl TMA.</w:t>
      </w:r>
    </w:p>
    <w:p w14:paraId="79E06F24" w14:textId="77777777" w:rsidR="0058123B" w:rsidRPr="00220850" w:rsidRDefault="0058123B" w:rsidP="00E53515">
      <w:pPr>
        <w:autoSpaceDE w:val="0"/>
        <w:autoSpaceDN w:val="0"/>
        <w:adjustRightInd w:val="0"/>
        <w:rPr>
          <w:rFonts w:eastAsia="TimesNewRoman"/>
          <w:sz w:val="22"/>
          <w:szCs w:val="22"/>
        </w:rPr>
      </w:pPr>
    </w:p>
    <w:p w14:paraId="3B14D0F1" w14:textId="77777777" w:rsidR="00577557" w:rsidRPr="00220850" w:rsidRDefault="00577557" w:rsidP="00577557">
      <w:pPr>
        <w:autoSpaceDE w:val="0"/>
        <w:autoSpaceDN w:val="0"/>
        <w:adjustRightInd w:val="0"/>
        <w:rPr>
          <w:rFonts w:eastAsia="TimesNewRoman"/>
          <w:sz w:val="22"/>
          <w:szCs w:val="22"/>
          <w:highlight w:val="yellow"/>
          <w:u w:val="single"/>
        </w:rPr>
      </w:pPr>
      <w:r w:rsidRPr="00220850">
        <w:rPr>
          <w:rFonts w:eastAsia="TimesNewRoman"/>
          <w:sz w:val="22"/>
          <w:szCs w:val="22"/>
          <w:u w:val="single"/>
        </w:rPr>
        <w:t xml:space="preserve">Užpakalinės grįžtamosios </w:t>
      </w:r>
      <w:proofErr w:type="spellStart"/>
      <w:r w:rsidRPr="00220850">
        <w:rPr>
          <w:rFonts w:eastAsia="TimesNewRoman"/>
          <w:sz w:val="22"/>
          <w:szCs w:val="22"/>
          <w:u w:val="single"/>
        </w:rPr>
        <w:t>encefalopatijos</w:t>
      </w:r>
      <w:proofErr w:type="spellEnd"/>
      <w:r w:rsidRPr="00220850">
        <w:rPr>
          <w:rFonts w:eastAsia="TimesNewRoman"/>
          <w:sz w:val="22"/>
          <w:szCs w:val="22"/>
          <w:u w:val="single"/>
        </w:rPr>
        <w:t xml:space="preserve"> sindromas (UGES)</w:t>
      </w:r>
    </w:p>
    <w:p w14:paraId="28A07050" w14:textId="6FF6AEB8" w:rsidR="00577557" w:rsidRPr="00220850" w:rsidRDefault="00577557" w:rsidP="00577557">
      <w:pPr>
        <w:autoSpaceDE w:val="0"/>
        <w:autoSpaceDN w:val="0"/>
        <w:adjustRightInd w:val="0"/>
        <w:rPr>
          <w:rFonts w:eastAsia="TimesNewRoman"/>
          <w:sz w:val="22"/>
          <w:szCs w:val="22"/>
          <w:highlight w:val="yellow"/>
        </w:rPr>
      </w:pPr>
      <w:proofErr w:type="spellStart"/>
      <w:r w:rsidRPr="00220850">
        <w:rPr>
          <w:sz w:val="22"/>
          <w:szCs w:val="22"/>
        </w:rPr>
        <w:t>Poregistraciniu</w:t>
      </w:r>
      <w:proofErr w:type="spellEnd"/>
      <w:r w:rsidRPr="00220850">
        <w:rPr>
          <w:sz w:val="22"/>
          <w:szCs w:val="22"/>
        </w:rPr>
        <w:t xml:space="preserve"> laikotarpiu</w:t>
      </w:r>
      <w:r w:rsidRPr="00220850">
        <w:t xml:space="preserve"> </w:t>
      </w:r>
      <w:r w:rsidRPr="00220850">
        <w:rPr>
          <w:rFonts w:eastAsia="TimesNewRoman"/>
          <w:sz w:val="22"/>
          <w:szCs w:val="22"/>
        </w:rPr>
        <w:t xml:space="preserve">buvo pranešta apie </w:t>
      </w:r>
      <w:r w:rsidR="00F33A45" w:rsidRPr="00220850">
        <w:rPr>
          <w:rFonts w:eastAsia="TimesNewRoman"/>
          <w:sz w:val="22"/>
          <w:szCs w:val="22"/>
        </w:rPr>
        <w:t>keletą</w:t>
      </w:r>
      <w:r w:rsidRPr="00220850">
        <w:rPr>
          <w:rFonts w:eastAsia="TimesNewRoman"/>
          <w:sz w:val="22"/>
          <w:szCs w:val="22"/>
        </w:rPr>
        <w:t xml:space="preserve"> užpakalinės grįžtamosios </w:t>
      </w:r>
      <w:proofErr w:type="spellStart"/>
      <w:r w:rsidRPr="00220850">
        <w:rPr>
          <w:rFonts w:eastAsia="TimesNewRoman"/>
          <w:sz w:val="22"/>
          <w:szCs w:val="22"/>
        </w:rPr>
        <w:t>encefalopatijos</w:t>
      </w:r>
      <w:proofErr w:type="spellEnd"/>
      <w:r w:rsidRPr="00220850">
        <w:rPr>
          <w:rFonts w:eastAsia="TimesNewRoman"/>
          <w:sz w:val="22"/>
          <w:szCs w:val="22"/>
        </w:rPr>
        <w:t xml:space="preserve"> sindromo (UGES) atvej</w:t>
      </w:r>
      <w:r w:rsidR="00F33A45" w:rsidRPr="00220850">
        <w:rPr>
          <w:rFonts w:eastAsia="TimesNewRoman"/>
          <w:sz w:val="22"/>
          <w:szCs w:val="22"/>
        </w:rPr>
        <w:t>ų</w:t>
      </w:r>
      <w:r w:rsidRPr="00220850">
        <w:rPr>
          <w:rFonts w:eastAsia="TimesNewRoman"/>
          <w:sz w:val="22"/>
          <w:szCs w:val="22"/>
        </w:rPr>
        <w:t>.</w:t>
      </w:r>
    </w:p>
    <w:p w14:paraId="2E0180D5" w14:textId="6599BB42" w:rsidR="00577557" w:rsidRPr="00220850" w:rsidRDefault="00577557" w:rsidP="00577557">
      <w:pPr>
        <w:autoSpaceDE w:val="0"/>
        <w:autoSpaceDN w:val="0"/>
        <w:adjustRightInd w:val="0"/>
        <w:rPr>
          <w:rFonts w:eastAsia="TimesNewRoman"/>
          <w:sz w:val="22"/>
          <w:szCs w:val="22"/>
          <w:highlight w:val="yellow"/>
        </w:rPr>
      </w:pPr>
      <w:r w:rsidRPr="00220850">
        <w:rPr>
          <w:rFonts w:eastAsia="TimesNewRoman"/>
          <w:sz w:val="22"/>
          <w:szCs w:val="22"/>
        </w:rPr>
        <w:t>UGES yra neurologinis sutrikimas (patvirtin</w:t>
      </w:r>
      <w:r w:rsidR="00F33A45" w:rsidRPr="00220850">
        <w:rPr>
          <w:rFonts w:eastAsia="TimesNewRoman"/>
          <w:sz w:val="22"/>
          <w:szCs w:val="22"/>
        </w:rPr>
        <w:t>amas</w:t>
      </w:r>
      <w:r w:rsidRPr="00220850">
        <w:rPr>
          <w:rFonts w:eastAsia="TimesNewRoman"/>
          <w:sz w:val="22"/>
          <w:szCs w:val="22"/>
        </w:rPr>
        <w:t xml:space="preserve"> magnetinio rezonanso tomografijos būdu), kuris gali pasireikšti galvos skausmu, hipertenzija, regos sutrikimais, traukuliais, letargija, sumišimu ir kitais regos bei neurologiniais sutrikimais ir gali būti mirtinas. Buvo pranešta apie UGES su kitais KEAF inhibitoriais.</w:t>
      </w:r>
    </w:p>
    <w:p w14:paraId="0AB84812" w14:textId="1E5C0749" w:rsidR="00577557" w:rsidRPr="00220850" w:rsidRDefault="00577557" w:rsidP="00577557">
      <w:pPr>
        <w:autoSpaceDE w:val="0"/>
        <w:autoSpaceDN w:val="0"/>
        <w:adjustRightInd w:val="0"/>
        <w:rPr>
          <w:rFonts w:eastAsia="TimesNewRoman"/>
          <w:sz w:val="22"/>
          <w:szCs w:val="22"/>
        </w:rPr>
      </w:pPr>
      <w:r w:rsidRPr="00220850">
        <w:rPr>
          <w:rFonts w:eastAsia="TimesNewRoman"/>
          <w:sz w:val="22"/>
          <w:szCs w:val="22"/>
        </w:rPr>
        <w:t xml:space="preserve">Įtarus UGES, gydymą </w:t>
      </w:r>
      <w:proofErr w:type="spellStart"/>
      <w:r w:rsidRPr="00220850">
        <w:rPr>
          <w:rFonts w:eastAsia="TimesNewRoman"/>
          <w:sz w:val="22"/>
          <w:szCs w:val="22"/>
        </w:rPr>
        <w:t>nintedanibu</w:t>
      </w:r>
      <w:proofErr w:type="spellEnd"/>
      <w:r w:rsidRPr="00220850">
        <w:rPr>
          <w:rFonts w:eastAsia="TimesNewRoman"/>
          <w:sz w:val="22"/>
          <w:szCs w:val="22"/>
        </w:rPr>
        <w:t xml:space="preserve"> </w:t>
      </w:r>
      <w:r w:rsidR="00F33A45" w:rsidRPr="00220850">
        <w:rPr>
          <w:rFonts w:eastAsia="TimesNewRoman"/>
          <w:sz w:val="22"/>
          <w:szCs w:val="22"/>
        </w:rPr>
        <w:t>būtina</w:t>
      </w:r>
      <w:r w:rsidRPr="00220850">
        <w:rPr>
          <w:rFonts w:eastAsia="TimesNewRoman"/>
          <w:sz w:val="22"/>
          <w:szCs w:val="22"/>
        </w:rPr>
        <w:t xml:space="preserve"> nutraukti. Apie gydymo </w:t>
      </w:r>
      <w:proofErr w:type="spellStart"/>
      <w:r w:rsidRPr="00220850">
        <w:rPr>
          <w:rFonts w:eastAsia="TimesNewRoman"/>
          <w:sz w:val="22"/>
          <w:szCs w:val="22"/>
        </w:rPr>
        <w:t>nintedanibu</w:t>
      </w:r>
      <w:proofErr w:type="spellEnd"/>
      <w:r w:rsidRPr="00220850">
        <w:rPr>
          <w:rFonts w:eastAsia="TimesNewRoman"/>
          <w:sz w:val="22"/>
          <w:szCs w:val="22"/>
        </w:rPr>
        <w:t xml:space="preserve"> atnaujinimą pacientams, kuriems anksčiau pasireiškė UGES, nežinoma, todėl </w:t>
      </w:r>
      <w:r w:rsidR="0001324B" w:rsidRPr="00220850">
        <w:rPr>
          <w:rFonts w:eastAsia="TimesNewRoman"/>
          <w:sz w:val="22"/>
          <w:szCs w:val="22"/>
        </w:rPr>
        <w:t xml:space="preserve">apie </w:t>
      </w:r>
      <w:r w:rsidRPr="00220850">
        <w:rPr>
          <w:rFonts w:eastAsia="TimesNewRoman"/>
          <w:sz w:val="22"/>
          <w:szCs w:val="22"/>
        </w:rPr>
        <w:t xml:space="preserve">tai turėtų </w:t>
      </w:r>
      <w:r w:rsidR="00F33A45" w:rsidRPr="00220850">
        <w:rPr>
          <w:rFonts w:eastAsia="TimesNewRoman"/>
          <w:sz w:val="22"/>
          <w:szCs w:val="22"/>
        </w:rPr>
        <w:t>spręsti</w:t>
      </w:r>
      <w:r w:rsidRPr="00220850">
        <w:rPr>
          <w:rFonts w:eastAsia="TimesNewRoman"/>
          <w:sz w:val="22"/>
          <w:szCs w:val="22"/>
        </w:rPr>
        <w:t xml:space="preserve"> gydytojas.</w:t>
      </w:r>
    </w:p>
    <w:p w14:paraId="43EA71A1" w14:textId="77777777" w:rsidR="00577557" w:rsidRPr="00220850" w:rsidRDefault="00577557" w:rsidP="00E53515">
      <w:pPr>
        <w:autoSpaceDE w:val="0"/>
        <w:autoSpaceDN w:val="0"/>
        <w:adjustRightInd w:val="0"/>
        <w:rPr>
          <w:rFonts w:eastAsia="TimesNewRoman"/>
          <w:sz w:val="22"/>
          <w:szCs w:val="22"/>
        </w:rPr>
      </w:pPr>
    </w:p>
    <w:p w14:paraId="3214C3AC" w14:textId="77777777" w:rsidR="00E53515" w:rsidRPr="00220850" w:rsidRDefault="00E53515" w:rsidP="00E53515">
      <w:pPr>
        <w:autoSpaceDE w:val="0"/>
        <w:autoSpaceDN w:val="0"/>
        <w:adjustRightInd w:val="0"/>
        <w:rPr>
          <w:rFonts w:eastAsia="TimesNewRoman"/>
          <w:sz w:val="22"/>
          <w:szCs w:val="22"/>
          <w:u w:val="single"/>
        </w:rPr>
      </w:pPr>
      <w:r w:rsidRPr="00220850">
        <w:rPr>
          <w:rFonts w:eastAsia="TimesNewRoman"/>
          <w:sz w:val="22"/>
          <w:szCs w:val="22"/>
          <w:u w:val="single"/>
        </w:rPr>
        <w:t>Hipertenzija</w:t>
      </w:r>
    </w:p>
    <w:p w14:paraId="61A3603E" w14:textId="77777777" w:rsidR="00E53515" w:rsidRPr="00220850" w:rsidRDefault="0058123B" w:rsidP="00E53515">
      <w:pPr>
        <w:autoSpaceDE w:val="0"/>
        <w:autoSpaceDN w:val="0"/>
        <w:adjustRightInd w:val="0"/>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00E53515" w:rsidRPr="00220850">
        <w:rPr>
          <w:rFonts w:eastAsia="TimesNewRoman"/>
          <w:sz w:val="22"/>
          <w:szCs w:val="22"/>
        </w:rPr>
        <w:t xml:space="preserve"> vartojimas gali padidinti kraujospūdį. Sisteminį kraujospūdį reikia matuoti periodiškai ir tada,</w:t>
      </w:r>
      <w:r w:rsidRPr="00220850">
        <w:rPr>
          <w:rFonts w:eastAsia="TimesNewRoman"/>
          <w:sz w:val="22"/>
          <w:szCs w:val="22"/>
        </w:rPr>
        <w:t xml:space="preserve"> </w:t>
      </w:r>
      <w:r w:rsidR="00E53515" w:rsidRPr="00220850">
        <w:rPr>
          <w:rFonts w:eastAsia="TimesNewRoman"/>
          <w:sz w:val="22"/>
          <w:szCs w:val="22"/>
        </w:rPr>
        <w:t>kai kliniškai būtina.</w:t>
      </w:r>
    </w:p>
    <w:p w14:paraId="53B024A8" w14:textId="77777777" w:rsidR="0058123B" w:rsidRPr="00220850" w:rsidRDefault="0058123B" w:rsidP="00E53515">
      <w:pPr>
        <w:autoSpaceDE w:val="0"/>
        <w:autoSpaceDN w:val="0"/>
        <w:adjustRightInd w:val="0"/>
        <w:rPr>
          <w:rFonts w:eastAsia="TimesNewRoman"/>
          <w:sz w:val="22"/>
          <w:szCs w:val="22"/>
        </w:rPr>
      </w:pPr>
    </w:p>
    <w:p w14:paraId="277B1DB8" w14:textId="77777777" w:rsidR="00E53515" w:rsidRPr="00220850" w:rsidRDefault="00E53515" w:rsidP="00E53515">
      <w:pPr>
        <w:autoSpaceDE w:val="0"/>
        <w:autoSpaceDN w:val="0"/>
        <w:adjustRightInd w:val="0"/>
        <w:rPr>
          <w:rFonts w:eastAsia="TimesNewRoman"/>
          <w:sz w:val="22"/>
          <w:szCs w:val="22"/>
          <w:u w:val="single"/>
        </w:rPr>
      </w:pPr>
      <w:r w:rsidRPr="00220850">
        <w:rPr>
          <w:rFonts w:eastAsia="TimesNewRoman"/>
          <w:sz w:val="22"/>
          <w:szCs w:val="22"/>
          <w:u w:val="single"/>
        </w:rPr>
        <w:t>Plaučių hipertenzija</w:t>
      </w:r>
    </w:p>
    <w:p w14:paraId="392FE9C5" w14:textId="67421212"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 xml:space="preserve">Duomenų apie </w:t>
      </w:r>
      <w:proofErr w:type="spellStart"/>
      <w:r w:rsidR="00A37BAA" w:rsidRPr="00220850">
        <w:rPr>
          <w:sz w:val="22"/>
          <w:szCs w:val="22"/>
        </w:rPr>
        <w:t>nintedanibo</w:t>
      </w:r>
      <w:proofErr w:type="spellEnd"/>
      <w:r w:rsidRPr="00220850">
        <w:rPr>
          <w:rFonts w:eastAsia="TimesNewRoman"/>
          <w:sz w:val="22"/>
          <w:szCs w:val="22"/>
        </w:rPr>
        <w:t xml:space="preserve"> vartojimą plaučių hipertenzija sergantiems pacientams yra nedaug.</w:t>
      </w:r>
      <w:r w:rsidR="0058123B" w:rsidRPr="00220850">
        <w:rPr>
          <w:rFonts w:eastAsia="TimesNewRoman"/>
          <w:sz w:val="22"/>
          <w:szCs w:val="22"/>
        </w:rPr>
        <w:t xml:space="preserve"> </w:t>
      </w:r>
      <w:r w:rsidRPr="00220850">
        <w:rPr>
          <w:rFonts w:eastAsia="TimesNewRoman"/>
          <w:sz w:val="22"/>
          <w:szCs w:val="22"/>
        </w:rPr>
        <w:t xml:space="preserve">Pacientai, kuriems yra reikšminga plaučių hipertenzija </w:t>
      </w:r>
      <w:r w:rsidR="003A4612" w:rsidRPr="00220850">
        <w:rPr>
          <w:rFonts w:eastAsia="TimesNewRoman"/>
          <w:sz w:val="22"/>
          <w:szCs w:val="22"/>
        </w:rPr>
        <w:t xml:space="preserve">(širdies indeksas </w:t>
      </w:r>
      <w:r w:rsidRPr="00220850">
        <w:rPr>
          <w:rFonts w:eastAsia="TimesNewRoman"/>
          <w:sz w:val="22"/>
          <w:szCs w:val="22"/>
        </w:rPr>
        <w:t>≤</w:t>
      </w:r>
      <w:r w:rsidR="0058123B" w:rsidRPr="00220850">
        <w:rPr>
          <w:rFonts w:eastAsia="TimesNewRoman"/>
          <w:sz w:val="22"/>
          <w:szCs w:val="22"/>
        </w:rPr>
        <w:t> 2 </w:t>
      </w:r>
      <w:r w:rsidRPr="00220850">
        <w:rPr>
          <w:rFonts w:eastAsia="TimesNewRoman"/>
          <w:sz w:val="22"/>
          <w:szCs w:val="22"/>
        </w:rPr>
        <w:t xml:space="preserve">l/min./m², </w:t>
      </w:r>
      <w:proofErr w:type="spellStart"/>
      <w:r w:rsidRPr="00220850">
        <w:rPr>
          <w:rFonts w:eastAsia="TimesNewRoman"/>
          <w:sz w:val="22"/>
          <w:szCs w:val="22"/>
        </w:rPr>
        <w:t>parenteriniu</w:t>
      </w:r>
      <w:proofErr w:type="spellEnd"/>
      <w:r w:rsidR="0058123B" w:rsidRPr="00220850">
        <w:rPr>
          <w:rFonts w:eastAsia="TimesNewRoman"/>
          <w:sz w:val="22"/>
          <w:szCs w:val="22"/>
        </w:rPr>
        <w:t xml:space="preserve"> </w:t>
      </w:r>
      <w:r w:rsidRPr="00220850">
        <w:rPr>
          <w:rFonts w:eastAsia="TimesNewRoman"/>
          <w:sz w:val="22"/>
          <w:szCs w:val="22"/>
        </w:rPr>
        <w:t xml:space="preserve">būdu skiriamas </w:t>
      </w:r>
      <w:proofErr w:type="spellStart"/>
      <w:r w:rsidRPr="00220850">
        <w:rPr>
          <w:rFonts w:eastAsia="TimesNewRoman"/>
          <w:sz w:val="22"/>
          <w:szCs w:val="22"/>
        </w:rPr>
        <w:t>epoprostenolis</w:t>
      </w:r>
      <w:proofErr w:type="spellEnd"/>
      <w:r w:rsidRPr="00220850">
        <w:rPr>
          <w:rFonts w:eastAsia="TimesNewRoman"/>
          <w:sz w:val="22"/>
          <w:szCs w:val="22"/>
        </w:rPr>
        <w:t xml:space="preserve"> ir (arba) </w:t>
      </w:r>
      <w:proofErr w:type="spellStart"/>
      <w:r w:rsidRPr="00220850">
        <w:rPr>
          <w:rFonts w:eastAsia="TimesNewRoman"/>
          <w:sz w:val="22"/>
          <w:szCs w:val="22"/>
        </w:rPr>
        <w:t>treprostinilis</w:t>
      </w:r>
      <w:proofErr w:type="spellEnd"/>
      <w:r w:rsidRPr="00220850">
        <w:rPr>
          <w:rFonts w:eastAsia="TimesNewRoman"/>
          <w:sz w:val="22"/>
          <w:szCs w:val="22"/>
        </w:rPr>
        <w:t xml:space="preserve"> arba reikšmingas dešiniosios širdies</w:t>
      </w:r>
      <w:r w:rsidR="0058123B" w:rsidRPr="00220850">
        <w:rPr>
          <w:rFonts w:eastAsia="TimesNewRoman"/>
          <w:sz w:val="22"/>
          <w:szCs w:val="22"/>
        </w:rPr>
        <w:t xml:space="preserve"> </w:t>
      </w:r>
      <w:r w:rsidRPr="00220850">
        <w:rPr>
          <w:rFonts w:eastAsia="TimesNewRoman"/>
          <w:sz w:val="22"/>
          <w:szCs w:val="22"/>
        </w:rPr>
        <w:t>nepakankamumas), į INBUILD ir SENSCIS tyrimus nebuvo įtraukti.</w:t>
      </w:r>
    </w:p>
    <w:p w14:paraId="7E2800CE" w14:textId="77777777"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 xml:space="preserve">Pacientų, kuriems yra sunki plaučių hipertenzija, </w:t>
      </w:r>
      <w:proofErr w:type="spellStart"/>
      <w:r w:rsidR="0058123B" w:rsidRPr="00220850">
        <w:rPr>
          <w:sz w:val="22"/>
          <w:szCs w:val="22"/>
        </w:rPr>
        <w:t>Nintedanib</w:t>
      </w:r>
      <w:proofErr w:type="spellEnd"/>
      <w:r w:rsidR="0058123B" w:rsidRPr="00220850">
        <w:rPr>
          <w:sz w:val="22"/>
          <w:szCs w:val="22"/>
        </w:rPr>
        <w:t xml:space="preserve"> </w:t>
      </w:r>
      <w:proofErr w:type="spellStart"/>
      <w:r w:rsidR="0058123B" w:rsidRPr="00220850">
        <w:rPr>
          <w:sz w:val="22"/>
          <w:szCs w:val="22"/>
        </w:rPr>
        <w:t>Teva</w:t>
      </w:r>
      <w:proofErr w:type="spellEnd"/>
      <w:r w:rsidRPr="00220850">
        <w:rPr>
          <w:rFonts w:eastAsia="TimesNewRoman"/>
          <w:sz w:val="22"/>
          <w:szCs w:val="22"/>
        </w:rPr>
        <w:t xml:space="preserve"> gydyti negalima. Lengva ir vidutinio sunkumo</w:t>
      </w:r>
      <w:r w:rsidR="0058123B" w:rsidRPr="00220850">
        <w:rPr>
          <w:rFonts w:eastAsia="TimesNewRoman"/>
          <w:sz w:val="22"/>
          <w:szCs w:val="22"/>
        </w:rPr>
        <w:t xml:space="preserve"> </w:t>
      </w:r>
      <w:r w:rsidRPr="00220850">
        <w:rPr>
          <w:rFonts w:eastAsia="TimesNewRoman"/>
          <w:sz w:val="22"/>
          <w:szCs w:val="22"/>
        </w:rPr>
        <w:t>plaučių hipertenzija sergančius pacientus rekomenduojama atidžiai stebėti.</w:t>
      </w:r>
    </w:p>
    <w:p w14:paraId="5FB3E1A9" w14:textId="77777777" w:rsidR="0058123B" w:rsidRPr="00220850" w:rsidRDefault="0058123B" w:rsidP="00E53515">
      <w:pPr>
        <w:autoSpaceDE w:val="0"/>
        <w:autoSpaceDN w:val="0"/>
        <w:adjustRightInd w:val="0"/>
        <w:rPr>
          <w:rFonts w:eastAsia="TimesNewRoman"/>
          <w:sz w:val="22"/>
          <w:szCs w:val="22"/>
        </w:rPr>
      </w:pPr>
    </w:p>
    <w:p w14:paraId="12E4EFEE" w14:textId="77777777" w:rsidR="00E53515" w:rsidRPr="00220850" w:rsidRDefault="00E53515" w:rsidP="00E53515">
      <w:pPr>
        <w:autoSpaceDE w:val="0"/>
        <w:autoSpaceDN w:val="0"/>
        <w:adjustRightInd w:val="0"/>
        <w:rPr>
          <w:rFonts w:eastAsia="TimesNewRoman"/>
          <w:sz w:val="22"/>
          <w:szCs w:val="22"/>
          <w:u w:val="single"/>
        </w:rPr>
      </w:pPr>
      <w:r w:rsidRPr="00220850">
        <w:rPr>
          <w:rFonts w:eastAsia="TimesNewRoman"/>
          <w:sz w:val="22"/>
          <w:szCs w:val="22"/>
          <w:u w:val="single"/>
        </w:rPr>
        <w:t>Žaizdos gijimo komplikacija</w:t>
      </w:r>
    </w:p>
    <w:p w14:paraId="73D547A3" w14:textId="77777777"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Klinikinių tyrimų metu pablogėjusio žaizdos gijimo dažnio padidėjimo nepastebėta. Remiantis</w:t>
      </w:r>
      <w:r w:rsidR="0058123B" w:rsidRPr="00220850">
        <w:rPr>
          <w:rFonts w:eastAsia="TimesNewRoman"/>
          <w:sz w:val="22"/>
          <w:szCs w:val="22"/>
        </w:rPr>
        <w:t xml:space="preserve"> </w:t>
      </w:r>
      <w:r w:rsidRPr="00220850">
        <w:rPr>
          <w:rFonts w:eastAsia="TimesNewRoman"/>
          <w:sz w:val="22"/>
          <w:szCs w:val="22"/>
        </w:rPr>
        <w:t xml:space="preserve">veikimo mechanizmu, </w:t>
      </w:r>
      <w:proofErr w:type="spellStart"/>
      <w:r w:rsidRPr="00220850">
        <w:rPr>
          <w:rFonts w:eastAsia="TimesNewRoman"/>
          <w:sz w:val="22"/>
          <w:szCs w:val="22"/>
        </w:rPr>
        <w:t>nintedanibas</w:t>
      </w:r>
      <w:proofErr w:type="spellEnd"/>
      <w:r w:rsidRPr="00220850">
        <w:rPr>
          <w:rFonts w:eastAsia="TimesNewRoman"/>
          <w:sz w:val="22"/>
          <w:szCs w:val="22"/>
        </w:rPr>
        <w:t xml:space="preserve"> gali pabloginti žaizdos gijimą</w:t>
      </w:r>
      <w:r w:rsidR="0058123B" w:rsidRPr="00220850">
        <w:rPr>
          <w:rFonts w:eastAsia="TimesNewRoman"/>
          <w:sz w:val="22"/>
          <w:szCs w:val="22"/>
        </w:rPr>
        <w:t>. T</w:t>
      </w:r>
      <w:r w:rsidRPr="00220850">
        <w:rPr>
          <w:rFonts w:eastAsia="TimesNewRoman"/>
          <w:sz w:val="22"/>
          <w:szCs w:val="22"/>
        </w:rPr>
        <w:t>yrimų,</w:t>
      </w:r>
      <w:r w:rsidR="0058123B" w:rsidRPr="00220850">
        <w:rPr>
          <w:rFonts w:eastAsia="TimesNewRoman"/>
          <w:sz w:val="22"/>
          <w:szCs w:val="22"/>
        </w:rPr>
        <w:t xml:space="preserve"> </w:t>
      </w:r>
      <w:r w:rsidRPr="00220850">
        <w:rPr>
          <w:rFonts w:eastAsia="TimesNewRoman"/>
          <w:sz w:val="22"/>
          <w:szCs w:val="22"/>
        </w:rPr>
        <w:t xml:space="preserve">skirtų </w:t>
      </w:r>
      <w:proofErr w:type="spellStart"/>
      <w:r w:rsidR="0058123B" w:rsidRPr="00220850">
        <w:rPr>
          <w:rFonts w:eastAsia="TimesNewRoman"/>
          <w:sz w:val="22"/>
          <w:szCs w:val="22"/>
        </w:rPr>
        <w:t>nintedanibo</w:t>
      </w:r>
      <w:proofErr w:type="spellEnd"/>
      <w:r w:rsidR="0058123B" w:rsidRPr="00220850">
        <w:rPr>
          <w:rFonts w:eastAsia="TimesNewRoman"/>
          <w:sz w:val="22"/>
          <w:szCs w:val="22"/>
        </w:rPr>
        <w:t xml:space="preserve"> </w:t>
      </w:r>
      <w:r w:rsidRPr="00220850">
        <w:rPr>
          <w:rFonts w:eastAsia="TimesNewRoman"/>
          <w:sz w:val="22"/>
          <w:szCs w:val="22"/>
        </w:rPr>
        <w:t>jo poveikiui žaizdos gijimui ištirti</w:t>
      </w:r>
      <w:r w:rsidR="0058123B" w:rsidRPr="00220850">
        <w:rPr>
          <w:rFonts w:eastAsia="TimesNewRoman"/>
          <w:sz w:val="22"/>
          <w:szCs w:val="22"/>
        </w:rPr>
        <w:t xml:space="preserve"> atlikta nebuvo</w:t>
      </w:r>
      <w:r w:rsidRPr="00220850">
        <w:rPr>
          <w:rFonts w:eastAsia="TimesNewRoman"/>
          <w:sz w:val="22"/>
          <w:szCs w:val="22"/>
        </w:rPr>
        <w:t xml:space="preserve">. Todėl gydymą </w:t>
      </w:r>
      <w:proofErr w:type="spellStart"/>
      <w:r w:rsidR="0058123B" w:rsidRPr="00220850">
        <w:rPr>
          <w:sz w:val="22"/>
          <w:szCs w:val="22"/>
        </w:rPr>
        <w:t>Nintedanib</w:t>
      </w:r>
      <w:proofErr w:type="spellEnd"/>
      <w:r w:rsidR="0058123B" w:rsidRPr="00220850">
        <w:rPr>
          <w:sz w:val="22"/>
          <w:szCs w:val="22"/>
        </w:rPr>
        <w:t xml:space="preserve"> </w:t>
      </w:r>
      <w:proofErr w:type="spellStart"/>
      <w:r w:rsidR="0058123B" w:rsidRPr="00220850">
        <w:rPr>
          <w:sz w:val="22"/>
          <w:szCs w:val="22"/>
        </w:rPr>
        <w:t>Teva</w:t>
      </w:r>
      <w:proofErr w:type="spellEnd"/>
      <w:r w:rsidRPr="00220850">
        <w:rPr>
          <w:rFonts w:eastAsia="TimesNewRoman"/>
          <w:sz w:val="22"/>
          <w:szCs w:val="22"/>
        </w:rPr>
        <w:t xml:space="preserve"> reikia pradėti, o tuo atveju, kai jo</w:t>
      </w:r>
      <w:r w:rsidR="0058123B" w:rsidRPr="00220850">
        <w:rPr>
          <w:rFonts w:eastAsia="TimesNewRoman"/>
          <w:sz w:val="22"/>
          <w:szCs w:val="22"/>
        </w:rPr>
        <w:t xml:space="preserve"> </w:t>
      </w:r>
      <w:r w:rsidRPr="00220850">
        <w:rPr>
          <w:rFonts w:eastAsia="TimesNewRoman"/>
          <w:sz w:val="22"/>
          <w:szCs w:val="22"/>
        </w:rPr>
        <w:t>vartojimas buvo nutrauktas prieš operaciją</w:t>
      </w:r>
      <w:r w:rsidR="0058123B" w:rsidRPr="00220850">
        <w:rPr>
          <w:rFonts w:eastAsia="TimesNewRoman"/>
          <w:sz w:val="22"/>
          <w:szCs w:val="22"/>
        </w:rPr>
        <w:t>,</w:t>
      </w:r>
      <w:r w:rsidRPr="00220850">
        <w:rPr>
          <w:rFonts w:eastAsia="TimesNewRoman"/>
          <w:sz w:val="22"/>
          <w:szCs w:val="22"/>
        </w:rPr>
        <w:t xml:space="preserve"> atnaujinti tik kliniškai įvertinus, kad žai</w:t>
      </w:r>
      <w:r w:rsidR="00600DF7" w:rsidRPr="00220850">
        <w:rPr>
          <w:rFonts w:eastAsia="TimesNewRoman"/>
          <w:sz w:val="22"/>
          <w:szCs w:val="22"/>
        </w:rPr>
        <w:t>z</w:t>
      </w:r>
      <w:r w:rsidRPr="00220850">
        <w:rPr>
          <w:rFonts w:eastAsia="TimesNewRoman"/>
          <w:sz w:val="22"/>
          <w:szCs w:val="22"/>
        </w:rPr>
        <w:t>da gyja</w:t>
      </w:r>
      <w:r w:rsidR="0058123B" w:rsidRPr="00220850">
        <w:rPr>
          <w:rFonts w:eastAsia="TimesNewRoman"/>
          <w:sz w:val="22"/>
          <w:szCs w:val="22"/>
        </w:rPr>
        <w:t xml:space="preserve"> </w:t>
      </w:r>
      <w:r w:rsidRPr="00220850">
        <w:rPr>
          <w:rFonts w:eastAsia="TimesNewRoman"/>
          <w:sz w:val="22"/>
          <w:szCs w:val="22"/>
        </w:rPr>
        <w:t>pakankamai gerai.</w:t>
      </w:r>
    </w:p>
    <w:p w14:paraId="582A31AC" w14:textId="77777777" w:rsidR="0058123B" w:rsidRPr="00220850" w:rsidRDefault="0058123B" w:rsidP="00E53515">
      <w:pPr>
        <w:autoSpaceDE w:val="0"/>
        <w:autoSpaceDN w:val="0"/>
        <w:adjustRightInd w:val="0"/>
        <w:rPr>
          <w:rFonts w:eastAsia="TimesNewRoman"/>
          <w:sz w:val="22"/>
          <w:szCs w:val="22"/>
        </w:rPr>
      </w:pPr>
    </w:p>
    <w:p w14:paraId="65C07E41" w14:textId="77777777" w:rsidR="00E53515" w:rsidRPr="00220850" w:rsidRDefault="00E53515" w:rsidP="00E53515">
      <w:pPr>
        <w:autoSpaceDE w:val="0"/>
        <w:autoSpaceDN w:val="0"/>
        <w:adjustRightInd w:val="0"/>
        <w:rPr>
          <w:rFonts w:eastAsia="TimesNewRoman"/>
          <w:sz w:val="22"/>
          <w:szCs w:val="22"/>
          <w:u w:val="single"/>
        </w:rPr>
      </w:pPr>
      <w:r w:rsidRPr="00220850">
        <w:rPr>
          <w:rFonts w:eastAsia="TimesNewRoman"/>
          <w:sz w:val="22"/>
          <w:szCs w:val="22"/>
          <w:u w:val="single"/>
        </w:rPr>
        <w:lastRenderedPageBreak/>
        <w:t xml:space="preserve">Derinimas su </w:t>
      </w:r>
      <w:proofErr w:type="spellStart"/>
      <w:r w:rsidRPr="00220850">
        <w:rPr>
          <w:rFonts w:eastAsia="TimesNewRoman"/>
          <w:sz w:val="22"/>
          <w:szCs w:val="22"/>
          <w:u w:val="single"/>
        </w:rPr>
        <w:t>pirfenidonu</w:t>
      </w:r>
      <w:proofErr w:type="spellEnd"/>
    </w:p>
    <w:p w14:paraId="24B87D99" w14:textId="77777777"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 xml:space="preserve">Specialiu farmakokinetikos tyrimu </w:t>
      </w:r>
      <w:r w:rsidR="0058123B" w:rsidRPr="00220850">
        <w:rPr>
          <w:rFonts w:eastAsia="TimesNewRoman"/>
          <w:sz w:val="22"/>
          <w:szCs w:val="22"/>
        </w:rPr>
        <w:t>įvertintas</w:t>
      </w:r>
      <w:r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vartojimas kartu su </w:t>
      </w:r>
      <w:proofErr w:type="spellStart"/>
      <w:r w:rsidRPr="00220850">
        <w:rPr>
          <w:rFonts w:eastAsia="TimesNewRoman"/>
          <w:sz w:val="22"/>
          <w:szCs w:val="22"/>
        </w:rPr>
        <w:t>pirfenidonu</w:t>
      </w:r>
      <w:proofErr w:type="spellEnd"/>
      <w:r w:rsidRPr="00220850">
        <w:rPr>
          <w:rFonts w:eastAsia="TimesNewRoman"/>
          <w:sz w:val="22"/>
          <w:szCs w:val="22"/>
        </w:rPr>
        <w:t xml:space="preserve"> pacientams,</w:t>
      </w:r>
      <w:r w:rsidR="0058123B" w:rsidRPr="00220850">
        <w:rPr>
          <w:rFonts w:eastAsia="TimesNewRoman"/>
          <w:sz w:val="22"/>
          <w:szCs w:val="22"/>
        </w:rPr>
        <w:t xml:space="preserve"> </w:t>
      </w:r>
      <w:r w:rsidRPr="00220850">
        <w:rPr>
          <w:rFonts w:eastAsia="TimesNewRoman"/>
          <w:sz w:val="22"/>
          <w:szCs w:val="22"/>
        </w:rPr>
        <w:t xml:space="preserve">sergantiems IPF. Remiantis gautais rezultatais, reikšmingos </w:t>
      </w:r>
      <w:proofErr w:type="spellStart"/>
      <w:r w:rsidRPr="00220850">
        <w:rPr>
          <w:rFonts w:eastAsia="TimesNewRoman"/>
          <w:sz w:val="22"/>
          <w:szCs w:val="22"/>
        </w:rPr>
        <w:t>nintedanibo</w:t>
      </w:r>
      <w:proofErr w:type="spellEnd"/>
      <w:r w:rsidRPr="00220850">
        <w:rPr>
          <w:rFonts w:eastAsia="TimesNewRoman"/>
          <w:sz w:val="22"/>
          <w:szCs w:val="22"/>
        </w:rPr>
        <w:t xml:space="preserve"> ir </w:t>
      </w:r>
      <w:proofErr w:type="spellStart"/>
      <w:r w:rsidRPr="00220850">
        <w:rPr>
          <w:rFonts w:eastAsia="TimesNewRoman"/>
          <w:sz w:val="22"/>
          <w:szCs w:val="22"/>
        </w:rPr>
        <w:t>pirfenidono</w:t>
      </w:r>
      <w:proofErr w:type="spellEnd"/>
      <w:r w:rsidR="000262BE" w:rsidRPr="00220850">
        <w:rPr>
          <w:rFonts w:eastAsia="TimesNewRoman"/>
          <w:sz w:val="22"/>
          <w:szCs w:val="22"/>
        </w:rPr>
        <w:t xml:space="preserve"> </w:t>
      </w:r>
      <w:proofErr w:type="spellStart"/>
      <w:r w:rsidRPr="00220850">
        <w:rPr>
          <w:rFonts w:eastAsia="TimesNewRoman"/>
          <w:sz w:val="22"/>
          <w:szCs w:val="22"/>
        </w:rPr>
        <w:t>farmakokinetinės</w:t>
      </w:r>
      <w:proofErr w:type="spellEnd"/>
      <w:r w:rsidRPr="00220850">
        <w:rPr>
          <w:rFonts w:eastAsia="TimesNewRoman"/>
          <w:sz w:val="22"/>
          <w:szCs w:val="22"/>
        </w:rPr>
        <w:t xml:space="preserve"> sąveikos įrodymų</w:t>
      </w:r>
      <w:r w:rsidR="000262BE" w:rsidRPr="00220850">
        <w:rPr>
          <w:rFonts w:eastAsia="TimesNewRoman"/>
          <w:sz w:val="22"/>
          <w:szCs w:val="22"/>
        </w:rPr>
        <w:t>, kai šie</w:t>
      </w:r>
      <w:r w:rsidRPr="00220850">
        <w:rPr>
          <w:rFonts w:eastAsia="TimesNewRoman"/>
          <w:sz w:val="22"/>
          <w:szCs w:val="22"/>
        </w:rPr>
        <w:t xml:space="preserve"> vaistini</w:t>
      </w:r>
      <w:r w:rsidR="000262BE" w:rsidRPr="00220850">
        <w:rPr>
          <w:rFonts w:eastAsia="TimesNewRoman"/>
          <w:sz w:val="22"/>
          <w:szCs w:val="22"/>
        </w:rPr>
        <w:t>ai</w:t>
      </w:r>
      <w:r w:rsidRPr="00220850">
        <w:rPr>
          <w:rFonts w:eastAsia="TimesNewRoman"/>
          <w:sz w:val="22"/>
          <w:szCs w:val="22"/>
        </w:rPr>
        <w:t xml:space="preserve"> preparat</w:t>
      </w:r>
      <w:r w:rsidR="000262BE" w:rsidRPr="00220850">
        <w:rPr>
          <w:rFonts w:eastAsia="TimesNewRoman"/>
          <w:sz w:val="22"/>
          <w:szCs w:val="22"/>
        </w:rPr>
        <w:t>ai</w:t>
      </w:r>
      <w:r w:rsidRPr="00220850">
        <w:rPr>
          <w:rFonts w:eastAsia="TimesNewRoman"/>
          <w:sz w:val="22"/>
          <w:szCs w:val="22"/>
        </w:rPr>
        <w:t xml:space="preserve"> vartoja</w:t>
      </w:r>
      <w:r w:rsidR="000262BE" w:rsidRPr="00220850">
        <w:rPr>
          <w:rFonts w:eastAsia="TimesNewRoman"/>
          <w:sz w:val="22"/>
          <w:szCs w:val="22"/>
        </w:rPr>
        <w:t>mi</w:t>
      </w:r>
      <w:r w:rsidRPr="00220850">
        <w:rPr>
          <w:rFonts w:eastAsia="TimesNewRoman"/>
          <w:sz w:val="22"/>
          <w:szCs w:val="22"/>
        </w:rPr>
        <w:t xml:space="preserve"> kartu, nėra (žr. 5.2 skyrių).</w:t>
      </w:r>
      <w:r w:rsidR="000262BE" w:rsidRPr="00220850">
        <w:rPr>
          <w:rFonts w:eastAsia="TimesNewRoman"/>
          <w:sz w:val="22"/>
          <w:szCs w:val="22"/>
        </w:rPr>
        <w:t xml:space="preserve"> </w:t>
      </w:r>
      <w:r w:rsidRPr="00220850">
        <w:rPr>
          <w:rFonts w:eastAsia="TimesNewRoman"/>
          <w:sz w:val="22"/>
          <w:szCs w:val="22"/>
        </w:rPr>
        <w:t>Kadangi abiejų vaistinių preparatų saugumo duomenys panašūs, galima tikėtis papildomų</w:t>
      </w:r>
      <w:r w:rsidR="000262BE" w:rsidRPr="00220850">
        <w:rPr>
          <w:rFonts w:eastAsia="TimesNewRoman"/>
          <w:sz w:val="22"/>
          <w:szCs w:val="22"/>
        </w:rPr>
        <w:t xml:space="preserve"> </w:t>
      </w:r>
      <w:r w:rsidRPr="00220850">
        <w:rPr>
          <w:rFonts w:eastAsia="TimesNewRoman"/>
          <w:sz w:val="22"/>
          <w:szCs w:val="22"/>
        </w:rPr>
        <w:t>nepageidaujamų reakcijų, įskaitant nepageidaujamą poveikį virškinimo traktui ir kepenims. Naudos ir</w:t>
      </w:r>
      <w:r w:rsidR="000262BE" w:rsidRPr="00220850">
        <w:rPr>
          <w:rFonts w:eastAsia="TimesNewRoman"/>
          <w:sz w:val="22"/>
          <w:szCs w:val="22"/>
        </w:rPr>
        <w:t xml:space="preserve"> </w:t>
      </w:r>
      <w:r w:rsidRPr="00220850">
        <w:rPr>
          <w:rFonts w:eastAsia="TimesNewRoman"/>
          <w:sz w:val="22"/>
          <w:szCs w:val="22"/>
        </w:rPr>
        <w:t xml:space="preserve">rizikos santykis, vartojant kartu su </w:t>
      </w:r>
      <w:proofErr w:type="spellStart"/>
      <w:r w:rsidRPr="00220850">
        <w:rPr>
          <w:rFonts w:eastAsia="TimesNewRoman"/>
          <w:sz w:val="22"/>
          <w:szCs w:val="22"/>
        </w:rPr>
        <w:t>pirfenidonu</w:t>
      </w:r>
      <w:proofErr w:type="spellEnd"/>
      <w:r w:rsidRPr="00220850">
        <w:rPr>
          <w:rFonts w:eastAsia="TimesNewRoman"/>
          <w:sz w:val="22"/>
          <w:szCs w:val="22"/>
        </w:rPr>
        <w:t>, neištirtas.</w:t>
      </w:r>
    </w:p>
    <w:p w14:paraId="54B72555" w14:textId="77777777" w:rsidR="000262BE" w:rsidRPr="00220850" w:rsidRDefault="000262BE" w:rsidP="00E53515">
      <w:pPr>
        <w:autoSpaceDE w:val="0"/>
        <w:autoSpaceDN w:val="0"/>
        <w:adjustRightInd w:val="0"/>
        <w:rPr>
          <w:rFonts w:eastAsia="TimesNewRoman"/>
          <w:sz w:val="22"/>
          <w:szCs w:val="22"/>
        </w:rPr>
      </w:pPr>
    </w:p>
    <w:p w14:paraId="1120040D" w14:textId="77777777" w:rsidR="00E53515" w:rsidRPr="00220850" w:rsidRDefault="00E53515" w:rsidP="00E53515">
      <w:pPr>
        <w:autoSpaceDE w:val="0"/>
        <w:autoSpaceDN w:val="0"/>
        <w:adjustRightInd w:val="0"/>
        <w:rPr>
          <w:rFonts w:eastAsia="TimesNewRoman"/>
          <w:sz w:val="22"/>
          <w:szCs w:val="22"/>
          <w:u w:val="single"/>
        </w:rPr>
      </w:pPr>
      <w:r w:rsidRPr="00220850">
        <w:rPr>
          <w:rFonts w:eastAsia="TimesNewRoman"/>
          <w:sz w:val="22"/>
          <w:szCs w:val="22"/>
          <w:u w:val="single"/>
        </w:rPr>
        <w:t>Poveikis QT intervalui</w:t>
      </w:r>
    </w:p>
    <w:p w14:paraId="144815DB" w14:textId="77777777" w:rsidR="00E53515" w:rsidRPr="00220850" w:rsidRDefault="00E53515" w:rsidP="00E53515">
      <w:pPr>
        <w:autoSpaceDE w:val="0"/>
        <w:autoSpaceDN w:val="0"/>
        <w:adjustRightInd w:val="0"/>
        <w:rPr>
          <w:rFonts w:eastAsia="TimesNewRoman"/>
          <w:sz w:val="22"/>
          <w:szCs w:val="22"/>
        </w:rPr>
      </w:pPr>
      <w:r w:rsidRPr="00220850">
        <w:rPr>
          <w:rFonts w:eastAsia="TimesNewRoman"/>
          <w:sz w:val="22"/>
          <w:szCs w:val="22"/>
        </w:rPr>
        <w:t xml:space="preserve">Klinikinių tyrimų programoje (5.1 skyrius) </w:t>
      </w:r>
      <w:proofErr w:type="spellStart"/>
      <w:r w:rsidRPr="00220850">
        <w:rPr>
          <w:rFonts w:eastAsia="TimesNewRoman"/>
          <w:sz w:val="22"/>
          <w:szCs w:val="22"/>
        </w:rPr>
        <w:t>nintedanibo</w:t>
      </w:r>
      <w:proofErr w:type="spellEnd"/>
      <w:r w:rsidRPr="00220850">
        <w:rPr>
          <w:rFonts w:eastAsia="TimesNewRoman"/>
          <w:sz w:val="22"/>
          <w:szCs w:val="22"/>
        </w:rPr>
        <w:t xml:space="preserve"> QT intervalą ilginantis</w:t>
      </w:r>
      <w:r w:rsidR="000262BE" w:rsidRPr="00220850">
        <w:rPr>
          <w:rFonts w:eastAsia="TimesNewRoman"/>
          <w:sz w:val="22"/>
          <w:szCs w:val="22"/>
        </w:rPr>
        <w:t xml:space="preserve"> </w:t>
      </w:r>
      <w:r w:rsidRPr="00220850">
        <w:rPr>
          <w:rFonts w:eastAsia="TimesNewRoman"/>
          <w:sz w:val="22"/>
          <w:szCs w:val="22"/>
        </w:rPr>
        <w:t>poveikis</w:t>
      </w:r>
      <w:r w:rsidR="000262BE" w:rsidRPr="00220850">
        <w:rPr>
          <w:rFonts w:eastAsia="TimesNewRoman"/>
          <w:sz w:val="22"/>
          <w:szCs w:val="22"/>
        </w:rPr>
        <w:t xml:space="preserve"> pastebėtas nebuvo</w:t>
      </w:r>
      <w:r w:rsidRPr="00220850">
        <w:rPr>
          <w:rFonts w:eastAsia="TimesNewRoman"/>
          <w:sz w:val="22"/>
          <w:szCs w:val="22"/>
        </w:rPr>
        <w:t xml:space="preserve">. Kadangi žinoma, jog kai kurie </w:t>
      </w:r>
      <w:proofErr w:type="spellStart"/>
      <w:r w:rsidRPr="00220850">
        <w:rPr>
          <w:rFonts w:eastAsia="TimesNewRoman"/>
          <w:sz w:val="22"/>
          <w:szCs w:val="22"/>
        </w:rPr>
        <w:t>tirozino</w:t>
      </w:r>
      <w:proofErr w:type="spellEnd"/>
      <w:r w:rsidRPr="00220850">
        <w:rPr>
          <w:rFonts w:eastAsia="TimesNewRoman"/>
          <w:sz w:val="22"/>
          <w:szCs w:val="22"/>
        </w:rPr>
        <w:t xml:space="preserve"> </w:t>
      </w:r>
      <w:proofErr w:type="spellStart"/>
      <w:r w:rsidRPr="00220850">
        <w:rPr>
          <w:rFonts w:eastAsia="TimesNewRoman"/>
          <w:sz w:val="22"/>
          <w:szCs w:val="22"/>
        </w:rPr>
        <w:t>kinazės</w:t>
      </w:r>
      <w:proofErr w:type="spellEnd"/>
      <w:r w:rsidRPr="00220850">
        <w:rPr>
          <w:rFonts w:eastAsia="TimesNewRoman"/>
          <w:sz w:val="22"/>
          <w:szCs w:val="22"/>
        </w:rPr>
        <w:t xml:space="preserve"> inhibitoriai daro poveikį QT intervalui, reikia</w:t>
      </w:r>
      <w:r w:rsidR="000262BE" w:rsidRPr="00220850">
        <w:rPr>
          <w:rFonts w:eastAsia="TimesNewRoman"/>
          <w:sz w:val="22"/>
          <w:szCs w:val="22"/>
        </w:rPr>
        <w:t xml:space="preserve"> </w:t>
      </w:r>
      <w:r w:rsidRPr="00220850">
        <w:rPr>
          <w:rFonts w:eastAsia="TimesNewRoman"/>
          <w:sz w:val="22"/>
          <w:szCs w:val="22"/>
        </w:rPr>
        <w:t xml:space="preserve">atsargiai skirti </w:t>
      </w:r>
      <w:proofErr w:type="spellStart"/>
      <w:r w:rsidRPr="00220850">
        <w:rPr>
          <w:rFonts w:eastAsia="TimesNewRoman"/>
          <w:sz w:val="22"/>
          <w:szCs w:val="22"/>
        </w:rPr>
        <w:t>nintedanibą</w:t>
      </w:r>
      <w:proofErr w:type="spellEnd"/>
      <w:r w:rsidRPr="00220850">
        <w:rPr>
          <w:rFonts w:eastAsia="TimesNewRoman"/>
          <w:sz w:val="22"/>
          <w:szCs w:val="22"/>
        </w:rPr>
        <w:t xml:space="preserve"> pacientams, kuriems gali pailgėti </w:t>
      </w:r>
      <w:proofErr w:type="spellStart"/>
      <w:r w:rsidRPr="00220850">
        <w:rPr>
          <w:rFonts w:eastAsia="TimesNewRoman"/>
          <w:sz w:val="22"/>
          <w:szCs w:val="22"/>
        </w:rPr>
        <w:t>QTc</w:t>
      </w:r>
      <w:proofErr w:type="spellEnd"/>
      <w:r w:rsidRPr="00220850">
        <w:rPr>
          <w:rFonts w:eastAsia="TimesNewRoman"/>
          <w:sz w:val="22"/>
          <w:szCs w:val="22"/>
        </w:rPr>
        <w:t xml:space="preserve"> intervalas.</w:t>
      </w:r>
    </w:p>
    <w:p w14:paraId="2C7B2FB4" w14:textId="77777777" w:rsidR="00DE01F8" w:rsidRPr="00220850" w:rsidRDefault="00DE01F8">
      <w:pPr>
        <w:tabs>
          <w:tab w:val="left" w:pos="567"/>
        </w:tabs>
        <w:spacing w:line="260" w:lineRule="exact"/>
        <w:rPr>
          <w:sz w:val="22"/>
          <w:szCs w:val="24"/>
        </w:rPr>
      </w:pPr>
    </w:p>
    <w:p w14:paraId="26565C9B" w14:textId="77777777" w:rsidR="00D8706D" w:rsidRPr="00220850" w:rsidRDefault="00D8706D" w:rsidP="00D8706D">
      <w:pPr>
        <w:pStyle w:val="Default"/>
        <w:rPr>
          <w:color w:val="auto"/>
          <w:sz w:val="22"/>
          <w:szCs w:val="22"/>
          <w:u w:val="single"/>
          <w:lang w:val="lt-LT"/>
        </w:rPr>
      </w:pPr>
      <w:r w:rsidRPr="00220850">
        <w:rPr>
          <w:color w:val="auto"/>
          <w:sz w:val="22"/>
          <w:szCs w:val="22"/>
          <w:u w:val="single"/>
          <w:lang w:val="lt-LT"/>
        </w:rPr>
        <w:t xml:space="preserve">Vaikų populiacija </w:t>
      </w:r>
    </w:p>
    <w:p w14:paraId="526F8DC2" w14:textId="5A2B6B9E" w:rsidR="004B2460" w:rsidRPr="00220850" w:rsidRDefault="00D8706D" w:rsidP="00D8706D">
      <w:pPr>
        <w:pStyle w:val="Pagrindinistekstas"/>
        <w:spacing w:before="3"/>
        <w:rPr>
          <w:i w:val="0"/>
          <w:color w:val="auto"/>
          <w:szCs w:val="22"/>
          <w:lang w:val="lt-LT"/>
        </w:rPr>
      </w:pPr>
      <w:r w:rsidRPr="00220850">
        <w:rPr>
          <w:i w:val="0"/>
          <w:color w:val="auto"/>
          <w:szCs w:val="22"/>
          <w:lang w:val="lt-LT"/>
        </w:rPr>
        <w:t xml:space="preserve">Duomenys apie </w:t>
      </w:r>
      <w:proofErr w:type="spellStart"/>
      <w:r w:rsidRPr="00220850">
        <w:rPr>
          <w:i w:val="0"/>
          <w:color w:val="auto"/>
          <w:szCs w:val="22"/>
          <w:lang w:val="lt-LT"/>
        </w:rPr>
        <w:t>nintedanibo</w:t>
      </w:r>
      <w:proofErr w:type="spellEnd"/>
      <w:r w:rsidRPr="00220850">
        <w:rPr>
          <w:i w:val="0"/>
          <w:color w:val="auto"/>
          <w:szCs w:val="22"/>
          <w:lang w:val="lt-LT"/>
        </w:rPr>
        <w:t xml:space="preserve"> vartojimą pacientams vaikams apima tik nedidelį </w:t>
      </w:r>
      <w:proofErr w:type="spellStart"/>
      <w:r w:rsidRPr="00220850">
        <w:rPr>
          <w:i w:val="0"/>
          <w:color w:val="auto"/>
          <w:szCs w:val="22"/>
          <w:lang w:val="lt-LT"/>
        </w:rPr>
        <w:t>fibrozinių</w:t>
      </w:r>
      <w:proofErr w:type="spellEnd"/>
      <w:r w:rsidRPr="00220850">
        <w:rPr>
          <w:i w:val="0"/>
          <w:color w:val="auto"/>
          <w:szCs w:val="22"/>
          <w:lang w:val="lt-LT"/>
        </w:rPr>
        <w:t xml:space="preserve"> </w:t>
      </w:r>
      <w:proofErr w:type="spellStart"/>
      <w:r w:rsidRPr="00220850">
        <w:rPr>
          <w:i w:val="0"/>
          <w:color w:val="auto"/>
          <w:szCs w:val="22"/>
          <w:lang w:val="lt-LT"/>
        </w:rPr>
        <w:t>intersticinių</w:t>
      </w:r>
      <w:proofErr w:type="spellEnd"/>
      <w:r w:rsidRPr="00220850">
        <w:rPr>
          <w:i w:val="0"/>
          <w:color w:val="auto"/>
          <w:szCs w:val="22"/>
          <w:lang w:val="lt-LT"/>
        </w:rPr>
        <w:t xml:space="preserve"> plaučių ligų pogrupį (žr. 5.1 skyrių). Šis pogrupis neapima visų etiologijų, susijusių su progresuojančia </w:t>
      </w:r>
      <w:proofErr w:type="spellStart"/>
      <w:r w:rsidRPr="00220850">
        <w:rPr>
          <w:i w:val="0"/>
          <w:color w:val="auto"/>
          <w:szCs w:val="22"/>
          <w:lang w:val="lt-LT"/>
        </w:rPr>
        <w:t>fibrozine</w:t>
      </w:r>
      <w:proofErr w:type="spellEnd"/>
      <w:r w:rsidRPr="00220850">
        <w:rPr>
          <w:i w:val="0"/>
          <w:color w:val="auto"/>
          <w:szCs w:val="22"/>
          <w:lang w:val="lt-LT"/>
        </w:rPr>
        <w:t xml:space="preserve"> </w:t>
      </w:r>
      <w:proofErr w:type="spellStart"/>
      <w:r w:rsidRPr="00220850">
        <w:rPr>
          <w:i w:val="0"/>
          <w:color w:val="auto"/>
          <w:szCs w:val="22"/>
          <w:lang w:val="lt-LT"/>
        </w:rPr>
        <w:t>intersticine</w:t>
      </w:r>
      <w:proofErr w:type="spellEnd"/>
      <w:r w:rsidRPr="00220850">
        <w:rPr>
          <w:i w:val="0"/>
          <w:color w:val="auto"/>
          <w:szCs w:val="22"/>
          <w:lang w:val="lt-LT"/>
        </w:rPr>
        <w:t xml:space="preserve"> plaučių liga vaikams.</w:t>
      </w:r>
    </w:p>
    <w:p w14:paraId="37274561" w14:textId="77777777" w:rsidR="00AA239D" w:rsidRPr="00220850" w:rsidRDefault="00AA239D" w:rsidP="00D8706D">
      <w:pPr>
        <w:pStyle w:val="Pagrindinistekstas"/>
        <w:spacing w:before="3"/>
        <w:rPr>
          <w:i w:val="0"/>
          <w:iCs/>
          <w:color w:val="auto"/>
          <w:szCs w:val="22"/>
          <w:highlight w:val="cyan"/>
          <w:lang w:val="lt-LT"/>
        </w:rPr>
      </w:pPr>
    </w:p>
    <w:p w14:paraId="7B1E59AE" w14:textId="3D22D055" w:rsidR="004B2460" w:rsidRPr="00220850" w:rsidRDefault="00D8706D" w:rsidP="004B2460">
      <w:pPr>
        <w:pStyle w:val="Pagrindinistekstas"/>
        <w:spacing w:before="5"/>
        <w:rPr>
          <w:i w:val="0"/>
          <w:color w:val="auto"/>
          <w:szCs w:val="22"/>
          <w:lang w:val="lt-LT"/>
        </w:rPr>
      </w:pPr>
      <w:r w:rsidRPr="00220850">
        <w:rPr>
          <w:i w:val="0"/>
          <w:color w:val="auto"/>
          <w:szCs w:val="22"/>
          <w:lang w:val="lt-LT"/>
        </w:rPr>
        <w:t>Yra daugiau ne</w:t>
      </w:r>
      <w:r w:rsidR="00597C71" w:rsidRPr="00220850">
        <w:rPr>
          <w:i w:val="0"/>
          <w:color w:val="auto"/>
          <w:szCs w:val="22"/>
          <w:lang w:val="lt-LT"/>
        </w:rPr>
        <w:t>apibrėžtumo</w:t>
      </w:r>
      <w:r w:rsidRPr="00220850">
        <w:rPr>
          <w:i w:val="0"/>
          <w:color w:val="auto"/>
          <w:szCs w:val="22"/>
          <w:lang w:val="lt-LT"/>
        </w:rPr>
        <w:t xml:space="preserve"> dėl gydymo naudos vaikams, nei suaugusiesiems.</w:t>
      </w:r>
    </w:p>
    <w:p w14:paraId="56335416" w14:textId="77777777" w:rsidR="00AA239D" w:rsidRPr="00220850" w:rsidRDefault="00AA239D" w:rsidP="004B2460">
      <w:pPr>
        <w:pStyle w:val="Pagrindinistekstas"/>
        <w:spacing w:before="5"/>
        <w:rPr>
          <w:i w:val="0"/>
          <w:iCs/>
          <w:color w:val="auto"/>
          <w:szCs w:val="22"/>
          <w:highlight w:val="cyan"/>
          <w:lang w:val="lt-LT"/>
        </w:rPr>
      </w:pPr>
    </w:p>
    <w:p w14:paraId="05680020" w14:textId="634AAF34" w:rsidR="004B2460" w:rsidRPr="00220850" w:rsidRDefault="00AA239D" w:rsidP="004B2460">
      <w:pPr>
        <w:pStyle w:val="Pagrindinistekstas"/>
        <w:jc w:val="both"/>
        <w:rPr>
          <w:i w:val="0"/>
          <w:iCs/>
          <w:color w:val="auto"/>
          <w:szCs w:val="22"/>
          <w:lang w:val="lt-LT"/>
        </w:rPr>
      </w:pPr>
      <w:r w:rsidRPr="00220850">
        <w:rPr>
          <w:i w:val="0"/>
          <w:color w:val="auto"/>
          <w:szCs w:val="22"/>
          <w:lang w:val="lt-LT"/>
        </w:rPr>
        <w:t>Aukščiau</w:t>
      </w:r>
      <w:r w:rsidR="00D8706D" w:rsidRPr="00220850">
        <w:rPr>
          <w:i w:val="0"/>
          <w:color w:val="auto"/>
          <w:szCs w:val="22"/>
          <w:lang w:val="lt-LT"/>
        </w:rPr>
        <w:t xml:space="preserve"> suaugusiems pacientams išvardytas atsargumo priemones reikia taikyti ir pacientams vaikams.</w:t>
      </w:r>
    </w:p>
    <w:p w14:paraId="1BDE8D79" w14:textId="77777777" w:rsidR="00D8706D" w:rsidRPr="00220850" w:rsidRDefault="00D8706D" w:rsidP="00D8706D">
      <w:pPr>
        <w:pStyle w:val="Default"/>
        <w:rPr>
          <w:color w:val="auto"/>
          <w:sz w:val="22"/>
          <w:szCs w:val="22"/>
          <w:lang w:val="lt-LT"/>
        </w:rPr>
      </w:pPr>
      <w:r w:rsidRPr="00220850">
        <w:rPr>
          <w:color w:val="auto"/>
          <w:sz w:val="22"/>
          <w:szCs w:val="22"/>
          <w:lang w:val="lt-LT"/>
        </w:rPr>
        <w:t xml:space="preserve">Konkrečios dozės mažinimo rekomendacijos vaikų populiacijai pateikiamos 1 lentelėje. </w:t>
      </w:r>
    </w:p>
    <w:p w14:paraId="2F59AB47" w14:textId="77777777" w:rsidR="00AA239D" w:rsidRPr="00220850" w:rsidRDefault="00AA239D" w:rsidP="00D8706D">
      <w:pPr>
        <w:pStyle w:val="Default"/>
        <w:rPr>
          <w:color w:val="auto"/>
          <w:sz w:val="22"/>
          <w:szCs w:val="22"/>
          <w:lang w:val="lt-LT"/>
        </w:rPr>
      </w:pPr>
    </w:p>
    <w:p w14:paraId="0FBFDC31" w14:textId="4A4CFF66" w:rsidR="004B2460" w:rsidRPr="00220850" w:rsidRDefault="00D8706D" w:rsidP="004B2460">
      <w:pPr>
        <w:pStyle w:val="Pagrindinistekstas"/>
        <w:spacing w:before="12"/>
        <w:rPr>
          <w:i w:val="0"/>
          <w:color w:val="auto"/>
          <w:szCs w:val="22"/>
          <w:lang w:val="lt-LT"/>
        </w:rPr>
      </w:pPr>
      <w:r w:rsidRPr="00220850">
        <w:rPr>
          <w:i w:val="0"/>
          <w:color w:val="auto"/>
          <w:szCs w:val="22"/>
          <w:lang w:val="lt-LT"/>
        </w:rPr>
        <w:t>Vaikų populiacijos ypatumai aprašyti toliau.</w:t>
      </w:r>
    </w:p>
    <w:p w14:paraId="5A2CA51A" w14:textId="77777777" w:rsidR="00AA239D" w:rsidRPr="00220850" w:rsidRDefault="00AA239D" w:rsidP="004B2460">
      <w:pPr>
        <w:pStyle w:val="Pagrindinistekstas"/>
        <w:spacing w:before="12"/>
        <w:rPr>
          <w:i w:val="0"/>
          <w:iCs/>
          <w:color w:val="auto"/>
          <w:szCs w:val="22"/>
          <w:highlight w:val="cyan"/>
          <w:lang w:val="lt-LT"/>
        </w:rPr>
      </w:pPr>
    </w:p>
    <w:p w14:paraId="6BAAC856" w14:textId="77777777" w:rsidR="00597C71" w:rsidRPr="00220850" w:rsidRDefault="00597C71" w:rsidP="00D8706D">
      <w:pPr>
        <w:pStyle w:val="Default"/>
        <w:rPr>
          <w:i/>
          <w:iCs/>
          <w:color w:val="auto"/>
          <w:sz w:val="22"/>
          <w:szCs w:val="22"/>
          <w:lang w:val="lt-LT"/>
        </w:rPr>
      </w:pPr>
      <w:r w:rsidRPr="00220850">
        <w:rPr>
          <w:i/>
          <w:iCs/>
          <w:color w:val="auto"/>
          <w:sz w:val="22"/>
          <w:szCs w:val="22"/>
          <w:lang w:val="lt-LT"/>
        </w:rPr>
        <w:t>Kaulų vystymasis ir augimas</w:t>
      </w:r>
    </w:p>
    <w:p w14:paraId="43A4AA09" w14:textId="4F01D2F0" w:rsidR="00D8706D" w:rsidRPr="00220850" w:rsidRDefault="00D8706D" w:rsidP="00D8706D">
      <w:pPr>
        <w:pStyle w:val="Default"/>
        <w:rPr>
          <w:color w:val="auto"/>
          <w:sz w:val="22"/>
          <w:szCs w:val="22"/>
          <w:lang w:val="lt-LT"/>
        </w:rPr>
      </w:pPr>
      <w:r w:rsidRPr="00220850">
        <w:rPr>
          <w:color w:val="auto"/>
          <w:sz w:val="22"/>
          <w:szCs w:val="22"/>
          <w:lang w:val="lt-LT"/>
        </w:rPr>
        <w:t xml:space="preserve">Atliekant </w:t>
      </w:r>
      <w:proofErr w:type="spellStart"/>
      <w:r w:rsidRPr="00220850">
        <w:rPr>
          <w:color w:val="auto"/>
          <w:sz w:val="22"/>
          <w:szCs w:val="22"/>
          <w:lang w:val="lt-LT"/>
        </w:rPr>
        <w:t>ikiklinikinius</w:t>
      </w:r>
      <w:proofErr w:type="spellEnd"/>
      <w:r w:rsidRPr="00220850">
        <w:rPr>
          <w:color w:val="auto"/>
          <w:sz w:val="22"/>
          <w:szCs w:val="22"/>
          <w:lang w:val="lt-LT"/>
        </w:rPr>
        <w:t xml:space="preserve"> tyrimus, nustatyta grįžtamų epifizių augimo plokštelių pokyčių (žr. 5.3 skyrių). Atliekant klinikinį tyrimą su pacientais vaikais, </w:t>
      </w:r>
      <w:proofErr w:type="spellStart"/>
      <w:r w:rsidRPr="00220850">
        <w:rPr>
          <w:color w:val="auto"/>
          <w:sz w:val="22"/>
          <w:szCs w:val="22"/>
          <w:lang w:val="lt-LT"/>
        </w:rPr>
        <w:t>nintedanibo</w:t>
      </w:r>
      <w:proofErr w:type="spellEnd"/>
      <w:r w:rsidRPr="00220850">
        <w:rPr>
          <w:color w:val="auto"/>
          <w:sz w:val="22"/>
          <w:szCs w:val="22"/>
          <w:lang w:val="lt-LT"/>
        </w:rPr>
        <w:t xml:space="preserve"> vartojimo metu reikšmingo augimo sulėtėjimo nestebėta. Tačiau ilgalaikių saugumo duomenų pacientams vaikams nėra. </w:t>
      </w:r>
    </w:p>
    <w:p w14:paraId="02C68602" w14:textId="1F1BE6F3" w:rsidR="004B2460" w:rsidRPr="00220850" w:rsidRDefault="00D8706D" w:rsidP="00D8706D">
      <w:pPr>
        <w:pStyle w:val="Pagrindinistekstas"/>
        <w:spacing w:before="3"/>
        <w:ind w:right="140"/>
        <w:rPr>
          <w:i w:val="0"/>
          <w:color w:val="auto"/>
          <w:szCs w:val="22"/>
          <w:lang w:val="lt-LT"/>
        </w:rPr>
      </w:pPr>
      <w:r w:rsidRPr="00220850">
        <w:rPr>
          <w:i w:val="0"/>
          <w:color w:val="auto"/>
          <w:szCs w:val="22"/>
          <w:lang w:val="lt-LT"/>
        </w:rPr>
        <w:t>Reikia reguliariai stebėti pacientų, kurių epifizės atviros, augimą ir rekomenduojama vertinti epifizių augimo plokštelių pokyčius, atliekant kasmetinį kaulų vaizdinį tyrimą. Pacientams, kuriems pasireiškia augimo sutrikimo požymių arba epifizių augimo plokštelių pokyčių, reikia įvertinti gydymo nutraukimo galimybę.</w:t>
      </w:r>
    </w:p>
    <w:p w14:paraId="7F14158B" w14:textId="77777777" w:rsidR="00597C71" w:rsidRPr="00220850" w:rsidRDefault="00597C71" w:rsidP="00D8706D">
      <w:pPr>
        <w:pStyle w:val="Default"/>
        <w:rPr>
          <w:color w:val="auto"/>
          <w:sz w:val="22"/>
          <w:szCs w:val="22"/>
          <w:highlight w:val="cyan"/>
          <w:lang w:val="lt-LT"/>
        </w:rPr>
      </w:pPr>
    </w:p>
    <w:p w14:paraId="29194025" w14:textId="77777777" w:rsidR="00597C71" w:rsidRPr="00220850" w:rsidRDefault="00597C71" w:rsidP="00D8706D">
      <w:pPr>
        <w:pStyle w:val="Default"/>
        <w:rPr>
          <w:i/>
          <w:iCs/>
          <w:color w:val="auto"/>
          <w:sz w:val="22"/>
          <w:szCs w:val="22"/>
          <w:lang w:val="lt-LT"/>
        </w:rPr>
      </w:pPr>
      <w:r w:rsidRPr="00220850">
        <w:rPr>
          <w:i/>
          <w:iCs/>
          <w:color w:val="auto"/>
          <w:sz w:val="22"/>
          <w:szCs w:val="22"/>
          <w:lang w:val="lt-LT"/>
        </w:rPr>
        <w:t xml:space="preserve">Dantų vystymosi sutrikimai </w:t>
      </w:r>
    </w:p>
    <w:p w14:paraId="0789E578" w14:textId="4BCD4851" w:rsidR="00D8706D" w:rsidRPr="00220850" w:rsidRDefault="00D8706D" w:rsidP="00D8706D">
      <w:pPr>
        <w:pStyle w:val="Default"/>
        <w:rPr>
          <w:color w:val="auto"/>
          <w:sz w:val="22"/>
          <w:szCs w:val="22"/>
          <w:lang w:val="lt-LT"/>
        </w:rPr>
      </w:pPr>
      <w:r w:rsidRPr="00220850">
        <w:rPr>
          <w:color w:val="auto"/>
          <w:sz w:val="22"/>
          <w:szCs w:val="22"/>
          <w:lang w:val="lt-LT"/>
        </w:rPr>
        <w:t xml:space="preserve">Atliekant </w:t>
      </w:r>
      <w:proofErr w:type="spellStart"/>
      <w:r w:rsidRPr="00220850">
        <w:rPr>
          <w:color w:val="auto"/>
          <w:sz w:val="22"/>
          <w:szCs w:val="22"/>
          <w:lang w:val="lt-LT"/>
        </w:rPr>
        <w:t>ikiklinikinius</w:t>
      </w:r>
      <w:proofErr w:type="spellEnd"/>
      <w:r w:rsidRPr="00220850">
        <w:rPr>
          <w:color w:val="auto"/>
          <w:sz w:val="22"/>
          <w:szCs w:val="22"/>
          <w:lang w:val="lt-LT"/>
        </w:rPr>
        <w:t xml:space="preserve"> tyrimus, nustatyta dantų vystymosi sutrikimų (žr. 5.3 skyrių). Klinikiniu tyrimu su pacientais vaikais dantų vystymosi sutrikimų rizika nebuvo patvirtin</w:t>
      </w:r>
      <w:r w:rsidR="00597C71" w:rsidRPr="00220850">
        <w:rPr>
          <w:color w:val="auto"/>
          <w:sz w:val="22"/>
          <w:szCs w:val="22"/>
          <w:lang w:val="lt-LT"/>
        </w:rPr>
        <w:t>t</w:t>
      </w:r>
      <w:r w:rsidRPr="00220850">
        <w:rPr>
          <w:color w:val="auto"/>
          <w:sz w:val="22"/>
          <w:szCs w:val="22"/>
          <w:lang w:val="lt-LT"/>
        </w:rPr>
        <w:t xml:space="preserve">a. </w:t>
      </w:r>
    </w:p>
    <w:p w14:paraId="78E2B836" w14:textId="5034DBF3" w:rsidR="004B2460" w:rsidRPr="00220850" w:rsidRDefault="00D8706D" w:rsidP="00D8706D">
      <w:pPr>
        <w:tabs>
          <w:tab w:val="left" w:pos="567"/>
        </w:tabs>
        <w:spacing w:line="260" w:lineRule="exact"/>
        <w:rPr>
          <w:sz w:val="22"/>
          <w:szCs w:val="24"/>
        </w:rPr>
      </w:pPr>
      <w:r w:rsidRPr="00220850">
        <w:rPr>
          <w:sz w:val="22"/>
          <w:szCs w:val="22"/>
        </w:rPr>
        <w:t>Atsargumo dėlei reikia reguliariai bent kas 6 mėnesius atlikti burnos ertmės ir dantų patikrą, kol baigsis dantų vystymasis ir augimas.</w:t>
      </w:r>
    </w:p>
    <w:p w14:paraId="53540301" w14:textId="77777777" w:rsidR="00D8706D" w:rsidRPr="00220850" w:rsidRDefault="00D8706D">
      <w:pPr>
        <w:keepNext/>
        <w:tabs>
          <w:tab w:val="left" w:pos="567"/>
        </w:tabs>
        <w:spacing w:line="260" w:lineRule="exact"/>
        <w:jc w:val="both"/>
        <w:outlineLvl w:val="3"/>
        <w:rPr>
          <w:b/>
          <w:bCs/>
          <w:sz w:val="22"/>
          <w:szCs w:val="28"/>
          <w:lang w:eastAsia="x-none"/>
        </w:rPr>
      </w:pPr>
    </w:p>
    <w:p w14:paraId="0CE1C843" w14:textId="0844D2B4"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4.5</w:t>
      </w:r>
      <w:r w:rsidRPr="00220850">
        <w:rPr>
          <w:b/>
          <w:bCs/>
          <w:sz w:val="22"/>
          <w:szCs w:val="28"/>
          <w:lang w:eastAsia="x-none"/>
        </w:rPr>
        <w:tab/>
        <w:t>Sąveika su kitais vaistiniais preparatais ir kitokia sąveika</w:t>
      </w:r>
    </w:p>
    <w:p w14:paraId="4CCC6AD6" w14:textId="77777777" w:rsidR="00DE01F8" w:rsidRPr="00220850" w:rsidRDefault="00DE01F8">
      <w:pPr>
        <w:tabs>
          <w:tab w:val="left" w:pos="567"/>
        </w:tabs>
        <w:spacing w:line="260" w:lineRule="exact"/>
        <w:rPr>
          <w:sz w:val="22"/>
          <w:szCs w:val="24"/>
        </w:rPr>
      </w:pPr>
    </w:p>
    <w:p w14:paraId="592B6BEE" w14:textId="77777777" w:rsidR="00684B07" w:rsidRPr="00220850" w:rsidRDefault="00684B07" w:rsidP="00684B07">
      <w:pPr>
        <w:autoSpaceDE w:val="0"/>
        <w:autoSpaceDN w:val="0"/>
        <w:adjustRightInd w:val="0"/>
        <w:rPr>
          <w:rFonts w:eastAsia="TimesNewRoman"/>
          <w:sz w:val="22"/>
          <w:szCs w:val="22"/>
          <w:u w:val="single"/>
        </w:rPr>
      </w:pPr>
      <w:r w:rsidRPr="00220850">
        <w:rPr>
          <w:rFonts w:eastAsia="TimesNewRoman"/>
          <w:sz w:val="22"/>
          <w:szCs w:val="22"/>
          <w:u w:val="single"/>
        </w:rPr>
        <w:t>P-</w:t>
      </w:r>
      <w:proofErr w:type="spellStart"/>
      <w:r w:rsidRPr="00220850">
        <w:rPr>
          <w:rFonts w:eastAsia="TimesNewRoman"/>
          <w:sz w:val="22"/>
          <w:szCs w:val="22"/>
          <w:u w:val="single"/>
        </w:rPr>
        <w:t>glikoproteinas</w:t>
      </w:r>
      <w:proofErr w:type="spellEnd"/>
      <w:r w:rsidRPr="00220850">
        <w:rPr>
          <w:rFonts w:eastAsia="TimesNewRoman"/>
          <w:sz w:val="22"/>
          <w:szCs w:val="22"/>
          <w:u w:val="single"/>
        </w:rPr>
        <w:t xml:space="preserve"> (P-</w:t>
      </w:r>
      <w:proofErr w:type="spellStart"/>
      <w:r w:rsidRPr="00220850">
        <w:rPr>
          <w:rFonts w:eastAsia="TimesNewRoman"/>
          <w:sz w:val="22"/>
          <w:szCs w:val="22"/>
          <w:u w:val="single"/>
        </w:rPr>
        <w:t>gp</w:t>
      </w:r>
      <w:proofErr w:type="spellEnd"/>
      <w:r w:rsidRPr="00220850">
        <w:rPr>
          <w:rFonts w:eastAsia="TimesNewRoman"/>
          <w:sz w:val="22"/>
          <w:szCs w:val="22"/>
          <w:u w:val="single"/>
        </w:rPr>
        <w:t>)</w:t>
      </w:r>
    </w:p>
    <w:p w14:paraId="71D881A5" w14:textId="6A8FA258" w:rsidR="00684B07" w:rsidRPr="00220850" w:rsidRDefault="00684B07" w:rsidP="00684B07">
      <w:pPr>
        <w:autoSpaceDE w:val="0"/>
        <w:autoSpaceDN w:val="0"/>
        <w:adjustRightInd w:val="0"/>
        <w:rPr>
          <w:rFonts w:eastAsia="TimesNewRoman"/>
          <w:sz w:val="22"/>
          <w:szCs w:val="22"/>
        </w:rPr>
      </w:pPr>
      <w:proofErr w:type="spellStart"/>
      <w:r w:rsidRPr="00220850">
        <w:rPr>
          <w:rFonts w:eastAsia="TimesNewRoman"/>
          <w:sz w:val="22"/>
          <w:szCs w:val="22"/>
        </w:rPr>
        <w:t>Nintedanibas</w:t>
      </w:r>
      <w:proofErr w:type="spellEnd"/>
      <w:r w:rsidRPr="00220850">
        <w:rPr>
          <w:rFonts w:eastAsia="TimesNewRoman"/>
          <w:sz w:val="22"/>
          <w:szCs w:val="22"/>
        </w:rPr>
        <w:t xml:space="preserve"> yra P-</w:t>
      </w:r>
      <w:proofErr w:type="spellStart"/>
      <w:r w:rsidRPr="00220850">
        <w:rPr>
          <w:rFonts w:eastAsia="TimesNewRoman"/>
          <w:sz w:val="22"/>
          <w:szCs w:val="22"/>
        </w:rPr>
        <w:t>gp</w:t>
      </w:r>
      <w:proofErr w:type="spellEnd"/>
      <w:r w:rsidRPr="00220850">
        <w:rPr>
          <w:rFonts w:eastAsia="TimesNewRoman"/>
          <w:sz w:val="22"/>
          <w:szCs w:val="22"/>
        </w:rPr>
        <w:t xml:space="preserve"> substratas (žr. 5.2 skyrių). Vaistinių preparatų tarpusavio sąveikai skirto tyrimo</w:t>
      </w:r>
      <w:r w:rsidR="006E2B44" w:rsidRPr="00220850">
        <w:rPr>
          <w:rFonts w:eastAsia="TimesNewRoman"/>
          <w:sz w:val="22"/>
          <w:szCs w:val="22"/>
        </w:rPr>
        <w:t xml:space="preserve"> </w:t>
      </w:r>
      <w:r w:rsidRPr="00220850">
        <w:rPr>
          <w:rFonts w:eastAsia="TimesNewRoman"/>
          <w:sz w:val="22"/>
          <w:szCs w:val="22"/>
        </w:rPr>
        <w:t>metu kartu vartojamas stipriai veikiantis P-</w:t>
      </w:r>
      <w:proofErr w:type="spellStart"/>
      <w:r w:rsidRPr="00220850">
        <w:rPr>
          <w:rFonts w:eastAsia="TimesNewRoman"/>
          <w:sz w:val="22"/>
          <w:szCs w:val="22"/>
        </w:rPr>
        <w:t>gp</w:t>
      </w:r>
      <w:proofErr w:type="spellEnd"/>
      <w:r w:rsidRPr="00220850">
        <w:rPr>
          <w:rFonts w:eastAsia="TimesNewRoman"/>
          <w:sz w:val="22"/>
          <w:szCs w:val="22"/>
        </w:rPr>
        <w:t xml:space="preserve"> inhibitorius </w:t>
      </w:r>
      <w:proofErr w:type="spellStart"/>
      <w:r w:rsidRPr="00220850">
        <w:rPr>
          <w:rFonts w:eastAsia="TimesNewRoman"/>
          <w:sz w:val="22"/>
          <w:szCs w:val="22"/>
        </w:rPr>
        <w:t>ketokonazolas</w:t>
      </w:r>
      <w:proofErr w:type="spellEnd"/>
      <w:r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ekspoziciją,</w:t>
      </w:r>
      <w:r w:rsidR="006E2B44" w:rsidRPr="00220850">
        <w:rPr>
          <w:rFonts w:eastAsia="TimesNewRoman"/>
          <w:sz w:val="22"/>
          <w:szCs w:val="22"/>
        </w:rPr>
        <w:t xml:space="preserve"> ver</w:t>
      </w:r>
      <w:r w:rsidR="0081051F" w:rsidRPr="00220850">
        <w:rPr>
          <w:rFonts w:eastAsia="TimesNewRoman"/>
          <w:sz w:val="22"/>
          <w:szCs w:val="22"/>
        </w:rPr>
        <w:t>t</w:t>
      </w:r>
      <w:r w:rsidR="006E2B44" w:rsidRPr="00220850">
        <w:rPr>
          <w:rFonts w:eastAsia="TimesNewRoman"/>
          <w:sz w:val="22"/>
          <w:szCs w:val="22"/>
        </w:rPr>
        <w:t>inant pagal</w:t>
      </w:r>
      <w:r w:rsidRPr="00220850">
        <w:rPr>
          <w:rFonts w:eastAsia="TimesNewRoman"/>
          <w:sz w:val="22"/>
          <w:szCs w:val="22"/>
        </w:rPr>
        <w:t xml:space="preserve"> AUC, padidino 1,61 karto, </w:t>
      </w:r>
      <w:r w:rsidR="006E2B44" w:rsidRPr="00220850">
        <w:rPr>
          <w:rFonts w:eastAsia="TimesNewRoman"/>
          <w:sz w:val="22"/>
          <w:szCs w:val="22"/>
        </w:rPr>
        <w:t xml:space="preserve">vertinant pagal </w:t>
      </w:r>
      <w:proofErr w:type="spellStart"/>
      <w:r w:rsidRPr="00220850">
        <w:rPr>
          <w:rFonts w:eastAsia="TimesNewRoman"/>
          <w:sz w:val="22"/>
          <w:szCs w:val="22"/>
        </w:rPr>
        <w:t>C</w:t>
      </w:r>
      <w:r w:rsidRPr="00220850">
        <w:rPr>
          <w:rFonts w:eastAsia="TimesNewRoman"/>
          <w:sz w:val="14"/>
          <w:szCs w:val="14"/>
        </w:rPr>
        <w:t>max</w:t>
      </w:r>
      <w:proofErr w:type="spellEnd"/>
      <w:r w:rsidRPr="00220850">
        <w:rPr>
          <w:rFonts w:eastAsia="TimesNewRoman"/>
          <w:sz w:val="14"/>
          <w:szCs w:val="14"/>
        </w:rPr>
        <w:t xml:space="preserve"> </w:t>
      </w:r>
      <w:r w:rsidRPr="00220850">
        <w:rPr>
          <w:rFonts w:eastAsia="TimesNewRoman"/>
          <w:sz w:val="22"/>
          <w:szCs w:val="22"/>
        </w:rPr>
        <w:t>– 1,83 karto. Vaistinių preparatų tarpusavio</w:t>
      </w:r>
      <w:r w:rsidR="006E2B44" w:rsidRPr="00220850">
        <w:rPr>
          <w:rFonts w:eastAsia="TimesNewRoman"/>
          <w:sz w:val="22"/>
          <w:szCs w:val="22"/>
        </w:rPr>
        <w:t xml:space="preserve"> </w:t>
      </w:r>
      <w:r w:rsidRPr="00220850">
        <w:rPr>
          <w:rFonts w:eastAsia="TimesNewRoman"/>
          <w:sz w:val="22"/>
          <w:szCs w:val="22"/>
        </w:rPr>
        <w:t>sąveikos tyrimo metu kartu vartojamas stipriai veikiantis P-</w:t>
      </w:r>
      <w:proofErr w:type="spellStart"/>
      <w:r w:rsidRPr="00220850">
        <w:rPr>
          <w:rFonts w:eastAsia="TimesNewRoman"/>
          <w:sz w:val="22"/>
          <w:szCs w:val="22"/>
        </w:rPr>
        <w:t>gp</w:t>
      </w:r>
      <w:proofErr w:type="spellEnd"/>
      <w:r w:rsidRPr="00220850">
        <w:rPr>
          <w:rFonts w:eastAsia="TimesNewRoman"/>
          <w:sz w:val="22"/>
          <w:szCs w:val="22"/>
        </w:rPr>
        <w:t xml:space="preserve"> </w:t>
      </w:r>
      <w:proofErr w:type="spellStart"/>
      <w:r w:rsidRPr="00220850">
        <w:rPr>
          <w:rFonts w:eastAsia="TimesNewRoman"/>
          <w:sz w:val="22"/>
          <w:szCs w:val="22"/>
        </w:rPr>
        <w:t>induktorius</w:t>
      </w:r>
      <w:proofErr w:type="spellEnd"/>
      <w:r w:rsidRPr="00220850">
        <w:rPr>
          <w:rFonts w:eastAsia="TimesNewRoman"/>
          <w:sz w:val="22"/>
          <w:szCs w:val="22"/>
        </w:rPr>
        <w:t xml:space="preserve"> </w:t>
      </w:r>
      <w:proofErr w:type="spellStart"/>
      <w:r w:rsidRPr="00220850">
        <w:rPr>
          <w:rFonts w:eastAsia="TimesNewRoman"/>
          <w:sz w:val="22"/>
          <w:szCs w:val="22"/>
        </w:rPr>
        <w:t>rifampicinas</w:t>
      </w:r>
      <w:proofErr w:type="spellEnd"/>
      <w:r w:rsidRPr="00220850">
        <w:rPr>
          <w:rFonts w:eastAsia="TimesNewRoman"/>
          <w:sz w:val="22"/>
          <w:szCs w:val="22"/>
        </w:rPr>
        <w:t xml:space="preserve"> </w:t>
      </w:r>
      <w:proofErr w:type="spellStart"/>
      <w:r w:rsidRPr="00220850">
        <w:rPr>
          <w:rFonts w:eastAsia="TimesNewRoman"/>
          <w:sz w:val="22"/>
          <w:szCs w:val="22"/>
        </w:rPr>
        <w:t>nintedanibo</w:t>
      </w:r>
      <w:proofErr w:type="spellEnd"/>
      <w:r w:rsidR="006E2B44" w:rsidRPr="00220850">
        <w:rPr>
          <w:rFonts w:eastAsia="TimesNewRoman"/>
          <w:sz w:val="22"/>
          <w:szCs w:val="22"/>
        </w:rPr>
        <w:t xml:space="preserve"> </w:t>
      </w:r>
      <w:r w:rsidRPr="00220850">
        <w:rPr>
          <w:rFonts w:eastAsia="TimesNewRoman"/>
          <w:sz w:val="22"/>
          <w:szCs w:val="22"/>
        </w:rPr>
        <w:t xml:space="preserve">ekspoziciją, </w:t>
      </w:r>
      <w:r w:rsidR="006E2B44" w:rsidRPr="00220850">
        <w:rPr>
          <w:rFonts w:eastAsia="TimesNewRoman"/>
          <w:sz w:val="22"/>
          <w:szCs w:val="22"/>
        </w:rPr>
        <w:t>ver</w:t>
      </w:r>
      <w:r w:rsidR="0081051F" w:rsidRPr="00220850">
        <w:rPr>
          <w:rFonts w:eastAsia="TimesNewRoman"/>
          <w:sz w:val="22"/>
          <w:szCs w:val="22"/>
        </w:rPr>
        <w:t>t</w:t>
      </w:r>
      <w:r w:rsidR="006E2B44" w:rsidRPr="00220850">
        <w:rPr>
          <w:rFonts w:eastAsia="TimesNewRoman"/>
          <w:sz w:val="22"/>
          <w:szCs w:val="22"/>
        </w:rPr>
        <w:t>inant pagal</w:t>
      </w:r>
      <w:r w:rsidRPr="00220850">
        <w:rPr>
          <w:rFonts w:eastAsia="TimesNewRoman"/>
          <w:sz w:val="22"/>
          <w:szCs w:val="22"/>
        </w:rPr>
        <w:t xml:space="preserve"> AUC, sumažino 50,3</w:t>
      </w:r>
      <w:r w:rsidR="006E2B44" w:rsidRPr="00220850">
        <w:rPr>
          <w:rFonts w:eastAsia="TimesNewRoman"/>
          <w:sz w:val="22"/>
          <w:szCs w:val="22"/>
        </w:rPr>
        <w:t> </w:t>
      </w:r>
      <w:r w:rsidRPr="00220850">
        <w:rPr>
          <w:rFonts w:eastAsia="TimesNewRoman"/>
          <w:sz w:val="22"/>
          <w:szCs w:val="22"/>
        </w:rPr>
        <w:t xml:space="preserve">%, </w:t>
      </w:r>
      <w:r w:rsidR="006E2B44" w:rsidRPr="00220850">
        <w:rPr>
          <w:rFonts w:eastAsia="TimesNewRoman"/>
          <w:sz w:val="22"/>
          <w:szCs w:val="22"/>
        </w:rPr>
        <w:t>ver</w:t>
      </w:r>
      <w:r w:rsidR="0081051F" w:rsidRPr="00220850">
        <w:rPr>
          <w:rFonts w:eastAsia="TimesNewRoman"/>
          <w:sz w:val="22"/>
          <w:szCs w:val="22"/>
        </w:rPr>
        <w:t>t</w:t>
      </w:r>
      <w:r w:rsidR="006E2B44" w:rsidRPr="00220850">
        <w:rPr>
          <w:rFonts w:eastAsia="TimesNewRoman"/>
          <w:sz w:val="22"/>
          <w:szCs w:val="22"/>
        </w:rPr>
        <w:t xml:space="preserve">inant pagal </w:t>
      </w:r>
      <w:proofErr w:type="spellStart"/>
      <w:r w:rsidRPr="00220850">
        <w:rPr>
          <w:rFonts w:eastAsia="TimesNewRoman"/>
          <w:sz w:val="22"/>
          <w:szCs w:val="22"/>
        </w:rPr>
        <w:t>C</w:t>
      </w:r>
      <w:r w:rsidRPr="00220850">
        <w:rPr>
          <w:rFonts w:eastAsia="TimesNewRoman"/>
          <w:sz w:val="14"/>
          <w:szCs w:val="14"/>
        </w:rPr>
        <w:t>max</w:t>
      </w:r>
      <w:proofErr w:type="spellEnd"/>
      <w:r w:rsidRPr="00220850">
        <w:rPr>
          <w:rFonts w:eastAsia="TimesNewRoman"/>
          <w:sz w:val="14"/>
          <w:szCs w:val="14"/>
        </w:rPr>
        <w:t xml:space="preserve"> </w:t>
      </w:r>
      <w:r w:rsidRPr="00220850">
        <w:rPr>
          <w:rFonts w:eastAsia="TimesNewRoman"/>
          <w:sz w:val="22"/>
          <w:szCs w:val="22"/>
        </w:rPr>
        <w:t>– 60,3</w:t>
      </w:r>
      <w:r w:rsidR="006E2B44" w:rsidRPr="00220850">
        <w:rPr>
          <w:rFonts w:eastAsia="TimesNewRoman"/>
          <w:sz w:val="22"/>
          <w:szCs w:val="22"/>
        </w:rPr>
        <w:t> </w:t>
      </w:r>
      <w:r w:rsidRPr="00220850">
        <w:rPr>
          <w:rFonts w:eastAsia="TimesNewRoman"/>
          <w:sz w:val="22"/>
          <w:szCs w:val="22"/>
        </w:rPr>
        <w:t>%, palyginti su ekspozicija</w:t>
      </w:r>
      <w:r w:rsidR="006E2B44" w:rsidRPr="00220850">
        <w:rPr>
          <w:rFonts w:eastAsia="TimesNewRoman"/>
          <w:sz w:val="22"/>
          <w:szCs w:val="22"/>
        </w:rPr>
        <w:t xml:space="preserve"> taikant </w:t>
      </w:r>
      <w:proofErr w:type="spellStart"/>
      <w:r w:rsidR="006E2B44" w:rsidRPr="00220850">
        <w:rPr>
          <w:rFonts w:eastAsia="TimesNewRoman"/>
          <w:sz w:val="22"/>
          <w:szCs w:val="22"/>
        </w:rPr>
        <w:t>nintedanibo</w:t>
      </w:r>
      <w:proofErr w:type="spellEnd"/>
      <w:r w:rsidR="006E2B44" w:rsidRPr="00220850">
        <w:rPr>
          <w:rFonts w:eastAsia="TimesNewRoman"/>
          <w:sz w:val="22"/>
          <w:szCs w:val="22"/>
        </w:rPr>
        <w:t xml:space="preserve"> </w:t>
      </w:r>
      <w:proofErr w:type="spellStart"/>
      <w:r w:rsidR="006E2B44" w:rsidRPr="00220850">
        <w:rPr>
          <w:rFonts w:eastAsia="TimesNewRoman"/>
          <w:sz w:val="22"/>
          <w:szCs w:val="22"/>
        </w:rPr>
        <w:t>monoterapiją</w:t>
      </w:r>
      <w:proofErr w:type="spellEnd"/>
      <w:r w:rsidRPr="00220850">
        <w:rPr>
          <w:rFonts w:eastAsia="TimesNewRoman"/>
          <w:sz w:val="22"/>
          <w:szCs w:val="22"/>
        </w:rPr>
        <w:t xml:space="preserve">. </w:t>
      </w:r>
      <w:r w:rsidR="0081051F" w:rsidRPr="00220850">
        <w:rPr>
          <w:rFonts w:eastAsia="TimesNewRoman"/>
          <w:sz w:val="22"/>
          <w:szCs w:val="22"/>
        </w:rPr>
        <w:t xml:space="preserve">Vartojant </w:t>
      </w:r>
      <w:proofErr w:type="spellStart"/>
      <w:r w:rsidR="006E2B44" w:rsidRPr="00220850">
        <w:rPr>
          <w:sz w:val="22"/>
          <w:szCs w:val="22"/>
        </w:rPr>
        <w:t>Nintedanib</w:t>
      </w:r>
      <w:proofErr w:type="spellEnd"/>
      <w:r w:rsidR="006E2B44" w:rsidRPr="00220850">
        <w:rPr>
          <w:sz w:val="22"/>
          <w:szCs w:val="22"/>
        </w:rPr>
        <w:t xml:space="preserve"> </w:t>
      </w:r>
      <w:proofErr w:type="spellStart"/>
      <w:r w:rsidR="006E2B44" w:rsidRPr="00220850">
        <w:rPr>
          <w:sz w:val="22"/>
          <w:szCs w:val="22"/>
        </w:rPr>
        <w:t>Teva</w:t>
      </w:r>
      <w:proofErr w:type="spellEnd"/>
      <w:r w:rsidRPr="00220850">
        <w:rPr>
          <w:rFonts w:eastAsia="TimesNewRoman"/>
          <w:sz w:val="22"/>
          <w:szCs w:val="22"/>
        </w:rPr>
        <w:t xml:space="preserve"> su stipriai veikiančiais P-</w:t>
      </w:r>
      <w:proofErr w:type="spellStart"/>
      <w:r w:rsidRPr="00220850">
        <w:rPr>
          <w:rFonts w:eastAsia="TimesNewRoman"/>
          <w:sz w:val="22"/>
          <w:szCs w:val="22"/>
        </w:rPr>
        <w:t>gp</w:t>
      </w:r>
      <w:proofErr w:type="spellEnd"/>
      <w:r w:rsidRPr="00220850">
        <w:rPr>
          <w:rFonts w:eastAsia="TimesNewRoman"/>
          <w:sz w:val="22"/>
          <w:szCs w:val="22"/>
        </w:rPr>
        <w:t xml:space="preserve"> inhibitoriais (pvz.,</w:t>
      </w:r>
      <w:r w:rsidR="006E2B44" w:rsidRPr="00220850">
        <w:rPr>
          <w:rFonts w:eastAsia="TimesNewRoman"/>
          <w:sz w:val="22"/>
          <w:szCs w:val="22"/>
        </w:rPr>
        <w:t xml:space="preserve"> </w:t>
      </w:r>
      <w:proofErr w:type="spellStart"/>
      <w:r w:rsidRPr="00220850">
        <w:rPr>
          <w:rFonts w:eastAsia="TimesNewRoman"/>
          <w:sz w:val="22"/>
          <w:szCs w:val="22"/>
        </w:rPr>
        <w:t>ketokonazolu</w:t>
      </w:r>
      <w:proofErr w:type="spellEnd"/>
      <w:r w:rsidRPr="00220850">
        <w:rPr>
          <w:rFonts w:eastAsia="TimesNewRoman"/>
          <w:sz w:val="22"/>
          <w:szCs w:val="22"/>
        </w:rPr>
        <w:t xml:space="preserve">, </w:t>
      </w:r>
      <w:proofErr w:type="spellStart"/>
      <w:r w:rsidRPr="00220850">
        <w:rPr>
          <w:rFonts w:eastAsia="TimesNewRoman"/>
          <w:sz w:val="22"/>
          <w:szCs w:val="22"/>
        </w:rPr>
        <w:t>eritromicinu</w:t>
      </w:r>
      <w:proofErr w:type="spellEnd"/>
      <w:r w:rsidRPr="00220850">
        <w:rPr>
          <w:rFonts w:eastAsia="TimesNewRoman"/>
          <w:sz w:val="22"/>
          <w:szCs w:val="22"/>
        </w:rPr>
        <w:t xml:space="preserve"> ar </w:t>
      </w:r>
      <w:proofErr w:type="spellStart"/>
      <w:r w:rsidRPr="00220850">
        <w:rPr>
          <w:rFonts w:eastAsia="TimesNewRoman"/>
          <w:sz w:val="22"/>
          <w:szCs w:val="22"/>
        </w:rPr>
        <w:t>ciklosporinu</w:t>
      </w:r>
      <w:proofErr w:type="spellEnd"/>
      <w:r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ekspozicija</w:t>
      </w:r>
      <w:r w:rsidR="0081051F" w:rsidRPr="00220850">
        <w:rPr>
          <w:rFonts w:eastAsia="TimesNewRoman"/>
          <w:sz w:val="22"/>
          <w:szCs w:val="22"/>
        </w:rPr>
        <w:t xml:space="preserve"> gali padidėti</w:t>
      </w:r>
      <w:r w:rsidRPr="00220850">
        <w:rPr>
          <w:rFonts w:eastAsia="TimesNewRoman"/>
          <w:sz w:val="22"/>
          <w:szCs w:val="22"/>
        </w:rPr>
        <w:t>. Tais atvejais reikia</w:t>
      </w:r>
      <w:r w:rsidR="006E2B44" w:rsidRPr="00220850">
        <w:rPr>
          <w:rFonts w:eastAsia="TimesNewRoman"/>
          <w:sz w:val="22"/>
          <w:szCs w:val="22"/>
        </w:rPr>
        <w:t xml:space="preserve"> </w:t>
      </w:r>
      <w:r w:rsidRPr="00220850">
        <w:rPr>
          <w:rFonts w:eastAsia="TimesNewRoman"/>
          <w:sz w:val="22"/>
          <w:szCs w:val="22"/>
        </w:rPr>
        <w:t xml:space="preserve">atidžiai stebėti, kaip pacientas toleruoja </w:t>
      </w:r>
      <w:proofErr w:type="spellStart"/>
      <w:r w:rsidRPr="00220850">
        <w:rPr>
          <w:rFonts w:eastAsia="TimesNewRoman"/>
          <w:sz w:val="22"/>
          <w:szCs w:val="22"/>
        </w:rPr>
        <w:t>nintedanibą</w:t>
      </w:r>
      <w:proofErr w:type="spellEnd"/>
      <w:r w:rsidRPr="00220850">
        <w:rPr>
          <w:rFonts w:eastAsia="TimesNewRoman"/>
          <w:sz w:val="22"/>
          <w:szCs w:val="22"/>
        </w:rPr>
        <w:t xml:space="preserve">. Dėl nepageidaujamų reakcijų gali prireikti </w:t>
      </w:r>
      <w:proofErr w:type="spellStart"/>
      <w:r w:rsidR="006E2B44" w:rsidRPr="00220850">
        <w:rPr>
          <w:rFonts w:eastAsia="TimesNewRoman"/>
          <w:sz w:val="22"/>
          <w:szCs w:val="22"/>
        </w:rPr>
        <w:t>nintedanibo</w:t>
      </w:r>
      <w:proofErr w:type="spellEnd"/>
      <w:r w:rsidR="006E2B44" w:rsidRPr="00220850">
        <w:rPr>
          <w:rFonts w:eastAsia="TimesNewRoman"/>
          <w:sz w:val="22"/>
          <w:szCs w:val="22"/>
        </w:rPr>
        <w:t xml:space="preserve"> </w:t>
      </w:r>
      <w:r w:rsidRPr="00220850">
        <w:rPr>
          <w:rFonts w:eastAsia="TimesNewRoman"/>
          <w:sz w:val="22"/>
          <w:szCs w:val="22"/>
        </w:rPr>
        <w:t xml:space="preserve">vartojimą </w:t>
      </w:r>
      <w:r w:rsidR="00014A9C" w:rsidRPr="00220850">
        <w:rPr>
          <w:rFonts w:eastAsia="TimesNewRoman"/>
          <w:sz w:val="22"/>
          <w:szCs w:val="22"/>
        </w:rPr>
        <w:t>nutraukti</w:t>
      </w:r>
      <w:r w:rsidRPr="00220850">
        <w:rPr>
          <w:rFonts w:eastAsia="TimesNewRoman"/>
          <w:sz w:val="22"/>
          <w:szCs w:val="22"/>
        </w:rPr>
        <w:t>, sumažinti jo dozę ar nutraukti vartojimą (žr. 4.2 skyrių).</w:t>
      </w:r>
    </w:p>
    <w:p w14:paraId="19F27E45" w14:textId="77777777" w:rsidR="006E2B44" w:rsidRPr="00220850" w:rsidRDefault="006E2B44" w:rsidP="00684B07">
      <w:pPr>
        <w:autoSpaceDE w:val="0"/>
        <w:autoSpaceDN w:val="0"/>
        <w:adjustRightInd w:val="0"/>
        <w:rPr>
          <w:rFonts w:eastAsia="TimesNewRoman"/>
          <w:sz w:val="22"/>
          <w:szCs w:val="22"/>
        </w:rPr>
      </w:pPr>
    </w:p>
    <w:p w14:paraId="06E2E321" w14:textId="77777777" w:rsidR="00684B07" w:rsidRPr="00220850" w:rsidRDefault="00684B07" w:rsidP="00684B07">
      <w:pPr>
        <w:autoSpaceDE w:val="0"/>
        <w:autoSpaceDN w:val="0"/>
        <w:adjustRightInd w:val="0"/>
        <w:rPr>
          <w:rFonts w:eastAsia="TimesNewRoman"/>
          <w:sz w:val="22"/>
          <w:szCs w:val="22"/>
        </w:rPr>
      </w:pPr>
      <w:r w:rsidRPr="00220850">
        <w:rPr>
          <w:rFonts w:eastAsia="TimesNewRoman"/>
          <w:sz w:val="22"/>
          <w:szCs w:val="22"/>
        </w:rPr>
        <w:t>Stipriai veikiantys P-</w:t>
      </w:r>
      <w:proofErr w:type="spellStart"/>
      <w:r w:rsidRPr="00220850">
        <w:rPr>
          <w:rFonts w:eastAsia="TimesNewRoman"/>
          <w:sz w:val="22"/>
          <w:szCs w:val="22"/>
        </w:rPr>
        <w:t>gp</w:t>
      </w:r>
      <w:proofErr w:type="spellEnd"/>
      <w:r w:rsidRPr="00220850">
        <w:rPr>
          <w:rFonts w:eastAsia="TimesNewRoman"/>
          <w:sz w:val="22"/>
          <w:szCs w:val="22"/>
        </w:rPr>
        <w:t xml:space="preserve"> </w:t>
      </w:r>
      <w:proofErr w:type="spellStart"/>
      <w:r w:rsidRPr="00220850">
        <w:rPr>
          <w:rFonts w:eastAsia="TimesNewRoman"/>
          <w:sz w:val="22"/>
          <w:szCs w:val="22"/>
        </w:rPr>
        <w:t>induktoriai</w:t>
      </w:r>
      <w:proofErr w:type="spellEnd"/>
      <w:r w:rsidRPr="00220850">
        <w:rPr>
          <w:rFonts w:eastAsia="TimesNewRoman"/>
          <w:sz w:val="22"/>
          <w:szCs w:val="22"/>
        </w:rPr>
        <w:t xml:space="preserve"> (pvz., </w:t>
      </w:r>
      <w:proofErr w:type="spellStart"/>
      <w:r w:rsidRPr="00220850">
        <w:rPr>
          <w:rFonts w:eastAsia="TimesNewRoman"/>
          <w:sz w:val="22"/>
          <w:szCs w:val="22"/>
        </w:rPr>
        <w:t>rifampicinas</w:t>
      </w:r>
      <w:proofErr w:type="spellEnd"/>
      <w:r w:rsidRPr="00220850">
        <w:rPr>
          <w:rFonts w:eastAsia="TimesNewRoman"/>
          <w:sz w:val="22"/>
          <w:szCs w:val="22"/>
        </w:rPr>
        <w:t xml:space="preserve">, </w:t>
      </w:r>
      <w:proofErr w:type="spellStart"/>
      <w:r w:rsidRPr="00220850">
        <w:rPr>
          <w:rFonts w:eastAsia="TimesNewRoman"/>
          <w:sz w:val="22"/>
          <w:szCs w:val="22"/>
        </w:rPr>
        <w:t>karbamazepinas</w:t>
      </w:r>
      <w:proofErr w:type="spellEnd"/>
      <w:r w:rsidRPr="00220850">
        <w:rPr>
          <w:rFonts w:eastAsia="TimesNewRoman"/>
          <w:sz w:val="22"/>
          <w:szCs w:val="22"/>
        </w:rPr>
        <w:t xml:space="preserve">, </w:t>
      </w:r>
      <w:proofErr w:type="spellStart"/>
      <w:r w:rsidRPr="00220850">
        <w:rPr>
          <w:rFonts w:eastAsia="TimesNewRoman"/>
          <w:sz w:val="22"/>
          <w:szCs w:val="22"/>
        </w:rPr>
        <w:t>fenitoinas</w:t>
      </w:r>
      <w:proofErr w:type="spellEnd"/>
      <w:r w:rsidRPr="00220850">
        <w:rPr>
          <w:rFonts w:eastAsia="TimesNewRoman"/>
          <w:sz w:val="22"/>
          <w:szCs w:val="22"/>
        </w:rPr>
        <w:t xml:space="preserve"> ir paprastųjų</w:t>
      </w:r>
      <w:r w:rsidR="006E2B44" w:rsidRPr="00220850">
        <w:rPr>
          <w:rFonts w:eastAsia="TimesNewRoman"/>
          <w:sz w:val="22"/>
          <w:szCs w:val="22"/>
        </w:rPr>
        <w:t xml:space="preserve"> </w:t>
      </w:r>
      <w:r w:rsidRPr="00220850">
        <w:rPr>
          <w:rFonts w:eastAsia="TimesNewRoman"/>
          <w:sz w:val="22"/>
          <w:szCs w:val="22"/>
        </w:rPr>
        <w:t xml:space="preserve">jonažolių preparatai) gali sumažinti </w:t>
      </w:r>
      <w:proofErr w:type="spellStart"/>
      <w:r w:rsidRPr="00220850">
        <w:rPr>
          <w:rFonts w:eastAsia="TimesNewRoman"/>
          <w:sz w:val="22"/>
          <w:szCs w:val="22"/>
        </w:rPr>
        <w:t>nintedanibo</w:t>
      </w:r>
      <w:proofErr w:type="spellEnd"/>
      <w:r w:rsidRPr="00220850">
        <w:rPr>
          <w:rFonts w:eastAsia="TimesNewRoman"/>
          <w:sz w:val="22"/>
          <w:szCs w:val="22"/>
        </w:rPr>
        <w:t xml:space="preserve"> ekspoziciją. Reikia apsvarstyti galimybę </w:t>
      </w:r>
      <w:r w:rsidR="0081051F" w:rsidRPr="00220850">
        <w:rPr>
          <w:rFonts w:eastAsia="TimesNewRoman"/>
          <w:sz w:val="22"/>
          <w:szCs w:val="22"/>
        </w:rPr>
        <w:t xml:space="preserve">parinkti </w:t>
      </w:r>
      <w:r w:rsidRPr="00220850">
        <w:rPr>
          <w:rFonts w:eastAsia="TimesNewRoman"/>
          <w:sz w:val="22"/>
          <w:szCs w:val="22"/>
        </w:rPr>
        <w:t>kartu vartoti</w:t>
      </w:r>
      <w:r w:rsidR="006E2B44" w:rsidRPr="00220850">
        <w:rPr>
          <w:rFonts w:eastAsia="TimesNewRoman"/>
          <w:sz w:val="22"/>
          <w:szCs w:val="22"/>
        </w:rPr>
        <w:t xml:space="preserve"> </w:t>
      </w:r>
      <w:r w:rsidRPr="00220850">
        <w:rPr>
          <w:rFonts w:eastAsia="TimesNewRoman"/>
          <w:sz w:val="22"/>
          <w:szCs w:val="22"/>
        </w:rPr>
        <w:t xml:space="preserve">alternatyvų vaistinį preparatą, kuris </w:t>
      </w:r>
      <w:r w:rsidR="00890A67" w:rsidRPr="00220850">
        <w:rPr>
          <w:rFonts w:eastAsia="TimesNewRoman"/>
          <w:sz w:val="22"/>
          <w:szCs w:val="22"/>
        </w:rPr>
        <w:t xml:space="preserve">nesukelia </w:t>
      </w:r>
      <w:r w:rsidRPr="00220850">
        <w:rPr>
          <w:rFonts w:eastAsia="TimesNewRoman"/>
          <w:sz w:val="22"/>
          <w:szCs w:val="22"/>
        </w:rPr>
        <w:t>P-</w:t>
      </w:r>
      <w:proofErr w:type="spellStart"/>
      <w:r w:rsidRPr="00220850">
        <w:rPr>
          <w:rFonts w:eastAsia="TimesNewRoman"/>
          <w:sz w:val="22"/>
          <w:szCs w:val="22"/>
        </w:rPr>
        <w:t>gp</w:t>
      </w:r>
      <w:proofErr w:type="spellEnd"/>
      <w:r w:rsidRPr="00220850">
        <w:rPr>
          <w:rFonts w:eastAsia="TimesNewRoman"/>
          <w:sz w:val="22"/>
          <w:szCs w:val="22"/>
        </w:rPr>
        <w:t xml:space="preserve"> induk</w:t>
      </w:r>
      <w:r w:rsidR="00890A67" w:rsidRPr="00220850">
        <w:rPr>
          <w:rFonts w:eastAsia="TimesNewRoman"/>
          <w:sz w:val="22"/>
          <w:szCs w:val="22"/>
        </w:rPr>
        <w:t>cijos</w:t>
      </w:r>
      <w:r w:rsidRPr="00220850">
        <w:rPr>
          <w:rFonts w:eastAsia="TimesNewRoman"/>
          <w:sz w:val="22"/>
          <w:szCs w:val="22"/>
        </w:rPr>
        <w:t xml:space="preserve"> ar indukuoja m</w:t>
      </w:r>
      <w:r w:rsidR="00890A67" w:rsidRPr="00220850">
        <w:rPr>
          <w:rFonts w:eastAsia="TimesNewRoman"/>
          <w:sz w:val="22"/>
          <w:szCs w:val="22"/>
        </w:rPr>
        <w:t>inimaliai</w:t>
      </w:r>
      <w:r w:rsidRPr="00220850">
        <w:rPr>
          <w:rFonts w:eastAsia="TimesNewRoman"/>
          <w:sz w:val="22"/>
          <w:szCs w:val="22"/>
        </w:rPr>
        <w:t>.</w:t>
      </w:r>
    </w:p>
    <w:p w14:paraId="49301618" w14:textId="77777777" w:rsidR="006E2B44" w:rsidRPr="00220850" w:rsidRDefault="006E2B44" w:rsidP="00684B07">
      <w:pPr>
        <w:autoSpaceDE w:val="0"/>
        <w:autoSpaceDN w:val="0"/>
        <w:adjustRightInd w:val="0"/>
        <w:rPr>
          <w:rFonts w:eastAsia="TimesNewRoman"/>
          <w:sz w:val="22"/>
          <w:szCs w:val="22"/>
        </w:rPr>
      </w:pPr>
    </w:p>
    <w:p w14:paraId="54CC7DE5" w14:textId="77777777" w:rsidR="00684B07" w:rsidRPr="00220850" w:rsidRDefault="00684B07" w:rsidP="00684B07">
      <w:pPr>
        <w:autoSpaceDE w:val="0"/>
        <w:autoSpaceDN w:val="0"/>
        <w:adjustRightInd w:val="0"/>
        <w:rPr>
          <w:rFonts w:eastAsia="TimesNewRoman"/>
          <w:sz w:val="22"/>
          <w:szCs w:val="22"/>
          <w:u w:val="single"/>
        </w:rPr>
      </w:pPr>
      <w:proofErr w:type="spellStart"/>
      <w:r w:rsidRPr="00220850">
        <w:rPr>
          <w:rFonts w:eastAsia="TimesNewRoman"/>
          <w:sz w:val="22"/>
          <w:szCs w:val="22"/>
          <w:u w:val="single"/>
        </w:rPr>
        <w:t>Citochromo</w:t>
      </w:r>
      <w:proofErr w:type="spellEnd"/>
      <w:r w:rsidRPr="00220850">
        <w:rPr>
          <w:rFonts w:eastAsia="TimesNewRoman"/>
          <w:sz w:val="22"/>
          <w:szCs w:val="22"/>
          <w:u w:val="single"/>
        </w:rPr>
        <w:t xml:space="preserve"> (CYP) fermentai</w:t>
      </w:r>
    </w:p>
    <w:p w14:paraId="4406989A" w14:textId="77777777" w:rsidR="00684B07" w:rsidRPr="00220850" w:rsidRDefault="00684B07" w:rsidP="00684B07">
      <w:pPr>
        <w:autoSpaceDE w:val="0"/>
        <w:autoSpaceDN w:val="0"/>
        <w:adjustRightInd w:val="0"/>
        <w:rPr>
          <w:rFonts w:eastAsia="TimesNewRoman"/>
          <w:sz w:val="22"/>
          <w:szCs w:val="22"/>
        </w:rPr>
      </w:pPr>
      <w:r w:rsidRPr="00220850">
        <w:rPr>
          <w:rFonts w:eastAsia="TimesNewRoman"/>
          <w:sz w:val="22"/>
          <w:szCs w:val="22"/>
        </w:rPr>
        <w:t xml:space="preserve">Tik maža dalis </w:t>
      </w:r>
      <w:proofErr w:type="spellStart"/>
      <w:r w:rsidRPr="00220850">
        <w:rPr>
          <w:rFonts w:eastAsia="TimesNewRoman"/>
          <w:sz w:val="22"/>
          <w:szCs w:val="22"/>
        </w:rPr>
        <w:t>nintedanibo</w:t>
      </w:r>
      <w:proofErr w:type="spellEnd"/>
      <w:r w:rsidRPr="00220850">
        <w:rPr>
          <w:rFonts w:eastAsia="TimesNewRoman"/>
          <w:sz w:val="22"/>
          <w:szCs w:val="22"/>
        </w:rPr>
        <w:t xml:space="preserve"> </w:t>
      </w:r>
      <w:proofErr w:type="spellStart"/>
      <w:r w:rsidRPr="00220850">
        <w:rPr>
          <w:rFonts w:eastAsia="TimesNewRoman"/>
          <w:sz w:val="22"/>
          <w:szCs w:val="22"/>
        </w:rPr>
        <w:t>biotransformacijos</w:t>
      </w:r>
      <w:proofErr w:type="spellEnd"/>
      <w:r w:rsidRPr="00220850">
        <w:rPr>
          <w:rFonts w:eastAsia="TimesNewRoman"/>
          <w:sz w:val="22"/>
          <w:szCs w:val="22"/>
        </w:rPr>
        <w:t xml:space="preserve"> vyksta veikiant CYP fermentams. </w:t>
      </w:r>
      <w:proofErr w:type="spellStart"/>
      <w:r w:rsidRPr="00220850">
        <w:rPr>
          <w:rFonts w:eastAsia="TimesNewRoman"/>
          <w:sz w:val="22"/>
          <w:szCs w:val="22"/>
        </w:rPr>
        <w:t>Ikiklinikinių</w:t>
      </w:r>
      <w:proofErr w:type="spellEnd"/>
      <w:r w:rsidRPr="00220850">
        <w:rPr>
          <w:rFonts w:eastAsia="TimesNewRoman"/>
          <w:sz w:val="22"/>
          <w:szCs w:val="22"/>
        </w:rPr>
        <w:t xml:space="preserve"> tyrimų</w:t>
      </w:r>
      <w:r w:rsidR="00890A67" w:rsidRPr="00220850">
        <w:rPr>
          <w:rFonts w:eastAsia="TimesNewRoman"/>
          <w:sz w:val="22"/>
          <w:szCs w:val="22"/>
        </w:rPr>
        <w:t xml:space="preserve"> </w:t>
      </w:r>
      <w:r w:rsidRPr="00220850">
        <w:rPr>
          <w:rFonts w:eastAsia="TimesNewRoman"/>
          <w:sz w:val="22"/>
          <w:szCs w:val="22"/>
        </w:rPr>
        <w:t xml:space="preserve">metu nustatyta, kad </w:t>
      </w:r>
      <w:proofErr w:type="spellStart"/>
      <w:r w:rsidRPr="00220850">
        <w:rPr>
          <w:rFonts w:eastAsia="TimesNewRoman"/>
          <w:sz w:val="22"/>
          <w:szCs w:val="22"/>
        </w:rPr>
        <w:t>nintedanibas</w:t>
      </w:r>
      <w:proofErr w:type="spellEnd"/>
      <w:r w:rsidRPr="00220850">
        <w:rPr>
          <w:rFonts w:eastAsia="TimesNewRoman"/>
          <w:sz w:val="22"/>
          <w:szCs w:val="22"/>
        </w:rPr>
        <w:t xml:space="preserve"> ir jo metabolitai</w:t>
      </w:r>
      <w:r w:rsidR="00644F4E" w:rsidRPr="00220850">
        <w:rPr>
          <w:rFonts w:eastAsia="TimesNewRoman"/>
          <w:sz w:val="22"/>
          <w:szCs w:val="22"/>
        </w:rPr>
        <w:t xml:space="preserve"> -</w:t>
      </w:r>
      <w:r w:rsidRPr="00220850">
        <w:rPr>
          <w:rFonts w:eastAsia="TimesNewRoman"/>
          <w:sz w:val="22"/>
          <w:szCs w:val="22"/>
        </w:rPr>
        <w:t xml:space="preserve"> laisvosios rūgšties dalis BIBF 1202 ir jos</w:t>
      </w:r>
      <w:r w:rsidR="00890A67" w:rsidRPr="00220850">
        <w:rPr>
          <w:rFonts w:eastAsia="TimesNewRoman"/>
          <w:sz w:val="22"/>
          <w:szCs w:val="22"/>
        </w:rPr>
        <w:t xml:space="preserve"> </w:t>
      </w:r>
      <w:proofErr w:type="spellStart"/>
      <w:r w:rsidRPr="00220850">
        <w:rPr>
          <w:rFonts w:eastAsia="TimesNewRoman"/>
          <w:sz w:val="22"/>
          <w:szCs w:val="22"/>
        </w:rPr>
        <w:t>gliukuronidas</w:t>
      </w:r>
      <w:proofErr w:type="spellEnd"/>
      <w:r w:rsidRPr="00220850">
        <w:rPr>
          <w:rFonts w:eastAsia="TimesNewRoman"/>
          <w:sz w:val="22"/>
          <w:szCs w:val="22"/>
        </w:rPr>
        <w:t xml:space="preserve"> BIBF 1202 </w:t>
      </w:r>
      <w:proofErr w:type="spellStart"/>
      <w:r w:rsidRPr="00220850">
        <w:rPr>
          <w:rFonts w:eastAsia="TimesNewRoman"/>
          <w:sz w:val="22"/>
          <w:szCs w:val="22"/>
        </w:rPr>
        <w:t>gliukuronidas</w:t>
      </w:r>
      <w:proofErr w:type="spellEnd"/>
      <w:r w:rsidR="00890A67" w:rsidRPr="00220850">
        <w:rPr>
          <w:rFonts w:eastAsia="TimesNewRoman"/>
          <w:sz w:val="22"/>
          <w:szCs w:val="22"/>
        </w:rPr>
        <w:t>,</w:t>
      </w:r>
      <w:r w:rsidRPr="00220850">
        <w:rPr>
          <w:rFonts w:eastAsia="TimesNewRoman"/>
          <w:sz w:val="22"/>
          <w:szCs w:val="22"/>
        </w:rPr>
        <w:t xml:space="preserve"> CYP fermentų neslopina ir ne</w:t>
      </w:r>
      <w:r w:rsidR="00890A67" w:rsidRPr="00220850">
        <w:rPr>
          <w:rFonts w:eastAsia="TimesNewRoman"/>
          <w:sz w:val="22"/>
          <w:szCs w:val="22"/>
        </w:rPr>
        <w:t>sužadina</w:t>
      </w:r>
      <w:r w:rsidRPr="00220850">
        <w:rPr>
          <w:rFonts w:eastAsia="TimesNewRoman"/>
          <w:sz w:val="22"/>
          <w:szCs w:val="22"/>
        </w:rPr>
        <w:t xml:space="preserve"> (žr. 5.2 skyrių).</w:t>
      </w:r>
      <w:r w:rsidR="00644F4E" w:rsidRPr="00220850">
        <w:rPr>
          <w:rFonts w:eastAsia="TimesNewRoman"/>
          <w:sz w:val="22"/>
          <w:szCs w:val="22"/>
        </w:rPr>
        <w:t xml:space="preserve"> </w:t>
      </w:r>
      <w:r w:rsidRPr="00220850">
        <w:rPr>
          <w:rFonts w:eastAsia="TimesNewRoman"/>
          <w:sz w:val="22"/>
          <w:szCs w:val="22"/>
        </w:rPr>
        <w:t xml:space="preserve">Taigi manoma, kad CYP metabolizmu pagrįstos vaistinių preparatų sąveikos su </w:t>
      </w:r>
      <w:proofErr w:type="spellStart"/>
      <w:r w:rsidRPr="00220850">
        <w:rPr>
          <w:rFonts w:eastAsia="TimesNewRoman"/>
          <w:sz w:val="22"/>
          <w:szCs w:val="22"/>
        </w:rPr>
        <w:t>nintedanibu</w:t>
      </w:r>
      <w:proofErr w:type="spellEnd"/>
      <w:r w:rsidRPr="00220850">
        <w:rPr>
          <w:rFonts w:eastAsia="TimesNewRoman"/>
          <w:sz w:val="22"/>
          <w:szCs w:val="22"/>
        </w:rPr>
        <w:t xml:space="preserve"> tikimybė</w:t>
      </w:r>
      <w:r w:rsidR="00890A67" w:rsidRPr="00220850">
        <w:rPr>
          <w:rFonts w:eastAsia="TimesNewRoman"/>
          <w:sz w:val="22"/>
          <w:szCs w:val="22"/>
        </w:rPr>
        <w:t xml:space="preserve"> </w:t>
      </w:r>
      <w:r w:rsidRPr="00220850">
        <w:rPr>
          <w:rFonts w:eastAsia="TimesNewRoman"/>
          <w:sz w:val="22"/>
          <w:szCs w:val="22"/>
        </w:rPr>
        <w:t>yra maža.</w:t>
      </w:r>
    </w:p>
    <w:p w14:paraId="4C1920B0" w14:textId="77777777" w:rsidR="00890A67" w:rsidRPr="00220850" w:rsidRDefault="00890A67" w:rsidP="00684B07">
      <w:pPr>
        <w:autoSpaceDE w:val="0"/>
        <w:autoSpaceDN w:val="0"/>
        <w:adjustRightInd w:val="0"/>
        <w:rPr>
          <w:rFonts w:eastAsia="TimesNewRoman"/>
          <w:sz w:val="22"/>
          <w:szCs w:val="22"/>
        </w:rPr>
      </w:pPr>
    </w:p>
    <w:p w14:paraId="7B07EA7B" w14:textId="77777777" w:rsidR="00684B07" w:rsidRPr="00220850" w:rsidRDefault="00684B07" w:rsidP="00684B07">
      <w:pPr>
        <w:autoSpaceDE w:val="0"/>
        <w:autoSpaceDN w:val="0"/>
        <w:adjustRightInd w:val="0"/>
        <w:rPr>
          <w:rFonts w:eastAsia="TimesNewRoman"/>
          <w:sz w:val="22"/>
          <w:szCs w:val="22"/>
          <w:u w:val="single"/>
        </w:rPr>
      </w:pPr>
      <w:r w:rsidRPr="00220850">
        <w:rPr>
          <w:rFonts w:eastAsia="TimesNewRoman"/>
          <w:sz w:val="22"/>
          <w:szCs w:val="22"/>
          <w:u w:val="single"/>
        </w:rPr>
        <w:t>Derinimas su kitais vaistiniais preparatais</w:t>
      </w:r>
    </w:p>
    <w:p w14:paraId="79BB7C1F" w14:textId="77777777" w:rsidR="00684B07" w:rsidRPr="00220850" w:rsidRDefault="00684B07" w:rsidP="00684B07">
      <w:pPr>
        <w:autoSpaceDE w:val="0"/>
        <w:autoSpaceDN w:val="0"/>
        <w:adjustRightInd w:val="0"/>
        <w:rPr>
          <w:rFonts w:eastAsia="TimesNewRoman"/>
          <w:sz w:val="22"/>
          <w:szCs w:val="22"/>
        </w:rPr>
      </w:pPr>
      <w:proofErr w:type="spellStart"/>
      <w:r w:rsidRPr="00220850">
        <w:rPr>
          <w:rFonts w:eastAsia="TimesNewRoman"/>
          <w:sz w:val="22"/>
          <w:szCs w:val="22"/>
        </w:rPr>
        <w:t>Nintedanibą</w:t>
      </w:r>
      <w:proofErr w:type="spellEnd"/>
      <w:r w:rsidRPr="00220850">
        <w:rPr>
          <w:rFonts w:eastAsia="TimesNewRoman"/>
          <w:sz w:val="22"/>
          <w:szCs w:val="22"/>
        </w:rPr>
        <w:t xml:space="preserve"> vartojant kartu su geriamaisiais hormoniniais kontraceptikais, geriamųjų hormoninių</w:t>
      </w:r>
      <w:r w:rsidR="00890A67" w:rsidRPr="00220850">
        <w:rPr>
          <w:rFonts w:eastAsia="TimesNewRoman"/>
          <w:sz w:val="22"/>
          <w:szCs w:val="22"/>
        </w:rPr>
        <w:t xml:space="preserve"> </w:t>
      </w:r>
      <w:r w:rsidRPr="00220850">
        <w:rPr>
          <w:rFonts w:eastAsia="TimesNewRoman"/>
          <w:sz w:val="22"/>
          <w:szCs w:val="22"/>
        </w:rPr>
        <w:t>kontraceptikų farmakokinetika reikšmingai nepakito (žr. 5.2 skyrių).</w:t>
      </w:r>
    </w:p>
    <w:p w14:paraId="2895B2D1" w14:textId="77777777" w:rsidR="00890A67" w:rsidRPr="00220850" w:rsidRDefault="00890A67" w:rsidP="00684B07">
      <w:pPr>
        <w:tabs>
          <w:tab w:val="left" w:pos="567"/>
        </w:tabs>
        <w:spacing w:line="260" w:lineRule="exact"/>
        <w:rPr>
          <w:rFonts w:eastAsia="TimesNewRoman"/>
          <w:sz w:val="22"/>
          <w:szCs w:val="22"/>
        </w:rPr>
      </w:pPr>
    </w:p>
    <w:p w14:paraId="11F9B1A7" w14:textId="77777777" w:rsidR="00DE01F8" w:rsidRPr="00220850" w:rsidRDefault="00684B07" w:rsidP="00684B07">
      <w:pPr>
        <w:tabs>
          <w:tab w:val="left" w:pos="567"/>
        </w:tabs>
        <w:spacing w:line="260" w:lineRule="exact"/>
        <w:rPr>
          <w:sz w:val="22"/>
          <w:szCs w:val="24"/>
        </w:rPr>
      </w:pPr>
      <w:proofErr w:type="spellStart"/>
      <w:r w:rsidRPr="00220850">
        <w:rPr>
          <w:rFonts w:eastAsia="TimesNewRoman"/>
          <w:sz w:val="22"/>
          <w:szCs w:val="22"/>
        </w:rPr>
        <w:t>Nintedanibą</w:t>
      </w:r>
      <w:proofErr w:type="spellEnd"/>
      <w:r w:rsidRPr="00220850">
        <w:rPr>
          <w:rFonts w:eastAsia="TimesNewRoman"/>
          <w:sz w:val="22"/>
          <w:szCs w:val="22"/>
        </w:rPr>
        <w:t xml:space="preserve"> vartojant kartu su </w:t>
      </w:r>
      <w:proofErr w:type="spellStart"/>
      <w:r w:rsidRPr="00220850">
        <w:rPr>
          <w:rFonts w:eastAsia="TimesNewRoman"/>
          <w:sz w:val="22"/>
          <w:szCs w:val="22"/>
        </w:rPr>
        <w:t>bozentanu</w:t>
      </w:r>
      <w:proofErr w:type="spellEnd"/>
      <w:r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farmakokinetika nepakito (žr. 5.2 skyrių).</w:t>
      </w:r>
    </w:p>
    <w:p w14:paraId="33211036" w14:textId="77777777" w:rsidR="00684B07" w:rsidRPr="00220850" w:rsidRDefault="00684B07">
      <w:pPr>
        <w:keepNext/>
        <w:tabs>
          <w:tab w:val="left" w:pos="567"/>
        </w:tabs>
        <w:spacing w:line="260" w:lineRule="exact"/>
        <w:jc w:val="both"/>
        <w:outlineLvl w:val="3"/>
        <w:rPr>
          <w:b/>
          <w:bCs/>
          <w:sz w:val="22"/>
          <w:szCs w:val="28"/>
          <w:lang w:eastAsia="x-none"/>
        </w:rPr>
      </w:pPr>
    </w:p>
    <w:p w14:paraId="4EF91D8C" w14:textId="77777777" w:rsidR="00D8706D" w:rsidRPr="00220850" w:rsidRDefault="00D8706D" w:rsidP="00D8706D">
      <w:pPr>
        <w:pStyle w:val="Default"/>
        <w:rPr>
          <w:color w:val="auto"/>
          <w:sz w:val="22"/>
          <w:szCs w:val="22"/>
          <w:u w:val="single"/>
          <w:lang w:val="lt-LT"/>
        </w:rPr>
      </w:pPr>
      <w:r w:rsidRPr="00220850">
        <w:rPr>
          <w:color w:val="auto"/>
          <w:sz w:val="22"/>
          <w:szCs w:val="22"/>
          <w:u w:val="single"/>
          <w:lang w:val="lt-LT"/>
        </w:rPr>
        <w:t xml:space="preserve">Vaikų populiacija </w:t>
      </w:r>
    </w:p>
    <w:p w14:paraId="4C99B94B" w14:textId="45EF6DCF" w:rsidR="004B2460" w:rsidRPr="00220850" w:rsidRDefault="00D8706D" w:rsidP="00D8706D">
      <w:pPr>
        <w:keepNext/>
        <w:tabs>
          <w:tab w:val="left" w:pos="567"/>
        </w:tabs>
        <w:spacing w:line="260" w:lineRule="exact"/>
        <w:jc w:val="both"/>
        <w:outlineLvl w:val="3"/>
        <w:rPr>
          <w:b/>
          <w:bCs/>
          <w:sz w:val="22"/>
          <w:szCs w:val="28"/>
          <w:lang w:eastAsia="x-none"/>
        </w:rPr>
      </w:pPr>
      <w:r w:rsidRPr="00220850">
        <w:rPr>
          <w:sz w:val="22"/>
          <w:szCs w:val="22"/>
        </w:rPr>
        <w:t>Sąveikos tyrimai atlikti tik suaugusiesiems.</w:t>
      </w:r>
    </w:p>
    <w:p w14:paraId="007AC40A" w14:textId="77777777" w:rsidR="00D8706D" w:rsidRPr="00220850" w:rsidRDefault="00D8706D">
      <w:pPr>
        <w:keepNext/>
        <w:tabs>
          <w:tab w:val="left" w:pos="567"/>
        </w:tabs>
        <w:spacing w:line="260" w:lineRule="exact"/>
        <w:jc w:val="both"/>
        <w:outlineLvl w:val="3"/>
        <w:rPr>
          <w:b/>
          <w:bCs/>
          <w:sz w:val="22"/>
          <w:szCs w:val="28"/>
          <w:lang w:eastAsia="x-none"/>
        </w:rPr>
      </w:pPr>
    </w:p>
    <w:p w14:paraId="1677B878" w14:textId="1D271C70"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4.6</w:t>
      </w:r>
      <w:r w:rsidRPr="00220850">
        <w:rPr>
          <w:b/>
          <w:bCs/>
          <w:sz w:val="22"/>
          <w:szCs w:val="28"/>
          <w:lang w:eastAsia="x-none"/>
        </w:rPr>
        <w:tab/>
        <w:t>Vaisingumas, nėštumo ir žindymo laikotarpis</w:t>
      </w:r>
    </w:p>
    <w:p w14:paraId="09EC86B3" w14:textId="77777777" w:rsidR="00DE01F8" w:rsidRPr="00220850" w:rsidRDefault="00DE01F8">
      <w:pPr>
        <w:tabs>
          <w:tab w:val="left" w:pos="567"/>
        </w:tabs>
        <w:spacing w:line="260" w:lineRule="exact"/>
        <w:rPr>
          <w:sz w:val="22"/>
          <w:szCs w:val="24"/>
        </w:rPr>
      </w:pPr>
    </w:p>
    <w:p w14:paraId="51F82FDB" w14:textId="0B568381" w:rsidR="00890A67" w:rsidRPr="00220850" w:rsidRDefault="00890A67" w:rsidP="00890A67">
      <w:pPr>
        <w:autoSpaceDE w:val="0"/>
        <w:autoSpaceDN w:val="0"/>
        <w:adjustRightInd w:val="0"/>
        <w:rPr>
          <w:rFonts w:eastAsia="TimesNewRoman"/>
          <w:sz w:val="22"/>
          <w:szCs w:val="22"/>
          <w:u w:val="single"/>
        </w:rPr>
      </w:pPr>
      <w:r w:rsidRPr="00220850">
        <w:rPr>
          <w:rFonts w:eastAsia="TimesNewRoman"/>
          <w:sz w:val="22"/>
          <w:szCs w:val="22"/>
          <w:u w:val="single"/>
        </w:rPr>
        <w:t>Vaisingo</w:t>
      </w:r>
      <w:r w:rsidR="00014A9C" w:rsidRPr="00220850">
        <w:rPr>
          <w:rFonts w:eastAsia="TimesNewRoman"/>
          <w:sz w:val="22"/>
          <w:szCs w:val="22"/>
          <w:u w:val="single"/>
        </w:rPr>
        <w:t>s</w:t>
      </w:r>
      <w:r w:rsidRPr="00220850">
        <w:rPr>
          <w:rFonts w:eastAsia="TimesNewRoman"/>
          <w:sz w:val="22"/>
          <w:szCs w:val="22"/>
          <w:u w:val="single"/>
        </w:rPr>
        <w:t xml:space="preserve"> moterys / kontracepcija</w:t>
      </w:r>
    </w:p>
    <w:p w14:paraId="3950D28E" w14:textId="3A7A537D" w:rsidR="00890A67" w:rsidRPr="00220850" w:rsidRDefault="00890A67" w:rsidP="00890A67">
      <w:pPr>
        <w:autoSpaceDE w:val="0"/>
        <w:autoSpaceDN w:val="0"/>
        <w:adjustRightInd w:val="0"/>
        <w:rPr>
          <w:rFonts w:eastAsia="TimesNewRoman"/>
          <w:sz w:val="22"/>
          <w:szCs w:val="22"/>
        </w:rPr>
      </w:pPr>
      <w:proofErr w:type="spellStart"/>
      <w:r w:rsidRPr="00220850">
        <w:rPr>
          <w:rFonts w:eastAsia="TimesNewRoman"/>
          <w:sz w:val="22"/>
          <w:szCs w:val="22"/>
        </w:rPr>
        <w:t>Nintedanibas</w:t>
      </w:r>
      <w:proofErr w:type="spellEnd"/>
      <w:r w:rsidRPr="00220850">
        <w:rPr>
          <w:rFonts w:eastAsia="TimesNewRoman"/>
          <w:sz w:val="22"/>
          <w:szCs w:val="22"/>
        </w:rPr>
        <w:t xml:space="preserve"> gali </w:t>
      </w:r>
      <w:r w:rsidR="00014A9C" w:rsidRPr="00220850">
        <w:rPr>
          <w:rFonts w:eastAsia="TimesNewRoman"/>
          <w:sz w:val="22"/>
          <w:szCs w:val="22"/>
        </w:rPr>
        <w:t xml:space="preserve">pakenkti </w:t>
      </w:r>
      <w:r w:rsidR="00644F4E" w:rsidRPr="00220850">
        <w:rPr>
          <w:rFonts w:eastAsia="TimesNewRoman"/>
          <w:sz w:val="22"/>
          <w:szCs w:val="22"/>
        </w:rPr>
        <w:t>žmogaus vaisi</w:t>
      </w:r>
      <w:r w:rsidR="00014A9C" w:rsidRPr="00220850">
        <w:rPr>
          <w:rFonts w:eastAsia="TimesNewRoman"/>
          <w:sz w:val="22"/>
          <w:szCs w:val="22"/>
        </w:rPr>
        <w:t>ui</w:t>
      </w:r>
      <w:r w:rsidRPr="00220850">
        <w:rPr>
          <w:rFonts w:eastAsia="TimesNewRoman"/>
          <w:sz w:val="22"/>
          <w:szCs w:val="22"/>
        </w:rPr>
        <w:t xml:space="preserve"> (žr. 5.3 skyrių). Vaisingo amžiaus moterims reikia patarti vengti pastoti gydymo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Pr="00220850">
        <w:rPr>
          <w:rFonts w:eastAsia="TimesNewRoman"/>
          <w:sz w:val="22"/>
          <w:szCs w:val="22"/>
        </w:rPr>
        <w:t>metu</w:t>
      </w:r>
      <w:r w:rsidR="0021509E" w:rsidRPr="00220850">
        <w:rPr>
          <w:rFonts w:eastAsia="TimesNewRoman"/>
          <w:sz w:val="22"/>
          <w:szCs w:val="22"/>
        </w:rPr>
        <w:t xml:space="preserve"> ir p</w:t>
      </w:r>
      <w:r w:rsidRPr="00220850">
        <w:rPr>
          <w:rFonts w:eastAsia="TimesNewRoman"/>
          <w:sz w:val="22"/>
          <w:szCs w:val="22"/>
        </w:rPr>
        <w:t xml:space="preserve">radedant gydymą, gydymo metu bei mažiausiai 3 mėnesius po paskutinės </w:t>
      </w:r>
      <w:proofErr w:type="spellStart"/>
      <w:r w:rsidR="0021509E" w:rsidRPr="00220850">
        <w:rPr>
          <w:sz w:val="22"/>
          <w:szCs w:val="22"/>
        </w:rPr>
        <w:t>Nintedanib</w:t>
      </w:r>
      <w:proofErr w:type="spellEnd"/>
      <w:r w:rsidR="0021509E" w:rsidRPr="00220850">
        <w:rPr>
          <w:sz w:val="22"/>
          <w:szCs w:val="22"/>
        </w:rPr>
        <w:t xml:space="preserve"> </w:t>
      </w:r>
      <w:proofErr w:type="spellStart"/>
      <w:r w:rsidR="0021509E" w:rsidRPr="00220850">
        <w:rPr>
          <w:sz w:val="22"/>
          <w:szCs w:val="22"/>
        </w:rPr>
        <w:t>Teva</w:t>
      </w:r>
      <w:proofErr w:type="spellEnd"/>
      <w:r w:rsidR="0021509E" w:rsidRPr="00220850">
        <w:rPr>
          <w:sz w:val="22"/>
          <w:szCs w:val="22"/>
        </w:rPr>
        <w:t xml:space="preserve"> </w:t>
      </w:r>
      <w:r w:rsidRPr="00220850">
        <w:rPr>
          <w:rFonts w:eastAsia="TimesNewRoman"/>
          <w:sz w:val="22"/>
          <w:szCs w:val="22"/>
        </w:rPr>
        <w:t>dozės pavartojimo turi naudoti labai veiksmingus kontracepcijos metodus.</w:t>
      </w:r>
      <w:r w:rsidR="0021509E" w:rsidRPr="00220850">
        <w:rPr>
          <w:rFonts w:eastAsia="TimesNewRoman"/>
          <w:sz w:val="22"/>
          <w:szCs w:val="22"/>
        </w:rPr>
        <w:t xml:space="preserve"> </w:t>
      </w:r>
      <w:proofErr w:type="spellStart"/>
      <w:r w:rsidRPr="00220850">
        <w:rPr>
          <w:rFonts w:eastAsia="TimesNewRoman"/>
          <w:sz w:val="22"/>
          <w:szCs w:val="22"/>
        </w:rPr>
        <w:t>Nintedanibas</w:t>
      </w:r>
      <w:proofErr w:type="spellEnd"/>
      <w:r w:rsidRPr="00220850">
        <w:rPr>
          <w:rFonts w:eastAsia="TimesNewRoman"/>
          <w:sz w:val="22"/>
          <w:szCs w:val="22"/>
        </w:rPr>
        <w:t xml:space="preserve"> reikšmingai neveikia </w:t>
      </w:r>
      <w:proofErr w:type="spellStart"/>
      <w:r w:rsidRPr="00220850">
        <w:rPr>
          <w:rFonts w:eastAsia="TimesNewRoman"/>
          <w:sz w:val="22"/>
          <w:szCs w:val="22"/>
        </w:rPr>
        <w:t>etinilestradiolio</w:t>
      </w:r>
      <w:proofErr w:type="spellEnd"/>
      <w:r w:rsidRPr="00220850">
        <w:rPr>
          <w:rFonts w:eastAsia="TimesNewRoman"/>
          <w:sz w:val="22"/>
          <w:szCs w:val="22"/>
        </w:rPr>
        <w:t xml:space="preserve"> ir </w:t>
      </w:r>
      <w:proofErr w:type="spellStart"/>
      <w:r w:rsidRPr="00220850">
        <w:rPr>
          <w:rFonts w:eastAsia="TimesNewRoman"/>
          <w:sz w:val="22"/>
          <w:szCs w:val="22"/>
        </w:rPr>
        <w:t>levonorgestrelio</w:t>
      </w:r>
      <w:proofErr w:type="spellEnd"/>
      <w:r w:rsidRPr="00220850">
        <w:rPr>
          <w:rFonts w:eastAsia="TimesNewRoman"/>
          <w:sz w:val="22"/>
          <w:szCs w:val="22"/>
        </w:rPr>
        <w:t xml:space="preserve"> ekspozicijos plazmoje (žr.</w:t>
      </w:r>
      <w:r w:rsidR="0021509E" w:rsidRPr="00220850">
        <w:rPr>
          <w:rFonts w:eastAsia="TimesNewRoman"/>
          <w:sz w:val="22"/>
          <w:szCs w:val="22"/>
        </w:rPr>
        <w:t xml:space="preserve"> </w:t>
      </w:r>
      <w:r w:rsidRPr="00220850">
        <w:rPr>
          <w:rFonts w:eastAsia="TimesNewRoman"/>
          <w:sz w:val="22"/>
          <w:szCs w:val="22"/>
        </w:rPr>
        <w:t>5.2 skyrių). Geriamųjų hormoninių kontraceptikų veiksmingumas gali sumažėti dėl vėmimo ir (arba)</w:t>
      </w:r>
      <w:r w:rsidR="0021509E" w:rsidRPr="00220850">
        <w:rPr>
          <w:rFonts w:eastAsia="TimesNewRoman"/>
          <w:sz w:val="22"/>
          <w:szCs w:val="22"/>
        </w:rPr>
        <w:t xml:space="preserve"> </w:t>
      </w:r>
      <w:r w:rsidRPr="00220850">
        <w:rPr>
          <w:rFonts w:eastAsia="TimesNewRoman"/>
          <w:sz w:val="22"/>
          <w:szCs w:val="22"/>
        </w:rPr>
        <w:t xml:space="preserve">viduriavimo arba kitų būklių, kurios gali paveikti </w:t>
      </w:r>
      <w:r w:rsidR="00644F4E" w:rsidRPr="00220850">
        <w:rPr>
          <w:rFonts w:eastAsia="TimesNewRoman"/>
          <w:sz w:val="22"/>
          <w:szCs w:val="22"/>
        </w:rPr>
        <w:t xml:space="preserve">jų </w:t>
      </w:r>
      <w:r w:rsidRPr="00220850">
        <w:rPr>
          <w:rFonts w:eastAsia="TimesNewRoman"/>
          <w:sz w:val="22"/>
          <w:szCs w:val="22"/>
        </w:rPr>
        <w:t>absorbciją. Geriamųjų hormoninių kontraceptikų</w:t>
      </w:r>
      <w:r w:rsidR="0021509E" w:rsidRPr="00220850">
        <w:rPr>
          <w:rFonts w:eastAsia="TimesNewRoman"/>
          <w:sz w:val="22"/>
          <w:szCs w:val="22"/>
        </w:rPr>
        <w:t xml:space="preserve"> </w:t>
      </w:r>
      <w:r w:rsidRPr="00220850">
        <w:rPr>
          <w:rFonts w:eastAsia="TimesNewRoman"/>
          <w:sz w:val="22"/>
          <w:szCs w:val="22"/>
        </w:rPr>
        <w:t>vartojančios moter</w:t>
      </w:r>
      <w:r w:rsidR="00014A9C" w:rsidRPr="00220850">
        <w:rPr>
          <w:rFonts w:eastAsia="TimesNewRoman"/>
          <w:sz w:val="22"/>
          <w:szCs w:val="22"/>
        </w:rPr>
        <w:t>y</w:t>
      </w:r>
      <w:r w:rsidRPr="00220850">
        <w:rPr>
          <w:rFonts w:eastAsia="TimesNewRoman"/>
          <w:sz w:val="22"/>
          <w:szCs w:val="22"/>
        </w:rPr>
        <w:t>s, kurios patiria minėtų būklių, turi būti informuotos naudoti alternatyvią labai</w:t>
      </w:r>
      <w:r w:rsidR="0021509E" w:rsidRPr="00220850">
        <w:rPr>
          <w:rFonts w:eastAsia="TimesNewRoman"/>
          <w:sz w:val="22"/>
          <w:szCs w:val="22"/>
        </w:rPr>
        <w:t xml:space="preserve"> </w:t>
      </w:r>
      <w:r w:rsidRPr="00220850">
        <w:rPr>
          <w:rFonts w:eastAsia="TimesNewRoman"/>
          <w:sz w:val="22"/>
          <w:szCs w:val="22"/>
        </w:rPr>
        <w:t>veiksmingą kontracepcijos priemonę.</w:t>
      </w:r>
    </w:p>
    <w:p w14:paraId="6CAA5DEF" w14:textId="77777777" w:rsidR="0021509E" w:rsidRPr="00220850" w:rsidRDefault="0021509E" w:rsidP="00890A67">
      <w:pPr>
        <w:autoSpaceDE w:val="0"/>
        <w:autoSpaceDN w:val="0"/>
        <w:adjustRightInd w:val="0"/>
        <w:rPr>
          <w:rFonts w:eastAsia="TimesNewRoman"/>
          <w:sz w:val="22"/>
          <w:szCs w:val="22"/>
        </w:rPr>
      </w:pPr>
    </w:p>
    <w:p w14:paraId="5EE29D8C" w14:textId="77777777" w:rsidR="00890A67" w:rsidRPr="00220850" w:rsidRDefault="00890A67" w:rsidP="00890A67">
      <w:pPr>
        <w:autoSpaceDE w:val="0"/>
        <w:autoSpaceDN w:val="0"/>
        <w:adjustRightInd w:val="0"/>
        <w:rPr>
          <w:rFonts w:eastAsia="TimesNewRoman"/>
          <w:sz w:val="22"/>
          <w:szCs w:val="22"/>
          <w:u w:val="single"/>
        </w:rPr>
      </w:pPr>
      <w:r w:rsidRPr="00220850">
        <w:rPr>
          <w:rFonts w:eastAsia="TimesNewRoman"/>
          <w:sz w:val="22"/>
          <w:szCs w:val="22"/>
          <w:u w:val="single"/>
        </w:rPr>
        <w:t>Nėštumas</w:t>
      </w:r>
    </w:p>
    <w:p w14:paraId="36C2EA4A" w14:textId="7B6C5043" w:rsidR="0021509E" w:rsidRPr="00220850" w:rsidRDefault="00890A67" w:rsidP="00890A67">
      <w:pPr>
        <w:autoSpaceDE w:val="0"/>
        <w:autoSpaceDN w:val="0"/>
        <w:adjustRightInd w:val="0"/>
        <w:rPr>
          <w:rFonts w:eastAsia="TimesNewRoman"/>
          <w:sz w:val="22"/>
          <w:szCs w:val="22"/>
        </w:rPr>
      </w:pPr>
      <w:r w:rsidRPr="00220850">
        <w:rPr>
          <w:rFonts w:eastAsia="TimesNewRoman"/>
          <w:sz w:val="22"/>
          <w:szCs w:val="22"/>
        </w:rPr>
        <w:t xml:space="preserve">Informacijos apie </w:t>
      </w:r>
      <w:proofErr w:type="spellStart"/>
      <w:r w:rsidR="0021509E" w:rsidRPr="00220850">
        <w:rPr>
          <w:rFonts w:eastAsia="TimesNewRoman"/>
          <w:sz w:val="22"/>
          <w:szCs w:val="22"/>
        </w:rPr>
        <w:t>nintedanibo</w:t>
      </w:r>
      <w:proofErr w:type="spellEnd"/>
      <w:r w:rsidRPr="00220850">
        <w:rPr>
          <w:rFonts w:eastAsia="TimesNewRoman"/>
          <w:sz w:val="22"/>
          <w:szCs w:val="22"/>
        </w:rPr>
        <w:t xml:space="preserve"> vartojimą nėštumo metu nėra, bet su gyvūnais atlikti </w:t>
      </w:r>
      <w:proofErr w:type="spellStart"/>
      <w:r w:rsidRPr="00220850">
        <w:rPr>
          <w:rFonts w:eastAsia="TimesNewRoman"/>
          <w:sz w:val="22"/>
          <w:szCs w:val="22"/>
        </w:rPr>
        <w:t>ikiklinikiniai</w:t>
      </w:r>
      <w:proofErr w:type="spellEnd"/>
      <w:r w:rsidRPr="00220850">
        <w:rPr>
          <w:rFonts w:eastAsia="TimesNewRoman"/>
          <w:sz w:val="22"/>
          <w:szCs w:val="22"/>
        </w:rPr>
        <w:t xml:space="preserve"> tyrimai</w:t>
      </w:r>
      <w:r w:rsidR="0021509E" w:rsidRPr="00220850">
        <w:rPr>
          <w:rFonts w:eastAsia="TimesNewRoman"/>
          <w:sz w:val="22"/>
          <w:szCs w:val="22"/>
        </w:rPr>
        <w:t xml:space="preserve"> </w:t>
      </w:r>
      <w:r w:rsidRPr="00220850">
        <w:rPr>
          <w:rFonts w:eastAsia="TimesNewRoman"/>
          <w:sz w:val="22"/>
          <w:szCs w:val="22"/>
        </w:rPr>
        <w:t xml:space="preserve">parodė šios veikliosios medžiagos toksinį poveikį reprodukcijai (žr. 5.3 skyrių). Kadangi </w:t>
      </w:r>
      <w:proofErr w:type="spellStart"/>
      <w:r w:rsidRPr="00220850">
        <w:rPr>
          <w:rFonts w:eastAsia="TimesNewRoman"/>
          <w:sz w:val="22"/>
          <w:szCs w:val="22"/>
        </w:rPr>
        <w:t>nintedanibas</w:t>
      </w:r>
      <w:proofErr w:type="spellEnd"/>
      <w:r w:rsidR="0021509E" w:rsidRPr="00220850">
        <w:rPr>
          <w:rFonts w:eastAsia="TimesNewRoman"/>
          <w:sz w:val="22"/>
          <w:szCs w:val="22"/>
        </w:rPr>
        <w:t xml:space="preserve"> </w:t>
      </w:r>
      <w:r w:rsidRPr="00220850">
        <w:rPr>
          <w:rFonts w:eastAsia="TimesNewRoman"/>
          <w:sz w:val="22"/>
          <w:szCs w:val="22"/>
        </w:rPr>
        <w:t xml:space="preserve">gali </w:t>
      </w:r>
      <w:r w:rsidR="00975827" w:rsidRPr="00220850">
        <w:rPr>
          <w:rFonts w:eastAsia="TimesNewRoman"/>
          <w:sz w:val="22"/>
          <w:szCs w:val="22"/>
        </w:rPr>
        <w:t xml:space="preserve">pakenkti </w:t>
      </w:r>
      <w:r w:rsidR="00644F4E" w:rsidRPr="00220850">
        <w:rPr>
          <w:rFonts w:eastAsia="TimesNewRoman"/>
          <w:sz w:val="22"/>
          <w:szCs w:val="22"/>
        </w:rPr>
        <w:t>ir žmogaus vaisi</w:t>
      </w:r>
      <w:r w:rsidR="00975827" w:rsidRPr="00220850">
        <w:rPr>
          <w:rFonts w:eastAsia="TimesNewRoman"/>
          <w:sz w:val="22"/>
          <w:szCs w:val="22"/>
        </w:rPr>
        <w:t>ui</w:t>
      </w:r>
      <w:r w:rsidRPr="00220850">
        <w:rPr>
          <w:rFonts w:eastAsia="TimesNewRoman"/>
          <w:sz w:val="22"/>
          <w:szCs w:val="22"/>
        </w:rPr>
        <w:t>, nėštumo metu jo vartoti negalima (žr. 4.3 skyrių), prieš</w:t>
      </w:r>
      <w:r w:rsidR="0021509E" w:rsidRPr="00220850">
        <w:rPr>
          <w:rFonts w:eastAsia="TimesNewRoman"/>
          <w:sz w:val="22"/>
          <w:szCs w:val="22"/>
        </w:rPr>
        <w:t xml:space="preserve"> </w:t>
      </w:r>
      <w:r w:rsidRPr="00220850">
        <w:rPr>
          <w:rFonts w:eastAsia="TimesNewRoman"/>
          <w:sz w:val="22"/>
          <w:szCs w:val="22"/>
        </w:rPr>
        <w:t xml:space="preserve">pradedant gydymą </w:t>
      </w:r>
      <w:proofErr w:type="spellStart"/>
      <w:r w:rsidR="0021509E" w:rsidRPr="00220850">
        <w:rPr>
          <w:sz w:val="22"/>
          <w:szCs w:val="22"/>
        </w:rPr>
        <w:t>Nintedanib</w:t>
      </w:r>
      <w:proofErr w:type="spellEnd"/>
      <w:r w:rsidR="0021509E" w:rsidRPr="00220850">
        <w:rPr>
          <w:sz w:val="22"/>
          <w:szCs w:val="22"/>
        </w:rPr>
        <w:t xml:space="preserve"> </w:t>
      </w:r>
      <w:proofErr w:type="spellStart"/>
      <w:r w:rsidR="0021509E" w:rsidRPr="00220850">
        <w:rPr>
          <w:sz w:val="22"/>
          <w:szCs w:val="22"/>
        </w:rPr>
        <w:t>Teva</w:t>
      </w:r>
      <w:proofErr w:type="spellEnd"/>
      <w:r w:rsidR="0021509E" w:rsidRPr="00220850">
        <w:rPr>
          <w:sz w:val="22"/>
          <w:szCs w:val="22"/>
        </w:rPr>
        <w:t xml:space="preserve"> </w:t>
      </w:r>
      <w:r w:rsidRPr="00220850">
        <w:rPr>
          <w:rFonts w:eastAsia="TimesNewRoman"/>
          <w:sz w:val="22"/>
          <w:szCs w:val="22"/>
        </w:rPr>
        <w:t>ir</w:t>
      </w:r>
      <w:r w:rsidR="0021509E" w:rsidRPr="00220850">
        <w:rPr>
          <w:rFonts w:eastAsia="TimesNewRoman"/>
          <w:sz w:val="22"/>
          <w:szCs w:val="22"/>
        </w:rPr>
        <w:t>,</w:t>
      </w:r>
      <w:r w:rsidRPr="00220850">
        <w:rPr>
          <w:rFonts w:eastAsia="TimesNewRoman"/>
          <w:sz w:val="22"/>
          <w:szCs w:val="22"/>
        </w:rPr>
        <w:t xml:space="preserve"> prireikus gydymo metu</w:t>
      </w:r>
      <w:r w:rsidR="0021509E" w:rsidRPr="00220850">
        <w:rPr>
          <w:rFonts w:eastAsia="TimesNewRoman"/>
          <w:sz w:val="22"/>
          <w:szCs w:val="22"/>
        </w:rPr>
        <w:t>,</w:t>
      </w:r>
      <w:r w:rsidRPr="00220850">
        <w:rPr>
          <w:rFonts w:eastAsia="TimesNewRoman"/>
          <w:sz w:val="22"/>
          <w:szCs w:val="22"/>
        </w:rPr>
        <w:t xml:space="preserve"> reikia atlikti nėštumo testus.</w:t>
      </w:r>
      <w:r w:rsidR="0021509E" w:rsidRPr="00220850">
        <w:rPr>
          <w:rFonts w:eastAsia="TimesNewRoman"/>
          <w:sz w:val="22"/>
          <w:szCs w:val="22"/>
        </w:rPr>
        <w:t xml:space="preserve"> </w:t>
      </w:r>
    </w:p>
    <w:p w14:paraId="6EA2D7F8" w14:textId="77777777" w:rsidR="0021509E" w:rsidRPr="00220850" w:rsidRDefault="0021509E" w:rsidP="00890A67">
      <w:pPr>
        <w:autoSpaceDE w:val="0"/>
        <w:autoSpaceDN w:val="0"/>
        <w:adjustRightInd w:val="0"/>
        <w:rPr>
          <w:rFonts w:eastAsia="TimesNewRoman"/>
          <w:sz w:val="22"/>
          <w:szCs w:val="22"/>
        </w:rPr>
      </w:pPr>
    </w:p>
    <w:p w14:paraId="7844430C" w14:textId="77777777" w:rsidR="00890A67" w:rsidRPr="00220850" w:rsidRDefault="00644F4E" w:rsidP="00890A67">
      <w:pPr>
        <w:autoSpaceDE w:val="0"/>
        <w:autoSpaceDN w:val="0"/>
        <w:adjustRightInd w:val="0"/>
        <w:rPr>
          <w:rFonts w:eastAsia="TimesNewRoman"/>
          <w:sz w:val="22"/>
          <w:szCs w:val="22"/>
        </w:rPr>
      </w:pPr>
      <w:r w:rsidRPr="00220850">
        <w:rPr>
          <w:rFonts w:eastAsia="TimesNewRoman"/>
          <w:sz w:val="22"/>
          <w:szCs w:val="22"/>
        </w:rPr>
        <w:t>Pacientes reikia į</w:t>
      </w:r>
      <w:r w:rsidR="00890A67" w:rsidRPr="00220850">
        <w:rPr>
          <w:rFonts w:eastAsia="TimesNewRoman"/>
          <w:sz w:val="22"/>
          <w:szCs w:val="22"/>
        </w:rPr>
        <w:t xml:space="preserve">spėti, kad jos praneštų savo gydytojui ar vaistininkui, jei pastojo gydymo </w:t>
      </w:r>
      <w:proofErr w:type="spellStart"/>
      <w:r w:rsidR="0021509E" w:rsidRPr="00220850">
        <w:rPr>
          <w:sz w:val="22"/>
          <w:szCs w:val="22"/>
        </w:rPr>
        <w:t>Nintedanib</w:t>
      </w:r>
      <w:proofErr w:type="spellEnd"/>
      <w:r w:rsidR="0021509E" w:rsidRPr="00220850">
        <w:rPr>
          <w:sz w:val="22"/>
          <w:szCs w:val="22"/>
        </w:rPr>
        <w:t xml:space="preserve"> </w:t>
      </w:r>
      <w:proofErr w:type="spellStart"/>
      <w:r w:rsidR="0021509E" w:rsidRPr="00220850">
        <w:rPr>
          <w:sz w:val="22"/>
          <w:szCs w:val="22"/>
        </w:rPr>
        <w:t>Teva</w:t>
      </w:r>
      <w:proofErr w:type="spellEnd"/>
      <w:r w:rsidR="0021509E" w:rsidRPr="00220850">
        <w:rPr>
          <w:sz w:val="22"/>
          <w:szCs w:val="22"/>
        </w:rPr>
        <w:t xml:space="preserve"> </w:t>
      </w:r>
      <w:r w:rsidR="00890A67" w:rsidRPr="00220850">
        <w:rPr>
          <w:rFonts w:eastAsia="TimesNewRoman"/>
          <w:sz w:val="22"/>
          <w:szCs w:val="22"/>
        </w:rPr>
        <w:t>metu.</w:t>
      </w:r>
    </w:p>
    <w:p w14:paraId="6DCD0A3C" w14:textId="77777777" w:rsidR="0021509E" w:rsidRPr="00220850" w:rsidRDefault="0021509E" w:rsidP="00890A67">
      <w:pPr>
        <w:autoSpaceDE w:val="0"/>
        <w:autoSpaceDN w:val="0"/>
        <w:adjustRightInd w:val="0"/>
        <w:rPr>
          <w:rFonts w:eastAsia="TimesNewRoman"/>
          <w:sz w:val="22"/>
          <w:szCs w:val="22"/>
        </w:rPr>
      </w:pPr>
    </w:p>
    <w:p w14:paraId="6E0E88C5" w14:textId="77777777" w:rsidR="00890A67" w:rsidRPr="00220850" w:rsidRDefault="00890A67" w:rsidP="00890A67">
      <w:pPr>
        <w:autoSpaceDE w:val="0"/>
        <w:autoSpaceDN w:val="0"/>
        <w:adjustRightInd w:val="0"/>
        <w:rPr>
          <w:rFonts w:eastAsia="TimesNewRoman"/>
          <w:sz w:val="22"/>
          <w:szCs w:val="22"/>
        </w:rPr>
      </w:pPr>
      <w:r w:rsidRPr="00220850">
        <w:rPr>
          <w:rFonts w:eastAsia="TimesNewRoman"/>
          <w:sz w:val="22"/>
          <w:szCs w:val="22"/>
        </w:rPr>
        <w:t xml:space="preserve">Jei pacientė pastoja vartodama </w:t>
      </w:r>
      <w:proofErr w:type="spellStart"/>
      <w:r w:rsidR="0021509E" w:rsidRPr="00220850">
        <w:rPr>
          <w:sz w:val="22"/>
          <w:szCs w:val="22"/>
        </w:rPr>
        <w:t>Nintedanib</w:t>
      </w:r>
      <w:proofErr w:type="spellEnd"/>
      <w:r w:rsidR="0021509E" w:rsidRPr="00220850">
        <w:rPr>
          <w:sz w:val="22"/>
          <w:szCs w:val="22"/>
        </w:rPr>
        <w:t xml:space="preserve"> </w:t>
      </w:r>
      <w:proofErr w:type="spellStart"/>
      <w:r w:rsidR="0021509E" w:rsidRPr="00220850">
        <w:rPr>
          <w:sz w:val="22"/>
          <w:szCs w:val="22"/>
        </w:rPr>
        <w:t>Teva</w:t>
      </w:r>
      <w:proofErr w:type="spellEnd"/>
      <w:r w:rsidRPr="00220850">
        <w:rPr>
          <w:rFonts w:eastAsia="TimesNewRoman"/>
          <w:sz w:val="22"/>
          <w:szCs w:val="22"/>
        </w:rPr>
        <w:t>, gydymą būtina nutraukti ir ją reikia informuoti apie galimą</w:t>
      </w:r>
      <w:r w:rsidR="0021509E" w:rsidRPr="00220850">
        <w:rPr>
          <w:rFonts w:eastAsia="TimesNewRoman"/>
          <w:sz w:val="22"/>
          <w:szCs w:val="22"/>
        </w:rPr>
        <w:t xml:space="preserve"> </w:t>
      </w:r>
      <w:r w:rsidRPr="00220850">
        <w:rPr>
          <w:rFonts w:eastAsia="TimesNewRoman"/>
          <w:sz w:val="22"/>
          <w:szCs w:val="22"/>
        </w:rPr>
        <w:t>pavojų vaisiui.</w:t>
      </w:r>
    </w:p>
    <w:p w14:paraId="3EA1D9D7" w14:textId="77777777" w:rsidR="0021509E" w:rsidRPr="00220850" w:rsidRDefault="0021509E" w:rsidP="00890A67">
      <w:pPr>
        <w:autoSpaceDE w:val="0"/>
        <w:autoSpaceDN w:val="0"/>
        <w:adjustRightInd w:val="0"/>
        <w:rPr>
          <w:rFonts w:eastAsia="TimesNewRoman"/>
          <w:sz w:val="22"/>
          <w:szCs w:val="22"/>
        </w:rPr>
      </w:pPr>
    </w:p>
    <w:p w14:paraId="622ED2B6" w14:textId="77777777" w:rsidR="00890A67" w:rsidRPr="00220850" w:rsidRDefault="00890A67" w:rsidP="00890A67">
      <w:pPr>
        <w:autoSpaceDE w:val="0"/>
        <w:autoSpaceDN w:val="0"/>
        <w:adjustRightInd w:val="0"/>
        <w:rPr>
          <w:rFonts w:eastAsia="TimesNewRoman"/>
          <w:sz w:val="22"/>
          <w:szCs w:val="22"/>
          <w:u w:val="single"/>
        </w:rPr>
      </w:pPr>
      <w:r w:rsidRPr="00220850">
        <w:rPr>
          <w:rFonts w:eastAsia="TimesNewRoman"/>
          <w:sz w:val="22"/>
          <w:szCs w:val="22"/>
          <w:u w:val="single"/>
        </w:rPr>
        <w:t>Žindymas</w:t>
      </w:r>
    </w:p>
    <w:p w14:paraId="39568681" w14:textId="262C3E3B" w:rsidR="00890A67" w:rsidRPr="00220850" w:rsidRDefault="0021509E" w:rsidP="0021509E">
      <w:pPr>
        <w:tabs>
          <w:tab w:val="left" w:pos="567"/>
        </w:tabs>
        <w:spacing w:line="260" w:lineRule="exact"/>
        <w:rPr>
          <w:rFonts w:eastAsia="TimesNewRoman"/>
          <w:sz w:val="22"/>
          <w:szCs w:val="22"/>
        </w:rPr>
      </w:pPr>
      <w:r w:rsidRPr="00220850">
        <w:rPr>
          <w:rFonts w:eastAsia="TimesNewRoman"/>
          <w:sz w:val="22"/>
          <w:szCs w:val="22"/>
        </w:rPr>
        <w:t>I</w:t>
      </w:r>
      <w:r w:rsidR="00890A67" w:rsidRPr="00220850">
        <w:rPr>
          <w:rFonts w:eastAsia="TimesNewRoman"/>
          <w:sz w:val="22"/>
          <w:szCs w:val="22"/>
        </w:rPr>
        <w:t xml:space="preserve">nformacijos apie tai, ar </w:t>
      </w:r>
      <w:proofErr w:type="spellStart"/>
      <w:r w:rsidR="00890A67" w:rsidRPr="00220850">
        <w:rPr>
          <w:rFonts w:eastAsia="TimesNewRoman"/>
          <w:sz w:val="22"/>
          <w:szCs w:val="22"/>
        </w:rPr>
        <w:t>nintedanibas</w:t>
      </w:r>
      <w:proofErr w:type="spellEnd"/>
      <w:r w:rsidR="00890A67" w:rsidRPr="00220850">
        <w:rPr>
          <w:rFonts w:eastAsia="TimesNewRoman"/>
          <w:sz w:val="22"/>
          <w:szCs w:val="22"/>
        </w:rPr>
        <w:t xml:space="preserve"> ir jo metabolitai išsiskiria į </w:t>
      </w:r>
      <w:r w:rsidR="00975827" w:rsidRPr="00220850">
        <w:rPr>
          <w:rFonts w:eastAsia="TimesNewRoman"/>
          <w:sz w:val="22"/>
          <w:szCs w:val="22"/>
        </w:rPr>
        <w:t xml:space="preserve">motinos </w:t>
      </w:r>
      <w:r w:rsidR="00890A67" w:rsidRPr="00220850">
        <w:rPr>
          <w:rFonts w:eastAsia="TimesNewRoman"/>
          <w:sz w:val="22"/>
          <w:szCs w:val="22"/>
        </w:rPr>
        <w:t>pieną</w:t>
      </w:r>
      <w:r w:rsidRPr="00220850">
        <w:rPr>
          <w:rFonts w:eastAsia="TimesNewRoman"/>
          <w:sz w:val="22"/>
          <w:szCs w:val="22"/>
        </w:rPr>
        <w:t xml:space="preserve"> nėra</w:t>
      </w:r>
      <w:r w:rsidR="00890A67" w:rsidRPr="00220850">
        <w:rPr>
          <w:rFonts w:eastAsia="TimesNewRoman"/>
          <w:sz w:val="22"/>
          <w:szCs w:val="22"/>
        </w:rPr>
        <w:t>.</w:t>
      </w:r>
      <w:r w:rsidRPr="00220850">
        <w:rPr>
          <w:rFonts w:eastAsia="TimesNewRoman"/>
          <w:sz w:val="22"/>
          <w:szCs w:val="22"/>
        </w:rPr>
        <w:t xml:space="preserve"> </w:t>
      </w:r>
      <w:proofErr w:type="spellStart"/>
      <w:r w:rsidR="00890A67" w:rsidRPr="00220850">
        <w:rPr>
          <w:rFonts w:eastAsia="TimesNewRoman"/>
          <w:sz w:val="22"/>
          <w:szCs w:val="22"/>
        </w:rPr>
        <w:t>Ikiklinikiniai</w:t>
      </w:r>
      <w:proofErr w:type="spellEnd"/>
      <w:r w:rsidR="00890A67" w:rsidRPr="00220850">
        <w:rPr>
          <w:rFonts w:eastAsia="TimesNewRoman"/>
          <w:sz w:val="22"/>
          <w:szCs w:val="22"/>
        </w:rPr>
        <w:t xml:space="preserve"> tyrimai parodė, kad nedideli kiekiai </w:t>
      </w:r>
      <w:proofErr w:type="spellStart"/>
      <w:r w:rsidR="00890A67" w:rsidRPr="00220850">
        <w:rPr>
          <w:rFonts w:eastAsia="TimesNewRoman"/>
          <w:sz w:val="22"/>
          <w:szCs w:val="22"/>
        </w:rPr>
        <w:t>nintedanibo</w:t>
      </w:r>
      <w:proofErr w:type="spellEnd"/>
      <w:r w:rsidR="00890A67" w:rsidRPr="00220850">
        <w:rPr>
          <w:rFonts w:eastAsia="TimesNewRoman"/>
          <w:sz w:val="22"/>
          <w:szCs w:val="22"/>
        </w:rPr>
        <w:t xml:space="preserve"> ir jo metabolitų (≤</w:t>
      </w:r>
      <w:r w:rsidRPr="00220850">
        <w:rPr>
          <w:rFonts w:eastAsia="TimesNewRoman"/>
          <w:sz w:val="22"/>
          <w:szCs w:val="22"/>
        </w:rPr>
        <w:t> </w:t>
      </w:r>
      <w:r w:rsidR="00890A67" w:rsidRPr="00220850">
        <w:rPr>
          <w:rFonts w:eastAsia="TimesNewRoman"/>
          <w:sz w:val="22"/>
          <w:szCs w:val="22"/>
        </w:rPr>
        <w:t>0,5</w:t>
      </w:r>
      <w:r w:rsidRPr="00220850">
        <w:rPr>
          <w:rFonts w:eastAsia="TimesNewRoman"/>
          <w:sz w:val="22"/>
          <w:szCs w:val="22"/>
        </w:rPr>
        <w:t> </w:t>
      </w:r>
      <w:r w:rsidR="00890A67" w:rsidRPr="00220850">
        <w:rPr>
          <w:rFonts w:eastAsia="TimesNewRoman"/>
          <w:sz w:val="22"/>
          <w:szCs w:val="22"/>
        </w:rPr>
        <w:t>% pavartotos</w:t>
      </w:r>
      <w:r w:rsidRPr="00220850">
        <w:rPr>
          <w:rFonts w:eastAsia="TimesNewRoman"/>
          <w:sz w:val="22"/>
          <w:szCs w:val="22"/>
        </w:rPr>
        <w:t xml:space="preserve"> </w:t>
      </w:r>
      <w:r w:rsidR="00890A67" w:rsidRPr="00220850">
        <w:rPr>
          <w:rFonts w:eastAsia="TimesNewRoman"/>
          <w:sz w:val="22"/>
          <w:szCs w:val="22"/>
        </w:rPr>
        <w:t xml:space="preserve">dozės) išsiskyrė į </w:t>
      </w:r>
      <w:proofErr w:type="spellStart"/>
      <w:r w:rsidR="00975827" w:rsidRPr="00220850">
        <w:rPr>
          <w:rFonts w:eastAsia="TimesNewRoman"/>
          <w:sz w:val="22"/>
          <w:szCs w:val="22"/>
        </w:rPr>
        <w:t>laktuojančių</w:t>
      </w:r>
      <w:proofErr w:type="spellEnd"/>
      <w:r w:rsidR="00975827" w:rsidRPr="00220850">
        <w:rPr>
          <w:rFonts w:eastAsia="TimesNewRoman"/>
          <w:sz w:val="22"/>
          <w:szCs w:val="22"/>
        </w:rPr>
        <w:t xml:space="preserve"> </w:t>
      </w:r>
      <w:r w:rsidR="00890A67" w:rsidRPr="00220850">
        <w:rPr>
          <w:rFonts w:eastAsia="TimesNewRoman"/>
          <w:sz w:val="22"/>
          <w:szCs w:val="22"/>
        </w:rPr>
        <w:t>žiurkių pieną. Pavojaus ž</w:t>
      </w:r>
      <w:r w:rsidRPr="00220850">
        <w:rPr>
          <w:rFonts w:eastAsia="TimesNewRoman"/>
          <w:sz w:val="22"/>
          <w:szCs w:val="22"/>
        </w:rPr>
        <w:t>indomiems naujagimiams bei</w:t>
      </w:r>
      <w:r w:rsidR="00890A67" w:rsidRPr="00220850">
        <w:rPr>
          <w:rFonts w:eastAsia="TimesNewRoman"/>
          <w:sz w:val="22"/>
          <w:szCs w:val="22"/>
        </w:rPr>
        <w:t xml:space="preserve"> kūdikiams negalima</w:t>
      </w:r>
      <w:r w:rsidRPr="00220850">
        <w:rPr>
          <w:rFonts w:eastAsia="TimesNewRoman"/>
          <w:sz w:val="22"/>
          <w:szCs w:val="22"/>
        </w:rPr>
        <w:t xml:space="preserve"> </w:t>
      </w:r>
      <w:r w:rsidR="00890A67" w:rsidRPr="00220850">
        <w:rPr>
          <w:rFonts w:eastAsia="TimesNewRoman"/>
          <w:sz w:val="22"/>
          <w:szCs w:val="22"/>
        </w:rPr>
        <w:t xml:space="preserve">atmesti. Gydymo </w:t>
      </w:r>
      <w:r w:rsidRPr="00220850">
        <w:rPr>
          <w:rFonts w:eastAsia="TimesNewRoman"/>
          <w:sz w:val="22"/>
          <w:szCs w:val="22"/>
        </w:rPr>
        <w:t xml:space="preserve">šiuo vaistiniu preparatu </w:t>
      </w:r>
      <w:r w:rsidR="00890A67" w:rsidRPr="00220850">
        <w:rPr>
          <w:rFonts w:eastAsia="TimesNewRoman"/>
          <w:sz w:val="22"/>
          <w:szCs w:val="22"/>
        </w:rPr>
        <w:t>metu žindymą reikia nutraukti.</w:t>
      </w:r>
    </w:p>
    <w:p w14:paraId="4772DC67" w14:textId="77777777" w:rsidR="0021509E" w:rsidRPr="00220850" w:rsidRDefault="0021509E" w:rsidP="00890A67">
      <w:pPr>
        <w:autoSpaceDE w:val="0"/>
        <w:autoSpaceDN w:val="0"/>
        <w:adjustRightInd w:val="0"/>
        <w:rPr>
          <w:rFonts w:eastAsia="TimesNewRoman"/>
          <w:sz w:val="22"/>
          <w:szCs w:val="22"/>
        </w:rPr>
      </w:pPr>
    </w:p>
    <w:p w14:paraId="1C7E3795" w14:textId="77777777" w:rsidR="00890A67" w:rsidRPr="00220850" w:rsidRDefault="00890A67" w:rsidP="00890A67">
      <w:pPr>
        <w:autoSpaceDE w:val="0"/>
        <w:autoSpaceDN w:val="0"/>
        <w:adjustRightInd w:val="0"/>
        <w:rPr>
          <w:rFonts w:eastAsia="TimesNewRoman"/>
          <w:sz w:val="22"/>
          <w:szCs w:val="22"/>
          <w:u w:val="single"/>
        </w:rPr>
      </w:pPr>
      <w:r w:rsidRPr="00220850">
        <w:rPr>
          <w:rFonts w:eastAsia="TimesNewRoman"/>
          <w:sz w:val="22"/>
          <w:szCs w:val="22"/>
          <w:u w:val="single"/>
        </w:rPr>
        <w:t>Vaisingumas</w:t>
      </w:r>
    </w:p>
    <w:p w14:paraId="312712A4" w14:textId="7A996D0F" w:rsidR="00DE01F8" w:rsidRPr="00220850" w:rsidRDefault="00890A67" w:rsidP="0021509E">
      <w:pPr>
        <w:autoSpaceDE w:val="0"/>
        <w:autoSpaceDN w:val="0"/>
        <w:adjustRightInd w:val="0"/>
        <w:rPr>
          <w:sz w:val="22"/>
          <w:szCs w:val="24"/>
        </w:rPr>
      </w:pPr>
      <w:r w:rsidRPr="00220850">
        <w:rPr>
          <w:rFonts w:eastAsia="TimesNewRoman"/>
          <w:sz w:val="22"/>
          <w:szCs w:val="22"/>
        </w:rPr>
        <w:t xml:space="preserve">Remiantis </w:t>
      </w:r>
      <w:proofErr w:type="spellStart"/>
      <w:r w:rsidRPr="00220850">
        <w:rPr>
          <w:rFonts w:eastAsia="TimesNewRoman"/>
          <w:sz w:val="22"/>
          <w:szCs w:val="22"/>
        </w:rPr>
        <w:t>ikiklinikiniais</w:t>
      </w:r>
      <w:proofErr w:type="spellEnd"/>
      <w:r w:rsidRPr="00220850">
        <w:rPr>
          <w:rFonts w:eastAsia="TimesNewRoman"/>
          <w:sz w:val="22"/>
          <w:szCs w:val="22"/>
        </w:rPr>
        <w:t xml:space="preserve"> tyrimais, vyrų vaisingumo sutrikimo įrodymų nėra (žr. 5.3 skyrių). </w:t>
      </w:r>
      <w:proofErr w:type="spellStart"/>
      <w:r w:rsidRPr="00220850">
        <w:rPr>
          <w:rFonts w:eastAsia="TimesNewRoman"/>
          <w:sz w:val="22"/>
          <w:szCs w:val="22"/>
        </w:rPr>
        <w:t>Poūmio</w:t>
      </w:r>
      <w:proofErr w:type="spellEnd"/>
      <w:r w:rsidRPr="00220850">
        <w:rPr>
          <w:rFonts w:eastAsia="TimesNewRoman"/>
          <w:sz w:val="22"/>
          <w:szCs w:val="22"/>
        </w:rPr>
        <w:t xml:space="preserve"> ir</w:t>
      </w:r>
      <w:r w:rsidR="0021509E" w:rsidRPr="00220850">
        <w:rPr>
          <w:rFonts w:eastAsia="TimesNewRoman"/>
          <w:sz w:val="22"/>
          <w:szCs w:val="22"/>
        </w:rPr>
        <w:t xml:space="preserve"> </w:t>
      </w:r>
      <w:r w:rsidRPr="00220850">
        <w:rPr>
          <w:rFonts w:eastAsia="TimesNewRoman"/>
          <w:sz w:val="22"/>
          <w:szCs w:val="22"/>
        </w:rPr>
        <w:t>lėtinio toksinio poveikio tyrimų metu žiurkių patelių vaisingumo sutrikimų, esant sisteminei</w:t>
      </w:r>
      <w:r w:rsidR="0021509E" w:rsidRPr="00220850">
        <w:rPr>
          <w:rFonts w:eastAsia="TimesNewRoman"/>
          <w:sz w:val="22"/>
          <w:szCs w:val="22"/>
        </w:rPr>
        <w:t xml:space="preserve"> </w:t>
      </w:r>
      <w:r w:rsidRPr="00220850">
        <w:rPr>
          <w:rFonts w:eastAsia="TimesNewRoman"/>
          <w:sz w:val="22"/>
          <w:szCs w:val="22"/>
        </w:rPr>
        <w:t>ekspozicijai, kuri prilygsta atsirandančiai nuo didžiausios rekomenduojamos dozės žmogui (DRDŽ)</w:t>
      </w:r>
      <w:r w:rsidR="0021509E" w:rsidRPr="00220850">
        <w:rPr>
          <w:rFonts w:eastAsia="TimesNewRoman"/>
          <w:sz w:val="22"/>
          <w:szCs w:val="22"/>
        </w:rPr>
        <w:t xml:space="preserve"> </w:t>
      </w:r>
      <w:r w:rsidRPr="00220850">
        <w:rPr>
          <w:rFonts w:eastAsia="TimesNewRoman"/>
          <w:sz w:val="22"/>
          <w:szCs w:val="22"/>
        </w:rPr>
        <w:t>150</w:t>
      </w:r>
      <w:r w:rsidR="0021509E" w:rsidRPr="00220850">
        <w:rPr>
          <w:rFonts w:eastAsia="TimesNewRoman"/>
          <w:sz w:val="22"/>
          <w:szCs w:val="22"/>
        </w:rPr>
        <w:t> </w:t>
      </w:r>
      <w:r w:rsidR="00975827" w:rsidRPr="00220850">
        <w:rPr>
          <w:rFonts w:eastAsia="TimesNewRoman"/>
          <w:sz w:val="22"/>
          <w:szCs w:val="22"/>
        </w:rPr>
        <w:t>m</w:t>
      </w:r>
      <w:r w:rsidRPr="00220850">
        <w:rPr>
          <w:rFonts w:eastAsia="TimesNewRoman"/>
          <w:sz w:val="22"/>
          <w:szCs w:val="22"/>
        </w:rPr>
        <w:t>g du kartus per parą, nenustatyta (žr. 5.3 skyrių).</w:t>
      </w:r>
    </w:p>
    <w:p w14:paraId="4302EA4E" w14:textId="77777777" w:rsidR="0021509E" w:rsidRPr="00220850" w:rsidRDefault="0021509E">
      <w:pPr>
        <w:keepNext/>
        <w:tabs>
          <w:tab w:val="left" w:pos="567"/>
        </w:tabs>
        <w:spacing w:line="260" w:lineRule="exact"/>
        <w:jc w:val="both"/>
        <w:outlineLvl w:val="3"/>
        <w:rPr>
          <w:b/>
          <w:bCs/>
          <w:sz w:val="22"/>
          <w:szCs w:val="28"/>
          <w:lang w:eastAsia="x-none"/>
        </w:rPr>
      </w:pPr>
    </w:p>
    <w:p w14:paraId="61E38C2C"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4.7</w:t>
      </w:r>
      <w:r w:rsidRPr="00220850">
        <w:rPr>
          <w:b/>
          <w:bCs/>
          <w:sz w:val="22"/>
          <w:szCs w:val="28"/>
          <w:lang w:eastAsia="x-none"/>
        </w:rPr>
        <w:tab/>
        <w:t>Poveikis gebėjimui vairuoti ir valdyti mechanizmus</w:t>
      </w:r>
    </w:p>
    <w:p w14:paraId="71856C04" w14:textId="77777777" w:rsidR="00DE01F8" w:rsidRPr="00220850" w:rsidRDefault="00DE01F8">
      <w:pPr>
        <w:tabs>
          <w:tab w:val="left" w:pos="567"/>
        </w:tabs>
        <w:spacing w:line="260" w:lineRule="exact"/>
        <w:rPr>
          <w:sz w:val="22"/>
          <w:szCs w:val="24"/>
        </w:rPr>
      </w:pPr>
    </w:p>
    <w:p w14:paraId="268DD535" w14:textId="77777777" w:rsidR="00DE01F8" w:rsidRPr="00220850" w:rsidRDefault="0021509E" w:rsidP="0021509E">
      <w:pPr>
        <w:autoSpaceDE w:val="0"/>
        <w:autoSpaceDN w:val="0"/>
        <w:adjustRightInd w:val="0"/>
        <w:rPr>
          <w:sz w:val="22"/>
          <w:szCs w:val="24"/>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w:t>
      </w:r>
      <w:r w:rsidR="00890A67" w:rsidRPr="00220850">
        <w:rPr>
          <w:rFonts w:eastAsia="TimesNewRoman"/>
          <w:sz w:val="22"/>
          <w:szCs w:val="22"/>
        </w:rPr>
        <w:t>gebėjimą vairuoti ir valdyti mechanizmus veikia silpnai. Pacientams reikia patarti būti</w:t>
      </w:r>
      <w:r w:rsidRPr="00220850">
        <w:rPr>
          <w:rFonts w:eastAsia="TimesNewRoman"/>
          <w:sz w:val="22"/>
          <w:szCs w:val="22"/>
        </w:rPr>
        <w:t xml:space="preserve"> </w:t>
      </w:r>
      <w:r w:rsidR="00890A67" w:rsidRPr="00220850">
        <w:rPr>
          <w:rFonts w:eastAsia="TimesNewRoman"/>
          <w:sz w:val="22"/>
          <w:szCs w:val="22"/>
        </w:rPr>
        <w:t xml:space="preserve">atsargiems, vairuojant ir valdant mechanizmus gydymo </w:t>
      </w:r>
      <w:proofErr w:type="spellStart"/>
      <w:r w:rsidR="00BF0165" w:rsidRPr="00220850">
        <w:rPr>
          <w:rFonts w:eastAsia="TimesNewRoman"/>
          <w:sz w:val="22"/>
          <w:szCs w:val="22"/>
        </w:rPr>
        <w:t>nintedanibu</w:t>
      </w:r>
      <w:proofErr w:type="spellEnd"/>
      <w:r w:rsidRPr="00220850">
        <w:rPr>
          <w:rFonts w:eastAsia="TimesNewRoman"/>
          <w:sz w:val="22"/>
          <w:szCs w:val="22"/>
        </w:rPr>
        <w:t xml:space="preserve"> </w:t>
      </w:r>
      <w:r w:rsidR="00890A67" w:rsidRPr="00220850">
        <w:rPr>
          <w:rFonts w:eastAsia="TimesNewRoman"/>
          <w:sz w:val="22"/>
          <w:szCs w:val="22"/>
        </w:rPr>
        <w:t>metu.</w:t>
      </w:r>
    </w:p>
    <w:p w14:paraId="2A39208E" w14:textId="77777777" w:rsidR="00890A67" w:rsidRPr="00220850" w:rsidRDefault="00890A67">
      <w:pPr>
        <w:tabs>
          <w:tab w:val="left" w:pos="567"/>
        </w:tabs>
        <w:rPr>
          <w:b/>
          <w:sz w:val="22"/>
        </w:rPr>
      </w:pPr>
    </w:p>
    <w:p w14:paraId="6CA2BA4E" w14:textId="77777777" w:rsidR="00DE01F8" w:rsidRPr="00220850" w:rsidRDefault="002D5C8E">
      <w:pPr>
        <w:tabs>
          <w:tab w:val="left" w:pos="567"/>
        </w:tabs>
        <w:rPr>
          <w:sz w:val="22"/>
          <w:u w:val="single"/>
        </w:rPr>
      </w:pPr>
      <w:r w:rsidRPr="00220850">
        <w:rPr>
          <w:b/>
          <w:sz w:val="22"/>
        </w:rPr>
        <w:t>4.8</w:t>
      </w:r>
      <w:r w:rsidRPr="00220850">
        <w:rPr>
          <w:b/>
          <w:sz w:val="22"/>
        </w:rPr>
        <w:tab/>
        <w:t>Nepageidaujamas poveikis</w:t>
      </w:r>
    </w:p>
    <w:p w14:paraId="39D2308E" w14:textId="77777777" w:rsidR="008C4AE7" w:rsidRPr="00220850" w:rsidRDefault="008C4AE7">
      <w:pPr>
        <w:tabs>
          <w:tab w:val="left" w:pos="567"/>
        </w:tabs>
        <w:spacing w:line="260" w:lineRule="exact"/>
        <w:rPr>
          <w:iCs/>
          <w:sz w:val="22"/>
          <w:szCs w:val="22"/>
          <w:u w:val="single"/>
          <w:lang w:eastAsia="lt-LT"/>
        </w:rPr>
      </w:pPr>
    </w:p>
    <w:p w14:paraId="4F9D98EB" w14:textId="77777777" w:rsidR="00DE01F8" w:rsidRPr="00220850" w:rsidRDefault="008C4AE7">
      <w:pPr>
        <w:tabs>
          <w:tab w:val="left" w:pos="567"/>
        </w:tabs>
        <w:spacing w:line="260" w:lineRule="exact"/>
        <w:rPr>
          <w:iCs/>
          <w:sz w:val="22"/>
          <w:szCs w:val="22"/>
          <w:u w:val="single"/>
          <w:lang w:eastAsia="lt-LT"/>
        </w:rPr>
      </w:pPr>
      <w:r w:rsidRPr="00220850">
        <w:rPr>
          <w:iCs/>
          <w:sz w:val="22"/>
          <w:szCs w:val="22"/>
          <w:u w:val="single"/>
          <w:lang w:eastAsia="lt-LT"/>
        </w:rPr>
        <w:t>Saugumo duomenų santrauka</w:t>
      </w:r>
    </w:p>
    <w:p w14:paraId="6C004756" w14:textId="77777777" w:rsidR="008C4AE7" w:rsidRPr="00220850" w:rsidRDefault="008C4AE7">
      <w:pPr>
        <w:tabs>
          <w:tab w:val="left" w:pos="567"/>
        </w:tabs>
        <w:spacing w:line="260" w:lineRule="exact"/>
        <w:rPr>
          <w:iCs/>
          <w:sz w:val="22"/>
          <w:szCs w:val="22"/>
          <w:u w:val="single"/>
          <w:lang w:eastAsia="lt-LT"/>
        </w:rPr>
      </w:pPr>
    </w:p>
    <w:p w14:paraId="61BD9185" w14:textId="77777777" w:rsidR="008C4AE7" w:rsidRPr="00220850" w:rsidRDefault="008C4AE7" w:rsidP="008C4AE7">
      <w:pPr>
        <w:autoSpaceDE w:val="0"/>
        <w:autoSpaceDN w:val="0"/>
        <w:adjustRightInd w:val="0"/>
        <w:rPr>
          <w:rFonts w:eastAsia="TimesNewRoman"/>
          <w:sz w:val="22"/>
          <w:szCs w:val="22"/>
        </w:rPr>
      </w:pPr>
      <w:r w:rsidRPr="00220850">
        <w:rPr>
          <w:rFonts w:eastAsia="TimesNewRoman"/>
          <w:sz w:val="22"/>
          <w:szCs w:val="22"/>
        </w:rPr>
        <w:t xml:space="preserve">Klinikinių tyrimų metu ir </w:t>
      </w:r>
      <w:proofErr w:type="spellStart"/>
      <w:r w:rsidRPr="00220850">
        <w:rPr>
          <w:rFonts w:eastAsia="TimesNewRoman"/>
          <w:sz w:val="22"/>
          <w:szCs w:val="22"/>
        </w:rPr>
        <w:t>poregistraciniu</w:t>
      </w:r>
      <w:proofErr w:type="spellEnd"/>
      <w:r w:rsidRPr="00220850">
        <w:rPr>
          <w:rFonts w:eastAsia="TimesNewRoman"/>
          <w:sz w:val="22"/>
          <w:szCs w:val="22"/>
        </w:rPr>
        <w:t xml:space="preserve"> laikotarpiu dažniausiai pasireiškusios su </w:t>
      </w:r>
      <w:proofErr w:type="spellStart"/>
      <w:r w:rsidRPr="00220850">
        <w:rPr>
          <w:rFonts w:eastAsia="TimesNewRoman"/>
          <w:sz w:val="22"/>
          <w:szCs w:val="22"/>
        </w:rPr>
        <w:t>nintedanibo</w:t>
      </w:r>
      <w:proofErr w:type="spellEnd"/>
      <w:r w:rsidRPr="00220850">
        <w:rPr>
          <w:rFonts w:eastAsia="TimesNewRoman"/>
          <w:sz w:val="22"/>
          <w:szCs w:val="22"/>
        </w:rPr>
        <w:t xml:space="preserve"> vartojimu susijusios nepageidaujamos reakcijos buvo viduriavimas, pykinimas ir vėmimas, pilvo</w:t>
      </w:r>
      <w:r w:rsidR="008C210B" w:rsidRPr="00220850">
        <w:rPr>
          <w:rFonts w:eastAsia="TimesNewRoman"/>
          <w:sz w:val="22"/>
          <w:szCs w:val="22"/>
        </w:rPr>
        <w:t xml:space="preserve"> </w:t>
      </w:r>
      <w:r w:rsidRPr="00220850">
        <w:rPr>
          <w:rFonts w:eastAsia="TimesNewRoman"/>
          <w:sz w:val="22"/>
          <w:szCs w:val="22"/>
        </w:rPr>
        <w:t>skausmas, sumažėjęs apetitas, svorio sumažėjimas ir kepenų fermentų aktyvumo padidėjimas.</w:t>
      </w:r>
    </w:p>
    <w:p w14:paraId="40848F15" w14:textId="77777777" w:rsidR="008C210B" w:rsidRPr="00220850" w:rsidRDefault="008C210B" w:rsidP="008C4AE7">
      <w:pPr>
        <w:autoSpaceDE w:val="0"/>
        <w:autoSpaceDN w:val="0"/>
        <w:adjustRightInd w:val="0"/>
        <w:rPr>
          <w:rFonts w:eastAsia="TimesNewRoman"/>
          <w:sz w:val="22"/>
          <w:szCs w:val="22"/>
        </w:rPr>
      </w:pPr>
    </w:p>
    <w:p w14:paraId="3871E475" w14:textId="77777777" w:rsidR="008C4AE7" w:rsidRPr="00220850" w:rsidRDefault="008C4AE7" w:rsidP="008C4AE7">
      <w:pPr>
        <w:autoSpaceDE w:val="0"/>
        <w:autoSpaceDN w:val="0"/>
        <w:adjustRightInd w:val="0"/>
        <w:rPr>
          <w:rFonts w:eastAsia="TimesNewRoman"/>
          <w:sz w:val="22"/>
          <w:szCs w:val="22"/>
        </w:rPr>
      </w:pPr>
      <w:r w:rsidRPr="00220850">
        <w:rPr>
          <w:rFonts w:eastAsia="TimesNewRoman"/>
          <w:sz w:val="22"/>
          <w:szCs w:val="22"/>
        </w:rPr>
        <w:t>Apie atrinktų nepageidaujamų reakcijų valdymą žr. 4.4 skyrių.</w:t>
      </w:r>
    </w:p>
    <w:p w14:paraId="04562F74" w14:textId="77777777" w:rsidR="008C210B" w:rsidRPr="00220850" w:rsidRDefault="008C210B" w:rsidP="008C4AE7">
      <w:pPr>
        <w:autoSpaceDE w:val="0"/>
        <w:autoSpaceDN w:val="0"/>
        <w:adjustRightInd w:val="0"/>
        <w:rPr>
          <w:rFonts w:eastAsia="TimesNewRoman"/>
          <w:sz w:val="22"/>
          <w:szCs w:val="22"/>
        </w:rPr>
      </w:pPr>
    </w:p>
    <w:p w14:paraId="79672B89" w14:textId="77777777" w:rsidR="008C4AE7" w:rsidRPr="00220850" w:rsidRDefault="008C4AE7" w:rsidP="008C4AE7">
      <w:pPr>
        <w:autoSpaceDE w:val="0"/>
        <w:autoSpaceDN w:val="0"/>
        <w:adjustRightInd w:val="0"/>
        <w:rPr>
          <w:rFonts w:eastAsia="TimesNewRoman"/>
          <w:sz w:val="22"/>
          <w:szCs w:val="22"/>
          <w:u w:val="single"/>
        </w:rPr>
      </w:pPr>
      <w:r w:rsidRPr="00220850">
        <w:rPr>
          <w:rFonts w:eastAsia="TimesNewRoman"/>
          <w:sz w:val="22"/>
          <w:szCs w:val="22"/>
          <w:u w:val="single"/>
        </w:rPr>
        <w:t>Nepageidaujamų reakcijų santrauka lentelėje</w:t>
      </w:r>
    </w:p>
    <w:p w14:paraId="05FE2208" w14:textId="77742504" w:rsidR="008C4AE7" w:rsidRPr="00220850" w:rsidRDefault="004B2460" w:rsidP="008C210B">
      <w:pPr>
        <w:autoSpaceDE w:val="0"/>
        <w:autoSpaceDN w:val="0"/>
        <w:adjustRightInd w:val="0"/>
        <w:rPr>
          <w:iCs/>
          <w:sz w:val="22"/>
          <w:szCs w:val="22"/>
          <w:u w:val="single"/>
          <w:lang w:eastAsia="lt-LT"/>
        </w:rPr>
      </w:pPr>
      <w:r w:rsidRPr="00220850">
        <w:rPr>
          <w:rFonts w:eastAsia="TimesNewRoman"/>
          <w:sz w:val="22"/>
          <w:szCs w:val="22"/>
        </w:rPr>
        <w:t>2</w:t>
      </w:r>
      <w:r w:rsidR="008C4AE7" w:rsidRPr="00220850">
        <w:rPr>
          <w:rFonts w:eastAsia="TimesNewRoman"/>
          <w:sz w:val="22"/>
          <w:szCs w:val="22"/>
        </w:rPr>
        <w:t>-ojoje lentelėje pateikta nepageidaujamų reakcijų (NR) į vaistinį preparatą, suklasifikuotų pagal</w:t>
      </w:r>
      <w:r w:rsidR="008C210B" w:rsidRPr="00220850">
        <w:rPr>
          <w:rFonts w:eastAsia="TimesNewRoman"/>
          <w:sz w:val="22"/>
          <w:szCs w:val="22"/>
        </w:rPr>
        <w:t xml:space="preserve"> </w:t>
      </w:r>
      <w:proofErr w:type="spellStart"/>
      <w:r w:rsidR="008C4AE7" w:rsidRPr="00220850">
        <w:rPr>
          <w:rFonts w:eastAsia="TimesNewRoman"/>
          <w:sz w:val="22"/>
          <w:szCs w:val="22"/>
        </w:rPr>
        <w:t>MedDRA</w:t>
      </w:r>
      <w:proofErr w:type="spellEnd"/>
      <w:r w:rsidR="008C4AE7" w:rsidRPr="00220850">
        <w:rPr>
          <w:rFonts w:eastAsia="TimesNewRoman"/>
          <w:sz w:val="22"/>
          <w:szCs w:val="22"/>
        </w:rPr>
        <w:t xml:space="preserve"> organų sistemų klases (OSK) ir dažnį, santrauka, kurioje </w:t>
      </w:r>
      <w:r w:rsidR="00975827" w:rsidRPr="00220850">
        <w:rPr>
          <w:rFonts w:eastAsia="TimesNewRoman"/>
          <w:sz w:val="22"/>
          <w:szCs w:val="22"/>
        </w:rPr>
        <w:t xml:space="preserve">nepageidaujamo poveikio </w:t>
      </w:r>
      <w:r w:rsidR="008C4AE7" w:rsidRPr="00220850">
        <w:rPr>
          <w:rFonts w:eastAsia="TimesNewRoman"/>
          <w:sz w:val="22"/>
          <w:szCs w:val="22"/>
        </w:rPr>
        <w:t>dažnis apibūdin</w:t>
      </w:r>
      <w:r w:rsidR="00975827" w:rsidRPr="00220850">
        <w:rPr>
          <w:rFonts w:eastAsia="TimesNewRoman"/>
          <w:sz w:val="22"/>
          <w:szCs w:val="22"/>
        </w:rPr>
        <w:t>amas taip</w:t>
      </w:r>
      <w:r w:rsidR="008C4AE7" w:rsidRPr="00220850">
        <w:rPr>
          <w:rFonts w:eastAsia="TimesNewRoman"/>
          <w:sz w:val="22"/>
          <w:szCs w:val="22"/>
        </w:rPr>
        <w:t>:</w:t>
      </w:r>
      <w:r w:rsidR="005678E3" w:rsidRPr="00220850">
        <w:rPr>
          <w:rFonts w:eastAsia="TimesNewRoman"/>
          <w:sz w:val="22"/>
          <w:szCs w:val="22"/>
        </w:rPr>
        <w:t xml:space="preserve"> </w:t>
      </w:r>
      <w:r w:rsidR="008C4AE7" w:rsidRPr="00220850">
        <w:rPr>
          <w:rFonts w:eastAsia="TimesNewRoman"/>
          <w:sz w:val="22"/>
          <w:szCs w:val="22"/>
        </w:rPr>
        <w:t>labai dažnas (≥</w:t>
      </w:r>
      <w:r w:rsidR="008C210B" w:rsidRPr="00220850">
        <w:rPr>
          <w:rFonts w:eastAsia="TimesNewRoman"/>
          <w:sz w:val="22"/>
          <w:szCs w:val="22"/>
        </w:rPr>
        <w:t> </w:t>
      </w:r>
      <w:r w:rsidR="008C4AE7" w:rsidRPr="00220850">
        <w:rPr>
          <w:rFonts w:eastAsia="TimesNewRoman"/>
          <w:sz w:val="22"/>
          <w:szCs w:val="22"/>
        </w:rPr>
        <w:t>1/10), dažnas (nuo ≥</w:t>
      </w:r>
      <w:r w:rsidR="008C210B" w:rsidRPr="00220850">
        <w:rPr>
          <w:rFonts w:eastAsia="TimesNewRoman"/>
          <w:sz w:val="22"/>
          <w:szCs w:val="22"/>
        </w:rPr>
        <w:t> 1/100 iki &lt; </w:t>
      </w:r>
      <w:r w:rsidR="008C4AE7" w:rsidRPr="00220850">
        <w:rPr>
          <w:rFonts w:eastAsia="TimesNewRoman"/>
          <w:sz w:val="22"/>
          <w:szCs w:val="22"/>
        </w:rPr>
        <w:t>1/10), nedažnas (nuo ≥</w:t>
      </w:r>
      <w:r w:rsidR="008C210B" w:rsidRPr="00220850">
        <w:rPr>
          <w:rFonts w:eastAsia="TimesNewRoman"/>
          <w:sz w:val="22"/>
          <w:szCs w:val="22"/>
        </w:rPr>
        <w:t> 1/1 000 iki &lt; </w:t>
      </w:r>
      <w:r w:rsidR="008C4AE7" w:rsidRPr="00220850">
        <w:rPr>
          <w:rFonts w:eastAsia="TimesNewRoman"/>
          <w:sz w:val="22"/>
          <w:szCs w:val="22"/>
        </w:rPr>
        <w:t>1/100), retas</w:t>
      </w:r>
      <w:r w:rsidR="008C210B" w:rsidRPr="00220850">
        <w:rPr>
          <w:rFonts w:eastAsia="TimesNewRoman"/>
          <w:sz w:val="22"/>
          <w:szCs w:val="22"/>
        </w:rPr>
        <w:t xml:space="preserve"> </w:t>
      </w:r>
      <w:r w:rsidR="008C4AE7" w:rsidRPr="00220850">
        <w:rPr>
          <w:rFonts w:eastAsia="TimesNewRoman"/>
          <w:sz w:val="22"/>
          <w:szCs w:val="22"/>
        </w:rPr>
        <w:t>(nuo</w:t>
      </w:r>
      <w:r w:rsidR="008C210B" w:rsidRPr="00220850">
        <w:rPr>
          <w:rFonts w:eastAsia="TimesNewRoman"/>
          <w:sz w:val="22"/>
          <w:szCs w:val="22"/>
        </w:rPr>
        <w:t> </w:t>
      </w:r>
      <w:r w:rsidR="008C4AE7" w:rsidRPr="00220850">
        <w:rPr>
          <w:rFonts w:eastAsia="TimesNewRoman"/>
          <w:sz w:val="22"/>
          <w:szCs w:val="22"/>
        </w:rPr>
        <w:t>≥</w:t>
      </w:r>
      <w:r w:rsidR="008C210B" w:rsidRPr="00220850">
        <w:rPr>
          <w:rFonts w:eastAsia="TimesNewRoman"/>
          <w:sz w:val="22"/>
          <w:szCs w:val="22"/>
        </w:rPr>
        <w:t> 1/10 000 iki &lt; 1/1 000), labai retas (&lt; </w:t>
      </w:r>
      <w:r w:rsidR="008C4AE7" w:rsidRPr="00220850">
        <w:rPr>
          <w:rFonts w:eastAsia="TimesNewRoman"/>
          <w:sz w:val="22"/>
          <w:szCs w:val="22"/>
        </w:rPr>
        <w:t>1/10 000) ir dažnis nežinomas (negali būti apskaičiuotas</w:t>
      </w:r>
      <w:r w:rsidR="008C210B" w:rsidRPr="00220850">
        <w:rPr>
          <w:rFonts w:eastAsia="TimesNewRoman"/>
          <w:sz w:val="22"/>
          <w:szCs w:val="22"/>
        </w:rPr>
        <w:t xml:space="preserve"> </w:t>
      </w:r>
      <w:r w:rsidR="008C4AE7" w:rsidRPr="00220850">
        <w:rPr>
          <w:rFonts w:eastAsia="TimesNewRoman"/>
          <w:sz w:val="22"/>
          <w:szCs w:val="22"/>
        </w:rPr>
        <w:t>pagal turimus duomenis).</w:t>
      </w:r>
    </w:p>
    <w:p w14:paraId="016C38BE" w14:textId="77777777" w:rsidR="005678E3" w:rsidRPr="00220850" w:rsidRDefault="005678E3">
      <w:pPr>
        <w:tabs>
          <w:tab w:val="left" w:pos="567"/>
        </w:tabs>
        <w:spacing w:line="260" w:lineRule="exact"/>
        <w:jc w:val="both"/>
        <w:rPr>
          <w:sz w:val="22"/>
        </w:rPr>
      </w:pPr>
    </w:p>
    <w:p w14:paraId="2FC98E77" w14:textId="3DBCF0CE" w:rsidR="00DE01F8" w:rsidRPr="00220850" w:rsidRDefault="004B2460">
      <w:pPr>
        <w:tabs>
          <w:tab w:val="left" w:pos="567"/>
        </w:tabs>
        <w:spacing w:line="260" w:lineRule="exact"/>
        <w:jc w:val="both"/>
        <w:rPr>
          <w:b/>
          <w:sz w:val="22"/>
        </w:rPr>
      </w:pPr>
      <w:r w:rsidRPr="00220850">
        <w:rPr>
          <w:b/>
          <w:sz w:val="22"/>
        </w:rPr>
        <w:t>2</w:t>
      </w:r>
      <w:r w:rsidR="005678E3" w:rsidRPr="00220850">
        <w:rPr>
          <w:b/>
          <w:sz w:val="22"/>
        </w:rPr>
        <w:t xml:space="preserve"> lentelė. NR santrauka pagal dažnį</w:t>
      </w:r>
    </w:p>
    <w:p w14:paraId="626B42F9" w14:textId="77777777" w:rsidR="005678E3" w:rsidRPr="00220850" w:rsidRDefault="005678E3">
      <w:pPr>
        <w:tabs>
          <w:tab w:val="left" w:pos="567"/>
        </w:tabs>
        <w:spacing w:line="260" w:lineRule="exact"/>
        <w:jc w:val="both"/>
        <w:rPr>
          <w:sz w:val="22"/>
          <w:szCs w:val="22"/>
        </w:rPr>
      </w:pPr>
    </w:p>
    <w:tbl>
      <w:tblPr>
        <w:tblStyle w:val="Lentelstinklelis"/>
        <w:tblW w:w="4994" w:type="pct"/>
        <w:tblLook w:val="04A0" w:firstRow="1" w:lastRow="0" w:firstColumn="1" w:lastColumn="0" w:noHBand="0" w:noVBand="1"/>
      </w:tblPr>
      <w:tblGrid>
        <w:gridCol w:w="3017"/>
        <w:gridCol w:w="1924"/>
        <w:gridCol w:w="2061"/>
        <w:gridCol w:w="2047"/>
      </w:tblGrid>
      <w:tr w:rsidR="00E47ED5" w:rsidRPr="00220850" w14:paraId="18EFED8F" w14:textId="77777777" w:rsidTr="00E47ED5">
        <w:trPr>
          <w:tblHeader/>
        </w:trPr>
        <w:tc>
          <w:tcPr>
            <w:tcW w:w="1667" w:type="pct"/>
            <w:vMerge w:val="restart"/>
          </w:tcPr>
          <w:p w14:paraId="47F52455" w14:textId="77777777" w:rsidR="00E47ED5" w:rsidRPr="00220850" w:rsidRDefault="00E47ED5" w:rsidP="00E47ED5">
            <w:pPr>
              <w:autoSpaceDE w:val="0"/>
              <w:autoSpaceDN w:val="0"/>
              <w:adjustRightInd w:val="0"/>
              <w:jc w:val="center"/>
              <w:rPr>
                <w:b/>
                <w:sz w:val="22"/>
                <w:szCs w:val="22"/>
                <w:lang w:val="pt-PT"/>
              </w:rPr>
            </w:pPr>
            <w:r w:rsidRPr="00220850">
              <w:rPr>
                <w:b/>
                <w:sz w:val="22"/>
                <w:szCs w:val="22"/>
                <w:lang w:val="lt-LT"/>
              </w:rPr>
              <w:t xml:space="preserve">  Organų sistemų klasė </w:t>
            </w:r>
            <w:proofErr w:type="spellStart"/>
            <w:r w:rsidRPr="00220850">
              <w:rPr>
                <w:sz w:val="22"/>
                <w:szCs w:val="22"/>
                <w:lang w:val="lt-LT"/>
              </w:rPr>
              <w:t>teiktinas</w:t>
            </w:r>
            <w:proofErr w:type="spellEnd"/>
            <w:r w:rsidRPr="00220850">
              <w:rPr>
                <w:sz w:val="22"/>
                <w:szCs w:val="22"/>
                <w:lang w:val="lt-LT"/>
              </w:rPr>
              <w:t xml:space="preserve"> terminas</w:t>
            </w:r>
          </w:p>
        </w:tc>
        <w:tc>
          <w:tcPr>
            <w:tcW w:w="3333" w:type="pct"/>
            <w:gridSpan w:val="3"/>
          </w:tcPr>
          <w:p w14:paraId="227FB92E" w14:textId="77777777" w:rsidR="00E47ED5" w:rsidRPr="00220850" w:rsidRDefault="00E47ED5" w:rsidP="005678E3">
            <w:pPr>
              <w:autoSpaceDE w:val="0"/>
              <w:autoSpaceDN w:val="0"/>
              <w:adjustRightInd w:val="0"/>
              <w:jc w:val="center"/>
              <w:rPr>
                <w:b/>
                <w:sz w:val="22"/>
                <w:szCs w:val="22"/>
                <w:lang w:val="lt-LT"/>
              </w:rPr>
            </w:pPr>
            <w:r w:rsidRPr="00220850">
              <w:rPr>
                <w:b/>
                <w:sz w:val="22"/>
                <w:szCs w:val="22"/>
                <w:lang w:val="lt-LT"/>
              </w:rPr>
              <w:t>Dažnis</w:t>
            </w:r>
          </w:p>
        </w:tc>
      </w:tr>
      <w:tr w:rsidR="00E47ED5" w:rsidRPr="00220850" w14:paraId="613D1206" w14:textId="77777777" w:rsidTr="0035166F">
        <w:trPr>
          <w:tblHeader/>
        </w:trPr>
        <w:tc>
          <w:tcPr>
            <w:tcW w:w="1667" w:type="pct"/>
            <w:vMerge/>
          </w:tcPr>
          <w:p w14:paraId="4779443E" w14:textId="77777777" w:rsidR="00E47ED5" w:rsidRPr="00220850" w:rsidRDefault="00E47ED5" w:rsidP="005678E3">
            <w:pPr>
              <w:autoSpaceDE w:val="0"/>
              <w:autoSpaceDN w:val="0"/>
              <w:adjustRightInd w:val="0"/>
              <w:jc w:val="center"/>
              <w:rPr>
                <w:b/>
                <w:sz w:val="22"/>
                <w:szCs w:val="22"/>
                <w:lang w:val="lt-LT"/>
              </w:rPr>
            </w:pPr>
          </w:p>
        </w:tc>
        <w:tc>
          <w:tcPr>
            <w:tcW w:w="1063" w:type="pct"/>
          </w:tcPr>
          <w:p w14:paraId="123BC855" w14:textId="77777777" w:rsidR="00E47ED5" w:rsidRPr="00220850" w:rsidRDefault="00E47ED5" w:rsidP="005678E3">
            <w:pPr>
              <w:autoSpaceDE w:val="0"/>
              <w:autoSpaceDN w:val="0"/>
              <w:adjustRightInd w:val="0"/>
              <w:jc w:val="center"/>
              <w:rPr>
                <w:b/>
                <w:sz w:val="22"/>
                <w:szCs w:val="22"/>
                <w:lang w:val="lt-LT"/>
              </w:rPr>
            </w:pPr>
            <w:r w:rsidRPr="00220850">
              <w:rPr>
                <w:b/>
                <w:sz w:val="22"/>
                <w:szCs w:val="22"/>
                <w:lang w:val="lt-LT"/>
              </w:rPr>
              <w:t>Idiopatinė plaučių fibrozė</w:t>
            </w:r>
          </w:p>
        </w:tc>
        <w:tc>
          <w:tcPr>
            <w:tcW w:w="1139" w:type="pct"/>
          </w:tcPr>
          <w:p w14:paraId="1A811523" w14:textId="77777777" w:rsidR="00E47ED5" w:rsidRPr="00220850" w:rsidRDefault="00E47ED5" w:rsidP="005678E3">
            <w:pPr>
              <w:autoSpaceDE w:val="0"/>
              <w:autoSpaceDN w:val="0"/>
              <w:adjustRightInd w:val="0"/>
              <w:jc w:val="center"/>
              <w:rPr>
                <w:b/>
                <w:sz w:val="22"/>
                <w:szCs w:val="22"/>
                <w:lang w:val="lt-LT"/>
              </w:rPr>
            </w:pPr>
            <w:r w:rsidRPr="00220850">
              <w:rPr>
                <w:b/>
                <w:sz w:val="22"/>
                <w:szCs w:val="22"/>
                <w:lang w:val="lt-LT"/>
              </w:rPr>
              <w:t xml:space="preserve">Kitos lėtinės </w:t>
            </w:r>
            <w:proofErr w:type="spellStart"/>
            <w:r w:rsidRPr="00220850">
              <w:rPr>
                <w:b/>
                <w:sz w:val="22"/>
                <w:szCs w:val="22"/>
                <w:lang w:val="lt-LT"/>
              </w:rPr>
              <w:t>fibrozinės</w:t>
            </w:r>
            <w:proofErr w:type="spellEnd"/>
            <w:r w:rsidRPr="00220850">
              <w:rPr>
                <w:b/>
                <w:sz w:val="22"/>
                <w:szCs w:val="22"/>
                <w:lang w:val="lt-LT"/>
              </w:rPr>
              <w:t xml:space="preserve"> progresuojančio fenotipo IPL</w:t>
            </w:r>
          </w:p>
        </w:tc>
        <w:tc>
          <w:tcPr>
            <w:tcW w:w="1131" w:type="pct"/>
          </w:tcPr>
          <w:p w14:paraId="6514924A" w14:textId="77777777" w:rsidR="00E47ED5" w:rsidRPr="00220850" w:rsidRDefault="00E47ED5" w:rsidP="005678E3">
            <w:pPr>
              <w:autoSpaceDE w:val="0"/>
              <w:autoSpaceDN w:val="0"/>
              <w:adjustRightInd w:val="0"/>
              <w:jc w:val="center"/>
              <w:rPr>
                <w:b/>
                <w:sz w:val="22"/>
                <w:szCs w:val="22"/>
                <w:lang w:val="lt-LT"/>
              </w:rPr>
            </w:pPr>
            <w:r w:rsidRPr="00220850">
              <w:rPr>
                <w:b/>
                <w:sz w:val="22"/>
                <w:szCs w:val="22"/>
                <w:lang w:val="lt-LT"/>
              </w:rPr>
              <w:t xml:space="preserve">Su sistemine skleroze susijusi </w:t>
            </w:r>
            <w:proofErr w:type="spellStart"/>
            <w:r w:rsidRPr="00220850">
              <w:rPr>
                <w:b/>
                <w:sz w:val="22"/>
                <w:szCs w:val="22"/>
                <w:lang w:val="lt-LT"/>
              </w:rPr>
              <w:t>intersticinė</w:t>
            </w:r>
            <w:proofErr w:type="spellEnd"/>
            <w:r w:rsidRPr="00220850">
              <w:rPr>
                <w:b/>
                <w:sz w:val="22"/>
                <w:szCs w:val="22"/>
                <w:lang w:val="lt-LT"/>
              </w:rPr>
              <w:t xml:space="preserve"> plaučių liga</w:t>
            </w:r>
          </w:p>
        </w:tc>
      </w:tr>
      <w:tr w:rsidR="005678E3" w:rsidRPr="00220850" w14:paraId="5861A11F" w14:textId="77777777" w:rsidTr="00492ECC">
        <w:tc>
          <w:tcPr>
            <w:tcW w:w="5000" w:type="pct"/>
            <w:gridSpan w:val="4"/>
          </w:tcPr>
          <w:p w14:paraId="7EE954A8"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Kraujo ir limfinės sistemos sutrikimai</w:t>
            </w:r>
          </w:p>
        </w:tc>
      </w:tr>
      <w:tr w:rsidR="005678E3" w:rsidRPr="00220850" w14:paraId="52DAE8AB" w14:textId="77777777" w:rsidTr="0035166F">
        <w:tc>
          <w:tcPr>
            <w:tcW w:w="1667" w:type="pct"/>
          </w:tcPr>
          <w:p w14:paraId="346F1846" w14:textId="77777777" w:rsidR="005678E3" w:rsidRPr="00220850" w:rsidRDefault="00E47ED5" w:rsidP="00492ECC">
            <w:pPr>
              <w:autoSpaceDE w:val="0"/>
              <w:autoSpaceDN w:val="0"/>
              <w:adjustRightInd w:val="0"/>
              <w:rPr>
                <w:sz w:val="22"/>
                <w:szCs w:val="22"/>
                <w:lang w:val="lt-LT"/>
              </w:rPr>
            </w:pPr>
            <w:proofErr w:type="spellStart"/>
            <w:r w:rsidRPr="00220850">
              <w:rPr>
                <w:sz w:val="22"/>
                <w:szCs w:val="22"/>
                <w:lang w:val="lt-LT"/>
              </w:rPr>
              <w:t>Trombocitopenija</w:t>
            </w:r>
            <w:proofErr w:type="spellEnd"/>
          </w:p>
        </w:tc>
        <w:tc>
          <w:tcPr>
            <w:tcW w:w="1063" w:type="pct"/>
          </w:tcPr>
          <w:p w14:paraId="2503127E"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01E9362E"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6AD04459"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r>
      <w:tr w:rsidR="005678E3" w:rsidRPr="00220850" w14:paraId="72ED7928" w14:textId="77777777" w:rsidTr="00492ECC">
        <w:tc>
          <w:tcPr>
            <w:tcW w:w="5000" w:type="pct"/>
            <w:gridSpan w:val="4"/>
          </w:tcPr>
          <w:p w14:paraId="331CCCE7"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Metabolizmo ir mitybos sutrikimai</w:t>
            </w:r>
          </w:p>
        </w:tc>
      </w:tr>
      <w:tr w:rsidR="005678E3" w:rsidRPr="00220850" w14:paraId="0929C01A" w14:textId="77777777" w:rsidTr="0035166F">
        <w:tc>
          <w:tcPr>
            <w:tcW w:w="1667" w:type="pct"/>
          </w:tcPr>
          <w:p w14:paraId="1B4DD910" w14:textId="77777777" w:rsidR="005678E3" w:rsidRPr="00220850" w:rsidRDefault="00E47ED5" w:rsidP="00492ECC">
            <w:pPr>
              <w:autoSpaceDE w:val="0"/>
              <w:autoSpaceDN w:val="0"/>
              <w:adjustRightInd w:val="0"/>
              <w:rPr>
                <w:sz w:val="22"/>
                <w:szCs w:val="22"/>
                <w:lang w:val="lt-LT"/>
              </w:rPr>
            </w:pPr>
            <w:r w:rsidRPr="00220850">
              <w:rPr>
                <w:sz w:val="22"/>
                <w:szCs w:val="22"/>
                <w:lang w:val="lt-LT"/>
              </w:rPr>
              <w:t>Kūno svorio sumažėjimas</w:t>
            </w:r>
          </w:p>
        </w:tc>
        <w:tc>
          <w:tcPr>
            <w:tcW w:w="1063" w:type="pct"/>
          </w:tcPr>
          <w:p w14:paraId="148CF316"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7E565646"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5138BFFA"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7114C6EE" w14:textId="77777777" w:rsidTr="0035166F">
        <w:tc>
          <w:tcPr>
            <w:tcW w:w="1667" w:type="pct"/>
          </w:tcPr>
          <w:p w14:paraId="21BB569A" w14:textId="77777777" w:rsidR="005678E3" w:rsidRPr="00220850" w:rsidRDefault="00E47ED5" w:rsidP="00492ECC">
            <w:pPr>
              <w:autoSpaceDE w:val="0"/>
              <w:autoSpaceDN w:val="0"/>
              <w:adjustRightInd w:val="0"/>
              <w:rPr>
                <w:sz w:val="22"/>
                <w:szCs w:val="22"/>
                <w:lang w:val="lt-LT"/>
              </w:rPr>
            </w:pPr>
            <w:r w:rsidRPr="00220850">
              <w:rPr>
                <w:sz w:val="22"/>
                <w:szCs w:val="22"/>
                <w:lang w:val="lt-LT"/>
              </w:rPr>
              <w:t>Sumažėjęs apetitas</w:t>
            </w:r>
          </w:p>
        </w:tc>
        <w:tc>
          <w:tcPr>
            <w:tcW w:w="1063" w:type="pct"/>
          </w:tcPr>
          <w:p w14:paraId="2AF60B6B"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3C20C790"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5094A1EC"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1E376D61" w14:textId="77777777" w:rsidTr="0035166F">
        <w:tc>
          <w:tcPr>
            <w:tcW w:w="1667" w:type="pct"/>
          </w:tcPr>
          <w:p w14:paraId="45207D64" w14:textId="77777777" w:rsidR="005678E3" w:rsidRPr="00220850" w:rsidRDefault="00EB427D" w:rsidP="00492ECC">
            <w:pPr>
              <w:autoSpaceDE w:val="0"/>
              <w:autoSpaceDN w:val="0"/>
              <w:adjustRightInd w:val="0"/>
              <w:rPr>
                <w:sz w:val="22"/>
                <w:szCs w:val="22"/>
                <w:lang w:val="lt-LT"/>
              </w:rPr>
            </w:pPr>
            <w:r w:rsidRPr="00220850">
              <w:rPr>
                <w:sz w:val="22"/>
                <w:szCs w:val="22"/>
                <w:lang w:val="lt-LT"/>
              </w:rPr>
              <w:t>Dehidratacija</w:t>
            </w:r>
          </w:p>
        </w:tc>
        <w:tc>
          <w:tcPr>
            <w:tcW w:w="1063" w:type="pct"/>
          </w:tcPr>
          <w:p w14:paraId="0A773295"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19DC3C06"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30F76701"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r>
      <w:tr w:rsidR="006B373A" w:rsidRPr="00220850" w14:paraId="2992A916" w14:textId="77777777" w:rsidTr="006B373A">
        <w:tc>
          <w:tcPr>
            <w:tcW w:w="5000" w:type="pct"/>
            <w:gridSpan w:val="4"/>
          </w:tcPr>
          <w:p w14:paraId="01AECA47" w14:textId="076DFF3F" w:rsidR="006B373A" w:rsidRPr="00220850" w:rsidRDefault="006B373A" w:rsidP="00492ECC">
            <w:pPr>
              <w:autoSpaceDE w:val="0"/>
              <w:autoSpaceDN w:val="0"/>
              <w:adjustRightInd w:val="0"/>
              <w:rPr>
                <w:b/>
                <w:bCs/>
                <w:sz w:val="22"/>
                <w:szCs w:val="22"/>
                <w:lang w:val="lt-LT"/>
              </w:rPr>
            </w:pPr>
            <w:proofErr w:type="spellStart"/>
            <w:r w:rsidRPr="00220850">
              <w:rPr>
                <w:b/>
                <w:bCs/>
                <w:sz w:val="22"/>
                <w:szCs w:val="22"/>
              </w:rPr>
              <w:t>Nervų</w:t>
            </w:r>
            <w:proofErr w:type="spellEnd"/>
            <w:r w:rsidRPr="00220850">
              <w:rPr>
                <w:b/>
                <w:bCs/>
                <w:sz w:val="22"/>
                <w:szCs w:val="22"/>
              </w:rPr>
              <w:t xml:space="preserve"> </w:t>
            </w:r>
            <w:proofErr w:type="spellStart"/>
            <w:r w:rsidRPr="00220850">
              <w:rPr>
                <w:b/>
                <w:bCs/>
                <w:sz w:val="22"/>
                <w:szCs w:val="22"/>
              </w:rPr>
              <w:t>sistemos</w:t>
            </w:r>
            <w:proofErr w:type="spellEnd"/>
            <w:r w:rsidRPr="00220850">
              <w:rPr>
                <w:b/>
                <w:bCs/>
                <w:sz w:val="22"/>
                <w:szCs w:val="22"/>
              </w:rPr>
              <w:t xml:space="preserve"> </w:t>
            </w:r>
            <w:proofErr w:type="spellStart"/>
            <w:r w:rsidRPr="00220850">
              <w:rPr>
                <w:b/>
                <w:bCs/>
                <w:sz w:val="22"/>
                <w:szCs w:val="22"/>
              </w:rPr>
              <w:t>sutrikimai</w:t>
            </w:r>
            <w:proofErr w:type="spellEnd"/>
          </w:p>
        </w:tc>
      </w:tr>
      <w:tr w:rsidR="006B373A" w:rsidRPr="00220850" w14:paraId="00F6BDC0" w14:textId="77777777" w:rsidTr="006B373A">
        <w:tc>
          <w:tcPr>
            <w:tcW w:w="1667" w:type="pct"/>
          </w:tcPr>
          <w:p w14:paraId="4997EDFE" w14:textId="260B2374" w:rsidR="006B373A" w:rsidRPr="00220850" w:rsidRDefault="006B373A" w:rsidP="00492ECC">
            <w:pPr>
              <w:autoSpaceDE w:val="0"/>
              <w:autoSpaceDN w:val="0"/>
              <w:adjustRightInd w:val="0"/>
              <w:rPr>
                <w:sz w:val="22"/>
                <w:szCs w:val="22"/>
              </w:rPr>
            </w:pPr>
            <w:r w:rsidRPr="00220850">
              <w:rPr>
                <w:sz w:val="22"/>
                <w:szCs w:val="22"/>
              </w:rPr>
              <w:t xml:space="preserve">Galvos </w:t>
            </w:r>
            <w:proofErr w:type="spellStart"/>
            <w:r w:rsidRPr="00220850">
              <w:rPr>
                <w:sz w:val="22"/>
                <w:szCs w:val="22"/>
              </w:rPr>
              <w:t>skausmas</w:t>
            </w:r>
            <w:proofErr w:type="spellEnd"/>
          </w:p>
        </w:tc>
        <w:tc>
          <w:tcPr>
            <w:tcW w:w="1063" w:type="pct"/>
          </w:tcPr>
          <w:p w14:paraId="649212D8" w14:textId="381F3320" w:rsidR="006B373A" w:rsidRPr="00220850" w:rsidRDefault="006B373A" w:rsidP="00492ECC">
            <w:pPr>
              <w:autoSpaceDE w:val="0"/>
              <w:autoSpaceDN w:val="0"/>
              <w:adjustRightInd w:val="0"/>
              <w:rPr>
                <w:sz w:val="22"/>
                <w:szCs w:val="22"/>
              </w:rPr>
            </w:pPr>
            <w:proofErr w:type="spellStart"/>
            <w:r w:rsidRPr="00220850">
              <w:rPr>
                <w:sz w:val="22"/>
                <w:szCs w:val="22"/>
              </w:rPr>
              <w:t>Dažnas</w:t>
            </w:r>
            <w:proofErr w:type="spellEnd"/>
          </w:p>
        </w:tc>
        <w:tc>
          <w:tcPr>
            <w:tcW w:w="1139" w:type="pct"/>
          </w:tcPr>
          <w:p w14:paraId="52E9E60C" w14:textId="0A29ACEA" w:rsidR="006B373A" w:rsidRPr="00220850" w:rsidRDefault="006B373A" w:rsidP="00492ECC">
            <w:pPr>
              <w:autoSpaceDE w:val="0"/>
              <w:autoSpaceDN w:val="0"/>
              <w:adjustRightInd w:val="0"/>
              <w:rPr>
                <w:sz w:val="22"/>
                <w:szCs w:val="22"/>
              </w:rPr>
            </w:pPr>
            <w:proofErr w:type="spellStart"/>
            <w:r w:rsidRPr="00220850">
              <w:rPr>
                <w:sz w:val="22"/>
                <w:szCs w:val="22"/>
              </w:rPr>
              <w:t>Dažnas</w:t>
            </w:r>
            <w:proofErr w:type="spellEnd"/>
          </w:p>
        </w:tc>
        <w:tc>
          <w:tcPr>
            <w:tcW w:w="1131" w:type="pct"/>
          </w:tcPr>
          <w:p w14:paraId="722B44AE" w14:textId="591E2FD3" w:rsidR="006B373A" w:rsidRPr="00220850" w:rsidRDefault="006B373A" w:rsidP="00492ECC">
            <w:pPr>
              <w:autoSpaceDE w:val="0"/>
              <w:autoSpaceDN w:val="0"/>
              <w:adjustRightInd w:val="0"/>
              <w:rPr>
                <w:sz w:val="22"/>
                <w:szCs w:val="22"/>
              </w:rPr>
            </w:pPr>
            <w:proofErr w:type="spellStart"/>
            <w:r w:rsidRPr="00220850">
              <w:rPr>
                <w:sz w:val="22"/>
                <w:szCs w:val="22"/>
              </w:rPr>
              <w:t>Dažnas</w:t>
            </w:r>
            <w:proofErr w:type="spellEnd"/>
          </w:p>
        </w:tc>
      </w:tr>
      <w:tr w:rsidR="006B373A" w:rsidRPr="00220850" w14:paraId="10BAD332" w14:textId="77777777" w:rsidTr="006B373A">
        <w:tc>
          <w:tcPr>
            <w:tcW w:w="1667" w:type="pct"/>
          </w:tcPr>
          <w:p w14:paraId="315563CB" w14:textId="578F2371" w:rsidR="006B373A" w:rsidRPr="00220850" w:rsidRDefault="006B373A" w:rsidP="00492ECC">
            <w:pPr>
              <w:autoSpaceDE w:val="0"/>
              <w:autoSpaceDN w:val="0"/>
              <w:adjustRightInd w:val="0"/>
              <w:rPr>
                <w:sz w:val="22"/>
                <w:szCs w:val="22"/>
              </w:rPr>
            </w:pPr>
            <w:r w:rsidRPr="00220850">
              <w:rPr>
                <w:sz w:val="22"/>
                <w:szCs w:val="22"/>
                <w:lang w:val="lt-LT"/>
              </w:rPr>
              <w:t xml:space="preserve">Užpakalinės grįžtamosios </w:t>
            </w:r>
            <w:proofErr w:type="spellStart"/>
            <w:r w:rsidRPr="00220850">
              <w:rPr>
                <w:sz w:val="22"/>
                <w:szCs w:val="22"/>
                <w:lang w:val="lt-LT"/>
              </w:rPr>
              <w:t>encefalopatijos</w:t>
            </w:r>
            <w:proofErr w:type="spellEnd"/>
            <w:r w:rsidRPr="00220850">
              <w:rPr>
                <w:sz w:val="22"/>
                <w:szCs w:val="22"/>
                <w:lang w:val="lt-LT"/>
              </w:rPr>
              <w:t xml:space="preserve"> sindromas</w:t>
            </w:r>
          </w:p>
        </w:tc>
        <w:tc>
          <w:tcPr>
            <w:tcW w:w="1063" w:type="pct"/>
          </w:tcPr>
          <w:p w14:paraId="33E22E0D" w14:textId="67027AE5" w:rsidR="006B373A" w:rsidRPr="00220850" w:rsidRDefault="006B373A" w:rsidP="00492ECC">
            <w:pPr>
              <w:autoSpaceDE w:val="0"/>
              <w:autoSpaceDN w:val="0"/>
              <w:adjustRightInd w:val="0"/>
              <w:rPr>
                <w:sz w:val="22"/>
                <w:szCs w:val="22"/>
              </w:rPr>
            </w:pPr>
            <w:proofErr w:type="spellStart"/>
            <w:r w:rsidRPr="00220850">
              <w:rPr>
                <w:sz w:val="22"/>
                <w:szCs w:val="22"/>
              </w:rPr>
              <w:t>Dažnis</w:t>
            </w:r>
            <w:proofErr w:type="spellEnd"/>
            <w:r w:rsidRPr="00220850">
              <w:rPr>
                <w:sz w:val="22"/>
                <w:szCs w:val="22"/>
              </w:rPr>
              <w:t xml:space="preserve"> </w:t>
            </w:r>
            <w:proofErr w:type="spellStart"/>
            <w:r w:rsidRPr="00220850">
              <w:rPr>
                <w:sz w:val="22"/>
                <w:szCs w:val="22"/>
              </w:rPr>
              <w:t>nežinomas</w:t>
            </w:r>
            <w:proofErr w:type="spellEnd"/>
          </w:p>
        </w:tc>
        <w:tc>
          <w:tcPr>
            <w:tcW w:w="1139" w:type="pct"/>
          </w:tcPr>
          <w:p w14:paraId="070D7142" w14:textId="6A433561" w:rsidR="006B373A" w:rsidRPr="00220850" w:rsidRDefault="006B373A" w:rsidP="00492ECC">
            <w:pPr>
              <w:autoSpaceDE w:val="0"/>
              <w:autoSpaceDN w:val="0"/>
              <w:adjustRightInd w:val="0"/>
              <w:rPr>
                <w:sz w:val="22"/>
                <w:szCs w:val="22"/>
              </w:rPr>
            </w:pPr>
            <w:proofErr w:type="spellStart"/>
            <w:r w:rsidRPr="00220850">
              <w:rPr>
                <w:sz w:val="22"/>
                <w:szCs w:val="22"/>
              </w:rPr>
              <w:t>Dažnis</w:t>
            </w:r>
            <w:proofErr w:type="spellEnd"/>
            <w:r w:rsidRPr="00220850">
              <w:rPr>
                <w:sz w:val="22"/>
                <w:szCs w:val="22"/>
              </w:rPr>
              <w:t xml:space="preserve"> </w:t>
            </w:r>
            <w:proofErr w:type="spellStart"/>
            <w:r w:rsidRPr="00220850">
              <w:rPr>
                <w:sz w:val="22"/>
                <w:szCs w:val="22"/>
              </w:rPr>
              <w:t>nežinomas</w:t>
            </w:r>
            <w:proofErr w:type="spellEnd"/>
          </w:p>
        </w:tc>
        <w:tc>
          <w:tcPr>
            <w:tcW w:w="1131" w:type="pct"/>
          </w:tcPr>
          <w:p w14:paraId="29BE9DDC" w14:textId="2B5DFC1B" w:rsidR="006B373A" w:rsidRPr="00220850" w:rsidRDefault="006B373A" w:rsidP="00492ECC">
            <w:pPr>
              <w:autoSpaceDE w:val="0"/>
              <w:autoSpaceDN w:val="0"/>
              <w:adjustRightInd w:val="0"/>
              <w:rPr>
                <w:sz w:val="22"/>
                <w:szCs w:val="22"/>
              </w:rPr>
            </w:pPr>
            <w:proofErr w:type="spellStart"/>
            <w:r w:rsidRPr="00220850">
              <w:rPr>
                <w:sz w:val="22"/>
                <w:szCs w:val="22"/>
              </w:rPr>
              <w:t>Dažnis</w:t>
            </w:r>
            <w:proofErr w:type="spellEnd"/>
            <w:r w:rsidRPr="00220850">
              <w:rPr>
                <w:sz w:val="22"/>
                <w:szCs w:val="22"/>
              </w:rPr>
              <w:t xml:space="preserve"> </w:t>
            </w:r>
            <w:proofErr w:type="spellStart"/>
            <w:r w:rsidRPr="00220850">
              <w:rPr>
                <w:sz w:val="22"/>
                <w:szCs w:val="22"/>
              </w:rPr>
              <w:t>nežinomas</w:t>
            </w:r>
            <w:proofErr w:type="spellEnd"/>
          </w:p>
        </w:tc>
      </w:tr>
      <w:tr w:rsidR="005678E3" w:rsidRPr="00220850" w14:paraId="77431B87" w14:textId="77777777" w:rsidTr="00492ECC">
        <w:tc>
          <w:tcPr>
            <w:tcW w:w="5000" w:type="pct"/>
            <w:gridSpan w:val="4"/>
          </w:tcPr>
          <w:p w14:paraId="4F6BD7D0"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Širdies sutrikimai</w:t>
            </w:r>
          </w:p>
        </w:tc>
      </w:tr>
      <w:tr w:rsidR="005678E3" w:rsidRPr="00220850" w14:paraId="60A3EBA4" w14:textId="77777777" w:rsidTr="0035166F">
        <w:tc>
          <w:tcPr>
            <w:tcW w:w="1667" w:type="pct"/>
          </w:tcPr>
          <w:p w14:paraId="6484097E" w14:textId="77777777" w:rsidR="005678E3" w:rsidRPr="00220850" w:rsidRDefault="00EB427D" w:rsidP="00492ECC">
            <w:pPr>
              <w:autoSpaceDE w:val="0"/>
              <w:autoSpaceDN w:val="0"/>
              <w:adjustRightInd w:val="0"/>
              <w:rPr>
                <w:sz w:val="22"/>
                <w:szCs w:val="22"/>
                <w:lang w:val="lt-LT"/>
              </w:rPr>
            </w:pPr>
            <w:r w:rsidRPr="00220850">
              <w:rPr>
                <w:sz w:val="22"/>
                <w:szCs w:val="22"/>
                <w:lang w:val="lt-LT"/>
              </w:rPr>
              <w:t>Miokardo infarktas</w:t>
            </w:r>
          </w:p>
        </w:tc>
        <w:tc>
          <w:tcPr>
            <w:tcW w:w="1063" w:type="pct"/>
          </w:tcPr>
          <w:p w14:paraId="386D25ED"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4E54D84D"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27FAEEB2" w14:textId="77777777" w:rsidR="005678E3" w:rsidRPr="00220850" w:rsidRDefault="00BF0165" w:rsidP="00BF0165">
            <w:pPr>
              <w:autoSpaceDE w:val="0"/>
              <w:autoSpaceDN w:val="0"/>
              <w:adjustRightInd w:val="0"/>
              <w:rPr>
                <w:sz w:val="22"/>
                <w:szCs w:val="22"/>
                <w:lang w:val="lt-LT"/>
              </w:rPr>
            </w:pPr>
            <w:r w:rsidRPr="00220850">
              <w:rPr>
                <w:sz w:val="22"/>
                <w:szCs w:val="22"/>
                <w:lang w:val="lt-LT"/>
              </w:rPr>
              <w:t>Dažnis nežinomas</w:t>
            </w:r>
          </w:p>
        </w:tc>
      </w:tr>
      <w:tr w:rsidR="005678E3" w:rsidRPr="00220850" w14:paraId="455CF9C3" w14:textId="77777777" w:rsidTr="00492ECC">
        <w:tc>
          <w:tcPr>
            <w:tcW w:w="5000" w:type="pct"/>
            <w:gridSpan w:val="4"/>
          </w:tcPr>
          <w:p w14:paraId="0B93EFA3"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Kraujagyslių sutrikimai</w:t>
            </w:r>
          </w:p>
        </w:tc>
      </w:tr>
      <w:tr w:rsidR="005678E3" w:rsidRPr="00220850" w14:paraId="5308B74A" w14:textId="77777777" w:rsidTr="0035166F">
        <w:tc>
          <w:tcPr>
            <w:tcW w:w="1667" w:type="pct"/>
          </w:tcPr>
          <w:p w14:paraId="1AE67480" w14:textId="77777777" w:rsidR="005678E3" w:rsidRPr="00220850" w:rsidRDefault="00EB427D" w:rsidP="00492ECC">
            <w:pPr>
              <w:autoSpaceDE w:val="0"/>
              <w:autoSpaceDN w:val="0"/>
              <w:adjustRightInd w:val="0"/>
              <w:rPr>
                <w:sz w:val="22"/>
                <w:szCs w:val="22"/>
                <w:lang w:val="lt-LT"/>
              </w:rPr>
            </w:pPr>
            <w:r w:rsidRPr="00220850">
              <w:rPr>
                <w:sz w:val="22"/>
                <w:szCs w:val="22"/>
                <w:lang w:val="lt-LT"/>
              </w:rPr>
              <w:t>Kraujavimas (žr. 4.4 skyrių)</w:t>
            </w:r>
          </w:p>
        </w:tc>
        <w:tc>
          <w:tcPr>
            <w:tcW w:w="1063" w:type="pct"/>
          </w:tcPr>
          <w:p w14:paraId="161010FE"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0168A67C"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26C79E18"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6236661F" w14:textId="77777777" w:rsidTr="0035166F">
        <w:tc>
          <w:tcPr>
            <w:tcW w:w="1667" w:type="pct"/>
          </w:tcPr>
          <w:p w14:paraId="106C7C8C" w14:textId="77777777" w:rsidR="005678E3" w:rsidRPr="00220850" w:rsidRDefault="00EB427D" w:rsidP="00492ECC">
            <w:pPr>
              <w:autoSpaceDE w:val="0"/>
              <w:autoSpaceDN w:val="0"/>
              <w:adjustRightInd w:val="0"/>
              <w:rPr>
                <w:sz w:val="22"/>
                <w:szCs w:val="22"/>
                <w:lang w:val="lt-LT"/>
              </w:rPr>
            </w:pPr>
            <w:r w:rsidRPr="00220850">
              <w:rPr>
                <w:sz w:val="22"/>
                <w:szCs w:val="22"/>
                <w:lang w:val="lt-LT"/>
              </w:rPr>
              <w:t>Hipertenzija</w:t>
            </w:r>
          </w:p>
        </w:tc>
        <w:tc>
          <w:tcPr>
            <w:tcW w:w="1063" w:type="pct"/>
          </w:tcPr>
          <w:p w14:paraId="2CF2BCCF"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774222A5"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3F37FECA"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6696A9A7" w14:textId="77777777" w:rsidTr="0035166F">
        <w:tc>
          <w:tcPr>
            <w:tcW w:w="1667" w:type="pct"/>
          </w:tcPr>
          <w:p w14:paraId="5BF88BD3" w14:textId="77777777" w:rsidR="005678E3" w:rsidRPr="00220850" w:rsidRDefault="00EB427D" w:rsidP="00E47ED5">
            <w:pPr>
              <w:autoSpaceDE w:val="0"/>
              <w:autoSpaceDN w:val="0"/>
              <w:adjustRightInd w:val="0"/>
              <w:rPr>
                <w:sz w:val="22"/>
                <w:szCs w:val="22"/>
                <w:lang w:val="lt-LT"/>
              </w:rPr>
            </w:pPr>
            <w:r w:rsidRPr="00220850">
              <w:rPr>
                <w:sz w:val="22"/>
                <w:szCs w:val="22"/>
                <w:lang w:val="lt-LT"/>
              </w:rPr>
              <w:t>Aneurizmos ir arterijų</w:t>
            </w:r>
            <w:r w:rsidR="00E47ED5" w:rsidRPr="00220850">
              <w:rPr>
                <w:sz w:val="22"/>
                <w:szCs w:val="22"/>
                <w:lang w:val="lt-LT"/>
              </w:rPr>
              <w:t xml:space="preserve"> </w:t>
            </w:r>
            <w:proofErr w:type="spellStart"/>
            <w:r w:rsidRPr="00220850">
              <w:rPr>
                <w:sz w:val="22"/>
                <w:szCs w:val="22"/>
                <w:lang w:val="lt-LT"/>
              </w:rPr>
              <w:t>disekacijos</w:t>
            </w:r>
            <w:proofErr w:type="spellEnd"/>
          </w:p>
        </w:tc>
        <w:tc>
          <w:tcPr>
            <w:tcW w:w="1063" w:type="pct"/>
          </w:tcPr>
          <w:p w14:paraId="69191250"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c>
          <w:tcPr>
            <w:tcW w:w="1139" w:type="pct"/>
          </w:tcPr>
          <w:p w14:paraId="01E08027"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c>
          <w:tcPr>
            <w:tcW w:w="1131" w:type="pct"/>
          </w:tcPr>
          <w:p w14:paraId="1CA0F9AA"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r>
      <w:tr w:rsidR="005678E3" w:rsidRPr="00220850" w14:paraId="7751A574" w14:textId="77777777" w:rsidTr="00492ECC">
        <w:tc>
          <w:tcPr>
            <w:tcW w:w="5000" w:type="pct"/>
            <w:gridSpan w:val="4"/>
          </w:tcPr>
          <w:p w14:paraId="3CF753AB"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Virškinimo trakto sutrikimai</w:t>
            </w:r>
          </w:p>
        </w:tc>
      </w:tr>
      <w:tr w:rsidR="005678E3" w:rsidRPr="00220850" w14:paraId="21E6EF8A" w14:textId="77777777" w:rsidTr="0035166F">
        <w:tc>
          <w:tcPr>
            <w:tcW w:w="1667" w:type="pct"/>
          </w:tcPr>
          <w:p w14:paraId="12454748" w14:textId="77777777" w:rsidR="005678E3" w:rsidRPr="00220850" w:rsidRDefault="00E47ED5" w:rsidP="00492ECC">
            <w:pPr>
              <w:autoSpaceDE w:val="0"/>
              <w:autoSpaceDN w:val="0"/>
              <w:adjustRightInd w:val="0"/>
              <w:rPr>
                <w:sz w:val="22"/>
                <w:szCs w:val="22"/>
                <w:lang w:val="lt-LT"/>
              </w:rPr>
            </w:pPr>
            <w:r w:rsidRPr="00220850">
              <w:rPr>
                <w:sz w:val="22"/>
                <w:szCs w:val="22"/>
                <w:lang w:val="lt-LT"/>
              </w:rPr>
              <w:t>Viduriavimas</w:t>
            </w:r>
          </w:p>
        </w:tc>
        <w:tc>
          <w:tcPr>
            <w:tcW w:w="1063" w:type="pct"/>
          </w:tcPr>
          <w:p w14:paraId="06CC5D9E"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9" w:type="pct"/>
          </w:tcPr>
          <w:p w14:paraId="69301C4F"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75BAFF74"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r>
      <w:tr w:rsidR="005678E3" w:rsidRPr="00220850" w14:paraId="15BA79B4" w14:textId="77777777" w:rsidTr="0035166F">
        <w:tc>
          <w:tcPr>
            <w:tcW w:w="1667" w:type="pct"/>
          </w:tcPr>
          <w:p w14:paraId="33805847" w14:textId="77777777" w:rsidR="005678E3" w:rsidRPr="00220850" w:rsidRDefault="00E47ED5" w:rsidP="00492ECC">
            <w:pPr>
              <w:autoSpaceDE w:val="0"/>
              <w:autoSpaceDN w:val="0"/>
              <w:adjustRightInd w:val="0"/>
              <w:rPr>
                <w:sz w:val="22"/>
                <w:szCs w:val="22"/>
                <w:lang w:val="lt-LT"/>
              </w:rPr>
            </w:pPr>
            <w:r w:rsidRPr="00220850">
              <w:rPr>
                <w:sz w:val="22"/>
                <w:szCs w:val="22"/>
                <w:lang w:val="lt-LT"/>
              </w:rPr>
              <w:t>Pykinimas</w:t>
            </w:r>
          </w:p>
        </w:tc>
        <w:tc>
          <w:tcPr>
            <w:tcW w:w="1063" w:type="pct"/>
          </w:tcPr>
          <w:p w14:paraId="5DC758C8"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9" w:type="pct"/>
          </w:tcPr>
          <w:p w14:paraId="43A5EB50"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4F41432A"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r>
      <w:tr w:rsidR="005678E3" w:rsidRPr="00220850" w14:paraId="1358D739" w14:textId="77777777" w:rsidTr="0035166F">
        <w:tc>
          <w:tcPr>
            <w:tcW w:w="1667" w:type="pct"/>
          </w:tcPr>
          <w:p w14:paraId="2DDBA0E5" w14:textId="77777777" w:rsidR="005678E3" w:rsidRPr="00220850" w:rsidRDefault="00E47ED5" w:rsidP="00492ECC">
            <w:pPr>
              <w:autoSpaceDE w:val="0"/>
              <w:autoSpaceDN w:val="0"/>
              <w:adjustRightInd w:val="0"/>
              <w:rPr>
                <w:sz w:val="22"/>
                <w:szCs w:val="22"/>
                <w:lang w:val="lt-LT"/>
              </w:rPr>
            </w:pPr>
            <w:r w:rsidRPr="00220850">
              <w:rPr>
                <w:sz w:val="22"/>
                <w:szCs w:val="22"/>
                <w:lang w:val="lt-LT"/>
              </w:rPr>
              <w:t>Pilvo skausmas</w:t>
            </w:r>
          </w:p>
        </w:tc>
        <w:tc>
          <w:tcPr>
            <w:tcW w:w="1063" w:type="pct"/>
          </w:tcPr>
          <w:p w14:paraId="5DB83500"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9" w:type="pct"/>
          </w:tcPr>
          <w:p w14:paraId="7ED62999"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7906C24C"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r>
      <w:tr w:rsidR="005678E3" w:rsidRPr="00220850" w14:paraId="405FE62C" w14:textId="77777777" w:rsidTr="0035166F">
        <w:tc>
          <w:tcPr>
            <w:tcW w:w="1667" w:type="pct"/>
          </w:tcPr>
          <w:p w14:paraId="524551B0" w14:textId="77777777" w:rsidR="005678E3" w:rsidRPr="00220850" w:rsidRDefault="00E47ED5" w:rsidP="00492ECC">
            <w:pPr>
              <w:autoSpaceDE w:val="0"/>
              <w:autoSpaceDN w:val="0"/>
              <w:adjustRightInd w:val="0"/>
              <w:rPr>
                <w:sz w:val="22"/>
                <w:szCs w:val="22"/>
                <w:lang w:val="lt-LT"/>
              </w:rPr>
            </w:pPr>
            <w:r w:rsidRPr="00220850">
              <w:rPr>
                <w:sz w:val="22"/>
                <w:szCs w:val="22"/>
                <w:lang w:val="lt-LT"/>
              </w:rPr>
              <w:t>Vėmimas</w:t>
            </w:r>
          </w:p>
        </w:tc>
        <w:tc>
          <w:tcPr>
            <w:tcW w:w="1063" w:type="pct"/>
          </w:tcPr>
          <w:p w14:paraId="485BBEAE"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02AEE8B7"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0B225D3F"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r>
      <w:tr w:rsidR="005678E3" w:rsidRPr="00220850" w14:paraId="55297684" w14:textId="77777777" w:rsidTr="0035166F">
        <w:tc>
          <w:tcPr>
            <w:tcW w:w="1667" w:type="pct"/>
          </w:tcPr>
          <w:p w14:paraId="3A0DFDDE" w14:textId="77777777" w:rsidR="005678E3" w:rsidRPr="00220850" w:rsidRDefault="00E47ED5" w:rsidP="00492ECC">
            <w:pPr>
              <w:autoSpaceDE w:val="0"/>
              <w:autoSpaceDN w:val="0"/>
              <w:adjustRightInd w:val="0"/>
              <w:rPr>
                <w:sz w:val="22"/>
                <w:szCs w:val="22"/>
                <w:lang w:val="lt-LT"/>
              </w:rPr>
            </w:pPr>
            <w:r w:rsidRPr="00220850">
              <w:rPr>
                <w:sz w:val="22"/>
                <w:szCs w:val="22"/>
                <w:lang w:val="lt-LT"/>
              </w:rPr>
              <w:t>Pankreatitas</w:t>
            </w:r>
          </w:p>
        </w:tc>
        <w:tc>
          <w:tcPr>
            <w:tcW w:w="1063" w:type="pct"/>
          </w:tcPr>
          <w:p w14:paraId="45D0FAAD"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7D2D8E31"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57B4FBB7"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r>
      <w:tr w:rsidR="005678E3" w:rsidRPr="00220850" w14:paraId="3D05F86C" w14:textId="77777777" w:rsidTr="0035166F">
        <w:tc>
          <w:tcPr>
            <w:tcW w:w="1667" w:type="pct"/>
          </w:tcPr>
          <w:p w14:paraId="32B49A65" w14:textId="77777777" w:rsidR="005678E3" w:rsidRPr="00220850" w:rsidRDefault="00E47ED5" w:rsidP="00492ECC">
            <w:pPr>
              <w:autoSpaceDE w:val="0"/>
              <w:autoSpaceDN w:val="0"/>
              <w:adjustRightInd w:val="0"/>
              <w:rPr>
                <w:sz w:val="22"/>
                <w:szCs w:val="22"/>
                <w:lang w:val="lt-LT"/>
              </w:rPr>
            </w:pPr>
            <w:r w:rsidRPr="00220850">
              <w:rPr>
                <w:sz w:val="22"/>
                <w:szCs w:val="22"/>
                <w:lang w:val="lt-LT"/>
              </w:rPr>
              <w:t>Kolitas</w:t>
            </w:r>
          </w:p>
        </w:tc>
        <w:tc>
          <w:tcPr>
            <w:tcW w:w="1063" w:type="pct"/>
          </w:tcPr>
          <w:p w14:paraId="5593D282"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22FF9973"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42AE8A8C"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r>
      <w:tr w:rsidR="005678E3" w:rsidRPr="00220850" w14:paraId="1D85E9E8" w14:textId="77777777" w:rsidTr="00492ECC">
        <w:tc>
          <w:tcPr>
            <w:tcW w:w="5000" w:type="pct"/>
            <w:gridSpan w:val="4"/>
          </w:tcPr>
          <w:p w14:paraId="29181FBA"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Kepenų, tulžies pūslės ir latakų sutrikimai</w:t>
            </w:r>
          </w:p>
        </w:tc>
      </w:tr>
      <w:tr w:rsidR="005678E3" w:rsidRPr="00220850" w14:paraId="75773051" w14:textId="77777777" w:rsidTr="0035166F">
        <w:tc>
          <w:tcPr>
            <w:tcW w:w="1667" w:type="pct"/>
          </w:tcPr>
          <w:p w14:paraId="356B19C3" w14:textId="77777777" w:rsidR="005678E3" w:rsidRPr="00220850" w:rsidRDefault="00E47ED5" w:rsidP="00E47ED5">
            <w:pPr>
              <w:autoSpaceDE w:val="0"/>
              <w:autoSpaceDN w:val="0"/>
              <w:adjustRightInd w:val="0"/>
              <w:rPr>
                <w:sz w:val="22"/>
                <w:szCs w:val="22"/>
                <w:lang w:val="lt-LT"/>
              </w:rPr>
            </w:pPr>
            <w:r w:rsidRPr="00220850">
              <w:rPr>
                <w:sz w:val="22"/>
                <w:szCs w:val="22"/>
                <w:lang w:val="lt-LT"/>
              </w:rPr>
              <w:t>Vaistinio preparato sukeltas kepenų pažeidimas</w:t>
            </w:r>
          </w:p>
        </w:tc>
        <w:tc>
          <w:tcPr>
            <w:tcW w:w="1063" w:type="pct"/>
          </w:tcPr>
          <w:p w14:paraId="68C81552"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5EE6CF91"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57B5D347"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r>
      <w:tr w:rsidR="005678E3" w:rsidRPr="00220850" w14:paraId="36DBA6AF" w14:textId="77777777" w:rsidTr="0035166F">
        <w:tc>
          <w:tcPr>
            <w:tcW w:w="1667" w:type="pct"/>
          </w:tcPr>
          <w:p w14:paraId="78859858" w14:textId="77777777" w:rsidR="005678E3" w:rsidRPr="00220850" w:rsidRDefault="00E47ED5" w:rsidP="00E47ED5">
            <w:pPr>
              <w:autoSpaceDE w:val="0"/>
              <w:autoSpaceDN w:val="0"/>
              <w:adjustRightInd w:val="0"/>
              <w:rPr>
                <w:sz w:val="22"/>
                <w:szCs w:val="22"/>
                <w:lang w:val="lt-LT"/>
              </w:rPr>
            </w:pPr>
            <w:r w:rsidRPr="00220850">
              <w:rPr>
                <w:sz w:val="22"/>
                <w:szCs w:val="22"/>
                <w:lang w:val="lt-LT"/>
              </w:rPr>
              <w:t>Kepenų fermentų aktyvumo padidėjimas</w:t>
            </w:r>
          </w:p>
        </w:tc>
        <w:tc>
          <w:tcPr>
            <w:tcW w:w="1063" w:type="pct"/>
          </w:tcPr>
          <w:p w14:paraId="3832712A"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9" w:type="pct"/>
          </w:tcPr>
          <w:p w14:paraId="022C2237"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7229562B"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r>
      <w:tr w:rsidR="005678E3" w:rsidRPr="00220850" w14:paraId="026D130B" w14:textId="77777777" w:rsidTr="0035166F">
        <w:tc>
          <w:tcPr>
            <w:tcW w:w="1667" w:type="pct"/>
          </w:tcPr>
          <w:p w14:paraId="23966A1B" w14:textId="77777777" w:rsidR="005678E3" w:rsidRPr="00220850" w:rsidRDefault="00E47ED5" w:rsidP="00E47ED5">
            <w:pPr>
              <w:autoSpaceDE w:val="0"/>
              <w:autoSpaceDN w:val="0"/>
              <w:adjustRightInd w:val="0"/>
              <w:rPr>
                <w:sz w:val="22"/>
                <w:szCs w:val="22"/>
                <w:lang w:val="lt-LT"/>
              </w:rPr>
            </w:pPr>
            <w:r w:rsidRPr="00220850">
              <w:rPr>
                <w:sz w:val="22"/>
                <w:szCs w:val="22"/>
                <w:lang w:val="lt-LT"/>
              </w:rPr>
              <w:t>Alaninaminotransferazės (ALT) aktyvumo padidėjimas</w:t>
            </w:r>
          </w:p>
        </w:tc>
        <w:tc>
          <w:tcPr>
            <w:tcW w:w="1063" w:type="pct"/>
          </w:tcPr>
          <w:p w14:paraId="5C71622D"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04D0466C" w14:textId="77777777" w:rsidR="005678E3" w:rsidRPr="00220850" w:rsidRDefault="00EB427D" w:rsidP="00492ECC">
            <w:pPr>
              <w:autoSpaceDE w:val="0"/>
              <w:autoSpaceDN w:val="0"/>
              <w:adjustRightInd w:val="0"/>
              <w:rPr>
                <w:sz w:val="22"/>
                <w:szCs w:val="22"/>
                <w:lang w:val="lt-LT"/>
              </w:rPr>
            </w:pPr>
            <w:r w:rsidRPr="00220850">
              <w:rPr>
                <w:sz w:val="22"/>
                <w:szCs w:val="22"/>
                <w:lang w:val="lt-LT"/>
              </w:rPr>
              <w:t>Labai dažnas</w:t>
            </w:r>
          </w:p>
        </w:tc>
        <w:tc>
          <w:tcPr>
            <w:tcW w:w="1131" w:type="pct"/>
          </w:tcPr>
          <w:p w14:paraId="452A4A31"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2F7A7904" w14:textId="77777777" w:rsidTr="0035166F">
        <w:tc>
          <w:tcPr>
            <w:tcW w:w="1667" w:type="pct"/>
          </w:tcPr>
          <w:p w14:paraId="2D804D49" w14:textId="77777777" w:rsidR="005678E3" w:rsidRPr="00220850" w:rsidRDefault="00E47ED5" w:rsidP="00E47ED5">
            <w:pPr>
              <w:autoSpaceDE w:val="0"/>
              <w:autoSpaceDN w:val="0"/>
              <w:adjustRightInd w:val="0"/>
              <w:rPr>
                <w:sz w:val="22"/>
                <w:szCs w:val="22"/>
                <w:lang w:val="lt-LT"/>
              </w:rPr>
            </w:pPr>
            <w:r w:rsidRPr="00220850">
              <w:rPr>
                <w:sz w:val="22"/>
                <w:szCs w:val="22"/>
                <w:lang w:val="lt-LT"/>
              </w:rPr>
              <w:lastRenderedPageBreak/>
              <w:t>Aspartataminotransferazės (AST) aktyvumo padidėjimas</w:t>
            </w:r>
          </w:p>
        </w:tc>
        <w:tc>
          <w:tcPr>
            <w:tcW w:w="1063" w:type="pct"/>
          </w:tcPr>
          <w:p w14:paraId="2E21BD85"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5F70532F"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733410EE"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1B3773D1" w14:textId="77777777" w:rsidTr="0035166F">
        <w:tc>
          <w:tcPr>
            <w:tcW w:w="1667" w:type="pct"/>
          </w:tcPr>
          <w:p w14:paraId="0881605A" w14:textId="77777777" w:rsidR="005678E3" w:rsidRPr="00220850" w:rsidRDefault="00E47ED5" w:rsidP="00E47ED5">
            <w:pPr>
              <w:autoSpaceDE w:val="0"/>
              <w:autoSpaceDN w:val="0"/>
              <w:adjustRightInd w:val="0"/>
              <w:rPr>
                <w:sz w:val="22"/>
                <w:szCs w:val="22"/>
                <w:lang w:val="lt-LT"/>
              </w:rPr>
            </w:pPr>
            <w:proofErr w:type="spellStart"/>
            <w:r w:rsidRPr="00220850">
              <w:rPr>
                <w:sz w:val="22"/>
                <w:szCs w:val="22"/>
                <w:lang w:val="lt-LT"/>
              </w:rPr>
              <w:t>Gamaglutamiltransferazės</w:t>
            </w:r>
            <w:proofErr w:type="spellEnd"/>
            <w:r w:rsidRPr="00220850">
              <w:rPr>
                <w:sz w:val="22"/>
                <w:szCs w:val="22"/>
                <w:lang w:val="lt-LT"/>
              </w:rPr>
              <w:t xml:space="preserve"> (GGT) aktyvumo padidėjimas</w:t>
            </w:r>
          </w:p>
        </w:tc>
        <w:tc>
          <w:tcPr>
            <w:tcW w:w="1063" w:type="pct"/>
          </w:tcPr>
          <w:p w14:paraId="665A24A0"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2B3BF65A"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3666A793"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r>
      <w:tr w:rsidR="005678E3" w:rsidRPr="00220850" w14:paraId="38B11EE7" w14:textId="77777777" w:rsidTr="0035166F">
        <w:tc>
          <w:tcPr>
            <w:tcW w:w="1667" w:type="pct"/>
          </w:tcPr>
          <w:p w14:paraId="3962E25B" w14:textId="77777777" w:rsidR="005678E3" w:rsidRPr="00220850" w:rsidRDefault="00E47ED5" w:rsidP="00492ECC">
            <w:pPr>
              <w:autoSpaceDE w:val="0"/>
              <w:autoSpaceDN w:val="0"/>
              <w:adjustRightInd w:val="0"/>
              <w:rPr>
                <w:sz w:val="22"/>
                <w:szCs w:val="22"/>
                <w:lang w:val="lt-LT"/>
              </w:rPr>
            </w:pPr>
            <w:proofErr w:type="spellStart"/>
            <w:r w:rsidRPr="00220850">
              <w:rPr>
                <w:sz w:val="22"/>
                <w:szCs w:val="22"/>
                <w:lang w:val="lt-LT"/>
              </w:rPr>
              <w:t>Hiperbilirubinemija</w:t>
            </w:r>
            <w:proofErr w:type="spellEnd"/>
          </w:p>
        </w:tc>
        <w:tc>
          <w:tcPr>
            <w:tcW w:w="1063" w:type="pct"/>
          </w:tcPr>
          <w:p w14:paraId="21929733"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0FBF46B6"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38087D06"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r>
      <w:tr w:rsidR="005678E3" w:rsidRPr="00220850" w14:paraId="4884260C" w14:textId="77777777" w:rsidTr="0035166F">
        <w:tc>
          <w:tcPr>
            <w:tcW w:w="1667" w:type="pct"/>
          </w:tcPr>
          <w:p w14:paraId="7DFB67F2" w14:textId="77777777" w:rsidR="005678E3" w:rsidRPr="00220850" w:rsidRDefault="00E47ED5" w:rsidP="00E47ED5">
            <w:pPr>
              <w:autoSpaceDE w:val="0"/>
              <w:autoSpaceDN w:val="0"/>
              <w:adjustRightInd w:val="0"/>
              <w:rPr>
                <w:sz w:val="22"/>
                <w:szCs w:val="22"/>
                <w:lang w:val="lt-LT"/>
              </w:rPr>
            </w:pPr>
            <w:r w:rsidRPr="00220850">
              <w:rPr>
                <w:sz w:val="22"/>
                <w:szCs w:val="22"/>
                <w:lang w:val="lt-LT"/>
              </w:rPr>
              <w:t>Šarminės fosfatazės (ŠF) aktyvumo padidėjimas kraujyje</w:t>
            </w:r>
          </w:p>
        </w:tc>
        <w:tc>
          <w:tcPr>
            <w:tcW w:w="1063" w:type="pct"/>
          </w:tcPr>
          <w:p w14:paraId="30CF9B90"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278FA57A"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4CCBFBB5" w14:textId="77777777" w:rsidR="005678E3" w:rsidRPr="00220850" w:rsidRDefault="00BF0165" w:rsidP="00492ECC">
            <w:pPr>
              <w:autoSpaceDE w:val="0"/>
              <w:autoSpaceDN w:val="0"/>
              <w:adjustRightInd w:val="0"/>
              <w:rPr>
                <w:sz w:val="22"/>
                <w:szCs w:val="22"/>
                <w:lang w:val="lt-LT"/>
              </w:rPr>
            </w:pPr>
            <w:r w:rsidRPr="00220850">
              <w:rPr>
                <w:sz w:val="22"/>
                <w:szCs w:val="22"/>
                <w:lang w:val="lt-LT"/>
              </w:rPr>
              <w:t>D</w:t>
            </w:r>
            <w:r w:rsidR="00EB427D" w:rsidRPr="00220850">
              <w:rPr>
                <w:sz w:val="22"/>
                <w:szCs w:val="22"/>
                <w:lang w:val="lt-LT"/>
              </w:rPr>
              <w:t>ažnas</w:t>
            </w:r>
          </w:p>
        </w:tc>
      </w:tr>
      <w:tr w:rsidR="005678E3" w:rsidRPr="00220850" w14:paraId="739E93EF" w14:textId="77777777" w:rsidTr="00492ECC">
        <w:tc>
          <w:tcPr>
            <w:tcW w:w="5000" w:type="pct"/>
            <w:gridSpan w:val="4"/>
          </w:tcPr>
          <w:p w14:paraId="10B4654A"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Odos ir poodinio audinio sutrikimai</w:t>
            </w:r>
          </w:p>
        </w:tc>
      </w:tr>
      <w:tr w:rsidR="005678E3" w:rsidRPr="00220850" w14:paraId="47D212E5" w14:textId="77777777" w:rsidTr="0035166F">
        <w:tc>
          <w:tcPr>
            <w:tcW w:w="1667" w:type="pct"/>
          </w:tcPr>
          <w:p w14:paraId="259E1FAD" w14:textId="77777777" w:rsidR="005678E3" w:rsidRPr="00220850" w:rsidRDefault="00E47ED5" w:rsidP="00492ECC">
            <w:pPr>
              <w:autoSpaceDE w:val="0"/>
              <w:autoSpaceDN w:val="0"/>
              <w:adjustRightInd w:val="0"/>
              <w:rPr>
                <w:sz w:val="22"/>
                <w:szCs w:val="22"/>
                <w:lang w:val="lt-LT"/>
              </w:rPr>
            </w:pPr>
            <w:r w:rsidRPr="00220850">
              <w:rPr>
                <w:sz w:val="22"/>
                <w:szCs w:val="22"/>
                <w:lang w:val="lt-LT"/>
              </w:rPr>
              <w:t>Išbėrimas</w:t>
            </w:r>
          </w:p>
        </w:tc>
        <w:tc>
          <w:tcPr>
            <w:tcW w:w="1063" w:type="pct"/>
          </w:tcPr>
          <w:p w14:paraId="3E320065"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9" w:type="pct"/>
          </w:tcPr>
          <w:p w14:paraId="1F4606A6"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Dažnas</w:t>
            </w:r>
          </w:p>
        </w:tc>
        <w:tc>
          <w:tcPr>
            <w:tcW w:w="1131" w:type="pct"/>
          </w:tcPr>
          <w:p w14:paraId="5C79CD9E"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r>
      <w:tr w:rsidR="005678E3" w:rsidRPr="00220850" w14:paraId="24E00D2F" w14:textId="77777777" w:rsidTr="0035166F">
        <w:tc>
          <w:tcPr>
            <w:tcW w:w="1667" w:type="pct"/>
          </w:tcPr>
          <w:p w14:paraId="612BB5A1" w14:textId="77777777" w:rsidR="005678E3" w:rsidRPr="00220850" w:rsidRDefault="00E47ED5" w:rsidP="00492ECC">
            <w:pPr>
              <w:autoSpaceDE w:val="0"/>
              <w:autoSpaceDN w:val="0"/>
              <w:adjustRightInd w:val="0"/>
              <w:rPr>
                <w:sz w:val="22"/>
                <w:szCs w:val="22"/>
                <w:lang w:val="lt-LT"/>
              </w:rPr>
            </w:pPr>
            <w:r w:rsidRPr="00220850">
              <w:rPr>
                <w:sz w:val="22"/>
                <w:szCs w:val="22"/>
                <w:lang w:val="lt-LT"/>
              </w:rPr>
              <w:t>Niežėjimas</w:t>
            </w:r>
          </w:p>
        </w:tc>
        <w:tc>
          <w:tcPr>
            <w:tcW w:w="1063" w:type="pct"/>
          </w:tcPr>
          <w:p w14:paraId="64E3C48B"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10F7E749"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11708662"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r>
      <w:tr w:rsidR="005678E3" w:rsidRPr="00220850" w14:paraId="0828DD77" w14:textId="77777777" w:rsidTr="0035166F">
        <w:tc>
          <w:tcPr>
            <w:tcW w:w="1667" w:type="pct"/>
          </w:tcPr>
          <w:p w14:paraId="426684AA" w14:textId="77777777" w:rsidR="005678E3" w:rsidRPr="00220850" w:rsidRDefault="00E47ED5" w:rsidP="00492ECC">
            <w:pPr>
              <w:autoSpaceDE w:val="0"/>
              <w:autoSpaceDN w:val="0"/>
              <w:adjustRightInd w:val="0"/>
              <w:rPr>
                <w:sz w:val="22"/>
                <w:szCs w:val="22"/>
                <w:lang w:val="lt-LT"/>
              </w:rPr>
            </w:pPr>
            <w:proofErr w:type="spellStart"/>
            <w:r w:rsidRPr="00220850">
              <w:rPr>
                <w:sz w:val="22"/>
                <w:szCs w:val="22"/>
                <w:lang w:val="lt-LT"/>
              </w:rPr>
              <w:t>Alopecija</w:t>
            </w:r>
            <w:proofErr w:type="spellEnd"/>
          </w:p>
        </w:tc>
        <w:tc>
          <w:tcPr>
            <w:tcW w:w="1063" w:type="pct"/>
          </w:tcPr>
          <w:p w14:paraId="71FC3742"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73E0E672"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15F58CD7"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r>
      <w:tr w:rsidR="005678E3" w:rsidRPr="00220850" w14:paraId="72AE09EF" w14:textId="77777777" w:rsidTr="00492ECC">
        <w:tc>
          <w:tcPr>
            <w:tcW w:w="5000" w:type="pct"/>
            <w:gridSpan w:val="4"/>
          </w:tcPr>
          <w:p w14:paraId="22C4CB0A" w14:textId="77777777" w:rsidR="005678E3" w:rsidRPr="00220850" w:rsidRDefault="005678E3" w:rsidP="00492ECC">
            <w:pPr>
              <w:autoSpaceDE w:val="0"/>
              <w:autoSpaceDN w:val="0"/>
              <w:adjustRightInd w:val="0"/>
              <w:rPr>
                <w:b/>
                <w:sz w:val="22"/>
                <w:szCs w:val="22"/>
                <w:lang w:val="lt-LT"/>
              </w:rPr>
            </w:pPr>
            <w:r w:rsidRPr="00220850">
              <w:rPr>
                <w:b/>
                <w:sz w:val="22"/>
                <w:szCs w:val="22"/>
                <w:lang w:val="lt-LT"/>
              </w:rPr>
              <w:t>Inkstų ir šlapimo takų sutrikimai</w:t>
            </w:r>
          </w:p>
        </w:tc>
      </w:tr>
      <w:tr w:rsidR="005678E3" w:rsidRPr="00220850" w14:paraId="604684FD" w14:textId="77777777" w:rsidTr="0035166F">
        <w:tc>
          <w:tcPr>
            <w:tcW w:w="1667" w:type="pct"/>
          </w:tcPr>
          <w:p w14:paraId="19C004B9" w14:textId="77777777" w:rsidR="005678E3" w:rsidRPr="00220850" w:rsidRDefault="00E47ED5" w:rsidP="00E47ED5">
            <w:pPr>
              <w:autoSpaceDE w:val="0"/>
              <w:autoSpaceDN w:val="0"/>
              <w:adjustRightInd w:val="0"/>
              <w:rPr>
                <w:sz w:val="22"/>
                <w:szCs w:val="22"/>
                <w:lang w:val="lt-LT"/>
              </w:rPr>
            </w:pPr>
            <w:r w:rsidRPr="00220850">
              <w:rPr>
                <w:sz w:val="22"/>
                <w:szCs w:val="22"/>
                <w:lang w:val="lt-LT"/>
              </w:rPr>
              <w:t>Inkstų nepakankamumas (žr. 4.4 skyrių)</w:t>
            </w:r>
          </w:p>
        </w:tc>
        <w:tc>
          <w:tcPr>
            <w:tcW w:w="1063" w:type="pct"/>
          </w:tcPr>
          <w:p w14:paraId="7681DA16"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c>
          <w:tcPr>
            <w:tcW w:w="1139" w:type="pct"/>
          </w:tcPr>
          <w:p w14:paraId="6E9876A0"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c>
          <w:tcPr>
            <w:tcW w:w="1131" w:type="pct"/>
          </w:tcPr>
          <w:p w14:paraId="6A0BC30C"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r>
      <w:tr w:rsidR="005678E3" w:rsidRPr="00220850" w14:paraId="37C47F7D" w14:textId="77777777" w:rsidTr="0035166F">
        <w:tc>
          <w:tcPr>
            <w:tcW w:w="1667" w:type="pct"/>
          </w:tcPr>
          <w:p w14:paraId="0C68D1C1" w14:textId="77777777" w:rsidR="005678E3" w:rsidRPr="00220850" w:rsidRDefault="00E47ED5" w:rsidP="00492ECC">
            <w:pPr>
              <w:autoSpaceDE w:val="0"/>
              <w:autoSpaceDN w:val="0"/>
              <w:adjustRightInd w:val="0"/>
              <w:rPr>
                <w:sz w:val="22"/>
                <w:szCs w:val="22"/>
                <w:lang w:val="lt-LT"/>
              </w:rPr>
            </w:pPr>
            <w:proofErr w:type="spellStart"/>
            <w:r w:rsidRPr="00220850">
              <w:rPr>
                <w:sz w:val="22"/>
                <w:szCs w:val="22"/>
                <w:lang w:val="lt-LT"/>
              </w:rPr>
              <w:t>Proteinurija</w:t>
            </w:r>
            <w:proofErr w:type="spellEnd"/>
          </w:p>
        </w:tc>
        <w:tc>
          <w:tcPr>
            <w:tcW w:w="1063" w:type="pct"/>
          </w:tcPr>
          <w:p w14:paraId="2C43858C"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9" w:type="pct"/>
          </w:tcPr>
          <w:p w14:paraId="35671AAF" w14:textId="77777777" w:rsidR="005678E3" w:rsidRPr="00220850" w:rsidRDefault="00EB427D" w:rsidP="00492ECC">
            <w:pPr>
              <w:autoSpaceDE w:val="0"/>
              <w:autoSpaceDN w:val="0"/>
              <w:adjustRightInd w:val="0"/>
              <w:rPr>
                <w:sz w:val="22"/>
                <w:szCs w:val="22"/>
                <w:lang w:val="lt-LT"/>
              </w:rPr>
            </w:pPr>
            <w:r w:rsidRPr="00220850">
              <w:rPr>
                <w:sz w:val="22"/>
                <w:szCs w:val="22"/>
                <w:lang w:val="lt-LT"/>
              </w:rPr>
              <w:t>Nedažnas</w:t>
            </w:r>
          </w:p>
        </w:tc>
        <w:tc>
          <w:tcPr>
            <w:tcW w:w="1131" w:type="pct"/>
          </w:tcPr>
          <w:p w14:paraId="4F7788B6" w14:textId="77777777" w:rsidR="005678E3" w:rsidRPr="00220850" w:rsidRDefault="00EB427D" w:rsidP="00492ECC">
            <w:pPr>
              <w:autoSpaceDE w:val="0"/>
              <w:autoSpaceDN w:val="0"/>
              <w:adjustRightInd w:val="0"/>
              <w:rPr>
                <w:sz w:val="22"/>
                <w:szCs w:val="22"/>
                <w:lang w:val="lt-LT"/>
              </w:rPr>
            </w:pPr>
            <w:r w:rsidRPr="00220850">
              <w:rPr>
                <w:sz w:val="22"/>
                <w:szCs w:val="22"/>
                <w:lang w:val="lt-LT"/>
              </w:rPr>
              <w:t>Dažnis nežinomas</w:t>
            </w:r>
          </w:p>
        </w:tc>
      </w:tr>
    </w:tbl>
    <w:p w14:paraId="01868E5B" w14:textId="77777777" w:rsidR="005678E3" w:rsidRPr="00220850" w:rsidRDefault="005678E3" w:rsidP="005678E3">
      <w:pPr>
        <w:autoSpaceDE w:val="0"/>
        <w:autoSpaceDN w:val="0"/>
        <w:adjustRightInd w:val="0"/>
        <w:jc w:val="both"/>
        <w:rPr>
          <w:sz w:val="22"/>
          <w:szCs w:val="22"/>
        </w:rPr>
      </w:pPr>
    </w:p>
    <w:p w14:paraId="220FED96" w14:textId="77777777" w:rsidR="00492ECC" w:rsidRPr="00220850" w:rsidRDefault="00492ECC" w:rsidP="00492ECC">
      <w:pPr>
        <w:autoSpaceDE w:val="0"/>
        <w:autoSpaceDN w:val="0"/>
        <w:adjustRightInd w:val="0"/>
        <w:rPr>
          <w:rFonts w:eastAsia="TimesNewRoman"/>
          <w:sz w:val="22"/>
          <w:szCs w:val="22"/>
          <w:u w:val="single"/>
        </w:rPr>
      </w:pPr>
      <w:r w:rsidRPr="00220850">
        <w:rPr>
          <w:rFonts w:eastAsia="TimesNewRoman"/>
          <w:sz w:val="22"/>
          <w:szCs w:val="22"/>
          <w:u w:val="single"/>
        </w:rPr>
        <w:t>Atrinktų nepageidaujamų reakcijų apibūdinimas</w:t>
      </w:r>
    </w:p>
    <w:p w14:paraId="581A53A1" w14:textId="77777777" w:rsidR="00492ECC" w:rsidRPr="00220850" w:rsidRDefault="00492ECC" w:rsidP="00492ECC">
      <w:pPr>
        <w:autoSpaceDE w:val="0"/>
        <w:autoSpaceDN w:val="0"/>
        <w:adjustRightInd w:val="0"/>
        <w:rPr>
          <w:rFonts w:eastAsia="TimesNewRoman,Italic"/>
          <w:i/>
          <w:iCs/>
          <w:sz w:val="22"/>
          <w:szCs w:val="22"/>
        </w:rPr>
      </w:pPr>
    </w:p>
    <w:p w14:paraId="05073F6A" w14:textId="77777777" w:rsidR="00492ECC" w:rsidRPr="00220850" w:rsidRDefault="00492ECC" w:rsidP="00492ECC">
      <w:pPr>
        <w:autoSpaceDE w:val="0"/>
        <w:autoSpaceDN w:val="0"/>
        <w:adjustRightInd w:val="0"/>
        <w:rPr>
          <w:rFonts w:eastAsia="TimesNewRoman,Italic"/>
          <w:i/>
          <w:iCs/>
          <w:sz w:val="22"/>
          <w:szCs w:val="22"/>
        </w:rPr>
      </w:pPr>
      <w:r w:rsidRPr="00220850">
        <w:rPr>
          <w:rFonts w:eastAsia="TimesNewRoman,Italic"/>
          <w:i/>
          <w:iCs/>
          <w:sz w:val="22"/>
          <w:szCs w:val="22"/>
        </w:rPr>
        <w:t>Viduriavimas</w:t>
      </w:r>
    </w:p>
    <w:p w14:paraId="0218814E" w14:textId="146EED79" w:rsidR="005678E3" w:rsidRPr="00220850" w:rsidRDefault="00492ECC" w:rsidP="00492ECC">
      <w:pPr>
        <w:autoSpaceDE w:val="0"/>
        <w:autoSpaceDN w:val="0"/>
        <w:adjustRightInd w:val="0"/>
        <w:rPr>
          <w:sz w:val="22"/>
          <w:u w:val="single"/>
        </w:rPr>
      </w:pPr>
      <w:r w:rsidRPr="00220850">
        <w:rPr>
          <w:rFonts w:eastAsia="TimesNewRoman"/>
          <w:sz w:val="22"/>
          <w:szCs w:val="22"/>
        </w:rPr>
        <w:t xml:space="preserve">Klinikinių tyrimų metu (žr. 5.1 skyrių) viduriavimas buvo dažniausiai nustatytas virškinimo trakto reiškinys. Daugumai pacientų šis reiškinys buvo lengvas arba vidutinio sunkumo. Daugiau kaip dviem trečdaliams pacientų, kuriems pasireiškė viduriavimas, jis prasidėjo jau pirmaisiais trimis gydymo mėnesiais. Daugumai pacientų viduriavimas buvo gydomas viduriavimą slopinančiais vaistiniais preparatais, dozės mažinimu ar </w:t>
      </w:r>
      <w:proofErr w:type="spellStart"/>
      <w:r w:rsidRPr="00220850">
        <w:rPr>
          <w:rFonts w:eastAsia="TimesNewRoman"/>
          <w:sz w:val="22"/>
          <w:szCs w:val="22"/>
        </w:rPr>
        <w:t>nintedanibo</w:t>
      </w:r>
      <w:proofErr w:type="spellEnd"/>
      <w:r w:rsidRPr="00220850">
        <w:rPr>
          <w:rFonts w:eastAsia="TimesNewRoman"/>
          <w:sz w:val="22"/>
          <w:szCs w:val="22"/>
        </w:rPr>
        <w:t xml:space="preserve"> vartojimo </w:t>
      </w:r>
      <w:r w:rsidR="004B1282" w:rsidRPr="00220850">
        <w:rPr>
          <w:rFonts w:eastAsia="TimesNewRoman"/>
          <w:sz w:val="22"/>
          <w:szCs w:val="22"/>
        </w:rPr>
        <w:t xml:space="preserve">nutraukimu </w:t>
      </w:r>
      <w:r w:rsidRPr="00220850">
        <w:rPr>
          <w:rFonts w:eastAsia="TimesNewRoman"/>
          <w:sz w:val="22"/>
          <w:szCs w:val="22"/>
        </w:rPr>
        <w:t xml:space="preserve">(žr. 4.4 skyrių). Klinikinių tyrimų metu nustatyti viduriavimo reiškiniai </w:t>
      </w:r>
      <w:r w:rsidR="00BF0165" w:rsidRPr="00220850">
        <w:rPr>
          <w:rFonts w:eastAsia="TimesNewRoman"/>
          <w:sz w:val="22"/>
          <w:szCs w:val="22"/>
        </w:rPr>
        <w:t>išvardyti</w:t>
      </w:r>
      <w:r w:rsidRPr="00220850">
        <w:rPr>
          <w:rFonts w:eastAsia="TimesNewRoman"/>
          <w:sz w:val="22"/>
          <w:szCs w:val="22"/>
        </w:rPr>
        <w:t xml:space="preserve"> </w:t>
      </w:r>
      <w:r w:rsidR="004B2460" w:rsidRPr="00220850">
        <w:rPr>
          <w:rFonts w:eastAsia="TimesNewRoman"/>
          <w:sz w:val="22"/>
          <w:szCs w:val="22"/>
        </w:rPr>
        <w:t>3</w:t>
      </w:r>
      <w:r w:rsidRPr="00220850">
        <w:rPr>
          <w:rFonts w:eastAsia="TimesNewRoman"/>
          <w:sz w:val="22"/>
          <w:szCs w:val="22"/>
        </w:rPr>
        <w:t xml:space="preserve"> lentelėje.</w:t>
      </w:r>
    </w:p>
    <w:p w14:paraId="01253EDE" w14:textId="77777777" w:rsidR="00492ECC" w:rsidRPr="00220850" w:rsidRDefault="00492ECC">
      <w:pPr>
        <w:tabs>
          <w:tab w:val="left" w:pos="567"/>
        </w:tabs>
        <w:spacing w:line="260" w:lineRule="exact"/>
        <w:jc w:val="both"/>
        <w:rPr>
          <w:rFonts w:eastAsia="TimesNewRoman,Bold"/>
          <w:b/>
          <w:bCs/>
          <w:sz w:val="22"/>
          <w:szCs w:val="22"/>
        </w:rPr>
      </w:pPr>
    </w:p>
    <w:p w14:paraId="0CE9809A" w14:textId="7E98FE3D" w:rsidR="005678E3" w:rsidRPr="00220850" w:rsidRDefault="004B2460">
      <w:pPr>
        <w:tabs>
          <w:tab w:val="left" w:pos="567"/>
        </w:tabs>
        <w:spacing w:line="260" w:lineRule="exact"/>
        <w:jc w:val="both"/>
        <w:rPr>
          <w:sz w:val="22"/>
          <w:szCs w:val="22"/>
          <w:u w:val="single"/>
        </w:rPr>
      </w:pPr>
      <w:r w:rsidRPr="00220850">
        <w:rPr>
          <w:rFonts w:eastAsia="TimesNewRoman,Bold"/>
          <w:b/>
          <w:bCs/>
          <w:sz w:val="22"/>
          <w:szCs w:val="22"/>
        </w:rPr>
        <w:t>3</w:t>
      </w:r>
      <w:r w:rsidR="00492ECC" w:rsidRPr="00220850">
        <w:rPr>
          <w:rFonts w:eastAsia="TimesNewRoman,Bold"/>
          <w:b/>
          <w:bCs/>
          <w:sz w:val="22"/>
          <w:szCs w:val="22"/>
        </w:rPr>
        <w:t xml:space="preserve"> lentelė. Viduriavimas per 52 savaites klinikinių tyrimų metu</w:t>
      </w:r>
    </w:p>
    <w:p w14:paraId="74F75606" w14:textId="77777777" w:rsidR="00492ECC" w:rsidRPr="00220850" w:rsidRDefault="00492ECC" w:rsidP="00492ECC">
      <w:pPr>
        <w:keepNext/>
        <w:tabs>
          <w:tab w:val="left" w:pos="1134"/>
        </w:tabs>
        <w:autoSpaceDE w:val="0"/>
        <w:autoSpaceDN w:val="0"/>
        <w:adjustRightInd w:val="0"/>
        <w:ind w:left="1134" w:hanging="1134"/>
        <w:jc w:val="both"/>
        <w:rPr>
          <w:sz w:val="22"/>
          <w:szCs w:val="22"/>
        </w:rPr>
      </w:pPr>
    </w:p>
    <w:tbl>
      <w:tblPr>
        <w:tblStyle w:val="Lentelstinklelis"/>
        <w:tblW w:w="4994" w:type="pct"/>
        <w:tblLook w:val="04A0" w:firstRow="1" w:lastRow="0" w:firstColumn="1" w:lastColumn="0" w:noHBand="0" w:noVBand="1"/>
      </w:tblPr>
      <w:tblGrid>
        <w:gridCol w:w="1960"/>
        <w:gridCol w:w="986"/>
        <w:gridCol w:w="1377"/>
        <w:gridCol w:w="986"/>
        <w:gridCol w:w="1377"/>
        <w:gridCol w:w="986"/>
        <w:gridCol w:w="1377"/>
      </w:tblGrid>
      <w:tr w:rsidR="0018606E" w:rsidRPr="00220850" w14:paraId="629B4522" w14:textId="77777777" w:rsidTr="0018606E">
        <w:trPr>
          <w:tblHeader/>
        </w:trPr>
        <w:tc>
          <w:tcPr>
            <w:tcW w:w="1347" w:type="pct"/>
            <w:vMerge w:val="restart"/>
          </w:tcPr>
          <w:p w14:paraId="4FAC1933" w14:textId="77777777" w:rsidR="00492ECC" w:rsidRPr="00220850" w:rsidRDefault="00492ECC" w:rsidP="00492ECC">
            <w:pPr>
              <w:autoSpaceDE w:val="0"/>
              <w:autoSpaceDN w:val="0"/>
              <w:adjustRightInd w:val="0"/>
              <w:rPr>
                <w:sz w:val="22"/>
                <w:szCs w:val="22"/>
                <w:lang w:val="lt-LT"/>
              </w:rPr>
            </w:pPr>
          </w:p>
        </w:tc>
        <w:tc>
          <w:tcPr>
            <w:tcW w:w="1255" w:type="pct"/>
            <w:gridSpan w:val="2"/>
          </w:tcPr>
          <w:p w14:paraId="184F90AC" w14:textId="77777777" w:rsidR="00492ECC" w:rsidRPr="00220850" w:rsidRDefault="00492ECC" w:rsidP="00492ECC">
            <w:pPr>
              <w:autoSpaceDE w:val="0"/>
              <w:autoSpaceDN w:val="0"/>
              <w:adjustRightInd w:val="0"/>
              <w:jc w:val="center"/>
              <w:rPr>
                <w:b/>
                <w:sz w:val="22"/>
                <w:szCs w:val="22"/>
                <w:lang w:val="lt-LT"/>
              </w:rPr>
            </w:pPr>
            <w:r w:rsidRPr="00220850">
              <w:rPr>
                <w:b/>
                <w:sz w:val="22"/>
                <w:szCs w:val="22"/>
                <w:lang w:val="lt-LT"/>
              </w:rPr>
              <w:t>INPULSIS</w:t>
            </w:r>
          </w:p>
        </w:tc>
        <w:tc>
          <w:tcPr>
            <w:tcW w:w="1196" w:type="pct"/>
            <w:gridSpan w:val="2"/>
          </w:tcPr>
          <w:p w14:paraId="3F6DD37A" w14:textId="77777777" w:rsidR="00492ECC" w:rsidRPr="00220850" w:rsidRDefault="00492ECC" w:rsidP="00492ECC">
            <w:pPr>
              <w:autoSpaceDE w:val="0"/>
              <w:autoSpaceDN w:val="0"/>
              <w:adjustRightInd w:val="0"/>
              <w:jc w:val="center"/>
              <w:rPr>
                <w:b/>
                <w:sz w:val="22"/>
                <w:szCs w:val="22"/>
                <w:lang w:val="lt-LT"/>
              </w:rPr>
            </w:pPr>
            <w:r w:rsidRPr="00220850">
              <w:rPr>
                <w:b/>
                <w:sz w:val="22"/>
                <w:szCs w:val="22"/>
                <w:lang w:val="lt-LT"/>
              </w:rPr>
              <w:t>INBUILD</w:t>
            </w:r>
          </w:p>
        </w:tc>
        <w:tc>
          <w:tcPr>
            <w:tcW w:w="1202" w:type="pct"/>
            <w:gridSpan w:val="2"/>
          </w:tcPr>
          <w:p w14:paraId="7356C39D" w14:textId="77777777" w:rsidR="00492ECC" w:rsidRPr="00220850" w:rsidRDefault="00492ECC" w:rsidP="00492ECC">
            <w:pPr>
              <w:autoSpaceDE w:val="0"/>
              <w:autoSpaceDN w:val="0"/>
              <w:adjustRightInd w:val="0"/>
              <w:jc w:val="center"/>
              <w:rPr>
                <w:b/>
                <w:sz w:val="22"/>
                <w:szCs w:val="22"/>
                <w:lang w:val="lt-LT"/>
              </w:rPr>
            </w:pPr>
            <w:r w:rsidRPr="00220850">
              <w:rPr>
                <w:b/>
                <w:sz w:val="22"/>
                <w:szCs w:val="22"/>
                <w:lang w:val="lt-LT"/>
              </w:rPr>
              <w:t>SENSCIS</w:t>
            </w:r>
          </w:p>
        </w:tc>
      </w:tr>
      <w:tr w:rsidR="0018606E" w:rsidRPr="00220850" w14:paraId="5EB55054" w14:textId="77777777" w:rsidTr="0018606E">
        <w:trPr>
          <w:tblHeader/>
        </w:trPr>
        <w:tc>
          <w:tcPr>
            <w:tcW w:w="1347" w:type="pct"/>
            <w:vMerge/>
          </w:tcPr>
          <w:p w14:paraId="79B82727" w14:textId="77777777" w:rsidR="00492ECC" w:rsidRPr="00220850" w:rsidRDefault="00492ECC" w:rsidP="00492ECC">
            <w:pPr>
              <w:autoSpaceDE w:val="0"/>
              <w:autoSpaceDN w:val="0"/>
              <w:adjustRightInd w:val="0"/>
              <w:rPr>
                <w:sz w:val="22"/>
                <w:szCs w:val="22"/>
                <w:lang w:val="lt-LT"/>
              </w:rPr>
            </w:pPr>
          </w:p>
        </w:tc>
        <w:tc>
          <w:tcPr>
            <w:tcW w:w="548" w:type="pct"/>
          </w:tcPr>
          <w:p w14:paraId="28C30266" w14:textId="77777777" w:rsidR="00492ECC" w:rsidRPr="00220850" w:rsidRDefault="00331A5B" w:rsidP="00492ECC">
            <w:pPr>
              <w:autoSpaceDE w:val="0"/>
              <w:autoSpaceDN w:val="0"/>
              <w:adjustRightInd w:val="0"/>
              <w:jc w:val="center"/>
              <w:rPr>
                <w:sz w:val="22"/>
                <w:szCs w:val="22"/>
                <w:lang w:val="lt-LT"/>
              </w:rPr>
            </w:pPr>
            <w:r w:rsidRPr="00220850">
              <w:rPr>
                <w:sz w:val="22"/>
                <w:szCs w:val="22"/>
                <w:lang w:val="lt-LT"/>
              </w:rPr>
              <w:t>Placebas</w:t>
            </w:r>
          </w:p>
        </w:tc>
        <w:tc>
          <w:tcPr>
            <w:tcW w:w="706" w:type="pct"/>
          </w:tcPr>
          <w:p w14:paraId="5C3FC703" w14:textId="77777777" w:rsidR="00492ECC" w:rsidRPr="00220850" w:rsidRDefault="00492ECC" w:rsidP="00492ECC">
            <w:pPr>
              <w:autoSpaceDE w:val="0"/>
              <w:autoSpaceDN w:val="0"/>
              <w:adjustRightInd w:val="0"/>
              <w:jc w:val="center"/>
              <w:rPr>
                <w:sz w:val="22"/>
                <w:szCs w:val="22"/>
                <w:lang w:val="lt-LT"/>
              </w:rPr>
            </w:pPr>
            <w:proofErr w:type="spellStart"/>
            <w:r w:rsidRPr="00220850">
              <w:rPr>
                <w:sz w:val="22"/>
                <w:szCs w:val="22"/>
                <w:lang w:val="lt-LT"/>
              </w:rPr>
              <w:t>Nintedanibas</w:t>
            </w:r>
            <w:proofErr w:type="spellEnd"/>
          </w:p>
        </w:tc>
        <w:tc>
          <w:tcPr>
            <w:tcW w:w="514" w:type="pct"/>
          </w:tcPr>
          <w:p w14:paraId="15C2B4A1" w14:textId="77777777" w:rsidR="00492ECC" w:rsidRPr="00220850" w:rsidRDefault="00331A5B" w:rsidP="00492ECC">
            <w:pPr>
              <w:autoSpaceDE w:val="0"/>
              <w:autoSpaceDN w:val="0"/>
              <w:adjustRightInd w:val="0"/>
              <w:jc w:val="center"/>
              <w:rPr>
                <w:sz w:val="22"/>
                <w:szCs w:val="22"/>
                <w:lang w:val="lt-LT"/>
              </w:rPr>
            </w:pPr>
            <w:r w:rsidRPr="00220850">
              <w:rPr>
                <w:sz w:val="22"/>
                <w:szCs w:val="22"/>
                <w:lang w:val="lt-LT"/>
              </w:rPr>
              <w:t>Placebas</w:t>
            </w:r>
          </w:p>
        </w:tc>
        <w:tc>
          <w:tcPr>
            <w:tcW w:w="681" w:type="pct"/>
          </w:tcPr>
          <w:p w14:paraId="69984599" w14:textId="77777777" w:rsidR="00492ECC" w:rsidRPr="00220850" w:rsidRDefault="00492ECC" w:rsidP="00492ECC">
            <w:pPr>
              <w:autoSpaceDE w:val="0"/>
              <w:autoSpaceDN w:val="0"/>
              <w:adjustRightInd w:val="0"/>
              <w:jc w:val="center"/>
              <w:rPr>
                <w:sz w:val="22"/>
                <w:szCs w:val="22"/>
                <w:lang w:val="lt-LT"/>
              </w:rPr>
            </w:pPr>
            <w:proofErr w:type="spellStart"/>
            <w:r w:rsidRPr="00220850">
              <w:rPr>
                <w:sz w:val="22"/>
                <w:szCs w:val="22"/>
                <w:lang w:val="lt-LT"/>
              </w:rPr>
              <w:t>Nintedanibas</w:t>
            </w:r>
            <w:proofErr w:type="spellEnd"/>
          </w:p>
        </w:tc>
        <w:tc>
          <w:tcPr>
            <w:tcW w:w="521" w:type="pct"/>
          </w:tcPr>
          <w:p w14:paraId="11B2F8DE" w14:textId="77777777" w:rsidR="00492ECC" w:rsidRPr="00220850" w:rsidRDefault="00331A5B" w:rsidP="00492ECC">
            <w:pPr>
              <w:autoSpaceDE w:val="0"/>
              <w:autoSpaceDN w:val="0"/>
              <w:adjustRightInd w:val="0"/>
              <w:jc w:val="center"/>
              <w:rPr>
                <w:sz w:val="22"/>
                <w:szCs w:val="22"/>
                <w:lang w:val="lt-LT"/>
              </w:rPr>
            </w:pPr>
            <w:r w:rsidRPr="00220850">
              <w:rPr>
                <w:sz w:val="22"/>
                <w:szCs w:val="22"/>
                <w:lang w:val="lt-LT"/>
              </w:rPr>
              <w:t>Placebas</w:t>
            </w:r>
          </w:p>
        </w:tc>
        <w:tc>
          <w:tcPr>
            <w:tcW w:w="681" w:type="pct"/>
          </w:tcPr>
          <w:p w14:paraId="1A0220E9" w14:textId="77777777" w:rsidR="00492ECC" w:rsidRPr="00220850" w:rsidRDefault="00492ECC" w:rsidP="00492ECC">
            <w:pPr>
              <w:autoSpaceDE w:val="0"/>
              <w:autoSpaceDN w:val="0"/>
              <w:adjustRightInd w:val="0"/>
              <w:jc w:val="center"/>
              <w:rPr>
                <w:sz w:val="22"/>
                <w:szCs w:val="22"/>
                <w:lang w:val="lt-LT"/>
              </w:rPr>
            </w:pPr>
            <w:proofErr w:type="spellStart"/>
            <w:r w:rsidRPr="00220850">
              <w:rPr>
                <w:sz w:val="22"/>
                <w:szCs w:val="22"/>
                <w:lang w:val="lt-LT"/>
              </w:rPr>
              <w:t>Nintedanibas</w:t>
            </w:r>
            <w:proofErr w:type="spellEnd"/>
          </w:p>
        </w:tc>
      </w:tr>
      <w:tr w:rsidR="0018606E" w:rsidRPr="00220850" w14:paraId="64661EDE" w14:textId="77777777" w:rsidTr="0018606E">
        <w:tc>
          <w:tcPr>
            <w:tcW w:w="1347" w:type="pct"/>
          </w:tcPr>
          <w:p w14:paraId="6CD77D81" w14:textId="77777777" w:rsidR="00492ECC" w:rsidRPr="00220850" w:rsidRDefault="00492ECC" w:rsidP="00492ECC">
            <w:pPr>
              <w:autoSpaceDE w:val="0"/>
              <w:autoSpaceDN w:val="0"/>
              <w:adjustRightInd w:val="0"/>
              <w:rPr>
                <w:sz w:val="22"/>
                <w:szCs w:val="22"/>
                <w:lang w:val="lt-LT"/>
              </w:rPr>
            </w:pPr>
            <w:r w:rsidRPr="00220850">
              <w:rPr>
                <w:sz w:val="22"/>
                <w:szCs w:val="22"/>
                <w:lang w:val="lt-LT"/>
              </w:rPr>
              <w:t>Viduriavimas</w:t>
            </w:r>
          </w:p>
        </w:tc>
        <w:tc>
          <w:tcPr>
            <w:tcW w:w="548" w:type="pct"/>
            <w:vAlign w:val="center"/>
          </w:tcPr>
          <w:p w14:paraId="21F6B9A6"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18,4 %</w:t>
            </w:r>
          </w:p>
        </w:tc>
        <w:tc>
          <w:tcPr>
            <w:tcW w:w="706" w:type="pct"/>
            <w:vAlign w:val="center"/>
          </w:tcPr>
          <w:p w14:paraId="113CCB7B"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62,4 %</w:t>
            </w:r>
          </w:p>
        </w:tc>
        <w:tc>
          <w:tcPr>
            <w:tcW w:w="514" w:type="pct"/>
            <w:vAlign w:val="center"/>
          </w:tcPr>
          <w:p w14:paraId="6456EDAC"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23,9 %</w:t>
            </w:r>
          </w:p>
        </w:tc>
        <w:tc>
          <w:tcPr>
            <w:tcW w:w="681" w:type="pct"/>
            <w:vAlign w:val="center"/>
          </w:tcPr>
          <w:p w14:paraId="75E8BDF7"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66,9 %</w:t>
            </w:r>
          </w:p>
        </w:tc>
        <w:tc>
          <w:tcPr>
            <w:tcW w:w="521" w:type="pct"/>
            <w:vAlign w:val="center"/>
          </w:tcPr>
          <w:p w14:paraId="7CCCAECD"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31,6 %</w:t>
            </w:r>
          </w:p>
        </w:tc>
        <w:tc>
          <w:tcPr>
            <w:tcW w:w="681" w:type="pct"/>
            <w:vAlign w:val="center"/>
          </w:tcPr>
          <w:p w14:paraId="535AFB43"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75,7 %</w:t>
            </w:r>
          </w:p>
        </w:tc>
      </w:tr>
      <w:tr w:rsidR="0018606E" w:rsidRPr="00220850" w14:paraId="4A2D93FC" w14:textId="77777777" w:rsidTr="0018606E">
        <w:tc>
          <w:tcPr>
            <w:tcW w:w="1347" w:type="pct"/>
          </w:tcPr>
          <w:p w14:paraId="3CBB0935" w14:textId="77777777" w:rsidR="00492ECC" w:rsidRPr="00220850" w:rsidRDefault="00492ECC" w:rsidP="00492ECC">
            <w:pPr>
              <w:autoSpaceDE w:val="0"/>
              <w:autoSpaceDN w:val="0"/>
              <w:adjustRightInd w:val="0"/>
              <w:rPr>
                <w:sz w:val="22"/>
                <w:szCs w:val="22"/>
                <w:lang w:val="lt-LT"/>
              </w:rPr>
            </w:pPr>
            <w:r w:rsidRPr="00220850">
              <w:rPr>
                <w:sz w:val="22"/>
                <w:szCs w:val="22"/>
                <w:lang w:val="lt-LT"/>
              </w:rPr>
              <w:t>Sunkus vi</w:t>
            </w:r>
            <w:r w:rsidR="00347014" w:rsidRPr="00220850">
              <w:rPr>
                <w:sz w:val="22"/>
                <w:szCs w:val="22"/>
                <w:lang w:val="lt-LT"/>
              </w:rPr>
              <w:t>d</w:t>
            </w:r>
            <w:r w:rsidRPr="00220850">
              <w:rPr>
                <w:sz w:val="22"/>
                <w:szCs w:val="22"/>
                <w:lang w:val="lt-LT"/>
              </w:rPr>
              <w:t>uriavimas</w:t>
            </w:r>
          </w:p>
        </w:tc>
        <w:tc>
          <w:tcPr>
            <w:tcW w:w="548" w:type="pct"/>
            <w:vAlign w:val="center"/>
          </w:tcPr>
          <w:p w14:paraId="6E5D18EF" w14:textId="77777777" w:rsidR="00492ECC" w:rsidRPr="00220850" w:rsidRDefault="00492ECC" w:rsidP="00BF0165">
            <w:pPr>
              <w:autoSpaceDE w:val="0"/>
              <w:autoSpaceDN w:val="0"/>
              <w:adjustRightInd w:val="0"/>
              <w:jc w:val="center"/>
              <w:rPr>
                <w:sz w:val="22"/>
                <w:szCs w:val="22"/>
                <w:lang w:val="lt-LT"/>
              </w:rPr>
            </w:pPr>
            <w:r w:rsidRPr="00220850">
              <w:rPr>
                <w:sz w:val="22"/>
                <w:szCs w:val="22"/>
                <w:lang w:val="lt-LT"/>
              </w:rPr>
              <w:t>0</w:t>
            </w:r>
            <w:r w:rsidR="00BF0165" w:rsidRPr="00220850">
              <w:rPr>
                <w:sz w:val="22"/>
                <w:szCs w:val="22"/>
                <w:lang w:val="lt-LT"/>
              </w:rPr>
              <w:t>,</w:t>
            </w:r>
            <w:r w:rsidRPr="00220850">
              <w:rPr>
                <w:sz w:val="22"/>
                <w:szCs w:val="22"/>
                <w:lang w:val="lt-LT"/>
              </w:rPr>
              <w:t>5%</w:t>
            </w:r>
          </w:p>
        </w:tc>
        <w:tc>
          <w:tcPr>
            <w:tcW w:w="706" w:type="pct"/>
            <w:vAlign w:val="center"/>
          </w:tcPr>
          <w:p w14:paraId="04926B22" w14:textId="77777777" w:rsidR="00492ECC" w:rsidRPr="00220850" w:rsidRDefault="00492ECC" w:rsidP="00BF0165">
            <w:pPr>
              <w:autoSpaceDE w:val="0"/>
              <w:autoSpaceDN w:val="0"/>
              <w:adjustRightInd w:val="0"/>
              <w:jc w:val="center"/>
              <w:rPr>
                <w:sz w:val="22"/>
                <w:szCs w:val="22"/>
                <w:lang w:val="lt-LT"/>
              </w:rPr>
            </w:pPr>
            <w:r w:rsidRPr="00220850">
              <w:rPr>
                <w:sz w:val="22"/>
                <w:szCs w:val="22"/>
                <w:lang w:val="lt-LT"/>
              </w:rPr>
              <w:t>3</w:t>
            </w:r>
            <w:r w:rsidR="00BF0165" w:rsidRPr="00220850">
              <w:rPr>
                <w:sz w:val="22"/>
                <w:szCs w:val="22"/>
                <w:lang w:val="lt-LT"/>
              </w:rPr>
              <w:t>,</w:t>
            </w:r>
            <w:r w:rsidRPr="00220850">
              <w:rPr>
                <w:sz w:val="22"/>
                <w:szCs w:val="22"/>
                <w:lang w:val="lt-LT"/>
              </w:rPr>
              <w:t>3%</w:t>
            </w:r>
          </w:p>
        </w:tc>
        <w:tc>
          <w:tcPr>
            <w:tcW w:w="514" w:type="pct"/>
            <w:vAlign w:val="center"/>
          </w:tcPr>
          <w:p w14:paraId="0024B6D2"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0</w:t>
            </w:r>
            <w:r w:rsidR="00BF0165" w:rsidRPr="00220850">
              <w:rPr>
                <w:sz w:val="22"/>
                <w:szCs w:val="22"/>
                <w:lang w:val="lt-LT"/>
              </w:rPr>
              <w:t>,</w:t>
            </w:r>
            <w:r w:rsidRPr="00220850">
              <w:rPr>
                <w:sz w:val="22"/>
                <w:szCs w:val="22"/>
                <w:lang w:val="lt-LT"/>
              </w:rPr>
              <w:t>9%</w:t>
            </w:r>
          </w:p>
        </w:tc>
        <w:tc>
          <w:tcPr>
            <w:tcW w:w="681" w:type="pct"/>
            <w:vAlign w:val="center"/>
          </w:tcPr>
          <w:p w14:paraId="1B8643FF" w14:textId="77777777" w:rsidR="00492ECC" w:rsidRPr="00220850" w:rsidRDefault="00BF0165" w:rsidP="00492ECC">
            <w:pPr>
              <w:autoSpaceDE w:val="0"/>
              <w:autoSpaceDN w:val="0"/>
              <w:adjustRightInd w:val="0"/>
              <w:jc w:val="center"/>
              <w:rPr>
                <w:sz w:val="22"/>
                <w:szCs w:val="22"/>
                <w:lang w:val="lt-LT"/>
              </w:rPr>
            </w:pPr>
            <w:r w:rsidRPr="00220850">
              <w:rPr>
                <w:sz w:val="22"/>
                <w:szCs w:val="22"/>
                <w:lang w:val="lt-LT"/>
              </w:rPr>
              <w:t>2,</w:t>
            </w:r>
            <w:r w:rsidR="00492ECC" w:rsidRPr="00220850">
              <w:rPr>
                <w:sz w:val="22"/>
                <w:szCs w:val="22"/>
                <w:lang w:val="lt-LT"/>
              </w:rPr>
              <w:t>4%</w:t>
            </w:r>
          </w:p>
        </w:tc>
        <w:tc>
          <w:tcPr>
            <w:tcW w:w="521" w:type="pct"/>
            <w:vAlign w:val="center"/>
          </w:tcPr>
          <w:p w14:paraId="08EB5FD7" w14:textId="77777777" w:rsidR="00492ECC" w:rsidRPr="00220850" w:rsidRDefault="0002004B" w:rsidP="00492ECC">
            <w:pPr>
              <w:autoSpaceDE w:val="0"/>
              <w:autoSpaceDN w:val="0"/>
              <w:adjustRightInd w:val="0"/>
              <w:jc w:val="center"/>
              <w:rPr>
                <w:sz w:val="22"/>
                <w:szCs w:val="22"/>
                <w:lang w:val="lt-LT"/>
              </w:rPr>
            </w:pPr>
            <w:r w:rsidRPr="00220850">
              <w:rPr>
                <w:sz w:val="22"/>
                <w:szCs w:val="22"/>
                <w:lang w:val="lt-LT"/>
              </w:rPr>
              <w:t>1,</w:t>
            </w:r>
            <w:r w:rsidR="00492ECC" w:rsidRPr="00220850">
              <w:rPr>
                <w:sz w:val="22"/>
                <w:szCs w:val="22"/>
                <w:lang w:val="lt-LT"/>
              </w:rPr>
              <w:t>0%</w:t>
            </w:r>
          </w:p>
        </w:tc>
        <w:tc>
          <w:tcPr>
            <w:tcW w:w="681" w:type="pct"/>
            <w:vAlign w:val="center"/>
          </w:tcPr>
          <w:p w14:paraId="48C86092" w14:textId="77777777" w:rsidR="00492ECC" w:rsidRPr="00220850" w:rsidRDefault="0002004B" w:rsidP="00492ECC">
            <w:pPr>
              <w:autoSpaceDE w:val="0"/>
              <w:autoSpaceDN w:val="0"/>
              <w:adjustRightInd w:val="0"/>
              <w:jc w:val="center"/>
              <w:rPr>
                <w:sz w:val="22"/>
                <w:szCs w:val="22"/>
                <w:lang w:val="lt-LT"/>
              </w:rPr>
            </w:pPr>
            <w:r w:rsidRPr="00220850">
              <w:rPr>
                <w:sz w:val="22"/>
                <w:szCs w:val="22"/>
                <w:lang w:val="lt-LT"/>
              </w:rPr>
              <w:t>4,</w:t>
            </w:r>
            <w:r w:rsidR="00492ECC" w:rsidRPr="00220850">
              <w:rPr>
                <w:sz w:val="22"/>
                <w:szCs w:val="22"/>
                <w:lang w:val="lt-LT"/>
              </w:rPr>
              <w:t>2%</w:t>
            </w:r>
          </w:p>
        </w:tc>
      </w:tr>
      <w:tr w:rsidR="0018606E" w:rsidRPr="00220850" w14:paraId="6889BECE" w14:textId="77777777" w:rsidTr="0018606E">
        <w:tc>
          <w:tcPr>
            <w:tcW w:w="1347" w:type="pct"/>
          </w:tcPr>
          <w:p w14:paraId="5193074F" w14:textId="77777777" w:rsidR="00492ECC" w:rsidRPr="00220850" w:rsidRDefault="00492ECC" w:rsidP="0018606E">
            <w:pPr>
              <w:autoSpaceDE w:val="0"/>
              <w:autoSpaceDN w:val="0"/>
              <w:adjustRightInd w:val="0"/>
              <w:rPr>
                <w:sz w:val="22"/>
                <w:szCs w:val="22"/>
                <w:lang w:val="lt-LT"/>
              </w:rPr>
            </w:pPr>
            <w:r w:rsidRPr="00220850">
              <w:rPr>
                <w:sz w:val="22"/>
                <w:szCs w:val="22"/>
                <w:lang w:val="lt-LT"/>
              </w:rPr>
              <w:t xml:space="preserve">Viduriavimas, dėl kurio sumažinta </w:t>
            </w:r>
            <w:proofErr w:type="spellStart"/>
            <w:r w:rsidRPr="00220850">
              <w:rPr>
                <w:sz w:val="22"/>
                <w:szCs w:val="22"/>
                <w:lang w:val="lt-LT"/>
              </w:rPr>
              <w:t>nintedanib</w:t>
            </w:r>
            <w:r w:rsidR="0018606E" w:rsidRPr="00220850">
              <w:rPr>
                <w:sz w:val="22"/>
                <w:szCs w:val="22"/>
                <w:lang w:val="lt-LT"/>
              </w:rPr>
              <w:t>o</w:t>
            </w:r>
            <w:proofErr w:type="spellEnd"/>
            <w:r w:rsidR="0018606E" w:rsidRPr="00220850">
              <w:rPr>
                <w:sz w:val="22"/>
                <w:szCs w:val="22"/>
                <w:lang w:val="lt-LT"/>
              </w:rPr>
              <w:t xml:space="preserve"> dozė</w:t>
            </w:r>
          </w:p>
        </w:tc>
        <w:tc>
          <w:tcPr>
            <w:tcW w:w="548" w:type="pct"/>
            <w:vAlign w:val="center"/>
          </w:tcPr>
          <w:p w14:paraId="108C3699"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0</w:t>
            </w:r>
            <w:r w:rsidR="0018606E" w:rsidRPr="00220850">
              <w:rPr>
                <w:sz w:val="22"/>
                <w:szCs w:val="22"/>
                <w:lang w:val="lt-LT"/>
              </w:rPr>
              <w:t> </w:t>
            </w:r>
            <w:r w:rsidRPr="00220850">
              <w:rPr>
                <w:sz w:val="22"/>
                <w:szCs w:val="22"/>
                <w:lang w:val="lt-LT"/>
              </w:rPr>
              <w:t>%</w:t>
            </w:r>
          </w:p>
        </w:tc>
        <w:tc>
          <w:tcPr>
            <w:tcW w:w="706" w:type="pct"/>
            <w:vAlign w:val="center"/>
          </w:tcPr>
          <w:p w14:paraId="6E173756" w14:textId="77777777" w:rsidR="00492ECC" w:rsidRPr="00220850" w:rsidRDefault="0018606E" w:rsidP="00492ECC">
            <w:pPr>
              <w:autoSpaceDE w:val="0"/>
              <w:autoSpaceDN w:val="0"/>
              <w:adjustRightInd w:val="0"/>
              <w:jc w:val="center"/>
              <w:rPr>
                <w:sz w:val="22"/>
                <w:szCs w:val="22"/>
                <w:lang w:val="lt-LT"/>
              </w:rPr>
            </w:pPr>
            <w:r w:rsidRPr="00220850">
              <w:rPr>
                <w:sz w:val="22"/>
                <w:szCs w:val="22"/>
                <w:lang w:val="lt-LT"/>
              </w:rPr>
              <w:t>10,</w:t>
            </w:r>
            <w:r w:rsidR="00492ECC" w:rsidRPr="00220850">
              <w:rPr>
                <w:sz w:val="22"/>
                <w:szCs w:val="22"/>
                <w:lang w:val="lt-LT"/>
              </w:rPr>
              <w:t>7</w:t>
            </w:r>
            <w:r w:rsidRPr="00220850">
              <w:rPr>
                <w:sz w:val="22"/>
                <w:szCs w:val="22"/>
                <w:lang w:val="lt-LT"/>
              </w:rPr>
              <w:t> </w:t>
            </w:r>
            <w:r w:rsidR="00492ECC" w:rsidRPr="00220850">
              <w:rPr>
                <w:sz w:val="22"/>
                <w:szCs w:val="22"/>
                <w:lang w:val="lt-LT"/>
              </w:rPr>
              <w:t>%</w:t>
            </w:r>
          </w:p>
        </w:tc>
        <w:tc>
          <w:tcPr>
            <w:tcW w:w="514" w:type="pct"/>
            <w:vAlign w:val="center"/>
          </w:tcPr>
          <w:p w14:paraId="0BB2E172"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0</w:t>
            </w:r>
            <w:r w:rsidR="0018606E" w:rsidRPr="00220850">
              <w:rPr>
                <w:sz w:val="22"/>
                <w:szCs w:val="22"/>
                <w:lang w:val="lt-LT"/>
              </w:rPr>
              <w:t>,</w:t>
            </w:r>
            <w:r w:rsidRPr="00220850">
              <w:rPr>
                <w:sz w:val="22"/>
                <w:szCs w:val="22"/>
                <w:lang w:val="lt-LT"/>
              </w:rPr>
              <w:t>9</w:t>
            </w:r>
            <w:r w:rsidR="0018606E" w:rsidRPr="00220850">
              <w:rPr>
                <w:sz w:val="22"/>
                <w:szCs w:val="22"/>
                <w:lang w:val="lt-LT"/>
              </w:rPr>
              <w:t> </w:t>
            </w:r>
            <w:r w:rsidRPr="00220850">
              <w:rPr>
                <w:sz w:val="22"/>
                <w:szCs w:val="22"/>
                <w:lang w:val="lt-LT"/>
              </w:rPr>
              <w:t>%</w:t>
            </w:r>
          </w:p>
        </w:tc>
        <w:tc>
          <w:tcPr>
            <w:tcW w:w="681" w:type="pct"/>
            <w:vAlign w:val="center"/>
          </w:tcPr>
          <w:p w14:paraId="687F87FC"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16</w:t>
            </w:r>
            <w:r w:rsidR="0018606E" w:rsidRPr="00220850">
              <w:rPr>
                <w:sz w:val="22"/>
                <w:szCs w:val="22"/>
                <w:lang w:val="lt-LT"/>
              </w:rPr>
              <w:t>,</w:t>
            </w:r>
            <w:r w:rsidRPr="00220850">
              <w:rPr>
                <w:sz w:val="22"/>
                <w:szCs w:val="22"/>
                <w:lang w:val="lt-LT"/>
              </w:rPr>
              <w:t>0</w:t>
            </w:r>
            <w:r w:rsidR="0018606E" w:rsidRPr="00220850">
              <w:rPr>
                <w:sz w:val="22"/>
                <w:szCs w:val="22"/>
                <w:lang w:val="lt-LT"/>
              </w:rPr>
              <w:t> </w:t>
            </w:r>
            <w:r w:rsidRPr="00220850">
              <w:rPr>
                <w:sz w:val="22"/>
                <w:szCs w:val="22"/>
                <w:lang w:val="lt-LT"/>
              </w:rPr>
              <w:t>%</w:t>
            </w:r>
          </w:p>
        </w:tc>
        <w:tc>
          <w:tcPr>
            <w:tcW w:w="521" w:type="pct"/>
            <w:vAlign w:val="center"/>
          </w:tcPr>
          <w:p w14:paraId="7F90C9E0"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1</w:t>
            </w:r>
            <w:r w:rsidR="0018606E" w:rsidRPr="00220850">
              <w:rPr>
                <w:sz w:val="22"/>
                <w:szCs w:val="22"/>
                <w:lang w:val="lt-LT"/>
              </w:rPr>
              <w:t>,</w:t>
            </w:r>
            <w:r w:rsidRPr="00220850">
              <w:rPr>
                <w:sz w:val="22"/>
                <w:szCs w:val="22"/>
                <w:lang w:val="lt-LT"/>
              </w:rPr>
              <w:t>0</w:t>
            </w:r>
            <w:r w:rsidR="0018606E" w:rsidRPr="00220850">
              <w:rPr>
                <w:sz w:val="22"/>
                <w:szCs w:val="22"/>
                <w:lang w:val="lt-LT"/>
              </w:rPr>
              <w:t> </w:t>
            </w:r>
            <w:r w:rsidRPr="00220850">
              <w:rPr>
                <w:sz w:val="22"/>
                <w:szCs w:val="22"/>
                <w:lang w:val="lt-LT"/>
              </w:rPr>
              <w:t>%</w:t>
            </w:r>
          </w:p>
        </w:tc>
        <w:tc>
          <w:tcPr>
            <w:tcW w:w="681" w:type="pct"/>
            <w:vAlign w:val="center"/>
          </w:tcPr>
          <w:p w14:paraId="709D95D3"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22</w:t>
            </w:r>
            <w:r w:rsidR="0018606E" w:rsidRPr="00220850">
              <w:rPr>
                <w:sz w:val="22"/>
                <w:szCs w:val="22"/>
                <w:lang w:val="lt-LT"/>
              </w:rPr>
              <w:t>,</w:t>
            </w:r>
            <w:r w:rsidRPr="00220850">
              <w:rPr>
                <w:sz w:val="22"/>
                <w:szCs w:val="22"/>
                <w:lang w:val="lt-LT"/>
              </w:rPr>
              <w:t>2</w:t>
            </w:r>
            <w:r w:rsidR="0018606E" w:rsidRPr="00220850">
              <w:rPr>
                <w:sz w:val="22"/>
                <w:szCs w:val="22"/>
                <w:lang w:val="lt-LT"/>
              </w:rPr>
              <w:t> </w:t>
            </w:r>
            <w:r w:rsidRPr="00220850">
              <w:rPr>
                <w:sz w:val="22"/>
                <w:szCs w:val="22"/>
                <w:lang w:val="lt-LT"/>
              </w:rPr>
              <w:t>%</w:t>
            </w:r>
          </w:p>
        </w:tc>
      </w:tr>
      <w:tr w:rsidR="0018606E" w:rsidRPr="00220850" w14:paraId="7C2DE1BA" w14:textId="77777777" w:rsidTr="0018606E">
        <w:tc>
          <w:tcPr>
            <w:tcW w:w="1347" w:type="pct"/>
          </w:tcPr>
          <w:p w14:paraId="0769C81F" w14:textId="77777777" w:rsidR="00492ECC" w:rsidRPr="00220850" w:rsidRDefault="0018606E" w:rsidP="0018606E">
            <w:pPr>
              <w:autoSpaceDE w:val="0"/>
              <w:autoSpaceDN w:val="0"/>
              <w:adjustRightInd w:val="0"/>
              <w:rPr>
                <w:sz w:val="22"/>
                <w:szCs w:val="22"/>
                <w:lang w:val="lt-LT"/>
              </w:rPr>
            </w:pPr>
            <w:r w:rsidRPr="00220850">
              <w:rPr>
                <w:sz w:val="22"/>
                <w:szCs w:val="22"/>
                <w:lang w:val="lt-LT"/>
              </w:rPr>
              <w:t xml:space="preserve">Viduriavimas, dėl kurio nutrauktas </w:t>
            </w:r>
            <w:proofErr w:type="spellStart"/>
            <w:r w:rsidRPr="00220850">
              <w:rPr>
                <w:sz w:val="22"/>
                <w:szCs w:val="22"/>
                <w:lang w:val="lt-LT"/>
              </w:rPr>
              <w:t>nintedanibo</w:t>
            </w:r>
            <w:proofErr w:type="spellEnd"/>
            <w:r w:rsidRPr="00220850">
              <w:rPr>
                <w:sz w:val="22"/>
                <w:szCs w:val="22"/>
                <w:lang w:val="lt-LT"/>
              </w:rPr>
              <w:t xml:space="preserve"> vartojimas</w:t>
            </w:r>
          </w:p>
        </w:tc>
        <w:tc>
          <w:tcPr>
            <w:tcW w:w="548" w:type="pct"/>
            <w:vAlign w:val="center"/>
          </w:tcPr>
          <w:p w14:paraId="002EF43B"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0</w:t>
            </w:r>
            <w:r w:rsidR="0018606E" w:rsidRPr="00220850">
              <w:rPr>
                <w:sz w:val="22"/>
                <w:szCs w:val="22"/>
                <w:lang w:val="lt-LT"/>
              </w:rPr>
              <w:t>,</w:t>
            </w:r>
            <w:r w:rsidRPr="00220850">
              <w:rPr>
                <w:sz w:val="22"/>
                <w:szCs w:val="22"/>
                <w:lang w:val="lt-LT"/>
              </w:rPr>
              <w:t>2</w:t>
            </w:r>
            <w:r w:rsidR="0018606E" w:rsidRPr="00220850">
              <w:rPr>
                <w:sz w:val="22"/>
                <w:szCs w:val="22"/>
                <w:lang w:val="lt-LT"/>
              </w:rPr>
              <w:t> </w:t>
            </w:r>
            <w:r w:rsidRPr="00220850">
              <w:rPr>
                <w:sz w:val="22"/>
                <w:szCs w:val="22"/>
                <w:lang w:val="lt-LT"/>
              </w:rPr>
              <w:t>%</w:t>
            </w:r>
          </w:p>
        </w:tc>
        <w:tc>
          <w:tcPr>
            <w:tcW w:w="706" w:type="pct"/>
            <w:vAlign w:val="center"/>
          </w:tcPr>
          <w:p w14:paraId="245C19EE" w14:textId="77777777" w:rsidR="00492ECC" w:rsidRPr="00220850" w:rsidRDefault="00492ECC" w:rsidP="00492ECC">
            <w:pPr>
              <w:autoSpaceDE w:val="0"/>
              <w:autoSpaceDN w:val="0"/>
              <w:adjustRightInd w:val="0"/>
              <w:jc w:val="center"/>
              <w:rPr>
                <w:sz w:val="22"/>
                <w:szCs w:val="22"/>
                <w:lang w:val="lt-LT"/>
              </w:rPr>
            </w:pPr>
            <w:r w:rsidRPr="00220850">
              <w:rPr>
                <w:sz w:val="22"/>
                <w:szCs w:val="22"/>
                <w:lang w:val="lt-LT"/>
              </w:rPr>
              <w:t>4</w:t>
            </w:r>
            <w:r w:rsidR="0018606E" w:rsidRPr="00220850">
              <w:rPr>
                <w:sz w:val="22"/>
                <w:szCs w:val="22"/>
                <w:lang w:val="lt-LT"/>
              </w:rPr>
              <w:t>,</w:t>
            </w:r>
            <w:r w:rsidRPr="00220850">
              <w:rPr>
                <w:sz w:val="22"/>
                <w:szCs w:val="22"/>
                <w:lang w:val="lt-LT"/>
              </w:rPr>
              <w:t>4</w:t>
            </w:r>
            <w:r w:rsidR="0018606E" w:rsidRPr="00220850">
              <w:rPr>
                <w:sz w:val="22"/>
                <w:szCs w:val="22"/>
                <w:lang w:val="lt-LT"/>
              </w:rPr>
              <w:t> </w:t>
            </w:r>
            <w:r w:rsidRPr="00220850">
              <w:rPr>
                <w:sz w:val="22"/>
                <w:szCs w:val="22"/>
                <w:lang w:val="lt-LT"/>
              </w:rPr>
              <w:t>%</w:t>
            </w:r>
          </w:p>
        </w:tc>
        <w:tc>
          <w:tcPr>
            <w:tcW w:w="514" w:type="pct"/>
            <w:vAlign w:val="center"/>
          </w:tcPr>
          <w:p w14:paraId="7C5B9687"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0</w:t>
            </w:r>
            <w:r w:rsidR="0018606E" w:rsidRPr="00220850">
              <w:rPr>
                <w:sz w:val="22"/>
                <w:szCs w:val="22"/>
                <w:lang w:val="lt-LT"/>
              </w:rPr>
              <w:t>,</w:t>
            </w:r>
            <w:r w:rsidRPr="00220850">
              <w:rPr>
                <w:sz w:val="22"/>
                <w:szCs w:val="22"/>
                <w:lang w:val="lt-LT"/>
              </w:rPr>
              <w:t>3</w:t>
            </w:r>
            <w:r w:rsidR="0018606E" w:rsidRPr="00220850">
              <w:rPr>
                <w:sz w:val="22"/>
                <w:szCs w:val="22"/>
                <w:lang w:val="lt-LT"/>
              </w:rPr>
              <w:t> </w:t>
            </w:r>
            <w:r w:rsidRPr="00220850">
              <w:rPr>
                <w:sz w:val="22"/>
                <w:szCs w:val="22"/>
                <w:lang w:val="lt-LT"/>
              </w:rPr>
              <w:t>%</w:t>
            </w:r>
          </w:p>
        </w:tc>
        <w:tc>
          <w:tcPr>
            <w:tcW w:w="681" w:type="pct"/>
            <w:vAlign w:val="center"/>
          </w:tcPr>
          <w:p w14:paraId="60AAA3D0"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5</w:t>
            </w:r>
            <w:r w:rsidR="0018606E" w:rsidRPr="00220850">
              <w:rPr>
                <w:sz w:val="22"/>
                <w:szCs w:val="22"/>
                <w:lang w:val="lt-LT"/>
              </w:rPr>
              <w:t>,</w:t>
            </w:r>
            <w:r w:rsidRPr="00220850">
              <w:rPr>
                <w:sz w:val="22"/>
                <w:szCs w:val="22"/>
                <w:lang w:val="lt-LT"/>
              </w:rPr>
              <w:t>7</w:t>
            </w:r>
            <w:r w:rsidR="0018606E" w:rsidRPr="00220850">
              <w:rPr>
                <w:sz w:val="22"/>
                <w:szCs w:val="22"/>
                <w:lang w:val="lt-LT"/>
              </w:rPr>
              <w:t> </w:t>
            </w:r>
            <w:r w:rsidRPr="00220850">
              <w:rPr>
                <w:sz w:val="22"/>
                <w:szCs w:val="22"/>
                <w:lang w:val="lt-LT"/>
              </w:rPr>
              <w:t>%</w:t>
            </w:r>
          </w:p>
        </w:tc>
        <w:tc>
          <w:tcPr>
            <w:tcW w:w="521" w:type="pct"/>
            <w:vAlign w:val="center"/>
          </w:tcPr>
          <w:p w14:paraId="0D5B5CA0"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0</w:t>
            </w:r>
            <w:r w:rsidR="0018606E" w:rsidRPr="00220850">
              <w:rPr>
                <w:sz w:val="22"/>
                <w:szCs w:val="22"/>
                <w:lang w:val="lt-LT"/>
              </w:rPr>
              <w:t>,</w:t>
            </w:r>
            <w:r w:rsidRPr="00220850">
              <w:rPr>
                <w:sz w:val="22"/>
                <w:szCs w:val="22"/>
                <w:lang w:val="lt-LT"/>
              </w:rPr>
              <w:t>3</w:t>
            </w:r>
            <w:r w:rsidR="0018606E" w:rsidRPr="00220850">
              <w:rPr>
                <w:sz w:val="22"/>
                <w:szCs w:val="22"/>
                <w:lang w:val="lt-LT"/>
              </w:rPr>
              <w:t> </w:t>
            </w:r>
            <w:r w:rsidRPr="00220850">
              <w:rPr>
                <w:sz w:val="22"/>
                <w:szCs w:val="22"/>
                <w:lang w:val="lt-LT"/>
              </w:rPr>
              <w:t>%</w:t>
            </w:r>
          </w:p>
        </w:tc>
        <w:tc>
          <w:tcPr>
            <w:tcW w:w="681" w:type="pct"/>
            <w:vAlign w:val="center"/>
          </w:tcPr>
          <w:p w14:paraId="04FD157C" w14:textId="77777777" w:rsidR="00492ECC" w:rsidRPr="00220850" w:rsidRDefault="00492ECC" w:rsidP="0018606E">
            <w:pPr>
              <w:autoSpaceDE w:val="0"/>
              <w:autoSpaceDN w:val="0"/>
              <w:adjustRightInd w:val="0"/>
              <w:jc w:val="center"/>
              <w:rPr>
                <w:sz w:val="22"/>
                <w:szCs w:val="22"/>
                <w:lang w:val="lt-LT"/>
              </w:rPr>
            </w:pPr>
            <w:r w:rsidRPr="00220850">
              <w:rPr>
                <w:sz w:val="22"/>
                <w:szCs w:val="22"/>
                <w:lang w:val="lt-LT"/>
              </w:rPr>
              <w:t>6</w:t>
            </w:r>
            <w:r w:rsidR="0018606E" w:rsidRPr="00220850">
              <w:rPr>
                <w:sz w:val="22"/>
                <w:szCs w:val="22"/>
                <w:lang w:val="lt-LT"/>
              </w:rPr>
              <w:t>,</w:t>
            </w:r>
            <w:r w:rsidRPr="00220850">
              <w:rPr>
                <w:sz w:val="22"/>
                <w:szCs w:val="22"/>
                <w:lang w:val="lt-LT"/>
              </w:rPr>
              <w:t>9</w:t>
            </w:r>
            <w:r w:rsidR="0018606E" w:rsidRPr="00220850">
              <w:rPr>
                <w:sz w:val="22"/>
                <w:szCs w:val="22"/>
                <w:lang w:val="lt-LT"/>
              </w:rPr>
              <w:t> </w:t>
            </w:r>
            <w:r w:rsidRPr="00220850">
              <w:rPr>
                <w:sz w:val="22"/>
                <w:szCs w:val="22"/>
                <w:lang w:val="lt-LT"/>
              </w:rPr>
              <w:t>%</w:t>
            </w:r>
          </w:p>
        </w:tc>
      </w:tr>
    </w:tbl>
    <w:p w14:paraId="073998CE" w14:textId="77777777" w:rsidR="00492ECC" w:rsidRPr="00220850" w:rsidRDefault="00492ECC" w:rsidP="00492ECC">
      <w:pPr>
        <w:autoSpaceDE w:val="0"/>
        <w:autoSpaceDN w:val="0"/>
        <w:adjustRightInd w:val="0"/>
        <w:jc w:val="both"/>
        <w:rPr>
          <w:sz w:val="22"/>
          <w:szCs w:val="22"/>
        </w:rPr>
      </w:pPr>
    </w:p>
    <w:p w14:paraId="47A7D09B" w14:textId="77777777" w:rsidR="0018606E" w:rsidRPr="00220850" w:rsidRDefault="0018606E" w:rsidP="0018606E">
      <w:pPr>
        <w:autoSpaceDE w:val="0"/>
        <w:autoSpaceDN w:val="0"/>
        <w:adjustRightInd w:val="0"/>
        <w:rPr>
          <w:rFonts w:eastAsia="TimesNewRoman,Italic"/>
          <w:i/>
          <w:iCs/>
          <w:sz w:val="22"/>
          <w:szCs w:val="22"/>
        </w:rPr>
      </w:pPr>
      <w:r w:rsidRPr="00220850">
        <w:rPr>
          <w:rFonts w:eastAsia="TimesNewRoman,Italic"/>
          <w:i/>
          <w:iCs/>
          <w:sz w:val="22"/>
          <w:szCs w:val="22"/>
        </w:rPr>
        <w:t>Padidėjęs kepenų fermentų aktyvumas</w:t>
      </w:r>
    </w:p>
    <w:p w14:paraId="0BFAA5E0" w14:textId="77777777"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INPULSIS tyrimų metu kepenų fermentų aktyvumas padidėjo 13,6 % </w:t>
      </w:r>
      <w:proofErr w:type="spellStart"/>
      <w:r w:rsidRPr="00220850">
        <w:rPr>
          <w:rFonts w:eastAsia="TimesNewRoman"/>
          <w:sz w:val="22"/>
          <w:szCs w:val="22"/>
        </w:rPr>
        <w:t>nintedanibu</w:t>
      </w:r>
      <w:proofErr w:type="spellEnd"/>
      <w:r w:rsidRPr="00220850">
        <w:rPr>
          <w:rFonts w:eastAsia="TimesNewRoman"/>
          <w:sz w:val="22"/>
          <w:szCs w:val="22"/>
        </w:rPr>
        <w:t xml:space="preserve"> gydytų pacientų grupėje palyginti su 2,6 % placeb</w:t>
      </w:r>
      <w:r w:rsidR="0002004B" w:rsidRPr="00220850">
        <w:rPr>
          <w:rFonts w:eastAsia="TimesNewRoman"/>
          <w:sz w:val="22"/>
          <w:szCs w:val="22"/>
        </w:rPr>
        <w:t>ą</w:t>
      </w:r>
      <w:r w:rsidRPr="00220850">
        <w:rPr>
          <w:rFonts w:eastAsia="TimesNewRoman"/>
          <w:sz w:val="22"/>
          <w:szCs w:val="22"/>
        </w:rPr>
        <w:t xml:space="preserve"> vartojusių pacientų grupėje (žr. 4.4 skyrių). INBUILD tyrimo metu kepenų fermentų aktyvumas padidėjo 22,6 % </w:t>
      </w:r>
      <w:proofErr w:type="spellStart"/>
      <w:r w:rsidRPr="00220850">
        <w:rPr>
          <w:rFonts w:eastAsia="TimesNewRoman"/>
          <w:sz w:val="22"/>
          <w:szCs w:val="22"/>
        </w:rPr>
        <w:t>nintedanibu</w:t>
      </w:r>
      <w:proofErr w:type="spellEnd"/>
      <w:r w:rsidRPr="00220850">
        <w:rPr>
          <w:rFonts w:eastAsia="TimesNewRoman"/>
          <w:sz w:val="22"/>
          <w:szCs w:val="22"/>
        </w:rPr>
        <w:t xml:space="preserve"> gydytų pacientų, palyginti su 5,7 % placebą vartojusių pacientų. SENSCIS tyrimo metu kepenų f</w:t>
      </w:r>
      <w:r w:rsidR="0002004B" w:rsidRPr="00220850">
        <w:rPr>
          <w:rFonts w:eastAsia="TimesNewRoman"/>
          <w:sz w:val="22"/>
          <w:szCs w:val="22"/>
        </w:rPr>
        <w:t>ermentų aktyvumas padidėjo 13,2 </w:t>
      </w:r>
      <w:r w:rsidRPr="00220850">
        <w:rPr>
          <w:rFonts w:eastAsia="TimesNewRoman"/>
          <w:sz w:val="22"/>
          <w:szCs w:val="22"/>
        </w:rPr>
        <w:t xml:space="preserve">% </w:t>
      </w:r>
      <w:proofErr w:type="spellStart"/>
      <w:r w:rsidRPr="00220850">
        <w:rPr>
          <w:rFonts w:eastAsia="TimesNewRoman"/>
          <w:sz w:val="22"/>
          <w:szCs w:val="22"/>
        </w:rPr>
        <w:t>nintedanibu</w:t>
      </w:r>
      <w:proofErr w:type="spellEnd"/>
      <w:r w:rsidRPr="00220850">
        <w:rPr>
          <w:rFonts w:eastAsia="TimesNewRoman"/>
          <w:sz w:val="22"/>
          <w:szCs w:val="22"/>
        </w:rPr>
        <w:t xml:space="preserve"> gydytų pacientų </w:t>
      </w:r>
      <w:r w:rsidR="0002004B" w:rsidRPr="00220850">
        <w:rPr>
          <w:rFonts w:eastAsia="TimesNewRoman"/>
          <w:sz w:val="22"/>
          <w:szCs w:val="22"/>
        </w:rPr>
        <w:t>palyginus su 3,1 </w:t>
      </w:r>
      <w:r w:rsidRPr="00220850">
        <w:rPr>
          <w:rFonts w:eastAsia="TimesNewRoman"/>
          <w:sz w:val="22"/>
          <w:szCs w:val="22"/>
        </w:rPr>
        <w:t>% placebą vartojusių pacientų. Kepenų fermentų aktyvumo kraujyje padidėjimas buvo laikinas ir nesusijęs su kliniškai pasireiškusia kepenų liga.</w:t>
      </w:r>
    </w:p>
    <w:p w14:paraId="29BA3481" w14:textId="77777777"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Daugiau informacijos apie specialias populiacijas, rekomenduojamas priemones ir dozės koregavimą pasireiškus viduriavimui ir padidėjus kepenų fermentų aktyvumui kraujyje papildomai </w:t>
      </w:r>
      <w:r w:rsidR="00963409" w:rsidRPr="00220850">
        <w:rPr>
          <w:rFonts w:eastAsia="TimesNewRoman"/>
          <w:sz w:val="22"/>
          <w:szCs w:val="22"/>
        </w:rPr>
        <w:t>pateikiama</w:t>
      </w:r>
      <w:r w:rsidRPr="00220850">
        <w:rPr>
          <w:rFonts w:eastAsia="TimesNewRoman"/>
          <w:sz w:val="22"/>
          <w:szCs w:val="22"/>
        </w:rPr>
        <w:t xml:space="preserve"> atitinkamai 4.4 ir 4.2 skyriuose.</w:t>
      </w:r>
    </w:p>
    <w:p w14:paraId="677D0031" w14:textId="77777777" w:rsidR="00347014" w:rsidRPr="00220850" w:rsidRDefault="00347014" w:rsidP="0018606E">
      <w:pPr>
        <w:autoSpaceDE w:val="0"/>
        <w:autoSpaceDN w:val="0"/>
        <w:adjustRightInd w:val="0"/>
        <w:rPr>
          <w:rFonts w:eastAsia="TimesNewRoman,Italic"/>
          <w:i/>
          <w:iCs/>
          <w:sz w:val="22"/>
          <w:szCs w:val="22"/>
        </w:rPr>
      </w:pPr>
    </w:p>
    <w:p w14:paraId="417D5502" w14:textId="77777777" w:rsidR="0018606E" w:rsidRPr="00220850" w:rsidRDefault="0018606E" w:rsidP="0018606E">
      <w:pPr>
        <w:autoSpaceDE w:val="0"/>
        <w:autoSpaceDN w:val="0"/>
        <w:adjustRightInd w:val="0"/>
        <w:rPr>
          <w:rFonts w:eastAsia="TimesNewRoman,Italic"/>
          <w:i/>
          <w:iCs/>
          <w:sz w:val="22"/>
          <w:szCs w:val="22"/>
        </w:rPr>
      </w:pPr>
      <w:r w:rsidRPr="00220850">
        <w:rPr>
          <w:rFonts w:eastAsia="TimesNewRoman,Italic"/>
          <w:i/>
          <w:iCs/>
          <w:sz w:val="22"/>
          <w:szCs w:val="22"/>
        </w:rPr>
        <w:t>Kraujavimas</w:t>
      </w:r>
    </w:p>
    <w:p w14:paraId="0032F536" w14:textId="77777777"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Klinikinių tyrimų metu kraujavimas </w:t>
      </w:r>
      <w:proofErr w:type="spellStart"/>
      <w:r w:rsidR="0078437F" w:rsidRPr="00220850">
        <w:rPr>
          <w:rFonts w:eastAsia="TimesNewRoman"/>
          <w:sz w:val="22"/>
          <w:szCs w:val="22"/>
        </w:rPr>
        <w:t>nintedanibu</w:t>
      </w:r>
      <w:proofErr w:type="spellEnd"/>
      <w:r w:rsidRPr="00220850">
        <w:rPr>
          <w:rFonts w:eastAsia="TimesNewRoman"/>
          <w:sz w:val="22"/>
          <w:szCs w:val="22"/>
        </w:rPr>
        <w:t xml:space="preserve"> gydytiems pacientams pasireiškė šiek tiek dažniau arba šis</w:t>
      </w:r>
      <w:r w:rsidR="0078437F" w:rsidRPr="00220850">
        <w:rPr>
          <w:rFonts w:eastAsia="TimesNewRoman"/>
          <w:sz w:val="22"/>
          <w:szCs w:val="22"/>
        </w:rPr>
        <w:t xml:space="preserve"> </w:t>
      </w:r>
      <w:r w:rsidRPr="00220850">
        <w:rPr>
          <w:rFonts w:eastAsia="TimesNewRoman"/>
          <w:sz w:val="22"/>
          <w:szCs w:val="22"/>
        </w:rPr>
        <w:t>dažnis gydymo grupėse buvo panašus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w:t>
      </w:r>
      <w:r w:rsidRPr="00220850">
        <w:rPr>
          <w:rFonts w:eastAsia="TimesNewRoman"/>
          <w:sz w:val="22"/>
          <w:szCs w:val="22"/>
        </w:rPr>
        <w:t>10,3</w:t>
      </w:r>
      <w:r w:rsidR="0078437F" w:rsidRPr="00220850">
        <w:rPr>
          <w:rFonts w:eastAsia="TimesNewRoman"/>
          <w:sz w:val="22"/>
          <w:szCs w:val="22"/>
        </w:rPr>
        <w:t> </w:t>
      </w:r>
      <w:r w:rsidRPr="00220850">
        <w:rPr>
          <w:rFonts w:eastAsia="TimesNewRoman"/>
          <w:sz w:val="22"/>
          <w:szCs w:val="22"/>
        </w:rPr>
        <w:t>%</w:t>
      </w:r>
      <w:r w:rsidR="0078437F" w:rsidRPr="00220850">
        <w:rPr>
          <w:rFonts w:eastAsia="TimesNewRoman"/>
          <w:sz w:val="22"/>
          <w:szCs w:val="22"/>
        </w:rPr>
        <w:t xml:space="preserve"> palyginti su placebu 7,8 </w:t>
      </w:r>
      <w:r w:rsidRPr="00220850">
        <w:rPr>
          <w:rFonts w:eastAsia="TimesNewRoman"/>
          <w:sz w:val="22"/>
          <w:szCs w:val="22"/>
        </w:rPr>
        <w:t>%, INPULSIS tyrime;</w:t>
      </w:r>
      <w:r w:rsidR="0078437F" w:rsidRPr="00220850">
        <w:rPr>
          <w:rFonts w:eastAsia="TimesNewRoman"/>
          <w:sz w:val="22"/>
          <w:szCs w:val="22"/>
        </w:rPr>
        <w:t xml:space="preserve">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11,1 </w:t>
      </w:r>
      <w:r w:rsidRPr="00220850">
        <w:rPr>
          <w:rFonts w:eastAsia="TimesNewRoman"/>
          <w:sz w:val="22"/>
          <w:szCs w:val="22"/>
        </w:rPr>
        <w:t>%, palyginti su placebu 12,7</w:t>
      </w:r>
      <w:r w:rsidR="0078437F" w:rsidRPr="00220850">
        <w:rPr>
          <w:rFonts w:eastAsia="TimesNewRoman"/>
          <w:sz w:val="22"/>
          <w:szCs w:val="22"/>
        </w:rPr>
        <w:t> </w:t>
      </w:r>
      <w:r w:rsidRPr="00220850">
        <w:rPr>
          <w:rFonts w:eastAsia="TimesNewRoman"/>
          <w:sz w:val="22"/>
          <w:szCs w:val="22"/>
        </w:rPr>
        <w:t xml:space="preserve">%, INBUILD tyrime;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11,1 </w:t>
      </w:r>
      <w:r w:rsidR="00347014" w:rsidRPr="00220850">
        <w:rPr>
          <w:rFonts w:eastAsia="TimesNewRoman"/>
          <w:sz w:val="22"/>
          <w:szCs w:val="22"/>
        </w:rPr>
        <w:t>%, palyginti su placebu 8,3 </w:t>
      </w:r>
      <w:r w:rsidRPr="00220850">
        <w:rPr>
          <w:rFonts w:eastAsia="TimesNewRoman"/>
          <w:sz w:val="22"/>
          <w:szCs w:val="22"/>
        </w:rPr>
        <w:t>%,</w:t>
      </w:r>
      <w:r w:rsidR="0078437F" w:rsidRPr="00220850">
        <w:rPr>
          <w:rFonts w:eastAsia="TimesNewRoman"/>
          <w:sz w:val="22"/>
          <w:szCs w:val="22"/>
        </w:rPr>
        <w:t xml:space="preserve"> </w:t>
      </w:r>
      <w:r w:rsidRPr="00220850">
        <w:rPr>
          <w:rFonts w:eastAsia="TimesNewRoman"/>
          <w:sz w:val="22"/>
          <w:szCs w:val="22"/>
        </w:rPr>
        <w:t>SENSCIS tyrime). Dažniausiai pranešta apie nesunkų kraujavimą iš nosies. Sunkių kraujavimo</w:t>
      </w:r>
      <w:r w:rsidR="0078437F" w:rsidRPr="00220850">
        <w:rPr>
          <w:rFonts w:eastAsia="TimesNewRoman"/>
          <w:sz w:val="22"/>
          <w:szCs w:val="22"/>
        </w:rPr>
        <w:t xml:space="preserve"> </w:t>
      </w:r>
      <w:r w:rsidRPr="00220850">
        <w:rPr>
          <w:rFonts w:eastAsia="TimesNewRoman"/>
          <w:sz w:val="22"/>
          <w:szCs w:val="22"/>
        </w:rPr>
        <w:t xml:space="preserve">reiškinių dažnis </w:t>
      </w:r>
      <w:r w:rsidR="00347014" w:rsidRPr="00220850">
        <w:rPr>
          <w:rFonts w:eastAsia="TimesNewRoman"/>
          <w:sz w:val="22"/>
          <w:szCs w:val="22"/>
        </w:rPr>
        <w:t>dvie</w:t>
      </w:r>
      <w:r w:rsidRPr="00220850">
        <w:rPr>
          <w:rFonts w:eastAsia="TimesNewRoman"/>
          <w:sz w:val="22"/>
          <w:szCs w:val="22"/>
        </w:rPr>
        <w:t>jose gydymo grupėse buvo žemas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1,3 %, palyginti su placebu 1,4 </w:t>
      </w:r>
      <w:r w:rsidRPr="00220850">
        <w:rPr>
          <w:rFonts w:eastAsia="TimesNewRoman"/>
          <w:sz w:val="22"/>
          <w:szCs w:val="22"/>
        </w:rPr>
        <w:t>%,</w:t>
      </w:r>
      <w:r w:rsidR="0078437F" w:rsidRPr="00220850">
        <w:rPr>
          <w:rFonts w:eastAsia="TimesNewRoman"/>
          <w:sz w:val="22"/>
          <w:szCs w:val="22"/>
        </w:rPr>
        <w:t xml:space="preserve"> </w:t>
      </w:r>
      <w:r w:rsidRPr="00220850">
        <w:rPr>
          <w:rFonts w:eastAsia="TimesNewRoman"/>
          <w:sz w:val="22"/>
          <w:szCs w:val="22"/>
        </w:rPr>
        <w:t xml:space="preserve">INPULSIS tyrime; </w:t>
      </w:r>
      <w:proofErr w:type="spellStart"/>
      <w:r w:rsidR="0078437F" w:rsidRPr="00220850">
        <w:rPr>
          <w:rFonts w:eastAsia="TimesNewRoman"/>
          <w:sz w:val="22"/>
          <w:szCs w:val="22"/>
        </w:rPr>
        <w:t>nintedanibu</w:t>
      </w:r>
      <w:proofErr w:type="spellEnd"/>
      <w:r w:rsidRPr="00220850">
        <w:rPr>
          <w:rFonts w:eastAsia="TimesNewRoman"/>
          <w:sz w:val="22"/>
          <w:szCs w:val="22"/>
        </w:rPr>
        <w:t xml:space="preserve"> 0,9</w:t>
      </w:r>
      <w:r w:rsidR="0078437F" w:rsidRPr="00220850">
        <w:rPr>
          <w:rFonts w:eastAsia="TimesNewRoman"/>
          <w:sz w:val="22"/>
          <w:szCs w:val="22"/>
        </w:rPr>
        <w:t> </w:t>
      </w:r>
      <w:r w:rsidRPr="00220850">
        <w:rPr>
          <w:rFonts w:eastAsia="TimesNewRoman"/>
          <w:sz w:val="22"/>
          <w:szCs w:val="22"/>
        </w:rPr>
        <w:t>%, palyginti s</w:t>
      </w:r>
      <w:r w:rsidR="00347014" w:rsidRPr="00220850">
        <w:rPr>
          <w:rFonts w:eastAsia="TimesNewRoman"/>
          <w:sz w:val="22"/>
          <w:szCs w:val="22"/>
        </w:rPr>
        <w:t>u</w:t>
      </w:r>
      <w:r w:rsidRPr="00220850">
        <w:rPr>
          <w:rFonts w:eastAsia="TimesNewRoman"/>
          <w:sz w:val="22"/>
          <w:szCs w:val="22"/>
        </w:rPr>
        <w:t xml:space="preserve"> placebu 1</w:t>
      </w:r>
      <w:r w:rsidR="0078437F" w:rsidRPr="00220850">
        <w:rPr>
          <w:rFonts w:eastAsia="TimesNewRoman"/>
          <w:sz w:val="22"/>
          <w:szCs w:val="22"/>
        </w:rPr>
        <w:t>,5 </w:t>
      </w:r>
      <w:r w:rsidRPr="00220850">
        <w:rPr>
          <w:rFonts w:eastAsia="TimesNewRoman"/>
          <w:sz w:val="22"/>
          <w:szCs w:val="22"/>
        </w:rPr>
        <w:t xml:space="preserve">%, INBUILD tyrime;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1,4 </w:t>
      </w:r>
      <w:r w:rsidRPr="00220850">
        <w:rPr>
          <w:rFonts w:eastAsia="TimesNewRoman"/>
          <w:sz w:val="22"/>
          <w:szCs w:val="22"/>
        </w:rPr>
        <w:t>%, palyginti</w:t>
      </w:r>
      <w:r w:rsidR="0078437F" w:rsidRPr="00220850">
        <w:rPr>
          <w:rFonts w:eastAsia="TimesNewRoman"/>
          <w:sz w:val="22"/>
          <w:szCs w:val="22"/>
        </w:rPr>
        <w:t xml:space="preserve"> su placebu 0,7 </w:t>
      </w:r>
      <w:r w:rsidRPr="00220850">
        <w:rPr>
          <w:rFonts w:eastAsia="TimesNewRoman"/>
          <w:sz w:val="22"/>
          <w:szCs w:val="22"/>
        </w:rPr>
        <w:t>%, SENSCIS tyrime).</w:t>
      </w:r>
    </w:p>
    <w:p w14:paraId="3DF5D708" w14:textId="77777777"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Kraujavimo reiškiniai, nustatyti po vaistinio preparato patekimo į rinką, pasireiškė </w:t>
      </w:r>
      <w:r w:rsidR="00347014" w:rsidRPr="00220850">
        <w:rPr>
          <w:rFonts w:eastAsia="TimesNewRoman"/>
          <w:sz w:val="22"/>
          <w:szCs w:val="22"/>
        </w:rPr>
        <w:t xml:space="preserve">ne tik </w:t>
      </w:r>
      <w:r w:rsidRPr="00220850">
        <w:rPr>
          <w:rFonts w:eastAsia="TimesNewRoman"/>
          <w:sz w:val="22"/>
          <w:szCs w:val="22"/>
        </w:rPr>
        <w:t xml:space="preserve">virškinimo, kvėpavimo ir centrinėje nervų sistemoje, </w:t>
      </w:r>
      <w:r w:rsidR="00347014" w:rsidRPr="00220850">
        <w:rPr>
          <w:rFonts w:eastAsia="TimesNewRoman"/>
          <w:sz w:val="22"/>
          <w:szCs w:val="22"/>
        </w:rPr>
        <w:t xml:space="preserve">bet </w:t>
      </w:r>
      <w:r w:rsidRPr="00220850">
        <w:rPr>
          <w:rFonts w:eastAsia="TimesNewRoman"/>
          <w:sz w:val="22"/>
          <w:szCs w:val="22"/>
        </w:rPr>
        <w:t>dažniausiai registruotas kraujavimas iš</w:t>
      </w:r>
      <w:r w:rsidR="0078437F" w:rsidRPr="00220850">
        <w:rPr>
          <w:rFonts w:eastAsia="TimesNewRoman"/>
          <w:sz w:val="22"/>
          <w:szCs w:val="22"/>
        </w:rPr>
        <w:t xml:space="preserve"> </w:t>
      </w:r>
      <w:r w:rsidRPr="00220850">
        <w:rPr>
          <w:rFonts w:eastAsia="TimesNewRoman"/>
          <w:sz w:val="22"/>
          <w:szCs w:val="22"/>
        </w:rPr>
        <w:t>virškinimo trakto (žr. 4.4 skyrių).</w:t>
      </w:r>
    </w:p>
    <w:p w14:paraId="1B473383" w14:textId="77777777" w:rsidR="0078437F" w:rsidRPr="00220850" w:rsidRDefault="0078437F" w:rsidP="0018606E">
      <w:pPr>
        <w:autoSpaceDE w:val="0"/>
        <w:autoSpaceDN w:val="0"/>
        <w:adjustRightInd w:val="0"/>
        <w:rPr>
          <w:rFonts w:eastAsia="TimesNewRoman,Italic"/>
          <w:i/>
          <w:iCs/>
          <w:sz w:val="22"/>
          <w:szCs w:val="22"/>
        </w:rPr>
      </w:pPr>
    </w:p>
    <w:p w14:paraId="158FF625" w14:textId="77777777" w:rsidR="0018606E" w:rsidRPr="00220850" w:rsidRDefault="0018606E" w:rsidP="0018606E">
      <w:pPr>
        <w:autoSpaceDE w:val="0"/>
        <w:autoSpaceDN w:val="0"/>
        <w:adjustRightInd w:val="0"/>
        <w:rPr>
          <w:rFonts w:eastAsia="TimesNewRoman,Italic"/>
          <w:i/>
          <w:iCs/>
          <w:sz w:val="22"/>
          <w:szCs w:val="22"/>
        </w:rPr>
      </w:pPr>
      <w:proofErr w:type="spellStart"/>
      <w:r w:rsidRPr="00220850">
        <w:rPr>
          <w:rFonts w:eastAsia="TimesNewRoman,Italic"/>
          <w:i/>
          <w:iCs/>
          <w:sz w:val="22"/>
          <w:szCs w:val="22"/>
        </w:rPr>
        <w:t>Proteinurija</w:t>
      </w:r>
      <w:proofErr w:type="spellEnd"/>
    </w:p>
    <w:p w14:paraId="4EE29CD7" w14:textId="3B5F3F96"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Klinikinių tyrimų metu </w:t>
      </w:r>
      <w:proofErr w:type="spellStart"/>
      <w:r w:rsidRPr="00220850">
        <w:rPr>
          <w:rFonts w:eastAsia="TimesNewRoman"/>
          <w:sz w:val="22"/>
          <w:szCs w:val="22"/>
        </w:rPr>
        <w:t>proteinurija</w:t>
      </w:r>
      <w:proofErr w:type="spellEnd"/>
      <w:r w:rsidRPr="00220850">
        <w:rPr>
          <w:rFonts w:eastAsia="TimesNewRoman"/>
          <w:sz w:val="22"/>
          <w:szCs w:val="22"/>
        </w:rPr>
        <w:t xml:space="preserve"> pasireiškė retai ir jos dažnis gydymo grupėse buvo panašus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w:t>
      </w:r>
      <w:r w:rsidRPr="00220850">
        <w:rPr>
          <w:rFonts w:eastAsia="TimesNewRoman"/>
          <w:sz w:val="22"/>
          <w:szCs w:val="22"/>
        </w:rPr>
        <w:t>0,8</w:t>
      </w:r>
      <w:r w:rsidR="0078437F" w:rsidRPr="00220850">
        <w:rPr>
          <w:rFonts w:eastAsia="TimesNewRoman"/>
          <w:sz w:val="22"/>
          <w:szCs w:val="22"/>
        </w:rPr>
        <w:t> %, palyginti su placebu 0,5 </w:t>
      </w:r>
      <w:r w:rsidRPr="00220850">
        <w:rPr>
          <w:rFonts w:eastAsia="TimesNewRoman"/>
          <w:sz w:val="22"/>
          <w:szCs w:val="22"/>
        </w:rPr>
        <w:t xml:space="preserve">% INPULSIS tyrime; </w:t>
      </w:r>
      <w:proofErr w:type="spellStart"/>
      <w:r w:rsidR="0078437F" w:rsidRPr="00220850">
        <w:rPr>
          <w:rFonts w:eastAsia="TimesNewRoman"/>
          <w:sz w:val="22"/>
          <w:szCs w:val="22"/>
        </w:rPr>
        <w:t>nintedanibu</w:t>
      </w:r>
      <w:proofErr w:type="spellEnd"/>
      <w:r w:rsidRPr="00220850">
        <w:rPr>
          <w:rFonts w:eastAsia="TimesNewRoman"/>
          <w:sz w:val="22"/>
          <w:szCs w:val="22"/>
        </w:rPr>
        <w:t xml:space="preserve"> 1,5</w:t>
      </w:r>
      <w:r w:rsidR="0078437F" w:rsidRPr="00220850">
        <w:rPr>
          <w:rFonts w:eastAsia="TimesNewRoman"/>
          <w:sz w:val="22"/>
          <w:szCs w:val="22"/>
        </w:rPr>
        <w:t> </w:t>
      </w:r>
      <w:r w:rsidRPr="00220850">
        <w:rPr>
          <w:rFonts w:eastAsia="TimesNewRoman"/>
          <w:sz w:val="22"/>
          <w:szCs w:val="22"/>
        </w:rPr>
        <w:t>%, palyginti su place</w:t>
      </w:r>
      <w:r w:rsidR="0078437F" w:rsidRPr="00220850">
        <w:rPr>
          <w:rFonts w:eastAsia="TimesNewRoman"/>
          <w:sz w:val="22"/>
          <w:szCs w:val="22"/>
        </w:rPr>
        <w:t>bu 1,8 </w:t>
      </w:r>
      <w:r w:rsidRPr="00220850">
        <w:rPr>
          <w:rFonts w:eastAsia="TimesNewRoman"/>
          <w:sz w:val="22"/>
          <w:szCs w:val="22"/>
        </w:rPr>
        <w:t>%</w:t>
      </w:r>
      <w:r w:rsidR="0078437F" w:rsidRPr="00220850">
        <w:rPr>
          <w:rFonts w:eastAsia="TimesNewRoman"/>
          <w:sz w:val="22"/>
          <w:szCs w:val="22"/>
        </w:rPr>
        <w:t xml:space="preserve"> </w:t>
      </w:r>
      <w:r w:rsidRPr="00220850">
        <w:rPr>
          <w:rFonts w:eastAsia="TimesNewRoman"/>
          <w:sz w:val="22"/>
          <w:szCs w:val="22"/>
        </w:rPr>
        <w:t>INBUILD tyrime;</w:t>
      </w:r>
      <w:r w:rsidR="0078437F" w:rsidRPr="00220850">
        <w:rPr>
          <w:rFonts w:eastAsia="TimesNewRoman"/>
          <w:sz w:val="22"/>
          <w:szCs w:val="22"/>
        </w:rPr>
        <w:t xml:space="preserve"> </w:t>
      </w:r>
      <w:proofErr w:type="spellStart"/>
      <w:r w:rsidR="0078437F" w:rsidRPr="00220850">
        <w:rPr>
          <w:rFonts w:eastAsia="TimesNewRoman"/>
          <w:sz w:val="22"/>
          <w:szCs w:val="22"/>
        </w:rPr>
        <w:t>nintedanibu</w:t>
      </w:r>
      <w:proofErr w:type="spellEnd"/>
      <w:r w:rsidR="0078437F" w:rsidRPr="00220850">
        <w:rPr>
          <w:rFonts w:eastAsia="TimesNewRoman"/>
          <w:sz w:val="22"/>
          <w:szCs w:val="22"/>
        </w:rPr>
        <w:t xml:space="preserve"> 1,0 %, palyginti su placebu 0,0 </w:t>
      </w:r>
      <w:r w:rsidRPr="00220850">
        <w:rPr>
          <w:rFonts w:eastAsia="TimesNewRoman"/>
          <w:sz w:val="22"/>
          <w:szCs w:val="22"/>
        </w:rPr>
        <w:t>% SENSCIS tyrime). Klinikinių tyrimų metu</w:t>
      </w:r>
      <w:r w:rsidR="0078437F" w:rsidRPr="00220850">
        <w:rPr>
          <w:rFonts w:eastAsia="TimesNewRoman"/>
          <w:sz w:val="22"/>
          <w:szCs w:val="22"/>
        </w:rPr>
        <w:t xml:space="preserve"> </w:t>
      </w:r>
      <w:r w:rsidRPr="00220850">
        <w:rPr>
          <w:rFonts w:eastAsia="TimesNewRoman"/>
          <w:sz w:val="22"/>
          <w:szCs w:val="22"/>
        </w:rPr>
        <w:t xml:space="preserve">apie </w:t>
      </w:r>
      <w:proofErr w:type="spellStart"/>
      <w:r w:rsidRPr="00220850">
        <w:rPr>
          <w:rFonts w:eastAsia="TimesNewRoman"/>
          <w:sz w:val="22"/>
          <w:szCs w:val="22"/>
        </w:rPr>
        <w:t>nefrozinį</w:t>
      </w:r>
      <w:proofErr w:type="spellEnd"/>
      <w:r w:rsidRPr="00220850">
        <w:rPr>
          <w:rFonts w:eastAsia="TimesNewRoman"/>
          <w:sz w:val="22"/>
          <w:szCs w:val="22"/>
        </w:rPr>
        <w:t xml:space="preserve"> sindromą nepranešta. </w:t>
      </w:r>
      <w:proofErr w:type="spellStart"/>
      <w:r w:rsidRPr="00220850">
        <w:rPr>
          <w:rFonts w:eastAsia="TimesNewRoman"/>
          <w:sz w:val="22"/>
          <w:szCs w:val="22"/>
        </w:rPr>
        <w:t>Poregistraciniu</w:t>
      </w:r>
      <w:proofErr w:type="spellEnd"/>
      <w:r w:rsidRPr="00220850">
        <w:rPr>
          <w:rFonts w:eastAsia="TimesNewRoman"/>
          <w:sz w:val="22"/>
          <w:szCs w:val="22"/>
        </w:rPr>
        <w:t xml:space="preserve"> laikotarpiu gauta labai mažai pranešimų apie</w:t>
      </w:r>
      <w:r w:rsidR="0078437F" w:rsidRPr="00220850">
        <w:rPr>
          <w:rFonts w:eastAsia="TimesNewRoman"/>
          <w:sz w:val="22"/>
          <w:szCs w:val="22"/>
        </w:rPr>
        <w:t xml:space="preserve"> </w:t>
      </w:r>
      <w:proofErr w:type="spellStart"/>
      <w:r w:rsidRPr="00220850">
        <w:rPr>
          <w:rFonts w:eastAsia="TimesNewRoman"/>
          <w:sz w:val="22"/>
          <w:szCs w:val="22"/>
        </w:rPr>
        <w:t>nefrozinio</w:t>
      </w:r>
      <w:proofErr w:type="spellEnd"/>
      <w:r w:rsidRPr="00220850">
        <w:rPr>
          <w:rFonts w:eastAsia="TimesNewRoman"/>
          <w:sz w:val="22"/>
          <w:szCs w:val="22"/>
        </w:rPr>
        <w:t xml:space="preserve"> lygio </w:t>
      </w:r>
      <w:proofErr w:type="spellStart"/>
      <w:r w:rsidRPr="00220850">
        <w:rPr>
          <w:rFonts w:eastAsia="TimesNewRoman"/>
          <w:sz w:val="22"/>
          <w:szCs w:val="22"/>
        </w:rPr>
        <w:t>proteinurijos</w:t>
      </w:r>
      <w:proofErr w:type="spellEnd"/>
      <w:r w:rsidRPr="00220850">
        <w:rPr>
          <w:rFonts w:eastAsia="TimesNewRoman"/>
          <w:sz w:val="22"/>
          <w:szCs w:val="22"/>
        </w:rPr>
        <w:t xml:space="preserve"> atvejus su inkstų funkcijos sutrikimu arba be jo. Individualių atvejų</w:t>
      </w:r>
      <w:r w:rsidR="0078437F" w:rsidRPr="00220850">
        <w:rPr>
          <w:rFonts w:eastAsia="TimesNewRoman"/>
          <w:sz w:val="22"/>
          <w:szCs w:val="22"/>
        </w:rPr>
        <w:t xml:space="preserve"> </w:t>
      </w:r>
      <w:r w:rsidRPr="00220850">
        <w:rPr>
          <w:rFonts w:eastAsia="TimesNewRoman"/>
          <w:sz w:val="22"/>
          <w:szCs w:val="22"/>
        </w:rPr>
        <w:t xml:space="preserve">histologiniai radiniai rodė </w:t>
      </w:r>
      <w:proofErr w:type="spellStart"/>
      <w:r w:rsidRPr="00220850">
        <w:rPr>
          <w:rFonts w:eastAsia="TimesNewRoman"/>
          <w:sz w:val="22"/>
          <w:szCs w:val="22"/>
        </w:rPr>
        <w:t>glomerulų</w:t>
      </w:r>
      <w:proofErr w:type="spellEnd"/>
      <w:r w:rsidRPr="00220850">
        <w:rPr>
          <w:rFonts w:eastAsia="TimesNewRoman"/>
          <w:sz w:val="22"/>
          <w:szCs w:val="22"/>
        </w:rPr>
        <w:t xml:space="preserve"> </w:t>
      </w:r>
      <w:proofErr w:type="spellStart"/>
      <w:r w:rsidRPr="00220850">
        <w:rPr>
          <w:rFonts w:eastAsia="TimesNewRoman"/>
          <w:sz w:val="22"/>
          <w:szCs w:val="22"/>
        </w:rPr>
        <w:t>mikroangiopatiją</w:t>
      </w:r>
      <w:proofErr w:type="spellEnd"/>
      <w:r w:rsidRPr="00220850">
        <w:rPr>
          <w:rFonts w:eastAsia="TimesNewRoman"/>
          <w:sz w:val="22"/>
          <w:szCs w:val="22"/>
        </w:rPr>
        <w:t xml:space="preserve"> su inkstų </w:t>
      </w:r>
      <w:proofErr w:type="spellStart"/>
      <w:r w:rsidRPr="00220850">
        <w:rPr>
          <w:rFonts w:eastAsia="TimesNewRoman"/>
          <w:sz w:val="22"/>
          <w:szCs w:val="22"/>
        </w:rPr>
        <w:t>trombais</w:t>
      </w:r>
      <w:proofErr w:type="spellEnd"/>
      <w:r w:rsidRPr="00220850">
        <w:rPr>
          <w:rFonts w:eastAsia="TimesNewRoman"/>
          <w:sz w:val="22"/>
          <w:szCs w:val="22"/>
        </w:rPr>
        <w:t xml:space="preserve"> arba be jų. Pastebėta, kad</w:t>
      </w:r>
      <w:r w:rsidR="0078437F" w:rsidRPr="00220850">
        <w:rPr>
          <w:rFonts w:eastAsia="TimesNewRoman"/>
          <w:sz w:val="22"/>
          <w:szCs w:val="22"/>
        </w:rPr>
        <w:t xml:space="preserve"> </w:t>
      </w:r>
      <w:r w:rsidRPr="00220850">
        <w:rPr>
          <w:rFonts w:eastAsia="TimesNewRoman"/>
          <w:sz w:val="22"/>
          <w:szCs w:val="22"/>
        </w:rPr>
        <w:t xml:space="preserve">simptomai išnyko nutraukus gydymą </w:t>
      </w:r>
      <w:proofErr w:type="spellStart"/>
      <w:r w:rsidR="0078437F" w:rsidRPr="00220850">
        <w:rPr>
          <w:rFonts w:eastAsia="TimesNewRoman"/>
          <w:sz w:val="22"/>
          <w:szCs w:val="22"/>
        </w:rPr>
        <w:t>nintedanibu</w:t>
      </w:r>
      <w:proofErr w:type="spellEnd"/>
      <w:r w:rsidRPr="00220850">
        <w:rPr>
          <w:rFonts w:eastAsia="TimesNewRoman"/>
          <w:sz w:val="22"/>
          <w:szCs w:val="22"/>
        </w:rPr>
        <w:t xml:space="preserve">, kai kuriais atvejais išliko tam tikra </w:t>
      </w:r>
      <w:proofErr w:type="spellStart"/>
      <w:r w:rsidRPr="00220850">
        <w:rPr>
          <w:rFonts w:eastAsia="TimesNewRoman"/>
          <w:sz w:val="22"/>
          <w:szCs w:val="22"/>
        </w:rPr>
        <w:t>proteinurija</w:t>
      </w:r>
      <w:proofErr w:type="spellEnd"/>
      <w:r w:rsidRPr="00220850">
        <w:rPr>
          <w:rFonts w:eastAsia="TimesNewRoman"/>
          <w:sz w:val="22"/>
          <w:szCs w:val="22"/>
        </w:rPr>
        <w:t>.</w:t>
      </w:r>
      <w:r w:rsidR="0078437F" w:rsidRPr="00220850">
        <w:rPr>
          <w:rFonts w:eastAsia="TimesNewRoman"/>
          <w:sz w:val="22"/>
          <w:szCs w:val="22"/>
        </w:rPr>
        <w:t xml:space="preserve"> </w:t>
      </w:r>
      <w:r w:rsidRPr="00220850">
        <w:rPr>
          <w:rFonts w:eastAsia="TimesNewRoman"/>
          <w:sz w:val="22"/>
          <w:szCs w:val="22"/>
        </w:rPr>
        <w:t xml:space="preserve">Pacientams, kuriems atsiranda </w:t>
      </w:r>
      <w:proofErr w:type="spellStart"/>
      <w:r w:rsidRPr="00220850">
        <w:rPr>
          <w:rFonts w:eastAsia="TimesNewRoman"/>
          <w:sz w:val="22"/>
          <w:szCs w:val="22"/>
        </w:rPr>
        <w:t>nefrozinio</w:t>
      </w:r>
      <w:proofErr w:type="spellEnd"/>
      <w:r w:rsidRPr="00220850">
        <w:rPr>
          <w:rFonts w:eastAsia="TimesNewRoman"/>
          <w:sz w:val="22"/>
          <w:szCs w:val="22"/>
        </w:rPr>
        <w:t xml:space="preserve"> sindromo požymių ar simptomų, reikia įvertinti gydymo</w:t>
      </w:r>
      <w:r w:rsidR="0078437F" w:rsidRPr="00220850">
        <w:rPr>
          <w:rFonts w:eastAsia="TimesNewRoman"/>
          <w:sz w:val="22"/>
          <w:szCs w:val="22"/>
        </w:rPr>
        <w:t xml:space="preserve"> </w:t>
      </w:r>
      <w:r w:rsidR="004B1282" w:rsidRPr="00220850">
        <w:rPr>
          <w:rFonts w:eastAsia="TimesNewRoman"/>
          <w:sz w:val="22"/>
          <w:szCs w:val="22"/>
        </w:rPr>
        <w:t xml:space="preserve">nutraukimo </w:t>
      </w:r>
      <w:r w:rsidR="00347014" w:rsidRPr="00220850">
        <w:rPr>
          <w:rFonts w:eastAsia="TimesNewRoman"/>
          <w:sz w:val="22"/>
          <w:szCs w:val="22"/>
        </w:rPr>
        <w:t>poreikį</w:t>
      </w:r>
      <w:r w:rsidRPr="00220850">
        <w:rPr>
          <w:rFonts w:eastAsia="TimesNewRoman"/>
          <w:sz w:val="22"/>
          <w:szCs w:val="22"/>
        </w:rPr>
        <w:t xml:space="preserve"> (žr. 4.4 skyrių).</w:t>
      </w:r>
    </w:p>
    <w:p w14:paraId="66A7D52C" w14:textId="77777777" w:rsidR="0078437F" w:rsidRPr="00220850" w:rsidRDefault="0078437F" w:rsidP="0018606E">
      <w:pPr>
        <w:autoSpaceDE w:val="0"/>
        <w:autoSpaceDN w:val="0"/>
        <w:adjustRightInd w:val="0"/>
        <w:rPr>
          <w:rFonts w:eastAsia="TimesNewRoman"/>
          <w:sz w:val="22"/>
          <w:szCs w:val="22"/>
        </w:rPr>
      </w:pPr>
    </w:p>
    <w:p w14:paraId="4FA9D67F" w14:textId="77777777" w:rsidR="0018606E" w:rsidRPr="00220850" w:rsidRDefault="0018606E" w:rsidP="0018606E">
      <w:pPr>
        <w:autoSpaceDE w:val="0"/>
        <w:autoSpaceDN w:val="0"/>
        <w:adjustRightInd w:val="0"/>
        <w:rPr>
          <w:rFonts w:eastAsia="TimesNewRoman"/>
          <w:sz w:val="22"/>
          <w:szCs w:val="22"/>
          <w:u w:val="single"/>
        </w:rPr>
      </w:pPr>
      <w:r w:rsidRPr="00220850">
        <w:rPr>
          <w:rFonts w:eastAsia="TimesNewRoman"/>
          <w:sz w:val="22"/>
          <w:szCs w:val="22"/>
          <w:u w:val="single"/>
        </w:rPr>
        <w:t>Vaikų populiacija</w:t>
      </w:r>
    </w:p>
    <w:p w14:paraId="419693FD" w14:textId="77777777" w:rsidR="0018606E" w:rsidRPr="00220850" w:rsidRDefault="0018606E" w:rsidP="0018606E">
      <w:pPr>
        <w:autoSpaceDE w:val="0"/>
        <w:autoSpaceDN w:val="0"/>
        <w:adjustRightInd w:val="0"/>
        <w:rPr>
          <w:rFonts w:eastAsia="TimesNewRoman"/>
          <w:sz w:val="22"/>
          <w:szCs w:val="22"/>
        </w:rPr>
      </w:pPr>
      <w:proofErr w:type="spellStart"/>
      <w:r w:rsidRPr="00220850">
        <w:rPr>
          <w:rFonts w:eastAsia="TimesNewRoman"/>
          <w:sz w:val="22"/>
          <w:szCs w:val="22"/>
        </w:rPr>
        <w:t>Nintedanibo</w:t>
      </w:r>
      <w:proofErr w:type="spellEnd"/>
      <w:r w:rsidRPr="00220850">
        <w:rPr>
          <w:rFonts w:eastAsia="TimesNewRoman"/>
          <w:sz w:val="22"/>
          <w:szCs w:val="22"/>
        </w:rPr>
        <w:t xml:space="preserve"> saugumo duomenų pacientams vaikams nepakanka.</w:t>
      </w:r>
    </w:p>
    <w:p w14:paraId="48B8202F" w14:textId="77777777"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Iš viso 39 pacientai, kurių amžius buvo nuo 6 iki 17 metų, vartojo </w:t>
      </w:r>
      <w:proofErr w:type="spellStart"/>
      <w:r w:rsidRPr="00220850">
        <w:rPr>
          <w:rFonts w:eastAsia="TimesNewRoman"/>
          <w:sz w:val="22"/>
          <w:szCs w:val="22"/>
        </w:rPr>
        <w:t>nintedanibą</w:t>
      </w:r>
      <w:proofErr w:type="spellEnd"/>
      <w:r w:rsidRPr="00220850">
        <w:rPr>
          <w:rFonts w:eastAsia="TimesNewRoman"/>
          <w:sz w:val="22"/>
          <w:szCs w:val="22"/>
        </w:rPr>
        <w:t xml:space="preserve"> atsitiktinių imčių,</w:t>
      </w:r>
      <w:r w:rsidR="0078437F" w:rsidRPr="00220850">
        <w:rPr>
          <w:rFonts w:eastAsia="TimesNewRoman"/>
          <w:sz w:val="22"/>
          <w:szCs w:val="22"/>
        </w:rPr>
        <w:t xml:space="preserve"> </w:t>
      </w:r>
      <w:r w:rsidRPr="00220850">
        <w:rPr>
          <w:rFonts w:eastAsia="TimesNewRoman"/>
          <w:sz w:val="22"/>
          <w:szCs w:val="22"/>
        </w:rPr>
        <w:t>dvigubai koduotame, placebu kontroliuojamame 24 savaičių trukmės tyrime, po kurio buvo vykdytas</w:t>
      </w:r>
      <w:r w:rsidR="0078437F" w:rsidRPr="00220850">
        <w:rPr>
          <w:rFonts w:eastAsia="TimesNewRoman"/>
          <w:sz w:val="22"/>
          <w:szCs w:val="22"/>
        </w:rPr>
        <w:t xml:space="preserve"> </w:t>
      </w:r>
      <w:r w:rsidRPr="00220850">
        <w:rPr>
          <w:rFonts w:eastAsia="TimesNewRoman"/>
          <w:sz w:val="22"/>
          <w:szCs w:val="22"/>
        </w:rPr>
        <w:t xml:space="preserve">atvirasis gydymas </w:t>
      </w:r>
      <w:proofErr w:type="spellStart"/>
      <w:r w:rsidRPr="00220850">
        <w:rPr>
          <w:rFonts w:eastAsia="TimesNewRoman"/>
          <w:sz w:val="22"/>
          <w:szCs w:val="22"/>
        </w:rPr>
        <w:t>nintedanibu</w:t>
      </w:r>
      <w:proofErr w:type="spellEnd"/>
      <w:r w:rsidRPr="00220850">
        <w:rPr>
          <w:rFonts w:eastAsia="TimesNewRoman"/>
          <w:sz w:val="22"/>
          <w:szCs w:val="22"/>
        </w:rPr>
        <w:t xml:space="preserve">, kurio trukmė nebuvo apibrėžta (žr. 5.1 skyrių). </w:t>
      </w:r>
      <w:proofErr w:type="spellStart"/>
      <w:r w:rsidRPr="00220850">
        <w:rPr>
          <w:rFonts w:eastAsia="TimesNewRoman"/>
          <w:sz w:val="22"/>
          <w:szCs w:val="22"/>
        </w:rPr>
        <w:t>Nintedanibo</w:t>
      </w:r>
      <w:proofErr w:type="spellEnd"/>
      <w:r w:rsidRPr="00220850">
        <w:rPr>
          <w:rFonts w:eastAsia="TimesNewRoman"/>
          <w:sz w:val="22"/>
          <w:szCs w:val="22"/>
        </w:rPr>
        <w:t xml:space="preserve"> grupėje</w:t>
      </w:r>
      <w:r w:rsidR="0078437F" w:rsidRPr="00220850">
        <w:rPr>
          <w:rFonts w:eastAsia="TimesNewRoman"/>
          <w:sz w:val="22"/>
          <w:szCs w:val="22"/>
        </w:rPr>
        <w:t xml:space="preserve"> </w:t>
      </w:r>
      <w:r w:rsidRPr="00220850">
        <w:rPr>
          <w:rFonts w:eastAsia="TimesNewRoman"/>
          <w:sz w:val="22"/>
          <w:szCs w:val="22"/>
        </w:rPr>
        <w:t>placebu kontroliuojamu 24 savaičių trukmės tyrimo laikotarpiu dažniausiai registruot</w:t>
      </w:r>
      <w:r w:rsidR="00347014" w:rsidRPr="00220850">
        <w:rPr>
          <w:rFonts w:eastAsia="TimesNewRoman"/>
          <w:sz w:val="22"/>
          <w:szCs w:val="22"/>
        </w:rPr>
        <w:t>i</w:t>
      </w:r>
      <w:r w:rsidR="0078437F" w:rsidRPr="00220850">
        <w:rPr>
          <w:rFonts w:eastAsia="TimesNewRoman"/>
          <w:sz w:val="22"/>
          <w:szCs w:val="22"/>
        </w:rPr>
        <w:t xml:space="preserve"> </w:t>
      </w:r>
      <w:r w:rsidRPr="00220850">
        <w:rPr>
          <w:rFonts w:eastAsia="TimesNewRoman"/>
          <w:sz w:val="22"/>
          <w:szCs w:val="22"/>
        </w:rPr>
        <w:t>nepageidaujam</w:t>
      </w:r>
      <w:r w:rsidR="00347014" w:rsidRPr="00220850">
        <w:rPr>
          <w:rFonts w:eastAsia="TimesNewRoman"/>
          <w:sz w:val="22"/>
          <w:szCs w:val="22"/>
        </w:rPr>
        <w:t>i reiškiniai</w:t>
      </w:r>
      <w:r w:rsidRPr="00220850">
        <w:rPr>
          <w:rFonts w:eastAsia="TimesNewRoman"/>
          <w:sz w:val="22"/>
          <w:szCs w:val="22"/>
        </w:rPr>
        <w:t xml:space="preserve"> buvo viduriavimas (38,5</w:t>
      </w:r>
      <w:r w:rsidR="0078437F" w:rsidRPr="00220850">
        <w:rPr>
          <w:rFonts w:eastAsia="TimesNewRoman"/>
          <w:sz w:val="22"/>
          <w:szCs w:val="22"/>
        </w:rPr>
        <w:t> </w:t>
      </w:r>
      <w:r w:rsidRPr="00220850">
        <w:rPr>
          <w:rFonts w:eastAsia="TimesNewRoman"/>
          <w:sz w:val="22"/>
          <w:szCs w:val="22"/>
        </w:rPr>
        <w:t>%), vėmimas (26,9</w:t>
      </w:r>
      <w:r w:rsidR="0078437F" w:rsidRPr="00220850">
        <w:rPr>
          <w:rFonts w:eastAsia="TimesNewRoman"/>
          <w:sz w:val="22"/>
          <w:szCs w:val="22"/>
        </w:rPr>
        <w:t> </w:t>
      </w:r>
      <w:r w:rsidRPr="00220850">
        <w:rPr>
          <w:rFonts w:eastAsia="TimesNewRoman"/>
          <w:sz w:val="22"/>
          <w:szCs w:val="22"/>
        </w:rPr>
        <w:t>%), pykinimas (19,2</w:t>
      </w:r>
      <w:r w:rsidR="0078437F" w:rsidRPr="00220850">
        <w:rPr>
          <w:rFonts w:eastAsia="TimesNewRoman"/>
          <w:sz w:val="22"/>
          <w:szCs w:val="22"/>
        </w:rPr>
        <w:t> </w:t>
      </w:r>
      <w:r w:rsidRPr="00220850">
        <w:rPr>
          <w:rFonts w:eastAsia="TimesNewRoman"/>
          <w:sz w:val="22"/>
          <w:szCs w:val="22"/>
        </w:rPr>
        <w:t>%), pilvo</w:t>
      </w:r>
      <w:r w:rsidR="0078437F" w:rsidRPr="00220850">
        <w:rPr>
          <w:rFonts w:eastAsia="TimesNewRoman"/>
          <w:sz w:val="22"/>
          <w:szCs w:val="22"/>
        </w:rPr>
        <w:t xml:space="preserve"> </w:t>
      </w:r>
      <w:r w:rsidRPr="00220850">
        <w:rPr>
          <w:rFonts w:eastAsia="TimesNewRoman"/>
          <w:sz w:val="22"/>
          <w:szCs w:val="22"/>
        </w:rPr>
        <w:t>skausmas (19,2</w:t>
      </w:r>
      <w:r w:rsidR="0078437F" w:rsidRPr="00220850">
        <w:rPr>
          <w:rFonts w:eastAsia="TimesNewRoman"/>
          <w:sz w:val="22"/>
          <w:szCs w:val="22"/>
        </w:rPr>
        <w:t> </w:t>
      </w:r>
      <w:r w:rsidRPr="00220850">
        <w:rPr>
          <w:rFonts w:eastAsia="TimesNewRoman"/>
          <w:sz w:val="22"/>
          <w:szCs w:val="22"/>
        </w:rPr>
        <w:t>%) ir galvos skausmas (11,5</w:t>
      </w:r>
      <w:r w:rsidR="0078437F" w:rsidRPr="00220850">
        <w:rPr>
          <w:rFonts w:eastAsia="TimesNewRoman"/>
          <w:sz w:val="22"/>
          <w:szCs w:val="22"/>
        </w:rPr>
        <w:t> </w:t>
      </w:r>
      <w:r w:rsidRPr="00220850">
        <w:rPr>
          <w:rFonts w:eastAsia="TimesNewRoman"/>
          <w:sz w:val="22"/>
          <w:szCs w:val="22"/>
        </w:rPr>
        <w:t>%), tai atitiko saugumo duomenis, nustatytus</w:t>
      </w:r>
      <w:r w:rsidR="0078437F" w:rsidRPr="00220850">
        <w:rPr>
          <w:rFonts w:eastAsia="TimesNewRoman"/>
          <w:sz w:val="22"/>
          <w:szCs w:val="22"/>
        </w:rPr>
        <w:t xml:space="preserve"> </w:t>
      </w:r>
      <w:r w:rsidRPr="00220850">
        <w:rPr>
          <w:rFonts w:eastAsia="TimesNewRoman"/>
          <w:sz w:val="22"/>
          <w:szCs w:val="22"/>
        </w:rPr>
        <w:t xml:space="preserve">suaugusiems pacientams, sergantiems IPF, kitomis lėtinėmis </w:t>
      </w:r>
      <w:proofErr w:type="spellStart"/>
      <w:r w:rsidRPr="00220850">
        <w:rPr>
          <w:rFonts w:eastAsia="TimesNewRoman"/>
          <w:sz w:val="22"/>
          <w:szCs w:val="22"/>
        </w:rPr>
        <w:t>fibrozinėmis</w:t>
      </w:r>
      <w:proofErr w:type="spellEnd"/>
      <w:r w:rsidRPr="00220850">
        <w:rPr>
          <w:rFonts w:eastAsia="TimesNewRoman"/>
          <w:sz w:val="22"/>
          <w:szCs w:val="22"/>
        </w:rPr>
        <w:t xml:space="preserve"> progresuojančio fenotipo</w:t>
      </w:r>
      <w:r w:rsidR="0078437F" w:rsidRPr="00220850">
        <w:rPr>
          <w:rFonts w:eastAsia="TimesNewRoman"/>
          <w:sz w:val="22"/>
          <w:szCs w:val="22"/>
        </w:rPr>
        <w:t xml:space="preserve"> </w:t>
      </w:r>
      <w:r w:rsidRPr="00220850">
        <w:rPr>
          <w:rFonts w:eastAsia="TimesNewRoman"/>
          <w:sz w:val="22"/>
          <w:szCs w:val="22"/>
        </w:rPr>
        <w:t>IPL ir SS-IPL.</w:t>
      </w:r>
    </w:p>
    <w:p w14:paraId="5AB78BA8" w14:textId="77777777" w:rsidR="0078437F" w:rsidRPr="00220850" w:rsidRDefault="0078437F" w:rsidP="0018606E">
      <w:pPr>
        <w:autoSpaceDE w:val="0"/>
        <w:autoSpaceDN w:val="0"/>
        <w:adjustRightInd w:val="0"/>
        <w:rPr>
          <w:rFonts w:eastAsia="TimesNewRoman"/>
          <w:sz w:val="22"/>
          <w:szCs w:val="22"/>
        </w:rPr>
      </w:pPr>
    </w:p>
    <w:p w14:paraId="4E758B0A" w14:textId="77777777"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Kepenų, tulžies pūslės ir latakų sutrikimai, tokie kaip kepenų paž</w:t>
      </w:r>
      <w:r w:rsidR="0078437F" w:rsidRPr="00220850">
        <w:rPr>
          <w:rFonts w:eastAsia="TimesNewRoman"/>
          <w:sz w:val="22"/>
          <w:szCs w:val="22"/>
        </w:rPr>
        <w:t>eidimas (3,8 </w:t>
      </w:r>
      <w:r w:rsidRPr="00220850">
        <w:rPr>
          <w:rFonts w:eastAsia="TimesNewRoman"/>
          <w:sz w:val="22"/>
          <w:szCs w:val="22"/>
        </w:rPr>
        <w:t>%) ir padidėjęs fermentų</w:t>
      </w:r>
      <w:r w:rsidR="0078437F" w:rsidRPr="00220850">
        <w:rPr>
          <w:rFonts w:eastAsia="TimesNewRoman"/>
          <w:sz w:val="22"/>
          <w:szCs w:val="22"/>
        </w:rPr>
        <w:t xml:space="preserve"> </w:t>
      </w:r>
      <w:r w:rsidRPr="00220850">
        <w:rPr>
          <w:rFonts w:eastAsia="TimesNewRoman"/>
          <w:sz w:val="22"/>
          <w:szCs w:val="22"/>
        </w:rPr>
        <w:t>aktyvuma</w:t>
      </w:r>
      <w:r w:rsidR="00E54EBA" w:rsidRPr="00220850">
        <w:rPr>
          <w:rFonts w:eastAsia="TimesNewRoman"/>
          <w:sz w:val="22"/>
          <w:szCs w:val="22"/>
        </w:rPr>
        <w:t>s, tiriant kepenų funkciją (3,8 </w:t>
      </w:r>
      <w:r w:rsidRPr="00220850">
        <w:rPr>
          <w:rFonts w:eastAsia="TimesNewRoman"/>
          <w:sz w:val="22"/>
          <w:szCs w:val="22"/>
        </w:rPr>
        <w:t>%), buvo registruoti placebu kontroliuojamo tyrimo</w:t>
      </w:r>
      <w:r w:rsidR="0078437F" w:rsidRPr="00220850">
        <w:rPr>
          <w:rFonts w:eastAsia="TimesNewRoman"/>
          <w:sz w:val="22"/>
          <w:szCs w:val="22"/>
        </w:rPr>
        <w:t xml:space="preserve"> </w:t>
      </w:r>
      <w:r w:rsidRPr="00220850">
        <w:rPr>
          <w:rFonts w:eastAsia="TimesNewRoman"/>
          <w:sz w:val="22"/>
          <w:szCs w:val="22"/>
        </w:rPr>
        <w:t xml:space="preserve">laikotarpiu </w:t>
      </w:r>
      <w:proofErr w:type="spellStart"/>
      <w:r w:rsidRPr="00220850">
        <w:rPr>
          <w:rFonts w:eastAsia="TimesNewRoman"/>
          <w:sz w:val="22"/>
          <w:szCs w:val="22"/>
        </w:rPr>
        <w:t>nintedanibo</w:t>
      </w:r>
      <w:proofErr w:type="spellEnd"/>
      <w:r w:rsidRPr="00220850">
        <w:rPr>
          <w:rFonts w:eastAsia="TimesNewRoman"/>
          <w:sz w:val="22"/>
          <w:szCs w:val="22"/>
        </w:rPr>
        <w:t xml:space="preserve"> grupėje. Kadangi nepakanka duomenų, nėra aišku, ar vaikams vaistinio</w:t>
      </w:r>
      <w:r w:rsidR="0078437F" w:rsidRPr="00220850">
        <w:rPr>
          <w:rFonts w:eastAsia="TimesNewRoman"/>
          <w:sz w:val="22"/>
          <w:szCs w:val="22"/>
        </w:rPr>
        <w:t xml:space="preserve"> </w:t>
      </w:r>
      <w:r w:rsidRPr="00220850">
        <w:rPr>
          <w:rFonts w:eastAsia="TimesNewRoman"/>
          <w:sz w:val="22"/>
          <w:szCs w:val="22"/>
        </w:rPr>
        <w:t>preparato sukelto kepenų pažeidimo rizika yra tokia pat kaip suaugusiesiems (žr. 4.4 skyrių).</w:t>
      </w:r>
    </w:p>
    <w:p w14:paraId="0E63E4C3" w14:textId="77777777" w:rsidR="0078437F" w:rsidRPr="00220850" w:rsidRDefault="0078437F" w:rsidP="0018606E">
      <w:pPr>
        <w:autoSpaceDE w:val="0"/>
        <w:autoSpaceDN w:val="0"/>
        <w:adjustRightInd w:val="0"/>
        <w:rPr>
          <w:rFonts w:eastAsia="TimesNewRoman"/>
          <w:sz w:val="22"/>
          <w:szCs w:val="22"/>
        </w:rPr>
      </w:pPr>
    </w:p>
    <w:p w14:paraId="294BD66C" w14:textId="55558D11" w:rsidR="0018606E" w:rsidRPr="00220850" w:rsidRDefault="0018606E" w:rsidP="0018606E">
      <w:pPr>
        <w:autoSpaceDE w:val="0"/>
        <w:autoSpaceDN w:val="0"/>
        <w:adjustRightInd w:val="0"/>
        <w:rPr>
          <w:rFonts w:eastAsia="TimesNewRoman"/>
          <w:sz w:val="22"/>
          <w:szCs w:val="22"/>
        </w:rPr>
      </w:pPr>
      <w:r w:rsidRPr="00220850">
        <w:rPr>
          <w:rFonts w:eastAsia="TimesNewRoman"/>
          <w:sz w:val="22"/>
          <w:szCs w:val="22"/>
        </w:rPr>
        <w:t xml:space="preserve">Remiantis </w:t>
      </w:r>
      <w:proofErr w:type="spellStart"/>
      <w:r w:rsidRPr="00220850">
        <w:rPr>
          <w:rFonts w:eastAsia="TimesNewRoman"/>
          <w:sz w:val="22"/>
          <w:szCs w:val="22"/>
        </w:rPr>
        <w:t>ikiklinikiniais</w:t>
      </w:r>
      <w:proofErr w:type="spellEnd"/>
      <w:r w:rsidRPr="00220850">
        <w:rPr>
          <w:rFonts w:eastAsia="TimesNewRoman"/>
          <w:sz w:val="22"/>
          <w:szCs w:val="22"/>
        </w:rPr>
        <w:t xml:space="preserve"> duomenimis, vaikų klinikinio tyrimo metu kaip galima rizika stebėtas kaulų</w:t>
      </w:r>
      <w:r w:rsidR="0078437F" w:rsidRPr="00220850">
        <w:rPr>
          <w:rFonts w:eastAsia="TimesNewRoman"/>
          <w:sz w:val="22"/>
          <w:szCs w:val="22"/>
        </w:rPr>
        <w:t xml:space="preserve"> </w:t>
      </w:r>
      <w:r w:rsidRPr="00220850">
        <w:rPr>
          <w:rFonts w:eastAsia="TimesNewRoman"/>
          <w:sz w:val="22"/>
          <w:szCs w:val="22"/>
        </w:rPr>
        <w:t xml:space="preserve">ir dantų vystymasis bei augimas (žr. </w:t>
      </w:r>
      <w:r w:rsidR="004B2460" w:rsidRPr="00220850">
        <w:rPr>
          <w:rFonts w:eastAsia="TimesNewRoman"/>
          <w:sz w:val="22"/>
          <w:szCs w:val="22"/>
        </w:rPr>
        <w:t xml:space="preserve">4.2, 4.4 ir </w:t>
      </w:r>
      <w:r w:rsidRPr="00220850">
        <w:rPr>
          <w:rFonts w:eastAsia="TimesNewRoman"/>
          <w:sz w:val="22"/>
          <w:szCs w:val="22"/>
        </w:rPr>
        <w:t>5.3 skyri</w:t>
      </w:r>
      <w:r w:rsidR="004B2460" w:rsidRPr="00220850">
        <w:rPr>
          <w:rFonts w:eastAsia="TimesNewRoman"/>
          <w:sz w:val="22"/>
          <w:szCs w:val="22"/>
        </w:rPr>
        <w:t>us</w:t>
      </w:r>
      <w:r w:rsidRPr="00220850">
        <w:rPr>
          <w:rFonts w:eastAsia="TimesNewRoman"/>
          <w:sz w:val="22"/>
          <w:szCs w:val="22"/>
        </w:rPr>
        <w:t>).</w:t>
      </w:r>
    </w:p>
    <w:p w14:paraId="5D6DAEF2" w14:textId="77777777" w:rsidR="0078437F" w:rsidRPr="00220850" w:rsidRDefault="0078437F" w:rsidP="0018606E">
      <w:pPr>
        <w:tabs>
          <w:tab w:val="left" w:pos="567"/>
        </w:tabs>
        <w:spacing w:line="260" w:lineRule="exact"/>
        <w:jc w:val="both"/>
        <w:rPr>
          <w:rFonts w:eastAsia="TimesNewRoman"/>
          <w:sz w:val="22"/>
          <w:szCs w:val="22"/>
        </w:rPr>
      </w:pPr>
    </w:p>
    <w:p w14:paraId="50A54EE7" w14:textId="783778BE" w:rsidR="004B2460" w:rsidRPr="00220850" w:rsidRDefault="004A1D83" w:rsidP="004B2460">
      <w:pPr>
        <w:tabs>
          <w:tab w:val="left" w:pos="0"/>
        </w:tabs>
        <w:autoSpaceDE w:val="0"/>
        <w:autoSpaceDN w:val="0"/>
        <w:adjustRightInd w:val="0"/>
        <w:rPr>
          <w:sz w:val="22"/>
          <w:szCs w:val="22"/>
        </w:rPr>
      </w:pPr>
      <w:r w:rsidRPr="00220850">
        <w:rPr>
          <w:sz w:val="22"/>
          <w:szCs w:val="22"/>
        </w:rPr>
        <w:t>Pacientų, kuriems nustatyta gydymo metu išsivysčiusių patologinių pokyčių epifizių augimo plokštelėse, procentinė</w:t>
      </w:r>
      <w:r w:rsidR="00E05F35" w:rsidRPr="00220850">
        <w:rPr>
          <w:sz w:val="22"/>
          <w:szCs w:val="22"/>
        </w:rPr>
        <w:t xml:space="preserve"> dalis </w:t>
      </w:r>
      <w:r w:rsidRPr="00220850">
        <w:rPr>
          <w:sz w:val="22"/>
          <w:szCs w:val="22"/>
        </w:rPr>
        <w:t>24 savaitę gydymo grupėse buvo panaš</w:t>
      </w:r>
      <w:r w:rsidR="00E05F35" w:rsidRPr="00220850">
        <w:rPr>
          <w:sz w:val="22"/>
          <w:szCs w:val="22"/>
        </w:rPr>
        <w:t>i (po 7,7 </w:t>
      </w:r>
      <w:r w:rsidRPr="00220850">
        <w:rPr>
          <w:sz w:val="22"/>
          <w:szCs w:val="22"/>
        </w:rPr>
        <w:t xml:space="preserve">% abiejose gydymo grupėse). Iki 52 savaitės pacientų, kuriems nustatyta patologinių pokyčių, procentinė dalis vartojant </w:t>
      </w:r>
      <w:proofErr w:type="spellStart"/>
      <w:r w:rsidRPr="00220850">
        <w:rPr>
          <w:sz w:val="22"/>
          <w:szCs w:val="22"/>
        </w:rPr>
        <w:t>nintedanibą</w:t>
      </w:r>
      <w:proofErr w:type="spellEnd"/>
      <w:r w:rsidRPr="00220850">
        <w:rPr>
          <w:sz w:val="22"/>
          <w:szCs w:val="22"/>
        </w:rPr>
        <w:t xml:space="preserve"> / </w:t>
      </w:r>
      <w:proofErr w:type="spellStart"/>
      <w:r w:rsidRPr="00220850">
        <w:rPr>
          <w:sz w:val="22"/>
          <w:szCs w:val="22"/>
        </w:rPr>
        <w:t>nintedanibą</w:t>
      </w:r>
      <w:proofErr w:type="spellEnd"/>
      <w:r w:rsidR="00E05F35" w:rsidRPr="00220850">
        <w:rPr>
          <w:sz w:val="22"/>
          <w:szCs w:val="22"/>
        </w:rPr>
        <w:t xml:space="preserve"> buvo 11,5 </w:t>
      </w:r>
      <w:r w:rsidRPr="00220850">
        <w:rPr>
          <w:sz w:val="22"/>
          <w:szCs w:val="22"/>
        </w:rPr>
        <w:t xml:space="preserve">%, o placebą / </w:t>
      </w:r>
      <w:proofErr w:type="spellStart"/>
      <w:r w:rsidRPr="00220850">
        <w:rPr>
          <w:sz w:val="22"/>
          <w:szCs w:val="22"/>
        </w:rPr>
        <w:t>nintedanibą</w:t>
      </w:r>
      <w:proofErr w:type="spellEnd"/>
      <w:r w:rsidRPr="00220850">
        <w:rPr>
          <w:sz w:val="22"/>
          <w:szCs w:val="22"/>
        </w:rPr>
        <w:t xml:space="preserve"> ‒</w:t>
      </w:r>
      <w:r w:rsidR="00E05F35" w:rsidRPr="00220850">
        <w:rPr>
          <w:sz w:val="22"/>
          <w:szCs w:val="22"/>
        </w:rPr>
        <w:t xml:space="preserve"> 15,4 </w:t>
      </w:r>
      <w:r w:rsidRPr="00220850">
        <w:rPr>
          <w:sz w:val="22"/>
          <w:szCs w:val="22"/>
        </w:rPr>
        <w:t>%.</w:t>
      </w:r>
    </w:p>
    <w:p w14:paraId="27B3AC1F" w14:textId="77777777" w:rsidR="006A196C" w:rsidRPr="00220850" w:rsidRDefault="006A196C" w:rsidP="00E05F35">
      <w:pPr>
        <w:tabs>
          <w:tab w:val="left" w:pos="567"/>
        </w:tabs>
        <w:spacing w:line="260" w:lineRule="exact"/>
        <w:rPr>
          <w:sz w:val="22"/>
          <w:szCs w:val="22"/>
        </w:rPr>
      </w:pPr>
    </w:p>
    <w:p w14:paraId="131AF0A6" w14:textId="1BD078B6" w:rsidR="004B2460" w:rsidRPr="00220850" w:rsidRDefault="004A1D83" w:rsidP="00E05F35">
      <w:pPr>
        <w:tabs>
          <w:tab w:val="left" w:pos="567"/>
        </w:tabs>
        <w:spacing w:line="260" w:lineRule="exact"/>
        <w:rPr>
          <w:rFonts w:eastAsia="TimesNewRoman"/>
          <w:sz w:val="22"/>
          <w:szCs w:val="22"/>
        </w:rPr>
      </w:pPr>
      <w:r w:rsidRPr="00220850">
        <w:rPr>
          <w:sz w:val="22"/>
          <w:szCs w:val="22"/>
        </w:rPr>
        <w:t>Pacientų, kuriems iki 24 savaitės atlikus dantų apžiūrą arba vaizdinimą nustatyta gydymo metu išsivysčiusių patologinių pokyčių, procentinė dalis buvo 46,2</w:t>
      </w:r>
      <w:r w:rsidR="00E05F35" w:rsidRPr="00220850">
        <w:rPr>
          <w:sz w:val="22"/>
          <w:szCs w:val="22"/>
        </w:rPr>
        <w:t> </w:t>
      </w:r>
      <w:r w:rsidRPr="00220850">
        <w:rPr>
          <w:sz w:val="22"/>
          <w:szCs w:val="22"/>
        </w:rPr>
        <w:t xml:space="preserve">% </w:t>
      </w:r>
      <w:proofErr w:type="spellStart"/>
      <w:r w:rsidRPr="00220850">
        <w:rPr>
          <w:sz w:val="22"/>
          <w:szCs w:val="22"/>
        </w:rPr>
        <w:t>nintedanibo</w:t>
      </w:r>
      <w:proofErr w:type="spellEnd"/>
      <w:r w:rsidRPr="00220850">
        <w:rPr>
          <w:sz w:val="22"/>
          <w:szCs w:val="22"/>
        </w:rPr>
        <w:t xml:space="preserve"> grupėje ir 38,5</w:t>
      </w:r>
      <w:r w:rsidR="00E05F35" w:rsidRPr="00220850">
        <w:rPr>
          <w:sz w:val="22"/>
          <w:szCs w:val="22"/>
        </w:rPr>
        <w:t> </w:t>
      </w:r>
      <w:r w:rsidRPr="00220850">
        <w:rPr>
          <w:sz w:val="22"/>
          <w:szCs w:val="22"/>
        </w:rPr>
        <w:t xml:space="preserve">% placebo grupėje. Iki 52 savaitės pacientų, kuriems nustatyta patologinių pokyčių, procentinė dalis vartojant </w:t>
      </w:r>
      <w:proofErr w:type="spellStart"/>
      <w:r w:rsidRPr="00220850">
        <w:rPr>
          <w:sz w:val="22"/>
          <w:szCs w:val="22"/>
        </w:rPr>
        <w:t>nintedanibą</w:t>
      </w:r>
      <w:proofErr w:type="spellEnd"/>
      <w:r w:rsidRPr="00220850">
        <w:rPr>
          <w:sz w:val="22"/>
          <w:szCs w:val="22"/>
        </w:rPr>
        <w:t xml:space="preserve"> / </w:t>
      </w:r>
      <w:proofErr w:type="spellStart"/>
      <w:r w:rsidRPr="00220850">
        <w:rPr>
          <w:sz w:val="22"/>
          <w:szCs w:val="22"/>
        </w:rPr>
        <w:t>nintedanibą</w:t>
      </w:r>
      <w:proofErr w:type="spellEnd"/>
      <w:r w:rsidR="00E05F35" w:rsidRPr="00220850">
        <w:rPr>
          <w:sz w:val="22"/>
          <w:szCs w:val="22"/>
        </w:rPr>
        <w:t xml:space="preserve"> buvo 50 </w:t>
      </w:r>
      <w:r w:rsidRPr="00220850">
        <w:rPr>
          <w:sz w:val="22"/>
          <w:szCs w:val="22"/>
        </w:rPr>
        <w:t xml:space="preserve">%, o placebą / </w:t>
      </w:r>
      <w:proofErr w:type="spellStart"/>
      <w:r w:rsidRPr="00220850">
        <w:rPr>
          <w:sz w:val="22"/>
          <w:szCs w:val="22"/>
        </w:rPr>
        <w:t>nintedanibą</w:t>
      </w:r>
      <w:proofErr w:type="spellEnd"/>
      <w:r w:rsidRPr="00220850">
        <w:rPr>
          <w:sz w:val="22"/>
          <w:szCs w:val="22"/>
        </w:rPr>
        <w:t xml:space="preserve"> ‒</w:t>
      </w:r>
      <w:r w:rsidR="00E05F35" w:rsidRPr="00220850">
        <w:rPr>
          <w:sz w:val="22"/>
          <w:szCs w:val="22"/>
        </w:rPr>
        <w:t xml:space="preserve"> 46,2 </w:t>
      </w:r>
      <w:r w:rsidRPr="00220850">
        <w:rPr>
          <w:sz w:val="22"/>
          <w:szCs w:val="22"/>
        </w:rPr>
        <w:t>%.</w:t>
      </w:r>
    </w:p>
    <w:p w14:paraId="472CDB07" w14:textId="77777777" w:rsidR="00E05F35" w:rsidRPr="00220850" w:rsidRDefault="00E05F35" w:rsidP="00E54EBA">
      <w:pPr>
        <w:autoSpaceDE w:val="0"/>
        <w:autoSpaceDN w:val="0"/>
        <w:adjustRightInd w:val="0"/>
        <w:rPr>
          <w:rFonts w:eastAsia="TimesNewRoman"/>
          <w:sz w:val="22"/>
          <w:szCs w:val="22"/>
        </w:rPr>
      </w:pPr>
    </w:p>
    <w:p w14:paraId="53DD5F37" w14:textId="551FFCAA" w:rsidR="0018606E" w:rsidRPr="00220850" w:rsidRDefault="0018606E" w:rsidP="00E54EBA">
      <w:pPr>
        <w:autoSpaceDE w:val="0"/>
        <w:autoSpaceDN w:val="0"/>
        <w:adjustRightInd w:val="0"/>
        <w:rPr>
          <w:rFonts w:eastAsia="TimesNewRoman"/>
          <w:sz w:val="22"/>
          <w:szCs w:val="22"/>
        </w:rPr>
      </w:pPr>
      <w:r w:rsidRPr="00220850">
        <w:rPr>
          <w:rFonts w:eastAsia="TimesNewRoman"/>
          <w:sz w:val="22"/>
          <w:szCs w:val="22"/>
        </w:rPr>
        <w:t xml:space="preserve">Ilgalaikių saugumo duomenų pacientams vaikams nėra. </w:t>
      </w:r>
      <w:r w:rsidR="0078437F" w:rsidRPr="00220850">
        <w:rPr>
          <w:rFonts w:eastAsia="TimesNewRoman"/>
          <w:sz w:val="22"/>
          <w:szCs w:val="22"/>
        </w:rPr>
        <w:t>Nėra visiškai aiškus galimas poveikis</w:t>
      </w:r>
      <w:r w:rsidR="00E54EBA" w:rsidRPr="00220850">
        <w:rPr>
          <w:rFonts w:eastAsia="TimesNewRoman"/>
          <w:sz w:val="22"/>
          <w:szCs w:val="22"/>
        </w:rPr>
        <w:t xml:space="preserve"> </w:t>
      </w:r>
      <w:r w:rsidR="0078437F" w:rsidRPr="00220850">
        <w:rPr>
          <w:rFonts w:eastAsia="TimesNewRoman"/>
          <w:sz w:val="22"/>
          <w:szCs w:val="22"/>
        </w:rPr>
        <w:t>augimui, dantų vystymuisi, lytiniam brendimui ir kepenų pažeidimo rizika.</w:t>
      </w:r>
    </w:p>
    <w:p w14:paraId="6E9AB0FF" w14:textId="77777777" w:rsidR="0078437F" w:rsidRPr="00220850" w:rsidRDefault="0078437F">
      <w:pPr>
        <w:tabs>
          <w:tab w:val="left" w:pos="567"/>
        </w:tabs>
        <w:spacing w:line="260" w:lineRule="exact"/>
        <w:jc w:val="both"/>
        <w:rPr>
          <w:sz w:val="22"/>
          <w:szCs w:val="24"/>
          <w:u w:val="single"/>
        </w:rPr>
      </w:pPr>
    </w:p>
    <w:p w14:paraId="3F8515AE" w14:textId="77777777" w:rsidR="00DE01F8" w:rsidRPr="00220850" w:rsidRDefault="002D5C8E">
      <w:pPr>
        <w:tabs>
          <w:tab w:val="left" w:pos="567"/>
        </w:tabs>
        <w:spacing w:line="260" w:lineRule="exact"/>
        <w:jc w:val="both"/>
        <w:rPr>
          <w:sz w:val="22"/>
          <w:szCs w:val="24"/>
          <w:u w:val="single"/>
        </w:rPr>
      </w:pPr>
      <w:r w:rsidRPr="00220850">
        <w:rPr>
          <w:sz w:val="22"/>
          <w:szCs w:val="24"/>
          <w:u w:val="single"/>
        </w:rPr>
        <w:t>Pranešimas apie įtariamas nepageidaujamas reakcijas</w:t>
      </w:r>
    </w:p>
    <w:p w14:paraId="6F9D958A" w14:textId="1E6BB591" w:rsidR="00DE01F8" w:rsidRPr="00220850" w:rsidRDefault="00577557" w:rsidP="00595DFA">
      <w:pPr>
        <w:tabs>
          <w:tab w:val="left" w:pos="567"/>
        </w:tabs>
        <w:spacing w:line="260" w:lineRule="exact"/>
        <w:rPr>
          <w:sz w:val="22"/>
          <w:szCs w:val="24"/>
        </w:rPr>
      </w:pPr>
      <w:r w:rsidRPr="00220850">
        <w:rPr>
          <w:sz w:val="22"/>
          <w:szCs w:val="24"/>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B7ECD77" w14:textId="77777777" w:rsidR="00DE01F8" w:rsidRPr="00220850" w:rsidRDefault="00DE01F8">
      <w:pPr>
        <w:tabs>
          <w:tab w:val="left" w:pos="567"/>
        </w:tabs>
        <w:spacing w:line="260" w:lineRule="exact"/>
        <w:jc w:val="both"/>
        <w:rPr>
          <w:sz w:val="22"/>
          <w:szCs w:val="24"/>
        </w:rPr>
      </w:pPr>
    </w:p>
    <w:p w14:paraId="1A9D0B4D"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4.9</w:t>
      </w:r>
      <w:r w:rsidRPr="00220850">
        <w:rPr>
          <w:b/>
          <w:bCs/>
          <w:sz w:val="22"/>
          <w:szCs w:val="28"/>
          <w:lang w:eastAsia="x-none"/>
        </w:rPr>
        <w:tab/>
        <w:t>Perdozavimas</w:t>
      </w:r>
    </w:p>
    <w:p w14:paraId="15C73DE0" w14:textId="77777777" w:rsidR="0078437F" w:rsidRPr="00220850" w:rsidRDefault="0078437F" w:rsidP="0018606E">
      <w:pPr>
        <w:autoSpaceDE w:val="0"/>
        <w:autoSpaceDN w:val="0"/>
        <w:adjustRightInd w:val="0"/>
        <w:rPr>
          <w:rFonts w:eastAsia="TimesNewRoman"/>
          <w:sz w:val="22"/>
          <w:szCs w:val="22"/>
        </w:rPr>
      </w:pPr>
    </w:p>
    <w:p w14:paraId="179D76FF" w14:textId="79896883" w:rsidR="00DE01F8" w:rsidRPr="00220850" w:rsidRDefault="0018606E" w:rsidP="0078437F">
      <w:pPr>
        <w:autoSpaceDE w:val="0"/>
        <w:autoSpaceDN w:val="0"/>
        <w:adjustRightInd w:val="0"/>
        <w:rPr>
          <w:sz w:val="22"/>
          <w:szCs w:val="24"/>
        </w:rPr>
      </w:pPr>
      <w:r w:rsidRPr="00220850">
        <w:rPr>
          <w:rFonts w:eastAsia="TimesNewRoman"/>
          <w:sz w:val="22"/>
          <w:szCs w:val="22"/>
        </w:rPr>
        <w:t xml:space="preserve">Perdozavus </w:t>
      </w:r>
      <w:proofErr w:type="spellStart"/>
      <w:r w:rsidR="0078437F" w:rsidRPr="00220850">
        <w:rPr>
          <w:rFonts w:eastAsia="TimesNewRoman"/>
          <w:sz w:val="22"/>
          <w:szCs w:val="22"/>
        </w:rPr>
        <w:t>nintedanibo</w:t>
      </w:r>
      <w:proofErr w:type="spellEnd"/>
      <w:r w:rsidRPr="00220850">
        <w:rPr>
          <w:rFonts w:eastAsia="TimesNewRoman"/>
          <w:sz w:val="22"/>
          <w:szCs w:val="22"/>
        </w:rPr>
        <w:t>, specifinio priešnuodžio ar gydymo nėra. Du onkologinėje programoje dalyvaujantys</w:t>
      </w:r>
      <w:r w:rsidR="0078437F" w:rsidRPr="00220850">
        <w:rPr>
          <w:rFonts w:eastAsia="TimesNewRoman"/>
          <w:sz w:val="22"/>
          <w:szCs w:val="22"/>
        </w:rPr>
        <w:t xml:space="preserve"> </w:t>
      </w:r>
      <w:r w:rsidRPr="00220850">
        <w:rPr>
          <w:rFonts w:eastAsia="TimesNewRoman"/>
          <w:sz w:val="22"/>
          <w:szCs w:val="22"/>
        </w:rPr>
        <w:t>pacientai vartojo per didelę</w:t>
      </w:r>
      <w:r w:rsidR="0078437F" w:rsidRPr="00220850">
        <w:rPr>
          <w:rFonts w:eastAsia="TimesNewRoman"/>
          <w:sz w:val="22"/>
          <w:szCs w:val="22"/>
        </w:rPr>
        <w:t xml:space="preserve"> daugiausia 600 </w:t>
      </w:r>
      <w:r w:rsidRPr="00220850">
        <w:rPr>
          <w:rFonts w:eastAsia="TimesNewRoman"/>
          <w:sz w:val="22"/>
          <w:szCs w:val="22"/>
        </w:rPr>
        <w:t>mg du kartus per parą dozę iki aštuonių parų. Pastebėtos</w:t>
      </w:r>
      <w:r w:rsidR="0078437F" w:rsidRPr="00220850">
        <w:rPr>
          <w:rFonts w:eastAsia="TimesNewRoman"/>
          <w:sz w:val="22"/>
          <w:szCs w:val="22"/>
        </w:rPr>
        <w:t xml:space="preserve"> </w:t>
      </w:r>
      <w:r w:rsidRPr="00220850">
        <w:rPr>
          <w:rFonts w:eastAsia="TimesNewRoman"/>
          <w:sz w:val="22"/>
          <w:szCs w:val="22"/>
        </w:rPr>
        <w:t xml:space="preserve">nepageidaujamos reakcijos atitiko žinomą </w:t>
      </w:r>
      <w:proofErr w:type="spellStart"/>
      <w:r w:rsidRPr="00220850">
        <w:rPr>
          <w:rFonts w:eastAsia="TimesNewRoman"/>
          <w:sz w:val="22"/>
          <w:szCs w:val="22"/>
        </w:rPr>
        <w:t>nintedanibo</w:t>
      </w:r>
      <w:proofErr w:type="spellEnd"/>
      <w:r w:rsidRPr="00220850">
        <w:rPr>
          <w:rFonts w:eastAsia="TimesNewRoman"/>
          <w:sz w:val="22"/>
          <w:szCs w:val="22"/>
        </w:rPr>
        <w:t xml:space="preserve"> saugumo apibūdinimą, t. y. padidėjo kepenų</w:t>
      </w:r>
      <w:r w:rsidR="0078437F" w:rsidRPr="00220850">
        <w:rPr>
          <w:rFonts w:eastAsia="TimesNewRoman"/>
          <w:sz w:val="22"/>
          <w:szCs w:val="22"/>
        </w:rPr>
        <w:t xml:space="preserve"> </w:t>
      </w:r>
      <w:r w:rsidRPr="00220850">
        <w:rPr>
          <w:rFonts w:eastAsia="TimesNewRoman"/>
          <w:sz w:val="22"/>
          <w:szCs w:val="22"/>
        </w:rPr>
        <w:t xml:space="preserve">fermentų aktyvumas kraujyje ir virškinimo trakto simptomų dažnis. </w:t>
      </w:r>
      <w:proofErr w:type="spellStart"/>
      <w:r w:rsidRPr="00220850">
        <w:rPr>
          <w:rFonts w:eastAsia="TimesNewRoman"/>
          <w:sz w:val="22"/>
          <w:szCs w:val="22"/>
        </w:rPr>
        <w:t>Abiem</w:t>
      </w:r>
      <w:r w:rsidR="00E54EBA" w:rsidRPr="00220850">
        <w:rPr>
          <w:rFonts w:eastAsia="TimesNewRoman"/>
          <w:sz w:val="22"/>
          <w:szCs w:val="22"/>
        </w:rPr>
        <w:t>s</w:t>
      </w:r>
      <w:proofErr w:type="spellEnd"/>
      <w:r w:rsidRPr="00220850">
        <w:rPr>
          <w:rFonts w:eastAsia="TimesNewRoman"/>
          <w:sz w:val="22"/>
          <w:szCs w:val="22"/>
        </w:rPr>
        <w:t xml:space="preserve"> pacientams šios</w:t>
      </w:r>
      <w:r w:rsidR="0078437F" w:rsidRPr="00220850">
        <w:rPr>
          <w:rFonts w:eastAsia="TimesNewRoman"/>
          <w:sz w:val="22"/>
          <w:szCs w:val="22"/>
        </w:rPr>
        <w:t xml:space="preserve"> </w:t>
      </w:r>
      <w:r w:rsidRPr="00220850">
        <w:rPr>
          <w:rFonts w:eastAsia="TimesNewRoman"/>
          <w:sz w:val="22"/>
          <w:szCs w:val="22"/>
        </w:rPr>
        <w:t xml:space="preserve">nepageidaujamos reakcijos </w:t>
      </w:r>
      <w:r w:rsidR="00E54EBA" w:rsidRPr="00220850">
        <w:rPr>
          <w:rFonts w:eastAsia="TimesNewRoman"/>
          <w:sz w:val="22"/>
          <w:szCs w:val="22"/>
        </w:rPr>
        <w:t>išnyko</w:t>
      </w:r>
      <w:r w:rsidRPr="00220850">
        <w:rPr>
          <w:rFonts w:eastAsia="TimesNewRoman"/>
          <w:sz w:val="22"/>
          <w:szCs w:val="22"/>
        </w:rPr>
        <w:t>. INPULSIS tyrimų metu vienas pacientas per neapsižiūrėjimą</w:t>
      </w:r>
      <w:r w:rsidR="0078437F" w:rsidRPr="00220850">
        <w:rPr>
          <w:rFonts w:eastAsia="TimesNewRoman"/>
          <w:sz w:val="22"/>
          <w:szCs w:val="22"/>
        </w:rPr>
        <w:t xml:space="preserve"> vartojo 600 </w:t>
      </w:r>
      <w:r w:rsidRPr="00220850">
        <w:rPr>
          <w:rFonts w:eastAsia="TimesNewRoman"/>
          <w:sz w:val="22"/>
          <w:szCs w:val="22"/>
        </w:rPr>
        <w:t>mg paros dozę iš viso 21 dieną. Jam netikslaus dozavimo laikotarpiu pasireiškė ir praėjo</w:t>
      </w:r>
      <w:r w:rsidR="0078437F" w:rsidRPr="00220850">
        <w:rPr>
          <w:rFonts w:eastAsia="TimesNewRoman"/>
          <w:sz w:val="22"/>
          <w:szCs w:val="22"/>
        </w:rPr>
        <w:t xml:space="preserve"> </w:t>
      </w:r>
      <w:r w:rsidRPr="00220850">
        <w:rPr>
          <w:rFonts w:eastAsia="TimesNewRoman"/>
          <w:sz w:val="22"/>
          <w:szCs w:val="22"/>
        </w:rPr>
        <w:t>nesunki nepageidaujama reakcija (</w:t>
      </w:r>
      <w:proofErr w:type="spellStart"/>
      <w:r w:rsidRPr="00220850">
        <w:rPr>
          <w:rFonts w:eastAsia="TimesNewRoman"/>
          <w:sz w:val="22"/>
          <w:szCs w:val="22"/>
        </w:rPr>
        <w:t>nazofaringitas</w:t>
      </w:r>
      <w:proofErr w:type="spellEnd"/>
      <w:r w:rsidRPr="00220850">
        <w:rPr>
          <w:rFonts w:eastAsia="TimesNewRoman"/>
          <w:sz w:val="22"/>
          <w:szCs w:val="22"/>
        </w:rPr>
        <w:t>), kitų reiškinių nebuvo. Perdozavimo atveju reikia</w:t>
      </w:r>
      <w:r w:rsidR="0078437F" w:rsidRPr="00220850">
        <w:rPr>
          <w:rFonts w:eastAsia="TimesNewRoman"/>
          <w:sz w:val="22"/>
          <w:szCs w:val="22"/>
        </w:rPr>
        <w:t xml:space="preserve"> </w:t>
      </w:r>
      <w:r w:rsidR="004B1282" w:rsidRPr="00220850">
        <w:rPr>
          <w:rFonts w:eastAsia="TimesNewRoman"/>
          <w:sz w:val="22"/>
          <w:szCs w:val="22"/>
        </w:rPr>
        <w:t xml:space="preserve">nutraukti </w:t>
      </w:r>
      <w:r w:rsidRPr="00220850">
        <w:rPr>
          <w:rFonts w:eastAsia="TimesNewRoman"/>
          <w:sz w:val="22"/>
          <w:szCs w:val="22"/>
        </w:rPr>
        <w:t>gydymą ir prireikus pradėti taikyti įprastines palaikomąsias gydymo priemones.</w:t>
      </w:r>
    </w:p>
    <w:p w14:paraId="0EEAC618" w14:textId="77777777" w:rsidR="00DE01F8" w:rsidRPr="00220850" w:rsidRDefault="00DE01F8">
      <w:pPr>
        <w:tabs>
          <w:tab w:val="left" w:pos="567"/>
        </w:tabs>
        <w:spacing w:line="260" w:lineRule="exact"/>
        <w:rPr>
          <w:sz w:val="22"/>
          <w:szCs w:val="24"/>
        </w:rPr>
      </w:pPr>
    </w:p>
    <w:p w14:paraId="5FBE35B2" w14:textId="77777777" w:rsidR="0078437F" w:rsidRPr="00220850" w:rsidRDefault="0078437F">
      <w:pPr>
        <w:tabs>
          <w:tab w:val="left" w:pos="567"/>
        </w:tabs>
        <w:spacing w:line="260" w:lineRule="exact"/>
        <w:rPr>
          <w:sz w:val="22"/>
          <w:szCs w:val="24"/>
        </w:rPr>
      </w:pPr>
    </w:p>
    <w:p w14:paraId="1F1EE999"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5.</w:t>
      </w:r>
      <w:r w:rsidRPr="00220850">
        <w:rPr>
          <w:b/>
          <w:bCs/>
          <w:sz w:val="22"/>
          <w:szCs w:val="26"/>
          <w:lang w:eastAsia="x-none"/>
        </w:rPr>
        <w:tab/>
        <w:t>FARMAKOLOGINĖS SAVYBĖS</w:t>
      </w:r>
    </w:p>
    <w:p w14:paraId="7FF456B0" w14:textId="77777777" w:rsidR="00DE01F8" w:rsidRPr="00220850" w:rsidRDefault="00DE01F8">
      <w:pPr>
        <w:tabs>
          <w:tab w:val="left" w:pos="567"/>
        </w:tabs>
        <w:spacing w:line="260" w:lineRule="exact"/>
        <w:rPr>
          <w:sz w:val="22"/>
          <w:szCs w:val="24"/>
        </w:rPr>
      </w:pPr>
    </w:p>
    <w:p w14:paraId="5BAEA269"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5.1</w:t>
      </w:r>
      <w:r w:rsidRPr="00220850">
        <w:rPr>
          <w:b/>
          <w:sz w:val="22"/>
          <w:szCs w:val="24"/>
          <w:lang w:eastAsia="x-none"/>
        </w:rPr>
        <w:t xml:space="preserve"> </w:t>
      </w:r>
      <w:r w:rsidRPr="00220850">
        <w:rPr>
          <w:b/>
          <w:bCs/>
          <w:sz w:val="22"/>
          <w:szCs w:val="28"/>
          <w:lang w:eastAsia="x-none"/>
        </w:rPr>
        <w:tab/>
      </w:r>
      <w:proofErr w:type="spellStart"/>
      <w:r w:rsidRPr="00220850">
        <w:rPr>
          <w:b/>
          <w:bCs/>
          <w:sz w:val="22"/>
          <w:szCs w:val="28"/>
          <w:lang w:eastAsia="x-none"/>
        </w:rPr>
        <w:t>Farmakodinaminės</w:t>
      </w:r>
      <w:proofErr w:type="spellEnd"/>
      <w:r w:rsidRPr="00220850">
        <w:rPr>
          <w:b/>
          <w:bCs/>
          <w:sz w:val="22"/>
          <w:szCs w:val="28"/>
          <w:lang w:eastAsia="x-none"/>
        </w:rPr>
        <w:t xml:space="preserve"> savybės</w:t>
      </w:r>
    </w:p>
    <w:p w14:paraId="55997561" w14:textId="77777777" w:rsidR="00DE01F8" w:rsidRPr="00220850" w:rsidRDefault="00DE01F8">
      <w:pPr>
        <w:tabs>
          <w:tab w:val="left" w:pos="567"/>
        </w:tabs>
        <w:spacing w:line="260" w:lineRule="exact"/>
        <w:rPr>
          <w:sz w:val="22"/>
          <w:szCs w:val="24"/>
        </w:rPr>
      </w:pPr>
    </w:p>
    <w:p w14:paraId="7B38DEE7" w14:textId="77777777" w:rsidR="00E54EBA" w:rsidRPr="00220850" w:rsidRDefault="002D5C8E" w:rsidP="00661831">
      <w:pPr>
        <w:autoSpaceDE w:val="0"/>
        <w:autoSpaceDN w:val="0"/>
        <w:adjustRightInd w:val="0"/>
        <w:rPr>
          <w:rFonts w:eastAsia="TimesNewRoman"/>
          <w:sz w:val="22"/>
          <w:szCs w:val="22"/>
        </w:rPr>
      </w:pPr>
      <w:proofErr w:type="spellStart"/>
      <w:r w:rsidRPr="00220850">
        <w:rPr>
          <w:sz w:val="22"/>
          <w:szCs w:val="24"/>
        </w:rPr>
        <w:t>Farmakoterapinė</w:t>
      </w:r>
      <w:proofErr w:type="spellEnd"/>
      <w:r w:rsidRPr="00220850">
        <w:rPr>
          <w:sz w:val="22"/>
          <w:szCs w:val="24"/>
        </w:rPr>
        <w:t xml:space="preserve"> grupė – </w:t>
      </w:r>
      <w:r w:rsidR="00661831" w:rsidRPr="00220850">
        <w:rPr>
          <w:rFonts w:eastAsia="TimesNewRoman"/>
          <w:sz w:val="22"/>
          <w:szCs w:val="22"/>
        </w:rPr>
        <w:t xml:space="preserve">vaistiniai preparatai nuo vėžio, </w:t>
      </w:r>
      <w:proofErr w:type="spellStart"/>
      <w:r w:rsidR="00661831" w:rsidRPr="00220850">
        <w:rPr>
          <w:rFonts w:eastAsia="TimesNewRoman"/>
          <w:sz w:val="22"/>
          <w:szCs w:val="22"/>
        </w:rPr>
        <w:t>proteinkinazės</w:t>
      </w:r>
      <w:proofErr w:type="spellEnd"/>
      <w:r w:rsidR="00661831" w:rsidRPr="00220850">
        <w:rPr>
          <w:rFonts w:eastAsia="TimesNewRoman"/>
          <w:sz w:val="22"/>
          <w:szCs w:val="22"/>
        </w:rPr>
        <w:t xml:space="preserve"> inhibitoriai, </w:t>
      </w:r>
    </w:p>
    <w:p w14:paraId="4FCC4DDC" w14:textId="77777777" w:rsidR="00661831" w:rsidRPr="00220850" w:rsidRDefault="00661831" w:rsidP="00661831">
      <w:pPr>
        <w:autoSpaceDE w:val="0"/>
        <w:autoSpaceDN w:val="0"/>
        <w:adjustRightInd w:val="0"/>
        <w:rPr>
          <w:rFonts w:eastAsia="TimesNewRoman"/>
          <w:sz w:val="22"/>
          <w:szCs w:val="22"/>
        </w:rPr>
      </w:pPr>
      <w:r w:rsidRPr="00220850">
        <w:rPr>
          <w:rFonts w:eastAsia="TimesNewRoman"/>
          <w:sz w:val="22"/>
          <w:szCs w:val="22"/>
        </w:rPr>
        <w:t>ATC kodas – L01EX09.</w:t>
      </w:r>
    </w:p>
    <w:p w14:paraId="6BD3DA32" w14:textId="77777777" w:rsidR="00661831" w:rsidRPr="00220850" w:rsidRDefault="00661831" w:rsidP="00661831">
      <w:pPr>
        <w:autoSpaceDE w:val="0"/>
        <w:autoSpaceDN w:val="0"/>
        <w:adjustRightInd w:val="0"/>
        <w:rPr>
          <w:rFonts w:eastAsia="TimesNewRoman"/>
          <w:sz w:val="22"/>
          <w:szCs w:val="22"/>
        </w:rPr>
      </w:pPr>
    </w:p>
    <w:p w14:paraId="396691DF" w14:textId="77777777" w:rsidR="00661831" w:rsidRPr="00220850" w:rsidRDefault="00661831" w:rsidP="00661831">
      <w:pPr>
        <w:autoSpaceDE w:val="0"/>
        <w:autoSpaceDN w:val="0"/>
        <w:adjustRightInd w:val="0"/>
        <w:rPr>
          <w:rFonts w:eastAsia="TimesNewRoman"/>
          <w:sz w:val="22"/>
          <w:szCs w:val="22"/>
          <w:u w:val="single"/>
        </w:rPr>
      </w:pPr>
      <w:r w:rsidRPr="00220850">
        <w:rPr>
          <w:rFonts w:eastAsia="TimesNewRoman"/>
          <w:sz w:val="22"/>
          <w:szCs w:val="22"/>
          <w:u w:val="single"/>
        </w:rPr>
        <w:t>Veikimo mechanizmas</w:t>
      </w:r>
    </w:p>
    <w:p w14:paraId="2EF6EC75" w14:textId="0E65D566" w:rsidR="00661831" w:rsidRPr="00220850" w:rsidRDefault="00661831" w:rsidP="00EA6A6A">
      <w:pPr>
        <w:autoSpaceDE w:val="0"/>
        <w:autoSpaceDN w:val="0"/>
        <w:adjustRightInd w:val="0"/>
        <w:rPr>
          <w:rFonts w:eastAsia="TimesNewRoman"/>
          <w:sz w:val="22"/>
          <w:szCs w:val="22"/>
        </w:rPr>
      </w:pPr>
      <w:proofErr w:type="spellStart"/>
      <w:r w:rsidRPr="00220850">
        <w:rPr>
          <w:rFonts w:eastAsia="TimesNewRoman"/>
          <w:sz w:val="22"/>
          <w:szCs w:val="22"/>
        </w:rPr>
        <w:t>Nintedanibas</w:t>
      </w:r>
      <w:proofErr w:type="spellEnd"/>
      <w:r w:rsidRPr="00220850">
        <w:rPr>
          <w:rFonts w:eastAsia="TimesNewRoman"/>
          <w:sz w:val="22"/>
          <w:szCs w:val="22"/>
        </w:rPr>
        <w:t xml:space="preserve"> yra mažos molekulės </w:t>
      </w:r>
      <w:proofErr w:type="spellStart"/>
      <w:r w:rsidRPr="00220850">
        <w:rPr>
          <w:rFonts w:eastAsia="TimesNewRoman"/>
          <w:sz w:val="22"/>
          <w:szCs w:val="22"/>
        </w:rPr>
        <w:t>tirozinkinazės</w:t>
      </w:r>
      <w:proofErr w:type="spellEnd"/>
      <w:r w:rsidRPr="00220850">
        <w:rPr>
          <w:rFonts w:eastAsia="TimesNewRoman"/>
          <w:sz w:val="22"/>
          <w:szCs w:val="22"/>
        </w:rPr>
        <w:t xml:space="preserve"> inhibitorius, įskaitant trombocitų išskiriamo augimo faktoriaus receptorius (TAFR) α ir β, fibroblastų augimo faktoriaus receptorius (FAFR) 1-3 bei</w:t>
      </w:r>
      <w:r w:rsidR="00EA6A6A" w:rsidRPr="00220850">
        <w:rPr>
          <w:rFonts w:eastAsia="TimesNewRoman"/>
          <w:sz w:val="22"/>
          <w:szCs w:val="22"/>
        </w:rPr>
        <w:t xml:space="preserve"> </w:t>
      </w:r>
      <w:r w:rsidRPr="00220850">
        <w:rPr>
          <w:rFonts w:eastAsia="TimesNewRoman"/>
          <w:sz w:val="22"/>
          <w:szCs w:val="22"/>
        </w:rPr>
        <w:t xml:space="preserve">KEAFR </w:t>
      </w:r>
      <w:r w:rsidR="00E54EBA" w:rsidRPr="00220850">
        <w:rPr>
          <w:rFonts w:eastAsia="TimesNewRoman"/>
          <w:sz w:val="22"/>
          <w:szCs w:val="22"/>
        </w:rPr>
        <w:t xml:space="preserve"> </w:t>
      </w:r>
      <w:r w:rsidRPr="00220850">
        <w:rPr>
          <w:rFonts w:eastAsia="TimesNewRoman"/>
          <w:sz w:val="22"/>
          <w:szCs w:val="22"/>
        </w:rPr>
        <w:t xml:space="preserve">1-3. Be to, </w:t>
      </w:r>
      <w:proofErr w:type="spellStart"/>
      <w:r w:rsidRPr="00220850">
        <w:rPr>
          <w:rFonts w:eastAsia="TimesNewRoman"/>
          <w:sz w:val="22"/>
          <w:szCs w:val="22"/>
        </w:rPr>
        <w:t>nintedanibas</w:t>
      </w:r>
      <w:proofErr w:type="spellEnd"/>
      <w:r w:rsidRPr="00220850">
        <w:rPr>
          <w:rFonts w:eastAsia="TimesNewRoman"/>
          <w:sz w:val="22"/>
          <w:szCs w:val="22"/>
        </w:rPr>
        <w:t xml:space="preserve"> slopina </w:t>
      </w:r>
      <w:proofErr w:type="spellStart"/>
      <w:r w:rsidRPr="00220850">
        <w:rPr>
          <w:rFonts w:eastAsia="TimesNewRoman"/>
          <w:sz w:val="22"/>
          <w:szCs w:val="22"/>
        </w:rPr>
        <w:t>Lck</w:t>
      </w:r>
      <w:proofErr w:type="spellEnd"/>
      <w:r w:rsidRPr="00220850">
        <w:rPr>
          <w:rFonts w:eastAsia="TimesNewRoman"/>
          <w:sz w:val="22"/>
          <w:szCs w:val="22"/>
        </w:rPr>
        <w:t xml:space="preserve"> (limfocitams specifinę </w:t>
      </w:r>
      <w:proofErr w:type="spellStart"/>
      <w:r w:rsidRPr="00220850">
        <w:rPr>
          <w:rFonts w:eastAsia="TimesNewRoman"/>
          <w:sz w:val="22"/>
          <w:szCs w:val="22"/>
        </w:rPr>
        <w:t>tirozinproteinkinazę</w:t>
      </w:r>
      <w:proofErr w:type="spellEnd"/>
      <w:r w:rsidRPr="00220850">
        <w:rPr>
          <w:rFonts w:eastAsia="TimesNewRoman"/>
          <w:sz w:val="22"/>
          <w:szCs w:val="22"/>
        </w:rPr>
        <w:t xml:space="preserve">), </w:t>
      </w:r>
      <w:proofErr w:type="spellStart"/>
      <w:r w:rsidRPr="00220850">
        <w:rPr>
          <w:rFonts w:eastAsia="TimesNewRoman"/>
          <w:sz w:val="22"/>
          <w:szCs w:val="22"/>
        </w:rPr>
        <w:t>Lyn</w:t>
      </w:r>
      <w:proofErr w:type="spellEnd"/>
      <w:r w:rsidR="00EA6A6A" w:rsidRPr="00220850">
        <w:rPr>
          <w:rFonts w:eastAsia="TimesNewRoman"/>
          <w:sz w:val="22"/>
          <w:szCs w:val="22"/>
        </w:rPr>
        <w:t xml:space="preserve"> </w:t>
      </w:r>
      <w:r w:rsidRPr="00220850">
        <w:rPr>
          <w:rFonts w:eastAsia="TimesNewRoman"/>
          <w:sz w:val="22"/>
          <w:szCs w:val="22"/>
        </w:rPr>
        <w:t>(</w:t>
      </w:r>
      <w:proofErr w:type="spellStart"/>
      <w:r w:rsidRPr="00220850">
        <w:rPr>
          <w:rFonts w:eastAsia="TimesNewRoman"/>
          <w:sz w:val="22"/>
          <w:szCs w:val="22"/>
        </w:rPr>
        <w:t>tirozinproteinkinazę</w:t>
      </w:r>
      <w:proofErr w:type="spellEnd"/>
      <w:r w:rsidRPr="00220850">
        <w:rPr>
          <w:rFonts w:eastAsia="TimesNewRoman"/>
          <w:sz w:val="22"/>
          <w:szCs w:val="22"/>
        </w:rPr>
        <w:t xml:space="preserve"> </w:t>
      </w:r>
      <w:proofErr w:type="spellStart"/>
      <w:r w:rsidRPr="00220850">
        <w:rPr>
          <w:rFonts w:eastAsia="TimesNewRoman"/>
          <w:sz w:val="22"/>
          <w:szCs w:val="22"/>
        </w:rPr>
        <w:t>lyn</w:t>
      </w:r>
      <w:proofErr w:type="spellEnd"/>
      <w:r w:rsidRPr="00220850">
        <w:rPr>
          <w:rFonts w:eastAsia="TimesNewRoman"/>
          <w:sz w:val="22"/>
          <w:szCs w:val="22"/>
        </w:rPr>
        <w:t xml:space="preserve">), </w:t>
      </w:r>
      <w:proofErr w:type="spellStart"/>
      <w:r w:rsidRPr="00220850">
        <w:rPr>
          <w:rFonts w:eastAsia="TimesNewRoman"/>
          <w:sz w:val="22"/>
          <w:szCs w:val="22"/>
        </w:rPr>
        <w:t>Src</w:t>
      </w:r>
      <w:proofErr w:type="spellEnd"/>
      <w:r w:rsidRPr="00220850">
        <w:rPr>
          <w:rFonts w:eastAsia="TimesNewRoman"/>
          <w:sz w:val="22"/>
          <w:szCs w:val="22"/>
        </w:rPr>
        <w:t xml:space="preserve"> (</w:t>
      </w:r>
      <w:proofErr w:type="spellStart"/>
      <w:r w:rsidRPr="00220850">
        <w:rPr>
          <w:rFonts w:eastAsia="TimesNewRoman"/>
          <w:sz w:val="22"/>
          <w:szCs w:val="22"/>
        </w:rPr>
        <w:t>protoonkogeno</w:t>
      </w:r>
      <w:proofErr w:type="spellEnd"/>
      <w:r w:rsidRPr="00220850">
        <w:rPr>
          <w:rFonts w:eastAsia="TimesNewRoman"/>
          <w:sz w:val="22"/>
          <w:szCs w:val="22"/>
        </w:rPr>
        <w:t xml:space="preserve"> </w:t>
      </w:r>
      <w:proofErr w:type="spellStart"/>
      <w:r w:rsidRPr="00220850">
        <w:rPr>
          <w:rFonts w:eastAsia="TimesNewRoman"/>
          <w:sz w:val="22"/>
          <w:szCs w:val="22"/>
        </w:rPr>
        <w:t>tirozinproteinkinazę</w:t>
      </w:r>
      <w:proofErr w:type="spellEnd"/>
      <w:r w:rsidRPr="00220850">
        <w:rPr>
          <w:rFonts w:eastAsia="TimesNewRoman"/>
          <w:sz w:val="22"/>
          <w:szCs w:val="22"/>
        </w:rPr>
        <w:t xml:space="preserve"> </w:t>
      </w:r>
      <w:proofErr w:type="spellStart"/>
      <w:r w:rsidRPr="00220850">
        <w:rPr>
          <w:rFonts w:eastAsia="TimesNewRoman"/>
          <w:sz w:val="22"/>
          <w:szCs w:val="22"/>
        </w:rPr>
        <w:t>src</w:t>
      </w:r>
      <w:proofErr w:type="spellEnd"/>
      <w:r w:rsidRPr="00220850">
        <w:rPr>
          <w:rFonts w:eastAsia="TimesNewRoman"/>
          <w:sz w:val="22"/>
          <w:szCs w:val="22"/>
        </w:rPr>
        <w:t>) ir CSF1R (kolonijas</w:t>
      </w:r>
      <w:r w:rsidR="00EA6A6A" w:rsidRPr="00220850">
        <w:rPr>
          <w:rFonts w:eastAsia="TimesNewRoman"/>
          <w:sz w:val="22"/>
          <w:szCs w:val="22"/>
        </w:rPr>
        <w:t xml:space="preserve"> </w:t>
      </w:r>
      <w:r w:rsidRPr="00220850">
        <w:rPr>
          <w:rFonts w:eastAsia="TimesNewRoman"/>
          <w:sz w:val="22"/>
          <w:szCs w:val="22"/>
        </w:rPr>
        <w:t xml:space="preserve">stimuliuojančio faktoriaus 1 receptoriaus) </w:t>
      </w:r>
      <w:proofErr w:type="spellStart"/>
      <w:r w:rsidRPr="00220850">
        <w:rPr>
          <w:rFonts w:eastAsia="TimesNewRoman"/>
          <w:sz w:val="22"/>
          <w:szCs w:val="22"/>
        </w:rPr>
        <w:t>kinazes</w:t>
      </w:r>
      <w:proofErr w:type="spellEnd"/>
      <w:r w:rsidRPr="00220850">
        <w:rPr>
          <w:rFonts w:eastAsia="TimesNewRoman"/>
          <w:sz w:val="22"/>
          <w:szCs w:val="22"/>
        </w:rPr>
        <w:t xml:space="preserve">. </w:t>
      </w:r>
      <w:proofErr w:type="spellStart"/>
      <w:r w:rsidRPr="00220850">
        <w:rPr>
          <w:rFonts w:eastAsia="TimesNewRoman"/>
          <w:sz w:val="22"/>
          <w:szCs w:val="22"/>
        </w:rPr>
        <w:t>Nintedanibas</w:t>
      </w:r>
      <w:proofErr w:type="spellEnd"/>
      <w:r w:rsidRPr="00220850">
        <w:rPr>
          <w:rFonts w:eastAsia="TimesNewRoman"/>
          <w:sz w:val="22"/>
          <w:szCs w:val="22"/>
        </w:rPr>
        <w:t xml:space="preserve"> konkurenciniu būdu </w:t>
      </w:r>
      <w:r w:rsidR="00EA6A6A" w:rsidRPr="00220850">
        <w:rPr>
          <w:rFonts w:eastAsia="TimesNewRoman"/>
          <w:sz w:val="22"/>
          <w:szCs w:val="22"/>
        </w:rPr>
        <w:t xml:space="preserve">prisijungia prie </w:t>
      </w:r>
      <w:r w:rsidRPr="00220850">
        <w:rPr>
          <w:rFonts w:eastAsia="TimesNewRoman"/>
          <w:sz w:val="22"/>
          <w:szCs w:val="22"/>
        </w:rPr>
        <w:t>šių</w:t>
      </w:r>
      <w:r w:rsidR="00EA6A6A" w:rsidRPr="00220850">
        <w:rPr>
          <w:rFonts w:eastAsia="TimesNewRoman"/>
          <w:sz w:val="22"/>
          <w:szCs w:val="22"/>
        </w:rPr>
        <w:t xml:space="preserve"> </w:t>
      </w:r>
      <w:proofErr w:type="spellStart"/>
      <w:r w:rsidRPr="00220850">
        <w:rPr>
          <w:rFonts w:eastAsia="TimesNewRoman"/>
          <w:sz w:val="22"/>
          <w:szCs w:val="22"/>
        </w:rPr>
        <w:t>kinazių</w:t>
      </w:r>
      <w:proofErr w:type="spellEnd"/>
      <w:r w:rsidRPr="00220850">
        <w:rPr>
          <w:rFonts w:eastAsia="TimesNewRoman"/>
          <w:sz w:val="22"/>
          <w:szCs w:val="22"/>
        </w:rPr>
        <w:t xml:space="preserve"> </w:t>
      </w:r>
      <w:proofErr w:type="spellStart"/>
      <w:r w:rsidRPr="00220850">
        <w:rPr>
          <w:rFonts w:eastAsia="TimesNewRoman"/>
          <w:sz w:val="22"/>
          <w:szCs w:val="22"/>
        </w:rPr>
        <w:t>adenozintrifosfato</w:t>
      </w:r>
      <w:proofErr w:type="spellEnd"/>
      <w:r w:rsidRPr="00220850">
        <w:rPr>
          <w:rFonts w:eastAsia="TimesNewRoman"/>
          <w:sz w:val="22"/>
          <w:szCs w:val="22"/>
        </w:rPr>
        <w:t xml:space="preserve"> (ATF) prisijungimo viet</w:t>
      </w:r>
      <w:r w:rsidR="00EA6A6A" w:rsidRPr="00220850">
        <w:rPr>
          <w:rFonts w:eastAsia="TimesNewRoman"/>
          <w:sz w:val="22"/>
          <w:szCs w:val="22"/>
        </w:rPr>
        <w:t>os</w:t>
      </w:r>
      <w:r w:rsidRPr="00220850">
        <w:rPr>
          <w:rFonts w:eastAsia="TimesNewRoman"/>
          <w:sz w:val="22"/>
          <w:szCs w:val="22"/>
        </w:rPr>
        <w:t xml:space="preserve"> ir užblokuoja </w:t>
      </w:r>
      <w:proofErr w:type="spellStart"/>
      <w:r w:rsidRPr="00220850">
        <w:rPr>
          <w:rFonts w:eastAsia="TimesNewRoman"/>
          <w:sz w:val="22"/>
          <w:szCs w:val="22"/>
        </w:rPr>
        <w:t>viduląstelines</w:t>
      </w:r>
      <w:proofErr w:type="spellEnd"/>
      <w:r w:rsidRPr="00220850">
        <w:rPr>
          <w:rFonts w:eastAsia="TimesNewRoman"/>
          <w:sz w:val="22"/>
          <w:szCs w:val="22"/>
        </w:rPr>
        <w:t xml:space="preserve"> signalų perdavimo</w:t>
      </w:r>
      <w:r w:rsidR="00EA6A6A" w:rsidRPr="00220850">
        <w:rPr>
          <w:rFonts w:eastAsia="TimesNewRoman"/>
          <w:sz w:val="22"/>
          <w:szCs w:val="22"/>
        </w:rPr>
        <w:t xml:space="preserve"> </w:t>
      </w:r>
      <w:r w:rsidRPr="00220850">
        <w:rPr>
          <w:rFonts w:eastAsia="TimesNewRoman"/>
          <w:sz w:val="22"/>
          <w:szCs w:val="22"/>
        </w:rPr>
        <w:t xml:space="preserve">kaskadas, kurios, sergant </w:t>
      </w:r>
      <w:proofErr w:type="spellStart"/>
      <w:r w:rsidRPr="00220850">
        <w:rPr>
          <w:rFonts w:eastAsia="TimesNewRoman"/>
          <w:sz w:val="22"/>
          <w:szCs w:val="22"/>
        </w:rPr>
        <w:t>intersticinėmis</w:t>
      </w:r>
      <w:proofErr w:type="spellEnd"/>
      <w:r w:rsidRPr="00220850">
        <w:rPr>
          <w:rFonts w:eastAsia="TimesNewRoman"/>
          <w:sz w:val="22"/>
          <w:szCs w:val="22"/>
        </w:rPr>
        <w:t xml:space="preserve"> plaučių ligomis, dalyvauja </w:t>
      </w:r>
      <w:proofErr w:type="spellStart"/>
      <w:r w:rsidRPr="00220850">
        <w:rPr>
          <w:rFonts w:eastAsia="TimesNewRoman"/>
          <w:sz w:val="22"/>
          <w:szCs w:val="22"/>
        </w:rPr>
        <w:t>fibrozinio</w:t>
      </w:r>
      <w:proofErr w:type="spellEnd"/>
      <w:r w:rsidRPr="00220850">
        <w:rPr>
          <w:rFonts w:eastAsia="TimesNewRoman"/>
          <w:sz w:val="22"/>
          <w:szCs w:val="22"/>
        </w:rPr>
        <w:t xml:space="preserve"> audinio </w:t>
      </w:r>
      <w:proofErr w:type="spellStart"/>
      <w:r w:rsidRPr="00220850">
        <w:rPr>
          <w:rFonts w:eastAsia="TimesNewRoman"/>
          <w:sz w:val="22"/>
          <w:szCs w:val="22"/>
        </w:rPr>
        <w:t>remodeliacijos</w:t>
      </w:r>
      <w:proofErr w:type="spellEnd"/>
      <w:r w:rsidR="00EA6A6A" w:rsidRPr="00220850">
        <w:rPr>
          <w:rFonts w:eastAsia="TimesNewRoman"/>
          <w:sz w:val="22"/>
          <w:szCs w:val="22"/>
        </w:rPr>
        <w:t xml:space="preserve"> </w:t>
      </w:r>
      <w:r w:rsidRPr="00220850">
        <w:rPr>
          <w:rFonts w:eastAsia="TimesNewRoman"/>
          <w:sz w:val="22"/>
          <w:szCs w:val="22"/>
        </w:rPr>
        <w:t>proceso patogenezėje.</w:t>
      </w:r>
    </w:p>
    <w:p w14:paraId="51DA132E" w14:textId="77777777" w:rsidR="00661831" w:rsidRPr="00220850" w:rsidRDefault="00661831" w:rsidP="00661831">
      <w:pPr>
        <w:tabs>
          <w:tab w:val="left" w:pos="567"/>
        </w:tabs>
        <w:spacing w:line="260" w:lineRule="exact"/>
        <w:rPr>
          <w:rFonts w:eastAsia="TimesNewRoman"/>
          <w:sz w:val="22"/>
          <w:szCs w:val="22"/>
        </w:rPr>
      </w:pPr>
    </w:p>
    <w:p w14:paraId="361E9AE9" w14:textId="77777777" w:rsidR="006241C1" w:rsidRPr="00220850" w:rsidRDefault="006241C1" w:rsidP="006241C1">
      <w:pPr>
        <w:tabs>
          <w:tab w:val="left" w:pos="567"/>
        </w:tabs>
        <w:spacing w:line="260" w:lineRule="exact"/>
        <w:rPr>
          <w:sz w:val="22"/>
          <w:szCs w:val="24"/>
          <w:u w:val="single"/>
        </w:rPr>
      </w:pPr>
      <w:proofErr w:type="spellStart"/>
      <w:r w:rsidRPr="00220850">
        <w:rPr>
          <w:sz w:val="22"/>
          <w:szCs w:val="24"/>
          <w:u w:val="single"/>
        </w:rPr>
        <w:t>Farmakodinaminis</w:t>
      </w:r>
      <w:proofErr w:type="spellEnd"/>
      <w:r w:rsidRPr="00220850">
        <w:rPr>
          <w:sz w:val="22"/>
          <w:szCs w:val="24"/>
          <w:u w:val="single"/>
        </w:rPr>
        <w:t xml:space="preserve"> poveikis</w:t>
      </w:r>
    </w:p>
    <w:p w14:paraId="4F29B642" w14:textId="77777777" w:rsidR="006241C1" w:rsidRPr="00220850" w:rsidRDefault="006241C1" w:rsidP="006241C1">
      <w:pPr>
        <w:tabs>
          <w:tab w:val="left" w:pos="567"/>
        </w:tabs>
        <w:spacing w:line="260" w:lineRule="exact"/>
        <w:rPr>
          <w:sz w:val="22"/>
          <w:szCs w:val="24"/>
        </w:rPr>
      </w:pPr>
      <w:r w:rsidRPr="00220850">
        <w:rPr>
          <w:sz w:val="22"/>
          <w:szCs w:val="24"/>
        </w:rPr>
        <w:t xml:space="preserve">Žmogaus ląsteles tiriant </w:t>
      </w:r>
      <w:proofErr w:type="spellStart"/>
      <w:r w:rsidRPr="00220850">
        <w:rPr>
          <w:i/>
          <w:sz w:val="22"/>
          <w:szCs w:val="24"/>
        </w:rPr>
        <w:t>in</w:t>
      </w:r>
      <w:proofErr w:type="spellEnd"/>
      <w:r w:rsidRPr="00220850">
        <w:rPr>
          <w:i/>
          <w:sz w:val="22"/>
          <w:szCs w:val="24"/>
        </w:rPr>
        <w:t xml:space="preserve"> </w:t>
      </w:r>
      <w:proofErr w:type="spellStart"/>
      <w:r w:rsidRPr="00220850">
        <w:rPr>
          <w:i/>
          <w:sz w:val="22"/>
          <w:szCs w:val="24"/>
        </w:rPr>
        <w:t>vitro</w:t>
      </w:r>
      <w:proofErr w:type="spellEnd"/>
      <w:r w:rsidRPr="00220850">
        <w:rPr>
          <w:sz w:val="22"/>
          <w:szCs w:val="24"/>
        </w:rPr>
        <w:t xml:space="preserve"> nustatyta, kad </w:t>
      </w:r>
      <w:proofErr w:type="spellStart"/>
      <w:r w:rsidRPr="00220850">
        <w:rPr>
          <w:sz w:val="22"/>
          <w:szCs w:val="24"/>
        </w:rPr>
        <w:t>nintedanibas</w:t>
      </w:r>
      <w:proofErr w:type="spellEnd"/>
      <w:r w:rsidRPr="00220850">
        <w:rPr>
          <w:sz w:val="22"/>
          <w:szCs w:val="24"/>
        </w:rPr>
        <w:t xml:space="preserve"> slopina procesus, kurie, manoma, yra susiję su </w:t>
      </w:r>
      <w:proofErr w:type="spellStart"/>
      <w:r w:rsidRPr="00220850">
        <w:rPr>
          <w:sz w:val="22"/>
          <w:szCs w:val="24"/>
        </w:rPr>
        <w:t>fibrozinės</w:t>
      </w:r>
      <w:proofErr w:type="spellEnd"/>
      <w:r w:rsidRPr="00220850">
        <w:rPr>
          <w:sz w:val="22"/>
          <w:szCs w:val="24"/>
        </w:rPr>
        <w:t xml:space="preserve"> patogenezės pradžia, fibrozę skatinančių mediatorių atpalaidavimu iš periferinio kraujo </w:t>
      </w:r>
      <w:proofErr w:type="spellStart"/>
      <w:r w:rsidRPr="00220850">
        <w:rPr>
          <w:sz w:val="22"/>
          <w:szCs w:val="24"/>
        </w:rPr>
        <w:t>monocitinių</w:t>
      </w:r>
      <w:proofErr w:type="spellEnd"/>
      <w:r w:rsidRPr="00220850">
        <w:rPr>
          <w:sz w:val="22"/>
          <w:szCs w:val="24"/>
        </w:rPr>
        <w:t xml:space="preserve"> ląstelių bei </w:t>
      </w:r>
      <w:proofErr w:type="spellStart"/>
      <w:r w:rsidRPr="00220850">
        <w:rPr>
          <w:sz w:val="22"/>
          <w:szCs w:val="24"/>
        </w:rPr>
        <w:t>makrofagų</w:t>
      </w:r>
      <w:proofErr w:type="spellEnd"/>
      <w:r w:rsidRPr="00220850">
        <w:rPr>
          <w:sz w:val="22"/>
          <w:szCs w:val="24"/>
        </w:rPr>
        <w:t xml:space="preserve"> poliarizacija į alternatyviai aktyvintus </w:t>
      </w:r>
      <w:proofErr w:type="spellStart"/>
      <w:r w:rsidRPr="00220850">
        <w:rPr>
          <w:sz w:val="22"/>
          <w:szCs w:val="24"/>
        </w:rPr>
        <w:t>makrofagus</w:t>
      </w:r>
      <w:proofErr w:type="spellEnd"/>
      <w:r w:rsidRPr="00220850">
        <w:rPr>
          <w:sz w:val="22"/>
          <w:szCs w:val="24"/>
        </w:rPr>
        <w:t xml:space="preserve">. Nustatyta, kad </w:t>
      </w:r>
      <w:proofErr w:type="spellStart"/>
      <w:r w:rsidRPr="00220850">
        <w:rPr>
          <w:sz w:val="22"/>
          <w:szCs w:val="24"/>
        </w:rPr>
        <w:t>nintedanibas</w:t>
      </w:r>
      <w:proofErr w:type="spellEnd"/>
      <w:r w:rsidRPr="00220850">
        <w:rPr>
          <w:sz w:val="22"/>
          <w:szCs w:val="24"/>
        </w:rPr>
        <w:t xml:space="preserve"> slopina svarbiausius organų fibrozės procesus, fibroblastų </w:t>
      </w:r>
      <w:proofErr w:type="spellStart"/>
      <w:r w:rsidRPr="00220850">
        <w:rPr>
          <w:sz w:val="22"/>
          <w:szCs w:val="24"/>
        </w:rPr>
        <w:t>proliferaciją</w:t>
      </w:r>
      <w:proofErr w:type="spellEnd"/>
      <w:r w:rsidRPr="00220850">
        <w:rPr>
          <w:sz w:val="22"/>
          <w:szCs w:val="24"/>
        </w:rPr>
        <w:t xml:space="preserve"> ir migraciją bei transformaciją į aktyvių </w:t>
      </w:r>
      <w:proofErr w:type="spellStart"/>
      <w:r w:rsidRPr="00220850">
        <w:rPr>
          <w:sz w:val="22"/>
          <w:szCs w:val="24"/>
        </w:rPr>
        <w:t>miofibroblastų</w:t>
      </w:r>
      <w:proofErr w:type="spellEnd"/>
      <w:r w:rsidRPr="00220850">
        <w:rPr>
          <w:sz w:val="22"/>
          <w:szCs w:val="24"/>
        </w:rPr>
        <w:t xml:space="preserve"> fenotipą, taip pat </w:t>
      </w:r>
      <w:proofErr w:type="spellStart"/>
      <w:r w:rsidRPr="00220850">
        <w:rPr>
          <w:sz w:val="22"/>
          <w:szCs w:val="24"/>
        </w:rPr>
        <w:t>užląstelinio</w:t>
      </w:r>
      <w:proofErr w:type="spellEnd"/>
      <w:r w:rsidRPr="00220850">
        <w:rPr>
          <w:sz w:val="22"/>
          <w:szCs w:val="24"/>
        </w:rPr>
        <w:t xml:space="preserve"> </w:t>
      </w:r>
      <w:proofErr w:type="spellStart"/>
      <w:r w:rsidRPr="00220850">
        <w:rPr>
          <w:sz w:val="22"/>
          <w:szCs w:val="24"/>
        </w:rPr>
        <w:t>matrikso</w:t>
      </w:r>
      <w:proofErr w:type="spellEnd"/>
      <w:r w:rsidRPr="00220850">
        <w:rPr>
          <w:sz w:val="22"/>
          <w:szCs w:val="24"/>
        </w:rPr>
        <w:t xml:space="preserve"> sekreciją. Tyrimų su gyvūnais metu tiriant įvairius IPF, SS / SS-IPL, su reumatoidiniu artritu (RA) susijusios IPL ir kitų organų fibrozės modelius, nustatytas </w:t>
      </w:r>
      <w:proofErr w:type="spellStart"/>
      <w:r w:rsidRPr="00220850">
        <w:rPr>
          <w:sz w:val="22"/>
          <w:szCs w:val="24"/>
        </w:rPr>
        <w:t>nintedanibo</w:t>
      </w:r>
      <w:proofErr w:type="spellEnd"/>
      <w:r w:rsidRPr="00220850">
        <w:rPr>
          <w:sz w:val="22"/>
          <w:szCs w:val="24"/>
        </w:rPr>
        <w:t xml:space="preserve"> priešuždegiminis ir </w:t>
      </w:r>
      <w:proofErr w:type="spellStart"/>
      <w:r w:rsidRPr="00220850">
        <w:rPr>
          <w:sz w:val="22"/>
          <w:szCs w:val="24"/>
        </w:rPr>
        <w:t>antifibrozinis</w:t>
      </w:r>
      <w:proofErr w:type="spellEnd"/>
      <w:r w:rsidRPr="00220850">
        <w:rPr>
          <w:sz w:val="22"/>
          <w:szCs w:val="24"/>
        </w:rPr>
        <w:t xml:space="preserve"> poveikis plaučiams, odai, širdžiai, inkstams ir kepenims. </w:t>
      </w:r>
      <w:proofErr w:type="spellStart"/>
      <w:r w:rsidRPr="00220850">
        <w:rPr>
          <w:sz w:val="22"/>
          <w:szCs w:val="24"/>
        </w:rPr>
        <w:t>Nintedanibas</w:t>
      </w:r>
      <w:proofErr w:type="spellEnd"/>
      <w:r w:rsidRPr="00220850">
        <w:rPr>
          <w:sz w:val="22"/>
          <w:szCs w:val="24"/>
        </w:rPr>
        <w:t xml:space="preserve"> veikė ir kraujagysles. Vaistinis preparatas slopino odos </w:t>
      </w:r>
      <w:proofErr w:type="spellStart"/>
      <w:r w:rsidRPr="00220850">
        <w:rPr>
          <w:sz w:val="22"/>
          <w:szCs w:val="24"/>
        </w:rPr>
        <w:t>mikrokraujagyslių</w:t>
      </w:r>
      <w:proofErr w:type="spellEnd"/>
      <w:r w:rsidRPr="00220850">
        <w:rPr>
          <w:sz w:val="22"/>
          <w:szCs w:val="24"/>
        </w:rPr>
        <w:t xml:space="preserve"> </w:t>
      </w:r>
      <w:proofErr w:type="spellStart"/>
      <w:r w:rsidRPr="00220850">
        <w:rPr>
          <w:sz w:val="22"/>
          <w:szCs w:val="24"/>
        </w:rPr>
        <w:t>endotelio</w:t>
      </w:r>
      <w:proofErr w:type="spellEnd"/>
      <w:r w:rsidRPr="00220850">
        <w:rPr>
          <w:sz w:val="22"/>
          <w:szCs w:val="24"/>
        </w:rPr>
        <w:t xml:space="preserve"> ląstelių </w:t>
      </w:r>
      <w:proofErr w:type="spellStart"/>
      <w:r w:rsidRPr="00220850">
        <w:rPr>
          <w:sz w:val="22"/>
          <w:szCs w:val="24"/>
        </w:rPr>
        <w:t>apoptozę</w:t>
      </w:r>
      <w:proofErr w:type="spellEnd"/>
      <w:r w:rsidRPr="00220850">
        <w:rPr>
          <w:sz w:val="22"/>
          <w:szCs w:val="24"/>
        </w:rPr>
        <w:t xml:space="preserve"> ir sulėtino plaučių kraujagyslių </w:t>
      </w:r>
      <w:proofErr w:type="spellStart"/>
      <w:r w:rsidRPr="00220850">
        <w:rPr>
          <w:sz w:val="22"/>
          <w:szCs w:val="24"/>
        </w:rPr>
        <w:t>remodeliacijos</w:t>
      </w:r>
      <w:proofErr w:type="spellEnd"/>
      <w:r w:rsidRPr="00220850">
        <w:rPr>
          <w:sz w:val="22"/>
          <w:szCs w:val="24"/>
        </w:rPr>
        <w:t xml:space="preserve"> procesus, nes jam veikiant sumažėjo kraujagyslių lygiųjų raumenų ląstelių </w:t>
      </w:r>
      <w:proofErr w:type="spellStart"/>
      <w:r w:rsidRPr="00220850">
        <w:rPr>
          <w:sz w:val="22"/>
          <w:szCs w:val="24"/>
        </w:rPr>
        <w:t>proliferacija</w:t>
      </w:r>
      <w:proofErr w:type="spellEnd"/>
      <w:r w:rsidRPr="00220850">
        <w:rPr>
          <w:sz w:val="22"/>
          <w:szCs w:val="24"/>
        </w:rPr>
        <w:t>, plaučių kraujagyslių sienelių storis ir užsikimšusių plaučių kraujagyslių procentinė dalis.</w:t>
      </w:r>
    </w:p>
    <w:p w14:paraId="0E41E51C" w14:textId="77777777" w:rsidR="006241C1" w:rsidRPr="00220850" w:rsidRDefault="006241C1" w:rsidP="006241C1">
      <w:pPr>
        <w:tabs>
          <w:tab w:val="left" w:pos="567"/>
        </w:tabs>
        <w:spacing w:line="260" w:lineRule="exact"/>
        <w:rPr>
          <w:sz w:val="22"/>
          <w:szCs w:val="24"/>
        </w:rPr>
      </w:pPr>
    </w:p>
    <w:p w14:paraId="10FF2290" w14:textId="77777777" w:rsidR="006241C1" w:rsidRPr="00220850" w:rsidRDefault="006241C1" w:rsidP="006241C1">
      <w:pPr>
        <w:tabs>
          <w:tab w:val="left" w:pos="567"/>
        </w:tabs>
        <w:spacing w:line="260" w:lineRule="exact"/>
        <w:rPr>
          <w:sz w:val="22"/>
          <w:szCs w:val="24"/>
          <w:u w:val="single"/>
        </w:rPr>
      </w:pPr>
      <w:r w:rsidRPr="00220850">
        <w:rPr>
          <w:sz w:val="22"/>
          <w:szCs w:val="24"/>
          <w:u w:val="single"/>
        </w:rPr>
        <w:t>Klinikinis veiksmingumas ir saugumas</w:t>
      </w:r>
    </w:p>
    <w:p w14:paraId="26DDBB6A" w14:textId="77777777" w:rsidR="006241C1" w:rsidRPr="00220850" w:rsidRDefault="006241C1" w:rsidP="006241C1">
      <w:pPr>
        <w:tabs>
          <w:tab w:val="left" w:pos="567"/>
        </w:tabs>
        <w:spacing w:line="260" w:lineRule="exact"/>
        <w:rPr>
          <w:i/>
          <w:sz w:val="22"/>
          <w:szCs w:val="24"/>
        </w:rPr>
      </w:pPr>
      <w:r w:rsidRPr="00220850">
        <w:rPr>
          <w:i/>
          <w:sz w:val="22"/>
          <w:szCs w:val="24"/>
        </w:rPr>
        <w:t>Idiopatinė plaučių fibrozė (IPF)</w:t>
      </w:r>
    </w:p>
    <w:p w14:paraId="236BA7D4" w14:textId="05DEFADD" w:rsidR="006241C1" w:rsidRPr="00220850" w:rsidRDefault="006241C1" w:rsidP="006241C1">
      <w:pPr>
        <w:tabs>
          <w:tab w:val="left" w:pos="567"/>
        </w:tabs>
        <w:spacing w:line="260" w:lineRule="exact"/>
        <w:rPr>
          <w:sz w:val="22"/>
          <w:szCs w:val="24"/>
        </w:rPr>
      </w:pPr>
      <w:proofErr w:type="spellStart"/>
      <w:r w:rsidRPr="00220850">
        <w:rPr>
          <w:sz w:val="22"/>
          <w:szCs w:val="24"/>
        </w:rPr>
        <w:t>Nintedanibo</w:t>
      </w:r>
      <w:proofErr w:type="spellEnd"/>
      <w:r w:rsidRPr="00220850">
        <w:rPr>
          <w:sz w:val="22"/>
          <w:szCs w:val="24"/>
        </w:rPr>
        <w:t xml:space="preserve"> klinikinis veiksmingumas buvo tirtas dviejų III fazės, atsitiktinių imčių, dvigubai koduotų, placebu kontroliuojamų identiškos struktūros IPF sergančių pacientų tyrimų (INPULSIS-1[1199.32] ir INPULSIS-2 [1199.34]) metu. Pacientai, kurių forsuotos gyvybinės plaučių talpos (FGPT) tyrimo pradžioje buvo &lt; 50 %</w:t>
      </w:r>
      <w:r w:rsidR="00740E6E" w:rsidRPr="00220850">
        <w:rPr>
          <w:sz w:val="22"/>
          <w:szCs w:val="24"/>
        </w:rPr>
        <w:t xml:space="preserve"> </w:t>
      </w:r>
      <w:r w:rsidRPr="00220850">
        <w:rPr>
          <w:sz w:val="22"/>
          <w:szCs w:val="24"/>
        </w:rPr>
        <w:t>numatytos ar anglies monoksido difuzija plaučiuose (</w:t>
      </w:r>
      <w:r w:rsidRPr="00220850">
        <w:rPr>
          <w:i/>
          <w:sz w:val="22"/>
          <w:szCs w:val="24"/>
        </w:rPr>
        <w:t>DLCO</w:t>
      </w:r>
      <w:r w:rsidRPr="00220850">
        <w:rPr>
          <w:sz w:val="22"/>
          <w:szCs w:val="24"/>
        </w:rPr>
        <w:t>, koreguota hemoglobinui), tyrimo</w:t>
      </w:r>
      <w:r w:rsidR="00740E6E" w:rsidRPr="00220850">
        <w:rPr>
          <w:sz w:val="22"/>
          <w:szCs w:val="24"/>
        </w:rPr>
        <w:t xml:space="preserve"> pradžioje buvo &lt; </w:t>
      </w:r>
      <w:r w:rsidRPr="00220850">
        <w:rPr>
          <w:sz w:val="22"/>
          <w:szCs w:val="24"/>
        </w:rPr>
        <w:t>30</w:t>
      </w:r>
      <w:r w:rsidR="00740E6E" w:rsidRPr="00220850">
        <w:rPr>
          <w:sz w:val="22"/>
          <w:szCs w:val="24"/>
        </w:rPr>
        <w:t> </w:t>
      </w:r>
      <w:r w:rsidRPr="00220850">
        <w:rPr>
          <w:sz w:val="22"/>
          <w:szCs w:val="24"/>
        </w:rPr>
        <w:t xml:space="preserve">% numatytos, į tyrimus nebuvo įtraukti. </w:t>
      </w:r>
      <w:r w:rsidRPr="00220850">
        <w:rPr>
          <w:sz w:val="22"/>
          <w:szCs w:val="24"/>
        </w:rPr>
        <w:lastRenderedPageBreak/>
        <w:t>Pacientai buvo atsitiktinių imčių būdu</w:t>
      </w:r>
      <w:r w:rsidR="00740E6E" w:rsidRPr="00220850">
        <w:rPr>
          <w:sz w:val="22"/>
          <w:szCs w:val="24"/>
        </w:rPr>
        <w:t xml:space="preserve"> </w:t>
      </w:r>
      <w:r w:rsidRPr="00220850">
        <w:rPr>
          <w:sz w:val="22"/>
          <w:szCs w:val="24"/>
        </w:rPr>
        <w:t xml:space="preserve">suskirstyti 3:2 santykiu į grupes </w:t>
      </w:r>
      <w:r w:rsidR="00E54EBA" w:rsidRPr="00220850">
        <w:rPr>
          <w:sz w:val="22"/>
          <w:szCs w:val="24"/>
        </w:rPr>
        <w:t xml:space="preserve">ir </w:t>
      </w:r>
      <w:r w:rsidRPr="00220850">
        <w:rPr>
          <w:sz w:val="22"/>
          <w:szCs w:val="24"/>
        </w:rPr>
        <w:t>52 savaites gydyti du kartus per parą vartoja</w:t>
      </w:r>
      <w:r w:rsidR="00E54EBA" w:rsidRPr="00220850">
        <w:rPr>
          <w:sz w:val="22"/>
          <w:szCs w:val="24"/>
        </w:rPr>
        <w:t>nt</w:t>
      </w:r>
      <w:r w:rsidRPr="00220850">
        <w:rPr>
          <w:sz w:val="22"/>
          <w:szCs w:val="24"/>
        </w:rPr>
        <w:t xml:space="preserve"> </w:t>
      </w:r>
      <w:proofErr w:type="spellStart"/>
      <w:r w:rsidR="00740E6E" w:rsidRPr="00220850">
        <w:rPr>
          <w:rFonts w:eastAsia="TimesNewRoman"/>
          <w:sz w:val="22"/>
          <w:szCs w:val="22"/>
        </w:rPr>
        <w:t>nintedanibo</w:t>
      </w:r>
      <w:proofErr w:type="spellEnd"/>
      <w:r w:rsidR="00740E6E" w:rsidRPr="00220850">
        <w:rPr>
          <w:sz w:val="22"/>
          <w:szCs w:val="24"/>
        </w:rPr>
        <w:t xml:space="preserve"> 150 </w:t>
      </w:r>
      <w:r w:rsidR="00E54EBA" w:rsidRPr="00220850">
        <w:rPr>
          <w:sz w:val="22"/>
          <w:szCs w:val="24"/>
        </w:rPr>
        <w:t>mg dozę</w:t>
      </w:r>
      <w:r w:rsidR="00740E6E" w:rsidRPr="00220850">
        <w:rPr>
          <w:sz w:val="22"/>
          <w:szCs w:val="24"/>
        </w:rPr>
        <w:t xml:space="preserve"> </w:t>
      </w:r>
      <w:r w:rsidRPr="00220850">
        <w:rPr>
          <w:sz w:val="22"/>
          <w:szCs w:val="24"/>
        </w:rPr>
        <w:t>arba placeb</w:t>
      </w:r>
      <w:r w:rsidR="00E54EBA" w:rsidRPr="00220850">
        <w:rPr>
          <w:sz w:val="22"/>
          <w:szCs w:val="24"/>
        </w:rPr>
        <w:t>ą</w:t>
      </w:r>
      <w:r w:rsidRPr="00220850">
        <w:rPr>
          <w:sz w:val="22"/>
          <w:szCs w:val="24"/>
        </w:rPr>
        <w:t>.</w:t>
      </w:r>
    </w:p>
    <w:p w14:paraId="74122D14" w14:textId="77777777" w:rsidR="00740E6E" w:rsidRPr="00220850" w:rsidRDefault="00740E6E" w:rsidP="006241C1">
      <w:pPr>
        <w:tabs>
          <w:tab w:val="left" w:pos="567"/>
        </w:tabs>
        <w:spacing w:line="260" w:lineRule="exact"/>
        <w:rPr>
          <w:sz w:val="22"/>
          <w:szCs w:val="24"/>
        </w:rPr>
      </w:pPr>
    </w:p>
    <w:p w14:paraId="785859E3" w14:textId="77777777" w:rsidR="006241C1" w:rsidRPr="00220850" w:rsidRDefault="006241C1" w:rsidP="006241C1">
      <w:pPr>
        <w:tabs>
          <w:tab w:val="left" w:pos="567"/>
        </w:tabs>
        <w:spacing w:line="260" w:lineRule="exact"/>
        <w:rPr>
          <w:sz w:val="22"/>
          <w:szCs w:val="24"/>
        </w:rPr>
      </w:pPr>
      <w:r w:rsidRPr="00220850">
        <w:rPr>
          <w:sz w:val="22"/>
          <w:szCs w:val="24"/>
        </w:rPr>
        <w:t>P</w:t>
      </w:r>
      <w:r w:rsidR="00740E6E" w:rsidRPr="00220850">
        <w:rPr>
          <w:sz w:val="22"/>
          <w:szCs w:val="24"/>
        </w:rPr>
        <w:t>agrindin</w:t>
      </w:r>
      <w:r w:rsidRPr="00220850">
        <w:rPr>
          <w:sz w:val="22"/>
          <w:szCs w:val="24"/>
        </w:rPr>
        <w:t xml:space="preserve">ė vertinamoji baigtis buvo metinis </w:t>
      </w:r>
      <w:r w:rsidR="00E54EBA" w:rsidRPr="00220850">
        <w:rPr>
          <w:sz w:val="22"/>
          <w:szCs w:val="24"/>
        </w:rPr>
        <w:t>FGPT</w:t>
      </w:r>
      <w:r w:rsidRPr="00220850">
        <w:rPr>
          <w:sz w:val="22"/>
          <w:szCs w:val="24"/>
        </w:rPr>
        <w:t xml:space="preserve"> sumažėjimo</w:t>
      </w:r>
      <w:r w:rsidR="00740E6E" w:rsidRPr="00220850">
        <w:rPr>
          <w:sz w:val="22"/>
          <w:szCs w:val="24"/>
        </w:rPr>
        <w:t xml:space="preserve"> </w:t>
      </w:r>
      <w:r w:rsidRPr="00220850">
        <w:rPr>
          <w:sz w:val="22"/>
          <w:szCs w:val="24"/>
        </w:rPr>
        <w:t xml:space="preserve">rodmuo. </w:t>
      </w:r>
      <w:r w:rsidR="00E54EBA" w:rsidRPr="00220850">
        <w:rPr>
          <w:sz w:val="22"/>
          <w:szCs w:val="24"/>
        </w:rPr>
        <w:t>Reik</w:t>
      </w:r>
      <w:r w:rsidR="00612AB0" w:rsidRPr="00220850">
        <w:rPr>
          <w:sz w:val="22"/>
          <w:szCs w:val="24"/>
        </w:rPr>
        <w:t>š</w:t>
      </w:r>
      <w:r w:rsidR="00E54EBA" w:rsidRPr="00220850">
        <w:rPr>
          <w:sz w:val="22"/>
          <w:szCs w:val="24"/>
        </w:rPr>
        <w:t>mingos</w:t>
      </w:r>
      <w:r w:rsidRPr="00220850">
        <w:rPr>
          <w:sz w:val="22"/>
          <w:szCs w:val="24"/>
        </w:rPr>
        <w:t xml:space="preserve"> antraeilės vertinamosios baigtys buvo </w:t>
      </w:r>
      <w:proofErr w:type="spellStart"/>
      <w:r w:rsidRPr="00220850">
        <w:rPr>
          <w:sz w:val="22"/>
          <w:szCs w:val="24"/>
        </w:rPr>
        <w:t>Saint</w:t>
      </w:r>
      <w:proofErr w:type="spellEnd"/>
      <w:r w:rsidRPr="00220850">
        <w:rPr>
          <w:sz w:val="22"/>
          <w:szCs w:val="24"/>
        </w:rPr>
        <w:t xml:space="preserve"> George kvėpavimo klausimyno</w:t>
      </w:r>
      <w:r w:rsidR="00740E6E" w:rsidRPr="00220850">
        <w:rPr>
          <w:sz w:val="22"/>
          <w:szCs w:val="24"/>
        </w:rPr>
        <w:t xml:space="preserve"> </w:t>
      </w:r>
      <w:r w:rsidRPr="00220850">
        <w:rPr>
          <w:sz w:val="22"/>
          <w:szCs w:val="24"/>
        </w:rPr>
        <w:t xml:space="preserve">(angl. </w:t>
      </w:r>
      <w:proofErr w:type="spellStart"/>
      <w:r w:rsidRPr="00220850">
        <w:rPr>
          <w:i/>
          <w:sz w:val="22"/>
          <w:szCs w:val="24"/>
        </w:rPr>
        <w:t>Saint</w:t>
      </w:r>
      <w:proofErr w:type="spellEnd"/>
      <w:r w:rsidRPr="00220850">
        <w:rPr>
          <w:i/>
          <w:sz w:val="22"/>
          <w:szCs w:val="24"/>
        </w:rPr>
        <w:t xml:space="preserve"> </w:t>
      </w:r>
      <w:proofErr w:type="spellStart"/>
      <w:r w:rsidRPr="00220850">
        <w:rPr>
          <w:i/>
          <w:sz w:val="22"/>
          <w:szCs w:val="24"/>
        </w:rPr>
        <w:t>George's</w:t>
      </w:r>
      <w:proofErr w:type="spellEnd"/>
      <w:r w:rsidRPr="00220850">
        <w:rPr>
          <w:i/>
          <w:sz w:val="22"/>
          <w:szCs w:val="24"/>
        </w:rPr>
        <w:t xml:space="preserve"> </w:t>
      </w:r>
      <w:proofErr w:type="spellStart"/>
      <w:r w:rsidRPr="00220850">
        <w:rPr>
          <w:i/>
          <w:sz w:val="22"/>
          <w:szCs w:val="24"/>
        </w:rPr>
        <w:t>Respiratory</w:t>
      </w:r>
      <w:proofErr w:type="spellEnd"/>
      <w:r w:rsidRPr="00220850">
        <w:rPr>
          <w:i/>
          <w:sz w:val="22"/>
          <w:szCs w:val="24"/>
        </w:rPr>
        <w:t xml:space="preserve"> </w:t>
      </w:r>
      <w:proofErr w:type="spellStart"/>
      <w:r w:rsidRPr="00220850">
        <w:rPr>
          <w:i/>
          <w:sz w:val="22"/>
          <w:szCs w:val="24"/>
        </w:rPr>
        <w:t>Questionnaire</w:t>
      </w:r>
      <w:proofErr w:type="spellEnd"/>
      <w:r w:rsidRPr="00220850">
        <w:rPr>
          <w:i/>
          <w:sz w:val="22"/>
          <w:szCs w:val="24"/>
        </w:rPr>
        <w:t>, SGRQ</w:t>
      </w:r>
      <w:r w:rsidRPr="00220850">
        <w:rPr>
          <w:sz w:val="22"/>
          <w:szCs w:val="24"/>
        </w:rPr>
        <w:t>) bendro balo 52</w:t>
      </w:r>
      <w:r w:rsidR="00612AB0" w:rsidRPr="00220850">
        <w:rPr>
          <w:sz w:val="22"/>
          <w:szCs w:val="24"/>
        </w:rPr>
        <w:t>-ą</w:t>
      </w:r>
      <w:r w:rsidRPr="00220850">
        <w:rPr>
          <w:sz w:val="22"/>
          <w:szCs w:val="24"/>
        </w:rPr>
        <w:t xml:space="preserve"> savaitę pokytis, palyginti su</w:t>
      </w:r>
      <w:r w:rsidR="00740E6E" w:rsidRPr="00220850">
        <w:rPr>
          <w:sz w:val="22"/>
          <w:szCs w:val="24"/>
        </w:rPr>
        <w:t xml:space="preserve"> </w:t>
      </w:r>
      <w:r w:rsidRPr="00220850">
        <w:rPr>
          <w:sz w:val="22"/>
          <w:szCs w:val="24"/>
        </w:rPr>
        <w:t>pradiniu, ir laikotarpis iki pirmojo ūmaus IPF pa</w:t>
      </w:r>
      <w:r w:rsidR="00612AB0" w:rsidRPr="00220850">
        <w:rPr>
          <w:sz w:val="22"/>
          <w:szCs w:val="24"/>
        </w:rPr>
        <w:t>blogėjimo</w:t>
      </w:r>
      <w:r w:rsidRPr="00220850">
        <w:rPr>
          <w:sz w:val="22"/>
          <w:szCs w:val="24"/>
        </w:rPr>
        <w:t>.</w:t>
      </w:r>
    </w:p>
    <w:p w14:paraId="707D62F5" w14:textId="77777777" w:rsidR="00740E6E" w:rsidRPr="00220850" w:rsidRDefault="00740E6E" w:rsidP="006241C1">
      <w:pPr>
        <w:tabs>
          <w:tab w:val="left" w:pos="567"/>
        </w:tabs>
        <w:spacing w:line="260" w:lineRule="exact"/>
        <w:rPr>
          <w:sz w:val="22"/>
          <w:szCs w:val="24"/>
        </w:rPr>
      </w:pPr>
    </w:p>
    <w:p w14:paraId="154A36D6" w14:textId="77777777" w:rsidR="006241C1" w:rsidRPr="00220850" w:rsidRDefault="006241C1" w:rsidP="006241C1">
      <w:pPr>
        <w:tabs>
          <w:tab w:val="left" w:pos="567"/>
        </w:tabs>
        <w:spacing w:line="260" w:lineRule="exact"/>
        <w:rPr>
          <w:i/>
          <w:sz w:val="22"/>
          <w:szCs w:val="24"/>
          <w:u w:val="single"/>
        </w:rPr>
      </w:pPr>
      <w:r w:rsidRPr="00220850">
        <w:rPr>
          <w:i/>
          <w:sz w:val="22"/>
          <w:szCs w:val="24"/>
          <w:u w:val="single"/>
        </w:rPr>
        <w:t>Metinis FGPT sumažėjimo rodmuo</w:t>
      </w:r>
    </w:p>
    <w:p w14:paraId="5B265D86" w14:textId="16E2B90C" w:rsidR="00DE01F8" w:rsidRPr="00220850" w:rsidRDefault="006241C1" w:rsidP="006241C1">
      <w:pPr>
        <w:tabs>
          <w:tab w:val="left" w:pos="567"/>
        </w:tabs>
        <w:spacing w:line="260" w:lineRule="exact"/>
        <w:rPr>
          <w:sz w:val="22"/>
          <w:szCs w:val="24"/>
        </w:rPr>
      </w:pPr>
      <w:proofErr w:type="spellStart"/>
      <w:r w:rsidRPr="00220850">
        <w:rPr>
          <w:sz w:val="22"/>
          <w:szCs w:val="24"/>
        </w:rPr>
        <w:t>Nintedanibą</w:t>
      </w:r>
      <w:proofErr w:type="spellEnd"/>
      <w:r w:rsidRPr="00220850">
        <w:rPr>
          <w:sz w:val="22"/>
          <w:szCs w:val="24"/>
        </w:rPr>
        <w:t xml:space="preserve"> vartojusių pacientų metinis FGPT sumažėjimo rodmuo (ml) buvo reikšmingai mažesnis,</w:t>
      </w:r>
      <w:r w:rsidR="00740E6E" w:rsidRPr="00220850">
        <w:rPr>
          <w:sz w:val="22"/>
          <w:szCs w:val="24"/>
        </w:rPr>
        <w:t xml:space="preserve"> </w:t>
      </w:r>
      <w:r w:rsidRPr="00220850">
        <w:rPr>
          <w:sz w:val="22"/>
          <w:szCs w:val="24"/>
        </w:rPr>
        <w:t>palyginti su placebą vartojusių pacientų. Gydymo poveikis buvo pastovus abiejų tyrimų metu. Atskirų</w:t>
      </w:r>
      <w:r w:rsidR="00740E6E" w:rsidRPr="00220850">
        <w:rPr>
          <w:sz w:val="22"/>
          <w:szCs w:val="24"/>
        </w:rPr>
        <w:t xml:space="preserve"> </w:t>
      </w:r>
      <w:r w:rsidRPr="00220850">
        <w:rPr>
          <w:sz w:val="22"/>
          <w:szCs w:val="24"/>
        </w:rPr>
        <w:t xml:space="preserve">tyrimų ir sujungti rezultatai pateikti </w:t>
      </w:r>
      <w:r w:rsidR="004B2460" w:rsidRPr="00220850">
        <w:rPr>
          <w:sz w:val="22"/>
          <w:szCs w:val="24"/>
        </w:rPr>
        <w:t>4</w:t>
      </w:r>
      <w:r w:rsidRPr="00220850">
        <w:rPr>
          <w:sz w:val="22"/>
          <w:szCs w:val="24"/>
        </w:rPr>
        <w:t>-ojoje lentelėje.</w:t>
      </w:r>
    </w:p>
    <w:p w14:paraId="69DEB6D8" w14:textId="77777777" w:rsidR="00DE01F8" w:rsidRPr="00220850" w:rsidRDefault="00DE01F8">
      <w:pPr>
        <w:rPr>
          <w:sz w:val="22"/>
          <w:szCs w:val="24"/>
        </w:rPr>
      </w:pPr>
    </w:p>
    <w:p w14:paraId="7AED52F6" w14:textId="77777777" w:rsidR="00CA211E" w:rsidRPr="00220850" w:rsidRDefault="00CA211E">
      <w:pPr>
        <w:rPr>
          <w:sz w:val="22"/>
          <w:szCs w:val="24"/>
        </w:rPr>
      </w:pPr>
    </w:p>
    <w:p w14:paraId="7D949835" w14:textId="12E1C732" w:rsidR="00740E6E" w:rsidRPr="00220850" w:rsidRDefault="004B2460" w:rsidP="00DB2BDB">
      <w:pPr>
        <w:autoSpaceDE w:val="0"/>
        <w:autoSpaceDN w:val="0"/>
        <w:adjustRightInd w:val="0"/>
        <w:rPr>
          <w:sz w:val="22"/>
          <w:szCs w:val="24"/>
        </w:rPr>
      </w:pPr>
      <w:r w:rsidRPr="00220850">
        <w:rPr>
          <w:rFonts w:eastAsia="TimesNewRoman,Bold"/>
          <w:b/>
          <w:bCs/>
          <w:sz w:val="22"/>
          <w:szCs w:val="22"/>
        </w:rPr>
        <w:t>4</w:t>
      </w:r>
      <w:r w:rsidR="00DB2BDB" w:rsidRPr="00220850">
        <w:rPr>
          <w:rFonts w:eastAsia="TimesNewRoman,Bold"/>
          <w:b/>
          <w:bCs/>
          <w:sz w:val="22"/>
          <w:szCs w:val="22"/>
        </w:rPr>
        <w:t xml:space="preserve"> lentelė. Metinis FGPT sumažėjimo (ml) rodmuo tyrimų INPULSIS-1 ir INPULSIS-2 metu bei bendri jų duomenys </w:t>
      </w:r>
      <w:r w:rsidR="007C4A52" w:rsidRPr="00220850">
        <w:rPr>
          <w:rFonts w:eastAsia="TimesNewRoman,Bold"/>
          <w:b/>
          <w:bCs/>
          <w:sz w:val="22"/>
          <w:szCs w:val="22"/>
        </w:rPr>
        <w:t>–</w:t>
      </w:r>
      <w:r w:rsidR="00DB2BDB" w:rsidRPr="00220850">
        <w:rPr>
          <w:rFonts w:eastAsia="TimesNewRoman,Bold"/>
          <w:b/>
          <w:bCs/>
          <w:sz w:val="22"/>
          <w:szCs w:val="22"/>
        </w:rPr>
        <w:t xml:space="preserve"> gydyt</w:t>
      </w:r>
      <w:r w:rsidR="007C4A52" w:rsidRPr="00220850">
        <w:rPr>
          <w:rFonts w:eastAsia="TimesNewRoman,Bold"/>
          <w:b/>
          <w:bCs/>
          <w:sz w:val="22"/>
          <w:szCs w:val="22"/>
        </w:rPr>
        <w:t xml:space="preserve">ųjų </w:t>
      </w:r>
      <w:r w:rsidR="00DB2BDB" w:rsidRPr="00220850">
        <w:rPr>
          <w:rFonts w:eastAsia="TimesNewRoman,Bold"/>
          <w:b/>
          <w:bCs/>
          <w:sz w:val="22"/>
          <w:szCs w:val="22"/>
        </w:rPr>
        <w:t>grupė</w:t>
      </w:r>
    </w:p>
    <w:p w14:paraId="48A0185F" w14:textId="77777777" w:rsidR="00740E6E" w:rsidRPr="00220850" w:rsidRDefault="00740E6E">
      <w:pPr>
        <w:rPr>
          <w:sz w:val="22"/>
          <w:szCs w:val="22"/>
        </w:rPr>
      </w:pPr>
    </w:p>
    <w:tbl>
      <w:tblPr>
        <w:tblStyle w:val="Lentelstinklelis"/>
        <w:tblW w:w="5000" w:type="pct"/>
        <w:tblLook w:val="04A0" w:firstRow="1" w:lastRow="0" w:firstColumn="1" w:lastColumn="0" w:noHBand="0" w:noVBand="1"/>
      </w:tblPr>
      <w:tblGrid>
        <w:gridCol w:w="1957"/>
        <w:gridCol w:w="986"/>
        <w:gridCol w:w="1377"/>
        <w:gridCol w:w="1000"/>
        <w:gridCol w:w="1377"/>
        <w:gridCol w:w="986"/>
        <w:gridCol w:w="1377"/>
      </w:tblGrid>
      <w:tr w:rsidR="00DB2BDB" w:rsidRPr="00220850" w14:paraId="26278306" w14:textId="77777777" w:rsidTr="00612AB0">
        <w:trPr>
          <w:tblHeader/>
        </w:trPr>
        <w:tc>
          <w:tcPr>
            <w:tcW w:w="1129" w:type="pct"/>
            <w:vMerge w:val="restart"/>
          </w:tcPr>
          <w:p w14:paraId="40D3DCBD" w14:textId="77777777" w:rsidR="00DB2BDB" w:rsidRPr="00220850" w:rsidRDefault="00DB2BDB" w:rsidP="006B71F6">
            <w:pPr>
              <w:autoSpaceDE w:val="0"/>
              <w:autoSpaceDN w:val="0"/>
              <w:adjustRightInd w:val="0"/>
              <w:rPr>
                <w:sz w:val="22"/>
                <w:szCs w:val="22"/>
                <w:lang w:val="lt-LT"/>
              </w:rPr>
            </w:pPr>
          </w:p>
        </w:tc>
        <w:tc>
          <w:tcPr>
            <w:tcW w:w="1242" w:type="pct"/>
            <w:gridSpan w:val="2"/>
          </w:tcPr>
          <w:p w14:paraId="1AC80B8A" w14:textId="77777777" w:rsidR="00DB2BDB" w:rsidRPr="00220850" w:rsidRDefault="00DB2BDB" w:rsidP="006B71F6">
            <w:pPr>
              <w:autoSpaceDE w:val="0"/>
              <w:autoSpaceDN w:val="0"/>
              <w:adjustRightInd w:val="0"/>
              <w:jc w:val="center"/>
              <w:rPr>
                <w:b/>
                <w:sz w:val="22"/>
                <w:szCs w:val="22"/>
              </w:rPr>
            </w:pPr>
            <w:r w:rsidRPr="00220850">
              <w:rPr>
                <w:b/>
                <w:sz w:val="22"/>
                <w:szCs w:val="22"/>
              </w:rPr>
              <w:t>INPULSIS</w:t>
            </w:r>
            <w:r w:rsidRPr="00220850">
              <w:rPr>
                <w:b/>
                <w:sz w:val="22"/>
                <w:szCs w:val="22"/>
              </w:rPr>
              <w:noBreakHyphen/>
              <w:t>1</w:t>
            </w:r>
          </w:p>
        </w:tc>
        <w:tc>
          <w:tcPr>
            <w:tcW w:w="1354" w:type="pct"/>
            <w:gridSpan w:val="2"/>
          </w:tcPr>
          <w:p w14:paraId="076F6E8D" w14:textId="77777777" w:rsidR="00DB2BDB" w:rsidRPr="00220850" w:rsidRDefault="00DB2BDB" w:rsidP="006B71F6">
            <w:pPr>
              <w:autoSpaceDE w:val="0"/>
              <w:autoSpaceDN w:val="0"/>
              <w:adjustRightInd w:val="0"/>
              <w:jc w:val="center"/>
              <w:rPr>
                <w:b/>
                <w:sz w:val="22"/>
                <w:szCs w:val="22"/>
                <w:lang w:val="lt-LT"/>
              </w:rPr>
            </w:pPr>
            <w:r w:rsidRPr="00220850">
              <w:rPr>
                <w:b/>
                <w:sz w:val="22"/>
                <w:szCs w:val="22"/>
                <w:lang w:val="lt-LT"/>
              </w:rPr>
              <w:t>INPULSIS</w:t>
            </w:r>
            <w:r w:rsidRPr="00220850">
              <w:rPr>
                <w:b/>
                <w:sz w:val="22"/>
                <w:szCs w:val="22"/>
                <w:lang w:val="lt-LT"/>
              </w:rPr>
              <w:noBreakHyphen/>
              <w:t>2</w:t>
            </w:r>
          </w:p>
        </w:tc>
        <w:tc>
          <w:tcPr>
            <w:tcW w:w="1275" w:type="pct"/>
            <w:gridSpan w:val="2"/>
          </w:tcPr>
          <w:p w14:paraId="58F0BA4A" w14:textId="77777777" w:rsidR="00DB2BDB" w:rsidRPr="00220850" w:rsidRDefault="00DB2BDB" w:rsidP="002E5DDD">
            <w:pPr>
              <w:autoSpaceDE w:val="0"/>
              <w:autoSpaceDN w:val="0"/>
              <w:adjustRightInd w:val="0"/>
              <w:jc w:val="center"/>
              <w:rPr>
                <w:b/>
                <w:sz w:val="22"/>
                <w:szCs w:val="22"/>
                <w:lang w:val="lt-LT"/>
              </w:rPr>
            </w:pPr>
            <w:r w:rsidRPr="00220850">
              <w:rPr>
                <w:b/>
                <w:sz w:val="22"/>
                <w:szCs w:val="22"/>
                <w:lang w:val="lt-LT"/>
              </w:rPr>
              <w:t>Jungtin</w:t>
            </w:r>
            <w:r w:rsidR="002E5DDD" w:rsidRPr="00220850">
              <w:rPr>
                <w:b/>
                <w:sz w:val="22"/>
                <w:szCs w:val="22"/>
                <w:lang w:val="lt-LT"/>
              </w:rPr>
              <w:t>iai</w:t>
            </w:r>
            <w:r w:rsidRPr="00220850">
              <w:rPr>
                <w:b/>
                <w:sz w:val="22"/>
                <w:szCs w:val="22"/>
                <w:lang w:val="lt-LT"/>
              </w:rPr>
              <w:t xml:space="preserve"> INPULSIS</w:t>
            </w:r>
            <w:r w:rsidRPr="00220850">
              <w:rPr>
                <w:b/>
                <w:sz w:val="22"/>
                <w:szCs w:val="22"/>
                <w:lang w:val="lt-LT"/>
              </w:rPr>
              <w:noBreakHyphen/>
              <w:t>1 ir INPULSIS</w:t>
            </w:r>
            <w:r w:rsidRPr="00220850">
              <w:rPr>
                <w:b/>
                <w:sz w:val="22"/>
                <w:szCs w:val="22"/>
                <w:lang w:val="lt-LT"/>
              </w:rPr>
              <w:noBreakHyphen/>
              <w:t>2</w:t>
            </w:r>
            <w:r w:rsidR="002E5DDD" w:rsidRPr="00220850">
              <w:rPr>
                <w:b/>
                <w:sz w:val="22"/>
                <w:szCs w:val="22"/>
                <w:lang w:val="lt-LT"/>
              </w:rPr>
              <w:t xml:space="preserve"> duomenys</w:t>
            </w:r>
            <w:r w:rsidRPr="00220850">
              <w:rPr>
                <w:b/>
                <w:sz w:val="22"/>
                <w:szCs w:val="22"/>
                <w:lang w:val="lt-LT"/>
              </w:rPr>
              <w:t xml:space="preserve"> </w:t>
            </w:r>
          </w:p>
        </w:tc>
      </w:tr>
      <w:tr w:rsidR="00F26990" w:rsidRPr="00220850" w14:paraId="7DF4A9F6" w14:textId="77777777" w:rsidTr="00612AB0">
        <w:trPr>
          <w:tblHeader/>
        </w:trPr>
        <w:tc>
          <w:tcPr>
            <w:tcW w:w="1129" w:type="pct"/>
            <w:vMerge/>
          </w:tcPr>
          <w:p w14:paraId="54DA445C" w14:textId="77777777" w:rsidR="00DB2BDB" w:rsidRPr="00220850" w:rsidRDefault="00DB2BDB" w:rsidP="006B71F6">
            <w:pPr>
              <w:autoSpaceDE w:val="0"/>
              <w:autoSpaceDN w:val="0"/>
              <w:adjustRightInd w:val="0"/>
              <w:rPr>
                <w:sz w:val="22"/>
                <w:szCs w:val="22"/>
                <w:lang w:val="fr-FR"/>
              </w:rPr>
            </w:pPr>
          </w:p>
        </w:tc>
        <w:tc>
          <w:tcPr>
            <w:tcW w:w="490" w:type="pct"/>
          </w:tcPr>
          <w:p w14:paraId="547D6CB1" w14:textId="77777777" w:rsidR="00DB2BDB" w:rsidRPr="00220850" w:rsidRDefault="00331A5B" w:rsidP="006B71F6">
            <w:pPr>
              <w:autoSpaceDE w:val="0"/>
              <w:autoSpaceDN w:val="0"/>
              <w:adjustRightInd w:val="0"/>
              <w:jc w:val="center"/>
              <w:rPr>
                <w:sz w:val="22"/>
                <w:szCs w:val="22"/>
              </w:rPr>
            </w:pPr>
            <w:proofErr w:type="spellStart"/>
            <w:r w:rsidRPr="00220850">
              <w:rPr>
                <w:sz w:val="22"/>
                <w:szCs w:val="22"/>
              </w:rPr>
              <w:t>Placebas</w:t>
            </w:r>
            <w:proofErr w:type="spellEnd"/>
          </w:p>
        </w:tc>
        <w:tc>
          <w:tcPr>
            <w:tcW w:w="752" w:type="pct"/>
          </w:tcPr>
          <w:p w14:paraId="6ABF9206" w14:textId="77777777" w:rsidR="00DB2BDB" w:rsidRPr="00220850" w:rsidRDefault="00DB2BDB" w:rsidP="00DB2BDB">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601" w:type="pct"/>
          </w:tcPr>
          <w:p w14:paraId="5251D435" w14:textId="77777777" w:rsidR="00DB2BDB" w:rsidRPr="00220850" w:rsidRDefault="00DB2BDB" w:rsidP="00331A5B">
            <w:pPr>
              <w:autoSpaceDE w:val="0"/>
              <w:autoSpaceDN w:val="0"/>
              <w:adjustRightInd w:val="0"/>
              <w:jc w:val="center"/>
              <w:rPr>
                <w:sz w:val="22"/>
                <w:szCs w:val="22"/>
              </w:rPr>
            </w:pPr>
            <w:proofErr w:type="spellStart"/>
            <w:r w:rsidRPr="00220850">
              <w:rPr>
                <w:sz w:val="22"/>
                <w:szCs w:val="22"/>
              </w:rPr>
              <w:t>Placeb</w:t>
            </w:r>
            <w:r w:rsidR="00331A5B" w:rsidRPr="00220850">
              <w:rPr>
                <w:sz w:val="22"/>
                <w:szCs w:val="22"/>
              </w:rPr>
              <w:t>as</w:t>
            </w:r>
            <w:proofErr w:type="spellEnd"/>
          </w:p>
        </w:tc>
        <w:tc>
          <w:tcPr>
            <w:tcW w:w="752" w:type="pct"/>
          </w:tcPr>
          <w:p w14:paraId="2846E1E7" w14:textId="77777777" w:rsidR="00DB2BDB" w:rsidRPr="00220850" w:rsidRDefault="00DB2BDB" w:rsidP="00DB2BDB">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525" w:type="pct"/>
          </w:tcPr>
          <w:p w14:paraId="42551CEE" w14:textId="77777777" w:rsidR="00DB2BDB" w:rsidRPr="00220850" w:rsidRDefault="00331A5B" w:rsidP="006B71F6">
            <w:pPr>
              <w:autoSpaceDE w:val="0"/>
              <w:autoSpaceDN w:val="0"/>
              <w:adjustRightInd w:val="0"/>
              <w:jc w:val="center"/>
              <w:rPr>
                <w:sz w:val="22"/>
                <w:szCs w:val="22"/>
                <w:lang w:val="lt-LT"/>
              </w:rPr>
            </w:pPr>
            <w:r w:rsidRPr="00220850">
              <w:rPr>
                <w:sz w:val="22"/>
                <w:szCs w:val="22"/>
                <w:lang w:val="lt-LT"/>
              </w:rPr>
              <w:t>Placebas</w:t>
            </w:r>
          </w:p>
        </w:tc>
        <w:tc>
          <w:tcPr>
            <w:tcW w:w="750" w:type="pct"/>
          </w:tcPr>
          <w:p w14:paraId="5643B146" w14:textId="77777777" w:rsidR="00DB2BDB" w:rsidRPr="00220850" w:rsidRDefault="00DB2BDB" w:rsidP="006B71F6">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F26990" w:rsidRPr="00220850" w14:paraId="457CB380" w14:textId="77777777" w:rsidTr="00612AB0">
        <w:tc>
          <w:tcPr>
            <w:tcW w:w="1129" w:type="pct"/>
          </w:tcPr>
          <w:p w14:paraId="2E2932E9" w14:textId="77777777" w:rsidR="00DB2BDB" w:rsidRPr="00220850" w:rsidRDefault="00DB2BDB" w:rsidP="00DB2BDB">
            <w:pPr>
              <w:autoSpaceDE w:val="0"/>
              <w:autoSpaceDN w:val="0"/>
              <w:adjustRightInd w:val="0"/>
              <w:rPr>
                <w:sz w:val="22"/>
                <w:szCs w:val="22"/>
                <w:lang w:val="lt-LT"/>
              </w:rPr>
            </w:pPr>
            <w:r w:rsidRPr="00220850">
              <w:rPr>
                <w:sz w:val="22"/>
                <w:szCs w:val="22"/>
                <w:lang w:val="lt-LT"/>
              </w:rPr>
              <w:t>Tirtų pacientų skaičius</w:t>
            </w:r>
          </w:p>
        </w:tc>
        <w:tc>
          <w:tcPr>
            <w:tcW w:w="490" w:type="pct"/>
            <w:vAlign w:val="bottom"/>
          </w:tcPr>
          <w:p w14:paraId="7D92E7E3" w14:textId="77777777" w:rsidR="00DB2BDB" w:rsidRPr="00220850" w:rsidRDefault="00DB2BDB" w:rsidP="006B71F6">
            <w:pPr>
              <w:autoSpaceDE w:val="0"/>
              <w:autoSpaceDN w:val="0"/>
              <w:adjustRightInd w:val="0"/>
              <w:jc w:val="center"/>
              <w:rPr>
                <w:sz w:val="22"/>
                <w:szCs w:val="22"/>
              </w:rPr>
            </w:pPr>
            <w:r w:rsidRPr="00220850">
              <w:rPr>
                <w:sz w:val="22"/>
                <w:szCs w:val="22"/>
              </w:rPr>
              <w:t>204</w:t>
            </w:r>
          </w:p>
        </w:tc>
        <w:tc>
          <w:tcPr>
            <w:tcW w:w="752" w:type="pct"/>
            <w:vAlign w:val="bottom"/>
          </w:tcPr>
          <w:p w14:paraId="07D6E81A" w14:textId="77777777" w:rsidR="00DB2BDB" w:rsidRPr="00220850" w:rsidRDefault="00DB2BDB" w:rsidP="006B71F6">
            <w:pPr>
              <w:autoSpaceDE w:val="0"/>
              <w:autoSpaceDN w:val="0"/>
              <w:adjustRightInd w:val="0"/>
              <w:jc w:val="center"/>
              <w:rPr>
                <w:sz w:val="22"/>
                <w:szCs w:val="22"/>
              </w:rPr>
            </w:pPr>
            <w:r w:rsidRPr="00220850">
              <w:rPr>
                <w:sz w:val="22"/>
                <w:szCs w:val="22"/>
              </w:rPr>
              <w:t>309</w:t>
            </w:r>
          </w:p>
        </w:tc>
        <w:tc>
          <w:tcPr>
            <w:tcW w:w="601" w:type="pct"/>
            <w:vAlign w:val="bottom"/>
          </w:tcPr>
          <w:p w14:paraId="5A92F201" w14:textId="77777777" w:rsidR="00DB2BDB" w:rsidRPr="00220850" w:rsidRDefault="00DB2BDB" w:rsidP="006B71F6">
            <w:pPr>
              <w:autoSpaceDE w:val="0"/>
              <w:autoSpaceDN w:val="0"/>
              <w:adjustRightInd w:val="0"/>
              <w:jc w:val="center"/>
              <w:rPr>
                <w:sz w:val="22"/>
                <w:szCs w:val="22"/>
              </w:rPr>
            </w:pPr>
            <w:r w:rsidRPr="00220850">
              <w:rPr>
                <w:sz w:val="22"/>
                <w:szCs w:val="22"/>
              </w:rPr>
              <w:t>219</w:t>
            </w:r>
          </w:p>
        </w:tc>
        <w:tc>
          <w:tcPr>
            <w:tcW w:w="752" w:type="pct"/>
            <w:vAlign w:val="bottom"/>
          </w:tcPr>
          <w:p w14:paraId="525AF1EB"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329</w:t>
            </w:r>
          </w:p>
        </w:tc>
        <w:tc>
          <w:tcPr>
            <w:tcW w:w="525" w:type="pct"/>
            <w:vAlign w:val="bottom"/>
          </w:tcPr>
          <w:p w14:paraId="05FFB13F"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423</w:t>
            </w:r>
          </w:p>
        </w:tc>
        <w:tc>
          <w:tcPr>
            <w:tcW w:w="750" w:type="pct"/>
            <w:vAlign w:val="bottom"/>
          </w:tcPr>
          <w:p w14:paraId="3D3F6E71"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638</w:t>
            </w:r>
          </w:p>
        </w:tc>
      </w:tr>
      <w:tr w:rsidR="00F26990" w:rsidRPr="00220850" w14:paraId="64ADA06A" w14:textId="77777777" w:rsidTr="00612AB0">
        <w:tc>
          <w:tcPr>
            <w:tcW w:w="1129" w:type="pct"/>
          </w:tcPr>
          <w:p w14:paraId="5BFF1628" w14:textId="19987F84" w:rsidR="00DB2BDB" w:rsidRPr="00220850" w:rsidRDefault="00DB2BDB" w:rsidP="00F26990">
            <w:pPr>
              <w:autoSpaceDE w:val="0"/>
              <w:autoSpaceDN w:val="0"/>
              <w:adjustRightInd w:val="0"/>
              <w:rPr>
                <w:sz w:val="22"/>
                <w:szCs w:val="22"/>
                <w:lang w:val="lt-LT"/>
              </w:rPr>
            </w:pPr>
            <w:r w:rsidRPr="00220850">
              <w:rPr>
                <w:sz w:val="22"/>
                <w:szCs w:val="22"/>
                <w:lang w:val="lt-LT"/>
              </w:rPr>
              <w:t>Sumažėjimo</w:t>
            </w:r>
            <w:r w:rsidR="00F26990" w:rsidRPr="00220850">
              <w:rPr>
                <w:sz w:val="22"/>
                <w:szCs w:val="22"/>
                <w:lang w:val="lt-LT"/>
              </w:rPr>
              <w:t xml:space="preserve"> </w:t>
            </w:r>
            <w:r w:rsidRPr="00220850">
              <w:rPr>
                <w:sz w:val="22"/>
                <w:szCs w:val="22"/>
                <w:lang w:val="lt-LT"/>
              </w:rPr>
              <w:t>per 52 savaites</w:t>
            </w:r>
            <w:r w:rsidR="00F26990" w:rsidRPr="00220850">
              <w:rPr>
                <w:sz w:val="22"/>
                <w:szCs w:val="22"/>
                <w:lang w:val="lt-LT"/>
              </w:rPr>
              <w:t xml:space="preserve"> </w:t>
            </w:r>
            <w:r w:rsidRPr="00220850">
              <w:rPr>
                <w:sz w:val="22"/>
                <w:szCs w:val="22"/>
                <w:lang w:val="lt-LT"/>
              </w:rPr>
              <w:t>rodmuo</w:t>
            </w:r>
            <w:r w:rsidRPr="00220850">
              <w:rPr>
                <w:sz w:val="22"/>
                <w:szCs w:val="22"/>
                <w:vertAlign w:val="superscript"/>
                <w:lang w:val="lt-LT"/>
              </w:rPr>
              <w:t>1</w:t>
            </w:r>
            <w:r w:rsidRPr="00220850">
              <w:rPr>
                <w:sz w:val="22"/>
                <w:szCs w:val="22"/>
                <w:lang w:val="lt-LT"/>
              </w:rPr>
              <w:t xml:space="preserve"> (</w:t>
            </w:r>
            <w:r w:rsidR="00A20D84" w:rsidRPr="00220850">
              <w:rPr>
                <w:sz w:val="22"/>
                <w:szCs w:val="22"/>
                <w:lang w:val="lt-LT"/>
              </w:rPr>
              <w:t xml:space="preserve">standartinė paklaida (angl. </w:t>
            </w:r>
            <w:r w:rsidR="00A20D84" w:rsidRPr="00220850">
              <w:rPr>
                <w:i/>
                <w:sz w:val="22"/>
                <w:szCs w:val="22"/>
              </w:rPr>
              <w:t xml:space="preserve">standard </w:t>
            </w:r>
            <w:r w:rsidR="00A20D84" w:rsidRPr="00220850">
              <w:rPr>
                <w:i/>
                <w:sz w:val="22"/>
              </w:rPr>
              <w:t>error</w:t>
            </w:r>
            <w:r w:rsidR="00A20D84" w:rsidRPr="00220850">
              <w:rPr>
                <w:sz w:val="22"/>
              </w:rPr>
              <w:t>,)</w:t>
            </w:r>
            <w:r w:rsidR="009C44D6" w:rsidRPr="00220850">
              <w:rPr>
                <w:sz w:val="22"/>
                <w:szCs w:val="22"/>
              </w:rPr>
              <w:t xml:space="preserve"> </w:t>
            </w:r>
            <w:r w:rsidRPr="00220850">
              <w:rPr>
                <w:sz w:val="22"/>
              </w:rPr>
              <w:t>SP)</w:t>
            </w:r>
          </w:p>
        </w:tc>
        <w:tc>
          <w:tcPr>
            <w:tcW w:w="490" w:type="pct"/>
            <w:vAlign w:val="bottom"/>
          </w:tcPr>
          <w:p w14:paraId="6401E282" w14:textId="77777777" w:rsidR="00DB2BDB" w:rsidRPr="00220850" w:rsidRDefault="00DB2BDB" w:rsidP="00F26990">
            <w:pPr>
              <w:autoSpaceDE w:val="0"/>
              <w:autoSpaceDN w:val="0"/>
              <w:adjustRightInd w:val="0"/>
              <w:jc w:val="center"/>
              <w:rPr>
                <w:sz w:val="22"/>
                <w:szCs w:val="22"/>
              </w:rPr>
            </w:pPr>
            <w:r w:rsidRPr="00220850">
              <w:rPr>
                <w:sz w:val="22"/>
                <w:szCs w:val="22"/>
              </w:rPr>
              <w:t>−239,9</w:t>
            </w:r>
            <w:r w:rsidR="00F26990" w:rsidRPr="00220850">
              <w:rPr>
                <w:sz w:val="22"/>
                <w:szCs w:val="22"/>
              </w:rPr>
              <w:t xml:space="preserve"> </w:t>
            </w:r>
            <w:r w:rsidRPr="00220850">
              <w:rPr>
                <w:sz w:val="22"/>
                <w:szCs w:val="22"/>
              </w:rPr>
              <w:t>(18,71)</w:t>
            </w:r>
          </w:p>
        </w:tc>
        <w:tc>
          <w:tcPr>
            <w:tcW w:w="752" w:type="pct"/>
            <w:vAlign w:val="bottom"/>
          </w:tcPr>
          <w:p w14:paraId="375B773C" w14:textId="77777777" w:rsidR="00DB2BDB" w:rsidRPr="00220850" w:rsidRDefault="00DB2BDB" w:rsidP="00F26990">
            <w:pPr>
              <w:autoSpaceDE w:val="0"/>
              <w:autoSpaceDN w:val="0"/>
              <w:adjustRightInd w:val="0"/>
              <w:jc w:val="center"/>
              <w:rPr>
                <w:sz w:val="22"/>
                <w:szCs w:val="22"/>
              </w:rPr>
            </w:pPr>
            <w:r w:rsidRPr="00220850">
              <w:rPr>
                <w:sz w:val="22"/>
                <w:szCs w:val="22"/>
              </w:rPr>
              <w:t>−114,7</w:t>
            </w:r>
            <w:r w:rsidR="00E9384E" w:rsidRPr="00220850">
              <w:rPr>
                <w:sz w:val="22"/>
                <w:szCs w:val="22"/>
              </w:rPr>
              <w:t xml:space="preserve"> </w:t>
            </w:r>
            <w:r w:rsidRPr="00220850">
              <w:rPr>
                <w:sz w:val="22"/>
                <w:szCs w:val="22"/>
              </w:rPr>
              <w:t>(15,33)</w:t>
            </w:r>
          </w:p>
        </w:tc>
        <w:tc>
          <w:tcPr>
            <w:tcW w:w="601" w:type="pct"/>
            <w:vAlign w:val="bottom"/>
          </w:tcPr>
          <w:p w14:paraId="4AFA02C0" w14:textId="77777777" w:rsidR="00DB2BDB" w:rsidRPr="00220850" w:rsidRDefault="00DB2BDB" w:rsidP="00F26990">
            <w:pPr>
              <w:autoSpaceDE w:val="0"/>
              <w:autoSpaceDN w:val="0"/>
              <w:adjustRightInd w:val="0"/>
              <w:jc w:val="center"/>
              <w:rPr>
                <w:sz w:val="22"/>
                <w:szCs w:val="22"/>
              </w:rPr>
            </w:pPr>
            <w:r w:rsidRPr="00220850">
              <w:rPr>
                <w:sz w:val="22"/>
                <w:szCs w:val="22"/>
              </w:rPr>
              <w:t>−207,3</w:t>
            </w:r>
            <w:r w:rsidR="00F26990" w:rsidRPr="00220850">
              <w:rPr>
                <w:sz w:val="22"/>
                <w:szCs w:val="22"/>
              </w:rPr>
              <w:t xml:space="preserve"> </w:t>
            </w:r>
            <w:r w:rsidRPr="00220850">
              <w:rPr>
                <w:sz w:val="22"/>
                <w:szCs w:val="22"/>
              </w:rPr>
              <w:t>(19,31)</w:t>
            </w:r>
          </w:p>
        </w:tc>
        <w:tc>
          <w:tcPr>
            <w:tcW w:w="752" w:type="pct"/>
            <w:vAlign w:val="bottom"/>
          </w:tcPr>
          <w:p w14:paraId="7448644D" w14:textId="77777777" w:rsidR="00DB2BDB" w:rsidRPr="00220850" w:rsidRDefault="00DB2BDB" w:rsidP="00E9384E">
            <w:pPr>
              <w:autoSpaceDE w:val="0"/>
              <w:autoSpaceDN w:val="0"/>
              <w:adjustRightInd w:val="0"/>
              <w:jc w:val="center"/>
              <w:rPr>
                <w:sz w:val="22"/>
                <w:szCs w:val="22"/>
                <w:lang w:val="lt-LT"/>
              </w:rPr>
            </w:pPr>
            <w:r w:rsidRPr="00220850">
              <w:rPr>
                <w:sz w:val="22"/>
                <w:szCs w:val="22"/>
                <w:lang w:val="lt-LT"/>
              </w:rPr>
              <w:t>−113,6</w:t>
            </w:r>
            <w:r w:rsidR="00F26990" w:rsidRPr="00220850">
              <w:rPr>
                <w:sz w:val="22"/>
                <w:szCs w:val="22"/>
                <w:lang w:val="lt-LT"/>
              </w:rPr>
              <w:t xml:space="preserve"> </w:t>
            </w:r>
            <w:r w:rsidRPr="00220850">
              <w:rPr>
                <w:sz w:val="22"/>
                <w:szCs w:val="22"/>
                <w:lang w:val="lt-LT"/>
              </w:rPr>
              <w:t>(15,73)</w:t>
            </w:r>
          </w:p>
        </w:tc>
        <w:tc>
          <w:tcPr>
            <w:tcW w:w="525" w:type="pct"/>
            <w:vAlign w:val="bottom"/>
          </w:tcPr>
          <w:p w14:paraId="183CD509" w14:textId="77777777" w:rsidR="00DB2BDB" w:rsidRPr="00220850" w:rsidRDefault="00DB2BDB" w:rsidP="00F26990">
            <w:pPr>
              <w:autoSpaceDE w:val="0"/>
              <w:autoSpaceDN w:val="0"/>
              <w:adjustRightInd w:val="0"/>
              <w:jc w:val="center"/>
              <w:rPr>
                <w:sz w:val="22"/>
                <w:szCs w:val="22"/>
                <w:lang w:val="lt-LT"/>
              </w:rPr>
            </w:pPr>
            <w:r w:rsidRPr="00220850">
              <w:rPr>
                <w:sz w:val="22"/>
                <w:szCs w:val="22"/>
                <w:lang w:val="lt-LT"/>
              </w:rPr>
              <w:t>−223,5</w:t>
            </w:r>
            <w:r w:rsidR="00F26990" w:rsidRPr="00220850">
              <w:rPr>
                <w:sz w:val="22"/>
                <w:szCs w:val="22"/>
                <w:lang w:val="lt-LT"/>
              </w:rPr>
              <w:t xml:space="preserve"> </w:t>
            </w:r>
            <w:r w:rsidRPr="00220850">
              <w:rPr>
                <w:sz w:val="22"/>
                <w:szCs w:val="22"/>
                <w:lang w:val="lt-LT"/>
              </w:rPr>
              <w:t>(13,45)</w:t>
            </w:r>
          </w:p>
        </w:tc>
        <w:tc>
          <w:tcPr>
            <w:tcW w:w="750" w:type="pct"/>
            <w:vAlign w:val="bottom"/>
          </w:tcPr>
          <w:p w14:paraId="70C585DF" w14:textId="77777777" w:rsidR="00DB2BDB" w:rsidRPr="00220850" w:rsidRDefault="00DB2BDB" w:rsidP="00F26990">
            <w:pPr>
              <w:autoSpaceDE w:val="0"/>
              <w:autoSpaceDN w:val="0"/>
              <w:adjustRightInd w:val="0"/>
              <w:jc w:val="center"/>
              <w:rPr>
                <w:sz w:val="22"/>
                <w:szCs w:val="22"/>
                <w:lang w:val="lt-LT"/>
              </w:rPr>
            </w:pPr>
            <w:r w:rsidRPr="00220850">
              <w:rPr>
                <w:sz w:val="22"/>
                <w:szCs w:val="22"/>
                <w:lang w:val="lt-LT"/>
              </w:rPr>
              <w:t>−113,6</w:t>
            </w:r>
            <w:r w:rsidR="00F26990" w:rsidRPr="00220850">
              <w:rPr>
                <w:sz w:val="22"/>
                <w:szCs w:val="22"/>
                <w:lang w:val="lt-LT"/>
              </w:rPr>
              <w:t xml:space="preserve"> </w:t>
            </w:r>
            <w:r w:rsidRPr="00220850">
              <w:rPr>
                <w:sz w:val="22"/>
                <w:szCs w:val="22"/>
                <w:lang w:val="lt-LT"/>
              </w:rPr>
              <w:t>(10,98)</w:t>
            </w:r>
          </w:p>
        </w:tc>
      </w:tr>
      <w:tr w:rsidR="00DB2BDB" w:rsidRPr="00220850" w14:paraId="562F799F" w14:textId="77777777" w:rsidTr="006B71F6">
        <w:tc>
          <w:tcPr>
            <w:tcW w:w="5000" w:type="pct"/>
            <w:gridSpan w:val="7"/>
          </w:tcPr>
          <w:p w14:paraId="73EFEBA1" w14:textId="77777777" w:rsidR="00DB2BDB" w:rsidRPr="00220850" w:rsidRDefault="00DB2BDB" w:rsidP="00DB2BDB">
            <w:pPr>
              <w:autoSpaceDE w:val="0"/>
              <w:autoSpaceDN w:val="0"/>
              <w:adjustRightInd w:val="0"/>
              <w:rPr>
                <w:sz w:val="22"/>
                <w:szCs w:val="22"/>
                <w:lang w:val="lt-LT"/>
              </w:rPr>
            </w:pPr>
            <w:r w:rsidRPr="00220850">
              <w:rPr>
                <w:sz w:val="22"/>
                <w:szCs w:val="22"/>
                <w:lang w:val="lt-LT"/>
              </w:rPr>
              <w:t>Palyginimas su placebu</w:t>
            </w:r>
          </w:p>
        </w:tc>
      </w:tr>
      <w:tr w:rsidR="00F26990" w:rsidRPr="00220850" w14:paraId="6F969F12" w14:textId="77777777" w:rsidTr="00612AB0">
        <w:tc>
          <w:tcPr>
            <w:tcW w:w="1129" w:type="pct"/>
          </w:tcPr>
          <w:p w14:paraId="7659A598" w14:textId="77777777" w:rsidR="00DB2BDB" w:rsidRPr="00220850" w:rsidRDefault="00DB2BDB" w:rsidP="006B71F6">
            <w:pPr>
              <w:autoSpaceDE w:val="0"/>
              <w:autoSpaceDN w:val="0"/>
              <w:adjustRightInd w:val="0"/>
              <w:rPr>
                <w:sz w:val="22"/>
                <w:szCs w:val="22"/>
                <w:lang w:val="lt-LT"/>
              </w:rPr>
            </w:pPr>
            <w:r w:rsidRPr="00220850">
              <w:rPr>
                <w:sz w:val="22"/>
                <w:szCs w:val="22"/>
                <w:lang w:val="lt-LT"/>
              </w:rPr>
              <w:t>Skirtumas</w:t>
            </w:r>
            <w:r w:rsidRPr="00220850">
              <w:rPr>
                <w:sz w:val="22"/>
                <w:szCs w:val="22"/>
                <w:vertAlign w:val="superscript"/>
                <w:lang w:val="lt-LT"/>
              </w:rPr>
              <w:t>1</w:t>
            </w:r>
          </w:p>
        </w:tc>
        <w:tc>
          <w:tcPr>
            <w:tcW w:w="490" w:type="pct"/>
          </w:tcPr>
          <w:p w14:paraId="6832BA71" w14:textId="77777777" w:rsidR="00DB2BDB" w:rsidRPr="00220850" w:rsidRDefault="00DB2BDB" w:rsidP="006B71F6">
            <w:pPr>
              <w:autoSpaceDE w:val="0"/>
              <w:autoSpaceDN w:val="0"/>
              <w:adjustRightInd w:val="0"/>
              <w:rPr>
                <w:sz w:val="22"/>
                <w:szCs w:val="22"/>
              </w:rPr>
            </w:pPr>
          </w:p>
        </w:tc>
        <w:tc>
          <w:tcPr>
            <w:tcW w:w="752" w:type="pct"/>
            <w:vAlign w:val="center"/>
          </w:tcPr>
          <w:p w14:paraId="7D277590" w14:textId="77777777" w:rsidR="00DB2BDB" w:rsidRPr="00220850" w:rsidRDefault="00DB2BDB" w:rsidP="00DB2BDB">
            <w:pPr>
              <w:autoSpaceDE w:val="0"/>
              <w:autoSpaceDN w:val="0"/>
              <w:adjustRightInd w:val="0"/>
              <w:jc w:val="center"/>
              <w:rPr>
                <w:sz w:val="22"/>
                <w:szCs w:val="22"/>
              </w:rPr>
            </w:pPr>
            <w:r w:rsidRPr="00220850">
              <w:rPr>
                <w:sz w:val="22"/>
                <w:szCs w:val="22"/>
              </w:rPr>
              <w:t>125,3</w:t>
            </w:r>
          </w:p>
        </w:tc>
        <w:tc>
          <w:tcPr>
            <w:tcW w:w="601" w:type="pct"/>
            <w:vAlign w:val="center"/>
          </w:tcPr>
          <w:p w14:paraId="6DD60075" w14:textId="77777777" w:rsidR="00DB2BDB" w:rsidRPr="00220850" w:rsidRDefault="00DB2BDB" w:rsidP="006B71F6">
            <w:pPr>
              <w:autoSpaceDE w:val="0"/>
              <w:autoSpaceDN w:val="0"/>
              <w:adjustRightInd w:val="0"/>
              <w:jc w:val="center"/>
              <w:rPr>
                <w:sz w:val="22"/>
                <w:szCs w:val="22"/>
              </w:rPr>
            </w:pPr>
          </w:p>
        </w:tc>
        <w:tc>
          <w:tcPr>
            <w:tcW w:w="752" w:type="pct"/>
            <w:vAlign w:val="center"/>
          </w:tcPr>
          <w:p w14:paraId="45DC7F1E"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93,7</w:t>
            </w:r>
          </w:p>
        </w:tc>
        <w:tc>
          <w:tcPr>
            <w:tcW w:w="525" w:type="pct"/>
            <w:vAlign w:val="center"/>
          </w:tcPr>
          <w:p w14:paraId="37056A0E" w14:textId="77777777" w:rsidR="00DB2BDB" w:rsidRPr="00220850" w:rsidRDefault="00DB2BDB" w:rsidP="006B71F6">
            <w:pPr>
              <w:autoSpaceDE w:val="0"/>
              <w:autoSpaceDN w:val="0"/>
              <w:adjustRightInd w:val="0"/>
              <w:jc w:val="center"/>
              <w:rPr>
                <w:sz w:val="22"/>
                <w:szCs w:val="22"/>
                <w:lang w:val="lt-LT"/>
              </w:rPr>
            </w:pPr>
          </w:p>
        </w:tc>
        <w:tc>
          <w:tcPr>
            <w:tcW w:w="750" w:type="pct"/>
            <w:vAlign w:val="center"/>
          </w:tcPr>
          <w:p w14:paraId="65C271DA"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109,9</w:t>
            </w:r>
          </w:p>
        </w:tc>
      </w:tr>
      <w:tr w:rsidR="00F26990" w:rsidRPr="00220850" w14:paraId="6314AE57" w14:textId="77777777" w:rsidTr="00612AB0">
        <w:tc>
          <w:tcPr>
            <w:tcW w:w="1129" w:type="pct"/>
          </w:tcPr>
          <w:p w14:paraId="00615E71" w14:textId="77777777" w:rsidR="00DB2BDB" w:rsidRPr="00220850" w:rsidRDefault="00DB2BDB" w:rsidP="006B71F6">
            <w:pPr>
              <w:autoSpaceDE w:val="0"/>
              <w:autoSpaceDN w:val="0"/>
              <w:adjustRightInd w:val="0"/>
              <w:rPr>
                <w:sz w:val="22"/>
                <w:szCs w:val="22"/>
                <w:lang w:val="lt-LT"/>
              </w:rPr>
            </w:pPr>
            <w:r w:rsidRPr="00220850">
              <w:rPr>
                <w:sz w:val="22"/>
                <w:szCs w:val="22"/>
                <w:lang w:val="lt-LT"/>
              </w:rPr>
              <w:t>95 % PI</w:t>
            </w:r>
          </w:p>
        </w:tc>
        <w:tc>
          <w:tcPr>
            <w:tcW w:w="490" w:type="pct"/>
          </w:tcPr>
          <w:p w14:paraId="3270D3EB" w14:textId="77777777" w:rsidR="00DB2BDB" w:rsidRPr="00220850" w:rsidRDefault="00DB2BDB" w:rsidP="006B71F6">
            <w:pPr>
              <w:autoSpaceDE w:val="0"/>
              <w:autoSpaceDN w:val="0"/>
              <w:adjustRightInd w:val="0"/>
              <w:rPr>
                <w:sz w:val="22"/>
                <w:szCs w:val="22"/>
              </w:rPr>
            </w:pPr>
          </w:p>
        </w:tc>
        <w:tc>
          <w:tcPr>
            <w:tcW w:w="752" w:type="pct"/>
            <w:vAlign w:val="center"/>
          </w:tcPr>
          <w:p w14:paraId="2D7EA10F" w14:textId="77777777" w:rsidR="00F26990" w:rsidRPr="00220850" w:rsidRDefault="00DB2BDB" w:rsidP="00F26990">
            <w:pPr>
              <w:autoSpaceDE w:val="0"/>
              <w:autoSpaceDN w:val="0"/>
              <w:adjustRightInd w:val="0"/>
              <w:jc w:val="center"/>
              <w:rPr>
                <w:sz w:val="22"/>
                <w:szCs w:val="22"/>
              </w:rPr>
            </w:pPr>
            <w:r w:rsidRPr="00220850">
              <w:rPr>
                <w:sz w:val="22"/>
                <w:szCs w:val="22"/>
              </w:rPr>
              <w:t>(77,7,</w:t>
            </w:r>
          </w:p>
          <w:p w14:paraId="6DF597A2" w14:textId="77777777" w:rsidR="00DB2BDB" w:rsidRPr="00220850" w:rsidRDefault="00DB2BDB" w:rsidP="00F26990">
            <w:pPr>
              <w:autoSpaceDE w:val="0"/>
              <w:autoSpaceDN w:val="0"/>
              <w:adjustRightInd w:val="0"/>
              <w:jc w:val="center"/>
              <w:rPr>
                <w:sz w:val="22"/>
                <w:szCs w:val="22"/>
              </w:rPr>
            </w:pPr>
            <w:r w:rsidRPr="00220850">
              <w:rPr>
                <w:sz w:val="22"/>
                <w:szCs w:val="22"/>
              </w:rPr>
              <w:t>172,8)</w:t>
            </w:r>
          </w:p>
        </w:tc>
        <w:tc>
          <w:tcPr>
            <w:tcW w:w="601" w:type="pct"/>
            <w:vAlign w:val="center"/>
          </w:tcPr>
          <w:p w14:paraId="01C7243B" w14:textId="77777777" w:rsidR="00DB2BDB" w:rsidRPr="00220850" w:rsidRDefault="00DB2BDB" w:rsidP="006B71F6">
            <w:pPr>
              <w:autoSpaceDE w:val="0"/>
              <w:autoSpaceDN w:val="0"/>
              <w:adjustRightInd w:val="0"/>
              <w:jc w:val="center"/>
              <w:rPr>
                <w:sz w:val="22"/>
                <w:szCs w:val="22"/>
              </w:rPr>
            </w:pPr>
          </w:p>
        </w:tc>
        <w:tc>
          <w:tcPr>
            <w:tcW w:w="752" w:type="pct"/>
            <w:vAlign w:val="center"/>
          </w:tcPr>
          <w:p w14:paraId="4FC5A102"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(44,8,</w:t>
            </w:r>
          </w:p>
          <w:p w14:paraId="6BBE9EB2"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142,7)</w:t>
            </w:r>
          </w:p>
        </w:tc>
        <w:tc>
          <w:tcPr>
            <w:tcW w:w="525" w:type="pct"/>
            <w:vAlign w:val="center"/>
          </w:tcPr>
          <w:p w14:paraId="0ADB02C3" w14:textId="77777777" w:rsidR="00DB2BDB" w:rsidRPr="00220850" w:rsidRDefault="00DB2BDB" w:rsidP="006B71F6">
            <w:pPr>
              <w:autoSpaceDE w:val="0"/>
              <w:autoSpaceDN w:val="0"/>
              <w:adjustRightInd w:val="0"/>
              <w:jc w:val="center"/>
              <w:rPr>
                <w:sz w:val="22"/>
                <w:szCs w:val="22"/>
                <w:lang w:val="lt-LT"/>
              </w:rPr>
            </w:pPr>
          </w:p>
        </w:tc>
        <w:tc>
          <w:tcPr>
            <w:tcW w:w="750" w:type="pct"/>
            <w:vAlign w:val="center"/>
          </w:tcPr>
          <w:p w14:paraId="0F059C21"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(75,9,</w:t>
            </w:r>
          </w:p>
          <w:p w14:paraId="654354AF"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144,0)</w:t>
            </w:r>
          </w:p>
        </w:tc>
      </w:tr>
      <w:tr w:rsidR="00F26990" w:rsidRPr="00220850" w14:paraId="36A41C3A" w14:textId="77777777" w:rsidTr="00612AB0">
        <w:tc>
          <w:tcPr>
            <w:tcW w:w="1129" w:type="pct"/>
          </w:tcPr>
          <w:p w14:paraId="2B71279C" w14:textId="77777777" w:rsidR="00DB2BDB" w:rsidRPr="00220850" w:rsidRDefault="00E9384E" w:rsidP="00DB2BDB">
            <w:pPr>
              <w:autoSpaceDE w:val="0"/>
              <w:autoSpaceDN w:val="0"/>
              <w:adjustRightInd w:val="0"/>
              <w:rPr>
                <w:sz w:val="22"/>
                <w:szCs w:val="22"/>
                <w:lang w:val="lt-LT"/>
              </w:rPr>
            </w:pPr>
            <w:r w:rsidRPr="00220850">
              <w:rPr>
                <w:sz w:val="22"/>
                <w:szCs w:val="22"/>
                <w:lang w:val="lt-LT"/>
              </w:rPr>
              <w:t xml:space="preserve">p </w:t>
            </w:r>
            <w:r w:rsidR="00DB2BDB" w:rsidRPr="00220850">
              <w:rPr>
                <w:sz w:val="22"/>
                <w:szCs w:val="22"/>
                <w:lang w:val="lt-LT"/>
              </w:rPr>
              <w:t>reikšmė</w:t>
            </w:r>
          </w:p>
        </w:tc>
        <w:tc>
          <w:tcPr>
            <w:tcW w:w="490" w:type="pct"/>
          </w:tcPr>
          <w:p w14:paraId="2F0943A5" w14:textId="77777777" w:rsidR="00DB2BDB" w:rsidRPr="00220850" w:rsidRDefault="00DB2BDB" w:rsidP="006B71F6">
            <w:pPr>
              <w:autoSpaceDE w:val="0"/>
              <w:autoSpaceDN w:val="0"/>
              <w:adjustRightInd w:val="0"/>
              <w:rPr>
                <w:sz w:val="22"/>
                <w:szCs w:val="22"/>
              </w:rPr>
            </w:pPr>
          </w:p>
        </w:tc>
        <w:tc>
          <w:tcPr>
            <w:tcW w:w="752" w:type="pct"/>
            <w:vAlign w:val="center"/>
          </w:tcPr>
          <w:p w14:paraId="1174DEB8" w14:textId="77777777" w:rsidR="00DB2BDB" w:rsidRPr="00220850" w:rsidRDefault="00DB2BDB" w:rsidP="006B71F6">
            <w:pPr>
              <w:autoSpaceDE w:val="0"/>
              <w:autoSpaceDN w:val="0"/>
              <w:adjustRightInd w:val="0"/>
              <w:jc w:val="center"/>
              <w:rPr>
                <w:sz w:val="22"/>
                <w:szCs w:val="22"/>
              </w:rPr>
            </w:pPr>
            <w:r w:rsidRPr="00220850">
              <w:rPr>
                <w:sz w:val="22"/>
                <w:szCs w:val="22"/>
              </w:rPr>
              <w:t>&lt;0,0001</w:t>
            </w:r>
          </w:p>
        </w:tc>
        <w:tc>
          <w:tcPr>
            <w:tcW w:w="601" w:type="pct"/>
            <w:vAlign w:val="center"/>
          </w:tcPr>
          <w:p w14:paraId="4B910126" w14:textId="77777777" w:rsidR="00DB2BDB" w:rsidRPr="00220850" w:rsidRDefault="00DB2BDB" w:rsidP="006B71F6">
            <w:pPr>
              <w:autoSpaceDE w:val="0"/>
              <w:autoSpaceDN w:val="0"/>
              <w:adjustRightInd w:val="0"/>
              <w:jc w:val="center"/>
              <w:rPr>
                <w:sz w:val="22"/>
                <w:szCs w:val="22"/>
              </w:rPr>
            </w:pPr>
          </w:p>
        </w:tc>
        <w:tc>
          <w:tcPr>
            <w:tcW w:w="752" w:type="pct"/>
            <w:vAlign w:val="center"/>
          </w:tcPr>
          <w:p w14:paraId="14E5F383"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0,0002</w:t>
            </w:r>
          </w:p>
        </w:tc>
        <w:tc>
          <w:tcPr>
            <w:tcW w:w="525" w:type="pct"/>
            <w:vAlign w:val="center"/>
          </w:tcPr>
          <w:p w14:paraId="54BBA0DC" w14:textId="77777777" w:rsidR="00DB2BDB" w:rsidRPr="00220850" w:rsidRDefault="00DB2BDB" w:rsidP="006B71F6">
            <w:pPr>
              <w:autoSpaceDE w:val="0"/>
              <w:autoSpaceDN w:val="0"/>
              <w:adjustRightInd w:val="0"/>
              <w:jc w:val="center"/>
              <w:rPr>
                <w:sz w:val="22"/>
                <w:szCs w:val="22"/>
                <w:lang w:val="lt-LT"/>
              </w:rPr>
            </w:pPr>
          </w:p>
        </w:tc>
        <w:tc>
          <w:tcPr>
            <w:tcW w:w="750" w:type="pct"/>
            <w:vAlign w:val="center"/>
          </w:tcPr>
          <w:p w14:paraId="3D170192" w14:textId="77777777" w:rsidR="00DB2BDB" w:rsidRPr="00220850" w:rsidRDefault="00DB2BDB" w:rsidP="006B71F6">
            <w:pPr>
              <w:autoSpaceDE w:val="0"/>
              <w:autoSpaceDN w:val="0"/>
              <w:adjustRightInd w:val="0"/>
              <w:jc w:val="center"/>
              <w:rPr>
                <w:sz w:val="22"/>
                <w:szCs w:val="22"/>
                <w:lang w:val="lt-LT"/>
              </w:rPr>
            </w:pPr>
            <w:r w:rsidRPr="00220850">
              <w:rPr>
                <w:sz w:val="22"/>
                <w:szCs w:val="22"/>
                <w:lang w:val="lt-LT"/>
              </w:rPr>
              <w:t>&lt;0,0001</w:t>
            </w:r>
          </w:p>
        </w:tc>
      </w:tr>
    </w:tbl>
    <w:p w14:paraId="50DB9CE9" w14:textId="3D3069E5" w:rsidR="00DB2BDB" w:rsidRPr="00220850" w:rsidRDefault="00DB2BDB" w:rsidP="00DB2BDB">
      <w:pPr>
        <w:autoSpaceDE w:val="0"/>
        <w:autoSpaceDN w:val="0"/>
        <w:adjustRightInd w:val="0"/>
        <w:rPr>
          <w:sz w:val="20"/>
        </w:rPr>
      </w:pPr>
      <w:r w:rsidRPr="00220850">
        <w:rPr>
          <w:sz w:val="20"/>
          <w:vertAlign w:val="superscript"/>
        </w:rPr>
        <w:t xml:space="preserve">1 </w:t>
      </w:r>
      <w:r w:rsidRPr="00220850">
        <w:rPr>
          <w:sz w:val="20"/>
        </w:rPr>
        <w:t>Apskaičiuota remiantis atsitiktinio koeficiento regresijos modeliu</w:t>
      </w:r>
      <w:r w:rsidR="00220F21" w:rsidRPr="00220850">
        <w:rPr>
          <w:sz w:val="20"/>
        </w:rPr>
        <w:t>.</w:t>
      </w:r>
    </w:p>
    <w:p w14:paraId="141F6732" w14:textId="77777777" w:rsidR="00740E6E" w:rsidRPr="00220850" w:rsidRDefault="00DB2BDB" w:rsidP="00DB2BDB">
      <w:pPr>
        <w:autoSpaceDE w:val="0"/>
        <w:autoSpaceDN w:val="0"/>
        <w:adjustRightInd w:val="0"/>
        <w:rPr>
          <w:sz w:val="22"/>
          <w:szCs w:val="24"/>
        </w:rPr>
      </w:pPr>
      <w:r w:rsidRPr="00220850">
        <w:rPr>
          <w:sz w:val="20"/>
        </w:rPr>
        <w:t xml:space="preserve">PI: </w:t>
      </w:r>
      <w:proofErr w:type="spellStart"/>
      <w:r w:rsidRPr="00220850">
        <w:rPr>
          <w:sz w:val="20"/>
        </w:rPr>
        <w:t>pasikliautinasis</w:t>
      </w:r>
      <w:proofErr w:type="spellEnd"/>
      <w:r w:rsidRPr="00220850">
        <w:rPr>
          <w:sz w:val="20"/>
        </w:rPr>
        <w:t xml:space="preserve"> intervalas</w:t>
      </w:r>
    </w:p>
    <w:p w14:paraId="13C6A6C2" w14:textId="77777777" w:rsidR="00740E6E" w:rsidRPr="00220850" w:rsidRDefault="00740E6E">
      <w:pPr>
        <w:rPr>
          <w:sz w:val="22"/>
          <w:szCs w:val="24"/>
        </w:rPr>
      </w:pPr>
    </w:p>
    <w:p w14:paraId="46F81FCA" w14:textId="77777777" w:rsidR="000A24D2" w:rsidRPr="00220850" w:rsidRDefault="000A24D2" w:rsidP="000A24D2">
      <w:pPr>
        <w:rPr>
          <w:sz w:val="22"/>
          <w:szCs w:val="24"/>
        </w:rPr>
      </w:pPr>
      <w:r w:rsidRPr="00220850">
        <w:rPr>
          <w:sz w:val="22"/>
          <w:szCs w:val="24"/>
        </w:rPr>
        <w:t>Jautrumo analizėje, kurioje buvo laikoma, kad pacientų, kurių duomenų trūksta, 52</w:t>
      </w:r>
      <w:r w:rsidR="00612AB0" w:rsidRPr="00220850">
        <w:rPr>
          <w:sz w:val="22"/>
          <w:szCs w:val="24"/>
        </w:rPr>
        <w:t>-ą</w:t>
      </w:r>
      <w:r w:rsidRPr="00220850">
        <w:rPr>
          <w:sz w:val="22"/>
          <w:szCs w:val="24"/>
        </w:rPr>
        <w:t xml:space="preserve"> savaitę FGPT sumažėjimas po paskutinės stebėtos vertės bus toks pat, kaip ir visų placebą vartojusių pacientų, pakoreguotas metinis sumažėjimo rodmuo tarp </w:t>
      </w:r>
      <w:proofErr w:type="spellStart"/>
      <w:r w:rsidRPr="00220850">
        <w:rPr>
          <w:sz w:val="22"/>
          <w:szCs w:val="24"/>
        </w:rPr>
        <w:t>nintedanibą</w:t>
      </w:r>
      <w:proofErr w:type="spellEnd"/>
      <w:r w:rsidRPr="00220850">
        <w:rPr>
          <w:sz w:val="22"/>
          <w:szCs w:val="24"/>
        </w:rPr>
        <w:t xml:space="preserve"> vartojusių ir placebą vartojusių buvo 113,9 ml/per metus (95 % PI 69,2, 158,5) INPULSIS-1 ir 83,3  ml/</w:t>
      </w:r>
      <w:r w:rsidR="00612AB0" w:rsidRPr="00220850">
        <w:rPr>
          <w:sz w:val="22"/>
          <w:szCs w:val="24"/>
        </w:rPr>
        <w:t>p</w:t>
      </w:r>
      <w:r w:rsidRPr="00220850">
        <w:rPr>
          <w:sz w:val="22"/>
          <w:szCs w:val="24"/>
        </w:rPr>
        <w:t>er metus (95 % PI 37,6, 129,0) INPULSIS-2 tyrimuose.</w:t>
      </w:r>
    </w:p>
    <w:p w14:paraId="37E874E1" w14:textId="77777777" w:rsidR="000A24D2" w:rsidRPr="00220850" w:rsidRDefault="000A24D2" w:rsidP="000A24D2">
      <w:pPr>
        <w:rPr>
          <w:sz w:val="22"/>
          <w:szCs w:val="24"/>
        </w:rPr>
      </w:pPr>
    </w:p>
    <w:p w14:paraId="6BD8B62D" w14:textId="77777777" w:rsidR="00740E6E" w:rsidRPr="00220850" w:rsidRDefault="000A24D2" w:rsidP="000A24D2">
      <w:pPr>
        <w:rPr>
          <w:sz w:val="22"/>
          <w:szCs w:val="24"/>
        </w:rPr>
      </w:pPr>
      <w:r w:rsidRPr="00220850">
        <w:rPr>
          <w:sz w:val="22"/>
          <w:szCs w:val="24"/>
        </w:rPr>
        <w:t>1-ojoje diagramoje parodytas pokyčio kitimas nuo pradinio lygmens laikui bėgant abiejose gydymo grupėse yra paremtas bendra tyrimų INPULSIS-1 ir INPULSIS-2 analize.</w:t>
      </w:r>
    </w:p>
    <w:p w14:paraId="73D1BF66" w14:textId="77777777" w:rsidR="000A24D2" w:rsidRPr="00220850" w:rsidRDefault="000A24D2" w:rsidP="000A24D2">
      <w:pPr>
        <w:rPr>
          <w:b/>
          <w:sz w:val="22"/>
          <w:szCs w:val="24"/>
        </w:rPr>
      </w:pPr>
    </w:p>
    <w:p w14:paraId="50A8B15A" w14:textId="76983DE5" w:rsidR="000A24D2" w:rsidRPr="00220850" w:rsidRDefault="00085829" w:rsidP="000A24D2">
      <w:pPr>
        <w:rPr>
          <w:b/>
          <w:sz w:val="22"/>
          <w:szCs w:val="24"/>
        </w:rPr>
      </w:pPr>
      <w:r w:rsidRPr="00220850">
        <w:rPr>
          <w:b/>
          <w:sz w:val="22"/>
          <w:szCs w:val="24"/>
        </w:rPr>
        <w:t xml:space="preserve">1 pav. </w:t>
      </w:r>
      <w:r w:rsidR="00157637" w:rsidRPr="00220850">
        <w:rPr>
          <w:b/>
          <w:sz w:val="22"/>
          <w:szCs w:val="24"/>
        </w:rPr>
        <w:t>Pa</w:t>
      </w:r>
      <w:r w:rsidR="00220F21" w:rsidRPr="00220850">
        <w:rPr>
          <w:b/>
          <w:sz w:val="22"/>
          <w:szCs w:val="24"/>
        </w:rPr>
        <w:t>s</w:t>
      </w:r>
      <w:r w:rsidR="000A24D2" w:rsidRPr="00220850">
        <w:rPr>
          <w:b/>
          <w:sz w:val="22"/>
          <w:szCs w:val="24"/>
        </w:rPr>
        <w:t>tebėto FGPT pokyčio nuo pradinio lyg</w:t>
      </w:r>
      <w:r w:rsidR="00BD4C10" w:rsidRPr="00220850">
        <w:rPr>
          <w:b/>
          <w:sz w:val="22"/>
          <w:szCs w:val="24"/>
        </w:rPr>
        <w:t>io</w:t>
      </w:r>
      <w:r w:rsidR="000A24D2" w:rsidRPr="00220850">
        <w:rPr>
          <w:b/>
          <w:sz w:val="22"/>
          <w:szCs w:val="24"/>
        </w:rPr>
        <w:t xml:space="preserve"> (ml) laikui bėgant vidurkis (</w:t>
      </w:r>
      <w:r w:rsidRPr="00220850">
        <w:rPr>
          <w:b/>
          <w:sz w:val="22"/>
          <w:szCs w:val="24"/>
        </w:rPr>
        <w:t xml:space="preserve">standartinė vidurkio paklaida, angl. </w:t>
      </w:r>
      <w:proofErr w:type="spellStart"/>
      <w:r w:rsidR="00A20D84" w:rsidRPr="00220850">
        <w:rPr>
          <w:b/>
          <w:i/>
          <w:sz w:val="22"/>
          <w:szCs w:val="24"/>
        </w:rPr>
        <w:t>standard</w:t>
      </w:r>
      <w:proofErr w:type="spellEnd"/>
      <w:r w:rsidR="00A20D84" w:rsidRPr="00220850">
        <w:rPr>
          <w:b/>
          <w:i/>
          <w:sz w:val="22"/>
          <w:szCs w:val="24"/>
        </w:rPr>
        <w:t xml:space="preserve"> </w:t>
      </w:r>
      <w:proofErr w:type="spellStart"/>
      <w:r w:rsidR="00A20D84" w:rsidRPr="00220850">
        <w:rPr>
          <w:b/>
          <w:i/>
          <w:sz w:val="22"/>
          <w:szCs w:val="24"/>
        </w:rPr>
        <w:t>error</w:t>
      </w:r>
      <w:proofErr w:type="spellEnd"/>
      <w:r w:rsidR="00A20D84" w:rsidRPr="00220850">
        <w:rPr>
          <w:b/>
          <w:i/>
          <w:sz w:val="22"/>
          <w:szCs w:val="24"/>
        </w:rPr>
        <w:t xml:space="preserve"> </w:t>
      </w:r>
      <w:proofErr w:type="spellStart"/>
      <w:r w:rsidR="00A20D84" w:rsidRPr="00220850">
        <w:rPr>
          <w:b/>
          <w:i/>
          <w:sz w:val="22"/>
          <w:szCs w:val="24"/>
        </w:rPr>
        <w:t>of</w:t>
      </w:r>
      <w:proofErr w:type="spellEnd"/>
      <w:r w:rsidR="00A20D84" w:rsidRPr="00220850">
        <w:rPr>
          <w:b/>
          <w:i/>
          <w:sz w:val="22"/>
          <w:szCs w:val="24"/>
        </w:rPr>
        <w:t xml:space="preserve"> </w:t>
      </w:r>
      <w:proofErr w:type="spellStart"/>
      <w:r w:rsidR="00A20D84" w:rsidRPr="00220850">
        <w:rPr>
          <w:b/>
          <w:i/>
          <w:sz w:val="22"/>
          <w:szCs w:val="24"/>
        </w:rPr>
        <w:t>the</w:t>
      </w:r>
      <w:proofErr w:type="spellEnd"/>
      <w:r w:rsidR="00A20D84" w:rsidRPr="00220850">
        <w:rPr>
          <w:b/>
          <w:i/>
          <w:sz w:val="22"/>
          <w:szCs w:val="24"/>
        </w:rPr>
        <w:t xml:space="preserve"> </w:t>
      </w:r>
      <w:proofErr w:type="spellStart"/>
      <w:r w:rsidR="00A20D84" w:rsidRPr="00220850">
        <w:rPr>
          <w:b/>
          <w:i/>
          <w:sz w:val="22"/>
          <w:szCs w:val="24"/>
        </w:rPr>
        <w:t>mean</w:t>
      </w:r>
      <w:proofErr w:type="spellEnd"/>
      <w:r w:rsidR="00A20D84" w:rsidRPr="00220850">
        <w:rPr>
          <w:b/>
          <w:sz w:val="22"/>
          <w:szCs w:val="24"/>
        </w:rPr>
        <w:t>,</w:t>
      </w:r>
      <w:r w:rsidRPr="00220850">
        <w:rPr>
          <w:b/>
          <w:sz w:val="22"/>
          <w:szCs w:val="24"/>
        </w:rPr>
        <w:t xml:space="preserve"> </w:t>
      </w:r>
      <w:r w:rsidR="00A20D84" w:rsidRPr="00220850">
        <w:rPr>
          <w:b/>
          <w:sz w:val="22"/>
          <w:szCs w:val="24"/>
        </w:rPr>
        <w:t>SVP</w:t>
      </w:r>
      <w:r w:rsidRPr="00220850">
        <w:rPr>
          <w:b/>
          <w:sz w:val="22"/>
          <w:szCs w:val="24"/>
        </w:rPr>
        <w:t>)</w:t>
      </w:r>
      <w:r w:rsidR="000A24D2" w:rsidRPr="00220850">
        <w:rPr>
          <w:b/>
          <w:sz w:val="22"/>
          <w:szCs w:val="24"/>
        </w:rPr>
        <w:t xml:space="preserve">, INPULSIS-1 ir INPULSIS-2 </w:t>
      </w:r>
      <w:r w:rsidR="006B71F6" w:rsidRPr="00220850">
        <w:rPr>
          <w:b/>
          <w:sz w:val="22"/>
          <w:szCs w:val="24"/>
        </w:rPr>
        <w:t xml:space="preserve">tyrimų </w:t>
      </w:r>
      <w:r w:rsidR="00157637" w:rsidRPr="00220850">
        <w:rPr>
          <w:b/>
          <w:sz w:val="22"/>
          <w:szCs w:val="24"/>
        </w:rPr>
        <w:t xml:space="preserve">bendri </w:t>
      </w:r>
      <w:r w:rsidR="000A24D2" w:rsidRPr="00220850">
        <w:rPr>
          <w:b/>
          <w:sz w:val="22"/>
          <w:szCs w:val="24"/>
        </w:rPr>
        <w:t xml:space="preserve">duomenys </w:t>
      </w:r>
    </w:p>
    <w:p w14:paraId="72A8A8ED" w14:textId="77777777" w:rsidR="00085829" w:rsidRPr="00220850" w:rsidRDefault="00085829" w:rsidP="000A24D2">
      <w:pPr>
        <w:rPr>
          <w:b/>
          <w:sz w:val="22"/>
          <w:szCs w:val="24"/>
        </w:rPr>
      </w:pPr>
    </w:p>
    <w:p w14:paraId="4B658721" w14:textId="77777777" w:rsidR="00BD4C10" w:rsidRPr="00220850" w:rsidRDefault="00BD4C10" w:rsidP="00705C2D">
      <w:pPr>
        <w:jc w:val="center"/>
        <w:rPr>
          <w:b/>
          <w:sz w:val="22"/>
          <w:szCs w:val="24"/>
        </w:rPr>
      </w:pPr>
      <w:r w:rsidRPr="00220850">
        <w:rPr>
          <w:b/>
          <w:noProof/>
          <w:sz w:val="22"/>
          <w:szCs w:val="24"/>
          <w:lang w:val="en-US"/>
        </w:rPr>
        <w:lastRenderedPageBreak/>
        <w:drawing>
          <wp:inline distT="0" distB="0" distL="0" distR="0" wp14:anchorId="2EC3890E" wp14:editId="1E6DB11C">
            <wp:extent cx="5810224" cy="3352720"/>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9675" cy="3375485"/>
                    </a:xfrm>
                    <a:prstGeom prst="rect">
                      <a:avLst/>
                    </a:prstGeom>
                    <a:noFill/>
                    <a:ln>
                      <a:noFill/>
                    </a:ln>
                  </pic:spPr>
                </pic:pic>
              </a:graphicData>
            </a:graphic>
          </wp:inline>
        </w:drawing>
      </w:r>
    </w:p>
    <w:p w14:paraId="10FDE0B9" w14:textId="77777777" w:rsidR="00E51063" w:rsidRPr="00220850" w:rsidRDefault="00E51063" w:rsidP="000A24D2">
      <w:pPr>
        <w:rPr>
          <w:b/>
          <w:sz w:val="22"/>
          <w:szCs w:val="24"/>
        </w:rPr>
      </w:pPr>
    </w:p>
    <w:p w14:paraId="76A2C39D" w14:textId="77777777" w:rsidR="008C0496" w:rsidRPr="00220850" w:rsidRDefault="008C0496" w:rsidP="000A24D2">
      <w:pPr>
        <w:rPr>
          <w:sz w:val="22"/>
          <w:szCs w:val="24"/>
          <w:lang w:val="en-US"/>
        </w:rPr>
      </w:pPr>
    </w:p>
    <w:p w14:paraId="5D3756E5" w14:textId="77777777" w:rsidR="00E51063" w:rsidRPr="00220850" w:rsidRDefault="00E51063" w:rsidP="00E51063">
      <w:pPr>
        <w:autoSpaceDE w:val="0"/>
        <w:autoSpaceDN w:val="0"/>
        <w:adjustRightInd w:val="0"/>
        <w:rPr>
          <w:rFonts w:eastAsia="TimesNewRoman,Italic"/>
          <w:i/>
          <w:iCs/>
          <w:sz w:val="22"/>
          <w:szCs w:val="22"/>
          <w:u w:val="single"/>
        </w:rPr>
      </w:pPr>
      <w:r w:rsidRPr="00220850">
        <w:rPr>
          <w:rFonts w:eastAsia="TimesNewRoman,Italic"/>
          <w:i/>
          <w:iCs/>
          <w:sz w:val="22"/>
          <w:szCs w:val="22"/>
          <w:u w:val="single"/>
        </w:rPr>
        <w:t>Reagavusiųjų FGPT atsaku analizė</w:t>
      </w:r>
    </w:p>
    <w:p w14:paraId="2F0D6895" w14:textId="7AA387BA" w:rsidR="00E51063" w:rsidRPr="00220850" w:rsidRDefault="00E51063" w:rsidP="007E61E1">
      <w:pPr>
        <w:autoSpaceDE w:val="0"/>
        <w:autoSpaceDN w:val="0"/>
        <w:adjustRightInd w:val="0"/>
        <w:rPr>
          <w:rFonts w:eastAsia="TimesNewRoman"/>
          <w:sz w:val="22"/>
          <w:szCs w:val="22"/>
        </w:rPr>
      </w:pPr>
      <w:r w:rsidRPr="00220850">
        <w:rPr>
          <w:rFonts w:eastAsia="TimesNewRoman"/>
          <w:sz w:val="22"/>
          <w:szCs w:val="22"/>
        </w:rPr>
        <w:t>Abiejuose INPULSIS tyrimuose FGPT atsaku reagavusiųjų, apibrėžtų kaip pacientai, kurių absoliutus</w:t>
      </w:r>
      <w:r w:rsidR="007E61E1" w:rsidRPr="00220850">
        <w:rPr>
          <w:rFonts w:eastAsia="TimesNewRoman"/>
          <w:sz w:val="22"/>
          <w:szCs w:val="22"/>
        </w:rPr>
        <w:t xml:space="preserve"> </w:t>
      </w:r>
      <w:r w:rsidRPr="00220850">
        <w:rPr>
          <w:rFonts w:eastAsia="TimesNewRoman"/>
          <w:sz w:val="22"/>
          <w:szCs w:val="22"/>
        </w:rPr>
        <w:t>numatytos FGPT sumažėjimas procentais buvo ne didesnis kaip 5</w:t>
      </w:r>
      <w:r w:rsidR="007E61E1" w:rsidRPr="00220850">
        <w:rPr>
          <w:rFonts w:eastAsia="TimesNewRoman"/>
          <w:sz w:val="22"/>
          <w:szCs w:val="22"/>
        </w:rPr>
        <w:t> </w:t>
      </w:r>
      <w:r w:rsidRPr="00220850">
        <w:rPr>
          <w:rFonts w:eastAsia="TimesNewRoman"/>
          <w:sz w:val="22"/>
          <w:szCs w:val="22"/>
        </w:rPr>
        <w:t>% (riba, rodanti mirštamumo nuo</w:t>
      </w:r>
      <w:r w:rsidR="007E61E1" w:rsidRPr="00220850">
        <w:rPr>
          <w:rFonts w:eastAsia="TimesNewRoman"/>
          <w:sz w:val="22"/>
          <w:szCs w:val="22"/>
        </w:rPr>
        <w:t xml:space="preserve"> </w:t>
      </w:r>
      <w:r w:rsidRPr="00220850">
        <w:rPr>
          <w:rFonts w:eastAsia="TimesNewRoman"/>
          <w:sz w:val="22"/>
          <w:szCs w:val="22"/>
        </w:rPr>
        <w:t xml:space="preserve">IPF rizikos didėjimą), dalis </w:t>
      </w:r>
      <w:proofErr w:type="spellStart"/>
      <w:r w:rsidRPr="00220850">
        <w:rPr>
          <w:rFonts w:eastAsia="TimesNewRoman"/>
          <w:sz w:val="22"/>
          <w:szCs w:val="22"/>
        </w:rPr>
        <w:t>nintedanibu</w:t>
      </w:r>
      <w:proofErr w:type="spellEnd"/>
      <w:r w:rsidRPr="00220850">
        <w:rPr>
          <w:rFonts w:eastAsia="TimesNewRoman"/>
          <w:sz w:val="22"/>
          <w:szCs w:val="22"/>
        </w:rPr>
        <w:t xml:space="preserve"> gydytoje grupėje buvo reikšmingai didesnė, palyginti su</w:t>
      </w:r>
      <w:r w:rsidR="007E61E1" w:rsidRPr="00220850">
        <w:rPr>
          <w:rFonts w:eastAsia="TimesNewRoman"/>
          <w:sz w:val="22"/>
          <w:szCs w:val="22"/>
        </w:rPr>
        <w:t xml:space="preserve"> </w:t>
      </w:r>
      <w:r w:rsidR="00E05387" w:rsidRPr="00220850">
        <w:rPr>
          <w:rFonts w:eastAsia="TimesNewRoman"/>
          <w:sz w:val="22"/>
          <w:szCs w:val="22"/>
        </w:rPr>
        <w:t>placebą</w:t>
      </w:r>
      <w:r w:rsidRPr="00220850">
        <w:rPr>
          <w:rFonts w:eastAsia="TimesNewRoman"/>
          <w:sz w:val="22"/>
          <w:szCs w:val="22"/>
        </w:rPr>
        <w:t xml:space="preserve"> </w:t>
      </w:r>
      <w:r w:rsidR="00E05387" w:rsidRPr="00220850">
        <w:rPr>
          <w:rFonts w:eastAsia="TimesNewRoman"/>
          <w:sz w:val="22"/>
          <w:szCs w:val="22"/>
        </w:rPr>
        <w:t>vartojusių</w:t>
      </w:r>
      <w:r w:rsidRPr="00220850">
        <w:rPr>
          <w:rFonts w:eastAsia="TimesNewRoman"/>
          <w:sz w:val="22"/>
          <w:szCs w:val="22"/>
        </w:rPr>
        <w:t xml:space="preserve"> grupe. Panašūs rezultatai buvo gauti analizei </w:t>
      </w:r>
      <w:proofErr w:type="spellStart"/>
      <w:r w:rsidRPr="00220850">
        <w:rPr>
          <w:rFonts w:eastAsia="TimesNewRoman"/>
          <w:sz w:val="22"/>
          <w:szCs w:val="22"/>
        </w:rPr>
        <w:t>nudojant</w:t>
      </w:r>
      <w:proofErr w:type="spellEnd"/>
      <w:r w:rsidRPr="00220850">
        <w:rPr>
          <w:rFonts w:eastAsia="TimesNewRoman"/>
          <w:sz w:val="22"/>
          <w:szCs w:val="22"/>
        </w:rPr>
        <w:t xml:space="preserve"> konservatyvią 10</w:t>
      </w:r>
      <w:r w:rsidR="007E61E1" w:rsidRPr="00220850">
        <w:rPr>
          <w:rFonts w:eastAsia="TimesNewRoman"/>
          <w:sz w:val="22"/>
          <w:szCs w:val="22"/>
        </w:rPr>
        <w:t> </w:t>
      </w:r>
      <w:r w:rsidRPr="00220850">
        <w:rPr>
          <w:rFonts w:eastAsia="TimesNewRoman"/>
          <w:sz w:val="22"/>
          <w:szCs w:val="22"/>
        </w:rPr>
        <w:t>% ribą.</w:t>
      </w:r>
      <w:r w:rsidR="007E61E1" w:rsidRPr="00220850">
        <w:rPr>
          <w:rFonts w:eastAsia="TimesNewRoman"/>
          <w:sz w:val="22"/>
          <w:szCs w:val="22"/>
        </w:rPr>
        <w:t xml:space="preserve"> </w:t>
      </w:r>
      <w:r w:rsidRPr="00220850">
        <w:rPr>
          <w:rFonts w:eastAsia="TimesNewRoman"/>
          <w:sz w:val="22"/>
          <w:szCs w:val="22"/>
        </w:rPr>
        <w:t xml:space="preserve">Atskirų tyrimų ir sujungti rezultatai pateikti </w:t>
      </w:r>
      <w:r w:rsidR="004B2460" w:rsidRPr="00220850">
        <w:rPr>
          <w:rFonts w:eastAsia="TimesNewRoman"/>
          <w:sz w:val="22"/>
          <w:szCs w:val="22"/>
        </w:rPr>
        <w:t>5</w:t>
      </w:r>
      <w:r w:rsidRPr="00220850">
        <w:rPr>
          <w:rFonts w:eastAsia="TimesNewRoman"/>
          <w:sz w:val="22"/>
          <w:szCs w:val="22"/>
        </w:rPr>
        <w:t>-ojoje lentelėje.</w:t>
      </w:r>
    </w:p>
    <w:p w14:paraId="3071EA5B" w14:textId="77777777" w:rsidR="007E61E1" w:rsidRPr="00220850" w:rsidRDefault="007E61E1" w:rsidP="007E61E1">
      <w:pPr>
        <w:autoSpaceDE w:val="0"/>
        <w:autoSpaceDN w:val="0"/>
        <w:adjustRightInd w:val="0"/>
        <w:rPr>
          <w:rFonts w:eastAsia="TimesNewRoman,Bold"/>
          <w:b/>
          <w:bCs/>
          <w:sz w:val="22"/>
          <w:szCs w:val="22"/>
        </w:rPr>
      </w:pPr>
    </w:p>
    <w:p w14:paraId="1D3870D0" w14:textId="6E9ADE1B" w:rsidR="007E61E1" w:rsidRPr="00220850" w:rsidRDefault="004B2460" w:rsidP="007E61E1">
      <w:pPr>
        <w:autoSpaceDE w:val="0"/>
        <w:autoSpaceDN w:val="0"/>
        <w:adjustRightInd w:val="0"/>
        <w:rPr>
          <w:rFonts w:eastAsia="TimesNewRoman,Bold"/>
          <w:b/>
          <w:bCs/>
          <w:sz w:val="22"/>
          <w:szCs w:val="22"/>
        </w:rPr>
      </w:pPr>
      <w:r w:rsidRPr="00220850">
        <w:rPr>
          <w:rFonts w:eastAsia="TimesNewRoman,Bold"/>
          <w:b/>
          <w:bCs/>
          <w:sz w:val="22"/>
          <w:szCs w:val="22"/>
        </w:rPr>
        <w:t>5</w:t>
      </w:r>
      <w:r w:rsidR="007E61E1" w:rsidRPr="00220850">
        <w:rPr>
          <w:rFonts w:eastAsia="TimesNewRoman,Bold"/>
          <w:b/>
          <w:bCs/>
          <w:sz w:val="22"/>
          <w:szCs w:val="22"/>
        </w:rPr>
        <w:t xml:space="preserve"> lentelė. Reagavusiųjų FGPT atsaku 52 savaitę dalis tyrimų INPULSIS-1 ir INPULSIS-2 </w:t>
      </w:r>
      <w:r w:rsidR="006B71F6" w:rsidRPr="00220850">
        <w:rPr>
          <w:rFonts w:eastAsia="TimesNewRoman,Bold"/>
          <w:b/>
          <w:bCs/>
          <w:sz w:val="22"/>
          <w:szCs w:val="22"/>
        </w:rPr>
        <w:t xml:space="preserve">tyrimų </w:t>
      </w:r>
      <w:r w:rsidR="007E61E1" w:rsidRPr="00220850">
        <w:rPr>
          <w:rFonts w:eastAsia="TimesNewRoman,Bold"/>
          <w:b/>
          <w:bCs/>
          <w:sz w:val="22"/>
          <w:szCs w:val="22"/>
        </w:rPr>
        <w:t>metu bei bendri jų duomenys - gydyt</w:t>
      </w:r>
      <w:r w:rsidR="007C4A52" w:rsidRPr="00220850">
        <w:rPr>
          <w:rFonts w:eastAsia="TimesNewRoman,Bold"/>
          <w:b/>
          <w:bCs/>
          <w:sz w:val="22"/>
          <w:szCs w:val="22"/>
        </w:rPr>
        <w:t>ųjų</w:t>
      </w:r>
      <w:r w:rsidR="007E61E1" w:rsidRPr="00220850">
        <w:rPr>
          <w:rFonts w:eastAsia="TimesNewRoman,Bold"/>
          <w:b/>
          <w:bCs/>
          <w:sz w:val="22"/>
          <w:szCs w:val="22"/>
        </w:rPr>
        <w:t xml:space="preserve"> grupė</w:t>
      </w:r>
    </w:p>
    <w:p w14:paraId="194CA78B" w14:textId="77777777" w:rsidR="007E61E1" w:rsidRPr="00220850" w:rsidRDefault="007E61E1" w:rsidP="007E61E1">
      <w:pPr>
        <w:keepNext/>
        <w:autoSpaceDE w:val="0"/>
        <w:autoSpaceDN w:val="0"/>
        <w:adjustRightInd w:val="0"/>
        <w:ind w:left="1134" w:hanging="1134"/>
        <w:rPr>
          <w:sz w:val="22"/>
          <w:szCs w:val="22"/>
        </w:rPr>
      </w:pPr>
    </w:p>
    <w:tbl>
      <w:tblPr>
        <w:tblStyle w:val="Lentelstinklelis"/>
        <w:tblW w:w="5082" w:type="pct"/>
        <w:tblLayout w:type="fixed"/>
        <w:tblLook w:val="04A0" w:firstRow="1" w:lastRow="0" w:firstColumn="1" w:lastColumn="0" w:noHBand="0" w:noVBand="1"/>
      </w:tblPr>
      <w:tblGrid>
        <w:gridCol w:w="1813"/>
        <w:gridCol w:w="1028"/>
        <w:gridCol w:w="1484"/>
        <w:gridCol w:w="1057"/>
        <w:gridCol w:w="1416"/>
        <w:gridCol w:w="995"/>
        <w:gridCol w:w="1416"/>
      </w:tblGrid>
      <w:tr w:rsidR="00E05F35" w:rsidRPr="00220850" w14:paraId="3FB60F8A" w14:textId="77777777" w:rsidTr="00E05F35">
        <w:trPr>
          <w:tblHeader/>
        </w:trPr>
        <w:tc>
          <w:tcPr>
            <w:tcW w:w="984" w:type="pct"/>
            <w:vMerge w:val="restart"/>
          </w:tcPr>
          <w:p w14:paraId="2CC43A04" w14:textId="77777777" w:rsidR="002E2D5B" w:rsidRPr="00220850" w:rsidRDefault="002E2D5B" w:rsidP="006B71F6">
            <w:pPr>
              <w:autoSpaceDE w:val="0"/>
              <w:autoSpaceDN w:val="0"/>
              <w:adjustRightInd w:val="0"/>
              <w:rPr>
                <w:sz w:val="22"/>
                <w:szCs w:val="22"/>
                <w:lang w:val="lt-LT"/>
              </w:rPr>
            </w:pPr>
          </w:p>
        </w:tc>
        <w:tc>
          <w:tcPr>
            <w:tcW w:w="1364" w:type="pct"/>
            <w:gridSpan w:val="2"/>
          </w:tcPr>
          <w:p w14:paraId="7EF27FF8" w14:textId="77777777" w:rsidR="002E2D5B" w:rsidRPr="00220850" w:rsidRDefault="002E2D5B" w:rsidP="006B71F6">
            <w:pPr>
              <w:autoSpaceDE w:val="0"/>
              <w:autoSpaceDN w:val="0"/>
              <w:adjustRightInd w:val="0"/>
              <w:jc w:val="center"/>
              <w:rPr>
                <w:b/>
                <w:sz w:val="22"/>
                <w:szCs w:val="22"/>
              </w:rPr>
            </w:pPr>
            <w:r w:rsidRPr="00220850">
              <w:rPr>
                <w:b/>
                <w:sz w:val="22"/>
                <w:szCs w:val="22"/>
              </w:rPr>
              <w:t>INPULSIS</w:t>
            </w:r>
            <w:r w:rsidRPr="00220850">
              <w:rPr>
                <w:b/>
                <w:sz w:val="22"/>
                <w:szCs w:val="22"/>
              </w:rPr>
              <w:noBreakHyphen/>
              <w:t>1</w:t>
            </w:r>
          </w:p>
        </w:tc>
        <w:tc>
          <w:tcPr>
            <w:tcW w:w="1343" w:type="pct"/>
            <w:gridSpan w:val="2"/>
          </w:tcPr>
          <w:p w14:paraId="3824491A" w14:textId="77777777" w:rsidR="002E2D5B" w:rsidRPr="00220850" w:rsidRDefault="002E2D5B" w:rsidP="006B71F6">
            <w:pPr>
              <w:autoSpaceDE w:val="0"/>
              <w:autoSpaceDN w:val="0"/>
              <w:adjustRightInd w:val="0"/>
              <w:jc w:val="center"/>
              <w:rPr>
                <w:b/>
                <w:sz w:val="22"/>
                <w:szCs w:val="22"/>
              </w:rPr>
            </w:pPr>
            <w:r w:rsidRPr="00220850">
              <w:rPr>
                <w:b/>
                <w:sz w:val="22"/>
                <w:szCs w:val="22"/>
                <w:lang w:val="en-US"/>
              </w:rPr>
              <w:t>INPULSIS</w:t>
            </w:r>
            <w:r w:rsidRPr="00220850">
              <w:rPr>
                <w:b/>
                <w:sz w:val="22"/>
                <w:szCs w:val="22"/>
                <w:lang w:val="en-US"/>
              </w:rPr>
              <w:noBreakHyphen/>
              <w:t>2</w:t>
            </w:r>
          </w:p>
        </w:tc>
        <w:tc>
          <w:tcPr>
            <w:tcW w:w="1309" w:type="pct"/>
            <w:gridSpan w:val="2"/>
          </w:tcPr>
          <w:p w14:paraId="63153599" w14:textId="77777777" w:rsidR="002E2D5B" w:rsidRPr="00220850" w:rsidRDefault="002E5DDD" w:rsidP="006B71F6">
            <w:pPr>
              <w:autoSpaceDE w:val="0"/>
              <w:autoSpaceDN w:val="0"/>
              <w:adjustRightInd w:val="0"/>
              <w:jc w:val="center"/>
              <w:rPr>
                <w:b/>
                <w:sz w:val="22"/>
                <w:szCs w:val="22"/>
                <w:lang w:val="fr-FR"/>
              </w:rPr>
            </w:pPr>
            <w:r w:rsidRPr="00220850">
              <w:rPr>
                <w:b/>
                <w:sz w:val="22"/>
                <w:szCs w:val="22"/>
                <w:lang w:val="lt-LT"/>
              </w:rPr>
              <w:t>Jungtiniai INPULSIS</w:t>
            </w:r>
            <w:r w:rsidRPr="00220850">
              <w:rPr>
                <w:b/>
                <w:sz w:val="22"/>
                <w:szCs w:val="22"/>
                <w:lang w:val="lt-LT"/>
              </w:rPr>
              <w:noBreakHyphen/>
              <w:t>1 ir INPULSIS</w:t>
            </w:r>
            <w:r w:rsidRPr="00220850">
              <w:rPr>
                <w:b/>
                <w:sz w:val="22"/>
                <w:szCs w:val="22"/>
                <w:lang w:val="lt-LT"/>
              </w:rPr>
              <w:noBreakHyphen/>
              <w:t>2 duomenys</w:t>
            </w:r>
          </w:p>
        </w:tc>
      </w:tr>
      <w:tr w:rsidR="00E05F35" w:rsidRPr="00220850" w14:paraId="22A67724" w14:textId="77777777" w:rsidTr="0035166F">
        <w:trPr>
          <w:tblHeader/>
        </w:trPr>
        <w:tc>
          <w:tcPr>
            <w:tcW w:w="984" w:type="pct"/>
            <w:vMerge/>
          </w:tcPr>
          <w:p w14:paraId="467EFC9F" w14:textId="77777777" w:rsidR="002E2D5B" w:rsidRPr="00220850" w:rsidRDefault="002E2D5B" w:rsidP="006B71F6">
            <w:pPr>
              <w:autoSpaceDE w:val="0"/>
              <w:autoSpaceDN w:val="0"/>
              <w:adjustRightInd w:val="0"/>
              <w:rPr>
                <w:sz w:val="22"/>
                <w:szCs w:val="22"/>
                <w:lang w:val="fr-FR"/>
              </w:rPr>
            </w:pPr>
          </w:p>
        </w:tc>
        <w:tc>
          <w:tcPr>
            <w:tcW w:w="558" w:type="pct"/>
          </w:tcPr>
          <w:p w14:paraId="10AE3149" w14:textId="77777777" w:rsidR="002E2D5B" w:rsidRPr="00220850" w:rsidRDefault="00331A5B" w:rsidP="00EC0166">
            <w:pPr>
              <w:autoSpaceDE w:val="0"/>
              <w:autoSpaceDN w:val="0"/>
              <w:adjustRightInd w:val="0"/>
              <w:spacing w:after="100" w:afterAutospacing="1"/>
              <w:jc w:val="center"/>
              <w:rPr>
                <w:sz w:val="22"/>
                <w:szCs w:val="22"/>
              </w:rPr>
            </w:pPr>
            <w:proofErr w:type="spellStart"/>
            <w:r w:rsidRPr="00220850">
              <w:rPr>
                <w:sz w:val="22"/>
                <w:szCs w:val="22"/>
              </w:rPr>
              <w:t>Placebas</w:t>
            </w:r>
            <w:proofErr w:type="spellEnd"/>
          </w:p>
        </w:tc>
        <w:tc>
          <w:tcPr>
            <w:tcW w:w="806" w:type="pct"/>
          </w:tcPr>
          <w:p w14:paraId="05A588FA" w14:textId="77777777" w:rsidR="002E2D5B" w:rsidRPr="00220850" w:rsidRDefault="00FF5762" w:rsidP="00EC0166">
            <w:pPr>
              <w:autoSpaceDE w:val="0"/>
              <w:autoSpaceDN w:val="0"/>
              <w:adjustRightInd w:val="0"/>
              <w:spacing w:after="100" w:afterAutospacing="1"/>
              <w:jc w:val="center"/>
              <w:rPr>
                <w:sz w:val="22"/>
                <w:szCs w:val="22"/>
                <w:lang w:val="de-DE"/>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574" w:type="pct"/>
          </w:tcPr>
          <w:p w14:paraId="3A848EED" w14:textId="77777777" w:rsidR="002E2D5B" w:rsidRPr="00220850" w:rsidRDefault="00331A5B" w:rsidP="00EC0166">
            <w:pPr>
              <w:autoSpaceDE w:val="0"/>
              <w:autoSpaceDN w:val="0"/>
              <w:adjustRightInd w:val="0"/>
              <w:spacing w:after="100" w:afterAutospacing="1"/>
              <w:jc w:val="center"/>
              <w:rPr>
                <w:sz w:val="22"/>
                <w:szCs w:val="22"/>
              </w:rPr>
            </w:pPr>
            <w:proofErr w:type="spellStart"/>
            <w:r w:rsidRPr="00220850">
              <w:rPr>
                <w:sz w:val="22"/>
                <w:szCs w:val="22"/>
              </w:rPr>
              <w:t>Placebas</w:t>
            </w:r>
            <w:proofErr w:type="spellEnd"/>
          </w:p>
        </w:tc>
        <w:tc>
          <w:tcPr>
            <w:tcW w:w="769" w:type="pct"/>
          </w:tcPr>
          <w:p w14:paraId="0A6BE51B" w14:textId="77777777" w:rsidR="002E2D5B" w:rsidRPr="00220850" w:rsidRDefault="00445F53" w:rsidP="00EC0166">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540" w:type="pct"/>
          </w:tcPr>
          <w:p w14:paraId="6840E977" w14:textId="77777777" w:rsidR="002E2D5B" w:rsidRPr="00220850" w:rsidRDefault="00331A5B" w:rsidP="00EC0166">
            <w:pPr>
              <w:autoSpaceDE w:val="0"/>
              <w:autoSpaceDN w:val="0"/>
              <w:adjustRightInd w:val="0"/>
              <w:spacing w:after="100" w:afterAutospacing="1"/>
              <w:jc w:val="center"/>
              <w:rPr>
                <w:sz w:val="22"/>
                <w:szCs w:val="22"/>
                <w:lang w:val="lt-LT"/>
              </w:rPr>
            </w:pPr>
            <w:r w:rsidRPr="00220850">
              <w:rPr>
                <w:sz w:val="22"/>
                <w:szCs w:val="22"/>
                <w:lang w:val="lt-LT"/>
              </w:rPr>
              <w:t>Placebas</w:t>
            </w:r>
          </w:p>
        </w:tc>
        <w:tc>
          <w:tcPr>
            <w:tcW w:w="769" w:type="pct"/>
          </w:tcPr>
          <w:p w14:paraId="1D495DF6" w14:textId="77777777" w:rsidR="002E2D5B" w:rsidRPr="00220850" w:rsidRDefault="00445F53" w:rsidP="00EC0166">
            <w:pPr>
              <w:autoSpaceDE w:val="0"/>
              <w:autoSpaceDN w:val="0"/>
              <w:adjustRightInd w:val="0"/>
              <w:spacing w:after="100" w:afterAutospacing="1"/>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E05F35" w:rsidRPr="00220850" w14:paraId="2E728039" w14:textId="77777777" w:rsidTr="0035166F">
        <w:tc>
          <w:tcPr>
            <w:tcW w:w="984" w:type="pct"/>
          </w:tcPr>
          <w:p w14:paraId="67357292" w14:textId="77777777" w:rsidR="007E61E1" w:rsidRPr="00220850" w:rsidRDefault="00445F53" w:rsidP="00445F53">
            <w:pPr>
              <w:autoSpaceDE w:val="0"/>
              <w:autoSpaceDN w:val="0"/>
              <w:adjustRightInd w:val="0"/>
              <w:rPr>
                <w:sz w:val="22"/>
                <w:szCs w:val="22"/>
                <w:lang w:val="lt-LT"/>
              </w:rPr>
            </w:pPr>
            <w:r w:rsidRPr="00220850">
              <w:rPr>
                <w:sz w:val="22"/>
                <w:szCs w:val="22"/>
                <w:lang w:val="lt-LT"/>
              </w:rPr>
              <w:t>Analizuotų pacientų skaičius</w:t>
            </w:r>
          </w:p>
        </w:tc>
        <w:tc>
          <w:tcPr>
            <w:tcW w:w="558" w:type="pct"/>
            <w:vAlign w:val="bottom"/>
          </w:tcPr>
          <w:p w14:paraId="08794AB8" w14:textId="77777777" w:rsidR="007E61E1" w:rsidRPr="00220850" w:rsidRDefault="007E61E1" w:rsidP="006B71F6">
            <w:pPr>
              <w:autoSpaceDE w:val="0"/>
              <w:autoSpaceDN w:val="0"/>
              <w:adjustRightInd w:val="0"/>
              <w:jc w:val="center"/>
              <w:rPr>
                <w:sz w:val="22"/>
                <w:szCs w:val="22"/>
              </w:rPr>
            </w:pPr>
            <w:r w:rsidRPr="00220850">
              <w:rPr>
                <w:sz w:val="22"/>
                <w:szCs w:val="22"/>
              </w:rPr>
              <w:t>204</w:t>
            </w:r>
          </w:p>
        </w:tc>
        <w:tc>
          <w:tcPr>
            <w:tcW w:w="806" w:type="pct"/>
            <w:vAlign w:val="bottom"/>
          </w:tcPr>
          <w:p w14:paraId="30343C1A" w14:textId="77777777" w:rsidR="007E61E1" w:rsidRPr="00220850" w:rsidRDefault="007E61E1" w:rsidP="006B71F6">
            <w:pPr>
              <w:autoSpaceDE w:val="0"/>
              <w:autoSpaceDN w:val="0"/>
              <w:adjustRightInd w:val="0"/>
              <w:jc w:val="center"/>
              <w:rPr>
                <w:sz w:val="22"/>
                <w:szCs w:val="22"/>
              </w:rPr>
            </w:pPr>
            <w:r w:rsidRPr="00220850">
              <w:rPr>
                <w:sz w:val="22"/>
                <w:szCs w:val="22"/>
              </w:rPr>
              <w:t>309</w:t>
            </w:r>
          </w:p>
        </w:tc>
        <w:tc>
          <w:tcPr>
            <w:tcW w:w="574" w:type="pct"/>
            <w:vAlign w:val="bottom"/>
          </w:tcPr>
          <w:p w14:paraId="5EF28151" w14:textId="77777777" w:rsidR="007E61E1" w:rsidRPr="00220850" w:rsidRDefault="007E61E1" w:rsidP="006B71F6">
            <w:pPr>
              <w:autoSpaceDE w:val="0"/>
              <w:autoSpaceDN w:val="0"/>
              <w:adjustRightInd w:val="0"/>
              <w:jc w:val="center"/>
              <w:rPr>
                <w:sz w:val="22"/>
                <w:szCs w:val="22"/>
              </w:rPr>
            </w:pPr>
            <w:r w:rsidRPr="00220850">
              <w:rPr>
                <w:sz w:val="22"/>
                <w:szCs w:val="22"/>
              </w:rPr>
              <w:t>219</w:t>
            </w:r>
          </w:p>
        </w:tc>
        <w:tc>
          <w:tcPr>
            <w:tcW w:w="769" w:type="pct"/>
            <w:vAlign w:val="bottom"/>
          </w:tcPr>
          <w:p w14:paraId="1857F265" w14:textId="77777777" w:rsidR="007E61E1" w:rsidRPr="00220850" w:rsidRDefault="007E61E1" w:rsidP="006B71F6">
            <w:pPr>
              <w:autoSpaceDE w:val="0"/>
              <w:autoSpaceDN w:val="0"/>
              <w:adjustRightInd w:val="0"/>
              <w:jc w:val="center"/>
              <w:rPr>
                <w:sz w:val="22"/>
                <w:szCs w:val="22"/>
              </w:rPr>
            </w:pPr>
            <w:r w:rsidRPr="00220850">
              <w:rPr>
                <w:sz w:val="22"/>
                <w:szCs w:val="22"/>
              </w:rPr>
              <w:t>329</w:t>
            </w:r>
          </w:p>
        </w:tc>
        <w:tc>
          <w:tcPr>
            <w:tcW w:w="540" w:type="pct"/>
            <w:vAlign w:val="bottom"/>
          </w:tcPr>
          <w:p w14:paraId="00FACABC" w14:textId="77777777" w:rsidR="007E61E1" w:rsidRPr="00220850" w:rsidRDefault="007E61E1" w:rsidP="006B71F6">
            <w:pPr>
              <w:autoSpaceDE w:val="0"/>
              <w:autoSpaceDN w:val="0"/>
              <w:adjustRightInd w:val="0"/>
              <w:jc w:val="center"/>
              <w:rPr>
                <w:sz w:val="22"/>
                <w:szCs w:val="22"/>
              </w:rPr>
            </w:pPr>
            <w:r w:rsidRPr="00220850">
              <w:rPr>
                <w:sz w:val="22"/>
                <w:szCs w:val="22"/>
              </w:rPr>
              <w:t>423</w:t>
            </w:r>
          </w:p>
        </w:tc>
        <w:tc>
          <w:tcPr>
            <w:tcW w:w="769" w:type="pct"/>
            <w:vAlign w:val="bottom"/>
          </w:tcPr>
          <w:p w14:paraId="3040510F" w14:textId="77777777" w:rsidR="007E61E1" w:rsidRPr="00220850" w:rsidRDefault="007E61E1" w:rsidP="006B71F6">
            <w:pPr>
              <w:autoSpaceDE w:val="0"/>
              <w:autoSpaceDN w:val="0"/>
              <w:adjustRightInd w:val="0"/>
              <w:jc w:val="center"/>
              <w:rPr>
                <w:sz w:val="22"/>
                <w:szCs w:val="22"/>
              </w:rPr>
            </w:pPr>
            <w:r w:rsidRPr="00220850">
              <w:rPr>
                <w:sz w:val="22"/>
                <w:szCs w:val="22"/>
              </w:rPr>
              <w:t>638</w:t>
            </w:r>
          </w:p>
        </w:tc>
      </w:tr>
      <w:tr w:rsidR="007E61E1" w:rsidRPr="00220850" w14:paraId="1B8C59FC" w14:textId="77777777" w:rsidTr="0035166F">
        <w:tc>
          <w:tcPr>
            <w:tcW w:w="5000" w:type="pct"/>
            <w:gridSpan w:val="7"/>
          </w:tcPr>
          <w:p w14:paraId="79ADCC87" w14:textId="77777777" w:rsidR="007E61E1" w:rsidRPr="00220850" w:rsidRDefault="00445F53" w:rsidP="006B71F6">
            <w:pPr>
              <w:autoSpaceDE w:val="0"/>
              <w:autoSpaceDN w:val="0"/>
              <w:adjustRightInd w:val="0"/>
              <w:rPr>
                <w:b/>
                <w:sz w:val="22"/>
                <w:szCs w:val="22"/>
                <w:lang w:val="lt-LT"/>
              </w:rPr>
            </w:pPr>
            <w:r w:rsidRPr="00220850">
              <w:rPr>
                <w:b/>
                <w:sz w:val="22"/>
                <w:szCs w:val="22"/>
                <w:lang w:val="lt-LT"/>
              </w:rPr>
              <w:t>5 % riba</w:t>
            </w:r>
          </w:p>
        </w:tc>
      </w:tr>
      <w:tr w:rsidR="00E05F35" w:rsidRPr="00220850" w14:paraId="7F986520" w14:textId="77777777" w:rsidTr="0035166F">
        <w:tc>
          <w:tcPr>
            <w:tcW w:w="984" w:type="pct"/>
          </w:tcPr>
          <w:p w14:paraId="7264C8DF" w14:textId="77777777" w:rsidR="007E61E1" w:rsidRPr="00220850" w:rsidRDefault="00445F53" w:rsidP="00445F53">
            <w:pPr>
              <w:autoSpaceDE w:val="0"/>
              <w:autoSpaceDN w:val="0"/>
              <w:adjustRightInd w:val="0"/>
              <w:rPr>
                <w:sz w:val="22"/>
                <w:szCs w:val="22"/>
                <w:lang w:val="lt-LT"/>
              </w:rPr>
            </w:pPr>
            <w:r w:rsidRPr="00220850">
              <w:rPr>
                <w:sz w:val="22"/>
                <w:szCs w:val="22"/>
                <w:lang w:val="lt-LT"/>
              </w:rPr>
              <w:t>Reagavusiųjų</w:t>
            </w:r>
            <w:r w:rsidRPr="00220850">
              <w:rPr>
                <w:sz w:val="22"/>
                <w:szCs w:val="22"/>
                <w:vertAlign w:val="superscript"/>
                <w:lang w:val="lt-LT"/>
              </w:rPr>
              <w:t xml:space="preserve">1 </w:t>
            </w:r>
            <w:r w:rsidRPr="00220850">
              <w:rPr>
                <w:sz w:val="22"/>
                <w:szCs w:val="22"/>
                <w:lang w:val="lt-LT"/>
              </w:rPr>
              <w:t>FGPT atsaku skaičius (%)</w:t>
            </w:r>
          </w:p>
        </w:tc>
        <w:tc>
          <w:tcPr>
            <w:tcW w:w="558" w:type="pct"/>
            <w:vAlign w:val="bottom"/>
          </w:tcPr>
          <w:p w14:paraId="1F7B1949" w14:textId="77777777" w:rsidR="007E61E1" w:rsidRPr="00220850" w:rsidRDefault="00445F53" w:rsidP="006B71F6">
            <w:pPr>
              <w:autoSpaceDE w:val="0"/>
              <w:autoSpaceDN w:val="0"/>
              <w:adjustRightInd w:val="0"/>
              <w:jc w:val="center"/>
              <w:rPr>
                <w:sz w:val="22"/>
                <w:szCs w:val="22"/>
              </w:rPr>
            </w:pPr>
            <w:r w:rsidRPr="00220850">
              <w:rPr>
                <w:sz w:val="22"/>
                <w:szCs w:val="22"/>
              </w:rPr>
              <w:t>78 (38,</w:t>
            </w:r>
            <w:r w:rsidR="007E61E1" w:rsidRPr="00220850">
              <w:rPr>
                <w:sz w:val="22"/>
                <w:szCs w:val="22"/>
              </w:rPr>
              <w:t>2)</w:t>
            </w:r>
          </w:p>
        </w:tc>
        <w:tc>
          <w:tcPr>
            <w:tcW w:w="806" w:type="pct"/>
            <w:vAlign w:val="bottom"/>
          </w:tcPr>
          <w:p w14:paraId="5085CC2D" w14:textId="77777777" w:rsidR="007E61E1" w:rsidRPr="00220850" w:rsidRDefault="00445F53" w:rsidP="006B71F6">
            <w:pPr>
              <w:autoSpaceDE w:val="0"/>
              <w:autoSpaceDN w:val="0"/>
              <w:adjustRightInd w:val="0"/>
              <w:jc w:val="center"/>
              <w:rPr>
                <w:sz w:val="22"/>
                <w:szCs w:val="22"/>
              </w:rPr>
            </w:pPr>
            <w:r w:rsidRPr="00220850">
              <w:rPr>
                <w:sz w:val="22"/>
                <w:szCs w:val="22"/>
              </w:rPr>
              <w:t>163 (52,</w:t>
            </w:r>
            <w:r w:rsidR="007E61E1" w:rsidRPr="00220850">
              <w:rPr>
                <w:sz w:val="22"/>
                <w:szCs w:val="22"/>
              </w:rPr>
              <w:t>8)</w:t>
            </w:r>
          </w:p>
        </w:tc>
        <w:tc>
          <w:tcPr>
            <w:tcW w:w="574" w:type="pct"/>
            <w:vAlign w:val="bottom"/>
          </w:tcPr>
          <w:p w14:paraId="37F6BF34" w14:textId="77777777" w:rsidR="007E61E1" w:rsidRPr="00220850" w:rsidRDefault="00445F53" w:rsidP="006B71F6">
            <w:pPr>
              <w:autoSpaceDE w:val="0"/>
              <w:autoSpaceDN w:val="0"/>
              <w:adjustRightInd w:val="0"/>
              <w:jc w:val="center"/>
              <w:rPr>
                <w:sz w:val="22"/>
                <w:szCs w:val="22"/>
              </w:rPr>
            </w:pPr>
            <w:r w:rsidRPr="00220850">
              <w:rPr>
                <w:sz w:val="22"/>
                <w:szCs w:val="22"/>
              </w:rPr>
              <w:t>86 (39,</w:t>
            </w:r>
            <w:r w:rsidR="007E61E1" w:rsidRPr="00220850">
              <w:rPr>
                <w:sz w:val="22"/>
                <w:szCs w:val="22"/>
              </w:rPr>
              <w:t>3)</w:t>
            </w:r>
          </w:p>
        </w:tc>
        <w:tc>
          <w:tcPr>
            <w:tcW w:w="769" w:type="pct"/>
            <w:vAlign w:val="bottom"/>
          </w:tcPr>
          <w:p w14:paraId="1011F41A" w14:textId="77777777" w:rsidR="007E61E1" w:rsidRPr="00220850" w:rsidRDefault="00445F53" w:rsidP="006B71F6">
            <w:pPr>
              <w:autoSpaceDE w:val="0"/>
              <w:autoSpaceDN w:val="0"/>
              <w:adjustRightInd w:val="0"/>
              <w:jc w:val="center"/>
              <w:rPr>
                <w:sz w:val="22"/>
                <w:szCs w:val="22"/>
              </w:rPr>
            </w:pPr>
            <w:r w:rsidRPr="00220850">
              <w:rPr>
                <w:sz w:val="22"/>
                <w:szCs w:val="22"/>
              </w:rPr>
              <w:t>175 (53,</w:t>
            </w:r>
            <w:r w:rsidR="007E61E1" w:rsidRPr="00220850">
              <w:rPr>
                <w:sz w:val="22"/>
                <w:szCs w:val="22"/>
              </w:rPr>
              <w:t>2)</w:t>
            </w:r>
          </w:p>
        </w:tc>
        <w:tc>
          <w:tcPr>
            <w:tcW w:w="540" w:type="pct"/>
            <w:vAlign w:val="bottom"/>
          </w:tcPr>
          <w:p w14:paraId="1BCE447E" w14:textId="77777777" w:rsidR="007E61E1" w:rsidRPr="00220850" w:rsidRDefault="00445F53" w:rsidP="006B71F6">
            <w:pPr>
              <w:autoSpaceDE w:val="0"/>
              <w:autoSpaceDN w:val="0"/>
              <w:adjustRightInd w:val="0"/>
              <w:jc w:val="center"/>
              <w:rPr>
                <w:sz w:val="22"/>
                <w:szCs w:val="22"/>
              </w:rPr>
            </w:pPr>
            <w:r w:rsidRPr="00220850">
              <w:rPr>
                <w:sz w:val="22"/>
                <w:szCs w:val="22"/>
              </w:rPr>
              <w:t>164 (38,</w:t>
            </w:r>
            <w:r w:rsidR="007E61E1" w:rsidRPr="00220850">
              <w:rPr>
                <w:sz w:val="22"/>
                <w:szCs w:val="22"/>
              </w:rPr>
              <w:t>8)</w:t>
            </w:r>
          </w:p>
        </w:tc>
        <w:tc>
          <w:tcPr>
            <w:tcW w:w="769" w:type="pct"/>
            <w:vAlign w:val="bottom"/>
          </w:tcPr>
          <w:p w14:paraId="53264E58" w14:textId="77777777" w:rsidR="007E61E1" w:rsidRPr="00220850" w:rsidRDefault="00445F53" w:rsidP="006B71F6">
            <w:pPr>
              <w:autoSpaceDE w:val="0"/>
              <w:autoSpaceDN w:val="0"/>
              <w:adjustRightInd w:val="0"/>
              <w:jc w:val="center"/>
              <w:rPr>
                <w:sz w:val="22"/>
                <w:szCs w:val="22"/>
              </w:rPr>
            </w:pPr>
            <w:r w:rsidRPr="00220850">
              <w:rPr>
                <w:sz w:val="22"/>
                <w:szCs w:val="22"/>
              </w:rPr>
              <w:t>338 (53,</w:t>
            </w:r>
            <w:r w:rsidR="007E61E1" w:rsidRPr="00220850">
              <w:rPr>
                <w:sz w:val="22"/>
                <w:szCs w:val="22"/>
              </w:rPr>
              <w:t>0)</w:t>
            </w:r>
          </w:p>
        </w:tc>
      </w:tr>
      <w:tr w:rsidR="007E61E1" w:rsidRPr="00220850" w14:paraId="1F2BF7B7" w14:textId="77777777" w:rsidTr="0035166F">
        <w:tc>
          <w:tcPr>
            <w:tcW w:w="5000" w:type="pct"/>
            <w:gridSpan w:val="7"/>
          </w:tcPr>
          <w:p w14:paraId="146C70B1" w14:textId="77777777" w:rsidR="007E61E1" w:rsidRPr="00220850" w:rsidRDefault="00445F53" w:rsidP="006B71F6">
            <w:pPr>
              <w:autoSpaceDE w:val="0"/>
              <w:autoSpaceDN w:val="0"/>
              <w:adjustRightInd w:val="0"/>
              <w:rPr>
                <w:sz w:val="22"/>
                <w:szCs w:val="22"/>
                <w:lang w:val="lt-LT"/>
              </w:rPr>
            </w:pPr>
            <w:r w:rsidRPr="00220850">
              <w:rPr>
                <w:sz w:val="22"/>
                <w:szCs w:val="22"/>
                <w:lang w:val="lt-LT"/>
              </w:rPr>
              <w:t>Palyginimas su placebu</w:t>
            </w:r>
          </w:p>
        </w:tc>
      </w:tr>
      <w:tr w:rsidR="00E05F35" w:rsidRPr="00220850" w14:paraId="70FCEBE0" w14:textId="77777777" w:rsidTr="0035166F">
        <w:tc>
          <w:tcPr>
            <w:tcW w:w="984" w:type="pct"/>
          </w:tcPr>
          <w:p w14:paraId="74CAF0E8" w14:textId="77777777" w:rsidR="007E61E1" w:rsidRPr="00220850" w:rsidRDefault="00445F53" w:rsidP="00445F53">
            <w:pPr>
              <w:autoSpaceDE w:val="0"/>
              <w:autoSpaceDN w:val="0"/>
              <w:adjustRightInd w:val="0"/>
              <w:rPr>
                <w:sz w:val="22"/>
                <w:szCs w:val="22"/>
                <w:lang w:val="lt-LT"/>
              </w:rPr>
            </w:pPr>
            <w:r w:rsidRPr="00220850">
              <w:rPr>
                <w:sz w:val="22"/>
                <w:szCs w:val="22"/>
                <w:lang w:val="lt-LT"/>
              </w:rPr>
              <w:t>Šansų santykis</w:t>
            </w:r>
          </w:p>
        </w:tc>
        <w:tc>
          <w:tcPr>
            <w:tcW w:w="558" w:type="pct"/>
            <w:vAlign w:val="center"/>
          </w:tcPr>
          <w:p w14:paraId="2888F4C9" w14:textId="77777777" w:rsidR="007E61E1" w:rsidRPr="00220850" w:rsidRDefault="007E61E1" w:rsidP="006B71F6">
            <w:pPr>
              <w:autoSpaceDE w:val="0"/>
              <w:autoSpaceDN w:val="0"/>
              <w:adjustRightInd w:val="0"/>
              <w:jc w:val="center"/>
              <w:rPr>
                <w:sz w:val="22"/>
                <w:szCs w:val="22"/>
              </w:rPr>
            </w:pPr>
          </w:p>
        </w:tc>
        <w:tc>
          <w:tcPr>
            <w:tcW w:w="806" w:type="pct"/>
            <w:vAlign w:val="center"/>
          </w:tcPr>
          <w:p w14:paraId="29238A47" w14:textId="77777777" w:rsidR="007E61E1" w:rsidRPr="00220850" w:rsidRDefault="00445F53" w:rsidP="006B71F6">
            <w:pPr>
              <w:autoSpaceDE w:val="0"/>
              <w:autoSpaceDN w:val="0"/>
              <w:adjustRightInd w:val="0"/>
              <w:jc w:val="center"/>
              <w:rPr>
                <w:sz w:val="22"/>
                <w:szCs w:val="22"/>
              </w:rPr>
            </w:pPr>
            <w:r w:rsidRPr="00220850">
              <w:rPr>
                <w:sz w:val="22"/>
                <w:szCs w:val="22"/>
              </w:rPr>
              <w:t>1,</w:t>
            </w:r>
            <w:r w:rsidR="007E61E1" w:rsidRPr="00220850">
              <w:rPr>
                <w:sz w:val="22"/>
                <w:szCs w:val="22"/>
              </w:rPr>
              <w:t>85</w:t>
            </w:r>
          </w:p>
        </w:tc>
        <w:tc>
          <w:tcPr>
            <w:tcW w:w="574" w:type="pct"/>
            <w:vAlign w:val="center"/>
          </w:tcPr>
          <w:p w14:paraId="537C95AA"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6D868CB9" w14:textId="77777777" w:rsidR="007E61E1" w:rsidRPr="00220850" w:rsidRDefault="00445F53" w:rsidP="006B71F6">
            <w:pPr>
              <w:autoSpaceDE w:val="0"/>
              <w:autoSpaceDN w:val="0"/>
              <w:adjustRightInd w:val="0"/>
              <w:jc w:val="center"/>
              <w:rPr>
                <w:sz w:val="22"/>
                <w:szCs w:val="22"/>
              </w:rPr>
            </w:pPr>
            <w:r w:rsidRPr="00220850">
              <w:rPr>
                <w:sz w:val="22"/>
                <w:szCs w:val="22"/>
              </w:rPr>
              <w:t>1,</w:t>
            </w:r>
            <w:r w:rsidR="007E61E1" w:rsidRPr="00220850">
              <w:rPr>
                <w:sz w:val="22"/>
                <w:szCs w:val="22"/>
              </w:rPr>
              <w:t>79</w:t>
            </w:r>
          </w:p>
        </w:tc>
        <w:tc>
          <w:tcPr>
            <w:tcW w:w="540" w:type="pct"/>
            <w:vAlign w:val="center"/>
          </w:tcPr>
          <w:p w14:paraId="5DD1799C"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48333ECC" w14:textId="77777777" w:rsidR="007E61E1" w:rsidRPr="00220850" w:rsidRDefault="00445F53" w:rsidP="006B71F6">
            <w:pPr>
              <w:autoSpaceDE w:val="0"/>
              <w:autoSpaceDN w:val="0"/>
              <w:adjustRightInd w:val="0"/>
              <w:jc w:val="center"/>
              <w:rPr>
                <w:sz w:val="22"/>
                <w:szCs w:val="22"/>
              </w:rPr>
            </w:pPr>
            <w:r w:rsidRPr="00220850">
              <w:rPr>
                <w:sz w:val="22"/>
                <w:szCs w:val="22"/>
              </w:rPr>
              <w:t>1,</w:t>
            </w:r>
            <w:r w:rsidR="007E61E1" w:rsidRPr="00220850">
              <w:rPr>
                <w:sz w:val="22"/>
                <w:szCs w:val="22"/>
              </w:rPr>
              <w:t>84</w:t>
            </w:r>
          </w:p>
        </w:tc>
      </w:tr>
      <w:tr w:rsidR="00E05F35" w:rsidRPr="00220850" w14:paraId="2B049ABF" w14:textId="77777777" w:rsidTr="0035166F">
        <w:tc>
          <w:tcPr>
            <w:tcW w:w="984" w:type="pct"/>
          </w:tcPr>
          <w:p w14:paraId="31F1F36D" w14:textId="77777777" w:rsidR="007E61E1" w:rsidRPr="00220850" w:rsidRDefault="007E61E1" w:rsidP="006B71F6">
            <w:pPr>
              <w:autoSpaceDE w:val="0"/>
              <w:autoSpaceDN w:val="0"/>
              <w:adjustRightInd w:val="0"/>
              <w:rPr>
                <w:sz w:val="22"/>
                <w:szCs w:val="22"/>
                <w:lang w:val="lt-LT"/>
              </w:rPr>
            </w:pPr>
            <w:r w:rsidRPr="00220850">
              <w:rPr>
                <w:sz w:val="22"/>
                <w:szCs w:val="22"/>
                <w:lang w:val="lt-LT"/>
              </w:rPr>
              <w:t>95</w:t>
            </w:r>
            <w:r w:rsidR="00445F53" w:rsidRPr="00220850">
              <w:rPr>
                <w:sz w:val="22"/>
                <w:szCs w:val="22"/>
                <w:lang w:val="lt-LT"/>
              </w:rPr>
              <w:t> </w:t>
            </w:r>
            <w:r w:rsidRPr="00220850">
              <w:rPr>
                <w:sz w:val="22"/>
                <w:szCs w:val="22"/>
                <w:lang w:val="lt-LT"/>
              </w:rPr>
              <w:t>% </w:t>
            </w:r>
            <w:r w:rsidR="00445F53" w:rsidRPr="00220850">
              <w:rPr>
                <w:sz w:val="22"/>
                <w:szCs w:val="22"/>
                <w:lang w:val="lt-LT"/>
              </w:rPr>
              <w:t>P</w:t>
            </w:r>
            <w:r w:rsidRPr="00220850">
              <w:rPr>
                <w:sz w:val="22"/>
                <w:szCs w:val="22"/>
                <w:lang w:val="lt-LT"/>
              </w:rPr>
              <w:t>I</w:t>
            </w:r>
          </w:p>
        </w:tc>
        <w:tc>
          <w:tcPr>
            <w:tcW w:w="558" w:type="pct"/>
            <w:vAlign w:val="center"/>
          </w:tcPr>
          <w:p w14:paraId="2A146A9A" w14:textId="77777777" w:rsidR="007E61E1" w:rsidRPr="00220850" w:rsidRDefault="007E61E1" w:rsidP="006B71F6">
            <w:pPr>
              <w:autoSpaceDE w:val="0"/>
              <w:autoSpaceDN w:val="0"/>
              <w:adjustRightInd w:val="0"/>
              <w:jc w:val="center"/>
              <w:rPr>
                <w:sz w:val="22"/>
                <w:szCs w:val="22"/>
              </w:rPr>
            </w:pPr>
          </w:p>
        </w:tc>
        <w:tc>
          <w:tcPr>
            <w:tcW w:w="806" w:type="pct"/>
            <w:vAlign w:val="center"/>
          </w:tcPr>
          <w:p w14:paraId="6C4A4CCA" w14:textId="77777777" w:rsidR="007E61E1" w:rsidRPr="00220850" w:rsidRDefault="00445F53" w:rsidP="006B71F6">
            <w:pPr>
              <w:autoSpaceDE w:val="0"/>
              <w:autoSpaceDN w:val="0"/>
              <w:adjustRightInd w:val="0"/>
              <w:jc w:val="center"/>
              <w:rPr>
                <w:sz w:val="22"/>
                <w:szCs w:val="22"/>
              </w:rPr>
            </w:pPr>
            <w:r w:rsidRPr="00220850">
              <w:rPr>
                <w:sz w:val="22"/>
                <w:szCs w:val="22"/>
              </w:rPr>
              <w:t>(1,28, 2,</w:t>
            </w:r>
            <w:r w:rsidR="007E61E1" w:rsidRPr="00220850">
              <w:rPr>
                <w:sz w:val="22"/>
                <w:szCs w:val="22"/>
              </w:rPr>
              <w:t>66)</w:t>
            </w:r>
          </w:p>
        </w:tc>
        <w:tc>
          <w:tcPr>
            <w:tcW w:w="574" w:type="pct"/>
            <w:vAlign w:val="center"/>
          </w:tcPr>
          <w:p w14:paraId="7970E015"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7A518BD2" w14:textId="77777777" w:rsidR="007E61E1" w:rsidRPr="00220850" w:rsidRDefault="00445F53" w:rsidP="006B71F6">
            <w:pPr>
              <w:autoSpaceDE w:val="0"/>
              <w:autoSpaceDN w:val="0"/>
              <w:adjustRightInd w:val="0"/>
              <w:jc w:val="center"/>
              <w:rPr>
                <w:sz w:val="22"/>
                <w:szCs w:val="22"/>
              </w:rPr>
            </w:pPr>
            <w:r w:rsidRPr="00220850">
              <w:rPr>
                <w:sz w:val="22"/>
                <w:szCs w:val="22"/>
              </w:rPr>
              <w:t>(1,26, 2,</w:t>
            </w:r>
            <w:r w:rsidR="007E61E1" w:rsidRPr="00220850">
              <w:rPr>
                <w:sz w:val="22"/>
                <w:szCs w:val="22"/>
              </w:rPr>
              <w:t>55)</w:t>
            </w:r>
          </w:p>
        </w:tc>
        <w:tc>
          <w:tcPr>
            <w:tcW w:w="540" w:type="pct"/>
            <w:vAlign w:val="center"/>
          </w:tcPr>
          <w:p w14:paraId="256E03C8"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0893D951" w14:textId="77777777" w:rsidR="007E61E1" w:rsidRPr="00220850" w:rsidRDefault="00445F53" w:rsidP="006B71F6">
            <w:pPr>
              <w:autoSpaceDE w:val="0"/>
              <w:autoSpaceDN w:val="0"/>
              <w:adjustRightInd w:val="0"/>
              <w:ind w:right="-125"/>
              <w:jc w:val="center"/>
              <w:rPr>
                <w:sz w:val="22"/>
                <w:szCs w:val="22"/>
              </w:rPr>
            </w:pPr>
            <w:r w:rsidRPr="00220850">
              <w:rPr>
                <w:sz w:val="22"/>
                <w:szCs w:val="22"/>
              </w:rPr>
              <w:t>(1,43, 2,</w:t>
            </w:r>
            <w:r w:rsidR="007E61E1" w:rsidRPr="00220850">
              <w:rPr>
                <w:sz w:val="22"/>
                <w:szCs w:val="22"/>
              </w:rPr>
              <w:t>36)</w:t>
            </w:r>
          </w:p>
        </w:tc>
      </w:tr>
      <w:tr w:rsidR="00E05F35" w:rsidRPr="00220850" w14:paraId="5E3B3913" w14:textId="77777777" w:rsidTr="0035166F">
        <w:tc>
          <w:tcPr>
            <w:tcW w:w="984" w:type="pct"/>
          </w:tcPr>
          <w:p w14:paraId="6AB14C34" w14:textId="77777777" w:rsidR="007E61E1" w:rsidRPr="00220850" w:rsidRDefault="00A77D77" w:rsidP="00445F53">
            <w:pPr>
              <w:autoSpaceDE w:val="0"/>
              <w:autoSpaceDN w:val="0"/>
              <w:adjustRightInd w:val="0"/>
              <w:rPr>
                <w:sz w:val="22"/>
                <w:szCs w:val="22"/>
                <w:lang w:val="lt-LT"/>
              </w:rPr>
            </w:pPr>
            <w:r w:rsidRPr="00220850">
              <w:rPr>
                <w:sz w:val="22"/>
                <w:szCs w:val="22"/>
                <w:lang w:val="lt-LT"/>
              </w:rPr>
              <w:t xml:space="preserve">p </w:t>
            </w:r>
            <w:r w:rsidR="00445F53" w:rsidRPr="00220850">
              <w:rPr>
                <w:sz w:val="22"/>
                <w:szCs w:val="22"/>
                <w:lang w:val="lt-LT"/>
              </w:rPr>
              <w:t>reikšmė</w:t>
            </w:r>
            <w:r w:rsidR="007E61E1" w:rsidRPr="00220850">
              <w:rPr>
                <w:sz w:val="22"/>
                <w:szCs w:val="22"/>
                <w:vertAlign w:val="superscript"/>
                <w:lang w:val="lt-LT"/>
              </w:rPr>
              <w:t>2</w:t>
            </w:r>
          </w:p>
        </w:tc>
        <w:tc>
          <w:tcPr>
            <w:tcW w:w="558" w:type="pct"/>
            <w:vAlign w:val="center"/>
          </w:tcPr>
          <w:p w14:paraId="2EC55749" w14:textId="77777777" w:rsidR="007E61E1" w:rsidRPr="00220850" w:rsidRDefault="007E61E1" w:rsidP="006B71F6">
            <w:pPr>
              <w:autoSpaceDE w:val="0"/>
              <w:autoSpaceDN w:val="0"/>
              <w:adjustRightInd w:val="0"/>
              <w:jc w:val="center"/>
              <w:rPr>
                <w:sz w:val="22"/>
                <w:szCs w:val="22"/>
              </w:rPr>
            </w:pPr>
          </w:p>
        </w:tc>
        <w:tc>
          <w:tcPr>
            <w:tcW w:w="806" w:type="pct"/>
            <w:vAlign w:val="center"/>
          </w:tcPr>
          <w:p w14:paraId="63B250AD" w14:textId="77777777" w:rsidR="007E61E1" w:rsidRPr="00220850" w:rsidRDefault="00445F53" w:rsidP="006B71F6">
            <w:pPr>
              <w:autoSpaceDE w:val="0"/>
              <w:autoSpaceDN w:val="0"/>
              <w:adjustRightInd w:val="0"/>
              <w:jc w:val="center"/>
              <w:rPr>
                <w:sz w:val="22"/>
                <w:szCs w:val="22"/>
              </w:rPr>
            </w:pPr>
            <w:r w:rsidRPr="00220850">
              <w:rPr>
                <w:sz w:val="22"/>
                <w:szCs w:val="22"/>
              </w:rPr>
              <w:t>0,</w:t>
            </w:r>
            <w:r w:rsidR="007E61E1" w:rsidRPr="00220850">
              <w:rPr>
                <w:sz w:val="22"/>
                <w:szCs w:val="22"/>
              </w:rPr>
              <w:t>0010</w:t>
            </w:r>
          </w:p>
        </w:tc>
        <w:tc>
          <w:tcPr>
            <w:tcW w:w="574" w:type="pct"/>
            <w:vAlign w:val="center"/>
          </w:tcPr>
          <w:p w14:paraId="4ACDEFCA"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5974E449" w14:textId="77777777" w:rsidR="007E61E1" w:rsidRPr="00220850" w:rsidRDefault="00445F53" w:rsidP="006B71F6">
            <w:pPr>
              <w:autoSpaceDE w:val="0"/>
              <w:autoSpaceDN w:val="0"/>
              <w:adjustRightInd w:val="0"/>
              <w:jc w:val="center"/>
              <w:rPr>
                <w:sz w:val="22"/>
                <w:szCs w:val="22"/>
              </w:rPr>
            </w:pPr>
            <w:r w:rsidRPr="00220850">
              <w:rPr>
                <w:sz w:val="22"/>
                <w:szCs w:val="22"/>
              </w:rPr>
              <w:t>0,</w:t>
            </w:r>
            <w:r w:rsidR="007E61E1" w:rsidRPr="00220850">
              <w:rPr>
                <w:sz w:val="22"/>
                <w:szCs w:val="22"/>
              </w:rPr>
              <w:t>0011</w:t>
            </w:r>
          </w:p>
        </w:tc>
        <w:tc>
          <w:tcPr>
            <w:tcW w:w="540" w:type="pct"/>
            <w:vAlign w:val="center"/>
          </w:tcPr>
          <w:p w14:paraId="74669E6E"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1FD8E0F7" w14:textId="77777777" w:rsidR="007E61E1" w:rsidRPr="00220850" w:rsidRDefault="00445F53" w:rsidP="006B71F6">
            <w:pPr>
              <w:autoSpaceDE w:val="0"/>
              <w:autoSpaceDN w:val="0"/>
              <w:adjustRightInd w:val="0"/>
              <w:jc w:val="center"/>
              <w:rPr>
                <w:sz w:val="22"/>
                <w:szCs w:val="22"/>
              </w:rPr>
            </w:pPr>
            <w:r w:rsidRPr="00220850">
              <w:rPr>
                <w:sz w:val="22"/>
                <w:szCs w:val="22"/>
              </w:rPr>
              <w:t>&lt;0,</w:t>
            </w:r>
            <w:r w:rsidR="007E61E1" w:rsidRPr="00220850">
              <w:rPr>
                <w:sz w:val="22"/>
                <w:szCs w:val="22"/>
              </w:rPr>
              <w:t>0001</w:t>
            </w:r>
          </w:p>
        </w:tc>
      </w:tr>
      <w:tr w:rsidR="007E61E1" w:rsidRPr="00220850" w14:paraId="0039DD12" w14:textId="77777777" w:rsidTr="0035166F">
        <w:tc>
          <w:tcPr>
            <w:tcW w:w="5000" w:type="pct"/>
            <w:gridSpan w:val="7"/>
          </w:tcPr>
          <w:p w14:paraId="21096379" w14:textId="77777777" w:rsidR="007E61E1" w:rsidRPr="00220850" w:rsidRDefault="007E61E1" w:rsidP="00445F53">
            <w:pPr>
              <w:autoSpaceDE w:val="0"/>
              <w:autoSpaceDN w:val="0"/>
              <w:adjustRightInd w:val="0"/>
              <w:rPr>
                <w:b/>
                <w:sz w:val="22"/>
                <w:szCs w:val="22"/>
                <w:lang w:val="lt-LT"/>
              </w:rPr>
            </w:pPr>
            <w:r w:rsidRPr="00220850">
              <w:rPr>
                <w:b/>
                <w:sz w:val="22"/>
                <w:szCs w:val="22"/>
                <w:lang w:val="lt-LT"/>
              </w:rPr>
              <w:t>10</w:t>
            </w:r>
            <w:r w:rsidR="00445F53" w:rsidRPr="00220850">
              <w:rPr>
                <w:b/>
                <w:sz w:val="22"/>
                <w:szCs w:val="22"/>
                <w:lang w:val="lt-LT"/>
              </w:rPr>
              <w:t> </w:t>
            </w:r>
            <w:r w:rsidRPr="00220850">
              <w:rPr>
                <w:b/>
                <w:sz w:val="22"/>
                <w:szCs w:val="22"/>
                <w:lang w:val="lt-LT"/>
              </w:rPr>
              <w:t xml:space="preserve">% </w:t>
            </w:r>
            <w:r w:rsidR="00445F53" w:rsidRPr="00220850">
              <w:rPr>
                <w:b/>
                <w:sz w:val="22"/>
                <w:szCs w:val="22"/>
                <w:lang w:val="lt-LT"/>
              </w:rPr>
              <w:t>riba</w:t>
            </w:r>
          </w:p>
        </w:tc>
      </w:tr>
      <w:tr w:rsidR="00E05F35" w:rsidRPr="00220850" w14:paraId="2A850B87" w14:textId="77777777" w:rsidTr="0035166F">
        <w:tc>
          <w:tcPr>
            <w:tcW w:w="984" w:type="pct"/>
          </w:tcPr>
          <w:p w14:paraId="46E2B349" w14:textId="77777777" w:rsidR="007E61E1" w:rsidRPr="00220850" w:rsidRDefault="00445F53" w:rsidP="00445F53">
            <w:pPr>
              <w:autoSpaceDE w:val="0"/>
              <w:autoSpaceDN w:val="0"/>
              <w:adjustRightInd w:val="0"/>
              <w:rPr>
                <w:sz w:val="22"/>
                <w:szCs w:val="22"/>
                <w:lang w:val="lt-LT"/>
              </w:rPr>
            </w:pPr>
            <w:r w:rsidRPr="00220850">
              <w:rPr>
                <w:sz w:val="22"/>
                <w:szCs w:val="22"/>
                <w:lang w:val="lt-LT"/>
              </w:rPr>
              <w:t>Reagavusiųjų</w:t>
            </w:r>
            <w:r w:rsidRPr="00220850">
              <w:rPr>
                <w:sz w:val="22"/>
                <w:szCs w:val="22"/>
                <w:vertAlign w:val="superscript"/>
                <w:lang w:val="lt-LT"/>
              </w:rPr>
              <w:t xml:space="preserve">1 </w:t>
            </w:r>
            <w:r w:rsidRPr="00220850">
              <w:rPr>
                <w:sz w:val="22"/>
                <w:szCs w:val="22"/>
                <w:lang w:val="lt-LT"/>
              </w:rPr>
              <w:t>FGPT atsaku skaičius (%)</w:t>
            </w:r>
          </w:p>
        </w:tc>
        <w:tc>
          <w:tcPr>
            <w:tcW w:w="558" w:type="pct"/>
            <w:vAlign w:val="bottom"/>
          </w:tcPr>
          <w:p w14:paraId="0204D6C2" w14:textId="77777777" w:rsidR="007E61E1" w:rsidRPr="00220850" w:rsidRDefault="00445F53" w:rsidP="006B71F6">
            <w:pPr>
              <w:autoSpaceDE w:val="0"/>
              <w:autoSpaceDN w:val="0"/>
              <w:adjustRightInd w:val="0"/>
              <w:jc w:val="center"/>
              <w:rPr>
                <w:sz w:val="22"/>
                <w:szCs w:val="22"/>
              </w:rPr>
            </w:pPr>
            <w:r w:rsidRPr="00220850">
              <w:rPr>
                <w:sz w:val="22"/>
                <w:szCs w:val="22"/>
              </w:rPr>
              <w:t>116 (56,</w:t>
            </w:r>
            <w:r w:rsidR="007E61E1" w:rsidRPr="00220850">
              <w:rPr>
                <w:sz w:val="22"/>
                <w:szCs w:val="22"/>
              </w:rPr>
              <w:t>9)</w:t>
            </w:r>
          </w:p>
        </w:tc>
        <w:tc>
          <w:tcPr>
            <w:tcW w:w="806" w:type="pct"/>
            <w:vAlign w:val="bottom"/>
          </w:tcPr>
          <w:p w14:paraId="0EAF8D2C" w14:textId="77777777" w:rsidR="007E61E1" w:rsidRPr="00220850" w:rsidRDefault="00445F53" w:rsidP="006B71F6">
            <w:pPr>
              <w:autoSpaceDE w:val="0"/>
              <w:autoSpaceDN w:val="0"/>
              <w:adjustRightInd w:val="0"/>
              <w:jc w:val="center"/>
              <w:rPr>
                <w:sz w:val="22"/>
                <w:szCs w:val="22"/>
              </w:rPr>
            </w:pPr>
            <w:r w:rsidRPr="00220850">
              <w:rPr>
                <w:sz w:val="22"/>
                <w:szCs w:val="22"/>
              </w:rPr>
              <w:t>218 (70,</w:t>
            </w:r>
            <w:r w:rsidR="007E61E1" w:rsidRPr="00220850">
              <w:rPr>
                <w:sz w:val="22"/>
                <w:szCs w:val="22"/>
              </w:rPr>
              <w:t>6)</w:t>
            </w:r>
          </w:p>
        </w:tc>
        <w:tc>
          <w:tcPr>
            <w:tcW w:w="574" w:type="pct"/>
            <w:vAlign w:val="bottom"/>
          </w:tcPr>
          <w:p w14:paraId="7FC78967" w14:textId="77777777" w:rsidR="007E61E1" w:rsidRPr="00220850" w:rsidRDefault="00445F53" w:rsidP="006B71F6">
            <w:pPr>
              <w:autoSpaceDE w:val="0"/>
              <w:autoSpaceDN w:val="0"/>
              <w:adjustRightInd w:val="0"/>
              <w:jc w:val="center"/>
              <w:rPr>
                <w:sz w:val="22"/>
                <w:szCs w:val="22"/>
              </w:rPr>
            </w:pPr>
            <w:r w:rsidRPr="00220850">
              <w:rPr>
                <w:sz w:val="22"/>
                <w:szCs w:val="22"/>
              </w:rPr>
              <w:t>140 (63,</w:t>
            </w:r>
            <w:r w:rsidR="007E61E1" w:rsidRPr="00220850">
              <w:rPr>
                <w:sz w:val="22"/>
                <w:szCs w:val="22"/>
              </w:rPr>
              <w:t>9)</w:t>
            </w:r>
          </w:p>
        </w:tc>
        <w:tc>
          <w:tcPr>
            <w:tcW w:w="769" w:type="pct"/>
            <w:vAlign w:val="bottom"/>
          </w:tcPr>
          <w:p w14:paraId="24EF4302" w14:textId="77777777" w:rsidR="007E61E1" w:rsidRPr="00220850" w:rsidRDefault="00445F53" w:rsidP="006B71F6">
            <w:pPr>
              <w:autoSpaceDE w:val="0"/>
              <w:autoSpaceDN w:val="0"/>
              <w:adjustRightInd w:val="0"/>
              <w:jc w:val="center"/>
              <w:rPr>
                <w:sz w:val="22"/>
                <w:szCs w:val="22"/>
              </w:rPr>
            </w:pPr>
            <w:r w:rsidRPr="00220850">
              <w:rPr>
                <w:sz w:val="22"/>
                <w:szCs w:val="22"/>
              </w:rPr>
              <w:t>229 (69,</w:t>
            </w:r>
            <w:r w:rsidR="007E61E1" w:rsidRPr="00220850">
              <w:rPr>
                <w:sz w:val="22"/>
                <w:szCs w:val="22"/>
              </w:rPr>
              <w:t>6)</w:t>
            </w:r>
          </w:p>
        </w:tc>
        <w:tc>
          <w:tcPr>
            <w:tcW w:w="540" w:type="pct"/>
            <w:vAlign w:val="bottom"/>
          </w:tcPr>
          <w:p w14:paraId="09EA70AE" w14:textId="77777777" w:rsidR="007E61E1" w:rsidRPr="00220850" w:rsidRDefault="00445F53" w:rsidP="006B71F6">
            <w:pPr>
              <w:autoSpaceDE w:val="0"/>
              <w:autoSpaceDN w:val="0"/>
              <w:adjustRightInd w:val="0"/>
              <w:jc w:val="center"/>
              <w:rPr>
                <w:sz w:val="22"/>
                <w:szCs w:val="22"/>
              </w:rPr>
            </w:pPr>
            <w:r w:rsidRPr="00220850">
              <w:rPr>
                <w:sz w:val="22"/>
                <w:szCs w:val="22"/>
              </w:rPr>
              <w:t>256 (60,</w:t>
            </w:r>
            <w:r w:rsidR="007E61E1" w:rsidRPr="00220850">
              <w:rPr>
                <w:sz w:val="22"/>
                <w:szCs w:val="22"/>
              </w:rPr>
              <w:t>5)</w:t>
            </w:r>
          </w:p>
        </w:tc>
        <w:tc>
          <w:tcPr>
            <w:tcW w:w="769" w:type="pct"/>
            <w:vAlign w:val="bottom"/>
          </w:tcPr>
          <w:p w14:paraId="01F18B99" w14:textId="77777777" w:rsidR="007E61E1" w:rsidRPr="00220850" w:rsidRDefault="00445F53" w:rsidP="006B71F6">
            <w:pPr>
              <w:autoSpaceDE w:val="0"/>
              <w:autoSpaceDN w:val="0"/>
              <w:adjustRightInd w:val="0"/>
              <w:jc w:val="center"/>
              <w:rPr>
                <w:sz w:val="22"/>
                <w:szCs w:val="22"/>
              </w:rPr>
            </w:pPr>
            <w:r w:rsidRPr="00220850">
              <w:rPr>
                <w:sz w:val="22"/>
                <w:szCs w:val="22"/>
              </w:rPr>
              <w:t>447 (70,</w:t>
            </w:r>
            <w:r w:rsidR="007E61E1" w:rsidRPr="00220850">
              <w:rPr>
                <w:sz w:val="22"/>
                <w:szCs w:val="22"/>
              </w:rPr>
              <w:t>1)</w:t>
            </w:r>
          </w:p>
        </w:tc>
      </w:tr>
      <w:tr w:rsidR="007E61E1" w:rsidRPr="00220850" w14:paraId="2FD98C9D" w14:textId="77777777" w:rsidTr="0035166F">
        <w:tc>
          <w:tcPr>
            <w:tcW w:w="5000" w:type="pct"/>
            <w:gridSpan w:val="7"/>
          </w:tcPr>
          <w:p w14:paraId="4D18148F" w14:textId="77777777" w:rsidR="007E61E1" w:rsidRPr="00220850" w:rsidRDefault="00445F53" w:rsidP="006B71F6">
            <w:pPr>
              <w:autoSpaceDE w:val="0"/>
              <w:autoSpaceDN w:val="0"/>
              <w:adjustRightInd w:val="0"/>
              <w:rPr>
                <w:sz w:val="22"/>
                <w:szCs w:val="22"/>
                <w:lang w:val="lt-LT"/>
              </w:rPr>
            </w:pPr>
            <w:r w:rsidRPr="00220850">
              <w:rPr>
                <w:sz w:val="22"/>
                <w:szCs w:val="22"/>
                <w:lang w:val="lt-LT"/>
              </w:rPr>
              <w:t>Palyginimas su placebu</w:t>
            </w:r>
          </w:p>
        </w:tc>
      </w:tr>
      <w:tr w:rsidR="00E05F35" w:rsidRPr="00220850" w14:paraId="35A6D59C" w14:textId="77777777" w:rsidTr="0035166F">
        <w:tc>
          <w:tcPr>
            <w:tcW w:w="984" w:type="pct"/>
          </w:tcPr>
          <w:p w14:paraId="47F434A2" w14:textId="77777777" w:rsidR="007E61E1" w:rsidRPr="00220850" w:rsidRDefault="00445F53" w:rsidP="00445F53">
            <w:pPr>
              <w:autoSpaceDE w:val="0"/>
              <w:autoSpaceDN w:val="0"/>
              <w:adjustRightInd w:val="0"/>
              <w:rPr>
                <w:sz w:val="22"/>
                <w:szCs w:val="22"/>
                <w:lang w:val="lt-LT"/>
              </w:rPr>
            </w:pPr>
            <w:r w:rsidRPr="00220850">
              <w:rPr>
                <w:sz w:val="22"/>
                <w:szCs w:val="22"/>
                <w:lang w:val="lt-LT"/>
              </w:rPr>
              <w:t>Šansų santykis</w:t>
            </w:r>
          </w:p>
        </w:tc>
        <w:tc>
          <w:tcPr>
            <w:tcW w:w="558" w:type="pct"/>
          </w:tcPr>
          <w:p w14:paraId="7E93FD45" w14:textId="77777777" w:rsidR="007E61E1" w:rsidRPr="00220850" w:rsidRDefault="007E61E1" w:rsidP="006B71F6">
            <w:pPr>
              <w:autoSpaceDE w:val="0"/>
              <w:autoSpaceDN w:val="0"/>
              <w:adjustRightInd w:val="0"/>
              <w:rPr>
                <w:sz w:val="22"/>
                <w:szCs w:val="22"/>
              </w:rPr>
            </w:pPr>
          </w:p>
        </w:tc>
        <w:tc>
          <w:tcPr>
            <w:tcW w:w="806" w:type="pct"/>
            <w:vAlign w:val="center"/>
          </w:tcPr>
          <w:p w14:paraId="0E6838C7" w14:textId="77777777" w:rsidR="007E61E1" w:rsidRPr="00220850" w:rsidRDefault="00445F53" w:rsidP="006B71F6">
            <w:pPr>
              <w:autoSpaceDE w:val="0"/>
              <w:autoSpaceDN w:val="0"/>
              <w:adjustRightInd w:val="0"/>
              <w:jc w:val="center"/>
              <w:rPr>
                <w:sz w:val="22"/>
                <w:szCs w:val="22"/>
              </w:rPr>
            </w:pPr>
            <w:r w:rsidRPr="00220850">
              <w:rPr>
                <w:sz w:val="22"/>
                <w:szCs w:val="22"/>
              </w:rPr>
              <w:t>1,</w:t>
            </w:r>
            <w:r w:rsidR="007E61E1" w:rsidRPr="00220850">
              <w:rPr>
                <w:sz w:val="22"/>
                <w:szCs w:val="22"/>
              </w:rPr>
              <w:t>91</w:t>
            </w:r>
          </w:p>
        </w:tc>
        <w:tc>
          <w:tcPr>
            <w:tcW w:w="574" w:type="pct"/>
            <w:vAlign w:val="center"/>
          </w:tcPr>
          <w:p w14:paraId="4F56F5BF"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561E76DA" w14:textId="77777777" w:rsidR="007E61E1" w:rsidRPr="00220850" w:rsidRDefault="00445F53" w:rsidP="006B71F6">
            <w:pPr>
              <w:autoSpaceDE w:val="0"/>
              <w:autoSpaceDN w:val="0"/>
              <w:adjustRightInd w:val="0"/>
              <w:jc w:val="center"/>
              <w:rPr>
                <w:sz w:val="22"/>
                <w:szCs w:val="22"/>
              </w:rPr>
            </w:pPr>
            <w:r w:rsidRPr="00220850">
              <w:rPr>
                <w:sz w:val="22"/>
                <w:szCs w:val="22"/>
              </w:rPr>
              <w:t>1,</w:t>
            </w:r>
            <w:r w:rsidR="007E61E1" w:rsidRPr="00220850">
              <w:rPr>
                <w:sz w:val="22"/>
                <w:szCs w:val="22"/>
              </w:rPr>
              <w:t>29</w:t>
            </w:r>
          </w:p>
        </w:tc>
        <w:tc>
          <w:tcPr>
            <w:tcW w:w="540" w:type="pct"/>
            <w:vAlign w:val="center"/>
          </w:tcPr>
          <w:p w14:paraId="69C27A8F"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64E4B955" w14:textId="77777777" w:rsidR="007E61E1" w:rsidRPr="00220850" w:rsidRDefault="00445F53" w:rsidP="006B71F6">
            <w:pPr>
              <w:autoSpaceDE w:val="0"/>
              <w:autoSpaceDN w:val="0"/>
              <w:adjustRightInd w:val="0"/>
              <w:jc w:val="center"/>
              <w:rPr>
                <w:sz w:val="22"/>
                <w:szCs w:val="22"/>
              </w:rPr>
            </w:pPr>
            <w:r w:rsidRPr="00220850">
              <w:rPr>
                <w:sz w:val="22"/>
                <w:szCs w:val="22"/>
              </w:rPr>
              <w:t>1,</w:t>
            </w:r>
            <w:r w:rsidR="007E61E1" w:rsidRPr="00220850">
              <w:rPr>
                <w:sz w:val="22"/>
                <w:szCs w:val="22"/>
              </w:rPr>
              <w:t>58</w:t>
            </w:r>
          </w:p>
        </w:tc>
      </w:tr>
      <w:tr w:rsidR="00E05F35" w:rsidRPr="00220850" w14:paraId="15FEF0A9" w14:textId="77777777" w:rsidTr="0035166F">
        <w:tc>
          <w:tcPr>
            <w:tcW w:w="984" w:type="pct"/>
          </w:tcPr>
          <w:p w14:paraId="5C5D9271" w14:textId="77777777" w:rsidR="007E61E1" w:rsidRPr="00220850" w:rsidRDefault="007E61E1" w:rsidP="006B71F6">
            <w:pPr>
              <w:autoSpaceDE w:val="0"/>
              <w:autoSpaceDN w:val="0"/>
              <w:adjustRightInd w:val="0"/>
              <w:rPr>
                <w:sz w:val="22"/>
                <w:szCs w:val="22"/>
                <w:lang w:val="lt-LT"/>
              </w:rPr>
            </w:pPr>
            <w:r w:rsidRPr="00220850">
              <w:rPr>
                <w:sz w:val="22"/>
                <w:szCs w:val="22"/>
                <w:lang w:val="lt-LT"/>
              </w:rPr>
              <w:lastRenderedPageBreak/>
              <w:t>95</w:t>
            </w:r>
            <w:r w:rsidR="00445F53" w:rsidRPr="00220850">
              <w:rPr>
                <w:sz w:val="22"/>
                <w:szCs w:val="22"/>
                <w:lang w:val="lt-LT"/>
              </w:rPr>
              <w:t> </w:t>
            </w:r>
            <w:r w:rsidRPr="00220850">
              <w:rPr>
                <w:sz w:val="22"/>
                <w:szCs w:val="22"/>
                <w:lang w:val="lt-LT"/>
              </w:rPr>
              <w:t>% </w:t>
            </w:r>
            <w:r w:rsidR="00445F53" w:rsidRPr="00220850">
              <w:rPr>
                <w:sz w:val="22"/>
                <w:szCs w:val="22"/>
                <w:lang w:val="lt-LT"/>
              </w:rPr>
              <w:t>P</w:t>
            </w:r>
            <w:r w:rsidRPr="00220850">
              <w:rPr>
                <w:sz w:val="22"/>
                <w:szCs w:val="22"/>
                <w:lang w:val="lt-LT"/>
              </w:rPr>
              <w:t>I</w:t>
            </w:r>
          </w:p>
        </w:tc>
        <w:tc>
          <w:tcPr>
            <w:tcW w:w="558" w:type="pct"/>
          </w:tcPr>
          <w:p w14:paraId="0CC7F1EA" w14:textId="77777777" w:rsidR="007E61E1" w:rsidRPr="00220850" w:rsidRDefault="007E61E1" w:rsidP="006B71F6">
            <w:pPr>
              <w:autoSpaceDE w:val="0"/>
              <w:autoSpaceDN w:val="0"/>
              <w:adjustRightInd w:val="0"/>
              <w:rPr>
                <w:sz w:val="22"/>
                <w:szCs w:val="22"/>
              </w:rPr>
            </w:pPr>
          </w:p>
        </w:tc>
        <w:tc>
          <w:tcPr>
            <w:tcW w:w="806" w:type="pct"/>
            <w:vAlign w:val="center"/>
          </w:tcPr>
          <w:p w14:paraId="6D9850F5" w14:textId="77777777" w:rsidR="007E61E1" w:rsidRPr="00220850" w:rsidRDefault="00445F53" w:rsidP="00445F53">
            <w:pPr>
              <w:autoSpaceDE w:val="0"/>
              <w:autoSpaceDN w:val="0"/>
              <w:adjustRightInd w:val="0"/>
              <w:jc w:val="center"/>
              <w:rPr>
                <w:sz w:val="22"/>
                <w:szCs w:val="22"/>
              </w:rPr>
            </w:pPr>
            <w:r w:rsidRPr="00220850">
              <w:rPr>
                <w:sz w:val="22"/>
                <w:szCs w:val="22"/>
                <w:lang w:val="en-US"/>
              </w:rPr>
              <w:t>(1,</w:t>
            </w:r>
            <w:r w:rsidR="007E61E1" w:rsidRPr="00220850">
              <w:rPr>
                <w:sz w:val="22"/>
                <w:szCs w:val="22"/>
                <w:lang w:val="en-US"/>
              </w:rPr>
              <w:t>32, 2</w:t>
            </w:r>
            <w:r w:rsidRPr="00220850">
              <w:rPr>
                <w:sz w:val="22"/>
                <w:szCs w:val="22"/>
                <w:lang w:val="en-US"/>
              </w:rPr>
              <w:t>,</w:t>
            </w:r>
            <w:r w:rsidR="007E61E1" w:rsidRPr="00220850">
              <w:rPr>
                <w:sz w:val="22"/>
                <w:szCs w:val="22"/>
                <w:lang w:val="en-US"/>
              </w:rPr>
              <w:t>79)</w:t>
            </w:r>
          </w:p>
        </w:tc>
        <w:tc>
          <w:tcPr>
            <w:tcW w:w="574" w:type="pct"/>
            <w:vAlign w:val="center"/>
          </w:tcPr>
          <w:p w14:paraId="0766B4A1"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0A2C2E14" w14:textId="77777777" w:rsidR="007E61E1" w:rsidRPr="00220850" w:rsidRDefault="00445F53" w:rsidP="00445F53">
            <w:pPr>
              <w:autoSpaceDE w:val="0"/>
              <w:autoSpaceDN w:val="0"/>
              <w:adjustRightInd w:val="0"/>
              <w:jc w:val="center"/>
              <w:rPr>
                <w:sz w:val="22"/>
                <w:szCs w:val="22"/>
              </w:rPr>
            </w:pPr>
            <w:r w:rsidRPr="00220850">
              <w:rPr>
                <w:sz w:val="22"/>
                <w:szCs w:val="22"/>
                <w:lang w:val="en-US"/>
              </w:rPr>
              <w:t>(0,89, 1,</w:t>
            </w:r>
            <w:r w:rsidR="007E61E1" w:rsidRPr="00220850">
              <w:rPr>
                <w:sz w:val="22"/>
                <w:szCs w:val="22"/>
                <w:lang w:val="en-US"/>
              </w:rPr>
              <w:t>86)</w:t>
            </w:r>
          </w:p>
        </w:tc>
        <w:tc>
          <w:tcPr>
            <w:tcW w:w="540" w:type="pct"/>
            <w:vAlign w:val="center"/>
          </w:tcPr>
          <w:p w14:paraId="5BF06179"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2FD83F3E" w14:textId="77777777" w:rsidR="007E61E1" w:rsidRPr="00220850" w:rsidRDefault="00445F53" w:rsidP="006B71F6">
            <w:pPr>
              <w:autoSpaceDE w:val="0"/>
              <w:autoSpaceDN w:val="0"/>
              <w:adjustRightInd w:val="0"/>
              <w:ind w:right="-125"/>
              <w:jc w:val="center"/>
              <w:rPr>
                <w:sz w:val="22"/>
                <w:szCs w:val="22"/>
              </w:rPr>
            </w:pPr>
            <w:r w:rsidRPr="00220850">
              <w:rPr>
                <w:sz w:val="22"/>
                <w:szCs w:val="22"/>
                <w:lang w:val="en-US"/>
              </w:rPr>
              <w:t>(1,21, 2,</w:t>
            </w:r>
            <w:r w:rsidR="007E61E1" w:rsidRPr="00220850">
              <w:rPr>
                <w:sz w:val="22"/>
                <w:szCs w:val="22"/>
                <w:lang w:val="en-US"/>
              </w:rPr>
              <w:t>05)</w:t>
            </w:r>
          </w:p>
        </w:tc>
      </w:tr>
      <w:tr w:rsidR="00E05F35" w:rsidRPr="00220850" w14:paraId="7ED266FB" w14:textId="77777777" w:rsidTr="0035166F">
        <w:tc>
          <w:tcPr>
            <w:tcW w:w="984" w:type="pct"/>
          </w:tcPr>
          <w:p w14:paraId="706353A4" w14:textId="77777777" w:rsidR="007E61E1" w:rsidRPr="00220850" w:rsidRDefault="006B71F6" w:rsidP="00445F53">
            <w:pPr>
              <w:autoSpaceDE w:val="0"/>
              <w:autoSpaceDN w:val="0"/>
              <w:adjustRightInd w:val="0"/>
              <w:rPr>
                <w:sz w:val="22"/>
                <w:szCs w:val="22"/>
                <w:lang w:val="lt-LT"/>
              </w:rPr>
            </w:pPr>
            <w:r w:rsidRPr="00220850">
              <w:rPr>
                <w:sz w:val="22"/>
                <w:szCs w:val="22"/>
                <w:lang w:val="lt-LT"/>
              </w:rPr>
              <w:t xml:space="preserve"> </w:t>
            </w:r>
            <w:r w:rsidR="00A77D77" w:rsidRPr="00220850">
              <w:rPr>
                <w:sz w:val="22"/>
                <w:szCs w:val="22"/>
                <w:lang w:val="lt-LT"/>
              </w:rPr>
              <w:t xml:space="preserve">p </w:t>
            </w:r>
            <w:r w:rsidR="00445F53" w:rsidRPr="00220850">
              <w:rPr>
                <w:sz w:val="22"/>
                <w:szCs w:val="22"/>
                <w:lang w:val="lt-LT"/>
              </w:rPr>
              <w:t>reikšmė</w:t>
            </w:r>
            <w:r w:rsidR="007E61E1" w:rsidRPr="00220850">
              <w:rPr>
                <w:sz w:val="22"/>
                <w:szCs w:val="22"/>
                <w:vertAlign w:val="superscript"/>
                <w:lang w:val="lt-LT"/>
              </w:rPr>
              <w:t>2</w:t>
            </w:r>
          </w:p>
        </w:tc>
        <w:tc>
          <w:tcPr>
            <w:tcW w:w="558" w:type="pct"/>
          </w:tcPr>
          <w:p w14:paraId="2D8CA906" w14:textId="77777777" w:rsidR="007E61E1" w:rsidRPr="00220850" w:rsidRDefault="007E61E1" w:rsidP="006B71F6">
            <w:pPr>
              <w:autoSpaceDE w:val="0"/>
              <w:autoSpaceDN w:val="0"/>
              <w:adjustRightInd w:val="0"/>
              <w:rPr>
                <w:sz w:val="22"/>
                <w:szCs w:val="22"/>
              </w:rPr>
            </w:pPr>
          </w:p>
        </w:tc>
        <w:tc>
          <w:tcPr>
            <w:tcW w:w="806" w:type="pct"/>
            <w:vAlign w:val="center"/>
          </w:tcPr>
          <w:p w14:paraId="083D1B22" w14:textId="77777777" w:rsidR="007E61E1" w:rsidRPr="00220850" w:rsidRDefault="00445F53" w:rsidP="006B71F6">
            <w:pPr>
              <w:autoSpaceDE w:val="0"/>
              <w:autoSpaceDN w:val="0"/>
              <w:adjustRightInd w:val="0"/>
              <w:jc w:val="center"/>
              <w:rPr>
                <w:sz w:val="22"/>
                <w:szCs w:val="22"/>
              </w:rPr>
            </w:pPr>
            <w:r w:rsidRPr="00220850">
              <w:rPr>
                <w:sz w:val="22"/>
                <w:szCs w:val="22"/>
              </w:rPr>
              <w:t>0,</w:t>
            </w:r>
            <w:r w:rsidR="007E61E1" w:rsidRPr="00220850">
              <w:rPr>
                <w:sz w:val="22"/>
                <w:szCs w:val="22"/>
              </w:rPr>
              <w:t>0007</w:t>
            </w:r>
          </w:p>
        </w:tc>
        <w:tc>
          <w:tcPr>
            <w:tcW w:w="574" w:type="pct"/>
            <w:vAlign w:val="center"/>
          </w:tcPr>
          <w:p w14:paraId="2B469390"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4D97B53B" w14:textId="77777777" w:rsidR="007E61E1" w:rsidRPr="00220850" w:rsidRDefault="00445F53" w:rsidP="006B71F6">
            <w:pPr>
              <w:autoSpaceDE w:val="0"/>
              <w:autoSpaceDN w:val="0"/>
              <w:adjustRightInd w:val="0"/>
              <w:jc w:val="center"/>
              <w:rPr>
                <w:sz w:val="22"/>
                <w:szCs w:val="22"/>
              </w:rPr>
            </w:pPr>
            <w:r w:rsidRPr="00220850">
              <w:rPr>
                <w:sz w:val="22"/>
                <w:szCs w:val="22"/>
              </w:rPr>
              <w:t>0,</w:t>
            </w:r>
            <w:r w:rsidR="007E61E1" w:rsidRPr="00220850">
              <w:rPr>
                <w:sz w:val="22"/>
                <w:szCs w:val="22"/>
              </w:rPr>
              <w:t>1833</w:t>
            </w:r>
          </w:p>
        </w:tc>
        <w:tc>
          <w:tcPr>
            <w:tcW w:w="540" w:type="pct"/>
            <w:vAlign w:val="center"/>
          </w:tcPr>
          <w:p w14:paraId="501081EF" w14:textId="77777777" w:rsidR="007E61E1" w:rsidRPr="00220850" w:rsidRDefault="007E61E1" w:rsidP="006B71F6">
            <w:pPr>
              <w:autoSpaceDE w:val="0"/>
              <w:autoSpaceDN w:val="0"/>
              <w:adjustRightInd w:val="0"/>
              <w:jc w:val="center"/>
              <w:rPr>
                <w:sz w:val="22"/>
                <w:szCs w:val="22"/>
              </w:rPr>
            </w:pPr>
          </w:p>
        </w:tc>
        <w:tc>
          <w:tcPr>
            <w:tcW w:w="769" w:type="pct"/>
            <w:vAlign w:val="center"/>
          </w:tcPr>
          <w:p w14:paraId="24557E13" w14:textId="77777777" w:rsidR="007E61E1" w:rsidRPr="00220850" w:rsidRDefault="00445F53" w:rsidP="006B71F6">
            <w:pPr>
              <w:autoSpaceDE w:val="0"/>
              <w:autoSpaceDN w:val="0"/>
              <w:adjustRightInd w:val="0"/>
              <w:jc w:val="center"/>
              <w:rPr>
                <w:sz w:val="22"/>
                <w:szCs w:val="22"/>
              </w:rPr>
            </w:pPr>
            <w:r w:rsidRPr="00220850">
              <w:rPr>
                <w:sz w:val="22"/>
                <w:szCs w:val="22"/>
              </w:rPr>
              <w:t>0,</w:t>
            </w:r>
            <w:r w:rsidR="007E61E1" w:rsidRPr="00220850">
              <w:rPr>
                <w:sz w:val="22"/>
                <w:szCs w:val="22"/>
              </w:rPr>
              <w:t>0007</w:t>
            </w:r>
          </w:p>
        </w:tc>
      </w:tr>
    </w:tbl>
    <w:p w14:paraId="68C5A158" w14:textId="6115A158" w:rsidR="00445F53" w:rsidRPr="00220850" w:rsidRDefault="007E61E1" w:rsidP="00445F53">
      <w:pPr>
        <w:autoSpaceDE w:val="0"/>
        <w:autoSpaceDN w:val="0"/>
        <w:adjustRightInd w:val="0"/>
        <w:rPr>
          <w:sz w:val="20"/>
        </w:rPr>
      </w:pPr>
      <w:r w:rsidRPr="00220850">
        <w:rPr>
          <w:sz w:val="20"/>
          <w:vertAlign w:val="superscript"/>
        </w:rPr>
        <w:t>1</w:t>
      </w:r>
      <w:r w:rsidRPr="00220850">
        <w:rPr>
          <w:sz w:val="20"/>
        </w:rPr>
        <w:t xml:space="preserve"> </w:t>
      </w:r>
      <w:r w:rsidR="00445F53" w:rsidRPr="00220850">
        <w:rPr>
          <w:sz w:val="20"/>
        </w:rPr>
        <w:t>Reagavusieji pacientai yra ti</w:t>
      </w:r>
      <w:r w:rsidR="00A911A2" w:rsidRPr="00220850">
        <w:rPr>
          <w:sz w:val="20"/>
        </w:rPr>
        <w:t>e, kurių absoliutus numatytos FP</w:t>
      </w:r>
      <w:r w:rsidR="00A20D84" w:rsidRPr="00220850">
        <w:rPr>
          <w:sz w:val="20"/>
        </w:rPr>
        <w:t>G</w:t>
      </w:r>
      <w:r w:rsidR="00445F53" w:rsidRPr="00220850">
        <w:rPr>
          <w:sz w:val="20"/>
        </w:rPr>
        <w:t>T sumažėjimas buvo ne didesnis kaip 5</w:t>
      </w:r>
      <w:r w:rsidR="006B71F6" w:rsidRPr="00220850">
        <w:rPr>
          <w:sz w:val="20"/>
        </w:rPr>
        <w:t> </w:t>
      </w:r>
      <w:r w:rsidR="00445F53" w:rsidRPr="00220850">
        <w:rPr>
          <w:sz w:val="20"/>
        </w:rPr>
        <w:t>% arba</w:t>
      </w:r>
      <w:r w:rsidR="006B71F6" w:rsidRPr="00220850">
        <w:rPr>
          <w:sz w:val="20"/>
        </w:rPr>
        <w:t xml:space="preserve"> </w:t>
      </w:r>
      <w:r w:rsidR="00445F53" w:rsidRPr="00220850">
        <w:rPr>
          <w:sz w:val="20"/>
        </w:rPr>
        <w:t>10</w:t>
      </w:r>
      <w:r w:rsidR="006B71F6" w:rsidRPr="00220850">
        <w:rPr>
          <w:sz w:val="20"/>
        </w:rPr>
        <w:t> </w:t>
      </w:r>
      <w:r w:rsidR="00445F53" w:rsidRPr="00220850">
        <w:rPr>
          <w:sz w:val="20"/>
        </w:rPr>
        <w:t>%, priklausomai nuo ribos ir FPGT rodmens 52</w:t>
      </w:r>
      <w:r w:rsidR="00612AB0" w:rsidRPr="00220850">
        <w:rPr>
          <w:sz w:val="20"/>
        </w:rPr>
        <w:t>-ą</w:t>
      </w:r>
      <w:r w:rsidR="00445F53" w:rsidRPr="00220850">
        <w:rPr>
          <w:sz w:val="20"/>
        </w:rPr>
        <w:t xml:space="preserve"> savaitę.</w:t>
      </w:r>
    </w:p>
    <w:p w14:paraId="00CB980C" w14:textId="32DC7FAB" w:rsidR="00445F53" w:rsidRPr="00220850" w:rsidRDefault="00445F53" w:rsidP="00445F53">
      <w:pPr>
        <w:autoSpaceDE w:val="0"/>
        <w:autoSpaceDN w:val="0"/>
        <w:adjustRightInd w:val="0"/>
        <w:rPr>
          <w:sz w:val="20"/>
        </w:rPr>
      </w:pPr>
      <w:r w:rsidRPr="00220850">
        <w:rPr>
          <w:sz w:val="20"/>
          <w:vertAlign w:val="superscript"/>
        </w:rPr>
        <w:t>2</w:t>
      </w:r>
      <w:r w:rsidR="00220F21" w:rsidRPr="00220850">
        <w:rPr>
          <w:sz w:val="20"/>
          <w:vertAlign w:val="superscript"/>
        </w:rPr>
        <w:t xml:space="preserve"> </w:t>
      </w:r>
      <w:r w:rsidRPr="00220850">
        <w:rPr>
          <w:sz w:val="20"/>
        </w:rPr>
        <w:t>Pagrįsta logistine regresija.</w:t>
      </w:r>
    </w:p>
    <w:p w14:paraId="1D94A721" w14:textId="77777777" w:rsidR="006B71F6" w:rsidRPr="00220850" w:rsidRDefault="006B71F6" w:rsidP="00445F53">
      <w:pPr>
        <w:autoSpaceDE w:val="0"/>
        <w:autoSpaceDN w:val="0"/>
        <w:adjustRightInd w:val="0"/>
        <w:rPr>
          <w:sz w:val="20"/>
        </w:rPr>
      </w:pPr>
    </w:p>
    <w:p w14:paraId="6ADC5B41" w14:textId="77777777" w:rsidR="00445F53" w:rsidRPr="00220850" w:rsidRDefault="00445F53" w:rsidP="00445F53">
      <w:pPr>
        <w:autoSpaceDE w:val="0"/>
        <w:autoSpaceDN w:val="0"/>
        <w:adjustRightInd w:val="0"/>
        <w:rPr>
          <w:i/>
          <w:sz w:val="22"/>
          <w:szCs w:val="22"/>
          <w:u w:val="single"/>
        </w:rPr>
      </w:pPr>
      <w:r w:rsidRPr="00220850">
        <w:rPr>
          <w:i/>
          <w:sz w:val="22"/>
          <w:szCs w:val="22"/>
          <w:u w:val="single"/>
        </w:rPr>
        <w:t>Laikas iki progresavimo (≥ 10% absoliutus numatytos FPGT sumažėjimas % arba mirtis)</w:t>
      </w:r>
    </w:p>
    <w:p w14:paraId="22A5AFC8" w14:textId="77777777" w:rsidR="00DE01F8" w:rsidRPr="00220850" w:rsidRDefault="00445F53" w:rsidP="00E05387">
      <w:pPr>
        <w:autoSpaceDE w:val="0"/>
        <w:autoSpaceDN w:val="0"/>
        <w:adjustRightInd w:val="0"/>
        <w:rPr>
          <w:sz w:val="22"/>
          <w:szCs w:val="22"/>
          <w:vertAlign w:val="superscript"/>
        </w:rPr>
      </w:pPr>
      <w:r w:rsidRPr="00220850">
        <w:rPr>
          <w:sz w:val="22"/>
          <w:szCs w:val="22"/>
        </w:rPr>
        <w:t>Abiejuose INPULSIS tyrimuose progresavimo pavojus statistiškai reikšmingai sumažėjo pacientams,</w:t>
      </w:r>
      <w:r w:rsidR="006B71F6" w:rsidRPr="00220850">
        <w:rPr>
          <w:sz w:val="22"/>
          <w:szCs w:val="22"/>
        </w:rPr>
        <w:t xml:space="preserve"> </w:t>
      </w:r>
      <w:r w:rsidRPr="00220850">
        <w:rPr>
          <w:sz w:val="22"/>
          <w:szCs w:val="22"/>
        </w:rPr>
        <w:t xml:space="preserve">gydytiems </w:t>
      </w:r>
      <w:proofErr w:type="spellStart"/>
      <w:r w:rsidRPr="00220850">
        <w:rPr>
          <w:sz w:val="22"/>
          <w:szCs w:val="22"/>
        </w:rPr>
        <w:t>nintedanibu</w:t>
      </w:r>
      <w:proofErr w:type="spellEnd"/>
      <w:r w:rsidRPr="00220850">
        <w:rPr>
          <w:sz w:val="22"/>
          <w:szCs w:val="22"/>
        </w:rPr>
        <w:t xml:space="preserve">, palyginti su </w:t>
      </w:r>
      <w:r w:rsidR="00E05387" w:rsidRPr="00220850">
        <w:rPr>
          <w:sz w:val="22"/>
          <w:szCs w:val="22"/>
        </w:rPr>
        <w:t xml:space="preserve">vartojusiais </w:t>
      </w:r>
      <w:r w:rsidRPr="00220850">
        <w:rPr>
          <w:sz w:val="22"/>
          <w:szCs w:val="22"/>
        </w:rPr>
        <w:t>placeb</w:t>
      </w:r>
      <w:r w:rsidR="00E05387" w:rsidRPr="00220850">
        <w:rPr>
          <w:sz w:val="22"/>
          <w:szCs w:val="22"/>
        </w:rPr>
        <w:t>ą</w:t>
      </w:r>
      <w:r w:rsidRPr="00220850">
        <w:rPr>
          <w:sz w:val="22"/>
          <w:szCs w:val="22"/>
        </w:rPr>
        <w:t xml:space="preserve">. </w:t>
      </w:r>
      <w:r w:rsidR="002E5DDD" w:rsidRPr="00220850">
        <w:rPr>
          <w:sz w:val="22"/>
          <w:szCs w:val="22"/>
        </w:rPr>
        <w:t>Bendroje analizėje RS buvo 0,60; tai</w:t>
      </w:r>
      <w:r w:rsidRPr="00220850">
        <w:rPr>
          <w:sz w:val="22"/>
          <w:szCs w:val="22"/>
        </w:rPr>
        <w:t xml:space="preserve"> rodo 40</w:t>
      </w:r>
      <w:r w:rsidR="006B71F6" w:rsidRPr="00220850">
        <w:rPr>
          <w:sz w:val="22"/>
          <w:szCs w:val="22"/>
        </w:rPr>
        <w:t> </w:t>
      </w:r>
      <w:r w:rsidRPr="00220850">
        <w:rPr>
          <w:sz w:val="22"/>
          <w:szCs w:val="22"/>
        </w:rPr>
        <w:t>%</w:t>
      </w:r>
      <w:r w:rsidR="006B71F6" w:rsidRPr="00220850">
        <w:rPr>
          <w:sz w:val="22"/>
          <w:szCs w:val="22"/>
        </w:rPr>
        <w:t xml:space="preserve"> </w:t>
      </w:r>
      <w:r w:rsidRPr="00220850">
        <w:rPr>
          <w:sz w:val="22"/>
          <w:szCs w:val="22"/>
        </w:rPr>
        <w:t xml:space="preserve">progresavimo pavojaus sumažėjimą pacientams, gydytiems </w:t>
      </w:r>
      <w:proofErr w:type="spellStart"/>
      <w:r w:rsidRPr="00220850">
        <w:rPr>
          <w:sz w:val="22"/>
          <w:szCs w:val="22"/>
        </w:rPr>
        <w:t>nintedanibu</w:t>
      </w:r>
      <w:proofErr w:type="spellEnd"/>
      <w:r w:rsidRPr="00220850">
        <w:rPr>
          <w:sz w:val="22"/>
          <w:szCs w:val="22"/>
        </w:rPr>
        <w:t>, palyginti su vartojusiais</w:t>
      </w:r>
      <w:r w:rsidR="006B71F6" w:rsidRPr="00220850">
        <w:rPr>
          <w:sz w:val="22"/>
          <w:szCs w:val="22"/>
        </w:rPr>
        <w:t xml:space="preserve"> </w:t>
      </w:r>
      <w:r w:rsidRPr="00220850">
        <w:rPr>
          <w:sz w:val="22"/>
          <w:szCs w:val="22"/>
        </w:rPr>
        <w:t>placebą.</w:t>
      </w:r>
      <w:r w:rsidRPr="00220850">
        <w:rPr>
          <w:sz w:val="22"/>
          <w:szCs w:val="22"/>
          <w:vertAlign w:val="superscript"/>
        </w:rPr>
        <w:t xml:space="preserve"> </w:t>
      </w:r>
    </w:p>
    <w:p w14:paraId="495561C0" w14:textId="77777777" w:rsidR="00E05387" w:rsidRPr="00220850" w:rsidRDefault="00E05387" w:rsidP="00E05387">
      <w:pPr>
        <w:autoSpaceDE w:val="0"/>
        <w:autoSpaceDN w:val="0"/>
        <w:adjustRightInd w:val="0"/>
        <w:rPr>
          <w:sz w:val="22"/>
          <w:szCs w:val="24"/>
        </w:rPr>
      </w:pPr>
    </w:p>
    <w:p w14:paraId="6B93D146" w14:textId="4647B59B" w:rsidR="006B71F6" w:rsidRPr="00220850" w:rsidRDefault="004B2460" w:rsidP="006B71F6">
      <w:pPr>
        <w:autoSpaceDE w:val="0"/>
        <w:autoSpaceDN w:val="0"/>
        <w:adjustRightInd w:val="0"/>
        <w:rPr>
          <w:rFonts w:eastAsia="TimesNewRoman,Bold"/>
          <w:b/>
          <w:bCs/>
          <w:sz w:val="22"/>
          <w:szCs w:val="22"/>
        </w:rPr>
      </w:pPr>
      <w:r w:rsidRPr="00220850">
        <w:rPr>
          <w:rFonts w:eastAsia="TimesNewRoman,Bold"/>
          <w:b/>
          <w:bCs/>
          <w:sz w:val="22"/>
          <w:szCs w:val="22"/>
        </w:rPr>
        <w:t>6</w:t>
      </w:r>
      <w:r w:rsidR="006B71F6" w:rsidRPr="00220850">
        <w:rPr>
          <w:rFonts w:eastAsia="TimesNewRoman,Bold"/>
          <w:b/>
          <w:bCs/>
          <w:sz w:val="22"/>
          <w:szCs w:val="22"/>
        </w:rPr>
        <w:t xml:space="preserve"> lentelė. Pacientų, kuriems per 52 savaites pasireiškė ≥ 10 % absoliutus numatytos FPGT sumažėjimas ar mirtis</w:t>
      </w:r>
      <w:r w:rsidR="00905725" w:rsidRPr="00220850">
        <w:t xml:space="preserve"> </w:t>
      </w:r>
      <w:r w:rsidR="00905725" w:rsidRPr="00220850">
        <w:rPr>
          <w:rFonts w:eastAsia="TimesNewRoman,Bold"/>
          <w:b/>
          <w:bCs/>
          <w:sz w:val="22"/>
          <w:szCs w:val="22"/>
        </w:rPr>
        <w:t>ir laikas iki progresavimo</w:t>
      </w:r>
      <w:r w:rsidR="006B71F6" w:rsidRPr="00220850">
        <w:rPr>
          <w:rFonts w:eastAsia="TimesNewRoman,Bold"/>
          <w:b/>
          <w:bCs/>
          <w:sz w:val="22"/>
          <w:szCs w:val="22"/>
        </w:rPr>
        <w:t xml:space="preserve"> INPULSIS-1 ir INPULSIS-2 tyrimų metu bei bendri jų duomenys - gydyt</w:t>
      </w:r>
      <w:r w:rsidR="007C4A52" w:rsidRPr="00220850">
        <w:rPr>
          <w:rFonts w:eastAsia="TimesNewRoman,Bold"/>
          <w:b/>
          <w:bCs/>
          <w:sz w:val="22"/>
          <w:szCs w:val="22"/>
        </w:rPr>
        <w:t>ųjų</w:t>
      </w:r>
      <w:r w:rsidR="006B71F6" w:rsidRPr="00220850">
        <w:rPr>
          <w:rFonts w:eastAsia="TimesNewRoman,Bold"/>
          <w:b/>
          <w:bCs/>
          <w:sz w:val="22"/>
          <w:szCs w:val="22"/>
        </w:rPr>
        <w:t xml:space="preserve"> grupė</w:t>
      </w:r>
    </w:p>
    <w:p w14:paraId="20D0520F" w14:textId="77777777" w:rsidR="006B71F6" w:rsidRPr="00220850" w:rsidRDefault="006B71F6" w:rsidP="006B71F6">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1622"/>
        <w:gridCol w:w="1202"/>
        <w:gridCol w:w="1377"/>
        <w:gridCol w:w="1064"/>
        <w:gridCol w:w="1377"/>
        <w:gridCol w:w="1030"/>
        <w:gridCol w:w="1377"/>
      </w:tblGrid>
      <w:tr w:rsidR="002E5DDD" w:rsidRPr="00220850" w14:paraId="08E196F9" w14:textId="77777777" w:rsidTr="002E5DDD">
        <w:tc>
          <w:tcPr>
            <w:tcW w:w="914" w:type="pct"/>
            <w:vMerge w:val="restart"/>
          </w:tcPr>
          <w:p w14:paraId="72E8C504" w14:textId="77777777" w:rsidR="002E5DDD" w:rsidRPr="00220850" w:rsidRDefault="002E5DDD" w:rsidP="006B71F6">
            <w:pPr>
              <w:autoSpaceDE w:val="0"/>
              <w:autoSpaceDN w:val="0"/>
              <w:adjustRightInd w:val="0"/>
              <w:rPr>
                <w:sz w:val="22"/>
                <w:szCs w:val="22"/>
                <w:lang w:val="lt-LT"/>
              </w:rPr>
            </w:pPr>
          </w:p>
        </w:tc>
        <w:tc>
          <w:tcPr>
            <w:tcW w:w="1420" w:type="pct"/>
            <w:gridSpan w:val="2"/>
          </w:tcPr>
          <w:p w14:paraId="66DB13CD" w14:textId="77777777" w:rsidR="002E5DDD" w:rsidRPr="00220850" w:rsidRDefault="002E5DDD" w:rsidP="006B71F6">
            <w:pPr>
              <w:autoSpaceDE w:val="0"/>
              <w:autoSpaceDN w:val="0"/>
              <w:adjustRightInd w:val="0"/>
              <w:jc w:val="center"/>
              <w:rPr>
                <w:b/>
                <w:sz w:val="22"/>
                <w:szCs w:val="22"/>
              </w:rPr>
            </w:pPr>
            <w:r w:rsidRPr="00220850">
              <w:rPr>
                <w:b/>
                <w:sz w:val="22"/>
                <w:szCs w:val="22"/>
              </w:rPr>
              <w:t>INPULSIS</w:t>
            </w:r>
            <w:r w:rsidRPr="00220850">
              <w:rPr>
                <w:b/>
                <w:sz w:val="22"/>
                <w:szCs w:val="22"/>
              </w:rPr>
              <w:noBreakHyphen/>
              <w:t>1</w:t>
            </w:r>
          </w:p>
        </w:tc>
        <w:tc>
          <w:tcPr>
            <w:tcW w:w="1342" w:type="pct"/>
            <w:gridSpan w:val="2"/>
          </w:tcPr>
          <w:p w14:paraId="7D93884B" w14:textId="77777777" w:rsidR="002E5DDD" w:rsidRPr="00220850" w:rsidRDefault="002E5DDD" w:rsidP="006B71F6">
            <w:pPr>
              <w:autoSpaceDE w:val="0"/>
              <w:autoSpaceDN w:val="0"/>
              <w:adjustRightInd w:val="0"/>
              <w:jc w:val="center"/>
              <w:rPr>
                <w:b/>
                <w:sz w:val="22"/>
                <w:szCs w:val="22"/>
              </w:rPr>
            </w:pPr>
            <w:r w:rsidRPr="00220850">
              <w:rPr>
                <w:b/>
                <w:sz w:val="22"/>
                <w:szCs w:val="22"/>
              </w:rPr>
              <w:t>INPULSIS</w:t>
            </w:r>
            <w:r w:rsidRPr="00220850">
              <w:rPr>
                <w:b/>
                <w:sz w:val="22"/>
                <w:szCs w:val="22"/>
              </w:rPr>
              <w:noBreakHyphen/>
              <w:t>2</w:t>
            </w:r>
          </w:p>
        </w:tc>
        <w:tc>
          <w:tcPr>
            <w:tcW w:w="1324" w:type="pct"/>
            <w:gridSpan w:val="2"/>
          </w:tcPr>
          <w:p w14:paraId="1FE0A9DF" w14:textId="77777777" w:rsidR="002E5DDD" w:rsidRPr="00220850" w:rsidRDefault="002E5DDD" w:rsidP="006B71F6">
            <w:pPr>
              <w:autoSpaceDE w:val="0"/>
              <w:autoSpaceDN w:val="0"/>
              <w:adjustRightInd w:val="0"/>
              <w:jc w:val="center"/>
              <w:rPr>
                <w:b/>
                <w:sz w:val="22"/>
                <w:szCs w:val="22"/>
                <w:lang w:val="lt-LT"/>
              </w:rPr>
            </w:pPr>
            <w:r w:rsidRPr="00220850">
              <w:rPr>
                <w:b/>
                <w:sz w:val="22"/>
                <w:szCs w:val="22"/>
                <w:lang w:val="lt-LT"/>
              </w:rPr>
              <w:t>Jungtiniai INPULSIS</w:t>
            </w:r>
            <w:r w:rsidRPr="00220850">
              <w:rPr>
                <w:b/>
                <w:sz w:val="22"/>
                <w:szCs w:val="22"/>
                <w:lang w:val="lt-LT"/>
              </w:rPr>
              <w:noBreakHyphen/>
              <w:t>1 ir INPULSIS</w:t>
            </w:r>
            <w:r w:rsidRPr="00220850">
              <w:rPr>
                <w:b/>
                <w:sz w:val="22"/>
                <w:szCs w:val="22"/>
                <w:lang w:val="lt-LT"/>
              </w:rPr>
              <w:noBreakHyphen/>
              <w:t>2 duomenys</w:t>
            </w:r>
          </w:p>
        </w:tc>
      </w:tr>
      <w:tr w:rsidR="002E5DDD" w:rsidRPr="00220850" w14:paraId="629E5179" w14:textId="77777777" w:rsidTr="002E5DDD">
        <w:tc>
          <w:tcPr>
            <w:tcW w:w="914" w:type="pct"/>
            <w:vMerge/>
          </w:tcPr>
          <w:p w14:paraId="51698275" w14:textId="77777777" w:rsidR="002E5DDD" w:rsidRPr="00220850" w:rsidRDefault="002E5DDD" w:rsidP="006B71F6">
            <w:pPr>
              <w:autoSpaceDE w:val="0"/>
              <w:autoSpaceDN w:val="0"/>
              <w:adjustRightInd w:val="0"/>
              <w:rPr>
                <w:sz w:val="22"/>
                <w:szCs w:val="22"/>
                <w:lang w:val="fr-FR"/>
              </w:rPr>
            </w:pPr>
          </w:p>
        </w:tc>
        <w:tc>
          <w:tcPr>
            <w:tcW w:w="682" w:type="pct"/>
          </w:tcPr>
          <w:p w14:paraId="57BE9E97" w14:textId="77777777" w:rsidR="002E5DDD" w:rsidRPr="00220850" w:rsidRDefault="00331A5B" w:rsidP="006B71F6">
            <w:pPr>
              <w:autoSpaceDE w:val="0"/>
              <w:autoSpaceDN w:val="0"/>
              <w:adjustRightInd w:val="0"/>
              <w:jc w:val="center"/>
              <w:rPr>
                <w:sz w:val="22"/>
                <w:szCs w:val="22"/>
              </w:rPr>
            </w:pPr>
            <w:proofErr w:type="spellStart"/>
            <w:r w:rsidRPr="00220850">
              <w:rPr>
                <w:sz w:val="22"/>
                <w:szCs w:val="22"/>
              </w:rPr>
              <w:t>Placebas</w:t>
            </w:r>
            <w:proofErr w:type="spellEnd"/>
          </w:p>
        </w:tc>
        <w:tc>
          <w:tcPr>
            <w:tcW w:w="738" w:type="pct"/>
          </w:tcPr>
          <w:p w14:paraId="46D6E9C3" w14:textId="77777777" w:rsidR="002E5DDD" w:rsidRPr="00220850" w:rsidRDefault="002E5DDD" w:rsidP="00FF5762">
            <w:pPr>
              <w:autoSpaceDE w:val="0"/>
              <w:autoSpaceDN w:val="0"/>
              <w:adjustRightInd w:val="0"/>
              <w:spacing w:after="100" w:afterAutospacing="1"/>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605" w:type="pct"/>
          </w:tcPr>
          <w:p w14:paraId="3DD2AEB0" w14:textId="77777777" w:rsidR="002E5DDD" w:rsidRPr="00220850" w:rsidRDefault="00331A5B" w:rsidP="006B71F6">
            <w:pPr>
              <w:autoSpaceDE w:val="0"/>
              <w:autoSpaceDN w:val="0"/>
              <w:adjustRightInd w:val="0"/>
              <w:jc w:val="center"/>
              <w:rPr>
                <w:sz w:val="22"/>
                <w:szCs w:val="22"/>
                <w:lang w:val="lt-LT"/>
              </w:rPr>
            </w:pPr>
            <w:r w:rsidRPr="00220850">
              <w:rPr>
                <w:sz w:val="22"/>
                <w:szCs w:val="22"/>
                <w:lang w:val="lt-LT"/>
              </w:rPr>
              <w:t>Placebas</w:t>
            </w:r>
          </w:p>
        </w:tc>
        <w:tc>
          <w:tcPr>
            <w:tcW w:w="738" w:type="pct"/>
          </w:tcPr>
          <w:p w14:paraId="56846F67" w14:textId="77777777" w:rsidR="002E5DDD" w:rsidRPr="00220850" w:rsidRDefault="002E5DDD" w:rsidP="00FF5762">
            <w:pPr>
              <w:autoSpaceDE w:val="0"/>
              <w:autoSpaceDN w:val="0"/>
              <w:adjustRightInd w:val="0"/>
              <w:spacing w:after="100" w:afterAutospacing="1"/>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586" w:type="pct"/>
          </w:tcPr>
          <w:p w14:paraId="31B2979D" w14:textId="77777777" w:rsidR="002E5DDD" w:rsidRPr="00220850" w:rsidRDefault="002E5DDD" w:rsidP="00331A5B">
            <w:pPr>
              <w:autoSpaceDE w:val="0"/>
              <w:autoSpaceDN w:val="0"/>
              <w:adjustRightInd w:val="0"/>
              <w:jc w:val="center"/>
              <w:rPr>
                <w:sz w:val="22"/>
                <w:szCs w:val="22"/>
                <w:lang w:val="lt-LT"/>
              </w:rPr>
            </w:pPr>
            <w:r w:rsidRPr="00220850">
              <w:rPr>
                <w:sz w:val="22"/>
                <w:szCs w:val="22"/>
                <w:lang w:val="lt-LT"/>
              </w:rPr>
              <w:t>Placeb</w:t>
            </w:r>
            <w:r w:rsidR="00331A5B" w:rsidRPr="00220850">
              <w:rPr>
                <w:sz w:val="22"/>
                <w:szCs w:val="22"/>
                <w:lang w:val="lt-LT"/>
              </w:rPr>
              <w:t>as</w:t>
            </w:r>
          </w:p>
        </w:tc>
        <w:tc>
          <w:tcPr>
            <w:tcW w:w="738" w:type="pct"/>
          </w:tcPr>
          <w:p w14:paraId="2B6F29AB" w14:textId="77777777" w:rsidR="002E5DDD" w:rsidRPr="00220850" w:rsidRDefault="002E5DDD" w:rsidP="00FF5762">
            <w:pPr>
              <w:autoSpaceDE w:val="0"/>
              <w:autoSpaceDN w:val="0"/>
              <w:adjustRightInd w:val="0"/>
              <w:spacing w:after="100" w:afterAutospacing="1"/>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6B71F6" w:rsidRPr="00220850" w14:paraId="08647C2D" w14:textId="77777777" w:rsidTr="002E5DDD">
        <w:tc>
          <w:tcPr>
            <w:tcW w:w="914" w:type="pct"/>
          </w:tcPr>
          <w:p w14:paraId="6EA86C51" w14:textId="77777777" w:rsidR="006B71F6" w:rsidRPr="00220850" w:rsidRDefault="002E5DDD" w:rsidP="002E5DDD">
            <w:pPr>
              <w:autoSpaceDE w:val="0"/>
              <w:autoSpaceDN w:val="0"/>
              <w:adjustRightInd w:val="0"/>
              <w:rPr>
                <w:sz w:val="22"/>
                <w:szCs w:val="22"/>
                <w:lang w:val="lt-LT"/>
              </w:rPr>
            </w:pPr>
            <w:r w:rsidRPr="00220850">
              <w:rPr>
                <w:sz w:val="22"/>
                <w:szCs w:val="22"/>
                <w:lang w:val="lt-LT"/>
              </w:rPr>
              <w:t>Pacientų, kuriems yra rizika, skaičius</w:t>
            </w:r>
          </w:p>
        </w:tc>
        <w:tc>
          <w:tcPr>
            <w:tcW w:w="682" w:type="pct"/>
          </w:tcPr>
          <w:p w14:paraId="4E5045B4"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204</w:t>
            </w:r>
          </w:p>
        </w:tc>
        <w:tc>
          <w:tcPr>
            <w:tcW w:w="738" w:type="pct"/>
          </w:tcPr>
          <w:p w14:paraId="788EE1FB"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309</w:t>
            </w:r>
          </w:p>
        </w:tc>
        <w:tc>
          <w:tcPr>
            <w:tcW w:w="605" w:type="pct"/>
          </w:tcPr>
          <w:p w14:paraId="1C8040FD"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219</w:t>
            </w:r>
          </w:p>
        </w:tc>
        <w:tc>
          <w:tcPr>
            <w:tcW w:w="738" w:type="pct"/>
          </w:tcPr>
          <w:p w14:paraId="7F49E57A"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329</w:t>
            </w:r>
          </w:p>
        </w:tc>
        <w:tc>
          <w:tcPr>
            <w:tcW w:w="586" w:type="pct"/>
          </w:tcPr>
          <w:p w14:paraId="50F562AB"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423</w:t>
            </w:r>
          </w:p>
        </w:tc>
        <w:tc>
          <w:tcPr>
            <w:tcW w:w="738" w:type="pct"/>
          </w:tcPr>
          <w:p w14:paraId="70D722F1"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638</w:t>
            </w:r>
          </w:p>
        </w:tc>
      </w:tr>
      <w:tr w:rsidR="006B71F6" w:rsidRPr="00220850" w14:paraId="3565B808" w14:textId="77777777" w:rsidTr="002E5DDD">
        <w:tc>
          <w:tcPr>
            <w:tcW w:w="914" w:type="pct"/>
          </w:tcPr>
          <w:p w14:paraId="11FC914F" w14:textId="77777777" w:rsidR="006B71F6" w:rsidRPr="00220850" w:rsidRDefault="002E5DDD" w:rsidP="002559D3">
            <w:pPr>
              <w:autoSpaceDE w:val="0"/>
              <w:autoSpaceDN w:val="0"/>
              <w:adjustRightInd w:val="0"/>
              <w:rPr>
                <w:sz w:val="22"/>
                <w:szCs w:val="22"/>
                <w:lang w:val="lt-LT"/>
              </w:rPr>
            </w:pPr>
            <w:r w:rsidRPr="00220850">
              <w:rPr>
                <w:sz w:val="22"/>
                <w:szCs w:val="22"/>
                <w:lang w:val="lt-LT"/>
              </w:rPr>
              <w:t>Pacientų, kuriems pasireiškė pa</w:t>
            </w:r>
            <w:r w:rsidR="002559D3" w:rsidRPr="00220850">
              <w:rPr>
                <w:sz w:val="22"/>
                <w:szCs w:val="22"/>
                <w:lang w:val="lt-LT"/>
              </w:rPr>
              <w:t>blogėjimas</w:t>
            </w:r>
            <w:r w:rsidRPr="00220850">
              <w:rPr>
                <w:sz w:val="22"/>
                <w:szCs w:val="22"/>
                <w:lang w:val="lt-LT"/>
              </w:rPr>
              <w:t>, skaičius (%)</w:t>
            </w:r>
          </w:p>
        </w:tc>
        <w:tc>
          <w:tcPr>
            <w:tcW w:w="682" w:type="pct"/>
            <w:vAlign w:val="center"/>
          </w:tcPr>
          <w:p w14:paraId="215F37B4"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83</w:t>
            </w:r>
          </w:p>
          <w:p w14:paraId="5CE8AA1D"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(40,7)</w:t>
            </w:r>
          </w:p>
        </w:tc>
        <w:tc>
          <w:tcPr>
            <w:tcW w:w="738" w:type="pct"/>
            <w:vAlign w:val="center"/>
          </w:tcPr>
          <w:p w14:paraId="64D2FD70"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75</w:t>
            </w:r>
          </w:p>
          <w:p w14:paraId="0D51A8E7"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(24,3)</w:t>
            </w:r>
          </w:p>
        </w:tc>
        <w:tc>
          <w:tcPr>
            <w:tcW w:w="605" w:type="pct"/>
            <w:vAlign w:val="center"/>
          </w:tcPr>
          <w:p w14:paraId="10C95906"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92</w:t>
            </w:r>
          </w:p>
          <w:p w14:paraId="1768EA03"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(42,0)</w:t>
            </w:r>
          </w:p>
        </w:tc>
        <w:tc>
          <w:tcPr>
            <w:tcW w:w="738" w:type="pct"/>
            <w:vAlign w:val="center"/>
          </w:tcPr>
          <w:p w14:paraId="2EE63CB9"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98</w:t>
            </w:r>
          </w:p>
          <w:p w14:paraId="51B4518F"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(29,8)</w:t>
            </w:r>
          </w:p>
        </w:tc>
        <w:tc>
          <w:tcPr>
            <w:tcW w:w="586" w:type="pct"/>
            <w:vAlign w:val="center"/>
          </w:tcPr>
          <w:p w14:paraId="0DA9B850"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175</w:t>
            </w:r>
          </w:p>
          <w:p w14:paraId="431094FA"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(41,4)</w:t>
            </w:r>
          </w:p>
        </w:tc>
        <w:tc>
          <w:tcPr>
            <w:tcW w:w="738" w:type="pct"/>
            <w:vAlign w:val="center"/>
          </w:tcPr>
          <w:p w14:paraId="6E301256"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173</w:t>
            </w:r>
          </w:p>
          <w:p w14:paraId="453C4D13" w14:textId="77777777" w:rsidR="006B71F6" w:rsidRPr="00220850" w:rsidRDefault="006B71F6" w:rsidP="006B71F6">
            <w:pPr>
              <w:autoSpaceDE w:val="0"/>
              <w:autoSpaceDN w:val="0"/>
              <w:adjustRightInd w:val="0"/>
              <w:jc w:val="center"/>
              <w:rPr>
                <w:sz w:val="22"/>
                <w:szCs w:val="22"/>
                <w:lang w:val="lt-LT"/>
              </w:rPr>
            </w:pPr>
            <w:r w:rsidRPr="00220850">
              <w:rPr>
                <w:sz w:val="22"/>
                <w:szCs w:val="22"/>
                <w:lang w:val="lt-LT"/>
              </w:rPr>
              <w:t>(27,1)</w:t>
            </w:r>
          </w:p>
        </w:tc>
      </w:tr>
      <w:tr w:rsidR="006B71F6" w:rsidRPr="00220850" w14:paraId="5051811F" w14:textId="77777777" w:rsidTr="006B71F6">
        <w:tc>
          <w:tcPr>
            <w:tcW w:w="5000" w:type="pct"/>
            <w:gridSpan w:val="7"/>
          </w:tcPr>
          <w:p w14:paraId="1A51D47D" w14:textId="77777777" w:rsidR="006B71F6" w:rsidRPr="00220850" w:rsidRDefault="002E5DDD" w:rsidP="006B71F6">
            <w:pPr>
              <w:autoSpaceDE w:val="0"/>
              <w:autoSpaceDN w:val="0"/>
              <w:adjustRightInd w:val="0"/>
              <w:rPr>
                <w:sz w:val="22"/>
                <w:szCs w:val="22"/>
                <w:lang w:val="lt-LT"/>
              </w:rPr>
            </w:pPr>
            <w:r w:rsidRPr="00220850">
              <w:rPr>
                <w:sz w:val="22"/>
                <w:szCs w:val="22"/>
                <w:lang w:val="lt-LT"/>
              </w:rPr>
              <w:t>Palyginimas su placebu</w:t>
            </w:r>
            <w:r w:rsidRPr="00220850">
              <w:rPr>
                <w:sz w:val="22"/>
                <w:szCs w:val="22"/>
                <w:vertAlign w:val="superscript"/>
                <w:lang w:val="lt-LT"/>
              </w:rPr>
              <w:t>1</w:t>
            </w:r>
          </w:p>
        </w:tc>
      </w:tr>
      <w:tr w:rsidR="006B71F6" w:rsidRPr="00220850" w14:paraId="2D13FAA5" w14:textId="77777777" w:rsidTr="002E5DDD">
        <w:tc>
          <w:tcPr>
            <w:tcW w:w="914" w:type="pct"/>
          </w:tcPr>
          <w:p w14:paraId="61D36790" w14:textId="77777777" w:rsidR="006B71F6" w:rsidRPr="00220850" w:rsidRDefault="00E641C5" w:rsidP="00E641C5">
            <w:pPr>
              <w:autoSpaceDE w:val="0"/>
              <w:autoSpaceDN w:val="0"/>
              <w:adjustRightInd w:val="0"/>
              <w:rPr>
                <w:sz w:val="22"/>
                <w:szCs w:val="22"/>
              </w:rPr>
            </w:pPr>
            <w:r w:rsidRPr="00220850">
              <w:rPr>
                <w:sz w:val="22"/>
                <w:szCs w:val="22"/>
              </w:rPr>
              <w:t xml:space="preserve">p </w:t>
            </w:r>
            <w:r w:rsidR="002E5DDD" w:rsidRPr="00220850">
              <w:rPr>
                <w:sz w:val="22"/>
                <w:szCs w:val="22"/>
              </w:rPr>
              <w:t>reikšmė</w:t>
            </w:r>
            <w:r w:rsidR="006B71F6" w:rsidRPr="00220850">
              <w:rPr>
                <w:sz w:val="22"/>
                <w:szCs w:val="22"/>
                <w:vertAlign w:val="superscript"/>
              </w:rPr>
              <w:t>2</w:t>
            </w:r>
          </w:p>
        </w:tc>
        <w:tc>
          <w:tcPr>
            <w:tcW w:w="682" w:type="pct"/>
            <w:vAlign w:val="center"/>
          </w:tcPr>
          <w:p w14:paraId="0638EF56"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5142588F" w14:textId="77777777" w:rsidR="006B71F6" w:rsidRPr="00220850" w:rsidRDefault="006B71F6" w:rsidP="006B71F6">
            <w:pPr>
              <w:autoSpaceDE w:val="0"/>
              <w:autoSpaceDN w:val="0"/>
              <w:adjustRightInd w:val="0"/>
              <w:jc w:val="center"/>
              <w:rPr>
                <w:sz w:val="22"/>
                <w:szCs w:val="22"/>
              </w:rPr>
            </w:pPr>
            <w:r w:rsidRPr="00220850">
              <w:rPr>
                <w:sz w:val="22"/>
                <w:szCs w:val="22"/>
              </w:rPr>
              <w:t>0,0001</w:t>
            </w:r>
          </w:p>
        </w:tc>
        <w:tc>
          <w:tcPr>
            <w:tcW w:w="605" w:type="pct"/>
            <w:vAlign w:val="center"/>
          </w:tcPr>
          <w:p w14:paraId="794C4721"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7E51AD61" w14:textId="77777777" w:rsidR="006B71F6" w:rsidRPr="00220850" w:rsidRDefault="006B71F6" w:rsidP="006B71F6">
            <w:pPr>
              <w:autoSpaceDE w:val="0"/>
              <w:autoSpaceDN w:val="0"/>
              <w:adjustRightInd w:val="0"/>
              <w:jc w:val="center"/>
              <w:rPr>
                <w:sz w:val="22"/>
                <w:szCs w:val="22"/>
              </w:rPr>
            </w:pPr>
            <w:r w:rsidRPr="00220850">
              <w:rPr>
                <w:sz w:val="22"/>
                <w:szCs w:val="22"/>
              </w:rPr>
              <w:t>0,0054</w:t>
            </w:r>
          </w:p>
        </w:tc>
        <w:tc>
          <w:tcPr>
            <w:tcW w:w="586" w:type="pct"/>
            <w:vAlign w:val="center"/>
          </w:tcPr>
          <w:p w14:paraId="1E754DC3"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1534FE7F" w14:textId="77777777" w:rsidR="006B71F6" w:rsidRPr="00220850" w:rsidRDefault="006B71F6" w:rsidP="006B71F6">
            <w:pPr>
              <w:autoSpaceDE w:val="0"/>
              <w:autoSpaceDN w:val="0"/>
              <w:adjustRightInd w:val="0"/>
              <w:jc w:val="center"/>
              <w:rPr>
                <w:sz w:val="22"/>
                <w:szCs w:val="22"/>
              </w:rPr>
            </w:pPr>
            <w:r w:rsidRPr="00220850">
              <w:rPr>
                <w:sz w:val="22"/>
                <w:szCs w:val="22"/>
              </w:rPr>
              <w:t>&lt;0,0001</w:t>
            </w:r>
          </w:p>
        </w:tc>
      </w:tr>
      <w:tr w:rsidR="006B71F6" w:rsidRPr="00220850" w14:paraId="61D1C4F6" w14:textId="77777777" w:rsidTr="002E5DDD">
        <w:tc>
          <w:tcPr>
            <w:tcW w:w="914" w:type="pct"/>
          </w:tcPr>
          <w:p w14:paraId="728361BB" w14:textId="77777777" w:rsidR="006B71F6" w:rsidRPr="00220850" w:rsidRDefault="002E5DDD" w:rsidP="002E5DDD">
            <w:pPr>
              <w:autoSpaceDE w:val="0"/>
              <w:autoSpaceDN w:val="0"/>
              <w:adjustRightInd w:val="0"/>
              <w:rPr>
                <w:sz w:val="22"/>
                <w:szCs w:val="22"/>
                <w:lang w:val="lt-LT"/>
              </w:rPr>
            </w:pPr>
            <w:r w:rsidRPr="00220850">
              <w:rPr>
                <w:sz w:val="22"/>
                <w:szCs w:val="22"/>
                <w:lang w:val="lt-LT"/>
              </w:rPr>
              <w:t>Rizikos santykis</w:t>
            </w:r>
            <w:r w:rsidRPr="00220850">
              <w:rPr>
                <w:sz w:val="22"/>
                <w:szCs w:val="22"/>
                <w:vertAlign w:val="superscript"/>
                <w:lang w:val="lt-LT"/>
              </w:rPr>
              <w:t>3</w:t>
            </w:r>
          </w:p>
        </w:tc>
        <w:tc>
          <w:tcPr>
            <w:tcW w:w="682" w:type="pct"/>
            <w:vAlign w:val="center"/>
          </w:tcPr>
          <w:p w14:paraId="35494250"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5681C8CF" w14:textId="77777777" w:rsidR="006B71F6" w:rsidRPr="00220850" w:rsidRDefault="006B71F6" w:rsidP="006B71F6">
            <w:pPr>
              <w:autoSpaceDE w:val="0"/>
              <w:autoSpaceDN w:val="0"/>
              <w:adjustRightInd w:val="0"/>
              <w:jc w:val="center"/>
              <w:rPr>
                <w:sz w:val="22"/>
                <w:szCs w:val="22"/>
              </w:rPr>
            </w:pPr>
            <w:r w:rsidRPr="00220850">
              <w:rPr>
                <w:sz w:val="22"/>
                <w:szCs w:val="22"/>
              </w:rPr>
              <w:t>0,53</w:t>
            </w:r>
          </w:p>
        </w:tc>
        <w:tc>
          <w:tcPr>
            <w:tcW w:w="605" w:type="pct"/>
            <w:vAlign w:val="center"/>
          </w:tcPr>
          <w:p w14:paraId="4C018D8E"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72A0710D" w14:textId="77777777" w:rsidR="006B71F6" w:rsidRPr="00220850" w:rsidRDefault="006B71F6" w:rsidP="006B71F6">
            <w:pPr>
              <w:autoSpaceDE w:val="0"/>
              <w:autoSpaceDN w:val="0"/>
              <w:adjustRightInd w:val="0"/>
              <w:jc w:val="center"/>
              <w:rPr>
                <w:sz w:val="22"/>
                <w:szCs w:val="22"/>
              </w:rPr>
            </w:pPr>
            <w:r w:rsidRPr="00220850">
              <w:rPr>
                <w:sz w:val="22"/>
                <w:szCs w:val="22"/>
              </w:rPr>
              <w:t>0,67</w:t>
            </w:r>
          </w:p>
        </w:tc>
        <w:tc>
          <w:tcPr>
            <w:tcW w:w="586" w:type="pct"/>
            <w:vAlign w:val="center"/>
          </w:tcPr>
          <w:p w14:paraId="101DF237"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67E1F06F" w14:textId="77777777" w:rsidR="006B71F6" w:rsidRPr="00220850" w:rsidRDefault="006B71F6" w:rsidP="006B71F6">
            <w:pPr>
              <w:autoSpaceDE w:val="0"/>
              <w:autoSpaceDN w:val="0"/>
              <w:adjustRightInd w:val="0"/>
              <w:jc w:val="center"/>
              <w:rPr>
                <w:sz w:val="22"/>
                <w:szCs w:val="22"/>
              </w:rPr>
            </w:pPr>
            <w:r w:rsidRPr="00220850">
              <w:rPr>
                <w:sz w:val="22"/>
                <w:szCs w:val="22"/>
              </w:rPr>
              <w:t>0,60</w:t>
            </w:r>
          </w:p>
        </w:tc>
      </w:tr>
      <w:tr w:rsidR="006B71F6" w:rsidRPr="00220850" w14:paraId="3B2903D0" w14:textId="77777777" w:rsidTr="002E5DDD">
        <w:tc>
          <w:tcPr>
            <w:tcW w:w="914" w:type="pct"/>
          </w:tcPr>
          <w:p w14:paraId="477E0E1F" w14:textId="77777777" w:rsidR="006B71F6" w:rsidRPr="00220850" w:rsidRDefault="006B71F6" w:rsidP="006B71F6">
            <w:pPr>
              <w:autoSpaceDE w:val="0"/>
              <w:autoSpaceDN w:val="0"/>
              <w:adjustRightInd w:val="0"/>
              <w:rPr>
                <w:sz w:val="22"/>
                <w:szCs w:val="22"/>
                <w:lang w:val="lt-LT"/>
              </w:rPr>
            </w:pPr>
            <w:r w:rsidRPr="00220850">
              <w:rPr>
                <w:sz w:val="22"/>
                <w:szCs w:val="22"/>
                <w:lang w:val="lt-LT"/>
              </w:rPr>
              <w:t>95</w:t>
            </w:r>
            <w:r w:rsidR="002E5DDD" w:rsidRPr="00220850">
              <w:rPr>
                <w:sz w:val="22"/>
                <w:szCs w:val="22"/>
                <w:lang w:val="lt-LT"/>
              </w:rPr>
              <w:t> </w:t>
            </w:r>
            <w:r w:rsidRPr="00220850">
              <w:rPr>
                <w:sz w:val="22"/>
                <w:szCs w:val="22"/>
                <w:lang w:val="lt-LT"/>
              </w:rPr>
              <w:t>% </w:t>
            </w:r>
            <w:r w:rsidR="002E5DDD" w:rsidRPr="00220850">
              <w:rPr>
                <w:sz w:val="22"/>
                <w:szCs w:val="22"/>
                <w:lang w:val="lt-LT"/>
              </w:rPr>
              <w:t>P</w:t>
            </w:r>
            <w:r w:rsidRPr="00220850">
              <w:rPr>
                <w:sz w:val="22"/>
                <w:szCs w:val="22"/>
                <w:lang w:val="lt-LT"/>
              </w:rPr>
              <w:t>I</w:t>
            </w:r>
          </w:p>
        </w:tc>
        <w:tc>
          <w:tcPr>
            <w:tcW w:w="682" w:type="pct"/>
            <w:vAlign w:val="center"/>
          </w:tcPr>
          <w:p w14:paraId="49F0A5A9"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30101B8A" w14:textId="77777777" w:rsidR="006B71F6" w:rsidRPr="00220850" w:rsidRDefault="006B71F6" w:rsidP="006B71F6">
            <w:pPr>
              <w:autoSpaceDE w:val="0"/>
              <w:autoSpaceDN w:val="0"/>
              <w:adjustRightInd w:val="0"/>
              <w:jc w:val="center"/>
              <w:rPr>
                <w:sz w:val="22"/>
                <w:szCs w:val="22"/>
              </w:rPr>
            </w:pPr>
            <w:r w:rsidRPr="00220850">
              <w:rPr>
                <w:sz w:val="22"/>
                <w:szCs w:val="22"/>
              </w:rPr>
              <w:t>(0,39, 0,72)</w:t>
            </w:r>
          </w:p>
        </w:tc>
        <w:tc>
          <w:tcPr>
            <w:tcW w:w="605" w:type="pct"/>
            <w:vAlign w:val="center"/>
          </w:tcPr>
          <w:p w14:paraId="74FD3A1F"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31ABB1EC" w14:textId="77777777" w:rsidR="006B71F6" w:rsidRPr="00220850" w:rsidRDefault="006B71F6" w:rsidP="006B71F6">
            <w:pPr>
              <w:autoSpaceDE w:val="0"/>
              <w:autoSpaceDN w:val="0"/>
              <w:adjustRightInd w:val="0"/>
              <w:jc w:val="center"/>
              <w:rPr>
                <w:sz w:val="22"/>
                <w:szCs w:val="22"/>
              </w:rPr>
            </w:pPr>
            <w:r w:rsidRPr="00220850">
              <w:rPr>
                <w:sz w:val="22"/>
                <w:szCs w:val="22"/>
              </w:rPr>
              <w:t>(0,51, 0,89)</w:t>
            </w:r>
          </w:p>
        </w:tc>
        <w:tc>
          <w:tcPr>
            <w:tcW w:w="586" w:type="pct"/>
            <w:vAlign w:val="center"/>
          </w:tcPr>
          <w:p w14:paraId="22D56B8D" w14:textId="77777777" w:rsidR="006B71F6" w:rsidRPr="00220850" w:rsidRDefault="006B71F6" w:rsidP="006B71F6">
            <w:pPr>
              <w:autoSpaceDE w:val="0"/>
              <w:autoSpaceDN w:val="0"/>
              <w:adjustRightInd w:val="0"/>
              <w:jc w:val="center"/>
              <w:rPr>
                <w:sz w:val="22"/>
                <w:szCs w:val="22"/>
              </w:rPr>
            </w:pPr>
          </w:p>
        </w:tc>
        <w:tc>
          <w:tcPr>
            <w:tcW w:w="738" w:type="pct"/>
            <w:vAlign w:val="center"/>
          </w:tcPr>
          <w:p w14:paraId="708BB844" w14:textId="77777777" w:rsidR="006B71F6" w:rsidRPr="00220850" w:rsidRDefault="006B71F6" w:rsidP="006B71F6">
            <w:pPr>
              <w:autoSpaceDE w:val="0"/>
              <w:autoSpaceDN w:val="0"/>
              <w:adjustRightInd w:val="0"/>
              <w:jc w:val="center"/>
              <w:rPr>
                <w:sz w:val="22"/>
                <w:szCs w:val="22"/>
              </w:rPr>
            </w:pPr>
            <w:r w:rsidRPr="00220850">
              <w:rPr>
                <w:sz w:val="22"/>
                <w:szCs w:val="22"/>
              </w:rPr>
              <w:t>(0,49, 0,74)</w:t>
            </w:r>
          </w:p>
        </w:tc>
      </w:tr>
    </w:tbl>
    <w:p w14:paraId="2F8406D3" w14:textId="77777777" w:rsidR="002E5DDD" w:rsidRPr="00220850" w:rsidRDefault="002E5DDD" w:rsidP="002E5DDD">
      <w:pPr>
        <w:autoSpaceDE w:val="0"/>
        <w:autoSpaceDN w:val="0"/>
        <w:adjustRightInd w:val="0"/>
        <w:rPr>
          <w:sz w:val="20"/>
        </w:rPr>
      </w:pPr>
      <w:r w:rsidRPr="00220850">
        <w:rPr>
          <w:sz w:val="20"/>
          <w:vertAlign w:val="superscript"/>
        </w:rPr>
        <w:t>1</w:t>
      </w:r>
      <w:r w:rsidRPr="00220850">
        <w:rPr>
          <w:sz w:val="20"/>
        </w:rPr>
        <w:t xml:space="preserve"> Remiantis duomenimis, surinktais iki 372 dienos (52 savaitės + 7 dienų riba).</w:t>
      </w:r>
    </w:p>
    <w:p w14:paraId="77069255" w14:textId="77777777" w:rsidR="002E5DDD" w:rsidRPr="00220850" w:rsidRDefault="002E5DDD" w:rsidP="002E5DDD">
      <w:pPr>
        <w:autoSpaceDE w:val="0"/>
        <w:autoSpaceDN w:val="0"/>
        <w:adjustRightInd w:val="0"/>
        <w:rPr>
          <w:sz w:val="20"/>
        </w:rPr>
      </w:pPr>
      <w:r w:rsidRPr="00220850">
        <w:rPr>
          <w:sz w:val="20"/>
          <w:vertAlign w:val="superscript"/>
        </w:rPr>
        <w:t>2</w:t>
      </w:r>
      <w:r w:rsidRPr="00220850">
        <w:rPr>
          <w:sz w:val="20"/>
        </w:rPr>
        <w:t xml:space="preserve"> Remiantis logaritminiu </w:t>
      </w:r>
      <w:proofErr w:type="spellStart"/>
      <w:r w:rsidRPr="00220850">
        <w:rPr>
          <w:sz w:val="20"/>
        </w:rPr>
        <w:t>ranginiu</w:t>
      </w:r>
      <w:proofErr w:type="spellEnd"/>
      <w:r w:rsidRPr="00220850">
        <w:rPr>
          <w:sz w:val="20"/>
        </w:rPr>
        <w:t xml:space="preserve"> testu. </w:t>
      </w:r>
    </w:p>
    <w:p w14:paraId="5228C43C" w14:textId="77777777" w:rsidR="00EC0166" w:rsidRPr="00220850" w:rsidRDefault="008B0AD2" w:rsidP="008B0AD2">
      <w:pPr>
        <w:autoSpaceDE w:val="0"/>
        <w:autoSpaceDN w:val="0"/>
        <w:adjustRightInd w:val="0"/>
        <w:rPr>
          <w:sz w:val="20"/>
        </w:rPr>
      </w:pPr>
      <w:r w:rsidRPr="00220850">
        <w:rPr>
          <w:rFonts w:ascii="TimesNewRoman" w:eastAsia="TimesNewRoman" w:cs="TimesNewRoman"/>
          <w:sz w:val="20"/>
          <w:vertAlign w:val="superscript"/>
          <w:lang w:val="fr-FR"/>
        </w:rPr>
        <w:t xml:space="preserve">3 </w:t>
      </w:r>
      <w:r w:rsidRPr="00220850">
        <w:rPr>
          <w:rFonts w:eastAsia="TimesNewRoman"/>
          <w:sz w:val="20"/>
          <w:lang w:val="fr-FR"/>
        </w:rPr>
        <w:t>Remiantis Cox regresijos modeliu.</w:t>
      </w:r>
    </w:p>
    <w:p w14:paraId="00FD074B" w14:textId="77777777" w:rsidR="008B0AD2" w:rsidRPr="00220850" w:rsidRDefault="008B0AD2" w:rsidP="002E5DDD">
      <w:pPr>
        <w:autoSpaceDE w:val="0"/>
        <w:autoSpaceDN w:val="0"/>
        <w:adjustRightInd w:val="0"/>
        <w:rPr>
          <w:rFonts w:eastAsia="TimesNewRoman"/>
          <w:sz w:val="22"/>
          <w:szCs w:val="22"/>
        </w:rPr>
      </w:pPr>
    </w:p>
    <w:p w14:paraId="060D8564" w14:textId="77777777" w:rsidR="00476EEA" w:rsidRPr="00220850" w:rsidRDefault="00476EEA" w:rsidP="002E5DDD">
      <w:pPr>
        <w:autoSpaceDE w:val="0"/>
        <w:autoSpaceDN w:val="0"/>
        <w:adjustRightInd w:val="0"/>
        <w:rPr>
          <w:rFonts w:eastAsia="TimesNewRoman,Italic"/>
          <w:i/>
          <w:iCs/>
          <w:sz w:val="22"/>
          <w:szCs w:val="22"/>
          <w:u w:val="single"/>
          <w:lang w:val="fr-FR"/>
        </w:rPr>
      </w:pPr>
      <w:r w:rsidRPr="00220850">
        <w:rPr>
          <w:rFonts w:eastAsia="TimesNewRoman,Italic"/>
          <w:i/>
          <w:iCs/>
          <w:sz w:val="22"/>
          <w:szCs w:val="22"/>
          <w:u w:val="single"/>
          <w:lang w:val="fr-FR"/>
        </w:rPr>
        <w:t>SGRQ bendro balo pokytis nuo pradinio 52-ą savaitę</w:t>
      </w:r>
    </w:p>
    <w:p w14:paraId="4FC30932" w14:textId="77777777" w:rsidR="002E5DDD" w:rsidRPr="00220850" w:rsidRDefault="002E5DDD" w:rsidP="002E5DDD">
      <w:pPr>
        <w:autoSpaceDE w:val="0"/>
        <w:autoSpaceDN w:val="0"/>
        <w:adjustRightInd w:val="0"/>
        <w:rPr>
          <w:rFonts w:eastAsia="TimesNewRoman"/>
          <w:sz w:val="22"/>
          <w:szCs w:val="22"/>
        </w:rPr>
      </w:pPr>
      <w:r w:rsidRPr="00220850">
        <w:rPr>
          <w:rFonts w:eastAsia="TimesNewRoman"/>
          <w:sz w:val="22"/>
          <w:szCs w:val="22"/>
        </w:rPr>
        <w:t xml:space="preserve">Bendroje INPULSIS tyrimų analizėje pradinio vertinimo SGRQ balas </w:t>
      </w:r>
      <w:proofErr w:type="spellStart"/>
      <w:r w:rsidRPr="00220850">
        <w:rPr>
          <w:rFonts w:eastAsia="TimesNewRoman"/>
          <w:sz w:val="22"/>
          <w:szCs w:val="22"/>
        </w:rPr>
        <w:t>nintedanibo</w:t>
      </w:r>
      <w:proofErr w:type="spellEnd"/>
      <w:r w:rsidRPr="00220850">
        <w:rPr>
          <w:rFonts w:eastAsia="TimesNewRoman"/>
          <w:sz w:val="22"/>
          <w:szCs w:val="22"/>
        </w:rPr>
        <w:t xml:space="preserve"> grupėje buvo 39,51, o placebo grupėje – 39,58. Apskaičiuotas vidutinis </w:t>
      </w:r>
      <w:r w:rsidRPr="00220850">
        <w:rPr>
          <w:rFonts w:eastAsia="TimesNewRoman,Italic"/>
          <w:iCs/>
          <w:sz w:val="22"/>
          <w:szCs w:val="22"/>
        </w:rPr>
        <w:t xml:space="preserve">SGRQ </w:t>
      </w:r>
      <w:r w:rsidRPr="00220850">
        <w:rPr>
          <w:rFonts w:eastAsia="TimesNewRoman"/>
          <w:sz w:val="22"/>
          <w:szCs w:val="22"/>
        </w:rPr>
        <w:t>bendro balo pokytis nuo pradinio 52</w:t>
      </w:r>
      <w:r w:rsidR="00476EEA" w:rsidRPr="00220850">
        <w:rPr>
          <w:rFonts w:eastAsia="TimesNewRoman"/>
          <w:sz w:val="22"/>
          <w:szCs w:val="22"/>
        </w:rPr>
        <w:t>-ą</w:t>
      </w:r>
      <w:r w:rsidRPr="00220850">
        <w:rPr>
          <w:rFonts w:eastAsia="TimesNewRoman"/>
          <w:sz w:val="22"/>
          <w:szCs w:val="22"/>
        </w:rPr>
        <w:t xml:space="preserve"> savaitę</w:t>
      </w:r>
      <w:r w:rsidR="00F32990" w:rsidRPr="00220850">
        <w:rPr>
          <w:rFonts w:eastAsia="TimesNewRoman"/>
          <w:sz w:val="22"/>
          <w:szCs w:val="22"/>
        </w:rPr>
        <w:t xml:space="preserve"> </w:t>
      </w:r>
      <w:r w:rsidRPr="00220850">
        <w:rPr>
          <w:rFonts w:eastAsia="TimesNewRoman"/>
          <w:sz w:val="22"/>
          <w:szCs w:val="22"/>
        </w:rPr>
        <w:t xml:space="preserve">buvo mažesnis </w:t>
      </w:r>
      <w:proofErr w:type="spellStart"/>
      <w:r w:rsidRPr="00220850">
        <w:rPr>
          <w:rFonts w:eastAsia="TimesNewRoman"/>
          <w:sz w:val="22"/>
          <w:szCs w:val="22"/>
        </w:rPr>
        <w:t>nintedanibu</w:t>
      </w:r>
      <w:proofErr w:type="spellEnd"/>
      <w:r w:rsidRPr="00220850">
        <w:rPr>
          <w:rFonts w:eastAsia="TimesNewRoman"/>
          <w:sz w:val="22"/>
          <w:szCs w:val="22"/>
        </w:rPr>
        <w:t xml:space="preserve"> gydytoje grupėje (3,53) negu placeb</w:t>
      </w:r>
      <w:r w:rsidR="00E05387" w:rsidRPr="00220850">
        <w:rPr>
          <w:rFonts w:eastAsia="TimesNewRoman"/>
          <w:sz w:val="22"/>
          <w:szCs w:val="22"/>
        </w:rPr>
        <w:t>ą vartojusių</w:t>
      </w:r>
      <w:r w:rsidRPr="00220850">
        <w:rPr>
          <w:rFonts w:eastAsia="TimesNewRoman"/>
          <w:sz w:val="22"/>
          <w:szCs w:val="22"/>
        </w:rPr>
        <w:t xml:space="preserve"> grupėje (4,96), skirtumas</w:t>
      </w:r>
      <w:r w:rsidR="00F32990" w:rsidRPr="00220850">
        <w:rPr>
          <w:rFonts w:eastAsia="TimesNewRoman"/>
          <w:sz w:val="22"/>
          <w:szCs w:val="22"/>
        </w:rPr>
        <w:t xml:space="preserve"> </w:t>
      </w:r>
      <w:r w:rsidRPr="00220850">
        <w:rPr>
          <w:rFonts w:eastAsia="TimesNewRoman"/>
          <w:sz w:val="22"/>
          <w:szCs w:val="22"/>
        </w:rPr>
        <w:t>tarp grupių: -1,43 (95</w:t>
      </w:r>
      <w:r w:rsidR="00476EEA" w:rsidRPr="00220850">
        <w:rPr>
          <w:rFonts w:eastAsia="TimesNewRoman"/>
          <w:sz w:val="22"/>
          <w:szCs w:val="22"/>
        </w:rPr>
        <w:t> % PI: -3,09, </w:t>
      </w:r>
      <w:r w:rsidRPr="00220850">
        <w:rPr>
          <w:rFonts w:eastAsia="TimesNewRoman"/>
          <w:sz w:val="22"/>
          <w:szCs w:val="22"/>
        </w:rPr>
        <w:t>0,23; p</w:t>
      </w:r>
      <w:r w:rsidR="00476EEA" w:rsidRPr="00220850">
        <w:rPr>
          <w:rFonts w:eastAsia="TimesNewRoman"/>
          <w:sz w:val="22"/>
          <w:szCs w:val="22"/>
        </w:rPr>
        <w:t> </w:t>
      </w:r>
      <w:r w:rsidRPr="00220850">
        <w:rPr>
          <w:rFonts w:eastAsia="TimesNewRoman"/>
          <w:sz w:val="22"/>
          <w:szCs w:val="22"/>
        </w:rPr>
        <w:t>=</w:t>
      </w:r>
      <w:r w:rsidR="00476EEA" w:rsidRPr="00220850">
        <w:rPr>
          <w:rFonts w:eastAsia="TimesNewRoman"/>
          <w:sz w:val="22"/>
          <w:szCs w:val="22"/>
        </w:rPr>
        <w:t> </w:t>
      </w:r>
      <w:r w:rsidRPr="00220850">
        <w:rPr>
          <w:rFonts w:eastAsia="TimesNewRoman"/>
          <w:sz w:val="22"/>
          <w:szCs w:val="22"/>
        </w:rPr>
        <w:t xml:space="preserve">0,0923). Apskritai, </w:t>
      </w:r>
      <w:proofErr w:type="spellStart"/>
      <w:r w:rsidRPr="00220850">
        <w:rPr>
          <w:rFonts w:eastAsia="TimesNewRoman"/>
          <w:sz w:val="22"/>
          <w:szCs w:val="22"/>
        </w:rPr>
        <w:t>nintedanibo</w:t>
      </w:r>
      <w:proofErr w:type="spellEnd"/>
      <w:r w:rsidRPr="00220850">
        <w:rPr>
          <w:rFonts w:eastAsia="TimesNewRoman"/>
          <w:sz w:val="22"/>
          <w:szCs w:val="22"/>
        </w:rPr>
        <w:t xml:space="preserve"> poveikis su sveikata</w:t>
      </w:r>
      <w:r w:rsidR="00F32990" w:rsidRPr="00220850">
        <w:rPr>
          <w:rFonts w:eastAsia="TimesNewRoman"/>
          <w:sz w:val="22"/>
          <w:szCs w:val="22"/>
        </w:rPr>
        <w:t xml:space="preserve"> </w:t>
      </w:r>
      <w:r w:rsidRPr="00220850">
        <w:rPr>
          <w:rFonts w:eastAsia="TimesNewRoman"/>
          <w:sz w:val="22"/>
          <w:szCs w:val="22"/>
        </w:rPr>
        <w:t xml:space="preserve">susijusiai gyvenimo kokybei, nustatytas bendru </w:t>
      </w:r>
      <w:r w:rsidRPr="00220850">
        <w:rPr>
          <w:rFonts w:eastAsia="TimesNewRoman,Italic"/>
          <w:iCs/>
          <w:sz w:val="22"/>
          <w:szCs w:val="22"/>
        </w:rPr>
        <w:t xml:space="preserve">SGRQ </w:t>
      </w:r>
      <w:r w:rsidRPr="00220850">
        <w:rPr>
          <w:rFonts w:eastAsia="TimesNewRoman"/>
          <w:sz w:val="22"/>
          <w:szCs w:val="22"/>
        </w:rPr>
        <w:t>balu, yra nedidelis ir rodo mažesnį blogėjimą,</w:t>
      </w:r>
      <w:r w:rsidR="00E05387" w:rsidRPr="00220850">
        <w:rPr>
          <w:rFonts w:eastAsia="TimesNewRoman"/>
          <w:sz w:val="22"/>
          <w:szCs w:val="22"/>
        </w:rPr>
        <w:t xml:space="preserve"> </w:t>
      </w:r>
      <w:r w:rsidRPr="00220850">
        <w:rPr>
          <w:rFonts w:eastAsia="TimesNewRoman"/>
          <w:sz w:val="22"/>
          <w:szCs w:val="22"/>
        </w:rPr>
        <w:t>palyginti su placebu.</w:t>
      </w:r>
    </w:p>
    <w:p w14:paraId="0844AD86" w14:textId="77777777" w:rsidR="00F32990" w:rsidRPr="00220850" w:rsidRDefault="00F32990" w:rsidP="002E5DDD">
      <w:pPr>
        <w:autoSpaceDE w:val="0"/>
        <w:autoSpaceDN w:val="0"/>
        <w:adjustRightInd w:val="0"/>
        <w:rPr>
          <w:rFonts w:eastAsia="TimesNewRoman,Italic"/>
          <w:i/>
          <w:iCs/>
          <w:sz w:val="22"/>
          <w:szCs w:val="22"/>
        </w:rPr>
      </w:pPr>
    </w:p>
    <w:p w14:paraId="4DC1A68D" w14:textId="5FF93BDB" w:rsidR="002E5DDD" w:rsidRPr="00220850" w:rsidRDefault="002E5DDD" w:rsidP="002E5DDD">
      <w:pPr>
        <w:autoSpaceDE w:val="0"/>
        <w:autoSpaceDN w:val="0"/>
        <w:adjustRightInd w:val="0"/>
        <w:rPr>
          <w:rFonts w:eastAsia="TimesNewRoman,Italic"/>
          <w:i/>
          <w:iCs/>
          <w:sz w:val="22"/>
          <w:szCs w:val="22"/>
          <w:u w:val="single"/>
        </w:rPr>
      </w:pPr>
      <w:r w:rsidRPr="00220850">
        <w:rPr>
          <w:rFonts w:eastAsia="TimesNewRoman,Italic"/>
          <w:i/>
          <w:iCs/>
          <w:sz w:val="22"/>
          <w:szCs w:val="22"/>
          <w:u w:val="single"/>
        </w:rPr>
        <w:lastRenderedPageBreak/>
        <w:t>Laikotarpis iki pirmo ūm</w:t>
      </w:r>
      <w:r w:rsidR="00815FDD" w:rsidRPr="00220850">
        <w:rPr>
          <w:rFonts w:eastAsia="TimesNewRoman,Italic"/>
          <w:i/>
          <w:iCs/>
          <w:sz w:val="22"/>
          <w:szCs w:val="22"/>
          <w:u w:val="single"/>
        </w:rPr>
        <w:t>inio</w:t>
      </w:r>
      <w:r w:rsidRPr="00220850">
        <w:rPr>
          <w:rFonts w:eastAsia="TimesNewRoman,Italic"/>
          <w:i/>
          <w:iCs/>
          <w:sz w:val="22"/>
          <w:szCs w:val="22"/>
          <w:u w:val="single"/>
        </w:rPr>
        <w:t xml:space="preserve"> IPF pa</w:t>
      </w:r>
      <w:r w:rsidR="007C4A52" w:rsidRPr="00220850">
        <w:rPr>
          <w:rFonts w:eastAsia="TimesNewRoman,Italic"/>
          <w:i/>
          <w:iCs/>
          <w:sz w:val="22"/>
          <w:szCs w:val="22"/>
          <w:u w:val="single"/>
        </w:rPr>
        <w:t>blogėjimo</w:t>
      </w:r>
    </w:p>
    <w:p w14:paraId="191F43E5" w14:textId="480EE8A1" w:rsidR="002E5DDD" w:rsidRPr="00220850" w:rsidRDefault="002E5DDD" w:rsidP="002E5DDD">
      <w:pPr>
        <w:autoSpaceDE w:val="0"/>
        <w:autoSpaceDN w:val="0"/>
        <w:adjustRightInd w:val="0"/>
        <w:rPr>
          <w:rFonts w:eastAsia="TimesNewRoman"/>
          <w:sz w:val="22"/>
          <w:szCs w:val="22"/>
        </w:rPr>
      </w:pPr>
      <w:r w:rsidRPr="00220850">
        <w:rPr>
          <w:rFonts w:eastAsia="TimesNewRoman"/>
          <w:sz w:val="22"/>
          <w:szCs w:val="22"/>
        </w:rPr>
        <w:t>INPULSIS tyrimų bendra analizė skaičiaus atžvilgiu parodė mažesnę pirmo ūmaus pa</w:t>
      </w:r>
      <w:r w:rsidR="007C4A52" w:rsidRPr="00220850">
        <w:rPr>
          <w:rFonts w:eastAsia="TimesNewRoman"/>
          <w:sz w:val="22"/>
          <w:szCs w:val="22"/>
        </w:rPr>
        <w:t>blogėjimo</w:t>
      </w:r>
      <w:r w:rsidRPr="00220850">
        <w:rPr>
          <w:rFonts w:eastAsia="TimesNewRoman"/>
          <w:sz w:val="22"/>
          <w:szCs w:val="22"/>
        </w:rPr>
        <w:t xml:space="preserve"> riziką</w:t>
      </w:r>
      <w:r w:rsidR="00F32990" w:rsidRPr="00220850">
        <w:rPr>
          <w:rFonts w:eastAsia="TimesNewRoman"/>
          <w:sz w:val="22"/>
          <w:szCs w:val="22"/>
        </w:rPr>
        <w:t xml:space="preserve"> </w:t>
      </w:r>
      <w:r w:rsidRPr="00220850">
        <w:rPr>
          <w:rFonts w:eastAsia="TimesNewRoman"/>
          <w:sz w:val="22"/>
          <w:szCs w:val="22"/>
        </w:rPr>
        <w:t xml:space="preserve">pacientams, vartojusiems </w:t>
      </w:r>
      <w:proofErr w:type="spellStart"/>
      <w:r w:rsidRPr="00220850">
        <w:rPr>
          <w:rFonts w:eastAsia="TimesNewRoman"/>
          <w:sz w:val="22"/>
          <w:szCs w:val="22"/>
        </w:rPr>
        <w:t>nintedanibą</w:t>
      </w:r>
      <w:proofErr w:type="spellEnd"/>
      <w:r w:rsidRPr="00220850">
        <w:rPr>
          <w:rFonts w:eastAsia="TimesNewRoman"/>
          <w:sz w:val="22"/>
          <w:szCs w:val="22"/>
        </w:rPr>
        <w:t>, palyginti su pacientais, vartojusiais placebą. Atskirų ir sujungtų</w:t>
      </w:r>
      <w:r w:rsidR="00F32990" w:rsidRPr="00220850">
        <w:rPr>
          <w:rFonts w:eastAsia="TimesNewRoman"/>
          <w:sz w:val="22"/>
          <w:szCs w:val="22"/>
        </w:rPr>
        <w:t xml:space="preserve"> </w:t>
      </w:r>
      <w:r w:rsidRPr="00220850">
        <w:rPr>
          <w:rFonts w:eastAsia="TimesNewRoman"/>
          <w:sz w:val="22"/>
          <w:szCs w:val="22"/>
        </w:rPr>
        <w:t xml:space="preserve">tyrimų rezultatai pateikti </w:t>
      </w:r>
      <w:r w:rsidR="004B2460" w:rsidRPr="00220850">
        <w:rPr>
          <w:rFonts w:eastAsia="TimesNewRoman"/>
          <w:sz w:val="22"/>
          <w:szCs w:val="22"/>
        </w:rPr>
        <w:t>7</w:t>
      </w:r>
      <w:r w:rsidRPr="00220850">
        <w:rPr>
          <w:rFonts w:eastAsia="TimesNewRoman"/>
          <w:sz w:val="22"/>
          <w:szCs w:val="22"/>
        </w:rPr>
        <w:t>-ojoje lentelėje.</w:t>
      </w:r>
    </w:p>
    <w:p w14:paraId="5F7C6568" w14:textId="77777777" w:rsidR="00F32990" w:rsidRPr="00220850" w:rsidRDefault="00F32990" w:rsidP="002E5DDD">
      <w:pPr>
        <w:autoSpaceDE w:val="0"/>
        <w:autoSpaceDN w:val="0"/>
        <w:adjustRightInd w:val="0"/>
        <w:rPr>
          <w:rFonts w:eastAsia="TimesNewRoman,Bold"/>
          <w:b/>
          <w:bCs/>
          <w:sz w:val="22"/>
          <w:szCs w:val="22"/>
        </w:rPr>
      </w:pPr>
    </w:p>
    <w:p w14:paraId="424B2FFB" w14:textId="7EFF42D9" w:rsidR="002E5DDD" w:rsidRPr="00220850" w:rsidRDefault="004B2460" w:rsidP="002E5DDD">
      <w:pPr>
        <w:autoSpaceDE w:val="0"/>
        <w:autoSpaceDN w:val="0"/>
        <w:adjustRightInd w:val="0"/>
        <w:rPr>
          <w:rFonts w:eastAsia="TimesNewRoman,Bold"/>
          <w:b/>
          <w:bCs/>
          <w:sz w:val="22"/>
          <w:szCs w:val="22"/>
        </w:rPr>
      </w:pPr>
      <w:r w:rsidRPr="00220850">
        <w:rPr>
          <w:rFonts w:eastAsia="TimesNewRoman,Bold"/>
          <w:b/>
          <w:bCs/>
          <w:sz w:val="22"/>
          <w:szCs w:val="22"/>
        </w:rPr>
        <w:t>7</w:t>
      </w:r>
      <w:r w:rsidR="002E5DDD" w:rsidRPr="00220850">
        <w:rPr>
          <w:rFonts w:eastAsia="TimesNewRoman,Bold"/>
          <w:b/>
          <w:bCs/>
          <w:sz w:val="22"/>
          <w:szCs w:val="22"/>
        </w:rPr>
        <w:t xml:space="preserve"> lentelė. Pacientų, kuriems per 52 savaites pasireiškė ūm</w:t>
      </w:r>
      <w:r w:rsidR="00815FDD" w:rsidRPr="00220850">
        <w:rPr>
          <w:rFonts w:eastAsia="TimesNewRoman,Bold"/>
          <w:b/>
          <w:bCs/>
          <w:sz w:val="22"/>
          <w:szCs w:val="22"/>
        </w:rPr>
        <w:t>inis</w:t>
      </w:r>
      <w:r w:rsidR="002E5DDD" w:rsidRPr="00220850">
        <w:rPr>
          <w:rFonts w:eastAsia="TimesNewRoman,Bold"/>
          <w:b/>
          <w:bCs/>
          <w:sz w:val="22"/>
          <w:szCs w:val="22"/>
        </w:rPr>
        <w:t xml:space="preserve"> IPF pa</w:t>
      </w:r>
      <w:r w:rsidR="00E05387" w:rsidRPr="00220850">
        <w:rPr>
          <w:rFonts w:eastAsia="TimesNewRoman,Bold"/>
          <w:b/>
          <w:bCs/>
          <w:sz w:val="22"/>
          <w:szCs w:val="22"/>
        </w:rPr>
        <w:t>blogėjimas</w:t>
      </w:r>
      <w:r w:rsidR="002E5DDD" w:rsidRPr="00220850">
        <w:rPr>
          <w:rFonts w:eastAsia="TimesNewRoman,Bold"/>
          <w:b/>
          <w:bCs/>
          <w:sz w:val="22"/>
          <w:szCs w:val="22"/>
        </w:rPr>
        <w:t>, skaičiaus</w:t>
      </w:r>
      <w:r w:rsidR="00F32990" w:rsidRPr="00220850">
        <w:rPr>
          <w:rFonts w:eastAsia="TimesNewRoman,Bold"/>
          <w:b/>
          <w:bCs/>
          <w:sz w:val="22"/>
          <w:szCs w:val="22"/>
        </w:rPr>
        <w:t xml:space="preserve"> </w:t>
      </w:r>
      <w:r w:rsidR="002E5DDD" w:rsidRPr="00220850">
        <w:rPr>
          <w:rFonts w:eastAsia="TimesNewRoman,Bold"/>
          <w:b/>
          <w:bCs/>
          <w:sz w:val="22"/>
          <w:szCs w:val="22"/>
        </w:rPr>
        <w:t>ir laikotarpio iki pirmo pasunkėjimo analizė, pagrįsta tyrėjo registruotais</w:t>
      </w:r>
      <w:r w:rsidR="00F32990" w:rsidRPr="00220850">
        <w:rPr>
          <w:rFonts w:eastAsia="TimesNewRoman,Bold"/>
          <w:b/>
          <w:bCs/>
          <w:sz w:val="22"/>
          <w:szCs w:val="22"/>
        </w:rPr>
        <w:t xml:space="preserve"> </w:t>
      </w:r>
      <w:r w:rsidR="002E5DDD" w:rsidRPr="00220850">
        <w:rPr>
          <w:rFonts w:eastAsia="TimesNewRoman,Bold"/>
          <w:b/>
          <w:bCs/>
          <w:sz w:val="22"/>
          <w:szCs w:val="22"/>
        </w:rPr>
        <w:t>atvejais tyrimų INPULSIS-1 ir INPULSIS-2 metu bei bendri jų duomenys -</w:t>
      </w:r>
      <w:r w:rsidR="007C4A52" w:rsidRPr="00220850">
        <w:rPr>
          <w:rFonts w:eastAsia="TimesNewRoman,Bold"/>
          <w:b/>
          <w:bCs/>
          <w:sz w:val="22"/>
          <w:szCs w:val="22"/>
        </w:rPr>
        <w:t xml:space="preserve"> </w:t>
      </w:r>
      <w:r w:rsidR="002E5DDD" w:rsidRPr="00220850">
        <w:rPr>
          <w:rFonts w:eastAsia="TimesNewRoman,Bold"/>
          <w:b/>
          <w:bCs/>
          <w:sz w:val="22"/>
          <w:szCs w:val="22"/>
        </w:rPr>
        <w:t>gydyt</w:t>
      </w:r>
      <w:r w:rsidR="007C4A52" w:rsidRPr="00220850">
        <w:rPr>
          <w:rFonts w:eastAsia="TimesNewRoman,Bold"/>
          <w:b/>
          <w:bCs/>
          <w:sz w:val="22"/>
          <w:szCs w:val="22"/>
        </w:rPr>
        <w:t>ųjų</w:t>
      </w:r>
      <w:r w:rsidR="002E5DDD" w:rsidRPr="00220850">
        <w:rPr>
          <w:rFonts w:eastAsia="TimesNewRoman,Bold"/>
          <w:b/>
          <w:bCs/>
          <w:sz w:val="22"/>
          <w:szCs w:val="22"/>
        </w:rPr>
        <w:t xml:space="preserve"> grupė</w:t>
      </w:r>
    </w:p>
    <w:p w14:paraId="597C8AEC" w14:textId="77777777" w:rsidR="007C4A52" w:rsidRPr="00220850" w:rsidRDefault="007C4A52" w:rsidP="007C4A52">
      <w:pPr>
        <w:keepNext/>
        <w:keepLines/>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1765"/>
        <w:gridCol w:w="1063"/>
        <w:gridCol w:w="1377"/>
        <w:gridCol w:w="1063"/>
        <w:gridCol w:w="1377"/>
        <w:gridCol w:w="1027"/>
        <w:gridCol w:w="1377"/>
      </w:tblGrid>
      <w:tr w:rsidR="00EC0166" w:rsidRPr="00220850" w14:paraId="65E3476F" w14:textId="77777777" w:rsidTr="008B0AD2">
        <w:trPr>
          <w:tblHeader/>
        </w:trPr>
        <w:tc>
          <w:tcPr>
            <w:tcW w:w="993" w:type="pct"/>
            <w:vMerge w:val="restart"/>
          </w:tcPr>
          <w:p w14:paraId="19EA584D" w14:textId="77777777" w:rsidR="00EC0166" w:rsidRPr="00220850" w:rsidRDefault="00EC0166" w:rsidP="007C4A52">
            <w:pPr>
              <w:autoSpaceDE w:val="0"/>
              <w:autoSpaceDN w:val="0"/>
              <w:adjustRightInd w:val="0"/>
              <w:rPr>
                <w:sz w:val="22"/>
                <w:szCs w:val="22"/>
                <w:lang w:val="lt-LT"/>
              </w:rPr>
            </w:pPr>
          </w:p>
        </w:tc>
        <w:tc>
          <w:tcPr>
            <w:tcW w:w="1342" w:type="pct"/>
            <w:gridSpan w:val="2"/>
          </w:tcPr>
          <w:p w14:paraId="4E4A5046" w14:textId="77777777" w:rsidR="00EC0166" w:rsidRPr="00220850" w:rsidRDefault="00EC0166" w:rsidP="007C4A52">
            <w:pPr>
              <w:autoSpaceDE w:val="0"/>
              <w:autoSpaceDN w:val="0"/>
              <w:adjustRightInd w:val="0"/>
              <w:jc w:val="center"/>
              <w:rPr>
                <w:b/>
                <w:sz w:val="22"/>
                <w:szCs w:val="22"/>
              </w:rPr>
            </w:pPr>
            <w:r w:rsidRPr="00220850">
              <w:rPr>
                <w:b/>
                <w:sz w:val="22"/>
                <w:szCs w:val="22"/>
              </w:rPr>
              <w:t>INPULSIS-1</w:t>
            </w:r>
          </w:p>
        </w:tc>
        <w:tc>
          <w:tcPr>
            <w:tcW w:w="1343" w:type="pct"/>
            <w:gridSpan w:val="2"/>
          </w:tcPr>
          <w:p w14:paraId="13F66027" w14:textId="77777777" w:rsidR="00EC0166" w:rsidRPr="00220850" w:rsidRDefault="00EC0166" w:rsidP="007C4A52">
            <w:pPr>
              <w:autoSpaceDE w:val="0"/>
              <w:autoSpaceDN w:val="0"/>
              <w:adjustRightInd w:val="0"/>
              <w:jc w:val="center"/>
              <w:rPr>
                <w:b/>
                <w:sz w:val="22"/>
                <w:szCs w:val="22"/>
              </w:rPr>
            </w:pPr>
            <w:r w:rsidRPr="00220850">
              <w:rPr>
                <w:b/>
                <w:sz w:val="22"/>
                <w:szCs w:val="22"/>
              </w:rPr>
              <w:t>INPULSIS-2</w:t>
            </w:r>
          </w:p>
        </w:tc>
        <w:tc>
          <w:tcPr>
            <w:tcW w:w="1322" w:type="pct"/>
            <w:gridSpan w:val="2"/>
          </w:tcPr>
          <w:p w14:paraId="6DD38006" w14:textId="77777777" w:rsidR="00EC0166" w:rsidRPr="00220850" w:rsidRDefault="00EC0166" w:rsidP="00EC0166">
            <w:pPr>
              <w:autoSpaceDE w:val="0"/>
              <w:autoSpaceDN w:val="0"/>
              <w:adjustRightInd w:val="0"/>
              <w:jc w:val="center"/>
              <w:rPr>
                <w:b/>
                <w:sz w:val="22"/>
                <w:szCs w:val="22"/>
                <w:lang w:val="lt-LT"/>
              </w:rPr>
            </w:pPr>
            <w:r w:rsidRPr="00220850">
              <w:rPr>
                <w:b/>
                <w:sz w:val="22"/>
                <w:szCs w:val="22"/>
                <w:lang w:val="lt-LT"/>
              </w:rPr>
              <w:t>Jungtiniai INPULSIS-1 ir INPULSIS-2 duomenys</w:t>
            </w:r>
          </w:p>
        </w:tc>
      </w:tr>
      <w:tr w:rsidR="00EC0166" w:rsidRPr="00220850" w14:paraId="06D8C0AD" w14:textId="77777777" w:rsidTr="00EC0166">
        <w:trPr>
          <w:tblHeader/>
        </w:trPr>
        <w:tc>
          <w:tcPr>
            <w:tcW w:w="993" w:type="pct"/>
            <w:vMerge/>
          </w:tcPr>
          <w:p w14:paraId="5B3864D5" w14:textId="77777777" w:rsidR="00EC0166" w:rsidRPr="00220850" w:rsidRDefault="00EC0166" w:rsidP="007C4A52">
            <w:pPr>
              <w:autoSpaceDE w:val="0"/>
              <w:autoSpaceDN w:val="0"/>
              <w:adjustRightInd w:val="0"/>
              <w:rPr>
                <w:sz w:val="22"/>
                <w:szCs w:val="22"/>
                <w:lang w:val="fr-FR"/>
              </w:rPr>
            </w:pPr>
          </w:p>
        </w:tc>
        <w:tc>
          <w:tcPr>
            <w:tcW w:w="605" w:type="pct"/>
          </w:tcPr>
          <w:p w14:paraId="1D8134B8" w14:textId="77777777" w:rsidR="00EC0166" w:rsidRPr="00220850" w:rsidRDefault="00331A5B" w:rsidP="007C4A52">
            <w:pPr>
              <w:autoSpaceDE w:val="0"/>
              <w:autoSpaceDN w:val="0"/>
              <w:adjustRightInd w:val="0"/>
              <w:jc w:val="center"/>
              <w:rPr>
                <w:sz w:val="22"/>
                <w:szCs w:val="22"/>
              </w:rPr>
            </w:pPr>
            <w:proofErr w:type="spellStart"/>
            <w:r w:rsidRPr="00220850">
              <w:rPr>
                <w:sz w:val="22"/>
                <w:szCs w:val="22"/>
              </w:rPr>
              <w:t>Placebas</w:t>
            </w:r>
            <w:proofErr w:type="spellEnd"/>
          </w:p>
        </w:tc>
        <w:tc>
          <w:tcPr>
            <w:tcW w:w="738" w:type="pct"/>
          </w:tcPr>
          <w:p w14:paraId="00D03B8F" w14:textId="77777777" w:rsidR="00EC0166" w:rsidRPr="00220850" w:rsidRDefault="00EC0166" w:rsidP="00EC0166">
            <w:pPr>
              <w:autoSpaceDE w:val="0"/>
              <w:autoSpaceDN w:val="0"/>
              <w:adjustRightInd w:val="0"/>
              <w:jc w:val="center"/>
              <w:rPr>
                <w:sz w:val="22"/>
                <w:szCs w:val="22"/>
                <w:lang w:val="de-DE"/>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605" w:type="pct"/>
          </w:tcPr>
          <w:p w14:paraId="4F897FB7" w14:textId="77777777" w:rsidR="00EC0166" w:rsidRPr="00220850" w:rsidRDefault="00331A5B" w:rsidP="007C4A52">
            <w:pPr>
              <w:autoSpaceDE w:val="0"/>
              <w:autoSpaceDN w:val="0"/>
              <w:adjustRightInd w:val="0"/>
              <w:jc w:val="center"/>
              <w:rPr>
                <w:sz w:val="22"/>
                <w:szCs w:val="22"/>
              </w:rPr>
            </w:pPr>
            <w:proofErr w:type="spellStart"/>
            <w:r w:rsidRPr="00220850">
              <w:rPr>
                <w:sz w:val="22"/>
                <w:szCs w:val="22"/>
              </w:rPr>
              <w:t>Placebas</w:t>
            </w:r>
            <w:proofErr w:type="spellEnd"/>
          </w:p>
        </w:tc>
        <w:tc>
          <w:tcPr>
            <w:tcW w:w="738" w:type="pct"/>
          </w:tcPr>
          <w:p w14:paraId="68F5741C" w14:textId="77777777" w:rsidR="00EC0166" w:rsidRPr="00220850" w:rsidRDefault="00EC0166" w:rsidP="007C4A52">
            <w:pPr>
              <w:autoSpaceDE w:val="0"/>
              <w:autoSpaceDN w:val="0"/>
              <w:adjustRightInd w:val="0"/>
              <w:jc w:val="center"/>
              <w:rPr>
                <w:sz w:val="22"/>
                <w:szCs w:val="22"/>
                <w:lang w:val="de-DE"/>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585" w:type="pct"/>
          </w:tcPr>
          <w:p w14:paraId="2B74394E" w14:textId="77777777" w:rsidR="00EC0166" w:rsidRPr="00220850" w:rsidRDefault="00EC0166" w:rsidP="00331A5B">
            <w:pPr>
              <w:autoSpaceDE w:val="0"/>
              <w:autoSpaceDN w:val="0"/>
              <w:adjustRightInd w:val="0"/>
              <w:jc w:val="center"/>
              <w:rPr>
                <w:sz w:val="22"/>
                <w:szCs w:val="22"/>
                <w:lang w:val="lt-LT"/>
              </w:rPr>
            </w:pPr>
            <w:r w:rsidRPr="00220850">
              <w:rPr>
                <w:sz w:val="22"/>
                <w:szCs w:val="22"/>
                <w:lang w:val="lt-LT"/>
              </w:rPr>
              <w:t>Placeb</w:t>
            </w:r>
            <w:r w:rsidR="00331A5B" w:rsidRPr="00220850">
              <w:rPr>
                <w:sz w:val="22"/>
                <w:szCs w:val="22"/>
                <w:lang w:val="lt-LT"/>
              </w:rPr>
              <w:t>as</w:t>
            </w:r>
          </w:p>
        </w:tc>
        <w:tc>
          <w:tcPr>
            <w:tcW w:w="738" w:type="pct"/>
          </w:tcPr>
          <w:p w14:paraId="24C724BA" w14:textId="77777777" w:rsidR="00EC0166" w:rsidRPr="00220850" w:rsidRDefault="00EC0166" w:rsidP="007C4A52">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7C4A52" w:rsidRPr="00220850" w14:paraId="1C84F1D5" w14:textId="77777777" w:rsidTr="00EC0166">
        <w:tc>
          <w:tcPr>
            <w:tcW w:w="993" w:type="pct"/>
          </w:tcPr>
          <w:p w14:paraId="44645CCD" w14:textId="20FF02BC" w:rsidR="007C4A52" w:rsidRPr="00220850" w:rsidRDefault="00815FDD" w:rsidP="00815FDD">
            <w:pPr>
              <w:autoSpaceDE w:val="0"/>
              <w:autoSpaceDN w:val="0"/>
              <w:adjustRightInd w:val="0"/>
              <w:rPr>
                <w:sz w:val="22"/>
                <w:szCs w:val="22"/>
                <w:lang w:val="lt-LT"/>
              </w:rPr>
            </w:pPr>
            <w:r w:rsidRPr="00220850">
              <w:rPr>
                <w:sz w:val="22"/>
                <w:szCs w:val="22"/>
                <w:lang w:val="lt-LT"/>
              </w:rPr>
              <w:t xml:space="preserve">Pacientų, kuriems yra rizika, </w:t>
            </w:r>
            <w:r w:rsidR="00FF5762" w:rsidRPr="00220850">
              <w:rPr>
                <w:sz w:val="22"/>
                <w:szCs w:val="22"/>
                <w:lang w:val="lt-LT"/>
              </w:rPr>
              <w:t>skaičius</w:t>
            </w:r>
          </w:p>
        </w:tc>
        <w:tc>
          <w:tcPr>
            <w:tcW w:w="605" w:type="pct"/>
            <w:vAlign w:val="center"/>
          </w:tcPr>
          <w:p w14:paraId="594907E7" w14:textId="77777777" w:rsidR="007C4A52" w:rsidRPr="00220850" w:rsidRDefault="007C4A52" w:rsidP="007C4A52">
            <w:pPr>
              <w:autoSpaceDE w:val="0"/>
              <w:autoSpaceDN w:val="0"/>
              <w:adjustRightInd w:val="0"/>
              <w:jc w:val="center"/>
              <w:rPr>
                <w:sz w:val="22"/>
                <w:szCs w:val="22"/>
              </w:rPr>
            </w:pPr>
            <w:r w:rsidRPr="00220850">
              <w:rPr>
                <w:sz w:val="22"/>
                <w:szCs w:val="22"/>
              </w:rPr>
              <w:t>204</w:t>
            </w:r>
          </w:p>
        </w:tc>
        <w:tc>
          <w:tcPr>
            <w:tcW w:w="738" w:type="pct"/>
            <w:vAlign w:val="center"/>
          </w:tcPr>
          <w:p w14:paraId="61C1042E" w14:textId="77777777" w:rsidR="007C4A52" w:rsidRPr="00220850" w:rsidRDefault="007C4A52" w:rsidP="007C4A52">
            <w:pPr>
              <w:autoSpaceDE w:val="0"/>
              <w:autoSpaceDN w:val="0"/>
              <w:adjustRightInd w:val="0"/>
              <w:jc w:val="center"/>
              <w:rPr>
                <w:sz w:val="22"/>
                <w:szCs w:val="22"/>
              </w:rPr>
            </w:pPr>
            <w:r w:rsidRPr="00220850">
              <w:rPr>
                <w:sz w:val="22"/>
                <w:szCs w:val="22"/>
              </w:rPr>
              <w:t>309</w:t>
            </w:r>
          </w:p>
        </w:tc>
        <w:tc>
          <w:tcPr>
            <w:tcW w:w="605" w:type="pct"/>
            <w:vAlign w:val="center"/>
          </w:tcPr>
          <w:p w14:paraId="44CA3BB1" w14:textId="77777777" w:rsidR="007C4A52" w:rsidRPr="00220850" w:rsidRDefault="007C4A52" w:rsidP="007C4A52">
            <w:pPr>
              <w:autoSpaceDE w:val="0"/>
              <w:autoSpaceDN w:val="0"/>
              <w:adjustRightInd w:val="0"/>
              <w:jc w:val="center"/>
              <w:rPr>
                <w:sz w:val="22"/>
                <w:szCs w:val="22"/>
              </w:rPr>
            </w:pPr>
            <w:r w:rsidRPr="00220850">
              <w:rPr>
                <w:sz w:val="22"/>
                <w:szCs w:val="22"/>
              </w:rPr>
              <w:t>219</w:t>
            </w:r>
          </w:p>
        </w:tc>
        <w:tc>
          <w:tcPr>
            <w:tcW w:w="738" w:type="pct"/>
            <w:vAlign w:val="center"/>
          </w:tcPr>
          <w:p w14:paraId="1D60CD1F" w14:textId="77777777" w:rsidR="007C4A52" w:rsidRPr="00220850" w:rsidRDefault="007C4A52" w:rsidP="007C4A52">
            <w:pPr>
              <w:autoSpaceDE w:val="0"/>
              <w:autoSpaceDN w:val="0"/>
              <w:adjustRightInd w:val="0"/>
              <w:jc w:val="center"/>
              <w:rPr>
                <w:sz w:val="22"/>
                <w:szCs w:val="22"/>
              </w:rPr>
            </w:pPr>
            <w:r w:rsidRPr="00220850">
              <w:rPr>
                <w:sz w:val="22"/>
                <w:szCs w:val="22"/>
              </w:rPr>
              <w:t>329</w:t>
            </w:r>
          </w:p>
        </w:tc>
        <w:tc>
          <w:tcPr>
            <w:tcW w:w="585" w:type="pct"/>
            <w:vAlign w:val="center"/>
          </w:tcPr>
          <w:p w14:paraId="25A9CD3E" w14:textId="77777777" w:rsidR="007C4A52" w:rsidRPr="00220850" w:rsidRDefault="007C4A52" w:rsidP="007C4A52">
            <w:pPr>
              <w:autoSpaceDE w:val="0"/>
              <w:autoSpaceDN w:val="0"/>
              <w:adjustRightInd w:val="0"/>
              <w:jc w:val="center"/>
              <w:rPr>
                <w:sz w:val="22"/>
                <w:szCs w:val="22"/>
              </w:rPr>
            </w:pPr>
            <w:r w:rsidRPr="00220850">
              <w:rPr>
                <w:sz w:val="22"/>
                <w:szCs w:val="22"/>
              </w:rPr>
              <w:t>423</w:t>
            </w:r>
          </w:p>
        </w:tc>
        <w:tc>
          <w:tcPr>
            <w:tcW w:w="738" w:type="pct"/>
            <w:vAlign w:val="center"/>
          </w:tcPr>
          <w:p w14:paraId="7E339917" w14:textId="77777777" w:rsidR="007C4A52" w:rsidRPr="00220850" w:rsidRDefault="007C4A52" w:rsidP="007C4A52">
            <w:pPr>
              <w:autoSpaceDE w:val="0"/>
              <w:autoSpaceDN w:val="0"/>
              <w:adjustRightInd w:val="0"/>
              <w:jc w:val="center"/>
              <w:rPr>
                <w:sz w:val="22"/>
                <w:szCs w:val="22"/>
              </w:rPr>
            </w:pPr>
            <w:r w:rsidRPr="00220850">
              <w:rPr>
                <w:sz w:val="22"/>
                <w:szCs w:val="22"/>
              </w:rPr>
              <w:t>638</w:t>
            </w:r>
          </w:p>
        </w:tc>
      </w:tr>
      <w:tr w:rsidR="007C4A52" w:rsidRPr="00220850" w14:paraId="49927039" w14:textId="77777777" w:rsidTr="00EC0166">
        <w:tc>
          <w:tcPr>
            <w:tcW w:w="993" w:type="pct"/>
          </w:tcPr>
          <w:p w14:paraId="333E3034" w14:textId="77777777" w:rsidR="007C4A52" w:rsidRPr="00220850" w:rsidRDefault="002D0EEE" w:rsidP="002559D3">
            <w:pPr>
              <w:autoSpaceDE w:val="0"/>
              <w:autoSpaceDN w:val="0"/>
              <w:adjustRightInd w:val="0"/>
              <w:rPr>
                <w:sz w:val="22"/>
                <w:szCs w:val="22"/>
                <w:lang w:val="lt-LT"/>
              </w:rPr>
            </w:pPr>
            <w:r w:rsidRPr="00220850">
              <w:rPr>
                <w:sz w:val="22"/>
                <w:szCs w:val="22"/>
                <w:lang w:val="lt-LT"/>
              </w:rPr>
              <w:t>Pacientų, kuriems pasireiškė pa</w:t>
            </w:r>
            <w:r w:rsidR="002559D3" w:rsidRPr="00220850">
              <w:rPr>
                <w:sz w:val="22"/>
                <w:szCs w:val="22"/>
                <w:lang w:val="lt-LT"/>
              </w:rPr>
              <w:t>blogėjimas</w:t>
            </w:r>
            <w:r w:rsidRPr="00220850">
              <w:rPr>
                <w:sz w:val="22"/>
                <w:szCs w:val="22"/>
                <w:lang w:val="lt-LT"/>
              </w:rPr>
              <w:t>, skaičius (%)</w:t>
            </w:r>
          </w:p>
        </w:tc>
        <w:tc>
          <w:tcPr>
            <w:tcW w:w="605" w:type="pct"/>
            <w:vAlign w:val="bottom"/>
          </w:tcPr>
          <w:p w14:paraId="73CBFABA" w14:textId="77777777" w:rsidR="007C4A52" w:rsidRPr="00220850" w:rsidRDefault="002D0EEE" w:rsidP="007C4A52">
            <w:pPr>
              <w:autoSpaceDE w:val="0"/>
              <w:autoSpaceDN w:val="0"/>
              <w:adjustRightInd w:val="0"/>
              <w:jc w:val="center"/>
              <w:rPr>
                <w:sz w:val="22"/>
                <w:szCs w:val="22"/>
              </w:rPr>
            </w:pPr>
            <w:r w:rsidRPr="00220850">
              <w:rPr>
                <w:sz w:val="22"/>
                <w:szCs w:val="22"/>
              </w:rPr>
              <w:t>11 (5,</w:t>
            </w:r>
            <w:r w:rsidR="007C4A52" w:rsidRPr="00220850">
              <w:rPr>
                <w:sz w:val="22"/>
                <w:szCs w:val="22"/>
              </w:rPr>
              <w:t>4)</w:t>
            </w:r>
          </w:p>
        </w:tc>
        <w:tc>
          <w:tcPr>
            <w:tcW w:w="738" w:type="pct"/>
            <w:vAlign w:val="bottom"/>
          </w:tcPr>
          <w:p w14:paraId="735EA87B" w14:textId="77777777" w:rsidR="007C4A52" w:rsidRPr="00220850" w:rsidRDefault="002D0EEE" w:rsidP="007C4A52">
            <w:pPr>
              <w:autoSpaceDE w:val="0"/>
              <w:autoSpaceDN w:val="0"/>
              <w:adjustRightInd w:val="0"/>
              <w:jc w:val="center"/>
              <w:rPr>
                <w:sz w:val="22"/>
                <w:szCs w:val="22"/>
              </w:rPr>
            </w:pPr>
            <w:r w:rsidRPr="00220850">
              <w:rPr>
                <w:sz w:val="22"/>
                <w:szCs w:val="22"/>
              </w:rPr>
              <w:t>19 (6,</w:t>
            </w:r>
            <w:r w:rsidR="007C4A52" w:rsidRPr="00220850">
              <w:rPr>
                <w:sz w:val="22"/>
                <w:szCs w:val="22"/>
              </w:rPr>
              <w:t>1)</w:t>
            </w:r>
          </w:p>
        </w:tc>
        <w:tc>
          <w:tcPr>
            <w:tcW w:w="605" w:type="pct"/>
            <w:vAlign w:val="bottom"/>
          </w:tcPr>
          <w:p w14:paraId="11725AB7" w14:textId="77777777" w:rsidR="007C4A52" w:rsidRPr="00220850" w:rsidRDefault="002D0EEE" w:rsidP="007C4A52">
            <w:pPr>
              <w:autoSpaceDE w:val="0"/>
              <w:autoSpaceDN w:val="0"/>
              <w:adjustRightInd w:val="0"/>
              <w:jc w:val="center"/>
              <w:rPr>
                <w:sz w:val="22"/>
                <w:szCs w:val="22"/>
              </w:rPr>
            </w:pPr>
            <w:r w:rsidRPr="00220850">
              <w:rPr>
                <w:sz w:val="22"/>
                <w:szCs w:val="22"/>
              </w:rPr>
              <w:t>21 (9,</w:t>
            </w:r>
            <w:r w:rsidR="007C4A52" w:rsidRPr="00220850">
              <w:rPr>
                <w:sz w:val="22"/>
                <w:szCs w:val="22"/>
              </w:rPr>
              <w:t>6)</w:t>
            </w:r>
          </w:p>
        </w:tc>
        <w:tc>
          <w:tcPr>
            <w:tcW w:w="738" w:type="pct"/>
            <w:vAlign w:val="bottom"/>
          </w:tcPr>
          <w:p w14:paraId="6B0EE4D6" w14:textId="77777777" w:rsidR="007C4A52" w:rsidRPr="00220850" w:rsidRDefault="002D0EEE" w:rsidP="007C4A52">
            <w:pPr>
              <w:autoSpaceDE w:val="0"/>
              <w:autoSpaceDN w:val="0"/>
              <w:adjustRightInd w:val="0"/>
              <w:jc w:val="center"/>
              <w:rPr>
                <w:sz w:val="22"/>
                <w:szCs w:val="22"/>
              </w:rPr>
            </w:pPr>
            <w:r w:rsidRPr="00220850">
              <w:rPr>
                <w:sz w:val="22"/>
                <w:szCs w:val="22"/>
              </w:rPr>
              <w:t>12 (3,</w:t>
            </w:r>
            <w:r w:rsidR="007C4A52" w:rsidRPr="00220850">
              <w:rPr>
                <w:sz w:val="22"/>
                <w:szCs w:val="22"/>
              </w:rPr>
              <w:t>6)</w:t>
            </w:r>
          </w:p>
        </w:tc>
        <w:tc>
          <w:tcPr>
            <w:tcW w:w="585" w:type="pct"/>
            <w:vAlign w:val="bottom"/>
          </w:tcPr>
          <w:p w14:paraId="356DD516" w14:textId="77777777" w:rsidR="007C4A52" w:rsidRPr="00220850" w:rsidRDefault="002D0EEE" w:rsidP="007C4A52">
            <w:pPr>
              <w:autoSpaceDE w:val="0"/>
              <w:autoSpaceDN w:val="0"/>
              <w:adjustRightInd w:val="0"/>
              <w:jc w:val="center"/>
              <w:rPr>
                <w:sz w:val="22"/>
                <w:szCs w:val="22"/>
              </w:rPr>
            </w:pPr>
            <w:r w:rsidRPr="00220850">
              <w:rPr>
                <w:sz w:val="22"/>
                <w:szCs w:val="22"/>
              </w:rPr>
              <w:t>32 (7,</w:t>
            </w:r>
            <w:r w:rsidR="007C4A52" w:rsidRPr="00220850">
              <w:rPr>
                <w:sz w:val="22"/>
                <w:szCs w:val="22"/>
              </w:rPr>
              <w:t>6)</w:t>
            </w:r>
          </w:p>
        </w:tc>
        <w:tc>
          <w:tcPr>
            <w:tcW w:w="738" w:type="pct"/>
            <w:vAlign w:val="bottom"/>
          </w:tcPr>
          <w:p w14:paraId="519483D5" w14:textId="77777777" w:rsidR="007C4A52" w:rsidRPr="00220850" w:rsidRDefault="002D0EEE" w:rsidP="007C4A52">
            <w:pPr>
              <w:autoSpaceDE w:val="0"/>
              <w:autoSpaceDN w:val="0"/>
              <w:adjustRightInd w:val="0"/>
              <w:jc w:val="center"/>
              <w:rPr>
                <w:sz w:val="22"/>
                <w:szCs w:val="22"/>
              </w:rPr>
            </w:pPr>
            <w:r w:rsidRPr="00220850">
              <w:rPr>
                <w:sz w:val="22"/>
                <w:szCs w:val="22"/>
              </w:rPr>
              <w:t>31 (4,</w:t>
            </w:r>
            <w:r w:rsidR="007C4A52" w:rsidRPr="00220850">
              <w:rPr>
                <w:sz w:val="22"/>
                <w:szCs w:val="22"/>
              </w:rPr>
              <w:t>9)</w:t>
            </w:r>
          </w:p>
        </w:tc>
      </w:tr>
      <w:tr w:rsidR="007C4A52" w:rsidRPr="00220850" w14:paraId="110CBDA7" w14:textId="77777777" w:rsidTr="007C4A52">
        <w:tc>
          <w:tcPr>
            <w:tcW w:w="5000" w:type="pct"/>
            <w:gridSpan w:val="7"/>
          </w:tcPr>
          <w:p w14:paraId="11E81F7D" w14:textId="42D53F25" w:rsidR="007C4A52" w:rsidRPr="00220850" w:rsidRDefault="002D0EEE" w:rsidP="002D0EEE">
            <w:pPr>
              <w:autoSpaceDE w:val="0"/>
              <w:autoSpaceDN w:val="0"/>
              <w:adjustRightInd w:val="0"/>
              <w:rPr>
                <w:sz w:val="22"/>
                <w:szCs w:val="22"/>
                <w:lang w:val="lt-LT"/>
              </w:rPr>
            </w:pPr>
            <w:r w:rsidRPr="00220850">
              <w:rPr>
                <w:sz w:val="22"/>
                <w:szCs w:val="22"/>
                <w:lang w:val="lt-LT"/>
              </w:rPr>
              <w:t>Palyginimas su placeb</w:t>
            </w:r>
            <w:r w:rsidR="00815FDD" w:rsidRPr="00220850">
              <w:rPr>
                <w:sz w:val="22"/>
                <w:szCs w:val="22"/>
                <w:lang w:val="lt-LT"/>
              </w:rPr>
              <w:t>u</w:t>
            </w:r>
            <w:r w:rsidR="007C4A52" w:rsidRPr="00220850">
              <w:rPr>
                <w:sz w:val="22"/>
                <w:szCs w:val="22"/>
                <w:vertAlign w:val="superscript"/>
                <w:lang w:val="lt-LT"/>
              </w:rPr>
              <w:t>1</w:t>
            </w:r>
          </w:p>
        </w:tc>
      </w:tr>
      <w:tr w:rsidR="007C4A52" w:rsidRPr="00220850" w14:paraId="23021A86" w14:textId="77777777" w:rsidTr="00EC0166">
        <w:tc>
          <w:tcPr>
            <w:tcW w:w="993" w:type="pct"/>
          </w:tcPr>
          <w:p w14:paraId="30D46ED5" w14:textId="77777777" w:rsidR="007C4A52" w:rsidRPr="00220850" w:rsidRDefault="00DE4D59" w:rsidP="002D0EEE">
            <w:pPr>
              <w:autoSpaceDE w:val="0"/>
              <w:autoSpaceDN w:val="0"/>
              <w:adjustRightInd w:val="0"/>
              <w:rPr>
                <w:sz w:val="22"/>
                <w:szCs w:val="22"/>
                <w:lang w:val="lt-LT"/>
              </w:rPr>
            </w:pPr>
            <w:r w:rsidRPr="00220850">
              <w:rPr>
                <w:sz w:val="22"/>
                <w:szCs w:val="22"/>
                <w:lang w:val="lt-LT"/>
              </w:rPr>
              <w:t xml:space="preserve">p </w:t>
            </w:r>
            <w:r w:rsidR="002D0EEE" w:rsidRPr="00220850">
              <w:rPr>
                <w:sz w:val="22"/>
                <w:szCs w:val="22"/>
                <w:lang w:val="lt-LT"/>
              </w:rPr>
              <w:t>reikšmė</w:t>
            </w:r>
            <w:r w:rsidR="007C4A52" w:rsidRPr="00220850">
              <w:rPr>
                <w:sz w:val="22"/>
                <w:szCs w:val="22"/>
                <w:vertAlign w:val="superscript"/>
                <w:lang w:val="lt-LT"/>
              </w:rPr>
              <w:t>2</w:t>
            </w:r>
          </w:p>
        </w:tc>
        <w:tc>
          <w:tcPr>
            <w:tcW w:w="605" w:type="pct"/>
          </w:tcPr>
          <w:p w14:paraId="60ACBFF0" w14:textId="77777777" w:rsidR="007C4A52" w:rsidRPr="00220850" w:rsidRDefault="007C4A52" w:rsidP="007C4A52">
            <w:pPr>
              <w:autoSpaceDE w:val="0"/>
              <w:autoSpaceDN w:val="0"/>
              <w:adjustRightInd w:val="0"/>
              <w:rPr>
                <w:sz w:val="22"/>
                <w:szCs w:val="22"/>
              </w:rPr>
            </w:pPr>
          </w:p>
        </w:tc>
        <w:tc>
          <w:tcPr>
            <w:tcW w:w="738" w:type="pct"/>
          </w:tcPr>
          <w:p w14:paraId="5E4C3CDE" w14:textId="77777777" w:rsidR="007C4A52" w:rsidRPr="00220850" w:rsidRDefault="002D0EEE" w:rsidP="007C4A52">
            <w:pPr>
              <w:autoSpaceDE w:val="0"/>
              <w:autoSpaceDN w:val="0"/>
              <w:adjustRightInd w:val="0"/>
              <w:rPr>
                <w:sz w:val="22"/>
                <w:szCs w:val="22"/>
              </w:rPr>
            </w:pPr>
            <w:r w:rsidRPr="00220850">
              <w:rPr>
                <w:sz w:val="22"/>
                <w:szCs w:val="22"/>
              </w:rPr>
              <w:t>0,</w:t>
            </w:r>
            <w:r w:rsidR="007C4A52" w:rsidRPr="00220850">
              <w:rPr>
                <w:sz w:val="22"/>
                <w:szCs w:val="22"/>
              </w:rPr>
              <w:t>6728</w:t>
            </w:r>
          </w:p>
        </w:tc>
        <w:tc>
          <w:tcPr>
            <w:tcW w:w="605" w:type="pct"/>
          </w:tcPr>
          <w:p w14:paraId="2DC7F2F5" w14:textId="77777777" w:rsidR="007C4A52" w:rsidRPr="00220850" w:rsidRDefault="007C4A52" w:rsidP="007C4A52">
            <w:pPr>
              <w:autoSpaceDE w:val="0"/>
              <w:autoSpaceDN w:val="0"/>
              <w:adjustRightInd w:val="0"/>
              <w:rPr>
                <w:sz w:val="22"/>
                <w:szCs w:val="22"/>
              </w:rPr>
            </w:pPr>
          </w:p>
        </w:tc>
        <w:tc>
          <w:tcPr>
            <w:tcW w:w="738" w:type="pct"/>
          </w:tcPr>
          <w:p w14:paraId="6AC06077" w14:textId="77777777" w:rsidR="007C4A52" w:rsidRPr="00220850" w:rsidRDefault="002D0EEE" w:rsidP="002D0EEE">
            <w:pPr>
              <w:autoSpaceDE w:val="0"/>
              <w:autoSpaceDN w:val="0"/>
              <w:adjustRightInd w:val="0"/>
              <w:rPr>
                <w:sz w:val="22"/>
                <w:szCs w:val="22"/>
              </w:rPr>
            </w:pPr>
            <w:r w:rsidRPr="00220850">
              <w:rPr>
                <w:sz w:val="22"/>
                <w:szCs w:val="22"/>
              </w:rPr>
              <w:t>0,</w:t>
            </w:r>
            <w:r w:rsidR="007C4A52" w:rsidRPr="00220850">
              <w:rPr>
                <w:sz w:val="22"/>
                <w:szCs w:val="22"/>
              </w:rPr>
              <w:t>005</w:t>
            </w:r>
          </w:p>
        </w:tc>
        <w:tc>
          <w:tcPr>
            <w:tcW w:w="585" w:type="pct"/>
          </w:tcPr>
          <w:p w14:paraId="7141AFA9" w14:textId="77777777" w:rsidR="007C4A52" w:rsidRPr="00220850" w:rsidRDefault="007C4A52" w:rsidP="007C4A52">
            <w:pPr>
              <w:autoSpaceDE w:val="0"/>
              <w:autoSpaceDN w:val="0"/>
              <w:adjustRightInd w:val="0"/>
              <w:rPr>
                <w:sz w:val="22"/>
                <w:szCs w:val="22"/>
              </w:rPr>
            </w:pPr>
          </w:p>
        </w:tc>
        <w:tc>
          <w:tcPr>
            <w:tcW w:w="738" w:type="pct"/>
          </w:tcPr>
          <w:p w14:paraId="7FFCDEF3" w14:textId="77777777" w:rsidR="007C4A52" w:rsidRPr="00220850" w:rsidRDefault="002D0EEE" w:rsidP="007C4A52">
            <w:pPr>
              <w:autoSpaceDE w:val="0"/>
              <w:autoSpaceDN w:val="0"/>
              <w:adjustRightInd w:val="0"/>
              <w:rPr>
                <w:sz w:val="22"/>
                <w:szCs w:val="22"/>
              </w:rPr>
            </w:pPr>
            <w:r w:rsidRPr="00220850">
              <w:rPr>
                <w:sz w:val="22"/>
                <w:szCs w:val="22"/>
              </w:rPr>
              <w:t>0,</w:t>
            </w:r>
            <w:r w:rsidR="007C4A52" w:rsidRPr="00220850">
              <w:rPr>
                <w:sz w:val="22"/>
                <w:szCs w:val="22"/>
              </w:rPr>
              <w:t>0823</w:t>
            </w:r>
          </w:p>
        </w:tc>
      </w:tr>
      <w:tr w:rsidR="007C4A52" w:rsidRPr="00220850" w14:paraId="5BB1DF9C" w14:textId="77777777" w:rsidTr="00EC0166">
        <w:tc>
          <w:tcPr>
            <w:tcW w:w="993" w:type="pct"/>
          </w:tcPr>
          <w:p w14:paraId="22C03F1A" w14:textId="77777777" w:rsidR="007C4A52" w:rsidRPr="00220850" w:rsidRDefault="002D0EEE" w:rsidP="002D0EEE">
            <w:pPr>
              <w:autoSpaceDE w:val="0"/>
              <w:autoSpaceDN w:val="0"/>
              <w:adjustRightInd w:val="0"/>
              <w:rPr>
                <w:sz w:val="22"/>
                <w:szCs w:val="22"/>
                <w:lang w:val="lt-LT"/>
              </w:rPr>
            </w:pPr>
            <w:r w:rsidRPr="00220850">
              <w:rPr>
                <w:sz w:val="22"/>
                <w:szCs w:val="22"/>
                <w:lang w:val="lt-LT"/>
              </w:rPr>
              <w:t>Rizikos santykis</w:t>
            </w:r>
            <w:r w:rsidR="007C4A52" w:rsidRPr="00220850">
              <w:rPr>
                <w:sz w:val="22"/>
                <w:szCs w:val="22"/>
                <w:vertAlign w:val="superscript"/>
                <w:lang w:val="lt-LT"/>
              </w:rPr>
              <w:t>3</w:t>
            </w:r>
          </w:p>
        </w:tc>
        <w:tc>
          <w:tcPr>
            <w:tcW w:w="605" w:type="pct"/>
          </w:tcPr>
          <w:p w14:paraId="444199AB" w14:textId="77777777" w:rsidR="007C4A52" w:rsidRPr="00220850" w:rsidRDefault="007C4A52" w:rsidP="007C4A52">
            <w:pPr>
              <w:autoSpaceDE w:val="0"/>
              <w:autoSpaceDN w:val="0"/>
              <w:adjustRightInd w:val="0"/>
              <w:rPr>
                <w:sz w:val="22"/>
                <w:szCs w:val="22"/>
              </w:rPr>
            </w:pPr>
          </w:p>
        </w:tc>
        <w:tc>
          <w:tcPr>
            <w:tcW w:w="738" w:type="pct"/>
          </w:tcPr>
          <w:p w14:paraId="23B10B11" w14:textId="77777777" w:rsidR="007C4A52" w:rsidRPr="00220850" w:rsidRDefault="002D0EEE" w:rsidP="007C4A52">
            <w:pPr>
              <w:autoSpaceDE w:val="0"/>
              <w:autoSpaceDN w:val="0"/>
              <w:adjustRightInd w:val="0"/>
              <w:rPr>
                <w:sz w:val="22"/>
                <w:szCs w:val="22"/>
              </w:rPr>
            </w:pPr>
            <w:r w:rsidRPr="00220850">
              <w:rPr>
                <w:sz w:val="22"/>
                <w:szCs w:val="22"/>
              </w:rPr>
              <w:t>1,</w:t>
            </w:r>
            <w:r w:rsidR="007C4A52" w:rsidRPr="00220850">
              <w:rPr>
                <w:sz w:val="22"/>
                <w:szCs w:val="22"/>
              </w:rPr>
              <w:t>15</w:t>
            </w:r>
          </w:p>
        </w:tc>
        <w:tc>
          <w:tcPr>
            <w:tcW w:w="605" w:type="pct"/>
          </w:tcPr>
          <w:p w14:paraId="5A024BC3" w14:textId="77777777" w:rsidR="007C4A52" w:rsidRPr="00220850" w:rsidRDefault="007C4A52" w:rsidP="007C4A52">
            <w:pPr>
              <w:autoSpaceDE w:val="0"/>
              <w:autoSpaceDN w:val="0"/>
              <w:adjustRightInd w:val="0"/>
              <w:rPr>
                <w:sz w:val="22"/>
                <w:szCs w:val="22"/>
              </w:rPr>
            </w:pPr>
          </w:p>
        </w:tc>
        <w:tc>
          <w:tcPr>
            <w:tcW w:w="738" w:type="pct"/>
          </w:tcPr>
          <w:p w14:paraId="252167B6" w14:textId="77777777" w:rsidR="007C4A52" w:rsidRPr="00220850" w:rsidRDefault="002D0EEE" w:rsidP="007C4A52">
            <w:pPr>
              <w:autoSpaceDE w:val="0"/>
              <w:autoSpaceDN w:val="0"/>
              <w:adjustRightInd w:val="0"/>
              <w:rPr>
                <w:sz w:val="22"/>
                <w:szCs w:val="22"/>
              </w:rPr>
            </w:pPr>
            <w:r w:rsidRPr="00220850">
              <w:rPr>
                <w:sz w:val="22"/>
                <w:szCs w:val="22"/>
              </w:rPr>
              <w:t>0,</w:t>
            </w:r>
            <w:r w:rsidR="007C4A52" w:rsidRPr="00220850">
              <w:rPr>
                <w:sz w:val="22"/>
                <w:szCs w:val="22"/>
              </w:rPr>
              <w:t>38</w:t>
            </w:r>
          </w:p>
        </w:tc>
        <w:tc>
          <w:tcPr>
            <w:tcW w:w="585" w:type="pct"/>
          </w:tcPr>
          <w:p w14:paraId="0D946BDD" w14:textId="77777777" w:rsidR="007C4A52" w:rsidRPr="00220850" w:rsidRDefault="007C4A52" w:rsidP="007C4A52">
            <w:pPr>
              <w:autoSpaceDE w:val="0"/>
              <w:autoSpaceDN w:val="0"/>
              <w:adjustRightInd w:val="0"/>
              <w:rPr>
                <w:sz w:val="22"/>
                <w:szCs w:val="22"/>
              </w:rPr>
            </w:pPr>
          </w:p>
        </w:tc>
        <w:tc>
          <w:tcPr>
            <w:tcW w:w="738" w:type="pct"/>
          </w:tcPr>
          <w:p w14:paraId="11FAC059" w14:textId="77777777" w:rsidR="007C4A52" w:rsidRPr="00220850" w:rsidRDefault="002D0EEE" w:rsidP="007C4A52">
            <w:pPr>
              <w:autoSpaceDE w:val="0"/>
              <w:autoSpaceDN w:val="0"/>
              <w:adjustRightInd w:val="0"/>
              <w:rPr>
                <w:sz w:val="22"/>
                <w:szCs w:val="22"/>
              </w:rPr>
            </w:pPr>
            <w:r w:rsidRPr="00220850">
              <w:rPr>
                <w:sz w:val="22"/>
                <w:szCs w:val="22"/>
              </w:rPr>
              <w:t>0,</w:t>
            </w:r>
            <w:r w:rsidR="007C4A52" w:rsidRPr="00220850">
              <w:rPr>
                <w:sz w:val="22"/>
                <w:szCs w:val="22"/>
              </w:rPr>
              <w:t>64</w:t>
            </w:r>
          </w:p>
        </w:tc>
      </w:tr>
      <w:tr w:rsidR="007C4A52" w:rsidRPr="00220850" w14:paraId="06B18EC8" w14:textId="77777777" w:rsidTr="00EC0166">
        <w:tc>
          <w:tcPr>
            <w:tcW w:w="993" w:type="pct"/>
          </w:tcPr>
          <w:p w14:paraId="51DC563D" w14:textId="77777777" w:rsidR="007C4A52" w:rsidRPr="00220850" w:rsidRDefault="007C4A52" w:rsidP="007C4A52">
            <w:pPr>
              <w:autoSpaceDE w:val="0"/>
              <w:autoSpaceDN w:val="0"/>
              <w:adjustRightInd w:val="0"/>
              <w:rPr>
                <w:sz w:val="22"/>
                <w:szCs w:val="22"/>
                <w:lang w:val="lt-LT"/>
              </w:rPr>
            </w:pPr>
            <w:r w:rsidRPr="00220850">
              <w:rPr>
                <w:sz w:val="22"/>
                <w:szCs w:val="22"/>
                <w:lang w:val="lt-LT"/>
              </w:rPr>
              <w:t>95</w:t>
            </w:r>
            <w:r w:rsidR="002D0EEE" w:rsidRPr="00220850">
              <w:rPr>
                <w:sz w:val="22"/>
                <w:szCs w:val="22"/>
                <w:lang w:val="lt-LT"/>
              </w:rPr>
              <w:t> </w:t>
            </w:r>
            <w:r w:rsidRPr="00220850">
              <w:rPr>
                <w:sz w:val="22"/>
                <w:szCs w:val="22"/>
                <w:lang w:val="lt-LT"/>
              </w:rPr>
              <w:t>% </w:t>
            </w:r>
            <w:r w:rsidR="002D0EEE" w:rsidRPr="00220850">
              <w:rPr>
                <w:sz w:val="22"/>
                <w:szCs w:val="22"/>
                <w:lang w:val="lt-LT"/>
              </w:rPr>
              <w:t>P</w:t>
            </w:r>
            <w:r w:rsidRPr="00220850">
              <w:rPr>
                <w:sz w:val="22"/>
                <w:szCs w:val="22"/>
                <w:lang w:val="lt-LT"/>
              </w:rPr>
              <w:t>I</w:t>
            </w:r>
          </w:p>
        </w:tc>
        <w:tc>
          <w:tcPr>
            <w:tcW w:w="605" w:type="pct"/>
          </w:tcPr>
          <w:p w14:paraId="0CE53196" w14:textId="77777777" w:rsidR="007C4A52" w:rsidRPr="00220850" w:rsidRDefault="007C4A52" w:rsidP="007C4A52">
            <w:pPr>
              <w:autoSpaceDE w:val="0"/>
              <w:autoSpaceDN w:val="0"/>
              <w:adjustRightInd w:val="0"/>
              <w:rPr>
                <w:sz w:val="22"/>
                <w:szCs w:val="22"/>
              </w:rPr>
            </w:pPr>
          </w:p>
        </w:tc>
        <w:tc>
          <w:tcPr>
            <w:tcW w:w="738" w:type="pct"/>
          </w:tcPr>
          <w:p w14:paraId="4FAC0FA6" w14:textId="77777777" w:rsidR="007C4A52" w:rsidRPr="00220850" w:rsidRDefault="007C4A52" w:rsidP="002D0EEE">
            <w:pPr>
              <w:autoSpaceDE w:val="0"/>
              <w:autoSpaceDN w:val="0"/>
              <w:adjustRightInd w:val="0"/>
              <w:rPr>
                <w:sz w:val="22"/>
                <w:szCs w:val="22"/>
              </w:rPr>
            </w:pPr>
            <w:r w:rsidRPr="00220850">
              <w:rPr>
                <w:sz w:val="22"/>
                <w:szCs w:val="22"/>
              </w:rPr>
              <w:t>(0</w:t>
            </w:r>
            <w:r w:rsidR="002D0EEE" w:rsidRPr="00220850">
              <w:rPr>
                <w:sz w:val="22"/>
                <w:szCs w:val="22"/>
              </w:rPr>
              <w:t>,</w:t>
            </w:r>
            <w:r w:rsidRPr="00220850">
              <w:rPr>
                <w:sz w:val="22"/>
                <w:szCs w:val="22"/>
              </w:rPr>
              <w:t>54, 2</w:t>
            </w:r>
            <w:r w:rsidR="002D0EEE" w:rsidRPr="00220850">
              <w:rPr>
                <w:sz w:val="22"/>
                <w:szCs w:val="22"/>
              </w:rPr>
              <w:t>,</w:t>
            </w:r>
            <w:r w:rsidRPr="00220850">
              <w:rPr>
                <w:sz w:val="22"/>
                <w:szCs w:val="22"/>
              </w:rPr>
              <w:t>42)</w:t>
            </w:r>
          </w:p>
        </w:tc>
        <w:tc>
          <w:tcPr>
            <w:tcW w:w="605" w:type="pct"/>
          </w:tcPr>
          <w:p w14:paraId="16E12A13" w14:textId="77777777" w:rsidR="007C4A52" w:rsidRPr="00220850" w:rsidRDefault="007C4A52" w:rsidP="007C4A52">
            <w:pPr>
              <w:autoSpaceDE w:val="0"/>
              <w:autoSpaceDN w:val="0"/>
              <w:adjustRightInd w:val="0"/>
              <w:rPr>
                <w:sz w:val="22"/>
                <w:szCs w:val="22"/>
              </w:rPr>
            </w:pPr>
          </w:p>
        </w:tc>
        <w:tc>
          <w:tcPr>
            <w:tcW w:w="738" w:type="pct"/>
          </w:tcPr>
          <w:p w14:paraId="5717DB6A" w14:textId="77777777" w:rsidR="007C4A52" w:rsidRPr="00220850" w:rsidRDefault="007C4A52" w:rsidP="002D0EEE">
            <w:pPr>
              <w:autoSpaceDE w:val="0"/>
              <w:autoSpaceDN w:val="0"/>
              <w:adjustRightInd w:val="0"/>
              <w:rPr>
                <w:sz w:val="22"/>
                <w:szCs w:val="22"/>
              </w:rPr>
            </w:pPr>
            <w:r w:rsidRPr="00220850">
              <w:rPr>
                <w:sz w:val="22"/>
                <w:szCs w:val="22"/>
              </w:rPr>
              <w:t>(0</w:t>
            </w:r>
            <w:r w:rsidR="002D0EEE" w:rsidRPr="00220850">
              <w:rPr>
                <w:sz w:val="22"/>
                <w:szCs w:val="22"/>
              </w:rPr>
              <w:t>,</w:t>
            </w:r>
            <w:r w:rsidRPr="00220850">
              <w:rPr>
                <w:sz w:val="22"/>
                <w:szCs w:val="22"/>
              </w:rPr>
              <w:t>19, 0</w:t>
            </w:r>
            <w:r w:rsidR="002D0EEE" w:rsidRPr="00220850">
              <w:rPr>
                <w:sz w:val="22"/>
                <w:szCs w:val="22"/>
              </w:rPr>
              <w:t>,</w:t>
            </w:r>
            <w:r w:rsidRPr="00220850">
              <w:rPr>
                <w:sz w:val="22"/>
                <w:szCs w:val="22"/>
              </w:rPr>
              <w:t>77)</w:t>
            </w:r>
          </w:p>
        </w:tc>
        <w:tc>
          <w:tcPr>
            <w:tcW w:w="585" w:type="pct"/>
          </w:tcPr>
          <w:p w14:paraId="49495A68" w14:textId="77777777" w:rsidR="007C4A52" w:rsidRPr="00220850" w:rsidRDefault="007C4A52" w:rsidP="007C4A52">
            <w:pPr>
              <w:autoSpaceDE w:val="0"/>
              <w:autoSpaceDN w:val="0"/>
              <w:adjustRightInd w:val="0"/>
              <w:rPr>
                <w:sz w:val="22"/>
                <w:szCs w:val="22"/>
              </w:rPr>
            </w:pPr>
          </w:p>
        </w:tc>
        <w:tc>
          <w:tcPr>
            <w:tcW w:w="738" w:type="pct"/>
          </w:tcPr>
          <w:p w14:paraId="1E1E2D03" w14:textId="77777777" w:rsidR="007C4A52" w:rsidRPr="00220850" w:rsidRDefault="007C4A52" w:rsidP="002D0EEE">
            <w:pPr>
              <w:autoSpaceDE w:val="0"/>
              <w:autoSpaceDN w:val="0"/>
              <w:adjustRightInd w:val="0"/>
              <w:rPr>
                <w:sz w:val="22"/>
                <w:szCs w:val="22"/>
              </w:rPr>
            </w:pPr>
            <w:r w:rsidRPr="00220850">
              <w:rPr>
                <w:sz w:val="22"/>
                <w:szCs w:val="22"/>
              </w:rPr>
              <w:t>(0</w:t>
            </w:r>
            <w:r w:rsidR="002D0EEE" w:rsidRPr="00220850">
              <w:rPr>
                <w:sz w:val="22"/>
                <w:szCs w:val="22"/>
              </w:rPr>
              <w:t>,39, 1,</w:t>
            </w:r>
            <w:r w:rsidRPr="00220850">
              <w:rPr>
                <w:sz w:val="22"/>
                <w:szCs w:val="22"/>
              </w:rPr>
              <w:t>05)</w:t>
            </w:r>
          </w:p>
        </w:tc>
      </w:tr>
    </w:tbl>
    <w:p w14:paraId="64BF3518" w14:textId="77777777" w:rsidR="008B0AD2" w:rsidRPr="00220850" w:rsidRDefault="008B0AD2" w:rsidP="008B0AD2">
      <w:pPr>
        <w:autoSpaceDE w:val="0"/>
        <w:autoSpaceDN w:val="0"/>
        <w:adjustRightInd w:val="0"/>
        <w:rPr>
          <w:rFonts w:eastAsia="TimesNewRoman"/>
          <w:sz w:val="20"/>
        </w:rPr>
      </w:pPr>
      <w:r w:rsidRPr="00220850">
        <w:rPr>
          <w:rFonts w:eastAsia="TimesNewRoman"/>
          <w:sz w:val="22"/>
          <w:szCs w:val="22"/>
          <w:vertAlign w:val="superscript"/>
        </w:rPr>
        <w:t xml:space="preserve">1 </w:t>
      </w:r>
      <w:r w:rsidRPr="00220850">
        <w:rPr>
          <w:rFonts w:eastAsia="TimesNewRoman"/>
          <w:sz w:val="20"/>
        </w:rPr>
        <w:t>Remiantis duomenimis, surinktais iki 372 dienos (52 savaitės + 7 dienų riba).</w:t>
      </w:r>
    </w:p>
    <w:p w14:paraId="1664BA87" w14:textId="77777777" w:rsidR="008B0AD2" w:rsidRPr="00220850" w:rsidRDefault="008B0AD2" w:rsidP="008B0AD2">
      <w:pPr>
        <w:autoSpaceDE w:val="0"/>
        <w:autoSpaceDN w:val="0"/>
        <w:adjustRightInd w:val="0"/>
        <w:rPr>
          <w:rFonts w:eastAsia="TimesNewRoman"/>
          <w:sz w:val="20"/>
        </w:rPr>
      </w:pPr>
      <w:r w:rsidRPr="00220850">
        <w:rPr>
          <w:rFonts w:eastAsia="TimesNewRoman"/>
          <w:sz w:val="22"/>
          <w:szCs w:val="22"/>
          <w:vertAlign w:val="superscript"/>
        </w:rPr>
        <w:t xml:space="preserve">2 </w:t>
      </w:r>
      <w:r w:rsidRPr="00220850">
        <w:rPr>
          <w:rFonts w:eastAsia="TimesNewRoman"/>
          <w:sz w:val="20"/>
        </w:rPr>
        <w:t xml:space="preserve">Remiantis logaritminiu </w:t>
      </w:r>
      <w:proofErr w:type="spellStart"/>
      <w:r w:rsidRPr="00220850">
        <w:rPr>
          <w:rFonts w:eastAsia="TimesNewRoman"/>
          <w:sz w:val="20"/>
        </w:rPr>
        <w:t>ranginiu</w:t>
      </w:r>
      <w:proofErr w:type="spellEnd"/>
      <w:r w:rsidRPr="00220850">
        <w:rPr>
          <w:rFonts w:eastAsia="TimesNewRoman"/>
          <w:sz w:val="20"/>
        </w:rPr>
        <w:t xml:space="preserve"> testu.</w:t>
      </w:r>
    </w:p>
    <w:p w14:paraId="31549A98" w14:textId="77777777" w:rsidR="007C4A52" w:rsidRPr="00220850" w:rsidRDefault="008B0AD2" w:rsidP="008B0AD2">
      <w:pPr>
        <w:autoSpaceDE w:val="0"/>
        <w:autoSpaceDN w:val="0"/>
        <w:adjustRightInd w:val="0"/>
        <w:rPr>
          <w:rFonts w:eastAsia="TimesNewRoman,Bold"/>
          <w:b/>
          <w:bCs/>
          <w:sz w:val="22"/>
          <w:szCs w:val="22"/>
        </w:rPr>
      </w:pPr>
      <w:r w:rsidRPr="00220850">
        <w:rPr>
          <w:rFonts w:eastAsia="TimesNewRoman"/>
          <w:sz w:val="22"/>
          <w:szCs w:val="22"/>
          <w:vertAlign w:val="superscript"/>
        </w:rPr>
        <w:t>3</w:t>
      </w:r>
      <w:r w:rsidRPr="00220850">
        <w:rPr>
          <w:rFonts w:eastAsia="TimesNewRoman"/>
          <w:sz w:val="13"/>
          <w:szCs w:val="13"/>
        </w:rPr>
        <w:t xml:space="preserve"> </w:t>
      </w:r>
      <w:r w:rsidRPr="00220850">
        <w:rPr>
          <w:rFonts w:eastAsia="TimesNewRoman"/>
          <w:sz w:val="20"/>
        </w:rPr>
        <w:t xml:space="preserve">Remiantis </w:t>
      </w:r>
      <w:proofErr w:type="spellStart"/>
      <w:r w:rsidRPr="00220850">
        <w:rPr>
          <w:rFonts w:eastAsia="TimesNewRoman"/>
          <w:sz w:val="20"/>
        </w:rPr>
        <w:t>Cox</w:t>
      </w:r>
      <w:proofErr w:type="spellEnd"/>
      <w:r w:rsidRPr="00220850">
        <w:rPr>
          <w:rFonts w:eastAsia="TimesNewRoman"/>
          <w:sz w:val="20"/>
        </w:rPr>
        <w:t xml:space="preserve"> regresijos modeliu.</w:t>
      </w:r>
    </w:p>
    <w:p w14:paraId="15BB92FC" w14:textId="77777777" w:rsidR="002D0EEE" w:rsidRPr="00220850" w:rsidRDefault="002D0EEE" w:rsidP="002D0EEE">
      <w:pPr>
        <w:autoSpaceDE w:val="0"/>
        <w:autoSpaceDN w:val="0"/>
        <w:adjustRightInd w:val="0"/>
        <w:rPr>
          <w:rFonts w:eastAsia="TimesNewRoman"/>
          <w:sz w:val="22"/>
          <w:szCs w:val="22"/>
        </w:rPr>
      </w:pPr>
    </w:p>
    <w:p w14:paraId="58029840" w14:textId="77777777" w:rsidR="002D0EEE" w:rsidRPr="00220850" w:rsidRDefault="002D0EEE" w:rsidP="002D0EEE">
      <w:pPr>
        <w:autoSpaceDE w:val="0"/>
        <w:autoSpaceDN w:val="0"/>
        <w:adjustRightInd w:val="0"/>
        <w:rPr>
          <w:rFonts w:eastAsia="TimesNewRoman"/>
          <w:sz w:val="22"/>
          <w:szCs w:val="22"/>
        </w:rPr>
      </w:pPr>
      <w:r w:rsidRPr="00220850">
        <w:rPr>
          <w:rFonts w:eastAsia="TimesNewRoman"/>
          <w:sz w:val="22"/>
          <w:szCs w:val="22"/>
        </w:rPr>
        <w:t xml:space="preserve">Atlikus iš anksto apibrėžtą jautrumo analizę, pacientų, kuriems per 52 savaites pasireiškė bent 1 pripažintas pablogėjimas, dalis buvo mažesnė </w:t>
      </w:r>
      <w:proofErr w:type="spellStart"/>
      <w:r w:rsidRPr="00220850">
        <w:rPr>
          <w:rFonts w:eastAsia="TimesNewRoman"/>
          <w:sz w:val="22"/>
          <w:szCs w:val="22"/>
        </w:rPr>
        <w:t>nintedanibu</w:t>
      </w:r>
      <w:proofErr w:type="spellEnd"/>
      <w:r w:rsidRPr="00220850">
        <w:rPr>
          <w:rFonts w:eastAsia="TimesNewRoman"/>
          <w:sz w:val="22"/>
          <w:szCs w:val="22"/>
        </w:rPr>
        <w:t xml:space="preserve"> gydytoje grupėje (1,9 % pacientų) negu placeb</w:t>
      </w:r>
      <w:r w:rsidR="00E05387" w:rsidRPr="00220850">
        <w:rPr>
          <w:rFonts w:eastAsia="TimesNewRoman"/>
          <w:sz w:val="22"/>
          <w:szCs w:val="22"/>
        </w:rPr>
        <w:t>ą vartojusių</w:t>
      </w:r>
      <w:r w:rsidRPr="00220850">
        <w:rPr>
          <w:rFonts w:eastAsia="TimesNewRoman"/>
          <w:sz w:val="22"/>
          <w:szCs w:val="22"/>
        </w:rPr>
        <w:t xml:space="preserve"> grupėje (5,7 % pacientų). Analizuojant pripažintus pablogėjimo atvejus naudojant bendrus duomenis, laikotarpio iki pablogėjimo analize nustatytas rizikos santykis (RS) buvo 0,32 (95% PI 0,16, 0,65; p</w:t>
      </w:r>
      <w:r w:rsidR="00476EEA" w:rsidRPr="00220850">
        <w:rPr>
          <w:rFonts w:eastAsia="TimesNewRoman"/>
          <w:sz w:val="22"/>
          <w:szCs w:val="22"/>
        </w:rPr>
        <w:t> </w:t>
      </w:r>
      <w:r w:rsidRPr="00220850">
        <w:rPr>
          <w:rFonts w:eastAsia="TimesNewRoman"/>
          <w:sz w:val="22"/>
          <w:szCs w:val="22"/>
        </w:rPr>
        <w:t>= 0,0010).</w:t>
      </w:r>
    </w:p>
    <w:p w14:paraId="7697ACC2" w14:textId="77777777" w:rsidR="002D0EEE" w:rsidRPr="00220850" w:rsidRDefault="002D0EEE" w:rsidP="002D0EEE">
      <w:pPr>
        <w:autoSpaceDE w:val="0"/>
        <w:autoSpaceDN w:val="0"/>
        <w:adjustRightInd w:val="0"/>
        <w:rPr>
          <w:rFonts w:eastAsia="TimesNewRoman,Italic"/>
          <w:i/>
          <w:iCs/>
          <w:sz w:val="22"/>
          <w:szCs w:val="22"/>
        </w:rPr>
      </w:pPr>
    </w:p>
    <w:p w14:paraId="33CB82B1" w14:textId="77777777" w:rsidR="002D0EEE" w:rsidRPr="00220850" w:rsidRDefault="002D0EEE" w:rsidP="002D0EEE">
      <w:pPr>
        <w:autoSpaceDE w:val="0"/>
        <w:autoSpaceDN w:val="0"/>
        <w:adjustRightInd w:val="0"/>
        <w:rPr>
          <w:rFonts w:eastAsia="TimesNewRoman,Italic"/>
          <w:i/>
          <w:iCs/>
          <w:sz w:val="22"/>
          <w:szCs w:val="22"/>
          <w:u w:val="single"/>
        </w:rPr>
      </w:pPr>
      <w:r w:rsidRPr="00220850">
        <w:rPr>
          <w:rFonts w:eastAsia="TimesNewRoman,Italic"/>
          <w:i/>
          <w:iCs/>
          <w:sz w:val="22"/>
          <w:szCs w:val="22"/>
          <w:u w:val="single"/>
        </w:rPr>
        <w:t>Išgyvenamumo analizė</w:t>
      </w:r>
    </w:p>
    <w:p w14:paraId="21618FA7" w14:textId="77777777" w:rsidR="007C4A52" w:rsidRPr="00220850" w:rsidRDefault="002D0EEE" w:rsidP="002D0EEE">
      <w:pPr>
        <w:autoSpaceDE w:val="0"/>
        <w:autoSpaceDN w:val="0"/>
        <w:adjustRightInd w:val="0"/>
        <w:rPr>
          <w:rFonts w:eastAsia="TimesNewRoman"/>
          <w:sz w:val="22"/>
          <w:szCs w:val="22"/>
        </w:rPr>
      </w:pPr>
      <w:r w:rsidRPr="00220850">
        <w:rPr>
          <w:rFonts w:eastAsia="TimesNewRoman"/>
          <w:sz w:val="22"/>
          <w:szCs w:val="22"/>
        </w:rPr>
        <w:t>Iš anksto numatyta bendra INPULSIS tyrimų išgyvenamumo duomenų analizė parodė, kad bendras</w:t>
      </w:r>
      <w:r w:rsidR="00E05387" w:rsidRPr="00220850">
        <w:rPr>
          <w:rFonts w:eastAsia="TimesNewRoman"/>
          <w:sz w:val="22"/>
          <w:szCs w:val="22"/>
        </w:rPr>
        <w:t xml:space="preserve"> </w:t>
      </w:r>
      <w:r w:rsidRPr="00220850">
        <w:rPr>
          <w:rFonts w:eastAsia="TimesNewRoman"/>
          <w:sz w:val="22"/>
          <w:szCs w:val="22"/>
        </w:rPr>
        <w:t xml:space="preserve">mirtingumas per 52 savaites buvo mažesnis </w:t>
      </w:r>
      <w:proofErr w:type="spellStart"/>
      <w:r w:rsidRPr="00220850">
        <w:rPr>
          <w:rFonts w:eastAsia="TimesNewRoman"/>
          <w:sz w:val="22"/>
          <w:szCs w:val="22"/>
        </w:rPr>
        <w:t>nintedanibou</w:t>
      </w:r>
      <w:proofErr w:type="spellEnd"/>
      <w:r w:rsidRPr="00220850">
        <w:rPr>
          <w:rFonts w:eastAsia="TimesNewRoman"/>
          <w:sz w:val="22"/>
          <w:szCs w:val="22"/>
        </w:rPr>
        <w:t xml:space="preserve"> gydytoje grupėje (5,5</w:t>
      </w:r>
      <w:r w:rsidR="00E05387" w:rsidRPr="00220850">
        <w:rPr>
          <w:rFonts w:eastAsia="TimesNewRoman"/>
          <w:sz w:val="22"/>
          <w:szCs w:val="22"/>
        </w:rPr>
        <w:t> </w:t>
      </w:r>
      <w:r w:rsidRPr="00220850">
        <w:rPr>
          <w:rFonts w:eastAsia="TimesNewRoman"/>
          <w:sz w:val="22"/>
          <w:szCs w:val="22"/>
        </w:rPr>
        <w:t>%), palyginti su</w:t>
      </w:r>
      <w:r w:rsidR="00E05387" w:rsidRPr="00220850">
        <w:rPr>
          <w:rFonts w:eastAsia="TimesNewRoman"/>
          <w:sz w:val="22"/>
          <w:szCs w:val="22"/>
        </w:rPr>
        <w:t xml:space="preserve"> placebą</w:t>
      </w:r>
      <w:r w:rsidRPr="00220850">
        <w:rPr>
          <w:rFonts w:eastAsia="TimesNewRoman"/>
          <w:sz w:val="22"/>
          <w:szCs w:val="22"/>
        </w:rPr>
        <w:t xml:space="preserve"> </w:t>
      </w:r>
      <w:r w:rsidR="00E05387" w:rsidRPr="00220850">
        <w:rPr>
          <w:rFonts w:eastAsia="TimesNewRoman"/>
          <w:sz w:val="22"/>
          <w:szCs w:val="22"/>
        </w:rPr>
        <w:t>vartojusia</w:t>
      </w:r>
      <w:r w:rsidRPr="00220850">
        <w:rPr>
          <w:rFonts w:eastAsia="TimesNewRoman"/>
          <w:sz w:val="22"/>
          <w:szCs w:val="22"/>
        </w:rPr>
        <w:t xml:space="preserve"> grupe (7,8</w:t>
      </w:r>
      <w:r w:rsidR="00E05387" w:rsidRPr="00220850">
        <w:rPr>
          <w:rFonts w:eastAsia="TimesNewRoman"/>
          <w:sz w:val="22"/>
          <w:szCs w:val="22"/>
        </w:rPr>
        <w:t> </w:t>
      </w:r>
      <w:r w:rsidRPr="00220850">
        <w:rPr>
          <w:rFonts w:eastAsia="TimesNewRoman"/>
          <w:sz w:val="22"/>
          <w:szCs w:val="22"/>
        </w:rPr>
        <w:t xml:space="preserve">%). Laikotarpio iki mirties analize </w:t>
      </w:r>
      <w:r w:rsidR="002559D3" w:rsidRPr="00220850">
        <w:rPr>
          <w:rFonts w:eastAsia="TimesNewRoman"/>
          <w:sz w:val="22"/>
          <w:szCs w:val="22"/>
        </w:rPr>
        <w:t>nustatytas RS buvo 0,7</w:t>
      </w:r>
      <w:r w:rsidR="00476EEA" w:rsidRPr="00220850">
        <w:rPr>
          <w:rFonts w:eastAsia="TimesNewRoman"/>
          <w:sz w:val="22"/>
          <w:szCs w:val="22"/>
        </w:rPr>
        <w:t>0</w:t>
      </w:r>
      <w:r w:rsidR="002559D3" w:rsidRPr="00220850">
        <w:rPr>
          <w:rFonts w:eastAsia="TimesNewRoman"/>
          <w:sz w:val="22"/>
          <w:szCs w:val="22"/>
        </w:rPr>
        <w:t> </w:t>
      </w:r>
      <w:r w:rsidRPr="00220850">
        <w:rPr>
          <w:rFonts w:eastAsia="TimesNewRoman"/>
          <w:sz w:val="22"/>
          <w:szCs w:val="22"/>
        </w:rPr>
        <w:t>(95</w:t>
      </w:r>
      <w:r w:rsidR="00E05387" w:rsidRPr="00220850">
        <w:rPr>
          <w:rFonts w:eastAsia="TimesNewRoman"/>
          <w:sz w:val="22"/>
          <w:szCs w:val="22"/>
        </w:rPr>
        <w:t> % PI </w:t>
      </w:r>
      <w:r w:rsidRPr="00220850">
        <w:rPr>
          <w:rFonts w:eastAsia="TimesNewRoman"/>
          <w:sz w:val="22"/>
          <w:szCs w:val="22"/>
        </w:rPr>
        <w:t>0,43,</w:t>
      </w:r>
      <w:r w:rsidR="00E05387" w:rsidRPr="00220850">
        <w:rPr>
          <w:rFonts w:eastAsia="TimesNewRoman"/>
          <w:sz w:val="22"/>
          <w:szCs w:val="22"/>
        </w:rPr>
        <w:t> </w:t>
      </w:r>
      <w:r w:rsidRPr="00220850">
        <w:rPr>
          <w:rFonts w:eastAsia="TimesNewRoman"/>
          <w:sz w:val="22"/>
          <w:szCs w:val="22"/>
        </w:rPr>
        <w:t>1,12;</w:t>
      </w:r>
      <w:r w:rsidR="00E05387" w:rsidRPr="00220850">
        <w:rPr>
          <w:rFonts w:eastAsia="TimesNewRoman"/>
          <w:sz w:val="22"/>
          <w:szCs w:val="22"/>
        </w:rPr>
        <w:t> </w:t>
      </w:r>
      <w:r w:rsidRPr="00220850">
        <w:rPr>
          <w:rFonts w:eastAsia="TimesNewRoman"/>
          <w:sz w:val="22"/>
          <w:szCs w:val="22"/>
        </w:rPr>
        <w:t xml:space="preserve"> p=</w:t>
      </w:r>
      <w:r w:rsidR="00E05387" w:rsidRPr="00220850">
        <w:rPr>
          <w:rFonts w:eastAsia="TimesNewRoman"/>
          <w:sz w:val="22"/>
          <w:szCs w:val="22"/>
        </w:rPr>
        <w:t> </w:t>
      </w:r>
      <w:r w:rsidRPr="00220850">
        <w:rPr>
          <w:rFonts w:eastAsia="TimesNewRoman"/>
          <w:sz w:val="22"/>
          <w:szCs w:val="22"/>
        </w:rPr>
        <w:t>0,1399). Visų išgyvenamumo vertinamųjų baigčių rezultatai (pvz., mirtingumas vartojant</w:t>
      </w:r>
      <w:r w:rsidR="00E05387" w:rsidRPr="00220850">
        <w:rPr>
          <w:rFonts w:eastAsia="TimesNewRoman"/>
          <w:sz w:val="22"/>
          <w:szCs w:val="22"/>
        </w:rPr>
        <w:t xml:space="preserve"> </w:t>
      </w:r>
      <w:r w:rsidRPr="00220850">
        <w:rPr>
          <w:rFonts w:eastAsia="TimesNewRoman"/>
          <w:sz w:val="22"/>
          <w:szCs w:val="22"/>
        </w:rPr>
        <w:t>vaistinį preparatą ir mirtingumas dėl kvėpavimo sistemos) parodė pastovų kiekybinį skirtumą</w:t>
      </w:r>
      <w:r w:rsidR="00E05387"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naudai.</w:t>
      </w:r>
    </w:p>
    <w:p w14:paraId="36D0BADB" w14:textId="77777777" w:rsidR="00E05387" w:rsidRPr="00220850" w:rsidRDefault="00E05387" w:rsidP="002D0EEE">
      <w:pPr>
        <w:autoSpaceDE w:val="0"/>
        <w:autoSpaceDN w:val="0"/>
        <w:adjustRightInd w:val="0"/>
        <w:rPr>
          <w:sz w:val="22"/>
        </w:rPr>
      </w:pPr>
    </w:p>
    <w:p w14:paraId="009D3E73" w14:textId="21B48149" w:rsidR="002559D3" w:rsidRPr="00220850" w:rsidRDefault="004B2460" w:rsidP="002559D3">
      <w:pPr>
        <w:autoSpaceDE w:val="0"/>
        <w:autoSpaceDN w:val="0"/>
        <w:adjustRightInd w:val="0"/>
        <w:rPr>
          <w:sz w:val="22"/>
        </w:rPr>
      </w:pPr>
      <w:r w:rsidRPr="00220850">
        <w:rPr>
          <w:rFonts w:eastAsia="TimesNewRoman,Bold"/>
          <w:b/>
          <w:bCs/>
          <w:sz w:val="22"/>
          <w:szCs w:val="22"/>
        </w:rPr>
        <w:t>8</w:t>
      </w:r>
      <w:r w:rsidR="002559D3" w:rsidRPr="00220850">
        <w:rPr>
          <w:rFonts w:eastAsia="TimesNewRoman,Bold"/>
          <w:b/>
          <w:bCs/>
          <w:sz w:val="22"/>
          <w:szCs w:val="22"/>
        </w:rPr>
        <w:t xml:space="preserve"> lentelė. Mirtingumas dėl visų priežasčių per 52 savaites tyrimų INPULSIS-1 ir INPULSIS-2 metu bei bendri jų duomenys - gydytųjų grupė</w:t>
      </w:r>
    </w:p>
    <w:p w14:paraId="2B7181EB" w14:textId="77777777" w:rsidR="002559D3" w:rsidRPr="00220850" w:rsidRDefault="002559D3" w:rsidP="002559D3">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1765"/>
        <w:gridCol w:w="1063"/>
        <w:gridCol w:w="1377"/>
        <w:gridCol w:w="1063"/>
        <w:gridCol w:w="1377"/>
        <w:gridCol w:w="1027"/>
        <w:gridCol w:w="1377"/>
      </w:tblGrid>
      <w:tr w:rsidR="00331A5B" w:rsidRPr="00220850" w14:paraId="69504B8C" w14:textId="77777777" w:rsidTr="00331A5B">
        <w:trPr>
          <w:tblHeader/>
        </w:trPr>
        <w:tc>
          <w:tcPr>
            <w:tcW w:w="993" w:type="pct"/>
            <w:vMerge w:val="restart"/>
          </w:tcPr>
          <w:p w14:paraId="3C91DA6E" w14:textId="77777777" w:rsidR="00331A5B" w:rsidRPr="00220850" w:rsidRDefault="00331A5B" w:rsidP="00CC094E">
            <w:pPr>
              <w:autoSpaceDE w:val="0"/>
              <w:autoSpaceDN w:val="0"/>
              <w:adjustRightInd w:val="0"/>
              <w:rPr>
                <w:sz w:val="22"/>
                <w:szCs w:val="22"/>
                <w:lang w:val="lt-LT"/>
              </w:rPr>
            </w:pPr>
          </w:p>
        </w:tc>
        <w:tc>
          <w:tcPr>
            <w:tcW w:w="1342" w:type="pct"/>
            <w:gridSpan w:val="2"/>
          </w:tcPr>
          <w:p w14:paraId="42758CEF" w14:textId="77777777" w:rsidR="00331A5B" w:rsidRPr="00220850" w:rsidRDefault="00331A5B" w:rsidP="00CC094E">
            <w:pPr>
              <w:autoSpaceDE w:val="0"/>
              <w:autoSpaceDN w:val="0"/>
              <w:adjustRightInd w:val="0"/>
              <w:jc w:val="center"/>
              <w:rPr>
                <w:b/>
                <w:sz w:val="22"/>
                <w:szCs w:val="22"/>
                <w:lang w:val="lt-LT"/>
              </w:rPr>
            </w:pPr>
            <w:r w:rsidRPr="00220850">
              <w:rPr>
                <w:b/>
                <w:sz w:val="22"/>
                <w:szCs w:val="22"/>
                <w:lang w:val="lt-LT"/>
              </w:rPr>
              <w:t>INPULSIS-1</w:t>
            </w:r>
          </w:p>
        </w:tc>
        <w:tc>
          <w:tcPr>
            <w:tcW w:w="1342" w:type="pct"/>
            <w:gridSpan w:val="2"/>
          </w:tcPr>
          <w:p w14:paraId="32AC7C40" w14:textId="77777777" w:rsidR="00331A5B" w:rsidRPr="00220850" w:rsidRDefault="00331A5B" w:rsidP="00CC094E">
            <w:pPr>
              <w:autoSpaceDE w:val="0"/>
              <w:autoSpaceDN w:val="0"/>
              <w:adjustRightInd w:val="0"/>
              <w:jc w:val="center"/>
              <w:rPr>
                <w:b/>
                <w:sz w:val="22"/>
                <w:szCs w:val="22"/>
                <w:lang w:val="lt-LT"/>
              </w:rPr>
            </w:pPr>
            <w:r w:rsidRPr="00220850">
              <w:rPr>
                <w:b/>
                <w:sz w:val="22"/>
                <w:szCs w:val="22"/>
                <w:lang w:val="lt-LT"/>
              </w:rPr>
              <w:t>INPULSIS-2</w:t>
            </w:r>
          </w:p>
        </w:tc>
        <w:tc>
          <w:tcPr>
            <w:tcW w:w="1323" w:type="pct"/>
            <w:gridSpan w:val="2"/>
          </w:tcPr>
          <w:p w14:paraId="1E276B69" w14:textId="77777777" w:rsidR="00331A5B" w:rsidRPr="00220850" w:rsidRDefault="00476EEA" w:rsidP="00CC094E">
            <w:pPr>
              <w:autoSpaceDE w:val="0"/>
              <w:autoSpaceDN w:val="0"/>
              <w:adjustRightInd w:val="0"/>
              <w:jc w:val="center"/>
              <w:rPr>
                <w:b/>
                <w:sz w:val="22"/>
                <w:szCs w:val="22"/>
                <w:lang w:val="lt-LT"/>
              </w:rPr>
            </w:pPr>
            <w:r w:rsidRPr="00220850">
              <w:rPr>
                <w:b/>
                <w:sz w:val="22"/>
                <w:szCs w:val="22"/>
                <w:lang w:val="lt-LT"/>
              </w:rPr>
              <w:t>Jungtiniai INPULSIS-1 ir INPULSIS-2 duomenys</w:t>
            </w:r>
          </w:p>
        </w:tc>
      </w:tr>
      <w:tr w:rsidR="00331A5B" w:rsidRPr="00220850" w14:paraId="1B4890B6" w14:textId="77777777" w:rsidTr="00331A5B">
        <w:trPr>
          <w:tblHeader/>
        </w:trPr>
        <w:tc>
          <w:tcPr>
            <w:tcW w:w="993" w:type="pct"/>
            <w:vMerge/>
          </w:tcPr>
          <w:p w14:paraId="486F20BC" w14:textId="77777777" w:rsidR="00331A5B" w:rsidRPr="00220850" w:rsidRDefault="00331A5B" w:rsidP="00CC094E">
            <w:pPr>
              <w:autoSpaceDE w:val="0"/>
              <w:autoSpaceDN w:val="0"/>
              <w:adjustRightInd w:val="0"/>
              <w:rPr>
                <w:sz w:val="22"/>
                <w:szCs w:val="22"/>
                <w:lang w:val="lt-LT"/>
              </w:rPr>
            </w:pPr>
          </w:p>
        </w:tc>
        <w:tc>
          <w:tcPr>
            <w:tcW w:w="605" w:type="pct"/>
          </w:tcPr>
          <w:p w14:paraId="6A47B532" w14:textId="77777777" w:rsidR="00331A5B" w:rsidRPr="00220850" w:rsidRDefault="00331A5B" w:rsidP="00CC094E">
            <w:pPr>
              <w:autoSpaceDE w:val="0"/>
              <w:autoSpaceDN w:val="0"/>
              <w:adjustRightInd w:val="0"/>
              <w:jc w:val="center"/>
              <w:rPr>
                <w:sz w:val="22"/>
                <w:szCs w:val="22"/>
                <w:lang w:val="lt-LT"/>
              </w:rPr>
            </w:pPr>
            <w:r w:rsidRPr="00220850">
              <w:rPr>
                <w:sz w:val="22"/>
                <w:szCs w:val="22"/>
                <w:lang w:val="lt-LT"/>
              </w:rPr>
              <w:t>Placebas</w:t>
            </w:r>
          </w:p>
        </w:tc>
        <w:tc>
          <w:tcPr>
            <w:tcW w:w="738" w:type="pct"/>
          </w:tcPr>
          <w:p w14:paraId="5BFF2464" w14:textId="77777777" w:rsidR="00331A5B" w:rsidRPr="00220850" w:rsidRDefault="00331A5B" w:rsidP="00CC094E">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605" w:type="pct"/>
          </w:tcPr>
          <w:p w14:paraId="6623F960" w14:textId="77777777" w:rsidR="00331A5B" w:rsidRPr="00220850" w:rsidRDefault="00331A5B" w:rsidP="00CC094E">
            <w:pPr>
              <w:autoSpaceDE w:val="0"/>
              <w:autoSpaceDN w:val="0"/>
              <w:adjustRightInd w:val="0"/>
              <w:jc w:val="center"/>
              <w:rPr>
                <w:sz w:val="22"/>
                <w:szCs w:val="22"/>
                <w:lang w:val="lt-LT"/>
              </w:rPr>
            </w:pPr>
            <w:r w:rsidRPr="00220850">
              <w:rPr>
                <w:sz w:val="22"/>
                <w:szCs w:val="22"/>
                <w:lang w:val="lt-LT"/>
              </w:rPr>
              <w:t>Placebas</w:t>
            </w:r>
          </w:p>
        </w:tc>
        <w:tc>
          <w:tcPr>
            <w:tcW w:w="738" w:type="pct"/>
          </w:tcPr>
          <w:p w14:paraId="0D22CB0B" w14:textId="77777777" w:rsidR="00331A5B" w:rsidRPr="00220850" w:rsidRDefault="00331A5B" w:rsidP="00CC094E">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c>
          <w:tcPr>
            <w:tcW w:w="585" w:type="pct"/>
          </w:tcPr>
          <w:p w14:paraId="0AD41F72" w14:textId="77777777" w:rsidR="00331A5B" w:rsidRPr="00220850" w:rsidRDefault="00331A5B" w:rsidP="00CC094E">
            <w:pPr>
              <w:autoSpaceDE w:val="0"/>
              <w:autoSpaceDN w:val="0"/>
              <w:adjustRightInd w:val="0"/>
              <w:jc w:val="center"/>
              <w:rPr>
                <w:sz w:val="22"/>
                <w:szCs w:val="22"/>
                <w:lang w:val="lt-LT"/>
              </w:rPr>
            </w:pPr>
            <w:r w:rsidRPr="00220850">
              <w:rPr>
                <w:sz w:val="22"/>
                <w:szCs w:val="22"/>
                <w:lang w:val="lt-LT"/>
              </w:rPr>
              <w:t>Placebas</w:t>
            </w:r>
          </w:p>
        </w:tc>
        <w:tc>
          <w:tcPr>
            <w:tcW w:w="738" w:type="pct"/>
          </w:tcPr>
          <w:p w14:paraId="06C6FF9B" w14:textId="77777777" w:rsidR="00331A5B" w:rsidRPr="00220850" w:rsidRDefault="00331A5B" w:rsidP="00CC094E">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2559D3" w:rsidRPr="00220850" w14:paraId="655B8509" w14:textId="77777777" w:rsidTr="00331A5B">
        <w:tc>
          <w:tcPr>
            <w:tcW w:w="993" w:type="pct"/>
          </w:tcPr>
          <w:p w14:paraId="49E460D2" w14:textId="59485473" w:rsidR="002559D3" w:rsidRPr="00220850" w:rsidRDefault="00815FDD" w:rsidP="00CC094E">
            <w:pPr>
              <w:autoSpaceDE w:val="0"/>
              <w:autoSpaceDN w:val="0"/>
              <w:adjustRightInd w:val="0"/>
              <w:rPr>
                <w:sz w:val="22"/>
                <w:szCs w:val="22"/>
                <w:lang w:val="lt-LT"/>
              </w:rPr>
            </w:pPr>
            <w:r w:rsidRPr="00220850">
              <w:rPr>
                <w:sz w:val="22"/>
                <w:szCs w:val="22"/>
                <w:lang w:val="lt-LT"/>
              </w:rPr>
              <w:t>P</w:t>
            </w:r>
            <w:r w:rsidR="002559D3" w:rsidRPr="00220850">
              <w:rPr>
                <w:sz w:val="22"/>
                <w:szCs w:val="22"/>
                <w:lang w:val="lt-LT"/>
              </w:rPr>
              <w:t>acientų</w:t>
            </w:r>
            <w:r w:rsidRPr="00220850">
              <w:rPr>
                <w:sz w:val="22"/>
                <w:szCs w:val="22"/>
                <w:lang w:val="lt-LT"/>
              </w:rPr>
              <w:t>, kuriems yra rizika,</w:t>
            </w:r>
            <w:r w:rsidR="002559D3" w:rsidRPr="00220850">
              <w:rPr>
                <w:sz w:val="22"/>
                <w:szCs w:val="22"/>
                <w:lang w:val="lt-LT"/>
              </w:rPr>
              <w:t xml:space="preserve"> skaičius</w:t>
            </w:r>
          </w:p>
        </w:tc>
        <w:tc>
          <w:tcPr>
            <w:tcW w:w="605" w:type="pct"/>
            <w:vAlign w:val="center"/>
          </w:tcPr>
          <w:p w14:paraId="596335CC"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204</w:t>
            </w:r>
          </w:p>
        </w:tc>
        <w:tc>
          <w:tcPr>
            <w:tcW w:w="738" w:type="pct"/>
            <w:vAlign w:val="center"/>
          </w:tcPr>
          <w:p w14:paraId="4E13C753"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309</w:t>
            </w:r>
          </w:p>
        </w:tc>
        <w:tc>
          <w:tcPr>
            <w:tcW w:w="605" w:type="pct"/>
            <w:vAlign w:val="center"/>
          </w:tcPr>
          <w:p w14:paraId="67D28A6D"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219</w:t>
            </w:r>
          </w:p>
        </w:tc>
        <w:tc>
          <w:tcPr>
            <w:tcW w:w="738" w:type="pct"/>
            <w:vAlign w:val="center"/>
          </w:tcPr>
          <w:p w14:paraId="1315582F"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329</w:t>
            </w:r>
          </w:p>
        </w:tc>
        <w:tc>
          <w:tcPr>
            <w:tcW w:w="585" w:type="pct"/>
            <w:vAlign w:val="center"/>
          </w:tcPr>
          <w:p w14:paraId="34E4BBB9"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423</w:t>
            </w:r>
          </w:p>
        </w:tc>
        <w:tc>
          <w:tcPr>
            <w:tcW w:w="738" w:type="pct"/>
            <w:vAlign w:val="center"/>
          </w:tcPr>
          <w:p w14:paraId="460267F9"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638</w:t>
            </w:r>
          </w:p>
        </w:tc>
      </w:tr>
      <w:tr w:rsidR="002559D3" w:rsidRPr="00220850" w14:paraId="5A2B455F" w14:textId="77777777" w:rsidTr="00331A5B">
        <w:tc>
          <w:tcPr>
            <w:tcW w:w="993" w:type="pct"/>
          </w:tcPr>
          <w:p w14:paraId="030B9259" w14:textId="77777777" w:rsidR="002559D3" w:rsidRPr="00220850" w:rsidRDefault="002559D3" w:rsidP="00CC094E">
            <w:pPr>
              <w:autoSpaceDE w:val="0"/>
              <w:autoSpaceDN w:val="0"/>
              <w:adjustRightInd w:val="0"/>
              <w:rPr>
                <w:sz w:val="22"/>
                <w:szCs w:val="22"/>
                <w:lang w:val="lt-LT"/>
              </w:rPr>
            </w:pPr>
            <w:r w:rsidRPr="00220850">
              <w:rPr>
                <w:sz w:val="22"/>
                <w:szCs w:val="22"/>
                <w:lang w:val="lt-LT"/>
              </w:rPr>
              <w:t>Pacientų, kuriems pasireiškė pablogėjimas, skaičius (%)</w:t>
            </w:r>
          </w:p>
        </w:tc>
        <w:tc>
          <w:tcPr>
            <w:tcW w:w="605" w:type="pct"/>
            <w:vAlign w:val="bottom"/>
          </w:tcPr>
          <w:p w14:paraId="6DFA1F45"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13 (6,4)</w:t>
            </w:r>
          </w:p>
        </w:tc>
        <w:tc>
          <w:tcPr>
            <w:tcW w:w="738" w:type="pct"/>
            <w:vAlign w:val="bottom"/>
          </w:tcPr>
          <w:p w14:paraId="2F8E8A16" w14:textId="77777777" w:rsidR="002559D3" w:rsidRPr="00220850" w:rsidRDefault="002559D3" w:rsidP="002559D3">
            <w:pPr>
              <w:autoSpaceDE w:val="0"/>
              <w:autoSpaceDN w:val="0"/>
              <w:adjustRightInd w:val="0"/>
              <w:jc w:val="center"/>
              <w:rPr>
                <w:sz w:val="22"/>
                <w:szCs w:val="22"/>
                <w:lang w:val="lt-LT"/>
              </w:rPr>
            </w:pPr>
            <w:r w:rsidRPr="00220850">
              <w:rPr>
                <w:sz w:val="22"/>
                <w:szCs w:val="22"/>
                <w:lang w:val="lt-LT"/>
              </w:rPr>
              <w:t>13 (4,2)</w:t>
            </w:r>
          </w:p>
        </w:tc>
        <w:tc>
          <w:tcPr>
            <w:tcW w:w="605" w:type="pct"/>
            <w:vAlign w:val="bottom"/>
          </w:tcPr>
          <w:p w14:paraId="0A544DAE"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20 (9,1)</w:t>
            </w:r>
          </w:p>
        </w:tc>
        <w:tc>
          <w:tcPr>
            <w:tcW w:w="738" w:type="pct"/>
            <w:vAlign w:val="bottom"/>
          </w:tcPr>
          <w:p w14:paraId="5F34BDF6"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22 (6,7)</w:t>
            </w:r>
          </w:p>
        </w:tc>
        <w:tc>
          <w:tcPr>
            <w:tcW w:w="585" w:type="pct"/>
            <w:vAlign w:val="bottom"/>
          </w:tcPr>
          <w:p w14:paraId="05687796"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33 (7,8)</w:t>
            </w:r>
          </w:p>
        </w:tc>
        <w:tc>
          <w:tcPr>
            <w:tcW w:w="738" w:type="pct"/>
            <w:vAlign w:val="bottom"/>
          </w:tcPr>
          <w:p w14:paraId="13C07A94"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35 (5,5)</w:t>
            </w:r>
          </w:p>
        </w:tc>
      </w:tr>
      <w:tr w:rsidR="002559D3" w:rsidRPr="00220850" w14:paraId="3666A818" w14:textId="77777777" w:rsidTr="00CC094E">
        <w:tc>
          <w:tcPr>
            <w:tcW w:w="5000" w:type="pct"/>
            <w:gridSpan w:val="7"/>
          </w:tcPr>
          <w:p w14:paraId="491143E6" w14:textId="1243771B" w:rsidR="002559D3" w:rsidRPr="00220850" w:rsidRDefault="002559D3" w:rsidP="00CC094E">
            <w:pPr>
              <w:autoSpaceDE w:val="0"/>
              <w:autoSpaceDN w:val="0"/>
              <w:adjustRightInd w:val="0"/>
              <w:rPr>
                <w:sz w:val="22"/>
                <w:szCs w:val="22"/>
                <w:lang w:val="lt-LT"/>
              </w:rPr>
            </w:pPr>
            <w:r w:rsidRPr="00220850">
              <w:rPr>
                <w:sz w:val="22"/>
                <w:szCs w:val="22"/>
                <w:lang w:val="lt-LT"/>
              </w:rPr>
              <w:t>Palyginimas su placeb</w:t>
            </w:r>
            <w:r w:rsidR="00815FDD" w:rsidRPr="00220850">
              <w:rPr>
                <w:sz w:val="22"/>
                <w:szCs w:val="22"/>
                <w:lang w:val="lt-LT"/>
              </w:rPr>
              <w:t>u</w:t>
            </w:r>
            <w:r w:rsidRPr="00220850">
              <w:rPr>
                <w:sz w:val="22"/>
                <w:szCs w:val="22"/>
                <w:vertAlign w:val="superscript"/>
                <w:lang w:val="lt-LT"/>
              </w:rPr>
              <w:t>1</w:t>
            </w:r>
          </w:p>
        </w:tc>
      </w:tr>
      <w:tr w:rsidR="002559D3" w:rsidRPr="00220850" w14:paraId="03E620B0" w14:textId="77777777" w:rsidTr="00331A5B">
        <w:tc>
          <w:tcPr>
            <w:tcW w:w="993" w:type="pct"/>
          </w:tcPr>
          <w:p w14:paraId="1B4B7CE2" w14:textId="77777777" w:rsidR="002559D3" w:rsidRPr="00220850" w:rsidRDefault="00476EEA" w:rsidP="00476EEA">
            <w:pPr>
              <w:autoSpaceDE w:val="0"/>
              <w:autoSpaceDN w:val="0"/>
              <w:adjustRightInd w:val="0"/>
              <w:rPr>
                <w:sz w:val="22"/>
                <w:szCs w:val="22"/>
                <w:lang w:val="lt-LT"/>
              </w:rPr>
            </w:pPr>
            <w:r w:rsidRPr="00220850">
              <w:rPr>
                <w:sz w:val="22"/>
                <w:szCs w:val="22"/>
                <w:lang w:val="lt-LT"/>
              </w:rPr>
              <w:t>p reikšmė</w:t>
            </w:r>
            <w:r w:rsidR="002559D3" w:rsidRPr="00220850">
              <w:rPr>
                <w:sz w:val="22"/>
                <w:szCs w:val="22"/>
                <w:vertAlign w:val="superscript"/>
                <w:lang w:val="lt-LT"/>
              </w:rPr>
              <w:t>2</w:t>
            </w:r>
          </w:p>
        </w:tc>
        <w:tc>
          <w:tcPr>
            <w:tcW w:w="605" w:type="pct"/>
            <w:vAlign w:val="center"/>
          </w:tcPr>
          <w:p w14:paraId="3A02AD9D"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13CB2CC4"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0,2880</w:t>
            </w:r>
          </w:p>
        </w:tc>
        <w:tc>
          <w:tcPr>
            <w:tcW w:w="605" w:type="pct"/>
            <w:vAlign w:val="center"/>
          </w:tcPr>
          <w:p w14:paraId="74810EAD"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161CFAE3"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0,2995</w:t>
            </w:r>
          </w:p>
        </w:tc>
        <w:tc>
          <w:tcPr>
            <w:tcW w:w="585" w:type="pct"/>
            <w:vAlign w:val="center"/>
          </w:tcPr>
          <w:p w14:paraId="70D189A3"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319A34BE"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0,1399</w:t>
            </w:r>
          </w:p>
        </w:tc>
      </w:tr>
      <w:tr w:rsidR="002559D3" w:rsidRPr="00220850" w14:paraId="4A890941" w14:textId="77777777" w:rsidTr="00331A5B">
        <w:tc>
          <w:tcPr>
            <w:tcW w:w="993" w:type="pct"/>
          </w:tcPr>
          <w:p w14:paraId="2E80B43D" w14:textId="77777777" w:rsidR="002559D3" w:rsidRPr="00220850" w:rsidRDefault="002559D3" w:rsidP="00CC094E">
            <w:pPr>
              <w:autoSpaceDE w:val="0"/>
              <w:autoSpaceDN w:val="0"/>
              <w:adjustRightInd w:val="0"/>
              <w:rPr>
                <w:sz w:val="22"/>
                <w:szCs w:val="22"/>
                <w:lang w:val="lt-LT"/>
              </w:rPr>
            </w:pPr>
            <w:r w:rsidRPr="00220850">
              <w:rPr>
                <w:sz w:val="22"/>
                <w:szCs w:val="22"/>
                <w:lang w:val="lt-LT"/>
              </w:rPr>
              <w:t>Rizikos santykis</w:t>
            </w:r>
            <w:r w:rsidRPr="00220850">
              <w:rPr>
                <w:sz w:val="22"/>
                <w:szCs w:val="22"/>
                <w:vertAlign w:val="superscript"/>
                <w:lang w:val="lt-LT"/>
              </w:rPr>
              <w:t>3</w:t>
            </w:r>
          </w:p>
        </w:tc>
        <w:tc>
          <w:tcPr>
            <w:tcW w:w="605" w:type="pct"/>
            <w:vAlign w:val="center"/>
          </w:tcPr>
          <w:p w14:paraId="1A8F59C2"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087339E7"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0,63</w:t>
            </w:r>
          </w:p>
        </w:tc>
        <w:tc>
          <w:tcPr>
            <w:tcW w:w="605" w:type="pct"/>
            <w:vAlign w:val="center"/>
          </w:tcPr>
          <w:p w14:paraId="4780FEE7"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3ABFAF4C"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0,74</w:t>
            </w:r>
          </w:p>
        </w:tc>
        <w:tc>
          <w:tcPr>
            <w:tcW w:w="585" w:type="pct"/>
            <w:vAlign w:val="center"/>
          </w:tcPr>
          <w:p w14:paraId="66B4C61B"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4020EF4C"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0,70</w:t>
            </w:r>
          </w:p>
        </w:tc>
      </w:tr>
      <w:tr w:rsidR="002559D3" w:rsidRPr="00220850" w14:paraId="7643F827" w14:textId="77777777" w:rsidTr="00331A5B">
        <w:tc>
          <w:tcPr>
            <w:tcW w:w="993" w:type="pct"/>
          </w:tcPr>
          <w:p w14:paraId="0634E9DE" w14:textId="77777777" w:rsidR="002559D3" w:rsidRPr="00220850" w:rsidRDefault="002559D3" w:rsidP="00CC094E">
            <w:pPr>
              <w:autoSpaceDE w:val="0"/>
              <w:autoSpaceDN w:val="0"/>
              <w:adjustRightInd w:val="0"/>
              <w:rPr>
                <w:sz w:val="22"/>
                <w:szCs w:val="22"/>
                <w:lang w:val="lt-LT"/>
              </w:rPr>
            </w:pPr>
            <w:r w:rsidRPr="00220850">
              <w:rPr>
                <w:sz w:val="22"/>
                <w:szCs w:val="22"/>
                <w:lang w:val="lt-LT"/>
              </w:rPr>
              <w:t>95</w:t>
            </w:r>
            <w:r w:rsidR="00476EEA" w:rsidRPr="00220850">
              <w:rPr>
                <w:sz w:val="22"/>
                <w:szCs w:val="22"/>
                <w:lang w:val="lt-LT"/>
              </w:rPr>
              <w:t> </w:t>
            </w:r>
            <w:r w:rsidRPr="00220850">
              <w:rPr>
                <w:sz w:val="22"/>
                <w:szCs w:val="22"/>
                <w:lang w:val="lt-LT"/>
              </w:rPr>
              <w:t>% PI</w:t>
            </w:r>
          </w:p>
        </w:tc>
        <w:tc>
          <w:tcPr>
            <w:tcW w:w="605" w:type="pct"/>
            <w:vAlign w:val="center"/>
          </w:tcPr>
          <w:p w14:paraId="36FCA8AA"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15DF5262"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(0,29, 1,36)</w:t>
            </w:r>
          </w:p>
        </w:tc>
        <w:tc>
          <w:tcPr>
            <w:tcW w:w="605" w:type="pct"/>
            <w:vAlign w:val="center"/>
          </w:tcPr>
          <w:p w14:paraId="33683E29"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41258C74" w14:textId="77777777" w:rsidR="002559D3" w:rsidRPr="00220850" w:rsidRDefault="002559D3" w:rsidP="002559D3">
            <w:pPr>
              <w:autoSpaceDE w:val="0"/>
              <w:autoSpaceDN w:val="0"/>
              <w:adjustRightInd w:val="0"/>
              <w:jc w:val="center"/>
              <w:rPr>
                <w:sz w:val="22"/>
                <w:szCs w:val="22"/>
                <w:lang w:val="lt-LT"/>
              </w:rPr>
            </w:pPr>
            <w:r w:rsidRPr="00220850">
              <w:rPr>
                <w:sz w:val="22"/>
                <w:szCs w:val="22"/>
                <w:lang w:val="lt-LT"/>
              </w:rPr>
              <w:t>(0,40, 1,35)</w:t>
            </w:r>
          </w:p>
        </w:tc>
        <w:tc>
          <w:tcPr>
            <w:tcW w:w="585" w:type="pct"/>
            <w:vAlign w:val="center"/>
          </w:tcPr>
          <w:p w14:paraId="588A04A6" w14:textId="77777777" w:rsidR="002559D3" w:rsidRPr="00220850" w:rsidRDefault="002559D3" w:rsidP="00CC094E">
            <w:pPr>
              <w:autoSpaceDE w:val="0"/>
              <w:autoSpaceDN w:val="0"/>
              <w:adjustRightInd w:val="0"/>
              <w:jc w:val="center"/>
              <w:rPr>
                <w:sz w:val="22"/>
                <w:szCs w:val="22"/>
                <w:lang w:val="lt-LT"/>
              </w:rPr>
            </w:pPr>
          </w:p>
        </w:tc>
        <w:tc>
          <w:tcPr>
            <w:tcW w:w="738" w:type="pct"/>
            <w:vAlign w:val="center"/>
          </w:tcPr>
          <w:p w14:paraId="41E12B39" w14:textId="77777777" w:rsidR="002559D3" w:rsidRPr="00220850" w:rsidRDefault="002559D3" w:rsidP="00CC094E">
            <w:pPr>
              <w:autoSpaceDE w:val="0"/>
              <w:autoSpaceDN w:val="0"/>
              <w:adjustRightInd w:val="0"/>
              <w:jc w:val="center"/>
              <w:rPr>
                <w:sz w:val="22"/>
                <w:szCs w:val="22"/>
                <w:lang w:val="lt-LT"/>
              </w:rPr>
            </w:pPr>
            <w:r w:rsidRPr="00220850">
              <w:rPr>
                <w:sz w:val="22"/>
                <w:szCs w:val="22"/>
                <w:lang w:val="lt-LT"/>
              </w:rPr>
              <w:t>(0,43, 1,12)</w:t>
            </w:r>
          </w:p>
        </w:tc>
      </w:tr>
    </w:tbl>
    <w:p w14:paraId="2893F731" w14:textId="77777777" w:rsidR="002559D3" w:rsidRPr="00220850" w:rsidRDefault="002559D3" w:rsidP="002559D3">
      <w:pPr>
        <w:autoSpaceDE w:val="0"/>
        <w:autoSpaceDN w:val="0"/>
        <w:adjustRightInd w:val="0"/>
        <w:rPr>
          <w:rFonts w:eastAsia="TimesNewRoman"/>
          <w:sz w:val="20"/>
        </w:rPr>
      </w:pPr>
      <w:r w:rsidRPr="00220850">
        <w:rPr>
          <w:rFonts w:eastAsia="TimesNewRoman"/>
          <w:sz w:val="20"/>
          <w:vertAlign w:val="superscript"/>
        </w:rPr>
        <w:t xml:space="preserve">1 </w:t>
      </w:r>
      <w:r w:rsidRPr="00220850">
        <w:rPr>
          <w:rFonts w:eastAsia="TimesNewRoman"/>
          <w:sz w:val="20"/>
        </w:rPr>
        <w:t>Remiantis duomenimis, surinktais iki 372 dienos (52 savaitės + 7 dienų riba).</w:t>
      </w:r>
    </w:p>
    <w:p w14:paraId="4F7ED290" w14:textId="77777777" w:rsidR="002559D3" w:rsidRPr="00220850" w:rsidRDefault="002559D3" w:rsidP="002559D3">
      <w:pPr>
        <w:autoSpaceDE w:val="0"/>
        <w:autoSpaceDN w:val="0"/>
        <w:adjustRightInd w:val="0"/>
        <w:rPr>
          <w:rFonts w:eastAsia="TimesNewRoman"/>
          <w:sz w:val="20"/>
        </w:rPr>
      </w:pPr>
      <w:r w:rsidRPr="00220850">
        <w:rPr>
          <w:rFonts w:eastAsia="TimesNewRoman"/>
          <w:sz w:val="20"/>
          <w:vertAlign w:val="superscript"/>
        </w:rPr>
        <w:t xml:space="preserve">2 </w:t>
      </w:r>
      <w:r w:rsidRPr="00220850">
        <w:rPr>
          <w:rFonts w:eastAsia="TimesNewRoman"/>
          <w:sz w:val="20"/>
        </w:rPr>
        <w:t xml:space="preserve">Remiantis logaritminiu </w:t>
      </w:r>
      <w:proofErr w:type="spellStart"/>
      <w:r w:rsidRPr="00220850">
        <w:rPr>
          <w:rFonts w:eastAsia="TimesNewRoman"/>
          <w:sz w:val="20"/>
        </w:rPr>
        <w:t>ranginiu</w:t>
      </w:r>
      <w:proofErr w:type="spellEnd"/>
      <w:r w:rsidRPr="00220850">
        <w:rPr>
          <w:rFonts w:eastAsia="TimesNewRoman"/>
          <w:sz w:val="20"/>
        </w:rPr>
        <w:t xml:space="preserve"> testu.</w:t>
      </w:r>
    </w:p>
    <w:p w14:paraId="4F60CE41" w14:textId="77777777" w:rsidR="002559D3" w:rsidRPr="00220850" w:rsidRDefault="002559D3" w:rsidP="002559D3">
      <w:pPr>
        <w:autoSpaceDE w:val="0"/>
        <w:autoSpaceDN w:val="0"/>
        <w:adjustRightInd w:val="0"/>
        <w:rPr>
          <w:rFonts w:eastAsia="TimesNewRoman,Bold"/>
          <w:b/>
          <w:bCs/>
          <w:sz w:val="20"/>
        </w:rPr>
      </w:pPr>
      <w:r w:rsidRPr="00220850">
        <w:rPr>
          <w:rFonts w:eastAsia="TimesNewRoman"/>
          <w:sz w:val="20"/>
          <w:vertAlign w:val="superscript"/>
        </w:rPr>
        <w:t>3</w:t>
      </w:r>
      <w:r w:rsidRPr="00220850">
        <w:rPr>
          <w:rFonts w:eastAsia="TimesNewRoman"/>
          <w:sz w:val="20"/>
        </w:rPr>
        <w:t xml:space="preserve"> Remiantis </w:t>
      </w:r>
      <w:proofErr w:type="spellStart"/>
      <w:r w:rsidRPr="00220850">
        <w:rPr>
          <w:rFonts w:eastAsia="TimesNewRoman"/>
          <w:sz w:val="20"/>
        </w:rPr>
        <w:t>Cox</w:t>
      </w:r>
      <w:proofErr w:type="spellEnd"/>
      <w:r w:rsidRPr="00220850">
        <w:rPr>
          <w:rFonts w:eastAsia="TimesNewRoman"/>
          <w:sz w:val="20"/>
        </w:rPr>
        <w:t xml:space="preserve"> regresijos modeliu.</w:t>
      </w:r>
    </w:p>
    <w:p w14:paraId="4FD57BB0" w14:textId="77777777" w:rsidR="00B243D9" w:rsidRPr="00220850" w:rsidRDefault="00B243D9" w:rsidP="00B243D9">
      <w:pPr>
        <w:tabs>
          <w:tab w:val="left" w:pos="567"/>
        </w:tabs>
        <w:spacing w:line="260" w:lineRule="exact"/>
        <w:ind w:right="-142"/>
        <w:rPr>
          <w:sz w:val="22"/>
        </w:rPr>
      </w:pPr>
    </w:p>
    <w:p w14:paraId="4BF6F43D" w14:textId="77777777" w:rsidR="00B243D9" w:rsidRPr="00220850" w:rsidRDefault="00B243D9" w:rsidP="00B243D9">
      <w:pPr>
        <w:tabs>
          <w:tab w:val="left" w:pos="567"/>
        </w:tabs>
        <w:spacing w:line="260" w:lineRule="exact"/>
        <w:ind w:right="-142"/>
        <w:rPr>
          <w:i/>
          <w:sz w:val="22"/>
          <w:u w:val="single"/>
        </w:rPr>
      </w:pPr>
      <w:r w:rsidRPr="00220850">
        <w:rPr>
          <w:i/>
          <w:sz w:val="22"/>
          <w:u w:val="single"/>
        </w:rPr>
        <w:t xml:space="preserve">Ilgalaikis pacientų, sergančių IPF, gydymas </w:t>
      </w:r>
      <w:proofErr w:type="spellStart"/>
      <w:r w:rsidRPr="00220850">
        <w:rPr>
          <w:i/>
          <w:sz w:val="22"/>
          <w:u w:val="single"/>
        </w:rPr>
        <w:t>nintedanibu</w:t>
      </w:r>
      <w:proofErr w:type="spellEnd"/>
      <w:r w:rsidRPr="00220850">
        <w:rPr>
          <w:i/>
          <w:sz w:val="22"/>
          <w:u w:val="single"/>
        </w:rPr>
        <w:t xml:space="preserve"> (INPULSIS-ON)</w:t>
      </w:r>
    </w:p>
    <w:p w14:paraId="5C04B82D" w14:textId="77777777" w:rsidR="004705AC" w:rsidRPr="00220850" w:rsidRDefault="004705AC" w:rsidP="00B243D9">
      <w:pPr>
        <w:tabs>
          <w:tab w:val="left" w:pos="567"/>
        </w:tabs>
        <w:spacing w:line="260" w:lineRule="exact"/>
        <w:ind w:right="-142"/>
        <w:rPr>
          <w:sz w:val="22"/>
        </w:rPr>
      </w:pPr>
    </w:p>
    <w:p w14:paraId="3C1A8564" w14:textId="77777777" w:rsidR="00B243D9" w:rsidRPr="00220850" w:rsidRDefault="00B243D9" w:rsidP="00B243D9">
      <w:pPr>
        <w:tabs>
          <w:tab w:val="left" w:pos="567"/>
        </w:tabs>
        <w:spacing w:line="260" w:lineRule="exact"/>
        <w:ind w:right="-142"/>
        <w:rPr>
          <w:sz w:val="22"/>
        </w:rPr>
      </w:pPr>
      <w:r w:rsidRPr="00220850">
        <w:rPr>
          <w:sz w:val="22"/>
        </w:rPr>
        <w:t xml:space="preserve">Atvirajame tęstiniame </w:t>
      </w:r>
      <w:proofErr w:type="spellStart"/>
      <w:r w:rsidRPr="00220850">
        <w:rPr>
          <w:sz w:val="22"/>
        </w:rPr>
        <w:t>nintedanibo</w:t>
      </w:r>
      <w:proofErr w:type="spellEnd"/>
      <w:r w:rsidRPr="00220850">
        <w:rPr>
          <w:sz w:val="22"/>
        </w:rPr>
        <w:t xml:space="preserve"> tyrime dalyvavo 734 pacientai, sergantys IPF. Pacientai, baigę 52 savaičių gydymo kursą tyrime INPULSIS, buvo gydomi </w:t>
      </w:r>
      <w:proofErr w:type="spellStart"/>
      <w:r w:rsidRPr="00220850">
        <w:rPr>
          <w:sz w:val="22"/>
        </w:rPr>
        <w:t>nintedanibu</w:t>
      </w:r>
      <w:proofErr w:type="spellEnd"/>
      <w:r w:rsidRPr="00220850">
        <w:rPr>
          <w:sz w:val="22"/>
        </w:rPr>
        <w:t xml:space="preserve"> atviruoju būdu tęstiniame tyrime INPULSIS-ON. Pacientų, gydytų </w:t>
      </w:r>
      <w:proofErr w:type="spellStart"/>
      <w:r w:rsidR="009656D4" w:rsidRPr="00220850">
        <w:rPr>
          <w:sz w:val="22"/>
        </w:rPr>
        <w:t>ni</w:t>
      </w:r>
      <w:r w:rsidRPr="00220850">
        <w:rPr>
          <w:sz w:val="22"/>
        </w:rPr>
        <w:t>ntedanibu</w:t>
      </w:r>
      <w:proofErr w:type="spellEnd"/>
      <w:r w:rsidRPr="00220850">
        <w:rPr>
          <w:sz w:val="22"/>
        </w:rPr>
        <w:t xml:space="preserve"> abiejuose – INPULSIS ir INPULSIS-ON – tyrimuose, ekspozicijos trukmės mediana buvo 44,7 mėnesio (ribos: 11,9 - 68,3). Žvalgomosios veiksmingumo vertinamosios baigtys apėmė metinį FGPT sumažėjimo per 192 savaites rodmenį, kuris visiems gydytiems pacientams siekė -135,1 (5,8) ml per metus ir atitiko pacientų, gydytų </w:t>
      </w:r>
      <w:proofErr w:type="spellStart"/>
      <w:r w:rsidRPr="00220850">
        <w:rPr>
          <w:sz w:val="22"/>
        </w:rPr>
        <w:t>nintedanibu</w:t>
      </w:r>
      <w:proofErr w:type="spellEnd"/>
      <w:r w:rsidRPr="00220850">
        <w:rPr>
          <w:sz w:val="22"/>
        </w:rPr>
        <w:t xml:space="preserve"> INPULSIS III fazės tyrimuose, metinį FGPT sumažėjimo rodmenį (-113,6 ml per metus). </w:t>
      </w:r>
      <w:proofErr w:type="spellStart"/>
      <w:r w:rsidRPr="00220850">
        <w:rPr>
          <w:sz w:val="22"/>
        </w:rPr>
        <w:t>Nintedanibo</w:t>
      </w:r>
      <w:proofErr w:type="spellEnd"/>
      <w:r w:rsidRPr="00220850">
        <w:rPr>
          <w:sz w:val="22"/>
        </w:rPr>
        <w:t xml:space="preserve"> nepageidaujamo poveikio duomenys tyrime INPULSIS-ON atitiko stebėtus INPULSIS III fazės tyrimuose.</w:t>
      </w:r>
    </w:p>
    <w:p w14:paraId="607C2E82" w14:textId="77777777" w:rsidR="00B243D9" w:rsidRPr="00220850" w:rsidRDefault="00B243D9" w:rsidP="00B243D9">
      <w:pPr>
        <w:tabs>
          <w:tab w:val="left" w:pos="567"/>
        </w:tabs>
        <w:spacing w:line="260" w:lineRule="exact"/>
        <w:ind w:right="-142"/>
        <w:rPr>
          <w:sz w:val="22"/>
        </w:rPr>
      </w:pPr>
    </w:p>
    <w:p w14:paraId="1711219F" w14:textId="77777777" w:rsidR="00B243D9" w:rsidRPr="00220850" w:rsidRDefault="00B243D9" w:rsidP="00B243D9">
      <w:pPr>
        <w:tabs>
          <w:tab w:val="left" w:pos="567"/>
        </w:tabs>
        <w:spacing w:line="260" w:lineRule="exact"/>
        <w:ind w:right="-142"/>
        <w:rPr>
          <w:i/>
          <w:sz w:val="22"/>
          <w:u w:val="single"/>
        </w:rPr>
      </w:pPr>
      <w:r w:rsidRPr="00220850">
        <w:rPr>
          <w:i/>
          <w:sz w:val="22"/>
          <w:u w:val="single"/>
        </w:rPr>
        <w:t>IPF sergantys pacientai, kuriems yra pažengęs plaučių funkcijos sutrikimas (INSTAGE)</w:t>
      </w:r>
    </w:p>
    <w:p w14:paraId="074395ED" w14:textId="77777777" w:rsidR="004705AC" w:rsidRPr="00220850" w:rsidRDefault="004705AC" w:rsidP="00B243D9">
      <w:pPr>
        <w:tabs>
          <w:tab w:val="left" w:pos="567"/>
        </w:tabs>
        <w:spacing w:line="260" w:lineRule="exact"/>
        <w:ind w:right="-142"/>
        <w:rPr>
          <w:sz w:val="22"/>
        </w:rPr>
      </w:pPr>
    </w:p>
    <w:p w14:paraId="46DB4B50" w14:textId="6A762E82" w:rsidR="00195EB5" w:rsidRPr="00220850" w:rsidRDefault="00B243D9" w:rsidP="00B243D9">
      <w:pPr>
        <w:tabs>
          <w:tab w:val="left" w:pos="567"/>
        </w:tabs>
        <w:spacing w:line="260" w:lineRule="exact"/>
        <w:ind w:right="-142"/>
        <w:rPr>
          <w:sz w:val="22"/>
        </w:rPr>
      </w:pPr>
      <w:r w:rsidRPr="00220850">
        <w:rPr>
          <w:sz w:val="22"/>
        </w:rPr>
        <w:t xml:space="preserve">INSTAGE buvo </w:t>
      </w:r>
      <w:proofErr w:type="spellStart"/>
      <w:r w:rsidRPr="00220850">
        <w:rPr>
          <w:sz w:val="22"/>
        </w:rPr>
        <w:t>daugiacentris</w:t>
      </w:r>
      <w:proofErr w:type="spellEnd"/>
      <w:r w:rsidRPr="00220850">
        <w:rPr>
          <w:sz w:val="22"/>
        </w:rPr>
        <w:t>, tarptautinis, perspektyvinis, atsitiktinių imčių, dvigubai aklas,</w:t>
      </w:r>
      <w:r w:rsidR="001E5B8F" w:rsidRPr="00220850">
        <w:rPr>
          <w:sz w:val="22"/>
        </w:rPr>
        <w:t xml:space="preserve"> </w:t>
      </w:r>
      <w:r w:rsidRPr="00220850">
        <w:rPr>
          <w:sz w:val="22"/>
        </w:rPr>
        <w:t>lygiagrečių grupių 24 savaites trukęs klinikinis tyrimas, kuriame dalyvavusiems IPF sergantiems</w:t>
      </w:r>
      <w:r w:rsidR="00195EB5" w:rsidRPr="00220850">
        <w:rPr>
          <w:sz w:val="22"/>
        </w:rPr>
        <w:t xml:space="preserve"> </w:t>
      </w:r>
      <w:r w:rsidRPr="00220850">
        <w:rPr>
          <w:sz w:val="22"/>
        </w:rPr>
        <w:t xml:space="preserve">pacientams buvo </w:t>
      </w:r>
      <w:r w:rsidR="006E21A1" w:rsidRPr="00220850">
        <w:rPr>
          <w:sz w:val="22"/>
        </w:rPr>
        <w:t xml:space="preserve">nustatytas </w:t>
      </w:r>
      <w:r w:rsidRPr="00220850">
        <w:rPr>
          <w:sz w:val="22"/>
        </w:rPr>
        <w:t>pažengęs plauč</w:t>
      </w:r>
      <w:r w:rsidR="00EF1255" w:rsidRPr="00220850">
        <w:rPr>
          <w:sz w:val="22"/>
        </w:rPr>
        <w:t>ių funkcijos sutrikimas (</w:t>
      </w:r>
      <w:r w:rsidR="00C84083" w:rsidRPr="00220850">
        <w:rPr>
          <w:sz w:val="22"/>
        </w:rPr>
        <w:t xml:space="preserve">DLCO </w:t>
      </w:r>
      <w:r w:rsidR="00195EB5" w:rsidRPr="00220850">
        <w:rPr>
          <w:sz w:val="22"/>
        </w:rPr>
        <w:t>≤ </w:t>
      </w:r>
      <w:r w:rsidRPr="00220850">
        <w:rPr>
          <w:sz w:val="22"/>
        </w:rPr>
        <w:t>35</w:t>
      </w:r>
      <w:r w:rsidR="00195EB5" w:rsidRPr="00220850">
        <w:rPr>
          <w:sz w:val="22"/>
        </w:rPr>
        <w:t> </w:t>
      </w:r>
      <w:r w:rsidRPr="00220850">
        <w:rPr>
          <w:sz w:val="22"/>
        </w:rPr>
        <w:t>% prognozuoto). 136 pacientams</w:t>
      </w:r>
      <w:r w:rsidR="00195EB5" w:rsidRPr="00220850">
        <w:rPr>
          <w:sz w:val="22"/>
        </w:rPr>
        <w:t xml:space="preserve"> </w:t>
      </w:r>
      <w:r w:rsidRPr="00220850">
        <w:rPr>
          <w:sz w:val="22"/>
        </w:rPr>
        <w:t xml:space="preserve">buvo taikoma </w:t>
      </w:r>
      <w:proofErr w:type="spellStart"/>
      <w:r w:rsidR="00195EB5" w:rsidRPr="00220850">
        <w:rPr>
          <w:sz w:val="22"/>
        </w:rPr>
        <w:t>nintedanibo</w:t>
      </w:r>
      <w:proofErr w:type="spellEnd"/>
      <w:r w:rsidRPr="00220850">
        <w:rPr>
          <w:sz w:val="22"/>
        </w:rPr>
        <w:t xml:space="preserve"> </w:t>
      </w:r>
      <w:proofErr w:type="spellStart"/>
      <w:r w:rsidRPr="00220850">
        <w:rPr>
          <w:sz w:val="22"/>
        </w:rPr>
        <w:t>monoterapija</w:t>
      </w:r>
      <w:proofErr w:type="spellEnd"/>
      <w:r w:rsidRPr="00220850">
        <w:rPr>
          <w:sz w:val="22"/>
        </w:rPr>
        <w:t>. Remiantis koreguotu vidutiniu pokyčiu nuo pradinio vertinimo,</w:t>
      </w:r>
      <w:r w:rsidR="00195EB5" w:rsidRPr="00220850">
        <w:rPr>
          <w:sz w:val="22"/>
        </w:rPr>
        <w:t xml:space="preserve"> </w:t>
      </w:r>
      <w:r w:rsidRPr="00220850">
        <w:rPr>
          <w:sz w:val="22"/>
        </w:rPr>
        <w:t>rezultatai pagal p</w:t>
      </w:r>
      <w:r w:rsidR="00195EB5" w:rsidRPr="00220850">
        <w:rPr>
          <w:sz w:val="22"/>
        </w:rPr>
        <w:t>agrindinę</w:t>
      </w:r>
      <w:r w:rsidRPr="00220850">
        <w:rPr>
          <w:sz w:val="22"/>
        </w:rPr>
        <w:t xml:space="preserve"> vertinamąją baigtį 12 savaitę parodė -0,77 vienetais sumažėjusį </w:t>
      </w:r>
      <w:proofErr w:type="spellStart"/>
      <w:r w:rsidRPr="00220850">
        <w:rPr>
          <w:sz w:val="22"/>
        </w:rPr>
        <w:t>Saint</w:t>
      </w:r>
      <w:proofErr w:type="spellEnd"/>
      <w:r w:rsidR="00195EB5" w:rsidRPr="00220850">
        <w:rPr>
          <w:sz w:val="22"/>
        </w:rPr>
        <w:t xml:space="preserve"> </w:t>
      </w:r>
      <w:r w:rsidRPr="00220850">
        <w:rPr>
          <w:sz w:val="22"/>
        </w:rPr>
        <w:t>George kvėpavimo klausimyno (SGRQ) bendrą balą. Po tyrimo atliktas palyginimas parodė, kad šių</w:t>
      </w:r>
      <w:r w:rsidR="00195EB5" w:rsidRPr="00220850">
        <w:rPr>
          <w:sz w:val="22"/>
        </w:rPr>
        <w:t xml:space="preserve"> </w:t>
      </w:r>
      <w:r w:rsidRPr="00220850">
        <w:rPr>
          <w:sz w:val="22"/>
        </w:rPr>
        <w:t xml:space="preserve">pacientų FGPT sumažėjimas atitiko mažiau pažengusia liga sergančių pacientų, gydytų </w:t>
      </w:r>
      <w:proofErr w:type="spellStart"/>
      <w:r w:rsidR="00195EB5" w:rsidRPr="00220850">
        <w:rPr>
          <w:sz w:val="22"/>
        </w:rPr>
        <w:t>nintedanibu</w:t>
      </w:r>
      <w:proofErr w:type="spellEnd"/>
      <w:r w:rsidRPr="00220850">
        <w:rPr>
          <w:sz w:val="22"/>
        </w:rPr>
        <w:t xml:space="preserve"> III fazės</w:t>
      </w:r>
      <w:r w:rsidR="00195EB5" w:rsidRPr="00220850">
        <w:rPr>
          <w:sz w:val="22"/>
        </w:rPr>
        <w:t xml:space="preserve"> </w:t>
      </w:r>
      <w:r w:rsidRPr="00220850">
        <w:rPr>
          <w:sz w:val="22"/>
        </w:rPr>
        <w:t xml:space="preserve">tyrimų </w:t>
      </w:r>
      <w:r w:rsidR="00195EB5" w:rsidRPr="00220850">
        <w:rPr>
          <w:sz w:val="22"/>
        </w:rPr>
        <w:t>INPULSIS metu, FGPT sumažėjimą.</w:t>
      </w:r>
    </w:p>
    <w:p w14:paraId="65E507F6" w14:textId="77777777" w:rsidR="00B243D9" w:rsidRPr="00220850" w:rsidRDefault="00195EB5" w:rsidP="00B243D9">
      <w:pPr>
        <w:tabs>
          <w:tab w:val="left" w:pos="567"/>
        </w:tabs>
        <w:spacing w:line="260" w:lineRule="exact"/>
        <w:ind w:right="-142"/>
        <w:rPr>
          <w:sz w:val="22"/>
        </w:rPr>
      </w:pPr>
      <w:proofErr w:type="spellStart"/>
      <w:r w:rsidRPr="00220850">
        <w:rPr>
          <w:sz w:val="22"/>
        </w:rPr>
        <w:t>Nintedanibo</w:t>
      </w:r>
      <w:proofErr w:type="spellEnd"/>
      <w:r w:rsidRPr="00220850">
        <w:rPr>
          <w:sz w:val="22"/>
        </w:rPr>
        <w:t xml:space="preserve"> </w:t>
      </w:r>
      <w:r w:rsidR="00B243D9" w:rsidRPr="00220850">
        <w:rPr>
          <w:sz w:val="22"/>
        </w:rPr>
        <w:t>saugumo ir toleravimo duomenys IPF sergantiems pacientams, kuriems yra pažengęs plaučių</w:t>
      </w:r>
      <w:r w:rsidRPr="00220850">
        <w:rPr>
          <w:sz w:val="22"/>
        </w:rPr>
        <w:t xml:space="preserve"> </w:t>
      </w:r>
      <w:r w:rsidR="00B243D9" w:rsidRPr="00220850">
        <w:rPr>
          <w:sz w:val="22"/>
        </w:rPr>
        <w:t>funkcijos sutrikimas, atitiko duomenis, nustatytus III fazės tyrimų INPULSIS metu.</w:t>
      </w:r>
    </w:p>
    <w:p w14:paraId="1E6F68A6" w14:textId="77777777" w:rsidR="00195EB5" w:rsidRPr="00220850" w:rsidRDefault="00195EB5" w:rsidP="00B243D9">
      <w:pPr>
        <w:tabs>
          <w:tab w:val="left" w:pos="567"/>
        </w:tabs>
        <w:spacing w:line="260" w:lineRule="exact"/>
        <w:ind w:right="-142"/>
        <w:rPr>
          <w:sz w:val="22"/>
        </w:rPr>
      </w:pPr>
    </w:p>
    <w:p w14:paraId="330E5A95" w14:textId="77777777" w:rsidR="00B243D9" w:rsidRPr="00220850" w:rsidRDefault="00B243D9" w:rsidP="00B243D9">
      <w:pPr>
        <w:tabs>
          <w:tab w:val="left" w:pos="567"/>
        </w:tabs>
        <w:spacing w:line="260" w:lineRule="exact"/>
        <w:ind w:right="-142"/>
        <w:rPr>
          <w:i/>
          <w:sz w:val="22"/>
        </w:rPr>
      </w:pPr>
      <w:r w:rsidRPr="00220850">
        <w:rPr>
          <w:i/>
          <w:sz w:val="22"/>
        </w:rPr>
        <w:t>Papildomi IV fazės tyrimo INJOURNEY duomenys, vartojant</w:t>
      </w:r>
      <w:r w:rsidR="00C24DC9" w:rsidRPr="00220850">
        <w:rPr>
          <w:i/>
          <w:sz w:val="22"/>
        </w:rPr>
        <w:t xml:space="preserve"> </w:t>
      </w:r>
      <w:proofErr w:type="spellStart"/>
      <w:r w:rsidR="00C24DC9" w:rsidRPr="00220850">
        <w:rPr>
          <w:i/>
          <w:sz w:val="22"/>
        </w:rPr>
        <w:t>nintedanibo</w:t>
      </w:r>
      <w:proofErr w:type="spellEnd"/>
      <w:r w:rsidR="00C24DC9" w:rsidRPr="00220850">
        <w:rPr>
          <w:i/>
          <w:sz w:val="22"/>
        </w:rPr>
        <w:t xml:space="preserve"> </w:t>
      </w:r>
      <w:r w:rsidRPr="00220850">
        <w:rPr>
          <w:i/>
          <w:sz w:val="22"/>
        </w:rPr>
        <w:t>150</w:t>
      </w:r>
      <w:r w:rsidR="00C24DC9" w:rsidRPr="00220850">
        <w:rPr>
          <w:i/>
          <w:sz w:val="22"/>
        </w:rPr>
        <w:t> </w:t>
      </w:r>
      <w:r w:rsidRPr="00220850">
        <w:rPr>
          <w:i/>
          <w:sz w:val="22"/>
        </w:rPr>
        <w:t>mg du kartus per parą kartu su</w:t>
      </w:r>
      <w:r w:rsidR="00195EB5" w:rsidRPr="00220850">
        <w:rPr>
          <w:i/>
          <w:sz w:val="22"/>
        </w:rPr>
        <w:t xml:space="preserve"> </w:t>
      </w:r>
      <w:r w:rsidRPr="00220850">
        <w:rPr>
          <w:i/>
          <w:sz w:val="22"/>
        </w:rPr>
        <w:t xml:space="preserve">papildomu gydymu </w:t>
      </w:r>
      <w:proofErr w:type="spellStart"/>
      <w:r w:rsidRPr="00220850">
        <w:rPr>
          <w:i/>
          <w:sz w:val="22"/>
        </w:rPr>
        <w:t>pirfenidonu</w:t>
      </w:r>
      <w:proofErr w:type="spellEnd"/>
    </w:p>
    <w:p w14:paraId="03AEA6A9" w14:textId="15DB91C0" w:rsidR="00B243D9" w:rsidRPr="00220850" w:rsidRDefault="00B243D9" w:rsidP="00B243D9">
      <w:pPr>
        <w:tabs>
          <w:tab w:val="left" w:pos="567"/>
        </w:tabs>
        <w:spacing w:line="260" w:lineRule="exact"/>
        <w:ind w:right="-142"/>
        <w:rPr>
          <w:sz w:val="22"/>
        </w:rPr>
      </w:pPr>
      <w:r w:rsidRPr="00220850">
        <w:rPr>
          <w:sz w:val="22"/>
        </w:rPr>
        <w:t xml:space="preserve">Gydymas </w:t>
      </w:r>
      <w:proofErr w:type="spellStart"/>
      <w:r w:rsidRPr="00220850">
        <w:rPr>
          <w:sz w:val="22"/>
        </w:rPr>
        <w:t>nintedanibu</w:t>
      </w:r>
      <w:proofErr w:type="spellEnd"/>
      <w:r w:rsidRPr="00220850">
        <w:rPr>
          <w:sz w:val="22"/>
        </w:rPr>
        <w:t xml:space="preserve"> kartu su </w:t>
      </w:r>
      <w:proofErr w:type="spellStart"/>
      <w:r w:rsidRPr="00220850">
        <w:rPr>
          <w:sz w:val="22"/>
        </w:rPr>
        <w:t>pirfenidonu</w:t>
      </w:r>
      <w:proofErr w:type="spellEnd"/>
      <w:r w:rsidRPr="00220850">
        <w:rPr>
          <w:sz w:val="22"/>
        </w:rPr>
        <w:t xml:space="preserve"> tirtas su 105 atsitiktinių imčių būdu atrinktais pacientais</w:t>
      </w:r>
      <w:r w:rsidR="00195EB5" w:rsidRPr="00220850">
        <w:rPr>
          <w:sz w:val="22"/>
        </w:rPr>
        <w:t xml:space="preserve"> </w:t>
      </w:r>
      <w:r w:rsidRPr="00220850">
        <w:rPr>
          <w:sz w:val="22"/>
        </w:rPr>
        <w:t>atliekant 12 savaičių žvalgomąjį atvirą ats</w:t>
      </w:r>
      <w:r w:rsidR="00195EB5" w:rsidRPr="00220850">
        <w:rPr>
          <w:sz w:val="22"/>
        </w:rPr>
        <w:t xml:space="preserve">itiktinių imčių </w:t>
      </w:r>
      <w:proofErr w:type="spellStart"/>
      <w:r w:rsidR="00195EB5" w:rsidRPr="00220850">
        <w:rPr>
          <w:sz w:val="22"/>
        </w:rPr>
        <w:t>nintedanibo</w:t>
      </w:r>
      <w:proofErr w:type="spellEnd"/>
      <w:r w:rsidR="00195EB5" w:rsidRPr="00220850">
        <w:rPr>
          <w:sz w:val="22"/>
        </w:rPr>
        <w:t xml:space="preserve"> 150 </w:t>
      </w:r>
      <w:r w:rsidRPr="00220850">
        <w:rPr>
          <w:sz w:val="22"/>
        </w:rPr>
        <w:t>mg du kartus per parą</w:t>
      </w:r>
      <w:r w:rsidR="00195EB5" w:rsidRPr="00220850">
        <w:rPr>
          <w:sz w:val="22"/>
        </w:rPr>
        <w:t xml:space="preserve"> </w:t>
      </w:r>
      <w:r w:rsidRPr="00220850">
        <w:rPr>
          <w:sz w:val="22"/>
        </w:rPr>
        <w:t xml:space="preserve">tyrimą, vaistinio preparato vartojant kartu su papildomu </w:t>
      </w:r>
      <w:proofErr w:type="spellStart"/>
      <w:r w:rsidR="00195EB5" w:rsidRPr="00220850">
        <w:rPr>
          <w:sz w:val="22"/>
        </w:rPr>
        <w:t>pirfenidonu</w:t>
      </w:r>
      <w:proofErr w:type="spellEnd"/>
      <w:r w:rsidR="00195EB5" w:rsidRPr="00220850">
        <w:rPr>
          <w:sz w:val="22"/>
        </w:rPr>
        <w:t xml:space="preserve"> (titruotu iki 801 </w:t>
      </w:r>
      <w:r w:rsidRPr="00220850">
        <w:rPr>
          <w:sz w:val="22"/>
        </w:rPr>
        <w:t>mg tris kartus</w:t>
      </w:r>
      <w:r w:rsidR="00195EB5" w:rsidRPr="00220850">
        <w:rPr>
          <w:sz w:val="22"/>
        </w:rPr>
        <w:t xml:space="preserve"> </w:t>
      </w:r>
      <w:r w:rsidRPr="00220850">
        <w:rPr>
          <w:sz w:val="22"/>
        </w:rPr>
        <w:t>per par</w:t>
      </w:r>
      <w:r w:rsidR="00195EB5" w:rsidRPr="00220850">
        <w:rPr>
          <w:sz w:val="22"/>
        </w:rPr>
        <w:t xml:space="preserve">ą), palyginti su </w:t>
      </w:r>
      <w:proofErr w:type="spellStart"/>
      <w:r w:rsidR="00195EB5" w:rsidRPr="00220850">
        <w:rPr>
          <w:sz w:val="22"/>
        </w:rPr>
        <w:t>nintedanibo</w:t>
      </w:r>
      <w:proofErr w:type="spellEnd"/>
      <w:r w:rsidR="00195EB5" w:rsidRPr="00220850">
        <w:rPr>
          <w:sz w:val="22"/>
        </w:rPr>
        <w:t xml:space="preserve"> 15</w:t>
      </w:r>
      <w:r w:rsidR="00C84083" w:rsidRPr="00220850">
        <w:rPr>
          <w:sz w:val="22"/>
        </w:rPr>
        <w:t>0</w:t>
      </w:r>
      <w:r w:rsidR="00195EB5" w:rsidRPr="00220850">
        <w:rPr>
          <w:sz w:val="22"/>
        </w:rPr>
        <w:t> </w:t>
      </w:r>
      <w:r w:rsidRPr="00220850">
        <w:rPr>
          <w:sz w:val="22"/>
        </w:rPr>
        <w:t xml:space="preserve">mg du kartus per parą </w:t>
      </w:r>
      <w:proofErr w:type="spellStart"/>
      <w:r w:rsidRPr="00220850">
        <w:rPr>
          <w:sz w:val="22"/>
        </w:rPr>
        <w:t>monoterapija</w:t>
      </w:r>
      <w:proofErr w:type="spellEnd"/>
      <w:r w:rsidRPr="00220850">
        <w:rPr>
          <w:sz w:val="22"/>
        </w:rPr>
        <w:t>. P</w:t>
      </w:r>
      <w:r w:rsidR="00195EB5" w:rsidRPr="00220850">
        <w:rPr>
          <w:sz w:val="22"/>
        </w:rPr>
        <w:t>agrindinė</w:t>
      </w:r>
      <w:r w:rsidRPr="00220850">
        <w:rPr>
          <w:sz w:val="22"/>
        </w:rPr>
        <w:t xml:space="preserve"> vertinamoji</w:t>
      </w:r>
      <w:r w:rsidR="00195EB5" w:rsidRPr="00220850">
        <w:rPr>
          <w:sz w:val="22"/>
        </w:rPr>
        <w:t xml:space="preserve"> </w:t>
      </w:r>
      <w:r w:rsidRPr="00220850">
        <w:rPr>
          <w:sz w:val="22"/>
        </w:rPr>
        <w:t>baigtis buvo pacientų, patyrusių nepageidaujamų virškinimo trakto reiškinių nuo pradinio vertinimo</w:t>
      </w:r>
      <w:r w:rsidR="00195EB5" w:rsidRPr="00220850">
        <w:rPr>
          <w:sz w:val="22"/>
        </w:rPr>
        <w:t xml:space="preserve"> </w:t>
      </w:r>
      <w:r w:rsidRPr="00220850">
        <w:rPr>
          <w:sz w:val="22"/>
        </w:rPr>
        <w:t xml:space="preserve">iki 12-osios </w:t>
      </w:r>
      <w:r w:rsidRPr="00220850">
        <w:rPr>
          <w:sz w:val="22"/>
        </w:rPr>
        <w:lastRenderedPageBreak/>
        <w:t>savaitės, procentinė dalis. Nepageidaujami virškinimo trakto reiškiniai pasireiškė dažnai ir</w:t>
      </w:r>
      <w:r w:rsidR="00195EB5" w:rsidRPr="00220850">
        <w:rPr>
          <w:sz w:val="22"/>
        </w:rPr>
        <w:t xml:space="preserve"> </w:t>
      </w:r>
      <w:r w:rsidRPr="00220850">
        <w:rPr>
          <w:sz w:val="22"/>
        </w:rPr>
        <w:t>atitiko kiekvienam komponentui nustatytus saugumo duomenis. Pagal pranešimus, dažniausi</w:t>
      </w:r>
      <w:r w:rsidRPr="00220850">
        <w:t xml:space="preserve"> </w:t>
      </w:r>
      <w:r w:rsidRPr="00220850">
        <w:rPr>
          <w:sz w:val="22"/>
        </w:rPr>
        <w:t>nepageidaujami reiškiniai buvo viduriavimas, pykinimas ir vėmimas, kuriuos patyrė pacientai, gydyti</w:t>
      </w:r>
      <w:r w:rsidR="00195EB5" w:rsidRPr="00220850">
        <w:rPr>
          <w:sz w:val="22"/>
        </w:rPr>
        <w:t xml:space="preserve"> </w:t>
      </w:r>
      <w:proofErr w:type="spellStart"/>
      <w:r w:rsidRPr="00220850">
        <w:rPr>
          <w:sz w:val="22"/>
        </w:rPr>
        <w:t>pirfenidonu</w:t>
      </w:r>
      <w:proofErr w:type="spellEnd"/>
      <w:r w:rsidRPr="00220850">
        <w:rPr>
          <w:sz w:val="22"/>
        </w:rPr>
        <w:t xml:space="preserve">, kurio skirta papildomai su </w:t>
      </w:r>
      <w:proofErr w:type="spellStart"/>
      <w:r w:rsidRPr="00220850">
        <w:rPr>
          <w:sz w:val="22"/>
        </w:rPr>
        <w:t>nintedanibu</w:t>
      </w:r>
      <w:proofErr w:type="spellEnd"/>
      <w:r w:rsidRPr="00220850">
        <w:rPr>
          <w:sz w:val="22"/>
        </w:rPr>
        <w:t xml:space="preserve">, šį režimą lyginant su </w:t>
      </w:r>
      <w:proofErr w:type="spellStart"/>
      <w:r w:rsidRPr="00220850">
        <w:rPr>
          <w:sz w:val="22"/>
        </w:rPr>
        <w:t>nintedanibo</w:t>
      </w:r>
      <w:proofErr w:type="spellEnd"/>
      <w:r w:rsidRPr="00220850">
        <w:rPr>
          <w:sz w:val="22"/>
        </w:rPr>
        <w:t xml:space="preserve"> </w:t>
      </w:r>
      <w:proofErr w:type="spellStart"/>
      <w:r w:rsidRPr="00220850">
        <w:rPr>
          <w:sz w:val="22"/>
        </w:rPr>
        <w:t>monoterapija</w:t>
      </w:r>
      <w:proofErr w:type="spellEnd"/>
      <w:r w:rsidRPr="00220850">
        <w:rPr>
          <w:sz w:val="22"/>
        </w:rPr>
        <w:t>.</w:t>
      </w:r>
    </w:p>
    <w:p w14:paraId="5E3C4343" w14:textId="77777777" w:rsidR="00B243D9" w:rsidRPr="00220850" w:rsidRDefault="00B243D9" w:rsidP="00B243D9">
      <w:pPr>
        <w:tabs>
          <w:tab w:val="left" w:pos="567"/>
        </w:tabs>
        <w:spacing w:line="260" w:lineRule="exact"/>
        <w:ind w:right="-142"/>
        <w:rPr>
          <w:sz w:val="22"/>
        </w:rPr>
      </w:pPr>
      <w:r w:rsidRPr="00220850">
        <w:rPr>
          <w:sz w:val="22"/>
        </w:rPr>
        <w:t>Vidutinis (SP) absoliutusis FGPT pokytis nuo pradinės vertės 12-ąją savaitę buvo −13,3</w:t>
      </w:r>
      <w:r w:rsidR="00195EB5" w:rsidRPr="00220850">
        <w:rPr>
          <w:sz w:val="22"/>
        </w:rPr>
        <w:t> </w:t>
      </w:r>
      <w:r w:rsidRPr="00220850">
        <w:rPr>
          <w:sz w:val="22"/>
        </w:rPr>
        <w:t>(17,4)</w:t>
      </w:r>
      <w:r w:rsidR="00195EB5" w:rsidRPr="00220850">
        <w:rPr>
          <w:sz w:val="22"/>
        </w:rPr>
        <w:t> </w:t>
      </w:r>
      <w:r w:rsidRPr="00220850">
        <w:rPr>
          <w:sz w:val="22"/>
        </w:rPr>
        <w:t>ml</w:t>
      </w:r>
      <w:r w:rsidR="00195EB5" w:rsidRPr="00220850">
        <w:rPr>
          <w:sz w:val="22"/>
        </w:rPr>
        <w:t xml:space="preserve"> </w:t>
      </w:r>
      <w:r w:rsidRPr="00220850">
        <w:rPr>
          <w:sz w:val="22"/>
        </w:rPr>
        <w:t xml:space="preserve">pacientams, gydytiems </w:t>
      </w:r>
      <w:proofErr w:type="spellStart"/>
      <w:r w:rsidRPr="00220850">
        <w:rPr>
          <w:sz w:val="22"/>
        </w:rPr>
        <w:t>nintedanibu</w:t>
      </w:r>
      <w:proofErr w:type="spellEnd"/>
      <w:r w:rsidRPr="00220850">
        <w:rPr>
          <w:sz w:val="22"/>
        </w:rPr>
        <w:t xml:space="preserve"> kart</w:t>
      </w:r>
      <w:r w:rsidR="00195EB5" w:rsidRPr="00220850">
        <w:rPr>
          <w:sz w:val="22"/>
        </w:rPr>
        <w:t xml:space="preserve">u su papildomu </w:t>
      </w:r>
      <w:proofErr w:type="spellStart"/>
      <w:r w:rsidR="00195EB5" w:rsidRPr="00220850">
        <w:rPr>
          <w:sz w:val="22"/>
        </w:rPr>
        <w:t>pirfenidonu</w:t>
      </w:r>
      <w:proofErr w:type="spellEnd"/>
      <w:r w:rsidR="00195EB5" w:rsidRPr="00220850">
        <w:rPr>
          <w:sz w:val="22"/>
        </w:rPr>
        <w:t xml:space="preserve"> (n = </w:t>
      </w:r>
      <w:r w:rsidRPr="00220850">
        <w:rPr>
          <w:sz w:val="22"/>
        </w:rPr>
        <w:t>48), palyginti su</w:t>
      </w:r>
      <w:r w:rsidR="00195EB5" w:rsidRPr="00220850">
        <w:rPr>
          <w:sz w:val="22"/>
        </w:rPr>
        <w:t xml:space="preserve"> −40,9 (31,4) </w:t>
      </w:r>
      <w:r w:rsidRPr="00220850">
        <w:rPr>
          <w:sz w:val="22"/>
        </w:rPr>
        <w:t>ml pacientams</w:t>
      </w:r>
      <w:r w:rsidR="00195EB5" w:rsidRPr="00220850">
        <w:rPr>
          <w:sz w:val="22"/>
        </w:rPr>
        <w:t xml:space="preserve">, gydytiems vien </w:t>
      </w:r>
      <w:proofErr w:type="spellStart"/>
      <w:r w:rsidR="00195EB5" w:rsidRPr="00220850">
        <w:rPr>
          <w:sz w:val="22"/>
        </w:rPr>
        <w:t>nintedanibu</w:t>
      </w:r>
      <w:proofErr w:type="spellEnd"/>
      <w:r w:rsidR="00195EB5" w:rsidRPr="00220850">
        <w:rPr>
          <w:sz w:val="22"/>
        </w:rPr>
        <w:t xml:space="preserve"> (n = </w:t>
      </w:r>
      <w:r w:rsidRPr="00220850">
        <w:rPr>
          <w:sz w:val="22"/>
        </w:rPr>
        <w:t>44).</w:t>
      </w:r>
    </w:p>
    <w:p w14:paraId="48ED3F13" w14:textId="77777777" w:rsidR="00195EB5" w:rsidRPr="00220850" w:rsidRDefault="00195EB5" w:rsidP="00B243D9">
      <w:pPr>
        <w:tabs>
          <w:tab w:val="left" w:pos="567"/>
        </w:tabs>
        <w:spacing w:line="260" w:lineRule="exact"/>
        <w:ind w:right="-142"/>
        <w:rPr>
          <w:sz w:val="22"/>
        </w:rPr>
      </w:pPr>
    </w:p>
    <w:p w14:paraId="50999EA8" w14:textId="77777777" w:rsidR="00B243D9" w:rsidRPr="00220850" w:rsidRDefault="00B243D9" w:rsidP="00B243D9">
      <w:pPr>
        <w:tabs>
          <w:tab w:val="left" w:pos="567"/>
        </w:tabs>
        <w:spacing w:line="260" w:lineRule="exact"/>
        <w:ind w:right="-142"/>
        <w:rPr>
          <w:i/>
          <w:sz w:val="22"/>
        </w:rPr>
      </w:pPr>
      <w:r w:rsidRPr="00220850">
        <w:rPr>
          <w:i/>
          <w:sz w:val="22"/>
        </w:rPr>
        <w:t xml:space="preserve">Kitos lėtinės </w:t>
      </w:r>
      <w:proofErr w:type="spellStart"/>
      <w:r w:rsidRPr="00220850">
        <w:rPr>
          <w:i/>
          <w:sz w:val="22"/>
        </w:rPr>
        <w:t>fibrozinės</w:t>
      </w:r>
      <w:proofErr w:type="spellEnd"/>
      <w:r w:rsidRPr="00220850">
        <w:rPr>
          <w:i/>
          <w:sz w:val="22"/>
        </w:rPr>
        <w:t xml:space="preserve"> progresuojančio fenotipo </w:t>
      </w:r>
      <w:proofErr w:type="spellStart"/>
      <w:r w:rsidRPr="00220850">
        <w:rPr>
          <w:i/>
          <w:sz w:val="22"/>
        </w:rPr>
        <w:t>intersticinės</w:t>
      </w:r>
      <w:proofErr w:type="spellEnd"/>
      <w:r w:rsidRPr="00220850">
        <w:rPr>
          <w:i/>
          <w:sz w:val="22"/>
        </w:rPr>
        <w:t xml:space="preserve"> plaučių ligos (IPL)</w:t>
      </w:r>
    </w:p>
    <w:p w14:paraId="33759E0B" w14:textId="15AE6EF5" w:rsidR="00B243D9" w:rsidRPr="00220850" w:rsidRDefault="00195EB5" w:rsidP="00B243D9">
      <w:pPr>
        <w:tabs>
          <w:tab w:val="left" w:pos="567"/>
        </w:tabs>
        <w:spacing w:line="260" w:lineRule="exact"/>
        <w:ind w:right="-142"/>
        <w:rPr>
          <w:sz w:val="22"/>
        </w:rPr>
      </w:pPr>
      <w:proofErr w:type="spellStart"/>
      <w:r w:rsidRPr="00220850">
        <w:rPr>
          <w:sz w:val="22"/>
        </w:rPr>
        <w:t>Nintedanibo</w:t>
      </w:r>
      <w:proofErr w:type="spellEnd"/>
      <w:r w:rsidRPr="00220850">
        <w:rPr>
          <w:sz w:val="22"/>
        </w:rPr>
        <w:t xml:space="preserve"> </w:t>
      </w:r>
      <w:r w:rsidR="00B243D9" w:rsidRPr="00220850">
        <w:rPr>
          <w:sz w:val="22"/>
        </w:rPr>
        <w:t xml:space="preserve">klinikinis veiksmingumas pacientams, sergantiems kitomis lėtinėmis </w:t>
      </w:r>
      <w:proofErr w:type="spellStart"/>
      <w:r w:rsidR="00B243D9" w:rsidRPr="00220850">
        <w:rPr>
          <w:sz w:val="22"/>
        </w:rPr>
        <w:t>fibrozinėmis</w:t>
      </w:r>
      <w:proofErr w:type="spellEnd"/>
      <w:r w:rsidRPr="00220850">
        <w:rPr>
          <w:sz w:val="22"/>
        </w:rPr>
        <w:t xml:space="preserve"> </w:t>
      </w:r>
      <w:r w:rsidR="00B243D9" w:rsidRPr="00220850">
        <w:rPr>
          <w:sz w:val="22"/>
        </w:rPr>
        <w:t>progresuojančio fenotipo IPL, tirtas dvigubai aklo, atsitiktinių imčių, placebu kontroliuojamo III fazės</w:t>
      </w:r>
      <w:r w:rsidRPr="00220850">
        <w:rPr>
          <w:sz w:val="22"/>
        </w:rPr>
        <w:t xml:space="preserve"> </w:t>
      </w:r>
      <w:r w:rsidR="00B243D9" w:rsidRPr="00220850">
        <w:rPr>
          <w:sz w:val="22"/>
        </w:rPr>
        <w:t>tyrimo (INBUILD) metu. Pacientai, sergantys IPF, į tyrimą įtraukti nebuvo. Atrinkti tie lėtinės</w:t>
      </w:r>
      <w:r w:rsidRPr="00220850">
        <w:rPr>
          <w:sz w:val="22"/>
        </w:rPr>
        <w:t xml:space="preserve"> </w:t>
      </w:r>
      <w:proofErr w:type="spellStart"/>
      <w:r w:rsidR="00B243D9" w:rsidRPr="00220850">
        <w:rPr>
          <w:sz w:val="22"/>
        </w:rPr>
        <w:t>fibrozinės</w:t>
      </w:r>
      <w:proofErr w:type="spellEnd"/>
      <w:r w:rsidR="00B243D9" w:rsidRPr="00220850">
        <w:rPr>
          <w:sz w:val="22"/>
        </w:rPr>
        <w:t xml:space="preserve"> IPL klinikinę diagnozę turintys pacientai, kuriems nustatyta reikšminga fibrozė (daugiau</w:t>
      </w:r>
      <w:r w:rsidRPr="00220850">
        <w:rPr>
          <w:sz w:val="22"/>
        </w:rPr>
        <w:t xml:space="preserve"> kaip 10 </w:t>
      </w:r>
      <w:r w:rsidR="00B243D9" w:rsidRPr="00220850">
        <w:rPr>
          <w:sz w:val="22"/>
        </w:rPr>
        <w:t xml:space="preserve">% </w:t>
      </w:r>
      <w:proofErr w:type="spellStart"/>
      <w:r w:rsidR="00B243D9" w:rsidRPr="00220850">
        <w:rPr>
          <w:sz w:val="22"/>
        </w:rPr>
        <w:t>fibrozinių</w:t>
      </w:r>
      <w:proofErr w:type="spellEnd"/>
      <w:r w:rsidR="00B243D9" w:rsidRPr="00220850">
        <w:rPr>
          <w:sz w:val="22"/>
        </w:rPr>
        <w:t xml:space="preserve"> požymių) atliekant </w:t>
      </w:r>
      <w:r w:rsidR="00B85731" w:rsidRPr="00220850">
        <w:rPr>
          <w:rFonts w:eastAsia="TimesNewRoman"/>
          <w:sz w:val="22"/>
          <w:szCs w:val="22"/>
        </w:rPr>
        <w:t>didelės skiriamosios gebos kompiuterinės tomografijos</w:t>
      </w:r>
      <w:r w:rsidR="00B85731" w:rsidRPr="00220850">
        <w:rPr>
          <w:sz w:val="22"/>
        </w:rPr>
        <w:t xml:space="preserve"> (</w:t>
      </w:r>
      <w:r w:rsidR="00B243D9" w:rsidRPr="00220850">
        <w:rPr>
          <w:sz w:val="22"/>
        </w:rPr>
        <w:t>DSGKT</w:t>
      </w:r>
      <w:r w:rsidR="00B85731" w:rsidRPr="00220850">
        <w:rPr>
          <w:sz w:val="22"/>
        </w:rPr>
        <w:t>)</w:t>
      </w:r>
      <w:r w:rsidR="00EC61CF" w:rsidRPr="00220850">
        <w:rPr>
          <w:sz w:val="22"/>
        </w:rPr>
        <w:t xml:space="preserve"> tyrimą</w:t>
      </w:r>
      <w:r w:rsidR="00B243D9" w:rsidRPr="00220850">
        <w:rPr>
          <w:sz w:val="22"/>
        </w:rPr>
        <w:t xml:space="preserve"> ir kuriems pasireiškė klinikinių progresavimo</w:t>
      </w:r>
      <w:r w:rsidRPr="00220850">
        <w:rPr>
          <w:sz w:val="22"/>
        </w:rPr>
        <w:t xml:space="preserve"> </w:t>
      </w:r>
      <w:r w:rsidR="00B243D9" w:rsidRPr="00220850">
        <w:rPr>
          <w:sz w:val="22"/>
        </w:rPr>
        <w:t>požymių (api</w:t>
      </w:r>
      <w:r w:rsidRPr="00220850">
        <w:rPr>
          <w:sz w:val="22"/>
        </w:rPr>
        <w:t>būdintų kaip FGPT sumažėjimas ≥ 10 %, FGPT sumažėjimas nuo ≥ 5 % iki &lt; 10 </w:t>
      </w:r>
      <w:r w:rsidR="00B243D9" w:rsidRPr="00220850">
        <w:rPr>
          <w:sz w:val="22"/>
        </w:rPr>
        <w:t>%</w:t>
      </w:r>
      <w:r w:rsidRPr="00220850">
        <w:rPr>
          <w:sz w:val="22"/>
        </w:rPr>
        <w:t xml:space="preserve"> </w:t>
      </w:r>
      <w:r w:rsidR="00B243D9" w:rsidRPr="00220850">
        <w:rPr>
          <w:sz w:val="22"/>
        </w:rPr>
        <w:t>stiprėjant simptomams ar didėjančią patologiją rodant vaizdinamajam tyrimui arba stiprėjantys</w:t>
      </w:r>
      <w:r w:rsidRPr="00220850">
        <w:rPr>
          <w:sz w:val="22"/>
        </w:rPr>
        <w:t xml:space="preserve"> </w:t>
      </w:r>
      <w:r w:rsidR="00B243D9" w:rsidRPr="00220850">
        <w:rPr>
          <w:sz w:val="22"/>
        </w:rPr>
        <w:t>simptomai ir didėjanti vaizdinimo patologija per 24 mėnesius prieš atranką). Reikalauta, kad pacientų</w:t>
      </w:r>
      <w:r w:rsidR="00B85731" w:rsidRPr="00220850">
        <w:rPr>
          <w:sz w:val="22"/>
        </w:rPr>
        <w:t xml:space="preserve"> </w:t>
      </w:r>
      <w:r w:rsidR="00B243D9" w:rsidRPr="00220850">
        <w:rPr>
          <w:sz w:val="22"/>
        </w:rPr>
        <w:t>FGPT būtų didesnis arba lygus 45</w:t>
      </w:r>
      <w:r w:rsidR="00B85731" w:rsidRPr="00220850">
        <w:rPr>
          <w:sz w:val="22"/>
        </w:rPr>
        <w:t> </w:t>
      </w:r>
      <w:r w:rsidR="00B243D9" w:rsidRPr="00220850">
        <w:rPr>
          <w:sz w:val="22"/>
        </w:rPr>
        <w:t xml:space="preserve">% būtinojo dydžio, o </w:t>
      </w:r>
      <w:r w:rsidR="005763B1" w:rsidRPr="00220850">
        <w:rPr>
          <w:sz w:val="22"/>
        </w:rPr>
        <w:t xml:space="preserve">DLCO </w:t>
      </w:r>
      <w:r w:rsidR="00B243D9" w:rsidRPr="00220850">
        <w:rPr>
          <w:sz w:val="22"/>
        </w:rPr>
        <w:t>b</w:t>
      </w:r>
      <w:r w:rsidR="00EF1255" w:rsidRPr="00220850">
        <w:rPr>
          <w:sz w:val="22"/>
        </w:rPr>
        <w:t>ūtų nuo 30 % iki mažiau kaip 80 </w:t>
      </w:r>
      <w:r w:rsidR="00B243D9" w:rsidRPr="00220850">
        <w:rPr>
          <w:sz w:val="22"/>
        </w:rPr>
        <w:t>%</w:t>
      </w:r>
      <w:r w:rsidR="00EF1255" w:rsidRPr="00220850">
        <w:rPr>
          <w:sz w:val="22"/>
        </w:rPr>
        <w:t xml:space="preserve"> </w:t>
      </w:r>
      <w:r w:rsidR="00B243D9" w:rsidRPr="00220850">
        <w:rPr>
          <w:sz w:val="22"/>
        </w:rPr>
        <w:t>būtinojo dydžio. Pacientų liga turėjo būti progresavusi nepaisant taikytų tinkamų ligos valdymo</w:t>
      </w:r>
      <w:r w:rsidR="00EF1255" w:rsidRPr="00220850">
        <w:rPr>
          <w:sz w:val="22"/>
        </w:rPr>
        <w:t xml:space="preserve"> </w:t>
      </w:r>
      <w:r w:rsidR="00B243D9" w:rsidRPr="00220850">
        <w:rPr>
          <w:sz w:val="22"/>
        </w:rPr>
        <w:t>priemonių, kurios taikytos, atsižvelgiant į atitinkama IPL sergančių pacientų gydymo klinikinę</w:t>
      </w:r>
      <w:r w:rsidR="00EF1255" w:rsidRPr="00220850">
        <w:rPr>
          <w:sz w:val="22"/>
        </w:rPr>
        <w:t xml:space="preserve"> </w:t>
      </w:r>
      <w:r w:rsidR="00B243D9" w:rsidRPr="00220850">
        <w:rPr>
          <w:sz w:val="22"/>
        </w:rPr>
        <w:t>praktiką.</w:t>
      </w:r>
    </w:p>
    <w:p w14:paraId="423CE071" w14:textId="77777777" w:rsidR="00EF1255" w:rsidRPr="00220850" w:rsidRDefault="00EF1255" w:rsidP="00B243D9">
      <w:pPr>
        <w:tabs>
          <w:tab w:val="left" w:pos="567"/>
        </w:tabs>
        <w:spacing w:line="260" w:lineRule="exact"/>
        <w:ind w:right="-142"/>
        <w:rPr>
          <w:sz w:val="22"/>
        </w:rPr>
      </w:pPr>
    </w:p>
    <w:p w14:paraId="347B1DBA" w14:textId="77777777" w:rsidR="00B243D9" w:rsidRPr="00220850" w:rsidRDefault="00B243D9" w:rsidP="00B243D9">
      <w:pPr>
        <w:tabs>
          <w:tab w:val="left" w:pos="567"/>
        </w:tabs>
        <w:spacing w:line="260" w:lineRule="exact"/>
        <w:ind w:right="-142"/>
        <w:rPr>
          <w:sz w:val="22"/>
        </w:rPr>
      </w:pPr>
      <w:r w:rsidRPr="00220850">
        <w:rPr>
          <w:sz w:val="22"/>
        </w:rPr>
        <w:t>Iš viso 663 pacientai atsitiktinių imčių būdu santykiu 1:1 buvo suskirstyti į grupes, kurios ne trumpiau</w:t>
      </w:r>
      <w:r w:rsidR="00EF1255" w:rsidRPr="00220850">
        <w:rPr>
          <w:sz w:val="22"/>
        </w:rPr>
        <w:t xml:space="preserve"> </w:t>
      </w:r>
      <w:r w:rsidRPr="00220850">
        <w:rPr>
          <w:sz w:val="22"/>
        </w:rPr>
        <w:t xml:space="preserve">kaip 52 savaites vartojo </w:t>
      </w:r>
      <w:proofErr w:type="spellStart"/>
      <w:r w:rsidR="00EF1255" w:rsidRPr="00220850">
        <w:rPr>
          <w:sz w:val="22"/>
        </w:rPr>
        <w:t>nintedanibą</w:t>
      </w:r>
      <w:proofErr w:type="spellEnd"/>
      <w:r w:rsidR="00EF1255" w:rsidRPr="00220850">
        <w:rPr>
          <w:sz w:val="22"/>
        </w:rPr>
        <w:t xml:space="preserve"> 150 </w:t>
      </w:r>
      <w:r w:rsidRPr="00220850">
        <w:rPr>
          <w:sz w:val="22"/>
        </w:rPr>
        <w:t>mg du kartus per parą arba vaistinį preparatą atitinkantį placebą.</w:t>
      </w:r>
      <w:r w:rsidR="00EF1255" w:rsidRPr="00220850">
        <w:rPr>
          <w:sz w:val="22"/>
        </w:rPr>
        <w:t xml:space="preserve"> </w:t>
      </w:r>
      <w:proofErr w:type="spellStart"/>
      <w:r w:rsidR="00EF1255" w:rsidRPr="00220850">
        <w:rPr>
          <w:sz w:val="22"/>
        </w:rPr>
        <w:t>Nintedanibo</w:t>
      </w:r>
      <w:proofErr w:type="spellEnd"/>
      <w:r w:rsidRPr="00220850">
        <w:rPr>
          <w:sz w:val="22"/>
        </w:rPr>
        <w:t xml:space="preserve"> ekspozicijos mediana viso tyrimo metu buvo 17,4 mėnesio, o vidutinė </w:t>
      </w:r>
      <w:proofErr w:type="spellStart"/>
      <w:r w:rsidR="00EF1255" w:rsidRPr="00220850">
        <w:rPr>
          <w:sz w:val="22"/>
        </w:rPr>
        <w:t>nintedanibo</w:t>
      </w:r>
      <w:proofErr w:type="spellEnd"/>
      <w:r w:rsidRPr="00220850">
        <w:rPr>
          <w:sz w:val="22"/>
        </w:rPr>
        <w:t xml:space="preserve"> ekspozicija viso</w:t>
      </w:r>
      <w:r w:rsidR="00EF1255" w:rsidRPr="00220850">
        <w:rPr>
          <w:sz w:val="22"/>
        </w:rPr>
        <w:t xml:space="preserve"> </w:t>
      </w:r>
      <w:r w:rsidRPr="00220850">
        <w:rPr>
          <w:sz w:val="22"/>
        </w:rPr>
        <w:t>tyrimo metu siekė 15,6 mėnesio. Atsitiktinių imčių atranka buvo sluoksniuojama atsižvelgiant į</w:t>
      </w:r>
      <w:r w:rsidR="00EF1255" w:rsidRPr="00220850">
        <w:rPr>
          <w:sz w:val="22"/>
        </w:rPr>
        <w:t xml:space="preserve"> </w:t>
      </w:r>
      <w:r w:rsidRPr="00220850">
        <w:rPr>
          <w:sz w:val="22"/>
        </w:rPr>
        <w:t>DSGKT nustatytą fibrozės pobūdį, įvertintą centrinės įstaigos recenzentų. Atsitiktinių imčių būdu</w:t>
      </w:r>
      <w:r w:rsidR="00CA7843" w:rsidRPr="00220850">
        <w:rPr>
          <w:sz w:val="22"/>
        </w:rPr>
        <w:t xml:space="preserve"> </w:t>
      </w:r>
      <w:r w:rsidRPr="00220850">
        <w:rPr>
          <w:sz w:val="22"/>
        </w:rPr>
        <w:t xml:space="preserve">buvo atrinkta 412 pacientų, kurių DSGKT rodė įprastai </w:t>
      </w:r>
      <w:proofErr w:type="spellStart"/>
      <w:r w:rsidRPr="00220850">
        <w:rPr>
          <w:sz w:val="22"/>
        </w:rPr>
        <w:t>intersticinei</w:t>
      </w:r>
      <w:proofErr w:type="spellEnd"/>
      <w:r w:rsidRPr="00220850">
        <w:rPr>
          <w:sz w:val="22"/>
        </w:rPr>
        <w:t xml:space="preserve"> pneumonijai (ĮIP) būdingą</w:t>
      </w:r>
      <w:r w:rsidR="00CA7843" w:rsidRPr="00220850">
        <w:rPr>
          <w:sz w:val="22"/>
        </w:rPr>
        <w:t xml:space="preserve"> </w:t>
      </w:r>
      <w:r w:rsidRPr="00220850">
        <w:rPr>
          <w:sz w:val="22"/>
        </w:rPr>
        <w:t>fibrozės pobūdį, ir 251 pacientas, kurių DSGKT rodė kitokio pobūdžio fibrozę. Šiame tyrime</w:t>
      </w:r>
      <w:r w:rsidR="00CA7843" w:rsidRPr="00220850">
        <w:rPr>
          <w:sz w:val="22"/>
        </w:rPr>
        <w:t xml:space="preserve"> </w:t>
      </w:r>
      <w:r w:rsidR="00EC61CF" w:rsidRPr="00220850">
        <w:rPr>
          <w:sz w:val="22"/>
        </w:rPr>
        <w:t xml:space="preserve">analizavimui </w:t>
      </w:r>
      <w:r w:rsidRPr="00220850">
        <w:rPr>
          <w:sz w:val="22"/>
        </w:rPr>
        <w:t>sudaryti 2 pagrindinės populiacijos pogrupiai: visi pacientai (bendroji populiacija) ir</w:t>
      </w:r>
      <w:r w:rsidR="00CA7843" w:rsidRPr="00220850">
        <w:rPr>
          <w:sz w:val="22"/>
        </w:rPr>
        <w:t xml:space="preserve"> </w:t>
      </w:r>
      <w:r w:rsidRPr="00220850">
        <w:rPr>
          <w:sz w:val="22"/>
        </w:rPr>
        <w:t>pacientai, kuriems DSGKT nustatytas ĮIP būdingas fibrozės pobūdis. Pacientai, kuriems DSGKT</w:t>
      </w:r>
      <w:r w:rsidR="00CA7843" w:rsidRPr="00220850">
        <w:rPr>
          <w:sz w:val="22"/>
        </w:rPr>
        <w:t xml:space="preserve"> </w:t>
      </w:r>
      <w:r w:rsidRPr="00220850">
        <w:rPr>
          <w:sz w:val="22"/>
        </w:rPr>
        <w:t>nustatytos kitokio pobūdžio fibrozės, sudarė papildomą populiaciją.</w:t>
      </w:r>
    </w:p>
    <w:p w14:paraId="723037C4" w14:textId="77777777" w:rsidR="00CA7843" w:rsidRPr="00220850" w:rsidRDefault="00CA7843" w:rsidP="00B243D9">
      <w:pPr>
        <w:tabs>
          <w:tab w:val="left" w:pos="567"/>
        </w:tabs>
        <w:spacing w:line="260" w:lineRule="exact"/>
        <w:ind w:right="-142"/>
        <w:rPr>
          <w:sz w:val="22"/>
        </w:rPr>
      </w:pPr>
    </w:p>
    <w:p w14:paraId="3ED85A2E" w14:textId="098DFDB8" w:rsidR="00B243D9" w:rsidRPr="00220850" w:rsidRDefault="00B243D9" w:rsidP="00B243D9">
      <w:pPr>
        <w:tabs>
          <w:tab w:val="left" w:pos="567"/>
        </w:tabs>
        <w:spacing w:line="260" w:lineRule="exact"/>
        <w:ind w:right="-142"/>
        <w:rPr>
          <w:sz w:val="22"/>
        </w:rPr>
      </w:pPr>
      <w:r w:rsidRPr="00220850">
        <w:rPr>
          <w:sz w:val="22"/>
        </w:rPr>
        <w:t>P</w:t>
      </w:r>
      <w:r w:rsidR="00CA7843" w:rsidRPr="00220850">
        <w:rPr>
          <w:sz w:val="22"/>
        </w:rPr>
        <w:t>agrindinė</w:t>
      </w:r>
      <w:r w:rsidRPr="00220850">
        <w:rPr>
          <w:sz w:val="22"/>
        </w:rPr>
        <w:t xml:space="preserve"> vertinamoji baigtis buvo metinis forsuotos gyvybinės plaučių talpos (FGPT) (ml)</w:t>
      </w:r>
      <w:r w:rsidR="00CA7843" w:rsidRPr="00220850">
        <w:rPr>
          <w:sz w:val="22"/>
        </w:rPr>
        <w:t xml:space="preserve"> </w:t>
      </w:r>
      <w:r w:rsidRPr="00220850">
        <w:rPr>
          <w:sz w:val="22"/>
        </w:rPr>
        <w:t xml:space="preserve">sumažėjimo per 52 savaites rodmuo. </w:t>
      </w:r>
      <w:r w:rsidR="00EC61CF" w:rsidRPr="00220850">
        <w:rPr>
          <w:sz w:val="22"/>
        </w:rPr>
        <w:t>Reikšmingos</w:t>
      </w:r>
      <w:r w:rsidRPr="00220850">
        <w:rPr>
          <w:sz w:val="22"/>
        </w:rPr>
        <w:t xml:space="preserve"> antraeilės vertinamosios baigtys buvo absoliutus</w:t>
      </w:r>
      <w:r w:rsidR="00CA7843" w:rsidRPr="00220850">
        <w:rPr>
          <w:sz w:val="22"/>
        </w:rPr>
        <w:t xml:space="preserve"> </w:t>
      </w:r>
      <w:r w:rsidRPr="00220850">
        <w:rPr>
          <w:sz w:val="22"/>
        </w:rPr>
        <w:t xml:space="preserve">bendrojo balo pokytis nuo pradinio pagal Kingo trumpąjį </w:t>
      </w:r>
      <w:proofErr w:type="spellStart"/>
      <w:r w:rsidRPr="00220850">
        <w:rPr>
          <w:sz w:val="22"/>
        </w:rPr>
        <w:t>intersticinės</w:t>
      </w:r>
      <w:proofErr w:type="spellEnd"/>
      <w:r w:rsidRPr="00220850">
        <w:rPr>
          <w:sz w:val="22"/>
        </w:rPr>
        <w:t xml:space="preserve"> plaučių ligos klausimyną (angl.</w:t>
      </w:r>
      <w:r w:rsidR="00EC61CF" w:rsidRPr="00220850">
        <w:rPr>
          <w:sz w:val="22"/>
        </w:rPr>
        <w:t xml:space="preserve"> </w:t>
      </w:r>
      <w:proofErr w:type="spellStart"/>
      <w:r w:rsidRPr="00220850">
        <w:rPr>
          <w:i/>
          <w:sz w:val="22"/>
        </w:rPr>
        <w:t>King's</w:t>
      </w:r>
      <w:proofErr w:type="spellEnd"/>
      <w:r w:rsidRPr="00220850">
        <w:rPr>
          <w:i/>
          <w:sz w:val="22"/>
        </w:rPr>
        <w:t xml:space="preserve"> </w:t>
      </w:r>
      <w:proofErr w:type="spellStart"/>
      <w:r w:rsidRPr="00220850">
        <w:rPr>
          <w:i/>
          <w:sz w:val="22"/>
        </w:rPr>
        <w:t>Brief</w:t>
      </w:r>
      <w:proofErr w:type="spellEnd"/>
      <w:r w:rsidRPr="00220850">
        <w:rPr>
          <w:i/>
          <w:sz w:val="22"/>
        </w:rPr>
        <w:t xml:space="preserve"> </w:t>
      </w:r>
      <w:proofErr w:type="spellStart"/>
      <w:r w:rsidRPr="00220850">
        <w:rPr>
          <w:i/>
          <w:sz w:val="22"/>
        </w:rPr>
        <w:t>Interstitial</w:t>
      </w:r>
      <w:proofErr w:type="spellEnd"/>
      <w:r w:rsidRPr="00220850">
        <w:rPr>
          <w:i/>
          <w:sz w:val="22"/>
        </w:rPr>
        <w:t xml:space="preserve"> </w:t>
      </w:r>
      <w:proofErr w:type="spellStart"/>
      <w:r w:rsidRPr="00220850">
        <w:rPr>
          <w:i/>
          <w:sz w:val="22"/>
        </w:rPr>
        <w:t>Lung</w:t>
      </w:r>
      <w:proofErr w:type="spellEnd"/>
      <w:r w:rsidRPr="00220850">
        <w:rPr>
          <w:i/>
          <w:sz w:val="22"/>
        </w:rPr>
        <w:t xml:space="preserve"> </w:t>
      </w:r>
      <w:proofErr w:type="spellStart"/>
      <w:r w:rsidRPr="00220850">
        <w:rPr>
          <w:i/>
          <w:sz w:val="22"/>
        </w:rPr>
        <w:t>Disease</w:t>
      </w:r>
      <w:proofErr w:type="spellEnd"/>
      <w:r w:rsidRPr="00220850">
        <w:rPr>
          <w:i/>
          <w:sz w:val="22"/>
        </w:rPr>
        <w:t xml:space="preserve"> </w:t>
      </w:r>
      <w:proofErr w:type="spellStart"/>
      <w:r w:rsidRPr="00220850">
        <w:rPr>
          <w:i/>
          <w:sz w:val="22"/>
        </w:rPr>
        <w:t>Questionnaire</w:t>
      </w:r>
      <w:proofErr w:type="spellEnd"/>
      <w:r w:rsidRPr="00220850">
        <w:rPr>
          <w:i/>
          <w:sz w:val="22"/>
        </w:rPr>
        <w:t>, K-BILD</w:t>
      </w:r>
      <w:r w:rsidRPr="00220850">
        <w:rPr>
          <w:sz w:val="22"/>
        </w:rPr>
        <w:t>) 52</w:t>
      </w:r>
      <w:r w:rsidR="00EC61CF" w:rsidRPr="00220850">
        <w:rPr>
          <w:sz w:val="22"/>
        </w:rPr>
        <w:t>-ą</w:t>
      </w:r>
      <w:r w:rsidRPr="00220850">
        <w:rPr>
          <w:sz w:val="22"/>
        </w:rPr>
        <w:t xml:space="preserve"> savaitę, laikotarpis iki pirmo ūm</w:t>
      </w:r>
      <w:r w:rsidR="005763B1" w:rsidRPr="00220850">
        <w:rPr>
          <w:sz w:val="22"/>
        </w:rPr>
        <w:t>inio</w:t>
      </w:r>
      <w:r w:rsidR="00CA7843" w:rsidRPr="00220850">
        <w:rPr>
          <w:sz w:val="22"/>
        </w:rPr>
        <w:t xml:space="preserve"> </w:t>
      </w:r>
      <w:r w:rsidRPr="00220850">
        <w:rPr>
          <w:sz w:val="22"/>
        </w:rPr>
        <w:t>IPL pa</w:t>
      </w:r>
      <w:r w:rsidR="00CA7843" w:rsidRPr="00220850">
        <w:rPr>
          <w:sz w:val="22"/>
        </w:rPr>
        <w:t>blogėjimo</w:t>
      </w:r>
      <w:r w:rsidRPr="00220850">
        <w:rPr>
          <w:sz w:val="22"/>
        </w:rPr>
        <w:t xml:space="preserve"> arba mirties per 52 savaites ir laikotarpis iki mirties per 52 savaites.</w:t>
      </w:r>
    </w:p>
    <w:p w14:paraId="0D0879D8" w14:textId="77777777" w:rsidR="00CA7843" w:rsidRPr="00220850" w:rsidRDefault="00CA7843" w:rsidP="00B243D9">
      <w:pPr>
        <w:tabs>
          <w:tab w:val="left" w:pos="567"/>
        </w:tabs>
        <w:spacing w:line="260" w:lineRule="exact"/>
        <w:ind w:right="-142"/>
        <w:rPr>
          <w:sz w:val="22"/>
        </w:rPr>
      </w:pPr>
    </w:p>
    <w:p w14:paraId="193712DC" w14:textId="77777777" w:rsidR="00B243D9" w:rsidRPr="00220850" w:rsidRDefault="00B243D9" w:rsidP="00B243D9">
      <w:pPr>
        <w:tabs>
          <w:tab w:val="left" w:pos="567"/>
        </w:tabs>
        <w:spacing w:line="260" w:lineRule="exact"/>
        <w:ind w:right="-142"/>
        <w:rPr>
          <w:sz w:val="22"/>
        </w:rPr>
      </w:pPr>
      <w:r w:rsidRPr="00220850">
        <w:rPr>
          <w:sz w:val="22"/>
        </w:rPr>
        <w:t>Pacientų amžiaus vidurkis (standartinis nuokry</w:t>
      </w:r>
      <w:r w:rsidR="00CA7843" w:rsidRPr="00220850">
        <w:rPr>
          <w:sz w:val="22"/>
        </w:rPr>
        <w:t>pis [SN, min.-</w:t>
      </w:r>
      <w:proofErr w:type="spellStart"/>
      <w:r w:rsidR="00CA7843" w:rsidRPr="00220850">
        <w:rPr>
          <w:sz w:val="22"/>
        </w:rPr>
        <w:t>maks</w:t>
      </w:r>
      <w:proofErr w:type="spellEnd"/>
      <w:r w:rsidR="00CA7843" w:rsidRPr="00220850">
        <w:rPr>
          <w:sz w:val="22"/>
        </w:rPr>
        <w:t>.]) buvo 65,8 (9,8, 27 </w:t>
      </w:r>
      <w:r w:rsidRPr="00220850">
        <w:rPr>
          <w:sz w:val="22"/>
        </w:rPr>
        <w:t>-</w:t>
      </w:r>
      <w:r w:rsidR="00CA7843" w:rsidRPr="00220850">
        <w:rPr>
          <w:sz w:val="22"/>
        </w:rPr>
        <w:t> </w:t>
      </w:r>
      <w:r w:rsidRPr="00220850">
        <w:rPr>
          <w:sz w:val="22"/>
        </w:rPr>
        <w:t>87) metų, o</w:t>
      </w:r>
      <w:r w:rsidR="00CA7843" w:rsidRPr="00220850">
        <w:rPr>
          <w:sz w:val="22"/>
        </w:rPr>
        <w:t xml:space="preserve"> </w:t>
      </w:r>
      <w:r w:rsidRPr="00220850">
        <w:rPr>
          <w:sz w:val="22"/>
        </w:rPr>
        <w:t>vidutinė FGPT, išreikšta procen</w:t>
      </w:r>
      <w:r w:rsidR="00EC61CF" w:rsidRPr="00220850">
        <w:rPr>
          <w:sz w:val="22"/>
        </w:rPr>
        <w:t>tais nuo būtinojo dydžio – 69 </w:t>
      </w:r>
      <w:r w:rsidRPr="00220850">
        <w:rPr>
          <w:sz w:val="22"/>
        </w:rPr>
        <w:t>% (15,6, 42-137). Pagrindinės klinikinės</w:t>
      </w:r>
      <w:r w:rsidR="00CA7843" w:rsidRPr="00220850">
        <w:rPr>
          <w:sz w:val="22"/>
        </w:rPr>
        <w:t xml:space="preserve"> </w:t>
      </w:r>
      <w:r w:rsidRPr="00220850">
        <w:rPr>
          <w:sz w:val="22"/>
        </w:rPr>
        <w:t xml:space="preserve">IPL diagnozės tyrime dalyvavusiose grupėse buvo </w:t>
      </w:r>
      <w:proofErr w:type="spellStart"/>
      <w:r w:rsidRPr="00220850">
        <w:rPr>
          <w:sz w:val="22"/>
        </w:rPr>
        <w:t>pneumonitas</w:t>
      </w:r>
      <w:proofErr w:type="spellEnd"/>
      <w:r w:rsidR="00CA7843" w:rsidRPr="00220850">
        <w:rPr>
          <w:sz w:val="22"/>
        </w:rPr>
        <w:t xml:space="preserve"> dėl padidėjusio jautrumo (26,1 </w:t>
      </w:r>
      <w:r w:rsidRPr="00220850">
        <w:rPr>
          <w:sz w:val="22"/>
        </w:rPr>
        <w:t>%),</w:t>
      </w:r>
      <w:r w:rsidR="00CA7843" w:rsidRPr="00220850">
        <w:rPr>
          <w:sz w:val="22"/>
        </w:rPr>
        <w:t xml:space="preserve"> autoimuninės IPL (25,6 </w:t>
      </w:r>
      <w:r w:rsidRPr="00220850">
        <w:rPr>
          <w:sz w:val="22"/>
        </w:rPr>
        <w:t xml:space="preserve">%), nespecifinė idiopatinė </w:t>
      </w:r>
      <w:proofErr w:type="spellStart"/>
      <w:r w:rsidRPr="00220850">
        <w:rPr>
          <w:sz w:val="22"/>
        </w:rPr>
        <w:t>intersticinė</w:t>
      </w:r>
      <w:proofErr w:type="spellEnd"/>
      <w:r w:rsidRPr="00220850">
        <w:rPr>
          <w:sz w:val="22"/>
        </w:rPr>
        <w:t xml:space="preserve"> pneumonija (18,9</w:t>
      </w:r>
      <w:r w:rsidR="00CA7843" w:rsidRPr="00220850">
        <w:rPr>
          <w:sz w:val="22"/>
        </w:rPr>
        <w:t> </w:t>
      </w:r>
      <w:r w:rsidRPr="00220850">
        <w:rPr>
          <w:sz w:val="22"/>
        </w:rPr>
        <w:t>%), kitaip</w:t>
      </w:r>
      <w:r w:rsidR="00CA7843" w:rsidRPr="00220850">
        <w:rPr>
          <w:sz w:val="22"/>
        </w:rPr>
        <w:t xml:space="preserve"> </w:t>
      </w:r>
      <w:r w:rsidRPr="00220850">
        <w:rPr>
          <w:sz w:val="22"/>
        </w:rPr>
        <w:t xml:space="preserve">neklasifikuojama idiopatinė </w:t>
      </w:r>
      <w:proofErr w:type="spellStart"/>
      <w:r w:rsidRPr="00220850">
        <w:rPr>
          <w:sz w:val="22"/>
        </w:rPr>
        <w:t>intersticinė</w:t>
      </w:r>
      <w:proofErr w:type="spellEnd"/>
      <w:r w:rsidRPr="00220850">
        <w:rPr>
          <w:sz w:val="22"/>
        </w:rPr>
        <w:t xml:space="preserve"> pneumonija (17,2</w:t>
      </w:r>
      <w:r w:rsidR="00CA7843" w:rsidRPr="00220850">
        <w:rPr>
          <w:sz w:val="22"/>
        </w:rPr>
        <w:t> %), ir kitos IPL (12,2 </w:t>
      </w:r>
      <w:r w:rsidRPr="00220850">
        <w:rPr>
          <w:sz w:val="22"/>
        </w:rPr>
        <w:t>%).</w:t>
      </w:r>
    </w:p>
    <w:p w14:paraId="70DB4F05" w14:textId="77777777" w:rsidR="00CA7843" w:rsidRPr="00220850" w:rsidRDefault="00CA7843" w:rsidP="00B243D9">
      <w:pPr>
        <w:tabs>
          <w:tab w:val="left" w:pos="567"/>
        </w:tabs>
        <w:spacing w:line="260" w:lineRule="exact"/>
        <w:ind w:right="-142"/>
        <w:rPr>
          <w:sz w:val="22"/>
        </w:rPr>
      </w:pPr>
    </w:p>
    <w:p w14:paraId="28736F80" w14:textId="77777777" w:rsidR="00B243D9" w:rsidRPr="00220850" w:rsidRDefault="00B243D9" w:rsidP="00B243D9">
      <w:pPr>
        <w:tabs>
          <w:tab w:val="left" w:pos="567"/>
        </w:tabs>
        <w:spacing w:line="260" w:lineRule="exact"/>
        <w:ind w:right="-142"/>
        <w:rPr>
          <w:sz w:val="22"/>
        </w:rPr>
      </w:pPr>
      <w:r w:rsidRPr="00220850">
        <w:rPr>
          <w:sz w:val="22"/>
        </w:rPr>
        <w:t xml:space="preserve">Tyrimas INBUILD nebuvo skirtas arba pritaikytas </w:t>
      </w:r>
      <w:proofErr w:type="spellStart"/>
      <w:r w:rsidRPr="00220850">
        <w:rPr>
          <w:sz w:val="22"/>
        </w:rPr>
        <w:t>nintedanibo</w:t>
      </w:r>
      <w:proofErr w:type="spellEnd"/>
      <w:r w:rsidRPr="00220850">
        <w:rPr>
          <w:sz w:val="22"/>
        </w:rPr>
        <w:t xml:space="preserve"> naudai specifiniuose diagnostiniuose</w:t>
      </w:r>
      <w:r w:rsidR="00CA7843" w:rsidRPr="00220850">
        <w:rPr>
          <w:sz w:val="22"/>
        </w:rPr>
        <w:t xml:space="preserve"> </w:t>
      </w:r>
      <w:r w:rsidRPr="00220850">
        <w:rPr>
          <w:sz w:val="22"/>
        </w:rPr>
        <w:t>pacientų pogrupiuose įrodyti. Remiantis IPL diagnozėmis, pogrupiuose nustatyti pastovūs poveikiai.</w:t>
      </w:r>
      <w:r w:rsidR="00CA7843" w:rsidRPr="00220850">
        <w:rPr>
          <w:sz w:val="22"/>
        </w:rPr>
        <w:t xml:space="preserve"> </w:t>
      </w:r>
      <w:proofErr w:type="spellStart"/>
      <w:r w:rsidRPr="00220850">
        <w:rPr>
          <w:sz w:val="22"/>
        </w:rPr>
        <w:t>Nintedanibo</w:t>
      </w:r>
      <w:proofErr w:type="spellEnd"/>
      <w:r w:rsidRPr="00220850">
        <w:rPr>
          <w:sz w:val="22"/>
        </w:rPr>
        <w:t xml:space="preserve"> skyrimo pacientams, sergantiems labai retomis progresuojančiomis IPL, patirties</w:t>
      </w:r>
      <w:r w:rsidR="00CA7843" w:rsidRPr="00220850">
        <w:rPr>
          <w:sz w:val="22"/>
        </w:rPr>
        <w:t xml:space="preserve"> </w:t>
      </w:r>
      <w:r w:rsidRPr="00220850">
        <w:rPr>
          <w:sz w:val="22"/>
        </w:rPr>
        <w:t>nepakanka.</w:t>
      </w:r>
    </w:p>
    <w:p w14:paraId="6F893E90" w14:textId="77777777" w:rsidR="00CA7843" w:rsidRPr="00220850" w:rsidRDefault="00CA7843" w:rsidP="00B243D9">
      <w:pPr>
        <w:tabs>
          <w:tab w:val="left" w:pos="567"/>
        </w:tabs>
        <w:spacing w:line="260" w:lineRule="exact"/>
        <w:ind w:right="-142"/>
        <w:rPr>
          <w:sz w:val="22"/>
        </w:rPr>
      </w:pPr>
    </w:p>
    <w:p w14:paraId="7F321BEF" w14:textId="77777777" w:rsidR="00B243D9" w:rsidRPr="00220850" w:rsidRDefault="00B243D9" w:rsidP="00B243D9">
      <w:pPr>
        <w:tabs>
          <w:tab w:val="left" w:pos="567"/>
        </w:tabs>
        <w:spacing w:line="260" w:lineRule="exact"/>
        <w:ind w:right="-142"/>
        <w:rPr>
          <w:i/>
          <w:sz w:val="22"/>
          <w:u w:val="single"/>
        </w:rPr>
      </w:pPr>
      <w:r w:rsidRPr="00220850">
        <w:rPr>
          <w:i/>
          <w:sz w:val="22"/>
          <w:u w:val="single"/>
        </w:rPr>
        <w:t>Metinis FGPT sumažėjimo rodmuo</w:t>
      </w:r>
    </w:p>
    <w:p w14:paraId="4066A951" w14:textId="24D08A23" w:rsidR="002559D3" w:rsidRPr="00220850" w:rsidRDefault="00CA7843" w:rsidP="00B243D9">
      <w:pPr>
        <w:tabs>
          <w:tab w:val="left" w:pos="567"/>
        </w:tabs>
        <w:spacing w:line="260" w:lineRule="exact"/>
        <w:ind w:right="-142"/>
        <w:rPr>
          <w:sz w:val="22"/>
        </w:rPr>
      </w:pPr>
      <w:proofErr w:type="spellStart"/>
      <w:r w:rsidRPr="00220850">
        <w:rPr>
          <w:sz w:val="22"/>
        </w:rPr>
        <w:t>Nintedanibo</w:t>
      </w:r>
      <w:proofErr w:type="spellEnd"/>
      <w:r w:rsidR="00B243D9" w:rsidRPr="00220850">
        <w:rPr>
          <w:sz w:val="22"/>
        </w:rPr>
        <w:t xml:space="preserve"> vartojusių pacientų metinis FGPT sumažėjimo per 52 savaites rodmuo (ml) buvo reikšmingai</w:t>
      </w:r>
      <w:r w:rsidRPr="00220850">
        <w:rPr>
          <w:sz w:val="22"/>
        </w:rPr>
        <w:t xml:space="preserve"> 107 </w:t>
      </w:r>
      <w:r w:rsidR="00B243D9" w:rsidRPr="00220850">
        <w:rPr>
          <w:sz w:val="22"/>
        </w:rPr>
        <w:t>ml mažesnis, palyginti su placebą vartojusių pacie</w:t>
      </w:r>
      <w:r w:rsidRPr="00220850">
        <w:rPr>
          <w:sz w:val="22"/>
        </w:rPr>
        <w:t>ntų (</w:t>
      </w:r>
      <w:r w:rsidR="00160C7C" w:rsidRPr="00220850">
        <w:rPr>
          <w:sz w:val="22"/>
        </w:rPr>
        <w:t>9</w:t>
      </w:r>
      <w:r w:rsidRPr="00220850">
        <w:rPr>
          <w:sz w:val="22"/>
        </w:rPr>
        <w:t xml:space="preserve"> lentelė) atitinkant 57 </w:t>
      </w:r>
      <w:r w:rsidR="00B243D9" w:rsidRPr="00220850">
        <w:rPr>
          <w:sz w:val="22"/>
        </w:rPr>
        <w:t>% santykinį</w:t>
      </w:r>
      <w:r w:rsidRPr="00220850">
        <w:rPr>
          <w:sz w:val="22"/>
        </w:rPr>
        <w:t xml:space="preserve"> </w:t>
      </w:r>
      <w:r w:rsidR="00B243D9" w:rsidRPr="00220850">
        <w:rPr>
          <w:sz w:val="22"/>
        </w:rPr>
        <w:t>gydymo poveikį.</w:t>
      </w:r>
    </w:p>
    <w:p w14:paraId="3D7A6E41" w14:textId="77777777" w:rsidR="00B243D9" w:rsidRPr="00220850" w:rsidRDefault="00B243D9">
      <w:pPr>
        <w:tabs>
          <w:tab w:val="left" w:pos="567"/>
        </w:tabs>
        <w:spacing w:line="260" w:lineRule="exact"/>
        <w:ind w:right="-142"/>
        <w:rPr>
          <w:sz w:val="20"/>
        </w:rPr>
      </w:pPr>
    </w:p>
    <w:p w14:paraId="1CE487AF" w14:textId="6F503887" w:rsidR="00CA7843" w:rsidRPr="00220850" w:rsidRDefault="00160C7C" w:rsidP="00CA7843">
      <w:pPr>
        <w:keepNext/>
        <w:autoSpaceDE w:val="0"/>
        <w:autoSpaceDN w:val="0"/>
        <w:adjustRightInd w:val="0"/>
        <w:ind w:left="1134" w:hanging="1134"/>
        <w:rPr>
          <w:rFonts w:eastAsia="TimesNewRoman,Bold"/>
          <w:b/>
          <w:bCs/>
          <w:sz w:val="22"/>
          <w:szCs w:val="22"/>
        </w:rPr>
      </w:pPr>
      <w:r w:rsidRPr="00220850">
        <w:rPr>
          <w:rFonts w:eastAsia="TimesNewRoman,Bold"/>
          <w:b/>
          <w:bCs/>
          <w:sz w:val="20"/>
        </w:rPr>
        <w:lastRenderedPageBreak/>
        <w:t>9</w:t>
      </w:r>
      <w:r w:rsidR="00CA7843" w:rsidRPr="00220850">
        <w:rPr>
          <w:rFonts w:eastAsia="TimesNewRoman,Bold"/>
          <w:b/>
          <w:bCs/>
          <w:sz w:val="20"/>
        </w:rPr>
        <w:t xml:space="preserve"> lentelė. </w:t>
      </w:r>
      <w:r w:rsidR="00CA7843" w:rsidRPr="00220850">
        <w:rPr>
          <w:rFonts w:eastAsia="TimesNewRoman,Bold"/>
          <w:b/>
          <w:bCs/>
          <w:sz w:val="22"/>
          <w:szCs w:val="22"/>
        </w:rPr>
        <w:t>Metinis FGPT sumažėjimo per 52 savaites rodmuo (ml)</w:t>
      </w:r>
    </w:p>
    <w:p w14:paraId="063616C6" w14:textId="77777777" w:rsidR="00CA7843" w:rsidRPr="00220850" w:rsidRDefault="00CA7843" w:rsidP="00CA7843">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3963"/>
        <w:gridCol w:w="2067"/>
        <w:gridCol w:w="3019"/>
      </w:tblGrid>
      <w:tr w:rsidR="00CA7843" w:rsidRPr="00220850" w14:paraId="46E9F9C0" w14:textId="77777777" w:rsidTr="0035166F">
        <w:trPr>
          <w:tblHeader/>
        </w:trPr>
        <w:tc>
          <w:tcPr>
            <w:tcW w:w="2190" w:type="pct"/>
          </w:tcPr>
          <w:p w14:paraId="6414675E" w14:textId="77777777" w:rsidR="00CA7843" w:rsidRPr="00220850" w:rsidRDefault="00CA7843" w:rsidP="00CC094E">
            <w:pPr>
              <w:autoSpaceDE w:val="0"/>
              <w:autoSpaceDN w:val="0"/>
              <w:adjustRightInd w:val="0"/>
              <w:rPr>
                <w:sz w:val="22"/>
                <w:szCs w:val="22"/>
                <w:lang w:val="lt-LT"/>
              </w:rPr>
            </w:pPr>
          </w:p>
        </w:tc>
        <w:tc>
          <w:tcPr>
            <w:tcW w:w="1142" w:type="pct"/>
          </w:tcPr>
          <w:p w14:paraId="7DCE7F40" w14:textId="77777777" w:rsidR="00CA7843" w:rsidRPr="00220850" w:rsidRDefault="00CA7843" w:rsidP="00331A5B">
            <w:pPr>
              <w:autoSpaceDE w:val="0"/>
              <w:autoSpaceDN w:val="0"/>
              <w:adjustRightInd w:val="0"/>
              <w:jc w:val="center"/>
              <w:rPr>
                <w:sz w:val="22"/>
                <w:szCs w:val="22"/>
                <w:lang w:val="lt-LT"/>
              </w:rPr>
            </w:pPr>
            <w:r w:rsidRPr="00220850">
              <w:rPr>
                <w:sz w:val="22"/>
                <w:szCs w:val="22"/>
                <w:lang w:val="lt-LT"/>
              </w:rPr>
              <w:t>Placeb</w:t>
            </w:r>
            <w:r w:rsidR="00331A5B" w:rsidRPr="00220850">
              <w:rPr>
                <w:sz w:val="22"/>
                <w:szCs w:val="22"/>
                <w:lang w:val="lt-LT"/>
              </w:rPr>
              <w:t>as</w:t>
            </w:r>
          </w:p>
        </w:tc>
        <w:tc>
          <w:tcPr>
            <w:tcW w:w="1668" w:type="pct"/>
          </w:tcPr>
          <w:p w14:paraId="75F4AEFC" w14:textId="77777777" w:rsidR="00CA7843" w:rsidRPr="00220850" w:rsidRDefault="004A1B49" w:rsidP="00CC094E">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CA7843" w:rsidRPr="00220850" w14:paraId="4421C4A7" w14:textId="77777777" w:rsidTr="0035166F">
        <w:tc>
          <w:tcPr>
            <w:tcW w:w="2190" w:type="pct"/>
          </w:tcPr>
          <w:p w14:paraId="191F0C80" w14:textId="77777777" w:rsidR="00CA7843" w:rsidRPr="00220850" w:rsidRDefault="004A1B49" w:rsidP="004A1B49">
            <w:pPr>
              <w:autoSpaceDE w:val="0"/>
              <w:autoSpaceDN w:val="0"/>
              <w:adjustRightInd w:val="0"/>
              <w:rPr>
                <w:sz w:val="22"/>
                <w:szCs w:val="22"/>
                <w:lang w:val="lt-LT"/>
              </w:rPr>
            </w:pPr>
            <w:r w:rsidRPr="00220850">
              <w:rPr>
                <w:sz w:val="22"/>
                <w:szCs w:val="22"/>
                <w:lang w:val="lt-LT"/>
              </w:rPr>
              <w:t>Analizuotų pacientų skaičius</w:t>
            </w:r>
          </w:p>
        </w:tc>
        <w:tc>
          <w:tcPr>
            <w:tcW w:w="1142" w:type="pct"/>
            <w:vAlign w:val="center"/>
          </w:tcPr>
          <w:p w14:paraId="572F447E" w14:textId="77777777" w:rsidR="00CA7843" w:rsidRPr="00220850" w:rsidRDefault="00CA7843" w:rsidP="00CC094E">
            <w:pPr>
              <w:autoSpaceDE w:val="0"/>
              <w:autoSpaceDN w:val="0"/>
              <w:adjustRightInd w:val="0"/>
              <w:jc w:val="center"/>
              <w:rPr>
                <w:sz w:val="22"/>
                <w:szCs w:val="22"/>
                <w:lang w:val="lt-LT"/>
              </w:rPr>
            </w:pPr>
            <w:r w:rsidRPr="00220850">
              <w:rPr>
                <w:sz w:val="22"/>
                <w:szCs w:val="22"/>
                <w:lang w:val="lt-LT"/>
              </w:rPr>
              <w:t>331</w:t>
            </w:r>
          </w:p>
        </w:tc>
        <w:tc>
          <w:tcPr>
            <w:tcW w:w="1668" w:type="pct"/>
            <w:vAlign w:val="center"/>
          </w:tcPr>
          <w:p w14:paraId="4B63863E" w14:textId="77777777" w:rsidR="00CA7843" w:rsidRPr="00220850" w:rsidRDefault="00CA7843" w:rsidP="00CC094E">
            <w:pPr>
              <w:autoSpaceDE w:val="0"/>
              <w:autoSpaceDN w:val="0"/>
              <w:adjustRightInd w:val="0"/>
              <w:jc w:val="center"/>
              <w:rPr>
                <w:sz w:val="22"/>
                <w:szCs w:val="22"/>
                <w:lang w:val="lt-LT"/>
              </w:rPr>
            </w:pPr>
            <w:r w:rsidRPr="00220850">
              <w:rPr>
                <w:sz w:val="22"/>
                <w:szCs w:val="22"/>
                <w:lang w:val="lt-LT"/>
              </w:rPr>
              <w:t>332</w:t>
            </w:r>
          </w:p>
        </w:tc>
      </w:tr>
      <w:tr w:rsidR="00CA7843" w:rsidRPr="00220850" w14:paraId="50BA8319" w14:textId="77777777" w:rsidTr="0035166F">
        <w:tc>
          <w:tcPr>
            <w:tcW w:w="2190" w:type="pct"/>
          </w:tcPr>
          <w:p w14:paraId="5E82031F" w14:textId="77777777" w:rsidR="00CA7843" w:rsidRPr="00220850" w:rsidRDefault="004A1B49" w:rsidP="004A1B49">
            <w:pPr>
              <w:autoSpaceDE w:val="0"/>
              <w:autoSpaceDN w:val="0"/>
              <w:adjustRightInd w:val="0"/>
              <w:rPr>
                <w:sz w:val="22"/>
                <w:szCs w:val="22"/>
                <w:lang w:val="lt-LT"/>
              </w:rPr>
            </w:pPr>
            <w:r w:rsidRPr="00220850">
              <w:rPr>
                <w:sz w:val="22"/>
                <w:szCs w:val="22"/>
                <w:lang w:val="lt-LT"/>
              </w:rPr>
              <w:t>Sumažėjimo per 52 savaites rodmuo</w:t>
            </w:r>
            <w:r w:rsidR="00CA7843" w:rsidRPr="00220850">
              <w:rPr>
                <w:sz w:val="22"/>
                <w:szCs w:val="22"/>
                <w:vertAlign w:val="superscript"/>
                <w:lang w:val="lt-LT"/>
              </w:rPr>
              <w:t>1</w:t>
            </w:r>
            <w:r w:rsidR="00CA7843" w:rsidRPr="00220850">
              <w:rPr>
                <w:sz w:val="22"/>
                <w:szCs w:val="22"/>
                <w:lang w:val="lt-LT"/>
              </w:rPr>
              <w:t xml:space="preserve"> (S</w:t>
            </w:r>
            <w:r w:rsidRPr="00220850">
              <w:rPr>
                <w:sz w:val="22"/>
                <w:szCs w:val="22"/>
                <w:lang w:val="lt-LT"/>
              </w:rPr>
              <w:t>P</w:t>
            </w:r>
            <w:r w:rsidR="00CA7843" w:rsidRPr="00220850">
              <w:rPr>
                <w:sz w:val="22"/>
                <w:szCs w:val="22"/>
                <w:lang w:val="lt-LT"/>
              </w:rPr>
              <w:t xml:space="preserve">) </w:t>
            </w:r>
          </w:p>
        </w:tc>
        <w:tc>
          <w:tcPr>
            <w:tcW w:w="1142" w:type="pct"/>
            <w:vAlign w:val="bottom"/>
          </w:tcPr>
          <w:p w14:paraId="3CBEAEE7" w14:textId="77777777" w:rsidR="00CA7843" w:rsidRPr="00220850" w:rsidRDefault="00CA7843" w:rsidP="004A1B49">
            <w:pPr>
              <w:autoSpaceDE w:val="0"/>
              <w:autoSpaceDN w:val="0"/>
              <w:adjustRightInd w:val="0"/>
              <w:jc w:val="center"/>
              <w:rPr>
                <w:sz w:val="22"/>
                <w:szCs w:val="22"/>
                <w:lang w:val="lt-LT"/>
              </w:rPr>
            </w:pPr>
            <w:r w:rsidRPr="00220850">
              <w:rPr>
                <w:sz w:val="22"/>
                <w:szCs w:val="22"/>
                <w:lang w:val="lt-LT"/>
              </w:rPr>
              <w:t>-187</w:t>
            </w:r>
            <w:r w:rsidR="004A1B49" w:rsidRPr="00220850">
              <w:rPr>
                <w:sz w:val="22"/>
                <w:szCs w:val="22"/>
                <w:lang w:val="lt-LT"/>
              </w:rPr>
              <w:t>,</w:t>
            </w:r>
            <w:r w:rsidRPr="00220850">
              <w:rPr>
                <w:sz w:val="22"/>
                <w:szCs w:val="22"/>
                <w:lang w:val="lt-LT"/>
              </w:rPr>
              <w:t>8 (14</w:t>
            </w:r>
            <w:r w:rsidR="004A1B49" w:rsidRPr="00220850">
              <w:rPr>
                <w:sz w:val="22"/>
                <w:szCs w:val="22"/>
                <w:lang w:val="lt-LT"/>
              </w:rPr>
              <w:t>,</w:t>
            </w:r>
            <w:r w:rsidRPr="00220850">
              <w:rPr>
                <w:sz w:val="22"/>
                <w:szCs w:val="22"/>
                <w:lang w:val="lt-LT"/>
              </w:rPr>
              <w:t>8)</w:t>
            </w:r>
          </w:p>
        </w:tc>
        <w:tc>
          <w:tcPr>
            <w:tcW w:w="1668" w:type="pct"/>
            <w:vAlign w:val="bottom"/>
          </w:tcPr>
          <w:p w14:paraId="7A48AA4F" w14:textId="77777777" w:rsidR="00CA7843" w:rsidRPr="00220850" w:rsidRDefault="00CA7843" w:rsidP="004A1B49">
            <w:pPr>
              <w:autoSpaceDE w:val="0"/>
              <w:autoSpaceDN w:val="0"/>
              <w:adjustRightInd w:val="0"/>
              <w:jc w:val="center"/>
              <w:rPr>
                <w:sz w:val="22"/>
                <w:szCs w:val="22"/>
                <w:lang w:val="lt-LT"/>
              </w:rPr>
            </w:pPr>
            <w:r w:rsidRPr="00220850">
              <w:rPr>
                <w:sz w:val="22"/>
                <w:szCs w:val="22"/>
                <w:lang w:val="lt-LT"/>
              </w:rPr>
              <w:t>-</w:t>
            </w:r>
            <w:r w:rsidR="004A1B49" w:rsidRPr="00220850">
              <w:rPr>
                <w:sz w:val="22"/>
                <w:szCs w:val="22"/>
                <w:lang w:val="lt-LT"/>
              </w:rPr>
              <w:t>80,</w:t>
            </w:r>
            <w:r w:rsidRPr="00220850">
              <w:rPr>
                <w:sz w:val="22"/>
                <w:szCs w:val="22"/>
                <w:lang w:val="lt-LT"/>
              </w:rPr>
              <w:t>8 (15</w:t>
            </w:r>
            <w:r w:rsidR="004A1B49" w:rsidRPr="00220850">
              <w:rPr>
                <w:sz w:val="22"/>
                <w:szCs w:val="22"/>
                <w:lang w:val="lt-LT"/>
              </w:rPr>
              <w:t>,</w:t>
            </w:r>
            <w:r w:rsidRPr="00220850">
              <w:rPr>
                <w:sz w:val="22"/>
                <w:szCs w:val="22"/>
                <w:lang w:val="lt-LT"/>
              </w:rPr>
              <w:t>1)</w:t>
            </w:r>
          </w:p>
        </w:tc>
      </w:tr>
      <w:tr w:rsidR="00CA7843" w:rsidRPr="00220850" w14:paraId="3887C710" w14:textId="77777777" w:rsidTr="00CC094E">
        <w:tc>
          <w:tcPr>
            <w:tcW w:w="5000" w:type="pct"/>
            <w:gridSpan w:val="3"/>
            <w:vAlign w:val="center"/>
          </w:tcPr>
          <w:p w14:paraId="1E442D3A" w14:textId="77777777" w:rsidR="00CA7843" w:rsidRPr="00220850" w:rsidRDefault="004A1B49" w:rsidP="004A1B49">
            <w:pPr>
              <w:autoSpaceDE w:val="0"/>
              <w:autoSpaceDN w:val="0"/>
              <w:adjustRightInd w:val="0"/>
              <w:rPr>
                <w:sz w:val="22"/>
                <w:szCs w:val="22"/>
                <w:lang w:val="lt-LT"/>
              </w:rPr>
            </w:pPr>
            <w:r w:rsidRPr="00220850">
              <w:rPr>
                <w:sz w:val="22"/>
                <w:szCs w:val="22"/>
                <w:lang w:val="lt-LT"/>
              </w:rPr>
              <w:t>Palyginimas su placebu</w:t>
            </w:r>
          </w:p>
        </w:tc>
      </w:tr>
      <w:tr w:rsidR="00CA7843" w:rsidRPr="00220850" w14:paraId="45B439DB" w14:textId="77777777" w:rsidTr="0015270F">
        <w:tc>
          <w:tcPr>
            <w:tcW w:w="2190" w:type="pct"/>
          </w:tcPr>
          <w:p w14:paraId="4BEC851B" w14:textId="77777777" w:rsidR="00CA7843" w:rsidRPr="00220850" w:rsidRDefault="004A1B49" w:rsidP="004A1B49">
            <w:pPr>
              <w:autoSpaceDE w:val="0"/>
              <w:autoSpaceDN w:val="0"/>
              <w:adjustRightInd w:val="0"/>
              <w:rPr>
                <w:sz w:val="22"/>
                <w:szCs w:val="22"/>
                <w:lang w:val="lt-LT"/>
              </w:rPr>
            </w:pPr>
            <w:r w:rsidRPr="00220850">
              <w:rPr>
                <w:sz w:val="22"/>
                <w:szCs w:val="22"/>
                <w:lang w:val="lt-LT"/>
              </w:rPr>
              <w:t>Skirtumas</w:t>
            </w:r>
            <w:r w:rsidR="00CA7843" w:rsidRPr="00220850">
              <w:rPr>
                <w:sz w:val="22"/>
                <w:szCs w:val="22"/>
                <w:vertAlign w:val="superscript"/>
                <w:lang w:val="lt-LT"/>
              </w:rPr>
              <w:t>1</w:t>
            </w:r>
          </w:p>
        </w:tc>
        <w:tc>
          <w:tcPr>
            <w:tcW w:w="1142" w:type="pct"/>
            <w:vAlign w:val="center"/>
          </w:tcPr>
          <w:p w14:paraId="4BBB43E9" w14:textId="77777777" w:rsidR="00CA7843" w:rsidRPr="00220850" w:rsidRDefault="00CA7843" w:rsidP="00CC094E">
            <w:pPr>
              <w:autoSpaceDE w:val="0"/>
              <w:autoSpaceDN w:val="0"/>
              <w:adjustRightInd w:val="0"/>
              <w:jc w:val="center"/>
              <w:rPr>
                <w:sz w:val="22"/>
                <w:szCs w:val="22"/>
              </w:rPr>
            </w:pPr>
          </w:p>
        </w:tc>
        <w:tc>
          <w:tcPr>
            <w:tcW w:w="1668" w:type="pct"/>
            <w:vAlign w:val="center"/>
          </w:tcPr>
          <w:p w14:paraId="6A291915" w14:textId="77777777" w:rsidR="00CA7843" w:rsidRPr="00220850" w:rsidRDefault="00CA7843" w:rsidP="004A1B49">
            <w:pPr>
              <w:autoSpaceDE w:val="0"/>
              <w:autoSpaceDN w:val="0"/>
              <w:adjustRightInd w:val="0"/>
              <w:jc w:val="center"/>
              <w:rPr>
                <w:sz w:val="22"/>
                <w:szCs w:val="22"/>
              </w:rPr>
            </w:pPr>
            <w:r w:rsidRPr="00220850">
              <w:rPr>
                <w:sz w:val="22"/>
                <w:szCs w:val="22"/>
              </w:rPr>
              <w:t>107</w:t>
            </w:r>
            <w:r w:rsidR="004A1B49" w:rsidRPr="00220850">
              <w:rPr>
                <w:sz w:val="22"/>
                <w:szCs w:val="22"/>
              </w:rPr>
              <w:t>,</w:t>
            </w:r>
            <w:r w:rsidRPr="00220850">
              <w:rPr>
                <w:sz w:val="22"/>
                <w:szCs w:val="22"/>
              </w:rPr>
              <w:t>0</w:t>
            </w:r>
          </w:p>
        </w:tc>
      </w:tr>
      <w:tr w:rsidR="00CA7843" w:rsidRPr="00220850" w14:paraId="731919CB" w14:textId="77777777" w:rsidTr="0015270F">
        <w:tc>
          <w:tcPr>
            <w:tcW w:w="2190" w:type="pct"/>
            <w:vAlign w:val="center"/>
          </w:tcPr>
          <w:p w14:paraId="2E1C70BC" w14:textId="77777777" w:rsidR="00CA7843" w:rsidRPr="00220850" w:rsidRDefault="00CA7843" w:rsidP="00CC094E">
            <w:pPr>
              <w:autoSpaceDE w:val="0"/>
              <w:autoSpaceDN w:val="0"/>
              <w:adjustRightInd w:val="0"/>
              <w:ind w:left="317"/>
              <w:rPr>
                <w:sz w:val="22"/>
                <w:szCs w:val="22"/>
                <w:lang w:val="lt-LT"/>
              </w:rPr>
            </w:pPr>
            <w:r w:rsidRPr="00220850">
              <w:rPr>
                <w:sz w:val="22"/>
                <w:szCs w:val="22"/>
                <w:lang w:val="lt-LT"/>
              </w:rPr>
              <w:t>95</w:t>
            </w:r>
            <w:r w:rsidR="00EC61CF" w:rsidRPr="00220850">
              <w:rPr>
                <w:sz w:val="22"/>
                <w:szCs w:val="22"/>
                <w:lang w:val="lt-LT"/>
              </w:rPr>
              <w:t> </w:t>
            </w:r>
            <w:r w:rsidRPr="00220850">
              <w:rPr>
                <w:sz w:val="22"/>
                <w:szCs w:val="22"/>
                <w:lang w:val="lt-LT"/>
              </w:rPr>
              <w:t>% </w:t>
            </w:r>
            <w:r w:rsidR="004A1B49" w:rsidRPr="00220850">
              <w:rPr>
                <w:sz w:val="22"/>
                <w:szCs w:val="22"/>
                <w:lang w:val="lt-LT"/>
              </w:rPr>
              <w:t>P</w:t>
            </w:r>
            <w:r w:rsidRPr="00220850">
              <w:rPr>
                <w:sz w:val="22"/>
                <w:szCs w:val="22"/>
                <w:lang w:val="lt-LT"/>
              </w:rPr>
              <w:t>I</w:t>
            </w:r>
          </w:p>
        </w:tc>
        <w:tc>
          <w:tcPr>
            <w:tcW w:w="1142" w:type="pct"/>
            <w:vAlign w:val="center"/>
          </w:tcPr>
          <w:p w14:paraId="141D9E89" w14:textId="77777777" w:rsidR="00CA7843" w:rsidRPr="00220850" w:rsidRDefault="00CA7843" w:rsidP="00CC094E">
            <w:pPr>
              <w:autoSpaceDE w:val="0"/>
              <w:autoSpaceDN w:val="0"/>
              <w:adjustRightInd w:val="0"/>
              <w:jc w:val="center"/>
              <w:rPr>
                <w:sz w:val="22"/>
                <w:szCs w:val="22"/>
              </w:rPr>
            </w:pPr>
          </w:p>
        </w:tc>
        <w:tc>
          <w:tcPr>
            <w:tcW w:w="1668" w:type="pct"/>
            <w:vAlign w:val="center"/>
          </w:tcPr>
          <w:p w14:paraId="4F57B720" w14:textId="77777777" w:rsidR="00CA7843" w:rsidRPr="00220850" w:rsidRDefault="004A1B49" w:rsidP="00CC094E">
            <w:pPr>
              <w:autoSpaceDE w:val="0"/>
              <w:autoSpaceDN w:val="0"/>
              <w:adjustRightInd w:val="0"/>
              <w:jc w:val="center"/>
              <w:rPr>
                <w:sz w:val="22"/>
                <w:szCs w:val="22"/>
              </w:rPr>
            </w:pPr>
            <w:r w:rsidRPr="00220850">
              <w:rPr>
                <w:sz w:val="22"/>
                <w:szCs w:val="22"/>
              </w:rPr>
              <w:t>(65,4, 148,</w:t>
            </w:r>
            <w:r w:rsidR="00CA7843" w:rsidRPr="00220850">
              <w:rPr>
                <w:sz w:val="22"/>
                <w:szCs w:val="22"/>
              </w:rPr>
              <w:t>5)</w:t>
            </w:r>
          </w:p>
        </w:tc>
      </w:tr>
      <w:tr w:rsidR="00CA7843" w:rsidRPr="00220850" w14:paraId="46A33AE6" w14:textId="77777777" w:rsidTr="0015270F">
        <w:tc>
          <w:tcPr>
            <w:tcW w:w="2190" w:type="pct"/>
            <w:vAlign w:val="center"/>
          </w:tcPr>
          <w:p w14:paraId="24FF726A" w14:textId="77777777" w:rsidR="00CA7843" w:rsidRPr="00220850" w:rsidRDefault="00EC61CF" w:rsidP="004A1B49">
            <w:pPr>
              <w:autoSpaceDE w:val="0"/>
              <w:autoSpaceDN w:val="0"/>
              <w:adjustRightInd w:val="0"/>
              <w:ind w:left="317"/>
              <w:rPr>
                <w:sz w:val="22"/>
                <w:szCs w:val="22"/>
                <w:lang w:val="lt-LT"/>
              </w:rPr>
            </w:pPr>
            <w:r w:rsidRPr="00220850">
              <w:rPr>
                <w:sz w:val="22"/>
                <w:szCs w:val="22"/>
                <w:lang w:val="lt-LT"/>
              </w:rPr>
              <w:t xml:space="preserve">p </w:t>
            </w:r>
            <w:r w:rsidR="004A1B49" w:rsidRPr="00220850">
              <w:rPr>
                <w:sz w:val="22"/>
                <w:szCs w:val="22"/>
                <w:lang w:val="lt-LT"/>
              </w:rPr>
              <w:t>reikšmė</w:t>
            </w:r>
          </w:p>
        </w:tc>
        <w:tc>
          <w:tcPr>
            <w:tcW w:w="1142" w:type="pct"/>
            <w:vAlign w:val="center"/>
          </w:tcPr>
          <w:p w14:paraId="76D5151C" w14:textId="77777777" w:rsidR="00CA7843" w:rsidRPr="00220850" w:rsidRDefault="00CA7843" w:rsidP="00CC094E">
            <w:pPr>
              <w:autoSpaceDE w:val="0"/>
              <w:autoSpaceDN w:val="0"/>
              <w:adjustRightInd w:val="0"/>
              <w:jc w:val="center"/>
              <w:rPr>
                <w:sz w:val="22"/>
                <w:szCs w:val="22"/>
              </w:rPr>
            </w:pPr>
          </w:p>
        </w:tc>
        <w:tc>
          <w:tcPr>
            <w:tcW w:w="1668" w:type="pct"/>
            <w:vAlign w:val="center"/>
          </w:tcPr>
          <w:p w14:paraId="6797D3BF" w14:textId="77777777" w:rsidR="00CA7843" w:rsidRPr="00220850" w:rsidRDefault="004A1B49" w:rsidP="00CC094E">
            <w:pPr>
              <w:autoSpaceDE w:val="0"/>
              <w:autoSpaceDN w:val="0"/>
              <w:adjustRightInd w:val="0"/>
              <w:jc w:val="center"/>
              <w:rPr>
                <w:sz w:val="22"/>
                <w:szCs w:val="22"/>
              </w:rPr>
            </w:pPr>
            <w:r w:rsidRPr="00220850">
              <w:rPr>
                <w:sz w:val="22"/>
                <w:szCs w:val="22"/>
              </w:rPr>
              <w:t>&lt;0,</w:t>
            </w:r>
            <w:r w:rsidR="00CA7843" w:rsidRPr="00220850">
              <w:rPr>
                <w:sz w:val="22"/>
                <w:szCs w:val="22"/>
              </w:rPr>
              <w:t>0001</w:t>
            </w:r>
          </w:p>
        </w:tc>
      </w:tr>
    </w:tbl>
    <w:p w14:paraId="7F1774B3" w14:textId="77777777" w:rsidR="004A1B49" w:rsidRPr="00220850" w:rsidRDefault="00CA7843" w:rsidP="004A1B49">
      <w:pPr>
        <w:autoSpaceDE w:val="0"/>
        <w:autoSpaceDN w:val="0"/>
        <w:adjustRightInd w:val="0"/>
        <w:rPr>
          <w:rFonts w:eastAsia="TimesNewRoman"/>
          <w:sz w:val="20"/>
        </w:rPr>
      </w:pPr>
      <w:r w:rsidRPr="00220850">
        <w:rPr>
          <w:sz w:val="22"/>
          <w:szCs w:val="22"/>
          <w:vertAlign w:val="superscript"/>
        </w:rPr>
        <w:t xml:space="preserve">1 </w:t>
      </w:r>
      <w:r w:rsidR="004A1B49" w:rsidRPr="00220850">
        <w:rPr>
          <w:rFonts w:eastAsia="TimesNewRoman"/>
          <w:sz w:val="20"/>
        </w:rPr>
        <w:t>Remiantis atsitiktinio koeficiento regresija, į analizę įtraukus fiksuotą kategorinį gydymo poveikį, DSGKT</w:t>
      </w:r>
      <w:r w:rsidR="005E30AB" w:rsidRPr="00220850">
        <w:rPr>
          <w:rFonts w:eastAsia="TimesNewRoman"/>
          <w:sz w:val="20"/>
        </w:rPr>
        <w:t xml:space="preserve"> </w:t>
      </w:r>
      <w:r w:rsidR="004705AC" w:rsidRPr="00220850">
        <w:rPr>
          <w:rFonts w:eastAsia="TimesNewRoman"/>
          <w:sz w:val="20"/>
        </w:rPr>
        <w:t>duomenis</w:t>
      </w:r>
      <w:r w:rsidR="004A1B49" w:rsidRPr="00220850">
        <w:rPr>
          <w:rFonts w:eastAsia="TimesNewRoman"/>
          <w:sz w:val="20"/>
        </w:rPr>
        <w:t>, fiksuotų tolydžiųjų laiko ir pradinės FGPT [ml] veiksnių poveikį, įskaitant gydymo laiko</w:t>
      </w:r>
      <w:r w:rsidR="005E30AB" w:rsidRPr="00220850">
        <w:rPr>
          <w:rFonts w:eastAsia="TimesNewRoman"/>
          <w:sz w:val="20"/>
        </w:rPr>
        <w:t xml:space="preserve"> </w:t>
      </w:r>
      <w:r w:rsidR="004A1B49" w:rsidRPr="00220850">
        <w:rPr>
          <w:rFonts w:eastAsia="TimesNewRoman"/>
          <w:sz w:val="20"/>
        </w:rPr>
        <w:t>atžvilgiu bei pradinio vertinimo laiko atžvilgiu tarpusavio sąveiką.</w:t>
      </w:r>
    </w:p>
    <w:p w14:paraId="41E4ED7D" w14:textId="77777777" w:rsidR="004A1B49" w:rsidRPr="00220850" w:rsidRDefault="004A1B49" w:rsidP="004A1B49">
      <w:pPr>
        <w:autoSpaceDE w:val="0"/>
        <w:autoSpaceDN w:val="0"/>
        <w:adjustRightInd w:val="0"/>
        <w:rPr>
          <w:rFonts w:eastAsia="TimesNewRoman"/>
          <w:sz w:val="20"/>
        </w:rPr>
      </w:pPr>
    </w:p>
    <w:p w14:paraId="0677B4FF" w14:textId="77777777" w:rsidR="004A1B49" w:rsidRPr="00220850" w:rsidRDefault="004A1B49" w:rsidP="004A1B49">
      <w:pPr>
        <w:autoSpaceDE w:val="0"/>
        <w:autoSpaceDN w:val="0"/>
        <w:adjustRightInd w:val="0"/>
        <w:rPr>
          <w:rFonts w:ascii="TimesNewRoman" w:eastAsia="TimesNewRoman" w:cs="TimesNewRoman"/>
          <w:sz w:val="22"/>
          <w:szCs w:val="22"/>
        </w:rPr>
      </w:pPr>
      <w:r w:rsidRPr="00220850">
        <w:rPr>
          <w:rFonts w:eastAsia="TimesNewRoman"/>
          <w:sz w:val="22"/>
          <w:szCs w:val="22"/>
        </w:rPr>
        <w:t>Pacientų, kuriems DSGKT nustatytas ĮIP būdingas fibrozės pobūdis, populiacijos</w:t>
      </w:r>
      <w:r w:rsidR="004705AC" w:rsidRPr="00220850">
        <w:rPr>
          <w:rFonts w:eastAsia="TimesNewRoman"/>
          <w:sz w:val="22"/>
          <w:szCs w:val="22"/>
        </w:rPr>
        <w:t xml:space="preserve"> </w:t>
      </w:r>
      <w:r w:rsidRPr="00220850">
        <w:rPr>
          <w:rFonts w:eastAsia="TimesNewRoman"/>
          <w:sz w:val="22"/>
          <w:szCs w:val="22"/>
        </w:rPr>
        <w:t>pogrupiuose stebėti</w:t>
      </w:r>
      <w:r w:rsidR="005E30AB" w:rsidRPr="00220850">
        <w:rPr>
          <w:rFonts w:eastAsia="TimesNewRoman"/>
          <w:sz w:val="22"/>
          <w:szCs w:val="22"/>
        </w:rPr>
        <w:t xml:space="preserve"> </w:t>
      </w:r>
      <w:r w:rsidRPr="00220850">
        <w:rPr>
          <w:rFonts w:eastAsia="TimesNewRoman"/>
          <w:sz w:val="22"/>
          <w:szCs w:val="22"/>
        </w:rPr>
        <w:t>panašūs rezultatai. Gydymo poveikis atitiko rezultatus, gautus pacientų, kuriems DSGKT nustatytos</w:t>
      </w:r>
      <w:r w:rsidR="005E30AB" w:rsidRPr="00220850">
        <w:rPr>
          <w:rFonts w:eastAsia="TimesNewRoman"/>
          <w:sz w:val="22"/>
          <w:szCs w:val="22"/>
        </w:rPr>
        <w:t xml:space="preserve"> </w:t>
      </w:r>
      <w:r w:rsidRPr="00220850">
        <w:rPr>
          <w:rFonts w:eastAsia="TimesNewRoman"/>
          <w:sz w:val="22"/>
          <w:szCs w:val="22"/>
        </w:rPr>
        <w:t>kitokio pobūdžio fibrozės, papildomoje populiacijoje (sąveikos p reikšmė 0,2268) (2 pav.).</w:t>
      </w:r>
    </w:p>
    <w:p w14:paraId="39675349" w14:textId="77777777" w:rsidR="004705AC" w:rsidRPr="00220850" w:rsidRDefault="004705AC" w:rsidP="004A1B49">
      <w:pPr>
        <w:autoSpaceDE w:val="0"/>
        <w:autoSpaceDN w:val="0"/>
        <w:adjustRightInd w:val="0"/>
        <w:rPr>
          <w:rFonts w:eastAsia="TimesNewRoman,Bold"/>
          <w:b/>
          <w:bCs/>
          <w:sz w:val="22"/>
          <w:szCs w:val="22"/>
        </w:rPr>
      </w:pPr>
    </w:p>
    <w:p w14:paraId="4BF2D748" w14:textId="2FE52CC6" w:rsidR="00B243D9" w:rsidRPr="00220850" w:rsidRDefault="004A1B49" w:rsidP="004A1B49">
      <w:pPr>
        <w:autoSpaceDE w:val="0"/>
        <w:autoSpaceDN w:val="0"/>
        <w:adjustRightInd w:val="0"/>
        <w:rPr>
          <w:rFonts w:eastAsia="TimesNewRoman,Bold"/>
          <w:b/>
          <w:bCs/>
          <w:sz w:val="22"/>
          <w:szCs w:val="22"/>
        </w:rPr>
      </w:pPr>
      <w:r w:rsidRPr="00220850">
        <w:rPr>
          <w:rFonts w:eastAsia="TimesNewRoman,Bold"/>
          <w:b/>
          <w:bCs/>
          <w:sz w:val="22"/>
          <w:szCs w:val="22"/>
        </w:rPr>
        <w:t>2 pav. Metinio FGPT sumažėjimo (ml) pacientų populiacijose per 52 savaites rodmens</w:t>
      </w:r>
      <w:r w:rsidR="00667014" w:rsidRPr="00220850">
        <w:rPr>
          <w:rFonts w:eastAsia="TimesNewRoman,Bold"/>
          <w:b/>
          <w:bCs/>
          <w:sz w:val="22"/>
          <w:szCs w:val="22"/>
        </w:rPr>
        <w:t xml:space="preserve"> </w:t>
      </w:r>
      <w:proofErr w:type="spellStart"/>
      <w:r w:rsidR="00667014" w:rsidRPr="00220850">
        <w:rPr>
          <w:rFonts w:eastAsia="TimesNewRoman,Bold"/>
          <w:b/>
          <w:bCs/>
          <w:sz w:val="22"/>
          <w:szCs w:val="22"/>
        </w:rPr>
        <w:t>blobograma</w:t>
      </w:r>
      <w:proofErr w:type="spellEnd"/>
    </w:p>
    <w:p w14:paraId="3E39D519" w14:textId="77777777" w:rsidR="004705AC" w:rsidRPr="00220850" w:rsidRDefault="004705AC" w:rsidP="004A1B49">
      <w:pPr>
        <w:autoSpaceDE w:val="0"/>
        <w:autoSpaceDN w:val="0"/>
        <w:adjustRightInd w:val="0"/>
        <w:rPr>
          <w:rFonts w:eastAsia="TimesNewRoman,Bold"/>
          <w:b/>
          <w:bCs/>
          <w:sz w:val="22"/>
          <w:szCs w:val="22"/>
        </w:rPr>
      </w:pPr>
    </w:p>
    <w:p w14:paraId="4BB10828" w14:textId="77777777" w:rsidR="00967D60" w:rsidRPr="00220850" w:rsidRDefault="00967D60" w:rsidP="004A1B49">
      <w:pPr>
        <w:autoSpaceDE w:val="0"/>
        <w:autoSpaceDN w:val="0"/>
        <w:adjustRightInd w:val="0"/>
        <w:rPr>
          <w:rFonts w:eastAsia="TimesNewRoman,Bold"/>
          <w:b/>
          <w:bCs/>
          <w:sz w:val="22"/>
          <w:szCs w:val="22"/>
        </w:rPr>
      </w:pPr>
      <w:r w:rsidRPr="00220850">
        <w:rPr>
          <w:rFonts w:eastAsia="TimesNewRoman,Bold"/>
          <w:b/>
          <w:bCs/>
          <w:noProof/>
          <w:sz w:val="22"/>
          <w:szCs w:val="22"/>
          <w:lang w:val="en-US"/>
        </w:rPr>
        <w:drawing>
          <wp:inline distT="0" distB="0" distL="0" distR="0" wp14:anchorId="71303C89" wp14:editId="628F4AE7">
            <wp:extent cx="5953125" cy="3767316"/>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71" cy="3777407"/>
                    </a:xfrm>
                    <a:prstGeom prst="rect">
                      <a:avLst/>
                    </a:prstGeom>
                    <a:noFill/>
                    <a:ln>
                      <a:noFill/>
                    </a:ln>
                  </pic:spPr>
                </pic:pic>
              </a:graphicData>
            </a:graphic>
          </wp:inline>
        </w:drawing>
      </w:r>
    </w:p>
    <w:p w14:paraId="6192CBD5" w14:textId="77777777" w:rsidR="00967D60" w:rsidRPr="00220850" w:rsidRDefault="00967D60" w:rsidP="004A1B49">
      <w:pPr>
        <w:autoSpaceDE w:val="0"/>
        <w:autoSpaceDN w:val="0"/>
        <w:adjustRightInd w:val="0"/>
        <w:rPr>
          <w:rFonts w:eastAsia="TimesNewRoman,Bold"/>
          <w:bCs/>
          <w:sz w:val="18"/>
          <w:szCs w:val="18"/>
        </w:rPr>
      </w:pPr>
      <w:proofErr w:type="spellStart"/>
      <w:r w:rsidRPr="00220850">
        <w:rPr>
          <w:rFonts w:eastAsia="TimesNewRoman,Bold"/>
          <w:bCs/>
          <w:sz w:val="18"/>
          <w:szCs w:val="18"/>
        </w:rPr>
        <w:t>dkp</w:t>
      </w:r>
      <w:proofErr w:type="spellEnd"/>
      <w:r w:rsidRPr="00220850">
        <w:rPr>
          <w:rFonts w:eastAsia="TimesNewRoman,Bold"/>
          <w:bCs/>
          <w:sz w:val="18"/>
          <w:szCs w:val="18"/>
        </w:rPr>
        <w:t xml:space="preserve"> – du kartus </w:t>
      </w:r>
      <w:r w:rsidR="000040AC" w:rsidRPr="00220850">
        <w:rPr>
          <w:rFonts w:eastAsia="TimesNewRoman,Bold"/>
          <w:bCs/>
          <w:sz w:val="18"/>
          <w:szCs w:val="18"/>
        </w:rPr>
        <w:t xml:space="preserve">per </w:t>
      </w:r>
      <w:r w:rsidRPr="00220850">
        <w:rPr>
          <w:rFonts w:eastAsia="TimesNewRoman,Bold"/>
          <w:bCs/>
          <w:sz w:val="18"/>
          <w:szCs w:val="18"/>
        </w:rPr>
        <w:t>par</w:t>
      </w:r>
      <w:r w:rsidR="001600BA" w:rsidRPr="00220850">
        <w:rPr>
          <w:rFonts w:eastAsia="TimesNewRoman,Bold"/>
          <w:bCs/>
          <w:sz w:val="18"/>
          <w:szCs w:val="18"/>
        </w:rPr>
        <w:t>ą</w:t>
      </w:r>
      <w:r w:rsidRPr="00220850">
        <w:rPr>
          <w:rFonts w:eastAsia="TimesNewRoman,Bold"/>
          <w:bCs/>
          <w:sz w:val="18"/>
          <w:szCs w:val="18"/>
        </w:rPr>
        <w:t xml:space="preserve"> </w:t>
      </w:r>
    </w:p>
    <w:p w14:paraId="57A29A65" w14:textId="77777777" w:rsidR="000040AC" w:rsidRPr="00220850" w:rsidRDefault="000040AC" w:rsidP="000040AC">
      <w:pPr>
        <w:autoSpaceDE w:val="0"/>
        <w:autoSpaceDN w:val="0"/>
        <w:adjustRightInd w:val="0"/>
        <w:rPr>
          <w:rFonts w:eastAsia="TimesNewRoman"/>
          <w:sz w:val="18"/>
          <w:szCs w:val="18"/>
        </w:rPr>
      </w:pPr>
    </w:p>
    <w:p w14:paraId="140A03BD" w14:textId="77777777" w:rsidR="000040AC" w:rsidRPr="00220850" w:rsidRDefault="000040AC" w:rsidP="000040AC">
      <w:pPr>
        <w:autoSpaceDE w:val="0"/>
        <w:autoSpaceDN w:val="0"/>
        <w:adjustRightInd w:val="0"/>
        <w:rPr>
          <w:rFonts w:eastAsia="TimesNewRoman"/>
          <w:sz w:val="22"/>
          <w:szCs w:val="22"/>
        </w:rPr>
      </w:pPr>
      <w:r w:rsidRPr="00220850">
        <w:rPr>
          <w:rFonts w:eastAsia="TimesNewRoman"/>
          <w:sz w:val="22"/>
          <w:szCs w:val="22"/>
        </w:rPr>
        <w:t xml:space="preserve">Visos iš anksto apibrėžtos jautrumo analizės patvirtino </w:t>
      </w:r>
      <w:proofErr w:type="spellStart"/>
      <w:r w:rsidRPr="00220850">
        <w:rPr>
          <w:rFonts w:eastAsia="TimesNewRoman"/>
          <w:sz w:val="22"/>
          <w:szCs w:val="22"/>
        </w:rPr>
        <w:t>nintedanibo</w:t>
      </w:r>
      <w:proofErr w:type="spellEnd"/>
      <w:r w:rsidRPr="00220850">
        <w:rPr>
          <w:rFonts w:eastAsia="TimesNewRoman"/>
          <w:sz w:val="22"/>
          <w:szCs w:val="22"/>
        </w:rPr>
        <w:t xml:space="preserve"> poveikio, mažinant metinį FGPT sumažėjimo rodmenį, rezultatus ir nuoseklūs rezultatai stebėti iš anksto apibrėžtuose veiksmingumo pogrupiuose (pagal lytį, amžiaus grupę, rasę, pradinį FGPT, išreikštą % nuo būtinojo dydžio ir pradinę pagrindinę klinikinę IPL diagnozę grupėse).</w:t>
      </w:r>
    </w:p>
    <w:p w14:paraId="5F3E247A" w14:textId="77777777" w:rsidR="000040AC" w:rsidRPr="00220850" w:rsidRDefault="000040AC" w:rsidP="000040AC">
      <w:pPr>
        <w:autoSpaceDE w:val="0"/>
        <w:autoSpaceDN w:val="0"/>
        <w:adjustRightInd w:val="0"/>
        <w:rPr>
          <w:rFonts w:eastAsia="TimesNewRoman"/>
          <w:sz w:val="22"/>
          <w:szCs w:val="22"/>
        </w:rPr>
      </w:pPr>
    </w:p>
    <w:p w14:paraId="6E0A4CB6" w14:textId="77777777" w:rsidR="000040AC" w:rsidRPr="00220850" w:rsidRDefault="000040AC" w:rsidP="000040AC">
      <w:pPr>
        <w:autoSpaceDE w:val="0"/>
        <w:autoSpaceDN w:val="0"/>
        <w:adjustRightInd w:val="0"/>
        <w:rPr>
          <w:rFonts w:eastAsia="TimesNewRoman"/>
          <w:sz w:val="22"/>
          <w:szCs w:val="22"/>
        </w:rPr>
      </w:pPr>
      <w:r w:rsidRPr="00220850">
        <w:rPr>
          <w:rFonts w:eastAsia="TimesNewRoman"/>
          <w:sz w:val="22"/>
          <w:szCs w:val="22"/>
        </w:rPr>
        <w:t>3 pav. pavaizduotas laikinis FGPT vystymosi pokytis, palyginti su pradiniu vertinimu, nustatytas</w:t>
      </w:r>
    </w:p>
    <w:p w14:paraId="1C2DCDA4" w14:textId="77777777" w:rsidR="00967D60" w:rsidRPr="00220850" w:rsidRDefault="000040AC" w:rsidP="000040AC">
      <w:pPr>
        <w:autoSpaceDE w:val="0"/>
        <w:autoSpaceDN w:val="0"/>
        <w:adjustRightInd w:val="0"/>
        <w:rPr>
          <w:rFonts w:eastAsia="TimesNewRoman,Bold"/>
          <w:b/>
          <w:bCs/>
          <w:sz w:val="22"/>
          <w:szCs w:val="22"/>
        </w:rPr>
      </w:pPr>
      <w:r w:rsidRPr="00220850">
        <w:rPr>
          <w:rFonts w:eastAsia="TimesNewRoman"/>
          <w:sz w:val="22"/>
          <w:szCs w:val="22"/>
        </w:rPr>
        <w:t>gydymo grupėse.</w:t>
      </w:r>
    </w:p>
    <w:p w14:paraId="2436D93B" w14:textId="77777777" w:rsidR="00514685" w:rsidRPr="00220850" w:rsidRDefault="00514685" w:rsidP="004A1B49">
      <w:pPr>
        <w:autoSpaceDE w:val="0"/>
        <w:autoSpaceDN w:val="0"/>
        <w:adjustRightInd w:val="0"/>
        <w:rPr>
          <w:rFonts w:eastAsia="TimesNewRoman,Bold"/>
          <w:b/>
          <w:bCs/>
          <w:sz w:val="22"/>
          <w:szCs w:val="22"/>
        </w:rPr>
      </w:pPr>
    </w:p>
    <w:p w14:paraId="67387F4D" w14:textId="563A270F" w:rsidR="00967D60" w:rsidRPr="00220850" w:rsidRDefault="000040AC" w:rsidP="004A1B49">
      <w:pPr>
        <w:autoSpaceDE w:val="0"/>
        <w:autoSpaceDN w:val="0"/>
        <w:adjustRightInd w:val="0"/>
        <w:rPr>
          <w:rFonts w:eastAsia="TimesNewRoman,Bold"/>
          <w:b/>
          <w:bCs/>
          <w:sz w:val="22"/>
          <w:szCs w:val="22"/>
        </w:rPr>
      </w:pPr>
      <w:r w:rsidRPr="00220850">
        <w:rPr>
          <w:rFonts w:eastAsia="TimesNewRoman,Bold"/>
          <w:b/>
          <w:bCs/>
          <w:sz w:val="22"/>
          <w:szCs w:val="22"/>
        </w:rPr>
        <w:t>3 pav. Stebėto FGPT pokyčio (ml) nuo pradinio vertinimo vidurkis (SVP) per 52 savaites</w:t>
      </w:r>
    </w:p>
    <w:p w14:paraId="0FF93E13" w14:textId="77777777" w:rsidR="00EE567E" w:rsidRPr="00220850" w:rsidRDefault="00EE567E" w:rsidP="004A1B49">
      <w:pPr>
        <w:autoSpaceDE w:val="0"/>
        <w:autoSpaceDN w:val="0"/>
        <w:adjustRightInd w:val="0"/>
        <w:rPr>
          <w:rFonts w:eastAsia="TimesNewRoman,Bold"/>
          <w:b/>
          <w:bCs/>
          <w:sz w:val="22"/>
          <w:szCs w:val="22"/>
        </w:rPr>
      </w:pPr>
      <w:r w:rsidRPr="00220850">
        <w:rPr>
          <w:rFonts w:eastAsia="TimesNewRoman,Bold"/>
          <w:b/>
          <w:bCs/>
          <w:noProof/>
          <w:sz w:val="22"/>
          <w:szCs w:val="22"/>
          <w:lang w:val="en-US"/>
        </w:rPr>
        <w:lastRenderedPageBreak/>
        <w:drawing>
          <wp:inline distT="0" distB="0" distL="0" distR="0" wp14:anchorId="6D5E0B71" wp14:editId="0E73E6C7">
            <wp:extent cx="5939790" cy="41662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166235"/>
                    </a:xfrm>
                    <a:prstGeom prst="rect">
                      <a:avLst/>
                    </a:prstGeom>
                    <a:noFill/>
                    <a:ln>
                      <a:noFill/>
                    </a:ln>
                  </pic:spPr>
                </pic:pic>
              </a:graphicData>
            </a:graphic>
          </wp:inline>
        </w:drawing>
      </w:r>
    </w:p>
    <w:p w14:paraId="4427681C" w14:textId="65106FA2" w:rsidR="000040AC" w:rsidRPr="00220850" w:rsidRDefault="000040AC" w:rsidP="004A1B49">
      <w:pPr>
        <w:autoSpaceDE w:val="0"/>
        <w:autoSpaceDN w:val="0"/>
        <w:adjustRightInd w:val="0"/>
        <w:rPr>
          <w:rFonts w:eastAsia="TimesNewRoman,Bold"/>
          <w:b/>
          <w:bCs/>
          <w:sz w:val="22"/>
          <w:szCs w:val="22"/>
        </w:rPr>
      </w:pPr>
      <w:r w:rsidRPr="00220850">
        <w:rPr>
          <w:rFonts w:eastAsia="TimesNewRoman"/>
          <w:sz w:val="20"/>
        </w:rPr>
        <w:t>2</w:t>
      </w:r>
      <w:r w:rsidR="00EE567E" w:rsidRPr="00220850">
        <w:rPr>
          <w:rFonts w:eastAsia="TimesNewRoman"/>
          <w:sz w:val="20"/>
        </w:rPr>
        <w:t>k</w:t>
      </w:r>
      <w:r w:rsidRPr="00220850">
        <w:rPr>
          <w:rFonts w:eastAsia="TimesNewRoman"/>
          <w:sz w:val="20"/>
        </w:rPr>
        <w:t>p = du kartus per parą</w:t>
      </w:r>
    </w:p>
    <w:p w14:paraId="36D1DA88" w14:textId="77777777" w:rsidR="00E563DA" w:rsidRPr="00220850" w:rsidRDefault="00E563DA" w:rsidP="001600BA">
      <w:pPr>
        <w:autoSpaceDE w:val="0"/>
        <w:autoSpaceDN w:val="0"/>
        <w:adjustRightInd w:val="0"/>
        <w:rPr>
          <w:rFonts w:eastAsia="TimesNewRoman"/>
          <w:sz w:val="22"/>
          <w:szCs w:val="22"/>
        </w:rPr>
      </w:pPr>
    </w:p>
    <w:p w14:paraId="2BB95D83" w14:textId="77777777" w:rsidR="00E563DA" w:rsidRPr="00220850" w:rsidRDefault="00E563DA" w:rsidP="001600BA">
      <w:pPr>
        <w:autoSpaceDE w:val="0"/>
        <w:autoSpaceDN w:val="0"/>
        <w:adjustRightInd w:val="0"/>
        <w:rPr>
          <w:rFonts w:eastAsia="TimesNewRoman"/>
          <w:sz w:val="22"/>
          <w:szCs w:val="22"/>
        </w:rPr>
      </w:pPr>
      <w:r w:rsidRPr="00220850">
        <w:rPr>
          <w:rFonts w:eastAsia="TimesNewRoman"/>
          <w:sz w:val="22"/>
          <w:szCs w:val="22"/>
        </w:rPr>
        <w:t xml:space="preserve">Be to, nustatytas palankus </w:t>
      </w:r>
      <w:proofErr w:type="spellStart"/>
      <w:r w:rsidRPr="00220850">
        <w:rPr>
          <w:rFonts w:eastAsia="TimesNewRoman"/>
          <w:sz w:val="22"/>
          <w:szCs w:val="22"/>
        </w:rPr>
        <w:t>nintedanibo</w:t>
      </w:r>
      <w:proofErr w:type="spellEnd"/>
      <w:r w:rsidRPr="00220850">
        <w:rPr>
          <w:rFonts w:eastAsia="TimesNewRoman"/>
          <w:sz w:val="22"/>
          <w:szCs w:val="22"/>
        </w:rPr>
        <w:t xml:space="preserve"> poveikis vertinant koreguotąjį vidutinį absoliutų FGPT pokytį procentais nuo pradinio lygio, prognozuojamo 52-savaitę.</w:t>
      </w:r>
    </w:p>
    <w:p w14:paraId="014536B9" w14:textId="77777777" w:rsidR="001600BA" w:rsidRPr="00220850" w:rsidRDefault="001C306E" w:rsidP="001600BA">
      <w:pPr>
        <w:autoSpaceDE w:val="0"/>
        <w:autoSpaceDN w:val="0"/>
        <w:adjustRightInd w:val="0"/>
        <w:rPr>
          <w:rFonts w:eastAsia="TimesNewRoman"/>
          <w:sz w:val="22"/>
          <w:szCs w:val="22"/>
        </w:rPr>
      </w:pPr>
      <w:r w:rsidRPr="00220850">
        <w:rPr>
          <w:rFonts w:eastAsia="TimesNewRoman"/>
          <w:sz w:val="22"/>
          <w:szCs w:val="22"/>
        </w:rPr>
        <w:t xml:space="preserve">Numatytas koreguotas vidutinis absoliutus FGPT pokytis procentais nuo pradinio vertinimo iki 52-os savaitės buvo mažesnis </w:t>
      </w:r>
      <w:proofErr w:type="spellStart"/>
      <w:r w:rsidRPr="00220850">
        <w:rPr>
          <w:rFonts w:eastAsia="TimesNewRoman"/>
          <w:sz w:val="22"/>
          <w:szCs w:val="22"/>
        </w:rPr>
        <w:t>nintedanibu</w:t>
      </w:r>
      <w:proofErr w:type="spellEnd"/>
      <w:r w:rsidRPr="00220850">
        <w:rPr>
          <w:rFonts w:eastAsia="TimesNewRoman"/>
          <w:sz w:val="22"/>
          <w:szCs w:val="22"/>
        </w:rPr>
        <w:t xml:space="preserve"> gydytų grupėje (- 2,62 %) nei placebą vartojusiųjų grupėje (-5,86 %). </w:t>
      </w:r>
      <w:r w:rsidR="001600BA" w:rsidRPr="00220850">
        <w:rPr>
          <w:rFonts w:eastAsia="TimesNewRoman"/>
          <w:sz w:val="22"/>
          <w:szCs w:val="22"/>
        </w:rPr>
        <w:t>Koreguotasis vidutinis skirtumas</w:t>
      </w:r>
      <w:r w:rsidR="00CC094E" w:rsidRPr="00220850">
        <w:rPr>
          <w:rFonts w:eastAsia="TimesNewRoman"/>
          <w:sz w:val="22"/>
          <w:szCs w:val="22"/>
        </w:rPr>
        <w:t xml:space="preserve"> </w:t>
      </w:r>
      <w:r w:rsidR="001600BA" w:rsidRPr="00220850">
        <w:rPr>
          <w:rFonts w:eastAsia="TimesNewRoman"/>
          <w:sz w:val="22"/>
          <w:szCs w:val="22"/>
        </w:rPr>
        <w:t>tarp gydymo grupių</w:t>
      </w:r>
      <w:r w:rsidR="00CC094E" w:rsidRPr="00220850">
        <w:rPr>
          <w:rFonts w:eastAsia="TimesNewRoman"/>
          <w:sz w:val="22"/>
          <w:szCs w:val="22"/>
        </w:rPr>
        <w:t xml:space="preserve"> buvo 3,24 (95</w:t>
      </w:r>
      <w:r w:rsidR="00CC094E" w:rsidRPr="00220850">
        <w:rPr>
          <w:rFonts w:eastAsia="TimesNewRoman"/>
        </w:rPr>
        <w:t> </w:t>
      </w:r>
      <w:r w:rsidR="00CC094E" w:rsidRPr="00220850">
        <w:rPr>
          <w:rFonts w:eastAsia="TimesNewRoman"/>
          <w:sz w:val="22"/>
          <w:szCs w:val="22"/>
        </w:rPr>
        <w:t>% PI: 2,09, 4,40; nominalus p &lt; </w:t>
      </w:r>
      <w:r w:rsidR="001600BA" w:rsidRPr="00220850">
        <w:rPr>
          <w:rFonts w:eastAsia="TimesNewRoman"/>
          <w:sz w:val="22"/>
          <w:szCs w:val="22"/>
        </w:rPr>
        <w:t>0,0001).</w:t>
      </w:r>
    </w:p>
    <w:p w14:paraId="5750F94C" w14:textId="77777777" w:rsidR="00CC094E" w:rsidRPr="00220850" w:rsidRDefault="00CC094E" w:rsidP="001600BA">
      <w:pPr>
        <w:autoSpaceDE w:val="0"/>
        <w:autoSpaceDN w:val="0"/>
        <w:adjustRightInd w:val="0"/>
        <w:rPr>
          <w:rFonts w:eastAsia="TimesNewRoman,Italic"/>
          <w:i/>
          <w:iCs/>
          <w:sz w:val="22"/>
          <w:szCs w:val="22"/>
        </w:rPr>
      </w:pPr>
    </w:p>
    <w:p w14:paraId="5878CB40" w14:textId="77777777" w:rsidR="001600BA" w:rsidRPr="00220850" w:rsidRDefault="001600BA" w:rsidP="001600BA">
      <w:pPr>
        <w:autoSpaceDE w:val="0"/>
        <w:autoSpaceDN w:val="0"/>
        <w:adjustRightInd w:val="0"/>
        <w:rPr>
          <w:rFonts w:eastAsia="TimesNewRoman,Italic"/>
          <w:i/>
          <w:iCs/>
          <w:sz w:val="22"/>
          <w:szCs w:val="22"/>
          <w:u w:val="single"/>
        </w:rPr>
      </w:pPr>
      <w:r w:rsidRPr="00220850">
        <w:rPr>
          <w:rFonts w:eastAsia="TimesNewRoman,Italic"/>
          <w:i/>
          <w:iCs/>
          <w:sz w:val="22"/>
          <w:szCs w:val="22"/>
          <w:u w:val="single"/>
        </w:rPr>
        <w:t>Reagavusiųjų FGPT atsaku analizė</w:t>
      </w:r>
    </w:p>
    <w:p w14:paraId="2D1A381C" w14:textId="73958EBF" w:rsidR="000040AC" w:rsidRPr="00220850" w:rsidRDefault="001600BA" w:rsidP="001600BA">
      <w:pPr>
        <w:autoSpaceDE w:val="0"/>
        <w:autoSpaceDN w:val="0"/>
        <w:adjustRightInd w:val="0"/>
        <w:rPr>
          <w:rFonts w:eastAsia="TimesNewRoman,Bold"/>
          <w:b/>
          <w:bCs/>
          <w:sz w:val="22"/>
          <w:szCs w:val="22"/>
        </w:rPr>
      </w:pPr>
      <w:r w:rsidRPr="00220850">
        <w:rPr>
          <w:rFonts w:eastAsia="TimesNewRoman"/>
          <w:sz w:val="22"/>
          <w:szCs w:val="22"/>
        </w:rPr>
        <w:t>FGPT atsaku reagavusiųjų, apibrėžtų kaip pacientai, kurių santykinis FGPT (būtinojo dydžio, %)</w:t>
      </w:r>
      <w:r w:rsidR="00CC094E" w:rsidRPr="00220850">
        <w:rPr>
          <w:rFonts w:eastAsia="TimesNewRoman"/>
          <w:sz w:val="22"/>
          <w:szCs w:val="22"/>
        </w:rPr>
        <w:t xml:space="preserve"> </w:t>
      </w:r>
      <w:r w:rsidRPr="00220850">
        <w:rPr>
          <w:rFonts w:eastAsia="TimesNewRoman"/>
          <w:sz w:val="22"/>
          <w:szCs w:val="22"/>
        </w:rPr>
        <w:t>sumažėjimas procentais buvo ne didesnis kaip 5</w:t>
      </w:r>
      <w:r w:rsidR="00CC094E" w:rsidRPr="00220850">
        <w:rPr>
          <w:rFonts w:eastAsia="TimesNewRoman"/>
          <w:sz w:val="22"/>
          <w:szCs w:val="22"/>
        </w:rPr>
        <w:t> </w:t>
      </w:r>
      <w:r w:rsidRPr="00220850">
        <w:rPr>
          <w:rFonts w:eastAsia="TimesNewRoman"/>
          <w:sz w:val="22"/>
          <w:szCs w:val="22"/>
        </w:rPr>
        <w:t xml:space="preserve">%, dalis </w:t>
      </w:r>
      <w:proofErr w:type="spellStart"/>
      <w:r w:rsidR="00CC094E" w:rsidRPr="00220850">
        <w:rPr>
          <w:rFonts w:eastAsia="TimesNewRoman"/>
          <w:sz w:val="22"/>
          <w:szCs w:val="22"/>
        </w:rPr>
        <w:t>nintedanibo</w:t>
      </w:r>
      <w:proofErr w:type="spellEnd"/>
      <w:r w:rsidRPr="00220850">
        <w:rPr>
          <w:rFonts w:eastAsia="TimesNewRoman"/>
          <w:sz w:val="22"/>
          <w:szCs w:val="22"/>
        </w:rPr>
        <w:t xml:space="preserve"> grupėje buvo didesnė, palyginti su</w:t>
      </w:r>
      <w:r w:rsidR="00CC094E" w:rsidRPr="00220850">
        <w:rPr>
          <w:rFonts w:eastAsia="TimesNewRoman"/>
          <w:sz w:val="22"/>
          <w:szCs w:val="22"/>
        </w:rPr>
        <w:t xml:space="preserve"> </w:t>
      </w:r>
      <w:r w:rsidRPr="00220850">
        <w:rPr>
          <w:rFonts w:eastAsia="TimesNewRoman"/>
          <w:sz w:val="22"/>
          <w:szCs w:val="22"/>
        </w:rPr>
        <w:t>placebo grupe. Panašūs rezul</w:t>
      </w:r>
      <w:r w:rsidR="00CC094E" w:rsidRPr="00220850">
        <w:rPr>
          <w:rFonts w:eastAsia="TimesNewRoman"/>
          <w:sz w:val="22"/>
          <w:szCs w:val="22"/>
        </w:rPr>
        <w:t>tatai gauti analizei taikant 10 </w:t>
      </w:r>
      <w:r w:rsidRPr="00220850">
        <w:rPr>
          <w:rFonts w:eastAsia="TimesNewRoman"/>
          <w:sz w:val="22"/>
          <w:szCs w:val="22"/>
        </w:rPr>
        <w:t>% ribą (</w:t>
      </w:r>
      <w:r w:rsidR="00160C7C" w:rsidRPr="00220850">
        <w:rPr>
          <w:rFonts w:eastAsia="TimesNewRoman"/>
          <w:sz w:val="22"/>
          <w:szCs w:val="22"/>
        </w:rPr>
        <w:t>10</w:t>
      </w:r>
      <w:r w:rsidRPr="00220850">
        <w:rPr>
          <w:rFonts w:eastAsia="TimesNewRoman"/>
          <w:sz w:val="22"/>
          <w:szCs w:val="22"/>
        </w:rPr>
        <w:t xml:space="preserve"> lentelė).</w:t>
      </w:r>
    </w:p>
    <w:p w14:paraId="61E74630" w14:textId="77777777" w:rsidR="00CC094E" w:rsidRPr="00220850" w:rsidRDefault="00CC094E" w:rsidP="00CC094E">
      <w:pPr>
        <w:autoSpaceDE w:val="0"/>
        <w:autoSpaceDN w:val="0"/>
        <w:adjustRightInd w:val="0"/>
        <w:rPr>
          <w:szCs w:val="22"/>
        </w:rPr>
      </w:pPr>
    </w:p>
    <w:p w14:paraId="007C8C3D" w14:textId="4B923165" w:rsidR="00CC094E" w:rsidRPr="00220850" w:rsidRDefault="00160C7C" w:rsidP="00CC094E">
      <w:pPr>
        <w:keepNext/>
        <w:autoSpaceDE w:val="0"/>
        <w:autoSpaceDN w:val="0"/>
        <w:adjustRightInd w:val="0"/>
        <w:ind w:left="1134" w:hanging="1134"/>
        <w:rPr>
          <w:rFonts w:eastAsia="TimesNewRoman,Bold"/>
          <w:b/>
          <w:bCs/>
          <w:sz w:val="22"/>
          <w:szCs w:val="22"/>
        </w:rPr>
      </w:pPr>
      <w:r w:rsidRPr="00220850">
        <w:rPr>
          <w:rFonts w:eastAsia="TimesNewRoman,Bold"/>
          <w:b/>
          <w:bCs/>
          <w:sz w:val="22"/>
          <w:szCs w:val="22"/>
        </w:rPr>
        <w:t>10</w:t>
      </w:r>
      <w:r w:rsidR="00CC094E" w:rsidRPr="00220850">
        <w:rPr>
          <w:rFonts w:eastAsia="TimesNewRoman,Bold"/>
          <w:b/>
          <w:bCs/>
          <w:sz w:val="22"/>
          <w:szCs w:val="22"/>
        </w:rPr>
        <w:t xml:space="preserve"> lentelė. Reagavusiųjų FGPT atsaku 52 savaitę dalis INBUILD tyrime</w:t>
      </w:r>
    </w:p>
    <w:p w14:paraId="451CA9BF" w14:textId="77777777" w:rsidR="00CC094E" w:rsidRPr="00220850" w:rsidRDefault="00CC094E" w:rsidP="00CC094E">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4389"/>
        <w:gridCol w:w="2266"/>
        <w:gridCol w:w="2394"/>
      </w:tblGrid>
      <w:tr w:rsidR="00CC094E" w:rsidRPr="00220850" w14:paraId="24158814" w14:textId="77777777" w:rsidTr="00CC094E">
        <w:trPr>
          <w:tblHeader/>
        </w:trPr>
        <w:tc>
          <w:tcPr>
            <w:tcW w:w="2425" w:type="pct"/>
          </w:tcPr>
          <w:p w14:paraId="77A8D6F5" w14:textId="77777777" w:rsidR="00CC094E" w:rsidRPr="00220850" w:rsidRDefault="00CC094E" w:rsidP="00CC094E">
            <w:pPr>
              <w:autoSpaceDE w:val="0"/>
              <w:autoSpaceDN w:val="0"/>
              <w:adjustRightInd w:val="0"/>
              <w:rPr>
                <w:sz w:val="22"/>
                <w:szCs w:val="22"/>
                <w:lang w:val="lt-LT"/>
              </w:rPr>
            </w:pPr>
          </w:p>
        </w:tc>
        <w:tc>
          <w:tcPr>
            <w:tcW w:w="1252" w:type="pct"/>
          </w:tcPr>
          <w:p w14:paraId="234B60C1" w14:textId="77777777" w:rsidR="00CC094E" w:rsidRPr="00220850" w:rsidRDefault="00CC094E" w:rsidP="00331A5B">
            <w:pPr>
              <w:autoSpaceDE w:val="0"/>
              <w:autoSpaceDN w:val="0"/>
              <w:adjustRightInd w:val="0"/>
              <w:jc w:val="center"/>
              <w:rPr>
                <w:sz w:val="22"/>
                <w:szCs w:val="22"/>
                <w:lang w:val="lt-LT"/>
              </w:rPr>
            </w:pPr>
            <w:r w:rsidRPr="00220850">
              <w:rPr>
                <w:sz w:val="22"/>
                <w:szCs w:val="22"/>
                <w:lang w:val="lt-LT"/>
              </w:rPr>
              <w:t>Placeb</w:t>
            </w:r>
            <w:r w:rsidR="00331A5B" w:rsidRPr="00220850">
              <w:rPr>
                <w:sz w:val="22"/>
                <w:szCs w:val="22"/>
                <w:lang w:val="lt-LT"/>
              </w:rPr>
              <w:t>as</w:t>
            </w:r>
          </w:p>
        </w:tc>
        <w:tc>
          <w:tcPr>
            <w:tcW w:w="1323" w:type="pct"/>
          </w:tcPr>
          <w:p w14:paraId="1DCB8762" w14:textId="77777777" w:rsidR="00CC094E" w:rsidRPr="00220850" w:rsidRDefault="00CC094E" w:rsidP="00CC094E">
            <w:pPr>
              <w:autoSpaceDE w:val="0"/>
              <w:autoSpaceDN w:val="0"/>
              <w:adjustRightInd w:val="0"/>
              <w:jc w:val="center"/>
              <w:rPr>
                <w:sz w:val="22"/>
                <w:szCs w:val="22"/>
                <w:lang w:val="lt-LT"/>
              </w:rPr>
            </w:pPr>
            <w:proofErr w:type="spellStart"/>
            <w:r w:rsidRPr="00220850">
              <w:rPr>
                <w:sz w:val="22"/>
                <w:szCs w:val="22"/>
                <w:lang w:val="lt-LT"/>
              </w:rPr>
              <w:t>Nintedanibas</w:t>
            </w:r>
            <w:proofErr w:type="spellEnd"/>
            <w:r w:rsidRPr="00220850">
              <w:rPr>
                <w:sz w:val="22"/>
                <w:szCs w:val="22"/>
                <w:lang w:val="lt-LT"/>
              </w:rPr>
              <w:t xml:space="preserve"> 150 mg du kartus per parą</w:t>
            </w:r>
          </w:p>
        </w:tc>
      </w:tr>
      <w:tr w:rsidR="00CC094E" w:rsidRPr="00220850" w14:paraId="5DA12624" w14:textId="77777777" w:rsidTr="00CC094E">
        <w:tc>
          <w:tcPr>
            <w:tcW w:w="2425" w:type="pct"/>
          </w:tcPr>
          <w:p w14:paraId="69123A0F" w14:textId="77777777" w:rsidR="00CC094E" w:rsidRPr="00220850" w:rsidRDefault="00CC094E" w:rsidP="00CC094E">
            <w:pPr>
              <w:autoSpaceDE w:val="0"/>
              <w:autoSpaceDN w:val="0"/>
              <w:adjustRightInd w:val="0"/>
              <w:rPr>
                <w:sz w:val="22"/>
                <w:szCs w:val="22"/>
                <w:lang w:val="lt-LT"/>
              </w:rPr>
            </w:pPr>
            <w:r w:rsidRPr="00220850">
              <w:rPr>
                <w:sz w:val="22"/>
                <w:szCs w:val="22"/>
                <w:lang w:val="lt-LT"/>
              </w:rPr>
              <w:t>Analizuotų pacientų skaičius</w:t>
            </w:r>
          </w:p>
        </w:tc>
        <w:tc>
          <w:tcPr>
            <w:tcW w:w="1252" w:type="pct"/>
            <w:vAlign w:val="center"/>
          </w:tcPr>
          <w:p w14:paraId="7B4A46A2"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331</w:t>
            </w:r>
          </w:p>
        </w:tc>
        <w:tc>
          <w:tcPr>
            <w:tcW w:w="1323" w:type="pct"/>
            <w:vAlign w:val="center"/>
          </w:tcPr>
          <w:p w14:paraId="6B84B859"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332</w:t>
            </w:r>
          </w:p>
        </w:tc>
      </w:tr>
      <w:tr w:rsidR="00CC094E" w:rsidRPr="00220850" w14:paraId="7F28C78E" w14:textId="77777777" w:rsidTr="00CC094E">
        <w:tc>
          <w:tcPr>
            <w:tcW w:w="5000" w:type="pct"/>
            <w:gridSpan w:val="3"/>
          </w:tcPr>
          <w:p w14:paraId="0A411E01" w14:textId="77777777" w:rsidR="00CC094E" w:rsidRPr="00220850" w:rsidRDefault="00CC094E" w:rsidP="00CC094E">
            <w:pPr>
              <w:autoSpaceDE w:val="0"/>
              <w:autoSpaceDN w:val="0"/>
              <w:adjustRightInd w:val="0"/>
              <w:rPr>
                <w:b/>
                <w:sz w:val="22"/>
                <w:szCs w:val="22"/>
                <w:lang w:val="lt-LT"/>
              </w:rPr>
            </w:pPr>
            <w:r w:rsidRPr="00220850">
              <w:rPr>
                <w:b/>
                <w:sz w:val="22"/>
                <w:szCs w:val="22"/>
                <w:lang w:val="lt-LT"/>
              </w:rPr>
              <w:t>5 % riba</w:t>
            </w:r>
          </w:p>
        </w:tc>
      </w:tr>
      <w:tr w:rsidR="00CC094E" w:rsidRPr="00220850" w14:paraId="7D257F1E" w14:textId="77777777" w:rsidTr="00CC094E">
        <w:tc>
          <w:tcPr>
            <w:tcW w:w="2425" w:type="pct"/>
          </w:tcPr>
          <w:p w14:paraId="5A7C7F75" w14:textId="77777777" w:rsidR="00CC094E" w:rsidRPr="00220850" w:rsidRDefault="00CC094E" w:rsidP="00CC094E">
            <w:pPr>
              <w:autoSpaceDE w:val="0"/>
              <w:autoSpaceDN w:val="0"/>
              <w:adjustRightInd w:val="0"/>
              <w:rPr>
                <w:sz w:val="22"/>
                <w:szCs w:val="22"/>
                <w:lang w:val="lt-LT"/>
              </w:rPr>
            </w:pPr>
            <w:r w:rsidRPr="00220850">
              <w:rPr>
                <w:sz w:val="22"/>
                <w:szCs w:val="22"/>
                <w:lang w:val="lt-LT"/>
              </w:rPr>
              <w:t>Reagavusiųjų</w:t>
            </w:r>
            <w:r w:rsidRPr="00220850">
              <w:rPr>
                <w:sz w:val="22"/>
                <w:szCs w:val="22"/>
                <w:vertAlign w:val="superscript"/>
                <w:lang w:val="lt-LT"/>
              </w:rPr>
              <w:t xml:space="preserve">1 </w:t>
            </w:r>
            <w:r w:rsidRPr="00220850">
              <w:rPr>
                <w:sz w:val="22"/>
                <w:szCs w:val="22"/>
                <w:lang w:val="lt-LT"/>
              </w:rPr>
              <w:t xml:space="preserve">FGPT atsaku skaičius (%) </w:t>
            </w:r>
          </w:p>
        </w:tc>
        <w:tc>
          <w:tcPr>
            <w:tcW w:w="1252" w:type="pct"/>
            <w:vAlign w:val="center"/>
          </w:tcPr>
          <w:p w14:paraId="7532827E"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104 (31,4)</w:t>
            </w:r>
          </w:p>
        </w:tc>
        <w:tc>
          <w:tcPr>
            <w:tcW w:w="1323" w:type="pct"/>
            <w:vAlign w:val="center"/>
          </w:tcPr>
          <w:p w14:paraId="2DC5178E"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158 (47,6)</w:t>
            </w:r>
          </w:p>
        </w:tc>
      </w:tr>
      <w:tr w:rsidR="00CC094E" w:rsidRPr="00220850" w14:paraId="2849DBC1" w14:textId="77777777" w:rsidTr="00CC094E">
        <w:tc>
          <w:tcPr>
            <w:tcW w:w="2425" w:type="pct"/>
          </w:tcPr>
          <w:p w14:paraId="228AAE9E" w14:textId="77777777" w:rsidR="00CC094E" w:rsidRPr="00220850" w:rsidRDefault="00CC094E" w:rsidP="00CC094E">
            <w:pPr>
              <w:autoSpaceDE w:val="0"/>
              <w:autoSpaceDN w:val="0"/>
              <w:adjustRightInd w:val="0"/>
              <w:rPr>
                <w:sz w:val="22"/>
                <w:szCs w:val="22"/>
                <w:lang w:val="lt-LT"/>
              </w:rPr>
            </w:pPr>
            <w:r w:rsidRPr="00220850">
              <w:rPr>
                <w:sz w:val="22"/>
                <w:szCs w:val="22"/>
                <w:lang w:val="lt-LT"/>
              </w:rPr>
              <w:t>Palyginimas su placebu</w:t>
            </w:r>
          </w:p>
        </w:tc>
        <w:tc>
          <w:tcPr>
            <w:tcW w:w="1252" w:type="pct"/>
          </w:tcPr>
          <w:p w14:paraId="3D599BAC" w14:textId="77777777" w:rsidR="00CC094E" w:rsidRPr="00220850" w:rsidRDefault="00CC094E" w:rsidP="00CC094E">
            <w:pPr>
              <w:autoSpaceDE w:val="0"/>
              <w:autoSpaceDN w:val="0"/>
              <w:adjustRightInd w:val="0"/>
              <w:rPr>
                <w:sz w:val="22"/>
                <w:szCs w:val="22"/>
                <w:lang w:val="lt-LT"/>
              </w:rPr>
            </w:pPr>
          </w:p>
        </w:tc>
        <w:tc>
          <w:tcPr>
            <w:tcW w:w="1323" w:type="pct"/>
          </w:tcPr>
          <w:p w14:paraId="31B5D8C5" w14:textId="77777777" w:rsidR="00CC094E" w:rsidRPr="00220850" w:rsidRDefault="00CC094E" w:rsidP="00CC094E">
            <w:pPr>
              <w:autoSpaceDE w:val="0"/>
              <w:autoSpaceDN w:val="0"/>
              <w:adjustRightInd w:val="0"/>
              <w:rPr>
                <w:sz w:val="22"/>
                <w:szCs w:val="22"/>
                <w:lang w:val="lt-LT"/>
              </w:rPr>
            </w:pPr>
          </w:p>
        </w:tc>
      </w:tr>
      <w:tr w:rsidR="00CC094E" w:rsidRPr="00220850" w14:paraId="1BB8CE02" w14:textId="77777777" w:rsidTr="00CC094E">
        <w:tc>
          <w:tcPr>
            <w:tcW w:w="2425" w:type="pct"/>
          </w:tcPr>
          <w:p w14:paraId="34803AF4" w14:textId="77777777" w:rsidR="00CC094E" w:rsidRPr="00220850" w:rsidRDefault="00CC094E" w:rsidP="00CC094E">
            <w:pPr>
              <w:autoSpaceDE w:val="0"/>
              <w:autoSpaceDN w:val="0"/>
              <w:adjustRightInd w:val="0"/>
              <w:ind w:left="317"/>
              <w:rPr>
                <w:sz w:val="22"/>
                <w:szCs w:val="22"/>
                <w:lang w:val="lt-LT"/>
              </w:rPr>
            </w:pPr>
            <w:r w:rsidRPr="00220850">
              <w:rPr>
                <w:sz w:val="22"/>
                <w:szCs w:val="22"/>
                <w:lang w:val="lt-LT"/>
              </w:rPr>
              <w:t>Šansų santykis²</w:t>
            </w:r>
          </w:p>
        </w:tc>
        <w:tc>
          <w:tcPr>
            <w:tcW w:w="1252" w:type="pct"/>
          </w:tcPr>
          <w:p w14:paraId="36627330" w14:textId="77777777" w:rsidR="00CC094E" w:rsidRPr="00220850" w:rsidRDefault="00CC094E" w:rsidP="00CC094E">
            <w:pPr>
              <w:autoSpaceDE w:val="0"/>
              <w:autoSpaceDN w:val="0"/>
              <w:adjustRightInd w:val="0"/>
              <w:rPr>
                <w:sz w:val="22"/>
                <w:szCs w:val="22"/>
                <w:lang w:val="lt-LT"/>
              </w:rPr>
            </w:pPr>
          </w:p>
        </w:tc>
        <w:tc>
          <w:tcPr>
            <w:tcW w:w="1323" w:type="pct"/>
            <w:vAlign w:val="center"/>
          </w:tcPr>
          <w:p w14:paraId="79E9DC63"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2,01</w:t>
            </w:r>
          </w:p>
        </w:tc>
      </w:tr>
      <w:tr w:rsidR="00CC094E" w:rsidRPr="00220850" w14:paraId="15BB5D4F" w14:textId="77777777" w:rsidTr="00CC094E">
        <w:tc>
          <w:tcPr>
            <w:tcW w:w="2425" w:type="pct"/>
          </w:tcPr>
          <w:p w14:paraId="1BC3E8F0" w14:textId="77777777" w:rsidR="00CC094E" w:rsidRPr="00220850" w:rsidRDefault="00CC094E" w:rsidP="00CC094E">
            <w:pPr>
              <w:autoSpaceDE w:val="0"/>
              <w:autoSpaceDN w:val="0"/>
              <w:adjustRightInd w:val="0"/>
              <w:ind w:left="317"/>
              <w:rPr>
                <w:sz w:val="22"/>
                <w:szCs w:val="22"/>
                <w:lang w:val="lt-LT"/>
              </w:rPr>
            </w:pPr>
            <w:r w:rsidRPr="00220850">
              <w:rPr>
                <w:sz w:val="22"/>
                <w:szCs w:val="22"/>
                <w:lang w:val="lt-LT"/>
              </w:rPr>
              <w:t>95 % PI</w:t>
            </w:r>
          </w:p>
        </w:tc>
        <w:tc>
          <w:tcPr>
            <w:tcW w:w="1252" w:type="pct"/>
          </w:tcPr>
          <w:p w14:paraId="45CBFA3B" w14:textId="77777777" w:rsidR="00CC094E" w:rsidRPr="00220850" w:rsidRDefault="00CC094E" w:rsidP="00CC094E">
            <w:pPr>
              <w:autoSpaceDE w:val="0"/>
              <w:autoSpaceDN w:val="0"/>
              <w:adjustRightInd w:val="0"/>
              <w:rPr>
                <w:sz w:val="22"/>
                <w:szCs w:val="22"/>
                <w:lang w:val="lt-LT"/>
              </w:rPr>
            </w:pPr>
          </w:p>
        </w:tc>
        <w:tc>
          <w:tcPr>
            <w:tcW w:w="1323" w:type="pct"/>
            <w:vAlign w:val="center"/>
          </w:tcPr>
          <w:p w14:paraId="3D4B885E"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(1,46, 2,76)</w:t>
            </w:r>
          </w:p>
        </w:tc>
      </w:tr>
      <w:tr w:rsidR="00CC094E" w:rsidRPr="00220850" w14:paraId="4B69AA72" w14:textId="77777777" w:rsidTr="00CC094E">
        <w:tc>
          <w:tcPr>
            <w:tcW w:w="2425" w:type="pct"/>
          </w:tcPr>
          <w:p w14:paraId="4FF76D66" w14:textId="77777777" w:rsidR="00CC094E" w:rsidRPr="00220850" w:rsidRDefault="001C306E" w:rsidP="001C306E">
            <w:pPr>
              <w:autoSpaceDE w:val="0"/>
              <w:autoSpaceDN w:val="0"/>
              <w:adjustRightInd w:val="0"/>
              <w:ind w:left="317"/>
              <w:rPr>
                <w:sz w:val="22"/>
                <w:szCs w:val="22"/>
                <w:lang w:val="lt-LT"/>
              </w:rPr>
            </w:pPr>
            <w:r w:rsidRPr="00220850">
              <w:rPr>
                <w:sz w:val="22"/>
                <w:szCs w:val="22"/>
                <w:lang w:val="lt-LT"/>
              </w:rPr>
              <w:t>Nominali</w:t>
            </w:r>
            <w:r w:rsidR="00CC094E" w:rsidRPr="00220850">
              <w:rPr>
                <w:sz w:val="22"/>
                <w:szCs w:val="22"/>
                <w:lang w:val="lt-LT"/>
              </w:rPr>
              <w:t xml:space="preserve"> p reikšmė</w:t>
            </w:r>
          </w:p>
        </w:tc>
        <w:tc>
          <w:tcPr>
            <w:tcW w:w="1252" w:type="pct"/>
          </w:tcPr>
          <w:p w14:paraId="622CC9C1" w14:textId="77777777" w:rsidR="00CC094E" w:rsidRPr="00220850" w:rsidRDefault="00CC094E" w:rsidP="00CC094E">
            <w:pPr>
              <w:autoSpaceDE w:val="0"/>
              <w:autoSpaceDN w:val="0"/>
              <w:adjustRightInd w:val="0"/>
              <w:rPr>
                <w:sz w:val="22"/>
                <w:szCs w:val="22"/>
                <w:lang w:val="lt-LT"/>
              </w:rPr>
            </w:pPr>
          </w:p>
        </w:tc>
        <w:tc>
          <w:tcPr>
            <w:tcW w:w="1323" w:type="pct"/>
            <w:vAlign w:val="center"/>
          </w:tcPr>
          <w:p w14:paraId="6B44D9F0"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&lt;0,0001</w:t>
            </w:r>
          </w:p>
        </w:tc>
      </w:tr>
      <w:tr w:rsidR="00CC094E" w:rsidRPr="00220850" w14:paraId="77D43AA8" w14:textId="77777777" w:rsidTr="00CC094E">
        <w:tc>
          <w:tcPr>
            <w:tcW w:w="5000" w:type="pct"/>
            <w:gridSpan w:val="3"/>
          </w:tcPr>
          <w:p w14:paraId="2FBCC4BC" w14:textId="77777777" w:rsidR="00CC094E" w:rsidRPr="00220850" w:rsidRDefault="00CC094E" w:rsidP="00CC094E">
            <w:pPr>
              <w:autoSpaceDE w:val="0"/>
              <w:autoSpaceDN w:val="0"/>
              <w:adjustRightInd w:val="0"/>
              <w:rPr>
                <w:b/>
                <w:sz w:val="22"/>
                <w:szCs w:val="22"/>
                <w:lang w:val="lt-LT"/>
              </w:rPr>
            </w:pPr>
            <w:r w:rsidRPr="00220850">
              <w:rPr>
                <w:b/>
                <w:sz w:val="22"/>
                <w:szCs w:val="22"/>
                <w:lang w:val="lt-LT"/>
              </w:rPr>
              <w:t>10 % riba</w:t>
            </w:r>
          </w:p>
        </w:tc>
      </w:tr>
      <w:tr w:rsidR="00CC094E" w:rsidRPr="00220850" w14:paraId="128827C0" w14:textId="77777777" w:rsidTr="00CC094E">
        <w:tc>
          <w:tcPr>
            <w:tcW w:w="2425" w:type="pct"/>
          </w:tcPr>
          <w:p w14:paraId="23DB417C" w14:textId="77777777" w:rsidR="00CC094E" w:rsidRPr="00220850" w:rsidRDefault="00CC094E" w:rsidP="00CC094E">
            <w:pPr>
              <w:autoSpaceDE w:val="0"/>
              <w:autoSpaceDN w:val="0"/>
              <w:adjustRightInd w:val="0"/>
              <w:rPr>
                <w:sz w:val="22"/>
                <w:szCs w:val="22"/>
                <w:lang w:val="lt-LT"/>
              </w:rPr>
            </w:pPr>
            <w:r w:rsidRPr="00220850">
              <w:rPr>
                <w:sz w:val="22"/>
                <w:szCs w:val="22"/>
                <w:lang w:val="lt-LT"/>
              </w:rPr>
              <w:t>Reagavusiųjų</w:t>
            </w:r>
            <w:r w:rsidRPr="00220850">
              <w:rPr>
                <w:sz w:val="22"/>
                <w:szCs w:val="22"/>
                <w:vertAlign w:val="superscript"/>
                <w:lang w:val="lt-LT"/>
              </w:rPr>
              <w:t xml:space="preserve">1 </w:t>
            </w:r>
            <w:r w:rsidRPr="00220850">
              <w:rPr>
                <w:sz w:val="22"/>
                <w:szCs w:val="22"/>
                <w:lang w:val="lt-LT"/>
              </w:rPr>
              <w:t>FGPT atsaku skaičius (%)</w:t>
            </w:r>
          </w:p>
        </w:tc>
        <w:tc>
          <w:tcPr>
            <w:tcW w:w="1252" w:type="pct"/>
            <w:vAlign w:val="center"/>
          </w:tcPr>
          <w:p w14:paraId="2D6BEEAA"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169 (51,1)</w:t>
            </w:r>
          </w:p>
        </w:tc>
        <w:tc>
          <w:tcPr>
            <w:tcW w:w="1323" w:type="pct"/>
            <w:vAlign w:val="center"/>
          </w:tcPr>
          <w:p w14:paraId="20AFC793"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197 (59,3)</w:t>
            </w:r>
          </w:p>
        </w:tc>
      </w:tr>
      <w:tr w:rsidR="00CC094E" w:rsidRPr="00220850" w14:paraId="745AE52C" w14:textId="77777777" w:rsidTr="00CC094E">
        <w:tc>
          <w:tcPr>
            <w:tcW w:w="2425" w:type="pct"/>
          </w:tcPr>
          <w:p w14:paraId="0C699FF5" w14:textId="77777777" w:rsidR="00CC094E" w:rsidRPr="00220850" w:rsidRDefault="00CC094E" w:rsidP="00CC094E">
            <w:pPr>
              <w:autoSpaceDE w:val="0"/>
              <w:autoSpaceDN w:val="0"/>
              <w:adjustRightInd w:val="0"/>
              <w:rPr>
                <w:sz w:val="22"/>
                <w:szCs w:val="22"/>
                <w:lang w:val="lt-LT"/>
              </w:rPr>
            </w:pPr>
            <w:r w:rsidRPr="00220850">
              <w:rPr>
                <w:sz w:val="22"/>
                <w:szCs w:val="22"/>
                <w:lang w:val="lt-LT"/>
              </w:rPr>
              <w:t>Palyginimas su placebu</w:t>
            </w:r>
          </w:p>
        </w:tc>
        <w:tc>
          <w:tcPr>
            <w:tcW w:w="1252" w:type="pct"/>
          </w:tcPr>
          <w:p w14:paraId="4B2A3E1D" w14:textId="77777777" w:rsidR="00CC094E" w:rsidRPr="00220850" w:rsidRDefault="00CC094E" w:rsidP="00CC094E">
            <w:pPr>
              <w:autoSpaceDE w:val="0"/>
              <w:autoSpaceDN w:val="0"/>
              <w:adjustRightInd w:val="0"/>
              <w:rPr>
                <w:sz w:val="22"/>
                <w:szCs w:val="22"/>
                <w:lang w:val="lt-LT"/>
              </w:rPr>
            </w:pPr>
          </w:p>
        </w:tc>
        <w:tc>
          <w:tcPr>
            <w:tcW w:w="1323" w:type="pct"/>
          </w:tcPr>
          <w:p w14:paraId="2E9DBCA5" w14:textId="77777777" w:rsidR="00CC094E" w:rsidRPr="00220850" w:rsidRDefault="00CC094E" w:rsidP="00CC094E">
            <w:pPr>
              <w:autoSpaceDE w:val="0"/>
              <w:autoSpaceDN w:val="0"/>
              <w:adjustRightInd w:val="0"/>
              <w:rPr>
                <w:sz w:val="22"/>
                <w:szCs w:val="22"/>
                <w:lang w:val="lt-LT"/>
              </w:rPr>
            </w:pPr>
          </w:p>
        </w:tc>
      </w:tr>
      <w:tr w:rsidR="00CC094E" w:rsidRPr="00220850" w14:paraId="0557DF55" w14:textId="77777777" w:rsidTr="00CC094E">
        <w:tc>
          <w:tcPr>
            <w:tcW w:w="2425" w:type="pct"/>
          </w:tcPr>
          <w:p w14:paraId="5E16C404" w14:textId="77777777" w:rsidR="00CC094E" w:rsidRPr="00220850" w:rsidRDefault="00CC094E" w:rsidP="00CC094E">
            <w:pPr>
              <w:autoSpaceDE w:val="0"/>
              <w:autoSpaceDN w:val="0"/>
              <w:adjustRightInd w:val="0"/>
              <w:ind w:left="317"/>
              <w:rPr>
                <w:sz w:val="22"/>
                <w:szCs w:val="22"/>
                <w:lang w:val="lt-LT"/>
              </w:rPr>
            </w:pPr>
            <w:r w:rsidRPr="00220850">
              <w:rPr>
                <w:sz w:val="22"/>
                <w:szCs w:val="22"/>
                <w:lang w:val="lt-LT"/>
              </w:rPr>
              <w:t>Šansų santykis</w:t>
            </w:r>
            <w:r w:rsidRPr="00220850">
              <w:rPr>
                <w:sz w:val="22"/>
                <w:szCs w:val="22"/>
                <w:vertAlign w:val="superscript"/>
                <w:lang w:val="lt-LT"/>
              </w:rPr>
              <w:t>2</w:t>
            </w:r>
          </w:p>
        </w:tc>
        <w:tc>
          <w:tcPr>
            <w:tcW w:w="1252" w:type="pct"/>
          </w:tcPr>
          <w:p w14:paraId="2A6AB12F" w14:textId="77777777" w:rsidR="00CC094E" w:rsidRPr="00220850" w:rsidRDefault="00CC094E" w:rsidP="00CC094E">
            <w:pPr>
              <w:autoSpaceDE w:val="0"/>
              <w:autoSpaceDN w:val="0"/>
              <w:adjustRightInd w:val="0"/>
              <w:rPr>
                <w:sz w:val="22"/>
                <w:szCs w:val="22"/>
                <w:lang w:val="lt-LT"/>
              </w:rPr>
            </w:pPr>
          </w:p>
        </w:tc>
        <w:tc>
          <w:tcPr>
            <w:tcW w:w="1323" w:type="pct"/>
            <w:vAlign w:val="center"/>
          </w:tcPr>
          <w:p w14:paraId="5A1C28D8"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1,42</w:t>
            </w:r>
          </w:p>
        </w:tc>
      </w:tr>
      <w:tr w:rsidR="00CC094E" w:rsidRPr="00220850" w14:paraId="1CD462F6" w14:textId="77777777" w:rsidTr="00CC094E">
        <w:tc>
          <w:tcPr>
            <w:tcW w:w="2425" w:type="pct"/>
          </w:tcPr>
          <w:p w14:paraId="171F72D5" w14:textId="77777777" w:rsidR="00CC094E" w:rsidRPr="00220850" w:rsidRDefault="00CC094E" w:rsidP="00CC094E">
            <w:pPr>
              <w:autoSpaceDE w:val="0"/>
              <w:autoSpaceDN w:val="0"/>
              <w:adjustRightInd w:val="0"/>
              <w:ind w:left="317"/>
              <w:rPr>
                <w:sz w:val="22"/>
                <w:szCs w:val="22"/>
                <w:lang w:val="lt-LT"/>
              </w:rPr>
            </w:pPr>
            <w:r w:rsidRPr="00220850">
              <w:rPr>
                <w:sz w:val="22"/>
                <w:szCs w:val="22"/>
                <w:lang w:val="lt-LT"/>
              </w:rPr>
              <w:t>95 % PI</w:t>
            </w:r>
          </w:p>
        </w:tc>
        <w:tc>
          <w:tcPr>
            <w:tcW w:w="1252" w:type="pct"/>
          </w:tcPr>
          <w:p w14:paraId="2C851CA3" w14:textId="77777777" w:rsidR="00CC094E" w:rsidRPr="00220850" w:rsidRDefault="00CC094E" w:rsidP="00CC094E">
            <w:pPr>
              <w:autoSpaceDE w:val="0"/>
              <w:autoSpaceDN w:val="0"/>
              <w:adjustRightInd w:val="0"/>
              <w:rPr>
                <w:sz w:val="22"/>
                <w:szCs w:val="22"/>
                <w:lang w:val="lt-LT"/>
              </w:rPr>
            </w:pPr>
          </w:p>
        </w:tc>
        <w:tc>
          <w:tcPr>
            <w:tcW w:w="1323" w:type="pct"/>
            <w:vAlign w:val="center"/>
          </w:tcPr>
          <w:p w14:paraId="09A86918"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(1,04, 1,94)</w:t>
            </w:r>
          </w:p>
        </w:tc>
      </w:tr>
      <w:tr w:rsidR="00CC094E" w:rsidRPr="00220850" w14:paraId="272FFE69" w14:textId="77777777" w:rsidTr="00CC094E">
        <w:tc>
          <w:tcPr>
            <w:tcW w:w="2425" w:type="pct"/>
          </w:tcPr>
          <w:p w14:paraId="1AE53569" w14:textId="77777777" w:rsidR="00CC094E" w:rsidRPr="00220850" w:rsidRDefault="001C306E" w:rsidP="001C306E">
            <w:pPr>
              <w:autoSpaceDE w:val="0"/>
              <w:autoSpaceDN w:val="0"/>
              <w:adjustRightInd w:val="0"/>
              <w:ind w:left="317"/>
              <w:rPr>
                <w:sz w:val="22"/>
                <w:szCs w:val="22"/>
                <w:lang w:val="lt-LT"/>
              </w:rPr>
            </w:pPr>
            <w:r w:rsidRPr="00220850">
              <w:rPr>
                <w:sz w:val="22"/>
                <w:szCs w:val="22"/>
                <w:lang w:val="lt-LT"/>
              </w:rPr>
              <w:lastRenderedPageBreak/>
              <w:t>Nominali</w:t>
            </w:r>
            <w:r w:rsidR="00CC094E" w:rsidRPr="00220850">
              <w:rPr>
                <w:sz w:val="22"/>
                <w:szCs w:val="22"/>
                <w:lang w:val="lt-LT"/>
              </w:rPr>
              <w:t xml:space="preserve"> p reikšmė</w:t>
            </w:r>
          </w:p>
        </w:tc>
        <w:tc>
          <w:tcPr>
            <w:tcW w:w="1252" w:type="pct"/>
          </w:tcPr>
          <w:p w14:paraId="663EBFE7" w14:textId="77777777" w:rsidR="00CC094E" w:rsidRPr="00220850" w:rsidRDefault="00CC094E" w:rsidP="00CC094E">
            <w:pPr>
              <w:autoSpaceDE w:val="0"/>
              <w:autoSpaceDN w:val="0"/>
              <w:adjustRightInd w:val="0"/>
              <w:rPr>
                <w:sz w:val="22"/>
                <w:szCs w:val="22"/>
                <w:lang w:val="lt-LT"/>
              </w:rPr>
            </w:pPr>
          </w:p>
        </w:tc>
        <w:tc>
          <w:tcPr>
            <w:tcW w:w="1323" w:type="pct"/>
            <w:vAlign w:val="center"/>
          </w:tcPr>
          <w:p w14:paraId="1054FB0E" w14:textId="77777777" w:rsidR="00CC094E" w:rsidRPr="00220850" w:rsidRDefault="00CC094E" w:rsidP="00CC094E">
            <w:pPr>
              <w:autoSpaceDE w:val="0"/>
              <w:autoSpaceDN w:val="0"/>
              <w:adjustRightInd w:val="0"/>
              <w:jc w:val="center"/>
              <w:rPr>
                <w:sz w:val="22"/>
                <w:szCs w:val="22"/>
                <w:lang w:val="lt-LT"/>
              </w:rPr>
            </w:pPr>
            <w:r w:rsidRPr="00220850">
              <w:rPr>
                <w:sz w:val="22"/>
                <w:szCs w:val="22"/>
                <w:lang w:val="lt-LT"/>
              </w:rPr>
              <w:t>0,0268</w:t>
            </w:r>
          </w:p>
        </w:tc>
      </w:tr>
    </w:tbl>
    <w:p w14:paraId="773FD011" w14:textId="7B4BA149" w:rsidR="00CC094E" w:rsidRPr="00220850" w:rsidRDefault="00CC094E" w:rsidP="00CC094E">
      <w:pPr>
        <w:autoSpaceDE w:val="0"/>
        <w:autoSpaceDN w:val="0"/>
        <w:adjustRightInd w:val="0"/>
        <w:rPr>
          <w:rFonts w:eastAsia="TimesNewRoman"/>
          <w:sz w:val="20"/>
        </w:rPr>
      </w:pPr>
      <w:r w:rsidRPr="00220850">
        <w:rPr>
          <w:rFonts w:eastAsia="TimesNewRoman"/>
          <w:sz w:val="22"/>
          <w:szCs w:val="22"/>
          <w:vertAlign w:val="superscript"/>
        </w:rPr>
        <w:t>1</w:t>
      </w:r>
      <w:r w:rsidR="005F1EF8" w:rsidRPr="00220850">
        <w:rPr>
          <w:rFonts w:eastAsia="TimesNewRoman"/>
          <w:sz w:val="22"/>
          <w:szCs w:val="22"/>
          <w:vertAlign w:val="superscript"/>
        </w:rPr>
        <w:t xml:space="preserve"> </w:t>
      </w:r>
      <w:r w:rsidRPr="00220850">
        <w:rPr>
          <w:rFonts w:eastAsia="TimesNewRoman"/>
          <w:sz w:val="20"/>
        </w:rPr>
        <w:t xml:space="preserve">Reagavusieji pacientai yra tie, kurių santykinis FGPT (būtinojo dydžio, %) sumažėjimas buvo ne didesnis kaip </w:t>
      </w:r>
      <w:r w:rsidR="001F4F42" w:rsidRPr="00220850">
        <w:rPr>
          <w:rFonts w:eastAsia="TimesNewRoman"/>
          <w:sz w:val="20"/>
        </w:rPr>
        <w:t>5 % arba 10 </w:t>
      </w:r>
      <w:r w:rsidRPr="00220850">
        <w:rPr>
          <w:rFonts w:eastAsia="TimesNewRoman"/>
          <w:sz w:val="20"/>
        </w:rPr>
        <w:t>%, priklausomai nuo ribos, ir kuriems atliktas FGPT vertinimas 52</w:t>
      </w:r>
      <w:r w:rsidR="001A3022" w:rsidRPr="00220850">
        <w:rPr>
          <w:rFonts w:eastAsia="TimesNewRoman"/>
          <w:sz w:val="20"/>
        </w:rPr>
        <w:t>-ą</w:t>
      </w:r>
      <w:r w:rsidRPr="00220850">
        <w:rPr>
          <w:rFonts w:eastAsia="TimesNewRoman"/>
          <w:sz w:val="20"/>
        </w:rPr>
        <w:t xml:space="preserve"> savaitę (pacientai, kurių</w:t>
      </w:r>
      <w:r w:rsidR="001F4F42" w:rsidRPr="00220850">
        <w:rPr>
          <w:rFonts w:eastAsia="TimesNewRoman"/>
          <w:sz w:val="20"/>
        </w:rPr>
        <w:t xml:space="preserve"> </w:t>
      </w:r>
      <w:r w:rsidRPr="00220850">
        <w:rPr>
          <w:rFonts w:eastAsia="TimesNewRoman"/>
          <w:sz w:val="20"/>
        </w:rPr>
        <w:t>duomenų 52 savaitę nebuvo, laikyti nereagavusiais).</w:t>
      </w:r>
    </w:p>
    <w:p w14:paraId="661E18C8" w14:textId="223A23C8" w:rsidR="00CC094E" w:rsidRPr="00220850" w:rsidRDefault="00CC094E" w:rsidP="00CC094E">
      <w:pPr>
        <w:autoSpaceDE w:val="0"/>
        <w:autoSpaceDN w:val="0"/>
        <w:adjustRightInd w:val="0"/>
        <w:rPr>
          <w:rFonts w:eastAsia="TimesNewRoman"/>
          <w:sz w:val="20"/>
        </w:rPr>
      </w:pPr>
      <w:r w:rsidRPr="00220850">
        <w:rPr>
          <w:rFonts w:eastAsia="TimesNewRoman"/>
          <w:sz w:val="22"/>
          <w:szCs w:val="22"/>
          <w:vertAlign w:val="superscript"/>
        </w:rPr>
        <w:t>2</w:t>
      </w:r>
      <w:r w:rsidR="005F1EF8" w:rsidRPr="00220850">
        <w:rPr>
          <w:rFonts w:eastAsia="TimesNewRoman"/>
          <w:sz w:val="22"/>
          <w:szCs w:val="22"/>
          <w:vertAlign w:val="superscript"/>
        </w:rPr>
        <w:t xml:space="preserve"> </w:t>
      </w:r>
      <w:r w:rsidRPr="00220850">
        <w:rPr>
          <w:rFonts w:eastAsia="TimesNewRoman"/>
          <w:sz w:val="20"/>
        </w:rPr>
        <w:t xml:space="preserve">Remiantis logistiniu regresijos modeliu, kai tolydžioji </w:t>
      </w:r>
      <w:proofErr w:type="spellStart"/>
      <w:r w:rsidRPr="00220850">
        <w:rPr>
          <w:rFonts w:eastAsia="TimesNewRoman"/>
          <w:sz w:val="20"/>
        </w:rPr>
        <w:t>kovariatė</w:t>
      </w:r>
      <w:proofErr w:type="spellEnd"/>
      <w:r w:rsidRPr="00220850">
        <w:rPr>
          <w:rFonts w:eastAsia="TimesNewRoman"/>
          <w:sz w:val="20"/>
        </w:rPr>
        <w:t xml:space="preserve"> yra pradinė numatyta FGPT (būtinojo dydžio,</w:t>
      </w:r>
      <w:r w:rsidR="001F4F42" w:rsidRPr="00220850">
        <w:rPr>
          <w:rFonts w:eastAsia="TimesNewRoman"/>
          <w:sz w:val="20"/>
        </w:rPr>
        <w:t xml:space="preserve"> </w:t>
      </w:r>
      <w:r w:rsidRPr="00220850">
        <w:rPr>
          <w:rFonts w:eastAsia="TimesNewRoman"/>
          <w:sz w:val="20"/>
        </w:rPr>
        <w:t xml:space="preserve">%), o dvinarė </w:t>
      </w:r>
      <w:proofErr w:type="spellStart"/>
      <w:r w:rsidRPr="00220850">
        <w:rPr>
          <w:rFonts w:eastAsia="TimesNewRoman"/>
          <w:sz w:val="20"/>
        </w:rPr>
        <w:t>kovariatė</w:t>
      </w:r>
      <w:proofErr w:type="spellEnd"/>
      <w:r w:rsidRPr="00220850">
        <w:rPr>
          <w:rFonts w:eastAsia="TimesNewRoman"/>
          <w:sz w:val="20"/>
        </w:rPr>
        <w:t xml:space="preserve"> – DSGKT nustatytas pobūdis</w:t>
      </w:r>
      <w:r w:rsidR="005F1EF8" w:rsidRPr="00220850">
        <w:rPr>
          <w:rFonts w:eastAsia="TimesNewRoman"/>
          <w:sz w:val="20"/>
        </w:rPr>
        <w:t>.</w:t>
      </w:r>
    </w:p>
    <w:p w14:paraId="2BA98D32" w14:textId="77777777" w:rsidR="00CC094E" w:rsidRPr="00220850" w:rsidRDefault="00CC094E" w:rsidP="00CC094E">
      <w:pPr>
        <w:autoSpaceDE w:val="0"/>
        <w:autoSpaceDN w:val="0"/>
        <w:adjustRightInd w:val="0"/>
        <w:rPr>
          <w:rFonts w:eastAsia="TimesNewRoman,Italic"/>
          <w:i/>
          <w:iCs/>
          <w:sz w:val="22"/>
          <w:szCs w:val="22"/>
        </w:rPr>
      </w:pPr>
    </w:p>
    <w:p w14:paraId="229A7728" w14:textId="2C2A90B8" w:rsidR="00CC094E" w:rsidRPr="00220850" w:rsidRDefault="00CC094E" w:rsidP="00CC094E">
      <w:pPr>
        <w:autoSpaceDE w:val="0"/>
        <w:autoSpaceDN w:val="0"/>
        <w:adjustRightInd w:val="0"/>
        <w:rPr>
          <w:rFonts w:eastAsia="TimesNewRoman,Italic"/>
          <w:i/>
          <w:iCs/>
          <w:sz w:val="22"/>
          <w:szCs w:val="22"/>
          <w:u w:val="single"/>
        </w:rPr>
      </w:pPr>
      <w:r w:rsidRPr="00220850">
        <w:rPr>
          <w:rFonts w:eastAsia="TimesNewRoman,Italic"/>
          <w:i/>
          <w:iCs/>
          <w:sz w:val="22"/>
          <w:szCs w:val="22"/>
          <w:u w:val="single"/>
        </w:rPr>
        <w:t>Laikotarpis iki pirmo ūm</w:t>
      </w:r>
      <w:r w:rsidR="00667014" w:rsidRPr="00220850">
        <w:rPr>
          <w:rFonts w:eastAsia="TimesNewRoman,Italic"/>
          <w:i/>
          <w:iCs/>
          <w:sz w:val="22"/>
          <w:szCs w:val="22"/>
          <w:u w:val="single"/>
        </w:rPr>
        <w:t>inio</w:t>
      </w:r>
      <w:r w:rsidRPr="00220850">
        <w:rPr>
          <w:rFonts w:eastAsia="TimesNewRoman,Italic"/>
          <w:i/>
          <w:iCs/>
          <w:sz w:val="22"/>
          <w:szCs w:val="22"/>
          <w:u w:val="single"/>
        </w:rPr>
        <w:t xml:space="preserve"> IPL pa</w:t>
      </w:r>
      <w:r w:rsidR="008E5FFA" w:rsidRPr="00220850">
        <w:rPr>
          <w:rFonts w:eastAsia="TimesNewRoman,Italic"/>
          <w:i/>
          <w:iCs/>
          <w:sz w:val="22"/>
          <w:szCs w:val="22"/>
          <w:u w:val="single"/>
        </w:rPr>
        <w:t>blogėjimo</w:t>
      </w:r>
      <w:r w:rsidRPr="00220850">
        <w:rPr>
          <w:rFonts w:eastAsia="TimesNewRoman,Italic"/>
          <w:i/>
          <w:iCs/>
          <w:sz w:val="22"/>
          <w:szCs w:val="22"/>
          <w:u w:val="single"/>
        </w:rPr>
        <w:t xml:space="preserve"> arba mirties</w:t>
      </w:r>
    </w:p>
    <w:p w14:paraId="1AD9F1A8" w14:textId="7685A9D3" w:rsidR="000040AC" w:rsidRPr="00220850" w:rsidRDefault="00CC094E" w:rsidP="00CC094E">
      <w:pPr>
        <w:autoSpaceDE w:val="0"/>
        <w:autoSpaceDN w:val="0"/>
        <w:adjustRightInd w:val="0"/>
        <w:rPr>
          <w:rFonts w:eastAsia="TimesNewRoman"/>
          <w:sz w:val="22"/>
          <w:szCs w:val="22"/>
        </w:rPr>
      </w:pPr>
      <w:r w:rsidRPr="00220850">
        <w:rPr>
          <w:rFonts w:eastAsia="TimesNewRoman"/>
          <w:sz w:val="22"/>
          <w:szCs w:val="22"/>
        </w:rPr>
        <w:t>Viso tyrimo metu pacientų, kurie patyrė bent vieną pirmo ūm</w:t>
      </w:r>
      <w:r w:rsidR="00667014" w:rsidRPr="00220850">
        <w:rPr>
          <w:rFonts w:eastAsia="TimesNewRoman"/>
          <w:sz w:val="22"/>
          <w:szCs w:val="22"/>
        </w:rPr>
        <w:t>inio</w:t>
      </w:r>
      <w:r w:rsidRPr="00220850">
        <w:rPr>
          <w:rFonts w:eastAsia="TimesNewRoman"/>
          <w:sz w:val="22"/>
          <w:szCs w:val="22"/>
        </w:rPr>
        <w:t xml:space="preserve"> IPL pa</w:t>
      </w:r>
      <w:r w:rsidR="001F4F42" w:rsidRPr="00220850">
        <w:rPr>
          <w:rFonts w:eastAsia="TimesNewRoman"/>
          <w:sz w:val="22"/>
          <w:szCs w:val="22"/>
        </w:rPr>
        <w:t>blogėjimo</w:t>
      </w:r>
      <w:r w:rsidRPr="00220850">
        <w:rPr>
          <w:rFonts w:eastAsia="TimesNewRoman"/>
          <w:sz w:val="22"/>
          <w:szCs w:val="22"/>
        </w:rPr>
        <w:t xml:space="preserve"> reiškinį arba mirė,</w:t>
      </w:r>
      <w:r w:rsidR="001A3022" w:rsidRPr="00220850">
        <w:rPr>
          <w:rFonts w:eastAsia="TimesNewRoman"/>
          <w:sz w:val="22"/>
          <w:szCs w:val="22"/>
        </w:rPr>
        <w:t xml:space="preserve"> </w:t>
      </w:r>
      <w:r w:rsidRPr="00220850">
        <w:rPr>
          <w:rFonts w:eastAsia="TimesNewRoman"/>
          <w:sz w:val="22"/>
          <w:szCs w:val="22"/>
        </w:rPr>
        <w:t xml:space="preserve">dalis </w:t>
      </w:r>
      <w:proofErr w:type="spellStart"/>
      <w:r w:rsidR="001F4F42" w:rsidRPr="00220850">
        <w:rPr>
          <w:rFonts w:eastAsia="TimesNewRoman"/>
          <w:sz w:val="22"/>
          <w:szCs w:val="22"/>
        </w:rPr>
        <w:t>nintedanibo</w:t>
      </w:r>
      <w:proofErr w:type="spellEnd"/>
      <w:r w:rsidR="001F4F42" w:rsidRPr="00220850">
        <w:rPr>
          <w:rFonts w:eastAsia="TimesNewRoman"/>
          <w:sz w:val="22"/>
          <w:szCs w:val="22"/>
        </w:rPr>
        <w:t xml:space="preserve"> grupėje buvo 13,9 </w:t>
      </w:r>
      <w:r w:rsidRPr="00220850">
        <w:rPr>
          <w:rFonts w:eastAsia="TimesNewRoman"/>
          <w:sz w:val="22"/>
          <w:szCs w:val="22"/>
        </w:rPr>
        <w:t>%, o placebo grupėje – 19,6</w:t>
      </w:r>
      <w:r w:rsidR="001F4F42" w:rsidRPr="00220850">
        <w:rPr>
          <w:rFonts w:eastAsia="TimesNewRoman"/>
          <w:sz w:val="22"/>
          <w:szCs w:val="22"/>
        </w:rPr>
        <w:t> %. RS buvo 0,67 (95 </w:t>
      </w:r>
      <w:r w:rsidRPr="00220850">
        <w:rPr>
          <w:rFonts w:eastAsia="TimesNewRoman"/>
          <w:sz w:val="22"/>
          <w:szCs w:val="22"/>
        </w:rPr>
        <w:t>% PI: 0,46, 0,98;</w:t>
      </w:r>
      <w:r w:rsidR="001A3022" w:rsidRPr="00220850">
        <w:rPr>
          <w:rFonts w:eastAsia="TimesNewRoman"/>
          <w:sz w:val="22"/>
          <w:szCs w:val="22"/>
        </w:rPr>
        <w:t xml:space="preserve"> </w:t>
      </w:r>
      <w:r w:rsidR="001F4F42" w:rsidRPr="00220850">
        <w:rPr>
          <w:rFonts w:eastAsia="TimesNewRoman"/>
          <w:sz w:val="22"/>
          <w:szCs w:val="22"/>
        </w:rPr>
        <w:t>nominali p = 0,0387), rodantis 33 </w:t>
      </w:r>
      <w:r w:rsidRPr="00220850">
        <w:rPr>
          <w:rFonts w:eastAsia="TimesNewRoman"/>
          <w:sz w:val="22"/>
          <w:szCs w:val="22"/>
        </w:rPr>
        <w:t>% mažesnę pirmo ūm</w:t>
      </w:r>
      <w:r w:rsidR="00667014" w:rsidRPr="00220850">
        <w:rPr>
          <w:rFonts w:eastAsia="TimesNewRoman"/>
          <w:sz w:val="22"/>
          <w:szCs w:val="22"/>
        </w:rPr>
        <w:t>inio</w:t>
      </w:r>
      <w:r w:rsidRPr="00220850">
        <w:rPr>
          <w:rFonts w:eastAsia="TimesNewRoman"/>
          <w:sz w:val="22"/>
          <w:szCs w:val="22"/>
        </w:rPr>
        <w:t xml:space="preserve"> IPL pa</w:t>
      </w:r>
      <w:r w:rsidR="001A3022" w:rsidRPr="00220850">
        <w:rPr>
          <w:rFonts w:eastAsia="TimesNewRoman"/>
          <w:sz w:val="22"/>
          <w:szCs w:val="22"/>
        </w:rPr>
        <w:t>blogėjimo</w:t>
      </w:r>
      <w:r w:rsidRPr="00220850">
        <w:rPr>
          <w:rFonts w:eastAsia="TimesNewRoman"/>
          <w:sz w:val="22"/>
          <w:szCs w:val="22"/>
        </w:rPr>
        <w:t xml:space="preserve"> arba mirties riziką</w:t>
      </w:r>
      <w:r w:rsidR="001F4F42" w:rsidRPr="00220850">
        <w:rPr>
          <w:rFonts w:eastAsia="TimesNewRoman"/>
          <w:sz w:val="22"/>
          <w:szCs w:val="22"/>
        </w:rPr>
        <w:t xml:space="preserve"> </w:t>
      </w:r>
      <w:r w:rsidRPr="00220850">
        <w:rPr>
          <w:rFonts w:eastAsia="TimesNewRoman"/>
          <w:sz w:val="22"/>
          <w:szCs w:val="22"/>
        </w:rPr>
        <w:t xml:space="preserve">pacientams, vartojusiems </w:t>
      </w:r>
      <w:proofErr w:type="spellStart"/>
      <w:r w:rsidR="001F4F42" w:rsidRPr="00220850">
        <w:rPr>
          <w:rFonts w:eastAsia="TimesNewRoman"/>
          <w:sz w:val="22"/>
          <w:szCs w:val="22"/>
        </w:rPr>
        <w:t>nintedanibą</w:t>
      </w:r>
      <w:proofErr w:type="spellEnd"/>
      <w:r w:rsidRPr="00220850">
        <w:rPr>
          <w:rFonts w:eastAsia="TimesNewRoman"/>
          <w:sz w:val="22"/>
          <w:szCs w:val="22"/>
        </w:rPr>
        <w:t>, palyginti su placebu (4 pav.).</w:t>
      </w:r>
    </w:p>
    <w:p w14:paraId="36186F62" w14:textId="77777777" w:rsidR="00331A5B" w:rsidRPr="00220850" w:rsidRDefault="00331A5B" w:rsidP="00331A5B">
      <w:pPr>
        <w:autoSpaceDE w:val="0"/>
        <w:autoSpaceDN w:val="0"/>
        <w:adjustRightInd w:val="0"/>
        <w:rPr>
          <w:rFonts w:eastAsia="TimesNewRoman,Bold"/>
          <w:b/>
          <w:bCs/>
          <w:sz w:val="22"/>
          <w:szCs w:val="22"/>
        </w:rPr>
      </w:pPr>
    </w:p>
    <w:p w14:paraId="5AB9D936" w14:textId="65C12289" w:rsidR="00331A5B" w:rsidRPr="00220850" w:rsidRDefault="00331A5B" w:rsidP="00331A5B">
      <w:pPr>
        <w:autoSpaceDE w:val="0"/>
        <w:autoSpaceDN w:val="0"/>
        <w:adjustRightInd w:val="0"/>
        <w:rPr>
          <w:rFonts w:eastAsia="TimesNewRoman,Bold"/>
          <w:b/>
          <w:bCs/>
          <w:sz w:val="22"/>
          <w:szCs w:val="22"/>
        </w:rPr>
      </w:pPr>
      <w:r w:rsidRPr="00220850">
        <w:rPr>
          <w:rFonts w:eastAsia="TimesNewRoman,Bold"/>
          <w:b/>
          <w:bCs/>
          <w:sz w:val="22"/>
          <w:szCs w:val="22"/>
        </w:rPr>
        <w:t>4 pav. Laikotarpio iki pirmo ūm</w:t>
      </w:r>
      <w:r w:rsidR="00667014" w:rsidRPr="00220850">
        <w:rPr>
          <w:rFonts w:eastAsia="TimesNewRoman,Bold"/>
          <w:b/>
          <w:bCs/>
          <w:sz w:val="22"/>
          <w:szCs w:val="22"/>
        </w:rPr>
        <w:t>inio</w:t>
      </w:r>
      <w:r w:rsidRPr="00220850">
        <w:rPr>
          <w:rFonts w:eastAsia="TimesNewRoman,Bold"/>
          <w:b/>
          <w:bCs/>
          <w:sz w:val="22"/>
          <w:szCs w:val="22"/>
        </w:rPr>
        <w:t xml:space="preserve"> IPL </w:t>
      </w:r>
      <w:r w:rsidR="00667014" w:rsidRPr="00220850">
        <w:rPr>
          <w:rFonts w:eastAsia="TimesNewRoman,Bold"/>
          <w:b/>
          <w:bCs/>
          <w:sz w:val="22"/>
          <w:szCs w:val="22"/>
        </w:rPr>
        <w:t xml:space="preserve">pablogėjimo </w:t>
      </w:r>
      <w:r w:rsidRPr="00220850">
        <w:rPr>
          <w:rFonts w:eastAsia="TimesNewRoman,Bold"/>
          <w:b/>
          <w:bCs/>
          <w:sz w:val="22"/>
          <w:szCs w:val="22"/>
        </w:rPr>
        <w:t>arba mirties viso tyrimo metu</w:t>
      </w:r>
      <w:r w:rsidR="00667014" w:rsidRPr="00220850">
        <w:rPr>
          <w:rFonts w:eastAsia="TimesNewRoman,Bold"/>
          <w:b/>
          <w:bCs/>
          <w:sz w:val="22"/>
          <w:szCs w:val="22"/>
        </w:rPr>
        <w:t xml:space="preserve"> </w:t>
      </w:r>
      <w:r w:rsidRPr="00220850">
        <w:rPr>
          <w:rFonts w:eastAsia="TimesNewRoman,Bold"/>
          <w:b/>
          <w:bCs/>
          <w:sz w:val="22"/>
          <w:szCs w:val="22"/>
        </w:rPr>
        <w:t>Kaplano-Mejerio (</w:t>
      </w:r>
      <w:proofErr w:type="spellStart"/>
      <w:r w:rsidRPr="00220850">
        <w:rPr>
          <w:rFonts w:eastAsia="TimesNewRoman,Bold"/>
          <w:b/>
          <w:bCs/>
          <w:i/>
          <w:iCs/>
          <w:sz w:val="22"/>
          <w:szCs w:val="22"/>
        </w:rPr>
        <w:t>Kaplan-Meier</w:t>
      </w:r>
      <w:proofErr w:type="spellEnd"/>
      <w:r w:rsidRPr="00220850">
        <w:rPr>
          <w:rFonts w:eastAsia="TimesNewRoman,Bold"/>
          <w:b/>
          <w:bCs/>
          <w:sz w:val="22"/>
          <w:szCs w:val="22"/>
        </w:rPr>
        <w:t>) kreivė</w:t>
      </w:r>
    </w:p>
    <w:p w14:paraId="654A0C0E" w14:textId="1D74D3D7" w:rsidR="00331A5B" w:rsidRPr="00220850" w:rsidRDefault="00331A5B" w:rsidP="00331A5B">
      <w:pPr>
        <w:autoSpaceDE w:val="0"/>
        <w:autoSpaceDN w:val="0"/>
        <w:adjustRightInd w:val="0"/>
        <w:rPr>
          <w:rFonts w:eastAsia="TimesNewRoman"/>
          <w:sz w:val="22"/>
          <w:szCs w:val="22"/>
        </w:rPr>
      </w:pPr>
    </w:p>
    <w:p w14:paraId="64BD5704" w14:textId="77777777" w:rsidR="00712359" w:rsidRPr="00220850" w:rsidRDefault="00712359" w:rsidP="00CC094E">
      <w:pPr>
        <w:autoSpaceDE w:val="0"/>
        <w:autoSpaceDN w:val="0"/>
        <w:adjustRightInd w:val="0"/>
        <w:rPr>
          <w:rFonts w:eastAsia="TimesNewRoman,Bold"/>
          <w:b/>
          <w:bCs/>
          <w:sz w:val="22"/>
          <w:szCs w:val="22"/>
        </w:rPr>
      </w:pPr>
    </w:p>
    <w:p w14:paraId="609DCB7D" w14:textId="54801DA2" w:rsidR="00F848BC" w:rsidRPr="00220850" w:rsidRDefault="00F848BC" w:rsidP="004A1B49">
      <w:pPr>
        <w:autoSpaceDE w:val="0"/>
        <w:autoSpaceDN w:val="0"/>
        <w:adjustRightInd w:val="0"/>
        <w:rPr>
          <w:rFonts w:eastAsia="TimesNewRoman,Bold"/>
          <w:bCs/>
          <w:sz w:val="22"/>
          <w:szCs w:val="22"/>
        </w:rPr>
      </w:pPr>
      <w:r w:rsidRPr="00220850">
        <w:rPr>
          <w:rFonts w:eastAsia="TimesNewRoman,Bold"/>
          <w:bCs/>
          <w:noProof/>
          <w:sz w:val="22"/>
          <w:szCs w:val="22"/>
          <w:lang w:val="en-US"/>
        </w:rPr>
        <w:drawing>
          <wp:inline distT="0" distB="0" distL="0" distR="0" wp14:anchorId="648586C4" wp14:editId="08DAFF48">
            <wp:extent cx="5939790" cy="3482975"/>
            <wp:effectExtent l="0" t="0" r="381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482975"/>
                    </a:xfrm>
                    <a:prstGeom prst="rect">
                      <a:avLst/>
                    </a:prstGeom>
                    <a:noFill/>
                    <a:ln>
                      <a:noFill/>
                    </a:ln>
                  </pic:spPr>
                </pic:pic>
              </a:graphicData>
            </a:graphic>
          </wp:inline>
        </w:drawing>
      </w:r>
    </w:p>
    <w:p w14:paraId="4EC01DCD" w14:textId="5E5E0A1C" w:rsidR="000040AC" w:rsidRPr="00220850" w:rsidRDefault="00AF2A96" w:rsidP="004A1B49">
      <w:pPr>
        <w:autoSpaceDE w:val="0"/>
        <w:autoSpaceDN w:val="0"/>
        <w:adjustRightInd w:val="0"/>
        <w:rPr>
          <w:rFonts w:eastAsia="TimesNewRoman,Bold"/>
          <w:bCs/>
          <w:sz w:val="22"/>
          <w:szCs w:val="22"/>
        </w:rPr>
      </w:pPr>
      <w:proofErr w:type="spellStart"/>
      <w:r w:rsidRPr="00220850">
        <w:rPr>
          <w:rFonts w:eastAsia="TimesNewRoman,Bold"/>
          <w:bCs/>
          <w:sz w:val="22"/>
          <w:szCs w:val="22"/>
        </w:rPr>
        <w:t>dk</w:t>
      </w:r>
      <w:r w:rsidR="00EE567E" w:rsidRPr="00220850">
        <w:rPr>
          <w:rFonts w:eastAsia="TimesNewRoman,Bold"/>
          <w:bCs/>
          <w:sz w:val="22"/>
          <w:szCs w:val="22"/>
        </w:rPr>
        <w:t>p</w:t>
      </w:r>
      <w:proofErr w:type="spellEnd"/>
      <w:r w:rsidRPr="00220850">
        <w:rPr>
          <w:rFonts w:eastAsia="TimesNewRoman,Bold"/>
          <w:bCs/>
          <w:sz w:val="22"/>
          <w:szCs w:val="22"/>
        </w:rPr>
        <w:t xml:space="preserve"> – du kartus per parą</w:t>
      </w:r>
    </w:p>
    <w:p w14:paraId="3B442A26" w14:textId="77777777" w:rsidR="00AF2A96" w:rsidRPr="00220850" w:rsidRDefault="00AF2A96" w:rsidP="00AF2A96">
      <w:pPr>
        <w:autoSpaceDE w:val="0"/>
        <w:autoSpaceDN w:val="0"/>
        <w:adjustRightInd w:val="0"/>
        <w:rPr>
          <w:rFonts w:eastAsia="TimesNewRoman,Italic"/>
          <w:i/>
          <w:iCs/>
          <w:sz w:val="22"/>
          <w:szCs w:val="22"/>
        </w:rPr>
      </w:pPr>
    </w:p>
    <w:p w14:paraId="4111C421" w14:textId="77777777" w:rsidR="00AF2A96" w:rsidRPr="00220850" w:rsidRDefault="00AF2A96" w:rsidP="00AF2A96">
      <w:pPr>
        <w:autoSpaceDE w:val="0"/>
        <w:autoSpaceDN w:val="0"/>
        <w:adjustRightInd w:val="0"/>
        <w:rPr>
          <w:rFonts w:eastAsia="TimesNewRoman,Italic"/>
          <w:i/>
          <w:iCs/>
          <w:sz w:val="22"/>
          <w:szCs w:val="22"/>
          <w:u w:val="single"/>
        </w:rPr>
      </w:pPr>
      <w:r w:rsidRPr="00220850">
        <w:rPr>
          <w:rFonts w:eastAsia="TimesNewRoman,Italic"/>
          <w:i/>
          <w:iCs/>
          <w:sz w:val="22"/>
          <w:szCs w:val="22"/>
          <w:u w:val="single"/>
        </w:rPr>
        <w:t>Išgyvenamumo analizė</w:t>
      </w:r>
    </w:p>
    <w:p w14:paraId="619DF509" w14:textId="77777777" w:rsidR="00AF2A96" w:rsidRPr="00220850" w:rsidRDefault="00AF2A96" w:rsidP="00AF2A96">
      <w:pPr>
        <w:autoSpaceDE w:val="0"/>
        <w:autoSpaceDN w:val="0"/>
        <w:adjustRightInd w:val="0"/>
        <w:rPr>
          <w:rFonts w:eastAsia="TimesNewRoman"/>
          <w:sz w:val="22"/>
          <w:szCs w:val="22"/>
        </w:rPr>
      </w:pPr>
      <w:r w:rsidRPr="00220850">
        <w:rPr>
          <w:rFonts w:eastAsia="TimesNewRoman"/>
          <w:sz w:val="22"/>
          <w:szCs w:val="22"/>
        </w:rPr>
        <w:t xml:space="preserve">Mirties rizika </w:t>
      </w:r>
      <w:proofErr w:type="spellStart"/>
      <w:r w:rsidRPr="00220850">
        <w:rPr>
          <w:rFonts w:eastAsia="TimesNewRoman"/>
          <w:sz w:val="22"/>
          <w:szCs w:val="22"/>
        </w:rPr>
        <w:t>nintedanibo</w:t>
      </w:r>
      <w:proofErr w:type="spellEnd"/>
      <w:r w:rsidRPr="00220850">
        <w:rPr>
          <w:rFonts w:eastAsia="TimesNewRoman"/>
          <w:sz w:val="22"/>
          <w:szCs w:val="22"/>
        </w:rPr>
        <w:t xml:space="preserve"> grupėje, palyginti su placebo grupe, buvo mažesnė. RS buvo 0,78 (95 % PI: 0,50, 1,21; nominali p = 0,2594), rodantis 22 % mažesnę mirties riziką pacientams, vartojusiems </w:t>
      </w:r>
      <w:proofErr w:type="spellStart"/>
      <w:r w:rsidRPr="00220850">
        <w:rPr>
          <w:rFonts w:eastAsia="TimesNewRoman"/>
          <w:sz w:val="22"/>
          <w:szCs w:val="22"/>
        </w:rPr>
        <w:t>nintedanibo</w:t>
      </w:r>
      <w:proofErr w:type="spellEnd"/>
      <w:r w:rsidRPr="00220850">
        <w:rPr>
          <w:rFonts w:eastAsia="TimesNewRoman"/>
          <w:sz w:val="22"/>
          <w:szCs w:val="22"/>
        </w:rPr>
        <w:t>, palyginti su placebu.</w:t>
      </w:r>
    </w:p>
    <w:p w14:paraId="03CE4C50" w14:textId="77777777" w:rsidR="00AF2A96" w:rsidRPr="00220850" w:rsidRDefault="00AF2A96" w:rsidP="00AF2A96">
      <w:pPr>
        <w:autoSpaceDE w:val="0"/>
        <w:autoSpaceDN w:val="0"/>
        <w:adjustRightInd w:val="0"/>
        <w:rPr>
          <w:rFonts w:eastAsia="TimesNewRoman,Italic"/>
          <w:i/>
          <w:iCs/>
          <w:sz w:val="22"/>
          <w:szCs w:val="22"/>
        </w:rPr>
      </w:pPr>
    </w:p>
    <w:p w14:paraId="1C525E13" w14:textId="77777777" w:rsidR="00AF2A96" w:rsidRPr="00220850" w:rsidRDefault="00AF2A96" w:rsidP="00AF2A96">
      <w:pPr>
        <w:autoSpaceDE w:val="0"/>
        <w:autoSpaceDN w:val="0"/>
        <w:adjustRightInd w:val="0"/>
        <w:rPr>
          <w:rFonts w:eastAsia="TimesNewRoman,Italic"/>
          <w:i/>
          <w:iCs/>
          <w:sz w:val="22"/>
          <w:szCs w:val="22"/>
          <w:u w:val="single"/>
        </w:rPr>
      </w:pPr>
      <w:r w:rsidRPr="00220850">
        <w:rPr>
          <w:rFonts w:eastAsia="TimesNewRoman,Italic"/>
          <w:i/>
          <w:iCs/>
          <w:sz w:val="22"/>
          <w:szCs w:val="22"/>
          <w:u w:val="single"/>
        </w:rPr>
        <w:t>Laikas iki progresavimo (≥ 10 % absoliutus FGPT [</w:t>
      </w:r>
      <w:r w:rsidRPr="00220850">
        <w:rPr>
          <w:rFonts w:eastAsia="TimesNewRoman"/>
          <w:i/>
          <w:sz w:val="22"/>
          <w:szCs w:val="22"/>
          <w:u w:val="single"/>
        </w:rPr>
        <w:t>būtinojo dydžio,</w:t>
      </w:r>
      <w:r w:rsidRPr="00220850">
        <w:rPr>
          <w:rFonts w:eastAsia="TimesNewRoman"/>
          <w:sz w:val="22"/>
          <w:szCs w:val="22"/>
          <w:u w:val="single"/>
        </w:rPr>
        <w:t xml:space="preserve"> </w:t>
      </w:r>
      <w:r w:rsidRPr="00220850">
        <w:rPr>
          <w:rFonts w:eastAsia="TimesNewRoman,Italic"/>
          <w:i/>
          <w:iCs/>
          <w:sz w:val="22"/>
          <w:szCs w:val="22"/>
          <w:u w:val="single"/>
        </w:rPr>
        <w:t>%] sumažėjimas) arba mirties</w:t>
      </w:r>
    </w:p>
    <w:p w14:paraId="1EEFBD8B" w14:textId="45F783DB" w:rsidR="00AF2A96" w:rsidRPr="00220850" w:rsidRDefault="00AF2A96" w:rsidP="00AF2A96">
      <w:pPr>
        <w:autoSpaceDE w:val="0"/>
        <w:autoSpaceDN w:val="0"/>
        <w:adjustRightInd w:val="0"/>
        <w:rPr>
          <w:rFonts w:eastAsia="TimesNewRoman"/>
          <w:sz w:val="22"/>
          <w:szCs w:val="22"/>
        </w:rPr>
      </w:pPr>
      <w:r w:rsidRPr="00220850">
        <w:rPr>
          <w:rFonts w:eastAsia="TimesNewRoman"/>
          <w:sz w:val="22"/>
          <w:szCs w:val="22"/>
        </w:rPr>
        <w:t>INBUILD tyrimo metu progresavimo (≥ 10 % absoliutus FGPT [būtinojo dydž</w:t>
      </w:r>
      <w:r w:rsidR="0022151D" w:rsidRPr="00220850">
        <w:rPr>
          <w:rFonts w:eastAsia="TimesNewRoman"/>
          <w:sz w:val="22"/>
          <w:szCs w:val="22"/>
        </w:rPr>
        <w:t>io, </w:t>
      </w:r>
      <w:r w:rsidRPr="00220850">
        <w:rPr>
          <w:rFonts w:eastAsia="TimesNewRoman"/>
          <w:sz w:val="22"/>
          <w:szCs w:val="22"/>
        </w:rPr>
        <w:t xml:space="preserve">%] sumažėjimas) arba mirties rizika buvo mažesnė </w:t>
      </w:r>
      <w:proofErr w:type="spellStart"/>
      <w:r w:rsidRPr="00220850">
        <w:rPr>
          <w:rFonts w:eastAsia="TimesNewRoman"/>
          <w:sz w:val="22"/>
          <w:szCs w:val="22"/>
        </w:rPr>
        <w:t>nintedanibu</w:t>
      </w:r>
      <w:proofErr w:type="spellEnd"/>
      <w:r w:rsidRPr="00220850">
        <w:rPr>
          <w:rFonts w:eastAsia="TimesNewRoman"/>
          <w:sz w:val="22"/>
          <w:szCs w:val="22"/>
        </w:rPr>
        <w:t xml:space="preserve"> gydomiems pacientams. Pacientų, patyrusių reiškinį, dalis </w:t>
      </w:r>
      <w:proofErr w:type="spellStart"/>
      <w:r w:rsidRPr="00220850">
        <w:rPr>
          <w:rFonts w:eastAsia="TimesNewRoman"/>
          <w:sz w:val="22"/>
          <w:szCs w:val="22"/>
        </w:rPr>
        <w:t>nintedanibo</w:t>
      </w:r>
      <w:proofErr w:type="spellEnd"/>
      <w:r w:rsidRPr="00220850">
        <w:rPr>
          <w:rFonts w:eastAsia="TimesNewRoman"/>
          <w:sz w:val="22"/>
          <w:szCs w:val="22"/>
        </w:rPr>
        <w:t xml:space="preserve"> grupėje buvo 40,4 %, o placebo grupėje – 54,7 %. RS buvo</w:t>
      </w:r>
      <w:r w:rsidR="005F1EF8" w:rsidRPr="00220850">
        <w:rPr>
          <w:rFonts w:eastAsia="TimesNewRoman"/>
          <w:sz w:val="22"/>
          <w:szCs w:val="22"/>
        </w:rPr>
        <w:t xml:space="preserve"> </w:t>
      </w:r>
      <w:r w:rsidRPr="00220850">
        <w:rPr>
          <w:rFonts w:eastAsia="TimesNewRoman"/>
          <w:sz w:val="22"/>
          <w:szCs w:val="22"/>
        </w:rPr>
        <w:t>0,66 (95 % PI: 0,53, 0,83; p = 0,0003), rodantis 34 </w:t>
      </w:r>
      <w:r w:rsidR="00667014" w:rsidRPr="00220850">
        <w:rPr>
          <w:rFonts w:eastAsia="TimesNewRoman"/>
          <w:sz w:val="22"/>
          <w:szCs w:val="22"/>
        </w:rPr>
        <w:t xml:space="preserve">% mažesnę </w:t>
      </w:r>
      <w:r w:rsidRPr="00220850">
        <w:rPr>
          <w:rFonts w:eastAsia="TimesNewRoman"/>
          <w:sz w:val="22"/>
          <w:szCs w:val="22"/>
        </w:rPr>
        <w:t>progresavimo (≥ 10 % absoliutaus numatytos</w:t>
      </w:r>
      <w:r w:rsidR="0022151D" w:rsidRPr="00220850">
        <w:rPr>
          <w:rFonts w:eastAsia="TimesNewRoman"/>
          <w:sz w:val="22"/>
          <w:szCs w:val="22"/>
        </w:rPr>
        <w:t xml:space="preserve"> </w:t>
      </w:r>
      <w:r w:rsidRPr="00220850">
        <w:rPr>
          <w:rFonts w:eastAsia="TimesNewRoman"/>
          <w:sz w:val="22"/>
          <w:szCs w:val="22"/>
        </w:rPr>
        <w:t>FGPT (būtinojo dydž</w:t>
      </w:r>
      <w:r w:rsidR="0022151D" w:rsidRPr="00220850">
        <w:rPr>
          <w:rFonts w:eastAsia="TimesNewRoman"/>
          <w:sz w:val="22"/>
          <w:szCs w:val="22"/>
        </w:rPr>
        <w:t>io, </w:t>
      </w:r>
      <w:r w:rsidRPr="00220850">
        <w:rPr>
          <w:rFonts w:eastAsia="TimesNewRoman"/>
          <w:sz w:val="22"/>
          <w:szCs w:val="22"/>
        </w:rPr>
        <w:t>%)</w:t>
      </w:r>
      <w:r w:rsidR="0022151D" w:rsidRPr="00220850">
        <w:rPr>
          <w:rFonts w:eastAsia="TimesNewRoman"/>
          <w:sz w:val="22"/>
          <w:szCs w:val="22"/>
        </w:rPr>
        <w:t xml:space="preserve"> </w:t>
      </w:r>
      <w:r w:rsidRPr="00220850">
        <w:rPr>
          <w:rFonts w:eastAsia="TimesNewRoman"/>
          <w:sz w:val="22"/>
          <w:szCs w:val="22"/>
        </w:rPr>
        <w:t xml:space="preserve">sumažėjimo) arba mirties riziką pacientams, vartojusiems </w:t>
      </w:r>
      <w:proofErr w:type="spellStart"/>
      <w:r w:rsidR="0022151D" w:rsidRPr="00220850">
        <w:rPr>
          <w:rFonts w:eastAsia="TimesNewRoman"/>
          <w:sz w:val="22"/>
          <w:szCs w:val="22"/>
        </w:rPr>
        <w:t>nintedanibą</w:t>
      </w:r>
      <w:proofErr w:type="spellEnd"/>
      <w:r w:rsidR="0022151D" w:rsidRPr="00220850">
        <w:rPr>
          <w:rFonts w:eastAsia="TimesNewRoman"/>
          <w:sz w:val="22"/>
          <w:szCs w:val="22"/>
        </w:rPr>
        <w:t>,</w:t>
      </w:r>
      <w:r w:rsidRPr="00220850">
        <w:rPr>
          <w:rFonts w:eastAsia="TimesNewRoman"/>
          <w:sz w:val="22"/>
          <w:szCs w:val="22"/>
        </w:rPr>
        <w:t xml:space="preserve"> palyginti su placebu.</w:t>
      </w:r>
    </w:p>
    <w:p w14:paraId="6E4751A3" w14:textId="77777777" w:rsidR="0022151D" w:rsidRPr="00220850" w:rsidRDefault="0022151D" w:rsidP="00AF2A96">
      <w:pPr>
        <w:autoSpaceDE w:val="0"/>
        <w:autoSpaceDN w:val="0"/>
        <w:adjustRightInd w:val="0"/>
        <w:rPr>
          <w:rFonts w:eastAsia="TimesNewRoman,Italic"/>
          <w:i/>
          <w:iCs/>
          <w:sz w:val="22"/>
          <w:szCs w:val="22"/>
        </w:rPr>
      </w:pPr>
    </w:p>
    <w:p w14:paraId="4113D9BE" w14:textId="77777777" w:rsidR="00AF2A96" w:rsidRPr="00220850" w:rsidRDefault="00AF2A96" w:rsidP="00AF2A96">
      <w:pPr>
        <w:autoSpaceDE w:val="0"/>
        <w:autoSpaceDN w:val="0"/>
        <w:adjustRightInd w:val="0"/>
        <w:rPr>
          <w:rFonts w:eastAsia="TimesNewRoman,Italic"/>
          <w:i/>
          <w:iCs/>
          <w:sz w:val="22"/>
          <w:szCs w:val="22"/>
          <w:u w:val="single"/>
        </w:rPr>
      </w:pPr>
      <w:r w:rsidRPr="00220850">
        <w:rPr>
          <w:rFonts w:eastAsia="TimesNewRoman,Italic"/>
          <w:i/>
          <w:iCs/>
          <w:sz w:val="22"/>
          <w:szCs w:val="22"/>
          <w:u w:val="single"/>
        </w:rPr>
        <w:t>Gyvenimo kokybė</w:t>
      </w:r>
    </w:p>
    <w:p w14:paraId="31952DDC" w14:textId="77777777" w:rsidR="00AF2A96" w:rsidRPr="00220850" w:rsidRDefault="00AF2A96" w:rsidP="00AF2A96">
      <w:pPr>
        <w:autoSpaceDE w:val="0"/>
        <w:autoSpaceDN w:val="0"/>
        <w:adjustRightInd w:val="0"/>
        <w:rPr>
          <w:rFonts w:eastAsia="TimesNewRoman"/>
          <w:sz w:val="22"/>
          <w:szCs w:val="22"/>
        </w:rPr>
      </w:pPr>
      <w:r w:rsidRPr="00220850">
        <w:rPr>
          <w:rFonts w:eastAsia="TimesNewRoman"/>
          <w:sz w:val="22"/>
          <w:szCs w:val="22"/>
        </w:rPr>
        <w:lastRenderedPageBreak/>
        <w:t>Koreguotasis vidutinis K-BILD bendrojo balo pokytis nuo pradinio 52</w:t>
      </w:r>
      <w:r w:rsidR="001A3022" w:rsidRPr="00220850">
        <w:rPr>
          <w:rFonts w:eastAsia="TimesNewRoman"/>
          <w:sz w:val="22"/>
          <w:szCs w:val="22"/>
        </w:rPr>
        <w:t>-ą</w:t>
      </w:r>
      <w:r w:rsidRPr="00220850">
        <w:rPr>
          <w:rFonts w:eastAsia="TimesNewRoman"/>
          <w:sz w:val="22"/>
          <w:szCs w:val="22"/>
        </w:rPr>
        <w:t xml:space="preserve"> savaitę placebo grupėje</w:t>
      </w:r>
      <w:r w:rsidR="0022151D" w:rsidRPr="00220850">
        <w:rPr>
          <w:rFonts w:eastAsia="TimesNewRoman"/>
          <w:sz w:val="22"/>
          <w:szCs w:val="22"/>
        </w:rPr>
        <w:t xml:space="preserve"> </w:t>
      </w:r>
      <w:r w:rsidR="001A3022" w:rsidRPr="00220850">
        <w:rPr>
          <w:rFonts w:eastAsia="TimesNewRoman"/>
          <w:sz w:val="22"/>
          <w:szCs w:val="22"/>
        </w:rPr>
        <w:t xml:space="preserve">buvo </w:t>
      </w:r>
      <w:r w:rsidRPr="00220850">
        <w:rPr>
          <w:rFonts w:eastAsia="TimesNewRoman"/>
          <w:sz w:val="22"/>
          <w:szCs w:val="22"/>
        </w:rPr>
        <w:t xml:space="preserve">0,79 vieneto, o </w:t>
      </w:r>
      <w:proofErr w:type="spellStart"/>
      <w:r w:rsidR="0022151D" w:rsidRPr="00220850">
        <w:rPr>
          <w:rFonts w:eastAsia="TimesNewRoman"/>
          <w:sz w:val="22"/>
          <w:szCs w:val="22"/>
        </w:rPr>
        <w:t>nintedanibo</w:t>
      </w:r>
      <w:proofErr w:type="spellEnd"/>
      <w:r w:rsidRPr="00220850">
        <w:rPr>
          <w:rFonts w:eastAsia="TimesNewRoman"/>
          <w:sz w:val="22"/>
          <w:szCs w:val="22"/>
        </w:rPr>
        <w:t xml:space="preserve"> grupėje siekė 0,55. Skirtumas tarp gydymo grupių buvo 1,34</w:t>
      </w:r>
      <w:r w:rsidR="0022151D" w:rsidRPr="00220850">
        <w:rPr>
          <w:rFonts w:eastAsia="TimesNewRoman"/>
          <w:sz w:val="22"/>
          <w:szCs w:val="22"/>
        </w:rPr>
        <w:t> (95 % PI: - 0,31, 2,98; nominali p = </w:t>
      </w:r>
      <w:r w:rsidRPr="00220850">
        <w:rPr>
          <w:rFonts w:eastAsia="TimesNewRoman"/>
          <w:sz w:val="22"/>
          <w:szCs w:val="22"/>
        </w:rPr>
        <w:t>0,1115).</w:t>
      </w:r>
    </w:p>
    <w:p w14:paraId="430D109C" w14:textId="77777777" w:rsidR="0022151D" w:rsidRPr="00220850" w:rsidRDefault="0022151D" w:rsidP="00AF2A96">
      <w:pPr>
        <w:autoSpaceDE w:val="0"/>
        <w:autoSpaceDN w:val="0"/>
        <w:adjustRightInd w:val="0"/>
        <w:rPr>
          <w:rFonts w:eastAsia="TimesNewRoman"/>
          <w:sz w:val="22"/>
          <w:szCs w:val="22"/>
        </w:rPr>
      </w:pPr>
    </w:p>
    <w:p w14:paraId="674319A5" w14:textId="77777777" w:rsidR="000040AC" w:rsidRPr="00220850" w:rsidRDefault="00AF2A96" w:rsidP="00AF2A96">
      <w:pPr>
        <w:autoSpaceDE w:val="0"/>
        <w:autoSpaceDN w:val="0"/>
        <w:adjustRightInd w:val="0"/>
        <w:rPr>
          <w:rFonts w:eastAsia="TimesNewRoman,Bold"/>
          <w:b/>
          <w:bCs/>
          <w:sz w:val="22"/>
          <w:szCs w:val="22"/>
        </w:rPr>
      </w:pPr>
      <w:r w:rsidRPr="00220850">
        <w:rPr>
          <w:rFonts w:eastAsia="TimesNewRoman"/>
          <w:sz w:val="22"/>
          <w:szCs w:val="22"/>
        </w:rPr>
        <w:t>Koreguotasis vidutinis absoliutus dusulio srities simptomų balo pagal gyvenimo su plaučių fibroze</w:t>
      </w:r>
      <w:r w:rsidR="0022151D" w:rsidRPr="00220850">
        <w:rPr>
          <w:rFonts w:eastAsia="TimesNewRoman"/>
          <w:sz w:val="22"/>
          <w:szCs w:val="22"/>
        </w:rPr>
        <w:t xml:space="preserve"> </w:t>
      </w:r>
      <w:r w:rsidRPr="00220850">
        <w:rPr>
          <w:rFonts w:eastAsia="TimesNewRoman"/>
          <w:sz w:val="22"/>
          <w:szCs w:val="22"/>
        </w:rPr>
        <w:t xml:space="preserve">klausimyną (angl. </w:t>
      </w:r>
      <w:proofErr w:type="spellStart"/>
      <w:r w:rsidRPr="00220850">
        <w:rPr>
          <w:rFonts w:eastAsia="TimesNewRoman,Italic"/>
          <w:i/>
          <w:iCs/>
          <w:sz w:val="22"/>
          <w:szCs w:val="22"/>
        </w:rPr>
        <w:t>Living</w:t>
      </w:r>
      <w:proofErr w:type="spellEnd"/>
      <w:r w:rsidRPr="00220850">
        <w:rPr>
          <w:rFonts w:eastAsia="TimesNewRoman,Italic"/>
          <w:i/>
          <w:iCs/>
          <w:sz w:val="22"/>
          <w:szCs w:val="22"/>
        </w:rPr>
        <w:t xml:space="preserve"> </w:t>
      </w:r>
      <w:proofErr w:type="spellStart"/>
      <w:r w:rsidRPr="00220850">
        <w:rPr>
          <w:rFonts w:eastAsia="TimesNewRoman,Italic"/>
          <w:i/>
          <w:iCs/>
          <w:sz w:val="22"/>
          <w:szCs w:val="22"/>
        </w:rPr>
        <w:t>With</w:t>
      </w:r>
      <w:proofErr w:type="spellEnd"/>
      <w:r w:rsidRPr="00220850">
        <w:rPr>
          <w:rFonts w:eastAsia="TimesNewRoman,Italic"/>
          <w:i/>
          <w:iCs/>
          <w:sz w:val="22"/>
          <w:szCs w:val="22"/>
        </w:rPr>
        <w:t xml:space="preserve"> </w:t>
      </w:r>
      <w:proofErr w:type="spellStart"/>
      <w:r w:rsidRPr="00220850">
        <w:rPr>
          <w:rFonts w:eastAsia="TimesNewRoman,Italic"/>
          <w:i/>
          <w:iCs/>
          <w:sz w:val="22"/>
          <w:szCs w:val="22"/>
        </w:rPr>
        <w:t>Pulmonary</w:t>
      </w:r>
      <w:proofErr w:type="spellEnd"/>
      <w:r w:rsidRPr="00220850">
        <w:rPr>
          <w:rFonts w:eastAsia="TimesNewRoman,Italic"/>
          <w:i/>
          <w:iCs/>
          <w:sz w:val="22"/>
          <w:szCs w:val="22"/>
        </w:rPr>
        <w:t xml:space="preserve"> </w:t>
      </w:r>
      <w:proofErr w:type="spellStart"/>
      <w:r w:rsidRPr="00220850">
        <w:rPr>
          <w:rFonts w:eastAsia="TimesNewRoman,Italic"/>
          <w:i/>
          <w:iCs/>
          <w:sz w:val="22"/>
          <w:szCs w:val="22"/>
        </w:rPr>
        <w:t>Fibrosis</w:t>
      </w:r>
      <w:proofErr w:type="spellEnd"/>
      <w:r w:rsidRPr="00220850">
        <w:rPr>
          <w:rFonts w:eastAsia="TimesNewRoman"/>
          <w:sz w:val="22"/>
          <w:szCs w:val="22"/>
        </w:rPr>
        <w:t>, L-PF) pokytis nuo pradinio 52</w:t>
      </w:r>
      <w:r w:rsidR="001A3022" w:rsidRPr="00220850">
        <w:rPr>
          <w:rFonts w:eastAsia="TimesNewRoman"/>
          <w:sz w:val="22"/>
          <w:szCs w:val="22"/>
        </w:rPr>
        <w:t>-ą</w:t>
      </w:r>
      <w:r w:rsidRPr="00220850">
        <w:rPr>
          <w:rFonts w:eastAsia="TimesNewRoman"/>
          <w:sz w:val="22"/>
          <w:szCs w:val="22"/>
        </w:rPr>
        <w:t xml:space="preserve"> savaitę </w:t>
      </w:r>
      <w:proofErr w:type="spellStart"/>
      <w:r w:rsidR="0022151D" w:rsidRPr="00220850">
        <w:rPr>
          <w:rFonts w:eastAsia="TimesNewRoman"/>
          <w:sz w:val="22"/>
          <w:szCs w:val="22"/>
        </w:rPr>
        <w:t>nintedanibo</w:t>
      </w:r>
      <w:proofErr w:type="spellEnd"/>
      <w:r w:rsidR="0022151D" w:rsidRPr="00220850">
        <w:rPr>
          <w:rFonts w:eastAsia="TimesNewRoman"/>
          <w:sz w:val="22"/>
          <w:szCs w:val="22"/>
        </w:rPr>
        <w:t xml:space="preserve"> </w:t>
      </w:r>
      <w:r w:rsidRPr="00220850">
        <w:rPr>
          <w:rFonts w:eastAsia="TimesNewRoman"/>
          <w:sz w:val="22"/>
          <w:szCs w:val="22"/>
        </w:rPr>
        <w:t>grupėje buvo 4,28, o placebo grupėje siekė 7,81. Koreguotasis vidutinis skirtumas tarp grupių rodė</w:t>
      </w:r>
      <w:r w:rsidR="0022151D" w:rsidRPr="00220850">
        <w:rPr>
          <w:rFonts w:eastAsia="TimesNewRoman"/>
          <w:sz w:val="22"/>
          <w:szCs w:val="22"/>
        </w:rPr>
        <w:t xml:space="preserve"> </w:t>
      </w:r>
      <w:proofErr w:type="spellStart"/>
      <w:r w:rsidR="0022151D" w:rsidRPr="00220850">
        <w:rPr>
          <w:rFonts w:eastAsia="TimesNewRoman"/>
          <w:sz w:val="22"/>
          <w:szCs w:val="22"/>
        </w:rPr>
        <w:t>nintedanibo</w:t>
      </w:r>
      <w:proofErr w:type="spellEnd"/>
      <w:r w:rsidRPr="00220850">
        <w:rPr>
          <w:rFonts w:eastAsia="TimesNewRoman"/>
          <w:sz w:val="22"/>
          <w:szCs w:val="22"/>
        </w:rPr>
        <w:t xml:space="preserve"> pranašumą ir buvo -3,53 (95</w:t>
      </w:r>
      <w:r w:rsidR="0022151D" w:rsidRPr="00220850">
        <w:rPr>
          <w:rFonts w:eastAsia="TimesNewRoman"/>
          <w:sz w:val="22"/>
          <w:szCs w:val="22"/>
        </w:rPr>
        <w:t> % PI: -6,14, -0,92; nominali p = </w:t>
      </w:r>
      <w:r w:rsidRPr="00220850">
        <w:rPr>
          <w:rFonts w:eastAsia="TimesNewRoman"/>
          <w:sz w:val="22"/>
          <w:szCs w:val="22"/>
        </w:rPr>
        <w:t>0,0081). Koreguotasis vidutinis</w:t>
      </w:r>
      <w:r w:rsidR="0022151D" w:rsidRPr="00220850">
        <w:rPr>
          <w:rFonts w:eastAsia="TimesNewRoman"/>
          <w:sz w:val="22"/>
          <w:szCs w:val="22"/>
        </w:rPr>
        <w:t xml:space="preserve"> </w:t>
      </w:r>
      <w:r w:rsidRPr="00220850">
        <w:rPr>
          <w:rFonts w:eastAsia="TimesNewRoman"/>
          <w:sz w:val="22"/>
          <w:szCs w:val="22"/>
        </w:rPr>
        <w:t>absoliutus L-PF kosulio srities simptomų balo pokytis nuo pradinio 52</w:t>
      </w:r>
      <w:r w:rsidR="001A3022" w:rsidRPr="00220850">
        <w:rPr>
          <w:rFonts w:eastAsia="TimesNewRoman"/>
          <w:sz w:val="22"/>
          <w:szCs w:val="22"/>
        </w:rPr>
        <w:t>-ą</w:t>
      </w:r>
      <w:r w:rsidRPr="00220850">
        <w:rPr>
          <w:rFonts w:eastAsia="TimesNewRoman"/>
          <w:sz w:val="22"/>
          <w:szCs w:val="22"/>
        </w:rPr>
        <w:t xml:space="preserve"> savaitę </w:t>
      </w:r>
      <w:proofErr w:type="spellStart"/>
      <w:r w:rsidR="0022151D" w:rsidRPr="00220850">
        <w:rPr>
          <w:rFonts w:eastAsia="TimesNewRoman"/>
          <w:sz w:val="22"/>
          <w:szCs w:val="22"/>
        </w:rPr>
        <w:t>nintedanibo</w:t>
      </w:r>
      <w:proofErr w:type="spellEnd"/>
      <w:r w:rsidRPr="00220850">
        <w:rPr>
          <w:rFonts w:eastAsia="TimesNewRoman"/>
          <w:sz w:val="22"/>
          <w:szCs w:val="22"/>
        </w:rPr>
        <w:t xml:space="preserve"> grupėje</w:t>
      </w:r>
      <w:r w:rsidR="0022151D" w:rsidRPr="00220850">
        <w:rPr>
          <w:rFonts w:eastAsia="TimesNewRoman"/>
          <w:sz w:val="22"/>
          <w:szCs w:val="22"/>
        </w:rPr>
        <w:t xml:space="preserve"> </w:t>
      </w:r>
      <w:r w:rsidRPr="00220850">
        <w:rPr>
          <w:rFonts w:eastAsia="TimesNewRoman"/>
          <w:sz w:val="22"/>
          <w:szCs w:val="22"/>
        </w:rPr>
        <w:t>buvo -</w:t>
      </w:r>
      <w:r w:rsidR="0022151D" w:rsidRPr="00220850">
        <w:rPr>
          <w:rFonts w:eastAsia="TimesNewRoman"/>
          <w:sz w:val="22"/>
          <w:szCs w:val="22"/>
        </w:rPr>
        <w:t> </w:t>
      </w:r>
      <w:r w:rsidRPr="00220850">
        <w:rPr>
          <w:rFonts w:eastAsia="TimesNewRoman"/>
          <w:sz w:val="22"/>
          <w:szCs w:val="22"/>
        </w:rPr>
        <w:t xml:space="preserve">1,84, o placebo grupėje siekė 4,25. Koreguotasis vidutinis skirtumas tarp grupių rodė </w:t>
      </w:r>
      <w:proofErr w:type="spellStart"/>
      <w:r w:rsidR="0022151D" w:rsidRPr="00220850">
        <w:rPr>
          <w:rFonts w:eastAsia="TimesNewRoman"/>
          <w:sz w:val="22"/>
          <w:szCs w:val="22"/>
        </w:rPr>
        <w:t>nintedanibo</w:t>
      </w:r>
      <w:proofErr w:type="spellEnd"/>
      <w:r w:rsidR="0022151D" w:rsidRPr="00220850">
        <w:rPr>
          <w:rFonts w:eastAsia="TimesNewRoman"/>
          <w:sz w:val="22"/>
          <w:szCs w:val="22"/>
        </w:rPr>
        <w:t xml:space="preserve"> p</w:t>
      </w:r>
      <w:r w:rsidRPr="00220850">
        <w:rPr>
          <w:rFonts w:eastAsia="TimesNewRoman"/>
          <w:sz w:val="22"/>
          <w:szCs w:val="22"/>
        </w:rPr>
        <w:t>ranašumą ir buvo -6,09 (95</w:t>
      </w:r>
      <w:r w:rsidR="0022151D" w:rsidRPr="00220850">
        <w:rPr>
          <w:rFonts w:eastAsia="TimesNewRoman"/>
          <w:sz w:val="22"/>
          <w:szCs w:val="22"/>
        </w:rPr>
        <w:t> </w:t>
      </w:r>
      <w:r w:rsidRPr="00220850">
        <w:rPr>
          <w:rFonts w:eastAsia="TimesNewRoman"/>
          <w:sz w:val="22"/>
          <w:szCs w:val="22"/>
        </w:rPr>
        <w:t>%</w:t>
      </w:r>
      <w:r w:rsidR="0022151D" w:rsidRPr="00220850">
        <w:rPr>
          <w:rFonts w:eastAsia="TimesNewRoman"/>
          <w:sz w:val="22"/>
          <w:szCs w:val="22"/>
        </w:rPr>
        <w:t> PI: -9,65, -2,53; nominali p = </w:t>
      </w:r>
      <w:r w:rsidRPr="00220850">
        <w:rPr>
          <w:rFonts w:eastAsia="TimesNewRoman"/>
          <w:sz w:val="22"/>
          <w:szCs w:val="22"/>
        </w:rPr>
        <w:t>0,0008).</w:t>
      </w:r>
    </w:p>
    <w:p w14:paraId="143BBB24" w14:textId="77777777" w:rsidR="000040AC" w:rsidRPr="00220850" w:rsidRDefault="000040AC" w:rsidP="004A1B49">
      <w:pPr>
        <w:autoSpaceDE w:val="0"/>
        <w:autoSpaceDN w:val="0"/>
        <w:adjustRightInd w:val="0"/>
        <w:rPr>
          <w:rFonts w:eastAsia="TimesNewRoman,Bold"/>
          <w:b/>
          <w:bCs/>
          <w:sz w:val="22"/>
          <w:szCs w:val="22"/>
        </w:rPr>
      </w:pPr>
    </w:p>
    <w:p w14:paraId="528712A4" w14:textId="77777777" w:rsidR="0022151D" w:rsidRPr="00220850" w:rsidRDefault="0022151D" w:rsidP="0022151D">
      <w:pPr>
        <w:autoSpaceDE w:val="0"/>
        <w:autoSpaceDN w:val="0"/>
        <w:adjustRightInd w:val="0"/>
        <w:rPr>
          <w:rFonts w:eastAsia="TimesNewRoman,Italic"/>
          <w:i/>
          <w:iCs/>
          <w:sz w:val="22"/>
          <w:szCs w:val="22"/>
        </w:rPr>
      </w:pPr>
      <w:r w:rsidRPr="00220850">
        <w:rPr>
          <w:rFonts w:eastAsia="TimesNewRoman,Italic"/>
          <w:i/>
          <w:iCs/>
          <w:sz w:val="22"/>
          <w:szCs w:val="22"/>
        </w:rPr>
        <w:t xml:space="preserve">Su sistemine skleroze susijusi </w:t>
      </w:r>
      <w:proofErr w:type="spellStart"/>
      <w:r w:rsidRPr="00220850">
        <w:rPr>
          <w:rFonts w:eastAsia="TimesNewRoman,Italic"/>
          <w:i/>
          <w:iCs/>
          <w:sz w:val="22"/>
          <w:szCs w:val="22"/>
        </w:rPr>
        <w:t>intersticinė</w:t>
      </w:r>
      <w:proofErr w:type="spellEnd"/>
      <w:r w:rsidRPr="00220850">
        <w:rPr>
          <w:rFonts w:eastAsia="TimesNewRoman,Italic"/>
          <w:i/>
          <w:iCs/>
          <w:sz w:val="22"/>
          <w:szCs w:val="22"/>
        </w:rPr>
        <w:t xml:space="preserve"> plaučių liga (SS-IPL)</w:t>
      </w:r>
    </w:p>
    <w:p w14:paraId="22E3111F" w14:textId="77777777" w:rsidR="0022151D" w:rsidRPr="00220850" w:rsidRDefault="0022151D" w:rsidP="0022151D">
      <w:pPr>
        <w:autoSpaceDE w:val="0"/>
        <w:autoSpaceDN w:val="0"/>
        <w:adjustRightInd w:val="0"/>
        <w:rPr>
          <w:rFonts w:eastAsia="TimesNewRoman"/>
          <w:sz w:val="22"/>
          <w:szCs w:val="22"/>
        </w:rPr>
      </w:pPr>
      <w:proofErr w:type="spellStart"/>
      <w:r w:rsidRPr="00220850">
        <w:rPr>
          <w:rFonts w:eastAsia="TimesNewRoman"/>
          <w:sz w:val="22"/>
          <w:szCs w:val="22"/>
        </w:rPr>
        <w:t>Nintedanibo</w:t>
      </w:r>
      <w:proofErr w:type="spellEnd"/>
      <w:r w:rsidRPr="00220850">
        <w:rPr>
          <w:rFonts w:eastAsia="TimesNewRoman"/>
          <w:sz w:val="22"/>
          <w:szCs w:val="22"/>
        </w:rPr>
        <w:t xml:space="preserve"> klinikinis veiksmingumas gydant SS-IPL sergančius pacientus buvo tirtas dvigubai aklo, atsitiktinių imčių, placebu kontroliuojamo III fazės tyrimo (SENSCIS) metu. Pacientams SS-IPL diagnozė buvo patvirtinta remiantis 2013 m. Amerikos reumatologijos kolegijos ir Europos Lygos prieš reumatą SS klasifikacijos kriterijais ir ankstesnių 12 mėnesių laikotarpiu atliktu krūtinės ląstos didelės skiriamosios gebos kompiuterinės tomografijos (DSGKT) tyrimu. Iš viso 580 pacientų</w:t>
      </w:r>
      <w:r w:rsidR="003953DB" w:rsidRPr="00220850">
        <w:rPr>
          <w:rFonts w:eastAsia="TimesNewRoman"/>
          <w:sz w:val="22"/>
          <w:szCs w:val="22"/>
        </w:rPr>
        <w:t xml:space="preserve"> </w:t>
      </w:r>
      <w:r w:rsidRPr="00220850">
        <w:rPr>
          <w:rFonts w:eastAsia="TimesNewRoman"/>
          <w:sz w:val="22"/>
          <w:szCs w:val="22"/>
        </w:rPr>
        <w:t>atsitiktinių imčių būdu santykiu 1:1 buvo suskirstyti į grupes, kurios ne trumpiau kaip 52 savaites</w:t>
      </w:r>
      <w:r w:rsidR="003953DB" w:rsidRPr="00220850">
        <w:rPr>
          <w:rFonts w:eastAsia="TimesNewRoman"/>
          <w:sz w:val="22"/>
          <w:szCs w:val="22"/>
        </w:rPr>
        <w:t xml:space="preserve"> </w:t>
      </w:r>
      <w:r w:rsidRPr="00220850">
        <w:rPr>
          <w:rFonts w:eastAsia="TimesNewRoman"/>
          <w:sz w:val="22"/>
          <w:szCs w:val="22"/>
        </w:rPr>
        <w:t xml:space="preserve">vartojo </w:t>
      </w:r>
      <w:proofErr w:type="spellStart"/>
      <w:r w:rsidR="003953DB" w:rsidRPr="00220850">
        <w:rPr>
          <w:rFonts w:eastAsia="TimesNewRoman"/>
          <w:sz w:val="22"/>
          <w:szCs w:val="22"/>
        </w:rPr>
        <w:t>nintedanibą</w:t>
      </w:r>
      <w:proofErr w:type="spellEnd"/>
      <w:r w:rsidR="003953DB" w:rsidRPr="00220850">
        <w:rPr>
          <w:rFonts w:eastAsia="TimesNewRoman"/>
          <w:sz w:val="22"/>
          <w:szCs w:val="22"/>
        </w:rPr>
        <w:t xml:space="preserve"> </w:t>
      </w:r>
      <w:r w:rsidRPr="00220850">
        <w:rPr>
          <w:rFonts w:eastAsia="TimesNewRoman"/>
          <w:sz w:val="22"/>
          <w:szCs w:val="22"/>
        </w:rPr>
        <w:t>150</w:t>
      </w:r>
      <w:r w:rsidR="003953DB" w:rsidRPr="00220850">
        <w:rPr>
          <w:rFonts w:eastAsia="TimesNewRoman"/>
          <w:sz w:val="22"/>
          <w:szCs w:val="22"/>
        </w:rPr>
        <w:t> </w:t>
      </w:r>
      <w:r w:rsidRPr="00220850">
        <w:rPr>
          <w:rFonts w:eastAsia="TimesNewRoman"/>
          <w:sz w:val="22"/>
          <w:szCs w:val="22"/>
        </w:rPr>
        <w:t>mg du kartus per parą arba vaistinį preparatą atitinkantį placebą; iš jų buvo gydyti</w:t>
      </w:r>
      <w:r w:rsidR="003953DB" w:rsidRPr="00220850">
        <w:rPr>
          <w:rFonts w:eastAsia="TimesNewRoman"/>
          <w:sz w:val="22"/>
          <w:szCs w:val="22"/>
        </w:rPr>
        <w:t xml:space="preserve"> </w:t>
      </w:r>
      <w:r w:rsidRPr="00220850">
        <w:rPr>
          <w:rFonts w:eastAsia="TimesNewRoman"/>
          <w:sz w:val="22"/>
          <w:szCs w:val="22"/>
        </w:rPr>
        <w:t xml:space="preserve">576 pacientai. Atsitiktinė imtis buvo sluoksniuojama pagal </w:t>
      </w:r>
      <w:proofErr w:type="spellStart"/>
      <w:r w:rsidRPr="00220850">
        <w:rPr>
          <w:rFonts w:eastAsia="TimesNewRoman"/>
          <w:sz w:val="22"/>
          <w:szCs w:val="22"/>
        </w:rPr>
        <w:t>antitopoizomerazės</w:t>
      </w:r>
      <w:proofErr w:type="spellEnd"/>
      <w:r w:rsidRPr="00220850">
        <w:rPr>
          <w:rFonts w:eastAsia="TimesNewRoman"/>
          <w:sz w:val="22"/>
          <w:szCs w:val="22"/>
        </w:rPr>
        <w:t xml:space="preserve"> antikūno (ATA)</w:t>
      </w:r>
      <w:r w:rsidR="003953DB" w:rsidRPr="00220850">
        <w:rPr>
          <w:rFonts w:eastAsia="TimesNewRoman"/>
          <w:sz w:val="22"/>
          <w:szCs w:val="22"/>
        </w:rPr>
        <w:t xml:space="preserve"> </w:t>
      </w:r>
      <w:r w:rsidRPr="00220850">
        <w:rPr>
          <w:rFonts w:eastAsia="TimesNewRoman"/>
          <w:sz w:val="22"/>
          <w:szCs w:val="22"/>
        </w:rPr>
        <w:t>buvimą. Atskiri pacientai koduotą tiriamąjį vaistinį preparatą vartojo iki 100 savaičių (</w:t>
      </w:r>
      <w:proofErr w:type="spellStart"/>
      <w:r w:rsidR="003953DB" w:rsidRPr="00220850">
        <w:rPr>
          <w:rFonts w:eastAsia="TimesNewRoman"/>
          <w:sz w:val="22"/>
          <w:szCs w:val="22"/>
        </w:rPr>
        <w:t>nintedanibo</w:t>
      </w:r>
      <w:proofErr w:type="spellEnd"/>
      <w:r w:rsidR="003953DB" w:rsidRPr="00220850">
        <w:rPr>
          <w:rFonts w:eastAsia="TimesNewRoman"/>
          <w:sz w:val="22"/>
          <w:szCs w:val="22"/>
        </w:rPr>
        <w:t xml:space="preserve"> </w:t>
      </w:r>
      <w:r w:rsidRPr="00220850">
        <w:rPr>
          <w:rFonts w:eastAsia="TimesNewRoman"/>
          <w:sz w:val="22"/>
          <w:szCs w:val="22"/>
        </w:rPr>
        <w:t xml:space="preserve">ekspozicijos mediana buvo 15,4 mėnesio; vidutinė </w:t>
      </w:r>
      <w:proofErr w:type="spellStart"/>
      <w:r w:rsidR="003953DB" w:rsidRPr="00220850">
        <w:rPr>
          <w:rFonts w:eastAsia="TimesNewRoman"/>
          <w:sz w:val="22"/>
          <w:szCs w:val="22"/>
        </w:rPr>
        <w:t>nintedanibo</w:t>
      </w:r>
      <w:proofErr w:type="spellEnd"/>
      <w:r w:rsidR="003953DB" w:rsidRPr="00220850">
        <w:rPr>
          <w:rFonts w:eastAsia="TimesNewRoman"/>
          <w:sz w:val="22"/>
          <w:szCs w:val="22"/>
        </w:rPr>
        <w:t xml:space="preserve"> </w:t>
      </w:r>
      <w:r w:rsidRPr="00220850">
        <w:rPr>
          <w:rFonts w:eastAsia="TimesNewRoman"/>
          <w:sz w:val="22"/>
          <w:szCs w:val="22"/>
        </w:rPr>
        <w:t>ekspozicija – 14,5 mėnesio).</w:t>
      </w:r>
    </w:p>
    <w:p w14:paraId="7C14892E" w14:textId="77777777" w:rsidR="003953DB" w:rsidRPr="00220850" w:rsidRDefault="003953DB" w:rsidP="0022151D">
      <w:pPr>
        <w:autoSpaceDE w:val="0"/>
        <w:autoSpaceDN w:val="0"/>
        <w:adjustRightInd w:val="0"/>
        <w:rPr>
          <w:rFonts w:eastAsia="TimesNewRoman"/>
          <w:sz w:val="22"/>
          <w:szCs w:val="22"/>
        </w:rPr>
      </w:pPr>
    </w:p>
    <w:p w14:paraId="3ADFAF62" w14:textId="77777777" w:rsidR="0022151D" w:rsidRPr="00220850" w:rsidRDefault="0022151D" w:rsidP="0022151D">
      <w:pPr>
        <w:autoSpaceDE w:val="0"/>
        <w:autoSpaceDN w:val="0"/>
        <w:adjustRightInd w:val="0"/>
        <w:rPr>
          <w:rFonts w:eastAsia="TimesNewRoman"/>
          <w:sz w:val="22"/>
          <w:szCs w:val="22"/>
        </w:rPr>
      </w:pPr>
      <w:r w:rsidRPr="00220850">
        <w:rPr>
          <w:rFonts w:eastAsia="TimesNewRoman"/>
          <w:sz w:val="22"/>
          <w:szCs w:val="22"/>
        </w:rPr>
        <w:t>P</w:t>
      </w:r>
      <w:r w:rsidR="003953DB" w:rsidRPr="00220850">
        <w:rPr>
          <w:rFonts w:eastAsia="TimesNewRoman"/>
          <w:sz w:val="22"/>
          <w:szCs w:val="22"/>
        </w:rPr>
        <w:t>agrindinė</w:t>
      </w:r>
      <w:r w:rsidRPr="00220850">
        <w:rPr>
          <w:rFonts w:eastAsia="TimesNewRoman"/>
          <w:sz w:val="22"/>
          <w:szCs w:val="22"/>
        </w:rPr>
        <w:t xml:space="preserve"> vertinamoji baigtis buvo metinis FGPT sumažėjimo per 52 savaites rodmuo. </w:t>
      </w:r>
      <w:r w:rsidR="001A3022" w:rsidRPr="00220850">
        <w:rPr>
          <w:rFonts w:eastAsia="TimesNewRoman"/>
          <w:sz w:val="22"/>
          <w:szCs w:val="22"/>
        </w:rPr>
        <w:t>Reikšmingos</w:t>
      </w:r>
      <w:r w:rsidR="003953DB" w:rsidRPr="00220850">
        <w:rPr>
          <w:rFonts w:eastAsia="TimesNewRoman"/>
          <w:sz w:val="22"/>
          <w:szCs w:val="22"/>
        </w:rPr>
        <w:t xml:space="preserve"> </w:t>
      </w:r>
      <w:r w:rsidRPr="00220850">
        <w:rPr>
          <w:rFonts w:eastAsia="TimesNewRoman"/>
          <w:sz w:val="22"/>
          <w:szCs w:val="22"/>
        </w:rPr>
        <w:t xml:space="preserve">antraeilės vertinamosios baigtys buvo absoliutus modifikuoto </w:t>
      </w:r>
      <w:proofErr w:type="spellStart"/>
      <w:r w:rsidRPr="00220850">
        <w:rPr>
          <w:rFonts w:eastAsia="TimesNewRoman"/>
          <w:sz w:val="22"/>
          <w:szCs w:val="22"/>
        </w:rPr>
        <w:t>Rodnano</w:t>
      </w:r>
      <w:proofErr w:type="spellEnd"/>
      <w:r w:rsidRPr="00220850">
        <w:rPr>
          <w:rFonts w:eastAsia="TimesNewRoman"/>
          <w:sz w:val="22"/>
          <w:szCs w:val="22"/>
        </w:rPr>
        <w:t xml:space="preserve"> odos pažeidimo skalės (angl.</w:t>
      </w:r>
    </w:p>
    <w:p w14:paraId="32581E3D" w14:textId="77777777" w:rsidR="0022151D" w:rsidRPr="00220850" w:rsidRDefault="0022151D" w:rsidP="0022151D">
      <w:pPr>
        <w:autoSpaceDE w:val="0"/>
        <w:autoSpaceDN w:val="0"/>
        <w:adjustRightInd w:val="0"/>
        <w:rPr>
          <w:rFonts w:eastAsia="TimesNewRoman"/>
          <w:sz w:val="22"/>
          <w:szCs w:val="22"/>
        </w:rPr>
      </w:pPr>
      <w:proofErr w:type="spellStart"/>
      <w:r w:rsidRPr="00220850">
        <w:rPr>
          <w:rFonts w:eastAsia="TimesNewRoman,Italic"/>
          <w:i/>
          <w:iCs/>
          <w:sz w:val="22"/>
          <w:szCs w:val="22"/>
        </w:rPr>
        <w:t>modified</w:t>
      </w:r>
      <w:proofErr w:type="spellEnd"/>
      <w:r w:rsidRPr="00220850">
        <w:rPr>
          <w:rFonts w:eastAsia="TimesNewRoman,Italic"/>
          <w:i/>
          <w:iCs/>
          <w:sz w:val="22"/>
          <w:szCs w:val="22"/>
        </w:rPr>
        <w:t xml:space="preserve"> </w:t>
      </w:r>
      <w:proofErr w:type="spellStart"/>
      <w:r w:rsidRPr="00220850">
        <w:rPr>
          <w:rFonts w:eastAsia="TimesNewRoman,Italic"/>
          <w:i/>
          <w:iCs/>
          <w:sz w:val="22"/>
          <w:szCs w:val="22"/>
        </w:rPr>
        <w:t>Rodnan</w:t>
      </w:r>
      <w:proofErr w:type="spellEnd"/>
      <w:r w:rsidRPr="00220850">
        <w:rPr>
          <w:rFonts w:eastAsia="TimesNewRoman,Italic"/>
          <w:i/>
          <w:iCs/>
          <w:sz w:val="22"/>
          <w:szCs w:val="22"/>
        </w:rPr>
        <w:t xml:space="preserve"> </w:t>
      </w:r>
      <w:proofErr w:type="spellStart"/>
      <w:r w:rsidRPr="00220850">
        <w:rPr>
          <w:rFonts w:eastAsia="TimesNewRoman,Italic"/>
          <w:i/>
          <w:iCs/>
          <w:sz w:val="22"/>
          <w:szCs w:val="22"/>
        </w:rPr>
        <w:t>Skin</w:t>
      </w:r>
      <w:proofErr w:type="spellEnd"/>
      <w:r w:rsidRPr="00220850">
        <w:rPr>
          <w:rFonts w:eastAsia="TimesNewRoman,Italic"/>
          <w:i/>
          <w:iCs/>
          <w:sz w:val="22"/>
          <w:szCs w:val="22"/>
        </w:rPr>
        <w:t xml:space="preserve"> </w:t>
      </w:r>
      <w:proofErr w:type="spellStart"/>
      <w:r w:rsidRPr="00220850">
        <w:rPr>
          <w:rFonts w:eastAsia="TimesNewRoman,Italic"/>
          <w:i/>
          <w:iCs/>
          <w:sz w:val="22"/>
          <w:szCs w:val="22"/>
        </w:rPr>
        <w:t>Score</w:t>
      </w:r>
      <w:proofErr w:type="spellEnd"/>
      <w:r w:rsidRPr="00220850">
        <w:rPr>
          <w:rFonts w:eastAsia="TimesNewRoman"/>
          <w:sz w:val="22"/>
          <w:szCs w:val="22"/>
        </w:rPr>
        <w:t xml:space="preserve">, </w:t>
      </w:r>
      <w:proofErr w:type="spellStart"/>
      <w:r w:rsidRPr="00220850">
        <w:rPr>
          <w:rFonts w:eastAsia="TimesNewRoman"/>
          <w:sz w:val="22"/>
          <w:szCs w:val="22"/>
        </w:rPr>
        <w:t>mRSS</w:t>
      </w:r>
      <w:proofErr w:type="spellEnd"/>
      <w:r w:rsidRPr="00220850">
        <w:rPr>
          <w:rFonts w:eastAsia="TimesNewRoman"/>
          <w:sz w:val="22"/>
          <w:szCs w:val="22"/>
        </w:rPr>
        <w:t xml:space="preserve">) balo pokytis nuo pradinio 52 savaitę ir absoliutus </w:t>
      </w:r>
      <w:proofErr w:type="spellStart"/>
      <w:r w:rsidRPr="00220850">
        <w:rPr>
          <w:rFonts w:eastAsia="TimesNewRoman"/>
          <w:sz w:val="22"/>
          <w:szCs w:val="22"/>
        </w:rPr>
        <w:t>Saint</w:t>
      </w:r>
      <w:proofErr w:type="spellEnd"/>
      <w:r w:rsidRPr="00220850">
        <w:rPr>
          <w:rFonts w:eastAsia="TimesNewRoman"/>
          <w:sz w:val="22"/>
          <w:szCs w:val="22"/>
        </w:rPr>
        <w:t xml:space="preserve"> George</w:t>
      </w:r>
      <w:r w:rsidR="003953DB" w:rsidRPr="00220850">
        <w:rPr>
          <w:rFonts w:eastAsia="TimesNewRoman"/>
          <w:sz w:val="22"/>
          <w:szCs w:val="22"/>
        </w:rPr>
        <w:t xml:space="preserve"> </w:t>
      </w:r>
      <w:r w:rsidRPr="00220850">
        <w:rPr>
          <w:rFonts w:eastAsia="TimesNewRoman"/>
          <w:sz w:val="22"/>
          <w:szCs w:val="22"/>
        </w:rPr>
        <w:t xml:space="preserve">kvėpavimo klausimyno </w:t>
      </w:r>
      <w:r w:rsidR="001A3022" w:rsidRPr="00220850">
        <w:rPr>
          <w:rFonts w:eastAsia="TimesNewRoman"/>
          <w:sz w:val="22"/>
          <w:szCs w:val="22"/>
        </w:rPr>
        <w:t>(</w:t>
      </w:r>
      <w:r w:rsidRPr="00220850">
        <w:rPr>
          <w:rFonts w:eastAsia="TimesNewRoman"/>
          <w:sz w:val="22"/>
          <w:szCs w:val="22"/>
        </w:rPr>
        <w:t>SGRQ) bendro balo</w:t>
      </w:r>
      <w:r w:rsidR="003953DB" w:rsidRPr="00220850">
        <w:rPr>
          <w:rFonts w:eastAsia="TimesNewRoman"/>
          <w:sz w:val="22"/>
          <w:szCs w:val="22"/>
        </w:rPr>
        <w:t xml:space="preserve"> </w:t>
      </w:r>
      <w:r w:rsidRPr="00220850">
        <w:rPr>
          <w:rFonts w:eastAsia="TimesNewRoman"/>
          <w:sz w:val="22"/>
          <w:szCs w:val="22"/>
        </w:rPr>
        <w:t>52</w:t>
      </w:r>
      <w:r w:rsidR="001A3022" w:rsidRPr="00220850">
        <w:rPr>
          <w:rFonts w:eastAsia="TimesNewRoman"/>
          <w:sz w:val="22"/>
          <w:szCs w:val="22"/>
        </w:rPr>
        <w:t>-ą</w:t>
      </w:r>
      <w:r w:rsidRPr="00220850">
        <w:rPr>
          <w:rFonts w:eastAsia="TimesNewRoman"/>
          <w:sz w:val="22"/>
          <w:szCs w:val="22"/>
        </w:rPr>
        <w:t xml:space="preserve"> savaitę pokytis, palyginti su pradiniu.</w:t>
      </w:r>
    </w:p>
    <w:p w14:paraId="798CE99E" w14:textId="77777777" w:rsidR="003953DB" w:rsidRPr="00220850" w:rsidRDefault="003953DB" w:rsidP="0022151D">
      <w:pPr>
        <w:autoSpaceDE w:val="0"/>
        <w:autoSpaceDN w:val="0"/>
        <w:adjustRightInd w:val="0"/>
        <w:rPr>
          <w:rFonts w:eastAsia="TimesNewRoman"/>
          <w:sz w:val="22"/>
          <w:szCs w:val="22"/>
        </w:rPr>
      </w:pPr>
    </w:p>
    <w:p w14:paraId="2DEB3BF9" w14:textId="77777777" w:rsidR="0022151D" w:rsidRPr="00220850" w:rsidRDefault="003953DB" w:rsidP="0022151D">
      <w:pPr>
        <w:autoSpaceDE w:val="0"/>
        <w:autoSpaceDN w:val="0"/>
        <w:adjustRightInd w:val="0"/>
        <w:rPr>
          <w:rFonts w:eastAsia="TimesNewRoman"/>
          <w:sz w:val="22"/>
          <w:szCs w:val="22"/>
        </w:rPr>
      </w:pPr>
      <w:r w:rsidRPr="00220850">
        <w:rPr>
          <w:rFonts w:eastAsia="TimesNewRoman"/>
          <w:sz w:val="22"/>
          <w:szCs w:val="22"/>
        </w:rPr>
        <w:t>Visos pacientų populiacijos 75,2 </w:t>
      </w:r>
      <w:r w:rsidR="0022151D" w:rsidRPr="00220850">
        <w:rPr>
          <w:rFonts w:eastAsia="TimesNewRoman"/>
          <w:sz w:val="22"/>
          <w:szCs w:val="22"/>
        </w:rPr>
        <w:t>% sudarė moterys. Vidutinis (standartinis nuokrypis [SN,</w:t>
      </w:r>
      <w:r w:rsidR="00304B46" w:rsidRPr="00220850">
        <w:rPr>
          <w:rFonts w:eastAsia="TimesNewRoman"/>
          <w:sz w:val="22"/>
          <w:szCs w:val="22"/>
        </w:rPr>
        <w:t xml:space="preserve"> </w:t>
      </w:r>
      <w:r w:rsidR="0022151D" w:rsidRPr="00220850">
        <w:rPr>
          <w:rFonts w:eastAsia="TimesNewRoman"/>
          <w:sz w:val="22"/>
          <w:szCs w:val="22"/>
        </w:rPr>
        <w:t>min.-</w:t>
      </w:r>
      <w:proofErr w:type="spellStart"/>
      <w:r w:rsidR="0022151D" w:rsidRPr="00220850">
        <w:rPr>
          <w:rFonts w:eastAsia="TimesNewRoman"/>
          <w:sz w:val="22"/>
          <w:szCs w:val="22"/>
        </w:rPr>
        <w:t>maks</w:t>
      </w:r>
      <w:proofErr w:type="spellEnd"/>
      <w:r w:rsidR="0022151D" w:rsidRPr="00220850">
        <w:rPr>
          <w:rFonts w:eastAsia="TimesNewRoman"/>
          <w:sz w:val="22"/>
          <w:szCs w:val="22"/>
        </w:rPr>
        <w:t>.]) amž</w:t>
      </w:r>
      <w:r w:rsidRPr="00220850">
        <w:rPr>
          <w:rFonts w:eastAsia="TimesNewRoman"/>
          <w:sz w:val="22"/>
          <w:szCs w:val="22"/>
        </w:rPr>
        <w:t>ius buvo 54 (12,2, </w:t>
      </w:r>
      <w:r w:rsidR="0022151D" w:rsidRPr="00220850">
        <w:rPr>
          <w:rFonts w:eastAsia="TimesNewRoman"/>
          <w:sz w:val="22"/>
          <w:szCs w:val="22"/>
        </w:rPr>
        <w:t>20</w:t>
      </w:r>
      <w:r w:rsidRPr="00220850">
        <w:rPr>
          <w:rFonts w:eastAsia="TimesNewRoman"/>
          <w:sz w:val="22"/>
          <w:szCs w:val="22"/>
        </w:rPr>
        <w:t> </w:t>
      </w:r>
      <w:r w:rsidR="0022151D" w:rsidRPr="00220850">
        <w:rPr>
          <w:rFonts w:eastAsia="TimesNewRoman"/>
          <w:sz w:val="22"/>
          <w:szCs w:val="22"/>
        </w:rPr>
        <w:t>-</w:t>
      </w:r>
      <w:r w:rsidRPr="00220850">
        <w:rPr>
          <w:rFonts w:eastAsia="TimesNewRoman"/>
          <w:sz w:val="22"/>
          <w:szCs w:val="22"/>
        </w:rPr>
        <w:t> </w:t>
      </w:r>
      <w:r w:rsidR="0022151D" w:rsidRPr="00220850">
        <w:rPr>
          <w:rFonts w:eastAsia="TimesNewRoman"/>
          <w:sz w:val="22"/>
          <w:szCs w:val="22"/>
        </w:rPr>
        <w:t>79) metai. Iš</w:t>
      </w:r>
      <w:r w:rsidRPr="00220850">
        <w:rPr>
          <w:rFonts w:eastAsia="TimesNewRoman"/>
          <w:sz w:val="22"/>
          <w:szCs w:val="22"/>
        </w:rPr>
        <w:t xml:space="preserve"> viso 51,9 </w:t>
      </w:r>
      <w:r w:rsidR="0022151D" w:rsidRPr="00220850">
        <w:rPr>
          <w:rFonts w:eastAsia="TimesNewRoman"/>
          <w:sz w:val="22"/>
          <w:szCs w:val="22"/>
        </w:rPr>
        <w:t>% pacientų sirgo difuzine odos</w:t>
      </w:r>
      <w:r w:rsidRPr="00220850">
        <w:rPr>
          <w:rFonts w:eastAsia="TimesNewRoman"/>
          <w:sz w:val="22"/>
          <w:szCs w:val="22"/>
        </w:rPr>
        <w:t xml:space="preserve"> sistemine skleroze (SS) ir 48,1 </w:t>
      </w:r>
      <w:r w:rsidR="0022151D" w:rsidRPr="00220850">
        <w:rPr>
          <w:rFonts w:eastAsia="TimesNewRoman"/>
          <w:sz w:val="22"/>
          <w:szCs w:val="22"/>
        </w:rPr>
        <w:t>% pacientų sirgo ribota SS. Vidutinis (SN) laikas nuo pirmojo ne Reino</w:t>
      </w:r>
      <w:r w:rsidR="00304B46" w:rsidRPr="00220850">
        <w:rPr>
          <w:rFonts w:eastAsia="TimesNewRoman"/>
          <w:sz w:val="22"/>
          <w:szCs w:val="22"/>
        </w:rPr>
        <w:t xml:space="preserve"> </w:t>
      </w:r>
      <w:r w:rsidR="0022151D" w:rsidRPr="00220850">
        <w:rPr>
          <w:rFonts w:eastAsia="TimesNewRoman"/>
          <w:sz w:val="22"/>
          <w:szCs w:val="22"/>
        </w:rPr>
        <w:t>simptomo atsi</w:t>
      </w:r>
      <w:r w:rsidR="00304B46" w:rsidRPr="00220850">
        <w:rPr>
          <w:rFonts w:eastAsia="TimesNewRoman"/>
          <w:sz w:val="22"/>
          <w:szCs w:val="22"/>
        </w:rPr>
        <w:t>radimo buvo 3,49 (1,7) metų. 49 </w:t>
      </w:r>
      <w:r w:rsidR="0022151D" w:rsidRPr="00220850">
        <w:rPr>
          <w:rFonts w:eastAsia="TimesNewRoman"/>
          <w:sz w:val="22"/>
          <w:szCs w:val="22"/>
        </w:rPr>
        <w:t>% pacientų pradinio vertinimo metu buvo gydomi</w:t>
      </w:r>
      <w:r w:rsidRPr="00220850">
        <w:rPr>
          <w:rFonts w:eastAsia="TimesNewRoman"/>
          <w:sz w:val="22"/>
          <w:szCs w:val="22"/>
        </w:rPr>
        <w:t xml:space="preserve"> </w:t>
      </w:r>
      <w:r w:rsidR="0022151D" w:rsidRPr="00220850">
        <w:rPr>
          <w:rFonts w:eastAsia="TimesNewRoman"/>
          <w:sz w:val="22"/>
          <w:szCs w:val="22"/>
        </w:rPr>
        <w:t>p</w:t>
      </w:r>
      <w:r w:rsidRPr="00220850">
        <w:rPr>
          <w:rFonts w:eastAsia="TimesNewRoman"/>
          <w:sz w:val="22"/>
          <w:szCs w:val="22"/>
        </w:rPr>
        <w:t xml:space="preserve">astovia </w:t>
      </w:r>
      <w:proofErr w:type="spellStart"/>
      <w:r w:rsidRPr="00220850">
        <w:rPr>
          <w:rFonts w:eastAsia="TimesNewRoman"/>
          <w:sz w:val="22"/>
          <w:szCs w:val="22"/>
        </w:rPr>
        <w:t>mikofenolato</w:t>
      </w:r>
      <w:proofErr w:type="spellEnd"/>
      <w:r w:rsidRPr="00220850">
        <w:rPr>
          <w:rFonts w:eastAsia="TimesNewRoman"/>
          <w:sz w:val="22"/>
          <w:szCs w:val="22"/>
        </w:rPr>
        <w:t xml:space="preserve"> doze (46,5 </w:t>
      </w:r>
      <w:r w:rsidR="0022151D" w:rsidRPr="00220850">
        <w:rPr>
          <w:rFonts w:eastAsia="TimesNewRoman"/>
          <w:sz w:val="22"/>
          <w:szCs w:val="22"/>
        </w:rPr>
        <w:t xml:space="preserve">% vartojo </w:t>
      </w:r>
      <w:proofErr w:type="spellStart"/>
      <w:r w:rsidR="0022151D" w:rsidRPr="00220850">
        <w:rPr>
          <w:rFonts w:eastAsia="TimesNewRoman"/>
          <w:sz w:val="22"/>
          <w:szCs w:val="22"/>
        </w:rPr>
        <w:t>mikofenolato</w:t>
      </w:r>
      <w:proofErr w:type="spellEnd"/>
      <w:r w:rsidR="0022151D" w:rsidRPr="00220850">
        <w:rPr>
          <w:rFonts w:eastAsia="TimesNewRoman"/>
          <w:sz w:val="22"/>
          <w:szCs w:val="22"/>
        </w:rPr>
        <w:t xml:space="preserve"> </w:t>
      </w:r>
      <w:proofErr w:type="spellStart"/>
      <w:r w:rsidR="0022151D" w:rsidRPr="00220850">
        <w:rPr>
          <w:rFonts w:eastAsia="TimesNewRoman"/>
          <w:sz w:val="22"/>
          <w:szCs w:val="22"/>
        </w:rPr>
        <w:t>mofetilį</w:t>
      </w:r>
      <w:proofErr w:type="spellEnd"/>
      <w:r w:rsidRPr="00220850">
        <w:rPr>
          <w:rFonts w:eastAsia="TimesNewRoman"/>
          <w:sz w:val="22"/>
          <w:szCs w:val="22"/>
        </w:rPr>
        <w:t>; 1,9 </w:t>
      </w:r>
      <w:r w:rsidR="0022151D" w:rsidRPr="00220850">
        <w:rPr>
          <w:rFonts w:eastAsia="TimesNewRoman"/>
          <w:sz w:val="22"/>
          <w:szCs w:val="22"/>
        </w:rPr>
        <w:t xml:space="preserve">% – </w:t>
      </w:r>
      <w:proofErr w:type="spellStart"/>
      <w:r w:rsidR="0022151D" w:rsidRPr="00220850">
        <w:rPr>
          <w:rFonts w:eastAsia="TimesNewRoman"/>
          <w:sz w:val="22"/>
          <w:szCs w:val="22"/>
        </w:rPr>
        <w:t>mikofenolato</w:t>
      </w:r>
      <w:proofErr w:type="spellEnd"/>
      <w:r w:rsidR="0022151D" w:rsidRPr="00220850">
        <w:rPr>
          <w:rFonts w:eastAsia="TimesNewRoman"/>
          <w:sz w:val="22"/>
          <w:szCs w:val="22"/>
        </w:rPr>
        <w:t xml:space="preserve"> natrio</w:t>
      </w:r>
      <w:r w:rsidRPr="00220850">
        <w:rPr>
          <w:rFonts w:eastAsia="TimesNewRoman"/>
          <w:sz w:val="22"/>
          <w:szCs w:val="22"/>
        </w:rPr>
        <w:t xml:space="preserve"> </w:t>
      </w:r>
      <w:r w:rsidR="0022151D" w:rsidRPr="00220850">
        <w:rPr>
          <w:rFonts w:eastAsia="TimesNewRoman"/>
          <w:sz w:val="22"/>
          <w:szCs w:val="22"/>
        </w:rPr>
        <w:t>druską</w:t>
      </w:r>
      <w:r w:rsidRPr="00220850">
        <w:rPr>
          <w:rFonts w:eastAsia="TimesNewRoman"/>
          <w:sz w:val="22"/>
          <w:szCs w:val="22"/>
        </w:rPr>
        <w:t>; 0,5 % </w:t>
      </w:r>
      <w:r w:rsidR="0022151D" w:rsidRPr="00220850">
        <w:rPr>
          <w:rFonts w:eastAsia="TimesNewRoman"/>
          <w:sz w:val="22"/>
          <w:szCs w:val="22"/>
        </w:rPr>
        <w:t>–</w:t>
      </w:r>
      <w:r w:rsidRPr="00220850">
        <w:rPr>
          <w:rFonts w:eastAsia="TimesNewRoman"/>
          <w:sz w:val="22"/>
          <w:szCs w:val="22"/>
        </w:rPr>
        <w:t> </w:t>
      </w:r>
      <w:proofErr w:type="spellStart"/>
      <w:r w:rsidR="0022151D" w:rsidRPr="00220850">
        <w:rPr>
          <w:rFonts w:eastAsia="TimesNewRoman"/>
          <w:sz w:val="22"/>
          <w:szCs w:val="22"/>
        </w:rPr>
        <w:t>mikofenolio</w:t>
      </w:r>
      <w:proofErr w:type="spellEnd"/>
      <w:r w:rsidR="0022151D" w:rsidRPr="00220850">
        <w:rPr>
          <w:rFonts w:eastAsia="TimesNewRoman"/>
          <w:sz w:val="22"/>
          <w:szCs w:val="22"/>
        </w:rPr>
        <w:t xml:space="preserve"> rūgštį). </w:t>
      </w:r>
      <w:proofErr w:type="spellStart"/>
      <w:r w:rsidR="0022151D" w:rsidRPr="00220850">
        <w:rPr>
          <w:rFonts w:eastAsia="TimesNewRoman"/>
          <w:sz w:val="22"/>
          <w:szCs w:val="22"/>
        </w:rPr>
        <w:t>Mikofenolatu</w:t>
      </w:r>
      <w:proofErr w:type="spellEnd"/>
      <w:r w:rsidR="0022151D" w:rsidRPr="00220850">
        <w:rPr>
          <w:rFonts w:eastAsia="TimesNewRoman"/>
          <w:sz w:val="22"/>
          <w:szCs w:val="22"/>
        </w:rPr>
        <w:t xml:space="preserve"> gydytų ir negydytų pacientų saugumo duomenys</w:t>
      </w:r>
      <w:r w:rsidRPr="00220850">
        <w:rPr>
          <w:rFonts w:eastAsia="TimesNewRoman"/>
          <w:sz w:val="22"/>
          <w:szCs w:val="22"/>
        </w:rPr>
        <w:t xml:space="preserve"> </w:t>
      </w:r>
      <w:r w:rsidR="0022151D" w:rsidRPr="00220850">
        <w:rPr>
          <w:rFonts w:eastAsia="TimesNewRoman"/>
          <w:sz w:val="22"/>
          <w:szCs w:val="22"/>
        </w:rPr>
        <w:t>pradinio vertinimo metu buvo panašūs.</w:t>
      </w:r>
    </w:p>
    <w:p w14:paraId="346896C0" w14:textId="77777777" w:rsidR="003953DB" w:rsidRPr="00220850" w:rsidRDefault="003953DB" w:rsidP="0022151D">
      <w:pPr>
        <w:autoSpaceDE w:val="0"/>
        <w:autoSpaceDN w:val="0"/>
        <w:adjustRightInd w:val="0"/>
        <w:rPr>
          <w:rFonts w:eastAsia="TimesNewRoman,Italic"/>
          <w:i/>
          <w:iCs/>
          <w:sz w:val="22"/>
          <w:szCs w:val="22"/>
        </w:rPr>
      </w:pPr>
    </w:p>
    <w:p w14:paraId="2B6C0EAE" w14:textId="77777777" w:rsidR="0022151D" w:rsidRPr="00220850" w:rsidRDefault="0022151D" w:rsidP="0022151D">
      <w:pPr>
        <w:autoSpaceDE w:val="0"/>
        <w:autoSpaceDN w:val="0"/>
        <w:adjustRightInd w:val="0"/>
        <w:rPr>
          <w:rFonts w:eastAsia="TimesNewRoman,Italic"/>
          <w:i/>
          <w:iCs/>
          <w:sz w:val="22"/>
          <w:szCs w:val="22"/>
          <w:u w:val="single"/>
        </w:rPr>
      </w:pPr>
      <w:r w:rsidRPr="00220850">
        <w:rPr>
          <w:rFonts w:eastAsia="TimesNewRoman,Italic"/>
          <w:i/>
          <w:iCs/>
          <w:sz w:val="22"/>
          <w:szCs w:val="22"/>
          <w:u w:val="single"/>
        </w:rPr>
        <w:t>Metinis FGPT sumažėjimo rodmuo</w:t>
      </w:r>
    </w:p>
    <w:p w14:paraId="6B7BF543" w14:textId="427DBAD8" w:rsidR="000040AC" w:rsidRPr="00220850" w:rsidRDefault="003953DB" w:rsidP="0022151D">
      <w:pPr>
        <w:autoSpaceDE w:val="0"/>
        <w:autoSpaceDN w:val="0"/>
        <w:adjustRightInd w:val="0"/>
        <w:rPr>
          <w:rFonts w:eastAsia="TimesNewRoman,Bold"/>
          <w:b/>
          <w:bCs/>
          <w:sz w:val="22"/>
          <w:szCs w:val="22"/>
        </w:rPr>
      </w:pPr>
      <w:proofErr w:type="spellStart"/>
      <w:r w:rsidRPr="00220850">
        <w:rPr>
          <w:rFonts w:eastAsia="TimesNewRoman"/>
          <w:sz w:val="22"/>
          <w:szCs w:val="22"/>
        </w:rPr>
        <w:t>Nintedanibo</w:t>
      </w:r>
      <w:proofErr w:type="spellEnd"/>
      <w:r w:rsidRPr="00220850">
        <w:rPr>
          <w:rFonts w:eastAsia="TimesNewRoman"/>
          <w:sz w:val="22"/>
          <w:szCs w:val="22"/>
        </w:rPr>
        <w:t xml:space="preserve"> </w:t>
      </w:r>
      <w:r w:rsidR="0022151D" w:rsidRPr="00220850">
        <w:rPr>
          <w:rFonts w:eastAsia="TimesNewRoman"/>
          <w:sz w:val="22"/>
          <w:szCs w:val="22"/>
        </w:rPr>
        <w:t>vartojusių pacientų metinis FGPT sumažėjimo per 52 savaites rodmuo (ml) buvo reikšmingai</w:t>
      </w:r>
      <w:r w:rsidRPr="00220850">
        <w:rPr>
          <w:rFonts w:eastAsia="TimesNewRoman"/>
          <w:sz w:val="22"/>
          <w:szCs w:val="22"/>
        </w:rPr>
        <w:t xml:space="preserve"> 41 </w:t>
      </w:r>
      <w:r w:rsidR="0022151D" w:rsidRPr="00220850">
        <w:rPr>
          <w:rFonts w:eastAsia="TimesNewRoman"/>
          <w:sz w:val="22"/>
          <w:szCs w:val="22"/>
        </w:rPr>
        <w:t>ml mažesnis, palyginti su placebą vartojusių pacientų (1</w:t>
      </w:r>
      <w:r w:rsidR="00160C7C" w:rsidRPr="00220850">
        <w:rPr>
          <w:rFonts w:eastAsia="TimesNewRoman"/>
          <w:sz w:val="22"/>
          <w:szCs w:val="22"/>
        </w:rPr>
        <w:t>1</w:t>
      </w:r>
      <w:r w:rsidR="0022151D" w:rsidRPr="00220850">
        <w:rPr>
          <w:rFonts w:eastAsia="TimesNewRoman"/>
          <w:sz w:val="22"/>
          <w:szCs w:val="22"/>
        </w:rPr>
        <w:t xml:space="preserve"> lentelė</w:t>
      </w:r>
      <w:r w:rsidRPr="00220850">
        <w:rPr>
          <w:rFonts w:eastAsia="TimesNewRoman"/>
          <w:sz w:val="22"/>
          <w:szCs w:val="22"/>
        </w:rPr>
        <w:t>); tai atitiko 43,8 </w:t>
      </w:r>
      <w:r w:rsidR="0022151D" w:rsidRPr="00220850">
        <w:rPr>
          <w:rFonts w:eastAsia="TimesNewRoman"/>
          <w:sz w:val="22"/>
          <w:szCs w:val="22"/>
        </w:rPr>
        <w:t>% santykinį</w:t>
      </w:r>
      <w:r w:rsidRPr="00220850">
        <w:rPr>
          <w:rFonts w:eastAsia="TimesNewRoman"/>
          <w:sz w:val="22"/>
          <w:szCs w:val="22"/>
        </w:rPr>
        <w:t xml:space="preserve"> </w:t>
      </w:r>
      <w:r w:rsidR="0022151D" w:rsidRPr="00220850">
        <w:rPr>
          <w:rFonts w:eastAsia="TimesNewRoman"/>
          <w:sz w:val="22"/>
          <w:szCs w:val="22"/>
        </w:rPr>
        <w:t>gydymo poveikį.</w:t>
      </w:r>
    </w:p>
    <w:p w14:paraId="0D7CF332" w14:textId="77777777" w:rsidR="003953DB" w:rsidRPr="00220850" w:rsidRDefault="003953DB" w:rsidP="003953DB">
      <w:pPr>
        <w:autoSpaceDE w:val="0"/>
        <w:autoSpaceDN w:val="0"/>
        <w:adjustRightInd w:val="0"/>
        <w:rPr>
          <w:szCs w:val="22"/>
        </w:rPr>
      </w:pPr>
    </w:p>
    <w:p w14:paraId="0D8A6F5A" w14:textId="6C75D16C" w:rsidR="003953DB" w:rsidRPr="00220850" w:rsidRDefault="00E1240E" w:rsidP="003953DB">
      <w:pPr>
        <w:keepNext/>
        <w:autoSpaceDE w:val="0"/>
        <w:autoSpaceDN w:val="0"/>
        <w:adjustRightInd w:val="0"/>
        <w:ind w:left="1134" w:hanging="1134"/>
        <w:rPr>
          <w:b/>
          <w:szCs w:val="22"/>
        </w:rPr>
      </w:pPr>
      <w:r w:rsidRPr="00220850">
        <w:rPr>
          <w:rFonts w:eastAsia="TimesNewRoman,Bold"/>
          <w:b/>
          <w:bCs/>
          <w:sz w:val="22"/>
          <w:szCs w:val="22"/>
          <w:lang w:val="en-US"/>
        </w:rPr>
        <w:t>1</w:t>
      </w:r>
      <w:r w:rsidR="00160C7C" w:rsidRPr="00220850">
        <w:rPr>
          <w:rFonts w:eastAsia="TimesNewRoman,Bold"/>
          <w:b/>
          <w:bCs/>
          <w:sz w:val="22"/>
          <w:szCs w:val="22"/>
          <w:lang w:val="en-US"/>
        </w:rPr>
        <w:t>1</w:t>
      </w:r>
      <w:r w:rsidRPr="00220850">
        <w:rPr>
          <w:rFonts w:eastAsia="TimesNewRoman,Bold"/>
          <w:b/>
          <w:bCs/>
          <w:sz w:val="22"/>
          <w:szCs w:val="22"/>
          <w:lang w:val="en-US"/>
        </w:rPr>
        <w:t xml:space="preserve"> </w:t>
      </w:r>
      <w:proofErr w:type="spellStart"/>
      <w:r w:rsidRPr="00220850">
        <w:rPr>
          <w:rFonts w:eastAsia="TimesNewRoman,Bold"/>
          <w:b/>
          <w:bCs/>
          <w:sz w:val="22"/>
          <w:szCs w:val="22"/>
          <w:lang w:val="en-US"/>
        </w:rPr>
        <w:t>lentelė</w:t>
      </w:r>
      <w:proofErr w:type="spellEnd"/>
      <w:r w:rsidRPr="00220850">
        <w:rPr>
          <w:rFonts w:eastAsia="TimesNewRoman,Bold"/>
          <w:b/>
          <w:bCs/>
          <w:sz w:val="22"/>
          <w:szCs w:val="22"/>
          <w:lang w:val="en-US"/>
        </w:rPr>
        <w:t xml:space="preserve">. </w:t>
      </w:r>
      <w:proofErr w:type="spellStart"/>
      <w:r w:rsidRPr="00220850">
        <w:rPr>
          <w:rFonts w:eastAsia="TimesNewRoman,Bold"/>
          <w:b/>
          <w:bCs/>
          <w:sz w:val="22"/>
          <w:szCs w:val="22"/>
          <w:lang w:val="en-US"/>
        </w:rPr>
        <w:t>Metinis</w:t>
      </w:r>
      <w:proofErr w:type="spellEnd"/>
      <w:r w:rsidRPr="00220850">
        <w:rPr>
          <w:rFonts w:eastAsia="TimesNewRoman,Bold"/>
          <w:b/>
          <w:bCs/>
          <w:sz w:val="22"/>
          <w:szCs w:val="22"/>
          <w:lang w:val="en-US"/>
        </w:rPr>
        <w:t xml:space="preserve"> FGPT </w:t>
      </w:r>
      <w:proofErr w:type="spellStart"/>
      <w:r w:rsidRPr="00220850">
        <w:rPr>
          <w:rFonts w:eastAsia="TimesNewRoman,Bold"/>
          <w:b/>
          <w:bCs/>
          <w:sz w:val="22"/>
          <w:szCs w:val="22"/>
          <w:lang w:val="en-US"/>
        </w:rPr>
        <w:t>sumažėjimo</w:t>
      </w:r>
      <w:proofErr w:type="spellEnd"/>
      <w:r w:rsidRPr="00220850">
        <w:rPr>
          <w:rFonts w:eastAsia="TimesNewRoman,Bold"/>
          <w:b/>
          <w:bCs/>
          <w:sz w:val="22"/>
          <w:szCs w:val="22"/>
          <w:lang w:val="en-US"/>
        </w:rPr>
        <w:t xml:space="preserve"> per 52 </w:t>
      </w:r>
      <w:proofErr w:type="spellStart"/>
      <w:r w:rsidRPr="00220850">
        <w:rPr>
          <w:rFonts w:eastAsia="TimesNewRoman,Bold"/>
          <w:b/>
          <w:bCs/>
          <w:sz w:val="22"/>
          <w:szCs w:val="22"/>
          <w:lang w:val="en-US"/>
        </w:rPr>
        <w:t>savaites</w:t>
      </w:r>
      <w:proofErr w:type="spellEnd"/>
      <w:r w:rsidRPr="00220850">
        <w:rPr>
          <w:rFonts w:eastAsia="TimesNewRoman,Bold"/>
          <w:b/>
          <w:bCs/>
          <w:sz w:val="22"/>
          <w:szCs w:val="22"/>
          <w:lang w:val="en-US"/>
        </w:rPr>
        <w:t xml:space="preserve"> </w:t>
      </w:r>
      <w:proofErr w:type="spellStart"/>
      <w:r w:rsidRPr="00220850">
        <w:rPr>
          <w:rFonts w:eastAsia="TimesNewRoman,Bold"/>
          <w:b/>
          <w:bCs/>
          <w:sz w:val="22"/>
          <w:szCs w:val="22"/>
          <w:lang w:val="en-US"/>
        </w:rPr>
        <w:t>rodmuo</w:t>
      </w:r>
      <w:proofErr w:type="spellEnd"/>
      <w:r w:rsidRPr="00220850">
        <w:rPr>
          <w:rFonts w:eastAsia="TimesNewRoman,Bold"/>
          <w:b/>
          <w:bCs/>
          <w:sz w:val="22"/>
          <w:szCs w:val="22"/>
          <w:lang w:val="en-US"/>
        </w:rPr>
        <w:t xml:space="preserve"> (ml)</w:t>
      </w:r>
    </w:p>
    <w:tbl>
      <w:tblPr>
        <w:tblStyle w:val="Lentelstinklelis"/>
        <w:tblW w:w="4994" w:type="pct"/>
        <w:tblLook w:val="04A0" w:firstRow="1" w:lastRow="0" w:firstColumn="1" w:lastColumn="0" w:noHBand="0" w:noVBand="1"/>
      </w:tblPr>
      <w:tblGrid>
        <w:gridCol w:w="3015"/>
        <w:gridCol w:w="3015"/>
        <w:gridCol w:w="3019"/>
      </w:tblGrid>
      <w:tr w:rsidR="003953DB" w:rsidRPr="00220850" w14:paraId="758276D4" w14:textId="77777777" w:rsidTr="00E1240E">
        <w:trPr>
          <w:tblHeader/>
        </w:trPr>
        <w:tc>
          <w:tcPr>
            <w:tcW w:w="1666" w:type="pct"/>
          </w:tcPr>
          <w:p w14:paraId="12DE8D4A" w14:textId="77777777" w:rsidR="003953DB" w:rsidRPr="00220850" w:rsidRDefault="003953DB" w:rsidP="00514685">
            <w:pPr>
              <w:autoSpaceDE w:val="0"/>
              <w:autoSpaceDN w:val="0"/>
              <w:adjustRightInd w:val="0"/>
              <w:rPr>
                <w:sz w:val="22"/>
                <w:szCs w:val="22"/>
              </w:rPr>
            </w:pPr>
          </w:p>
        </w:tc>
        <w:tc>
          <w:tcPr>
            <w:tcW w:w="1666" w:type="pct"/>
          </w:tcPr>
          <w:p w14:paraId="7EDF0F32" w14:textId="77777777" w:rsidR="003953DB" w:rsidRPr="00220850" w:rsidRDefault="00331A5B" w:rsidP="00514685">
            <w:pPr>
              <w:autoSpaceDE w:val="0"/>
              <w:autoSpaceDN w:val="0"/>
              <w:adjustRightInd w:val="0"/>
              <w:jc w:val="center"/>
              <w:rPr>
                <w:sz w:val="22"/>
                <w:szCs w:val="22"/>
              </w:rPr>
            </w:pPr>
            <w:proofErr w:type="spellStart"/>
            <w:r w:rsidRPr="00220850">
              <w:rPr>
                <w:sz w:val="22"/>
                <w:szCs w:val="22"/>
              </w:rPr>
              <w:t>Placebas</w:t>
            </w:r>
            <w:proofErr w:type="spellEnd"/>
          </w:p>
        </w:tc>
        <w:tc>
          <w:tcPr>
            <w:tcW w:w="1668" w:type="pct"/>
          </w:tcPr>
          <w:p w14:paraId="4E56DDA9" w14:textId="77777777" w:rsidR="003953DB" w:rsidRPr="00220850" w:rsidRDefault="003953DB" w:rsidP="00331A5B">
            <w:pPr>
              <w:autoSpaceDE w:val="0"/>
              <w:autoSpaceDN w:val="0"/>
              <w:adjustRightInd w:val="0"/>
              <w:jc w:val="center"/>
              <w:rPr>
                <w:sz w:val="22"/>
                <w:szCs w:val="22"/>
                <w:lang w:val="de-DE"/>
              </w:rPr>
            </w:pPr>
            <w:proofErr w:type="spellStart"/>
            <w:r w:rsidRPr="00220850">
              <w:rPr>
                <w:sz w:val="22"/>
                <w:szCs w:val="22"/>
                <w:lang w:val="de-DE"/>
              </w:rPr>
              <w:t>Nintedanib</w:t>
            </w:r>
            <w:r w:rsidR="00331A5B" w:rsidRPr="00220850">
              <w:rPr>
                <w:sz w:val="22"/>
                <w:szCs w:val="22"/>
                <w:lang w:val="de-DE"/>
              </w:rPr>
              <w:t>as</w:t>
            </w:r>
            <w:proofErr w:type="spellEnd"/>
            <w:r w:rsidR="00331A5B" w:rsidRPr="00220850">
              <w:rPr>
                <w:sz w:val="22"/>
                <w:szCs w:val="22"/>
                <w:lang w:val="de-DE"/>
              </w:rPr>
              <w:t xml:space="preserve"> </w:t>
            </w:r>
            <w:r w:rsidRPr="00220850">
              <w:rPr>
                <w:sz w:val="22"/>
                <w:szCs w:val="22"/>
                <w:lang w:val="de-DE"/>
              </w:rPr>
              <w:t>150 mg</w:t>
            </w:r>
            <w:r w:rsidR="00E1240E" w:rsidRPr="00220850">
              <w:rPr>
                <w:sz w:val="22"/>
                <w:szCs w:val="22"/>
                <w:lang w:val="de-DE"/>
              </w:rPr>
              <w:t xml:space="preserve"> du </w:t>
            </w:r>
            <w:proofErr w:type="spellStart"/>
            <w:r w:rsidR="00E1240E" w:rsidRPr="00220850">
              <w:rPr>
                <w:sz w:val="22"/>
                <w:szCs w:val="22"/>
                <w:lang w:val="de-DE"/>
              </w:rPr>
              <w:t>kartus</w:t>
            </w:r>
            <w:proofErr w:type="spellEnd"/>
            <w:r w:rsidR="00E1240E" w:rsidRPr="00220850">
              <w:rPr>
                <w:sz w:val="22"/>
                <w:szCs w:val="22"/>
                <w:lang w:val="de-DE"/>
              </w:rPr>
              <w:t xml:space="preserve"> per </w:t>
            </w:r>
            <w:proofErr w:type="spellStart"/>
            <w:r w:rsidR="00E1240E" w:rsidRPr="00220850">
              <w:rPr>
                <w:sz w:val="22"/>
                <w:szCs w:val="22"/>
                <w:lang w:val="de-DE"/>
              </w:rPr>
              <w:t>parą</w:t>
            </w:r>
            <w:proofErr w:type="spellEnd"/>
          </w:p>
        </w:tc>
      </w:tr>
      <w:tr w:rsidR="003953DB" w:rsidRPr="00220850" w14:paraId="247C886B" w14:textId="77777777" w:rsidTr="00E1240E">
        <w:tc>
          <w:tcPr>
            <w:tcW w:w="1666" w:type="pct"/>
          </w:tcPr>
          <w:p w14:paraId="2915AC70" w14:textId="77777777" w:rsidR="003953DB" w:rsidRPr="00220850" w:rsidRDefault="00E1240E" w:rsidP="00E1240E">
            <w:pPr>
              <w:autoSpaceDE w:val="0"/>
              <w:autoSpaceDN w:val="0"/>
              <w:adjustRightInd w:val="0"/>
              <w:rPr>
                <w:sz w:val="22"/>
                <w:szCs w:val="22"/>
              </w:rPr>
            </w:pPr>
            <w:proofErr w:type="spellStart"/>
            <w:r w:rsidRPr="00220850">
              <w:rPr>
                <w:sz w:val="22"/>
                <w:szCs w:val="22"/>
              </w:rPr>
              <w:t>Analizuotų</w:t>
            </w:r>
            <w:proofErr w:type="spellEnd"/>
            <w:r w:rsidRPr="00220850">
              <w:rPr>
                <w:sz w:val="22"/>
                <w:szCs w:val="22"/>
              </w:rPr>
              <w:t xml:space="preserve"> </w:t>
            </w:r>
            <w:proofErr w:type="spellStart"/>
            <w:r w:rsidRPr="00220850">
              <w:rPr>
                <w:sz w:val="22"/>
                <w:szCs w:val="22"/>
              </w:rPr>
              <w:t>pacientų</w:t>
            </w:r>
            <w:proofErr w:type="spellEnd"/>
            <w:r w:rsidRPr="00220850">
              <w:rPr>
                <w:sz w:val="22"/>
                <w:szCs w:val="22"/>
              </w:rPr>
              <w:t xml:space="preserve"> </w:t>
            </w:r>
            <w:proofErr w:type="spellStart"/>
            <w:r w:rsidRPr="00220850">
              <w:rPr>
                <w:sz w:val="22"/>
                <w:szCs w:val="22"/>
              </w:rPr>
              <w:t>skaičius</w:t>
            </w:r>
            <w:proofErr w:type="spellEnd"/>
          </w:p>
        </w:tc>
        <w:tc>
          <w:tcPr>
            <w:tcW w:w="1666" w:type="pct"/>
            <w:vAlign w:val="center"/>
          </w:tcPr>
          <w:p w14:paraId="3F84FD42" w14:textId="77777777" w:rsidR="003953DB" w:rsidRPr="00220850" w:rsidRDefault="003953DB" w:rsidP="00514685">
            <w:pPr>
              <w:autoSpaceDE w:val="0"/>
              <w:autoSpaceDN w:val="0"/>
              <w:adjustRightInd w:val="0"/>
              <w:jc w:val="center"/>
              <w:rPr>
                <w:sz w:val="22"/>
                <w:szCs w:val="22"/>
              </w:rPr>
            </w:pPr>
            <w:r w:rsidRPr="00220850">
              <w:rPr>
                <w:sz w:val="22"/>
                <w:szCs w:val="22"/>
              </w:rPr>
              <w:t>288</w:t>
            </w:r>
          </w:p>
        </w:tc>
        <w:tc>
          <w:tcPr>
            <w:tcW w:w="1668" w:type="pct"/>
            <w:vAlign w:val="center"/>
          </w:tcPr>
          <w:p w14:paraId="6BF4AC22" w14:textId="77777777" w:rsidR="003953DB" w:rsidRPr="00220850" w:rsidRDefault="003953DB" w:rsidP="00514685">
            <w:pPr>
              <w:autoSpaceDE w:val="0"/>
              <w:autoSpaceDN w:val="0"/>
              <w:adjustRightInd w:val="0"/>
              <w:jc w:val="center"/>
              <w:rPr>
                <w:sz w:val="22"/>
                <w:szCs w:val="22"/>
              </w:rPr>
            </w:pPr>
            <w:r w:rsidRPr="00220850">
              <w:rPr>
                <w:sz w:val="22"/>
                <w:szCs w:val="22"/>
              </w:rPr>
              <w:t>287</w:t>
            </w:r>
          </w:p>
        </w:tc>
      </w:tr>
      <w:tr w:rsidR="003953DB" w:rsidRPr="00220850" w14:paraId="0412BF0F" w14:textId="77777777" w:rsidTr="00E1240E">
        <w:tc>
          <w:tcPr>
            <w:tcW w:w="1666" w:type="pct"/>
          </w:tcPr>
          <w:p w14:paraId="588A3248" w14:textId="77777777" w:rsidR="003953DB" w:rsidRPr="00220850" w:rsidRDefault="00E1240E" w:rsidP="00E1240E">
            <w:pPr>
              <w:autoSpaceDE w:val="0"/>
              <w:autoSpaceDN w:val="0"/>
              <w:adjustRightInd w:val="0"/>
              <w:rPr>
                <w:sz w:val="22"/>
                <w:szCs w:val="22"/>
              </w:rPr>
            </w:pPr>
            <w:proofErr w:type="spellStart"/>
            <w:r w:rsidRPr="00220850">
              <w:rPr>
                <w:sz w:val="22"/>
                <w:szCs w:val="22"/>
              </w:rPr>
              <w:t>Sumažėjimo</w:t>
            </w:r>
            <w:proofErr w:type="spellEnd"/>
            <w:r w:rsidRPr="00220850">
              <w:rPr>
                <w:sz w:val="22"/>
                <w:szCs w:val="22"/>
              </w:rPr>
              <w:t xml:space="preserve"> per 52 </w:t>
            </w:r>
            <w:proofErr w:type="spellStart"/>
            <w:r w:rsidRPr="00220850">
              <w:rPr>
                <w:sz w:val="22"/>
                <w:szCs w:val="22"/>
              </w:rPr>
              <w:t>savaites</w:t>
            </w:r>
            <w:proofErr w:type="spellEnd"/>
            <w:r w:rsidRPr="00220850">
              <w:rPr>
                <w:sz w:val="22"/>
                <w:szCs w:val="22"/>
              </w:rPr>
              <w:t xml:space="preserve"> rodmuo</w:t>
            </w:r>
            <w:r w:rsidR="003953DB" w:rsidRPr="00220850">
              <w:rPr>
                <w:sz w:val="22"/>
                <w:szCs w:val="22"/>
                <w:vertAlign w:val="superscript"/>
              </w:rPr>
              <w:t>1</w:t>
            </w:r>
            <w:r w:rsidR="003953DB" w:rsidRPr="00220850">
              <w:rPr>
                <w:sz w:val="22"/>
                <w:szCs w:val="22"/>
              </w:rPr>
              <w:t xml:space="preserve"> (S</w:t>
            </w:r>
            <w:r w:rsidRPr="00220850">
              <w:rPr>
                <w:sz w:val="22"/>
                <w:szCs w:val="22"/>
              </w:rPr>
              <w:t>P</w:t>
            </w:r>
            <w:r w:rsidR="003953DB" w:rsidRPr="00220850">
              <w:rPr>
                <w:sz w:val="22"/>
                <w:szCs w:val="22"/>
              </w:rPr>
              <w:t xml:space="preserve">) </w:t>
            </w:r>
          </w:p>
        </w:tc>
        <w:tc>
          <w:tcPr>
            <w:tcW w:w="1666" w:type="pct"/>
            <w:vAlign w:val="bottom"/>
          </w:tcPr>
          <w:p w14:paraId="48B7E3F3" w14:textId="77777777" w:rsidR="003953DB" w:rsidRPr="00220850" w:rsidRDefault="003953DB" w:rsidP="00514685">
            <w:pPr>
              <w:autoSpaceDE w:val="0"/>
              <w:autoSpaceDN w:val="0"/>
              <w:adjustRightInd w:val="0"/>
              <w:jc w:val="center"/>
              <w:rPr>
                <w:sz w:val="22"/>
                <w:szCs w:val="22"/>
              </w:rPr>
            </w:pPr>
            <w:r w:rsidRPr="00220850">
              <w:rPr>
                <w:sz w:val="22"/>
                <w:szCs w:val="22"/>
              </w:rPr>
              <w:t>-</w:t>
            </w:r>
            <w:r w:rsidR="00E1240E" w:rsidRPr="00220850">
              <w:rPr>
                <w:sz w:val="22"/>
                <w:szCs w:val="22"/>
              </w:rPr>
              <w:t>93,3 (13,</w:t>
            </w:r>
            <w:r w:rsidRPr="00220850">
              <w:rPr>
                <w:sz w:val="22"/>
                <w:szCs w:val="22"/>
              </w:rPr>
              <w:t>5)</w:t>
            </w:r>
          </w:p>
        </w:tc>
        <w:tc>
          <w:tcPr>
            <w:tcW w:w="1668" w:type="pct"/>
            <w:vAlign w:val="bottom"/>
          </w:tcPr>
          <w:p w14:paraId="51B0BB6A" w14:textId="77777777" w:rsidR="003953DB" w:rsidRPr="00220850" w:rsidRDefault="00E1240E" w:rsidP="00514685">
            <w:pPr>
              <w:autoSpaceDE w:val="0"/>
              <w:autoSpaceDN w:val="0"/>
              <w:adjustRightInd w:val="0"/>
              <w:jc w:val="center"/>
              <w:rPr>
                <w:sz w:val="22"/>
                <w:szCs w:val="22"/>
              </w:rPr>
            </w:pPr>
            <w:r w:rsidRPr="00220850">
              <w:rPr>
                <w:sz w:val="22"/>
                <w:szCs w:val="22"/>
              </w:rPr>
              <w:t>-52,4 (13,</w:t>
            </w:r>
            <w:r w:rsidR="003953DB" w:rsidRPr="00220850">
              <w:rPr>
                <w:sz w:val="22"/>
                <w:szCs w:val="22"/>
              </w:rPr>
              <w:t>8)</w:t>
            </w:r>
          </w:p>
        </w:tc>
      </w:tr>
      <w:tr w:rsidR="003953DB" w:rsidRPr="00220850" w14:paraId="2FBB9400" w14:textId="77777777" w:rsidTr="00514685">
        <w:tc>
          <w:tcPr>
            <w:tcW w:w="5000" w:type="pct"/>
            <w:gridSpan w:val="3"/>
          </w:tcPr>
          <w:p w14:paraId="5E3844FD" w14:textId="790AA251" w:rsidR="003953DB" w:rsidRPr="00220850" w:rsidRDefault="00E1240E" w:rsidP="00E1240E">
            <w:pPr>
              <w:autoSpaceDE w:val="0"/>
              <w:autoSpaceDN w:val="0"/>
              <w:adjustRightInd w:val="0"/>
              <w:rPr>
                <w:sz w:val="22"/>
                <w:szCs w:val="22"/>
              </w:rPr>
            </w:pPr>
            <w:proofErr w:type="spellStart"/>
            <w:r w:rsidRPr="00220850">
              <w:rPr>
                <w:sz w:val="22"/>
                <w:szCs w:val="22"/>
              </w:rPr>
              <w:t>Palyginimas</w:t>
            </w:r>
            <w:proofErr w:type="spellEnd"/>
            <w:r w:rsidRPr="00220850">
              <w:rPr>
                <w:sz w:val="22"/>
                <w:szCs w:val="22"/>
              </w:rPr>
              <w:t xml:space="preserve"> su </w:t>
            </w:r>
            <w:proofErr w:type="spellStart"/>
            <w:r w:rsidRPr="00220850">
              <w:rPr>
                <w:sz w:val="22"/>
                <w:szCs w:val="22"/>
              </w:rPr>
              <w:t>placeb</w:t>
            </w:r>
            <w:r w:rsidR="00097611" w:rsidRPr="00220850">
              <w:rPr>
                <w:sz w:val="22"/>
                <w:szCs w:val="22"/>
              </w:rPr>
              <w:t>u</w:t>
            </w:r>
            <w:proofErr w:type="spellEnd"/>
          </w:p>
        </w:tc>
      </w:tr>
      <w:tr w:rsidR="003953DB" w:rsidRPr="00220850" w14:paraId="206C7C90" w14:textId="77777777" w:rsidTr="00E1240E">
        <w:tc>
          <w:tcPr>
            <w:tcW w:w="1666" w:type="pct"/>
          </w:tcPr>
          <w:p w14:paraId="4A2981AA" w14:textId="77777777" w:rsidR="003953DB" w:rsidRPr="00220850" w:rsidRDefault="00E1240E" w:rsidP="00E1240E">
            <w:pPr>
              <w:autoSpaceDE w:val="0"/>
              <w:autoSpaceDN w:val="0"/>
              <w:adjustRightInd w:val="0"/>
              <w:rPr>
                <w:sz w:val="22"/>
                <w:szCs w:val="22"/>
              </w:rPr>
            </w:pPr>
            <w:r w:rsidRPr="00220850">
              <w:rPr>
                <w:sz w:val="22"/>
                <w:szCs w:val="22"/>
              </w:rPr>
              <w:t>Skirtumas</w:t>
            </w:r>
            <w:r w:rsidR="003953DB" w:rsidRPr="00220850">
              <w:rPr>
                <w:sz w:val="22"/>
                <w:szCs w:val="22"/>
                <w:vertAlign w:val="superscript"/>
              </w:rPr>
              <w:t>1</w:t>
            </w:r>
          </w:p>
        </w:tc>
        <w:tc>
          <w:tcPr>
            <w:tcW w:w="1666" w:type="pct"/>
            <w:vAlign w:val="center"/>
          </w:tcPr>
          <w:p w14:paraId="35604368" w14:textId="77777777" w:rsidR="003953DB" w:rsidRPr="00220850" w:rsidRDefault="003953DB" w:rsidP="00514685">
            <w:pPr>
              <w:autoSpaceDE w:val="0"/>
              <w:autoSpaceDN w:val="0"/>
              <w:adjustRightInd w:val="0"/>
              <w:jc w:val="center"/>
              <w:rPr>
                <w:sz w:val="22"/>
                <w:szCs w:val="22"/>
              </w:rPr>
            </w:pPr>
          </w:p>
        </w:tc>
        <w:tc>
          <w:tcPr>
            <w:tcW w:w="1668" w:type="pct"/>
            <w:vAlign w:val="center"/>
          </w:tcPr>
          <w:p w14:paraId="4906AECB" w14:textId="77777777" w:rsidR="003953DB" w:rsidRPr="00220850" w:rsidRDefault="00E1240E" w:rsidP="00514685">
            <w:pPr>
              <w:autoSpaceDE w:val="0"/>
              <w:autoSpaceDN w:val="0"/>
              <w:adjustRightInd w:val="0"/>
              <w:jc w:val="center"/>
              <w:rPr>
                <w:sz w:val="22"/>
                <w:szCs w:val="22"/>
              </w:rPr>
            </w:pPr>
            <w:r w:rsidRPr="00220850">
              <w:rPr>
                <w:sz w:val="22"/>
                <w:szCs w:val="22"/>
              </w:rPr>
              <w:t>41,</w:t>
            </w:r>
            <w:r w:rsidR="003953DB" w:rsidRPr="00220850">
              <w:rPr>
                <w:sz w:val="22"/>
                <w:szCs w:val="22"/>
              </w:rPr>
              <w:t>0</w:t>
            </w:r>
          </w:p>
        </w:tc>
      </w:tr>
      <w:tr w:rsidR="003953DB" w:rsidRPr="00220850" w14:paraId="628F3DB2" w14:textId="77777777" w:rsidTr="00E1240E">
        <w:tc>
          <w:tcPr>
            <w:tcW w:w="1666" w:type="pct"/>
          </w:tcPr>
          <w:p w14:paraId="7CF3597B" w14:textId="77777777" w:rsidR="003953DB" w:rsidRPr="00220850" w:rsidRDefault="003953DB" w:rsidP="00514685">
            <w:pPr>
              <w:autoSpaceDE w:val="0"/>
              <w:autoSpaceDN w:val="0"/>
              <w:adjustRightInd w:val="0"/>
              <w:ind w:left="317"/>
              <w:rPr>
                <w:sz w:val="22"/>
                <w:szCs w:val="22"/>
              </w:rPr>
            </w:pPr>
            <w:r w:rsidRPr="00220850">
              <w:rPr>
                <w:sz w:val="22"/>
                <w:szCs w:val="22"/>
              </w:rPr>
              <w:t>95</w:t>
            </w:r>
            <w:r w:rsidR="00E1240E" w:rsidRPr="00220850">
              <w:rPr>
                <w:sz w:val="22"/>
                <w:szCs w:val="22"/>
              </w:rPr>
              <w:t> </w:t>
            </w:r>
            <w:r w:rsidRPr="00220850">
              <w:rPr>
                <w:sz w:val="22"/>
                <w:szCs w:val="22"/>
              </w:rPr>
              <w:t>% </w:t>
            </w:r>
            <w:r w:rsidR="00E1240E" w:rsidRPr="00220850">
              <w:rPr>
                <w:sz w:val="22"/>
                <w:szCs w:val="22"/>
              </w:rPr>
              <w:t>P</w:t>
            </w:r>
            <w:r w:rsidRPr="00220850">
              <w:rPr>
                <w:sz w:val="22"/>
                <w:szCs w:val="22"/>
              </w:rPr>
              <w:t>I</w:t>
            </w:r>
          </w:p>
        </w:tc>
        <w:tc>
          <w:tcPr>
            <w:tcW w:w="1666" w:type="pct"/>
            <w:vAlign w:val="center"/>
          </w:tcPr>
          <w:p w14:paraId="1EBCB43A" w14:textId="77777777" w:rsidR="003953DB" w:rsidRPr="00220850" w:rsidRDefault="003953DB" w:rsidP="00514685">
            <w:pPr>
              <w:autoSpaceDE w:val="0"/>
              <w:autoSpaceDN w:val="0"/>
              <w:adjustRightInd w:val="0"/>
              <w:jc w:val="center"/>
              <w:rPr>
                <w:sz w:val="22"/>
                <w:szCs w:val="22"/>
              </w:rPr>
            </w:pPr>
          </w:p>
        </w:tc>
        <w:tc>
          <w:tcPr>
            <w:tcW w:w="1668" w:type="pct"/>
            <w:vAlign w:val="center"/>
          </w:tcPr>
          <w:p w14:paraId="485AE851" w14:textId="77777777" w:rsidR="003953DB" w:rsidRPr="00220850" w:rsidRDefault="00E1240E" w:rsidP="00514685">
            <w:pPr>
              <w:autoSpaceDE w:val="0"/>
              <w:autoSpaceDN w:val="0"/>
              <w:adjustRightInd w:val="0"/>
              <w:jc w:val="center"/>
              <w:rPr>
                <w:sz w:val="22"/>
                <w:szCs w:val="22"/>
              </w:rPr>
            </w:pPr>
            <w:r w:rsidRPr="00220850">
              <w:rPr>
                <w:sz w:val="22"/>
                <w:szCs w:val="22"/>
              </w:rPr>
              <w:t>(2,9, 79,</w:t>
            </w:r>
            <w:r w:rsidR="003953DB" w:rsidRPr="00220850">
              <w:rPr>
                <w:sz w:val="22"/>
                <w:szCs w:val="22"/>
              </w:rPr>
              <w:t>0)</w:t>
            </w:r>
          </w:p>
        </w:tc>
      </w:tr>
      <w:tr w:rsidR="003953DB" w:rsidRPr="00220850" w14:paraId="49353F05" w14:textId="77777777" w:rsidTr="00E1240E">
        <w:tc>
          <w:tcPr>
            <w:tcW w:w="1666" w:type="pct"/>
          </w:tcPr>
          <w:p w14:paraId="2C3EC070" w14:textId="77777777" w:rsidR="003953DB" w:rsidRPr="00220850" w:rsidRDefault="00E1240E" w:rsidP="00E1240E">
            <w:pPr>
              <w:autoSpaceDE w:val="0"/>
              <w:autoSpaceDN w:val="0"/>
              <w:adjustRightInd w:val="0"/>
              <w:ind w:left="317"/>
              <w:rPr>
                <w:sz w:val="22"/>
                <w:szCs w:val="22"/>
              </w:rPr>
            </w:pPr>
            <w:r w:rsidRPr="00220850">
              <w:rPr>
                <w:sz w:val="22"/>
                <w:szCs w:val="22"/>
              </w:rPr>
              <w:t xml:space="preserve">p </w:t>
            </w:r>
            <w:proofErr w:type="spellStart"/>
            <w:r w:rsidRPr="00220850">
              <w:rPr>
                <w:sz w:val="22"/>
                <w:szCs w:val="22"/>
              </w:rPr>
              <w:t>reikšmė</w:t>
            </w:r>
            <w:proofErr w:type="spellEnd"/>
          </w:p>
        </w:tc>
        <w:tc>
          <w:tcPr>
            <w:tcW w:w="1666" w:type="pct"/>
            <w:vAlign w:val="center"/>
          </w:tcPr>
          <w:p w14:paraId="7E695C4E" w14:textId="77777777" w:rsidR="003953DB" w:rsidRPr="00220850" w:rsidRDefault="003953DB" w:rsidP="00514685">
            <w:pPr>
              <w:autoSpaceDE w:val="0"/>
              <w:autoSpaceDN w:val="0"/>
              <w:adjustRightInd w:val="0"/>
              <w:jc w:val="center"/>
              <w:rPr>
                <w:sz w:val="22"/>
                <w:szCs w:val="22"/>
              </w:rPr>
            </w:pPr>
          </w:p>
        </w:tc>
        <w:tc>
          <w:tcPr>
            <w:tcW w:w="1668" w:type="pct"/>
            <w:vAlign w:val="center"/>
          </w:tcPr>
          <w:p w14:paraId="2B071173" w14:textId="77777777" w:rsidR="003953DB" w:rsidRPr="00220850" w:rsidRDefault="003953DB" w:rsidP="00E1240E">
            <w:pPr>
              <w:autoSpaceDE w:val="0"/>
              <w:autoSpaceDN w:val="0"/>
              <w:adjustRightInd w:val="0"/>
              <w:jc w:val="center"/>
              <w:rPr>
                <w:sz w:val="22"/>
                <w:szCs w:val="22"/>
              </w:rPr>
            </w:pPr>
            <w:r w:rsidRPr="00220850">
              <w:rPr>
                <w:sz w:val="22"/>
                <w:szCs w:val="22"/>
              </w:rPr>
              <w:t>&lt;0</w:t>
            </w:r>
            <w:r w:rsidR="00E1240E" w:rsidRPr="00220850">
              <w:rPr>
                <w:sz w:val="22"/>
                <w:szCs w:val="22"/>
              </w:rPr>
              <w:t>,</w:t>
            </w:r>
            <w:r w:rsidRPr="00220850">
              <w:rPr>
                <w:sz w:val="22"/>
                <w:szCs w:val="22"/>
              </w:rPr>
              <w:t>05</w:t>
            </w:r>
          </w:p>
        </w:tc>
      </w:tr>
    </w:tbl>
    <w:p w14:paraId="1ABF7F48" w14:textId="77777777" w:rsidR="00E1240E" w:rsidRPr="00220850" w:rsidRDefault="00E1240E" w:rsidP="00E1240E">
      <w:pPr>
        <w:autoSpaceDE w:val="0"/>
        <w:autoSpaceDN w:val="0"/>
        <w:adjustRightInd w:val="0"/>
        <w:rPr>
          <w:rFonts w:eastAsia="TimesNewRoman"/>
          <w:sz w:val="20"/>
        </w:rPr>
      </w:pPr>
      <w:r w:rsidRPr="00220850">
        <w:rPr>
          <w:rFonts w:eastAsia="TimesNewRoman"/>
          <w:sz w:val="22"/>
          <w:szCs w:val="22"/>
          <w:vertAlign w:val="superscript"/>
        </w:rPr>
        <w:t>1</w:t>
      </w:r>
      <w:r w:rsidRPr="00220850">
        <w:rPr>
          <w:rFonts w:eastAsia="TimesNewRoman"/>
          <w:sz w:val="20"/>
        </w:rPr>
        <w:t>Remiantis atsitiktinio koeficiento regresija, į analizę įtraukus fiksuotų kategorinių gydymo, ATA buvimo ir</w:t>
      </w:r>
      <w:r w:rsidR="00EB06EF" w:rsidRPr="00220850">
        <w:rPr>
          <w:rFonts w:eastAsia="TimesNewRoman"/>
          <w:sz w:val="20"/>
        </w:rPr>
        <w:t xml:space="preserve"> </w:t>
      </w:r>
      <w:r w:rsidRPr="00220850">
        <w:rPr>
          <w:rFonts w:eastAsia="TimesNewRoman"/>
          <w:sz w:val="20"/>
        </w:rPr>
        <w:t>lyties veiksnių poveikį, fiksuotų tolydžiųjų laiko, pradinės FGPT [ml], amžiaus ir ūgio veiksnių poveikį,</w:t>
      </w:r>
      <w:r w:rsidR="00EB06EF" w:rsidRPr="00220850">
        <w:rPr>
          <w:rFonts w:eastAsia="TimesNewRoman"/>
          <w:sz w:val="20"/>
        </w:rPr>
        <w:t xml:space="preserve"> </w:t>
      </w:r>
      <w:r w:rsidRPr="00220850">
        <w:rPr>
          <w:rFonts w:eastAsia="TimesNewRoman"/>
          <w:sz w:val="20"/>
        </w:rPr>
        <w:t>įskaitant gydymo laiko atžvilgiu bei pradinio vertinimo laiko atžvilgiu tarpusavio sąveikas. Įvertintas atsitiktinis</w:t>
      </w:r>
      <w:r w:rsidR="00EB06EF" w:rsidRPr="00220850">
        <w:rPr>
          <w:rFonts w:eastAsia="TimesNewRoman"/>
          <w:sz w:val="20"/>
        </w:rPr>
        <w:t xml:space="preserve"> </w:t>
      </w:r>
      <w:r w:rsidRPr="00220850">
        <w:rPr>
          <w:rFonts w:eastAsia="TimesNewRoman"/>
          <w:sz w:val="20"/>
        </w:rPr>
        <w:t>poveikis atsižvelgiant į pacientui specifinius konstantos ir laiko duomenis. Paklaidos pacientų imtyje</w:t>
      </w:r>
      <w:r w:rsidR="00EB06EF" w:rsidRPr="00220850">
        <w:rPr>
          <w:rFonts w:eastAsia="TimesNewRoman"/>
          <w:sz w:val="20"/>
        </w:rPr>
        <w:t xml:space="preserve"> </w:t>
      </w:r>
      <w:r w:rsidRPr="00220850">
        <w:rPr>
          <w:rFonts w:eastAsia="TimesNewRoman"/>
          <w:sz w:val="20"/>
        </w:rPr>
        <w:lastRenderedPageBreak/>
        <w:t>modeliuotos taikant nestruktūrinę dispersijų-</w:t>
      </w:r>
      <w:proofErr w:type="spellStart"/>
      <w:r w:rsidRPr="00220850">
        <w:rPr>
          <w:rFonts w:eastAsia="TimesNewRoman"/>
          <w:sz w:val="20"/>
        </w:rPr>
        <w:t>kovariacijų</w:t>
      </w:r>
      <w:proofErr w:type="spellEnd"/>
      <w:r w:rsidRPr="00220850">
        <w:rPr>
          <w:rFonts w:eastAsia="TimesNewRoman"/>
          <w:sz w:val="20"/>
        </w:rPr>
        <w:t xml:space="preserve"> matricą. Kintamumas tarp individų modeliuotas taikant</w:t>
      </w:r>
      <w:r w:rsidR="00EB06EF" w:rsidRPr="00220850">
        <w:rPr>
          <w:rFonts w:eastAsia="TimesNewRoman"/>
          <w:sz w:val="20"/>
        </w:rPr>
        <w:t xml:space="preserve"> </w:t>
      </w:r>
      <w:r w:rsidRPr="00220850">
        <w:rPr>
          <w:rFonts w:eastAsia="TimesNewRoman"/>
          <w:sz w:val="20"/>
        </w:rPr>
        <w:t>dispersinių komponenčių dispersijų-</w:t>
      </w:r>
      <w:proofErr w:type="spellStart"/>
      <w:r w:rsidRPr="00220850">
        <w:rPr>
          <w:rFonts w:eastAsia="TimesNewRoman"/>
          <w:sz w:val="20"/>
        </w:rPr>
        <w:t>kovariacijų</w:t>
      </w:r>
      <w:proofErr w:type="spellEnd"/>
      <w:r w:rsidRPr="00220850">
        <w:rPr>
          <w:rFonts w:eastAsia="TimesNewRoman"/>
          <w:sz w:val="20"/>
        </w:rPr>
        <w:t xml:space="preserve"> matricą.</w:t>
      </w:r>
    </w:p>
    <w:p w14:paraId="3F82A62D" w14:textId="77777777" w:rsidR="00EB06EF" w:rsidRPr="00220850" w:rsidRDefault="00EB06EF" w:rsidP="00E1240E">
      <w:pPr>
        <w:autoSpaceDE w:val="0"/>
        <w:autoSpaceDN w:val="0"/>
        <w:adjustRightInd w:val="0"/>
        <w:rPr>
          <w:rFonts w:eastAsia="TimesNewRoman"/>
          <w:sz w:val="22"/>
          <w:szCs w:val="22"/>
        </w:rPr>
      </w:pPr>
    </w:p>
    <w:p w14:paraId="122DEEF5" w14:textId="77777777" w:rsidR="00E1240E" w:rsidRPr="00220850" w:rsidRDefault="00E1240E" w:rsidP="00E1240E">
      <w:pPr>
        <w:autoSpaceDE w:val="0"/>
        <w:autoSpaceDN w:val="0"/>
        <w:adjustRightInd w:val="0"/>
        <w:rPr>
          <w:rFonts w:eastAsia="TimesNewRoman"/>
          <w:sz w:val="22"/>
          <w:szCs w:val="22"/>
        </w:rPr>
      </w:pPr>
      <w:r w:rsidRPr="00220850">
        <w:rPr>
          <w:rFonts w:eastAsia="TimesNewRoman"/>
          <w:sz w:val="22"/>
          <w:szCs w:val="22"/>
        </w:rPr>
        <w:t xml:space="preserve">Visos iš anksto apibrėžtos jautrumo analizės patvirtino panašų </w:t>
      </w:r>
      <w:proofErr w:type="spellStart"/>
      <w:r w:rsidR="00EB06EF" w:rsidRPr="00220850">
        <w:rPr>
          <w:rFonts w:eastAsia="TimesNewRoman"/>
          <w:sz w:val="22"/>
          <w:szCs w:val="22"/>
        </w:rPr>
        <w:t>nintedanibo</w:t>
      </w:r>
      <w:proofErr w:type="spellEnd"/>
      <w:r w:rsidR="00EB06EF" w:rsidRPr="00220850">
        <w:rPr>
          <w:rFonts w:eastAsia="TimesNewRoman"/>
          <w:sz w:val="22"/>
          <w:szCs w:val="22"/>
        </w:rPr>
        <w:t xml:space="preserve"> </w:t>
      </w:r>
      <w:r w:rsidRPr="00220850">
        <w:rPr>
          <w:rFonts w:eastAsia="TimesNewRoman"/>
          <w:sz w:val="22"/>
          <w:szCs w:val="22"/>
        </w:rPr>
        <w:t>poveikį mažinant metinį FGPT</w:t>
      </w:r>
      <w:r w:rsidR="00EB06EF" w:rsidRPr="00220850">
        <w:rPr>
          <w:rFonts w:eastAsia="TimesNewRoman"/>
          <w:sz w:val="22"/>
          <w:szCs w:val="22"/>
        </w:rPr>
        <w:t xml:space="preserve"> </w:t>
      </w:r>
      <w:r w:rsidRPr="00220850">
        <w:rPr>
          <w:rFonts w:eastAsia="TimesNewRoman"/>
          <w:sz w:val="22"/>
          <w:szCs w:val="22"/>
        </w:rPr>
        <w:t xml:space="preserve">sumažėjimo rodmenį, o iš anksto apibrėžtuose pogrupiuose (pvz., pagal amžių, lytį ir </w:t>
      </w:r>
      <w:proofErr w:type="spellStart"/>
      <w:r w:rsidRPr="00220850">
        <w:rPr>
          <w:rFonts w:eastAsia="TimesNewRoman"/>
          <w:sz w:val="22"/>
          <w:szCs w:val="22"/>
        </w:rPr>
        <w:t>mikofenolato</w:t>
      </w:r>
      <w:proofErr w:type="spellEnd"/>
      <w:r w:rsidR="00EB06EF" w:rsidRPr="00220850">
        <w:rPr>
          <w:rFonts w:eastAsia="TimesNewRoman"/>
          <w:sz w:val="22"/>
          <w:szCs w:val="22"/>
        </w:rPr>
        <w:t xml:space="preserve"> </w:t>
      </w:r>
      <w:r w:rsidRPr="00220850">
        <w:rPr>
          <w:rFonts w:eastAsia="TimesNewRoman"/>
          <w:sz w:val="22"/>
          <w:szCs w:val="22"/>
        </w:rPr>
        <w:t>vartojimą) nenustatyta jokio heterogeniškumo.</w:t>
      </w:r>
    </w:p>
    <w:p w14:paraId="0734E1FB" w14:textId="77777777" w:rsidR="00EB06EF" w:rsidRPr="00220850" w:rsidRDefault="00EB06EF" w:rsidP="00E1240E">
      <w:pPr>
        <w:autoSpaceDE w:val="0"/>
        <w:autoSpaceDN w:val="0"/>
        <w:adjustRightInd w:val="0"/>
        <w:rPr>
          <w:rFonts w:eastAsia="TimesNewRoman"/>
          <w:sz w:val="22"/>
          <w:szCs w:val="22"/>
        </w:rPr>
      </w:pPr>
    </w:p>
    <w:p w14:paraId="12CE1DC6" w14:textId="5CBF0396" w:rsidR="00E1240E" w:rsidRPr="00220850" w:rsidRDefault="00E1240E" w:rsidP="00E1240E">
      <w:pPr>
        <w:autoSpaceDE w:val="0"/>
        <w:autoSpaceDN w:val="0"/>
        <w:adjustRightInd w:val="0"/>
        <w:rPr>
          <w:rFonts w:eastAsia="TimesNewRoman"/>
          <w:sz w:val="22"/>
          <w:szCs w:val="22"/>
        </w:rPr>
      </w:pPr>
      <w:r w:rsidRPr="00220850">
        <w:rPr>
          <w:rFonts w:eastAsia="TimesNewRoman"/>
          <w:sz w:val="22"/>
          <w:szCs w:val="22"/>
        </w:rPr>
        <w:t>Be to, panašus poveikis buvo pastebėtas kitoms plaučių funkcijos vertinamosioms baigtims, pvz.,</w:t>
      </w:r>
      <w:r w:rsidR="00EB06EF" w:rsidRPr="00220850">
        <w:rPr>
          <w:rFonts w:eastAsia="TimesNewRoman"/>
          <w:sz w:val="22"/>
          <w:szCs w:val="22"/>
        </w:rPr>
        <w:t xml:space="preserve"> </w:t>
      </w:r>
      <w:r w:rsidRPr="00220850">
        <w:rPr>
          <w:rFonts w:eastAsia="TimesNewRoman"/>
          <w:sz w:val="22"/>
          <w:szCs w:val="22"/>
        </w:rPr>
        <w:t>absoliučiam FGPT pokyčiui (ml) nuo pradinio lygmens 52</w:t>
      </w:r>
      <w:r w:rsidR="00304B46" w:rsidRPr="00220850">
        <w:rPr>
          <w:rFonts w:eastAsia="TimesNewRoman"/>
          <w:sz w:val="22"/>
          <w:szCs w:val="22"/>
        </w:rPr>
        <w:t>-ą</w:t>
      </w:r>
      <w:r w:rsidRPr="00220850">
        <w:rPr>
          <w:rFonts w:eastAsia="TimesNewRoman"/>
          <w:sz w:val="22"/>
          <w:szCs w:val="22"/>
        </w:rPr>
        <w:t xml:space="preserve"> savaitę (5 pav. ir 1</w:t>
      </w:r>
      <w:r w:rsidR="00160C7C" w:rsidRPr="00220850">
        <w:rPr>
          <w:rFonts w:eastAsia="TimesNewRoman"/>
          <w:sz w:val="22"/>
          <w:szCs w:val="22"/>
        </w:rPr>
        <w:t>2</w:t>
      </w:r>
      <w:r w:rsidRPr="00220850">
        <w:rPr>
          <w:rFonts w:eastAsia="TimesNewRoman"/>
          <w:sz w:val="22"/>
          <w:szCs w:val="22"/>
        </w:rPr>
        <w:t xml:space="preserve"> lentelė) ir prognozuotam FGPT sumažėjimo per 52 savaites rodmeniui procenta</w:t>
      </w:r>
      <w:r w:rsidR="00304B46" w:rsidRPr="00220850">
        <w:rPr>
          <w:rFonts w:eastAsia="TimesNewRoman"/>
          <w:sz w:val="22"/>
          <w:szCs w:val="22"/>
        </w:rPr>
        <w:t>is (%) (1</w:t>
      </w:r>
      <w:r w:rsidR="00160C7C" w:rsidRPr="00220850">
        <w:rPr>
          <w:rFonts w:eastAsia="TimesNewRoman"/>
          <w:sz w:val="22"/>
          <w:szCs w:val="22"/>
        </w:rPr>
        <w:t>3</w:t>
      </w:r>
      <w:r w:rsidR="00304B46" w:rsidRPr="00220850">
        <w:rPr>
          <w:rFonts w:eastAsia="TimesNewRoman"/>
          <w:sz w:val="22"/>
          <w:szCs w:val="22"/>
        </w:rPr>
        <w:t xml:space="preserve"> lentelė), pateikiant</w:t>
      </w:r>
      <w:r w:rsidR="00EB06EF" w:rsidRPr="00220850">
        <w:rPr>
          <w:rFonts w:eastAsia="TimesNewRoman"/>
          <w:sz w:val="22"/>
          <w:szCs w:val="22"/>
        </w:rPr>
        <w:t xml:space="preserve"> </w:t>
      </w:r>
      <w:r w:rsidRPr="00220850">
        <w:rPr>
          <w:rFonts w:eastAsia="TimesNewRoman"/>
          <w:sz w:val="22"/>
          <w:szCs w:val="22"/>
        </w:rPr>
        <w:t xml:space="preserve">papildomų įrodymų apie SS-IPL progresavimą lėtinantį </w:t>
      </w:r>
      <w:proofErr w:type="spellStart"/>
      <w:r w:rsidR="00EB06EF" w:rsidRPr="00220850">
        <w:rPr>
          <w:rFonts w:eastAsia="TimesNewRoman"/>
          <w:sz w:val="22"/>
          <w:szCs w:val="22"/>
        </w:rPr>
        <w:t>nintedanibo</w:t>
      </w:r>
      <w:proofErr w:type="spellEnd"/>
      <w:r w:rsidRPr="00220850">
        <w:rPr>
          <w:rFonts w:eastAsia="TimesNewRoman"/>
          <w:sz w:val="22"/>
          <w:szCs w:val="22"/>
        </w:rPr>
        <w:t xml:space="preserve"> poveikį. Be to, mažiau </w:t>
      </w:r>
      <w:proofErr w:type="spellStart"/>
      <w:r w:rsidR="00304B46" w:rsidRPr="00220850">
        <w:rPr>
          <w:rFonts w:eastAsia="TimesNewRoman"/>
          <w:sz w:val="22"/>
          <w:szCs w:val="22"/>
        </w:rPr>
        <w:t>nin</w:t>
      </w:r>
      <w:r w:rsidR="00EB06EF" w:rsidRPr="00220850">
        <w:rPr>
          <w:rFonts w:eastAsia="TimesNewRoman"/>
          <w:sz w:val="22"/>
          <w:szCs w:val="22"/>
        </w:rPr>
        <w:t>tedanibo</w:t>
      </w:r>
      <w:proofErr w:type="spellEnd"/>
      <w:r w:rsidRPr="00220850">
        <w:rPr>
          <w:rFonts w:eastAsia="TimesNewRoman"/>
          <w:sz w:val="22"/>
          <w:szCs w:val="22"/>
        </w:rPr>
        <w:t xml:space="preserve"> grupės</w:t>
      </w:r>
      <w:r w:rsidR="00EB06EF" w:rsidRPr="00220850">
        <w:rPr>
          <w:rFonts w:eastAsia="TimesNewRoman"/>
          <w:sz w:val="22"/>
          <w:szCs w:val="22"/>
        </w:rPr>
        <w:t xml:space="preserve"> </w:t>
      </w:r>
      <w:r w:rsidRPr="00220850">
        <w:rPr>
          <w:rFonts w:eastAsia="TimesNewRoman"/>
          <w:sz w:val="22"/>
          <w:szCs w:val="22"/>
        </w:rPr>
        <w:t>pacientų</w:t>
      </w:r>
      <w:r w:rsidR="00EB06EF" w:rsidRPr="00220850">
        <w:rPr>
          <w:rFonts w:eastAsia="TimesNewRoman"/>
          <w:sz w:val="22"/>
          <w:szCs w:val="22"/>
        </w:rPr>
        <w:t xml:space="preserve"> nustatytas &gt; 5 </w:t>
      </w:r>
      <w:r w:rsidRPr="00220850">
        <w:rPr>
          <w:rFonts w:eastAsia="TimesNewRoman"/>
          <w:sz w:val="22"/>
          <w:szCs w:val="22"/>
        </w:rPr>
        <w:t>% absoliutus prognozuotas FGPT sumažė</w:t>
      </w:r>
      <w:r w:rsidR="00EB06EF" w:rsidRPr="00220850">
        <w:rPr>
          <w:rFonts w:eastAsia="TimesNewRoman"/>
          <w:sz w:val="22"/>
          <w:szCs w:val="22"/>
        </w:rPr>
        <w:t>jimas (20,6</w:t>
      </w:r>
      <w:r w:rsidR="00304B46" w:rsidRPr="00220850">
        <w:rPr>
          <w:rFonts w:eastAsia="TimesNewRoman"/>
          <w:sz w:val="22"/>
          <w:szCs w:val="22"/>
        </w:rPr>
        <w:t> </w:t>
      </w:r>
      <w:r w:rsidRPr="00220850">
        <w:rPr>
          <w:rFonts w:eastAsia="TimesNewRoman"/>
          <w:sz w:val="22"/>
          <w:szCs w:val="22"/>
        </w:rPr>
        <w:t xml:space="preserve">% </w:t>
      </w:r>
      <w:proofErr w:type="spellStart"/>
      <w:r w:rsidR="00EB06EF" w:rsidRPr="00220850">
        <w:rPr>
          <w:rFonts w:eastAsia="TimesNewRoman"/>
          <w:sz w:val="22"/>
          <w:szCs w:val="22"/>
        </w:rPr>
        <w:t>nintedanibo</w:t>
      </w:r>
      <w:proofErr w:type="spellEnd"/>
      <w:r w:rsidRPr="00220850">
        <w:rPr>
          <w:rFonts w:eastAsia="TimesNewRoman"/>
          <w:sz w:val="22"/>
          <w:szCs w:val="22"/>
        </w:rPr>
        <w:t xml:space="preserve"> grupėje,</w:t>
      </w:r>
      <w:r w:rsidR="00EB06EF" w:rsidRPr="00220850">
        <w:rPr>
          <w:rFonts w:eastAsia="TimesNewRoman"/>
          <w:sz w:val="22"/>
          <w:szCs w:val="22"/>
        </w:rPr>
        <w:t xml:space="preserve"> palyginti su 28,5 </w:t>
      </w:r>
      <w:r w:rsidRPr="00220850">
        <w:rPr>
          <w:rFonts w:eastAsia="TimesNewRoman"/>
          <w:sz w:val="22"/>
          <w:szCs w:val="22"/>
        </w:rPr>
        <w:t>% placebo grupė</w:t>
      </w:r>
      <w:r w:rsidR="00EB06EF" w:rsidRPr="00220850">
        <w:rPr>
          <w:rFonts w:eastAsia="TimesNewRoman"/>
          <w:sz w:val="22"/>
          <w:szCs w:val="22"/>
        </w:rPr>
        <w:t>je, bendras atsakas = 0,65, p = </w:t>
      </w:r>
      <w:r w:rsidRPr="00220850">
        <w:rPr>
          <w:rFonts w:eastAsia="TimesNewRoman"/>
          <w:sz w:val="22"/>
          <w:szCs w:val="22"/>
        </w:rPr>
        <w:t>0,0287). Santykinis FGPT</w:t>
      </w:r>
      <w:r w:rsidR="00EB06EF" w:rsidRPr="00220850">
        <w:rPr>
          <w:rFonts w:eastAsia="TimesNewRoman"/>
          <w:sz w:val="22"/>
          <w:szCs w:val="22"/>
        </w:rPr>
        <w:t xml:space="preserve"> </w:t>
      </w:r>
      <w:r w:rsidRPr="00220850">
        <w:rPr>
          <w:rFonts w:eastAsia="TimesNewRoman"/>
          <w:sz w:val="22"/>
          <w:szCs w:val="22"/>
        </w:rPr>
        <w:t>sumažė</w:t>
      </w:r>
      <w:r w:rsidR="00EB06EF" w:rsidRPr="00220850">
        <w:rPr>
          <w:rFonts w:eastAsia="TimesNewRoman"/>
          <w:sz w:val="22"/>
          <w:szCs w:val="22"/>
        </w:rPr>
        <w:t>jimas ml &gt; 10 </w:t>
      </w:r>
      <w:r w:rsidRPr="00220850">
        <w:rPr>
          <w:rFonts w:eastAsia="TimesNewRoman"/>
          <w:sz w:val="22"/>
          <w:szCs w:val="22"/>
        </w:rPr>
        <w:t>% buvo panašus abiejose grupė</w:t>
      </w:r>
      <w:r w:rsidR="00EB06EF" w:rsidRPr="00220850">
        <w:rPr>
          <w:rFonts w:eastAsia="TimesNewRoman"/>
          <w:sz w:val="22"/>
          <w:szCs w:val="22"/>
        </w:rPr>
        <w:t>se (16,7 </w:t>
      </w:r>
      <w:r w:rsidRPr="00220850">
        <w:rPr>
          <w:rFonts w:eastAsia="TimesNewRoman"/>
          <w:sz w:val="22"/>
          <w:szCs w:val="22"/>
        </w:rPr>
        <w:t xml:space="preserve">% </w:t>
      </w:r>
      <w:proofErr w:type="spellStart"/>
      <w:r w:rsidR="00EB06EF" w:rsidRPr="00220850">
        <w:rPr>
          <w:rFonts w:eastAsia="TimesNewRoman"/>
          <w:sz w:val="22"/>
          <w:szCs w:val="22"/>
        </w:rPr>
        <w:t>nintedanibo</w:t>
      </w:r>
      <w:proofErr w:type="spellEnd"/>
      <w:r w:rsidRPr="00220850">
        <w:rPr>
          <w:rFonts w:eastAsia="TimesNewRoman"/>
          <w:sz w:val="22"/>
          <w:szCs w:val="22"/>
        </w:rPr>
        <w:t xml:space="preserve"> grupė</w:t>
      </w:r>
      <w:r w:rsidR="00EB06EF" w:rsidRPr="00220850">
        <w:rPr>
          <w:rFonts w:eastAsia="TimesNewRoman"/>
          <w:sz w:val="22"/>
          <w:szCs w:val="22"/>
        </w:rPr>
        <w:t>je, palyginti su 18,1 </w:t>
      </w:r>
      <w:r w:rsidRPr="00220850">
        <w:rPr>
          <w:rFonts w:eastAsia="TimesNewRoman"/>
          <w:sz w:val="22"/>
          <w:szCs w:val="22"/>
        </w:rPr>
        <w:t>%</w:t>
      </w:r>
      <w:r w:rsidR="00EB06EF" w:rsidRPr="00220850">
        <w:rPr>
          <w:rFonts w:eastAsia="TimesNewRoman"/>
          <w:sz w:val="22"/>
          <w:szCs w:val="22"/>
        </w:rPr>
        <w:t xml:space="preserve"> </w:t>
      </w:r>
      <w:r w:rsidRPr="00220850">
        <w:rPr>
          <w:rFonts w:eastAsia="TimesNewRoman"/>
          <w:sz w:val="22"/>
          <w:szCs w:val="22"/>
        </w:rPr>
        <w:t>placebo grupė</w:t>
      </w:r>
      <w:r w:rsidR="00EB06EF" w:rsidRPr="00220850">
        <w:rPr>
          <w:rFonts w:eastAsia="TimesNewRoman"/>
          <w:sz w:val="22"/>
          <w:szCs w:val="22"/>
        </w:rPr>
        <w:t>je, bendras atsakas = 0,91, p = </w:t>
      </w:r>
      <w:r w:rsidRPr="00220850">
        <w:rPr>
          <w:rFonts w:eastAsia="TimesNewRoman"/>
          <w:sz w:val="22"/>
          <w:szCs w:val="22"/>
        </w:rPr>
        <w:t>0,6842). Atliekant šias analizes, FGPT vertės, kurių trūko</w:t>
      </w:r>
      <w:r w:rsidR="00EB06EF" w:rsidRPr="00220850">
        <w:rPr>
          <w:rFonts w:eastAsia="TimesNewRoman"/>
          <w:sz w:val="22"/>
          <w:szCs w:val="22"/>
        </w:rPr>
        <w:t xml:space="preserve"> </w:t>
      </w:r>
      <w:r w:rsidRPr="00220850">
        <w:rPr>
          <w:rFonts w:eastAsia="TimesNewRoman"/>
          <w:sz w:val="22"/>
          <w:szCs w:val="22"/>
        </w:rPr>
        <w:t>52</w:t>
      </w:r>
      <w:r w:rsidR="00304B46" w:rsidRPr="00220850">
        <w:rPr>
          <w:rFonts w:eastAsia="TimesNewRoman"/>
          <w:sz w:val="22"/>
          <w:szCs w:val="22"/>
        </w:rPr>
        <w:t>-ą</w:t>
      </w:r>
      <w:r w:rsidRPr="00220850">
        <w:rPr>
          <w:rFonts w:eastAsia="TimesNewRoman"/>
          <w:sz w:val="22"/>
          <w:szCs w:val="22"/>
        </w:rPr>
        <w:t xml:space="preserve"> savaitę, buvo priskirtos prie blogiausių paciento verčių, nustatytų gydymo metu.</w:t>
      </w:r>
    </w:p>
    <w:p w14:paraId="0858E244" w14:textId="77777777" w:rsidR="00EB06EF" w:rsidRPr="00220850" w:rsidRDefault="00EB06EF" w:rsidP="00E1240E">
      <w:pPr>
        <w:autoSpaceDE w:val="0"/>
        <w:autoSpaceDN w:val="0"/>
        <w:adjustRightInd w:val="0"/>
        <w:rPr>
          <w:rFonts w:eastAsia="TimesNewRoman"/>
          <w:sz w:val="22"/>
          <w:szCs w:val="22"/>
        </w:rPr>
      </w:pPr>
    </w:p>
    <w:p w14:paraId="54ECFA0F" w14:textId="77777777" w:rsidR="000040AC" w:rsidRPr="00220850" w:rsidRDefault="00E1240E" w:rsidP="00E1240E">
      <w:pPr>
        <w:autoSpaceDE w:val="0"/>
        <w:autoSpaceDN w:val="0"/>
        <w:adjustRightInd w:val="0"/>
        <w:rPr>
          <w:rFonts w:eastAsia="TimesNewRoman,Bold"/>
          <w:b/>
          <w:bCs/>
          <w:sz w:val="22"/>
          <w:szCs w:val="22"/>
        </w:rPr>
      </w:pPr>
      <w:r w:rsidRPr="00220850">
        <w:rPr>
          <w:rFonts w:eastAsia="TimesNewRoman"/>
          <w:sz w:val="22"/>
          <w:szCs w:val="22"/>
        </w:rPr>
        <w:t>Žvalgomoji iki 100 savaičių trukmės (ilgiausio gydymo laikotarpio SENSCIS tyrime) duomenų</w:t>
      </w:r>
      <w:r w:rsidR="00EB06EF" w:rsidRPr="00220850">
        <w:rPr>
          <w:rFonts w:eastAsia="TimesNewRoman"/>
          <w:sz w:val="22"/>
          <w:szCs w:val="22"/>
        </w:rPr>
        <w:t xml:space="preserve"> </w:t>
      </w:r>
      <w:r w:rsidRPr="00220850">
        <w:rPr>
          <w:rFonts w:eastAsia="TimesNewRoman"/>
          <w:sz w:val="22"/>
          <w:szCs w:val="22"/>
        </w:rPr>
        <w:t xml:space="preserve">analizė leido daryti prielaidą, kad SS-IPL progresavimą lėtinantis vartojamo </w:t>
      </w:r>
      <w:proofErr w:type="spellStart"/>
      <w:r w:rsidR="00EB06EF" w:rsidRPr="00220850">
        <w:rPr>
          <w:rFonts w:eastAsia="TimesNewRoman"/>
          <w:sz w:val="22"/>
          <w:szCs w:val="22"/>
        </w:rPr>
        <w:t>nintedanibo</w:t>
      </w:r>
      <w:proofErr w:type="spellEnd"/>
      <w:r w:rsidR="00EB06EF" w:rsidRPr="00220850">
        <w:rPr>
          <w:rFonts w:eastAsia="TimesNewRoman"/>
          <w:sz w:val="22"/>
          <w:szCs w:val="22"/>
        </w:rPr>
        <w:t xml:space="preserve"> </w:t>
      </w:r>
      <w:r w:rsidRPr="00220850">
        <w:rPr>
          <w:rFonts w:eastAsia="TimesNewRoman"/>
          <w:sz w:val="22"/>
          <w:szCs w:val="22"/>
        </w:rPr>
        <w:t>poveikis išliko</w:t>
      </w:r>
      <w:r w:rsidR="00EB06EF" w:rsidRPr="00220850">
        <w:rPr>
          <w:rFonts w:eastAsia="TimesNewRoman"/>
          <w:sz w:val="22"/>
          <w:szCs w:val="22"/>
        </w:rPr>
        <w:t xml:space="preserve"> </w:t>
      </w:r>
      <w:r w:rsidRPr="00220850">
        <w:rPr>
          <w:rFonts w:eastAsia="TimesNewRoman"/>
          <w:sz w:val="22"/>
          <w:szCs w:val="22"/>
        </w:rPr>
        <w:t>ilgiau kaip 52 savaites.</w:t>
      </w:r>
    </w:p>
    <w:p w14:paraId="2241E37F" w14:textId="77777777" w:rsidR="000040AC" w:rsidRPr="00220850" w:rsidRDefault="000040AC" w:rsidP="004A1B49">
      <w:pPr>
        <w:autoSpaceDE w:val="0"/>
        <w:autoSpaceDN w:val="0"/>
        <w:adjustRightInd w:val="0"/>
        <w:rPr>
          <w:rFonts w:eastAsia="TimesNewRoman,Bold"/>
          <w:b/>
          <w:bCs/>
          <w:sz w:val="22"/>
          <w:szCs w:val="22"/>
        </w:rPr>
      </w:pPr>
    </w:p>
    <w:p w14:paraId="54C15501" w14:textId="77777777" w:rsidR="000040AC" w:rsidRPr="00220850" w:rsidRDefault="00135247" w:rsidP="004A1B49">
      <w:pPr>
        <w:autoSpaceDE w:val="0"/>
        <w:autoSpaceDN w:val="0"/>
        <w:adjustRightInd w:val="0"/>
        <w:rPr>
          <w:rFonts w:eastAsia="TimesNewRoman,Bold"/>
          <w:b/>
          <w:bCs/>
          <w:sz w:val="22"/>
          <w:szCs w:val="22"/>
        </w:rPr>
      </w:pPr>
      <w:r w:rsidRPr="00220850">
        <w:rPr>
          <w:rFonts w:eastAsia="TimesNewRoman,Bold"/>
          <w:b/>
          <w:bCs/>
          <w:sz w:val="22"/>
          <w:szCs w:val="22"/>
        </w:rPr>
        <w:t>5 pav. FGPT pokyčio nuo pradinio lygmens (ml) 52 savaitę vidurkis (SVP)</w:t>
      </w:r>
    </w:p>
    <w:p w14:paraId="17E6E759" w14:textId="163B0114" w:rsidR="00135247" w:rsidRPr="00220850" w:rsidRDefault="00135247" w:rsidP="004A1B49">
      <w:pPr>
        <w:autoSpaceDE w:val="0"/>
        <w:autoSpaceDN w:val="0"/>
        <w:adjustRightInd w:val="0"/>
        <w:rPr>
          <w:rFonts w:eastAsia="TimesNewRoman,Bold"/>
          <w:b/>
          <w:bCs/>
          <w:sz w:val="22"/>
          <w:szCs w:val="22"/>
        </w:rPr>
      </w:pPr>
    </w:p>
    <w:p w14:paraId="70A50925" w14:textId="34D2C890" w:rsidR="0018150A" w:rsidRPr="00220850" w:rsidRDefault="0018150A" w:rsidP="004A1B49">
      <w:pPr>
        <w:autoSpaceDE w:val="0"/>
        <w:autoSpaceDN w:val="0"/>
        <w:adjustRightInd w:val="0"/>
        <w:rPr>
          <w:rFonts w:eastAsia="TimesNewRoman,Bold"/>
          <w:b/>
          <w:bCs/>
          <w:sz w:val="22"/>
          <w:szCs w:val="22"/>
        </w:rPr>
      </w:pPr>
      <w:r w:rsidRPr="00220850">
        <w:rPr>
          <w:rFonts w:eastAsia="TimesNewRoman,Bold"/>
          <w:b/>
          <w:bCs/>
          <w:noProof/>
          <w:sz w:val="22"/>
          <w:szCs w:val="22"/>
          <w:lang w:val="en-US"/>
        </w:rPr>
        <w:drawing>
          <wp:inline distT="0" distB="0" distL="0" distR="0" wp14:anchorId="23779D07" wp14:editId="2817D1A7">
            <wp:extent cx="5939790" cy="45967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596765"/>
                    </a:xfrm>
                    <a:prstGeom prst="rect">
                      <a:avLst/>
                    </a:prstGeom>
                    <a:noFill/>
                    <a:ln>
                      <a:noFill/>
                    </a:ln>
                  </pic:spPr>
                </pic:pic>
              </a:graphicData>
            </a:graphic>
          </wp:inline>
        </w:drawing>
      </w:r>
    </w:p>
    <w:p w14:paraId="10460EF6" w14:textId="743FE6D4" w:rsidR="00135247" w:rsidRPr="00220850" w:rsidRDefault="00135247" w:rsidP="004A1B49">
      <w:pPr>
        <w:autoSpaceDE w:val="0"/>
        <w:autoSpaceDN w:val="0"/>
        <w:adjustRightInd w:val="0"/>
        <w:rPr>
          <w:rFonts w:eastAsia="TimesNewRoman,Bold"/>
          <w:b/>
          <w:bCs/>
          <w:sz w:val="22"/>
          <w:szCs w:val="22"/>
          <w:lang w:val="en-US"/>
        </w:rPr>
      </w:pPr>
    </w:p>
    <w:p w14:paraId="6AB8ADBC" w14:textId="26F98A5A" w:rsidR="00C64F91" w:rsidRPr="00220850" w:rsidRDefault="00C64F91" w:rsidP="00C64F91">
      <w:pPr>
        <w:autoSpaceDE w:val="0"/>
        <w:autoSpaceDN w:val="0"/>
        <w:adjustRightInd w:val="0"/>
        <w:rPr>
          <w:rFonts w:eastAsia="TimesNewRoman,Bold"/>
          <w:b/>
          <w:bCs/>
          <w:sz w:val="22"/>
          <w:szCs w:val="22"/>
          <w:lang w:val="fr-FR"/>
        </w:rPr>
      </w:pPr>
      <w:r w:rsidRPr="00220850">
        <w:rPr>
          <w:rFonts w:eastAsia="TimesNewRoman,Bold"/>
          <w:b/>
          <w:bCs/>
          <w:sz w:val="22"/>
          <w:szCs w:val="22"/>
          <w:lang w:val="fr-FR"/>
        </w:rPr>
        <w:t>1</w:t>
      </w:r>
      <w:r w:rsidR="00160C7C" w:rsidRPr="00220850">
        <w:rPr>
          <w:rFonts w:eastAsia="TimesNewRoman,Bold"/>
          <w:b/>
          <w:bCs/>
          <w:sz w:val="22"/>
          <w:szCs w:val="22"/>
          <w:lang w:val="fr-FR"/>
        </w:rPr>
        <w:t>2</w:t>
      </w:r>
      <w:r w:rsidRPr="00220850">
        <w:rPr>
          <w:rFonts w:eastAsia="TimesNewRoman,Bold"/>
          <w:b/>
          <w:bCs/>
          <w:sz w:val="22"/>
          <w:szCs w:val="22"/>
          <w:lang w:val="fr-FR"/>
        </w:rPr>
        <w:t xml:space="preserve"> lentelė. Absoliutus FGPT pokytis nuo pradinio lygmens (ml) 52 savaitę</w:t>
      </w:r>
    </w:p>
    <w:p w14:paraId="49EDF23E" w14:textId="77777777" w:rsidR="00C64F91" w:rsidRPr="00220850" w:rsidRDefault="00C64F91" w:rsidP="00C64F91">
      <w:pPr>
        <w:keepNext/>
        <w:autoSpaceDE w:val="0"/>
        <w:autoSpaceDN w:val="0"/>
        <w:adjustRightInd w:val="0"/>
        <w:ind w:left="1134" w:hanging="1134"/>
        <w:rPr>
          <w:szCs w:val="22"/>
        </w:rPr>
      </w:pPr>
    </w:p>
    <w:tbl>
      <w:tblPr>
        <w:tblStyle w:val="Lentelstinklelis"/>
        <w:tblW w:w="4994" w:type="pct"/>
        <w:tblLook w:val="04A0" w:firstRow="1" w:lastRow="0" w:firstColumn="1" w:lastColumn="0" w:noHBand="0" w:noVBand="1"/>
      </w:tblPr>
      <w:tblGrid>
        <w:gridCol w:w="3015"/>
        <w:gridCol w:w="3015"/>
        <w:gridCol w:w="3019"/>
      </w:tblGrid>
      <w:tr w:rsidR="00C64F91" w:rsidRPr="00220850" w14:paraId="0865165F" w14:textId="77777777" w:rsidTr="00514685">
        <w:trPr>
          <w:tblHeader/>
        </w:trPr>
        <w:tc>
          <w:tcPr>
            <w:tcW w:w="1666" w:type="pct"/>
          </w:tcPr>
          <w:p w14:paraId="48731269" w14:textId="77777777" w:rsidR="00C64F91" w:rsidRPr="00220850" w:rsidRDefault="00C64F91" w:rsidP="00514685">
            <w:pPr>
              <w:autoSpaceDE w:val="0"/>
              <w:autoSpaceDN w:val="0"/>
              <w:adjustRightInd w:val="0"/>
              <w:rPr>
                <w:sz w:val="22"/>
                <w:szCs w:val="22"/>
                <w:lang w:val="fr-FR"/>
              </w:rPr>
            </w:pPr>
          </w:p>
        </w:tc>
        <w:tc>
          <w:tcPr>
            <w:tcW w:w="1666" w:type="pct"/>
          </w:tcPr>
          <w:p w14:paraId="0196107A" w14:textId="77D345FE" w:rsidR="00C64F91" w:rsidRPr="00220850" w:rsidRDefault="00C64F91" w:rsidP="00514685">
            <w:pPr>
              <w:autoSpaceDE w:val="0"/>
              <w:autoSpaceDN w:val="0"/>
              <w:adjustRightInd w:val="0"/>
              <w:jc w:val="center"/>
              <w:rPr>
                <w:sz w:val="22"/>
                <w:szCs w:val="22"/>
              </w:rPr>
            </w:pPr>
            <w:proofErr w:type="spellStart"/>
            <w:r w:rsidRPr="00220850">
              <w:rPr>
                <w:sz w:val="22"/>
                <w:szCs w:val="22"/>
              </w:rPr>
              <w:t>Placebas</w:t>
            </w:r>
            <w:proofErr w:type="spellEnd"/>
          </w:p>
        </w:tc>
        <w:tc>
          <w:tcPr>
            <w:tcW w:w="1667" w:type="pct"/>
          </w:tcPr>
          <w:p w14:paraId="7502D2FC" w14:textId="77777777" w:rsidR="00C64F91" w:rsidRPr="00220850" w:rsidRDefault="00C64F91" w:rsidP="00C64F91">
            <w:pPr>
              <w:autoSpaceDE w:val="0"/>
              <w:autoSpaceDN w:val="0"/>
              <w:adjustRightInd w:val="0"/>
              <w:jc w:val="center"/>
              <w:rPr>
                <w:sz w:val="22"/>
                <w:szCs w:val="22"/>
                <w:lang w:val="de-DE"/>
              </w:rPr>
            </w:pPr>
            <w:proofErr w:type="spellStart"/>
            <w:r w:rsidRPr="00220850">
              <w:rPr>
                <w:sz w:val="22"/>
                <w:szCs w:val="22"/>
                <w:lang w:val="de-DE"/>
              </w:rPr>
              <w:t>Nintedanibas</w:t>
            </w:r>
            <w:proofErr w:type="spellEnd"/>
            <w:r w:rsidRPr="00220850">
              <w:rPr>
                <w:sz w:val="22"/>
                <w:szCs w:val="22"/>
                <w:lang w:val="de-DE"/>
              </w:rPr>
              <w:t xml:space="preserve"> 150 mg du </w:t>
            </w:r>
            <w:proofErr w:type="spellStart"/>
            <w:r w:rsidRPr="00220850">
              <w:rPr>
                <w:sz w:val="22"/>
                <w:szCs w:val="22"/>
                <w:lang w:val="de-DE"/>
              </w:rPr>
              <w:t>kartus</w:t>
            </w:r>
            <w:proofErr w:type="spellEnd"/>
            <w:r w:rsidRPr="00220850">
              <w:rPr>
                <w:sz w:val="22"/>
                <w:szCs w:val="22"/>
                <w:lang w:val="de-DE"/>
              </w:rPr>
              <w:t xml:space="preserve"> per </w:t>
            </w:r>
            <w:proofErr w:type="spellStart"/>
            <w:r w:rsidRPr="00220850">
              <w:rPr>
                <w:sz w:val="22"/>
                <w:szCs w:val="22"/>
                <w:lang w:val="de-DE"/>
              </w:rPr>
              <w:t>parą</w:t>
            </w:r>
            <w:proofErr w:type="spellEnd"/>
          </w:p>
        </w:tc>
      </w:tr>
      <w:tr w:rsidR="00C64F91" w:rsidRPr="00220850" w14:paraId="3185C71C" w14:textId="77777777" w:rsidTr="00514685">
        <w:tc>
          <w:tcPr>
            <w:tcW w:w="1666" w:type="pct"/>
          </w:tcPr>
          <w:p w14:paraId="2917ED17" w14:textId="77777777" w:rsidR="00C64F91" w:rsidRPr="00220850" w:rsidRDefault="00C64F91" w:rsidP="00514685">
            <w:pPr>
              <w:autoSpaceDE w:val="0"/>
              <w:autoSpaceDN w:val="0"/>
              <w:adjustRightInd w:val="0"/>
              <w:rPr>
                <w:sz w:val="22"/>
                <w:szCs w:val="22"/>
              </w:rPr>
            </w:pPr>
            <w:proofErr w:type="spellStart"/>
            <w:r w:rsidRPr="00220850">
              <w:rPr>
                <w:sz w:val="22"/>
                <w:szCs w:val="22"/>
              </w:rPr>
              <w:t>Analizuotų</w:t>
            </w:r>
            <w:proofErr w:type="spellEnd"/>
            <w:r w:rsidRPr="00220850">
              <w:rPr>
                <w:sz w:val="22"/>
                <w:szCs w:val="22"/>
              </w:rPr>
              <w:t xml:space="preserve"> </w:t>
            </w:r>
            <w:proofErr w:type="spellStart"/>
            <w:r w:rsidRPr="00220850">
              <w:rPr>
                <w:sz w:val="22"/>
                <w:szCs w:val="22"/>
              </w:rPr>
              <w:t>pacientų</w:t>
            </w:r>
            <w:proofErr w:type="spellEnd"/>
            <w:r w:rsidRPr="00220850">
              <w:rPr>
                <w:sz w:val="22"/>
                <w:szCs w:val="22"/>
              </w:rPr>
              <w:t xml:space="preserve"> </w:t>
            </w:r>
            <w:proofErr w:type="spellStart"/>
            <w:r w:rsidRPr="00220850">
              <w:rPr>
                <w:sz w:val="22"/>
                <w:szCs w:val="22"/>
              </w:rPr>
              <w:t>skaičius</w:t>
            </w:r>
            <w:proofErr w:type="spellEnd"/>
          </w:p>
        </w:tc>
        <w:tc>
          <w:tcPr>
            <w:tcW w:w="1666" w:type="pct"/>
            <w:vAlign w:val="center"/>
          </w:tcPr>
          <w:p w14:paraId="15EF5623" w14:textId="77777777" w:rsidR="00C64F91" w:rsidRPr="00220850" w:rsidRDefault="00C64F91" w:rsidP="00514685">
            <w:pPr>
              <w:autoSpaceDE w:val="0"/>
              <w:autoSpaceDN w:val="0"/>
              <w:adjustRightInd w:val="0"/>
              <w:jc w:val="center"/>
              <w:rPr>
                <w:sz w:val="22"/>
                <w:szCs w:val="22"/>
              </w:rPr>
            </w:pPr>
            <w:r w:rsidRPr="00220850">
              <w:rPr>
                <w:sz w:val="22"/>
                <w:szCs w:val="22"/>
              </w:rPr>
              <w:t>288</w:t>
            </w:r>
          </w:p>
        </w:tc>
        <w:tc>
          <w:tcPr>
            <w:tcW w:w="1667" w:type="pct"/>
            <w:vAlign w:val="center"/>
          </w:tcPr>
          <w:p w14:paraId="19C83AD5" w14:textId="77777777" w:rsidR="00C64F91" w:rsidRPr="00220850" w:rsidRDefault="00C64F91" w:rsidP="00514685">
            <w:pPr>
              <w:autoSpaceDE w:val="0"/>
              <w:autoSpaceDN w:val="0"/>
              <w:adjustRightInd w:val="0"/>
              <w:jc w:val="center"/>
              <w:rPr>
                <w:sz w:val="22"/>
                <w:szCs w:val="22"/>
              </w:rPr>
            </w:pPr>
            <w:r w:rsidRPr="00220850">
              <w:rPr>
                <w:sz w:val="22"/>
                <w:szCs w:val="22"/>
              </w:rPr>
              <w:t>288</w:t>
            </w:r>
          </w:p>
        </w:tc>
      </w:tr>
      <w:tr w:rsidR="00C64F91" w:rsidRPr="00220850" w14:paraId="1A216AD4" w14:textId="77777777" w:rsidTr="00514685">
        <w:tc>
          <w:tcPr>
            <w:tcW w:w="1666" w:type="pct"/>
          </w:tcPr>
          <w:p w14:paraId="74344CD1" w14:textId="77777777" w:rsidR="00C64F91" w:rsidRPr="00220850" w:rsidRDefault="00C64F91" w:rsidP="00C64F91">
            <w:pPr>
              <w:autoSpaceDE w:val="0"/>
              <w:autoSpaceDN w:val="0"/>
              <w:adjustRightInd w:val="0"/>
              <w:rPr>
                <w:sz w:val="22"/>
                <w:szCs w:val="22"/>
              </w:rPr>
            </w:pPr>
            <w:proofErr w:type="spellStart"/>
            <w:r w:rsidRPr="00220850">
              <w:rPr>
                <w:sz w:val="22"/>
                <w:szCs w:val="22"/>
              </w:rPr>
              <w:t>Pradinis</w:t>
            </w:r>
            <w:proofErr w:type="spellEnd"/>
            <w:r w:rsidRPr="00220850">
              <w:rPr>
                <w:sz w:val="22"/>
                <w:szCs w:val="22"/>
              </w:rPr>
              <w:t xml:space="preserve"> </w:t>
            </w:r>
            <w:proofErr w:type="spellStart"/>
            <w:r w:rsidRPr="00220850">
              <w:rPr>
                <w:sz w:val="22"/>
                <w:szCs w:val="22"/>
              </w:rPr>
              <w:t>vidurkis</w:t>
            </w:r>
            <w:proofErr w:type="spellEnd"/>
            <w:r w:rsidRPr="00220850">
              <w:rPr>
                <w:sz w:val="22"/>
                <w:szCs w:val="22"/>
              </w:rPr>
              <w:t xml:space="preserve"> (SN) </w:t>
            </w:r>
          </w:p>
        </w:tc>
        <w:tc>
          <w:tcPr>
            <w:tcW w:w="1666" w:type="pct"/>
            <w:vAlign w:val="center"/>
          </w:tcPr>
          <w:p w14:paraId="1573F15A" w14:textId="69208C78" w:rsidR="00C64F91" w:rsidRPr="00220850" w:rsidRDefault="00C64F91" w:rsidP="00C64F91">
            <w:pPr>
              <w:autoSpaceDE w:val="0"/>
              <w:autoSpaceDN w:val="0"/>
              <w:adjustRightInd w:val="0"/>
              <w:jc w:val="center"/>
              <w:rPr>
                <w:sz w:val="22"/>
                <w:szCs w:val="22"/>
              </w:rPr>
            </w:pPr>
            <w:r w:rsidRPr="00220850">
              <w:rPr>
                <w:sz w:val="22"/>
                <w:szCs w:val="22"/>
              </w:rPr>
              <w:t>2</w:t>
            </w:r>
            <w:r w:rsidR="00097611" w:rsidRPr="00220850">
              <w:rPr>
                <w:sz w:val="22"/>
                <w:szCs w:val="22"/>
              </w:rPr>
              <w:t xml:space="preserve"> </w:t>
            </w:r>
            <w:r w:rsidRPr="00220850">
              <w:rPr>
                <w:sz w:val="22"/>
                <w:szCs w:val="22"/>
              </w:rPr>
              <w:t>541,0 (815,5)</w:t>
            </w:r>
          </w:p>
        </w:tc>
        <w:tc>
          <w:tcPr>
            <w:tcW w:w="1667" w:type="pct"/>
            <w:vAlign w:val="center"/>
          </w:tcPr>
          <w:p w14:paraId="1BFED440" w14:textId="20B9C105" w:rsidR="00C64F91" w:rsidRPr="00220850" w:rsidRDefault="00C64F91" w:rsidP="00514685">
            <w:pPr>
              <w:autoSpaceDE w:val="0"/>
              <w:autoSpaceDN w:val="0"/>
              <w:adjustRightInd w:val="0"/>
              <w:jc w:val="center"/>
              <w:rPr>
                <w:sz w:val="22"/>
                <w:szCs w:val="22"/>
              </w:rPr>
            </w:pPr>
            <w:r w:rsidRPr="00220850">
              <w:rPr>
                <w:sz w:val="22"/>
                <w:szCs w:val="22"/>
              </w:rPr>
              <w:t>2</w:t>
            </w:r>
            <w:r w:rsidR="00097611" w:rsidRPr="00220850">
              <w:rPr>
                <w:sz w:val="22"/>
                <w:szCs w:val="22"/>
              </w:rPr>
              <w:t xml:space="preserve"> </w:t>
            </w:r>
            <w:r w:rsidRPr="00220850">
              <w:rPr>
                <w:sz w:val="22"/>
                <w:szCs w:val="22"/>
              </w:rPr>
              <w:t>458,5 (735,9)</w:t>
            </w:r>
          </w:p>
        </w:tc>
      </w:tr>
      <w:tr w:rsidR="00C64F91" w:rsidRPr="00220850" w14:paraId="360DE5EC" w14:textId="77777777" w:rsidTr="00514685">
        <w:tc>
          <w:tcPr>
            <w:tcW w:w="1666" w:type="pct"/>
          </w:tcPr>
          <w:p w14:paraId="0F0BF6C0" w14:textId="77777777" w:rsidR="00C64F91" w:rsidRPr="00220850" w:rsidRDefault="00C64F91" w:rsidP="00C64F91">
            <w:pPr>
              <w:autoSpaceDE w:val="0"/>
              <w:autoSpaceDN w:val="0"/>
              <w:adjustRightInd w:val="0"/>
              <w:rPr>
                <w:sz w:val="22"/>
                <w:szCs w:val="22"/>
                <w:lang w:val="it-CH"/>
              </w:rPr>
            </w:pPr>
            <w:r w:rsidRPr="00220850">
              <w:rPr>
                <w:sz w:val="22"/>
                <w:szCs w:val="22"/>
                <w:lang w:val="it-CH"/>
              </w:rPr>
              <w:t xml:space="preserve">Vidurkio </w:t>
            </w:r>
            <w:r w:rsidRPr="00220850">
              <w:rPr>
                <w:sz w:val="22"/>
                <w:szCs w:val="22"/>
                <w:vertAlign w:val="superscript"/>
                <w:lang w:val="it-CH"/>
              </w:rPr>
              <w:t>1</w:t>
            </w:r>
            <w:r w:rsidRPr="00220850">
              <w:rPr>
                <w:sz w:val="22"/>
                <w:szCs w:val="22"/>
                <w:lang w:val="it-CH"/>
              </w:rPr>
              <w:t xml:space="preserve"> (SP) pokytis nuo pradinio 52 savaitę</w:t>
            </w:r>
          </w:p>
        </w:tc>
        <w:tc>
          <w:tcPr>
            <w:tcW w:w="1666" w:type="pct"/>
            <w:vAlign w:val="bottom"/>
          </w:tcPr>
          <w:p w14:paraId="5905CBE9" w14:textId="77777777" w:rsidR="00C64F91" w:rsidRPr="00220850" w:rsidRDefault="00C64F91" w:rsidP="00514685">
            <w:pPr>
              <w:autoSpaceDE w:val="0"/>
              <w:autoSpaceDN w:val="0"/>
              <w:adjustRightInd w:val="0"/>
              <w:jc w:val="center"/>
              <w:rPr>
                <w:sz w:val="22"/>
                <w:szCs w:val="22"/>
              </w:rPr>
            </w:pPr>
            <w:r w:rsidRPr="00220850">
              <w:rPr>
                <w:sz w:val="22"/>
                <w:szCs w:val="22"/>
              </w:rPr>
              <w:t>-101,0 (13,6)</w:t>
            </w:r>
          </w:p>
        </w:tc>
        <w:tc>
          <w:tcPr>
            <w:tcW w:w="1667" w:type="pct"/>
            <w:vAlign w:val="bottom"/>
          </w:tcPr>
          <w:p w14:paraId="4E6C9145" w14:textId="77777777" w:rsidR="00C64F91" w:rsidRPr="00220850" w:rsidRDefault="00C64F91" w:rsidP="00C64F91">
            <w:pPr>
              <w:autoSpaceDE w:val="0"/>
              <w:autoSpaceDN w:val="0"/>
              <w:adjustRightInd w:val="0"/>
              <w:jc w:val="center"/>
              <w:rPr>
                <w:sz w:val="22"/>
                <w:szCs w:val="22"/>
              </w:rPr>
            </w:pPr>
            <w:r w:rsidRPr="00220850">
              <w:rPr>
                <w:sz w:val="22"/>
                <w:szCs w:val="22"/>
              </w:rPr>
              <w:t>-54,6 (13,9)</w:t>
            </w:r>
          </w:p>
        </w:tc>
      </w:tr>
      <w:tr w:rsidR="00C64F91" w:rsidRPr="00220850" w14:paraId="33125255" w14:textId="77777777" w:rsidTr="00514685">
        <w:tc>
          <w:tcPr>
            <w:tcW w:w="5000" w:type="pct"/>
            <w:gridSpan w:val="3"/>
            <w:vAlign w:val="center"/>
          </w:tcPr>
          <w:p w14:paraId="4E3A711D" w14:textId="207FF3FA" w:rsidR="00C64F91" w:rsidRPr="00220850" w:rsidRDefault="00C64F91" w:rsidP="00514685">
            <w:pPr>
              <w:autoSpaceDE w:val="0"/>
              <w:autoSpaceDN w:val="0"/>
              <w:adjustRightInd w:val="0"/>
              <w:rPr>
                <w:sz w:val="22"/>
                <w:szCs w:val="22"/>
              </w:rPr>
            </w:pPr>
            <w:proofErr w:type="spellStart"/>
            <w:r w:rsidRPr="00220850">
              <w:rPr>
                <w:sz w:val="22"/>
                <w:szCs w:val="22"/>
              </w:rPr>
              <w:t>Palyginimas</w:t>
            </w:r>
            <w:proofErr w:type="spellEnd"/>
            <w:r w:rsidRPr="00220850">
              <w:rPr>
                <w:sz w:val="22"/>
                <w:szCs w:val="22"/>
              </w:rPr>
              <w:t xml:space="preserve"> </w:t>
            </w:r>
            <w:proofErr w:type="spellStart"/>
            <w:r w:rsidRPr="00220850">
              <w:rPr>
                <w:sz w:val="22"/>
                <w:szCs w:val="22"/>
              </w:rPr>
              <w:t>su</w:t>
            </w:r>
            <w:proofErr w:type="spellEnd"/>
            <w:r w:rsidRPr="00220850">
              <w:rPr>
                <w:sz w:val="22"/>
                <w:szCs w:val="22"/>
              </w:rPr>
              <w:t xml:space="preserve"> </w:t>
            </w:r>
            <w:proofErr w:type="spellStart"/>
            <w:r w:rsidRPr="00220850">
              <w:rPr>
                <w:sz w:val="22"/>
                <w:szCs w:val="22"/>
              </w:rPr>
              <w:t>placeb</w:t>
            </w:r>
            <w:r w:rsidR="00097611" w:rsidRPr="00220850">
              <w:rPr>
                <w:sz w:val="22"/>
                <w:szCs w:val="22"/>
              </w:rPr>
              <w:t>u</w:t>
            </w:r>
            <w:proofErr w:type="spellEnd"/>
          </w:p>
        </w:tc>
      </w:tr>
      <w:tr w:rsidR="00C64F91" w:rsidRPr="00220850" w14:paraId="52AE846E" w14:textId="77777777" w:rsidTr="00514685">
        <w:tc>
          <w:tcPr>
            <w:tcW w:w="1666" w:type="pct"/>
          </w:tcPr>
          <w:p w14:paraId="60ED56D3" w14:textId="77777777" w:rsidR="00C64F91" w:rsidRPr="00220850" w:rsidRDefault="00C64F91" w:rsidP="00304B46">
            <w:pPr>
              <w:autoSpaceDE w:val="0"/>
              <w:autoSpaceDN w:val="0"/>
              <w:adjustRightInd w:val="0"/>
              <w:rPr>
                <w:sz w:val="22"/>
                <w:szCs w:val="22"/>
              </w:rPr>
            </w:pPr>
            <w:r w:rsidRPr="00220850">
              <w:rPr>
                <w:sz w:val="22"/>
                <w:szCs w:val="22"/>
              </w:rPr>
              <w:t>Vidurkis</w:t>
            </w:r>
            <w:r w:rsidRPr="00220850">
              <w:rPr>
                <w:sz w:val="22"/>
                <w:szCs w:val="22"/>
                <w:vertAlign w:val="superscript"/>
              </w:rPr>
              <w:t>1</w:t>
            </w:r>
          </w:p>
        </w:tc>
        <w:tc>
          <w:tcPr>
            <w:tcW w:w="1666" w:type="pct"/>
            <w:vAlign w:val="center"/>
          </w:tcPr>
          <w:p w14:paraId="0C28D597" w14:textId="77777777" w:rsidR="00C64F91" w:rsidRPr="00220850" w:rsidRDefault="00C64F91" w:rsidP="00514685">
            <w:pPr>
              <w:autoSpaceDE w:val="0"/>
              <w:autoSpaceDN w:val="0"/>
              <w:adjustRightInd w:val="0"/>
              <w:jc w:val="center"/>
              <w:rPr>
                <w:sz w:val="22"/>
                <w:szCs w:val="22"/>
              </w:rPr>
            </w:pPr>
          </w:p>
        </w:tc>
        <w:tc>
          <w:tcPr>
            <w:tcW w:w="1667" w:type="pct"/>
            <w:vAlign w:val="center"/>
          </w:tcPr>
          <w:p w14:paraId="1596BBC7" w14:textId="77777777" w:rsidR="00C64F91" w:rsidRPr="00220850" w:rsidRDefault="00C64F91" w:rsidP="00514685">
            <w:pPr>
              <w:autoSpaceDE w:val="0"/>
              <w:autoSpaceDN w:val="0"/>
              <w:adjustRightInd w:val="0"/>
              <w:jc w:val="center"/>
              <w:rPr>
                <w:sz w:val="22"/>
                <w:szCs w:val="22"/>
              </w:rPr>
            </w:pPr>
            <w:r w:rsidRPr="00220850">
              <w:rPr>
                <w:sz w:val="22"/>
                <w:szCs w:val="22"/>
              </w:rPr>
              <w:t>46,4</w:t>
            </w:r>
          </w:p>
        </w:tc>
      </w:tr>
      <w:tr w:rsidR="00C64F91" w:rsidRPr="00220850" w14:paraId="2E2CBAA7" w14:textId="77777777" w:rsidTr="00514685">
        <w:tc>
          <w:tcPr>
            <w:tcW w:w="1666" w:type="pct"/>
          </w:tcPr>
          <w:p w14:paraId="0C1B4036" w14:textId="77777777" w:rsidR="00C64F91" w:rsidRPr="00220850" w:rsidRDefault="00C64F91" w:rsidP="00514685">
            <w:pPr>
              <w:autoSpaceDE w:val="0"/>
              <w:autoSpaceDN w:val="0"/>
              <w:adjustRightInd w:val="0"/>
              <w:ind w:left="317"/>
              <w:rPr>
                <w:sz w:val="22"/>
                <w:szCs w:val="22"/>
              </w:rPr>
            </w:pPr>
            <w:r w:rsidRPr="00220850">
              <w:rPr>
                <w:sz w:val="22"/>
                <w:szCs w:val="22"/>
              </w:rPr>
              <w:t>95 % PI</w:t>
            </w:r>
          </w:p>
        </w:tc>
        <w:tc>
          <w:tcPr>
            <w:tcW w:w="1666" w:type="pct"/>
            <w:vAlign w:val="center"/>
          </w:tcPr>
          <w:p w14:paraId="0C7B1FB4" w14:textId="77777777" w:rsidR="00C64F91" w:rsidRPr="00220850" w:rsidRDefault="00C64F91" w:rsidP="00514685">
            <w:pPr>
              <w:autoSpaceDE w:val="0"/>
              <w:autoSpaceDN w:val="0"/>
              <w:adjustRightInd w:val="0"/>
              <w:jc w:val="center"/>
              <w:rPr>
                <w:sz w:val="22"/>
                <w:szCs w:val="22"/>
              </w:rPr>
            </w:pPr>
          </w:p>
        </w:tc>
        <w:tc>
          <w:tcPr>
            <w:tcW w:w="1667" w:type="pct"/>
            <w:vAlign w:val="center"/>
          </w:tcPr>
          <w:p w14:paraId="6A7BE5D3" w14:textId="77777777" w:rsidR="00C64F91" w:rsidRPr="00220850" w:rsidRDefault="00C64F91" w:rsidP="00C64F91">
            <w:pPr>
              <w:autoSpaceDE w:val="0"/>
              <w:autoSpaceDN w:val="0"/>
              <w:adjustRightInd w:val="0"/>
              <w:jc w:val="center"/>
              <w:rPr>
                <w:sz w:val="22"/>
                <w:szCs w:val="22"/>
              </w:rPr>
            </w:pPr>
            <w:r w:rsidRPr="00220850">
              <w:rPr>
                <w:sz w:val="22"/>
                <w:szCs w:val="22"/>
              </w:rPr>
              <w:t>(8,1, 84,7)</w:t>
            </w:r>
          </w:p>
        </w:tc>
      </w:tr>
      <w:tr w:rsidR="00C64F91" w:rsidRPr="00220850" w14:paraId="779D0810" w14:textId="77777777" w:rsidTr="00514685">
        <w:tc>
          <w:tcPr>
            <w:tcW w:w="1666" w:type="pct"/>
          </w:tcPr>
          <w:p w14:paraId="05015AD5" w14:textId="77777777" w:rsidR="00C64F91" w:rsidRPr="00220850" w:rsidRDefault="00C64F91" w:rsidP="00C64F91">
            <w:pPr>
              <w:autoSpaceDE w:val="0"/>
              <w:autoSpaceDN w:val="0"/>
              <w:adjustRightInd w:val="0"/>
              <w:ind w:left="317"/>
              <w:rPr>
                <w:sz w:val="22"/>
                <w:szCs w:val="22"/>
              </w:rPr>
            </w:pPr>
            <w:r w:rsidRPr="00220850">
              <w:rPr>
                <w:sz w:val="22"/>
                <w:szCs w:val="22"/>
              </w:rPr>
              <w:t xml:space="preserve">p </w:t>
            </w:r>
            <w:proofErr w:type="spellStart"/>
            <w:r w:rsidRPr="00220850">
              <w:rPr>
                <w:sz w:val="22"/>
                <w:szCs w:val="22"/>
              </w:rPr>
              <w:t>reikšmė</w:t>
            </w:r>
            <w:proofErr w:type="spellEnd"/>
          </w:p>
        </w:tc>
        <w:tc>
          <w:tcPr>
            <w:tcW w:w="1666" w:type="pct"/>
            <w:vAlign w:val="center"/>
          </w:tcPr>
          <w:p w14:paraId="20065FC5" w14:textId="77777777" w:rsidR="00C64F91" w:rsidRPr="00220850" w:rsidRDefault="00C64F91" w:rsidP="00514685">
            <w:pPr>
              <w:autoSpaceDE w:val="0"/>
              <w:autoSpaceDN w:val="0"/>
              <w:adjustRightInd w:val="0"/>
              <w:jc w:val="center"/>
              <w:rPr>
                <w:sz w:val="22"/>
                <w:szCs w:val="22"/>
              </w:rPr>
            </w:pPr>
          </w:p>
        </w:tc>
        <w:tc>
          <w:tcPr>
            <w:tcW w:w="1667" w:type="pct"/>
            <w:vAlign w:val="center"/>
          </w:tcPr>
          <w:p w14:paraId="2F94B97F" w14:textId="77777777" w:rsidR="00C64F91" w:rsidRPr="00220850" w:rsidRDefault="00C64F91" w:rsidP="00C64F91">
            <w:pPr>
              <w:autoSpaceDE w:val="0"/>
              <w:autoSpaceDN w:val="0"/>
              <w:adjustRightInd w:val="0"/>
              <w:jc w:val="center"/>
              <w:rPr>
                <w:sz w:val="22"/>
                <w:szCs w:val="22"/>
              </w:rPr>
            </w:pPr>
            <w:r w:rsidRPr="00220850">
              <w:rPr>
                <w:sz w:val="22"/>
                <w:szCs w:val="22"/>
              </w:rPr>
              <w:t>&lt;0,05</w:t>
            </w:r>
          </w:p>
        </w:tc>
      </w:tr>
    </w:tbl>
    <w:p w14:paraId="5E4B403A" w14:textId="52E95F37" w:rsidR="00C64F91" w:rsidRPr="00220850" w:rsidRDefault="00C64F91" w:rsidP="00C64F91">
      <w:pPr>
        <w:autoSpaceDE w:val="0"/>
        <w:autoSpaceDN w:val="0"/>
        <w:adjustRightInd w:val="0"/>
        <w:rPr>
          <w:szCs w:val="22"/>
        </w:rPr>
      </w:pPr>
      <w:r w:rsidRPr="00220850">
        <w:rPr>
          <w:rFonts w:eastAsia="TimesNewRoman"/>
          <w:sz w:val="22"/>
          <w:szCs w:val="22"/>
          <w:vertAlign w:val="superscript"/>
        </w:rPr>
        <w:t>1</w:t>
      </w:r>
      <w:r w:rsidR="00A2345E" w:rsidRPr="00220850">
        <w:rPr>
          <w:rFonts w:eastAsia="TimesNewRoman"/>
          <w:sz w:val="22"/>
          <w:szCs w:val="22"/>
          <w:vertAlign w:val="superscript"/>
        </w:rPr>
        <w:t xml:space="preserve"> </w:t>
      </w:r>
      <w:r w:rsidRPr="00220850">
        <w:rPr>
          <w:rFonts w:eastAsia="TimesNewRoman"/>
          <w:sz w:val="20"/>
        </w:rPr>
        <w:t xml:space="preserve">Remiantis mišriu kartotinių matavimų modeliu (angl. </w:t>
      </w:r>
      <w:proofErr w:type="spellStart"/>
      <w:r w:rsidRPr="00220850">
        <w:rPr>
          <w:rFonts w:eastAsia="TimesNewRoman,Italic"/>
          <w:i/>
          <w:iCs/>
          <w:sz w:val="20"/>
        </w:rPr>
        <w:t>Mixed</w:t>
      </w:r>
      <w:proofErr w:type="spellEnd"/>
      <w:r w:rsidRPr="00220850">
        <w:rPr>
          <w:rFonts w:eastAsia="TimesNewRoman,Italic"/>
          <w:i/>
          <w:iCs/>
          <w:sz w:val="20"/>
        </w:rPr>
        <w:t xml:space="preserve"> </w:t>
      </w:r>
      <w:proofErr w:type="spellStart"/>
      <w:r w:rsidRPr="00220850">
        <w:rPr>
          <w:rFonts w:eastAsia="TimesNewRoman,Italic"/>
          <w:i/>
          <w:iCs/>
          <w:sz w:val="20"/>
        </w:rPr>
        <w:t>Model</w:t>
      </w:r>
      <w:proofErr w:type="spellEnd"/>
      <w:r w:rsidRPr="00220850">
        <w:rPr>
          <w:rFonts w:eastAsia="TimesNewRoman,Italic"/>
          <w:i/>
          <w:iCs/>
          <w:sz w:val="20"/>
        </w:rPr>
        <w:t xml:space="preserve"> </w:t>
      </w:r>
      <w:proofErr w:type="spellStart"/>
      <w:r w:rsidRPr="00220850">
        <w:rPr>
          <w:rFonts w:eastAsia="TimesNewRoman,Italic"/>
          <w:i/>
          <w:iCs/>
          <w:sz w:val="20"/>
        </w:rPr>
        <w:t>for</w:t>
      </w:r>
      <w:proofErr w:type="spellEnd"/>
      <w:r w:rsidRPr="00220850">
        <w:rPr>
          <w:rFonts w:eastAsia="TimesNewRoman,Italic"/>
          <w:i/>
          <w:iCs/>
          <w:sz w:val="20"/>
        </w:rPr>
        <w:t xml:space="preserve"> </w:t>
      </w:r>
      <w:proofErr w:type="spellStart"/>
      <w:r w:rsidRPr="00220850">
        <w:rPr>
          <w:rFonts w:eastAsia="TimesNewRoman,Italic"/>
          <w:i/>
          <w:iCs/>
          <w:sz w:val="20"/>
        </w:rPr>
        <w:t>Repeated</w:t>
      </w:r>
      <w:proofErr w:type="spellEnd"/>
      <w:r w:rsidRPr="00220850">
        <w:rPr>
          <w:rFonts w:eastAsia="TimesNewRoman,Italic"/>
          <w:i/>
          <w:iCs/>
          <w:sz w:val="20"/>
        </w:rPr>
        <w:t xml:space="preserve"> </w:t>
      </w:r>
      <w:proofErr w:type="spellStart"/>
      <w:r w:rsidRPr="00220850">
        <w:rPr>
          <w:rFonts w:eastAsia="TimesNewRoman,Italic"/>
          <w:i/>
          <w:iCs/>
          <w:sz w:val="20"/>
        </w:rPr>
        <w:t>Measures</w:t>
      </w:r>
      <w:proofErr w:type="spellEnd"/>
      <w:r w:rsidRPr="00220850">
        <w:rPr>
          <w:rFonts w:eastAsia="TimesNewRoman"/>
          <w:sz w:val="20"/>
        </w:rPr>
        <w:t xml:space="preserve">, MMRM), įtraukus fiksuotų kategorinių ATA buvimo, apsilankymo, gydymo ir apsilankymų tarpusavio sąveikos, pradinio vertinimo ir apsilankymų tarpusavio sąveikos, amžiaus, lyties ir ūgio veiksnių poveikį. Apsilankymas buvo kartotinio matavimo parametras. Paklaidos pacientų imtyje modeliuotos taikant nestruktūrinę dispersijų </w:t>
      </w:r>
      <w:proofErr w:type="spellStart"/>
      <w:r w:rsidRPr="00220850">
        <w:rPr>
          <w:rFonts w:eastAsia="TimesNewRoman"/>
          <w:sz w:val="20"/>
        </w:rPr>
        <w:t>kovariacijų</w:t>
      </w:r>
      <w:proofErr w:type="spellEnd"/>
      <w:r w:rsidRPr="00220850">
        <w:rPr>
          <w:rFonts w:eastAsia="TimesNewRoman"/>
          <w:sz w:val="20"/>
        </w:rPr>
        <w:t xml:space="preserve"> matricą. Koreguotasis vidurkis buvo pagrįstas visų pagal šį analizės modelį vertintų pacientų</w:t>
      </w:r>
      <w:r w:rsidR="00304B46" w:rsidRPr="00220850">
        <w:rPr>
          <w:rFonts w:eastAsia="TimesNewRoman"/>
          <w:sz w:val="20"/>
        </w:rPr>
        <w:t xml:space="preserve"> </w:t>
      </w:r>
      <w:r w:rsidRPr="00220850">
        <w:rPr>
          <w:rFonts w:eastAsia="TimesNewRoman"/>
          <w:sz w:val="20"/>
        </w:rPr>
        <w:t>duomenimis (ne tik tų pacientų, kurių pradiniai ir matavimo 52</w:t>
      </w:r>
      <w:r w:rsidR="00304B46" w:rsidRPr="00220850">
        <w:rPr>
          <w:rFonts w:eastAsia="TimesNewRoman"/>
          <w:sz w:val="20"/>
        </w:rPr>
        <w:t>-ą</w:t>
      </w:r>
      <w:r w:rsidRPr="00220850">
        <w:rPr>
          <w:rFonts w:eastAsia="TimesNewRoman"/>
          <w:sz w:val="20"/>
        </w:rPr>
        <w:t xml:space="preserve"> savaitę duomenys nustatyti).</w:t>
      </w:r>
    </w:p>
    <w:p w14:paraId="07EBD900" w14:textId="77777777" w:rsidR="00650BB5" w:rsidRPr="00220850" w:rsidRDefault="00650BB5" w:rsidP="00C64F91">
      <w:pPr>
        <w:keepNext/>
        <w:autoSpaceDE w:val="0"/>
        <w:autoSpaceDN w:val="0"/>
        <w:adjustRightInd w:val="0"/>
        <w:ind w:left="1134" w:hanging="1134"/>
        <w:rPr>
          <w:b/>
          <w:szCs w:val="22"/>
        </w:rPr>
      </w:pPr>
    </w:p>
    <w:p w14:paraId="7DF08600" w14:textId="4E3D7802" w:rsidR="00C64F91" w:rsidRPr="00220850" w:rsidRDefault="00650BB5" w:rsidP="00C64F91">
      <w:pPr>
        <w:keepNext/>
        <w:autoSpaceDE w:val="0"/>
        <w:autoSpaceDN w:val="0"/>
        <w:adjustRightInd w:val="0"/>
        <w:ind w:left="1134" w:hanging="1134"/>
        <w:rPr>
          <w:rFonts w:eastAsia="TimesNewRoman,Bold"/>
          <w:b/>
          <w:bCs/>
          <w:sz w:val="22"/>
          <w:szCs w:val="22"/>
          <w:lang w:val="pt-PT"/>
        </w:rPr>
      </w:pPr>
      <w:r w:rsidRPr="00220850">
        <w:rPr>
          <w:rFonts w:eastAsia="TimesNewRoman,Bold"/>
          <w:b/>
          <w:bCs/>
          <w:sz w:val="22"/>
          <w:szCs w:val="22"/>
          <w:lang w:val="pt-PT"/>
        </w:rPr>
        <w:t>1</w:t>
      </w:r>
      <w:r w:rsidR="00160C7C" w:rsidRPr="00220850">
        <w:rPr>
          <w:rFonts w:eastAsia="TimesNewRoman,Bold"/>
          <w:b/>
          <w:bCs/>
          <w:sz w:val="22"/>
          <w:szCs w:val="22"/>
          <w:lang w:val="pt-PT"/>
        </w:rPr>
        <w:t>3</w:t>
      </w:r>
      <w:r w:rsidRPr="00220850">
        <w:rPr>
          <w:rFonts w:eastAsia="TimesNewRoman,Bold"/>
          <w:b/>
          <w:bCs/>
          <w:sz w:val="22"/>
          <w:szCs w:val="22"/>
          <w:lang w:val="pt-PT"/>
        </w:rPr>
        <w:t xml:space="preserve"> lentelė. Metinis FGPT sumažėjimo per 52 savaites rodmuo (% nuo numatytos)</w:t>
      </w:r>
    </w:p>
    <w:p w14:paraId="0F51A643" w14:textId="77777777" w:rsidR="00650BB5" w:rsidRPr="00220850" w:rsidRDefault="00650BB5" w:rsidP="00C64F91">
      <w:pPr>
        <w:keepNext/>
        <w:autoSpaceDE w:val="0"/>
        <w:autoSpaceDN w:val="0"/>
        <w:adjustRightInd w:val="0"/>
        <w:ind w:left="1134" w:hanging="1134"/>
        <w:rPr>
          <w:szCs w:val="22"/>
        </w:rPr>
      </w:pPr>
    </w:p>
    <w:tbl>
      <w:tblPr>
        <w:tblStyle w:val="Lentelstinklelis"/>
        <w:tblW w:w="4994" w:type="pct"/>
        <w:tblLook w:val="04A0" w:firstRow="1" w:lastRow="0" w:firstColumn="1" w:lastColumn="0" w:noHBand="0" w:noVBand="1"/>
      </w:tblPr>
      <w:tblGrid>
        <w:gridCol w:w="3015"/>
        <w:gridCol w:w="3015"/>
        <w:gridCol w:w="3019"/>
      </w:tblGrid>
      <w:tr w:rsidR="00C64F91" w:rsidRPr="00220850" w14:paraId="2F8C6E4E" w14:textId="77777777" w:rsidTr="00650BB5">
        <w:trPr>
          <w:tblHeader/>
        </w:trPr>
        <w:tc>
          <w:tcPr>
            <w:tcW w:w="1666" w:type="pct"/>
          </w:tcPr>
          <w:p w14:paraId="4A642058" w14:textId="77777777" w:rsidR="00C64F91" w:rsidRPr="00220850" w:rsidRDefault="00C64F91" w:rsidP="00514685">
            <w:pPr>
              <w:autoSpaceDE w:val="0"/>
              <w:autoSpaceDN w:val="0"/>
              <w:adjustRightInd w:val="0"/>
              <w:rPr>
                <w:sz w:val="22"/>
                <w:szCs w:val="22"/>
                <w:lang w:val="pt-PT"/>
              </w:rPr>
            </w:pPr>
          </w:p>
        </w:tc>
        <w:tc>
          <w:tcPr>
            <w:tcW w:w="1666" w:type="pct"/>
          </w:tcPr>
          <w:p w14:paraId="7E39BF29" w14:textId="77777777" w:rsidR="00C64F91" w:rsidRPr="00220850" w:rsidRDefault="00650BB5" w:rsidP="00514685">
            <w:pPr>
              <w:autoSpaceDE w:val="0"/>
              <w:autoSpaceDN w:val="0"/>
              <w:adjustRightInd w:val="0"/>
              <w:jc w:val="center"/>
              <w:rPr>
                <w:sz w:val="22"/>
                <w:szCs w:val="22"/>
              </w:rPr>
            </w:pPr>
            <w:proofErr w:type="spellStart"/>
            <w:r w:rsidRPr="00220850">
              <w:rPr>
                <w:sz w:val="22"/>
                <w:szCs w:val="22"/>
              </w:rPr>
              <w:t>Placebas</w:t>
            </w:r>
            <w:proofErr w:type="spellEnd"/>
          </w:p>
        </w:tc>
        <w:tc>
          <w:tcPr>
            <w:tcW w:w="1668" w:type="pct"/>
          </w:tcPr>
          <w:p w14:paraId="08677704" w14:textId="77777777" w:rsidR="00C64F91" w:rsidRPr="00220850" w:rsidRDefault="00C64F91" w:rsidP="00514685">
            <w:pPr>
              <w:autoSpaceDE w:val="0"/>
              <w:autoSpaceDN w:val="0"/>
              <w:adjustRightInd w:val="0"/>
              <w:jc w:val="center"/>
              <w:rPr>
                <w:sz w:val="22"/>
                <w:szCs w:val="22"/>
                <w:lang w:val="de-DE"/>
              </w:rPr>
            </w:pPr>
            <w:proofErr w:type="spellStart"/>
            <w:r w:rsidRPr="00220850">
              <w:rPr>
                <w:sz w:val="22"/>
                <w:szCs w:val="22"/>
                <w:lang w:val="de-DE"/>
              </w:rPr>
              <w:t>Nintedanib</w:t>
            </w:r>
            <w:r w:rsidR="00650BB5" w:rsidRPr="00220850">
              <w:rPr>
                <w:sz w:val="22"/>
                <w:szCs w:val="22"/>
                <w:lang w:val="de-DE"/>
              </w:rPr>
              <w:t>as</w:t>
            </w:r>
            <w:proofErr w:type="spellEnd"/>
          </w:p>
          <w:p w14:paraId="044D9652" w14:textId="77777777" w:rsidR="00C64F91" w:rsidRPr="00220850" w:rsidRDefault="00C64F91" w:rsidP="00650BB5">
            <w:pPr>
              <w:autoSpaceDE w:val="0"/>
              <w:autoSpaceDN w:val="0"/>
              <w:adjustRightInd w:val="0"/>
              <w:jc w:val="center"/>
              <w:rPr>
                <w:sz w:val="22"/>
                <w:szCs w:val="22"/>
                <w:lang w:val="de-DE"/>
              </w:rPr>
            </w:pPr>
            <w:r w:rsidRPr="00220850">
              <w:rPr>
                <w:sz w:val="22"/>
                <w:szCs w:val="22"/>
                <w:lang w:val="de-DE"/>
              </w:rPr>
              <w:t>150 mg</w:t>
            </w:r>
            <w:r w:rsidR="00650BB5" w:rsidRPr="00220850">
              <w:rPr>
                <w:sz w:val="22"/>
                <w:szCs w:val="22"/>
                <w:lang w:val="de-DE"/>
              </w:rPr>
              <w:t xml:space="preserve"> du </w:t>
            </w:r>
            <w:proofErr w:type="spellStart"/>
            <w:r w:rsidR="00650BB5" w:rsidRPr="00220850">
              <w:rPr>
                <w:sz w:val="22"/>
                <w:szCs w:val="22"/>
                <w:lang w:val="de-DE"/>
              </w:rPr>
              <w:t>kartus</w:t>
            </w:r>
            <w:proofErr w:type="spellEnd"/>
            <w:r w:rsidR="00650BB5" w:rsidRPr="00220850">
              <w:rPr>
                <w:sz w:val="22"/>
                <w:szCs w:val="22"/>
                <w:lang w:val="de-DE"/>
              </w:rPr>
              <w:t xml:space="preserve"> per </w:t>
            </w:r>
            <w:proofErr w:type="spellStart"/>
            <w:r w:rsidR="00650BB5" w:rsidRPr="00220850">
              <w:rPr>
                <w:sz w:val="22"/>
                <w:szCs w:val="22"/>
                <w:lang w:val="de-DE"/>
              </w:rPr>
              <w:t>parą</w:t>
            </w:r>
            <w:proofErr w:type="spellEnd"/>
          </w:p>
        </w:tc>
      </w:tr>
      <w:tr w:rsidR="00C64F91" w:rsidRPr="00220850" w14:paraId="676BC260" w14:textId="77777777" w:rsidTr="00650BB5">
        <w:tc>
          <w:tcPr>
            <w:tcW w:w="1666" w:type="pct"/>
          </w:tcPr>
          <w:p w14:paraId="397067C0" w14:textId="77777777" w:rsidR="00C64F91" w:rsidRPr="00220850" w:rsidRDefault="00650BB5" w:rsidP="00514685">
            <w:pPr>
              <w:autoSpaceDE w:val="0"/>
              <w:autoSpaceDN w:val="0"/>
              <w:adjustRightInd w:val="0"/>
              <w:rPr>
                <w:sz w:val="22"/>
                <w:szCs w:val="22"/>
              </w:rPr>
            </w:pPr>
            <w:proofErr w:type="spellStart"/>
            <w:r w:rsidRPr="00220850">
              <w:rPr>
                <w:sz w:val="22"/>
                <w:szCs w:val="22"/>
              </w:rPr>
              <w:t>Analizuotų</w:t>
            </w:r>
            <w:proofErr w:type="spellEnd"/>
            <w:r w:rsidRPr="00220850">
              <w:rPr>
                <w:sz w:val="22"/>
                <w:szCs w:val="22"/>
              </w:rPr>
              <w:t xml:space="preserve"> </w:t>
            </w:r>
            <w:proofErr w:type="spellStart"/>
            <w:r w:rsidRPr="00220850">
              <w:rPr>
                <w:sz w:val="22"/>
                <w:szCs w:val="22"/>
              </w:rPr>
              <w:t>pacientų</w:t>
            </w:r>
            <w:proofErr w:type="spellEnd"/>
            <w:r w:rsidRPr="00220850">
              <w:rPr>
                <w:sz w:val="22"/>
                <w:szCs w:val="22"/>
              </w:rPr>
              <w:t xml:space="preserve"> </w:t>
            </w:r>
            <w:proofErr w:type="spellStart"/>
            <w:r w:rsidRPr="00220850">
              <w:rPr>
                <w:sz w:val="22"/>
                <w:szCs w:val="22"/>
              </w:rPr>
              <w:t>skaičius</w:t>
            </w:r>
            <w:proofErr w:type="spellEnd"/>
          </w:p>
        </w:tc>
        <w:tc>
          <w:tcPr>
            <w:tcW w:w="1666" w:type="pct"/>
            <w:vAlign w:val="center"/>
          </w:tcPr>
          <w:p w14:paraId="2848FA2E" w14:textId="77777777" w:rsidR="00C64F91" w:rsidRPr="00220850" w:rsidRDefault="00C64F91" w:rsidP="00514685">
            <w:pPr>
              <w:autoSpaceDE w:val="0"/>
              <w:autoSpaceDN w:val="0"/>
              <w:adjustRightInd w:val="0"/>
              <w:jc w:val="center"/>
              <w:rPr>
                <w:sz w:val="22"/>
                <w:szCs w:val="22"/>
              </w:rPr>
            </w:pPr>
            <w:r w:rsidRPr="00220850">
              <w:rPr>
                <w:sz w:val="22"/>
                <w:szCs w:val="22"/>
              </w:rPr>
              <w:t>288</w:t>
            </w:r>
          </w:p>
        </w:tc>
        <w:tc>
          <w:tcPr>
            <w:tcW w:w="1668" w:type="pct"/>
            <w:vAlign w:val="center"/>
          </w:tcPr>
          <w:p w14:paraId="12B290DA" w14:textId="77777777" w:rsidR="00C64F91" w:rsidRPr="00220850" w:rsidRDefault="00C64F91" w:rsidP="00514685">
            <w:pPr>
              <w:autoSpaceDE w:val="0"/>
              <w:autoSpaceDN w:val="0"/>
              <w:adjustRightInd w:val="0"/>
              <w:jc w:val="center"/>
              <w:rPr>
                <w:sz w:val="22"/>
                <w:szCs w:val="22"/>
              </w:rPr>
            </w:pPr>
            <w:r w:rsidRPr="00220850">
              <w:rPr>
                <w:sz w:val="22"/>
                <w:szCs w:val="22"/>
              </w:rPr>
              <w:t>287</w:t>
            </w:r>
          </w:p>
        </w:tc>
      </w:tr>
      <w:tr w:rsidR="00C64F91" w:rsidRPr="00220850" w14:paraId="7D425F2A" w14:textId="77777777" w:rsidTr="00650BB5">
        <w:tc>
          <w:tcPr>
            <w:tcW w:w="1666" w:type="pct"/>
          </w:tcPr>
          <w:p w14:paraId="2C0CCC25" w14:textId="77777777" w:rsidR="00C64F91" w:rsidRPr="00220850" w:rsidRDefault="00650BB5" w:rsidP="00304B46">
            <w:pPr>
              <w:autoSpaceDE w:val="0"/>
              <w:autoSpaceDN w:val="0"/>
              <w:adjustRightInd w:val="0"/>
              <w:rPr>
                <w:sz w:val="22"/>
                <w:szCs w:val="22"/>
              </w:rPr>
            </w:pPr>
            <w:proofErr w:type="spellStart"/>
            <w:r w:rsidRPr="00220850">
              <w:rPr>
                <w:rFonts w:eastAsia="TimesNewRoman"/>
                <w:sz w:val="22"/>
                <w:szCs w:val="22"/>
                <w:lang w:val="en-US"/>
              </w:rPr>
              <w:t>Sumažėjimo</w:t>
            </w:r>
            <w:proofErr w:type="spellEnd"/>
            <w:r w:rsidRPr="00220850">
              <w:rPr>
                <w:rFonts w:eastAsia="TimesNewRoman"/>
                <w:sz w:val="22"/>
                <w:szCs w:val="22"/>
                <w:lang w:val="en-US"/>
              </w:rPr>
              <w:t xml:space="preserve"> per 52 </w:t>
            </w:r>
            <w:proofErr w:type="spellStart"/>
            <w:r w:rsidRPr="00220850">
              <w:rPr>
                <w:rFonts w:eastAsia="TimesNewRoman"/>
                <w:sz w:val="22"/>
                <w:szCs w:val="22"/>
                <w:lang w:val="en-US"/>
              </w:rPr>
              <w:t>savaites</w:t>
            </w:r>
            <w:proofErr w:type="spellEnd"/>
            <w:r w:rsidR="00304B46" w:rsidRPr="00220850">
              <w:rPr>
                <w:rFonts w:eastAsia="TimesNewRoman"/>
                <w:sz w:val="22"/>
                <w:szCs w:val="22"/>
                <w:lang w:val="en-US"/>
              </w:rPr>
              <w:t xml:space="preserve"> </w:t>
            </w:r>
            <w:r w:rsidRPr="00220850">
              <w:rPr>
                <w:rFonts w:eastAsia="TimesNewRoman"/>
                <w:sz w:val="22"/>
                <w:szCs w:val="22"/>
                <w:lang w:val="en-US"/>
              </w:rPr>
              <w:t>rodmuo</w:t>
            </w:r>
            <w:r w:rsidRPr="00220850">
              <w:rPr>
                <w:rFonts w:eastAsia="TimesNewRoman"/>
                <w:sz w:val="22"/>
                <w:szCs w:val="22"/>
                <w:vertAlign w:val="superscript"/>
                <w:lang w:val="en-US"/>
              </w:rPr>
              <w:t>1</w:t>
            </w:r>
            <w:r w:rsidRPr="00220850">
              <w:rPr>
                <w:rFonts w:eastAsia="TimesNewRoman"/>
                <w:sz w:val="22"/>
                <w:szCs w:val="22"/>
                <w:lang w:val="en-US"/>
              </w:rPr>
              <w:t xml:space="preserve"> (SP)</w:t>
            </w:r>
          </w:p>
        </w:tc>
        <w:tc>
          <w:tcPr>
            <w:tcW w:w="1666" w:type="pct"/>
            <w:vAlign w:val="bottom"/>
          </w:tcPr>
          <w:p w14:paraId="0200772B" w14:textId="7F3FB988" w:rsidR="00C64F91" w:rsidRPr="00220850" w:rsidRDefault="00650BB5" w:rsidP="00514685">
            <w:pPr>
              <w:autoSpaceDE w:val="0"/>
              <w:autoSpaceDN w:val="0"/>
              <w:adjustRightInd w:val="0"/>
              <w:jc w:val="center"/>
              <w:rPr>
                <w:sz w:val="22"/>
                <w:szCs w:val="22"/>
              </w:rPr>
            </w:pPr>
            <w:r w:rsidRPr="00220850">
              <w:rPr>
                <w:sz w:val="22"/>
              </w:rPr>
              <w:t>-2</w:t>
            </w:r>
            <w:r w:rsidRPr="00220850">
              <w:rPr>
                <w:sz w:val="22"/>
                <w:szCs w:val="22"/>
              </w:rPr>
              <w:t>,</w:t>
            </w:r>
            <w:r w:rsidRPr="00220850">
              <w:rPr>
                <w:sz w:val="22"/>
              </w:rPr>
              <w:t>6 (0,</w:t>
            </w:r>
            <w:r w:rsidR="00C64F91" w:rsidRPr="00220850">
              <w:rPr>
                <w:sz w:val="22"/>
              </w:rPr>
              <w:t>4)</w:t>
            </w:r>
          </w:p>
        </w:tc>
        <w:tc>
          <w:tcPr>
            <w:tcW w:w="1668" w:type="pct"/>
            <w:vAlign w:val="bottom"/>
          </w:tcPr>
          <w:p w14:paraId="66E86A49" w14:textId="77777777" w:rsidR="00C64F91" w:rsidRPr="00220850" w:rsidRDefault="00650BB5" w:rsidP="00514685">
            <w:pPr>
              <w:autoSpaceDE w:val="0"/>
              <w:autoSpaceDN w:val="0"/>
              <w:adjustRightInd w:val="0"/>
              <w:jc w:val="center"/>
              <w:rPr>
                <w:sz w:val="22"/>
                <w:szCs w:val="22"/>
              </w:rPr>
            </w:pPr>
            <w:r w:rsidRPr="00220850">
              <w:rPr>
                <w:sz w:val="22"/>
                <w:szCs w:val="22"/>
              </w:rPr>
              <w:t>-1,4 (0,</w:t>
            </w:r>
            <w:r w:rsidR="00C64F91" w:rsidRPr="00220850">
              <w:rPr>
                <w:sz w:val="22"/>
                <w:szCs w:val="22"/>
              </w:rPr>
              <w:t>4)</w:t>
            </w:r>
          </w:p>
        </w:tc>
      </w:tr>
      <w:tr w:rsidR="00C64F91" w:rsidRPr="00220850" w14:paraId="0862B7F7" w14:textId="77777777" w:rsidTr="00514685">
        <w:tc>
          <w:tcPr>
            <w:tcW w:w="5000" w:type="pct"/>
            <w:gridSpan w:val="3"/>
          </w:tcPr>
          <w:p w14:paraId="7649CDA2" w14:textId="296041D8" w:rsidR="00C64F91" w:rsidRPr="00220850" w:rsidRDefault="00650BB5" w:rsidP="00514685">
            <w:pPr>
              <w:autoSpaceDE w:val="0"/>
              <w:autoSpaceDN w:val="0"/>
              <w:adjustRightInd w:val="0"/>
              <w:rPr>
                <w:sz w:val="22"/>
                <w:szCs w:val="22"/>
              </w:rPr>
            </w:pPr>
            <w:proofErr w:type="spellStart"/>
            <w:r w:rsidRPr="00220850">
              <w:rPr>
                <w:sz w:val="22"/>
                <w:szCs w:val="22"/>
              </w:rPr>
              <w:t>Palyginimas</w:t>
            </w:r>
            <w:proofErr w:type="spellEnd"/>
            <w:r w:rsidRPr="00220850">
              <w:rPr>
                <w:sz w:val="22"/>
                <w:szCs w:val="22"/>
              </w:rPr>
              <w:t xml:space="preserve"> su </w:t>
            </w:r>
            <w:proofErr w:type="spellStart"/>
            <w:r w:rsidRPr="00220850">
              <w:rPr>
                <w:sz w:val="22"/>
                <w:szCs w:val="22"/>
              </w:rPr>
              <w:t>placeb</w:t>
            </w:r>
            <w:r w:rsidR="000D6B80" w:rsidRPr="00220850">
              <w:rPr>
                <w:sz w:val="22"/>
                <w:szCs w:val="22"/>
              </w:rPr>
              <w:t>u</w:t>
            </w:r>
            <w:proofErr w:type="spellEnd"/>
          </w:p>
        </w:tc>
      </w:tr>
      <w:tr w:rsidR="00C64F91" w:rsidRPr="00220850" w14:paraId="446A307B" w14:textId="77777777" w:rsidTr="00650BB5">
        <w:tc>
          <w:tcPr>
            <w:tcW w:w="1666" w:type="pct"/>
          </w:tcPr>
          <w:p w14:paraId="4E3838CD" w14:textId="77777777" w:rsidR="00C64F91" w:rsidRPr="00220850" w:rsidRDefault="00650BB5" w:rsidP="00514685">
            <w:pPr>
              <w:autoSpaceDE w:val="0"/>
              <w:autoSpaceDN w:val="0"/>
              <w:adjustRightInd w:val="0"/>
              <w:rPr>
                <w:sz w:val="22"/>
                <w:szCs w:val="22"/>
              </w:rPr>
            </w:pPr>
            <w:r w:rsidRPr="00220850">
              <w:rPr>
                <w:sz w:val="22"/>
                <w:szCs w:val="22"/>
              </w:rPr>
              <w:t>Skirtumas</w:t>
            </w:r>
            <w:r w:rsidRPr="00220850">
              <w:rPr>
                <w:sz w:val="22"/>
                <w:szCs w:val="22"/>
                <w:vertAlign w:val="superscript"/>
              </w:rPr>
              <w:t>1</w:t>
            </w:r>
          </w:p>
        </w:tc>
        <w:tc>
          <w:tcPr>
            <w:tcW w:w="1666" w:type="pct"/>
            <w:vAlign w:val="center"/>
          </w:tcPr>
          <w:p w14:paraId="5DE7E18B" w14:textId="77777777" w:rsidR="00C64F91" w:rsidRPr="00220850" w:rsidRDefault="00C64F91" w:rsidP="00514685">
            <w:pPr>
              <w:autoSpaceDE w:val="0"/>
              <w:autoSpaceDN w:val="0"/>
              <w:adjustRightInd w:val="0"/>
              <w:jc w:val="center"/>
              <w:rPr>
                <w:sz w:val="22"/>
                <w:szCs w:val="22"/>
              </w:rPr>
            </w:pPr>
          </w:p>
        </w:tc>
        <w:tc>
          <w:tcPr>
            <w:tcW w:w="1668" w:type="pct"/>
            <w:vAlign w:val="center"/>
          </w:tcPr>
          <w:p w14:paraId="23C47FDE" w14:textId="77777777" w:rsidR="00C64F91" w:rsidRPr="00220850" w:rsidRDefault="00650BB5" w:rsidP="00514685">
            <w:pPr>
              <w:autoSpaceDE w:val="0"/>
              <w:autoSpaceDN w:val="0"/>
              <w:adjustRightInd w:val="0"/>
              <w:jc w:val="center"/>
              <w:rPr>
                <w:sz w:val="22"/>
                <w:szCs w:val="22"/>
              </w:rPr>
            </w:pPr>
            <w:r w:rsidRPr="00220850">
              <w:rPr>
                <w:sz w:val="22"/>
                <w:szCs w:val="22"/>
              </w:rPr>
              <w:t>1,</w:t>
            </w:r>
            <w:r w:rsidR="00C64F91" w:rsidRPr="00220850">
              <w:rPr>
                <w:sz w:val="22"/>
                <w:szCs w:val="22"/>
              </w:rPr>
              <w:t>15</w:t>
            </w:r>
          </w:p>
        </w:tc>
      </w:tr>
      <w:tr w:rsidR="00C64F91" w:rsidRPr="00220850" w14:paraId="00EE17FE" w14:textId="77777777" w:rsidTr="00650BB5">
        <w:tc>
          <w:tcPr>
            <w:tcW w:w="1666" w:type="pct"/>
          </w:tcPr>
          <w:p w14:paraId="38D2A771" w14:textId="77777777" w:rsidR="00C64F91" w:rsidRPr="00220850" w:rsidRDefault="00C64F91" w:rsidP="00650BB5">
            <w:pPr>
              <w:autoSpaceDE w:val="0"/>
              <w:autoSpaceDN w:val="0"/>
              <w:adjustRightInd w:val="0"/>
              <w:ind w:left="317"/>
              <w:rPr>
                <w:sz w:val="22"/>
                <w:szCs w:val="22"/>
              </w:rPr>
            </w:pPr>
            <w:r w:rsidRPr="00220850">
              <w:rPr>
                <w:sz w:val="22"/>
                <w:szCs w:val="22"/>
              </w:rPr>
              <w:t>95% </w:t>
            </w:r>
            <w:r w:rsidR="00650BB5" w:rsidRPr="00220850">
              <w:rPr>
                <w:sz w:val="22"/>
                <w:szCs w:val="22"/>
              </w:rPr>
              <w:t>P</w:t>
            </w:r>
            <w:r w:rsidRPr="00220850">
              <w:rPr>
                <w:sz w:val="22"/>
                <w:szCs w:val="22"/>
              </w:rPr>
              <w:t>I</w:t>
            </w:r>
          </w:p>
        </w:tc>
        <w:tc>
          <w:tcPr>
            <w:tcW w:w="1666" w:type="pct"/>
            <w:vAlign w:val="center"/>
          </w:tcPr>
          <w:p w14:paraId="046E5BD7" w14:textId="77777777" w:rsidR="00C64F91" w:rsidRPr="00220850" w:rsidRDefault="00C64F91" w:rsidP="00514685">
            <w:pPr>
              <w:autoSpaceDE w:val="0"/>
              <w:autoSpaceDN w:val="0"/>
              <w:adjustRightInd w:val="0"/>
              <w:jc w:val="center"/>
              <w:rPr>
                <w:sz w:val="22"/>
                <w:szCs w:val="22"/>
              </w:rPr>
            </w:pPr>
          </w:p>
        </w:tc>
        <w:tc>
          <w:tcPr>
            <w:tcW w:w="1668" w:type="pct"/>
            <w:vAlign w:val="center"/>
          </w:tcPr>
          <w:p w14:paraId="18C60D04" w14:textId="77777777" w:rsidR="00C64F91" w:rsidRPr="00220850" w:rsidRDefault="00650BB5" w:rsidP="00514685">
            <w:pPr>
              <w:autoSpaceDE w:val="0"/>
              <w:autoSpaceDN w:val="0"/>
              <w:adjustRightInd w:val="0"/>
              <w:jc w:val="center"/>
              <w:rPr>
                <w:sz w:val="22"/>
                <w:szCs w:val="22"/>
              </w:rPr>
            </w:pPr>
            <w:r w:rsidRPr="00220850">
              <w:rPr>
                <w:sz w:val="22"/>
                <w:szCs w:val="22"/>
              </w:rPr>
              <w:t>(0,09, 2,</w:t>
            </w:r>
            <w:r w:rsidR="00C64F91" w:rsidRPr="00220850">
              <w:rPr>
                <w:sz w:val="22"/>
                <w:szCs w:val="22"/>
              </w:rPr>
              <w:t>21)</w:t>
            </w:r>
          </w:p>
        </w:tc>
      </w:tr>
      <w:tr w:rsidR="00C64F91" w:rsidRPr="00220850" w14:paraId="6AEC7424" w14:textId="77777777" w:rsidTr="00650BB5">
        <w:tc>
          <w:tcPr>
            <w:tcW w:w="1666" w:type="pct"/>
          </w:tcPr>
          <w:p w14:paraId="491B0DF7" w14:textId="77777777" w:rsidR="00C64F91" w:rsidRPr="00220850" w:rsidRDefault="00650BB5" w:rsidP="00650BB5">
            <w:pPr>
              <w:autoSpaceDE w:val="0"/>
              <w:autoSpaceDN w:val="0"/>
              <w:adjustRightInd w:val="0"/>
              <w:ind w:left="317"/>
              <w:rPr>
                <w:szCs w:val="22"/>
              </w:rPr>
            </w:pPr>
            <w:r w:rsidRPr="00220850">
              <w:rPr>
                <w:szCs w:val="22"/>
              </w:rPr>
              <w:t xml:space="preserve">p </w:t>
            </w:r>
            <w:proofErr w:type="spellStart"/>
            <w:r w:rsidRPr="00220850">
              <w:rPr>
                <w:szCs w:val="22"/>
              </w:rPr>
              <w:t>reikšmė</w:t>
            </w:r>
            <w:proofErr w:type="spellEnd"/>
          </w:p>
        </w:tc>
        <w:tc>
          <w:tcPr>
            <w:tcW w:w="1666" w:type="pct"/>
            <w:vAlign w:val="center"/>
          </w:tcPr>
          <w:p w14:paraId="2DF39A65" w14:textId="77777777" w:rsidR="00C64F91" w:rsidRPr="00220850" w:rsidRDefault="00C64F91" w:rsidP="00514685">
            <w:pPr>
              <w:autoSpaceDE w:val="0"/>
              <w:autoSpaceDN w:val="0"/>
              <w:adjustRightInd w:val="0"/>
              <w:jc w:val="center"/>
              <w:rPr>
                <w:szCs w:val="22"/>
              </w:rPr>
            </w:pPr>
          </w:p>
        </w:tc>
        <w:tc>
          <w:tcPr>
            <w:tcW w:w="1668" w:type="pct"/>
            <w:vAlign w:val="center"/>
          </w:tcPr>
          <w:p w14:paraId="7576D594" w14:textId="77777777" w:rsidR="00C64F91" w:rsidRPr="00220850" w:rsidRDefault="00650BB5" w:rsidP="00514685">
            <w:pPr>
              <w:autoSpaceDE w:val="0"/>
              <w:autoSpaceDN w:val="0"/>
              <w:adjustRightInd w:val="0"/>
              <w:jc w:val="center"/>
              <w:rPr>
                <w:szCs w:val="22"/>
              </w:rPr>
            </w:pPr>
            <w:r w:rsidRPr="00220850">
              <w:rPr>
                <w:szCs w:val="22"/>
              </w:rPr>
              <w:t>&lt;0,</w:t>
            </w:r>
            <w:r w:rsidR="00C64F91" w:rsidRPr="00220850">
              <w:rPr>
                <w:szCs w:val="22"/>
              </w:rPr>
              <w:t>05</w:t>
            </w:r>
          </w:p>
        </w:tc>
      </w:tr>
    </w:tbl>
    <w:p w14:paraId="0C308025" w14:textId="69B89FD4" w:rsidR="00650BB5" w:rsidRPr="00220850" w:rsidRDefault="00650BB5" w:rsidP="00650BB5">
      <w:pPr>
        <w:autoSpaceDE w:val="0"/>
        <w:autoSpaceDN w:val="0"/>
        <w:adjustRightInd w:val="0"/>
        <w:rPr>
          <w:rFonts w:eastAsia="TimesNewRoman"/>
          <w:sz w:val="20"/>
        </w:rPr>
      </w:pPr>
      <w:r w:rsidRPr="00220850">
        <w:rPr>
          <w:rFonts w:eastAsia="TimesNewRoman"/>
          <w:sz w:val="22"/>
          <w:szCs w:val="22"/>
          <w:vertAlign w:val="superscript"/>
        </w:rPr>
        <w:t>1</w:t>
      </w:r>
      <w:r w:rsidR="00A2345E" w:rsidRPr="00220850">
        <w:rPr>
          <w:rFonts w:eastAsia="TimesNewRoman"/>
          <w:sz w:val="22"/>
          <w:szCs w:val="22"/>
          <w:vertAlign w:val="superscript"/>
        </w:rPr>
        <w:t xml:space="preserve"> </w:t>
      </w:r>
      <w:r w:rsidRPr="00220850">
        <w:rPr>
          <w:rFonts w:eastAsia="TimesNewRoman"/>
          <w:sz w:val="20"/>
        </w:rPr>
        <w:t>Remiantis atsitiktinio koeficiento regresija, į analizę įtraukus fiksuotų kategorinių gydymo ir ATA buvimo veiksnių poveikį, fiksuotų tolydžiųjų laiko ir pradinės FGPT [% nuo numatomo] veiksnių poveikį, įskaitant gydymo laiko atžvilgiu bei pradinio vertinimo laiko atžvilgiu tarpusavio sąveiką. Įvertintas atsitiktinis poveikis atsižvelgiant į pacientui specifinius konstantos ir laiko duomenis. Paklaidos pacientų imtyje modeliuotos taikant nestruktūrinę dispersijų-</w:t>
      </w:r>
      <w:proofErr w:type="spellStart"/>
      <w:r w:rsidRPr="00220850">
        <w:rPr>
          <w:rFonts w:eastAsia="TimesNewRoman"/>
          <w:sz w:val="20"/>
        </w:rPr>
        <w:t>kovariacijų</w:t>
      </w:r>
      <w:proofErr w:type="spellEnd"/>
      <w:r w:rsidRPr="00220850">
        <w:rPr>
          <w:rFonts w:eastAsia="TimesNewRoman"/>
          <w:sz w:val="20"/>
        </w:rPr>
        <w:t xml:space="preserve"> matricą. Kintamumas tarp individų modeliuotas taikant dispersinių komponenčių dispersijų-</w:t>
      </w:r>
      <w:proofErr w:type="spellStart"/>
      <w:r w:rsidRPr="00220850">
        <w:rPr>
          <w:rFonts w:eastAsia="TimesNewRoman"/>
          <w:sz w:val="20"/>
        </w:rPr>
        <w:t>kovariacijų</w:t>
      </w:r>
      <w:proofErr w:type="spellEnd"/>
      <w:r w:rsidRPr="00220850">
        <w:rPr>
          <w:rFonts w:eastAsia="TimesNewRoman"/>
          <w:sz w:val="20"/>
        </w:rPr>
        <w:t xml:space="preserve"> matricą.</w:t>
      </w:r>
    </w:p>
    <w:p w14:paraId="3BB0B0AE" w14:textId="77777777" w:rsidR="002A6C0D" w:rsidRPr="00220850" w:rsidRDefault="002A6C0D" w:rsidP="00650BB5">
      <w:pPr>
        <w:autoSpaceDE w:val="0"/>
        <w:autoSpaceDN w:val="0"/>
        <w:adjustRightInd w:val="0"/>
        <w:rPr>
          <w:rFonts w:eastAsia="TimesNewRoman"/>
          <w:sz w:val="20"/>
        </w:rPr>
      </w:pPr>
    </w:p>
    <w:p w14:paraId="0476E79E" w14:textId="77777777" w:rsidR="00650BB5" w:rsidRPr="00220850" w:rsidRDefault="00650BB5" w:rsidP="00650BB5">
      <w:pPr>
        <w:autoSpaceDE w:val="0"/>
        <w:autoSpaceDN w:val="0"/>
        <w:adjustRightInd w:val="0"/>
        <w:rPr>
          <w:rFonts w:eastAsia="TimesNewRoman,Italic"/>
          <w:i/>
          <w:iCs/>
          <w:sz w:val="22"/>
          <w:szCs w:val="22"/>
          <w:u w:val="single"/>
        </w:rPr>
      </w:pPr>
      <w:r w:rsidRPr="00220850">
        <w:rPr>
          <w:rFonts w:eastAsia="TimesNewRoman,Italic"/>
          <w:i/>
          <w:iCs/>
          <w:sz w:val="22"/>
          <w:szCs w:val="22"/>
          <w:u w:val="single"/>
        </w:rPr>
        <w:t xml:space="preserve">Modifikuotos </w:t>
      </w:r>
      <w:proofErr w:type="spellStart"/>
      <w:r w:rsidRPr="00220850">
        <w:rPr>
          <w:rFonts w:eastAsia="TimesNewRoman,Italic"/>
          <w:i/>
          <w:iCs/>
          <w:sz w:val="22"/>
          <w:szCs w:val="22"/>
          <w:u w:val="single"/>
        </w:rPr>
        <w:t>Rodnano</w:t>
      </w:r>
      <w:proofErr w:type="spellEnd"/>
      <w:r w:rsidRPr="00220850">
        <w:rPr>
          <w:rFonts w:eastAsia="TimesNewRoman,Italic"/>
          <w:i/>
          <w:iCs/>
          <w:sz w:val="22"/>
          <w:szCs w:val="22"/>
          <w:u w:val="single"/>
        </w:rPr>
        <w:t xml:space="preserve"> odos pažeidimo skalės (</w:t>
      </w:r>
      <w:proofErr w:type="spellStart"/>
      <w:r w:rsidRPr="00220850">
        <w:rPr>
          <w:rFonts w:eastAsia="TimesNewRoman,Italic"/>
          <w:i/>
          <w:iCs/>
          <w:sz w:val="22"/>
          <w:szCs w:val="22"/>
          <w:u w:val="single"/>
        </w:rPr>
        <w:t>mRSS</w:t>
      </w:r>
      <w:proofErr w:type="spellEnd"/>
      <w:r w:rsidRPr="00220850">
        <w:rPr>
          <w:rFonts w:eastAsia="TimesNewRoman,Italic"/>
          <w:i/>
          <w:iCs/>
          <w:sz w:val="22"/>
          <w:szCs w:val="22"/>
          <w:u w:val="single"/>
        </w:rPr>
        <w:t>) balo pokytis nuo pradinio lygmens 52 savaitę</w:t>
      </w:r>
    </w:p>
    <w:p w14:paraId="60A05B28" w14:textId="77777777" w:rsidR="00650BB5" w:rsidRPr="00220850" w:rsidRDefault="00650BB5" w:rsidP="00650BB5">
      <w:pPr>
        <w:autoSpaceDE w:val="0"/>
        <w:autoSpaceDN w:val="0"/>
        <w:adjustRightInd w:val="0"/>
        <w:rPr>
          <w:rFonts w:eastAsia="TimesNewRoman"/>
          <w:sz w:val="22"/>
          <w:szCs w:val="22"/>
        </w:rPr>
      </w:pPr>
      <w:r w:rsidRPr="00220850">
        <w:rPr>
          <w:rFonts w:eastAsia="TimesNewRoman"/>
          <w:sz w:val="22"/>
          <w:szCs w:val="22"/>
        </w:rPr>
        <w:t xml:space="preserve">Koreguotasis vidutinis absoliutus </w:t>
      </w:r>
      <w:proofErr w:type="spellStart"/>
      <w:r w:rsidRPr="00220850">
        <w:rPr>
          <w:rFonts w:eastAsia="TimesNewRoman"/>
          <w:sz w:val="22"/>
          <w:szCs w:val="22"/>
        </w:rPr>
        <w:t>mRSS</w:t>
      </w:r>
      <w:proofErr w:type="spellEnd"/>
      <w:r w:rsidRPr="00220850">
        <w:rPr>
          <w:rFonts w:eastAsia="TimesNewRoman"/>
          <w:sz w:val="22"/>
          <w:szCs w:val="22"/>
        </w:rPr>
        <w:t xml:space="preserve"> balo pokytis nuo pradinio 52 savaitę </w:t>
      </w:r>
      <w:proofErr w:type="spellStart"/>
      <w:r w:rsidR="002A6C0D" w:rsidRPr="00220850">
        <w:rPr>
          <w:rFonts w:eastAsia="TimesNewRoman"/>
          <w:sz w:val="22"/>
          <w:szCs w:val="22"/>
        </w:rPr>
        <w:t>nintedanibo</w:t>
      </w:r>
      <w:proofErr w:type="spellEnd"/>
      <w:r w:rsidR="002A6C0D" w:rsidRPr="00220850">
        <w:rPr>
          <w:rFonts w:eastAsia="TimesNewRoman"/>
          <w:sz w:val="22"/>
          <w:szCs w:val="22"/>
        </w:rPr>
        <w:t xml:space="preserve"> </w:t>
      </w:r>
      <w:r w:rsidRPr="00220850">
        <w:rPr>
          <w:rFonts w:eastAsia="TimesNewRoman"/>
          <w:sz w:val="22"/>
          <w:szCs w:val="22"/>
        </w:rPr>
        <w:t>grupėje (-</w:t>
      </w:r>
      <w:r w:rsidR="002A6C0D" w:rsidRPr="00220850">
        <w:rPr>
          <w:rFonts w:eastAsia="TimesNewRoman"/>
          <w:sz w:val="22"/>
          <w:szCs w:val="22"/>
        </w:rPr>
        <w:t> </w:t>
      </w:r>
      <w:r w:rsidRPr="00220850">
        <w:rPr>
          <w:rFonts w:eastAsia="TimesNewRoman"/>
          <w:sz w:val="22"/>
          <w:szCs w:val="22"/>
        </w:rPr>
        <w:t>2,17</w:t>
      </w:r>
      <w:r w:rsidR="002A6C0D" w:rsidRPr="00220850">
        <w:rPr>
          <w:rFonts w:eastAsia="TimesNewRoman"/>
          <w:sz w:val="22"/>
          <w:szCs w:val="22"/>
        </w:rPr>
        <w:t> [(95 % PI -2,69, -1,65]</w:t>
      </w:r>
      <w:r w:rsidRPr="00220850">
        <w:rPr>
          <w:rFonts w:eastAsia="TimesNewRoman"/>
          <w:sz w:val="22"/>
          <w:szCs w:val="22"/>
        </w:rPr>
        <w:t>) ir placebo grupė</w:t>
      </w:r>
      <w:r w:rsidR="002A6C0D" w:rsidRPr="00220850">
        <w:rPr>
          <w:rFonts w:eastAsia="TimesNewRoman"/>
          <w:sz w:val="22"/>
          <w:szCs w:val="22"/>
        </w:rPr>
        <w:t>je -1,96 [95 % PI -2,48, -1,45]</w:t>
      </w:r>
      <w:r w:rsidRPr="00220850">
        <w:rPr>
          <w:rFonts w:eastAsia="TimesNewRoman"/>
          <w:sz w:val="22"/>
          <w:szCs w:val="22"/>
        </w:rPr>
        <w:t>) buvo panašus. Koreguotasis</w:t>
      </w:r>
      <w:r w:rsidR="002A6C0D" w:rsidRPr="00220850">
        <w:rPr>
          <w:rFonts w:eastAsia="TimesNewRoman"/>
          <w:sz w:val="22"/>
          <w:szCs w:val="22"/>
        </w:rPr>
        <w:t xml:space="preserve"> </w:t>
      </w:r>
      <w:r w:rsidRPr="00220850">
        <w:rPr>
          <w:rFonts w:eastAsia="TimesNewRoman"/>
          <w:sz w:val="22"/>
          <w:szCs w:val="22"/>
        </w:rPr>
        <w:t>vidurkių skirtumas tarp gydymo grupių</w:t>
      </w:r>
      <w:r w:rsidR="002A6C0D" w:rsidRPr="00220850">
        <w:rPr>
          <w:rFonts w:eastAsia="TimesNewRoman"/>
          <w:sz w:val="22"/>
          <w:szCs w:val="22"/>
        </w:rPr>
        <w:t xml:space="preserve"> buvo -0,21 (95 % PI -0,94, 0,53; p = </w:t>
      </w:r>
      <w:r w:rsidRPr="00220850">
        <w:rPr>
          <w:rFonts w:eastAsia="TimesNewRoman"/>
          <w:sz w:val="22"/>
          <w:szCs w:val="22"/>
        </w:rPr>
        <w:t>0,5785).</w:t>
      </w:r>
    </w:p>
    <w:p w14:paraId="02D607AB" w14:textId="77777777" w:rsidR="002A6C0D" w:rsidRPr="00220850" w:rsidRDefault="002A6C0D" w:rsidP="00650BB5">
      <w:pPr>
        <w:autoSpaceDE w:val="0"/>
        <w:autoSpaceDN w:val="0"/>
        <w:adjustRightInd w:val="0"/>
        <w:rPr>
          <w:rFonts w:eastAsia="TimesNewRoman,Italic"/>
          <w:i/>
          <w:iCs/>
          <w:sz w:val="22"/>
          <w:szCs w:val="22"/>
        </w:rPr>
      </w:pPr>
    </w:p>
    <w:p w14:paraId="67F0E171" w14:textId="77777777" w:rsidR="000040AC" w:rsidRPr="00220850" w:rsidRDefault="00650BB5" w:rsidP="00650BB5">
      <w:pPr>
        <w:autoSpaceDE w:val="0"/>
        <w:autoSpaceDN w:val="0"/>
        <w:adjustRightInd w:val="0"/>
        <w:rPr>
          <w:rFonts w:eastAsia="TimesNewRoman,Bold"/>
          <w:b/>
          <w:bCs/>
          <w:sz w:val="22"/>
          <w:szCs w:val="22"/>
          <w:u w:val="single"/>
        </w:rPr>
      </w:pPr>
      <w:r w:rsidRPr="00220850">
        <w:rPr>
          <w:rFonts w:eastAsia="TimesNewRoman,Italic"/>
          <w:i/>
          <w:iCs/>
          <w:sz w:val="22"/>
          <w:szCs w:val="22"/>
          <w:u w:val="single"/>
        </w:rPr>
        <w:t>St. George kvėpavimo klausimyno (SGRQ) bendro balo pokytis nuo pradinio lygmens 52</w:t>
      </w:r>
      <w:r w:rsidR="00FD1AC2" w:rsidRPr="00220850">
        <w:rPr>
          <w:rFonts w:eastAsia="TimesNewRoman,Italic"/>
          <w:i/>
          <w:iCs/>
          <w:sz w:val="22"/>
          <w:szCs w:val="22"/>
          <w:u w:val="single"/>
        </w:rPr>
        <w:t>-ą savaitę</w:t>
      </w:r>
    </w:p>
    <w:p w14:paraId="1F05A058" w14:textId="77777777" w:rsidR="003555DC" w:rsidRPr="00220850" w:rsidRDefault="003555DC" w:rsidP="003555DC">
      <w:pPr>
        <w:autoSpaceDE w:val="0"/>
        <w:autoSpaceDN w:val="0"/>
        <w:adjustRightInd w:val="0"/>
        <w:rPr>
          <w:rFonts w:eastAsia="TimesNewRoman,Bold"/>
          <w:bCs/>
          <w:sz w:val="22"/>
          <w:szCs w:val="22"/>
        </w:rPr>
      </w:pPr>
      <w:r w:rsidRPr="00220850">
        <w:rPr>
          <w:rFonts w:eastAsia="TimesNewRoman,Bold"/>
          <w:bCs/>
          <w:sz w:val="22"/>
          <w:szCs w:val="22"/>
        </w:rPr>
        <w:t>Koreguotasis vidutinis absoliutus SGRQ bendro balo pokytis nuo pradinio 52</w:t>
      </w:r>
      <w:r w:rsidR="00FD1AC2" w:rsidRPr="00220850">
        <w:rPr>
          <w:rFonts w:eastAsia="TimesNewRoman,Bold"/>
          <w:bCs/>
          <w:sz w:val="22"/>
          <w:szCs w:val="22"/>
        </w:rPr>
        <w:t>-ą</w:t>
      </w:r>
      <w:r w:rsidRPr="00220850">
        <w:rPr>
          <w:rFonts w:eastAsia="TimesNewRoman,Bold"/>
          <w:bCs/>
          <w:sz w:val="22"/>
          <w:szCs w:val="22"/>
        </w:rPr>
        <w:t xml:space="preserve"> savaitę </w:t>
      </w:r>
      <w:proofErr w:type="spellStart"/>
      <w:r w:rsidRPr="00220850">
        <w:rPr>
          <w:rFonts w:eastAsia="TimesNewRoman,Bold"/>
          <w:bCs/>
          <w:sz w:val="22"/>
          <w:szCs w:val="22"/>
        </w:rPr>
        <w:t>nintedanibo</w:t>
      </w:r>
      <w:proofErr w:type="spellEnd"/>
      <w:r w:rsidRPr="00220850">
        <w:rPr>
          <w:rFonts w:eastAsia="TimesNewRoman,Bold"/>
          <w:bCs/>
          <w:sz w:val="22"/>
          <w:szCs w:val="22"/>
        </w:rPr>
        <w:t xml:space="preserve"> grupėje (0,81 [95 % PI -0,92, 2,55]) ir placebo grupėje ( -0,88 [95 % PI -2,58, 0,82]) buvo panašus. Koreguotasis vidurkių skirtumas tarp gydymo grupių buvo 1,69 (95 % PI -0,73, 4,12; p = 0,1711).</w:t>
      </w:r>
    </w:p>
    <w:p w14:paraId="35E516DA" w14:textId="77777777" w:rsidR="003555DC" w:rsidRPr="00220850" w:rsidRDefault="003555DC" w:rsidP="003555DC">
      <w:pPr>
        <w:autoSpaceDE w:val="0"/>
        <w:autoSpaceDN w:val="0"/>
        <w:adjustRightInd w:val="0"/>
        <w:rPr>
          <w:rFonts w:eastAsia="TimesNewRoman,Bold"/>
          <w:bCs/>
          <w:sz w:val="22"/>
          <w:szCs w:val="22"/>
        </w:rPr>
      </w:pPr>
    </w:p>
    <w:p w14:paraId="30AA7C97" w14:textId="77777777" w:rsidR="003555DC" w:rsidRPr="00220850" w:rsidRDefault="003555DC" w:rsidP="003555DC">
      <w:pPr>
        <w:autoSpaceDE w:val="0"/>
        <w:autoSpaceDN w:val="0"/>
        <w:adjustRightInd w:val="0"/>
        <w:rPr>
          <w:rFonts w:eastAsia="TimesNewRoman,Bold"/>
          <w:bCs/>
          <w:i/>
          <w:sz w:val="22"/>
          <w:szCs w:val="22"/>
          <w:u w:val="single"/>
        </w:rPr>
      </w:pPr>
      <w:r w:rsidRPr="00220850">
        <w:rPr>
          <w:rFonts w:eastAsia="TimesNewRoman,Bold"/>
          <w:bCs/>
          <w:i/>
          <w:sz w:val="22"/>
          <w:szCs w:val="22"/>
          <w:u w:val="single"/>
        </w:rPr>
        <w:t>Išgyvenamumo analizė</w:t>
      </w:r>
    </w:p>
    <w:p w14:paraId="177A8D11" w14:textId="77777777" w:rsidR="003555DC" w:rsidRPr="00220850" w:rsidRDefault="003555DC" w:rsidP="003555DC">
      <w:pPr>
        <w:autoSpaceDE w:val="0"/>
        <w:autoSpaceDN w:val="0"/>
        <w:adjustRightInd w:val="0"/>
        <w:rPr>
          <w:rFonts w:eastAsia="TimesNewRoman,Bold"/>
          <w:bCs/>
          <w:sz w:val="22"/>
          <w:szCs w:val="22"/>
        </w:rPr>
      </w:pPr>
      <w:r w:rsidRPr="00220850">
        <w:rPr>
          <w:rFonts w:eastAsia="TimesNewRoman,Bold"/>
          <w:bCs/>
          <w:sz w:val="22"/>
          <w:szCs w:val="22"/>
        </w:rPr>
        <w:t xml:space="preserve">Mirštamumas per visą tyrimą </w:t>
      </w:r>
      <w:proofErr w:type="spellStart"/>
      <w:r w:rsidR="00676D2D" w:rsidRPr="00220850">
        <w:rPr>
          <w:rFonts w:eastAsia="TimesNewRoman,Bold"/>
          <w:bCs/>
          <w:sz w:val="22"/>
          <w:szCs w:val="22"/>
        </w:rPr>
        <w:t>ninentanibo</w:t>
      </w:r>
      <w:proofErr w:type="spellEnd"/>
      <w:r w:rsidR="00676D2D" w:rsidRPr="00220850">
        <w:rPr>
          <w:rFonts w:eastAsia="TimesNewRoman,Bold"/>
          <w:bCs/>
          <w:sz w:val="22"/>
          <w:szCs w:val="22"/>
        </w:rPr>
        <w:t xml:space="preserve"> grupėje (N = 10; 3,5 </w:t>
      </w:r>
      <w:r w:rsidRPr="00220850">
        <w:rPr>
          <w:rFonts w:eastAsia="TimesNewRoman,Bold"/>
          <w:bCs/>
          <w:sz w:val="22"/>
          <w:szCs w:val="22"/>
        </w:rPr>
        <w:t>%)</w:t>
      </w:r>
      <w:r w:rsidR="00676D2D" w:rsidRPr="00220850">
        <w:rPr>
          <w:rFonts w:eastAsia="TimesNewRoman,Bold"/>
          <w:bCs/>
          <w:sz w:val="22"/>
          <w:szCs w:val="22"/>
        </w:rPr>
        <w:t xml:space="preserve"> ir placebo grupėje (N = 9; 3,1 </w:t>
      </w:r>
      <w:r w:rsidRPr="00220850">
        <w:rPr>
          <w:rFonts w:eastAsia="TimesNewRoman,Bold"/>
          <w:bCs/>
          <w:sz w:val="22"/>
          <w:szCs w:val="22"/>
        </w:rPr>
        <w:t>%) buvo</w:t>
      </w:r>
      <w:r w:rsidR="00676D2D" w:rsidRPr="00220850">
        <w:rPr>
          <w:rFonts w:eastAsia="TimesNewRoman,Bold"/>
          <w:bCs/>
          <w:sz w:val="22"/>
          <w:szCs w:val="22"/>
        </w:rPr>
        <w:t xml:space="preserve"> </w:t>
      </w:r>
      <w:r w:rsidRPr="00220850">
        <w:rPr>
          <w:rFonts w:eastAsia="TimesNewRoman,Bold"/>
          <w:bCs/>
          <w:sz w:val="22"/>
          <w:szCs w:val="22"/>
        </w:rPr>
        <w:t>panašus. Laikotarpio iki mirties per visą tyrimą anal</w:t>
      </w:r>
      <w:r w:rsidR="00676D2D" w:rsidRPr="00220850">
        <w:rPr>
          <w:rFonts w:eastAsia="TimesNewRoman,Bold"/>
          <w:bCs/>
          <w:sz w:val="22"/>
          <w:szCs w:val="22"/>
        </w:rPr>
        <w:t>ize nustatytas RS buvo 1,16</w:t>
      </w:r>
      <w:r w:rsidR="00D917AC" w:rsidRPr="00220850">
        <w:rPr>
          <w:rFonts w:eastAsia="TimesNewRoman,Bold"/>
          <w:bCs/>
          <w:sz w:val="22"/>
          <w:szCs w:val="22"/>
        </w:rPr>
        <w:t> </w:t>
      </w:r>
      <w:r w:rsidR="00676D2D" w:rsidRPr="00220850">
        <w:rPr>
          <w:rFonts w:eastAsia="TimesNewRoman,Bold"/>
          <w:bCs/>
          <w:sz w:val="22"/>
          <w:szCs w:val="22"/>
        </w:rPr>
        <w:t>(95 % PI 0,47, </w:t>
      </w:r>
      <w:r w:rsidRPr="00220850">
        <w:rPr>
          <w:rFonts w:eastAsia="TimesNewRoman,Bold"/>
          <w:bCs/>
          <w:sz w:val="22"/>
          <w:szCs w:val="22"/>
        </w:rPr>
        <w:t>2,84;</w:t>
      </w:r>
      <w:r w:rsidR="00676D2D" w:rsidRPr="00220850">
        <w:rPr>
          <w:rFonts w:eastAsia="TimesNewRoman,Bold"/>
          <w:bCs/>
          <w:sz w:val="22"/>
          <w:szCs w:val="22"/>
        </w:rPr>
        <w:t> p = </w:t>
      </w:r>
      <w:r w:rsidRPr="00220850">
        <w:rPr>
          <w:rFonts w:eastAsia="TimesNewRoman,Bold"/>
          <w:bCs/>
          <w:sz w:val="22"/>
          <w:szCs w:val="22"/>
        </w:rPr>
        <w:t>0,7535).</w:t>
      </w:r>
    </w:p>
    <w:p w14:paraId="53828158" w14:textId="77777777" w:rsidR="00676D2D" w:rsidRPr="00220850" w:rsidRDefault="00676D2D" w:rsidP="003555DC">
      <w:pPr>
        <w:autoSpaceDE w:val="0"/>
        <w:autoSpaceDN w:val="0"/>
        <w:adjustRightInd w:val="0"/>
        <w:rPr>
          <w:rFonts w:eastAsia="TimesNewRoman,Bold"/>
          <w:bCs/>
          <w:sz w:val="22"/>
          <w:szCs w:val="22"/>
        </w:rPr>
      </w:pPr>
    </w:p>
    <w:p w14:paraId="50A8E156" w14:textId="77777777" w:rsidR="003555DC" w:rsidRPr="00220850" w:rsidRDefault="003555DC" w:rsidP="003555DC">
      <w:pPr>
        <w:autoSpaceDE w:val="0"/>
        <w:autoSpaceDN w:val="0"/>
        <w:adjustRightInd w:val="0"/>
        <w:rPr>
          <w:rFonts w:eastAsia="TimesNewRoman,Bold"/>
          <w:bCs/>
          <w:sz w:val="22"/>
          <w:szCs w:val="22"/>
          <w:u w:val="single"/>
        </w:rPr>
      </w:pPr>
      <w:r w:rsidRPr="00220850">
        <w:rPr>
          <w:rFonts w:eastAsia="TimesNewRoman,Bold"/>
          <w:bCs/>
          <w:sz w:val="22"/>
          <w:szCs w:val="22"/>
          <w:u w:val="single"/>
        </w:rPr>
        <w:t>QT intervalas</w:t>
      </w:r>
    </w:p>
    <w:p w14:paraId="79D98E4F" w14:textId="77777777" w:rsidR="003555DC" w:rsidRPr="00220850" w:rsidRDefault="003555DC" w:rsidP="003555DC">
      <w:pPr>
        <w:autoSpaceDE w:val="0"/>
        <w:autoSpaceDN w:val="0"/>
        <w:adjustRightInd w:val="0"/>
        <w:rPr>
          <w:rFonts w:eastAsia="TimesNewRoman,Bold"/>
          <w:bCs/>
          <w:sz w:val="22"/>
          <w:szCs w:val="22"/>
        </w:rPr>
      </w:pPr>
      <w:r w:rsidRPr="00220850">
        <w:rPr>
          <w:rFonts w:eastAsia="TimesNewRoman,Bold"/>
          <w:bCs/>
          <w:sz w:val="22"/>
          <w:szCs w:val="22"/>
        </w:rPr>
        <w:t>Tyrime, kuriame dalyvavo inkstų ląstelių vėžiu sergantys pacientai, buvo atlikti QT/</w:t>
      </w:r>
      <w:proofErr w:type="spellStart"/>
      <w:r w:rsidRPr="00220850">
        <w:rPr>
          <w:rFonts w:eastAsia="TimesNewRoman,Bold"/>
          <w:bCs/>
          <w:sz w:val="22"/>
          <w:szCs w:val="22"/>
        </w:rPr>
        <w:t>QTc</w:t>
      </w:r>
      <w:proofErr w:type="spellEnd"/>
      <w:r w:rsidRPr="00220850">
        <w:rPr>
          <w:rFonts w:eastAsia="TimesNewRoman,Bold"/>
          <w:bCs/>
          <w:sz w:val="22"/>
          <w:szCs w:val="22"/>
        </w:rPr>
        <w:t xml:space="preserve"> matavimai,</w:t>
      </w:r>
      <w:r w:rsidR="00676D2D" w:rsidRPr="00220850">
        <w:rPr>
          <w:rFonts w:eastAsia="TimesNewRoman,Bold"/>
          <w:bCs/>
          <w:sz w:val="22"/>
          <w:szCs w:val="22"/>
        </w:rPr>
        <w:t xml:space="preserve"> </w:t>
      </w:r>
      <w:r w:rsidRPr="00220850">
        <w:rPr>
          <w:rFonts w:eastAsia="TimesNewRoman,Bold"/>
          <w:bCs/>
          <w:sz w:val="22"/>
          <w:szCs w:val="22"/>
        </w:rPr>
        <w:t>kurie parodė, kad vien</w:t>
      </w:r>
      <w:r w:rsidR="00676D2D" w:rsidRPr="00220850">
        <w:rPr>
          <w:rFonts w:eastAsia="TimesNewRoman,Bold"/>
          <w:bCs/>
          <w:sz w:val="22"/>
          <w:szCs w:val="22"/>
        </w:rPr>
        <w:t>kartinė per burną pavartota 200 </w:t>
      </w:r>
      <w:r w:rsidRPr="00220850">
        <w:rPr>
          <w:rFonts w:eastAsia="TimesNewRoman,Bold"/>
          <w:bCs/>
          <w:sz w:val="22"/>
          <w:szCs w:val="22"/>
        </w:rPr>
        <w:t xml:space="preserve">mg </w:t>
      </w:r>
      <w:proofErr w:type="spellStart"/>
      <w:r w:rsidRPr="00220850">
        <w:rPr>
          <w:rFonts w:eastAsia="TimesNewRoman,Bold"/>
          <w:bCs/>
          <w:sz w:val="22"/>
          <w:szCs w:val="22"/>
        </w:rPr>
        <w:t>nintedanibo</w:t>
      </w:r>
      <w:proofErr w:type="spellEnd"/>
      <w:r w:rsidRPr="00220850">
        <w:rPr>
          <w:rFonts w:eastAsia="TimesNewRoman,Bold"/>
          <w:bCs/>
          <w:sz w:val="22"/>
          <w:szCs w:val="22"/>
        </w:rPr>
        <w:t xml:space="preserve"> dozė ir 15 parų 2 kartus per parą</w:t>
      </w:r>
      <w:r w:rsidR="00676D2D" w:rsidRPr="00220850">
        <w:rPr>
          <w:rFonts w:eastAsia="TimesNewRoman,Bold"/>
          <w:bCs/>
          <w:sz w:val="22"/>
          <w:szCs w:val="22"/>
        </w:rPr>
        <w:t xml:space="preserve"> </w:t>
      </w:r>
      <w:r w:rsidRPr="00220850">
        <w:rPr>
          <w:rFonts w:eastAsia="TimesNewRoman,Bold"/>
          <w:bCs/>
          <w:sz w:val="22"/>
          <w:szCs w:val="22"/>
        </w:rPr>
        <w:t>per bu</w:t>
      </w:r>
      <w:r w:rsidR="00676D2D" w:rsidRPr="00220850">
        <w:rPr>
          <w:rFonts w:eastAsia="TimesNewRoman,Bold"/>
          <w:bCs/>
          <w:sz w:val="22"/>
          <w:szCs w:val="22"/>
        </w:rPr>
        <w:t>rną vartojamos daugkartinės 200 </w:t>
      </w:r>
      <w:r w:rsidRPr="00220850">
        <w:rPr>
          <w:rFonts w:eastAsia="TimesNewRoman,Bold"/>
          <w:bCs/>
          <w:sz w:val="22"/>
          <w:szCs w:val="22"/>
        </w:rPr>
        <w:t xml:space="preserve">mg </w:t>
      </w:r>
      <w:proofErr w:type="spellStart"/>
      <w:r w:rsidRPr="00220850">
        <w:rPr>
          <w:rFonts w:eastAsia="TimesNewRoman,Bold"/>
          <w:bCs/>
          <w:sz w:val="22"/>
          <w:szCs w:val="22"/>
        </w:rPr>
        <w:t>nintedanibo</w:t>
      </w:r>
      <w:proofErr w:type="spellEnd"/>
      <w:r w:rsidRPr="00220850">
        <w:rPr>
          <w:rFonts w:eastAsia="TimesNewRoman,Bold"/>
          <w:bCs/>
          <w:sz w:val="22"/>
          <w:szCs w:val="22"/>
        </w:rPr>
        <w:t xml:space="preserve"> dozės </w:t>
      </w:r>
      <w:proofErr w:type="spellStart"/>
      <w:r w:rsidRPr="00220850">
        <w:rPr>
          <w:rFonts w:eastAsia="TimesNewRoman,Bold"/>
          <w:bCs/>
          <w:sz w:val="22"/>
          <w:szCs w:val="22"/>
        </w:rPr>
        <w:t>QTcF</w:t>
      </w:r>
      <w:proofErr w:type="spellEnd"/>
      <w:r w:rsidRPr="00220850">
        <w:rPr>
          <w:rFonts w:eastAsia="TimesNewRoman,Bold"/>
          <w:bCs/>
          <w:sz w:val="22"/>
          <w:szCs w:val="22"/>
        </w:rPr>
        <w:t xml:space="preserve"> intervalo nepailgino.</w:t>
      </w:r>
    </w:p>
    <w:p w14:paraId="2A356662" w14:textId="77777777" w:rsidR="00676D2D" w:rsidRPr="00220850" w:rsidRDefault="00676D2D" w:rsidP="003555DC">
      <w:pPr>
        <w:autoSpaceDE w:val="0"/>
        <w:autoSpaceDN w:val="0"/>
        <w:adjustRightInd w:val="0"/>
        <w:rPr>
          <w:rFonts w:eastAsia="TimesNewRoman,Bold"/>
          <w:bCs/>
          <w:sz w:val="22"/>
          <w:szCs w:val="22"/>
        </w:rPr>
      </w:pPr>
    </w:p>
    <w:p w14:paraId="5DA596D7" w14:textId="77777777" w:rsidR="003555DC" w:rsidRPr="00220850" w:rsidRDefault="003555DC" w:rsidP="003555DC">
      <w:pPr>
        <w:autoSpaceDE w:val="0"/>
        <w:autoSpaceDN w:val="0"/>
        <w:adjustRightInd w:val="0"/>
        <w:rPr>
          <w:rFonts w:eastAsia="TimesNewRoman,Bold"/>
          <w:bCs/>
          <w:sz w:val="22"/>
          <w:szCs w:val="22"/>
          <w:u w:val="single"/>
        </w:rPr>
      </w:pPr>
      <w:r w:rsidRPr="00220850">
        <w:rPr>
          <w:rFonts w:eastAsia="TimesNewRoman,Bold"/>
          <w:bCs/>
          <w:sz w:val="22"/>
          <w:szCs w:val="22"/>
          <w:u w:val="single"/>
        </w:rPr>
        <w:t>Vaikų populiacija</w:t>
      </w:r>
    </w:p>
    <w:p w14:paraId="244D862F" w14:textId="66A7408D" w:rsidR="00160C7C" w:rsidRPr="00220850" w:rsidRDefault="00783720" w:rsidP="003555DC">
      <w:pPr>
        <w:autoSpaceDE w:val="0"/>
        <w:autoSpaceDN w:val="0"/>
        <w:adjustRightInd w:val="0"/>
        <w:rPr>
          <w:rFonts w:eastAsia="TimesNewRoman,Bold"/>
          <w:bCs/>
          <w:i/>
          <w:sz w:val="22"/>
          <w:szCs w:val="22"/>
        </w:rPr>
      </w:pPr>
      <w:r w:rsidRPr="00220850">
        <w:rPr>
          <w:rFonts w:eastAsia="TimesNewRoman,Bold"/>
          <w:bCs/>
          <w:i/>
          <w:sz w:val="22"/>
          <w:szCs w:val="22"/>
        </w:rPr>
        <w:lastRenderedPageBreak/>
        <w:t xml:space="preserve">Kliniškai reikšmingos, progresuojančios </w:t>
      </w:r>
      <w:proofErr w:type="spellStart"/>
      <w:r w:rsidRPr="00220850">
        <w:rPr>
          <w:rFonts w:eastAsia="TimesNewRoman,Bold"/>
          <w:bCs/>
          <w:i/>
          <w:sz w:val="22"/>
          <w:szCs w:val="22"/>
        </w:rPr>
        <w:t>fibrozinės</w:t>
      </w:r>
      <w:proofErr w:type="spellEnd"/>
      <w:r w:rsidRPr="00220850">
        <w:rPr>
          <w:rFonts w:eastAsia="TimesNewRoman,Bold"/>
          <w:bCs/>
          <w:i/>
          <w:sz w:val="22"/>
          <w:szCs w:val="22"/>
        </w:rPr>
        <w:t xml:space="preserve"> </w:t>
      </w:r>
      <w:proofErr w:type="spellStart"/>
      <w:r w:rsidRPr="00220850">
        <w:rPr>
          <w:rFonts w:eastAsia="TimesNewRoman,Bold"/>
          <w:bCs/>
          <w:i/>
          <w:sz w:val="22"/>
          <w:szCs w:val="22"/>
        </w:rPr>
        <w:t>intersticinės</w:t>
      </w:r>
      <w:proofErr w:type="spellEnd"/>
      <w:r w:rsidRPr="00220850">
        <w:rPr>
          <w:rFonts w:eastAsia="TimesNewRoman,Bold"/>
          <w:bCs/>
          <w:i/>
          <w:sz w:val="22"/>
          <w:szCs w:val="22"/>
        </w:rPr>
        <w:t xml:space="preserve"> plaučių ligos (IPL) ir su sistemine skleroze susijusi </w:t>
      </w:r>
      <w:proofErr w:type="spellStart"/>
      <w:r w:rsidRPr="00220850">
        <w:rPr>
          <w:rFonts w:eastAsia="TimesNewRoman,Bold"/>
          <w:bCs/>
          <w:i/>
          <w:sz w:val="22"/>
          <w:szCs w:val="22"/>
        </w:rPr>
        <w:t>intersticinė</w:t>
      </w:r>
      <w:proofErr w:type="spellEnd"/>
      <w:r w:rsidRPr="00220850">
        <w:rPr>
          <w:rFonts w:eastAsia="TimesNewRoman,Bold"/>
          <w:bCs/>
          <w:i/>
          <w:sz w:val="22"/>
          <w:szCs w:val="22"/>
        </w:rPr>
        <w:t xml:space="preserve"> plaučių liga (SS-IPL) 6-17 metų vaikams ir paaugliams</w:t>
      </w:r>
    </w:p>
    <w:p w14:paraId="438145DD" w14:textId="77777777" w:rsidR="00783720" w:rsidRPr="00220850" w:rsidRDefault="00783720" w:rsidP="003555DC">
      <w:pPr>
        <w:autoSpaceDE w:val="0"/>
        <w:autoSpaceDN w:val="0"/>
        <w:adjustRightInd w:val="0"/>
        <w:rPr>
          <w:rFonts w:eastAsia="TimesNewRoman,Bold"/>
          <w:bCs/>
          <w:sz w:val="22"/>
          <w:szCs w:val="22"/>
        </w:rPr>
      </w:pPr>
    </w:p>
    <w:p w14:paraId="5DC29278" w14:textId="3B3CF1F7" w:rsidR="003555DC" w:rsidRPr="00220850" w:rsidRDefault="00676D2D" w:rsidP="003555DC">
      <w:pPr>
        <w:autoSpaceDE w:val="0"/>
        <w:autoSpaceDN w:val="0"/>
        <w:adjustRightInd w:val="0"/>
        <w:rPr>
          <w:rFonts w:eastAsia="TimesNewRoman,Bold"/>
          <w:bCs/>
          <w:sz w:val="22"/>
          <w:szCs w:val="22"/>
        </w:rPr>
      </w:pPr>
      <w:proofErr w:type="spellStart"/>
      <w:r w:rsidRPr="00220850">
        <w:rPr>
          <w:rFonts w:eastAsia="TimesNewRoman,Bold"/>
          <w:bCs/>
          <w:sz w:val="22"/>
          <w:szCs w:val="22"/>
        </w:rPr>
        <w:t>Nintedanib</w:t>
      </w:r>
      <w:r w:rsidR="00783720" w:rsidRPr="00220850">
        <w:rPr>
          <w:rFonts w:eastAsia="TimesNewRoman,Bold"/>
          <w:bCs/>
          <w:sz w:val="22"/>
          <w:szCs w:val="22"/>
        </w:rPr>
        <w:t>o</w:t>
      </w:r>
      <w:proofErr w:type="spellEnd"/>
      <w:r w:rsidRPr="00220850">
        <w:rPr>
          <w:rFonts w:eastAsia="TimesNewRoman,Bold"/>
          <w:bCs/>
          <w:sz w:val="22"/>
          <w:szCs w:val="22"/>
        </w:rPr>
        <w:t xml:space="preserve"> </w:t>
      </w:r>
      <w:r w:rsidR="003555DC" w:rsidRPr="00220850">
        <w:rPr>
          <w:rFonts w:eastAsia="TimesNewRoman,Bold"/>
          <w:bCs/>
          <w:sz w:val="22"/>
          <w:szCs w:val="22"/>
        </w:rPr>
        <w:t>saugumas ir veiksmingumas 6-17 metų vaikams bei paaugliams, sergantiems kliniškai</w:t>
      </w:r>
      <w:r w:rsidRPr="00220850">
        <w:rPr>
          <w:rFonts w:eastAsia="TimesNewRoman,Bold"/>
          <w:bCs/>
          <w:sz w:val="22"/>
          <w:szCs w:val="22"/>
        </w:rPr>
        <w:t xml:space="preserve"> </w:t>
      </w:r>
      <w:r w:rsidR="003555DC" w:rsidRPr="00220850">
        <w:rPr>
          <w:rFonts w:eastAsia="TimesNewRoman,Bold"/>
          <w:bCs/>
          <w:sz w:val="22"/>
          <w:szCs w:val="22"/>
        </w:rPr>
        <w:t xml:space="preserve">reikšmingomis </w:t>
      </w:r>
      <w:proofErr w:type="spellStart"/>
      <w:r w:rsidR="003555DC" w:rsidRPr="00220850">
        <w:rPr>
          <w:rFonts w:eastAsia="TimesNewRoman,Bold"/>
          <w:bCs/>
          <w:sz w:val="22"/>
          <w:szCs w:val="22"/>
        </w:rPr>
        <w:t>fibrozinėmis</w:t>
      </w:r>
      <w:proofErr w:type="spellEnd"/>
      <w:r w:rsidR="003555DC" w:rsidRPr="00220850">
        <w:rPr>
          <w:rFonts w:eastAsia="TimesNewRoman,Bold"/>
          <w:bCs/>
          <w:sz w:val="22"/>
          <w:szCs w:val="22"/>
        </w:rPr>
        <w:t xml:space="preserve"> </w:t>
      </w:r>
      <w:proofErr w:type="spellStart"/>
      <w:r w:rsidR="003555DC" w:rsidRPr="00220850">
        <w:rPr>
          <w:rFonts w:eastAsia="TimesNewRoman,Bold"/>
          <w:bCs/>
          <w:sz w:val="22"/>
          <w:szCs w:val="22"/>
        </w:rPr>
        <w:t>intersticinėmis</w:t>
      </w:r>
      <w:proofErr w:type="spellEnd"/>
      <w:r w:rsidR="003555DC" w:rsidRPr="00220850">
        <w:rPr>
          <w:rFonts w:eastAsia="TimesNewRoman,Bold"/>
          <w:bCs/>
          <w:sz w:val="22"/>
          <w:szCs w:val="22"/>
        </w:rPr>
        <w:t xml:space="preserve"> plaučių ligomis (IPL) </w:t>
      </w:r>
      <w:r w:rsidR="00D917AC" w:rsidRPr="00220850">
        <w:rPr>
          <w:rFonts w:eastAsia="TimesNewRoman,Bold"/>
          <w:bCs/>
          <w:sz w:val="22"/>
          <w:szCs w:val="22"/>
        </w:rPr>
        <w:t xml:space="preserve">buvo </w:t>
      </w:r>
      <w:r w:rsidR="00EB587E" w:rsidRPr="00220850">
        <w:rPr>
          <w:rFonts w:eastAsia="TimesNewRoman,Bold"/>
          <w:bCs/>
          <w:sz w:val="22"/>
          <w:szCs w:val="22"/>
        </w:rPr>
        <w:t>ištirti</w:t>
      </w:r>
      <w:r w:rsidR="003555DC" w:rsidRPr="00220850">
        <w:rPr>
          <w:rFonts w:eastAsia="TimesNewRoman,Bold"/>
          <w:bCs/>
          <w:sz w:val="22"/>
          <w:szCs w:val="22"/>
        </w:rPr>
        <w:t xml:space="preserve"> žvalgomuoju, atsitiktinių</w:t>
      </w:r>
      <w:r w:rsidRPr="00220850">
        <w:rPr>
          <w:rFonts w:eastAsia="TimesNewRoman,Bold"/>
          <w:bCs/>
          <w:sz w:val="22"/>
          <w:szCs w:val="22"/>
        </w:rPr>
        <w:t xml:space="preserve"> </w:t>
      </w:r>
      <w:r w:rsidR="003555DC" w:rsidRPr="00220850">
        <w:rPr>
          <w:rFonts w:eastAsia="TimesNewRoman,Bold"/>
          <w:bCs/>
          <w:sz w:val="22"/>
          <w:szCs w:val="22"/>
        </w:rPr>
        <w:t>imčių, placebu kontroliuojamu III fazės tyrimu (</w:t>
      </w:r>
      <w:proofErr w:type="spellStart"/>
      <w:r w:rsidR="003555DC" w:rsidRPr="00220850">
        <w:rPr>
          <w:rFonts w:eastAsia="TimesNewRoman,Bold"/>
          <w:bCs/>
          <w:sz w:val="22"/>
          <w:szCs w:val="22"/>
        </w:rPr>
        <w:t>InPedILD</w:t>
      </w:r>
      <w:proofErr w:type="spellEnd"/>
      <w:r w:rsidR="003555DC" w:rsidRPr="00220850">
        <w:rPr>
          <w:rFonts w:eastAsia="TimesNewRoman,Bold"/>
          <w:bCs/>
          <w:sz w:val="22"/>
          <w:szCs w:val="22"/>
        </w:rPr>
        <w:t xml:space="preserve"> 1199.337).</w:t>
      </w:r>
    </w:p>
    <w:p w14:paraId="0C79F730" w14:textId="77777777" w:rsidR="00676D2D" w:rsidRPr="00220850" w:rsidRDefault="00676D2D" w:rsidP="003555DC">
      <w:pPr>
        <w:autoSpaceDE w:val="0"/>
        <w:autoSpaceDN w:val="0"/>
        <w:adjustRightInd w:val="0"/>
        <w:rPr>
          <w:rFonts w:eastAsia="TimesNewRoman,Bold"/>
          <w:bCs/>
          <w:sz w:val="22"/>
          <w:szCs w:val="22"/>
        </w:rPr>
      </w:pPr>
    </w:p>
    <w:p w14:paraId="148BDFFE" w14:textId="3D554729" w:rsidR="00160C7C" w:rsidRPr="00220850" w:rsidRDefault="00EB587E" w:rsidP="00160C7C">
      <w:pPr>
        <w:autoSpaceDE w:val="0"/>
        <w:autoSpaceDN w:val="0"/>
        <w:adjustRightInd w:val="0"/>
        <w:rPr>
          <w:sz w:val="22"/>
          <w:szCs w:val="22"/>
        </w:rPr>
      </w:pPr>
      <w:r w:rsidRPr="00220850">
        <w:rPr>
          <w:sz w:val="22"/>
          <w:szCs w:val="22"/>
        </w:rPr>
        <w:t xml:space="preserve">Pacientai atsitiktinių imčių būdu santykiu 2:1 suskirstyti vartoti </w:t>
      </w:r>
      <w:proofErr w:type="spellStart"/>
      <w:r w:rsidRPr="00220850">
        <w:rPr>
          <w:sz w:val="22"/>
          <w:szCs w:val="22"/>
        </w:rPr>
        <w:t>nintedanibą</w:t>
      </w:r>
      <w:proofErr w:type="spellEnd"/>
      <w:r w:rsidRPr="00220850">
        <w:rPr>
          <w:sz w:val="22"/>
          <w:szCs w:val="22"/>
        </w:rPr>
        <w:t xml:space="preserve"> 24 savaites du kartus per parą (dozes pritaikant pagal kūno svorį, įskaitant 25 mg kapsulės vartojimą) arba vaistinį preparatą atitinkantį placebą, o paskui įvairios trukmės laikotarpius buvo gydomi </w:t>
      </w:r>
      <w:proofErr w:type="spellStart"/>
      <w:r w:rsidRPr="00220850">
        <w:rPr>
          <w:sz w:val="22"/>
          <w:szCs w:val="22"/>
        </w:rPr>
        <w:t>nintedanibu</w:t>
      </w:r>
      <w:proofErr w:type="spellEnd"/>
      <w:r w:rsidRPr="00220850">
        <w:rPr>
          <w:sz w:val="22"/>
          <w:szCs w:val="22"/>
        </w:rPr>
        <w:t xml:space="preserve"> atviruoju būdu. Leista taikyti standartinį gydymą gydančiojo gydytojo nuožiūra pagal klinikines indikacijas.</w:t>
      </w:r>
    </w:p>
    <w:p w14:paraId="54CEC6EC" w14:textId="77777777" w:rsidR="006A196C" w:rsidRPr="00220850" w:rsidRDefault="006A196C" w:rsidP="003555DC">
      <w:pPr>
        <w:autoSpaceDE w:val="0"/>
        <w:autoSpaceDN w:val="0"/>
        <w:adjustRightInd w:val="0"/>
        <w:rPr>
          <w:sz w:val="22"/>
          <w:szCs w:val="22"/>
        </w:rPr>
      </w:pPr>
    </w:p>
    <w:p w14:paraId="1134F360" w14:textId="4AD47D11" w:rsidR="00160C7C" w:rsidRPr="00220850" w:rsidRDefault="00EB587E" w:rsidP="003555DC">
      <w:pPr>
        <w:autoSpaceDE w:val="0"/>
        <w:autoSpaceDN w:val="0"/>
        <w:adjustRightInd w:val="0"/>
        <w:rPr>
          <w:sz w:val="22"/>
          <w:szCs w:val="22"/>
        </w:rPr>
      </w:pPr>
      <w:r w:rsidRPr="00220850">
        <w:rPr>
          <w:sz w:val="22"/>
          <w:szCs w:val="22"/>
        </w:rPr>
        <w:t xml:space="preserve">Pirminiai </w:t>
      </w:r>
      <w:proofErr w:type="spellStart"/>
      <w:r w:rsidRPr="00220850">
        <w:rPr>
          <w:sz w:val="22"/>
          <w:szCs w:val="22"/>
        </w:rPr>
        <w:t>InPedILD</w:t>
      </w:r>
      <w:proofErr w:type="spellEnd"/>
      <w:r w:rsidRPr="00220850">
        <w:rPr>
          <w:sz w:val="22"/>
          <w:szCs w:val="22"/>
        </w:rPr>
        <w:t xml:space="preserve"> tyrimo tikslai buvo įvertinti </w:t>
      </w:r>
      <w:proofErr w:type="spellStart"/>
      <w:r w:rsidRPr="00220850">
        <w:rPr>
          <w:sz w:val="22"/>
          <w:szCs w:val="22"/>
        </w:rPr>
        <w:t>nintedanibo</w:t>
      </w:r>
      <w:proofErr w:type="spellEnd"/>
      <w:r w:rsidRPr="00220850">
        <w:rPr>
          <w:sz w:val="22"/>
          <w:szCs w:val="22"/>
        </w:rPr>
        <w:t xml:space="preserve"> dozę ir poveikį bei saugumą vaikams ir paaugliams, sergantiems kliniškai reikšminga </w:t>
      </w:r>
      <w:proofErr w:type="spellStart"/>
      <w:r w:rsidRPr="00220850">
        <w:rPr>
          <w:sz w:val="22"/>
          <w:szCs w:val="22"/>
        </w:rPr>
        <w:t>fibrozine</w:t>
      </w:r>
      <w:proofErr w:type="spellEnd"/>
      <w:r w:rsidRPr="00220850">
        <w:rPr>
          <w:sz w:val="22"/>
          <w:szCs w:val="22"/>
        </w:rPr>
        <w:t xml:space="preserve"> IPL. Veiksmingumas buvo vertinamas tik kaip antrinis tikslas.</w:t>
      </w:r>
    </w:p>
    <w:p w14:paraId="71A180CC" w14:textId="77777777" w:rsidR="006A196C" w:rsidRPr="00220850" w:rsidRDefault="006A196C" w:rsidP="003555DC">
      <w:pPr>
        <w:autoSpaceDE w:val="0"/>
        <w:autoSpaceDN w:val="0"/>
        <w:adjustRightInd w:val="0"/>
        <w:rPr>
          <w:rFonts w:eastAsia="TimesNewRoman,Bold"/>
          <w:bCs/>
          <w:sz w:val="22"/>
          <w:szCs w:val="22"/>
          <w:highlight w:val="cyan"/>
        </w:rPr>
      </w:pPr>
    </w:p>
    <w:p w14:paraId="3E0CAE00" w14:textId="77777777" w:rsidR="003555DC" w:rsidRPr="00220850" w:rsidRDefault="003555DC" w:rsidP="003555DC">
      <w:pPr>
        <w:autoSpaceDE w:val="0"/>
        <w:autoSpaceDN w:val="0"/>
        <w:adjustRightInd w:val="0"/>
        <w:rPr>
          <w:rFonts w:eastAsia="TimesNewRoman,Bold"/>
          <w:bCs/>
          <w:sz w:val="22"/>
          <w:szCs w:val="22"/>
        </w:rPr>
      </w:pPr>
      <w:r w:rsidRPr="00220850">
        <w:rPr>
          <w:rFonts w:eastAsia="TimesNewRoman,Bold"/>
          <w:bCs/>
          <w:sz w:val="22"/>
          <w:szCs w:val="22"/>
        </w:rPr>
        <w:t xml:space="preserve">Tyrime </w:t>
      </w:r>
      <w:proofErr w:type="spellStart"/>
      <w:r w:rsidRPr="00220850">
        <w:rPr>
          <w:rFonts w:eastAsia="TimesNewRoman,Bold"/>
          <w:bCs/>
          <w:sz w:val="22"/>
          <w:szCs w:val="22"/>
        </w:rPr>
        <w:t>InPedILD</w:t>
      </w:r>
      <w:proofErr w:type="spellEnd"/>
      <w:r w:rsidRPr="00220850">
        <w:rPr>
          <w:rFonts w:eastAsia="TimesNewRoman,Bold"/>
          <w:bCs/>
          <w:sz w:val="22"/>
          <w:szCs w:val="22"/>
        </w:rPr>
        <w:t xml:space="preserve"> dalyvavo vaikai ir paaugliai nuo 6 iki 17 metų, sergantys kliniškai reikšminga</w:t>
      </w:r>
      <w:r w:rsidR="00676D2D" w:rsidRPr="00220850">
        <w:rPr>
          <w:rFonts w:eastAsia="TimesNewRoman,Bold"/>
          <w:bCs/>
          <w:sz w:val="22"/>
          <w:szCs w:val="22"/>
        </w:rPr>
        <w:t xml:space="preserve"> </w:t>
      </w:r>
      <w:proofErr w:type="spellStart"/>
      <w:r w:rsidRPr="00220850">
        <w:rPr>
          <w:rFonts w:eastAsia="TimesNewRoman,Bold"/>
          <w:bCs/>
          <w:sz w:val="22"/>
          <w:szCs w:val="22"/>
        </w:rPr>
        <w:t>fibrozin</w:t>
      </w:r>
      <w:r w:rsidR="00676D2D" w:rsidRPr="00220850">
        <w:rPr>
          <w:rFonts w:eastAsia="TimesNewRoman,Bold"/>
          <w:bCs/>
          <w:sz w:val="22"/>
          <w:szCs w:val="22"/>
        </w:rPr>
        <w:t>e</w:t>
      </w:r>
      <w:proofErr w:type="spellEnd"/>
      <w:r w:rsidR="00676D2D" w:rsidRPr="00220850">
        <w:rPr>
          <w:rFonts w:eastAsia="TimesNewRoman,Bold"/>
          <w:bCs/>
          <w:sz w:val="22"/>
          <w:szCs w:val="22"/>
        </w:rPr>
        <w:t xml:space="preserve"> IPL, kurių FGPT siekė bent 25 </w:t>
      </w:r>
      <w:r w:rsidRPr="00220850">
        <w:rPr>
          <w:rFonts w:eastAsia="TimesNewRoman,Bold"/>
          <w:bCs/>
          <w:sz w:val="22"/>
          <w:szCs w:val="22"/>
        </w:rPr>
        <w:t>% numatytosios. Pacientai klasifikuoti kaip sergantys</w:t>
      </w:r>
      <w:r w:rsidR="00676D2D" w:rsidRPr="00220850">
        <w:rPr>
          <w:rFonts w:eastAsia="TimesNewRoman,Bold"/>
          <w:bCs/>
          <w:sz w:val="22"/>
          <w:szCs w:val="22"/>
        </w:rPr>
        <w:t xml:space="preserve"> </w:t>
      </w:r>
      <w:proofErr w:type="spellStart"/>
      <w:r w:rsidRPr="00220850">
        <w:rPr>
          <w:rFonts w:eastAsia="TimesNewRoman,Bold"/>
          <w:bCs/>
          <w:sz w:val="22"/>
          <w:szCs w:val="22"/>
        </w:rPr>
        <w:t>fibrozine</w:t>
      </w:r>
      <w:proofErr w:type="spellEnd"/>
      <w:r w:rsidRPr="00220850">
        <w:rPr>
          <w:rFonts w:eastAsia="TimesNewRoman,Bold"/>
          <w:bCs/>
          <w:sz w:val="22"/>
          <w:szCs w:val="22"/>
        </w:rPr>
        <w:t xml:space="preserve"> IPL, remiantis fibrozės įrodymais dviem DSGKT skenavimais (kai vienas DSGKT</w:t>
      </w:r>
      <w:r w:rsidR="00676D2D" w:rsidRPr="00220850">
        <w:rPr>
          <w:rFonts w:eastAsia="TimesNewRoman,Bold"/>
          <w:bCs/>
          <w:sz w:val="22"/>
          <w:szCs w:val="22"/>
        </w:rPr>
        <w:t xml:space="preserve"> </w:t>
      </w:r>
      <w:r w:rsidRPr="00220850">
        <w:rPr>
          <w:rFonts w:eastAsia="TimesNewRoman,Bold"/>
          <w:bCs/>
          <w:sz w:val="22"/>
          <w:szCs w:val="22"/>
        </w:rPr>
        <w:t>skenavimas atliktas per paskutinius 12 mėnesių) arba fibrozės įrodymais plaučių biopsijoje ir vienu</w:t>
      </w:r>
      <w:r w:rsidR="00676D2D" w:rsidRPr="00220850">
        <w:rPr>
          <w:rFonts w:eastAsia="TimesNewRoman,Bold"/>
          <w:bCs/>
          <w:sz w:val="22"/>
          <w:szCs w:val="22"/>
        </w:rPr>
        <w:t xml:space="preserve"> </w:t>
      </w:r>
      <w:r w:rsidRPr="00220850">
        <w:rPr>
          <w:rFonts w:eastAsia="TimesNewRoman,Bold"/>
          <w:bCs/>
          <w:sz w:val="22"/>
          <w:szCs w:val="22"/>
        </w:rPr>
        <w:t>DSGKT skenavimu, atliktu per paskutinius 12 mėnesių.</w:t>
      </w:r>
    </w:p>
    <w:p w14:paraId="077C0D5F" w14:textId="77777777" w:rsidR="00D917AC" w:rsidRPr="00220850" w:rsidRDefault="00D917AC" w:rsidP="003555DC">
      <w:pPr>
        <w:autoSpaceDE w:val="0"/>
        <w:autoSpaceDN w:val="0"/>
        <w:adjustRightInd w:val="0"/>
        <w:rPr>
          <w:rFonts w:eastAsia="TimesNewRoman,Bold"/>
          <w:bCs/>
          <w:sz w:val="22"/>
          <w:szCs w:val="22"/>
        </w:rPr>
      </w:pPr>
    </w:p>
    <w:p w14:paraId="3D19A10C" w14:textId="77777777" w:rsidR="003555DC" w:rsidRPr="00220850" w:rsidRDefault="003555DC" w:rsidP="003555DC">
      <w:pPr>
        <w:autoSpaceDE w:val="0"/>
        <w:autoSpaceDN w:val="0"/>
        <w:adjustRightInd w:val="0"/>
        <w:rPr>
          <w:rFonts w:eastAsia="TimesNewRoman,Bold"/>
          <w:bCs/>
          <w:sz w:val="22"/>
          <w:szCs w:val="22"/>
        </w:rPr>
      </w:pPr>
      <w:r w:rsidRPr="00220850">
        <w:rPr>
          <w:rFonts w:eastAsia="TimesNewRoman,Bold"/>
          <w:bCs/>
          <w:sz w:val="22"/>
          <w:szCs w:val="22"/>
        </w:rPr>
        <w:t>Kliniškai reikšminga liga a</w:t>
      </w:r>
      <w:r w:rsidR="00676D2D" w:rsidRPr="00220850">
        <w:rPr>
          <w:rFonts w:eastAsia="TimesNewRoman,Bold"/>
          <w:bCs/>
          <w:sz w:val="22"/>
          <w:szCs w:val="22"/>
        </w:rPr>
        <w:t xml:space="preserve">pibrėžta kaip balas pagal </w:t>
      </w:r>
      <w:proofErr w:type="spellStart"/>
      <w:r w:rsidR="00E40E22" w:rsidRPr="00220850">
        <w:rPr>
          <w:rFonts w:eastAsia="TimesNewRoman,Bold"/>
          <w:bCs/>
          <w:sz w:val="22"/>
          <w:szCs w:val="22"/>
        </w:rPr>
        <w:t>Fan</w:t>
      </w:r>
      <w:proofErr w:type="spellEnd"/>
      <w:r w:rsidR="00E40E22" w:rsidRPr="00220850">
        <w:rPr>
          <w:rFonts w:eastAsia="TimesNewRoman,Bold"/>
          <w:bCs/>
          <w:sz w:val="22"/>
          <w:szCs w:val="22"/>
        </w:rPr>
        <w:t> </w:t>
      </w:r>
      <w:r w:rsidR="00676D2D" w:rsidRPr="00220850">
        <w:rPr>
          <w:rFonts w:eastAsia="TimesNewRoman,Bold"/>
          <w:bCs/>
          <w:sz w:val="22"/>
          <w:szCs w:val="22"/>
        </w:rPr>
        <w:t>≥ </w:t>
      </w:r>
      <w:r w:rsidRPr="00220850">
        <w:rPr>
          <w:rFonts w:eastAsia="TimesNewRoman,Bold"/>
          <w:bCs/>
          <w:sz w:val="22"/>
          <w:szCs w:val="22"/>
        </w:rPr>
        <w:t>3 arba dokumentuotas klinikinio</w:t>
      </w:r>
      <w:r w:rsidR="002A0881" w:rsidRPr="00220850">
        <w:rPr>
          <w:rFonts w:eastAsia="TimesNewRoman,Bold"/>
          <w:bCs/>
          <w:sz w:val="22"/>
          <w:szCs w:val="22"/>
        </w:rPr>
        <w:t xml:space="preserve"> </w:t>
      </w:r>
      <w:r w:rsidRPr="00220850">
        <w:rPr>
          <w:rFonts w:eastAsia="TimesNewRoman,Bold"/>
          <w:bCs/>
          <w:sz w:val="22"/>
          <w:szCs w:val="22"/>
        </w:rPr>
        <w:t>progresavimo įrodymas per bet kurį laikotarpį. Klinikinio progresavimo įrodymas buvo pagrįstas</w:t>
      </w:r>
      <w:r w:rsidR="0080656F" w:rsidRPr="00220850">
        <w:rPr>
          <w:rFonts w:eastAsia="TimesNewRoman,Bold"/>
          <w:bCs/>
          <w:sz w:val="22"/>
          <w:szCs w:val="22"/>
        </w:rPr>
        <w:t xml:space="preserve"> </w:t>
      </w:r>
      <w:r w:rsidR="002A0881" w:rsidRPr="00220850">
        <w:rPr>
          <w:rFonts w:eastAsia="TimesNewRoman,Bold"/>
          <w:bCs/>
          <w:sz w:val="22"/>
          <w:szCs w:val="22"/>
        </w:rPr>
        <w:t>santykiniu FGPT sumažėjimu ≥ 10 </w:t>
      </w:r>
      <w:r w:rsidRPr="00220850">
        <w:rPr>
          <w:rFonts w:eastAsia="TimesNewRoman,Bold"/>
          <w:bCs/>
          <w:sz w:val="22"/>
          <w:szCs w:val="22"/>
        </w:rPr>
        <w:t>% numatytosi</w:t>
      </w:r>
      <w:r w:rsidR="00E40E22" w:rsidRPr="00220850">
        <w:rPr>
          <w:rFonts w:eastAsia="TimesNewRoman,Bold"/>
          <w:bCs/>
          <w:sz w:val="22"/>
          <w:szCs w:val="22"/>
        </w:rPr>
        <w:t>os vertės, FGPT sumažėjimu 5–10 </w:t>
      </w:r>
      <w:r w:rsidRPr="00220850">
        <w:rPr>
          <w:rFonts w:eastAsia="TimesNewRoman,Bold"/>
          <w:bCs/>
          <w:sz w:val="22"/>
          <w:szCs w:val="22"/>
        </w:rPr>
        <w:t>% numatytosios</w:t>
      </w:r>
      <w:r w:rsidR="002A0881" w:rsidRPr="00220850">
        <w:rPr>
          <w:rFonts w:eastAsia="TimesNewRoman,Bold"/>
          <w:bCs/>
          <w:sz w:val="22"/>
          <w:szCs w:val="22"/>
        </w:rPr>
        <w:t xml:space="preserve"> </w:t>
      </w:r>
      <w:r w:rsidRPr="00220850">
        <w:rPr>
          <w:rFonts w:eastAsia="TimesNewRoman,Bold"/>
          <w:bCs/>
          <w:sz w:val="22"/>
          <w:szCs w:val="22"/>
        </w:rPr>
        <w:t xml:space="preserve">vertės su simptomų sustiprėjimu, pablogėjusia fibrozės eiga </w:t>
      </w:r>
      <w:r w:rsidR="00E40E22" w:rsidRPr="00220850">
        <w:rPr>
          <w:rFonts w:eastAsia="TimesNewRoman,Bold"/>
          <w:bCs/>
          <w:sz w:val="22"/>
          <w:szCs w:val="22"/>
        </w:rPr>
        <w:t xml:space="preserve">vertinant </w:t>
      </w:r>
      <w:r w:rsidRPr="00220850">
        <w:rPr>
          <w:rFonts w:eastAsia="TimesNewRoman,Bold"/>
          <w:bCs/>
          <w:sz w:val="22"/>
          <w:szCs w:val="22"/>
        </w:rPr>
        <w:t>DSGKT arba pagal kitus klinikinio</w:t>
      </w:r>
      <w:r w:rsidR="002A0881" w:rsidRPr="00220850">
        <w:rPr>
          <w:rFonts w:eastAsia="TimesNewRoman,Bold"/>
          <w:bCs/>
          <w:sz w:val="22"/>
          <w:szCs w:val="22"/>
        </w:rPr>
        <w:t xml:space="preserve"> </w:t>
      </w:r>
      <w:r w:rsidRPr="00220850">
        <w:rPr>
          <w:rFonts w:eastAsia="TimesNewRoman,Bold"/>
          <w:bCs/>
          <w:sz w:val="22"/>
          <w:szCs w:val="22"/>
        </w:rPr>
        <w:t>pablogėjimo rodiklius, susijusius su progresuojančia plaučių fibroze (pvz., padidėjusiu deguonies</w:t>
      </w:r>
      <w:r w:rsidR="002A0881" w:rsidRPr="00220850">
        <w:rPr>
          <w:rFonts w:eastAsia="TimesNewRoman,Bold"/>
          <w:bCs/>
          <w:sz w:val="22"/>
          <w:szCs w:val="22"/>
        </w:rPr>
        <w:t xml:space="preserve"> </w:t>
      </w:r>
      <w:r w:rsidRPr="00220850">
        <w:rPr>
          <w:rFonts w:eastAsia="TimesNewRoman,Bold"/>
          <w:bCs/>
          <w:sz w:val="22"/>
          <w:szCs w:val="22"/>
        </w:rPr>
        <w:t>poreikiu, sumažėjusia difuzijos geba), nors to nereikalauta įt</w:t>
      </w:r>
      <w:r w:rsidR="00E40E22" w:rsidRPr="00220850">
        <w:rPr>
          <w:rFonts w:eastAsia="TimesNewRoman,Bold"/>
          <w:bCs/>
          <w:sz w:val="22"/>
          <w:szCs w:val="22"/>
        </w:rPr>
        <w:t xml:space="preserve">raukiant pacientus, kurių </w:t>
      </w:r>
      <w:proofErr w:type="spellStart"/>
      <w:r w:rsidR="00E40E22" w:rsidRPr="00220850">
        <w:rPr>
          <w:rFonts w:eastAsia="TimesNewRoman,Bold"/>
          <w:bCs/>
          <w:sz w:val="22"/>
          <w:szCs w:val="22"/>
        </w:rPr>
        <w:t>Fan</w:t>
      </w:r>
      <w:proofErr w:type="spellEnd"/>
      <w:r w:rsidR="00E40E22" w:rsidRPr="00220850">
        <w:rPr>
          <w:rFonts w:eastAsia="TimesNewRoman,Bold"/>
          <w:bCs/>
          <w:sz w:val="22"/>
          <w:szCs w:val="22"/>
        </w:rPr>
        <w:t> ≥ </w:t>
      </w:r>
      <w:r w:rsidRPr="00220850">
        <w:rPr>
          <w:rFonts w:eastAsia="TimesNewRoman,Bold"/>
          <w:bCs/>
          <w:sz w:val="22"/>
          <w:szCs w:val="22"/>
        </w:rPr>
        <w:t>3.</w:t>
      </w:r>
    </w:p>
    <w:p w14:paraId="1D582C1C" w14:textId="77777777" w:rsidR="002A0881" w:rsidRPr="00220850" w:rsidRDefault="002A0881" w:rsidP="003555DC">
      <w:pPr>
        <w:autoSpaceDE w:val="0"/>
        <w:autoSpaceDN w:val="0"/>
        <w:adjustRightInd w:val="0"/>
        <w:rPr>
          <w:rFonts w:eastAsia="TimesNewRoman,Bold"/>
          <w:bCs/>
          <w:sz w:val="22"/>
          <w:szCs w:val="22"/>
        </w:rPr>
      </w:pPr>
    </w:p>
    <w:p w14:paraId="623F34AB" w14:textId="4D6EA08C" w:rsidR="00160C7C" w:rsidRPr="00220850" w:rsidRDefault="003555DC" w:rsidP="003555DC">
      <w:pPr>
        <w:autoSpaceDE w:val="0"/>
        <w:autoSpaceDN w:val="0"/>
        <w:adjustRightInd w:val="0"/>
        <w:rPr>
          <w:rFonts w:eastAsia="TimesNewRoman,Bold"/>
          <w:bCs/>
          <w:sz w:val="22"/>
          <w:szCs w:val="22"/>
          <w:lang w:val="en-US"/>
        </w:rPr>
      </w:pPr>
      <w:r w:rsidRPr="00220850">
        <w:rPr>
          <w:rFonts w:eastAsia="TimesNewRoman,Bold"/>
          <w:bCs/>
          <w:sz w:val="22"/>
          <w:szCs w:val="22"/>
        </w:rPr>
        <w:t>Iš viso atsitiktinių imčių būdu</w:t>
      </w:r>
      <w:r w:rsidR="002A0881" w:rsidRPr="00220850">
        <w:rPr>
          <w:rFonts w:eastAsia="TimesNewRoman,Bold"/>
          <w:bCs/>
          <w:sz w:val="22"/>
          <w:szCs w:val="22"/>
        </w:rPr>
        <w:t xml:space="preserve"> suskirstyti 39 pacientai (61,5 </w:t>
      </w:r>
      <w:r w:rsidRPr="00220850">
        <w:rPr>
          <w:rFonts w:eastAsia="TimesNewRoman,Bold"/>
          <w:bCs/>
          <w:sz w:val="22"/>
          <w:szCs w:val="22"/>
        </w:rPr>
        <w:t>% moteriškos lyties)</w:t>
      </w:r>
      <w:r w:rsidR="00160C7C" w:rsidRPr="00220850">
        <w:rPr>
          <w:rFonts w:eastAsia="TimesNewRoman,Bold"/>
          <w:bCs/>
          <w:sz w:val="22"/>
          <w:szCs w:val="22"/>
        </w:rPr>
        <w:t>.</w:t>
      </w:r>
      <w:r w:rsidRPr="00220850">
        <w:rPr>
          <w:rFonts w:eastAsia="TimesNewRoman,Bold"/>
          <w:bCs/>
          <w:sz w:val="22"/>
          <w:szCs w:val="22"/>
        </w:rPr>
        <w:t xml:space="preserve"> </w:t>
      </w:r>
      <w:proofErr w:type="spellStart"/>
      <w:r w:rsidR="00EB587E" w:rsidRPr="00220850">
        <w:rPr>
          <w:rFonts w:eastAsia="TimesNewRoman,Bold"/>
          <w:bCs/>
          <w:sz w:val="22"/>
          <w:szCs w:val="22"/>
          <w:lang w:val="en-US"/>
        </w:rPr>
        <w:t>Pradiniai</w:t>
      </w:r>
      <w:proofErr w:type="spellEnd"/>
      <w:r w:rsidR="00EB587E" w:rsidRPr="00220850">
        <w:rPr>
          <w:rFonts w:eastAsia="TimesNewRoman,Bold"/>
          <w:bCs/>
          <w:sz w:val="22"/>
          <w:szCs w:val="22"/>
          <w:lang w:val="en-US"/>
        </w:rPr>
        <w:t xml:space="preserve"> </w:t>
      </w:r>
      <w:proofErr w:type="spellStart"/>
      <w:r w:rsidR="00EB587E" w:rsidRPr="00220850">
        <w:rPr>
          <w:rFonts w:eastAsia="TimesNewRoman,Bold"/>
          <w:bCs/>
          <w:sz w:val="22"/>
          <w:szCs w:val="22"/>
          <w:lang w:val="en-US"/>
        </w:rPr>
        <w:t>duomenys</w:t>
      </w:r>
      <w:proofErr w:type="spellEnd"/>
      <w:r w:rsidR="00EB587E" w:rsidRPr="00220850">
        <w:rPr>
          <w:rFonts w:eastAsia="TimesNewRoman,Bold"/>
          <w:bCs/>
          <w:sz w:val="22"/>
          <w:szCs w:val="22"/>
          <w:lang w:val="en-US"/>
        </w:rPr>
        <w:t>:</w:t>
      </w:r>
    </w:p>
    <w:p w14:paraId="35578BA9" w14:textId="534A26AF" w:rsidR="00160C7C" w:rsidRPr="00220850" w:rsidRDefault="002A0881" w:rsidP="0035166F">
      <w:pPr>
        <w:pStyle w:val="Sraopastraipa"/>
        <w:numPr>
          <w:ilvl w:val="0"/>
          <w:numId w:val="68"/>
        </w:numPr>
        <w:autoSpaceDE w:val="0"/>
        <w:autoSpaceDN w:val="0"/>
        <w:adjustRightInd w:val="0"/>
        <w:ind w:left="567" w:hanging="567"/>
        <w:rPr>
          <w:rFonts w:eastAsia="TimesNewRoman,Bold"/>
          <w:bCs/>
          <w:sz w:val="22"/>
          <w:szCs w:val="22"/>
          <w:lang w:val="fr-FR"/>
        </w:rPr>
      </w:pPr>
      <w:r w:rsidRPr="00220850">
        <w:rPr>
          <w:rFonts w:eastAsia="TimesNewRoman,Bold"/>
          <w:bCs/>
          <w:sz w:val="22"/>
          <w:szCs w:val="22"/>
          <w:lang w:val="fr-FR"/>
        </w:rPr>
        <w:t>12 pacientų 6-11 metų</w:t>
      </w:r>
      <w:r w:rsidR="003555DC" w:rsidRPr="00220850">
        <w:rPr>
          <w:rFonts w:eastAsia="TimesNewRoman,Bold"/>
          <w:bCs/>
          <w:sz w:val="22"/>
          <w:szCs w:val="22"/>
          <w:lang w:val="fr-FR"/>
        </w:rPr>
        <w:t xml:space="preserve">, </w:t>
      </w:r>
      <w:r w:rsidRPr="00220850">
        <w:rPr>
          <w:rFonts w:eastAsia="TimesNewRoman,Bold"/>
          <w:bCs/>
          <w:sz w:val="22"/>
          <w:szCs w:val="22"/>
          <w:lang w:val="fr-FR"/>
        </w:rPr>
        <w:t>27 pacientai 12-17 metų.</w:t>
      </w:r>
      <w:r w:rsidR="003555DC" w:rsidRPr="00220850">
        <w:rPr>
          <w:rFonts w:eastAsia="TimesNewRoman,Bold"/>
          <w:bCs/>
          <w:sz w:val="22"/>
          <w:szCs w:val="22"/>
          <w:lang w:val="fr-FR"/>
        </w:rPr>
        <w:t xml:space="preserve"> Vidutinis [standartinis nuokrypis (SN)] amžius buvo12,6 (3,3) metų.</w:t>
      </w:r>
      <w:r w:rsidRPr="00220850">
        <w:rPr>
          <w:rFonts w:eastAsia="TimesNewRoman,Bold"/>
          <w:bCs/>
          <w:sz w:val="22"/>
          <w:szCs w:val="22"/>
          <w:lang w:val="fr-FR"/>
        </w:rPr>
        <w:t xml:space="preserve"> </w:t>
      </w:r>
    </w:p>
    <w:p w14:paraId="50D69AAF" w14:textId="4593EC95" w:rsidR="00160C7C" w:rsidRPr="00220850" w:rsidRDefault="002A0881" w:rsidP="0035166F">
      <w:pPr>
        <w:pStyle w:val="Sraopastraipa"/>
        <w:numPr>
          <w:ilvl w:val="0"/>
          <w:numId w:val="68"/>
        </w:numPr>
        <w:autoSpaceDE w:val="0"/>
        <w:autoSpaceDN w:val="0"/>
        <w:adjustRightInd w:val="0"/>
        <w:ind w:left="567" w:hanging="567"/>
        <w:rPr>
          <w:rFonts w:eastAsia="TimesNewRoman,Bold"/>
          <w:bCs/>
          <w:sz w:val="22"/>
          <w:szCs w:val="22"/>
          <w:lang w:val="fr-FR"/>
        </w:rPr>
      </w:pPr>
      <w:r w:rsidRPr="00220850">
        <w:rPr>
          <w:rFonts w:eastAsia="TimesNewRoman,Bold"/>
          <w:bCs/>
          <w:sz w:val="22"/>
          <w:szCs w:val="22"/>
          <w:lang w:val="fr-FR"/>
        </w:rPr>
        <w:t>Vidutinis (SN) svoris buvo 42,2 kg (17,8 kg); 6-11 metų: 26,6 kg (10,4 kg), 12-17 metų: 49,1 </w:t>
      </w:r>
      <w:r w:rsidR="003555DC" w:rsidRPr="00220850">
        <w:rPr>
          <w:rFonts w:eastAsia="TimesNewRoman,Bold"/>
          <w:bCs/>
          <w:sz w:val="22"/>
          <w:szCs w:val="22"/>
          <w:lang w:val="fr-FR"/>
        </w:rPr>
        <w:t>kg</w:t>
      </w:r>
      <w:r w:rsidRPr="00220850">
        <w:rPr>
          <w:rFonts w:eastAsia="TimesNewRoman,Bold"/>
          <w:bCs/>
          <w:sz w:val="22"/>
          <w:szCs w:val="22"/>
          <w:lang w:val="fr-FR"/>
        </w:rPr>
        <w:t xml:space="preserve"> (16 </w:t>
      </w:r>
      <w:r w:rsidR="003555DC" w:rsidRPr="00220850">
        <w:rPr>
          <w:rFonts w:eastAsia="TimesNewRoman,Bold"/>
          <w:bCs/>
          <w:sz w:val="22"/>
          <w:szCs w:val="22"/>
          <w:lang w:val="fr-FR"/>
        </w:rPr>
        <w:t>kg).</w:t>
      </w:r>
    </w:p>
    <w:p w14:paraId="59B06FDD" w14:textId="6D3C6F46" w:rsidR="00E4557B" w:rsidRPr="00220850" w:rsidRDefault="00E4557B" w:rsidP="0035166F">
      <w:pPr>
        <w:pStyle w:val="Default"/>
        <w:numPr>
          <w:ilvl w:val="0"/>
          <w:numId w:val="85"/>
        </w:numPr>
        <w:spacing w:after="40"/>
        <w:ind w:left="567" w:hanging="567"/>
        <w:rPr>
          <w:color w:val="auto"/>
          <w:sz w:val="22"/>
          <w:szCs w:val="22"/>
          <w:lang w:val="lt-LT"/>
        </w:rPr>
      </w:pPr>
      <w:r w:rsidRPr="00220850">
        <w:rPr>
          <w:color w:val="auto"/>
          <w:sz w:val="22"/>
          <w:szCs w:val="22"/>
          <w:lang w:val="lt-LT"/>
        </w:rPr>
        <w:t xml:space="preserve">Bendrasis pradinio vertinimo vidutinis KMI ir amžiaus santykio Z balo pokytis (SN) buvo -0,6 (1,8). </w:t>
      </w:r>
    </w:p>
    <w:p w14:paraId="60C06859" w14:textId="5737FD0B" w:rsidR="00E4557B" w:rsidRPr="00220850" w:rsidRDefault="00E4557B" w:rsidP="0035166F">
      <w:pPr>
        <w:pStyle w:val="Default"/>
        <w:numPr>
          <w:ilvl w:val="0"/>
          <w:numId w:val="85"/>
        </w:numPr>
        <w:ind w:left="567" w:hanging="567"/>
        <w:rPr>
          <w:color w:val="auto"/>
          <w:sz w:val="22"/>
          <w:szCs w:val="22"/>
          <w:lang w:val="lt-LT"/>
        </w:rPr>
      </w:pPr>
      <w:r w:rsidRPr="00220850">
        <w:rPr>
          <w:color w:val="auto"/>
          <w:sz w:val="22"/>
          <w:szCs w:val="22"/>
          <w:lang w:val="lt-LT"/>
        </w:rPr>
        <w:t xml:space="preserve">Bendrasis vidutinis FGPT Z balas (SN) pradinio vertinimo metu buvo -3,5 (1,9). </w:t>
      </w:r>
    </w:p>
    <w:p w14:paraId="5A0A5FA0" w14:textId="77777777" w:rsidR="00160C7C" w:rsidRPr="00220850" w:rsidRDefault="00160C7C" w:rsidP="003555DC">
      <w:pPr>
        <w:autoSpaceDE w:val="0"/>
        <w:autoSpaceDN w:val="0"/>
        <w:adjustRightInd w:val="0"/>
        <w:rPr>
          <w:rFonts w:eastAsia="TimesNewRoman,Bold"/>
          <w:bCs/>
          <w:sz w:val="22"/>
          <w:szCs w:val="22"/>
          <w:lang w:val="it-CH"/>
        </w:rPr>
      </w:pPr>
    </w:p>
    <w:p w14:paraId="21EE3B5D" w14:textId="0A7B0C36" w:rsidR="00160C7C" w:rsidRPr="00220850" w:rsidRDefault="003555DC" w:rsidP="003555DC">
      <w:pPr>
        <w:autoSpaceDE w:val="0"/>
        <w:autoSpaceDN w:val="0"/>
        <w:adjustRightInd w:val="0"/>
        <w:rPr>
          <w:rFonts w:eastAsia="TimesNewRoman,Bold"/>
          <w:bCs/>
          <w:sz w:val="22"/>
          <w:szCs w:val="22"/>
          <w:lang w:val="it-CH"/>
        </w:rPr>
      </w:pPr>
      <w:r w:rsidRPr="00220850">
        <w:rPr>
          <w:rFonts w:eastAsia="TimesNewRoman,Bold"/>
          <w:bCs/>
          <w:sz w:val="22"/>
          <w:szCs w:val="22"/>
          <w:lang w:val="it-CH"/>
        </w:rPr>
        <w:t>Dažniausios pavienės gretutinės</w:t>
      </w:r>
      <w:r w:rsidR="002A0881" w:rsidRPr="00220850">
        <w:rPr>
          <w:rFonts w:eastAsia="TimesNewRoman,Bold"/>
          <w:bCs/>
          <w:sz w:val="22"/>
          <w:szCs w:val="22"/>
          <w:lang w:val="it-CH"/>
        </w:rPr>
        <w:t xml:space="preserve"> </w:t>
      </w:r>
      <w:r w:rsidRPr="00220850">
        <w:rPr>
          <w:rFonts w:eastAsia="TimesNewRoman,Bold"/>
          <w:bCs/>
          <w:sz w:val="22"/>
          <w:szCs w:val="22"/>
          <w:lang w:val="it-CH"/>
        </w:rPr>
        <w:t xml:space="preserve">IPL diagnozės </w:t>
      </w:r>
      <w:r w:rsidR="00E4557B" w:rsidRPr="00220850">
        <w:rPr>
          <w:rFonts w:eastAsia="TimesNewRoman,Bold"/>
          <w:bCs/>
          <w:sz w:val="22"/>
          <w:szCs w:val="22"/>
          <w:lang w:val="it-CH"/>
        </w:rPr>
        <w:t xml:space="preserve">tyrime dalyvavusiems pacientams </w:t>
      </w:r>
      <w:r w:rsidRPr="00220850">
        <w:rPr>
          <w:rFonts w:eastAsia="TimesNewRoman,Bold"/>
          <w:bCs/>
          <w:sz w:val="22"/>
          <w:szCs w:val="22"/>
          <w:lang w:val="it-CH"/>
        </w:rPr>
        <w:t>buvo</w:t>
      </w:r>
      <w:r w:rsidR="00160C7C" w:rsidRPr="00220850">
        <w:rPr>
          <w:rFonts w:eastAsia="TimesNewRoman,Bold"/>
          <w:bCs/>
          <w:sz w:val="22"/>
          <w:szCs w:val="22"/>
          <w:lang w:val="it-CH"/>
        </w:rPr>
        <w:t>:</w:t>
      </w:r>
      <w:r w:rsidRPr="00220850">
        <w:rPr>
          <w:rFonts w:eastAsia="TimesNewRoman,Bold"/>
          <w:bCs/>
          <w:sz w:val="22"/>
          <w:szCs w:val="22"/>
          <w:lang w:val="it-CH"/>
        </w:rPr>
        <w:t xml:space="preserve"> </w:t>
      </w:r>
    </w:p>
    <w:p w14:paraId="7DA21AFE" w14:textId="77777777" w:rsidR="00160C7C" w:rsidRPr="00220850" w:rsidRDefault="003555DC" w:rsidP="00E4557B">
      <w:pPr>
        <w:pStyle w:val="Sraopastraipa"/>
        <w:numPr>
          <w:ilvl w:val="0"/>
          <w:numId w:val="69"/>
        </w:numPr>
        <w:autoSpaceDE w:val="0"/>
        <w:autoSpaceDN w:val="0"/>
        <w:adjustRightInd w:val="0"/>
        <w:ind w:left="567" w:hanging="567"/>
        <w:rPr>
          <w:rFonts w:eastAsia="TimesNewRoman,Bold"/>
          <w:bCs/>
          <w:sz w:val="22"/>
          <w:szCs w:val="22"/>
          <w:lang w:val="en-US"/>
        </w:rPr>
      </w:pPr>
      <w:proofErr w:type="spellStart"/>
      <w:r w:rsidRPr="00220850">
        <w:rPr>
          <w:rFonts w:eastAsia="TimesNewRoman,Bold"/>
          <w:bCs/>
          <w:sz w:val="22"/>
          <w:szCs w:val="22"/>
          <w:lang w:val="en-US"/>
        </w:rPr>
        <w:t>surfaktanto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balty</w:t>
      </w:r>
      <w:r w:rsidR="002A0881" w:rsidRPr="00220850">
        <w:rPr>
          <w:rFonts w:eastAsia="TimesNewRoman,Bold"/>
          <w:bCs/>
          <w:sz w:val="22"/>
          <w:szCs w:val="22"/>
          <w:lang w:val="en-US"/>
        </w:rPr>
        <w:t>mų</w:t>
      </w:r>
      <w:proofErr w:type="spellEnd"/>
      <w:r w:rsidR="002A0881" w:rsidRPr="00220850">
        <w:rPr>
          <w:rFonts w:eastAsia="TimesNewRoman,Bold"/>
          <w:bCs/>
          <w:sz w:val="22"/>
          <w:szCs w:val="22"/>
          <w:lang w:val="en-US"/>
        </w:rPr>
        <w:t xml:space="preserve"> </w:t>
      </w:r>
      <w:proofErr w:type="spellStart"/>
      <w:r w:rsidR="002A0881" w:rsidRPr="00220850">
        <w:rPr>
          <w:rFonts w:eastAsia="TimesNewRoman,Bold"/>
          <w:bCs/>
          <w:sz w:val="22"/>
          <w:szCs w:val="22"/>
          <w:lang w:val="en-US"/>
        </w:rPr>
        <w:t>stoka</w:t>
      </w:r>
      <w:proofErr w:type="spellEnd"/>
      <w:r w:rsidR="002A0881" w:rsidRPr="00220850">
        <w:rPr>
          <w:rFonts w:eastAsia="TimesNewRoman,Bold"/>
          <w:bCs/>
          <w:sz w:val="22"/>
          <w:szCs w:val="22"/>
          <w:lang w:val="en-US"/>
        </w:rPr>
        <w:t xml:space="preserve"> (</w:t>
      </w:r>
      <w:proofErr w:type="spellStart"/>
      <w:r w:rsidR="002A0881" w:rsidRPr="00220850">
        <w:rPr>
          <w:rFonts w:eastAsia="TimesNewRoman,Bold"/>
          <w:bCs/>
          <w:sz w:val="22"/>
          <w:szCs w:val="22"/>
          <w:lang w:val="en-US"/>
        </w:rPr>
        <w:t>nintedanibas</w:t>
      </w:r>
      <w:proofErr w:type="spellEnd"/>
      <w:r w:rsidR="002A0881" w:rsidRPr="00220850">
        <w:rPr>
          <w:rFonts w:eastAsia="TimesNewRoman,Bold"/>
          <w:bCs/>
          <w:sz w:val="22"/>
          <w:szCs w:val="22"/>
          <w:lang w:val="en-US"/>
        </w:rPr>
        <w:t>: 26,9 </w:t>
      </w:r>
      <w:r w:rsidRPr="00220850">
        <w:rPr>
          <w:rFonts w:eastAsia="TimesNewRoman,Bold"/>
          <w:bCs/>
          <w:sz w:val="22"/>
          <w:szCs w:val="22"/>
          <w:lang w:val="en-US"/>
        </w:rPr>
        <w:t xml:space="preserve">%, </w:t>
      </w:r>
      <w:proofErr w:type="spellStart"/>
      <w:r w:rsidRPr="00220850">
        <w:rPr>
          <w:rFonts w:eastAsia="TimesNewRoman,Bold"/>
          <w:bCs/>
          <w:sz w:val="22"/>
          <w:szCs w:val="22"/>
          <w:lang w:val="en-US"/>
        </w:rPr>
        <w:t>placebas</w:t>
      </w:r>
      <w:proofErr w:type="spellEnd"/>
      <w:r w:rsidRPr="00220850">
        <w:rPr>
          <w:rFonts w:eastAsia="TimesNewRoman,Bold"/>
          <w:bCs/>
          <w:sz w:val="22"/>
          <w:szCs w:val="22"/>
          <w:lang w:val="en-US"/>
        </w:rPr>
        <w:t>: 38,5</w:t>
      </w:r>
      <w:r w:rsidR="002A0881" w:rsidRPr="00220850">
        <w:rPr>
          <w:rFonts w:eastAsia="TimesNewRoman,Bold"/>
          <w:bCs/>
          <w:sz w:val="22"/>
          <w:szCs w:val="22"/>
          <w:lang w:val="en-US"/>
        </w:rPr>
        <w:t> </w:t>
      </w:r>
      <w:r w:rsidRPr="00220850">
        <w:rPr>
          <w:rFonts w:eastAsia="TimesNewRoman,Bold"/>
          <w:bCs/>
          <w:sz w:val="22"/>
          <w:szCs w:val="22"/>
          <w:lang w:val="en-US"/>
        </w:rPr>
        <w:t xml:space="preserve">%), </w:t>
      </w:r>
    </w:p>
    <w:p w14:paraId="6B05DEEB" w14:textId="56E7DA28" w:rsidR="00160C7C" w:rsidRPr="00220850" w:rsidRDefault="003555DC" w:rsidP="00E4557B">
      <w:pPr>
        <w:pStyle w:val="Sraopastraipa"/>
        <w:numPr>
          <w:ilvl w:val="0"/>
          <w:numId w:val="69"/>
        </w:numPr>
        <w:autoSpaceDE w:val="0"/>
        <w:autoSpaceDN w:val="0"/>
        <w:adjustRightInd w:val="0"/>
        <w:ind w:left="567" w:hanging="567"/>
        <w:rPr>
          <w:rFonts w:eastAsia="TimesNewRoman,Bold"/>
          <w:bCs/>
          <w:sz w:val="22"/>
          <w:szCs w:val="22"/>
          <w:lang w:val="en-US"/>
        </w:rPr>
      </w:pPr>
      <w:proofErr w:type="spellStart"/>
      <w:r w:rsidRPr="00220850">
        <w:rPr>
          <w:rFonts w:eastAsia="TimesNewRoman,Bold"/>
          <w:bCs/>
          <w:sz w:val="22"/>
          <w:szCs w:val="22"/>
          <w:lang w:val="en-US"/>
        </w:rPr>
        <w:t>sisteminė</w:t>
      </w:r>
      <w:proofErr w:type="spellEnd"/>
      <w:r w:rsidR="002A0881" w:rsidRPr="00220850">
        <w:rPr>
          <w:rFonts w:eastAsia="TimesNewRoman,Bold"/>
          <w:bCs/>
          <w:sz w:val="22"/>
          <w:szCs w:val="22"/>
          <w:lang w:val="en-US"/>
        </w:rPr>
        <w:t xml:space="preserve"> </w:t>
      </w:r>
      <w:proofErr w:type="spellStart"/>
      <w:r w:rsidR="002A0881" w:rsidRPr="00220850">
        <w:rPr>
          <w:rFonts w:eastAsia="TimesNewRoman,Bold"/>
          <w:bCs/>
          <w:sz w:val="22"/>
          <w:szCs w:val="22"/>
          <w:lang w:val="en-US"/>
        </w:rPr>
        <w:t>sklerozė</w:t>
      </w:r>
      <w:proofErr w:type="spellEnd"/>
      <w:r w:rsidR="002A0881" w:rsidRPr="00220850">
        <w:rPr>
          <w:rFonts w:eastAsia="TimesNewRoman,Bold"/>
          <w:bCs/>
          <w:sz w:val="22"/>
          <w:szCs w:val="22"/>
          <w:lang w:val="en-US"/>
        </w:rPr>
        <w:t xml:space="preserve"> (</w:t>
      </w:r>
      <w:proofErr w:type="spellStart"/>
      <w:r w:rsidR="002A0881" w:rsidRPr="00220850">
        <w:rPr>
          <w:rFonts w:eastAsia="TimesNewRoman,Bold"/>
          <w:bCs/>
          <w:sz w:val="22"/>
          <w:szCs w:val="22"/>
          <w:lang w:val="en-US"/>
        </w:rPr>
        <w:t>nintedanibas</w:t>
      </w:r>
      <w:proofErr w:type="spellEnd"/>
      <w:r w:rsidR="002A0881" w:rsidRPr="00220850">
        <w:rPr>
          <w:rFonts w:eastAsia="TimesNewRoman,Bold"/>
          <w:bCs/>
          <w:sz w:val="22"/>
          <w:szCs w:val="22"/>
          <w:lang w:val="en-US"/>
        </w:rPr>
        <w:t>: 15,4 </w:t>
      </w:r>
      <w:r w:rsidRPr="00220850">
        <w:rPr>
          <w:rFonts w:eastAsia="TimesNewRoman,Bold"/>
          <w:bCs/>
          <w:sz w:val="22"/>
          <w:szCs w:val="22"/>
          <w:lang w:val="en-US"/>
        </w:rPr>
        <w:t xml:space="preserve">%, </w:t>
      </w:r>
      <w:proofErr w:type="spellStart"/>
      <w:r w:rsidRPr="00220850">
        <w:rPr>
          <w:rFonts w:eastAsia="TimesNewRoman,Bold"/>
          <w:bCs/>
          <w:sz w:val="22"/>
          <w:szCs w:val="22"/>
          <w:lang w:val="en-US"/>
        </w:rPr>
        <w:t>placebas</w:t>
      </w:r>
      <w:proofErr w:type="spellEnd"/>
      <w:r w:rsidRPr="00220850">
        <w:rPr>
          <w:rFonts w:eastAsia="TimesNewRoman,Bold"/>
          <w:bCs/>
          <w:sz w:val="22"/>
          <w:szCs w:val="22"/>
          <w:lang w:val="en-US"/>
        </w:rPr>
        <w:t>: 23,1</w:t>
      </w:r>
      <w:r w:rsidR="002A0881" w:rsidRPr="00220850">
        <w:rPr>
          <w:rFonts w:eastAsia="TimesNewRoman,Bold"/>
          <w:bCs/>
          <w:sz w:val="22"/>
          <w:szCs w:val="22"/>
          <w:lang w:val="en-US"/>
        </w:rPr>
        <w:t> </w:t>
      </w:r>
      <w:r w:rsidRPr="00220850">
        <w:rPr>
          <w:rFonts w:eastAsia="TimesNewRoman,Bold"/>
          <w:bCs/>
          <w:sz w:val="22"/>
          <w:szCs w:val="22"/>
          <w:lang w:val="en-US"/>
        </w:rPr>
        <w:t>%)</w:t>
      </w:r>
    </w:p>
    <w:p w14:paraId="41889615" w14:textId="77777777" w:rsidR="00160C7C" w:rsidRPr="00220850" w:rsidRDefault="003555DC" w:rsidP="00E4557B">
      <w:pPr>
        <w:pStyle w:val="Sraopastraipa"/>
        <w:numPr>
          <w:ilvl w:val="0"/>
          <w:numId w:val="69"/>
        </w:numPr>
        <w:autoSpaceDE w:val="0"/>
        <w:autoSpaceDN w:val="0"/>
        <w:adjustRightInd w:val="0"/>
        <w:ind w:left="567" w:hanging="567"/>
        <w:rPr>
          <w:rFonts w:eastAsia="TimesNewRoman,Bold"/>
          <w:bCs/>
          <w:sz w:val="22"/>
          <w:szCs w:val="22"/>
          <w:lang w:val="pt-PT"/>
        </w:rPr>
      </w:pPr>
      <w:r w:rsidRPr="00220850">
        <w:rPr>
          <w:rFonts w:eastAsia="TimesNewRoman,Bold"/>
          <w:bCs/>
          <w:sz w:val="22"/>
          <w:szCs w:val="22"/>
          <w:lang w:val="pt-PT"/>
        </w:rPr>
        <w:t>toksinis / jonizuojančiosios spinduliuotės /</w:t>
      </w:r>
      <w:r w:rsidR="002A0881" w:rsidRPr="00220850">
        <w:rPr>
          <w:rFonts w:eastAsia="TimesNewRoman,Bold"/>
          <w:bCs/>
          <w:sz w:val="22"/>
          <w:szCs w:val="22"/>
          <w:lang w:val="pt-PT"/>
        </w:rPr>
        <w:t xml:space="preserve"> </w:t>
      </w:r>
      <w:r w:rsidRPr="00220850">
        <w:rPr>
          <w:rFonts w:eastAsia="TimesNewRoman,Bold"/>
          <w:bCs/>
          <w:sz w:val="22"/>
          <w:szCs w:val="22"/>
          <w:lang w:val="pt-PT"/>
        </w:rPr>
        <w:t xml:space="preserve">vaistinių preparatų sukeltas </w:t>
      </w:r>
      <w:r w:rsidR="002A0881" w:rsidRPr="00220850">
        <w:rPr>
          <w:rFonts w:eastAsia="TimesNewRoman,Bold"/>
          <w:bCs/>
          <w:sz w:val="22"/>
          <w:szCs w:val="22"/>
          <w:lang w:val="pt-PT"/>
        </w:rPr>
        <w:t>pneumonitas (nintedanibas: 11,5 %, placebas 7,7 </w:t>
      </w:r>
      <w:r w:rsidRPr="00220850">
        <w:rPr>
          <w:rFonts w:eastAsia="TimesNewRoman,Bold"/>
          <w:bCs/>
          <w:sz w:val="22"/>
          <w:szCs w:val="22"/>
          <w:lang w:val="pt-PT"/>
        </w:rPr>
        <w:t xml:space="preserve">%). </w:t>
      </w:r>
    </w:p>
    <w:p w14:paraId="7A3315E3" w14:textId="77777777" w:rsidR="00160C7C" w:rsidRPr="00220850" w:rsidRDefault="003555DC" w:rsidP="00E4557B">
      <w:pPr>
        <w:pStyle w:val="Sraopastraipa"/>
        <w:numPr>
          <w:ilvl w:val="0"/>
          <w:numId w:val="69"/>
        </w:numPr>
        <w:autoSpaceDE w:val="0"/>
        <w:autoSpaceDN w:val="0"/>
        <w:adjustRightInd w:val="0"/>
        <w:ind w:left="567" w:hanging="567"/>
        <w:rPr>
          <w:rFonts w:eastAsia="TimesNewRoman,Bold"/>
          <w:bCs/>
          <w:sz w:val="22"/>
          <w:szCs w:val="22"/>
          <w:lang w:val="es-ES"/>
        </w:rPr>
      </w:pPr>
      <w:r w:rsidRPr="00220850">
        <w:rPr>
          <w:rFonts w:eastAsia="TimesNewRoman,Bold"/>
          <w:bCs/>
          <w:sz w:val="22"/>
          <w:szCs w:val="22"/>
          <w:lang w:val="es-ES"/>
        </w:rPr>
        <w:t>Lėtinis padidėjusio</w:t>
      </w:r>
      <w:r w:rsidR="002A0881" w:rsidRPr="00220850">
        <w:rPr>
          <w:rFonts w:eastAsia="TimesNewRoman,Bold"/>
          <w:bCs/>
          <w:sz w:val="22"/>
          <w:szCs w:val="22"/>
          <w:lang w:val="es-ES"/>
        </w:rPr>
        <w:t xml:space="preserve"> </w:t>
      </w:r>
      <w:r w:rsidRPr="00220850">
        <w:rPr>
          <w:rFonts w:eastAsia="TimesNewRoman,Bold"/>
          <w:bCs/>
          <w:sz w:val="22"/>
          <w:szCs w:val="22"/>
          <w:lang w:val="es-ES"/>
        </w:rPr>
        <w:t xml:space="preserve">jautrumo sukeltas pneumonitas registruotas </w:t>
      </w:r>
      <w:r w:rsidR="002A0881" w:rsidRPr="00220850">
        <w:rPr>
          <w:rFonts w:eastAsia="TimesNewRoman,Bold"/>
          <w:bCs/>
          <w:sz w:val="22"/>
          <w:szCs w:val="22"/>
          <w:lang w:val="es-ES"/>
        </w:rPr>
        <w:t>2 pacientams (nintedanibas: 7,7 </w:t>
      </w:r>
      <w:r w:rsidRPr="00220850">
        <w:rPr>
          <w:rFonts w:eastAsia="TimesNewRoman,Bold"/>
          <w:bCs/>
          <w:sz w:val="22"/>
          <w:szCs w:val="22"/>
          <w:lang w:val="es-ES"/>
        </w:rPr>
        <w:t>%). Kitos gretutinės IPL</w:t>
      </w:r>
      <w:r w:rsidR="002A0881" w:rsidRPr="00220850">
        <w:rPr>
          <w:rFonts w:eastAsia="TimesNewRoman,Bold"/>
          <w:bCs/>
          <w:sz w:val="22"/>
          <w:szCs w:val="22"/>
          <w:lang w:val="es-ES"/>
        </w:rPr>
        <w:t xml:space="preserve"> </w:t>
      </w:r>
      <w:r w:rsidRPr="00220850">
        <w:rPr>
          <w:rFonts w:eastAsia="TimesNewRoman,Bold"/>
          <w:bCs/>
          <w:sz w:val="22"/>
          <w:szCs w:val="22"/>
          <w:lang w:val="es-ES"/>
        </w:rPr>
        <w:t>diagnozės, registruotos po 1 atvejį atskiriems pacientams, buvo</w:t>
      </w:r>
      <w:r w:rsidR="00160C7C" w:rsidRPr="00220850">
        <w:rPr>
          <w:rFonts w:eastAsia="TimesNewRoman,Bold"/>
          <w:bCs/>
          <w:sz w:val="22"/>
          <w:szCs w:val="22"/>
          <w:lang w:val="es-ES"/>
        </w:rPr>
        <w:t>:</w:t>
      </w:r>
    </w:p>
    <w:p w14:paraId="278C8568" w14:textId="17A91C0E"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s-ES"/>
        </w:rPr>
      </w:pPr>
      <w:r w:rsidRPr="00220850">
        <w:rPr>
          <w:rFonts w:eastAsia="TimesNewRoman,Bold"/>
          <w:bCs/>
          <w:sz w:val="22"/>
          <w:szCs w:val="22"/>
          <w:lang w:val="es-ES"/>
        </w:rPr>
        <w:t xml:space="preserve">po </w:t>
      </w:r>
      <w:r w:rsidR="002A0881" w:rsidRPr="00220850">
        <w:rPr>
          <w:rFonts w:eastAsia="TimesNewRoman,Bold"/>
          <w:bCs/>
          <w:sz w:val="22"/>
          <w:szCs w:val="22"/>
          <w:lang w:val="es-ES"/>
        </w:rPr>
        <w:t>kamieninių ląstelių transplantacijos (</w:t>
      </w:r>
      <w:r w:rsidRPr="00220850">
        <w:rPr>
          <w:rFonts w:eastAsia="TimesNewRoman,Bold"/>
          <w:bCs/>
          <w:sz w:val="22"/>
          <w:szCs w:val="22"/>
          <w:lang w:val="es-ES"/>
        </w:rPr>
        <w:t>KKLT</w:t>
      </w:r>
      <w:r w:rsidR="002A0881" w:rsidRPr="00220850">
        <w:rPr>
          <w:rFonts w:eastAsia="TimesNewRoman,Bold"/>
          <w:bCs/>
          <w:sz w:val="22"/>
          <w:szCs w:val="22"/>
          <w:lang w:val="es-ES"/>
        </w:rPr>
        <w:t>)</w:t>
      </w:r>
      <w:r w:rsidRPr="00220850">
        <w:rPr>
          <w:rFonts w:eastAsia="TimesNewRoman,Bold"/>
          <w:bCs/>
          <w:sz w:val="22"/>
          <w:szCs w:val="22"/>
          <w:lang w:val="es-ES"/>
        </w:rPr>
        <w:t xml:space="preserve"> išsivysčiusi fibrozė,</w:t>
      </w:r>
      <w:r w:rsidR="002A0881" w:rsidRPr="00220850">
        <w:rPr>
          <w:rFonts w:eastAsia="TimesNewRoman,Bold"/>
          <w:bCs/>
          <w:sz w:val="22"/>
          <w:szCs w:val="22"/>
          <w:lang w:val="es-ES"/>
        </w:rPr>
        <w:t xml:space="preserve"> </w:t>
      </w:r>
    </w:p>
    <w:p w14:paraId="6370AFDF"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jaunatvinis</w:t>
      </w:r>
      <w:proofErr w:type="spellEnd"/>
      <w:r w:rsidRPr="00220850">
        <w:rPr>
          <w:rFonts w:eastAsia="TimesNewRoman,Bold"/>
          <w:bCs/>
          <w:sz w:val="22"/>
          <w:szCs w:val="22"/>
          <w:lang w:val="en-US"/>
        </w:rPr>
        <w:t xml:space="preserve"> RA,</w:t>
      </w:r>
    </w:p>
    <w:p w14:paraId="222E9EA6" w14:textId="4DA611AA"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jaunatvinis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idiopatinis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artritas</w:t>
      </w:r>
      <w:proofErr w:type="spellEnd"/>
      <w:r w:rsidRPr="00220850">
        <w:rPr>
          <w:rFonts w:eastAsia="TimesNewRoman,Bold"/>
          <w:bCs/>
          <w:sz w:val="22"/>
          <w:szCs w:val="22"/>
          <w:lang w:val="en-US"/>
        </w:rPr>
        <w:t xml:space="preserve">, </w:t>
      </w:r>
    </w:p>
    <w:p w14:paraId="4C79A01F"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dermatomiozitas</w:t>
      </w:r>
      <w:proofErr w:type="spellEnd"/>
      <w:r w:rsidRPr="00220850">
        <w:rPr>
          <w:rFonts w:eastAsia="TimesNewRoman,Bold"/>
          <w:bCs/>
          <w:sz w:val="22"/>
          <w:szCs w:val="22"/>
          <w:lang w:val="en-US"/>
        </w:rPr>
        <w:t xml:space="preserve"> (DM), </w:t>
      </w:r>
    </w:p>
    <w:p w14:paraId="213B2E47"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deskvamacinis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intersticinis</w:t>
      </w:r>
      <w:proofErr w:type="spellEnd"/>
      <w:r w:rsidR="000634A6" w:rsidRPr="00220850">
        <w:rPr>
          <w:rFonts w:eastAsia="TimesNewRoman,Bold"/>
          <w:bCs/>
          <w:sz w:val="22"/>
          <w:szCs w:val="22"/>
          <w:lang w:val="en-US"/>
        </w:rPr>
        <w:t xml:space="preserve"> </w:t>
      </w:r>
      <w:proofErr w:type="spellStart"/>
      <w:r w:rsidRPr="00220850">
        <w:rPr>
          <w:rFonts w:eastAsia="TimesNewRoman,Bold"/>
          <w:bCs/>
          <w:sz w:val="22"/>
          <w:szCs w:val="22"/>
          <w:lang w:val="en-US"/>
        </w:rPr>
        <w:t>pneumonitas</w:t>
      </w:r>
      <w:proofErr w:type="spellEnd"/>
      <w:r w:rsidRPr="00220850">
        <w:rPr>
          <w:rFonts w:eastAsia="TimesNewRoman,Bold"/>
          <w:bCs/>
          <w:sz w:val="22"/>
          <w:szCs w:val="22"/>
          <w:lang w:val="en-US"/>
        </w:rPr>
        <w:t xml:space="preserve">, </w:t>
      </w:r>
    </w:p>
    <w:p w14:paraId="39B79103"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r w:rsidRPr="00220850">
        <w:rPr>
          <w:rFonts w:eastAsia="TimesNewRoman,Bold"/>
          <w:bCs/>
          <w:sz w:val="22"/>
          <w:szCs w:val="22"/>
          <w:lang w:val="en-US"/>
        </w:rPr>
        <w:t xml:space="preserve">H1N1 </w:t>
      </w:r>
      <w:proofErr w:type="spellStart"/>
      <w:r w:rsidRPr="00220850">
        <w:rPr>
          <w:rFonts w:eastAsia="TimesNewRoman,Bold"/>
          <w:bCs/>
          <w:sz w:val="22"/>
          <w:szCs w:val="22"/>
          <w:lang w:val="en-US"/>
        </w:rPr>
        <w:t>tipo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gripas</w:t>
      </w:r>
      <w:proofErr w:type="spellEnd"/>
      <w:r w:rsidRPr="00220850">
        <w:rPr>
          <w:rFonts w:eastAsia="TimesNewRoman,Bold"/>
          <w:bCs/>
          <w:sz w:val="22"/>
          <w:szCs w:val="22"/>
          <w:lang w:val="en-US"/>
        </w:rPr>
        <w:t xml:space="preserve">, </w:t>
      </w:r>
    </w:p>
    <w:p w14:paraId="3742F620"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ne</w:t>
      </w:r>
      <w:r w:rsidR="00E40E22" w:rsidRPr="00220850">
        <w:rPr>
          <w:rFonts w:eastAsia="TimesNewRoman,Bold"/>
          <w:bCs/>
          <w:sz w:val="22"/>
          <w:szCs w:val="22"/>
          <w:lang w:val="en-US"/>
        </w:rPr>
        <w:t>aiški</w:t>
      </w:r>
      <w:proofErr w:type="spellEnd"/>
      <w:r w:rsidR="00E40E22" w:rsidRPr="00220850">
        <w:rPr>
          <w:rFonts w:eastAsia="TimesNewRoman,Bold"/>
          <w:bCs/>
          <w:sz w:val="22"/>
          <w:szCs w:val="22"/>
          <w:lang w:val="en-US"/>
        </w:rPr>
        <w:t xml:space="preserve"> (</w:t>
      </w:r>
      <w:proofErr w:type="spellStart"/>
      <w:r w:rsidR="00E40E22" w:rsidRPr="00220850">
        <w:rPr>
          <w:rFonts w:eastAsia="TimesNewRoman,Bold"/>
          <w:bCs/>
          <w:sz w:val="22"/>
          <w:szCs w:val="22"/>
          <w:lang w:val="en-US"/>
        </w:rPr>
        <w:t>lėtinė</w:t>
      </w:r>
      <w:proofErr w:type="spellEnd"/>
      <w:r w:rsidR="00E40E22" w:rsidRPr="00220850">
        <w:rPr>
          <w:rFonts w:eastAsia="TimesNewRoman,Bold"/>
          <w:bCs/>
          <w:sz w:val="22"/>
          <w:szCs w:val="22"/>
          <w:lang w:val="en-US"/>
        </w:rPr>
        <w:t xml:space="preserve"> </w:t>
      </w:r>
      <w:proofErr w:type="spellStart"/>
      <w:r w:rsidR="00E40E22" w:rsidRPr="00220850">
        <w:rPr>
          <w:rFonts w:eastAsia="TimesNewRoman,Bold"/>
          <w:bCs/>
          <w:sz w:val="22"/>
          <w:szCs w:val="22"/>
          <w:lang w:val="en-US"/>
        </w:rPr>
        <w:t>difuzinė</w:t>
      </w:r>
      <w:proofErr w:type="spellEnd"/>
      <w:r w:rsidR="00E40E22" w:rsidRPr="00220850">
        <w:rPr>
          <w:rFonts w:eastAsia="TimesNewRoman,Bold"/>
          <w:bCs/>
          <w:sz w:val="22"/>
          <w:szCs w:val="22"/>
          <w:lang w:val="en-US"/>
        </w:rPr>
        <w:t xml:space="preserve"> </w:t>
      </w:r>
      <w:proofErr w:type="spellStart"/>
      <w:r w:rsidR="00E40E22" w:rsidRPr="00220850">
        <w:rPr>
          <w:rFonts w:eastAsia="TimesNewRoman,Bold"/>
          <w:bCs/>
          <w:sz w:val="22"/>
          <w:szCs w:val="22"/>
          <w:lang w:val="en-US"/>
        </w:rPr>
        <w:t>plaučių</w:t>
      </w:r>
      <w:proofErr w:type="spellEnd"/>
      <w:r w:rsidR="00E40E22" w:rsidRPr="00220850">
        <w:rPr>
          <w:rFonts w:eastAsia="TimesNewRoman,Bold"/>
          <w:bCs/>
          <w:sz w:val="22"/>
          <w:szCs w:val="22"/>
          <w:lang w:val="en-US"/>
        </w:rPr>
        <w:t xml:space="preserve"> </w:t>
      </w:r>
      <w:proofErr w:type="spellStart"/>
      <w:r w:rsidRPr="00220850">
        <w:rPr>
          <w:rFonts w:eastAsia="TimesNewRoman,Bold"/>
          <w:bCs/>
          <w:sz w:val="22"/>
          <w:szCs w:val="22"/>
          <w:lang w:val="en-US"/>
        </w:rPr>
        <w:t>liga</w:t>
      </w:r>
      <w:proofErr w:type="spellEnd"/>
      <w:r w:rsidRPr="00220850">
        <w:rPr>
          <w:rFonts w:eastAsia="TimesNewRoman,Bold"/>
          <w:bCs/>
          <w:sz w:val="22"/>
          <w:szCs w:val="22"/>
          <w:lang w:val="en-US"/>
        </w:rPr>
        <w:t xml:space="preserve">), </w:t>
      </w:r>
    </w:p>
    <w:p w14:paraId="46F1756A"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r w:rsidRPr="00220850">
        <w:rPr>
          <w:rFonts w:eastAsia="TimesNewRoman,Bold"/>
          <w:bCs/>
          <w:sz w:val="22"/>
          <w:szCs w:val="22"/>
          <w:lang w:val="en-US"/>
        </w:rPr>
        <w:t xml:space="preserve">COPA </w:t>
      </w:r>
      <w:proofErr w:type="spellStart"/>
      <w:r w:rsidRPr="00220850">
        <w:rPr>
          <w:rFonts w:eastAsia="TimesNewRoman,Bold"/>
          <w:bCs/>
          <w:sz w:val="22"/>
          <w:szCs w:val="22"/>
          <w:lang w:val="en-US"/>
        </w:rPr>
        <w:t>sindromas</w:t>
      </w:r>
      <w:proofErr w:type="spellEnd"/>
      <w:r w:rsidRPr="00220850">
        <w:rPr>
          <w:rFonts w:eastAsia="TimesNewRoman,Bold"/>
          <w:bCs/>
          <w:sz w:val="22"/>
          <w:szCs w:val="22"/>
          <w:lang w:val="en-US"/>
        </w:rPr>
        <w:t>,</w:t>
      </w:r>
      <w:r w:rsidR="000634A6" w:rsidRPr="00220850">
        <w:rPr>
          <w:rFonts w:eastAsia="TimesNewRoman,Bold"/>
          <w:bCs/>
          <w:sz w:val="22"/>
          <w:szCs w:val="22"/>
          <w:lang w:val="en-US"/>
        </w:rPr>
        <w:t xml:space="preserve"> </w:t>
      </w:r>
    </w:p>
    <w:p w14:paraId="2C122581"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r w:rsidRPr="00220850">
        <w:rPr>
          <w:rFonts w:eastAsia="TimesNewRoman,Bold"/>
          <w:bCs/>
          <w:sz w:val="22"/>
          <w:szCs w:val="22"/>
          <w:lang w:val="en-US"/>
        </w:rPr>
        <w:t xml:space="preserve">COPA </w:t>
      </w:r>
      <w:proofErr w:type="spellStart"/>
      <w:r w:rsidRPr="00220850">
        <w:rPr>
          <w:rFonts w:eastAsia="TimesNewRoman,Bold"/>
          <w:bCs/>
          <w:sz w:val="22"/>
          <w:szCs w:val="22"/>
          <w:lang w:val="en-US"/>
        </w:rPr>
        <w:t>geno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mutacija</w:t>
      </w:r>
      <w:proofErr w:type="spellEnd"/>
      <w:r w:rsidRPr="00220850">
        <w:rPr>
          <w:rFonts w:eastAsia="TimesNewRoman,Bold"/>
          <w:bCs/>
          <w:sz w:val="22"/>
          <w:szCs w:val="22"/>
          <w:lang w:val="en-US"/>
        </w:rPr>
        <w:t xml:space="preserve">, </w:t>
      </w:r>
    </w:p>
    <w:p w14:paraId="7F14F929"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nediferencijuota</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jungiamojo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audinio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liga</w:t>
      </w:r>
      <w:proofErr w:type="spellEnd"/>
      <w:r w:rsidRPr="00220850">
        <w:rPr>
          <w:rFonts w:eastAsia="TimesNewRoman,Bold"/>
          <w:bCs/>
          <w:sz w:val="22"/>
          <w:szCs w:val="22"/>
          <w:lang w:val="en-US"/>
        </w:rPr>
        <w:t xml:space="preserve">, </w:t>
      </w:r>
    </w:p>
    <w:p w14:paraId="6A18D3CA"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t>poinfekcinis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obliteracinis</w:t>
      </w:r>
      <w:proofErr w:type="spellEnd"/>
      <w:r w:rsidR="000634A6" w:rsidRPr="00220850">
        <w:rPr>
          <w:rFonts w:eastAsia="TimesNewRoman,Bold"/>
          <w:bCs/>
          <w:sz w:val="22"/>
          <w:szCs w:val="22"/>
          <w:lang w:val="en-US"/>
        </w:rPr>
        <w:t xml:space="preserve"> </w:t>
      </w:r>
      <w:proofErr w:type="spellStart"/>
      <w:r w:rsidRPr="00220850">
        <w:rPr>
          <w:rFonts w:eastAsia="TimesNewRoman,Bold"/>
          <w:bCs/>
          <w:sz w:val="22"/>
          <w:szCs w:val="22"/>
          <w:lang w:val="en-US"/>
        </w:rPr>
        <w:t>bronchiolitas</w:t>
      </w:r>
      <w:proofErr w:type="spellEnd"/>
      <w:r w:rsidRPr="00220850">
        <w:rPr>
          <w:rFonts w:eastAsia="TimesNewRoman,Bold"/>
          <w:bCs/>
          <w:sz w:val="22"/>
          <w:szCs w:val="22"/>
          <w:lang w:val="en-US"/>
        </w:rPr>
        <w:t xml:space="preserve">, </w:t>
      </w:r>
    </w:p>
    <w:p w14:paraId="082356AD" w14:textId="77777777"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en-US"/>
        </w:rPr>
      </w:pPr>
      <w:proofErr w:type="spellStart"/>
      <w:r w:rsidRPr="00220850">
        <w:rPr>
          <w:rFonts w:eastAsia="TimesNewRoman,Bold"/>
          <w:bCs/>
          <w:sz w:val="22"/>
          <w:szCs w:val="22"/>
          <w:lang w:val="en-US"/>
        </w:rPr>
        <w:lastRenderedPageBreak/>
        <w:t>nepatikslinta</w:t>
      </w:r>
      <w:proofErr w:type="spellEnd"/>
      <w:r w:rsidRPr="00220850">
        <w:rPr>
          <w:rFonts w:eastAsia="TimesNewRoman,Bold"/>
          <w:bCs/>
          <w:sz w:val="22"/>
          <w:szCs w:val="22"/>
          <w:lang w:val="en-US"/>
        </w:rPr>
        <w:t xml:space="preserve"> IPL, </w:t>
      </w:r>
    </w:p>
    <w:p w14:paraId="6F93E716" w14:textId="770072A8" w:rsidR="00FF5ED3"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fr-FR"/>
        </w:rPr>
      </w:pPr>
      <w:r w:rsidRPr="00220850">
        <w:rPr>
          <w:rFonts w:eastAsia="TimesNewRoman,Bold"/>
          <w:bCs/>
          <w:sz w:val="22"/>
          <w:szCs w:val="22"/>
          <w:lang w:val="fr-FR"/>
        </w:rPr>
        <w:t xml:space="preserve">idiopatinė </w:t>
      </w:r>
    </w:p>
    <w:p w14:paraId="5AA0FB0C" w14:textId="7D6A3C30" w:rsidR="003555DC" w:rsidRPr="00220850" w:rsidRDefault="003555DC" w:rsidP="00E4557B">
      <w:pPr>
        <w:pStyle w:val="Sraopastraipa"/>
        <w:numPr>
          <w:ilvl w:val="0"/>
          <w:numId w:val="70"/>
        </w:numPr>
        <w:autoSpaceDE w:val="0"/>
        <w:autoSpaceDN w:val="0"/>
        <w:adjustRightInd w:val="0"/>
        <w:ind w:left="1134" w:hanging="567"/>
        <w:rPr>
          <w:rFonts w:eastAsia="TimesNewRoman,Bold"/>
          <w:bCs/>
          <w:sz w:val="22"/>
          <w:szCs w:val="22"/>
          <w:lang w:val="fr-FR"/>
        </w:rPr>
      </w:pPr>
      <w:r w:rsidRPr="00220850">
        <w:rPr>
          <w:rFonts w:eastAsia="TimesNewRoman,Bold"/>
          <w:bCs/>
          <w:sz w:val="22"/>
          <w:szCs w:val="22"/>
          <w:lang w:val="fr-FR"/>
        </w:rPr>
        <w:t>su STING susijusi vaskulopatija.</w:t>
      </w:r>
    </w:p>
    <w:p w14:paraId="6D7B8894" w14:textId="77777777" w:rsidR="000634A6" w:rsidRPr="00220850" w:rsidRDefault="000634A6" w:rsidP="003555DC">
      <w:pPr>
        <w:autoSpaceDE w:val="0"/>
        <w:autoSpaceDN w:val="0"/>
        <w:adjustRightInd w:val="0"/>
        <w:rPr>
          <w:rFonts w:eastAsia="TimesNewRoman,Bold"/>
          <w:bCs/>
          <w:sz w:val="22"/>
          <w:szCs w:val="22"/>
          <w:lang w:val="en-US"/>
        </w:rPr>
      </w:pPr>
    </w:p>
    <w:p w14:paraId="37338350" w14:textId="77777777" w:rsidR="003555DC" w:rsidRPr="00220850" w:rsidRDefault="003555DC" w:rsidP="003555DC">
      <w:pPr>
        <w:autoSpaceDE w:val="0"/>
        <w:autoSpaceDN w:val="0"/>
        <w:adjustRightInd w:val="0"/>
        <w:rPr>
          <w:rFonts w:eastAsia="TimesNewRoman,Bold"/>
          <w:bCs/>
          <w:sz w:val="22"/>
          <w:szCs w:val="22"/>
          <w:lang w:val="en-US"/>
        </w:rPr>
      </w:pPr>
      <w:proofErr w:type="spellStart"/>
      <w:r w:rsidRPr="00220850">
        <w:rPr>
          <w:rFonts w:eastAsia="TimesNewRoman,Bold"/>
          <w:bCs/>
          <w:sz w:val="22"/>
          <w:szCs w:val="22"/>
          <w:lang w:val="en-US"/>
        </w:rPr>
        <w:t>P</w:t>
      </w:r>
      <w:r w:rsidR="000634A6" w:rsidRPr="00220850">
        <w:rPr>
          <w:rFonts w:eastAsia="TimesNewRoman,Bold"/>
          <w:bCs/>
          <w:sz w:val="22"/>
          <w:szCs w:val="22"/>
          <w:lang w:val="en-US"/>
        </w:rPr>
        <w:t>agrindinių</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vertinamųjų</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baigčių</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rezultatai</w:t>
      </w:r>
      <w:proofErr w:type="spellEnd"/>
      <w:r w:rsidRPr="00220850">
        <w:rPr>
          <w:rFonts w:eastAsia="TimesNewRoman,Bold"/>
          <w:bCs/>
          <w:sz w:val="22"/>
          <w:szCs w:val="22"/>
          <w:lang w:val="en-US"/>
        </w:rPr>
        <w:t>:</w:t>
      </w:r>
    </w:p>
    <w:p w14:paraId="6B80FC70" w14:textId="2324ECC5" w:rsidR="00FF5ED3" w:rsidRPr="00220850" w:rsidRDefault="00E4557B" w:rsidP="0035166F">
      <w:pPr>
        <w:pStyle w:val="Sraopastraipa"/>
        <w:numPr>
          <w:ilvl w:val="0"/>
          <w:numId w:val="71"/>
        </w:numPr>
        <w:autoSpaceDE w:val="0"/>
        <w:autoSpaceDN w:val="0"/>
        <w:adjustRightInd w:val="0"/>
        <w:ind w:left="567" w:hanging="567"/>
        <w:rPr>
          <w:rFonts w:eastAsia="TimesNewRoman,Bold"/>
          <w:b/>
          <w:sz w:val="22"/>
          <w:szCs w:val="22"/>
          <w:lang w:val="en-US"/>
        </w:rPr>
      </w:pPr>
      <w:proofErr w:type="spellStart"/>
      <w:r w:rsidRPr="00220850">
        <w:rPr>
          <w:rFonts w:eastAsia="TimesNewRoman,Bold"/>
          <w:b/>
          <w:sz w:val="22"/>
          <w:szCs w:val="22"/>
          <w:lang w:val="en-US"/>
        </w:rPr>
        <w:t>Nintedanibo</w:t>
      </w:r>
      <w:proofErr w:type="spellEnd"/>
      <w:r w:rsidRPr="00220850">
        <w:rPr>
          <w:rFonts w:eastAsia="TimesNewRoman,Bold"/>
          <w:b/>
          <w:sz w:val="22"/>
          <w:szCs w:val="22"/>
          <w:lang w:val="en-US"/>
        </w:rPr>
        <w:t xml:space="preserve"> </w:t>
      </w:r>
      <w:proofErr w:type="spellStart"/>
      <w:r w:rsidR="00B430C3" w:rsidRPr="00220850">
        <w:rPr>
          <w:rFonts w:eastAsia="TimesNewRoman,Bold"/>
          <w:b/>
          <w:sz w:val="22"/>
          <w:szCs w:val="22"/>
          <w:lang w:val="en-US"/>
        </w:rPr>
        <w:t>ekspozicija</w:t>
      </w:r>
      <w:proofErr w:type="spellEnd"/>
      <w:r w:rsidRPr="00220850">
        <w:rPr>
          <w:rFonts w:eastAsia="TimesNewRoman,Bold"/>
          <w:b/>
          <w:sz w:val="22"/>
          <w:szCs w:val="22"/>
          <w:lang w:val="en-US"/>
        </w:rPr>
        <w:t>:</w:t>
      </w:r>
    </w:p>
    <w:p w14:paraId="4E415D1E" w14:textId="77777777" w:rsidR="003555DC" w:rsidRPr="00220850" w:rsidRDefault="003555DC" w:rsidP="0035166F">
      <w:pPr>
        <w:pStyle w:val="Sraopastraipa"/>
        <w:numPr>
          <w:ilvl w:val="0"/>
          <w:numId w:val="86"/>
        </w:numPr>
        <w:autoSpaceDE w:val="0"/>
        <w:autoSpaceDN w:val="0"/>
        <w:adjustRightInd w:val="0"/>
        <w:ind w:left="567" w:firstLine="0"/>
        <w:rPr>
          <w:rFonts w:eastAsia="TimesNewRoman,Bold"/>
          <w:bCs/>
          <w:sz w:val="22"/>
          <w:szCs w:val="22"/>
          <w:lang w:val="en-US"/>
        </w:rPr>
      </w:pPr>
      <w:proofErr w:type="spellStart"/>
      <w:r w:rsidRPr="00220850">
        <w:rPr>
          <w:rFonts w:eastAsia="TimesNewRoman,Bold"/>
          <w:bCs/>
          <w:sz w:val="22"/>
          <w:szCs w:val="22"/>
          <w:lang w:val="en-US"/>
        </w:rPr>
        <w:t>Nintedanibo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ekspozicija</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apibūdinta</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kaip</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AUC</w:t>
      </w:r>
      <w:r w:rsidRPr="00220850">
        <w:rPr>
          <w:rFonts w:eastAsia="TimesNewRoman,Bold"/>
          <w:bCs/>
          <w:sz w:val="22"/>
          <w:szCs w:val="22"/>
          <w:vertAlign w:val="subscript"/>
          <w:lang w:val="en-US"/>
        </w:rPr>
        <w:t>τ</w:t>
      </w:r>
      <w:proofErr w:type="spellEnd"/>
      <w:r w:rsidRPr="00220850">
        <w:rPr>
          <w:rFonts w:eastAsia="TimesNewRoman,Bold"/>
          <w:bCs/>
          <w:sz w:val="22"/>
          <w:szCs w:val="22"/>
          <w:vertAlign w:val="subscript"/>
          <w:lang w:val="en-US"/>
        </w:rPr>
        <w:t>,</w:t>
      </w:r>
      <w:r w:rsidR="00AC7284" w:rsidRPr="00220850">
        <w:rPr>
          <w:rFonts w:eastAsia="TimesNewRoman,Bold"/>
          <w:bCs/>
          <w:sz w:val="22"/>
          <w:szCs w:val="22"/>
          <w:vertAlign w:val="subscript"/>
          <w:lang w:val="en-US"/>
        </w:rPr>
        <w:t xml:space="preserve"> </w:t>
      </w:r>
      <w:r w:rsidRPr="00220850">
        <w:rPr>
          <w:rFonts w:eastAsia="TimesNewRoman,Bold"/>
          <w:bCs/>
          <w:sz w:val="22"/>
          <w:szCs w:val="22"/>
          <w:vertAlign w:val="subscript"/>
          <w:lang w:val="en-US"/>
        </w:rPr>
        <w:t>ss</w:t>
      </w:r>
      <w:r w:rsidRPr="00220850">
        <w:rPr>
          <w:rFonts w:eastAsia="TimesNewRoman,Bold"/>
          <w:bCs/>
          <w:sz w:val="22"/>
          <w:szCs w:val="22"/>
          <w:lang w:val="en-US"/>
        </w:rPr>
        <w:t xml:space="preserve">, </w:t>
      </w:r>
      <w:proofErr w:type="spellStart"/>
      <w:r w:rsidRPr="00220850">
        <w:rPr>
          <w:rFonts w:eastAsia="TimesNewRoman,Bold"/>
          <w:bCs/>
          <w:sz w:val="22"/>
          <w:szCs w:val="22"/>
          <w:lang w:val="en-US"/>
        </w:rPr>
        <w:t>remiantis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mėginių</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ėmimu</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esant</w:t>
      </w:r>
      <w:proofErr w:type="spellEnd"/>
      <w:r w:rsidR="000634A6" w:rsidRPr="00220850">
        <w:rPr>
          <w:rFonts w:eastAsia="TimesNewRoman,Bold"/>
          <w:bCs/>
          <w:sz w:val="22"/>
          <w:szCs w:val="22"/>
          <w:lang w:val="en-US"/>
        </w:rPr>
        <w:t xml:space="preserve"> </w:t>
      </w:r>
      <w:proofErr w:type="spellStart"/>
      <w:r w:rsidRPr="00220850">
        <w:rPr>
          <w:rFonts w:eastAsia="TimesNewRoman,Bold"/>
          <w:bCs/>
          <w:sz w:val="22"/>
          <w:szCs w:val="22"/>
          <w:lang w:val="en-US"/>
        </w:rPr>
        <w:t>pusiausvir</w:t>
      </w:r>
      <w:r w:rsidR="000634A6" w:rsidRPr="00220850">
        <w:rPr>
          <w:rFonts w:eastAsia="TimesNewRoman,Bold"/>
          <w:bCs/>
          <w:sz w:val="22"/>
          <w:szCs w:val="22"/>
          <w:lang w:val="en-US"/>
        </w:rPr>
        <w:t>os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būsenai</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didžiąja</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apimtimi</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vaikams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ir</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paaugliams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buvo</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panaši</w:t>
      </w:r>
      <w:proofErr w:type="spellEnd"/>
      <w:r w:rsidRPr="00220850">
        <w:rPr>
          <w:rFonts w:eastAsia="TimesNewRoman,Bold"/>
          <w:bCs/>
          <w:sz w:val="22"/>
          <w:szCs w:val="22"/>
          <w:lang w:val="en-US"/>
        </w:rPr>
        <w:t xml:space="preserve"> į </w:t>
      </w:r>
      <w:proofErr w:type="spellStart"/>
      <w:r w:rsidRPr="00220850">
        <w:rPr>
          <w:rFonts w:eastAsia="TimesNewRoman,Bold"/>
          <w:bCs/>
          <w:sz w:val="22"/>
          <w:szCs w:val="22"/>
          <w:lang w:val="en-US"/>
        </w:rPr>
        <w:t>AUC</w:t>
      </w:r>
      <w:r w:rsidRPr="00220850">
        <w:rPr>
          <w:rFonts w:eastAsia="TimesNewRoman,Bold"/>
          <w:bCs/>
          <w:sz w:val="22"/>
          <w:szCs w:val="22"/>
          <w:vertAlign w:val="subscript"/>
          <w:lang w:val="en-US"/>
        </w:rPr>
        <w:t>τ</w:t>
      </w:r>
      <w:proofErr w:type="spellEnd"/>
      <w:r w:rsidRPr="00220850">
        <w:rPr>
          <w:rFonts w:eastAsia="TimesNewRoman,Bold"/>
          <w:bCs/>
          <w:sz w:val="22"/>
          <w:szCs w:val="22"/>
          <w:vertAlign w:val="subscript"/>
          <w:lang w:val="en-US"/>
        </w:rPr>
        <w:t>,</w:t>
      </w:r>
      <w:r w:rsidR="00AC7284" w:rsidRPr="00220850">
        <w:rPr>
          <w:rFonts w:eastAsia="TimesNewRoman,Bold"/>
          <w:bCs/>
          <w:sz w:val="22"/>
          <w:szCs w:val="22"/>
          <w:vertAlign w:val="subscript"/>
          <w:lang w:val="en-US"/>
        </w:rPr>
        <w:t xml:space="preserve"> </w:t>
      </w:r>
      <w:r w:rsidRPr="00220850">
        <w:rPr>
          <w:rFonts w:eastAsia="TimesNewRoman,Bold"/>
          <w:bCs/>
          <w:sz w:val="22"/>
          <w:szCs w:val="22"/>
          <w:vertAlign w:val="subscript"/>
          <w:lang w:val="en-US"/>
        </w:rPr>
        <w:t>ss</w:t>
      </w:r>
      <w:r w:rsidRPr="00220850">
        <w:rPr>
          <w:rFonts w:eastAsia="TimesNewRoman,Bold"/>
          <w:bCs/>
          <w:sz w:val="22"/>
          <w:szCs w:val="22"/>
          <w:lang w:val="en-US"/>
        </w:rPr>
        <w:t>,</w:t>
      </w:r>
      <w:r w:rsidR="000634A6" w:rsidRPr="00220850">
        <w:rPr>
          <w:rFonts w:eastAsia="TimesNewRoman,Bold"/>
          <w:bCs/>
          <w:sz w:val="22"/>
          <w:szCs w:val="22"/>
          <w:lang w:val="en-US"/>
        </w:rPr>
        <w:t xml:space="preserve"> </w:t>
      </w:r>
      <w:proofErr w:type="spellStart"/>
      <w:r w:rsidRPr="00220850">
        <w:rPr>
          <w:rFonts w:eastAsia="TimesNewRoman,Bold"/>
          <w:bCs/>
          <w:sz w:val="22"/>
          <w:szCs w:val="22"/>
          <w:lang w:val="en-US"/>
        </w:rPr>
        <w:t>nustatytą</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suaugusiesiems</w:t>
      </w:r>
      <w:proofErr w:type="spellEnd"/>
      <w:r w:rsidRPr="00220850">
        <w:rPr>
          <w:rFonts w:eastAsia="TimesNewRoman,Bold"/>
          <w:bCs/>
          <w:sz w:val="22"/>
          <w:szCs w:val="22"/>
          <w:lang w:val="en-US"/>
        </w:rPr>
        <w:t xml:space="preserve"> (</w:t>
      </w:r>
      <w:proofErr w:type="spellStart"/>
      <w:r w:rsidRPr="00220850">
        <w:rPr>
          <w:rFonts w:eastAsia="TimesNewRoman,Bold"/>
          <w:bCs/>
          <w:sz w:val="22"/>
          <w:szCs w:val="22"/>
          <w:lang w:val="en-US"/>
        </w:rPr>
        <w:t>žr</w:t>
      </w:r>
      <w:proofErr w:type="spellEnd"/>
      <w:r w:rsidRPr="00220850">
        <w:rPr>
          <w:rFonts w:eastAsia="TimesNewRoman,Bold"/>
          <w:bCs/>
          <w:sz w:val="22"/>
          <w:szCs w:val="22"/>
          <w:lang w:val="en-US"/>
        </w:rPr>
        <w:t xml:space="preserve">. 5.2 </w:t>
      </w:r>
      <w:proofErr w:type="spellStart"/>
      <w:r w:rsidRPr="00220850">
        <w:rPr>
          <w:rFonts w:eastAsia="TimesNewRoman,Bold"/>
          <w:bCs/>
          <w:sz w:val="22"/>
          <w:szCs w:val="22"/>
          <w:lang w:val="en-US"/>
        </w:rPr>
        <w:t>skyrių</w:t>
      </w:r>
      <w:proofErr w:type="spellEnd"/>
      <w:r w:rsidRPr="00220850">
        <w:rPr>
          <w:rFonts w:eastAsia="TimesNewRoman,Bold"/>
          <w:bCs/>
          <w:sz w:val="22"/>
          <w:szCs w:val="22"/>
          <w:lang w:val="en-US"/>
        </w:rPr>
        <w:t>).</w:t>
      </w:r>
    </w:p>
    <w:p w14:paraId="4832892F" w14:textId="0EEA4A24" w:rsidR="00FF5ED3" w:rsidRPr="00220850" w:rsidRDefault="00E4557B" w:rsidP="0035166F">
      <w:pPr>
        <w:pStyle w:val="Sraopastraipa"/>
        <w:numPr>
          <w:ilvl w:val="0"/>
          <w:numId w:val="71"/>
        </w:numPr>
        <w:autoSpaceDE w:val="0"/>
        <w:autoSpaceDN w:val="0"/>
        <w:adjustRightInd w:val="0"/>
        <w:ind w:left="567" w:hanging="567"/>
        <w:rPr>
          <w:rFonts w:eastAsia="TimesNewRoman,Bold"/>
          <w:b/>
          <w:sz w:val="22"/>
          <w:szCs w:val="22"/>
          <w:lang w:val="en-US"/>
        </w:rPr>
      </w:pPr>
      <w:proofErr w:type="spellStart"/>
      <w:r w:rsidRPr="00220850">
        <w:rPr>
          <w:rFonts w:eastAsia="TimesNewRoman,Bold"/>
          <w:b/>
          <w:sz w:val="22"/>
          <w:szCs w:val="22"/>
          <w:lang w:val="en-US"/>
        </w:rPr>
        <w:t>Gydymo</w:t>
      </w:r>
      <w:proofErr w:type="spellEnd"/>
      <w:r w:rsidRPr="00220850">
        <w:rPr>
          <w:rFonts w:eastAsia="TimesNewRoman,Bold"/>
          <w:b/>
          <w:sz w:val="22"/>
          <w:szCs w:val="22"/>
          <w:lang w:val="en-US"/>
        </w:rPr>
        <w:t xml:space="preserve"> </w:t>
      </w:r>
      <w:proofErr w:type="spellStart"/>
      <w:r w:rsidRPr="00220850">
        <w:rPr>
          <w:rFonts w:eastAsia="TimesNewRoman,Bold"/>
          <w:b/>
          <w:sz w:val="22"/>
          <w:szCs w:val="22"/>
          <w:lang w:val="en-US"/>
        </w:rPr>
        <w:t>metu</w:t>
      </w:r>
      <w:proofErr w:type="spellEnd"/>
      <w:r w:rsidRPr="00220850">
        <w:rPr>
          <w:rFonts w:eastAsia="TimesNewRoman,Bold"/>
          <w:b/>
          <w:sz w:val="22"/>
          <w:szCs w:val="22"/>
          <w:lang w:val="en-US"/>
        </w:rPr>
        <w:t xml:space="preserve"> </w:t>
      </w:r>
      <w:proofErr w:type="spellStart"/>
      <w:r w:rsidR="00C45503" w:rsidRPr="00220850">
        <w:rPr>
          <w:rFonts w:eastAsia="TimesNewRoman,Bold"/>
          <w:b/>
          <w:sz w:val="22"/>
          <w:szCs w:val="22"/>
          <w:lang w:val="en-US"/>
        </w:rPr>
        <w:t>atsiradę</w:t>
      </w:r>
      <w:proofErr w:type="spellEnd"/>
      <w:r w:rsidRPr="00220850">
        <w:rPr>
          <w:rFonts w:eastAsia="TimesNewRoman,Bold"/>
          <w:b/>
          <w:sz w:val="22"/>
          <w:szCs w:val="22"/>
          <w:lang w:val="en-US"/>
        </w:rPr>
        <w:t xml:space="preserve"> </w:t>
      </w:r>
      <w:proofErr w:type="spellStart"/>
      <w:r w:rsidRPr="00220850">
        <w:rPr>
          <w:rFonts w:eastAsia="TimesNewRoman,Bold"/>
          <w:b/>
          <w:sz w:val="22"/>
          <w:szCs w:val="22"/>
          <w:lang w:val="en-US"/>
        </w:rPr>
        <w:t>nepageidaujami</w:t>
      </w:r>
      <w:proofErr w:type="spellEnd"/>
      <w:r w:rsidRPr="00220850">
        <w:rPr>
          <w:rFonts w:eastAsia="TimesNewRoman,Bold"/>
          <w:b/>
          <w:sz w:val="22"/>
          <w:szCs w:val="22"/>
          <w:lang w:val="en-US"/>
        </w:rPr>
        <w:t xml:space="preserve"> </w:t>
      </w:r>
      <w:proofErr w:type="spellStart"/>
      <w:r w:rsidRPr="00220850">
        <w:rPr>
          <w:rFonts w:eastAsia="TimesNewRoman,Bold"/>
          <w:b/>
          <w:sz w:val="22"/>
          <w:szCs w:val="22"/>
          <w:lang w:val="en-US"/>
        </w:rPr>
        <w:t>reiškiniai</w:t>
      </w:r>
      <w:proofErr w:type="spellEnd"/>
      <w:r w:rsidRPr="00220850">
        <w:rPr>
          <w:rFonts w:eastAsia="TimesNewRoman,Bold"/>
          <w:b/>
          <w:sz w:val="22"/>
          <w:szCs w:val="22"/>
          <w:lang w:val="en-US"/>
        </w:rPr>
        <w:t xml:space="preserve"> (24 </w:t>
      </w:r>
      <w:proofErr w:type="spellStart"/>
      <w:r w:rsidRPr="00220850">
        <w:rPr>
          <w:rFonts w:eastAsia="TimesNewRoman,Bold"/>
          <w:b/>
          <w:sz w:val="22"/>
          <w:szCs w:val="22"/>
          <w:lang w:val="en-US"/>
        </w:rPr>
        <w:t>savaitė</w:t>
      </w:r>
      <w:proofErr w:type="spellEnd"/>
      <w:r w:rsidRPr="00220850">
        <w:rPr>
          <w:rFonts w:eastAsia="TimesNewRoman,Bold"/>
          <w:b/>
          <w:sz w:val="22"/>
          <w:szCs w:val="22"/>
          <w:lang w:val="en-US"/>
        </w:rPr>
        <w:t>)</w:t>
      </w:r>
    </w:p>
    <w:p w14:paraId="74BFBE54" w14:textId="33E7F458" w:rsidR="00FF5ED3" w:rsidRPr="00220850" w:rsidRDefault="003555DC" w:rsidP="0035166F">
      <w:pPr>
        <w:pStyle w:val="Sraopastraipa"/>
        <w:numPr>
          <w:ilvl w:val="0"/>
          <w:numId w:val="87"/>
        </w:numPr>
        <w:autoSpaceDE w:val="0"/>
        <w:autoSpaceDN w:val="0"/>
        <w:adjustRightInd w:val="0"/>
        <w:ind w:left="567" w:firstLine="0"/>
        <w:rPr>
          <w:rFonts w:eastAsia="TimesNewRoman,Bold"/>
          <w:bCs/>
          <w:sz w:val="22"/>
          <w:szCs w:val="22"/>
          <w:lang w:val="es-ES"/>
        </w:rPr>
      </w:pPr>
      <w:r w:rsidRPr="00220850">
        <w:rPr>
          <w:rFonts w:eastAsia="TimesNewRoman,Bold"/>
          <w:bCs/>
          <w:sz w:val="22"/>
          <w:szCs w:val="22"/>
          <w:lang w:val="es-ES"/>
        </w:rPr>
        <w:t xml:space="preserve">nintedanibo grupėje </w:t>
      </w:r>
      <w:r w:rsidR="00C45503" w:rsidRPr="00220850">
        <w:rPr>
          <w:rFonts w:eastAsia="TimesNewRoman,Bold"/>
          <w:bCs/>
          <w:sz w:val="22"/>
          <w:szCs w:val="22"/>
        </w:rPr>
        <w:t xml:space="preserve">84,6 % pacientų </w:t>
      </w:r>
      <w:r w:rsidRPr="00220850">
        <w:rPr>
          <w:rFonts w:eastAsia="TimesNewRoman,Bold"/>
          <w:bCs/>
          <w:sz w:val="22"/>
          <w:szCs w:val="22"/>
          <w:lang w:val="es-ES"/>
        </w:rPr>
        <w:t>(6-11 metų: 75</w:t>
      </w:r>
      <w:r w:rsidR="000634A6" w:rsidRPr="00220850">
        <w:rPr>
          <w:rFonts w:eastAsia="TimesNewRoman,Bold"/>
          <w:bCs/>
          <w:sz w:val="22"/>
          <w:szCs w:val="22"/>
          <w:lang w:val="es-ES"/>
        </w:rPr>
        <w:t> %, 12-17 metų: 88,9 </w:t>
      </w:r>
      <w:r w:rsidRPr="00220850">
        <w:rPr>
          <w:rFonts w:eastAsia="TimesNewRoman,Bold"/>
          <w:bCs/>
          <w:sz w:val="22"/>
          <w:szCs w:val="22"/>
          <w:lang w:val="es-ES"/>
        </w:rPr>
        <w:t>%)</w:t>
      </w:r>
    </w:p>
    <w:p w14:paraId="3C9E258F" w14:textId="785D62DB" w:rsidR="003555DC" w:rsidRPr="00220850" w:rsidRDefault="000634A6" w:rsidP="0035166F">
      <w:pPr>
        <w:pStyle w:val="Sraopastraipa"/>
        <w:numPr>
          <w:ilvl w:val="0"/>
          <w:numId w:val="87"/>
        </w:numPr>
        <w:autoSpaceDE w:val="0"/>
        <w:autoSpaceDN w:val="0"/>
        <w:adjustRightInd w:val="0"/>
        <w:ind w:left="567" w:firstLine="0"/>
        <w:rPr>
          <w:rFonts w:eastAsia="TimesNewRoman,Bold"/>
          <w:bCs/>
          <w:sz w:val="22"/>
          <w:szCs w:val="22"/>
          <w:lang w:val="es-ES"/>
        </w:rPr>
      </w:pPr>
      <w:r w:rsidRPr="00220850">
        <w:rPr>
          <w:rFonts w:eastAsia="TimesNewRoman,Bold"/>
          <w:bCs/>
          <w:sz w:val="22"/>
          <w:szCs w:val="22"/>
          <w:lang w:val="es-ES"/>
        </w:rPr>
        <w:t xml:space="preserve">placebo grupėje </w:t>
      </w:r>
      <w:r w:rsidR="00C45503" w:rsidRPr="00220850">
        <w:rPr>
          <w:rFonts w:eastAsia="TimesNewRoman,Bold"/>
          <w:bCs/>
          <w:sz w:val="22"/>
          <w:szCs w:val="22"/>
        </w:rPr>
        <w:t xml:space="preserve">84,6 % pacientų </w:t>
      </w:r>
      <w:r w:rsidRPr="00220850">
        <w:rPr>
          <w:rFonts w:eastAsia="TimesNewRoman,Bold"/>
          <w:bCs/>
          <w:sz w:val="22"/>
          <w:szCs w:val="22"/>
          <w:lang w:val="es-ES"/>
        </w:rPr>
        <w:t>(6-11 metų: 100 %, 12-17 metų: 77,8 </w:t>
      </w:r>
      <w:r w:rsidR="003555DC" w:rsidRPr="00220850">
        <w:rPr>
          <w:rFonts w:eastAsia="TimesNewRoman,Bold"/>
          <w:bCs/>
          <w:sz w:val="22"/>
          <w:szCs w:val="22"/>
          <w:lang w:val="es-ES"/>
        </w:rPr>
        <w:t>%).</w:t>
      </w:r>
    </w:p>
    <w:p w14:paraId="1A13BABD" w14:textId="77777777" w:rsidR="000634A6" w:rsidRPr="00220850" w:rsidRDefault="000634A6" w:rsidP="003555DC">
      <w:pPr>
        <w:autoSpaceDE w:val="0"/>
        <w:autoSpaceDN w:val="0"/>
        <w:adjustRightInd w:val="0"/>
        <w:rPr>
          <w:rFonts w:eastAsia="TimesNewRoman,Bold"/>
          <w:bCs/>
          <w:sz w:val="22"/>
          <w:szCs w:val="22"/>
          <w:lang w:val="es-ES"/>
        </w:rPr>
      </w:pPr>
    </w:p>
    <w:p w14:paraId="764103AA" w14:textId="1A25C45D" w:rsidR="00C45503" w:rsidRPr="00220850" w:rsidRDefault="00C45503" w:rsidP="00FF5ED3">
      <w:pPr>
        <w:pStyle w:val="Pagrindinistekstas"/>
        <w:ind w:right="267"/>
        <w:rPr>
          <w:i w:val="0"/>
          <w:color w:val="auto"/>
          <w:szCs w:val="22"/>
          <w:lang w:val="lt-LT"/>
        </w:rPr>
      </w:pPr>
      <w:r w:rsidRPr="00220850">
        <w:rPr>
          <w:i w:val="0"/>
          <w:color w:val="auto"/>
          <w:szCs w:val="22"/>
          <w:lang w:val="lt-LT"/>
        </w:rPr>
        <w:t>Kaip antraeilė veiksmingumo vertinamoji baigtis buvo ti</w:t>
      </w:r>
      <w:r w:rsidR="00F0015E" w:rsidRPr="00220850">
        <w:rPr>
          <w:i w:val="0"/>
          <w:color w:val="auto"/>
          <w:szCs w:val="22"/>
          <w:lang w:val="lt-LT"/>
        </w:rPr>
        <w:t>riamas forsuoto</w:t>
      </w:r>
      <w:r w:rsidRPr="00220850">
        <w:rPr>
          <w:i w:val="0"/>
          <w:color w:val="auto"/>
          <w:szCs w:val="22"/>
          <w:lang w:val="lt-LT"/>
        </w:rPr>
        <w:t xml:space="preserve">s gyvybinės plaučių talpos </w:t>
      </w:r>
      <w:r w:rsidR="00F0015E" w:rsidRPr="00220850">
        <w:rPr>
          <w:i w:val="0"/>
          <w:color w:val="auto"/>
          <w:szCs w:val="22"/>
          <w:lang w:val="lt-LT"/>
        </w:rPr>
        <w:t>(F</w:t>
      </w:r>
      <w:r w:rsidR="00B17E34" w:rsidRPr="00220850">
        <w:rPr>
          <w:i w:val="0"/>
          <w:color w:val="auto"/>
          <w:szCs w:val="22"/>
          <w:lang w:val="lt-LT"/>
        </w:rPr>
        <w:t>GPT</w:t>
      </w:r>
      <w:r w:rsidR="00F0015E" w:rsidRPr="00220850">
        <w:rPr>
          <w:i w:val="0"/>
          <w:color w:val="auto"/>
          <w:szCs w:val="22"/>
          <w:lang w:val="lt-LT"/>
        </w:rPr>
        <w:t>)</w:t>
      </w:r>
      <w:r w:rsidR="00036C74" w:rsidRPr="00220850">
        <w:rPr>
          <w:i w:val="0"/>
          <w:color w:val="auto"/>
          <w:szCs w:val="22"/>
          <w:lang w:val="lt-LT"/>
        </w:rPr>
        <w:t>,</w:t>
      </w:r>
      <w:r w:rsidR="00F0015E" w:rsidRPr="00220850">
        <w:rPr>
          <w:i w:val="0"/>
          <w:color w:val="auto"/>
          <w:szCs w:val="22"/>
          <w:lang w:val="lt-LT"/>
        </w:rPr>
        <w:t xml:space="preserve"> </w:t>
      </w:r>
      <w:r w:rsidR="00036C74" w:rsidRPr="00220850">
        <w:rPr>
          <w:i w:val="0"/>
          <w:color w:val="auto"/>
          <w:szCs w:val="22"/>
          <w:lang w:val="lt-LT"/>
        </w:rPr>
        <w:t xml:space="preserve">išreikštos % </w:t>
      </w:r>
      <w:r w:rsidR="00F0015E" w:rsidRPr="00220850">
        <w:rPr>
          <w:i w:val="0"/>
          <w:color w:val="auto"/>
          <w:szCs w:val="22"/>
          <w:lang w:val="lt-LT"/>
        </w:rPr>
        <w:t xml:space="preserve">nuo </w:t>
      </w:r>
      <w:r w:rsidR="00036C74" w:rsidRPr="00220850">
        <w:rPr>
          <w:i w:val="0"/>
          <w:color w:val="auto"/>
          <w:szCs w:val="22"/>
          <w:lang w:val="lt-LT"/>
        </w:rPr>
        <w:t>būtinojo dydžio</w:t>
      </w:r>
      <w:r w:rsidR="00F0015E" w:rsidRPr="00220850">
        <w:rPr>
          <w:i w:val="0"/>
          <w:color w:val="auto"/>
          <w:szCs w:val="22"/>
          <w:lang w:val="lt-LT"/>
        </w:rPr>
        <w:t xml:space="preserve">, </w:t>
      </w:r>
      <w:r w:rsidR="00036C74" w:rsidRPr="00220850">
        <w:rPr>
          <w:i w:val="0"/>
          <w:color w:val="auto"/>
          <w:szCs w:val="22"/>
          <w:lang w:val="lt-LT"/>
        </w:rPr>
        <w:t xml:space="preserve">pokytis nuo pradinio vertinimo. </w:t>
      </w:r>
      <w:r w:rsidR="00F0015E" w:rsidRPr="00220850">
        <w:rPr>
          <w:i w:val="0"/>
          <w:color w:val="auto"/>
          <w:szCs w:val="22"/>
          <w:lang w:val="lt-LT"/>
        </w:rPr>
        <w:t>Rezultatai (6 pav.)</w:t>
      </w:r>
    </w:p>
    <w:p w14:paraId="449A7126" w14:textId="77777777" w:rsidR="00C45503" w:rsidRPr="00220850" w:rsidRDefault="00C45503" w:rsidP="00FF5ED3">
      <w:pPr>
        <w:pStyle w:val="Pagrindinistekstas"/>
        <w:ind w:right="267"/>
        <w:rPr>
          <w:i w:val="0"/>
          <w:iCs/>
          <w:color w:val="auto"/>
          <w:szCs w:val="22"/>
        </w:rPr>
      </w:pPr>
    </w:p>
    <w:p w14:paraId="7E1692C8" w14:textId="77777777" w:rsidR="00F0015E" w:rsidRPr="00220850" w:rsidRDefault="00F0015E" w:rsidP="0035166F">
      <w:pPr>
        <w:numPr>
          <w:ilvl w:val="1"/>
          <w:numId w:val="90"/>
        </w:numPr>
        <w:autoSpaceDE w:val="0"/>
        <w:autoSpaceDN w:val="0"/>
        <w:adjustRightInd w:val="0"/>
        <w:ind w:left="567" w:hanging="567"/>
        <w:rPr>
          <w:sz w:val="22"/>
          <w:szCs w:val="22"/>
        </w:rPr>
      </w:pPr>
      <w:r w:rsidRPr="00220850">
        <w:rPr>
          <w:b/>
          <w:sz w:val="22"/>
          <w:szCs w:val="22"/>
        </w:rPr>
        <w:t xml:space="preserve">24 savaitė: </w:t>
      </w:r>
    </w:p>
    <w:p w14:paraId="2F98DCCA" w14:textId="61B509A3" w:rsidR="00F0015E" w:rsidRPr="00220850" w:rsidRDefault="00F0015E" w:rsidP="0035166F">
      <w:pPr>
        <w:pStyle w:val="Default"/>
        <w:numPr>
          <w:ilvl w:val="1"/>
          <w:numId w:val="92"/>
        </w:numPr>
        <w:ind w:left="567" w:firstLine="0"/>
        <w:rPr>
          <w:color w:val="auto"/>
          <w:sz w:val="22"/>
          <w:szCs w:val="22"/>
          <w:lang w:val="lt-LT"/>
        </w:rPr>
      </w:pPr>
      <w:proofErr w:type="spellStart"/>
      <w:r w:rsidRPr="00220850">
        <w:rPr>
          <w:color w:val="auto"/>
          <w:sz w:val="22"/>
          <w:szCs w:val="22"/>
          <w:lang w:val="lt-LT"/>
        </w:rPr>
        <w:t>Nintedanibo</w:t>
      </w:r>
      <w:proofErr w:type="spellEnd"/>
      <w:r w:rsidRPr="00220850">
        <w:rPr>
          <w:color w:val="auto"/>
          <w:sz w:val="22"/>
          <w:szCs w:val="22"/>
          <w:lang w:val="lt-LT"/>
        </w:rPr>
        <w:t xml:space="preserve"> grupė: koreguotasis vidutinis pokytis = 0,31 (95 % PI:  - 2,36; 2,98); </w:t>
      </w:r>
    </w:p>
    <w:p w14:paraId="2E6692A6" w14:textId="75F168DE" w:rsidR="00F0015E" w:rsidRPr="00220850" w:rsidRDefault="00F0015E" w:rsidP="0035166F">
      <w:pPr>
        <w:pStyle w:val="Default"/>
        <w:numPr>
          <w:ilvl w:val="1"/>
          <w:numId w:val="92"/>
        </w:numPr>
        <w:ind w:left="567" w:firstLine="0"/>
        <w:rPr>
          <w:color w:val="auto"/>
          <w:sz w:val="22"/>
          <w:szCs w:val="22"/>
          <w:lang w:val="pt-PT"/>
        </w:rPr>
      </w:pPr>
      <w:r w:rsidRPr="00220850">
        <w:rPr>
          <w:color w:val="auto"/>
          <w:sz w:val="22"/>
          <w:szCs w:val="22"/>
          <w:lang w:val="pt-PT"/>
        </w:rPr>
        <w:t xml:space="preserve">Placebo grupė: koreguotasis vidutinis pokytis = -0,89 (95 % PI: - 4,61; 2,82); </w:t>
      </w:r>
    </w:p>
    <w:p w14:paraId="7D3B0D9F" w14:textId="6BE3EF6B" w:rsidR="00B17E34" w:rsidRPr="00220850" w:rsidRDefault="00B17E34" w:rsidP="0035166F">
      <w:pPr>
        <w:pStyle w:val="Default"/>
        <w:numPr>
          <w:ilvl w:val="1"/>
          <w:numId w:val="92"/>
        </w:numPr>
        <w:ind w:left="567" w:firstLine="0"/>
        <w:rPr>
          <w:color w:val="auto"/>
          <w:sz w:val="22"/>
          <w:szCs w:val="22"/>
          <w:lang w:val="pt-PT"/>
        </w:rPr>
      </w:pPr>
      <w:r w:rsidRPr="00220850">
        <w:rPr>
          <w:color w:val="auto"/>
          <w:sz w:val="22"/>
          <w:szCs w:val="22"/>
          <w:lang w:val="pt-PT"/>
        </w:rPr>
        <w:t>FGPT,</w:t>
      </w:r>
      <w:r w:rsidRPr="00220850">
        <w:rPr>
          <w:color w:val="auto"/>
          <w:sz w:val="22"/>
          <w:szCs w:val="22"/>
          <w:lang w:val="lt-LT"/>
        </w:rPr>
        <w:t xml:space="preserve"> pokytis nuo </w:t>
      </w:r>
      <w:r w:rsidR="00036C74" w:rsidRPr="00220850">
        <w:rPr>
          <w:color w:val="auto"/>
          <w:sz w:val="22"/>
          <w:szCs w:val="22"/>
          <w:lang w:val="lt-LT"/>
        </w:rPr>
        <w:t>būtinojo dydžio</w:t>
      </w:r>
      <w:r w:rsidRPr="00220850">
        <w:rPr>
          <w:color w:val="auto"/>
          <w:sz w:val="22"/>
          <w:szCs w:val="22"/>
          <w:lang w:val="lt-LT"/>
        </w:rPr>
        <w:t>, išreikštas %</w:t>
      </w:r>
      <w:r w:rsidRPr="00220850">
        <w:rPr>
          <w:color w:val="auto"/>
          <w:sz w:val="22"/>
          <w:szCs w:val="22"/>
          <w:lang w:val="pt-PT"/>
        </w:rPr>
        <w:t xml:space="preserve">, rodantis nintedanibo pranašumą: 1,21 (95 % PI:  -3,4; 5,81). </w:t>
      </w:r>
    </w:p>
    <w:p w14:paraId="4DCD3724" w14:textId="77777777" w:rsidR="00B17E34" w:rsidRPr="00220850" w:rsidRDefault="00B17E34" w:rsidP="0035166F">
      <w:pPr>
        <w:pStyle w:val="Default"/>
        <w:numPr>
          <w:ilvl w:val="1"/>
          <w:numId w:val="91"/>
        </w:numPr>
        <w:ind w:left="567" w:hanging="567"/>
        <w:rPr>
          <w:b/>
          <w:color w:val="auto"/>
          <w:sz w:val="22"/>
          <w:szCs w:val="22"/>
        </w:rPr>
      </w:pPr>
      <w:r w:rsidRPr="00220850">
        <w:rPr>
          <w:b/>
          <w:color w:val="auto"/>
          <w:sz w:val="22"/>
          <w:szCs w:val="22"/>
        </w:rPr>
        <w:t xml:space="preserve">52 </w:t>
      </w:r>
      <w:proofErr w:type="spellStart"/>
      <w:r w:rsidRPr="00220850">
        <w:rPr>
          <w:b/>
          <w:color w:val="auto"/>
          <w:sz w:val="22"/>
          <w:szCs w:val="22"/>
        </w:rPr>
        <w:t>savaitė</w:t>
      </w:r>
      <w:proofErr w:type="spellEnd"/>
      <w:r w:rsidRPr="00220850">
        <w:rPr>
          <w:b/>
          <w:color w:val="auto"/>
          <w:sz w:val="22"/>
          <w:szCs w:val="22"/>
        </w:rPr>
        <w:t>:</w:t>
      </w:r>
    </w:p>
    <w:p w14:paraId="54C94E85" w14:textId="1AC3AF05" w:rsidR="00B17E34" w:rsidRPr="00220850" w:rsidRDefault="00B17E34" w:rsidP="0035166F">
      <w:pPr>
        <w:pStyle w:val="Default"/>
        <w:numPr>
          <w:ilvl w:val="1"/>
          <w:numId w:val="93"/>
        </w:numPr>
        <w:ind w:left="567" w:firstLine="0"/>
        <w:rPr>
          <w:color w:val="auto"/>
          <w:sz w:val="22"/>
          <w:szCs w:val="22"/>
        </w:rPr>
      </w:pPr>
      <w:proofErr w:type="spellStart"/>
      <w:r w:rsidRPr="00220850">
        <w:rPr>
          <w:color w:val="auto"/>
          <w:sz w:val="22"/>
          <w:szCs w:val="22"/>
        </w:rPr>
        <w:t>Nintedanibo</w:t>
      </w:r>
      <w:proofErr w:type="spellEnd"/>
      <w:r w:rsidRPr="00220850">
        <w:rPr>
          <w:color w:val="auto"/>
          <w:sz w:val="22"/>
          <w:szCs w:val="22"/>
        </w:rPr>
        <w:t xml:space="preserve"> </w:t>
      </w:r>
      <w:proofErr w:type="spellStart"/>
      <w:r w:rsidRPr="00220850">
        <w:rPr>
          <w:color w:val="auto"/>
          <w:sz w:val="22"/>
          <w:szCs w:val="22"/>
        </w:rPr>
        <w:t>atsitiktinių</w:t>
      </w:r>
      <w:proofErr w:type="spellEnd"/>
      <w:r w:rsidRPr="00220850">
        <w:rPr>
          <w:color w:val="auto"/>
          <w:sz w:val="22"/>
          <w:szCs w:val="22"/>
        </w:rPr>
        <w:t xml:space="preserve"> </w:t>
      </w:r>
      <w:proofErr w:type="spellStart"/>
      <w:r w:rsidRPr="00220850">
        <w:rPr>
          <w:color w:val="auto"/>
          <w:sz w:val="22"/>
          <w:szCs w:val="22"/>
        </w:rPr>
        <w:t>imčių</w:t>
      </w:r>
      <w:proofErr w:type="spellEnd"/>
      <w:r w:rsidRPr="00220850">
        <w:rPr>
          <w:color w:val="auto"/>
          <w:sz w:val="22"/>
          <w:szCs w:val="22"/>
        </w:rPr>
        <w:t xml:space="preserve"> </w:t>
      </w:r>
      <w:proofErr w:type="spellStart"/>
      <w:r w:rsidRPr="00220850">
        <w:rPr>
          <w:color w:val="auto"/>
          <w:sz w:val="22"/>
          <w:szCs w:val="22"/>
        </w:rPr>
        <w:t>grupė</w:t>
      </w:r>
      <w:proofErr w:type="spellEnd"/>
      <w:r w:rsidRPr="00220850">
        <w:rPr>
          <w:color w:val="auto"/>
          <w:sz w:val="22"/>
          <w:szCs w:val="22"/>
        </w:rPr>
        <w:t xml:space="preserve">: </w:t>
      </w:r>
      <w:proofErr w:type="spellStart"/>
      <w:r w:rsidRPr="00220850">
        <w:rPr>
          <w:color w:val="auto"/>
          <w:sz w:val="22"/>
          <w:szCs w:val="22"/>
        </w:rPr>
        <w:t>koreguotasis</w:t>
      </w:r>
      <w:proofErr w:type="spellEnd"/>
      <w:r w:rsidRPr="00220850">
        <w:rPr>
          <w:color w:val="auto"/>
          <w:sz w:val="22"/>
          <w:szCs w:val="22"/>
        </w:rPr>
        <w:t xml:space="preserve"> </w:t>
      </w:r>
      <w:proofErr w:type="spellStart"/>
      <w:r w:rsidRPr="00220850">
        <w:rPr>
          <w:color w:val="auto"/>
          <w:sz w:val="22"/>
          <w:szCs w:val="22"/>
        </w:rPr>
        <w:t>vidutinis</w:t>
      </w:r>
      <w:proofErr w:type="spellEnd"/>
      <w:r w:rsidRPr="00220850">
        <w:rPr>
          <w:color w:val="auto"/>
          <w:sz w:val="22"/>
          <w:szCs w:val="22"/>
        </w:rPr>
        <w:t xml:space="preserve"> </w:t>
      </w:r>
      <w:proofErr w:type="spellStart"/>
      <w:r w:rsidRPr="00220850">
        <w:rPr>
          <w:color w:val="auto"/>
          <w:sz w:val="22"/>
          <w:szCs w:val="22"/>
        </w:rPr>
        <w:t>pokytis</w:t>
      </w:r>
      <w:proofErr w:type="spellEnd"/>
      <w:r w:rsidRPr="00220850">
        <w:rPr>
          <w:color w:val="auto"/>
          <w:sz w:val="22"/>
          <w:szCs w:val="22"/>
        </w:rPr>
        <w:t xml:space="preserve"> = 0,79 (95 % PI: - 2,95; 4,53);</w:t>
      </w:r>
    </w:p>
    <w:p w14:paraId="2E218C5C" w14:textId="7EDDCF22" w:rsidR="00B17E34" w:rsidRPr="00220850" w:rsidRDefault="00B17E34" w:rsidP="0035166F">
      <w:pPr>
        <w:pStyle w:val="Default"/>
        <w:numPr>
          <w:ilvl w:val="1"/>
          <w:numId w:val="93"/>
        </w:numPr>
        <w:ind w:left="567" w:firstLine="0"/>
        <w:rPr>
          <w:color w:val="auto"/>
          <w:sz w:val="22"/>
          <w:szCs w:val="22"/>
        </w:rPr>
      </w:pPr>
      <w:r w:rsidRPr="00220850">
        <w:rPr>
          <w:color w:val="auto"/>
          <w:sz w:val="22"/>
          <w:szCs w:val="22"/>
        </w:rPr>
        <w:t xml:space="preserve">Placebo </w:t>
      </w:r>
      <w:proofErr w:type="spellStart"/>
      <w:r w:rsidRPr="00220850">
        <w:rPr>
          <w:color w:val="auto"/>
          <w:sz w:val="22"/>
          <w:szCs w:val="22"/>
        </w:rPr>
        <w:t>atsitiktinių</w:t>
      </w:r>
      <w:proofErr w:type="spellEnd"/>
      <w:r w:rsidRPr="00220850">
        <w:rPr>
          <w:color w:val="auto"/>
          <w:sz w:val="22"/>
          <w:szCs w:val="22"/>
        </w:rPr>
        <w:t xml:space="preserve"> </w:t>
      </w:r>
      <w:proofErr w:type="spellStart"/>
      <w:r w:rsidRPr="00220850">
        <w:rPr>
          <w:color w:val="auto"/>
          <w:sz w:val="22"/>
          <w:szCs w:val="22"/>
        </w:rPr>
        <w:t>imčių</w:t>
      </w:r>
      <w:proofErr w:type="spellEnd"/>
      <w:r w:rsidRPr="00220850">
        <w:rPr>
          <w:color w:val="auto"/>
          <w:sz w:val="22"/>
          <w:szCs w:val="22"/>
        </w:rPr>
        <w:t xml:space="preserve"> </w:t>
      </w:r>
      <w:proofErr w:type="spellStart"/>
      <w:r w:rsidRPr="00220850">
        <w:rPr>
          <w:color w:val="auto"/>
          <w:sz w:val="22"/>
          <w:szCs w:val="22"/>
        </w:rPr>
        <w:t>grupė</w:t>
      </w:r>
      <w:proofErr w:type="spellEnd"/>
      <w:r w:rsidRPr="00220850">
        <w:rPr>
          <w:color w:val="auto"/>
          <w:sz w:val="22"/>
          <w:szCs w:val="22"/>
        </w:rPr>
        <w:t xml:space="preserve">: </w:t>
      </w:r>
      <w:proofErr w:type="spellStart"/>
      <w:r w:rsidRPr="00220850">
        <w:rPr>
          <w:color w:val="auto"/>
          <w:sz w:val="22"/>
          <w:szCs w:val="22"/>
        </w:rPr>
        <w:t>koreguotasis</w:t>
      </w:r>
      <w:proofErr w:type="spellEnd"/>
      <w:r w:rsidRPr="00220850">
        <w:rPr>
          <w:color w:val="auto"/>
          <w:sz w:val="22"/>
          <w:szCs w:val="22"/>
        </w:rPr>
        <w:t xml:space="preserve"> </w:t>
      </w:r>
      <w:proofErr w:type="spellStart"/>
      <w:r w:rsidRPr="00220850">
        <w:rPr>
          <w:color w:val="auto"/>
          <w:sz w:val="22"/>
          <w:szCs w:val="22"/>
        </w:rPr>
        <w:t>vidutinis</w:t>
      </w:r>
      <w:proofErr w:type="spellEnd"/>
      <w:r w:rsidRPr="00220850">
        <w:rPr>
          <w:color w:val="auto"/>
          <w:sz w:val="22"/>
          <w:szCs w:val="22"/>
        </w:rPr>
        <w:t xml:space="preserve"> </w:t>
      </w:r>
      <w:proofErr w:type="spellStart"/>
      <w:r w:rsidRPr="00220850">
        <w:rPr>
          <w:color w:val="auto"/>
          <w:sz w:val="22"/>
          <w:szCs w:val="22"/>
        </w:rPr>
        <w:t>pokytis</w:t>
      </w:r>
      <w:proofErr w:type="spellEnd"/>
      <w:r w:rsidRPr="00220850">
        <w:rPr>
          <w:color w:val="auto"/>
          <w:sz w:val="22"/>
          <w:szCs w:val="22"/>
        </w:rPr>
        <w:t xml:space="preserve"> = -0,98 (95 % PI: - 6,26; 4,3).</w:t>
      </w:r>
    </w:p>
    <w:p w14:paraId="1D64A2CA" w14:textId="77777777" w:rsidR="00FF5ED3" w:rsidRPr="00220850" w:rsidRDefault="00FF5ED3" w:rsidP="003555DC">
      <w:pPr>
        <w:autoSpaceDE w:val="0"/>
        <w:autoSpaceDN w:val="0"/>
        <w:adjustRightInd w:val="0"/>
        <w:rPr>
          <w:rFonts w:eastAsia="TimesNewRoman,Bold"/>
          <w:bCs/>
          <w:sz w:val="22"/>
          <w:szCs w:val="22"/>
        </w:rPr>
      </w:pPr>
    </w:p>
    <w:p w14:paraId="5D2BCCD1" w14:textId="77777777" w:rsidR="003555DC" w:rsidRPr="00220850" w:rsidRDefault="003555DC" w:rsidP="003555DC">
      <w:pPr>
        <w:autoSpaceDE w:val="0"/>
        <w:autoSpaceDN w:val="0"/>
        <w:adjustRightInd w:val="0"/>
        <w:rPr>
          <w:rFonts w:eastAsia="TimesNewRoman,Bold"/>
          <w:bCs/>
          <w:sz w:val="22"/>
          <w:szCs w:val="22"/>
        </w:rPr>
      </w:pPr>
      <w:r w:rsidRPr="00220850">
        <w:rPr>
          <w:rFonts w:eastAsia="TimesNewRoman,Bold"/>
          <w:bCs/>
          <w:sz w:val="22"/>
          <w:szCs w:val="22"/>
        </w:rPr>
        <w:t>Vertinant prognozuotos FGPT % vertinamąją baigtį ir daugelį kitų žvalgomųjų veiksmingumo</w:t>
      </w:r>
      <w:r w:rsidR="000634A6" w:rsidRPr="00220850">
        <w:rPr>
          <w:rFonts w:eastAsia="TimesNewRoman,Bold"/>
          <w:bCs/>
          <w:sz w:val="22"/>
          <w:szCs w:val="22"/>
        </w:rPr>
        <w:t xml:space="preserve"> </w:t>
      </w:r>
      <w:r w:rsidRPr="00220850">
        <w:rPr>
          <w:rFonts w:eastAsia="TimesNewRoman,Bold"/>
          <w:bCs/>
          <w:sz w:val="22"/>
          <w:szCs w:val="22"/>
        </w:rPr>
        <w:t xml:space="preserve">vertinamųjų baigčių, pacientams vaikams nustatytas didelis atsako į gydymą </w:t>
      </w:r>
      <w:proofErr w:type="spellStart"/>
      <w:r w:rsidRPr="00220850">
        <w:rPr>
          <w:rFonts w:eastAsia="TimesNewRoman,Bold"/>
          <w:bCs/>
          <w:sz w:val="22"/>
          <w:szCs w:val="22"/>
        </w:rPr>
        <w:t>nintedanibu</w:t>
      </w:r>
      <w:proofErr w:type="spellEnd"/>
      <w:r w:rsidRPr="00220850">
        <w:rPr>
          <w:rFonts w:eastAsia="TimesNewRoman,Bold"/>
          <w:bCs/>
          <w:sz w:val="22"/>
          <w:szCs w:val="22"/>
        </w:rPr>
        <w:t xml:space="preserve"> kintamumas.</w:t>
      </w:r>
    </w:p>
    <w:p w14:paraId="040A39CB" w14:textId="77777777" w:rsidR="006918EB" w:rsidRPr="00220850" w:rsidRDefault="006918EB" w:rsidP="003555DC">
      <w:pPr>
        <w:autoSpaceDE w:val="0"/>
        <w:autoSpaceDN w:val="0"/>
        <w:adjustRightInd w:val="0"/>
        <w:rPr>
          <w:b/>
          <w:bCs/>
          <w:sz w:val="22"/>
          <w:szCs w:val="22"/>
        </w:rPr>
      </w:pPr>
    </w:p>
    <w:p w14:paraId="743272D7" w14:textId="132B6D3B" w:rsidR="00FF5ED3" w:rsidRPr="00220850" w:rsidRDefault="00036C74" w:rsidP="003555DC">
      <w:pPr>
        <w:autoSpaceDE w:val="0"/>
        <w:autoSpaceDN w:val="0"/>
        <w:adjustRightInd w:val="0"/>
        <w:rPr>
          <w:b/>
          <w:bCs/>
          <w:sz w:val="22"/>
          <w:szCs w:val="22"/>
        </w:rPr>
      </w:pPr>
      <w:r w:rsidRPr="00220850">
        <w:rPr>
          <w:b/>
          <w:bCs/>
          <w:sz w:val="22"/>
          <w:szCs w:val="22"/>
        </w:rPr>
        <w:t>6 pav. Koreguotas vidutinis (SP) absoliutus FGPT (% nuo būtinojo dydžio) pokytis nuo pradinio vertinimo per 52 savaites -– gydyta grupė*</w:t>
      </w:r>
    </w:p>
    <w:p w14:paraId="5A40F17F" w14:textId="77777777" w:rsidR="00E53EE9" w:rsidRPr="00220850" w:rsidRDefault="00E53EE9" w:rsidP="003555DC">
      <w:pPr>
        <w:autoSpaceDE w:val="0"/>
        <w:autoSpaceDN w:val="0"/>
        <w:adjustRightInd w:val="0"/>
        <w:rPr>
          <w:rFonts w:eastAsia="TimesNewRoman"/>
          <w:b/>
          <w:bCs/>
          <w:sz w:val="22"/>
          <w:szCs w:val="22"/>
        </w:rPr>
      </w:pPr>
    </w:p>
    <w:p w14:paraId="73404372" w14:textId="53791ADF" w:rsidR="00FF5ED3" w:rsidRPr="00220850" w:rsidRDefault="00FF5ED3" w:rsidP="003555DC">
      <w:pPr>
        <w:autoSpaceDE w:val="0"/>
        <w:autoSpaceDN w:val="0"/>
        <w:adjustRightInd w:val="0"/>
        <w:rPr>
          <w:rFonts w:eastAsia="TimesNewRoman"/>
          <w:sz w:val="22"/>
          <w:szCs w:val="22"/>
          <w:lang w:val="en-US"/>
        </w:rPr>
      </w:pPr>
      <w:r w:rsidRPr="00220850">
        <w:rPr>
          <w:rFonts w:eastAsia="TimesNewRoman"/>
          <w:noProof/>
          <w:sz w:val="22"/>
          <w:szCs w:val="22"/>
          <w:lang w:val="en-US"/>
        </w:rPr>
        <w:drawing>
          <wp:inline distT="0" distB="0" distL="0" distR="0" wp14:anchorId="73B3E79E" wp14:editId="6E9E8C4B">
            <wp:extent cx="5456555" cy="3712845"/>
            <wp:effectExtent l="0" t="0" r="0" b="1905"/>
            <wp:docPr id="1013127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6555" cy="3712845"/>
                    </a:xfrm>
                    <a:prstGeom prst="rect">
                      <a:avLst/>
                    </a:prstGeom>
                    <a:noFill/>
                  </pic:spPr>
                </pic:pic>
              </a:graphicData>
            </a:graphic>
          </wp:inline>
        </w:drawing>
      </w:r>
    </w:p>
    <w:p w14:paraId="628F984C" w14:textId="5EC298C4" w:rsidR="00036C74" w:rsidRPr="00220850" w:rsidRDefault="00E53EE9" w:rsidP="003555DC">
      <w:pPr>
        <w:autoSpaceDE w:val="0"/>
        <w:autoSpaceDN w:val="0"/>
        <w:adjustRightInd w:val="0"/>
        <w:rPr>
          <w:rFonts w:eastAsia="TimesNewRoman"/>
          <w:sz w:val="20"/>
          <w:lang w:val="es-ES"/>
        </w:rPr>
      </w:pPr>
      <w:r w:rsidRPr="00220850">
        <w:rPr>
          <w:sz w:val="22"/>
          <w:szCs w:val="22"/>
        </w:rPr>
        <w:t>*</w:t>
      </w:r>
      <w:r w:rsidR="006918EB" w:rsidRPr="00220850">
        <w:rPr>
          <w:sz w:val="22"/>
          <w:szCs w:val="22"/>
        </w:rPr>
        <w:t xml:space="preserve"> </w:t>
      </w:r>
      <w:r w:rsidR="006918EB" w:rsidRPr="00220850">
        <w:rPr>
          <w:sz w:val="20"/>
        </w:rPr>
        <w:t>P</w:t>
      </w:r>
      <w:r w:rsidRPr="00220850">
        <w:rPr>
          <w:sz w:val="20"/>
        </w:rPr>
        <w:t xml:space="preserve">o 24 gydymo savaičių visiems pacientams buvo skiriamas </w:t>
      </w:r>
      <w:proofErr w:type="spellStart"/>
      <w:r w:rsidRPr="00220850">
        <w:rPr>
          <w:sz w:val="20"/>
        </w:rPr>
        <w:t>nintedanibas</w:t>
      </w:r>
      <w:proofErr w:type="spellEnd"/>
      <w:r w:rsidRPr="00220850">
        <w:rPr>
          <w:sz w:val="20"/>
        </w:rPr>
        <w:t xml:space="preserve"> atvirosios tyrimo dalies metu.</w:t>
      </w:r>
    </w:p>
    <w:p w14:paraId="2DBD996C" w14:textId="77777777" w:rsidR="00FF5ED3" w:rsidRPr="00220850" w:rsidRDefault="00FF5ED3" w:rsidP="003555DC">
      <w:pPr>
        <w:autoSpaceDE w:val="0"/>
        <w:autoSpaceDN w:val="0"/>
        <w:adjustRightInd w:val="0"/>
        <w:rPr>
          <w:rFonts w:eastAsia="TimesNewRoman"/>
          <w:sz w:val="22"/>
          <w:szCs w:val="22"/>
          <w:lang w:val="es-ES"/>
        </w:rPr>
      </w:pPr>
    </w:p>
    <w:p w14:paraId="072E7288" w14:textId="0F9CF7A5" w:rsidR="000040AC" w:rsidRPr="00220850" w:rsidRDefault="003555DC" w:rsidP="003555DC">
      <w:pPr>
        <w:autoSpaceDE w:val="0"/>
        <w:autoSpaceDN w:val="0"/>
        <w:adjustRightInd w:val="0"/>
        <w:rPr>
          <w:rFonts w:eastAsia="TimesNewRoman"/>
          <w:sz w:val="22"/>
          <w:szCs w:val="22"/>
          <w:lang w:val="es-ES"/>
        </w:rPr>
      </w:pPr>
      <w:r w:rsidRPr="00220850">
        <w:rPr>
          <w:rFonts w:eastAsia="TimesNewRoman"/>
          <w:sz w:val="22"/>
          <w:szCs w:val="22"/>
          <w:lang w:val="es-ES"/>
        </w:rPr>
        <w:t xml:space="preserve">Europos vaistų agentūra atleido nuo įpareigojimo pateikti </w:t>
      </w:r>
      <w:r w:rsidR="00603521" w:rsidRPr="00220850">
        <w:rPr>
          <w:rFonts w:eastAsia="TimesNewRoman"/>
          <w:sz w:val="22"/>
          <w:szCs w:val="22"/>
          <w:lang w:val="es-ES"/>
        </w:rPr>
        <w:t>referencini</w:t>
      </w:r>
      <w:r w:rsidR="00A4350A" w:rsidRPr="00220850">
        <w:rPr>
          <w:rFonts w:eastAsia="TimesNewRoman"/>
          <w:sz w:val="22"/>
          <w:szCs w:val="22"/>
          <w:lang w:val="es-ES"/>
        </w:rPr>
        <w:t>o</w:t>
      </w:r>
      <w:r w:rsidR="00603521" w:rsidRPr="00220850">
        <w:rPr>
          <w:rFonts w:eastAsia="TimesNewRoman"/>
          <w:sz w:val="22"/>
          <w:szCs w:val="22"/>
          <w:lang w:val="es-ES"/>
        </w:rPr>
        <w:t xml:space="preserve"> vaistini</w:t>
      </w:r>
      <w:r w:rsidR="00A4350A" w:rsidRPr="00220850">
        <w:rPr>
          <w:rFonts w:eastAsia="TimesNewRoman"/>
          <w:sz w:val="22"/>
          <w:szCs w:val="22"/>
          <w:lang w:val="es-ES"/>
        </w:rPr>
        <w:t>o preparato, kurio</w:t>
      </w:r>
      <w:r w:rsidR="00603521" w:rsidRPr="00220850">
        <w:rPr>
          <w:rFonts w:eastAsia="TimesNewRoman"/>
          <w:sz w:val="22"/>
          <w:szCs w:val="22"/>
          <w:lang w:val="es-ES"/>
        </w:rPr>
        <w:t xml:space="preserve"> sudėtyje yra nintedanibo,</w:t>
      </w:r>
      <w:r w:rsidRPr="00220850">
        <w:rPr>
          <w:rFonts w:eastAsia="TimesNewRoman"/>
          <w:sz w:val="22"/>
          <w:szCs w:val="22"/>
          <w:lang w:val="es-ES"/>
        </w:rPr>
        <w:t xml:space="preserve"> tyrimų su visais vaikų, sergančių IPF,</w:t>
      </w:r>
      <w:r w:rsidR="00603521" w:rsidRPr="00220850">
        <w:rPr>
          <w:rFonts w:eastAsia="TimesNewRoman"/>
          <w:sz w:val="22"/>
          <w:szCs w:val="22"/>
          <w:lang w:val="es-ES"/>
        </w:rPr>
        <w:t xml:space="preserve"> </w:t>
      </w:r>
      <w:r w:rsidRPr="00220850">
        <w:rPr>
          <w:rFonts w:eastAsia="TimesNewRoman"/>
          <w:sz w:val="22"/>
          <w:szCs w:val="22"/>
          <w:lang w:val="es-ES"/>
        </w:rPr>
        <w:t>populiacijos pogrupiais duomenis .</w:t>
      </w:r>
      <w:r w:rsidR="00603521" w:rsidRPr="00220850">
        <w:rPr>
          <w:rFonts w:eastAsia="TimesNewRoman"/>
          <w:sz w:val="22"/>
          <w:szCs w:val="22"/>
          <w:lang w:val="es-ES"/>
        </w:rPr>
        <w:t xml:space="preserve"> </w:t>
      </w:r>
      <w:r w:rsidRPr="00220850">
        <w:rPr>
          <w:rFonts w:eastAsia="TimesNewRoman"/>
          <w:sz w:val="22"/>
          <w:szCs w:val="22"/>
          <w:lang w:val="es-ES"/>
        </w:rPr>
        <w:t xml:space="preserve">Europos vaistų agentūra atleido nuo įpareigojimo pateikti </w:t>
      </w:r>
      <w:r w:rsidR="000D6B80" w:rsidRPr="00220850">
        <w:rPr>
          <w:rFonts w:eastAsia="TimesNewRoman"/>
          <w:sz w:val="22"/>
          <w:szCs w:val="22"/>
          <w:lang w:val="es-ES"/>
        </w:rPr>
        <w:t xml:space="preserve">referencinio </w:t>
      </w:r>
      <w:r w:rsidR="00603521" w:rsidRPr="00220850">
        <w:rPr>
          <w:rFonts w:eastAsia="TimesNewRoman"/>
          <w:sz w:val="22"/>
          <w:szCs w:val="22"/>
          <w:lang w:val="es-ES"/>
        </w:rPr>
        <w:t>vaistini</w:t>
      </w:r>
      <w:r w:rsidR="00A4350A" w:rsidRPr="00220850">
        <w:rPr>
          <w:rFonts w:eastAsia="TimesNewRoman"/>
          <w:sz w:val="22"/>
          <w:szCs w:val="22"/>
          <w:lang w:val="es-ES"/>
        </w:rPr>
        <w:t>o preparato, kurio</w:t>
      </w:r>
      <w:r w:rsidR="00603521" w:rsidRPr="00220850">
        <w:rPr>
          <w:rFonts w:eastAsia="TimesNewRoman"/>
          <w:sz w:val="22"/>
          <w:szCs w:val="22"/>
          <w:lang w:val="es-ES"/>
        </w:rPr>
        <w:t xml:space="preserve"> sudėtyje yra nintedanibo,</w:t>
      </w:r>
      <w:r w:rsidRPr="00220850">
        <w:rPr>
          <w:rFonts w:eastAsia="TimesNewRoman"/>
          <w:sz w:val="22"/>
          <w:szCs w:val="22"/>
          <w:lang w:val="es-ES"/>
        </w:rPr>
        <w:t xml:space="preserve"> tyrimų su jaunesnių kaip 6 metų vaikų,</w:t>
      </w:r>
      <w:r w:rsidR="00603521" w:rsidRPr="00220850">
        <w:rPr>
          <w:rFonts w:eastAsia="TimesNewRoman"/>
          <w:sz w:val="22"/>
          <w:szCs w:val="22"/>
          <w:lang w:val="es-ES"/>
        </w:rPr>
        <w:t xml:space="preserve"> </w:t>
      </w:r>
      <w:r w:rsidRPr="00220850">
        <w:rPr>
          <w:rFonts w:eastAsia="TimesNewRoman"/>
          <w:sz w:val="22"/>
          <w:szCs w:val="22"/>
          <w:lang w:val="es-ES"/>
        </w:rPr>
        <w:t>sergančių fibrozinėmis IPL, populiacijos duomenis (vartojimo vaikams informacija pateikiama</w:t>
      </w:r>
      <w:r w:rsidR="00603521" w:rsidRPr="00220850">
        <w:rPr>
          <w:rFonts w:eastAsia="TimesNewRoman"/>
          <w:sz w:val="22"/>
          <w:szCs w:val="22"/>
          <w:lang w:val="es-ES"/>
        </w:rPr>
        <w:t xml:space="preserve"> </w:t>
      </w:r>
      <w:r w:rsidRPr="00220850">
        <w:rPr>
          <w:rFonts w:eastAsia="TimesNewRoman"/>
          <w:sz w:val="22"/>
          <w:szCs w:val="22"/>
          <w:lang w:val="es-ES"/>
        </w:rPr>
        <w:t>4.2 skyriuje).</w:t>
      </w:r>
    </w:p>
    <w:p w14:paraId="1BEC8FE5" w14:textId="77777777" w:rsidR="00603521" w:rsidRPr="00220850" w:rsidRDefault="00603521" w:rsidP="003555DC">
      <w:pPr>
        <w:autoSpaceDE w:val="0"/>
        <w:autoSpaceDN w:val="0"/>
        <w:adjustRightInd w:val="0"/>
        <w:rPr>
          <w:rFonts w:eastAsia="TimesNewRoman,Bold"/>
          <w:bCs/>
          <w:sz w:val="22"/>
          <w:szCs w:val="22"/>
          <w:lang w:val="es-ES"/>
        </w:rPr>
      </w:pPr>
    </w:p>
    <w:p w14:paraId="5D58F86A" w14:textId="77777777" w:rsidR="003555DC" w:rsidRPr="00220850" w:rsidRDefault="003555DC" w:rsidP="003555DC">
      <w:pPr>
        <w:keepNext/>
        <w:tabs>
          <w:tab w:val="left" w:pos="567"/>
        </w:tabs>
        <w:spacing w:line="260" w:lineRule="exact"/>
        <w:jc w:val="both"/>
        <w:outlineLvl w:val="3"/>
        <w:rPr>
          <w:b/>
          <w:bCs/>
          <w:sz w:val="22"/>
          <w:szCs w:val="28"/>
          <w:lang w:eastAsia="x-none"/>
        </w:rPr>
      </w:pPr>
      <w:r w:rsidRPr="00220850">
        <w:rPr>
          <w:b/>
          <w:bCs/>
          <w:sz w:val="22"/>
          <w:szCs w:val="28"/>
          <w:lang w:eastAsia="x-none"/>
        </w:rPr>
        <w:t>5.2</w:t>
      </w:r>
      <w:r w:rsidRPr="00220850">
        <w:rPr>
          <w:b/>
          <w:sz w:val="22"/>
          <w:szCs w:val="24"/>
          <w:lang w:eastAsia="x-none"/>
        </w:rPr>
        <w:t xml:space="preserve"> </w:t>
      </w:r>
      <w:r w:rsidRPr="00220850">
        <w:rPr>
          <w:b/>
          <w:bCs/>
          <w:sz w:val="22"/>
          <w:szCs w:val="28"/>
          <w:lang w:eastAsia="x-none"/>
        </w:rPr>
        <w:tab/>
      </w:r>
      <w:proofErr w:type="spellStart"/>
      <w:r w:rsidRPr="00220850">
        <w:rPr>
          <w:b/>
          <w:bCs/>
          <w:sz w:val="22"/>
          <w:szCs w:val="28"/>
          <w:lang w:eastAsia="x-none"/>
        </w:rPr>
        <w:t>Farmakokinetinės</w:t>
      </w:r>
      <w:proofErr w:type="spellEnd"/>
      <w:r w:rsidRPr="00220850">
        <w:rPr>
          <w:b/>
          <w:bCs/>
          <w:sz w:val="22"/>
          <w:szCs w:val="28"/>
          <w:lang w:eastAsia="x-none"/>
        </w:rPr>
        <w:t xml:space="preserve"> savybės</w:t>
      </w:r>
    </w:p>
    <w:p w14:paraId="393EEB80" w14:textId="77777777" w:rsidR="003555DC" w:rsidRPr="00220850" w:rsidRDefault="003555DC" w:rsidP="003555DC">
      <w:pPr>
        <w:tabs>
          <w:tab w:val="left" w:pos="567"/>
        </w:tabs>
        <w:spacing w:line="260" w:lineRule="exact"/>
        <w:rPr>
          <w:sz w:val="22"/>
          <w:szCs w:val="24"/>
        </w:rPr>
      </w:pPr>
    </w:p>
    <w:p w14:paraId="3DDD640B" w14:textId="77777777" w:rsidR="00DE01F8" w:rsidRPr="00220850" w:rsidRDefault="002D5C8E">
      <w:pPr>
        <w:tabs>
          <w:tab w:val="left" w:pos="567"/>
        </w:tabs>
        <w:spacing w:line="260" w:lineRule="exact"/>
        <w:ind w:right="-142"/>
        <w:rPr>
          <w:sz w:val="22"/>
          <w:szCs w:val="24"/>
          <w:u w:val="single"/>
        </w:rPr>
      </w:pPr>
      <w:r w:rsidRPr="00220850">
        <w:rPr>
          <w:sz w:val="22"/>
          <w:szCs w:val="24"/>
          <w:u w:val="single"/>
        </w:rPr>
        <w:t>Absorbcija</w:t>
      </w:r>
    </w:p>
    <w:p w14:paraId="7153CBF7"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es-ES"/>
        </w:rPr>
        <w:t>Per burną pavartojus nintedanib</w:t>
      </w:r>
      <w:r w:rsidR="006B2579" w:rsidRPr="00220850">
        <w:rPr>
          <w:rFonts w:eastAsia="TimesNewRoman"/>
          <w:sz w:val="22"/>
          <w:szCs w:val="22"/>
          <w:lang w:val="es-ES"/>
        </w:rPr>
        <w:t>o minkštąją želatinos kapsulę po valgio</w:t>
      </w:r>
      <w:r w:rsidRPr="00220850">
        <w:rPr>
          <w:rFonts w:eastAsia="TimesNewRoman"/>
          <w:sz w:val="22"/>
          <w:szCs w:val="22"/>
          <w:lang w:val="es-ES"/>
        </w:rPr>
        <w:t>, didžiausia koncentracija</w:t>
      </w:r>
      <w:r w:rsidR="00A4350A" w:rsidRPr="00220850">
        <w:rPr>
          <w:rFonts w:eastAsia="TimesNewRoman"/>
          <w:sz w:val="22"/>
          <w:szCs w:val="22"/>
          <w:lang w:val="es-ES"/>
        </w:rPr>
        <w:t xml:space="preserve"> </w:t>
      </w:r>
      <w:r w:rsidRPr="00220850">
        <w:rPr>
          <w:rFonts w:eastAsia="TimesNewRoman"/>
          <w:sz w:val="22"/>
          <w:szCs w:val="22"/>
          <w:lang w:val="es-ES"/>
        </w:rPr>
        <w:t>kraujo plazmoje susidaro maž</w:t>
      </w:r>
      <w:r w:rsidR="00A4350A" w:rsidRPr="00220850">
        <w:rPr>
          <w:rFonts w:eastAsia="TimesNewRoman"/>
          <w:sz w:val="22"/>
          <w:szCs w:val="22"/>
          <w:lang w:val="es-ES"/>
        </w:rPr>
        <w:t xml:space="preserve">daug po 2-4 val. </w:t>
      </w:r>
      <w:r w:rsidR="00A4350A" w:rsidRPr="00220850">
        <w:rPr>
          <w:rFonts w:eastAsia="TimesNewRoman"/>
          <w:sz w:val="22"/>
          <w:szCs w:val="22"/>
          <w:lang w:val="pt-PT"/>
        </w:rPr>
        <w:t>(svyravimo ribos 0,5-8 </w:t>
      </w:r>
      <w:r w:rsidRPr="00220850">
        <w:rPr>
          <w:rFonts w:eastAsia="TimesNewRoman"/>
          <w:sz w:val="22"/>
          <w:szCs w:val="22"/>
          <w:lang w:val="pt-PT"/>
        </w:rPr>
        <w:t>val.) Sveikų savanorių</w:t>
      </w:r>
      <w:r w:rsidR="00A4350A" w:rsidRPr="00220850">
        <w:rPr>
          <w:rFonts w:eastAsia="TimesNewRoman"/>
          <w:sz w:val="22"/>
          <w:szCs w:val="22"/>
          <w:lang w:val="pt-PT"/>
        </w:rPr>
        <w:t xml:space="preserve"> organizme 100 </w:t>
      </w:r>
      <w:r w:rsidRPr="00220850">
        <w:rPr>
          <w:rFonts w:eastAsia="TimesNewRoman"/>
          <w:sz w:val="22"/>
          <w:szCs w:val="22"/>
          <w:lang w:val="pt-PT"/>
        </w:rPr>
        <w:t>mg dozės absoliutus biologinis prieinamumas buvo 4,69</w:t>
      </w:r>
      <w:r w:rsidR="00A4350A" w:rsidRPr="00220850">
        <w:rPr>
          <w:rFonts w:eastAsia="TimesNewRoman"/>
          <w:sz w:val="22"/>
          <w:szCs w:val="22"/>
          <w:lang w:val="pt-PT"/>
        </w:rPr>
        <w:t> </w:t>
      </w:r>
      <w:r w:rsidRPr="00220850">
        <w:rPr>
          <w:rFonts w:eastAsia="TimesNewRoman"/>
          <w:sz w:val="22"/>
          <w:szCs w:val="22"/>
          <w:lang w:val="pt-PT"/>
        </w:rPr>
        <w:t>% (90</w:t>
      </w:r>
      <w:r w:rsidR="00A4350A" w:rsidRPr="00220850">
        <w:rPr>
          <w:rFonts w:eastAsia="TimesNewRoman"/>
          <w:sz w:val="22"/>
          <w:szCs w:val="22"/>
          <w:lang w:val="pt-PT"/>
        </w:rPr>
        <w:t> </w:t>
      </w:r>
      <w:r w:rsidRPr="00220850">
        <w:rPr>
          <w:rFonts w:eastAsia="TimesNewRoman"/>
          <w:sz w:val="22"/>
          <w:szCs w:val="22"/>
          <w:lang w:val="pt-PT"/>
        </w:rPr>
        <w:t>%</w:t>
      </w:r>
      <w:r w:rsidR="00A4350A" w:rsidRPr="00220850">
        <w:rPr>
          <w:rFonts w:eastAsia="TimesNewRoman"/>
          <w:sz w:val="22"/>
          <w:szCs w:val="22"/>
          <w:lang w:val="pt-PT"/>
        </w:rPr>
        <w:t> PI: </w:t>
      </w:r>
      <w:r w:rsidRPr="00220850">
        <w:rPr>
          <w:rFonts w:eastAsia="TimesNewRoman"/>
          <w:sz w:val="22"/>
          <w:szCs w:val="22"/>
          <w:lang w:val="pt-PT"/>
        </w:rPr>
        <w:t>3,615</w:t>
      </w:r>
      <w:r w:rsidR="00A4350A" w:rsidRPr="00220850">
        <w:rPr>
          <w:rFonts w:eastAsia="TimesNewRoman"/>
          <w:sz w:val="22"/>
          <w:szCs w:val="22"/>
          <w:lang w:val="pt-PT"/>
        </w:rPr>
        <w:t> </w:t>
      </w:r>
      <w:r w:rsidRPr="00220850">
        <w:rPr>
          <w:rFonts w:eastAsia="TimesNewRoman"/>
          <w:sz w:val="22"/>
          <w:szCs w:val="22"/>
          <w:lang w:val="pt-PT"/>
        </w:rPr>
        <w:t>-</w:t>
      </w:r>
      <w:r w:rsidR="00A4350A" w:rsidRPr="00220850">
        <w:rPr>
          <w:rFonts w:eastAsia="TimesNewRoman"/>
          <w:sz w:val="22"/>
          <w:szCs w:val="22"/>
          <w:lang w:val="pt-PT"/>
        </w:rPr>
        <w:t> </w:t>
      </w:r>
      <w:r w:rsidRPr="00220850">
        <w:rPr>
          <w:rFonts w:eastAsia="TimesNewRoman"/>
          <w:sz w:val="22"/>
          <w:szCs w:val="22"/>
          <w:lang w:val="pt-PT"/>
        </w:rPr>
        <w:t>6,078).</w:t>
      </w:r>
      <w:r w:rsidR="00A4350A" w:rsidRPr="00220850">
        <w:rPr>
          <w:rFonts w:eastAsia="TimesNewRoman"/>
          <w:sz w:val="22"/>
          <w:szCs w:val="22"/>
          <w:lang w:val="pt-PT"/>
        </w:rPr>
        <w:t xml:space="preserve"> </w:t>
      </w:r>
      <w:r w:rsidRPr="00220850">
        <w:rPr>
          <w:rFonts w:eastAsia="TimesNewRoman"/>
          <w:sz w:val="22"/>
          <w:szCs w:val="22"/>
          <w:lang w:val="pt-PT"/>
        </w:rPr>
        <w:t>Absorbcija ir biologinis prieinamumas sumažėja dėl pernašos poveikio ir žymaus metabolizmo prieš</w:t>
      </w:r>
      <w:r w:rsidR="00A4350A" w:rsidRPr="00220850">
        <w:rPr>
          <w:rFonts w:eastAsia="TimesNewRoman"/>
          <w:sz w:val="22"/>
          <w:szCs w:val="22"/>
          <w:lang w:val="pt-PT"/>
        </w:rPr>
        <w:t xml:space="preserve"> </w:t>
      </w:r>
      <w:r w:rsidRPr="00220850">
        <w:rPr>
          <w:rFonts w:eastAsia="TimesNewRoman"/>
          <w:sz w:val="22"/>
          <w:szCs w:val="22"/>
          <w:lang w:val="pt-PT"/>
        </w:rPr>
        <w:t>patenkant į sisteminę kraujotaką. Nintedanibo ekspozicija didėjo proporcingai dozei, kai dozavimo</w:t>
      </w:r>
      <w:r w:rsidR="00A4350A" w:rsidRPr="00220850">
        <w:rPr>
          <w:rFonts w:eastAsia="TimesNewRoman"/>
          <w:sz w:val="22"/>
          <w:szCs w:val="22"/>
          <w:lang w:val="pt-PT"/>
        </w:rPr>
        <w:t xml:space="preserve"> </w:t>
      </w:r>
      <w:r w:rsidRPr="00220850">
        <w:rPr>
          <w:rFonts w:eastAsia="TimesNewRoman"/>
          <w:sz w:val="22"/>
          <w:szCs w:val="22"/>
          <w:lang w:val="pt-PT"/>
        </w:rPr>
        <w:t>intervalas buvo 50-450</w:t>
      </w:r>
      <w:r w:rsidR="00A4350A" w:rsidRPr="00220850">
        <w:rPr>
          <w:rFonts w:eastAsia="TimesNewRoman"/>
          <w:sz w:val="22"/>
          <w:szCs w:val="22"/>
          <w:lang w:val="pt-PT"/>
        </w:rPr>
        <w:t> </w:t>
      </w:r>
      <w:r w:rsidRPr="00220850">
        <w:rPr>
          <w:rFonts w:eastAsia="TimesNewRoman"/>
          <w:sz w:val="22"/>
          <w:szCs w:val="22"/>
          <w:lang w:val="pt-PT"/>
        </w:rPr>
        <w:t>mg vieną kartą per parą</w:t>
      </w:r>
      <w:r w:rsidR="00A4350A" w:rsidRPr="00220850">
        <w:rPr>
          <w:rFonts w:eastAsia="TimesNewRoman"/>
          <w:sz w:val="22"/>
          <w:szCs w:val="22"/>
          <w:lang w:val="pt-PT"/>
        </w:rPr>
        <w:t xml:space="preserve"> ir 150-300 </w:t>
      </w:r>
      <w:r w:rsidRPr="00220850">
        <w:rPr>
          <w:rFonts w:eastAsia="TimesNewRoman"/>
          <w:sz w:val="22"/>
          <w:szCs w:val="22"/>
          <w:lang w:val="pt-PT"/>
        </w:rPr>
        <w:t>mg du kartus per parą. Pusiausvyrinės</w:t>
      </w:r>
      <w:r w:rsidR="00A4350A" w:rsidRPr="00220850">
        <w:rPr>
          <w:rFonts w:eastAsia="TimesNewRoman"/>
          <w:sz w:val="22"/>
          <w:szCs w:val="22"/>
          <w:lang w:val="pt-PT"/>
        </w:rPr>
        <w:t xml:space="preserve"> </w:t>
      </w:r>
      <w:r w:rsidRPr="00220850">
        <w:rPr>
          <w:rFonts w:eastAsia="TimesNewRoman"/>
          <w:sz w:val="22"/>
          <w:szCs w:val="22"/>
          <w:lang w:val="pt-PT"/>
        </w:rPr>
        <w:t>koncentracijos kraujo plazmoje nusistovi ne vėliau kaip per vieną savaitę nuo dozavimo pradžios.</w:t>
      </w:r>
    </w:p>
    <w:p w14:paraId="36C4B7FE" w14:textId="77777777" w:rsidR="00A4350A" w:rsidRPr="00220850" w:rsidRDefault="00A4350A" w:rsidP="003555DC">
      <w:pPr>
        <w:autoSpaceDE w:val="0"/>
        <w:autoSpaceDN w:val="0"/>
        <w:adjustRightInd w:val="0"/>
        <w:rPr>
          <w:rFonts w:eastAsia="TimesNewRoman"/>
          <w:sz w:val="22"/>
          <w:szCs w:val="22"/>
          <w:lang w:val="pt-PT"/>
        </w:rPr>
      </w:pPr>
    </w:p>
    <w:p w14:paraId="33D36F74"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Po valgio pavartoto nintedanibo ekspozicija padidėjo maždaug 20</w:t>
      </w:r>
      <w:r w:rsidR="00A4350A" w:rsidRPr="00220850">
        <w:rPr>
          <w:rFonts w:eastAsia="TimesNewRoman"/>
          <w:sz w:val="22"/>
          <w:szCs w:val="22"/>
          <w:lang w:val="pt-PT"/>
        </w:rPr>
        <w:t> </w:t>
      </w:r>
      <w:r w:rsidRPr="00220850">
        <w:rPr>
          <w:rFonts w:eastAsia="TimesNewRoman"/>
          <w:sz w:val="22"/>
          <w:szCs w:val="22"/>
          <w:lang w:val="pt-PT"/>
        </w:rPr>
        <w:t xml:space="preserve">%, palyginti su ekspozicija </w:t>
      </w:r>
      <w:r w:rsidR="00A4350A" w:rsidRPr="00220850">
        <w:rPr>
          <w:rFonts w:eastAsia="TimesNewRoman"/>
          <w:sz w:val="22"/>
          <w:szCs w:val="22"/>
          <w:lang w:val="pt-PT"/>
        </w:rPr>
        <w:t>pavartoj</w:t>
      </w:r>
      <w:r w:rsidR="006B2579" w:rsidRPr="00220850">
        <w:rPr>
          <w:rFonts w:eastAsia="TimesNewRoman"/>
          <w:sz w:val="22"/>
          <w:szCs w:val="22"/>
          <w:lang w:val="pt-PT"/>
        </w:rPr>
        <w:t xml:space="preserve">us </w:t>
      </w:r>
      <w:r w:rsidR="00A4350A" w:rsidRPr="00220850">
        <w:rPr>
          <w:rFonts w:eastAsia="TimesNewRoman"/>
          <w:sz w:val="22"/>
          <w:szCs w:val="22"/>
          <w:lang w:val="pt-PT"/>
        </w:rPr>
        <w:t>nevalgius (PI: </w:t>
      </w:r>
      <w:r w:rsidRPr="00220850">
        <w:rPr>
          <w:rFonts w:eastAsia="TimesNewRoman"/>
          <w:sz w:val="22"/>
          <w:szCs w:val="22"/>
          <w:lang w:val="pt-PT"/>
        </w:rPr>
        <w:t>95,3</w:t>
      </w:r>
      <w:r w:rsidR="00A4350A" w:rsidRPr="00220850">
        <w:rPr>
          <w:rFonts w:eastAsia="TimesNewRoman"/>
          <w:sz w:val="22"/>
          <w:szCs w:val="22"/>
          <w:lang w:val="pt-PT"/>
        </w:rPr>
        <w:t> </w:t>
      </w:r>
      <w:r w:rsidRPr="00220850">
        <w:rPr>
          <w:rFonts w:eastAsia="TimesNewRoman"/>
          <w:sz w:val="22"/>
          <w:szCs w:val="22"/>
          <w:lang w:val="pt-PT"/>
        </w:rPr>
        <w:t>-</w:t>
      </w:r>
      <w:r w:rsidR="00A4350A" w:rsidRPr="00220850">
        <w:rPr>
          <w:rFonts w:eastAsia="TimesNewRoman"/>
          <w:sz w:val="22"/>
          <w:szCs w:val="22"/>
          <w:lang w:val="pt-PT"/>
        </w:rPr>
        <w:t> </w:t>
      </w:r>
      <w:r w:rsidRPr="00220850">
        <w:rPr>
          <w:rFonts w:eastAsia="TimesNewRoman"/>
          <w:sz w:val="22"/>
          <w:szCs w:val="22"/>
          <w:lang w:val="pt-PT"/>
        </w:rPr>
        <w:t>152,5</w:t>
      </w:r>
      <w:r w:rsidR="00A4350A" w:rsidRPr="00220850">
        <w:rPr>
          <w:rFonts w:eastAsia="TimesNewRoman"/>
          <w:sz w:val="22"/>
          <w:szCs w:val="22"/>
          <w:lang w:val="pt-PT"/>
        </w:rPr>
        <w:t> </w:t>
      </w:r>
      <w:r w:rsidRPr="00220850">
        <w:rPr>
          <w:rFonts w:eastAsia="TimesNewRoman"/>
          <w:sz w:val="22"/>
          <w:szCs w:val="22"/>
          <w:lang w:val="pt-PT"/>
        </w:rPr>
        <w:t>%), o absorbcija buvo uždelsta (po pavartojimo nevalgius t</w:t>
      </w:r>
      <w:r w:rsidRPr="00220850">
        <w:rPr>
          <w:rFonts w:eastAsia="TimesNewRoman"/>
          <w:sz w:val="22"/>
          <w:szCs w:val="22"/>
          <w:vertAlign w:val="subscript"/>
          <w:lang w:val="pt-PT"/>
        </w:rPr>
        <w:t>max</w:t>
      </w:r>
      <w:r w:rsidR="00A4350A" w:rsidRPr="00220850">
        <w:rPr>
          <w:rFonts w:eastAsia="TimesNewRoman"/>
          <w:sz w:val="22"/>
          <w:szCs w:val="22"/>
          <w:lang w:val="pt-PT"/>
        </w:rPr>
        <w:t xml:space="preserve"> vidurkis 2 </w:t>
      </w:r>
      <w:r w:rsidRPr="00220850">
        <w:rPr>
          <w:rFonts w:eastAsia="TimesNewRoman"/>
          <w:sz w:val="22"/>
          <w:szCs w:val="22"/>
          <w:lang w:val="pt-PT"/>
        </w:rPr>
        <w:t>val., po pavartojimo pavalgius ‒</w:t>
      </w:r>
      <w:r w:rsidR="00A4350A" w:rsidRPr="00220850">
        <w:rPr>
          <w:rFonts w:eastAsia="TimesNewRoman"/>
          <w:sz w:val="22"/>
          <w:szCs w:val="22"/>
          <w:lang w:val="pt-PT"/>
        </w:rPr>
        <w:t xml:space="preserve"> 3,98 </w:t>
      </w:r>
      <w:r w:rsidRPr="00220850">
        <w:rPr>
          <w:rFonts w:eastAsia="TimesNewRoman"/>
          <w:sz w:val="22"/>
          <w:szCs w:val="22"/>
          <w:lang w:val="pt-PT"/>
        </w:rPr>
        <w:t>val.).</w:t>
      </w:r>
    </w:p>
    <w:p w14:paraId="5167895C" w14:textId="77777777" w:rsidR="00A4350A" w:rsidRPr="00220850" w:rsidRDefault="00A4350A" w:rsidP="003555DC">
      <w:pPr>
        <w:autoSpaceDE w:val="0"/>
        <w:autoSpaceDN w:val="0"/>
        <w:adjustRightInd w:val="0"/>
        <w:rPr>
          <w:rFonts w:eastAsia="TimesNewRoman"/>
          <w:sz w:val="22"/>
          <w:szCs w:val="22"/>
          <w:lang w:val="pt-PT"/>
        </w:rPr>
      </w:pPr>
    </w:p>
    <w:p w14:paraId="0C0D6E8F"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 xml:space="preserve">Atliekant </w:t>
      </w:r>
      <w:r w:rsidRPr="00220850">
        <w:rPr>
          <w:rFonts w:eastAsia="TimesNewRoman,Italic"/>
          <w:i/>
          <w:iCs/>
          <w:sz w:val="22"/>
          <w:szCs w:val="22"/>
          <w:lang w:val="pt-PT"/>
        </w:rPr>
        <w:t xml:space="preserve">in vitro </w:t>
      </w:r>
      <w:r w:rsidRPr="00220850">
        <w:rPr>
          <w:rFonts w:eastAsia="TimesNewRoman"/>
          <w:sz w:val="22"/>
          <w:szCs w:val="22"/>
          <w:lang w:val="pt-PT"/>
        </w:rPr>
        <w:t>tyrimą nustatyta, kad sumaišius nintedanibo kapsules su mažu kiekiu obuolienės ar</w:t>
      </w:r>
      <w:r w:rsidR="00A4350A" w:rsidRPr="00220850">
        <w:rPr>
          <w:rFonts w:eastAsia="TimesNewRoman"/>
          <w:sz w:val="22"/>
          <w:szCs w:val="22"/>
          <w:lang w:val="pt-PT"/>
        </w:rPr>
        <w:t xml:space="preserve"> </w:t>
      </w:r>
      <w:r w:rsidRPr="00220850">
        <w:rPr>
          <w:rFonts w:eastAsia="TimesNewRoman"/>
          <w:sz w:val="22"/>
          <w:szCs w:val="22"/>
          <w:lang w:val="pt-PT"/>
        </w:rPr>
        <w:t>šokoladinio pudingo, laikotarpiu iki 15 minučių poveikio vaistinio preparato kokybei nebuvo.</w:t>
      </w:r>
      <w:r w:rsidR="00A4350A" w:rsidRPr="00220850">
        <w:rPr>
          <w:rFonts w:eastAsia="TimesNewRoman"/>
          <w:sz w:val="22"/>
          <w:szCs w:val="22"/>
          <w:lang w:val="pt-PT"/>
        </w:rPr>
        <w:t xml:space="preserve"> </w:t>
      </w:r>
      <w:r w:rsidRPr="00220850">
        <w:rPr>
          <w:rFonts w:eastAsia="TimesNewRoman"/>
          <w:sz w:val="22"/>
          <w:szCs w:val="22"/>
          <w:lang w:val="pt-PT"/>
        </w:rPr>
        <w:t>Pastebėta, kad ilgiau laikant kapsules minkštame maiste, jos išsipučia ir deformuojasi, nes į želatininį</w:t>
      </w:r>
      <w:r w:rsidR="00A4350A" w:rsidRPr="00220850">
        <w:rPr>
          <w:rFonts w:eastAsia="TimesNewRoman"/>
          <w:sz w:val="22"/>
          <w:szCs w:val="22"/>
          <w:lang w:val="pt-PT"/>
        </w:rPr>
        <w:t xml:space="preserve"> </w:t>
      </w:r>
      <w:r w:rsidRPr="00220850">
        <w:rPr>
          <w:rFonts w:eastAsia="TimesNewRoman"/>
          <w:sz w:val="22"/>
          <w:szCs w:val="22"/>
          <w:lang w:val="pt-PT"/>
        </w:rPr>
        <w:t>kapsulės apvalką įsigeria vandens. Todėl vartojant kapsules su minkštu maistu nesitikima, kad</w:t>
      </w:r>
      <w:r w:rsidR="00A4350A" w:rsidRPr="00220850">
        <w:rPr>
          <w:rFonts w:eastAsia="TimesNewRoman"/>
          <w:sz w:val="22"/>
          <w:szCs w:val="22"/>
          <w:lang w:val="pt-PT"/>
        </w:rPr>
        <w:t xml:space="preserve"> </w:t>
      </w:r>
      <w:r w:rsidRPr="00220850">
        <w:rPr>
          <w:rFonts w:eastAsia="TimesNewRoman"/>
          <w:sz w:val="22"/>
          <w:szCs w:val="22"/>
          <w:lang w:val="pt-PT"/>
        </w:rPr>
        <w:t>klinikinis poveikis pakinta, jeigu jos suvartojamos iškart.</w:t>
      </w:r>
    </w:p>
    <w:p w14:paraId="7A571925" w14:textId="77777777" w:rsidR="00A4350A" w:rsidRPr="00220850" w:rsidRDefault="00A4350A" w:rsidP="003555DC">
      <w:pPr>
        <w:autoSpaceDE w:val="0"/>
        <w:autoSpaceDN w:val="0"/>
        <w:adjustRightInd w:val="0"/>
        <w:rPr>
          <w:rFonts w:eastAsia="TimesNewRoman"/>
          <w:sz w:val="22"/>
          <w:szCs w:val="22"/>
          <w:lang w:val="pt-PT"/>
        </w:rPr>
      </w:pPr>
    </w:p>
    <w:p w14:paraId="65EF7FE7" w14:textId="1EDC2D74" w:rsidR="00FF5ED3" w:rsidRPr="00220850" w:rsidRDefault="00E53EE9" w:rsidP="003555DC">
      <w:pPr>
        <w:autoSpaceDE w:val="0"/>
        <w:autoSpaceDN w:val="0"/>
        <w:adjustRightInd w:val="0"/>
        <w:rPr>
          <w:rFonts w:eastAsia="TimesNewRoman"/>
          <w:sz w:val="22"/>
          <w:szCs w:val="22"/>
          <w:lang w:val="pt-PT"/>
        </w:rPr>
      </w:pPr>
      <w:r w:rsidRPr="00220850">
        <w:rPr>
          <w:sz w:val="22"/>
          <w:szCs w:val="22"/>
        </w:rPr>
        <w:t xml:space="preserve">Atliekant vienkartinės </w:t>
      </w:r>
      <w:proofErr w:type="spellStart"/>
      <w:r w:rsidRPr="00220850">
        <w:rPr>
          <w:sz w:val="22"/>
          <w:szCs w:val="22"/>
        </w:rPr>
        <w:t>nintedanibo</w:t>
      </w:r>
      <w:proofErr w:type="spellEnd"/>
      <w:r w:rsidRPr="00220850">
        <w:rPr>
          <w:sz w:val="22"/>
          <w:szCs w:val="22"/>
        </w:rPr>
        <w:t xml:space="preserve"> dozės santykinio biologinio prieinamumo tyrimą, kuriame dalyvavo sveiki suaugę tiriamieji vyrai, vartoję vieną 100 mg minkštąją želatinos kapsulę arba keturias 25 mg minkštąsias želatinos kapsules, biologinis prieinamumas abiejose gydymo grupėse buvo panašus.</w:t>
      </w:r>
    </w:p>
    <w:p w14:paraId="6CD2F4D5" w14:textId="77777777" w:rsidR="00E53EE9" w:rsidRPr="00220850" w:rsidRDefault="00E53EE9" w:rsidP="003555DC">
      <w:pPr>
        <w:autoSpaceDE w:val="0"/>
        <w:autoSpaceDN w:val="0"/>
        <w:adjustRightInd w:val="0"/>
        <w:rPr>
          <w:rFonts w:eastAsia="TimesNewRoman"/>
          <w:sz w:val="22"/>
          <w:szCs w:val="22"/>
          <w:u w:val="single"/>
          <w:lang w:val="pt-PT"/>
        </w:rPr>
      </w:pPr>
    </w:p>
    <w:p w14:paraId="7A6C9F4B" w14:textId="7F795586" w:rsidR="003555DC" w:rsidRPr="00220850" w:rsidRDefault="003555DC" w:rsidP="003555DC">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Pasiskirstymas</w:t>
      </w:r>
    </w:p>
    <w:p w14:paraId="3427EE04" w14:textId="4BBC37F9"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Nintedanibo pasiskirstymo kinetika mažiausiai yra dvifazė. Po infuzijos</w:t>
      </w:r>
      <w:r w:rsidR="00067519" w:rsidRPr="00220850">
        <w:rPr>
          <w:rFonts w:eastAsia="TimesNewRoman"/>
          <w:sz w:val="22"/>
          <w:szCs w:val="22"/>
          <w:lang w:val="pt-PT"/>
        </w:rPr>
        <w:t xml:space="preserve"> į veną</w:t>
      </w:r>
      <w:r w:rsidRPr="00220850">
        <w:rPr>
          <w:rFonts w:eastAsia="TimesNewRoman"/>
          <w:sz w:val="22"/>
          <w:szCs w:val="22"/>
          <w:lang w:val="pt-PT"/>
        </w:rPr>
        <w:t xml:space="preserve"> buvo nustatytas</w:t>
      </w:r>
      <w:r w:rsidR="00626A12" w:rsidRPr="00220850">
        <w:rPr>
          <w:rFonts w:eastAsia="TimesNewRoman"/>
          <w:sz w:val="22"/>
          <w:szCs w:val="22"/>
          <w:lang w:val="pt-PT"/>
        </w:rPr>
        <w:t xml:space="preserve"> </w:t>
      </w:r>
      <w:r w:rsidRPr="00220850">
        <w:rPr>
          <w:rFonts w:eastAsia="TimesNewRoman"/>
          <w:sz w:val="22"/>
          <w:szCs w:val="22"/>
          <w:lang w:val="pt-PT"/>
        </w:rPr>
        <w:t>didelis pasiskirstymo tūris (Vss</w:t>
      </w:r>
      <w:r w:rsidR="00626A12" w:rsidRPr="00220850">
        <w:rPr>
          <w:rFonts w:eastAsia="TimesNewRoman"/>
          <w:sz w:val="22"/>
          <w:szCs w:val="22"/>
          <w:lang w:val="pt-PT"/>
        </w:rPr>
        <w:t>: 1050 </w:t>
      </w:r>
      <w:r w:rsidRPr="00220850">
        <w:rPr>
          <w:rFonts w:eastAsia="TimesNewRoman"/>
          <w:sz w:val="22"/>
          <w:szCs w:val="22"/>
          <w:lang w:val="pt-PT"/>
        </w:rPr>
        <w:t xml:space="preserve">l, </w:t>
      </w:r>
      <w:r w:rsidR="00067519" w:rsidRPr="00220850">
        <w:rPr>
          <w:rFonts w:eastAsia="TimesNewRoman"/>
          <w:sz w:val="22"/>
          <w:szCs w:val="22"/>
          <w:lang w:val="pt-PT"/>
        </w:rPr>
        <w:t xml:space="preserve">genotipinis </w:t>
      </w:r>
      <w:r w:rsidRPr="00220850">
        <w:rPr>
          <w:rFonts w:eastAsia="TimesNewRoman"/>
          <w:sz w:val="22"/>
          <w:szCs w:val="22"/>
          <w:lang w:val="pt-PT"/>
        </w:rPr>
        <w:t xml:space="preserve">variacijos koeficientas </w:t>
      </w:r>
      <w:r w:rsidR="00626A12" w:rsidRPr="00220850">
        <w:rPr>
          <w:rFonts w:eastAsia="TimesNewRoman"/>
          <w:sz w:val="22"/>
          <w:szCs w:val="22"/>
          <w:lang w:val="pt-PT"/>
        </w:rPr>
        <w:t xml:space="preserve">[gVK] </w:t>
      </w:r>
      <w:r w:rsidRPr="00220850">
        <w:rPr>
          <w:rFonts w:eastAsia="TimesNewRoman"/>
          <w:sz w:val="22"/>
          <w:szCs w:val="22"/>
          <w:lang w:val="pt-PT"/>
        </w:rPr>
        <w:t>‒ 45</w:t>
      </w:r>
      <w:r w:rsidR="00626A12" w:rsidRPr="00220850">
        <w:rPr>
          <w:rFonts w:eastAsia="TimesNewRoman"/>
          <w:sz w:val="22"/>
          <w:szCs w:val="22"/>
          <w:lang w:val="pt-PT"/>
        </w:rPr>
        <w:t> </w:t>
      </w:r>
      <w:r w:rsidRPr="00220850">
        <w:rPr>
          <w:rFonts w:eastAsia="TimesNewRoman"/>
          <w:sz w:val="22"/>
          <w:szCs w:val="22"/>
          <w:lang w:val="pt-PT"/>
        </w:rPr>
        <w:t>%).</w:t>
      </w:r>
    </w:p>
    <w:p w14:paraId="7AE2ED56" w14:textId="77777777" w:rsidR="00626A12" w:rsidRPr="00220850" w:rsidRDefault="00626A12" w:rsidP="003555DC">
      <w:pPr>
        <w:autoSpaceDE w:val="0"/>
        <w:autoSpaceDN w:val="0"/>
        <w:adjustRightInd w:val="0"/>
        <w:rPr>
          <w:rFonts w:eastAsia="TimesNewRoman"/>
          <w:sz w:val="22"/>
          <w:szCs w:val="22"/>
          <w:lang w:val="pt-PT"/>
        </w:rPr>
      </w:pPr>
    </w:p>
    <w:p w14:paraId="6EB7ECEF" w14:textId="7FDDEB4E" w:rsidR="003555DC" w:rsidRPr="00220850" w:rsidRDefault="003555DC" w:rsidP="003555DC">
      <w:pPr>
        <w:autoSpaceDE w:val="0"/>
        <w:autoSpaceDN w:val="0"/>
        <w:adjustRightInd w:val="0"/>
        <w:rPr>
          <w:rFonts w:eastAsia="TimesNewRoman"/>
          <w:sz w:val="22"/>
          <w:szCs w:val="22"/>
          <w:lang w:val="pt-PT"/>
        </w:rPr>
      </w:pPr>
      <w:r w:rsidRPr="00220850">
        <w:rPr>
          <w:rFonts w:eastAsia="TimesNewRoman,Italic"/>
          <w:i/>
          <w:iCs/>
          <w:sz w:val="22"/>
          <w:szCs w:val="22"/>
          <w:lang w:val="pt-PT"/>
        </w:rPr>
        <w:t xml:space="preserve">In vitro </w:t>
      </w:r>
      <w:r w:rsidRPr="00220850">
        <w:rPr>
          <w:rFonts w:eastAsia="TimesNewRoman"/>
          <w:sz w:val="22"/>
          <w:szCs w:val="22"/>
          <w:lang w:val="pt-PT"/>
        </w:rPr>
        <w:t>daug nintedanibo prisijungė prie kraujo plazmos baltymų, prisijungusi frakcij</w:t>
      </w:r>
      <w:r w:rsidR="00626A12" w:rsidRPr="00220850">
        <w:rPr>
          <w:rFonts w:eastAsia="TimesNewRoman"/>
          <w:sz w:val="22"/>
          <w:szCs w:val="22"/>
          <w:lang w:val="pt-PT"/>
        </w:rPr>
        <w:t xml:space="preserve">a sudarė </w:t>
      </w:r>
      <w:r w:rsidRPr="00220850">
        <w:rPr>
          <w:rFonts w:eastAsia="TimesNewRoman"/>
          <w:sz w:val="22"/>
          <w:szCs w:val="22"/>
          <w:lang w:val="pt-PT"/>
        </w:rPr>
        <w:t>97,8</w:t>
      </w:r>
      <w:r w:rsidR="00626A12" w:rsidRPr="00220850">
        <w:rPr>
          <w:rFonts w:eastAsia="TimesNewRoman"/>
          <w:sz w:val="22"/>
          <w:szCs w:val="22"/>
          <w:lang w:val="pt-PT"/>
        </w:rPr>
        <w:t> </w:t>
      </w:r>
      <w:r w:rsidRPr="00220850">
        <w:rPr>
          <w:rFonts w:eastAsia="TimesNewRoman"/>
          <w:sz w:val="22"/>
          <w:szCs w:val="22"/>
          <w:lang w:val="pt-PT"/>
        </w:rPr>
        <w:t>%. Svarbiausias baltymas</w:t>
      </w:r>
      <w:r w:rsidR="00067519" w:rsidRPr="00220850">
        <w:rPr>
          <w:rFonts w:eastAsia="TimesNewRoman"/>
          <w:sz w:val="22"/>
          <w:szCs w:val="22"/>
          <w:lang w:val="pt-PT"/>
        </w:rPr>
        <w:t>, prie kurio prisijungia</w:t>
      </w:r>
      <w:r w:rsidR="00626A12" w:rsidRPr="00220850">
        <w:rPr>
          <w:rFonts w:eastAsia="TimesNewRoman"/>
          <w:sz w:val="22"/>
          <w:szCs w:val="22"/>
          <w:lang w:val="pt-PT"/>
        </w:rPr>
        <w:t xml:space="preserve"> </w:t>
      </w:r>
      <w:r w:rsidRPr="00220850">
        <w:rPr>
          <w:rFonts w:eastAsia="TimesNewRoman"/>
          <w:sz w:val="22"/>
          <w:szCs w:val="22"/>
          <w:lang w:val="pt-PT"/>
        </w:rPr>
        <w:t>yra serumo albuminas. Nintedanibas pirmiausiai</w:t>
      </w:r>
      <w:r w:rsidR="00626A12" w:rsidRPr="00220850">
        <w:rPr>
          <w:rFonts w:eastAsia="TimesNewRoman"/>
          <w:sz w:val="22"/>
          <w:szCs w:val="22"/>
          <w:lang w:val="pt-PT"/>
        </w:rPr>
        <w:t xml:space="preserve"> </w:t>
      </w:r>
      <w:r w:rsidRPr="00220850">
        <w:rPr>
          <w:rFonts w:eastAsia="TimesNewRoman"/>
          <w:sz w:val="22"/>
          <w:szCs w:val="22"/>
          <w:lang w:val="pt-PT"/>
        </w:rPr>
        <w:t>pasiskirsto kraujo plazmoje, pasiskirstymo kraujyje ir kraujo plazmoje santykis yra 0,869.</w:t>
      </w:r>
    </w:p>
    <w:p w14:paraId="21096DDC" w14:textId="77777777" w:rsidR="00626A12" w:rsidRPr="00220850" w:rsidRDefault="00626A12" w:rsidP="003555DC">
      <w:pPr>
        <w:autoSpaceDE w:val="0"/>
        <w:autoSpaceDN w:val="0"/>
        <w:adjustRightInd w:val="0"/>
        <w:rPr>
          <w:rFonts w:eastAsia="TimesNewRoman"/>
          <w:sz w:val="22"/>
          <w:szCs w:val="22"/>
          <w:lang w:val="pt-PT"/>
        </w:rPr>
      </w:pPr>
    </w:p>
    <w:p w14:paraId="01C84D18" w14:textId="77777777" w:rsidR="003555DC" w:rsidRPr="00220850" w:rsidRDefault="003555DC" w:rsidP="003555DC">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Biotransformacija</w:t>
      </w:r>
    </w:p>
    <w:p w14:paraId="7C423FB9"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Vyraujanti nintedanibo metabolizmo reakcija yra esterazių vykdomas hidrolizinis skaldymas,</w:t>
      </w:r>
      <w:r w:rsidR="006B2579" w:rsidRPr="00220850">
        <w:rPr>
          <w:rFonts w:eastAsia="TimesNewRoman"/>
          <w:sz w:val="22"/>
          <w:szCs w:val="22"/>
          <w:lang w:val="pt-PT"/>
        </w:rPr>
        <w:t xml:space="preserve"> kurio rezultatas yra </w:t>
      </w:r>
      <w:r w:rsidRPr="00220850">
        <w:rPr>
          <w:rFonts w:eastAsia="TimesNewRoman"/>
          <w:sz w:val="22"/>
          <w:szCs w:val="22"/>
          <w:lang w:val="pt-PT"/>
        </w:rPr>
        <w:t>laisvos rūgšties liekaną BIBF 1202. BIBF 1202 toliau gliukuroninimo, v</w:t>
      </w:r>
      <w:r w:rsidR="00626A12" w:rsidRPr="00220850">
        <w:rPr>
          <w:rFonts w:eastAsia="TimesNewRoman"/>
          <w:sz w:val="22"/>
          <w:szCs w:val="22"/>
          <w:lang w:val="pt-PT"/>
        </w:rPr>
        <w:t>eikiant</w:t>
      </w:r>
      <w:r w:rsidRPr="00220850">
        <w:rPr>
          <w:rFonts w:eastAsia="TimesNewRoman"/>
          <w:sz w:val="22"/>
          <w:szCs w:val="22"/>
          <w:lang w:val="pt-PT"/>
        </w:rPr>
        <w:t xml:space="preserve"> uridino 5'-</w:t>
      </w:r>
      <w:r w:rsidR="006B2579" w:rsidRPr="00220850">
        <w:rPr>
          <w:rFonts w:eastAsia="TimesNewRoman"/>
          <w:sz w:val="22"/>
          <w:szCs w:val="22"/>
          <w:lang w:val="pt-PT"/>
        </w:rPr>
        <w:t> </w:t>
      </w:r>
      <w:r w:rsidRPr="00220850">
        <w:rPr>
          <w:rFonts w:eastAsia="TimesNewRoman"/>
          <w:sz w:val="22"/>
          <w:szCs w:val="22"/>
          <w:lang w:val="pt-PT"/>
        </w:rPr>
        <w:t>difosfo-gliukuronoziltransferazės ferment</w:t>
      </w:r>
      <w:r w:rsidR="00626A12" w:rsidRPr="00220850">
        <w:rPr>
          <w:rFonts w:eastAsia="TimesNewRoman"/>
          <w:sz w:val="22"/>
          <w:szCs w:val="22"/>
          <w:lang w:val="pt-PT"/>
        </w:rPr>
        <w:t>ams</w:t>
      </w:r>
      <w:r w:rsidRPr="00220850">
        <w:rPr>
          <w:rFonts w:eastAsia="TimesNewRoman"/>
          <w:sz w:val="22"/>
          <w:szCs w:val="22"/>
          <w:lang w:val="pt-PT"/>
        </w:rPr>
        <w:t xml:space="preserve"> (UGT), t. y. UGT 1A1, UGT 1A7, UGT 1A8 ir UGT</w:t>
      </w:r>
      <w:r w:rsidR="006B2579" w:rsidRPr="00220850">
        <w:rPr>
          <w:rFonts w:eastAsia="TimesNewRoman"/>
          <w:sz w:val="22"/>
          <w:szCs w:val="22"/>
          <w:lang w:val="pt-PT"/>
        </w:rPr>
        <w:t> </w:t>
      </w:r>
      <w:r w:rsidRPr="00220850">
        <w:rPr>
          <w:rFonts w:eastAsia="TimesNewRoman"/>
          <w:sz w:val="22"/>
          <w:szCs w:val="22"/>
          <w:lang w:val="pt-PT"/>
        </w:rPr>
        <w:t>1A10, metu verčiamas BIBF 1202 gliukuronidu.</w:t>
      </w:r>
    </w:p>
    <w:p w14:paraId="14938A48" w14:textId="77777777" w:rsidR="00626A12" w:rsidRPr="00220850" w:rsidRDefault="00626A12" w:rsidP="003555DC">
      <w:pPr>
        <w:autoSpaceDE w:val="0"/>
        <w:autoSpaceDN w:val="0"/>
        <w:adjustRightInd w:val="0"/>
        <w:rPr>
          <w:rFonts w:eastAsia="TimesNewRoman"/>
          <w:sz w:val="22"/>
          <w:szCs w:val="22"/>
          <w:lang w:val="pt-PT"/>
        </w:rPr>
      </w:pPr>
    </w:p>
    <w:p w14:paraId="7B2CB01D"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Tik maža nintedanibo dalis biotransformuojama veikiant CYP fermentams. Vyraujantis metabolizme</w:t>
      </w:r>
      <w:r w:rsidR="00626A12" w:rsidRPr="00220850">
        <w:rPr>
          <w:rFonts w:eastAsia="TimesNewRoman"/>
          <w:sz w:val="22"/>
          <w:szCs w:val="22"/>
          <w:lang w:val="pt-PT"/>
        </w:rPr>
        <w:t xml:space="preserve"> </w:t>
      </w:r>
      <w:r w:rsidRPr="00220850">
        <w:rPr>
          <w:rFonts w:eastAsia="TimesNewRoman"/>
          <w:sz w:val="22"/>
          <w:szCs w:val="22"/>
          <w:lang w:val="pt-PT"/>
        </w:rPr>
        <w:t>dalyvaujantis fermentas yra CYP 3A4. ADME tyrimo metu žmonių kraujo plazmoje pagrindinio nuo</w:t>
      </w:r>
      <w:r w:rsidR="00626A12" w:rsidRPr="00220850">
        <w:rPr>
          <w:rFonts w:eastAsia="TimesNewRoman"/>
          <w:sz w:val="22"/>
          <w:szCs w:val="22"/>
          <w:lang w:val="pt-PT"/>
        </w:rPr>
        <w:t xml:space="preserve"> </w:t>
      </w:r>
      <w:r w:rsidRPr="00220850">
        <w:rPr>
          <w:rFonts w:eastAsia="TimesNewRoman"/>
          <w:sz w:val="22"/>
          <w:szCs w:val="22"/>
          <w:lang w:val="pt-PT"/>
        </w:rPr>
        <w:t xml:space="preserve">CYP priklausomo metabolito neaptikta. </w:t>
      </w:r>
      <w:r w:rsidRPr="00220850">
        <w:rPr>
          <w:rFonts w:eastAsia="TimesNewRoman,Italic"/>
          <w:i/>
          <w:iCs/>
          <w:sz w:val="22"/>
          <w:szCs w:val="22"/>
          <w:lang w:val="pt-PT"/>
        </w:rPr>
        <w:t xml:space="preserve">In vitro </w:t>
      </w:r>
      <w:r w:rsidRPr="00220850">
        <w:rPr>
          <w:rFonts w:eastAsia="TimesNewRoman"/>
          <w:sz w:val="22"/>
          <w:szCs w:val="22"/>
          <w:lang w:val="pt-PT"/>
        </w:rPr>
        <w:t>nuo CYP priklausomas metabolizmas sudarė apie 5</w:t>
      </w:r>
      <w:r w:rsidR="00626A12" w:rsidRPr="00220850">
        <w:rPr>
          <w:rFonts w:eastAsia="TimesNewRoman"/>
          <w:sz w:val="22"/>
          <w:szCs w:val="22"/>
          <w:lang w:val="pt-PT"/>
        </w:rPr>
        <w:t> </w:t>
      </w:r>
      <w:r w:rsidRPr="00220850">
        <w:rPr>
          <w:rFonts w:eastAsia="TimesNewRoman"/>
          <w:sz w:val="22"/>
          <w:szCs w:val="22"/>
          <w:lang w:val="pt-PT"/>
        </w:rPr>
        <w:t>%,</w:t>
      </w:r>
      <w:r w:rsidR="00626A12" w:rsidRPr="00220850">
        <w:rPr>
          <w:rFonts w:eastAsia="TimesNewRoman"/>
          <w:sz w:val="22"/>
          <w:szCs w:val="22"/>
          <w:lang w:val="pt-PT"/>
        </w:rPr>
        <w:t xml:space="preserve"> </w:t>
      </w:r>
      <w:r w:rsidRPr="00220850">
        <w:rPr>
          <w:rFonts w:eastAsia="TimesNewRoman"/>
          <w:sz w:val="22"/>
          <w:szCs w:val="22"/>
          <w:lang w:val="pt-PT"/>
        </w:rPr>
        <w:t>palyginti su maždaug 25</w:t>
      </w:r>
      <w:r w:rsidR="00626A12" w:rsidRPr="00220850">
        <w:rPr>
          <w:rFonts w:eastAsia="TimesNewRoman"/>
          <w:sz w:val="22"/>
          <w:szCs w:val="22"/>
          <w:lang w:val="pt-PT"/>
        </w:rPr>
        <w:t> </w:t>
      </w:r>
      <w:r w:rsidRPr="00220850">
        <w:rPr>
          <w:rFonts w:eastAsia="TimesNewRoman"/>
          <w:sz w:val="22"/>
          <w:szCs w:val="22"/>
          <w:lang w:val="pt-PT"/>
        </w:rPr>
        <w:t>% esterio skaldymu. Ikiklinikinių tyrimų metu nustatyta, kad nintedanibas,</w:t>
      </w:r>
      <w:r w:rsidR="00626A12" w:rsidRPr="00220850">
        <w:rPr>
          <w:rFonts w:eastAsia="TimesNewRoman"/>
          <w:sz w:val="22"/>
          <w:szCs w:val="22"/>
          <w:lang w:val="pt-PT"/>
        </w:rPr>
        <w:t xml:space="preserve"> </w:t>
      </w:r>
      <w:r w:rsidRPr="00220850">
        <w:rPr>
          <w:rFonts w:eastAsia="TimesNewRoman"/>
          <w:sz w:val="22"/>
          <w:szCs w:val="22"/>
          <w:lang w:val="pt-PT"/>
        </w:rPr>
        <w:t>BIBF 1202 ir BIBF 1202 gliukuronidas CYP fermentų neslopina ir neindukuoja. Nintedanibo ir CYP</w:t>
      </w:r>
      <w:r w:rsidR="00626A12" w:rsidRPr="00220850">
        <w:rPr>
          <w:rFonts w:eastAsia="TimesNewRoman"/>
          <w:sz w:val="22"/>
          <w:szCs w:val="22"/>
          <w:lang w:val="pt-PT"/>
        </w:rPr>
        <w:t xml:space="preserve"> </w:t>
      </w:r>
      <w:r w:rsidRPr="00220850">
        <w:rPr>
          <w:rFonts w:eastAsia="TimesNewRoman"/>
          <w:sz w:val="22"/>
          <w:szCs w:val="22"/>
          <w:lang w:val="pt-PT"/>
        </w:rPr>
        <w:t>substratų, CYP inhibitorių ar CYP induktorių tarpusavio sąveika nėra tikėtina.</w:t>
      </w:r>
    </w:p>
    <w:p w14:paraId="7C6D3F12" w14:textId="77777777" w:rsidR="00626A12" w:rsidRPr="00220850" w:rsidRDefault="00626A12" w:rsidP="003555DC">
      <w:pPr>
        <w:autoSpaceDE w:val="0"/>
        <w:autoSpaceDN w:val="0"/>
        <w:adjustRightInd w:val="0"/>
        <w:rPr>
          <w:rFonts w:eastAsia="TimesNewRoman"/>
          <w:sz w:val="22"/>
          <w:szCs w:val="22"/>
          <w:lang w:val="pt-PT"/>
        </w:rPr>
      </w:pPr>
    </w:p>
    <w:p w14:paraId="06197D2B" w14:textId="77777777" w:rsidR="003555DC" w:rsidRPr="00220850" w:rsidRDefault="003555DC" w:rsidP="003555DC">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Eliminacija</w:t>
      </w:r>
    </w:p>
    <w:p w14:paraId="1AE39631" w14:textId="350A1F7B"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Bendras klirensas kraujo plazmoje po infuzijos į veną</w:t>
      </w:r>
      <w:r w:rsidR="00626A12" w:rsidRPr="00220850">
        <w:rPr>
          <w:rFonts w:eastAsia="TimesNewRoman"/>
          <w:sz w:val="22"/>
          <w:szCs w:val="22"/>
          <w:lang w:val="pt-PT"/>
        </w:rPr>
        <w:t xml:space="preserve"> buvo didelis (Kl: 1</w:t>
      </w:r>
      <w:r w:rsidR="00067519" w:rsidRPr="00220850">
        <w:rPr>
          <w:rFonts w:eastAsia="TimesNewRoman"/>
          <w:sz w:val="22"/>
          <w:szCs w:val="22"/>
          <w:lang w:val="pt-PT"/>
        </w:rPr>
        <w:t xml:space="preserve"> </w:t>
      </w:r>
      <w:r w:rsidR="00626A12" w:rsidRPr="00220850">
        <w:rPr>
          <w:rFonts w:eastAsia="TimesNewRoman"/>
          <w:sz w:val="22"/>
          <w:szCs w:val="22"/>
          <w:lang w:val="pt-PT"/>
        </w:rPr>
        <w:t>390 </w:t>
      </w:r>
      <w:r w:rsidRPr="00220850">
        <w:rPr>
          <w:rFonts w:eastAsia="TimesNewRoman"/>
          <w:sz w:val="22"/>
          <w:szCs w:val="22"/>
          <w:lang w:val="pt-PT"/>
        </w:rPr>
        <w:t>ml/min, gVK ‒ 28,8</w:t>
      </w:r>
      <w:r w:rsidR="00626A12" w:rsidRPr="00220850">
        <w:rPr>
          <w:rFonts w:eastAsia="TimesNewRoman"/>
          <w:sz w:val="22"/>
          <w:szCs w:val="22"/>
          <w:lang w:val="pt-PT"/>
        </w:rPr>
        <w:t> </w:t>
      </w:r>
      <w:r w:rsidRPr="00220850">
        <w:rPr>
          <w:rFonts w:eastAsia="TimesNewRoman"/>
          <w:sz w:val="22"/>
          <w:szCs w:val="22"/>
          <w:lang w:val="pt-PT"/>
        </w:rPr>
        <w:t>%)</w:t>
      </w:r>
      <w:r w:rsidR="00626A12" w:rsidRPr="00220850">
        <w:rPr>
          <w:rFonts w:eastAsia="TimesNewRoman"/>
          <w:sz w:val="22"/>
          <w:szCs w:val="22"/>
          <w:lang w:val="pt-PT"/>
        </w:rPr>
        <w:t xml:space="preserve">. </w:t>
      </w:r>
      <w:r w:rsidRPr="00220850">
        <w:rPr>
          <w:rFonts w:eastAsia="TimesNewRoman"/>
          <w:sz w:val="22"/>
          <w:szCs w:val="22"/>
          <w:lang w:val="pt-PT"/>
        </w:rPr>
        <w:t>Per 48 valandas su šlapimu nepakitusios veikliosios medžiagos pavidalu išsiskyrė maždaug 0,05</w:t>
      </w:r>
      <w:r w:rsidR="00626A12" w:rsidRPr="00220850">
        <w:rPr>
          <w:rFonts w:eastAsia="TimesNewRoman"/>
          <w:sz w:val="22"/>
          <w:szCs w:val="22"/>
          <w:lang w:val="pt-PT"/>
        </w:rPr>
        <w:t> </w:t>
      </w:r>
      <w:r w:rsidRPr="00220850">
        <w:rPr>
          <w:rFonts w:eastAsia="TimesNewRoman"/>
          <w:sz w:val="22"/>
          <w:szCs w:val="22"/>
          <w:lang w:val="pt-PT"/>
        </w:rPr>
        <w:t>% per</w:t>
      </w:r>
      <w:r w:rsidR="00626A12" w:rsidRPr="00220850">
        <w:rPr>
          <w:rFonts w:eastAsia="TimesNewRoman"/>
          <w:sz w:val="22"/>
          <w:szCs w:val="22"/>
          <w:lang w:val="pt-PT"/>
        </w:rPr>
        <w:t xml:space="preserve"> </w:t>
      </w:r>
      <w:r w:rsidRPr="00220850">
        <w:rPr>
          <w:rFonts w:eastAsia="TimesNewRoman"/>
          <w:sz w:val="22"/>
          <w:szCs w:val="22"/>
          <w:lang w:val="pt-PT"/>
        </w:rPr>
        <w:lastRenderedPageBreak/>
        <w:t>burną pavartotos dozės (gVK: 31,5</w:t>
      </w:r>
      <w:r w:rsidR="00626A12" w:rsidRPr="00220850">
        <w:rPr>
          <w:rFonts w:eastAsia="TimesNewRoman"/>
          <w:sz w:val="22"/>
          <w:szCs w:val="22"/>
          <w:lang w:val="pt-PT"/>
        </w:rPr>
        <w:t> </w:t>
      </w:r>
      <w:r w:rsidRPr="00220850">
        <w:rPr>
          <w:rFonts w:eastAsia="TimesNewRoman"/>
          <w:sz w:val="22"/>
          <w:szCs w:val="22"/>
          <w:lang w:val="pt-PT"/>
        </w:rPr>
        <w:t>%) ir maždaug 1,4</w:t>
      </w:r>
      <w:r w:rsidR="00626A12" w:rsidRPr="00220850">
        <w:rPr>
          <w:rFonts w:eastAsia="TimesNewRoman"/>
          <w:sz w:val="22"/>
          <w:szCs w:val="22"/>
          <w:lang w:val="pt-PT"/>
        </w:rPr>
        <w:t> </w:t>
      </w:r>
      <w:r w:rsidRPr="00220850">
        <w:rPr>
          <w:rFonts w:eastAsia="TimesNewRoman"/>
          <w:sz w:val="22"/>
          <w:szCs w:val="22"/>
          <w:lang w:val="pt-PT"/>
        </w:rPr>
        <w:t>% į veną suleistos dozės (gVK: 24,2</w:t>
      </w:r>
      <w:r w:rsidR="00626A12" w:rsidRPr="00220850">
        <w:rPr>
          <w:rFonts w:eastAsia="TimesNewRoman"/>
          <w:sz w:val="22"/>
          <w:szCs w:val="22"/>
          <w:lang w:val="pt-PT"/>
        </w:rPr>
        <w:t> </w:t>
      </w:r>
      <w:r w:rsidRPr="00220850">
        <w:rPr>
          <w:rFonts w:eastAsia="TimesNewRoman"/>
          <w:sz w:val="22"/>
          <w:szCs w:val="22"/>
          <w:lang w:val="pt-PT"/>
        </w:rPr>
        <w:t>%); inkstų</w:t>
      </w:r>
      <w:r w:rsidR="00626A12" w:rsidRPr="00220850">
        <w:rPr>
          <w:rFonts w:eastAsia="TimesNewRoman"/>
          <w:sz w:val="22"/>
          <w:szCs w:val="22"/>
          <w:lang w:val="pt-PT"/>
        </w:rPr>
        <w:t xml:space="preserve"> klirensas buvo 20 </w:t>
      </w:r>
      <w:r w:rsidRPr="00220850">
        <w:rPr>
          <w:rFonts w:eastAsia="TimesNewRoman"/>
          <w:sz w:val="22"/>
          <w:szCs w:val="22"/>
          <w:lang w:val="pt-PT"/>
        </w:rPr>
        <w:t>ml/min. (gVK: 32,6</w:t>
      </w:r>
      <w:r w:rsidR="00626A12" w:rsidRPr="00220850">
        <w:rPr>
          <w:rFonts w:eastAsia="TimesNewRoman"/>
          <w:sz w:val="22"/>
          <w:szCs w:val="22"/>
          <w:lang w:val="pt-PT"/>
        </w:rPr>
        <w:t> </w:t>
      </w:r>
      <w:r w:rsidRPr="00220850">
        <w:rPr>
          <w:rFonts w:eastAsia="TimesNewRoman"/>
          <w:sz w:val="22"/>
          <w:szCs w:val="22"/>
          <w:lang w:val="pt-PT"/>
        </w:rPr>
        <w:t>%). Per burną pavartojus [</w:t>
      </w:r>
      <w:r w:rsidRPr="00220850">
        <w:rPr>
          <w:rFonts w:eastAsia="TimesNewRoman"/>
          <w:sz w:val="22"/>
          <w:szCs w:val="22"/>
          <w:vertAlign w:val="superscript"/>
          <w:lang w:val="pt-PT"/>
        </w:rPr>
        <w:t>14</w:t>
      </w:r>
      <w:r w:rsidRPr="00220850">
        <w:rPr>
          <w:rFonts w:eastAsia="TimesNewRoman"/>
          <w:sz w:val="22"/>
          <w:szCs w:val="22"/>
          <w:lang w:val="pt-PT"/>
        </w:rPr>
        <w:t>C] nintedanibo, su vaistiniu</w:t>
      </w:r>
      <w:r w:rsidR="00626A12" w:rsidRPr="00220850">
        <w:rPr>
          <w:rFonts w:eastAsia="TimesNewRoman"/>
          <w:sz w:val="22"/>
          <w:szCs w:val="22"/>
          <w:lang w:val="pt-PT"/>
        </w:rPr>
        <w:t xml:space="preserve"> </w:t>
      </w:r>
      <w:r w:rsidRPr="00220850">
        <w:rPr>
          <w:rFonts w:eastAsia="TimesNewRoman"/>
          <w:sz w:val="22"/>
          <w:szCs w:val="22"/>
          <w:lang w:val="pt-PT"/>
        </w:rPr>
        <w:t>preparatu susijusio radioaktyvumo pagrindinis eliminacijos būdas buvo išsiskyrimas su išmatomis /</w:t>
      </w:r>
      <w:r w:rsidR="00626A12" w:rsidRPr="00220850">
        <w:rPr>
          <w:rFonts w:eastAsia="TimesNewRoman"/>
          <w:sz w:val="22"/>
          <w:szCs w:val="22"/>
          <w:lang w:val="pt-PT"/>
        </w:rPr>
        <w:t xml:space="preserve"> </w:t>
      </w:r>
      <w:r w:rsidRPr="00220850">
        <w:rPr>
          <w:rFonts w:eastAsia="TimesNewRoman"/>
          <w:sz w:val="22"/>
          <w:szCs w:val="22"/>
          <w:lang w:val="pt-PT"/>
        </w:rPr>
        <w:t>tulžimi (93,4</w:t>
      </w:r>
      <w:r w:rsidR="00626A12" w:rsidRPr="00220850">
        <w:rPr>
          <w:rFonts w:eastAsia="TimesNewRoman"/>
          <w:sz w:val="22"/>
          <w:szCs w:val="22"/>
          <w:lang w:val="pt-PT"/>
        </w:rPr>
        <w:t> </w:t>
      </w:r>
      <w:r w:rsidRPr="00220850">
        <w:rPr>
          <w:rFonts w:eastAsia="TimesNewRoman"/>
          <w:sz w:val="22"/>
          <w:szCs w:val="22"/>
          <w:lang w:val="pt-PT"/>
        </w:rPr>
        <w:t>% dozės, gVK ‒ 2,61</w:t>
      </w:r>
      <w:r w:rsidR="00626A12" w:rsidRPr="00220850">
        <w:rPr>
          <w:rFonts w:eastAsia="TimesNewRoman"/>
          <w:sz w:val="22"/>
          <w:szCs w:val="22"/>
          <w:lang w:val="pt-PT"/>
        </w:rPr>
        <w:t> </w:t>
      </w:r>
      <w:r w:rsidRPr="00220850">
        <w:rPr>
          <w:rFonts w:eastAsia="TimesNewRoman"/>
          <w:sz w:val="22"/>
          <w:szCs w:val="22"/>
          <w:lang w:val="pt-PT"/>
        </w:rPr>
        <w:t>%). Išsiskyrimas pro inkstus, palyginti su bendru klirensu, buvo</w:t>
      </w:r>
      <w:r w:rsidR="00626A12" w:rsidRPr="00220850">
        <w:rPr>
          <w:rFonts w:eastAsia="TimesNewRoman"/>
          <w:sz w:val="22"/>
          <w:szCs w:val="22"/>
          <w:lang w:val="pt-PT"/>
        </w:rPr>
        <w:t xml:space="preserve"> </w:t>
      </w:r>
      <w:r w:rsidRPr="00220850">
        <w:rPr>
          <w:rFonts w:eastAsia="TimesNewRoman"/>
          <w:sz w:val="22"/>
          <w:szCs w:val="22"/>
          <w:lang w:val="pt-PT"/>
        </w:rPr>
        <w:t>mažas (0,649</w:t>
      </w:r>
      <w:r w:rsidR="00626A12" w:rsidRPr="00220850">
        <w:rPr>
          <w:rFonts w:eastAsia="TimesNewRoman"/>
          <w:sz w:val="22"/>
          <w:szCs w:val="22"/>
          <w:lang w:val="pt-PT"/>
        </w:rPr>
        <w:t> </w:t>
      </w:r>
      <w:r w:rsidRPr="00220850">
        <w:rPr>
          <w:rFonts w:eastAsia="TimesNewRoman"/>
          <w:sz w:val="22"/>
          <w:szCs w:val="22"/>
          <w:lang w:val="pt-PT"/>
        </w:rPr>
        <w:t>% dozės, gVK ‒ 26,3</w:t>
      </w:r>
      <w:r w:rsidR="00626A12" w:rsidRPr="00220850">
        <w:rPr>
          <w:rFonts w:eastAsia="TimesNewRoman"/>
          <w:sz w:val="22"/>
          <w:szCs w:val="22"/>
          <w:lang w:val="pt-PT"/>
        </w:rPr>
        <w:t> </w:t>
      </w:r>
      <w:r w:rsidRPr="00220850">
        <w:rPr>
          <w:rFonts w:eastAsia="TimesNewRoman"/>
          <w:sz w:val="22"/>
          <w:szCs w:val="22"/>
          <w:lang w:val="pt-PT"/>
        </w:rPr>
        <w:t>%). Bendras išsiskyrimas buvo vertinamas kaip visiškas (virš 90</w:t>
      </w:r>
      <w:r w:rsidR="00626A12" w:rsidRPr="00220850">
        <w:rPr>
          <w:rFonts w:eastAsia="TimesNewRoman"/>
          <w:sz w:val="22"/>
          <w:szCs w:val="22"/>
          <w:lang w:val="pt-PT"/>
        </w:rPr>
        <w:t> </w:t>
      </w:r>
      <w:r w:rsidRPr="00220850">
        <w:rPr>
          <w:rFonts w:eastAsia="TimesNewRoman"/>
          <w:sz w:val="22"/>
          <w:szCs w:val="22"/>
          <w:lang w:val="pt-PT"/>
        </w:rPr>
        <w:t>%)</w:t>
      </w:r>
      <w:r w:rsidR="00626A12" w:rsidRPr="00220850">
        <w:rPr>
          <w:rFonts w:eastAsia="TimesNewRoman"/>
          <w:sz w:val="22"/>
          <w:szCs w:val="22"/>
          <w:lang w:val="pt-PT"/>
        </w:rPr>
        <w:t xml:space="preserve"> </w:t>
      </w:r>
      <w:r w:rsidRPr="00220850">
        <w:rPr>
          <w:rFonts w:eastAsia="TimesNewRoman"/>
          <w:sz w:val="22"/>
          <w:szCs w:val="22"/>
          <w:lang w:val="pt-PT"/>
        </w:rPr>
        <w:t>per 4 paras po pavartojimo. Nintedanibo galutinės pusinės elimina</w:t>
      </w:r>
      <w:r w:rsidR="00626A12" w:rsidRPr="00220850">
        <w:rPr>
          <w:rFonts w:eastAsia="TimesNewRoman"/>
          <w:sz w:val="22"/>
          <w:szCs w:val="22"/>
          <w:lang w:val="pt-PT"/>
        </w:rPr>
        <w:t>cijos laikas buvo tarp 10 ir 15 </w:t>
      </w:r>
      <w:r w:rsidRPr="00220850">
        <w:rPr>
          <w:rFonts w:eastAsia="TimesNewRoman"/>
          <w:sz w:val="22"/>
          <w:szCs w:val="22"/>
          <w:lang w:val="pt-PT"/>
        </w:rPr>
        <w:t>val.</w:t>
      </w:r>
      <w:r w:rsidR="00626A12" w:rsidRPr="00220850">
        <w:rPr>
          <w:rFonts w:eastAsia="TimesNewRoman"/>
          <w:sz w:val="22"/>
          <w:szCs w:val="22"/>
          <w:lang w:val="pt-PT"/>
        </w:rPr>
        <w:t xml:space="preserve"> </w:t>
      </w:r>
      <w:r w:rsidRPr="00220850">
        <w:rPr>
          <w:rFonts w:eastAsia="TimesNewRoman"/>
          <w:sz w:val="22"/>
          <w:szCs w:val="22"/>
          <w:lang w:val="pt-PT"/>
        </w:rPr>
        <w:t>(gVK: maždaug 50</w:t>
      </w:r>
      <w:r w:rsidR="00626A12" w:rsidRPr="00220850">
        <w:rPr>
          <w:rFonts w:eastAsia="TimesNewRoman"/>
          <w:sz w:val="22"/>
          <w:szCs w:val="22"/>
          <w:lang w:val="pt-PT"/>
        </w:rPr>
        <w:t> </w:t>
      </w:r>
      <w:r w:rsidRPr="00220850">
        <w:rPr>
          <w:rFonts w:eastAsia="TimesNewRoman"/>
          <w:sz w:val="22"/>
          <w:szCs w:val="22"/>
          <w:lang w:val="pt-PT"/>
        </w:rPr>
        <w:t>%).</w:t>
      </w:r>
    </w:p>
    <w:p w14:paraId="280598CA" w14:textId="77777777" w:rsidR="00626A12" w:rsidRPr="00220850" w:rsidRDefault="00626A12" w:rsidP="003555DC">
      <w:pPr>
        <w:autoSpaceDE w:val="0"/>
        <w:autoSpaceDN w:val="0"/>
        <w:adjustRightInd w:val="0"/>
        <w:rPr>
          <w:rFonts w:eastAsia="TimesNewRoman"/>
          <w:sz w:val="22"/>
          <w:szCs w:val="22"/>
          <w:lang w:val="pt-PT"/>
        </w:rPr>
      </w:pPr>
    </w:p>
    <w:p w14:paraId="79C33FB1" w14:textId="77777777" w:rsidR="003555DC" w:rsidRPr="00220850" w:rsidRDefault="003555DC" w:rsidP="003555DC">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Tiesinis / netiesinis pobūdis</w:t>
      </w:r>
    </w:p>
    <w:p w14:paraId="526F5FFD"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Nintedanibo farmakokinetika (FK) gali būti laikoma tiesine atsižvelgiant į laiką (t. y. vienkartinės</w:t>
      </w:r>
      <w:r w:rsidR="00626A12" w:rsidRPr="00220850">
        <w:rPr>
          <w:rFonts w:eastAsia="TimesNewRoman"/>
          <w:sz w:val="22"/>
          <w:szCs w:val="22"/>
          <w:lang w:val="pt-PT"/>
        </w:rPr>
        <w:t xml:space="preserve"> </w:t>
      </w:r>
      <w:r w:rsidRPr="00220850">
        <w:rPr>
          <w:rFonts w:eastAsia="TimesNewRoman"/>
          <w:sz w:val="22"/>
          <w:szCs w:val="22"/>
          <w:lang w:val="pt-PT"/>
        </w:rPr>
        <w:t>dozės duomenys gali būti ekstrapoliuoti į daugkartinių dozių duomenis). Kaupimasis po daugkartinių</w:t>
      </w:r>
      <w:r w:rsidR="00626A12" w:rsidRPr="00220850">
        <w:rPr>
          <w:rFonts w:eastAsia="TimesNewRoman"/>
          <w:sz w:val="22"/>
          <w:szCs w:val="22"/>
          <w:lang w:val="pt-PT"/>
        </w:rPr>
        <w:t xml:space="preserve"> </w:t>
      </w:r>
      <w:r w:rsidRPr="00220850">
        <w:rPr>
          <w:rFonts w:eastAsia="TimesNewRoman"/>
          <w:sz w:val="22"/>
          <w:szCs w:val="22"/>
          <w:lang w:val="pt-PT"/>
        </w:rPr>
        <w:t>pavartojimų buvo toks: C</w:t>
      </w:r>
      <w:r w:rsidRPr="00220850">
        <w:rPr>
          <w:rFonts w:eastAsia="TimesNewRoman"/>
          <w:sz w:val="22"/>
          <w:szCs w:val="22"/>
          <w:vertAlign w:val="subscript"/>
          <w:lang w:val="pt-PT"/>
        </w:rPr>
        <w:t>max</w:t>
      </w:r>
      <w:r w:rsidRPr="00220850">
        <w:rPr>
          <w:rFonts w:eastAsia="TimesNewRoman"/>
          <w:sz w:val="22"/>
          <w:szCs w:val="22"/>
          <w:lang w:val="pt-PT"/>
        </w:rPr>
        <w:t xml:space="preserve"> padidėjo 1,04 karto, AUC</w:t>
      </w:r>
      <w:r w:rsidRPr="00220850">
        <w:rPr>
          <w:rFonts w:eastAsia="TimesNewRoman"/>
          <w:sz w:val="22"/>
          <w:szCs w:val="22"/>
          <w:vertAlign w:val="subscript"/>
          <w:lang w:val="en-US"/>
        </w:rPr>
        <w:t>τ</w:t>
      </w:r>
      <w:r w:rsidRPr="00220850">
        <w:rPr>
          <w:rFonts w:eastAsia="TimesNewRoman"/>
          <w:sz w:val="22"/>
          <w:szCs w:val="22"/>
          <w:lang w:val="pt-PT"/>
        </w:rPr>
        <w:t xml:space="preserve"> – 1,38 karto. Nintedanibo mažiausios</w:t>
      </w:r>
      <w:r w:rsidR="00AC7284" w:rsidRPr="00220850">
        <w:rPr>
          <w:rFonts w:eastAsia="TimesNewRoman"/>
          <w:sz w:val="22"/>
          <w:szCs w:val="22"/>
          <w:lang w:val="pt-PT"/>
        </w:rPr>
        <w:t xml:space="preserve"> </w:t>
      </w:r>
      <w:r w:rsidRPr="00220850">
        <w:rPr>
          <w:rFonts w:eastAsia="TimesNewRoman"/>
          <w:sz w:val="22"/>
          <w:szCs w:val="22"/>
          <w:lang w:val="pt-PT"/>
        </w:rPr>
        <w:t>koncentracijos išliko pastovios ilgiau nei vienerius metus.</w:t>
      </w:r>
    </w:p>
    <w:p w14:paraId="15C23BF6" w14:textId="77777777" w:rsidR="00AC7284" w:rsidRPr="00220850" w:rsidRDefault="00AC7284" w:rsidP="003555DC">
      <w:pPr>
        <w:autoSpaceDE w:val="0"/>
        <w:autoSpaceDN w:val="0"/>
        <w:adjustRightInd w:val="0"/>
        <w:rPr>
          <w:rFonts w:eastAsia="TimesNewRoman"/>
          <w:sz w:val="22"/>
          <w:szCs w:val="22"/>
          <w:lang w:val="pt-PT"/>
        </w:rPr>
      </w:pPr>
    </w:p>
    <w:p w14:paraId="5783180B" w14:textId="77777777" w:rsidR="003555DC" w:rsidRPr="00220850" w:rsidRDefault="003555DC" w:rsidP="003555DC">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Pernaša</w:t>
      </w:r>
    </w:p>
    <w:p w14:paraId="5B3E495E"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Nintedanibas yra P-gp substratas. Apie galimą nintedanibo sąveiką su šiuo nešikliu žr. 4.5 skyriuje.</w:t>
      </w:r>
      <w:r w:rsidR="00AC7284" w:rsidRPr="00220850">
        <w:rPr>
          <w:rFonts w:eastAsia="TimesNewRoman"/>
          <w:sz w:val="22"/>
          <w:szCs w:val="22"/>
          <w:lang w:val="pt-PT"/>
        </w:rPr>
        <w:t xml:space="preserve"> </w:t>
      </w:r>
      <w:r w:rsidRPr="00220850">
        <w:rPr>
          <w:rFonts w:eastAsia="TimesNewRoman"/>
          <w:sz w:val="22"/>
          <w:szCs w:val="22"/>
          <w:lang w:val="pt-PT"/>
        </w:rPr>
        <w:t xml:space="preserve">Buvo įrodyta, kad </w:t>
      </w:r>
      <w:r w:rsidRPr="00220850">
        <w:rPr>
          <w:rFonts w:eastAsia="TimesNewRoman,Italic"/>
          <w:i/>
          <w:iCs/>
          <w:sz w:val="22"/>
          <w:szCs w:val="22"/>
          <w:lang w:val="pt-PT"/>
        </w:rPr>
        <w:t xml:space="preserve">in vitro </w:t>
      </w:r>
      <w:r w:rsidRPr="00220850">
        <w:rPr>
          <w:rFonts w:eastAsia="TimesNewRoman"/>
          <w:sz w:val="22"/>
          <w:szCs w:val="22"/>
          <w:lang w:val="pt-PT"/>
        </w:rPr>
        <w:t>nintedanibas nėra OATP-1B1, OATP-1B3, OATP-2B1, OCT-2 ar MRP-2</w:t>
      </w:r>
      <w:r w:rsidR="00AC7284" w:rsidRPr="00220850">
        <w:rPr>
          <w:rFonts w:eastAsia="TimesNewRoman"/>
          <w:sz w:val="22"/>
          <w:szCs w:val="22"/>
          <w:lang w:val="pt-PT"/>
        </w:rPr>
        <w:t xml:space="preserve"> </w:t>
      </w:r>
      <w:r w:rsidRPr="00220850">
        <w:rPr>
          <w:rFonts w:eastAsia="TimesNewRoman"/>
          <w:sz w:val="22"/>
          <w:szCs w:val="22"/>
          <w:lang w:val="pt-PT"/>
        </w:rPr>
        <w:t xml:space="preserve">substratas ar inhibitorius. Nintedanibas taip pat nėra BCRP substratas. </w:t>
      </w:r>
      <w:r w:rsidRPr="00220850">
        <w:rPr>
          <w:rFonts w:eastAsia="TimesNewRoman,Italic"/>
          <w:i/>
          <w:iCs/>
          <w:sz w:val="22"/>
          <w:szCs w:val="22"/>
          <w:lang w:val="pt-PT"/>
        </w:rPr>
        <w:t xml:space="preserve">In vitro </w:t>
      </w:r>
      <w:r w:rsidRPr="00220850">
        <w:rPr>
          <w:rFonts w:eastAsia="TimesNewRoman"/>
          <w:sz w:val="22"/>
          <w:szCs w:val="22"/>
          <w:lang w:val="pt-PT"/>
        </w:rPr>
        <w:t>buvo nustatyta tik</w:t>
      </w:r>
      <w:r w:rsidR="00AC7284" w:rsidRPr="00220850">
        <w:rPr>
          <w:rFonts w:eastAsia="TimesNewRoman"/>
          <w:sz w:val="22"/>
          <w:szCs w:val="22"/>
          <w:lang w:val="pt-PT"/>
        </w:rPr>
        <w:t xml:space="preserve"> </w:t>
      </w:r>
      <w:r w:rsidRPr="00220850">
        <w:rPr>
          <w:rFonts w:eastAsia="TimesNewRoman"/>
          <w:sz w:val="22"/>
          <w:szCs w:val="22"/>
          <w:lang w:val="pt-PT"/>
        </w:rPr>
        <w:t>silpna geba slopinti OCT-1, BCRP ir P-gp, kuri laikoma kliniškai nereikšminga. Tai pasakytina ir apie</w:t>
      </w:r>
      <w:r w:rsidR="00AC7284" w:rsidRPr="00220850">
        <w:rPr>
          <w:rFonts w:eastAsia="TimesNewRoman"/>
          <w:sz w:val="22"/>
          <w:szCs w:val="22"/>
          <w:lang w:val="pt-PT"/>
        </w:rPr>
        <w:t xml:space="preserve"> </w:t>
      </w:r>
      <w:r w:rsidRPr="00220850">
        <w:rPr>
          <w:rFonts w:eastAsia="TimesNewRoman"/>
          <w:sz w:val="22"/>
          <w:szCs w:val="22"/>
          <w:lang w:val="pt-PT"/>
        </w:rPr>
        <w:t>nintedanibo buvimą OCT-1 substratu.</w:t>
      </w:r>
    </w:p>
    <w:p w14:paraId="7F918026" w14:textId="77777777" w:rsidR="00AC7284" w:rsidRPr="00220850" w:rsidRDefault="00AC7284" w:rsidP="003555DC">
      <w:pPr>
        <w:autoSpaceDE w:val="0"/>
        <w:autoSpaceDN w:val="0"/>
        <w:adjustRightInd w:val="0"/>
        <w:rPr>
          <w:rFonts w:eastAsia="TimesNewRoman"/>
          <w:sz w:val="22"/>
          <w:szCs w:val="22"/>
          <w:lang w:val="pt-PT"/>
        </w:rPr>
      </w:pPr>
    </w:p>
    <w:p w14:paraId="0BEE2C51" w14:textId="77777777" w:rsidR="003555DC" w:rsidRPr="00220850" w:rsidRDefault="003555DC" w:rsidP="003555DC">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Populiacijos farmakokinetikos analizė ypatingose populiacijose</w:t>
      </w:r>
    </w:p>
    <w:p w14:paraId="4B26D24D"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Nintedanibo FK savybės sveikų savanorių, IPF sergančių pacientų, kitomis lėtinėmis fibrozinėmis</w:t>
      </w:r>
      <w:r w:rsidR="00AC7284" w:rsidRPr="00220850">
        <w:rPr>
          <w:rFonts w:eastAsia="TimesNewRoman"/>
          <w:sz w:val="22"/>
          <w:szCs w:val="22"/>
          <w:lang w:val="pt-PT"/>
        </w:rPr>
        <w:t xml:space="preserve"> </w:t>
      </w:r>
      <w:r w:rsidRPr="00220850">
        <w:rPr>
          <w:rFonts w:eastAsia="TimesNewRoman"/>
          <w:sz w:val="22"/>
          <w:szCs w:val="22"/>
          <w:lang w:val="pt-PT"/>
        </w:rPr>
        <w:t>progresuojančio fenotipo IPL sergančių pacientų, SS-IPL sergančių pacientų ir vėžiu sergančių</w:t>
      </w:r>
      <w:r w:rsidR="00AC7284" w:rsidRPr="00220850">
        <w:rPr>
          <w:rFonts w:eastAsia="TimesNewRoman"/>
          <w:sz w:val="22"/>
          <w:szCs w:val="22"/>
          <w:lang w:val="pt-PT"/>
        </w:rPr>
        <w:t xml:space="preserve"> </w:t>
      </w:r>
      <w:r w:rsidRPr="00220850">
        <w:rPr>
          <w:rFonts w:eastAsia="TimesNewRoman"/>
          <w:sz w:val="22"/>
          <w:szCs w:val="22"/>
          <w:lang w:val="pt-PT"/>
        </w:rPr>
        <w:t>pacientų organizme buvo panašios. Remiantis pacientų, sergančių IPF ar nesmulkialąsteliniu plaučių</w:t>
      </w:r>
      <w:r w:rsidR="00AC7284" w:rsidRPr="00220850">
        <w:rPr>
          <w:rFonts w:eastAsia="TimesNewRoman"/>
          <w:sz w:val="22"/>
          <w:szCs w:val="22"/>
          <w:lang w:val="pt-PT"/>
        </w:rPr>
        <w:t xml:space="preserve"> </w:t>
      </w:r>
      <w:r w:rsidRPr="00220850">
        <w:rPr>
          <w:rFonts w:eastAsia="TimesNewRoman"/>
          <w:sz w:val="22"/>
          <w:szCs w:val="22"/>
          <w:lang w:val="pt-PT"/>
        </w:rPr>
        <w:t>vėžiu (NSPV) (N=1 191) populiacijos FK (popFK) analize ir aprašomaisiais tyrimais, lytis (kūno</w:t>
      </w:r>
      <w:r w:rsidR="00AC7284" w:rsidRPr="00220850">
        <w:rPr>
          <w:rFonts w:eastAsia="TimesNewRoman"/>
          <w:sz w:val="22"/>
          <w:szCs w:val="22"/>
          <w:lang w:val="pt-PT"/>
        </w:rPr>
        <w:t xml:space="preserve"> </w:t>
      </w:r>
      <w:r w:rsidRPr="00220850">
        <w:rPr>
          <w:rFonts w:eastAsia="TimesNewRoman"/>
          <w:sz w:val="22"/>
          <w:szCs w:val="22"/>
          <w:lang w:val="pt-PT"/>
        </w:rPr>
        <w:t>svoris pakoreguotas), lengvas ar vidutinio sunkumo inkstų funkcijos sutrikimas (vertinamas pagal</w:t>
      </w:r>
      <w:r w:rsidR="00AC7284" w:rsidRPr="00220850">
        <w:rPr>
          <w:rFonts w:eastAsia="TimesNewRoman"/>
          <w:sz w:val="22"/>
          <w:szCs w:val="22"/>
          <w:lang w:val="pt-PT"/>
        </w:rPr>
        <w:t xml:space="preserve"> </w:t>
      </w:r>
      <w:r w:rsidRPr="00220850">
        <w:rPr>
          <w:rFonts w:eastAsia="TimesNewRoman"/>
          <w:sz w:val="22"/>
          <w:szCs w:val="22"/>
          <w:lang w:val="pt-PT"/>
        </w:rPr>
        <w:t>kreatinino klirensą), alkoholio vartojimas ir P-gp genotipas nedarė įtakos nintedanibo ekspozicijai.</w:t>
      </w:r>
    </w:p>
    <w:p w14:paraId="2B5EBAA0"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PopFK analizės parodė, nedidelį nintedanibo poveikį ekspozicijai priklausomai nuo amžiaus, kūno</w:t>
      </w:r>
      <w:r w:rsidR="00AC7284" w:rsidRPr="00220850">
        <w:rPr>
          <w:rFonts w:eastAsia="TimesNewRoman"/>
          <w:sz w:val="22"/>
          <w:szCs w:val="22"/>
          <w:lang w:val="pt-PT"/>
        </w:rPr>
        <w:t xml:space="preserve"> </w:t>
      </w:r>
      <w:r w:rsidRPr="00220850">
        <w:rPr>
          <w:rFonts w:eastAsia="TimesNewRoman"/>
          <w:sz w:val="22"/>
          <w:szCs w:val="22"/>
          <w:lang w:val="pt-PT"/>
        </w:rPr>
        <w:t>svorio ir rasės (žr. toliau). Remiantis tuo, kad ekspozicija atskirų asmenų organizme labai kito,</w:t>
      </w:r>
      <w:r w:rsidR="00AC7284" w:rsidRPr="00220850">
        <w:rPr>
          <w:rFonts w:eastAsia="TimesNewRoman"/>
          <w:sz w:val="22"/>
          <w:szCs w:val="22"/>
          <w:lang w:val="pt-PT"/>
        </w:rPr>
        <w:t xml:space="preserve"> </w:t>
      </w:r>
      <w:r w:rsidRPr="00220850">
        <w:rPr>
          <w:rFonts w:eastAsia="TimesNewRoman"/>
          <w:sz w:val="22"/>
          <w:szCs w:val="22"/>
          <w:lang w:val="pt-PT"/>
        </w:rPr>
        <w:t>manoma, kad šis nedidelis poveikis nėra kliniškai reikšmingas (žr. 4.4 skyrių).</w:t>
      </w:r>
    </w:p>
    <w:p w14:paraId="6C2A601E" w14:textId="77777777" w:rsidR="00AC7284" w:rsidRPr="00220850" w:rsidRDefault="00AC7284" w:rsidP="003555DC">
      <w:pPr>
        <w:autoSpaceDE w:val="0"/>
        <w:autoSpaceDN w:val="0"/>
        <w:adjustRightInd w:val="0"/>
        <w:rPr>
          <w:rFonts w:eastAsia="TimesNewRoman,Italic"/>
          <w:i/>
          <w:iCs/>
          <w:sz w:val="22"/>
          <w:szCs w:val="22"/>
          <w:lang w:val="pt-PT"/>
        </w:rPr>
      </w:pPr>
    </w:p>
    <w:p w14:paraId="30B6507E" w14:textId="77777777" w:rsidR="003555DC" w:rsidRPr="00220850" w:rsidRDefault="003555DC" w:rsidP="003555DC">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Amžius</w:t>
      </w:r>
    </w:p>
    <w:p w14:paraId="5D3AB356"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Nintedanibo ekspozicija su amžiumi didėja tiesiniu būdu. Palyginti su pacientais, kurių amžiaus</w:t>
      </w:r>
      <w:r w:rsidR="00AC7284" w:rsidRPr="00220850">
        <w:rPr>
          <w:rFonts w:eastAsia="TimesNewRoman"/>
          <w:sz w:val="22"/>
          <w:szCs w:val="22"/>
          <w:lang w:val="pt-PT"/>
        </w:rPr>
        <w:t xml:space="preserve"> </w:t>
      </w:r>
      <w:r w:rsidRPr="00220850">
        <w:rPr>
          <w:rFonts w:eastAsia="TimesNewRoman"/>
          <w:sz w:val="22"/>
          <w:szCs w:val="22"/>
          <w:lang w:val="pt-PT"/>
        </w:rPr>
        <w:t>vidurkis 62 metai, 45 metų paciento organizme AUC</w:t>
      </w:r>
      <w:r w:rsidRPr="00220850">
        <w:rPr>
          <w:rFonts w:eastAsia="TimesNewRoman"/>
          <w:sz w:val="28"/>
          <w:szCs w:val="28"/>
          <w:vertAlign w:val="subscript"/>
          <w:lang w:val="en-US"/>
        </w:rPr>
        <w:t>τ</w:t>
      </w:r>
      <w:r w:rsidRPr="00220850">
        <w:rPr>
          <w:rFonts w:eastAsia="TimesNewRoman"/>
          <w:sz w:val="28"/>
          <w:szCs w:val="28"/>
          <w:vertAlign w:val="subscript"/>
          <w:lang w:val="pt-PT"/>
        </w:rPr>
        <w:t>,</w:t>
      </w:r>
      <w:r w:rsidR="006B2579" w:rsidRPr="00220850">
        <w:rPr>
          <w:rFonts w:eastAsia="TimesNewRoman"/>
          <w:sz w:val="28"/>
          <w:szCs w:val="28"/>
          <w:vertAlign w:val="subscript"/>
          <w:lang w:val="pt-PT"/>
        </w:rPr>
        <w:t xml:space="preserve"> </w:t>
      </w:r>
      <w:r w:rsidRPr="00220850">
        <w:rPr>
          <w:rFonts w:eastAsia="TimesNewRoman"/>
          <w:sz w:val="28"/>
          <w:szCs w:val="28"/>
          <w:vertAlign w:val="subscript"/>
          <w:lang w:val="pt-PT"/>
        </w:rPr>
        <w:t xml:space="preserve">ss </w:t>
      </w:r>
      <w:r w:rsidRPr="00220850">
        <w:rPr>
          <w:rFonts w:eastAsia="TimesNewRoman"/>
          <w:sz w:val="22"/>
          <w:szCs w:val="22"/>
          <w:lang w:val="pt-PT"/>
        </w:rPr>
        <w:t>mažesnis 16</w:t>
      </w:r>
      <w:r w:rsidR="00AC7284" w:rsidRPr="00220850">
        <w:rPr>
          <w:rFonts w:eastAsia="TimesNewRoman"/>
          <w:sz w:val="22"/>
          <w:szCs w:val="22"/>
          <w:lang w:val="pt-PT"/>
        </w:rPr>
        <w:t> </w:t>
      </w:r>
      <w:r w:rsidRPr="00220850">
        <w:rPr>
          <w:rFonts w:eastAsia="TimesNewRoman"/>
          <w:sz w:val="22"/>
          <w:szCs w:val="22"/>
          <w:lang w:val="pt-PT"/>
        </w:rPr>
        <w:t>%, o 76 metų paciento organizme</w:t>
      </w:r>
      <w:r w:rsidR="00AC7284" w:rsidRPr="00220850">
        <w:rPr>
          <w:rFonts w:eastAsia="TimesNewRoman"/>
          <w:sz w:val="22"/>
          <w:szCs w:val="22"/>
          <w:lang w:val="pt-PT"/>
        </w:rPr>
        <w:t xml:space="preserve"> </w:t>
      </w:r>
      <w:r w:rsidRPr="00220850">
        <w:rPr>
          <w:rFonts w:eastAsia="TimesNewRoman"/>
          <w:sz w:val="22"/>
          <w:szCs w:val="22"/>
          <w:lang w:val="pt-PT"/>
        </w:rPr>
        <w:t>didesnis 13</w:t>
      </w:r>
      <w:r w:rsidR="00AC7284" w:rsidRPr="00220850">
        <w:rPr>
          <w:rFonts w:eastAsia="TimesNewRoman"/>
          <w:sz w:val="22"/>
          <w:szCs w:val="22"/>
          <w:lang w:val="pt-PT"/>
        </w:rPr>
        <w:t> </w:t>
      </w:r>
      <w:r w:rsidRPr="00220850">
        <w:rPr>
          <w:rFonts w:eastAsia="TimesNewRoman"/>
          <w:sz w:val="22"/>
          <w:szCs w:val="22"/>
          <w:lang w:val="pt-PT"/>
        </w:rPr>
        <w:t>%. Analizė apėmė 29-85 metų amžiaus pacientus, maždaug 5</w:t>
      </w:r>
      <w:r w:rsidR="00AC7284" w:rsidRPr="00220850">
        <w:rPr>
          <w:rFonts w:eastAsia="TimesNewRoman"/>
          <w:sz w:val="22"/>
          <w:szCs w:val="22"/>
          <w:lang w:val="pt-PT"/>
        </w:rPr>
        <w:t> </w:t>
      </w:r>
      <w:r w:rsidRPr="00220850">
        <w:rPr>
          <w:rFonts w:eastAsia="TimesNewRoman"/>
          <w:sz w:val="22"/>
          <w:szCs w:val="22"/>
          <w:lang w:val="pt-PT"/>
        </w:rPr>
        <w:t>% populiacijos buvo senesni</w:t>
      </w:r>
      <w:r w:rsidR="00AC7284" w:rsidRPr="00220850">
        <w:rPr>
          <w:rFonts w:eastAsia="TimesNewRoman"/>
          <w:sz w:val="22"/>
          <w:szCs w:val="22"/>
          <w:lang w:val="pt-PT"/>
        </w:rPr>
        <w:t xml:space="preserve"> </w:t>
      </w:r>
      <w:r w:rsidRPr="00220850">
        <w:rPr>
          <w:rFonts w:eastAsia="TimesNewRoman"/>
          <w:sz w:val="22"/>
          <w:szCs w:val="22"/>
          <w:lang w:val="pt-PT"/>
        </w:rPr>
        <w:t>nei 75 metų.</w:t>
      </w:r>
      <w:r w:rsidR="00AC7284" w:rsidRPr="00220850">
        <w:rPr>
          <w:rFonts w:eastAsia="TimesNewRoman"/>
          <w:sz w:val="22"/>
          <w:szCs w:val="22"/>
          <w:lang w:val="pt-PT"/>
        </w:rPr>
        <w:t xml:space="preserve"> </w:t>
      </w:r>
      <w:r w:rsidRPr="00220850">
        <w:rPr>
          <w:rFonts w:eastAsia="TimesNewRoman"/>
          <w:sz w:val="22"/>
          <w:szCs w:val="22"/>
          <w:lang w:val="pt-PT"/>
        </w:rPr>
        <w:t>Pagal PopFK modelį buvo pastebėtas maždaug 20–25</w:t>
      </w:r>
      <w:r w:rsidR="00AC7284" w:rsidRPr="00220850">
        <w:rPr>
          <w:rFonts w:eastAsia="TimesNewRoman"/>
          <w:sz w:val="22"/>
          <w:szCs w:val="22"/>
          <w:lang w:val="pt-PT"/>
        </w:rPr>
        <w:t> </w:t>
      </w:r>
      <w:r w:rsidRPr="00220850">
        <w:rPr>
          <w:rFonts w:eastAsia="TimesNewRoman"/>
          <w:sz w:val="22"/>
          <w:szCs w:val="22"/>
          <w:lang w:val="pt-PT"/>
        </w:rPr>
        <w:t>% nintedanibo ekspozicijos</w:t>
      </w:r>
      <w:r w:rsidR="00AC7284" w:rsidRPr="00220850">
        <w:rPr>
          <w:rFonts w:eastAsia="TimesNewRoman"/>
          <w:sz w:val="22"/>
          <w:szCs w:val="22"/>
          <w:lang w:val="pt-PT"/>
        </w:rPr>
        <w:t xml:space="preserve"> </w:t>
      </w:r>
      <w:r w:rsidRPr="00220850">
        <w:rPr>
          <w:rFonts w:eastAsia="TimesNewRoman"/>
          <w:sz w:val="22"/>
          <w:szCs w:val="22"/>
          <w:lang w:val="pt-PT"/>
        </w:rPr>
        <w:t>padidėjimas ≥</w:t>
      </w:r>
      <w:r w:rsidR="00AC7284" w:rsidRPr="00220850">
        <w:rPr>
          <w:rFonts w:eastAsia="TimesNewRoman"/>
          <w:sz w:val="22"/>
          <w:szCs w:val="22"/>
          <w:lang w:val="pt-PT"/>
        </w:rPr>
        <w:t> </w:t>
      </w:r>
      <w:r w:rsidRPr="00220850">
        <w:rPr>
          <w:rFonts w:eastAsia="TimesNewRoman"/>
          <w:sz w:val="22"/>
          <w:szCs w:val="22"/>
          <w:lang w:val="pt-PT"/>
        </w:rPr>
        <w:t>75 metų pacientams, palyginus su jaunesniais nei 65 metų pacientais.</w:t>
      </w:r>
    </w:p>
    <w:p w14:paraId="2FFEC19C" w14:textId="77777777" w:rsidR="00AC7284" w:rsidRPr="00220850" w:rsidRDefault="00AC7284" w:rsidP="003555DC">
      <w:pPr>
        <w:autoSpaceDE w:val="0"/>
        <w:autoSpaceDN w:val="0"/>
        <w:adjustRightInd w:val="0"/>
        <w:rPr>
          <w:rFonts w:eastAsia="TimesNewRoman,Italic"/>
          <w:i/>
          <w:iCs/>
          <w:sz w:val="22"/>
          <w:szCs w:val="22"/>
          <w:lang w:val="pt-PT"/>
        </w:rPr>
      </w:pPr>
    </w:p>
    <w:p w14:paraId="5B564F91" w14:textId="77777777" w:rsidR="003555DC" w:rsidRPr="00220850" w:rsidRDefault="003555DC" w:rsidP="003555DC">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Vaikų populiacija</w:t>
      </w:r>
    </w:p>
    <w:p w14:paraId="19375BF9"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Remiantis tyrimo InPedILD (1199.337) farmakokinetikos duomenų analize, vartojant nintedanibą per</w:t>
      </w:r>
      <w:r w:rsidR="00AC7284" w:rsidRPr="00220850">
        <w:rPr>
          <w:rFonts w:eastAsia="TimesNewRoman"/>
          <w:sz w:val="22"/>
          <w:szCs w:val="22"/>
          <w:lang w:val="pt-PT"/>
        </w:rPr>
        <w:t xml:space="preserve"> </w:t>
      </w:r>
      <w:r w:rsidRPr="00220850">
        <w:rPr>
          <w:rFonts w:eastAsia="TimesNewRoman"/>
          <w:sz w:val="22"/>
          <w:szCs w:val="22"/>
          <w:lang w:val="pt-PT"/>
        </w:rPr>
        <w:t>burną pagal dozavimo algoritmą, taikomą atsižvelgiant į kūno svorį, organizme susidaro ekspozicija,</w:t>
      </w:r>
      <w:r w:rsidR="00AC7284" w:rsidRPr="00220850">
        <w:rPr>
          <w:rFonts w:eastAsia="TimesNewRoman"/>
          <w:sz w:val="22"/>
          <w:szCs w:val="22"/>
          <w:lang w:val="pt-PT"/>
        </w:rPr>
        <w:t xml:space="preserve"> </w:t>
      </w:r>
      <w:r w:rsidRPr="00220850">
        <w:rPr>
          <w:rFonts w:eastAsia="TimesNewRoman"/>
          <w:sz w:val="22"/>
          <w:szCs w:val="22"/>
          <w:lang w:val="pt-PT"/>
        </w:rPr>
        <w:t xml:space="preserve">kurios svyravimo ribos atitinka stebėtas suaugusiems pacientams. </w:t>
      </w:r>
      <w:r w:rsidR="00AC7284" w:rsidRPr="00220850">
        <w:rPr>
          <w:rFonts w:eastAsia="TimesNewRoman"/>
          <w:sz w:val="22"/>
          <w:szCs w:val="22"/>
          <w:lang w:val="pt-PT"/>
        </w:rPr>
        <w:t xml:space="preserve">Dešimčiai </w:t>
      </w:r>
      <w:r w:rsidRPr="00220850">
        <w:rPr>
          <w:rFonts w:eastAsia="TimesNewRoman"/>
          <w:sz w:val="22"/>
          <w:szCs w:val="22"/>
          <w:lang w:val="pt-PT"/>
        </w:rPr>
        <w:t>pacientų, kurių amžius</w:t>
      </w:r>
      <w:r w:rsidR="00AC7284" w:rsidRPr="00220850">
        <w:rPr>
          <w:rFonts w:eastAsia="TimesNewRoman"/>
          <w:sz w:val="22"/>
          <w:szCs w:val="22"/>
          <w:lang w:val="pt-PT"/>
        </w:rPr>
        <w:t xml:space="preserve"> </w:t>
      </w:r>
      <w:r w:rsidRPr="00220850">
        <w:rPr>
          <w:rFonts w:eastAsia="TimesNewRoman"/>
          <w:sz w:val="22"/>
          <w:szCs w:val="22"/>
          <w:lang w:val="pt-PT"/>
        </w:rPr>
        <w:t xml:space="preserve">6-11 metų, ir 23 pacientams, kurių amžius </w:t>
      </w:r>
      <w:r w:rsidR="00AC7284" w:rsidRPr="00220850">
        <w:rPr>
          <w:rFonts w:eastAsia="TimesNewRoman"/>
          <w:sz w:val="22"/>
          <w:szCs w:val="22"/>
          <w:lang w:val="pt-PT"/>
        </w:rPr>
        <w:t xml:space="preserve">buvo </w:t>
      </w:r>
      <w:r w:rsidRPr="00220850">
        <w:rPr>
          <w:rFonts w:eastAsia="TimesNewRoman"/>
          <w:sz w:val="22"/>
          <w:szCs w:val="22"/>
          <w:lang w:val="pt-PT"/>
        </w:rPr>
        <w:t>12-17 metų, stebėtos geometrinio AUC</w:t>
      </w:r>
      <w:r w:rsidRPr="00220850">
        <w:rPr>
          <w:rFonts w:eastAsia="TimesNewRoman"/>
          <w:sz w:val="22"/>
          <w:szCs w:val="22"/>
          <w:vertAlign w:val="subscript"/>
          <w:lang w:val="en-US"/>
        </w:rPr>
        <w:t>τ</w:t>
      </w:r>
      <w:r w:rsidRPr="00220850">
        <w:rPr>
          <w:rFonts w:eastAsia="TimesNewRoman"/>
          <w:sz w:val="22"/>
          <w:szCs w:val="22"/>
          <w:vertAlign w:val="subscript"/>
          <w:lang w:val="pt-PT"/>
        </w:rPr>
        <w:t>,</w:t>
      </w:r>
      <w:r w:rsidR="00AC7284" w:rsidRPr="00220850">
        <w:rPr>
          <w:rFonts w:eastAsia="TimesNewRoman"/>
          <w:sz w:val="22"/>
          <w:szCs w:val="22"/>
          <w:vertAlign w:val="subscript"/>
          <w:lang w:val="pt-PT"/>
        </w:rPr>
        <w:t xml:space="preserve"> </w:t>
      </w:r>
      <w:r w:rsidRPr="00220850">
        <w:rPr>
          <w:rFonts w:eastAsia="TimesNewRoman"/>
          <w:sz w:val="22"/>
          <w:szCs w:val="22"/>
          <w:vertAlign w:val="subscript"/>
          <w:lang w:val="pt-PT"/>
        </w:rPr>
        <w:t xml:space="preserve">ss </w:t>
      </w:r>
      <w:r w:rsidR="00AC7284" w:rsidRPr="00220850">
        <w:rPr>
          <w:rFonts w:eastAsia="TimesNewRoman"/>
          <w:sz w:val="22"/>
          <w:szCs w:val="22"/>
          <w:lang w:val="pt-PT"/>
        </w:rPr>
        <w:t xml:space="preserve">(geometrinis variacijos koeficientas) </w:t>
      </w:r>
      <w:r w:rsidRPr="00220850">
        <w:rPr>
          <w:rFonts w:eastAsia="TimesNewRoman"/>
          <w:sz w:val="22"/>
          <w:szCs w:val="22"/>
          <w:lang w:val="pt-PT"/>
        </w:rPr>
        <w:t>vidurkio</w:t>
      </w:r>
      <w:r w:rsidR="00AC7284" w:rsidRPr="00220850">
        <w:rPr>
          <w:rFonts w:eastAsia="TimesNewRoman"/>
          <w:sz w:val="22"/>
          <w:szCs w:val="22"/>
          <w:lang w:val="pt-PT"/>
        </w:rPr>
        <w:t xml:space="preserve"> </w:t>
      </w:r>
      <w:r w:rsidRPr="00220850">
        <w:rPr>
          <w:rFonts w:eastAsia="TimesNewRoman"/>
          <w:sz w:val="22"/>
          <w:szCs w:val="22"/>
          <w:lang w:val="pt-PT"/>
        </w:rPr>
        <w:t>eks</w:t>
      </w:r>
      <w:r w:rsidR="00AC7284" w:rsidRPr="00220850">
        <w:rPr>
          <w:rFonts w:eastAsia="TimesNewRoman"/>
          <w:sz w:val="22"/>
          <w:szCs w:val="22"/>
          <w:lang w:val="pt-PT"/>
        </w:rPr>
        <w:t>pozicijos atitinkamai buvo 175 </w:t>
      </w:r>
      <w:r w:rsidRPr="00220850">
        <w:rPr>
          <w:rFonts w:eastAsia="TimesNewRoman"/>
          <w:sz w:val="22"/>
          <w:szCs w:val="22"/>
          <w:lang w:val="pt-PT"/>
        </w:rPr>
        <w:t>ng/ml per valandą</w:t>
      </w:r>
      <w:r w:rsidR="00AC7284" w:rsidRPr="00220850">
        <w:rPr>
          <w:rFonts w:eastAsia="TimesNewRoman"/>
          <w:sz w:val="22"/>
          <w:szCs w:val="22"/>
          <w:lang w:val="pt-PT"/>
        </w:rPr>
        <w:t xml:space="preserve"> (85,1</w:t>
      </w:r>
      <w:r w:rsidR="006B2579" w:rsidRPr="00220850">
        <w:rPr>
          <w:rFonts w:eastAsia="TimesNewRoman"/>
          <w:sz w:val="22"/>
          <w:szCs w:val="22"/>
          <w:lang w:val="pt-PT"/>
        </w:rPr>
        <w:t> </w:t>
      </w:r>
      <w:r w:rsidRPr="00220850">
        <w:rPr>
          <w:rFonts w:eastAsia="TimesNewRoman"/>
          <w:sz w:val="22"/>
          <w:szCs w:val="22"/>
          <w:lang w:val="pt-PT"/>
        </w:rPr>
        <w:t>%) ir</w:t>
      </w:r>
      <w:r w:rsidR="00AC7284" w:rsidRPr="00220850">
        <w:rPr>
          <w:rFonts w:eastAsia="TimesNewRoman"/>
          <w:sz w:val="22"/>
          <w:szCs w:val="22"/>
          <w:lang w:val="pt-PT"/>
        </w:rPr>
        <w:t xml:space="preserve"> 167 </w:t>
      </w:r>
      <w:r w:rsidRPr="00220850">
        <w:rPr>
          <w:rFonts w:eastAsia="TimesNewRoman"/>
          <w:sz w:val="22"/>
          <w:szCs w:val="22"/>
          <w:lang w:val="pt-PT"/>
        </w:rPr>
        <w:t>ng/ml per valandą</w:t>
      </w:r>
      <w:r w:rsidR="00AC7284" w:rsidRPr="00220850">
        <w:rPr>
          <w:rFonts w:eastAsia="TimesNewRoman"/>
          <w:sz w:val="22"/>
          <w:szCs w:val="22"/>
          <w:lang w:val="pt-PT"/>
        </w:rPr>
        <w:t xml:space="preserve"> (83,6 </w:t>
      </w:r>
      <w:r w:rsidRPr="00220850">
        <w:rPr>
          <w:rFonts w:eastAsia="TimesNewRoman"/>
          <w:sz w:val="22"/>
          <w:szCs w:val="22"/>
          <w:lang w:val="pt-PT"/>
        </w:rPr>
        <w:t>%).</w:t>
      </w:r>
    </w:p>
    <w:p w14:paraId="6DDB5983" w14:textId="25865945" w:rsidR="00FF5ED3" w:rsidRPr="00220850" w:rsidRDefault="00FF5ED3" w:rsidP="0035166F">
      <w:pPr>
        <w:autoSpaceDE w:val="0"/>
        <w:autoSpaceDN w:val="0"/>
        <w:adjustRightInd w:val="0"/>
        <w:rPr>
          <w:i/>
          <w:highlight w:val="yellow"/>
          <w:lang w:val="pt-PT"/>
        </w:rPr>
      </w:pPr>
    </w:p>
    <w:p w14:paraId="7A3522C0" w14:textId="35E947D6" w:rsidR="00E53EE9" w:rsidRPr="00220850" w:rsidRDefault="00E53EE9" w:rsidP="00FF5ED3">
      <w:pPr>
        <w:pStyle w:val="Pagrindinistekstas"/>
        <w:ind w:right="267"/>
        <w:rPr>
          <w:i w:val="0"/>
          <w:iCs/>
          <w:color w:val="auto"/>
          <w:lang w:val="pt-PT"/>
        </w:rPr>
      </w:pPr>
      <w:r w:rsidRPr="00220850">
        <w:rPr>
          <w:i w:val="0"/>
          <w:color w:val="auto"/>
          <w:szCs w:val="22"/>
          <w:lang w:val="pt-PT"/>
        </w:rPr>
        <w:t>Tyrimo InPedILD duomenų ekspozicijos ir atsako santykio analizė parodė į Emax panašią ekspozicijos sąsają su FGPT, išreikštą % nuo būtinojo dydžio, ir FGPT Z balu, kurią patvirtina suaugusiųjų duomenys. Vertinant FGPT, išreikštą % nuo būtinojo dydžio, EC50 buvo 4,4 ng/ml (santykinė standartinė paklaida: 28,6 %); vertinant FGPT Z balą, EC50 buvo 4,4 ng/ml (santykinė standartinė paklaida: 75,3 %).</w:t>
      </w:r>
    </w:p>
    <w:p w14:paraId="14E7473B" w14:textId="77777777" w:rsidR="006918EB" w:rsidRPr="00220850" w:rsidRDefault="006918EB" w:rsidP="00E53EE9">
      <w:pPr>
        <w:pStyle w:val="Default"/>
        <w:rPr>
          <w:color w:val="auto"/>
          <w:sz w:val="22"/>
          <w:szCs w:val="22"/>
          <w:lang w:val="pt-PT"/>
        </w:rPr>
      </w:pPr>
    </w:p>
    <w:p w14:paraId="2EE6B313" w14:textId="4F5F4502" w:rsidR="00E53EE9" w:rsidRPr="00220850" w:rsidRDefault="00E53EE9" w:rsidP="00E53EE9">
      <w:pPr>
        <w:pStyle w:val="Default"/>
        <w:rPr>
          <w:color w:val="auto"/>
          <w:sz w:val="22"/>
          <w:szCs w:val="22"/>
          <w:lang w:val="pt-PT"/>
        </w:rPr>
      </w:pPr>
      <w:r w:rsidRPr="00220850">
        <w:rPr>
          <w:color w:val="auto"/>
          <w:sz w:val="22"/>
          <w:szCs w:val="22"/>
          <w:lang w:val="pt-PT"/>
        </w:rPr>
        <w:t xml:space="preserve">Nintedanibo vartojimas vaikams ir paaugliams, kurių kepenų funkcija sutrikusi, netirtas. </w:t>
      </w:r>
    </w:p>
    <w:p w14:paraId="7BD02151" w14:textId="6370BE03" w:rsidR="00AC7284" w:rsidRPr="00220850" w:rsidRDefault="00E53EE9" w:rsidP="00E53EE9">
      <w:pPr>
        <w:autoSpaceDE w:val="0"/>
        <w:autoSpaceDN w:val="0"/>
        <w:adjustRightInd w:val="0"/>
        <w:rPr>
          <w:rFonts w:eastAsia="TimesNewRoman,Italic"/>
          <w:i/>
          <w:iCs/>
          <w:sz w:val="22"/>
          <w:szCs w:val="22"/>
          <w:lang w:val="pt-PT"/>
        </w:rPr>
      </w:pPr>
      <w:r w:rsidRPr="00220850">
        <w:rPr>
          <w:sz w:val="22"/>
          <w:szCs w:val="22"/>
        </w:rPr>
        <w:t xml:space="preserve">Vaikams ir paaugliams, sergantiems </w:t>
      </w:r>
      <w:proofErr w:type="spellStart"/>
      <w:r w:rsidRPr="00220850">
        <w:rPr>
          <w:sz w:val="22"/>
          <w:szCs w:val="22"/>
        </w:rPr>
        <w:t>fibrozine</w:t>
      </w:r>
      <w:proofErr w:type="spellEnd"/>
      <w:r w:rsidRPr="00220850">
        <w:rPr>
          <w:sz w:val="22"/>
          <w:szCs w:val="22"/>
        </w:rPr>
        <w:t xml:space="preserve"> IPL ir lengvu kepenų funkcijos sutrikimu (A klasė pagal </w:t>
      </w:r>
      <w:proofErr w:type="spellStart"/>
      <w:r w:rsidRPr="00220850">
        <w:rPr>
          <w:sz w:val="22"/>
          <w:szCs w:val="22"/>
        </w:rPr>
        <w:t>Child-Pugh</w:t>
      </w:r>
      <w:proofErr w:type="spellEnd"/>
      <w:r w:rsidRPr="00220850">
        <w:rPr>
          <w:sz w:val="22"/>
          <w:szCs w:val="22"/>
        </w:rPr>
        <w:t xml:space="preserve">), populiacijos farmakokinetikos modeliavimas rodo, kad rekomenduojamu būdu sumažinus dozę (žr. 4.2 skyrių) susidaro ekspozicija, atitinkanti ekspoziciją suaugusiems pacientams, </w:t>
      </w:r>
      <w:r w:rsidRPr="00220850">
        <w:rPr>
          <w:sz w:val="22"/>
          <w:szCs w:val="22"/>
        </w:rPr>
        <w:lastRenderedPageBreak/>
        <w:t xml:space="preserve">kuriems yra lengvas kepenų funkcijos sutrikimas (A klasė pagal </w:t>
      </w:r>
      <w:proofErr w:type="spellStart"/>
      <w:r w:rsidRPr="00220850">
        <w:rPr>
          <w:sz w:val="22"/>
          <w:szCs w:val="22"/>
        </w:rPr>
        <w:t>Child-Pugh</w:t>
      </w:r>
      <w:proofErr w:type="spellEnd"/>
      <w:r w:rsidRPr="00220850">
        <w:rPr>
          <w:sz w:val="22"/>
          <w:szCs w:val="22"/>
        </w:rPr>
        <w:t>), vartojantiems atitinkamą rekomenduojamą sumažintą dozę.</w:t>
      </w:r>
    </w:p>
    <w:p w14:paraId="10C39BF9" w14:textId="77777777" w:rsidR="00E53EE9" w:rsidRPr="00220850" w:rsidRDefault="00E53EE9" w:rsidP="003555DC">
      <w:pPr>
        <w:autoSpaceDE w:val="0"/>
        <w:autoSpaceDN w:val="0"/>
        <w:adjustRightInd w:val="0"/>
        <w:rPr>
          <w:rFonts w:eastAsia="TimesNewRoman,Italic"/>
          <w:i/>
          <w:iCs/>
          <w:sz w:val="22"/>
          <w:szCs w:val="22"/>
          <w:lang w:val="pt-PT"/>
        </w:rPr>
      </w:pPr>
    </w:p>
    <w:p w14:paraId="7A9B13AA" w14:textId="7CF65263" w:rsidR="003555DC" w:rsidRPr="00220850" w:rsidRDefault="003555DC" w:rsidP="003555DC">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Kūno svoris</w:t>
      </w:r>
    </w:p>
    <w:p w14:paraId="2A4E48AF" w14:textId="77777777" w:rsidR="003555DC" w:rsidRPr="00220850" w:rsidRDefault="003555DC" w:rsidP="003555DC">
      <w:pPr>
        <w:autoSpaceDE w:val="0"/>
        <w:autoSpaceDN w:val="0"/>
        <w:adjustRightInd w:val="0"/>
        <w:rPr>
          <w:rFonts w:eastAsia="TimesNewRoman"/>
          <w:sz w:val="22"/>
          <w:szCs w:val="22"/>
          <w:lang w:val="pt-PT"/>
        </w:rPr>
      </w:pPr>
      <w:r w:rsidRPr="00220850">
        <w:rPr>
          <w:rFonts w:eastAsia="TimesNewRoman"/>
          <w:sz w:val="22"/>
          <w:szCs w:val="22"/>
          <w:lang w:val="pt-PT"/>
        </w:rPr>
        <w:t>Nustatytas atvirkštinis ryšys tarp kūno svorio ir nintedanibo ekspozicijos. Palyginti su pacientais, kurių</w:t>
      </w:r>
      <w:r w:rsidR="00AC7284" w:rsidRPr="00220850">
        <w:rPr>
          <w:rFonts w:eastAsia="TimesNewRoman"/>
          <w:sz w:val="22"/>
          <w:szCs w:val="22"/>
          <w:lang w:val="pt-PT"/>
        </w:rPr>
        <w:t xml:space="preserve"> </w:t>
      </w:r>
      <w:r w:rsidRPr="00220850">
        <w:rPr>
          <w:rFonts w:eastAsia="TimesNewRoman"/>
          <w:sz w:val="22"/>
          <w:szCs w:val="22"/>
          <w:lang w:val="pt-PT"/>
        </w:rPr>
        <w:t>kū</w:t>
      </w:r>
      <w:r w:rsidR="00AC7284" w:rsidRPr="00220850">
        <w:rPr>
          <w:rFonts w:eastAsia="TimesNewRoman"/>
          <w:sz w:val="22"/>
          <w:szCs w:val="22"/>
          <w:lang w:val="pt-PT"/>
        </w:rPr>
        <w:t>no svorio vidurkis buvo 71,5 kg, 50 </w:t>
      </w:r>
      <w:r w:rsidRPr="00220850">
        <w:rPr>
          <w:rFonts w:eastAsia="TimesNewRoman"/>
          <w:sz w:val="22"/>
          <w:szCs w:val="22"/>
          <w:lang w:val="pt-PT"/>
        </w:rPr>
        <w:t>kg sveriančio paciento organizme AUC</w:t>
      </w:r>
      <w:r w:rsidRPr="00220850">
        <w:rPr>
          <w:rFonts w:eastAsia="TimesNewRoman"/>
          <w:sz w:val="22"/>
          <w:szCs w:val="22"/>
          <w:vertAlign w:val="subscript"/>
          <w:lang w:val="en-US"/>
        </w:rPr>
        <w:t>τ</w:t>
      </w:r>
      <w:r w:rsidRPr="00220850">
        <w:rPr>
          <w:rFonts w:eastAsia="TimesNewRoman"/>
          <w:sz w:val="22"/>
          <w:szCs w:val="22"/>
          <w:vertAlign w:val="subscript"/>
          <w:lang w:val="pt-PT"/>
        </w:rPr>
        <w:t>,</w:t>
      </w:r>
      <w:r w:rsidR="00AC7284" w:rsidRPr="00220850">
        <w:rPr>
          <w:rFonts w:eastAsia="TimesNewRoman"/>
          <w:sz w:val="22"/>
          <w:szCs w:val="22"/>
          <w:vertAlign w:val="subscript"/>
          <w:lang w:val="pt-PT"/>
        </w:rPr>
        <w:t xml:space="preserve"> </w:t>
      </w:r>
      <w:r w:rsidRPr="00220850">
        <w:rPr>
          <w:rFonts w:eastAsia="TimesNewRoman"/>
          <w:sz w:val="22"/>
          <w:szCs w:val="22"/>
          <w:vertAlign w:val="subscript"/>
          <w:lang w:val="pt-PT"/>
        </w:rPr>
        <w:t xml:space="preserve">ss </w:t>
      </w:r>
      <w:r w:rsidRPr="00220850">
        <w:rPr>
          <w:rFonts w:eastAsia="TimesNewRoman"/>
          <w:sz w:val="22"/>
          <w:szCs w:val="22"/>
          <w:lang w:val="pt-PT"/>
        </w:rPr>
        <w:t>didesnis 25</w:t>
      </w:r>
      <w:r w:rsidR="00AC7284" w:rsidRPr="00220850">
        <w:rPr>
          <w:rFonts w:eastAsia="TimesNewRoman"/>
          <w:sz w:val="22"/>
          <w:szCs w:val="22"/>
          <w:lang w:val="pt-PT"/>
        </w:rPr>
        <w:t> </w:t>
      </w:r>
      <w:r w:rsidRPr="00220850">
        <w:rPr>
          <w:rFonts w:eastAsia="TimesNewRoman"/>
          <w:sz w:val="22"/>
          <w:szCs w:val="22"/>
          <w:lang w:val="pt-PT"/>
        </w:rPr>
        <w:t>% (5-toji</w:t>
      </w:r>
      <w:r w:rsidR="00AC7284" w:rsidRPr="00220850">
        <w:rPr>
          <w:rFonts w:eastAsia="TimesNewRoman"/>
          <w:sz w:val="22"/>
          <w:szCs w:val="22"/>
          <w:lang w:val="pt-PT"/>
        </w:rPr>
        <w:t xml:space="preserve"> </w:t>
      </w:r>
      <w:r w:rsidRPr="00220850">
        <w:rPr>
          <w:rFonts w:eastAsia="TimesNewRoman"/>
          <w:sz w:val="22"/>
          <w:szCs w:val="22"/>
          <w:lang w:val="pt-PT"/>
        </w:rPr>
        <w:t>procentilė</w:t>
      </w:r>
      <w:r w:rsidR="00AC7284" w:rsidRPr="00220850">
        <w:rPr>
          <w:rFonts w:eastAsia="TimesNewRoman"/>
          <w:sz w:val="22"/>
          <w:szCs w:val="22"/>
          <w:lang w:val="pt-PT"/>
        </w:rPr>
        <w:t>), o 100 </w:t>
      </w:r>
      <w:r w:rsidRPr="00220850">
        <w:rPr>
          <w:rFonts w:eastAsia="TimesNewRoman"/>
          <w:sz w:val="22"/>
          <w:szCs w:val="22"/>
          <w:lang w:val="pt-PT"/>
        </w:rPr>
        <w:t>kg sveriančio paciento organizme mažesnis 19</w:t>
      </w:r>
      <w:r w:rsidR="00AC7284" w:rsidRPr="00220850">
        <w:rPr>
          <w:rFonts w:eastAsia="TimesNewRoman"/>
          <w:sz w:val="22"/>
          <w:szCs w:val="22"/>
          <w:lang w:val="pt-PT"/>
        </w:rPr>
        <w:t> </w:t>
      </w:r>
      <w:r w:rsidRPr="00220850">
        <w:rPr>
          <w:rFonts w:eastAsia="TimesNewRoman"/>
          <w:sz w:val="22"/>
          <w:szCs w:val="22"/>
          <w:lang w:val="pt-PT"/>
        </w:rPr>
        <w:t>% (95-toji procentilė).</w:t>
      </w:r>
    </w:p>
    <w:p w14:paraId="18473905" w14:textId="77777777" w:rsidR="00AC7284" w:rsidRPr="00220850" w:rsidRDefault="00AC7284" w:rsidP="003555DC">
      <w:pPr>
        <w:autoSpaceDE w:val="0"/>
        <w:autoSpaceDN w:val="0"/>
        <w:adjustRightInd w:val="0"/>
        <w:rPr>
          <w:rFonts w:eastAsia="TimesNewRoman,Italic"/>
          <w:i/>
          <w:iCs/>
          <w:sz w:val="22"/>
          <w:szCs w:val="22"/>
          <w:lang w:val="pt-PT"/>
        </w:rPr>
      </w:pPr>
    </w:p>
    <w:p w14:paraId="7F632751" w14:textId="77777777" w:rsidR="003555DC" w:rsidRPr="00220850" w:rsidRDefault="003555DC" w:rsidP="003555DC">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Rasė</w:t>
      </w:r>
    </w:p>
    <w:p w14:paraId="19E8389A" w14:textId="77777777" w:rsidR="00A21B70" w:rsidRPr="00220850" w:rsidRDefault="003555DC" w:rsidP="00A21B70">
      <w:pPr>
        <w:autoSpaceDE w:val="0"/>
        <w:autoSpaceDN w:val="0"/>
        <w:adjustRightInd w:val="0"/>
        <w:rPr>
          <w:rFonts w:eastAsia="TimesNewRoman"/>
          <w:sz w:val="22"/>
          <w:szCs w:val="22"/>
          <w:lang w:val="pt-PT"/>
        </w:rPr>
      </w:pPr>
      <w:r w:rsidRPr="00220850">
        <w:rPr>
          <w:rFonts w:eastAsia="TimesNewRoman"/>
          <w:sz w:val="22"/>
          <w:szCs w:val="22"/>
          <w:lang w:val="pt-PT"/>
        </w:rPr>
        <w:t>Palyginti su europidais, pacientų k</w:t>
      </w:r>
      <w:r w:rsidR="00AC7284" w:rsidRPr="00220850">
        <w:rPr>
          <w:rFonts w:eastAsia="TimesNewRoman"/>
          <w:sz w:val="22"/>
          <w:szCs w:val="22"/>
          <w:lang w:val="pt-PT"/>
        </w:rPr>
        <w:t>i</w:t>
      </w:r>
      <w:r w:rsidRPr="00220850">
        <w:rPr>
          <w:rFonts w:eastAsia="TimesNewRoman"/>
          <w:sz w:val="22"/>
          <w:szCs w:val="22"/>
          <w:lang w:val="pt-PT"/>
        </w:rPr>
        <w:t>nų, taivaniečių ir indų organizme nintedanibo ekspozicijos vidurkis</w:t>
      </w:r>
      <w:r w:rsidR="00AC7284" w:rsidRPr="00220850">
        <w:rPr>
          <w:rFonts w:eastAsia="TimesNewRoman"/>
          <w:sz w:val="22"/>
          <w:szCs w:val="22"/>
          <w:lang w:val="pt-PT"/>
        </w:rPr>
        <w:t xml:space="preserve"> </w:t>
      </w:r>
      <w:r w:rsidRPr="00220850">
        <w:rPr>
          <w:rFonts w:eastAsia="TimesNewRoman"/>
          <w:sz w:val="22"/>
          <w:szCs w:val="22"/>
          <w:lang w:val="pt-PT"/>
        </w:rPr>
        <w:t>populiacijoje buvo 33–50</w:t>
      </w:r>
      <w:r w:rsidR="00AC7284" w:rsidRPr="00220850">
        <w:rPr>
          <w:rFonts w:eastAsia="TimesNewRoman"/>
          <w:sz w:val="22"/>
          <w:szCs w:val="22"/>
          <w:lang w:val="pt-PT"/>
        </w:rPr>
        <w:t> </w:t>
      </w:r>
      <w:r w:rsidRPr="00220850">
        <w:rPr>
          <w:rFonts w:eastAsia="TimesNewRoman"/>
          <w:sz w:val="22"/>
          <w:szCs w:val="22"/>
          <w:lang w:val="pt-PT"/>
        </w:rPr>
        <w:t>% didesnis, japonų</w:t>
      </w:r>
      <w:r w:rsidR="00AC7284" w:rsidRPr="00220850">
        <w:rPr>
          <w:rFonts w:eastAsia="TimesNewRoman"/>
          <w:sz w:val="22"/>
          <w:szCs w:val="22"/>
          <w:lang w:val="pt-PT"/>
        </w:rPr>
        <w:t xml:space="preserve"> organizme 16 </w:t>
      </w:r>
      <w:r w:rsidRPr="00220850">
        <w:rPr>
          <w:rFonts w:eastAsia="TimesNewRoman"/>
          <w:sz w:val="22"/>
          <w:szCs w:val="22"/>
          <w:lang w:val="pt-PT"/>
        </w:rPr>
        <w:t>% didesnis, o korėjiečių organizme ‒</w:t>
      </w:r>
      <w:r w:rsidR="00A21B70" w:rsidRPr="00220850">
        <w:rPr>
          <w:rFonts w:eastAsia="TimesNewRoman"/>
          <w:sz w:val="22"/>
          <w:szCs w:val="22"/>
          <w:lang w:val="pt-PT"/>
        </w:rPr>
        <w:t xml:space="preserve"> </w:t>
      </w:r>
      <w:r w:rsidR="002D5C8E" w:rsidRPr="00220850">
        <w:rPr>
          <w:sz w:val="22"/>
          <w:szCs w:val="22"/>
          <w:u w:val="single"/>
        </w:rPr>
        <w:t>&lt;</w:t>
      </w:r>
      <w:r w:rsidR="00A21B70" w:rsidRPr="00220850">
        <w:rPr>
          <w:sz w:val="22"/>
          <w:szCs w:val="22"/>
          <w:u w:val="single"/>
        </w:rPr>
        <w:t> </w:t>
      </w:r>
      <w:r w:rsidR="00A21B70" w:rsidRPr="00220850">
        <w:rPr>
          <w:rFonts w:eastAsia="TimesNewRoman"/>
          <w:sz w:val="22"/>
          <w:szCs w:val="22"/>
          <w:lang w:val="pt-PT"/>
        </w:rPr>
        <w:t>16 – 22 % mažesnis (kūno svoris pakoreguotas). Juodaodžių asmenų duomenys buvo labai riboti, bet svyravo tiek pat, kaip europidų.</w:t>
      </w:r>
    </w:p>
    <w:p w14:paraId="7CD02E41" w14:textId="77777777" w:rsidR="00A21B70" w:rsidRPr="00220850" w:rsidRDefault="00A21B70" w:rsidP="00A21B70">
      <w:pPr>
        <w:autoSpaceDE w:val="0"/>
        <w:autoSpaceDN w:val="0"/>
        <w:adjustRightInd w:val="0"/>
        <w:rPr>
          <w:rFonts w:eastAsia="TimesNewRoman,Italic"/>
          <w:i/>
          <w:iCs/>
          <w:sz w:val="22"/>
          <w:szCs w:val="22"/>
          <w:lang w:val="pt-PT"/>
        </w:rPr>
      </w:pPr>
    </w:p>
    <w:p w14:paraId="598B6A4C" w14:textId="77777777" w:rsidR="00A21B70" w:rsidRPr="00220850" w:rsidRDefault="00A21B70" w:rsidP="00A21B70">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Sutrikusi kepenų funkcija</w:t>
      </w:r>
    </w:p>
    <w:p w14:paraId="5479DB05" w14:textId="77777777" w:rsidR="00A21B70" w:rsidRPr="00220850" w:rsidRDefault="00A21B70" w:rsidP="00A21B70">
      <w:pPr>
        <w:autoSpaceDE w:val="0"/>
        <w:autoSpaceDN w:val="0"/>
        <w:adjustRightInd w:val="0"/>
        <w:rPr>
          <w:rFonts w:eastAsia="TimesNewRoman"/>
          <w:sz w:val="22"/>
          <w:szCs w:val="22"/>
          <w:lang w:val="pt-PT"/>
        </w:rPr>
      </w:pPr>
      <w:r w:rsidRPr="00220850">
        <w:rPr>
          <w:rFonts w:eastAsia="TimesNewRoman"/>
          <w:sz w:val="22"/>
          <w:szCs w:val="22"/>
          <w:lang w:val="pt-PT"/>
        </w:rPr>
        <w:t>I fazės vienkartinės dozės tyrime savanoriams, kuriems buvo lengvas kepenų funkcijos sutrikimas</w:t>
      </w:r>
      <w:r w:rsidR="00633722" w:rsidRPr="00220850">
        <w:rPr>
          <w:rFonts w:eastAsia="TimesNewRoman"/>
          <w:sz w:val="22"/>
          <w:szCs w:val="22"/>
          <w:lang w:val="pt-PT"/>
        </w:rPr>
        <w:t xml:space="preserve"> </w:t>
      </w:r>
      <w:r w:rsidRPr="00220850">
        <w:rPr>
          <w:rFonts w:eastAsia="TimesNewRoman"/>
          <w:sz w:val="22"/>
          <w:szCs w:val="22"/>
          <w:lang w:val="pt-PT"/>
        </w:rPr>
        <w:t>(A klasė</w:t>
      </w:r>
      <w:r w:rsidR="00633722" w:rsidRPr="00220850">
        <w:rPr>
          <w:rFonts w:eastAsia="TimesNewRoman"/>
          <w:sz w:val="22"/>
          <w:szCs w:val="22"/>
          <w:lang w:val="pt-PT"/>
        </w:rPr>
        <w:t xml:space="preserve"> pagal</w:t>
      </w:r>
      <w:r w:rsidRPr="00220850">
        <w:rPr>
          <w:rFonts w:eastAsia="TimesNewRoman"/>
          <w:sz w:val="22"/>
          <w:szCs w:val="22"/>
          <w:lang w:val="pt-PT"/>
        </w:rPr>
        <w:t xml:space="preserve"> Child Pugh), nintedanibo ekspozicija pagal C</w:t>
      </w:r>
      <w:r w:rsidRPr="00220850">
        <w:rPr>
          <w:rFonts w:eastAsia="TimesNewRoman"/>
          <w:sz w:val="22"/>
          <w:szCs w:val="22"/>
          <w:vertAlign w:val="subscript"/>
          <w:lang w:val="pt-PT"/>
        </w:rPr>
        <w:t>max</w:t>
      </w:r>
      <w:r w:rsidRPr="00220850">
        <w:rPr>
          <w:rFonts w:eastAsia="TimesNewRoman"/>
          <w:sz w:val="22"/>
          <w:szCs w:val="22"/>
          <w:lang w:val="pt-PT"/>
        </w:rPr>
        <w:t xml:space="preserve"> ir AUC buvo 2,2 karto didesnė lyginant su</w:t>
      </w:r>
      <w:r w:rsidR="00633722" w:rsidRPr="00220850">
        <w:rPr>
          <w:rFonts w:eastAsia="TimesNewRoman"/>
          <w:sz w:val="22"/>
          <w:szCs w:val="22"/>
          <w:lang w:val="pt-PT"/>
        </w:rPr>
        <w:t xml:space="preserve"> </w:t>
      </w:r>
      <w:r w:rsidRPr="00220850">
        <w:rPr>
          <w:rFonts w:eastAsia="TimesNewRoman"/>
          <w:sz w:val="22"/>
          <w:szCs w:val="22"/>
          <w:lang w:val="pt-PT"/>
        </w:rPr>
        <w:t>sveikais asmenimis (90</w:t>
      </w:r>
      <w:r w:rsidR="00633722" w:rsidRPr="00220850">
        <w:rPr>
          <w:rFonts w:eastAsia="TimesNewRoman"/>
          <w:sz w:val="22"/>
          <w:szCs w:val="22"/>
          <w:lang w:val="pt-PT"/>
        </w:rPr>
        <w:t> </w:t>
      </w:r>
      <w:r w:rsidRPr="00220850">
        <w:rPr>
          <w:rFonts w:eastAsia="TimesNewRoman"/>
          <w:sz w:val="22"/>
          <w:szCs w:val="22"/>
          <w:lang w:val="pt-PT"/>
        </w:rPr>
        <w:t>%</w:t>
      </w:r>
      <w:r w:rsidR="00633722" w:rsidRPr="00220850">
        <w:rPr>
          <w:rFonts w:eastAsia="TimesNewRoman"/>
          <w:sz w:val="22"/>
          <w:szCs w:val="22"/>
          <w:lang w:val="pt-PT"/>
        </w:rPr>
        <w:t> </w:t>
      </w:r>
      <w:r w:rsidRPr="00220850">
        <w:rPr>
          <w:rFonts w:eastAsia="TimesNewRoman"/>
          <w:sz w:val="22"/>
          <w:szCs w:val="22"/>
          <w:lang w:val="pt-PT"/>
        </w:rPr>
        <w:t>PI atitinkamai C</w:t>
      </w:r>
      <w:r w:rsidRPr="00220850">
        <w:rPr>
          <w:rFonts w:eastAsia="TimesNewRoman"/>
          <w:sz w:val="22"/>
          <w:szCs w:val="22"/>
          <w:vertAlign w:val="subscript"/>
          <w:lang w:val="pt-PT"/>
        </w:rPr>
        <w:t>max</w:t>
      </w:r>
      <w:r w:rsidR="00633722" w:rsidRPr="00220850">
        <w:rPr>
          <w:rFonts w:eastAsia="TimesNewRoman"/>
          <w:sz w:val="22"/>
          <w:szCs w:val="22"/>
          <w:lang w:val="pt-PT"/>
        </w:rPr>
        <w:t> </w:t>
      </w:r>
      <w:r w:rsidRPr="00220850">
        <w:rPr>
          <w:rFonts w:eastAsia="TimesNewRoman"/>
          <w:sz w:val="22"/>
          <w:szCs w:val="22"/>
          <w:lang w:val="pt-PT"/>
        </w:rPr>
        <w:t>1,3–</w:t>
      </w:r>
      <w:r w:rsidR="00633722" w:rsidRPr="00220850">
        <w:rPr>
          <w:rFonts w:eastAsia="TimesNewRoman"/>
          <w:sz w:val="22"/>
          <w:szCs w:val="22"/>
          <w:lang w:val="pt-PT"/>
        </w:rPr>
        <w:t>3,7 ir AUC </w:t>
      </w:r>
      <w:r w:rsidRPr="00220850">
        <w:rPr>
          <w:rFonts w:eastAsia="TimesNewRoman"/>
          <w:sz w:val="22"/>
          <w:szCs w:val="22"/>
          <w:lang w:val="pt-PT"/>
        </w:rPr>
        <w:t>1,2–3,8). Savanoriams, kuriems buvo</w:t>
      </w:r>
      <w:r w:rsidR="00633722" w:rsidRPr="00220850">
        <w:rPr>
          <w:rFonts w:eastAsia="TimesNewRoman"/>
          <w:sz w:val="22"/>
          <w:szCs w:val="22"/>
          <w:lang w:val="pt-PT"/>
        </w:rPr>
        <w:t xml:space="preserve"> </w:t>
      </w:r>
      <w:r w:rsidRPr="00220850">
        <w:rPr>
          <w:rFonts w:eastAsia="TimesNewRoman"/>
          <w:sz w:val="22"/>
          <w:szCs w:val="22"/>
          <w:lang w:val="pt-PT"/>
        </w:rPr>
        <w:t>vidutinio sunkumo kepenų funkcijos sutrikimas (</w:t>
      </w:r>
      <w:r w:rsidR="00633722" w:rsidRPr="00220850">
        <w:rPr>
          <w:rFonts w:eastAsia="TimesNewRoman"/>
          <w:sz w:val="22"/>
          <w:szCs w:val="22"/>
          <w:lang w:val="pt-PT"/>
        </w:rPr>
        <w:t xml:space="preserve">B klasė pagal </w:t>
      </w:r>
      <w:r w:rsidRPr="00220850">
        <w:rPr>
          <w:rFonts w:eastAsia="TimesNewRoman"/>
          <w:sz w:val="22"/>
          <w:szCs w:val="22"/>
          <w:lang w:val="pt-PT"/>
        </w:rPr>
        <w:t>Child Pugh), ekspozicija lyginant su sveikais</w:t>
      </w:r>
      <w:r w:rsidR="00633722" w:rsidRPr="00220850">
        <w:rPr>
          <w:rFonts w:eastAsia="TimesNewRoman"/>
          <w:sz w:val="22"/>
          <w:szCs w:val="22"/>
          <w:lang w:val="pt-PT"/>
        </w:rPr>
        <w:t xml:space="preserve"> </w:t>
      </w:r>
      <w:r w:rsidRPr="00220850">
        <w:rPr>
          <w:rFonts w:eastAsia="TimesNewRoman"/>
          <w:sz w:val="22"/>
          <w:szCs w:val="22"/>
          <w:lang w:val="pt-PT"/>
        </w:rPr>
        <w:t>savanoriais atitinkamai pagal C</w:t>
      </w:r>
      <w:r w:rsidRPr="00220850">
        <w:rPr>
          <w:rFonts w:eastAsia="TimesNewRoman"/>
          <w:sz w:val="22"/>
          <w:szCs w:val="22"/>
          <w:vertAlign w:val="subscript"/>
          <w:lang w:val="pt-PT"/>
        </w:rPr>
        <w:t>max</w:t>
      </w:r>
      <w:r w:rsidRPr="00220850">
        <w:rPr>
          <w:rFonts w:eastAsia="TimesNewRoman"/>
          <w:sz w:val="22"/>
          <w:szCs w:val="22"/>
          <w:lang w:val="pt-PT"/>
        </w:rPr>
        <w:t xml:space="preserve"> buvo 7,6 karto didesnė (90</w:t>
      </w:r>
      <w:r w:rsidR="00633722" w:rsidRPr="00220850">
        <w:rPr>
          <w:rFonts w:eastAsia="TimesNewRoman"/>
          <w:sz w:val="22"/>
          <w:szCs w:val="22"/>
          <w:lang w:val="pt-PT"/>
        </w:rPr>
        <w:t> % </w:t>
      </w:r>
      <w:r w:rsidRPr="00220850">
        <w:rPr>
          <w:rFonts w:eastAsia="TimesNewRoman"/>
          <w:sz w:val="22"/>
          <w:szCs w:val="22"/>
          <w:lang w:val="pt-PT"/>
        </w:rPr>
        <w:t>PI 4,4–13,2), o pagal AUC – 8,7 karto</w:t>
      </w:r>
      <w:r w:rsidR="00633722" w:rsidRPr="00220850">
        <w:rPr>
          <w:rFonts w:eastAsia="TimesNewRoman"/>
          <w:sz w:val="22"/>
          <w:szCs w:val="22"/>
          <w:lang w:val="pt-PT"/>
        </w:rPr>
        <w:t xml:space="preserve"> </w:t>
      </w:r>
      <w:r w:rsidRPr="00220850">
        <w:rPr>
          <w:rFonts w:eastAsia="TimesNewRoman"/>
          <w:sz w:val="22"/>
          <w:szCs w:val="22"/>
          <w:lang w:val="pt-PT"/>
        </w:rPr>
        <w:t>didesnė (90</w:t>
      </w:r>
      <w:r w:rsidR="00633722" w:rsidRPr="00220850">
        <w:rPr>
          <w:rFonts w:eastAsia="TimesNewRoman"/>
          <w:sz w:val="22"/>
          <w:szCs w:val="22"/>
          <w:lang w:val="pt-PT"/>
        </w:rPr>
        <w:t> % PI </w:t>
      </w:r>
      <w:r w:rsidRPr="00220850">
        <w:rPr>
          <w:rFonts w:eastAsia="TimesNewRoman"/>
          <w:sz w:val="22"/>
          <w:szCs w:val="22"/>
          <w:lang w:val="pt-PT"/>
        </w:rPr>
        <w:t>5,7–13,1). Asmenys, kuriems buvo sunkus kepenų funkcijos sutrikimas (</w:t>
      </w:r>
      <w:r w:rsidR="00633722" w:rsidRPr="00220850">
        <w:rPr>
          <w:rFonts w:eastAsia="TimesNewRoman"/>
          <w:sz w:val="22"/>
          <w:szCs w:val="22"/>
          <w:lang w:val="pt-PT"/>
        </w:rPr>
        <w:t xml:space="preserve">C klasė pagal </w:t>
      </w:r>
      <w:r w:rsidRPr="00220850">
        <w:rPr>
          <w:rFonts w:eastAsia="TimesNewRoman"/>
          <w:sz w:val="22"/>
          <w:szCs w:val="22"/>
          <w:lang w:val="pt-PT"/>
        </w:rPr>
        <w:t>Child</w:t>
      </w:r>
      <w:r w:rsidR="00633722" w:rsidRPr="00220850">
        <w:rPr>
          <w:rFonts w:eastAsia="TimesNewRoman"/>
          <w:sz w:val="22"/>
          <w:szCs w:val="22"/>
          <w:lang w:val="pt-PT"/>
        </w:rPr>
        <w:t xml:space="preserve"> </w:t>
      </w:r>
      <w:r w:rsidRPr="00220850">
        <w:rPr>
          <w:rFonts w:eastAsia="TimesNewRoman"/>
          <w:sz w:val="22"/>
          <w:szCs w:val="22"/>
          <w:lang w:val="pt-PT"/>
        </w:rPr>
        <w:t>Pugh), nebuvo tirti.</w:t>
      </w:r>
    </w:p>
    <w:p w14:paraId="61D440DB" w14:textId="77777777" w:rsidR="002623F4" w:rsidRPr="00220850" w:rsidRDefault="002623F4" w:rsidP="00A21B70">
      <w:pPr>
        <w:autoSpaceDE w:val="0"/>
        <w:autoSpaceDN w:val="0"/>
        <w:adjustRightInd w:val="0"/>
        <w:rPr>
          <w:rFonts w:eastAsia="TimesNewRoman,Italic"/>
          <w:i/>
          <w:iCs/>
          <w:sz w:val="22"/>
          <w:szCs w:val="22"/>
          <w:lang w:val="pt-PT"/>
        </w:rPr>
      </w:pPr>
    </w:p>
    <w:p w14:paraId="26C8FCEF" w14:textId="77777777" w:rsidR="00A21B70" w:rsidRPr="00220850" w:rsidRDefault="00A21B70" w:rsidP="00A21B70">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Gydymas kartu su pirfenidonu</w:t>
      </w:r>
    </w:p>
    <w:p w14:paraId="079C1B78" w14:textId="7242E9BF" w:rsidR="00A21B70" w:rsidRPr="00220850" w:rsidRDefault="00A21B70" w:rsidP="00A21B70">
      <w:pPr>
        <w:autoSpaceDE w:val="0"/>
        <w:autoSpaceDN w:val="0"/>
        <w:adjustRightInd w:val="0"/>
        <w:rPr>
          <w:rFonts w:eastAsia="TimesNewRoman"/>
          <w:sz w:val="22"/>
          <w:szCs w:val="22"/>
          <w:lang w:val="pt-PT"/>
        </w:rPr>
      </w:pPr>
      <w:r w:rsidRPr="00220850">
        <w:rPr>
          <w:rFonts w:eastAsia="TimesNewRoman"/>
          <w:sz w:val="22"/>
          <w:szCs w:val="22"/>
          <w:lang w:val="pt-PT"/>
        </w:rPr>
        <w:t>Specialiu farmakokinetikos tyrimu tirtas nintedanibo vartojimas kartu su pirfenidonu pacientams,</w:t>
      </w:r>
      <w:r w:rsidR="00633722" w:rsidRPr="00220850">
        <w:rPr>
          <w:rFonts w:eastAsia="TimesNewRoman"/>
          <w:sz w:val="22"/>
          <w:szCs w:val="22"/>
          <w:lang w:val="pt-PT"/>
        </w:rPr>
        <w:t xml:space="preserve"> </w:t>
      </w:r>
      <w:r w:rsidRPr="00220850">
        <w:rPr>
          <w:rFonts w:eastAsia="TimesNewRoman"/>
          <w:sz w:val="22"/>
          <w:szCs w:val="22"/>
          <w:lang w:val="pt-PT"/>
        </w:rPr>
        <w:t>sergantiems IPF. 1-oji grupė gavo vieną</w:t>
      </w:r>
      <w:r w:rsidR="00633722" w:rsidRPr="00220850">
        <w:rPr>
          <w:rFonts w:eastAsia="TimesNewRoman"/>
          <w:sz w:val="22"/>
          <w:szCs w:val="22"/>
          <w:lang w:val="pt-PT"/>
        </w:rPr>
        <w:t xml:space="preserve"> 150 </w:t>
      </w:r>
      <w:r w:rsidRPr="00220850">
        <w:rPr>
          <w:rFonts w:eastAsia="TimesNewRoman"/>
          <w:sz w:val="22"/>
          <w:szCs w:val="22"/>
          <w:lang w:val="pt-PT"/>
        </w:rPr>
        <w:t>mg nintedanibo dozę prieš pirfenidono didinamąjį</w:t>
      </w:r>
      <w:r w:rsidR="00633722" w:rsidRPr="00220850">
        <w:rPr>
          <w:rFonts w:eastAsia="TimesNewRoman"/>
          <w:sz w:val="22"/>
          <w:szCs w:val="22"/>
          <w:lang w:val="pt-PT"/>
        </w:rPr>
        <w:t xml:space="preserve"> </w:t>
      </w:r>
      <w:r w:rsidRPr="00220850">
        <w:rPr>
          <w:rFonts w:eastAsia="TimesNewRoman"/>
          <w:sz w:val="22"/>
          <w:szCs w:val="22"/>
          <w:lang w:val="pt-PT"/>
        </w:rPr>
        <w:t>titravimą</w:t>
      </w:r>
      <w:r w:rsidR="00633722" w:rsidRPr="00220850">
        <w:rPr>
          <w:rFonts w:eastAsia="TimesNewRoman"/>
          <w:sz w:val="22"/>
          <w:szCs w:val="22"/>
          <w:lang w:val="pt-PT"/>
        </w:rPr>
        <w:t xml:space="preserve"> iki 801 </w:t>
      </w:r>
      <w:r w:rsidRPr="00220850">
        <w:rPr>
          <w:rFonts w:eastAsia="TimesNewRoman"/>
          <w:sz w:val="22"/>
          <w:szCs w:val="22"/>
          <w:lang w:val="pt-PT"/>
        </w:rPr>
        <w:t xml:space="preserve">mg tris kartus per parą, esant </w:t>
      </w:r>
      <w:r w:rsidR="00067519" w:rsidRPr="00220850">
        <w:rPr>
          <w:rFonts w:eastAsia="TimesNewRoman"/>
          <w:sz w:val="22"/>
          <w:szCs w:val="22"/>
          <w:lang w:val="pt-PT"/>
        </w:rPr>
        <w:t>pastoviai koncentracijai</w:t>
      </w:r>
      <w:r w:rsidRPr="00220850">
        <w:rPr>
          <w:rFonts w:eastAsia="TimesNewRoman"/>
          <w:sz w:val="22"/>
          <w:szCs w:val="22"/>
          <w:lang w:val="pt-PT"/>
        </w:rPr>
        <w:t>, ir po jo (gydyta</w:t>
      </w:r>
      <w:r w:rsidR="00633722" w:rsidRPr="00220850">
        <w:rPr>
          <w:rFonts w:eastAsia="TimesNewRoman"/>
          <w:sz w:val="22"/>
          <w:szCs w:val="22"/>
          <w:lang w:val="pt-PT"/>
        </w:rPr>
        <w:t xml:space="preserve"> </w:t>
      </w:r>
      <w:r w:rsidR="002623F4" w:rsidRPr="00220850">
        <w:rPr>
          <w:rFonts w:eastAsia="TimesNewRoman"/>
          <w:sz w:val="22"/>
          <w:szCs w:val="22"/>
          <w:lang w:val="pt-PT"/>
        </w:rPr>
        <w:t>N = </w:t>
      </w:r>
      <w:r w:rsidRPr="00220850">
        <w:rPr>
          <w:rFonts w:eastAsia="TimesNewRoman"/>
          <w:sz w:val="22"/>
          <w:szCs w:val="22"/>
          <w:lang w:val="pt-PT"/>
        </w:rPr>
        <w:t xml:space="preserve">20 pacientų). 2-oji grupė gavo </w:t>
      </w:r>
      <w:r w:rsidR="00067519" w:rsidRPr="00220850">
        <w:rPr>
          <w:rFonts w:eastAsia="TimesNewRoman"/>
          <w:sz w:val="22"/>
          <w:szCs w:val="22"/>
          <w:lang w:val="pt-PT"/>
        </w:rPr>
        <w:t xml:space="preserve">pastovios koncentracijos </w:t>
      </w:r>
      <w:r w:rsidRPr="00220850">
        <w:rPr>
          <w:rFonts w:eastAsia="TimesNewRoman"/>
          <w:sz w:val="22"/>
          <w:szCs w:val="22"/>
          <w:lang w:val="pt-PT"/>
        </w:rPr>
        <w:t>gydymą</w:t>
      </w:r>
      <w:r w:rsidR="00633722" w:rsidRPr="00220850">
        <w:rPr>
          <w:rFonts w:eastAsia="TimesNewRoman"/>
          <w:sz w:val="22"/>
          <w:szCs w:val="22"/>
          <w:lang w:val="pt-PT"/>
        </w:rPr>
        <w:t xml:space="preserve"> 801 mg pirfenidono 3</w:t>
      </w:r>
      <w:r w:rsidRPr="00220850">
        <w:rPr>
          <w:rFonts w:eastAsia="TimesNewRoman"/>
          <w:sz w:val="22"/>
          <w:szCs w:val="22"/>
          <w:lang w:val="pt-PT"/>
        </w:rPr>
        <w:t xml:space="preserve"> kartus per</w:t>
      </w:r>
      <w:r w:rsidR="00633722" w:rsidRPr="00220850">
        <w:rPr>
          <w:rFonts w:eastAsia="TimesNewRoman"/>
          <w:sz w:val="22"/>
          <w:szCs w:val="22"/>
          <w:lang w:val="pt-PT"/>
        </w:rPr>
        <w:t xml:space="preserve"> </w:t>
      </w:r>
      <w:r w:rsidRPr="00220850">
        <w:rPr>
          <w:rFonts w:eastAsia="TimesNewRoman"/>
          <w:sz w:val="22"/>
          <w:szCs w:val="22"/>
          <w:lang w:val="pt-PT"/>
        </w:rPr>
        <w:t>parą, ir jos tiriamiesiems nustatytas FK profilis prieš ne trumpesnį kaip 7 parų gydymą kartu su</w:t>
      </w:r>
      <w:r w:rsidR="00633722" w:rsidRPr="00220850">
        <w:rPr>
          <w:rFonts w:eastAsia="TimesNewRoman"/>
          <w:sz w:val="22"/>
          <w:szCs w:val="22"/>
          <w:lang w:val="pt-PT"/>
        </w:rPr>
        <w:t xml:space="preserve"> 150 </w:t>
      </w:r>
      <w:r w:rsidRPr="00220850">
        <w:rPr>
          <w:rFonts w:eastAsia="TimesNewRoman"/>
          <w:sz w:val="22"/>
          <w:szCs w:val="22"/>
          <w:lang w:val="pt-PT"/>
        </w:rPr>
        <w:t>mg nintedanibo</w:t>
      </w:r>
      <w:r w:rsidR="00633722" w:rsidRPr="00220850">
        <w:rPr>
          <w:rFonts w:eastAsia="TimesNewRoman"/>
          <w:sz w:val="22"/>
          <w:szCs w:val="22"/>
          <w:lang w:val="pt-PT"/>
        </w:rPr>
        <w:t xml:space="preserve"> 2 </w:t>
      </w:r>
      <w:r w:rsidR="002623F4" w:rsidRPr="00220850">
        <w:rPr>
          <w:rFonts w:eastAsia="TimesNewRoman"/>
          <w:sz w:val="22"/>
          <w:szCs w:val="22"/>
          <w:lang w:val="pt-PT"/>
        </w:rPr>
        <w:t>kartus per parą ir po jo (N = </w:t>
      </w:r>
      <w:r w:rsidRPr="00220850">
        <w:rPr>
          <w:rFonts w:eastAsia="TimesNewRoman"/>
          <w:sz w:val="22"/>
          <w:szCs w:val="22"/>
          <w:lang w:val="pt-PT"/>
        </w:rPr>
        <w:t>17 gydytų pacientų). 1-ojoje grupėje nintedanibo</w:t>
      </w:r>
      <w:r w:rsidR="00633722" w:rsidRPr="00220850">
        <w:rPr>
          <w:rFonts w:eastAsia="TimesNewRoman"/>
          <w:sz w:val="22"/>
          <w:szCs w:val="22"/>
          <w:lang w:val="pt-PT"/>
        </w:rPr>
        <w:t xml:space="preserve"> </w:t>
      </w:r>
      <w:r w:rsidRPr="00220850">
        <w:rPr>
          <w:rFonts w:eastAsia="TimesNewRoman"/>
          <w:sz w:val="22"/>
          <w:szCs w:val="22"/>
          <w:lang w:val="pt-PT"/>
        </w:rPr>
        <w:t>koreguotieji geometrinių C</w:t>
      </w:r>
      <w:r w:rsidRPr="00220850">
        <w:rPr>
          <w:rFonts w:eastAsia="TimesNewRoman"/>
          <w:sz w:val="22"/>
          <w:szCs w:val="22"/>
          <w:vertAlign w:val="subscript"/>
          <w:lang w:val="pt-PT"/>
        </w:rPr>
        <w:t>max</w:t>
      </w:r>
      <w:r w:rsidRPr="00220850">
        <w:rPr>
          <w:rFonts w:eastAsia="TimesNewRoman"/>
          <w:sz w:val="22"/>
          <w:szCs w:val="22"/>
          <w:lang w:val="pt-PT"/>
        </w:rPr>
        <w:t xml:space="preserve"> ir AUC0-tz rodiklių vidurk</w:t>
      </w:r>
      <w:r w:rsidR="00633722" w:rsidRPr="00220850">
        <w:rPr>
          <w:rFonts w:eastAsia="TimesNewRoman"/>
          <w:sz w:val="22"/>
          <w:szCs w:val="22"/>
          <w:lang w:val="pt-PT"/>
        </w:rPr>
        <w:t>iai (90 </w:t>
      </w:r>
      <w:r w:rsidRPr="00220850">
        <w:rPr>
          <w:rFonts w:eastAsia="TimesNewRoman"/>
          <w:sz w:val="22"/>
          <w:szCs w:val="22"/>
          <w:lang w:val="pt-PT"/>
        </w:rPr>
        <w:t xml:space="preserve">% pasikliautinasis intervalas </w:t>
      </w:r>
      <w:r w:rsidR="00633722" w:rsidRPr="00220850">
        <w:rPr>
          <w:rFonts w:eastAsia="TimesNewRoman"/>
          <w:sz w:val="22"/>
          <w:szCs w:val="22"/>
          <w:lang w:val="pt-PT"/>
        </w:rPr>
        <w:t>[PI]</w:t>
      </w:r>
      <w:r w:rsidRPr="00220850">
        <w:rPr>
          <w:rFonts w:eastAsia="TimesNewRoman"/>
          <w:sz w:val="22"/>
          <w:szCs w:val="22"/>
          <w:lang w:val="pt-PT"/>
        </w:rPr>
        <w:t>) buvo</w:t>
      </w:r>
      <w:r w:rsidR="00633722" w:rsidRPr="00220850">
        <w:rPr>
          <w:rFonts w:eastAsia="TimesNewRoman"/>
          <w:sz w:val="22"/>
          <w:szCs w:val="22"/>
          <w:lang w:val="pt-PT"/>
        </w:rPr>
        <w:t xml:space="preserve"> atitinkamai 93 </w:t>
      </w:r>
      <w:r w:rsidRPr="00220850">
        <w:rPr>
          <w:rFonts w:eastAsia="TimesNewRoman"/>
          <w:sz w:val="22"/>
          <w:szCs w:val="22"/>
          <w:lang w:val="pt-PT"/>
        </w:rPr>
        <w:t>% (57</w:t>
      </w:r>
      <w:r w:rsidR="00633722" w:rsidRPr="00220850">
        <w:rPr>
          <w:rFonts w:eastAsia="TimesNewRoman"/>
          <w:sz w:val="22"/>
          <w:szCs w:val="22"/>
          <w:lang w:val="pt-PT"/>
        </w:rPr>
        <w:t> % </w:t>
      </w:r>
      <w:r w:rsidRPr="00220850">
        <w:rPr>
          <w:rFonts w:eastAsia="TimesNewRoman"/>
          <w:sz w:val="22"/>
          <w:szCs w:val="22"/>
          <w:lang w:val="pt-PT"/>
        </w:rPr>
        <w:t>–</w:t>
      </w:r>
      <w:r w:rsidR="00633722" w:rsidRPr="00220850">
        <w:rPr>
          <w:rFonts w:eastAsia="TimesNewRoman"/>
          <w:sz w:val="22"/>
          <w:szCs w:val="22"/>
          <w:lang w:val="pt-PT"/>
        </w:rPr>
        <w:t> 151 </w:t>
      </w:r>
      <w:r w:rsidRPr="00220850">
        <w:rPr>
          <w:rFonts w:eastAsia="TimesNewRoman"/>
          <w:sz w:val="22"/>
          <w:szCs w:val="22"/>
          <w:lang w:val="pt-PT"/>
        </w:rPr>
        <w:t>%) i</w:t>
      </w:r>
      <w:r w:rsidR="00633722" w:rsidRPr="00220850">
        <w:rPr>
          <w:rFonts w:eastAsia="TimesNewRoman"/>
          <w:sz w:val="22"/>
          <w:szCs w:val="22"/>
          <w:lang w:val="pt-PT"/>
        </w:rPr>
        <w:t>r 96 % (70 % </w:t>
      </w:r>
      <w:r w:rsidRPr="00220850">
        <w:rPr>
          <w:rFonts w:eastAsia="TimesNewRoman"/>
          <w:sz w:val="22"/>
          <w:szCs w:val="22"/>
          <w:lang w:val="pt-PT"/>
        </w:rPr>
        <w:t>–</w:t>
      </w:r>
      <w:r w:rsidR="00633722" w:rsidRPr="00220850">
        <w:rPr>
          <w:rFonts w:eastAsia="TimesNewRoman"/>
          <w:sz w:val="22"/>
          <w:szCs w:val="22"/>
          <w:lang w:val="pt-PT"/>
        </w:rPr>
        <w:t> </w:t>
      </w:r>
      <w:r w:rsidRPr="00220850">
        <w:rPr>
          <w:rFonts w:eastAsia="TimesNewRoman"/>
          <w:sz w:val="22"/>
          <w:szCs w:val="22"/>
          <w:lang w:val="pt-PT"/>
        </w:rPr>
        <w:t>131</w:t>
      </w:r>
      <w:r w:rsidR="00633722" w:rsidRPr="00220850">
        <w:rPr>
          <w:rFonts w:eastAsia="TimesNewRoman"/>
          <w:sz w:val="22"/>
          <w:szCs w:val="22"/>
          <w:lang w:val="pt-PT"/>
        </w:rPr>
        <w:t> </w:t>
      </w:r>
      <w:r w:rsidR="002623F4" w:rsidRPr="00220850">
        <w:rPr>
          <w:rFonts w:eastAsia="TimesNewRoman"/>
          <w:sz w:val="22"/>
          <w:szCs w:val="22"/>
          <w:lang w:val="pt-PT"/>
        </w:rPr>
        <w:t>%) (n = </w:t>
      </w:r>
      <w:r w:rsidRPr="00220850">
        <w:rPr>
          <w:rFonts w:eastAsia="TimesNewRoman"/>
          <w:sz w:val="22"/>
          <w:szCs w:val="22"/>
          <w:lang w:val="pt-PT"/>
        </w:rPr>
        <w:t>12 naudota individualiam palyginimui).</w:t>
      </w:r>
      <w:r w:rsidR="00633722" w:rsidRPr="00220850">
        <w:rPr>
          <w:rFonts w:eastAsia="TimesNewRoman"/>
          <w:sz w:val="22"/>
          <w:szCs w:val="22"/>
          <w:lang w:val="pt-PT"/>
        </w:rPr>
        <w:t xml:space="preserve"> </w:t>
      </w:r>
      <w:r w:rsidRPr="00220850">
        <w:rPr>
          <w:rFonts w:eastAsia="TimesNewRoman"/>
          <w:sz w:val="22"/>
          <w:szCs w:val="22"/>
          <w:lang w:val="pt-PT"/>
        </w:rPr>
        <w:t>2-ojoje grupėje prifenidono koreguotieji geometrinių C</w:t>
      </w:r>
      <w:r w:rsidRPr="00220850">
        <w:rPr>
          <w:rFonts w:eastAsia="TimesNewRoman"/>
          <w:sz w:val="22"/>
          <w:szCs w:val="22"/>
          <w:vertAlign w:val="subscript"/>
          <w:lang w:val="pt-PT"/>
        </w:rPr>
        <w:t>max,</w:t>
      </w:r>
      <w:r w:rsidR="00633722" w:rsidRPr="00220850">
        <w:rPr>
          <w:rFonts w:eastAsia="TimesNewRoman"/>
          <w:sz w:val="22"/>
          <w:szCs w:val="22"/>
          <w:vertAlign w:val="subscript"/>
          <w:lang w:val="pt-PT"/>
        </w:rPr>
        <w:t xml:space="preserve"> </w:t>
      </w:r>
      <w:r w:rsidRPr="00220850">
        <w:rPr>
          <w:rFonts w:eastAsia="TimesNewRoman"/>
          <w:sz w:val="22"/>
          <w:szCs w:val="22"/>
          <w:vertAlign w:val="subscript"/>
          <w:lang w:val="pt-PT"/>
        </w:rPr>
        <w:t xml:space="preserve">ss </w:t>
      </w:r>
      <w:r w:rsidRPr="00220850">
        <w:rPr>
          <w:rFonts w:eastAsia="TimesNewRoman"/>
          <w:sz w:val="22"/>
          <w:szCs w:val="22"/>
          <w:lang w:val="pt-PT"/>
        </w:rPr>
        <w:t>ir AUC</w:t>
      </w:r>
      <w:r w:rsidRPr="00220850">
        <w:rPr>
          <w:rFonts w:eastAsia="TimesNewRoman"/>
          <w:sz w:val="22"/>
          <w:szCs w:val="22"/>
          <w:vertAlign w:val="subscript"/>
          <w:lang w:val="en-US"/>
        </w:rPr>
        <w:t>τ</w:t>
      </w:r>
      <w:r w:rsidRPr="00220850">
        <w:rPr>
          <w:rFonts w:eastAsia="TimesNewRoman"/>
          <w:sz w:val="22"/>
          <w:szCs w:val="22"/>
          <w:vertAlign w:val="subscript"/>
          <w:lang w:val="pt-PT"/>
        </w:rPr>
        <w:t>,</w:t>
      </w:r>
      <w:r w:rsidR="00633722" w:rsidRPr="00220850">
        <w:rPr>
          <w:rFonts w:eastAsia="TimesNewRoman"/>
          <w:sz w:val="22"/>
          <w:szCs w:val="22"/>
          <w:vertAlign w:val="subscript"/>
          <w:lang w:val="pt-PT"/>
        </w:rPr>
        <w:t xml:space="preserve"> </w:t>
      </w:r>
      <w:r w:rsidRPr="00220850">
        <w:rPr>
          <w:rFonts w:eastAsia="TimesNewRoman"/>
          <w:sz w:val="22"/>
          <w:szCs w:val="22"/>
          <w:vertAlign w:val="subscript"/>
          <w:lang w:val="pt-PT"/>
        </w:rPr>
        <w:t>ss</w:t>
      </w:r>
      <w:r w:rsidRPr="00220850">
        <w:rPr>
          <w:rFonts w:eastAsia="TimesNewRoman"/>
          <w:sz w:val="22"/>
          <w:szCs w:val="22"/>
          <w:lang w:val="pt-PT"/>
        </w:rPr>
        <w:t xml:space="preserve"> rodiklių</w:t>
      </w:r>
      <w:r w:rsidR="00633722" w:rsidRPr="00220850">
        <w:rPr>
          <w:rFonts w:eastAsia="TimesNewRoman"/>
          <w:sz w:val="22"/>
          <w:szCs w:val="22"/>
          <w:lang w:val="pt-PT"/>
        </w:rPr>
        <w:t xml:space="preserve"> vidurkiai (90 % </w:t>
      </w:r>
      <w:r w:rsidRPr="00220850">
        <w:rPr>
          <w:rFonts w:eastAsia="TimesNewRoman"/>
          <w:sz w:val="22"/>
          <w:szCs w:val="22"/>
          <w:lang w:val="pt-PT"/>
        </w:rPr>
        <w:t>PI)</w:t>
      </w:r>
      <w:r w:rsidR="00633722" w:rsidRPr="00220850">
        <w:rPr>
          <w:rFonts w:eastAsia="TimesNewRoman"/>
          <w:sz w:val="22"/>
          <w:szCs w:val="22"/>
          <w:lang w:val="pt-PT"/>
        </w:rPr>
        <w:t xml:space="preserve"> </w:t>
      </w:r>
      <w:r w:rsidRPr="00220850">
        <w:rPr>
          <w:rFonts w:eastAsia="TimesNewRoman"/>
          <w:sz w:val="22"/>
          <w:szCs w:val="22"/>
          <w:lang w:val="pt-PT"/>
        </w:rPr>
        <w:t>buvo at</w:t>
      </w:r>
      <w:r w:rsidR="00633722" w:rsidRPr="00220850">
        <w:rPr>
          <w:rFonts w:eastAsia="TimesNewRoman"/>
          <w:sz w:val="22"/>
          <w:szCs w:val="22"/>
          <w:lang w:val="pt-PT"/>
        </w:rPr>
        <w:t>itinkamai 97 </w:t>
      </w:r>
      <w:r w:rsidRPr="00220850">
        <w:rPr>
          <w:rFonts w:eastAsia="TimesNewRoman"/>
          <w:sz w:val="22"/>
          <w:szCs w:val="22"/>
          <w:lang w:val="pt-PT"/>
        </w:rPr>
        <w:t>% (86</w:t>
      </w:r>
      <w:r w:rsidR="00633722" w:rsidRPr="00220850">
        <w:rPr>
          <w:rFonts w:eastAsia="TimesNewRoman"/>
          <w:sz w:val="22"/>
          <w:szCs w:val="22"/>
          <w:lang w:val="pt-PT"/>
        </w:rPr>
        <w:t> % </w:t>
      </w:r>
      <w:r w:rsidRPr="00220850">
        <w:rPr>
          <w:rFonts w:eastAsia="TimesNewRoman"/>
          <w:sz w:val="22"/>
          <w:szCs w:val="22"/>
          <w:lang w:val="pt-PT"/>
        </w:rPr>
        <w:t>–</w:t>
      </w:r>
      <w:r w:rsidR="00970966" w:rsidRPr="00220850">
        <w:rPr>
          <w:rFonts w:eastAsia="TimesNewRoman"/>
          <w:sz w:val="22"/>
          <w:szCs w:val="22"/>
          <w:lang w:val="pt-PT"/>
        </w:rPr>
        <w:t> </w:t>
      </w:r>
      <w:r w:rsidRPr="00220850">
        <w:rPr>
          <w:rFonts w:eastAsia="TimesNewRoman"/>
          <w:sz w:val="22"/>
          <w:szCs w:val="22"/>
          <w:lang w:val="pt-PT"/>
        </w:rPr>
        <w:t>10</w:t>
      </w:r>
      <w:r w:rsidR="00970966" w:rsidRPr="00220850">
        <w:rPr>
          <w:rFonts w:eastAsia="TimesNewRoman"/>
          <w:sz w:val="22"/>
          <w:szCs w:val="22"/>
          <w:lang w:val="pt-PT"/>
        </w:rPr>
        <w:t> %) ir 95 % (86 % </w:t>
      </w:r>
      <w:r w:rsidRPr="00220850">
        <w:rPr>
          <w:rFonts w:eastAsia="TimesNewRoman"/>
          <w:sz w:val="22"/>
          <w:szCs w:val="22"/>
          <w:lang w:val="pt-PT"/>
        </w:rPr>
        <w:t>–</w:t>
      </w:r>
      <w:r w:rsidR="00970966" w:rsidRPr="00220850">
        <w:rPr>
          <w:rFonts w:eastAsia="TimesNewRoman"/>
          <w:sz w:val="22"/>
          <w:szCs w:val="22"/>
          <w:lang w:val="pt-PT"/>
        </w:rPr>
        <w:t> 106 </w:t>
      </w:r>
      <w:r w:rsidR="002623F4" w:rsidRPr="00220850">
        <w:rPr>
          <w:rFonts w:eastAsia="TimesNewRoman"/>
          <w:sz w:val="22"/>
          <w:szCs w:val="22"/>
          <w:lang w:val="pt-PT"/>
        </w:rPr>
        <w:t>%) (n = </w:t>
      </w:r>
      <w:r w:rsidRPr="00220850">
        <w:rPr>
          <w:rFonts w:eastAsia="TimesNewRoman"/>
          <w:sz w:val="22"/>
          <w:szCs w:val="22"/>
          <w:lang w:val="pt-PT"/>
        </w:rPr>
        <w:t>12 naudota individualiam</w:t>
      </w:r>
      <w:r w:rsidR="00970966" w:rsidRPr="00220850">
        <w:rPr>
          <w:rFonts w:eastAsia="TimesNewRoman"/>
          <w:sz w:val="22"/>
          <w:szCs w:val="22"/>
          <w:lang w:val="pt-PT"/>
        </w:rPr>
        <w:t xml:space="preserve"> </w:t>
      </w:r>
      <w:r w:rsidRPr="00220850">
        <w:rPr>
          <w:rFonts w:eastAsia="TimesNewRoman"/>
          <w:sz w:val="22"/>
          <w:szCs w:val="22"/>
          <w:lang w:val="pt-PT"/>
        </w:rPr>
        <w:t>palyginimui).</w:t>
      </w:r>
    </w:p>
    <w:p w14:paraId="0AD67861" w14:textId="77777777" w:rsidR="00A21B70" w:rsidRPr="00220850" w:rsidRDefault="00A21B70" w:rsidP="00A21B70">
      <w:pPr>
        <w:autoSpaceDE w:val="0"/>
        <w:autoSpaceDN w:val="0"/>
        <w:adjustRightInd w:val="0"/>
        <w:rPr>
          <w:rFonts w:eastAsia="TimesNewRoman"/>
          <w:sz w:val="22"/>
          <w:szCs w:val="22"/>
          <w:lang w:val="pt-PT"/>
        </w:rPr>
      </w:pPr>
      <w:r w:rsidRPr="00220850">
        <w:rPr>
          <w:rFonts w:eastAsia="TimesNewRoman"/>
          <w:sz w:val="22"/>
          <w:szCs w:val="22"/>
          <w:lang w:val="pt-PT"/>
        </w:rPr>
        <w:t>Remiantis gautais rezultatais, reikšmingos nintedanibo ir pirfenidono farmakokinetinės sąveikos</w:t>
      </w:r>
      <w:r w:rsidR="00970966" w:rsidRPr="00220850">
        <w:rPr>
          <w:rFonts w:eastAsia="TimesNewRoman"/>
          <w:sz w:val="22"/>
          <w:szCs w:val="22"/>
          <w:lang w:val="pt-PT"/>
        </w:rPr>
        <w:t xml:space="preserve"> </w:t>
      </w:r>
      <w:r w:rsidRPr="00220850">
        <w:rPr>
          <w:rFonts w:eastAsia="TimesNewRoman"/>
          <w:sz w:val="22"/>
          <w:szCs w:val="22"/>
          <w:lang w:val="pt-PT"/>
        </w:rPr>
        <w:t>įrodymų, šiuos vaistinius preparatus vartojant kartu, nėra (žr. 4.4 skyrių).</w:t>
      </w:r>
    </w:p>
    <w:p w14:paraId="60D4D40A" w14:textId="77777777" w:rsidR="00970966" w:rsidRPr="00220850" w:rsidRDefault="00970966" w:rsidP="00A21B70">
      <w:pPr>
        <w:autoSpaceDE w:val="0"/>
        <w:autoSpaceDN w:val="0"/>
        <w:adjustRightInd w:val="0"/>
        <w:rPr>
          <w:rFonts w:eastAsia="TimesNewRoman,Italic"/>
          <w:i/>
          <w:iCs/>
          <w:sz w:val="22"/>
          <w:szCs w:val="22"/>
          <w:lang w:val="pt-PT"/>
        </w:rPr>
      </w:pPr>
    </w:p>
    <w:p w14:paraId="5FD76351" w14:textId="77777777" w:rsidR="00A21B70" w:rsidRPr="00220850" w:rsidRDefault="00A21B70" w:rsidP="00A21B70">
      <w:pPr>
        <w:autoSpaceDE w:val="0"/>
        <w:autoSpaceDN w:val="0"/>
        <w:adjustRightInd w:val="0"/>
        <w:rPr>
          <w:rFonts w:eastAsia="TimesNewRoman,Italic"/>
          <w:i/>
          <w:iCs/>
          <w:sz w:val="22"/>
          <w:szCs w:val="22"/>
          <w:lang w:val="pt-PT"/>
        </w:rPr>
      </w:pPr>
      <w:r w:rsidRPr="00220850">
        <w:rPr>
          <w:rFonts w:eastAsia="TimesNewRoman,Italic"/>
          <w:i/>
          <w:iCs/>
          <w:sz w:val="22"/>
          <w:szCs w:val="22"/>
          <w:lang w:val="pt-PT"/>
        </w:rPr>
        <w:t>Gydymas kartu su bozentanu</w:t>
      </w:r>
    </w:p>
    <w:p w14:paraId="6509F28A" w14:textId="77777777" w:rsidR="00A21B70" w:rsidRPr="00220850" w:rsidRDefault="00A21B70" w:rsidP="00A21B70">
      <w:pPr>
        <w:autoSpaceDE w:val="0"/>
        <w:autoSpaceDN w:val="0"/>
        <w:adjustRightInd w:val="0"/>
        <w:rPr>
          <w:rFonts w:eastAsia="TimesNewRoman"/>
          <w:sz w:val="22"/>
          <w:szCs w:val="22"/>
          <w:lang w:val="pt-PT"/>
        </w:rPr>
      </w:pPr>
      <w:r w:rsidRPr="00220850">
        <w:rPr>
          <w:rFonts w:eastAsia="TimesNewRoman"/>
          <w:sz w:val="22"/>
          <w:szCs w:val="22"/>
          <w:lang w:val="pt-PT"/>
        </w:rPr>
        <w:t xml:space="preserve">Specialiu farmakokinetikos tyrimu tirtas </w:t>
      </w:r>
      <w:r w:rsidR="00970966" w:rsidRPr="00220850">
        <w:rPr>
          <w:rFonts w:eastAsia="TimesNewRoman"/>
          <w:sz w:val="22"/>
          <w:szCs w:val="22"/>
          <w:lang w:val="pt-PT"/>
        </w:rPr>
        <w:t>nintedanibo</w:t>
      </w:r>
      <w:r w:rsidRPr="00220850">
        <w:rPr>
          <w:rFonts w:eastAsia="TimesNewRoman"/>
          <w:sz w:val="22"/>
          <w:szCs w:val="22"/>
          <w:lang w:val="pt-PT"/>
        </w:rPr>
        <w:t xml:space="preserve"> vartojimas kartu su bozentanu sveikiems savanoriams.</w:t>
      </w:r>
      <w:r w:rsidR="00970966" w:rsidRPr="00220850">
        <w:rPr>
          <w:rFonts w:eastAsia="TimesNewRoman"/>
          <w:sz w:val="22"/>
          <w:szCs w:val="22"/>
          <w:lang w:val="pt-PT"/>
        </w:rPr>
        <w:t xml:space="preserve"> </w:t>
      </w:r>
      <w:r w:rsidRPr="00220850">
        <w:rPr>
          <w:rFonts w:eastAsia="TimesNewRoman"/>
          <w:sz w:val="22"/>
          <w:szCs w:val="22"/>
          <w:lang w:val="pt-PT"/>
        </w:rPr>
        <w:t>Tiriamieji gavo vieną</w:t>
      </w:r>
      <w:r w:rsidR="00970966" w:rsidRPr="00220850">
        <w:rPr>
          <w:rFonts w:eastAsia="TimesNewRoman"/>
          <w:sz w:val="22"/>
          <w:szCs w:val="22"/>
          <w:lang w:val="pt-PT"/>
        </w:rPr>
        <w:t xml:space="preserve"> 150 </w:t>
      </w:r>
      <w:r w:rsidRPr="00220850">
        <w:rPr>
          <w:rFonts w:eastAsia="TimesNewRoman"/>
          <w:sz w:val="22"/>
          <w:szCs w:val="22"/>
          <w:lang w:val="pt-PT"/>
        </w:rPr>
        <w:t xml:space="preserve">mg </w:t>
      </w:r>
      <w:r w:rsidR="00970966" w:rsidRPr="00220850">
        <w:rPr>
          <w:rFonts w:eastAsia="TimesNewRoman"/>
          <w:sz w:val="22"/>
          <w:szCs w:val="22"/>
          <w:lang w:val="pt-PT"/>
        </w:rPr>
        <w:t>noiontedanibo</w:t>
      </w:r>
      <w:r w:rsidRPr="00220850">
        <w:rPr>
          <w:rFonts w:eastAsia="TimesNewRoman"/>
          <w:sz w:val="22"/>
          <w:szCs w:val="22"/>
          <w:lang w:val="pt-PT"/>
        </w:rPr>
        <w:t xml:space="preserve"> dozę prieš bozentano dozę</w:t>
      </w:r>
      <w:r w:rsidR="00970966" w:rsidRPr="00220850">
        <w:rPr>
          <w:rFonts w:eastAsia="TimesNewRoman"/>
          <w:sz w:val="22"/>
          <w:szCs w:val="22"/>
          <w:lang w:val="pt-PT"/>
        </w:rPr>
        <w:t xml:space="preserve"> ir po 125 </w:t>
      </w:r>
      <w:r w:rsidRPr="00220850">
        <w:rPr>
          <w:rFonts w:eastAsia="TimesNewRoman"/>
          <w:sz w:val="22"/>
          <w:szCs w:val="22"/>
          <w:lang w:val="pt-PT"/>
        </w:rPr>
        <w:t>mg kartotinių dozių,</w:t>
      </w:r>
      <w:r w:rsidR="00970966" w:rsidRPr="00220850">
        <w:rPr>
          <w:rFonts w:eastAsia="TimesNewRoman"/>
          <w:sz w:val="22"/>
          <w:szCs w:val="22"/>
          <w:lang w:val="pt-PT"/>
        </w:rPr>
        <w:t xml:space="preserve"> </w:t>
      </w:r>
      <w:r w:rsidRPr="00220850">
        <w:rPr>
          <w:rFonts w:eastAsia="TimesNewRoman"/>
          <w:sz w:val="22"/>
          <w:szCs w:val="22"/>
          <w:lang w:val="pt-PT"/>
        </w:rPr>
        <w:t>vartojamų du kartus per parą, esant nusistovėjusioms pusiausvyrinėms koncentracijoms. Nintedanibo</w:t>
      </w:r>
      <w:r w:rsidR="00970966" w:rsidRPr="00220850">
        <w:rPr>
          <w:rFonts w:eastAsia="TimesNewRoman"/>
          <w:sz w:val="22"/>
          <w:szCs w:val="22"/>
          <w:lang w:val="pt-PT"/>
        </w:rPr>
        <w:t xml:space="preserve"> </w:t>
      </w:r>
      <w:r w:rsidRPr="00220850">
        <w:rPr>
          <w:rFonts w:eastAsia="TimesNewRoman"/>
          <w:sz w:val="22"/>
          <w:szCs w:val="22"/>
          <w:lang w:val="pt-PT"/>
        </w:rPr>
        <w:t>koreguotieji geometrinių C</w:t>
      </w:r>
      <w:r w:rsidRPr="00220850">
        <w:rPr>
          <w:rFonts w:eastAsia="TimesNewRoman"/>
          <w:sz w:val="22"/>
          <w:szCs w:val="22"/>
          <w:vertAlign w:val="subscript"/>
          <w:lang w:val="pt-PT"/>
        </w:rPr>
        <w:t>max</w:t>
      </w:r>
      <w:r w:rsidRPr="00220850">
        <w:rPr>
          <w:rFonts w:eastAsia="TimesNewRoman"/>
          <w:sz w:val="22"/>
          <w:szCs w:val="22"/>
          <w:lang w:val="pt-PT"/>
        </w:rPr>
        <w:t xml:space="preserve"> ir AUC</w:t>
      </w:r>
      <w:r w:rsidR="00970966" w:rsidRPr="00220850">
        <w:rPr>
          <w:rFonts w:eastAsia="TimesNewRoman"/>
          <w:sz w:val="22"/>
          <w:szCs w:val="22"/>
          <w:vertAlign w:val="subscript"/>
          <w:lang w:val="pt-PT"/>
        </w:rPr>
        <w:t xml:space="preserve">0-tz </w:t>
      </w:r>
      <w:r w:rsidRPr="00220850">
        <w:rPr>
          <w:rFonts w:eastAsia="TimesNewRoman"/>
          <w:sz w:val="22"/>
          <w:szCs w:val="22"/>
          <w:lang w:val="pt-PT"/>
        </w:rPr>
        <w:t>rodiklių</w:t>
      </w:r>
      <w:r w:rsidR="00970966" w:rsidRPr="00220850">
        <w:rPr>
          <w:rFonts w:eastAsia="TimesNewRoman"/>
          <w:sz w:val="22"/>
          <w:szCs w:val="22"/>
          <w:lang w:val="pt-PT"/>
        </w:rPr>
        <w:t xml:space="preserve"> vidurkiai (90 % pasikliautinasis intervalas [PI]</w:t>
      </w:r>
      <w:r w:rsidRPr="00220850">
        <w:rPr>
          <w:rFonts w:eastAsia="TimesNewRoman"/>
          <w:sz w:val="22"/>
          <w:szCs w:val="22"/>
          <w:lang w:val="pt-PT"/>
        </w:rPr>
        <w:t>) buvo</w:t>
      </w:r>
      <w:r w:rsidR="00970966" w:rsidRPr="00220850">
        <w:rPr>
          <w:rFonts w:eastAsia="TimesNewRoman"/>
          <w:sz w:val="22"/>
          <w:szCs w:val="22"/>
          <w:lang w:val="pt-PT"/>
        </w:rPr>
        <w:t xml:space="preserve"> atitinkamai 103 % (86 </w:t>
      </w:r>
      <w:r w:rsidRPr="00220850">
        <w:rPr>
          <w:rFonts w:eastAsia="TimesNewRoman"/>
          <w:sz w:val="22"/>
          <w:szCs w:val="22"/>
          <w:lang w:val="pt-PT"/>
        </w:rPr>
        <w:t>%</w:t>
      </w:r>
      <w:r w:rsidR="00970966" w:rsidRPr="00220850">
        <w:rPr>
          <w:rFonts w:eastAsia="TimesNewRoman"/>
          <w:sz w:val="22"/>
          <w:szCs w:val="22"/>
          <w:lang w:val="pt-PT"/>
        </w:rPr>
        <w:t> </w:t>
      </w:r>
      <w:r w:rsidRPr="00220850">
        <w:rPr>
          <w:rFonts w:eastAsia="TimesNewRoman"/>
          <w:sz w:val="22"/>
          <w:szCs w:val="22"/>
          <w:lang w:val="pt-PT"/>
        </w:rPr>
        <w:t>-</w:t>
      </w:r>
      <w:r w:rsidR="00970966" w:rsidRPr="00220850">
        <w:rPr>
          <w:rFonts w:eastAsia="TimesNewRoman"/>
          <w:sz w:val="22"/>
          <w:szCs w:val="22"/>
          <w:lang w:val="pt-PT"/>
        </w:rPr>
        <w:t> 124 %) ir 99 % (91 </w:t>
      </w:r>
      <w:r w:rsidRPr="00220850">
        <w:rPr>
          <w:rFonts w:eastAsia="TimesNewRoman"/>
          <w:sz w:val="22"/>
          <w:szCs w:val="22"/>
          <w:lang w:val="pt-PT"/>
        </w:rPr>
        <w:t>%</w:t>
      </w:r>
      <w:r w:rsidR="00970966" w:rsidRPr="00220850">
        <w:rPr>
          <w:rFonts w:eastAsia="TimesNewRoman"/>
          <w:sz w:val="22"/>
          <w:szCs w:val="22"/>
          <w:lang w:val="pt-PT"/>
        </w:rPr>
        <w:t> </w:t>
      </w:r>
      <w:r w:rsidRPr="00220850">
        <w:rPr>
          <w:rFonts w:eastAsia="TimesNewRoman"/>
          <w:sz w:val="22"/>
          <w:szCs w:val="22"/>
          <w:lang w:val="pt-PT"/>
        </w:rPr>
        <w:t>-</w:t>
      </w:r>
      <w:r w:rsidR="00970966" w:rsidRPr="00220850">
        <w:rPr>
          <w:rFonts w:eastAsia="TimesNewRoman"/>
          <w:sz w:val="22"/>
          <w:szCs w:val="22"/>
          <w:lang w:val="pt-PT"/>
        </w:rPr>
        <w:t> </w:t>
      </w:r>
      <w:r w:rsidRPr="00220850">
        <w:rPr>
          <w:rFonts w:eastAsia="TimesNewRoman"/>
          <w:sz w:val="22"/>
          <w:szCs w:val="22"/>
          <w:lang w:val="pt-PT"/>
        </w:rPr>
        <w:t>107</w:t>
      </w:r>
      <w:r w:rsidR="00970966" w:rsidRPr="00220850">
        <w:rPr>
          <w:rFonts w:eastAsia="TimesNewRoman"/>
          <w:sz w:val="22"/>
          <w:szCs w:val="22"/>
          <w:lang w:val="pt-PT"/>
        </w:rPr>
        <w:t xml:space="preserve"> </w:t>
      </w:r>
      <w:r w:rsidRPr="00220850">
        <w:rPr>
          <w:rFonts w:eastAsia="TimesNewRoman"/>
          <w:sz w:val="22"/>
          <w:szCs w:val="22"/>
          <w:lang w:val="pt-PT"/>
        </w:rPr>
        <w:t>%) (n = 13); tai rodo, kad nintedanibą vartojant</w:t>
      </w:r>
      <w:r w:rsidR="00970966" w:rsidRPr="00220850">
        <w:rPr>
          <w:rFonts w:eastAsia="TimesNewRoman"/>
          <w:sz w:val="22"/>
          <w:szCs w:val="22"/>
          <w:lang w:val="pt-PT"/>
        </w:rPr>
        <w:t xml:space="preserve"> </w:t>
      </w:r>
      <w:r w:rsidRPr="00220850">
        <w:rPr>
          <w:rFonts w:eastAsia="TimesNewRoman"/>
          <w:sz w:val="22"/>
          <w:szCs w:val="22"/>
          <w:lang w:val="pt-PT"/>
        </w:rPr>
        <w:t>kartu su bozentanu nintedanibo farmakokinetika nepakito.</w:t>
      </w:r>
    </w:p>
    <w:p w14:paraId="49AA8959" w14:textId="77777777" w:rsidR="00970966" w:rsidRPr="00220850" w:rsidRDefault="00970966" w:rsidP="00A21B70">
      <w:pPr>
        <w:autoSpaceDE w:val="0"/>
        <w:autoSpaceDN w:val="0"/>
        <w:adjustRightInd w:val="0"/>
        <w:rPr>
          <w:rFonts w:eastAsia="TimesNewRoman"/>
          <w:sz w:val="22"/>
          <w:szCs w:val="22"/>
          <w:lang w:val="pt-PT"/>
        </w:rPr>
      </w:pPr>
    </w:p>
    <w:p w14:paraId="2E6406C8" w14:textId="77777777" w:rsidR="00A21B70" w:rsidRPr="00220850" w:rsidRDefault="00A21B70" w:rsidP="00A21B70">
      <w:pPr>
        <w:autoSpaceDE w:val="0"/>
        <w:autoSpaceDN w:val="0"/>
        <w:adjustRightInd w:val="0"/>
        <w:rPr>
          <w:rFonts w:eastAsia="TimesNewRoman,Italic"/>
          <w:i/>
          <w:iCs/>
          <w:sz w:val="22"/>
          <w:szCs w:val="22"/>
          <w:lang w:val="fr-FR"/>
        </w:rPr>
      </w:pPr>
      <w:r w:rsidRPr="00220850">
        <w:rPr>
          <w:rFonts w:eastAsia="TimesNewRoman,Italic"/>
          <w:i/>
          <w:iCs/>
          <w:sz w:val="22"/>
          <w:szCs w:val="22"/>
          <w:lang w:val="fr-FR"/>
        </w:rPr>
        <w:t>Gydymas kartu su geriamaisiais hormoniniais kontraceptikais</w:t>
      </w:r>
    </w:p>
    <w:p w14:paraId="4E64EC44" w14:textId="77777777" w:rsidR="00A21B70" w:rsidRPr="00220850" w:rsidRDefault="00A21B70" w:rsidP="00A21B70">
      <w:pPr>
        <w:autoSpaceDE w:val="0"/>
        <w:autoSpaceDN w:val="0"/>
        <w:adjustRightInd w:val="0"/>
        <w:rPr>
          <w:rFonts w:eastAsia="TimesNewRoman"/>
          <w:sz w:val="22"/>
          <w:szCs w:val="22"/>
          <w:lang w:val="fr-FR"/>
        </w:rPr>
      </w:pPr>
      <w:r w:rsidRPr="00220850">
        <w:rPr>
          <w:rFonts w:eastAsia="TimesNewRoman"/>
          <w:sz w:val="22"/>
          <w:szCs w:val="22"/>
          <w:lang w:val="fr-FR"/>
        </w:rPr>
        <w:t>Specialaus farmakokinetikos tyrimo metu SS-IPL sergančioms pacientėms prieš tai ir po to, kai jos</w:t>
      </w:r>
      <w:r w:rsidR="00970966" w:rsidRPr="00220850">
        <w:rPr>
          <w:rFonts w:eastAsia="TimesNewRoman"/>
          <w:sz w:val="22"/>
          <w:szCs w:val="22"/>
          <w:lang w:val="fr-FR"/>
        </w:rPr>
        <w:t xml:space="preserve"> </w:t>
      </w:r>
      <w:r w:rsidRPr="00220850">
        <w:rPr>
          <w:rFonts w:eastAsia="TimesNewRoman"/>
          <w:sz w:val="22"/>
          <w:szCs w:val="22"/>
          <w:lang w:val="fr-FR"/>
        </w:rPr>
        <w:t>bent 10 dienų du kartus per parą</w:t>
      </w:r>
      <w:r w:rsidR="00970966" w:rsidRPr="00220850">
        <w:rPr>
          <w:rFonts w:eastAsia="TimesNewRoman"/>
          <w:sz w:val="22"/>
          <w:szCs w:val="22"/>
          <w:lang w:val="fr-FR"/>
        </w:rPr>
        <w:t xml:space="preserve"> vartojo po 150 </w:t>
      </w:r>
      <w:r w:rsidRPr="00220850">
        <w:rPr>
          <w:rFonts w:eastAsia="TimesNewRoman"/>
          <w:sz w:val="22"/>
          <w:szCs w:val="22"/>
          <w:lang w:val="fr-FR"/>
        </w:rPr>
        <w:t>mg nintedanibo, buvo paskirta vienkartinė</w:t>
      </w:r>
      <w:r w:rsidR="00970966" w:rsidRPr="00220850">
        <w:rPr>
          <w:rFonts w:eastAsia="TimesNewRoman"/>
          <w:sz w:val="22"/>
          <w:szCs w:val="22"/>
          <w:lang w:val="fr-FR"/>
        </w:rPr>
        <w:t xml:space="preserve"> 30 </w:t>
      </w:r>
      <w:r w:rsidRPr="00220850">
        <w:rPr>
          <w:rFonts w:eastAsia="TimesNewRoman"/>
          <w:sz w:val="22"/>
          <w:szCs w:val="22"/>
          <w:lang w:val="en-US"/>
        </w:rPr>
        <w:t>μ</w:t>
      </w:r>
      <w:r w:rsidRPr="00220850">
        <w:rPr>
          <w:rFonts w:eastAsia="TimesNewRoman"/>
          <w:sz w:val="22"/>
          <w:szCs w:val="22"/>
          <w:lang w:val="fr-FR"/>
        </w:rPr>
        <w:t>g</w:t>
      </w:r>
      <w:r w:rsidR="00970966" w:rsidRPr="00220850">
        <w:rPr>
          <w:rFonts w:eastAsia="TimesNewRoman"/>
          <w:sz w:val="22"/>
          <w:szCs w:val="22"/>
          <w:lang w:val="fr-FR"/>
        </w:rPr>
        <w:t xml:space="preserve"> etinilestradiolio ir 150 </w:t>
      </w:r>
      <w:r w:rsidRPr="00220850">
        <w:rPr>
          <w:rFonts w:eastAsia="TimesNewRoman"/>
          <w:sz w:val="22"/>
          <w:szCs w:val="22"/>
          <w:lang w:val="en-US"/>
        </w:rPr>
        <w:t>μ</w:t>
      </w:r>
      <w:r w:rsidRPr="00220850">
        <w:rPr>
          <w:rFonts w:eastAsia="TimesNewRoman"/>
          <w:sz w:val="22"/>
          <w:szCs w:val="22"/>
          <w:lang w:val="fr-FR"/>
        </w:rPr>
        <w:t>g levonorgestrelio derinio dozė. Etinilestradiolio koreguotieji geometrinių</w:t>
      </w:r>
      <w:r w:rsidR="00970966" w:rsidRPr="00220850">
        <w:rPr>
          <w:rFonts w:eastAsia="TimesNewRoman"/>
          <w:sz w:val="22"/>
          <w:szCs w:val="22"/>
          <w:lang w:val="fr-FR"/>
        </w:rPr>
        <w:t xml:space="preserve"> </w:t>
      </w:r>
      <w:r w:rsidRPr="00220850">
        <w:rPr>
          <w:rFonts w:eastAsia="TimesNewRoman"/>
          <w:sz w:val="22"/>
          <w:szCs w:val="22"/>
          <w:lang w:val="fr-FR"/>
        </w:rPr>
        <w:t>rodiklių</w:t>
      </w:r>
      <w:r w:rsidR="00970966" w:rsidRPr="00220850">
        <w:rPr>
          <w:rFonts w:eastAsia="TimesNewRoman"/>
          <w:sz w:val="22"/>
          <w:szCs w:val="22"/>
          <w:lang w:val="fr-FR"/>
        </w:rPr>
        <w:t xml:space="preserve"> vidurkiai (90 % pasikliautinasis intervalas [PI]) buvo 117 % (108 % </w:t>
      </w:r>
      <w:r w:rsidRPr="00220850">
        <w:rPr>
          <w:rFonts w:eastAsia="TimesNewRoman"/>
          <w:sz w:val="22"/>
          <w:szCs w:val="22"/>
          <w:lang w:val="fr-FR"/>
        </w:rPr>
        <w:t>–</w:t>
      </w:r>
      <w:r w:rsidR="00970966" w:rsidRPr="00220850">
        <w:rPr>
          <w:rFonts w:eastAsia="TimesNewRoman"/>
          <w:sz w:val="22"/>
          <w:szCs w:val="22"/>
          <w:lang w:val="fr-FR"/>
        </w:rPr>
        <w:t> 127 </w:t>
      </w:r>
      <w:r w:rsidRPr="00220850">
        <w:rPr>
          <w:rFonts w:eastAsia="TimesNewRoman"/>
          <w:sz w:val="22"/>
          <w:szCs w:val="22"/>
          <w:lang w:val="fr-FR"/>
        </w:rPr>
        <w:t>%; C</w:t>
      </w:r>
      <w:r w:rsidRPr="00220850">
        <w:rPr>
          <w:rFonts w:eastAsia="TimesNewRoman"/>
          <w:sz w:val="22"/>
          <w:szCs w:val="22"/>
          <w:vertAlign w:val="subscript"/>
          <w:lang w:val="fr-FR"/>
        </w:rPr>
        <w:t>max</w:t>
      </w:r>
      <w:r w:rsidR="00970966" w:rsidRPr="00220850">
        <w:rPr>
          <w:rFonts w:eastAsia="TimesNewRoman"/>
          <w:sz w:val="22"/>
          <w:szCs w:val="22"/>
          <w:lang w:val="fr-FR"/>
        </w:rPr>
        <w:t>) ir 101 </w:t>
      </w:r>
      <w:r w:rsidRPr="00220850">
        <w:rPr>
          <w:rFonts w:eastAsia="TimesNewRoman"/>
          <w:sz w:val="22"/>
          <w:szCs w:val="22"/>
          <w:lang w:val="fr-FR"/>
        </w:rPr>
        <w:t>%</w:t>
      </w:r>
      <w:r w:rsidR="00970966" w:rsidRPr="00220850">
        <w:rPr>
          <w:rFonts w:eastAsia="TimesNewRoman"/>
          <w:sz w:val="22"/>
          <w:szCs w:val="22"/>
          <w:lang w:val="fr-FR"/>
        </w:rPr>
        <w:t xml:space="preserve"> (93 % </w:t>
      </w:r>
      <w:r w:rsidRPr="00220850">
        <w:rPr>
          <w:rFonts w:eastAsia="TimesNewRoman"/>
          <w:sz w:val="22"/>
          <w:szCs w:val="22"/>
          <w:lang w:val="fr-FR"/>
        </w:rPr>
        <w:t>–</w:t>
      </w:r>
      <w:r w:rsidR="00970966" w:rsidRPr="00220850">
        <w:rPr>
          <w:rFonts w:eastAsia="TimesNewRoman"/>
          <w:sz w:val="22"/>
          <w:szCs w:val="22"/>
          <w:lang w:val="fr-FR"/>
        </w:rPr>
        <w:t> 111 %; </w:t>
      </w:r>
      <w:r w:rsidRPr="00220850">
        <w:rPr>
          <w:rFonts w:eastAsia="TimesNewRoman"/>
          <w:sz w:val="22"/>
          <w:szCs w:val="22"/>
          <w:lang w:val="fr-FR"/>
        </w:rPr>
        <w:t>AUC</w:t>
      </w:r>
      <w:r w:rsidRPr="00220850">
        <w:rPr>
          <w:rFonts w:eastAsia="TimesNewRoman"/>
          <w:sz w:val="22"/>
          <w:szCs w:val="22"/>
          <w:vertAlign w:val="subscript"/>
          <w:lang w:val="fr-FR"/>
        </w:rPr>
        <w:t>0-tz</w:t>
      </w:r>
      <w:r w:rsidRPr="00220850">
        <w:rPr>
          <w:rFonts w:eastAsia="TimesNewRoman"/>
          <w:sz w:val="22"/>
          <w:szCs w:val="22"/>
          <w:lang w:val="fr-FR"/>
        </w:rPr>
        <w:t>), o levonorgestrelio –</w:t>
      </w:r>
      <w:r w:rsidR="00970966" w:rsidRPr="00220850">
        <w:rPr>
          <w:rFonts w:eastAsia="TimesNewRoman"/>
          <w:sz w:val="22"/>
          <w:szCs w:val="22"/>
          <w:lang w:val="fr-FR"/>
        </w:rPr>
        <w:t xml:space="preserve"> atitinkamai 101 % (90 % </w:t>
      </w:r>
      <w:r w:rsidRPr="00220850">
        <w:rPr>
          <w:rFonts w:eastAsia="TimesNewRoman"/>
          <w:sz w:val="22"/>
          <w:szCs w:val="22"/>
          <w:lang w:val="fr-FR"/>
        </w:rPr>
        <w:t>–</w:t>
      </w:r>
      <w:r w:rsidR="00970966" w:rsidRPr="00220850">
        <w:rPr>
          <w:rFonts w:eastAsia="TimesNewRoman"/>
          <w:sz w:val="22"/>
          <w:szCs w:val="22"/>
          <w:lang w:val="fr-FR"/>
        </w:rPr>
        <w:t> 113 %; </w:t>
      </w:r>
      <w:r w:rsidRPr="00220850">
        <w:rPr>
          <w:rFonts w:eastAsia="TimesNewRoman"/>
          <w:sz w:val="22"/>
          <w:szCs w:val="22"/>
          <w:lang w:val="fr-FR"/>
        </w:rPr>
        <w:t>C</w:t>
      </w:r>
      <w:r w:rsidRPr="00220850">
        <w:rPr>
          <w:rFonts w:eastAsia="TimesNewRoman"/>
          <w:sz w:val="22"/>
          <w:szCs w:val="22"/>
          <w:vertAlign w:val="subscript"/>
          <w:lang w:val="fr-FR"/>
        </w:rPr>
        <w:t>max</w:t>
      </w:r>
      <w:r w:rsidR="00970966" w:rsidRPr="00220850">
        <w:rPr>
          <w:rFonts w:eastAsia="TimesNewRoman"/>
          <w:sz w:val="22"/>
          <w:szCs w:val="22"/>
          <w:lang w:val="fr-FR"/>
        </w:rPr>
        <w:t>) ir 96 </w:t>
      </w:r>
      <w:r w:rsidRPr="00220850">
        <w:rPr>
          <w:rFonts w:eastAsia="TimesNewRoman"/>
          <w:sz w:val="22"/>
          <w:szCs w:val="22"/>
          <w:lang w:val="fr-FR"/>
        </w:rPr>
        <w:t>%</w:t>
      </w:r>
      <w:r w:rsidR="00970966" w:rsidRPr="00220850">
        <w:rPr>
          <w:rFonts w:eastAsia="TimesNewRoman"/>
          <w:sz w:val="22"/>
          <w:szCs w:val="22"/>
          <w:lang w:val="fr-FR"/>
        </w:rPr>
        <w:t xml:space="preserve"> (91 </w:t>
      </w:r>
      <w:r w:rsidRPr="00220850">
        <w:rPr>
          <w:rFonts w:eastAsia="TimesNewRoman"/>
          <w:sz w:val="22"/>
          <w:szCs w:val="22"/>
          <w:lang w:val="fr-FR"/>
        </w:rPr>
        <w:t>%</w:t>
      </w:r>
      <w:r w:rsidR="00970966" w:rsidRPr="00220850">
        <w:rPr>
          <w:rFonts w:eastAsia="TimesNewRoman"/>
          <w:sz w:val="22"/>
          <w:szCs w:val="22"/>
          <w:lang w:val="fr-FR"/>
        </w:rPr>
        <w:t> </w:t>
      </w:r>
      <w:r w:rsidRPr="00220850">
        <w:rPr>
          <w:rFonts w:eastAsia="TimesNewRoman"/>
          <w:sz w:val="22"/>
          <w:szCs w:val="22"/>
          <w:lang w:val="fr-FR"/>
        </w:rPr>
        <w:t>–</w:t>
      </w:r>
      <w:r w:rsidR="00970966" w:rsidRPr="00220850">
        <w:rPr>
          <w:rFonts w:eastAsia="TimesNewRoman"/>
          <w:sz w:val="22"/>
          <w:szCs w:val="22"/>
          <w:lang w:val="fr-FR"/>
        </w:rPr>
        <w:t> 1</w:t>
      </w:r>
      <w:r w:rsidRPr="00220850">
        <w:rPr>
          <w:rFonts w:eastAsia="TimesNewRoman"/>
          <w:sz w:val="22"/>
          <w:szCs w:val="22"/>
          <w:lang w:val="fr-FR"/>
        </w:rPr>
        <w:t>02</w:t>
      </w:r>
      <w:r w:rsidR="00970966" w:rsidRPr="00220850">
        <w:rPr>
          <w:rFonts w:eastAsia="TimesNewRoman"/>
          <w:sz w:val="22"/>
          <w:szCs w:val="22"/>
          <w:lang w:val="fr-FR"/>
        </w:rPr>
        <w:t> %; </w:t>
      </w:r>
      <w:r w:rsidRPr="00220850">
        <w:rPr>
          <w:rFonts w:eastAsia="TimesNewRoman"/>
          <w:sz w:val="22"/>
          <w:szCs w:val="22"/>
          <w:lang w:val="fr-FR"/>
        </w:rPr>
        <w:t>AUC</w:t>
      </w:r>
      <w:r w:rsidRPr="00220850">
        <w:rPr>
          <w:rFonts w:eastAsia="TimesNewRoman"/>
          <w:sz w:val="22"/>
          <w:szCs w:val="22"/>
          <w:vertAlign w:val="subscript"/>
          <w:lang w:val="fr-FR"/>
        </w:rPr>
        <w:t>0-tz</w:t>
      </w:r>
      <w:r w:rsidRPr="00220850">
        <w:rPr>
          <w:rFonts w:eastAsia="TimesNewRoman"/>
          <w:sz w:val="22"/>
          <w:szCs w:val="22"/>
          <w:lang w:val="fr-FR"/>
        </w:rPr>
        <w:t>) (n = 15), ir tai rodo, kad kartu vartojamas nintedanibas reikšmingai neveikia</w:t>
      </w:r>
      <w:r w:rsidR="00970966" w:rsidRPr="00220850">
        <w:rPr>
          <w:rFonts w:eastAsia="TimesNewRoman"/>
          <w:sz w:val="22"/>
          <w:szCs w:val="22"/>
          <w:lang w:val="fr-FR"/>
        </w:rPr>
        <w:t xml:space="preserve"> </w:t>
      </w:r>
      <w:r w:rsidRPr="00220850">
        <w:rPr>
          <w:rFonts w:eastAsia="TimesNewRoman"/>
          <w:sz w:val="22"/>
          <w:szCs w:val="22"/>
          <w:lang w:val="fr-FR"/>
        </w:rPr>
        <w:t>etinilestradiolio ir levonorgestrelio ekspozicijos plazmoje.</w:t>
      </w:r>
    </w:p>
    <w:p w14:paraId="10C8BCBB" w14:textId="77777777" w:rsidR="00970966" w:rsidRPr="00220850" w:rsidRDefault="00970966" w:rsidP="00A21B70">
      <w:pPr>
        <w:autoSpaceDE w:val="0"/>
        <w:autoSpaceDN w:val="0"/>
        <w:adjustRightInd w:val="0"/>
        <w:rPr>
          <w:rFonts w:eastAsia="TimesNewRoman"/>
          <w:sz w:val="22"/>
          <w:szCs w:val="22"/>
          <w:lang w:val="fr-FR"/>
        </w:rPr>
      </w:pPr>
    </w:p>
    <w:p w14:paraId="7FFD051B" w14:textId="77777777" w:rsidR="00A21B70" w:rsidRPr="00220850" w:rsidRDefault="00A21B70" w:rsidP="00A21B70">
      <w:pPr>
        <w:autoSpaceDE w:val="0"/>
        <w:autoSpaceDN w:val="0"/>
        <w:adjustRightInd w:val="0"/>
        <w:rPr>
          <w:rFonts w:eastAsia="TimesNewRoman,Italic"/>
          <w:i/>
          <w:iCs/>
          <w:sz w:val="22"/>
          <w:szCs w:val="22"/>
          <w:lang w:val="fr-FR"/>
        </w:rPr>
      </w:pPr>
      <w:r w:rsidRPr="00220850">
        <w:rPr>
          <w:rFonts w:eastAsia="TimesNewRoman,Italic"/>
          <w:i/>
          <w:iCs/>
          <w:sz w:val="22"/>
          <w:szCs w:val="22"/>
          <w:lang w:val="fr-FR"/>
        </w:rPr>
        <w:t>Ekspozicijos</w:t>
      </w:r>
      <w:r w:rsidR="00970966" w:rsidRPr="00220850">
        <w:rPr>
          <w:rFonts w:eastAsia="TimesNewRoman,Italic"/>
          <w:i/>
          <w:iCs/>
          <w:sz w:val="22"/>
          <w:szCs w:val="22"/>
          <w:lang w:val="fr-FR"/>
        </w:rPr>
        <w:t>-</w:t>
      </w:r>
      <w:r w:rsidRPr="00220850">
        <w:rPr>
          <w:rFonts w:eastAsia="TimesNewRoman,Italic"/>
          <w:i/>
          <w:iCs/>
          <w:sz w:val="22"/>
          <w:szCs w:val="22"/>
          <w:lang w:val="fr-FR"/>
        </w:rPr>
        <w:t>atsako santykis</w:t>
      </w:r>
    </w:p>
    <w:p w14:paraId="28B9DF56" w14:textId="77777777" w:rsidR="00DE01F8" w:rsidRPr="00220850" w:rsidRDefault="00A21B70" w:rsidP="00A21B70">
      <w:pPr>
        <w:autoSpaceDE w:val="0"/>
        <w:autoSpaceDN w:val="0"/>
        <w:adjustRightInd w:val="0"/>
        <w:rPr>
          <w:sz w:val="22"/>
          <w:szCs w:val="22"/>
          <w:u w:val="single"/>
        </w:rPr>
      </w:pPr>
      <w:r w:rsidRPr="00220850">
        <w:rPr>
          <w:rFonts w:eastAsia="TimesNewRoman"/>
          <w:sz w:val="22"/>
          <w:szCs w:val="22"/>
          <w:lang w:val="fr-FR"/>
        </w:rPr>
        <w:lastRenderedPageBreak/>
        <w:t>Pacientų, sergančių IPF ir kitomis lėtinėmis fibrozinėmis progresuojančio fenotipo IPL, ekspozicijos ir</w:t>
      </w:r>
      <w:r w:rsidR="00970966" w:rsidRPr="00220850">
        <w:rPr>
          <w:rFonts w:eastAsia="TimesNewRoman"/>
          <w:sz w:val="22"/>
          <w:szCs w:val="22"/>
          <w:lang w:val="fr-FR"/>
        </w:rPr>
        <w:t xml:space="preserve"> </w:t>
      </w:r>
      <w:r w:rsidRPr="00220850">
        <w:rPr>
          <w:rFonts w:eastAsia="TimesNewRoman"/>
          <w:sz w:val="22"/>
          <w:szCs w:val="22"/>
          <w:lang w:val="fr-FR"/>
        </w:rPr>
        <w:t>atsako santykio analizė parodė silpną nintedanibo ekspozicijos plazmoje sąsają su ALT ir (arba)</w:t>
      </w:r>
      <w:r w:rsidR="00970966" w:rsidRPr="00220850">
        <w:rPr>
          <w:rFonts w:eastAsia="TimesNewRoman"/>
          <w:sz w:val="22"/>
          <w:szCs w:val="22"/>
          <w:lang w:val="fr-FR"/>
        </w:rPr>
        <w:t xml:space="preserve"> </w:t>
      </w:r>
      <w:r w:rsidRPr="00220850">
        <w:rPr>
          <w:rFonts w:eastAsia="TimesNewRoman"/>
          <w:sz w:val="22"/>
          <w:szCs w:val="22"/>
          <w:lang w:val="fr-FR"/>
        </w:rPr>
        <w:t>AST padidėjimu. Faktinė paskirta dozė gali būti geresnis prognostinis bet kokio stiprumo viduriavimo</w:t>
      </w:r>
      <w:r w:rsidR="00970966" w:rsidRPr="00220850">
        <w:rPr>
          <w:rFonts w:eastAsia="TimesNewRoman"/>
          <w:sz w:val="22"/>
          <w:szCs w:val="22"/>
          <w:lang w:val="fr-FR"/>
        </w:rPr>
        <w:t xml:space="preserve"> </w:t>
      </w:r>
      <w:r w:rsidRPr="00220850">
        <w:rPr>
          <w:rFonts w:eastAsia="TimesNewRoman"/>
          <w:sz w:val="22"/>
          <w:szCs w:val="22"/>
          <w:lang w:val="fr-FR"/>
        </w:rPr>
        <w:t>pasireiškimo rizikos veiksnys, net jeigu ir negalima atmesti tikimybės, kad rizika priklauso nuo</w:t>
      </w:r>
      <w:r w:rsidR="00970966" w:rsidRPr="00220850">
        <w:rPr>
          <w:rFonts w:eastAsia="TimesNewRoman"/>
          <w:sz w:val="22"/>
          <w:szCs w:val="22"/>
          <w:lang w:val="fr-FR"/>
        </w:rPr>
        <w:t xml:space="preserve"> </w:t>
      </w:r>
      <w:r w:rsidRPr="00220850">
        <w:rPr>
          <w:rFonts w:eastAsia="TimesNewRoman"/>
          <w:sz w:val="22"/>
          <w:szCs w:val="22"/>
          <w:lang w:val="fr-FR"/>
        </w:rPr>
        <w:t>ekspozicijos plazmoje (žr. 4.4 skyrių).</w:t>
      </w:r>
    </w:p>
    <w:p w14:paraId="7DB9A9E6" w14:textId="11931A3C" w:rsidR="00A21B70" w:rsidRPr="00220850" w:rsidRDefault="00D9373C" w:rsidP="00A21B70">
      <w:pPr>
        <w:autoSpaceDE w:val="0"/>
        <w:autoSpaceDN w:val="0"/>
        <w:adjustRightInd w:val="0"/>
        <w:rPr>
          <w:sz w:val="22"/>
          <w:szCs w:val="22"/>
          <w:u w:val="single"/>
        </w:rPr>
      </w:pPr>
      <w:r w:rsidRPr="00220850">
        <w:rPr>
          <w:sz w:val="22"/>
          <w:szCs w:val="22"/>
        </w:rPr>
        <w:t xml:space="preserve">Vaikų populiacijos ekspozicijos ir </w:t>
      </w:r>
      <w:r w:rsidR="000D7E1F" w:rsidRPr="00220850">
        <w:rPr>
          <w:sz w:val="22"/>
          <w:szCs w:val="22"/>
        </w:rPr>
        <w:t xml:space="preserve">organizmo </w:t>
      </w:r>
      <w:r w:rsidRPr="00220850">
        <w:rPr>
          <w:sz w:val="22"/>
          <w:szCs w:val="22"/>
        </w:rPr>
        <w:t>atsako santykio analizė pateikiamos poskyryje „Vaikų populiacija“.</w:t>
      </w:r>
    </w:p>
    <w:p w14:paraId="35658542" w14:textId="77777777" w:rsidR="00D9373C" w:rsidRPr="00220850" w:rsidRDefault="00D9373C">
      <w:pPr>
        <w:keepNext/>
        <w:tabs>
          <w:tab w:val="left" w:pos="567"/>
        </w:tabs>
        <w:spacing w:line="260" w:lineRule="exact"/>
        <w:jc w:val="both"/>
        <w:outlineLvl w:val="3"/>
        <w:rPr>
          <w:b/>
          <w:bCs/>
          <w:sz w:val="22"/>
          <w:szCs w:val="28"/>
          <w:lang w:eastAsia="x-none"/>
        </w:rPr>
      </w:pPr>
    </w:p>
    <w:p w14:paraId="56B7DD95" w14:textId="268E1FC5"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5.3</w:t>
      </w:r>
      <w:r w:rsidRPr="00220850">
        <w:rPr>
          <w:b/>
          <w:bCs/>
          <w:sz w:val="22"/>
          <w:szCs w:val="28"/>
          <w:lang w:eastAsia="x-none"/>
        </w:rPr>
        <w:tab/>
      </w:r>
      <w:proofErr w:type="spellStart"/>
      <w:r w:rsidRPr="00220850">
        <w:rPr>
          <w:b/>
          <w:bCs/>
          <w:sz w:val="22"/>
          <w:szCs w:val="28"/>
          <w:lang w:eastAsia="x-none"/>
        </w:rPr>
        <w:t>Ikiklinikinių</w:t>
      </w:r>
      <w:proofErr w:type="spellEnd"/>
      <w:r w:rsidRPr="00220850">
        <w:rPr>
          <w:b/>
          <w:bCs/>
          <w:sz w:val="22"/>
          <w:szCs w:val="28"/>
          <w:lang w:eastAsia="x-none"/>
        </w:rPr>
        <w:t xml:space="preserve"> saugumo tyrimų duomenys</w:t>
      </w:r>
    </w:p>
    <w:p w14:paraId="66BC6EE0" w14:textId="77777777" w:rsidR="00DE01F8" w:rsidRPr="00220850" w:rsidRDefault="00DE01F8">
      <w:pPr>
        <w:rPr>
          <w:sz w:val="22"/>
          <w:szCs w:val="24"/>
        </w:rPr>
      </w:pPr>
    </w:p>
    <w:p w14:paraId="65F667BB" w14:textId="77777777" w:rsidR="00970966" w:rsidRPr="00220850" w:rsidRDefault="00970966" w:rsidP="00970966">
      <w:pPr>
        <w:autoSpaceDE w:val="0"/>
        <w:autoSpaceDN w:val="0"/>
        <w:adjustRightInd w:val="0"/>
        <w:rPr>
          <w:rFonts w:eastAsia="TimesNewRoman"/>
          <w:sz w:val="22"/>
          <w:szCs w:val="22"/>
          <w:u w:val="single"/>
        </w:rPr>
      </w:pPr>
      <w:r w:rsidRPr="00220850">
        <w:rPr>
          <w:rFonts w:eastAsia="TimesNewRoman"/>
          <w:sz w:val="22"/>
          <w:szCs w:val="22"/>
          <w:u w:val="single"/>
        </w:rPr>
        <w:t>Bendras toksiškumas</w:t>
      </w:r>
    </w:p>
    <w:p w14:paraId="38F66167" w14:textId="77777777" w:rsidR="00970966" w:rsidRPr="00220850" w:rsidRDefault="00970966" w:rsidP="00970966">
      <w:pPr>
        <w:autoSpaceDE w:val="0"/>
        <w:autoSpaceDN w:val="0"/>
        <w:adjustRightInd w:val="0"/>
        <w:rPr>
          <w:rFonts w:eastAsia="TimesNewRoman"/>
          <w:sz w:val="22"/>
          <w:szCs w:val="22"/>
        </w:rPr>
      </w:pPr>
      <w:r w:rsidRPr="00220850">
        <w:rPr>
          <w:rFonts w:eastAsia="TimesNewRoman"/>
          <w:sz w:val="22"/>
          <w:szCs w:val="22"/>
        </w:rPr>
        <w:t xml:space="preserve">Vienkartinės dozės toksiškumo tyrimai, atlikti su žiurkėmis ir pelėmis, parodė mažą </w:t>
      </w:r>
      <w:proofErr w:type="spellStart"/>
      <w:r w:rsidRPr="00220850">
        <w:rPr>
          <w:rFonts w:eastAsia="TimesNewRoman"/>
          <w:sz w:val="22"/>
          <w:szCs w:val="22"/>
        </w:rPr>
        <w:t>nintedanibo</w:t>
      </w:r>
      <w:proofErr w:type="spellEnd"/>
      <w:r w:rsidRPr="00220850">
        <w:rPr>
          <w:rFonts w:eastAsia="TimesNewRoman"/>
          <w:sz w:val="22"/>
          <w:szCs w:val="22"/>
        </w:rPr>
        <w:t xml:space="preserve"> gebą</w:t>
      </w:r>
      <w:r w:rsidR="002E763F" w:rsidRPr="00220850">
        <w:rPr>
          <w:rFonts w:eastAsia="TimesNewRoman"/>
          <w:sz w:val="22"/>
          <w:szCs w:val="22"/>
        </w:rPr>
        <w:t xml:space="preserve"> </w:t>
      </w:r>
      <w:r w:rsidRPr="00220850">
        <w:rPr>
          <w:rFonts w:eastAsia="TimesNewRoman"/>
          <w:sz w:val="22"/>
          <w:szCs w:val="22"/>
        </w:rPr>
        <w:t>sukelti ūminį toksinį poveikį. Kartotinių dozių toksiškumo tyrimų, atliktų su žiurkių jaunikliais, metu</w:t>
      </w:r>
      <w:r w:rsidRPr="00220850">
        <w:rPr>
          <w:sz w:val="22"/>
          <w:szCs w:val="24"/>
        </w:rPr>
        <w:t xml:space="preserve"> </w:t>
      </w:r>
      <w:r w:rsidRPr="00220850">
        <w:rPr>
          <w:rFonts w:eastAsia="TimesNewRoman"/>
          <w:sz w:val="22"/>
          <w:szCs w:val="22"/>
        </w:rPr>
        <w:t>negrįžtamų emalio ir dentino pokyčių nustatyta nuolat greitai augančiuose kandžiuose, bet nenustatyta</w:t>
      </w:r>
      <w:r w:rsidR="002E763F" w:rsidRPr="00220850">
        <w:rPr>
          <w:rFonts w:eastAsia="TimesNewRoman"/>
          <w:sz w:val="22"/>
          <w:szCs w:val="22"/>
        </w:rPr>
        <w:t xml:space="preserve"> </w:t>
      </w:r>
      <w:r w:rsidRPr="00220850">
        <w:rPr>
          <w:rFonts w:eastAsia="TimesNewRoman"/>
          <w:sz w:val="22"/>
          <w:szCs w:val="22"/>
        </w:rPr>
        <w:t>kapliuose arba krūminiuose dantyse. Be to, kaulų augimo fazės metu nustatytas epifizių augimo</w:t>
      </w:r>
      <w:r w:rsidR="002E763F" w:rsidRPr="00220850">
        <w:rPr>
          <w:rFonts w:eastAsia="TimesNewRoman"/>
          <w:sz w:val="22"/>
          <w:szCs w:val="22"/>
        </w:rPr>
        <w:t xml:space="preserve"> </w:t>
      </w:r>
      <w:r w:rsidRPr="00220850">
        <w:rPr>
          <w:rFonts w:eastAsia="TimesNewRoman"/>
          <w:sz w:val="22"/>
          <w:szCs w:val="22"/>
        </w:rPr>
        <w:t>plokštelių sutankėjimas, kuris atsistatė nutraukus va</w:t>
      </w:r>
      <w:r w:rsidR="002E763F" w:rsidRPr="00220850">
        <w:rPr>
          <w:rFonts w:eastAsia="TimesNewRoman"/>
          <w:sz w:val="22"/>
          <w:szCs w:val="22"/>
        </w:rPr>
        <w:t>istinio preparato davimą</w:t>
      </w:r>
      <w:r w:rsidRPr="00220850">
        <w:rPr>
          <w:rFonts w:eastAsia="TimesNewRoman"/>
          <w:sz w:val="22"/>
          <w:szCs w:val="22"/>
        </w:rPr>
        <w:t>. Yra žinoma, kad tokius pokyčius sukelia</w:t>
      </w:r>
      <w:r w:rsidR="002E763F" w:rsidRPr="00220850">
        <w:rPr>
          <w:rFonts w:eastAsia="TimesNewRoman"/>
          <w:sz w:val="22"/>
          <w:szCs w:val="22"/>
        </w:rPr>
        <w:t xml:space="preserve"> </w:t>
      </w:r>
      <w:r w:rsidRPr="00220850">
        <w:rPr>
          <w:rFonts w:eastAsia="TimesNewRoman"/>
          <w:sz w:val="22"/>
          <w:szCs w:val="22"/>
        </w:rPr>
        <w:t>ir kiti KEAFR 2 inhibitoriai ir tai yra grupei būdingas poveikis.</w:t>
      </w:r>
    </w:p>
    <w:p w14:paraId="5F03788B" w14:textId="77777777" w:rsidR="002E763F" w:rsidRPr="00220850" w:rsidRDefault="002E763F" w:rsidP="00970966">
      <w:pPr>
        <w:autoSpaceDE w:val="0"/>
        <w:autoSpaceDN w:val="0"/>
        <w:adjustRightInd w:val="0"/>
        <w:rPr>
          <w:rFonts w:eastAsia="TimesNewRoman"/>
          <w:sz w:val="22"/>
          <w:szCs w:val="22"/>
        </w:rPr>
      </w:pPr>
    </w:p>
    <w:p w14:paraId="23345B51" w14:textId="77777777" w:rsidR="00970966" w:rsidRPr="00220850" w:rsidRDefault="00970966" w:rsidP="00970966">
      <w:pPr>
        <w:autoSpaceDE w:val="0"/>
        <w:autoSpaceDN w:val="0"/>
        <w:adjustRightInd w:val="0"/>
        <w:rPr>
          <w:rFonts w:eastAsia="TimesNewRoman"/>
          <w:sz w:val="22"/>
          <w:szCs w:val="22"/>
        </w:rPr>
      </w:pPr>
      <w:r w:rsidRPr="00220850">
        <w:rPr>
          <w:rFonts w:eastAsia="TimesNewRoman"/>
          <w:sz w:val="22"/>
          <w:szCs w:val="22"/>
        </w:rPr>
        <w:t xml:space="preserve">Toksiškumo tyrimų, atliktų su </w:t>
      </w:r>
      <w:proofErr w:type="spellStart"/>
      <w:r w:rsidRPr="00220850">
        <w:rPr>
          <w:rFonts w:eastAsia="TimesNewRoman"/>
          <w:sz w:val="22"/>
          <w:szCs w:val="22"/>
        </w:rPr>
        <w:t>negraužikais</w:t>
      </w:r>
      <w:proofErr w:type="spellEnd"/>
      <w:r w:rsidRPr="00220850">
        <w:rPr>
          <w:rFonts w:eastAsia="TimesNewRoman"/>
          <w:sz w:val="22"/>
          <w:szCs w:val="22"/>
        </w:rPr>
        <w:t>, metu nustatyti viduriavimas ir vėmimas, lydimi mažesnio</w:t>
      </w:r>
      <w:r w:rsidR="002E763F" w:rsidRPr="00220850">
        <w:rPr>
          <w:rFonts w:eastAsia="TimesNewRoman"/>
          <w:sz w:val="22"/>
          <w:szCs w:val="22"/>
        </w:rPr>
        <w:t xml:space="preserve"> </w:t>
      </w:r>
      <w:r w:rsidRPr="00220850">
        <w:rPr>
          <w:rFonts w:eastAsia="TimesNewRoman"/>
          <w:sz w:val="22"/>
          <w:szCs w:val="22"/>
        </w:rPr>
        <w:t>kiekio maisto suvartojimo ir kūno svorio netekimo.</w:t>
      </w:r>
    </w:p>
    <w:p w14:paraId="2A9FFEB4" w14:textId="77777777" w:rsidR="002E763F" w:rsidRPr="00220850" w:rsidRDefault="002E763F" w:rsidP="00970966">
      <w:pPr>
        <w:autoSpaceDE w:val="0"/>
        <w:autoSpaceDN w:val="0"/>
        <w:adjustRightInd w:val="0"/>
        <w:rPr>
          <w:rFonts w:eastAsia="TimesNewRoman"/>
          <w:sz w:val="22"/>
          <w:szCs w:val="22"/>
        </w:rPr>
      </w:pPr>
    </w:p>
    <w:p w14:paraId="56FB15C8" w14:textId="0EE7840D" w:rsidR="00970966" w:rsidRPr="00220850" w:rsidRDefault="00970966" w:rsidP="002E763F">
      <w:pPr>
        <w:autoSpaceDE w:val="0"/>
        <w:autoSpaceDN w:val="0"/>
        <w:adjustRightInd w:val="0"/>
        <w:rPr>
          <w:sz w:val="22"/>
          <w:szCs w:val="24"/>
        </w:rPr>
      </w:pPr>
      <w:r w:rsidRPr="00220850">
        <w:rPr>
          <w:rFonts w:eastAsia="TimesNewRoman"/>
          <w:sz w:val="22"/>
          <w:szCs w:val="22"/>
        </w:rPr>
        <w:t xml:space="preserve">Žiurkėms, šunims ir </w:t>
      </w:r>
      <w:proofErr w:type="spellStart"/>
      <w:r w:rsidRPr="00220850">
        <w:rPr>
          <w:rFonts w:eastAsia="TimesNewRoman"/>
          <w:i/>
          <w:sz w:val="22"/>
          <w:szCs w:val="22"/>
        </w:rPr>
        <w:t>Cynomolgus</w:t>
      </w:r>
      <w:proofErr w:type="spellEnd"/>
      <w:r w:rsidRPr="00220850">
        <w:rPr>
          <w:rFonts w:eastAsia="TimesNewRoman"/>
          <w:sz w:val="22"/>
          <w:szCs w:val="22"/>
        </w:rPr>
        <w:t xml:space="preserve"> beždžionėms kepenų fermentų aktyvumo padidėjimo požymių</w:t>
      </w:r>
      <w:r w:rsidR="002E763F" w:rsidRPr="00220850">
        <w:rPr>
          <w:rFonts w:eastAsia="TimesNewRoman"/>
          <w:sz w:val="22"/>
          <w:szCs w:val="22"/>
        </w:rPr>
        <w:t xml:space="preserve"> </w:t>
      </w:r>
      <w:r w:rsidRPr="00220850">
        <w:rPr>
          <w:rFonts w:eastAsia="TimesNewRoman"/>
          <w:sz w:val="22"/>
          <w:szCs w:val="22"/>
        </w:rPr>
        <w:t xml:space="preserve">nebuvo. Tik </w:t>
      </w:r>
      <w:proofErr w:type="spellStart"/>
      <w:r w:rsidRPr="00220850">
        <w:rPr>
          <w:rFonts w:eastAsia="TimesNewRoman"/>
          <w:i/>
          <w:sz w:val="22"/>
          <w:szCs w:val="22"/>
        </w:rPr>
        <w:t>Rezus</w:t>
      </w:r>
      <w:proofErr w:type="spellEnd"/>
      <w:r w:rsidRPr="00220850">
        <w:rPr>
          <w:rFonts w:eastAsia="TimesNewRoman"/>
          <w:sz w:val="22"/>
          <w:szCs w:val="22"/>
        </w:rPr>
        <w:t xml:space="preserve"> beždžionėms buvo pastebėtas nedidelis kepenų fermentų aktyvumo padidėjimas,</w:t>
      </w:r>
      <w:r w:rsidR="002E763F" w:rsidRPr="00220850">
        <w:rPr>
          <w:rFonts w:eastAsia="TimesNewRoman"/>
          <w:sz w:val="22"/>
          <w:szCs w:val="22"/>
        </w:rPr>
        <w:t xml:space="preserve"> </w:t>
      </w:r>
      <w:r w:rsidRPr="00220850">
        <w:rPr>
          <w:rFonts w:eastAsia="TimesNewRoman"/>
          <w:sz w:val="22"/>
          <w:szCs w:val="22"/>
        </w:rPr>
        <w:t>kuri</w:t>
      </w:r>
      <w:r w:rsidR="001B5A47" w:rsidRPr="00220850">
        <w:rPr>
          <w:rFonts w:eastAsia="TimesNewRoman"/>
          <w:sz w:val="22"/>
          <w:szCs w:val="22"/>
        </w:rPr>
        <w:t>s</w:t>
      </w:r>
      <w:r w:rsidRPr="00220850">
        <w:rPr>
          <w:rFonts w:eastAsia="TimesNewRoman"/>
          <w:sz w:val="22"/>
          <w:szCs w:val="22"/>
        </w:rPr>
        <w:t xml:space="preserve"> </w:t>
      </w:r>
      <w:r w:rsidR="001B5A47" w:rsidRPr="00220850">
        <w:rPr>
          <w:rFonts w:eastAsia="TimesNewRoman"/>
          <w:sz w:val="22"/>
          <w:szCs w:val="22"/>
        </w:rPr>
        <w:t xml:space="preserve">nebuvo susijęs su </w:t>
      </w:r>
      <w:r w:rsidRPr="00220850">
        <w:rPr>
          <w:rFonts w:eastAsia="TimesNewRoman"/>
          <w:sz w:val="22"/>
          <w:szCs w:val="22"/>
        </w:rPr>
        <w:t>sunk</w:t>
      </w:r>
      <w:r w:rsidR="001B5A47" w:rsidRPr="00220850">
        <w:rPr>
          <w:rFonts w:eastAsia="TimesNewRoman"/>
          <w:sz w:val="22"/>
          <w:szCs w:val="22"/>
        </w:rPr>
        <w:t>iu nepageidaujamu poveikiu, pvz., viduriavimu</w:t>
      </w:r>
      <w:r w:rsidRPr="00220850">
        <w:rPr>
          <w:rFonts w:eastAsia="TimesNewRoman"/>
          <w:sz w:val="22"/>
          <w:szCs w:val="22"/>
        </w:rPr>
        <w:t>.</w:t>
      </w:r>
    </w:p>
    <w:p w14:paraId="797F840D" w14:textId="77777777" w:rsidR="002E763F" w:rsidRPr="00220850" w:rsidRDefault="002E763F" w:rsidP="002E763F">
      <w:pPr>
        <w:autoSpaceDE w:val="0"/>
        <w:autoSpaceDN w:val="0"/>
        <w:adjustRightInd w:val="0"/>
        <w:rPr>
          <w:rFonts w:eastAsia="TimesNewRoman"/>
          <w:sz w:val="22"/>
          <w:szCs w:val="22"/>
        </w:rPr>
      </w:pPr>
    </w:p>
    <w:p w14:paraId="2BF9E43B" w14:textId="77777777" w:rsidR="002E763F" w:rsidRPr="00220850" w:rsidRDefault="002E763F" w:rsidP="002E763F">
      <w:pPr>
        <w:autoSpaceDE w:val="0"/>
        <w:autoSpaceDN w:val="0"/>
        <w:adjustRightInd w:val="0"/>
        <w:rPr>
          <w:rFonts w:eastAsia="TimesNewRoman"/>
          <w:sz w:val="22"/>
          <w:szCs w:val="22"/>
          <w:u w:val="single"/>
        </w:rPr>
      </w:pPr>
      <w:r w:rsidRPr="00220850">
        <w:rPr>
          <w:rFonts w:eastAsia="TimesNewRoman"/>
          <w:sz w:val="22"/>
          <w:szCs w:val="22"/>
          <w:u w:val="single"/>
        </w:rPr>
        <w:t>Toksinis poveikis reprodukcijai</w:t>
      </w:r>
    </w:p>
    <w:p w14:paraId="2CB56880" w14:textId="77777777" w:rsidR="002E763F" w:rsidRPr="00220850" w:rsidRDefault="002E763F" w:rsidP="002E763F">
      <w:pPr>
        <w:autoSpaceDE w:val="0"/>
        <w:autoSpaceDN w:val="0"/>
        <w:adjustRightInd w:val="0"/>
        <w:rPr>
          <w:rFonts w:eastAsia="TimesNewRoman"/>
          <w:sz w:val="22"/>
          <w:szCs w:val="22"/>
        </w:rPr>
      </w:pPr>
      <w:r w:rsidRPr="00220850">
        <w:rPr>
          <w:rFonts w:eastAsia="TimesNewRoman"/>
          <w:sz w:val="22"/>
          <w:szCs w:val="22"/>
        </w:rPr>
        <w:t xml:space="preserve">Žiurkėms nustatytas embrionų ir vaisių gaišimas bei </w:t>
      </w:r>
      <w:proofErr w:type="spellStart"/>
      <w:r w:rsidRPr="00220850">
        <w:rPr>
          <w:rFonts w:eastAsia="TimesNewRoman"/>
          <w:sz w:val="22"/>
          <w:szCs w:val="22"/>
        </w:rPr>
        <w:t>teratogeninis</w:t>
      </w:r>
      <w:proofErr w:type="spellEnd"/>
      <w:r w:rsidRPr="00220850">
        <w:rPr>
          <w:rFonts w:eastAsia="TimesNewRoman"/>
          <w:sz w:val="22"/>
          <w:szCs w:val="22"/>
        </w:rPr>
        <w:t xml:space="preserve"> poveikis esant mažesnei</w:t>
      </w:r>
      <w:r w:rsidR="001B5A47" w:rsidRPr="00220850">
        <w:rPr>
          <w:rFonts w:eastAsia="TimesNewRoman"/>
          <w:sz w:val="22"/>
          <w:szCs w:val="22"/>
        </w:rPr>
        <w:t xml:space="preserve"> </w:t>
      </w:r>
      <w:r w:rsidRPr="00220850">
        <w:rPr>
          <w:rFonts w:eastAsia="TimesNewRoman"/>
          <w:sz w:val="22"/>
          <w:szCs w:val="22"/>
        </w:rPr>
        <w:t>ekspozicijai už atsirandančią vartojant didžiausią rekomenduojamą dozę žmogui (DRDŽ), t. y. 150</w:t>
      </w:r>
      <w:r w:rsidR="001B5A47" w:rsidRPr="00220850">
        <w:rPr>
          <w:rFonts w:eastAsia="TimesNewRoman"/>
          <w:sz w:val="22"/>
          <w:szCs w:val="22"/>
        </w:rPr>
        <w:t> </w:t>
      </w:r>
      <w:r w:rsidRPr="00220850">
        <w:rPr>
          <w:rFonts w:eastAsia="TimesNewRoman"/>
          <w:sz w:val="22"/>
          <w:szCs w:val="22"/>
        </w:rPr>
        <w:t>mg</w:t>
      </w:r>
      <w:r w:rsidR="001B5A47" w:rsidRPr="00220850">
        <w:rPr>
          <w:rFonts w:eastAsia="TimesNewRoman"/>
          <w:sz w:val="22"/>
          <w:szCs w:val="22"/>
        </w:rPr>
        <w:t xml:space="preserve"> </w:t>
      </w:r>
      <w:r w:rsidRPr="00220850">
        <w:rPr>
          <w:rFonts w:eastAsia="TimesNewRoman"/>
          <w:sz w:val="22"/>
          <w:szCs w:val="22"/>
        </w:rPr>
        <w:t>du kartus per parą. Taip pat buvo pastebėtas poveikis ašinio skeleto ir didžiųjų arterijų vystymuisi, kai</w:t>
      </w:r>
      <w:r w:rsidR="001B5A47" w:rsidRPr="00220850">
        <w:rPr>
          <w:rFonts w:eastAsia="TimesNewRoman"/>
          <w:sz w:val="22"/>
          <w:szCs w:val="22"/>
        </w:rPr>
        <w:t xml:space="preserve"> </w:t>
      </w:r>
      <w:r w:rsidRPr="00220850">
        <w:rPr>
          <w:rFonts w:eastAsia="TimesNewRoman"/>
          <w:sz w:val="22"/>
          <w:szCs w:val="22"/>
        </w:rPr>
        <w:t>ekspozicija buvo mažesnė už atsirandančią vartojant terapines dozes.</w:t>
      </w:r>
    </w:p>
    <w:p w14:paraId="4676D1C3" w14:textId="77777777" w:rsidR="001B5A47" w:rsidRPr="00220850" w:rsidRDefault="001B5A47" w:rsidP="002E763F">
      <w:pPr>
        <w:autoSpaceDE w:val="0"/>
        <w:autoSpaceDN w:val="0"/>
        <w:adjustRightInd w:val="0"/>
        <w:rPr>
          <w:rFonts w:eastAsia="TimesNewRoman"/>
          <w:sz w:val="22"/>
          <w:szCs w:val="22"/>
        </w:rPr>
      </w:pPr>
    </w:p>
    <w:p w14:paraId="575A08D2" w14:textId="77777777" w:rsidR="002E763F" w:rsidRPr="00220850" w:rsidRDefault="002E763F" w:rsidP="002E763F">
      <w:pPr>
        <w:autoSpaceDE w:val="0"/>
        <w:autoSpaceDN w:val="0"/>
        <w:adjustRightInd w:val="0"/>
        <w:rPr>
          <w:rFonts w:eastAsia="TimesNewRoman"/>
          <w:sz w:val="22"/>
          <w:szCs w:val="22"/>
        </w:rPr>
      </w:pPr>
      <w:r w:rsidRPr="00220850">
        <w:rPr>
          <w:rFonts w:eastAsia="TimesNewRoman"/>
          <w:sz w:val="22"/>
          <w:szCs w:val="22"/>
        </w:rPr>
        <w:t xml:space="preserve">Triušiams pasireiškė embrionų ir vaisių gaišimas bei </w:t>
      </w:r>
      <w:proofErr w:type="spellStart"/>
      <w:r w:rsidRPr="00220850">
        <w:rPr>
          <w:rFonts w:eastAsia="TimesNewRoman"/>
          <w:sz w:val="22"/>
          <w:szCs w:val="22"/>
        </w:rPr>
        <w:t>teratogeninis</w:t>
      </w:r>
      <w:proofErr w:type="spellEnd"/>
      <w:r w:rsidRPr="00220850">
        <w:rPr>
          <w:rFonts w:eastAsia="TimesNewRoman"/>
          <w:sz w:val="22"/>
          <w:szCs w:val="22"/>
        </w:rPr>
        <w:t xml:space="preserve"> poveikis, esant ekspozicijai 3 kartus</w:t>
      </w:r>
      <w:r w:rsidR="001B5A47" w:rsidRPr="00220850">
        <w:rPr>
          <w:rFonts w:eastAsia="TimesNewRoman"/>
          <w:sz w:val="22"/>
          <w:szCs w:val="22"/>
        </w:rPr>
        <w:t xml:space="preserve"> </w:t>
      </w:r>
      <w:r w:rsidRPr="00220850">
        <w:rPr>
          <w:rFonts w:eastAsia="TimesNewRoman"/>
          <w:sz w:val="22"/>
          <w:szCs w:val="22"/>
        </w:rPr>
        <w:t>didesnei už atsirandančią vartojant DRDŽ, bet nežymus poveikis embrionų ir vaisių ašinio skeleto ir</w:t>
      </w:r>
      <w:r w:rsidR="001B5A47" w:rsidRPr="00220850">
        <w:rPr>
          <w:rFonts w:eastAsia="TimesNewRoman"/>
          <w:sz w:val="22"/>
          <w:szCs w:val="22"/>
        </w:rPr>
        <w:t xml:space="preserve"> </w:t>
      </w:r>
      <w:r w:rsidRPr="00220850">
        <w:rPr>
          <w:rFonts w:eastAsia="TimesNewRoman"/>
          <w:sz w:val="22"/>
          <w:szCs w:val="22"/>
        </w:rPr>
        <w:t>širdies vystymuisi buvo pastebėtas jau esant ekspozicijai, mažesnei nei vartojant DRDŽ</w:t>
      </w:r>
      <w:r w:rsidR="001B5A47" w:rsidRPr="00220850">
        <w:rPr>
          <w:rFonts w:eastAsia="TimesNewRoman"/>
          <w:sz w:val="22"/>
          <w:szCs w:val="22"/>
        </w:rPr>
        <w:t>, t. y. 150 </w:t>
      </w:r>
      <w:r w:rsidRPr="00220850">
        <w:rPr>
          <w:rFonts w:eastAsia="TimesNewRoman"/>
          <w:sz w:val="22"/>
          <w:szCs w:val="22"/>
        </w:rPr>
        <w:t>mg</w:t>
      </w:r>
      <w:r w:rsidR="001B5A47" w:rsidRPr="00220850">
        <w:rPr>
          <w:rFonts w:eastAsia="TimesNewRoman"/>
          <w:sz w:val="22"/>
          <w:szCs w:val="22"/>
        </w:rPr>
        <w:t xml:space="preserve"> </w:t>
      </w:r>
      <w:r w:rsidRPr="00220850">
        <w:rPr>
          <w:rFonts w:eastAsia="TimesNewRoman"/>
          <w:sz w:val="22"/>
          <w:szCs w:val="22"/>
        </w:rPr>
        <w:t>du kartus per parą.</w:t>
      </w:r>
    </w:p>
    <w:p w14:paraId="3411381B" w14:textId="77777777" w:rsidR="001B5A47" w:rsidRPr="00220850" w:rsidRDefault="001B5A47" w:rsidP="002E763F">
      <w:pPr>
        <w:autoSpaceDE w:val="0"/>
        <w:autoSpaceDN w:val="0"/>
        <w:adjustRightInd w:val="0"/>
        <w:rPr>
          <w:rFonts w:eastAsia="TimesNewRoman"/>
          <w:sz w:val="22"/>
          <w:szCs w:val="22"/>
        </w:rPr>
      </w:pPr>
    </w:p>
    <w:p w14:paraId="13A23928" w14:textId="77777777" w:rsidR="002E763F" w:rsidRPr="00220850" w:rsidRDefault="002E763F" w:rsidP="002E763F">
      <w:pPr>
        <w:autoSpaceDE w:val="0"/>
        <w:autoSpaceDN w:val="0"/>
        <w:adjustRightInd w:val="0"/>
        <w:rPr>
          <w:rFonts w:eastAsia="TimesNewRoman"/>
          <w:sz w:val="22"/>
          <w:szCs w:val="22"/>
        </w:rPr>
      </w:pPr>
      <w:proofErr w:type="spellStart"/>
      <w:r w:rsidRPr="00220850">
        <w:rPr>
          <w:rFonts w:eastAsia="TimesNewRoman"/>
          <w:sz w:val="22"/>
          <w:szCs w:val="22"/>
        </w:rPr>
        <w:t>Prenatalinio</w:t>
      </w:r>
      <w:proofErr w:type="spellEnd"/>
      <w:r w:rsidRPr="00220850">
        <w:rPr>
          <w:rFonts w:eastAsia="TimesNewRoman"/>
          <w:sz w:val="22"/>
          <w:szCs w:val="22"/>
        </w:rPr>
        <w:t xml:space="preserve"> ir </w:t>
      </w:r>
      <w:proofErr w:type="spellStart"/>
      <w:r w:rsidRPr="00220850">
        <w:rPr>
          <w:rFonts w:eastAsia="TimesNewRoman"/>
          <w:sz w:val="22"/>
          <w:szCs w:val="22"/>
        </w:rPr>
        <w:t>postnatalinio</w:t>
      </w:r>
      <w:proofErr w:type="spellEnd"/>
      <w:r w:rsidRPr="00220850">
        <w:rPr>
          <w:rFonts w:eastAsia="TimesNewRoman"/>
          <w:sz w:val="22"/>
          <w:szCs w:val="22"/>
        </w:rPr>
        <w:t xml:space="preserve"> vystymosi tyrimo, atlikto su žiurkėmis, metu poveikis </w:t>
      </w:r>
      <w:proofErr w:type="spellStart"/>
      <w:r w:rsidRPr="00220850">
        <w:rPr>
          <w:rFonts w:eastAsia="TimesNewRoman"/>
          <w:sz w:val="22"/>
          <w:szCs w:val="22"/>
        </w:rPr>
        <w:t>prenataliniam</w:t>
      </w:r>
      <w:proofErr w:type="spellEnd"/>
      <w:r w:rsidRPr="00220850">
        <w:rPr>
          <w:rFonts w:eastAsia="TimesNewRoman"/>
          <w:sz w:val="22"/>
          <w:szCs w:val="22"/>
        </w:rPr>
        <w:t xml:space="preserve"> ir</w:t>
      </w:r>
      <w:r w:rsidR="001B5A47" w:rsidRPr="00220850">
        <w:rPr>
          <w:rFonts w:eastAsia="TimesNewRoman"/>
          <w:sz w:val="22"/>
          <w:szCs w:val="22"/>
        </w:rPr>
        <w:t xml:space="preserve"> </w:t>
      </w:r>
      <w:proofErr w:type="spellStart"/>
      <w:r w:rsidRPr="00220850">
        <w:rPr>
          <w:rFonts w:eastAsia="TimesNewRoman"/>
          <w:sz w:val="22"/>
          <w:szCs w:val="22"/>
        </w:rPr>
        <w:t>postnataliniam</w:t>
      </w:r>
      <w:proofErr w:type="spellEnd"/>
      <w:r w:rsidRPr="00220850">
        <w:rPr>
          <w:rFonts w:eastAsia="TimesNewRoman"/>
          <w:sz w:val="22"/>
          <w:szCs w:val="22"/>
        </w:rPr>
        <w:t xml:space="preserve"> vystymuisi pasireiškė tada, kai ekspozicija buvo mažesnė už atsirandančią vartojant</w:t>
      </w:r>
      <w:r w:rsidR="001B5A47" w:rsidRPr="00220850">
        <w:rPr>
          <w:rFonts w:eastAsia="TimesNewRoman"/>
          <w:sz w:val="22"/>
          <w:szCs w:val="22"/>
        </w:rPr>
        <w:t xml:space="preserve"> </w:t>
      </w:r>
      <w:r w:rsidRPr="00220850">
        <w:rPr>
          <w:rFonts w:eastAsia="TimesNewRoman"/>
          <w:sz w:val="22"/>
          <w:szCs w:val="22"/>
        </w:rPr>
        <w:t>DRDŽ.</w:t>
      </w:r>
    </w:p>
    <w:p w14:paraId="4A7153AD" w14:textId="77777777" w:rsidR="001B5A47" w:rsidRPr="00220850" w:rsidRDefault="001B5A47" w:rsidP="002E763F">
      <w:pPr>
        <w:autoSpaceDE w:val="0"/>
        <w:autoSpaceDN w:val="0"/>
        <w:adjustRightInd w:val="0"/>
        <w:rPr>
          <w:rFonts w:eastAsia="TimesNewRoman"/>
          <w:sz w:val="22"/>
          <w:szCs w:val="22"/>
        </w:rPr>
      </w:pPr>
    </w:p>
    <w:p w14:paraId="78A3F314" w14:textId="77777777" w:rsidR="002E763F" w:rsidRPr="00220850" w:rsidRDefault="002E763F" w:rsidP="002E763F">
      <w:pPr>
        <w:autoSpaceDE w:val="0"/>
        <w:autoSpaceDN w:val="0"/>
        <w:adjustRightInd w:val="0"/>
        <w:rPr>
          <w:rFonts w:eastAsia="TimesNewRoman"/>
          <w:sz w:val="22"/>
          <w:szCs w:val="22"/>
        </w:rPr>
      </w:pPr>
      <w:r w:rsidRPr="00220850">
        <w:rPr>
          <w:rFonts w:eastAsia="TimesNewRoman"/>
          <w:sz w:val="22"/>
          <w:szCs w:val="22"/>
        </w:rPr>
        <w:t>Patinų vaisingumo ir ankstyvo embriono vystymosi iki implantacijos tyrimuose, atliktuose su</w:t>
      </w:r>
      <w:r w:rsidR="001B5A47" w:rsidRPr="00220850">
        <w:rPr>
          <w:rFonts w:eastAsia="TimesNewRoman"/>
          <w:sz w:val="22"/>
          <w:szCs w:val="22"/>
        </w:rPr>
        <w:t xml:space="preserve"> </w:t>
      </w:r>
      <w:r w:rsidRPr="00220850">
        <w:rPr>
          <w:rFonts w:eastAsia="TimesNewRoman"/>
          <w:sz w:val="22"/>
          <w:szCs w:val="22"/>
        </w:rPr>
        <w:t>žiurkėmis, poveikio patino dauginimosi organams ir vaisingumui</w:t>
      </w:r>
      <w:r w:rsidR="001B5A47" w:rsidRPr="00220850">
        <w:rPr>
          <w:rFonts w:eastAsia="TimesNewRoman"/>
          <w:sz w:val="22"/>
          <w:szCs w:val="22"/>
        </w:rPr>
        <w:t xml:space="preserve"> nenustatyta</w:t>
      </w:r>
      <w:r w:rsidRPr="00220850">
        <w:rPr>
          <w:rFonts w:eastAsia="TimesNewRoman"/>
          <w:sz w:val="22"/>
          <w:szCs w:val="22"/>
        </w:rPr>
        <w:t>.</w:t>
      </w:r>
    </w:p>
    <w:p w14:paraId="44B1414C" w14:textId="77777777" w:rsidR="001B5A47" w:rsidRPr="00220850" w:rsidRDefault="001B5A47" w:rsidP="002E763F">
      <w:pPr>
        <w:autoSpaceDE w:val="0"/>
        <w:autoSpaceDN w:val="0"/>
        <w:adjustRightInd w:val="0"/>
        <w:rPr>
          <w:rFonts w:eastAsia="TimesNewRoman"/>
          <w:sz w:val="22"/>
          <w:szCs w:val="22"/>
        </w:rPr>
      </w:pPr>
    </w:p>
    <w:p w14:paraId="5F22E456" w14:textId="77777777" w:rsidR="002E763F" w:rsidRPr="00220850" w:rsidRDefault="002E763F" w:rsidP="002E763F">
      <w:pPr>
        <w:autoSpaceDE w:val="0"/>
        <w:autoSpaceDN w:val="0"/>
        <w:adjustRightInd w:val="0"/>
        <w:rPr>
          <w:rFonts w:eastAsia="TimesNewRoman"/>
          <w:sz w:val="22"/>
          <w:szCs w:val="22"/>
        </w:rPr>
      </w:pPr>
      <w:r w:rsidRPr="00220850">
        <w:rPr>
          <w:rFonts w:eastAsia="TimesNewRoman"/>
          <w:sz w:val="22"/>
          <w:szCs w:val="22"/>
        </w:rPr>
        <w:t xml:space="preserve">Žiurkėms į pieną išsiskyrė nedidelis kiekis radioaktyviaisiais izotopais žymėto </w:t>
      </w:r>
      <w:proofErr w:type="spellStart"/>
      <w:r w:rsidRPr="00220850">
        <w:rPr>
          <w:rFonts w:eastAsia="TimesNewRoman"/>
          <w:sz w:val="22"/>
          <w:szCs w:val="22"/>
        </w:rPr>
        <w:t>nintedanibo</w:t>
      </w:r>
      <w:proofErr w:type="spellEnd"/>
      <w:r w:rsidRPr="00220850">
        <w:rPr>
          <w:rFonts w:eastAsia="TimesNewRoman"/>
          <w:sz w:val="22"/>
          <w:szCs w:val="22"/>
        </w:rPr>
        <w:t xml:space="preserve"> ir (arba) jo</w:t>
      </w:r>
      <w:r w:rsidR="001B5A47" w:rsidRPr="00220850">
        <w:rPr>
          <w:rFonts w:eastAsia="TimesNewRoman"/>
          <w:sz w:val="22"/>
          <w:szCs w:val="22"/>
        </w:rPr>
        <w:t xml:space="preserve"> </w:t>
      </w:r>
      <w:r w:rsidRPr="00220850">
        <w:rPr>
          <w:rFonts w:eastAsia="TimesNewRoman"/>
          <w:sz w:val="22"/>
          <w:szCs w:val="22"/>
        </w:rPr>
        <w:t>metabolitų (≤</w:t>
      </w:r>
      <w:r w:rsidR="001B5A47" w:rsidRPr="00220850">
        <w:rPr>
          <w:rFonts w:eastAsia="TimesNewRoman"/>
          <w:sz w:val="22"/>
          <w:szCs w:val="22"/>
        </w:rPr>
        <w:t> </w:t>
      </w:r>
      <w:r w:rsidRPr="00220850">
        <w:rPr>
          <w:rFonts w:eastAsia="TimesNewRoman"/>
          <w:sz w:val="22"/>
          <w:szCs w:val="22"/>
        </w:rPr>
        <w:t>0,5</w:t>
      </w:r>
      <w:r w:rsidR="001B5A47" w:rsidRPr="00220850">
        <w:rPr>
          <w:rFonts w:eastAsia="TimesNewRoman"/>
          <w:sz w:val="22"/>
          <w:szCs w:val="22"/>
        </w:rPr>
        <w:t> </w:t>
      </w:r>
      <w:r w:rsidR="002623F4" w:rsidRPr="00220850">
        <w:rPr>
          <w:rFonts w:eastAsia="TimesNewRoman"/>
          <w:sz w:val="22"/>
          <w:szCs w:val="22"/>
        </w:rPr>
        <w:t xml:space="preserve">% </w:t>
      </w:r>
      <w:r w:rsidRPr="00220850">
        <w:rPr>
          <w:rFonts w:eastAsia="TimesNewRoman"/>
          <w:sz w:val="22"/>
          <w:szCs w:val="22"/>
        </w:rPr>
        <w:t>duotos dozės).</w:t>
      </w:r>
    </w:p>
    <w:p w14:paraId="589EAE61" w14:textId="77777777" w:rsidR="001B5A47" w:rsidRPr="00220850" w:rsidRDefault="001B5A47" w:rsidP="002E763F">
      <w:pPr>
        <w:autoSpaceDE w:val="0"/>
        <w:autoSpaceDN w:val="0"/>
        <w:adjustRightInd w:val="0"/>
        <w:rPr>
          <w:rFonts w:eastAsia="TimesNewRoman"/>
          <w:sz w:val="22"/>
          <w:szCs w:val="22"/>
        </w:rPr>
      </w:pPr>
    </w:p>
    <w:p w14:paraId="5A9491BC" w14:textId="77777777" w:rsidR="002E763F" w:rsidRPr="00220850" w:rsidRDefault="002E763F" w:rsidP="002E763F">
      <w:pPr>
        <w:autoSpaceDE w:val="0"/>
        <w:autoSpaceDN w:val="0"/>
        <w:adjustRightInd w:val="0"/>
        <w:rPr>
          <w:rFonts w:eastAsia="TimesNewRoman"/>
          <w:sz w:val="22"/>
          <w:szCs w:val="22"/>
        </w:rPr>
      </w:pPr>
      <w:r w:rsidRPr="00220850">
        <w:rPr>
          <w:rFonts w:eastAsia="TimesNewRoman"/>
          <w:sz w:val="22"/>
          <w:szCs w:val="22"/>
        </w:rPr>
        <w:t xml:space="preserve">2 metų trukmės </w:t>
      </w:r>
      <w:proofErr w:type="spellStart"/>
      <w:r w:rsidRPr="00220850">
        <w:rPr>
          <w:rFonts w:eastAsia="TimesNewRoman"/>
          <w:sz w:val="22"/>
          <w:szCs w:val="22"/>
        </w:rPr>
        <w:t>kancerogeniškumo</w:t>
      </w:r>
      <w:proofErr w:type="spellEnd"/>
      <w:r w:rsidRPr="00220850">
        <w:rPr>
          <w:rFonts w:eastAsia="TimesNewRoman"/>
          <w:sz w:val="22"/>
          <w:szCs w:val="22"/>
        </w:rPr>
        <w:t xml:space="preserve"> tyrimų su pelėmis ir žiurkėmis duomenys kancerogeninio</w:t>
      </w:r>
      <w:r w:rsidR="001B5A47" w:rsidRPr="00220850">
        <w:rPr>
          <w:rFonts w:eastAsia="TimesNewRoman"/>
          <w:sz w:val="22"/>
          <w:szCs w:val="22"/>
        </w:rPr>
        <w:t xml:space="preserve"> </w:t>
      </w:r>
      <w:proofErr w:type="spellStart"/>
      <w:r w:rsidRPr="00220850">
        <w:rPr>
          <w:rFonts w:eastAsia="TimesNewRoman"/>
          <w:sz w:val="22"/>
          <w:szCs w:val="22"/>
        </w:rPr>
        <w:t>nintedanibo</w:t>
      </w:r>
      <w:proofErr w:type="spellEnd"/>
      <w:r w:rsidRPr="00220850">
        <w:rPr>
          <w:rFonts w:eastAsia="TimesNewRoman"/>
          <w:sz w:val="22"/>
          <w:szCs w:val="22"/>
        </w:rPr>
        <w:t xml:space="preserve"> poveikio nerodo.</w:t>
      </w:r>
    </w:p>
    <w:p w14:paraId="10A7B29D" w14:textId="77777777" w:rsidR="001B5A47" w:rsidRPr="00220850" w:rsidRDefault="001B5A47" w:rsidP="002E763F">
      <w:pPr>
        <w:rPr>
          <w:rFonts w:eastAsia="TimesNewRoman"/>
          <w:sz w:val="22"/>
          <w:szCs w:val="22"/>
        </w:rPr>
      </w:pPr>
    </w:p>
    <w:p w14:paraId="0C7BF84C" w14:textId="77777777" w:rsidR="00970966" w:rsidRPr="00220850" w:rsidRDefault="002E763F" w:rsidP="002E763F">
      <w:pPr>
        <w:rPr>
          <w:sz w:val="22"/>
          <w:szCs w:val="24"/>
        </w:rPr>
      </w:pPr>
      <w:proofErr w:type="spellStart"/>
      <w:r w:rsidRPr="00220850">
        <w:rPr>
          <w:rFonts w:eastAsia="TimesNewRoman"/>
          <w:sz w:val="22"/>
          <w:szCs w:val="22"/>
        </w:rPr>
        <w:t>Genotoksiškumo</w:t>
      </w:r>
      <w:proofErr w:type="spellEnd"/>
      <w:r w:rsidRPr="00220850">
        <w:rPr>
          <w:rFonts w:eastAsia="TimesNewRoman"/>
          <w:sz w:val="22"/>
          <w:szCs w:val="22"/>
        </w:rPr>
        <w:t xml:space="preserve"> tyrimai neparodė jokio mutageninio </w:t>
      </w:r>
      <w:proofErr w:type="spellStart"/>
      <w:r w:rsidRPr="00220850">
        <w:rPr>
          <w:rFonts w:eastAsia="TimesNewRoman"/>
          <w:sz w:val="22"/>
          <w:szCs w:val="22"/>
        </w:rPr>
        <w:t>nintedanibo</w:t>
      </w:r>
      <w:proofErr w:type="spellEnd"/>
      <w:r w:rsidRPr="00220850">
        <w:rPr>
          <w:rFonts w:eastAsia="TimesNewRoman"/>
          <w:sz w:val="22"/>
          <w:szCs w:val="22"/>
        </w:rPr>
        <w:t xml:space="preserve"> poveikio.</w:t>
      </w:r>
    </w:p>
    <w:p w14:paraId="0AF12520" w14:textId="77777777" w:rsidR="00970966" w:rsidRPr="00220850" w:rsidRDefault="00970966" w:rsidP="00970966">
      <w:pPr>
        <w:rPr>
          <w:sz w:val="22"/>
          <w:szCs w:val="24"/>
        </w:rPr>
      </w:pPr>
    </w:p>
    <w:p w14:paraId="6029E1DD" w14:textId="77777777" w:rsidR="00DE01F8" w:rsidRPr="00220850" w:rsidRDefault="00DE01F8">
      <w:pPr>
        <w:rPr>
          <w:sz w:val="22"/>
          <w:szCs w:val="24"/>
        </w:rPr>
      </w:pPr>
    </w:p>
    <w:p w14:paraId="41CABFB0"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6.</w:t>
      </w:r>
      <w:r w:rsidRPr="00220850">
        <w:rPr>
          <w:b/>
          <w:bCs/>
          <w:sz w:val="22"/>
          <w:szCs w:val="26"/>
          <w:lang w:eastAsia="x-none"/>
        </w:rPr>
        <w:tab/>
        <w:t>FARMACINĖ INFORMACIJA</w:t>
      </w:r>
    </w:p>
    <w:p w14:paraId="1A28AC11" w14:textId="77777777" w:rsidR="00DE01F8" w:rsidRPr="00220850" w:rsidRDefault="00DE01F8">
      <w:pPr>
        <w:rPr>
          <w:sz w:val="22"/>
          <w:szCs w:val="24"/>
        </w:rPr>
      </w:pPr>
    </w:p>
    <w:p w14:paraId="255DB596"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6.1</w:t>
      </w:r>
      <w:r w:rsidRPr="00220850">
        <w:rPr>
          <w:b/>
          <w:bCs/>
          <w:sz w:val="22"/>
          <w:szCs w:val="28"/>
          <w:lang w:eastAsia="x-none"/>
        </w:rPr>
        <w:tab/>
        <w:t>Pagalbinių medžiagų sąrašas</w:t>
      </w:r>
    </w:p>
    <w:p w14:paraId="170BF1D1" w14:textId="77777777" w:rsidR="00DE01F8" w:rsidRPr="00220850" w:rsidRDefault="00DE01F8">
      <w:pPr>
        <w:rPr>
          <w:sz w:val="22"/>
          <w:szCs w:val="24"/>
        </w:rPr>
      </w:pPr>
    </w:p>
    <w:p w14:paraId="4048ACDA" w14:textId="77777777" w:rsidR="00DE01F8" w:rsidRPr="00220850" w:rsidRDefault="001B5A47">
      <w:pPr>
        <w:rPr>
          <w:sz w:val="22"/>
          <w:szCs w:val="24"/>
          <w:u w:val="single"/>
        </w:rPr>
      </w:pPr>
      <w:r w:rsidRPr="00220850">
        <w:rPr>
          <w:sz w:val="22"/>
          <w:szCs w:val="24"/>
          <w:u w:val="single"/>
        </w:rPr>
        <w:t>Kapsulės turinys</w:t>
      </w:r>
    </w:p>
    <w:p w14:paraId="3F1BFD70" w14:textId="77777777" w:rsidR="001B5A47" w:rsidRPr="00220850" w:rsidRDefault="001B5A47" w:rsidP="001B5A47">
      <w:pPr>
        <w:autoSpaceDE w:val="0"/>
        <w:autoSpaceDN w:val="0"/>
        <w:adjustRightInd w:val="0"/>
        <w:rPr>
          <w:rFonts w:eastAsia="TimesNewRoman"/>
          <w:sz w:val="22"/>
          <w:szCs w:val="22"/>
        </w:rPr>
      </w:pPr>
      <w:r w:rsidRPr="00220850">
        <w:rPr>
          <w:rFonts w:eastAsia="TimesNewRoman"/>
          <w:sz w:val="22"/>
          <w:szCs w:val="22"/>
        </w:rPr>
        <w:lastRenderedPageBreak/>
        <w:t>Vidutinės grandinės trigliceridai</w:t>
      </w:r>
    </w:p>
    <w:p w14:paraId="2FD68E26" w14:textId="77777777" w:rsidR="001B5A47" w:rsidRPr="00220850" w:rsidRDefault="001B5A47" w:rsidP="001B5A47">
      <w:pPr>
        <w:autoSpaceDE w:val="0"/>
        <w:autoSpaceDN w:val="0"/>
        <w:adjustRightInd w:val="0"/>
        <w:rPr>
          <w:rFonts w:eastAsia="TimesNewRoman"/>
          <w:sz w:val="22"/>
          <w:szCs w:val="22"/>
        </w:rPr>
      </w:pPr>
      <w:r w:rsidRPr="00220850">
        <w:rPr>
          <w:rFonts w:eastAsia="TimesNewRoman"/>
          <w:sz w:val="22"/>
          <w:szCs w:val="22"/>
        </w:rPr>
        <w:t>Kietieji riebalai</w:t>
      </w:r>
    </w:p>
    <w:p w14:paraId="55182730" w14:textId="77777777" w:rsidR="001B5A47" w:rsidRPr="00220850" w:rsidRDefault="001B5A47" w:rsidP="001B5A47">
      <w:pPr>
        <w:autoSpaceDE w:val="0"/>
        <w:autoSpaceDN w:val="0"/>
        <w:adjustRightInd w:val="0"/>
        <w:rPr>
          <w:rFonts w:eastAsia="TimesNewRoman"/>
          <w:sz w:val="22"/>
          <w:szCs w:val="22"/>
        </w:rPr>
      </w:pPr>
      <w:r w:rsidRPr="00220850">
        <w:rPr>
          <w:rFonts w:eastAsia="TimesNewRoman"/>
          <w:sz w:val="22"/>
          <w:szCs w:val="22"/>
        </w:rPr>
        <w:t>Poligliceril-3-dioleatas</w:t>
      </w:r>
    </w:p>
    <w:p w14:paraId="1AA43F0C" w14:textId="77777777" w:rsidR="001B5A47" w:rsidRPr="00220850" w:rsidRDefault="001B5A47" w:rsidP="001B5A47">
      <w:pPr>
        <w:autoSpaceDE w:val="0"/>
        <w:autoSpaceDN w:val="0"/>
        <w:adjustRightInd w:val="0"/>
        <w:rPr>
          <w:rFonts w:eastAsia="TimesNewRoman"/>
          <w:sz w:val="22"/>
          <w:szCs w:val="22"/>
        </w:rPr>
      </w:pPr>
    </w:p>
    <w:p w14:paraId="2A136456" w14:textId="77777777" w:rsidR="001B5A47" w:rsidRPr="00220850" w:rsidRDefault="001B5A47" w:rsidP="001B5A47">
      <w:pPr>
        <w:autoSpaceDE w:val="0"/>
        <w:autoSpaceDN w:val="0"/>
        <w:adjustRightInd w:val="0"/>
        <w:rPr>
          <w:rFonts w:eastAsia="TimesNewRoman"/>
          <w:sz w:val="22"/>
          <w:szCs w:val="22"/>
          <w:u w:val="single"/>
        </w:rPr>
      </w:pPr>
      <w:r w:rsidRPr="00220850">
        <w:rPr>
          <w:rFonts w:eastAsia="TimesNewRoman"/>
          <w:sz w:val="22"/>
          <w:szCs w:val="22"/>
          <w:u w:val="single"/>
        </w:rPr>
        <w:t>Kapsulės korpusas</w:t>
      </w:r>
    </w:p>
    <w:p w14:paraId="44FCFAD4" w14:textId="77777777" w:rsidR="001B5A47" w:rsidRPr="00220850" w:rsidRDefault="001B5A47" w:rsidP="001B5A47">
      <w:pPr>
        <w:autoSpaceDE w:val="0"/>
        <w:autoSpaceDN w:val="0"/>
        <w:adjustRightInd w:val="0"/>
        <w:rPr>
          <w:rFonts w:eastAsia="TimesNewRoman"/>
          <w:sz w:val="22"/>
          <w:szCs w:val="22"/>
          <w:lang w:val="pt-PT"/>
        </w:rPr>
      </w:pPr>
      <w:r w:rsidRPr="00220850">
        <w:rPr>
          <w:rFonts w:eastAsia="TimesNewRoman"/>
          <w:sz w:val="22"/>
          <w:szCs w:val="22"/>
          <w:lang w:val="pt-PT"/>
        </w:rPr>
        <w:t>Želatina</w:t>
      </w:r>
    </w:p>
    <w:p w14:paraId="382F6AB6" w14:textId="77777777" w:rsidR="001B5A47" w:rsidRPr="00220850" w:rsidRDefault="001B5A47" w:rsidP="001B5A47">
      <w:pPr>
        <w:autoSpaceDE w:val="0"/>
        <w:autoSpaceDN w:val="0"/>
        <w:adjustRightInd w:val="0"/>
        <w:rPr>
          <w:rFonts w:eastAsia="TimesNewRoman"/>
          <w:sz w:val="22"/>
          <w:szCs w:val="22"/>
          <w:lang w:val="pt-PT"/>
        </w:rPr>
      </w:pPr>
      <w:r w:rsidRPr="00220850">
        <w:rPr>
          <w:rFonts w:eastAsia="TimesNewRoman"/>
          <w:sz w:val="22"/>
          <w:szCs w:val="22"/>
          <w:lang w:val="pt-PT"/>
        </w:rPr>
        <w:t xml:space="preserve">Glicerolis </w:t>
      </w:r>
    </w:p>
    <w:p w14:paraId="0E1D9DD7" w14:textId="402B8254" w:rsidR="001B5A47" w:rsidRPr="00220850" w:rsidRDefault="001B5A47" w:rsidP="001B5A47">
      <w:pPr>
        <w:autoSpaceDE w:val="0"/>
        <w:autoSpaceDN w:val="0"/>
        <w:adjustRightInd w:val="0"/>
        <w:rPr>
          <w:rFonts w:eastAsia="TimesNewRoman"/>
          <w:sz w:val="22"/>
          <w:szCs w:val="22"/>
          <w:lang w:val="pt-PT"/>
        </w:rPr>
      </w:pPr>
      <w:r w:rsidRPr="00220850">
        <w:rPr>
          <w:rFonts w:eastAsia="TimesNewRoman"/>
          <w:sz w:val="22"/>
          <w:szCs w:val="22"/>
          <w:lang w:val="pt-PT"/>
        </w:rPr>
        <w:t>Titano dioksidas (E</w:t>
      </w:r>
      <w:r w:rsidR="00707518" w:rsidRPr="00220850">
        <w:rPr>
          <w:rFonts w:eastAsia="TimesNewRoman"/>
          <w:sz w:val="22"/>
          <w:szCs w:val="22"/>
          <w:lang w:val="pt-PT"/>
        </w:rPr>
        <w:t> </w:t>
      </w:r>
      <w:r w:rsidRPr="00220850">
        <w:rPr>
          <w:rFonts w:eastAsia="TimesNewRoman"/>
          <w:sz w:val="22"/>
          <w:szCs w:val="22"/>
          <w:lang w:val="pt-PT"/>
        </w:rPr>
        <w:t>171)</w:t>
      </w:r>
    </w:p>
    <w:p w14:paraId="213CECCA" w14:textId="2633F4AD" w:rsidR="001B5A47" w:rsidRPr="00220850" w:rsidRDefault="001B5A47" w:rsidP="00707518">
      <w:pPr>
        <w:autoSpaceDE w:val="0"/>
        <w:autoSpaceDN w:val="0"/>
        <w:adjustRightInd w:val="0"/>
        <w:rPr>
          <w:rFonts w:eastAsia="TimesNewRoman"/>
          <w:sz w:val="22"/>
          <w:szCs w:val="22"/>
          <w:lang w:val="pt-PT"/>
        </w:rPr>
      </w:pPr>
      <w:r w:rsidRPr="00220850">
        <w:rPr>
          <w:rFonts w:eastAsia="TimesNewRoman"/>
          <w:sz w:val="22"/>
          <w:szCs w:val="22"/>
          <w:lang w:val="pt-PT"/>
        </w:rPr>
        <w:t>Raudonasis geležies oksidas (E</w:t>
      </w:r>
      <w:r w:rsidR="00707518" w:rsidRPr="00220850">
        <w:rPr>
          <w:rFonts w:eastAsia="TimesNewRoman"/>
          <w:sz w:val="22"/>
          <w:szCs w:val="22"/>
          <w:lang w:val="pt-PT"/>
        </w:rPr>
        <w:t> </w:t>
      </w:r>
      <w:r w:rsidRPr="00220850">
        <w:rPr>
          <w:rFonts w:eastAsia="TimesNewRoman"/>
          <w:sz w:val="22"/>
          <w:szCs w:val="22"/>
          <w:lang w:val="pt-PT"/>
        </w:rPr>
        <w:t>172)</w:t>
      </w:r>
    </w:p>
    <w:p w14:paraId="3954D740" w14:textId="4C3B3BF8" w:rsidR="001B5A47" w:rsidRPr="00220850" w:rsidRDefault="001B5A47" w:rsidP="001B5A47">
      <w:pPr>
        <w:autoSpaceDE w:val="0"/>
        <w:autoSpaceDN w:val="0"/>
        <w:adjustRightInd w:val="0"/>
        <w:rPr>
          <w:rFonts w:eastAsia="TimesNewRoman"/>
          <w:sz w:val="22"/>
          <w:szCs w:val="22"/>
          <w:lang w:val="pt-PT"/>
        </w:rPr>
      </w:pPr>
      <w:r w:rsidRPr="00220850">
        <w:rPr>
          <w:rFonts w:eastAsia="TimesNewRoman"/>
          <w:sz w:val="22"/>
          <w:szCs w:val="22"/>
          <w:lang w:val="pt-PT"/>
        </w:rPr>
        <w:t>Geltonasis geležies oksidas (E</w:t>
      </w:r>
      <w:r w:rsidR="00707518" w:rsidRPr="00220850">
        <w:rPr>
          <w:rFonts w:eastAsia="TimesNewRoman"/>
          <w:sz w:val="22"/>
          <w:szCs w:val="22"/>
          <w:lang w:val="pt-PT"/>
        </w:rPr>
        <w:t> </w:t>
      </w:r>
      <w:r w:rsidRPr="00220850">
        <w:rPr>
          <w:rFonts w:eastAsia="TimesNewRoman"/>
          <w:sz w:val="22"/>
          <w:szCs w:val="22"/>
          <w:lang w:val="pt-PT"/>
        </w:rPr>
        <w:t>172)</w:t>
      </w:r>
    </w:p>
    <w:p w14:paraId="06D2923D" w14:textId="77777777" w:rsidR="001B5A47" w:rsidRPr="00220850" w:rsidRDefault="001B5A47" w:rsidP="001B5A47">
      <w:pPr>
        <w:autoSpaceDE w:val="0"/>
        <w:autoSpaceDN w:val="0"/>
        <w:adjustRightInd w:val="0"/>
        <w:rPr>
          <w:rFonts w:eastAsia="TimesNewRoman"/>
          <w:sz w:val="22"/>
          <w:szCs w:val="22"/>
          <w:lang w:val="pt-PT"/>
        </w:rPr>
      </w:pPr>
      <w:r w:rsidRPr="00220850">
        <w:rPr>
          <w:rFonts w:eastAsia="TimesNewRoman"/>
          <w:sz w:val="22"/>
          <w:szCs w:val="22"/>
          <w:lang w:val="pt-PT"/>
        </w:rPr>
        <w:t>Išgrynintas</w:t>
      </w:r>
      <w:r w:rsidR="00E0641F" w:rsidRPr="00220850">
        <w:rPr>
          <w:rFonts w:eastAsia="TimesNewRoman"/>
          <w:sz w:val="22"/>
          <w:szCs w:val="22"/>
          <w:lang w:val="pt-PT"/>
        </w:rPr>
        <w:t>is</w:t>
      </w:r>
      <w:r w:rsidRPr="00220850">
        <w:rPr>
          <w:rFonts w:eastAsia="TimesNewRoman"/>
          <w:sz w:val="22"/>
          <w:szCs w:val="22"/>
          <w:lang w:val="pt-PT"/>
        </w:rPr>
        <w:t xml:space="preserve"> vanduo</w:t>
      </w:r>
    </w:p>
    <w:p w14:paraId="5740D56C" w14:textId="77777777" w:rsidR="001B5A47" w:rsidRPr="00220850" w:rsidRDefault="001B5A47" w:rsidP="001B5A47">
      <w:pPr>
        <w:autoSpaceDE w:val="0"/>
        <w:autoSpaceDN w:val="0"/>
        <w:adjustRightInd w:val="0"/>
        <w:rPr>
          <w:rFonts w:eastAsia="TimesNewRoman"/>
          <w:sz w:val="22"/>
          <w:szCs w:val="22"/>
          <w:lang w:val="pt-PT"/>
        </w:rPr>
      </w:pPr>
    </w:p>
    <w:p w14:paraId="6D4870F7" w14:textId="77777777" w:rsidR="001B5A47" w:rsidRPr="00220850" w:rsidRDefault="001B5A47" w:rsidP="001B5A47">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Spaustuviniai dažai</w:t>
      </w:r>
    </w:p>
    <w:p w14:paraId="0A463438" w14:textId="0D7A343E" w:rsidR="00A0382B" w:rsidRPr="00220850" w:rsidRDefault="00A0382B" w:rsidP="00836C64">
      <w:pPr>
        <w:shd w:val="clear" w:color="auto" w:fill="FFFFFF"/>
        <w:rPr>
          <w:sz w:val="22"/>
          <w:szCs w:val="22"/>
          <w:u w:val="single"/>
        </w:rPr>
      </w:pPr>
      <w:proofErr w:type="spellStart"/>
      <w:r w:rsidRPr="00220850">
        <w:rPr>
          <w:sz w:val="22"/>
          <w:szCs w:val="22"/>
          <w:u w:val="single"/>
        </w:rPr>
        <w:t>Nintedanib</w:t>
      </w:r>
      <w:proofErr w:type="spellEnd"/>
      <w:r w:rsidRPr="00220850">
        <w:rPr>
          <w:sz w:val="22"/>
          <w:szCs w:val="22"/>
          <w:u w:val="single"/>
        </w:rPr>
        <w:t xml:space="preserve"> </w:t>
      </w:r>
      <w:proofErr w:type="spellStart"/>
      <w:r w:rsidRPr="00220850">
        <w:rPr>
          <w:sz w:val="22"/>
          <w:szCs w:val="22"/>
          <w:u w:val="single"/>
        </w:rPr>
        <w:t>Teva</w:t>
      </w:r>
      <w:proofErr w:type="spellEnd"/>
      <w:r w:rsidRPr="00220850">
        <w:rPr>
          <w:sz w:val="22"/>
          <w:szCs w:val="22"/>
          <w:u w:val="single"/>
        </w:rPr>
        <w:t xml:space="preserve"> 100 mg minkštosios kapsulės</w:t>
      </w:r>
    </w:p>
    <w:p w14:paraId="0F22A0AE" w14:textId="77777777" w:rsidR="001B5A47" w:rsidRPr="00220850" w:rsidRDefault="001B5A47" w:rsidP="001B5A47">
      <w:pPr>
        <w:autoSpaceDE w:val="0"/>
        <w:autoSpaceDN w:val="0"/>
        <w:adjustRightInd w:val="0"/>
        <w:rPr>
          <w:rFonts w:eastAsia="TimesNewRoman"/>
          <w:sz w:val="22"/>
          <w:szCs w:val="22"/>
          <w:lang w:val="pt-PT"/>
        </w:rPr>
      </w:pPr>
      <w:r w:rsidRPr="00220850">
        <w:rPr>
          <w:rFonts w:eastAsia="TimesNewRoman"/>
          <w:sz w:val="22"/>
          <w:szCs w:val="22"/>
          <w:lang w:val="pt-PT"/>
        </w:rPr>
        <w:t>Šelakas</w:t>
      </w:r>
    </w:p>
    <w:p w14:paraId="3E7AEAE2" w14:textId="58CE161A" w:rsidR="00E0641F" w:rsidRPr="00220850" w:rsidRDefault="00E0641F" w:rsidP="001B5A47">
      <w:pPr>
        <w:autoSpaceDE w:val="0"/>
        <w:autoSpaceDN w:val="0"/>
        <w:adjustRightInd w:val="0"/>
        <w:rPr>
          <w:rFonts w:eastAsia="TimesNewRoman"/>
          <w:sz w:val="22"/>
          <w:szCs w:val="22"/>
          <w:lang w:val="pt-PT"/>
        </w:rPr>
      </w:pPr>
      <w:r w:rsidRPr="00220850">
        <w:rPr>
          <w:rFonts w:eastAsia="TimesNewRoman"/>
          <w:sz w:val="22"/>
          <w:szCs w:val="22"/>
          <w:lang w:val="pt-PT"/>
        </w:rPr>
        <w:t>Karminas (E</w:t>
      </w:r>
      <w:r w:rsidR="00707518" w:rsidRPr="00220850">
        <w:rPr>
          <w:rFonts w:eastAsia="TimesNewRoman"/>
          <w:sz w:val="22"/>
          <w:szCs w:val="22"/>
          <w:lang w:val="pt-PT"/>
        </w:rPr>
        <w:t> </w:t>
      </w:r>
      <w:r w:rsidRPr="00220850">
        <w:rPr>
          <w:rFonts w:eastAsia="TimesNewRoman"/>
          <w:sz w:val="22"/>
          <w:szCs w:val="22"/>
          <w:lang w:val="pt-PT"/>
        </w:rPr>
        <w:t>120)</w:t>
      </w:r>
    </w:p>
    <w:p w14:paraId="0C91B85F" w14:textId="61BFE5A9" w:rsidR="001B5A47" w:rsidRPr="00220850" w:rsidRDefault="001B5A47" w:rsidP="00E0641F">
      <w:pPr>
        <w:rPr>
          <w:sz w:val="22"/>
          <w:szCs w:val="24"/>
        </w:rPr>
      </w:pPr>
      <w:r w:rsidRPr="00220850">
        <w:rPr>
          <w:rFonts w:eastAsia="TimesNewRoman"/>
          <w:sz w:val="22"/>
          <w:szCs w:val="22"/>
          <w:lang w:val="pt-PT"/>
        </w:rPr>
        <w:t>Propilenglikolis (E</w:t>
      </w:r>
      <w:r w:rsidR="00707518" w:rsidRPr="00220850">
        <w:rPr>
          <w:rFonts w:eastAsia="TimesNewRoman"/>
          <w:sz w:val="22"/>
          <w:szCs w:val="22"/>
          <w:lang w:val="pt-PT"/>
        </w:rPr>
        <w:t> </w:t>
      </w:r>
      <w:r w:rsidRPr="00220850">
        <w:rPr>
          <w:rFonts w:eastAsia="TimesNewRoman"/>
          <w:sz w:val="22"/>
          <w:szCs w:val="22"/>
          <w:lang w:val="pt-PT"/>
        </w:rPr>
        <w:t>1520)</w:t>
      </w:r>
    </w:p>
    <w:p w14:paraId="4D5AC6F0" w14:textId="77777777" w:rsidR="00E0641F" w:rsidRPr="00220850" w:rsidRDefault="00E0641F" w:rsidP="00E0641F">
      <w:pPr>
        <w:rPr>
          <w:sz w:val="22"/>
          <w:szCs w:val="24"/>
        </w:rPr>
      </w:pPr>
      <w:proofErr w:type="spellStart"/>
      <w:r w:rsidRPr="00220850">
        <w:rPr>
          <w:sz w:val="22"/>
          <w:szCs w:val="24"/>
        </w:rPr>
        <w:t>Simetikonas</w:t>
      </w:r>
      <w:proofErr w:type="spellEnd"/>
    </w:p>
    <w:p w14:paraId="11636997" w14:textId="77777777" w:rsidR="00A0382B" w:rsidRPr="00220850" w:rsidRDefault="00A0382B" w:rsidP="00A0382B">
      <w:pPr>
        <w:shd w:val="clear" w:color="auto" w:fill="FFFFFF"/>
        <w:rPr>
          <w:sz w:val="22"/>
          <w:szCs w:val="22"/>
          <w:u w:val="single"/>
        </w:rPr>
      </w:pPr>
      <w:proofErr w:type="spellStart"/>
      <w:r w:rsidRPr="00220850">
        <w:rPr>
          <w:sz w:val="22"/>
          <w:szCs w:val="22"/>
          <w:u w:val="single"/>
        </w:rPr>
        <w:t>Nintedanib</w:t>
      </w:r>
      <w:proofErr w:type="spellEnd"/>
      <w:r w:rsidRPr="00220850">
        <w:rPr>
          <w:sz w:val="22"/>
          <w:szCs w:val="22"/>
          <w:u w:val="single"/>
        </w:rPr>
        <w:t xml:space="preserve"> </w:t>
      </w:r>
      <w:proofErr w:type="spellStart"/>
      <w:r w:rsidRPr="00220850">
        <w:rPr>
          <w:sz w:val="22"/>
          <w:szCs w:val="22"/>
          <w:u w:val="single"/>
        </w:rPr>
        <w:t>Teva</w:t>
      </w:r>
      <w:proofErr w:type="spellEnd"/>
      <w:r w:rsidRPr="00220850">
        <w:rPr>
          <w:sz w:val="22"/>
          <w:szCs w:val="22"/>
          <w:u w:val="single"/>
        </w:rPr>
        <w:t xml:space="preserve"> 150 mg minkštosios kapsulės</w:t>
      </w:r>
    </w:p>
    <w:p w14:paraId="289D179C" w14:textId="066F2E47" w:rsidR="00A0382B" w:rsidRPr="00220850" w:rsidRDefault="00A0382B" w:rsidP="00E0641F">
      <w:pPr>
        <w:rPr>
          <w:sz w:val="22"/>
          <w:szCs w:val="24"/>
        </w:rPr>
      </w:pPr>
      <w:proofErr w:type="spellStart"/>
      <w:r w:rsidRPr="00220850">
        <w:rPr>
          <w:sz w:val="22"/>
          <w:szCs w:val="24"/>
        </w:rPr>
        <w:t>Šelakas</w:t>
      </w:r>
      <w:proofErr w:type="spellEnd"/>
    </w:p>
    <w:p w14:paraId="2AF43080" w14:textId="666A1BDB" w:rsidR="00A0382B" w:rsidRPr="00220850" w:rsidRDefault="00A0382B" w:rsidP="00A0382B">
      <w:pPr>
        <w:rPr>
          <w:noProof/>
          <w:sz w:val="22"/>
          <w:szCs w:val="22"/>
          <w:lang w:val="de-DE"/>
        </w:rPr>
      </w:pPr>
      <w:r w:rsidRPr="00220850">
        <w:rPr>
          <w:noProof/>
          <w:sz w:val="22"/>
          <w:szCs w:val="22"/>
        </w:rPr>
        <w:t>Juodasis geležies oksidas</w:t>
      </w:r>
      <w:r w:rsidRPr="00220850">
        <w:rPr>
          <w:noProof/>
          <w:sz w:val="22"/>
          <w:szCs w:val="22"/>
          <w:lang w:val="de-DE"/>
        </w:rPr>
        <w:t xml:space="preserve"> (E 172)</w:t>
      </w:r>
    </w:p>
    <w:p w14:paraId="36D762BB" w14:textId="77777777" w:rsidR="00A0382B" w:rsidRPr="00220850" w:rsidRDefault="00A0382B" w:rsidP="00A0382B">
      <w:pPr>
        <w:rPr>
          <w:sz w:val="22"/>
          <w:szCs w:val="24"/>
        </w:rPr>
      </w:pPr>
      <w:r w:rsidRPr="00220850">
        <w:rPr>
          <w:rFonts w:eastAsia="TimesNewRoman"/>
          <w:sz w:val="22"/>
          <w:szCs w:val="22"/>
          <w:lang w:val="pt-PT"/>
        </w:rPr>
        <w:t>Propilenglikolis (E 1520)</w:t>
      </w:r>
    </w:p>
    <w:p w14:paraId="2E8EC865" w14:textId="77777777" w:rsidR="00E0641F" w:rsidRPr="00220850" w:rsidRDefault="00E0641F" w:rsidP="00E0641F">
      <w:pPr>
        <w:rPr>
          <w:b/>
          <w:bCs/>
          <w:sz w:val="22"/>
          <w:szCs w:val="28"/>
          <w:lang w:eastAsia="x-none"/>
        </w:rPr>
      </w:pPr>
    </w:p>
    <w:p w14:paraId="36AA910D"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6.2</w:t>
      </w:r>
      <w:r w:rsidRPr="00220850">
        <w:rPr>
          <w:b/>
          <w:bCs/>
          <w:sz w:val="22"/>
          <w:szCs w:val="28"/>
          <w:lang w:eastAsia="x-none"/>
        </w:rPr>
        <w:tab/>
        <w:t>Nesuderinamumas</w:t>
      </w:r>
    </w:p>
    <w:p w14:paraId="488B68B4" w14:textId="77777777" w:rsidR="00DE01F8" w:rsidRPr="00220850" w:rsidRDefault="00DE01F8">
      <w:pPr>
        <w:rPr>
          <w:sz w:val="22"/>
          <w:szCs w:val="24"/>
        </w:rPr>
      </w:pPr>
    </w:p>
    <w:p w14:paraId="273C9816" w14:textId="77777777" w:rsidR="00DE01F8" w:rsidRPr="00220850" w:rsidRDefault="002D5C8E">
      <w:pPr>
        <w:rPr>
          <w:sz w:val="22"/>
          <w:szCs w:val="24"/>
        </w:rPr>
      </w:pPr>
      <w:r w:rsidRPr="00220850">
        <w:rPr>
          <w:sz w:val="22"/>
          <w:szCs w:val="24"/>
        </w:rPr>
        <w:t xml:space="preserve">Duomenys nebūtini. </w:t>
      </w:r>
    </w:p>
    <w:p w14:paraId="5AA33D89" w14:textId="77777777" w:rsidR="00DE01F8" w:rsidRPr="00220850" w:rsidRDefault="00DE01F8">
      <w:pPr>
        <w:rPr>
          <w:sz w:val="22"/>
          <w:szCs w:val="24"/>
        </w:rPr>
      </w:pPr>
    </w:p>
    <w:p w14:paraId="437C9DCA"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6.3</w:t>
      </w:r>
      <w:r w:rsidRPr="00220850">
        <w:rPr>
          <w:b/>
          <w:bCs/>
          <w:sz w:val="22"/>
          <w:szCs w:val="28"/>
          <w:lang w:eastAsia="x-none"/>
        </w:rPr>
        <w:tab/>
        <w:t>Tinkamumo laikas</w:t>
      </w:r>
    </w:p>
    <w:p w14:paraId="1EBE333D" w14:textId="77777777" w:rsidR="00DE01F8" w:rsidRPr="00220850" w:rsidRDefault="00DE01F8">
      <w:pPr>
        <w:rPr>
          <w:sz w:val="22"/>
          <w:szCs w:val="24"/>
        </w:rPr>
      </w:pPr>
    </w:p>
    <w:p w14:paraId="01C0715F" w14:textId="77777777" w:rsidR="00DE01F8" w:rsidRPr="00220850" w:rsidRDefault="00E0641F">
      <w:pPr>
        <w:rPr>
          <w:sz w:val="22"/>
          <w:szCs w:val="24"/>
        </w:rPr>
      </w:pPr>
      <w:r w:rsidRPr="00220850">
        <w:rPr>
          <w:sz w:val="22"/>
          <w:szCs w:val="24"/>
        </w:rPr>
        <w:t>3 metai.</w:t>
      </w:r>
    </w:p>
    <w:p w14:paraId="4ECA048E" w14:textId="77777777" w:rsidR="00DE01F8" w:rsidRPr="00220850" w:rsidRDefault="00DE01F8">
      <w:pPr>
        <w:rPr>
          <w:sz w:val="22"/>
          <w:szCs w:val="24"/>
        </w:rPr>
      </w:pPr>
    </w:p>
    <w:p w14:paraId="371D9A86"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6.4</w:t>
      </w:r>
      <w:r w:rsidRPr="00220850">
        <w:rPr>
          <w:b/>
          <w:bCs/>
          <w:sz w:val="22"/>
          <w:szCs w:val="28"/>
          <w:lang w:eastAsia="x-none"/>
        </w:rPr>
        <w:tab/>
        <w:t>Specialios laikymo sąlygos</w:t>
      </w:r>
    </w:p>
    <w:p w14:paraId="05BDD67B" w14:textId="77777777" w:rsidR="00DE01F8" w:rsidRPr="00220850" w:rsidRDefault="00DE01F8">
      <w:pPr>
        <w:rPr>
          <w:sz w:val="22"/>
          <w:szCs w:val="24"/>
        </w:rPr>
      </w:pPr>
    </w:p>
    <w:p w14:paraId="5ED9F151" w14:textId="0350FE8E" w:rsidR="00E0641F" w:rsidRPr="00220850" w:rsidRDefault="00E0641F" w:rsidP="007267DC">
      <w:pPr>
        <w:pStyle w:val="BTEMEASMCA"/>
      </w:pPr>
      <w:r w:rsidRPr="00220850">
        <w:t>Šiam vaistiniam preparatui specialių laikymo sąlygų nereikia.</w:t>
      </w:r>
    </w:p>
    <w:p w14:paraId="6A0B98F3" w14:textId="77777777" w:rsidR="00DE01F8" w:rsidRPr="00220850" w:rsidRDefault="00DE01F8">
      <w:pPr>
        <w:rPr>
          <w:sz w:val="22"/>
          <w:szCs w:val="24"/>
        </w:rPr>
      </w:pPr>
    </w:p>
    <w:p w14:paraId="59F78B07"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6.5</w:t>
      </w:r>
      <w:r w:rsidRPr="00220850">
        <w:rPr>
          <w:b/>
          <w:bCs/>
          <w:sz w:val="22"/>
          <w:szCs w:val="28"/>
          <w:lang w:eastAsia="x-none"/>
        </w:rPr>
        <w:tab/>
      </w:r>
      <w:proofErr w:type="spellStart"/>
      <w:r w:rsidRPr="00220850">
        <w:rPr>
          <w:b/>
          <w:bCs/>
          <w:sz w:val="22"/>
          <w:szCs w:val="28"/>
          <w:lang w:eastAsia="x-none"/>
        </w:rPr>
        <w:t>Talpyklės</w:t>
      </w:r>
      <w:proofErr w:type="spellEnd"/>
      <w:r w:rsidRPr="00220850">
        <w:rPr>
          <w:b/>
          <w:bCs/>
          <w:sz w:val="22"/>
          <w:szCs w:val="28"/>
          <w:lang w:eastAsia="x-none"/>
        </w:rPr>
        <w:t xml:space="preserve"> pobūdis ir jos turinys</w:t>
      </w:r>
      <w:r w:rsidRPr="00220850">
        <w:rPr>
          <w:b/>
          <w:sz w:val="22"/>
          <w:szCs w:val="24"/>
          <w:lang w:eastAsia="x-none"/>
        </w:rPr>
        <w:t xml:space="preserve"> </w:t>
      </w:r>
    </w:p>
    <w:p w14:paraId="089D62D7" w14:textId="77777777" w:rsidR="00DE01F8" w:rsidRPr="00220850" w:rsidRDefault="00DE01F8">
      <w:pPr>
        <w:rPr>
          <w:sz w:val="22"/>
          <w:szCs w:val="24"/>
        </w:rPr>
      </w:pPr>
    </w:p>
    <w:p w14:paraId="18E576AC" w14:textId="77777777" w:rsidR="009C6A64" w:rsidRPr="00220850" w:rsidRDefault="009C6A64" w:rsidP="009C6A64">
      <w:pPr>
        <w:shd w:val="clear" w:color="auto" w:fill="FFFFFF"/>
        <w:rPr>
          <w:sz w:val="22"/>
          <w:szCs w:val="22"/>
          <w:u w:val="single"/>
        </w:rPr>
      </w:pPr>
      <w:proofErr w:type="spellStart"/>
      <w:r w:rsidRPr="00220850">
        <w:rPr>
          <w:sz w:val="22"/>
          <w:szCs w:val="22"/>
          <w:u w:val="single"/>
        </w:rPr>
        <w:t>Nintedanib</w:t>
      </w:r>
      <w:proofErr w:type="spellEnd"/>
      <w:r w:rsidRPr="00220850">
        <w:rPr>
          <w:sz w:val="22"/>
          <w:szCs w:val="22"/>
          <w:u w:val="single"/>
        </w:rPr>
        <w:t xml:space="preserve"> </w:t>
      </w:r>
      <w:proofErr w:type="spellStart"/>
      <w:r w:rsidRPr="00220850">
        <w:rPr>
          <w:sz w:val="22"/>
          <w:szCs w:val="22"/>
          <w:u w:val="single"/>
        </w:rPr>
        <w:t>Teva</w:t>
      </w:r>
      <w:proofErr w:type="spellEnd"/>
      <w:r w:rsidRPr="00220850">
        <w:rPr>
          <w:sz w:val="22"/>
          <w:szCs w:val="22"/>
          <w:u w:val="single"/>
        </w:rPr>
        <w:t xml:space="preserve"> 100 mg minkštosios kapsulės</w:t>
      </w:r>
    </w:p>
    <w:p w14:paraId="2BC86595" w14:textId="47F184C1" w:rsidR="001F7B49" w:rsidRPr="00220850" w:rsidRDefault="001F7B49" w:rsidP="001F7B49">
      <w:pPr>
        <w:rPr>
          <w:sz w:val="22"/>
          <w:szCs w:val="22"/>
          <w:shd w:val="clear" w:color="auto" w:fill="FFFFFF"/>
        </w:rPr>
      </w:pPr>
      <w:r w:rsidRPr="00220850">
        <w:rPr>
          <w:sz w:val="22"/>
          <w:szCs w:val="22"/>
        </w:rPr>
        <w:t>30 x 1 minkštoji kapsulė OPA/Al</w:t>
      </w:r>
      <w:r w:rsidR="00707518" w:rsidRPr="00220850">
        <w:rPr>
          <w:sz w:val="22"/>
          <w:szCs w:val="22"/>
        </w:rPr>
        <w:t>iuminio</w:t>
      </w:r>
      <w:r w:rsidRPr="00220850">
        <w:rPr>
          <w:sz w:val="22"/>
          <w:szCs w:val="22"/>
        </w:rPr>
        <w:t xml:space="preserve">/PVC aliuminio </w:t>
      </w:r>
      <w:r w:rsidRPr="00220850">
        <w:rPr>
          <w:rStyle w:val="Emfaz"/>
          <w:rFonts w:eastAsiaTheme="minorEastAsia"/>
          <w:bCs/>
          <w:i w:val="0"/>
          <w:sz w:val="22"/>
          <w:szCs w:val="22"/>
          <w:shd w:val="clear" w:color="auto" w:fill="FFFFFF"/>
        </w:rPr>
        <w:t>perforuotose</w:t>
      </w:r>
      <w:r w:rsidRPr="00220850">
        <w:rPr>
          <w:i/>
          <w:sz w:val="22"/>
          <w:szCs w:val="22"/>
          <w:shd w:val="clear" w:color="auto" w:fill="FFFFFF"/>
        </w:rPr>
        <w:t> </w:t>
      </w:r>
      <w:proofErr w:type="spellStart"/>
      <w:r w:rsidR="00707518" w:rsidRPr="00220850">
        <w:rPr>
          <w:sz w:val="22"/>
          <w:szCs w:val="22"/>
          <w:shd w:val="clear" w:color="auto" w:fill="FFFFFF"/>
        </w:rPr>
        <w:t>dalomosiose</w:t>
      </w:r>
      <w:proofErr w:type="spellEnd"/>
      <w:r w:rsidR="00707518" w:rsidRPr="00220850">
        <w:rPr>
          <w:i/>
          <w:sz w:val="22"/>
          <w:szCs w:val="22"/>
          <w:shd w:val="clear" w:color="auto" w:fill="FFFFFF"/>
        </w:rPr>
        <w:t> </w:t>
      </w:r>
      <w:r w:rsidRPr="00220850">
        <w:rPr>
          <w:rStyle w:val="Emfaz"/>
          <w:rFonts w:eastAsiaTheme="minorEastAsia"/>
          <w:bCs/>
          <w:i w:val="0"/>
          <w:sz w:val="22"/>
          <w:szCs w:val="22"/>
          <w:shd w:val="clear" w:color="auto" w:fill="FFFFFF"/>
        </w:rPr>
        <w:t>lizdinėse plokštelėse</w:t>
      </w:r>
      <w:r w:rsidRPr="00220850">
        <w:rPr>
          <w:i/>
          <w:sz w:val="22"/>
          <w:szCs w:val="22"/>
          <w:shd w:val="clear" w:color="auto" w:fill="FFFFFF"/>
        </w:rPr>
        <w:t>.</w:t>
      </w:r>
    </w:p>
    <w:p w14:paraId="5738CCF4" w14:textId="6BECD44D" w:rsidR="001F7B49" w:rsidRPr="00220850" w:rsidRDefault="001F7B49" w:rsidP="001F7B49">
      <w:pPr>
        <w:rPr>
          <w:sz w:val="22"/>
          <w:szCs w:val="22"/>
          <w:shd w:val="clear" w:color="auto" w:fill="FFFFFF"/>
        </w:rPr>
      </w:pPr>
      <w:r w:rsidRPr="00220850">
        <w:rPr>
          <w:sz w:val="22"/>
          <w:szCs w:val="22"/>
        </w:rPr>
        <w:t>60 x 1 minkštoji kapsulė OPA/Al</w:t>
      </w:r>
      <w:r w:rsidR="00707518" w:rsidRPr="00220850">
        <w:rPr>
          <w:sz w:val="22"/>
          <w:szCs w:val="22"/>
        </w:rPr>
        <w:t>iuminio</w:t>
      </w:r>
      <w:r w:rsidRPr="00220850">
        <w:rPr>
          <w:sz w:val="22"/>
          <w:szCs w:val="22"/>
        </w:rPr>
        <w:t xml:space="preserve">/PVC aliuminio </w:t>
      </w:r>
      <w:r w:rsidRPr="00220850">
        <w:rPr>
          <w:rStyle w:val="Emfaz"/>
          <w:rFonts w:eastAsiaTheme="minorEastAsia"/>
          <w:bCs/>
          <w:i w:val="0"/>
          <w:sz w:val="22"/>
          <w:szCs w:val="22"/>
          <w:shd w:val="clear" w:color="auto" w:fill="FFFFFF"/>
        </w:rPr>
        <w:t>perforuotose</w:t>
      </w:r>
      <w:r w:rsidRPr="00220850">
        <w:rPr>
          <w:i/>
          <w:sz w:val="22"/>
          <w:szCs w:val="22"/>
          <w:shd w:val="clear" w:color="auto" w:fill="FFFFFF"/>
        </w:rPr>
        <w:t> </w:t>
      </w:r>
      <w:r w:rsidR="00707518" w:rsidRPr="00220850" w:rsidDel="00707518">
        <w:rPr>
          <w:sz w:val="22"/>
          <w:szCs w:val="22"/>
          <w:shd w:val="clear" w:color="auto" w:fill="FFFFFF"/>
        </w:rPr>
        <w:t xml:space="preserve"> </w:t>
      </w:r>
      <w:proofErr w:type="spellStart"/>
      <w:r w:rsidR="00707518" w:rsidRPr="00220850">
        <w:rPr>
          <w:sz w:val="22"/>
          <w:szCs w:val="22"/>
          <w:shd w:val="clear" w:color="auto" w:fill="FFFFFF"/>
        </w:rPr>
        <w:t>dalomosiose</w:t>
      </w:r>
      <w:proofErr w:type="spellEnd"/>
      <w:r w:rsidR="00707518" w:rsidRPr="00220850">
        <w:rPr>
          <w:i/>
          <w:sz w:val="22"/>
          <w:szCs w:val="22"/>
          <w:shd w:val="clear" w:color="auto" w:fill="FFFFFF"/>
        </w:rPr>
        <w:t> </w:t>
      </w:r>
      <w:r w:rsidRPr="00220850">
        <w:rPr>
          <w:rStyle w:val="Emfaz"/>
          <w:rFonts w:eastAsiaTheme="minorEastAsia"/>
          <w:bCs/>
          <w:i w:val="0"/>
          <w:sz w:val="22"/>
          <w:szCs w:val="22"/>
          <w:shd w:val="clear" w:color="auto" w:fill="FFFFFF"/>
        </w:rPr>
        <w:t>lizdinėse plokštelėse</w:t>
      </w:r>
      <w:r w:rsidRPr="00220850">
        <w:rPr>
          <w:i/>
          <w:sz w:val="22"/>
          <w:szCs w:val="22"/>
          <w:shd w:val="clear" w:color="auto" w:fill="FFFFFF"/>
        </w:rPr>
        <w:t>.</w:t>
      </w:r>
    </w:p>
    <w:p w14:paraId="0C0DC510" w14:textId="77777777" w:rsidR="00E0641F" w:rsidRPr="00220850" w:rsidRDefault="00E0641F" w:rsidP="00E0641F">
      <w:pPr>
        <w:shd w:val="clear" w:color="auto" w:fill="FFFFFF"/>
        <w:rPr>
          <w:sz w:val="22"/>
          <w:szCs w:val="22"/>
          <w:u w:val="single"/>
        </w:rPr>
      </w:pPr>
      <w:proofErr w:type="spellStart"/>
      <w:r w:rsidRPr="00220850">
        <w:rPr>
          <w:sz w:val="22"/>
          <w:szCs w:val="22"/>
          <w:u w:val="single"/>
        </w:rPr>
        <w:t>Nintedanib</w:t>
      </w:r>
      <w:proofErr w:type="spellEnd"/>
      <w:r w:rsidRPr="00220850">
        <w:rPr>
          <w:sz w:val="22"/>
          <w:szCs w:val="22"/>
          <w:u w:val="single"/>
        </w:rPr>
        <w:t xml:space="preserve"> </w:t>
      </w:r>
      <w:proofErr w:type="spellStart"/>
      <w:r w:rsidRPr="00220850">
        <w:rPr>
          <w:sz w:val="22"/>
          <w:szCs w:val="22"/>
          <w:u w:val="single"/>
        </w:rPr>
        <w:t>Teva</w:t>
      </w:r>
      <w:proofErr w:type="spellEnd"/>
      <w:r w:rsidRPr="00220850">
        <w:rPr>
          <w:sz w:val="22"/>
          <w:szCs w:val="22"/>
          <w:u w:val="single"/>
        </w:rPr>
        <w:t xml:space="preserve"> 150 mg minkštosios kapsulės</w:t>
      </w:r>
    </w:p>
    <w:p w14:paraId="4A25AB15" w14:textId="003EB238" w:rsidR="001F7B49" w:rsidRPr="00220850" w:rsidRDefault="001F7B49" w:rsidP="001F7B49">
      <w:pPr>
        <w:rPr>
          <w:sz w:val="22"/>
          <w:szCs w:val="22"/>
          <w:shd w:val="clear" w:color="auto" w:fill="FFFFFF"/>
        </w:rPr>
      </w:pPr>
      <w:r w:rsidRPr="00220850">
        <w:rPr>
          <w:sz w:val="22"/>
          <w:szCs w:val="22"/>
        </w:rPr>
        <w:t>30 x 1 minkštoji kapsulė OPA/Al</w:t>
      </w:r>
      <w:r w:rsidR="00707518" w:rsidRPr="00220850">
        <w:rPr>
          <w:sz w:val="22"/>
          <w:szCs w:val="22"/>
        </w:rPr>
        <w:t>iuminio</w:t>
      </w:r>
      <w:r w:rsidRPr="00220850">
        <w:rPr>
          <w:sz w:val="22"/>
          <w:szCs w:val="22"/>
        </w:rPr>
        <w:t xml:space="preserve">/PVC aliuminio </w:t>
      </w:r>
      <w:r w:rsidRPr="00220850">
        <w:rPr>
          <w:rStyle w:val="Emfaz"/>
          <w:rFonts w:eastAsiaTheme="minorEastAsia"/>
          <w:bCs/>
          <w:i w:val="0"/>
          <w:sz w:val="22"/>
          <w:szCs w:val="22"/>
          <w:shd w:val="clear" w:color="auto" w:fill="FFFFFF"/>
        </w:rPr>
        <w:t>perforuotose</w:t>
      </w:r>
      <w:r w:rsidRPr="00220850">
        <w:rPr>
          <w:i/>
          <w:sz w:val="22"/>
          <w:szCs w:val="22"/>
          <w:shd w:val="clear" w:color="auto" w:fill="FFFFFF"/>
        </w:rPr>
        <w:t> </w:t>
      </w:r>
      <w:proofErr w:type="spellStart"/>
      <w:r w:rsidR="00707518" w:rsidRPr="00220850">
        <w:rPr>
          <w:sz w:val="22"/>
          <w:szCs w:val="22"/>
          <w:shd w:val="clear" w:color="auto" w:fill="FFFFFF"/>
        </w:rPr>
        <w:t>dalomosiose</w:t>
      </w:r>
      <w:proofErr w:type="spellEnd"/>
      <w:r w:rsidR="00707518" w:rsidRPr="00220850">
        <w:rPr>
          <w:i/>
          <w:sz w:val="22"/>
          <w:szCs w:val="22"/>
          <w:shd w:val="clear" w:color="auto" w:fill="FFFFFF"/>
        </w:rPr>
        <w:t> </w:t>
      </w:r>
      <w:r w:rsidRPr="00220850">
        <w:rPr>
          <w:rStyle w:val="Emfaz"/>
          <w:rFonts w:eastAsiaTheme="minorEastAsia"/>
          <w:bCs/>
          <w:i w:val="0"/>
          <w:sz w:val="22"/>
          <w:szCs w:val="22"/>
          <w:shd w:val="clear" w:color="auto" w:fill="FFFFFF"/>
        </w:rPr>
        <w:t>lizdinėse plokštelėse</w:t>
      </w:r>
      <w:r w:rsidRPr="00220850">
        <w:rPr>
          <w:i/>
          <w:sz w:val="22"/>
          <w:szCs w:val="22"/>
          <w:shd w:val="clear" w:color="auto" w:fill="FFFFFF"/>
        </w:rPr>
        <w:t>.</w:t>
      </w:r>
    </w:p>
    <w:p w14:paraId="222120CB" w14:textId="0941853C" w:rsidR="001F7B49" w:rsidRPr="00220850" w:rsidRDefault="001F7B49" w:rsidP="001F7B49">
      <w:pPr>
        <w:rPr>
          <w:sz w:val="22"/>
          <w:szCs w:val="22"/>
          <w:shd w:val="clear" w:color="auto" w:fill="FFFFFF"/>
        </w:rPr>
      </w:pPr>
      <w:r w:rsidRPr="00220850">
        <w:rPr>
          <w:sz w:val="22"/>
          <w:szCs w:val="22"/>
        </w:rPr>
        <w:t>60 x 1 minkštoji kapsulė OPA/Al</w:t>
      </w:r>
      <w:r w:rsidR="00707518" w:rsidRPr="00220850">
        <w:rPr>
          <w:sz w:val="22"/>
          <w:szCs w:val="22"/>
        </w:rPr>
        <w:t>iuminio</w:t>
      </w:r>
      <w:r w:rsidRPr="00220850">
        <w:rPr>
          <w:sz w:val="22"/>
          <w:szCs w:val="22"/>
        </w:rPr>
        <w:t xml:space="preserve">/PVC aliuminio </w:t>
      </w:r>
      <w:r w:rsidRPr="00220850">
        <w:rPr>
          <w:rStyle w:val="Emfaz"/>
          <w:rFonts w:eastAsiaTheme="minorEastAsia"/>
          <w:bCs/>
          <w:i w:val="0"/>
          <w:sz w:val="22"/>
          <w:szCs w:val="22"/>
          <w:shd w:val="clear" w:color="auto" w:fill="FFFFFF"/>
        </w:rPr>
        <w:t>perforuotose</w:t>
      </w:r>
      <w:r w:rsidRPr="00220850">
        <w:rPr>
          <w:i/>
          <w:sz w:val="22"/>
          <w:szCs w:val="22"/>
          <w:shd w:val="clear" w:color="auto" w:fill="FFFFFF"/>
        </w:rPr>
        <w:t> </w:t>
      </w:r>
      <w:proofErr w:type="spellStart"/>
      <w:r w:rsidR="00707518" w:rsidRPr="00220850">
        <w:rPr>
          <w:sz w:val="22"/>
          <w:szCs w:val="22"/>
          <w:shd w:val="clear" w:color="auto" w:fill="FFFFFF"/>
        </w:rPr>
        <w:t>dalomosiose</w:t>
      </w:r>
      <w:proofErr w:type="spellEnd"/>
      <w:r w:rsidR="00707518" w:rsidRPr="00220850">
        <w:rPr>
          <w:i/>
          <w:sz w:val="22"/>
          <w:szCs w:val="22"/>
          <w:shd w:val="clear" w:color="auto" w:fill="FFFFFF"/>
        </w:rPr>
        <w:t> </w:t>
      </w:r>
      <w:r w:rsidRPr="00220850">
        <w:rPr>
          <w:rStyle w:val="Emfaz"/>
          <w:rFonts w:eastAsiaTheme="minorEastAsia"/>
          <w:bCs/>
          <w:i w:val="0"/>
          <w:sz w:val="22"/>
          <w:szCs w:val="22"/>
          <w:shd w:val="clear" w:color="auto" w:fill="FFFFFF"/>
        </w:rPr>
        <w:t>lizdinėse plokštelėse</w:t>
      </w:r>
      <w:r w:rsidRPr="00220850">
        <w:rPr>
          <w:i/>
          <w:sz w:val="22"/>
          <w:szCs w:val="22"/>
          <w:shd w:val="clear" w:color="auto" w:fill="FFFFFF"/>
        </w:rPr>
        <w:t>.</w:t>
      </w:r>
    </w:p>
    <w:p w14:paraId="64FAA2C0" w14:textId="77777777" w:rsidR="00F87678" w:rsidRPr="00220850" w:rsidRDefault="00F87678" w:rsidP="00F87678">
      <w:pPr>
        <w:rPr>
          <w:sz w:val="22"/>
          <w:szCs w:val="24"/>
        </w:rPr>
      </w:pPr>
    </w:p>
    <w:p w14:paraId="0A5B9BF9" w14:textId="77777777" w:rsidR="00DE01F8" w:rsidRPr="00220850" w:rsidRDefault="002D5C8E">
      <w:pPr>
        <w:rPr>
          <w:sz w:val="22"/>
          <w:szCs w:val="24"/>
        </w:rPr>
      </w:pPr>
      <w:r w:rsidRPr="00220850">
        <w:rPr>
          <w:sz w:val="22"/>
          <w:szCs w:val="24"/>
        </w:rPr>
        <w:t>Gali būti tie</w:t>
      </w:r>
      <w:r w:rsidR="00E0641F" w:rsidRPr="00220850">
        <w:rPr>
          <w:sz w:val="22"/>
          <w:szCs w:val="24"/>
        </w:rPr>
        <w:t>kiamos ne visų dydžių pakuotės.</w:t>
      </w:r>
    </w:p>
    <w:p w14:paraId="777B5939" w14:textId="77777777" w:rsidR="00DE01F8" w:rsidRPr="00220850" w:rsidRDefault="00DE01F8">
      <w:pPr>
        <w:rPr>
          <w:sz w:val="22"/>
          <w:szCs w:val="24"/>
        </w:rPr>
      </w:pPr>
    </w:p>
    <w:p w14:paraId="521AE1A2"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6.6</w:t>
      </w:r>
      <w:r w:rsidRPr="00220850">
        <w:rPr>
          <w:b/>
          <w:bCs/>
          <w:sz w:val="22"/>
          <w:szCs w:val="28"/>
          <w:lang w:eastAsia="x-none"/>
        </w:rPr>
        <w:tab/>
        <w:t>Specialūs r</w:t>
      </w:r>
      <w:r w:rsidR="00E0641F" w:rsidRPr="00220850">
        <w:rPr>
          <w:b/>
          <w:bCs/>
          <w:sz w:val="22"/>
          <w:szCs w:val="28"/>
          <w:lang w:eastAsia="x-none"/>
        </w:rPr>
        <w:t>eikalavimai atliekoms tvarkyti ir vaistiniam preparatui ruošti</w:t>
      </w:r>
    </w:p>
    <w:p w14:paraId="6C4EDC7D" w14:textId="77777777" w:rsidR="00DE01F8" w:rsidRPr="00220850" w:rsidRDefault="00DE01F8">
      <w:pPr>
        <w:rPr>
          <w:sz w:val="22"/>
          <w:szCs w:val="24"/>
        </w:rPr>
      </w:pPr>
    </w:p>
    <w:p w14:paraId="286DA30B" w14:textId="77777777" w:rsidR="00E0641F" w:rsidRPr="00220850" w:rsidRDefault="00E0641F" w:rsidP="00E0641F">
      <w:pPr>
        <w:autoSpaceDE w:val="0"/>
        <w:autoSpaceDN w:val="0"/>
        <w:adjustRightInd w:val="0"/>
        <w:rPr>
          <w:rFonts w:ascii="TimesNewRoman" w:eastAsia="TimesNewRoman" w:cs="TimesNewRoman"/>
          <w:sz w:val="22"/>
          <w:szCs w:val="22"/>
        </w:rPr>
      </w:pPr>
      <w:r w:rsidRPr="00220850">
        <w:rPr>
          <w:rFonts w:eastAsia="TimesNewRoman"/>
          <w:sz w:val="22"/>
          <w:szCs w:val="22"/>
        </w:rPr>
        <w:t>Jeigu prisilietėte prie kapsulės turinio, reikia nedelsiant gausiu vandens kiekiu nusiplauti rankas (žr.</w:t>
      </w:r>
      <w:r w:rsidR="009C6A64" w:rsidRPr="00220850">
        <w:rPr>
          <w:rFonts w:eastAsia="TimesNewRoman"/>
          <w:sz w:val="22"/>
          <w:szCs w:val="22"/>
        </w:rPr>
        <w:t xml:space="preserve"> </w:t>
      </w:r>
      <w:r w:rsidRPr="00220850">
        <w:rPr>
          <w:rFonts w:eastAsia="TimesNewRoman"/>
          <w:sz w:val="22"/>
          <w:szCs w:val="22"/>
        </w:rPr>
        <w:t>4.2 skyrių).</w:t>
      </w:r>
    </w:p>
    <w:p w14:paraId="1114ABC0" w14:textId="77777777" w:rsidR="009C6A64" w:rsidRPr="00220850" w:rsidRDefault="009C6A64">
      <w:pPr>
        <w:rPr>
          <w:sz w:val="22"/>
          <w:szCs w:val="24"/>
        </w:rPr>
      </w:pPr>
    </w:p>
    <w:p w14:paraId="610D948D" w14:textId="77777777" w:rsidR="00DE01F8" w:rsidRPr="00220850" w:rsidRDefault="002D5C8E">
      <w:pPr>
        <w:rPr>
          <w:sz w:val="22"/>
          <w:szCs w:val="24"/>
        </w:rPr>
      </w:pPr>
      <w:r w:rsidRPr="00220850">
        <w:rPr>
          <w:sz w:val="22"/>
          <w:szCs w:val="24"/>
        </w:rPr>
        <w:t xml:space="preserve">Nesuvartotą vaistinį preparatą ar atliekas reikia tvarkyti laikantis vietinių reikalavimų. </w:t>
      </w:r>
    </w:p>
    <w:p w14:paraId="6108E114" w14:textId="77777777" w:rsidR="00DE01F8" w:rsidRPr="00220850" w:rsidRDefault="00DE01F8">
      <w:pPr>
        <w:rPr>
          <w:sz w:val="22"/>
          <w:szCs w:val="24"/>
        </w:rPr>
      </w:pPr>
    </w:p>
    <w:p w14:paraId="2CAF9FC6" w14:textId="77777777" w:rsidR="00DE01F8" w:rsidRPr="00220850" w:rsidRDefault="00DE01F8">
      <w:pPr>
        <w:rPr>
          <w:sz w:val="22"/>
          <w:szCs w:val="24"/>
        </w:rPr>
      </w:pPr>
    </w:p>
    <w:p w14:paraId="68912ACC"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7.</w:t>
      </w:r>
      <w:r w:rsidRPr="00220850">
        <w:rPr>
          <w:b/>
          <w:bCs/>
          <w:sz w:val="22"/>
          <w:szCs w:val="26"/>
          <w:lang w:eastAsia="x-none"/>
        </w:rPr>
        <w:tab/>
        <w:t>REGISTRUOTOJAS</w:t>
      </w:r>
    </w:p>
    <w:p w14:paraId="2423B2F8" w14:textId="77777777" w:rsidR="00DE01F8" w:rsidRPr="00220850" w:rsidRDefault="00DE01F8">
      <w:pPr>
        <w:rPr>
          <w:sz w:val="22"/>
          <w:szCs w:val="24"/>
        </w:rPr>
      </w:pPr>
    </w:p>
    <w:p w14:paraId="0895AC4A" w14:textId="77777777" w:rsidR="009C6A64" w:rsidRPr="00220850" w:rsidRDefault="009C6A64" w:rsidP="009C6A64">
      <w:pPr>
        <w:shd w:val="clear" w:color="auto" w:fill="FFFFFF"/>
        <w:rPr>
          <w:sz w:val="22"/>
          <w:szCs w:val="22"/>
          <w:lang w:val="pt-PT"/>
        </w:rPr>
      </w:pPr>
      <w:r w:rsidRPr="00220850">
        <w:rPr>
          <w:sz w:val="22"/>
          <w:szCs w:val="22"/>
          <w:lang w:val="pt-PT"/>
        </w:rPr>
        <w:t>Teva GmbH</w:t>
      </w:r>
    </w:p>
    <w:p w14:paraId="70FF3E57" w14:textId="5169C8D2" w:rsidR="00FF28C2" w:rsidRPr="00220850" w:rsidRDefault="009C6A64" w:rsidP="009C6A64">
      <w:pPr>
        <w:shd w:val="clear" w:color="auto" w:fill="FFFFFF"/>
        <w:rPr>
          <w:sz w:val="22"/>
          <w:szCs w:val="22"/>
          <w:lang w:val="pt-PT"/>
        </w:rPr>
      </w:pPr>
      <w:r w:rsidRPr="00220850">
        <w:rPr>
          <w:sz w:val="22"/>
          <w:lang w:val="pt-PT"/>
        </w:rPr>
        <w:t>Graf-Arco-Str.</w:t>
      </w:r>
      <w:r w:rsidR="00FA5B87" w:rsidRPr="00220850">
        <w:rPr>
          <w:sz w:val="22"/>
          <w:szCs w:val="22"/>
          <w:lang w:val="pt-PT"/>
        </w:rPr>
        <w:t xml:space="preserve"> </w:t>
      </w:r>
      <w:r w:rsidRPr="00220850">
        <w:rPr>
          <w:sz w:val="22"/>
          <w:lang w:val="pt-PT"/>
        </w:rPr>
        <w:t>3</w:t>
      </w:r>
    </w:p>
    <w:p w14:paraId="0B0776EF" w14:textId="77777777" w:rsidR="009C6A64" w:rsidRPr="00220850" w:rsidRDefault="009C6A64" w:rsidP="009C6A64">
      <w:pPr>
        <w:shd w:val="clear" w:color="auto" w:fill="FFFFFF"/>
        <w:rPr>
          <w:sz w:val="22"/>
          <w:szCs w:val="22"/>
          <w:lang w:val="pt-PT"/>
        </w:rPr>
      </w:pPr>
      <w:r w:rsidRPr="00220850">
        <w:rPr>
          <w:sz w:val="22"/>
          <w:szCs w:val="22"/>
          <w:lang w:val="pt-PT"/>
        </w:rPr>
        <w:t>89079 Ulm</w:t>
      </w:r>
    </w:p>
    <w:p w14:paraId="386A74E2" w14:textId="77777777" w:rsidR="009C6A64" w:rsidRPr="00220850" w:rsidRDefault="009C6A64" w:rsidP="009C6A64">
      <w:pPr>
        <w:shd w:val="clear" w:color="auto" w:fill="FFFFFF"/>
        <w:rPr>
          <w:sz w:val="22"/>
          <w:szCs w:val="22"/>
          <w:lang w:val="pt-PT"/>
        </w:rPr>
      </w:pPr>
      <w:r w:rsidRPr="00220850">
        <w:rPr>
          <w:sz w:val="22"/>
          <w:szCs w:val="22"/>
          <w:lang w:val="pt-PT"/>
        </w:rPr>
        <w:t>Vokietija</w:t>
      </w:r>
    </w:p>
    <w:p w14:paraId="6712D592" w14:textId="77777777" w:rsidR="00DE01F8" w:rsidRPr="00220850" w:rsidRDefault="00DE01F8">
      <w:pPr>
        <w:rPr>
          <w:sz w:val="22"/>
          <w:szCs w:val="24"/>
        </w:rPr>
      </w:pPr>
    </w:p>
    <w:p w14:paraId="58982937" w14:textId="77777777" w:rsidR="00DE01F8" w:rsidRPr="00220850" w:rsidRDefault="00DE01F8">
      <w:pPr>
        <w:rPr>
          <w:sz w:val="22"/>
          <w:szCs w:val="24"/>
        </w:rPr>
      </w:pPr>
    </w:p>
    <w:p w14:paraId="60720163"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8.</w:t>
      </w:r>
      <w:r w:rsidRPr="00220850">
        <w:rPr>
          <w:b/>
          <w:bCs/>
          <w:sz w:val="22"/>
          <w:szCs w:val="26"/>
          <w:lang w:eastAsia="x-none"/>
        </w:rPr>
        <w:tab/>
        <w:t xml:space="preserve">REGISTRACIJOS </w:t>
      </w:r>
      <w:r w:rsidRPr="00220850">
        <w:rPr>
          <w:b/>
          <w:bCs/>
          <w:sz w:val="22"/>
          <w:szCs w:val="22"/>
          <w:lang w:eastAsia="x-none"/>
        </w:rPr>
        <w:t>PAŽYMĖJIMO</w:t>
      </w:r>
      <w:r w:rsidRPr="00220850">
        <w:rPr>
          <w:b/>
          <w:bCs/>
          <w:sz w:val="22"/>
          <w:szCs w:val="26"/>
          <w:lang w:eastAsia="x-none"/>
        </w:rPr>
        <w:t xml:space="preserve"> NUMERIS (-IAI) </w:t>
      </w:r>
    </w:p>
    <w:p w14:paraId="10AC2E13" w14:textId="1FE257B6" w:rsidR="00DE01F8" w:rsidRPr="00220850" w:rsidRDefault="00DE01F8">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B6515" w:rsidRPr="00220850" w14:paraId="5CAFE542" w14:textId="77777777" w:rsidTr="00CB6515">
        <w:tc>
          <w:tcPr>
            <w:tcW w:w="4530" w:type="dxa"/>
          </w:tcPr>
          <w:p w14:paraId="7381FD89" w14:textId="77777777" w:rsidR="00CB6515" w:rsidRPr="00220850" w:rsidRDefault="00CB6515" w:rsidP="00CB6515">
            <w:pPr>
              <w:rPr>
                <w:sz w:val="22"/>
                <w:szCs w:val="24"/>
                <w:u w:val="single"/>
                <w:lang w:val="pt-PT"/>
              </w:rPr>
            </w:pPr>
            <w:bookmarkStart w:id="0" w:name="_Hlk166139165"/>
            <w:r w:rsidRPr="00220850">
              <w:rPr>
                <w:sz w:val="22"/>
                <w:szCs w:val="24"/>
                <w:u w:val="single"/>
                <w:lang w:val="pt-PT"/>
              </w:rPr>
              <w:t>100 mg</w:t>
            </w:r>
          </w:p>
          <w:p w14:paraId="5CE85EC3" w14:textId="77777777" w:rsidR="00CB6515" w:rsidRPr="00220850" w:rsidRDefault="00CB6515" w:rsidP="00CB6515">
            <w:pPr>
              <w:rPr>
                <w:sz w:val="22"/>
                <w:szCs w:val="24"/>
                <w:lang w:val="pt-PT"/>
              </w:rPr>
            </w:pPr>
            <w:r w:rsidRPr="00220850">
              <w:rPr>
                <w:sz w:val="22"/>
                <w:szCs w:val="24"/>
                <w:lang w:val="pt-PT"/>
              </w:rPr>
              <w:t>LT/1/24/5426/001 – N30x1</w:t>
            </w:r>
          </w:p>
          <w:p w14:paraId="5988518E" w14:textId="77777777" w:rsidR="00CB6515" w:rsidRPr="00220850" w:rsidRDefault="00CB6515" w:rsidP="00CB6515">
            <w:pPr>
              <w:rPr>
                <w:sz w:val="22"/>
                <w:szCs w:val="24"/>
                <w:lang w:val="pt-PT"/>
              </w:rPr>
            </w:pPr>
            <w:r w:rsidRPr="00220850">
              <w:rPr>
                <w:sz w:val="22"/>
                <w:szCs w:val="24"/>
                <w:lang w:val="pt-PT"/>
              </w:rPr>
              <w:t>LT/1/24/5426/002 – N60x1</w:t>
            </w:r>
          </w:p>
        </w:tc>
        <w:tc>
          <w:tcPr>
            <w:tcW w:w="4530" w:type="dxa"/>
          </w:tcPr>
          <w:p w14:paraId="5DAD91F2" w14:textId="77777777" w:rsidR="00CB6515" w:rsidRPr="00220850" w:rsidRDefault="00CB6515" w:rsidP="00CB6515">
            <w:pPr>
              <w:rPr>
                <w:sz w:val="22"/>
                <w:szCs w:val="24"/>
                <w:u w:val="single"/>
                <w:lang w:val="pt-PT"/>
              </w:rPr>
            </w:pPr>
            <w:r w:rsidRPr="00220850">
              <w:rPr>
                <w:sz w:val="22"/>
                <w:szCs w:val="24"/>
                <w:u w:val="single"/>
                <w:lang w:val="pt-PT"/>
              </w:rPr>
              <w:t>150 mg</w:t>
            </w:r>
          </w:p>
          <w:p w14:paraId="66C4D730" w14:textId="77777777" w:rsidR="00CB6515" w:rsidRPr="00220850" w:rsidRDefault="00CB6515" w:rsidP="00CB6515">
            <w:pPr>
              <w:rPr>
                <w:sz w:val="22"/>
                <w:szCs w:val="24"/>
                <w:lang w:val="pt-PT"/>
              </w:rPr>
            </w:pPr>
            <w:r w:rsidRPr="00220850">
              <w:rPr>
                <w:sz w:val="22"/>
                <w:szCs w:val="24"/>
                <w:lang w:val="pt-PT"/>
              </w:rPr>
              <w:t>LT/1/24/5427/001 – N30x1</w:t>
            </w:r>
          </w:p>
          <w:p w14:paraId="28804A52" w14:textId="77777777" w:rsidR="00CB6515" w:rsidRPr="00220850" w:rsidRDefault="00CB6515" w:rsidP="00CB6515">
            <w:pPr>
              <w:rPr>
                <w:sz w:val="22"/>
                <w:szCs w:val="24"/>
                <w:lang w:val="pt-PT"/>
              </w:rPr>
            </w:pPr>
            <w:r w:rsidRPr="00220850">
              <w:rPr>
                <w:sz w:val="22"/>
                <w:szCs w:val="24"/>
                <w:lang w:val="pt-PT"/>
              </w:rPr>
              <w:t>LT/1/24/5427/002 – N60x1</w:t>
            </w:r>
          </w:p>
        </w:tc>
      </w:tr>
      <w:bookmarkEnd w:id="0"/>
    </w:tbl>
    <w:p w14:paraId="494B9438" w14:textId="77777777" w:rsidR="00CB6515" w:rsidRPr="00220850" w:rsidRDefault="00CB6515">
      <w:pPr>
        <w:rPr>
          <w:sz w:val="22"/>
          <w:szCs w:val="24"/>
        </w:rPr>
      </w:pPr>
    </w:p>
    <w:p w14:paraId="38705316" w14:textId="77777777" w:rsidR="00DE01F8" w:rsidRPr="00220850" w:rsidRDefault="00DE01F8">
      <w:pPr>
        <w:rPr>
          <w:sz w:val="22"/>
          <w:szCs w:val="24"/>
        </w:rPr>
      </w:pPr>
    </w:p>
    <w:p w14:paraId="48305812"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9.</w:t>
      </w:r>
      <w:r w:rsidRPr="00220850">
        <w:rPr>
          <w:b/>
          <w:bCs/>
          <w:sz w:val="22"/>
          <w:szCs w:val="26"/>
          <w:lang w:eastAsia="x-none"/>
        </w:rPr>
        <w:tab/>
        <w:t>REGISTRAVIMO / PERREGISTRAVIMO DATA</w:t>
      </w:r>
    </w:p>
    <w:p w14:paraId="01AF85A8" w14:textId="77777777" w:rsidR="00DE01F8" w:rsidRPr="00220850" w:rsidRDefault="00DE01F8">
      <w:pPr>
        <w:rPr>
          <w:sz w:val="22"/>
          <w:szCs w:val="24"/>
        </w:rPr>
      </w:pPr>
    </w:p>
    <w:p w14:paraId="513C8A67" w14:textId="77777777" w:rsidR="00FA517C" w:rsidRPr="00220850" w:rsidRDefault="002D5C8E" w:rsidP="00FA517C">
      <w:pPr>
        <w:rPr>
          <w:sz w:val="22"/>
          <w:szCs w:val="24"/>
        </w:rPr>
      </w:pPr>
      <w:r w:rsidRPr="00220850">
        <w:rPr>
          <w:sz w:val="22"/>
          <w:szCs w:val="24"/>
        </w:rPr>
        <w:t>Registravimo</w:t>
      </w:r>
      <w:r w:rsidR="00FF28C2" w:rsidRPr="00220850">
        <w:rPr>
          <w:sz w:val="22"/>
          <w:szCs w:val="24"/>
        </w:rPr>
        <w:t xml:space="preserve"> data </w:t>
      </w:r>
      <w:r w:rsidR="00FA517C" w:rsidRPr="00220850">
        <w:rPr>
          <w:sz w:val="22"/>
          <w:szCs w:val="24"/>
        </w:rPr>
        <w:t>2024 m. gegužės 9 d.</w:t>
      </w:r>
    </w:p>
    <w:p w14:paraId="396B222E" w14:textId="77777777" w:rsidR="00DE01F8" w:rsidRPr="00220850" w:rsidRDefault="00DE01F8">
      <w:pPr>
        <w:rPr>
          <w:sz w:val="22"/>
        </w:rPr>
      </w:pPr>
    </w:p>
    <w:p w14:paraId="5E0B03F1" w14:textId="77777777" w:rsidR="00DE01F8" w:rsidRPr="00220850" w:rsidRDefault="00DE01F8">
      <w:pPr>
        <w:tabs>
          <w:tab w:val="left" w:pos="567"/>
        </w:tabs>
        <w:rPr>
          <w:sz w:val="22"/>
        </w:rPr>
      </w:pPr>
    </w:p>
    <w:p w14:paraId="67A32E75"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10.</w:t>
      </w:r>
      <w:r w:rsidRPr="00220850">
        <w:rPr>
          <w:b/>
          <w:bCs/>
          <w:sz w:val="22"/>
          <w:szCs w:val="26"/>
          <w:lang w:eastAsia="x-none"/>
        </w:rPr>
        <w:tab/>
        <w:t>TEKSTO PERŽIŪROS DATA</w:t>
      </w:r>
    </w:p>
    <w:p w14:paraId="7A3A2CA5" w14:textId="77777777" w:rsidR="00DE01F8" w:rsidRPr="00220850" w:rsidRDefault="00DE01F8">
      <w:pPr>
        <w:rPr>
          <w:sz w:val="22"/>
          <w:szCs w:val="24"/>
        </w:rPr>
      </w:pPr>
    </w:p>
    <w:p w14:paraId="6905BB7F" w14:textId="68F68E1B" w:rsidR="00840ACC" w:rsidRPr="00220850" w:rsidRDefault="00736837">
      <w:pPr>
        <w:rPr>
          <w:sz w:val="22"/>
          <w:szCs w:val="24"/>
        </w:rPr>
      </w:pPr>
      <w:r w:rsidRPr="00220850">
        <w:rPr>
          <w:sz w:val="22"/>
          <w:szCs w:val="24"/>
        </w:rPr>
        <w:t>2026 m. kovo 27 d.</w:t>
      </w:r>
    </w:p>
    <w:p w14:paraId="55747624" w14:textId="77777777" w:rsidR="00007B47" w:rsidRPr="00220850" w:rsidRDefault="00007B47">
      <w:pPr>
        <w:rPr>
          <w:sz w:val="22"/>
          <w:szCs w:val="24"/>
        </w:rPr>
      </w:pPr>
    </w:p>
    <w:p w14:paraId="4AA83C24" w14:textId="3EC12F9F" w:rsidR="00DE01F8" w:rsidRPr="00220850" w:rsidRDefault="002D5C8E">
      <w:pPr>
        <w:tabs>
          <w:tab w:val="left" w:pos="5954"/>
          <w:tab w:val="left" w:pos="6237"/>
          <w:tab w:val="left" w:pos="6663"/>
          <w:tab w:val="left" w:pos="6946"/>
        </w:tabs>
        <w:rPr>
          <w:rFonts w:eastAsia="SimSun"/>
          <w:sz w:val="22"/>
          <w:szCs w:val="22"/>
        </w:rPr>
      </w:pPr>
      <w:r w:rsidRPr="00220850">
        <w:rPr>
          <w:rFonts w:eastAsia="SimSun"/>
          <w:sz w:val="22"/>
          <w:szCs w:val="22"/>
        </w:rPr>
        <w:t>Išsami informacija apie šį vaistinį preparatą pateikiama Valstybinės vaistų kontrolės tarnybos prie Lietuvos Respublikos sveikatos apsaugos ministerijos tinklalapyje</w:t>
      </w:r>
      <w:r w:rsidRPr="00220850">
        <w:rPr>
          <w:rFonts w:eastAsia="SimSun"/>
          <w:i/>
          <w:sz w:val="22"/>
          <w:szCs w:val="22"/>
        </w:rPr>
        <w:t xml:space="preserve"> </w:t>
      </w:r>
      <w:hyperlink r:id="rId14" w:history="1">
        <w:r w:rsidR="00F33A45" w:rsidRPr="00220850">
          <w:rPr>
            <w:rStyle w:val="Hipersaitas"/>
            <w:rFonts w:eastAsia="SimSun"/>
            <w:color w:val="auto"/>
            <w:sz w:val="22"/>
            <w:szCs w:val="22"/>
          </w:rPr>
          <w:t>https://vvkt.lrv.lt/lt/</w:t>
        </w:r>
      </w:hyperlink>
      <w:r w:rsidR="00F33A45" w:rsidRPr="00220850">
        <w:rPr>
          <w:rFonts w:eastAsia="SimSun"/>
          <w:sz w:val="22"/>
          <w:szCs w:val="22"/>
          <w:u w:val="single"/>
        </w:rPr>
        <w:t xml:space="preserve">. </w:t>
      </w:r>
    </w:p>
    <w:p w14:paraId="3317FD6E" w14:textId="77777777" w:rsidR="00DE01F8" w:rsidRPr="00220850" w:rsidRDefault="00DE01F8">
      <w:pPr>
        <w:tabs>
          <w:tab w:val="center" w:pos="4819"/>
          <w:tab w:val="right" w:pos="9638"/>
        </w:tabs>
      </w:pPr>
    </w:p>
    <w:p w14:paraId="3A624252" w14:textId="77777777" w:rsidR="00DE01F8" w:rsidRPr="00220850" w:rsidRDefault="00DE01F8">
      <w:pPr>
        <w:tabs>
          <w:tab w:val="left" w:pos="4962"/>
        </w:tabs>
        <w:ind w:left="4962"/>
        <w:sectPr w:rsidR="00DE01F8" w:rsidRPr="00220850" w:rsidSect="007A5503">
          <w:headerReference w:type="even" r:id="rId15"/>
          <w:footerReference w:type="even" r:id="rId16"/>
          <w:footerReference w:type="default" r:id="rId17"/>
          <w:headerReference w:type="first" r:id="rId18"/>
          <w:footerReference w:type="first" r:id="rId19"/>
          <w:pgSz w:w="11906" w:h="16838" w:code="9"/>
          <w:pgMar w:top="1134" w:right="1418" w:bottom="1134" w:left="1418" w:header="737" w:footer="737" w:gutter="0"/>
          <w:pgNumType w:start="1" w:chapStyle="1"/>
          <w:cols w:space="1296"/>
          <w:titlePg/>
          <w:docGrid w:linePitch="360"/>
        </w:sectPr>
      </w:pPr>
    </w:p>
    <w:p w14:paraId="66972A10" w14:textId="77777777" w:rsidR="00DE01F8" w:rsidRPr="00220850" w:rsidRDefault="00DE01F8">
      <w:pPr>
        <w:tabs>
          <w:tab w:val="left" w:pos="5954"/>
          <w:tab w:val="left" w:pos="6237"/>
          <w:tab w:val="left" w:pos="6663"/>
          <w:tab w:val="left" w:pos="6946"/>
        </w:tabs>
        <w:jc w:val="center"/>
        <w:rPr>
          <w:rFonts w:eastAsia="SimSun"/>
        </w:rPr>
      </w:pPr>
    </w:p>
    <w:p w14:paraId="5035A5B1" w14:textId="77777777" w:rsidR="00DE01F8" w:rsidRPr="00220850" w:rsidRDefault="00DE01F8">
      <w:pPr>
        <w:tabs>
          <w:tab w:val="left" w:pos="567"/>
        </w:tabs>
        <w:spacing w:line="260" w:lineRule="exact"/>
        <w:rPr>
          <w:sz w:val="22"/>
          <w:szCs w:val="24"/>
        </w:rPr>
      </w:pPr>
    </w:p>
    <w:p w14:paraId="35225723" w14:textId="77777777" w:rsidR="00DE01F8" w:rsidRPr="00220850" w:rsidRDefault="00DE01F8">
      <w:pPr>
        <w:tabs>
          <w:tab w:val="left" w:pos="567"/>
        </w:tabs>
        <w:spacing w:line="260" w:lineRule="exact"/>
        <w:rPr>
          <w:sz w:val="22"/>
          <w:szCs w:val="24"/>
        </w:rPr>
      </w:pPr>
    </w:p>
    <w:p w14:paraId="01759968" w14:textId="77777777" w:rsidR="00DE01F8" w:rsidRPr="00220850" w:rsidRDefault="00DE01F8">
      <w:pPr>
        <w:tabs>
          <w:tab w:val="left" w:pos="567"/>
        </w:tabs>
        <w:spacing w:line="260" w:lineRule="exact"/>
        <w:rPr>
          <w:sz w:val="22"/>
          <w:szCs w:val="24"/>
        </w:rPr>
      </w:pPr>
    </w:p>
    <w:p w14:paraId="178AED65" w14:textId="77777777" w:rsidR="00DE01F8" w:rsidRPr="00220850" w:rsidRDefault="00DE01F8">
      <w:pPr>
        <w:tabs>
          <w:tab w:val="left" w:pos="567"/>
        </w:tabs>
        <w:spacing w:line="260" w:lineRule="exact"/>
        <w:rPr>
          <w:sz w:val="22"/>
          <w:szCs w:val="24"/>
        </w:rPr>
      </w:pPr>
    </w:p>
    <w:p w14:paraId="47C20187" w14:textId="77777777" w:rsidR="00DE01F8" w:rsidRPr="00220850" w:rsidRDefault="00DE01F8">
      <w:pPr>
        <w:tabs>
          <w:tab w:val="left" w:pos="567"/>
        </w:tabs>
        <w:spacing w:line="260" w:lineRule="exact"/>
        <w:rPr>
          <w:sz w:val="22"/>
          <w:szCs w:val="24"/>
        </w:rPr>
      </w:pPr>
    </w:p>
    <w:p w14:paraId="78C1621B" w14:textId="77777777" w:rsidR="00DE01F8" w:rsidRPr="00220850" w:rsidRDefault="00DE01F8">
      <w:pPr>
        <w:tabs>
          <w:tab w:val="left" w:pos="567"/>
        </w:tabs>
        <w:spacing w:line="260" w:lineRule="exact"/>
        <w:rPr>
          <w:sz w:val="22"/>
          <w:szCs w:val="24"/>
        </w:rPr>
      </w:pPr>
    </w:p>
    <w:p w14:paraId="2DDDA809" w14:textId="77777777" w:rsidR="00DE01F8" w:rsidRPr="00220850" w:rsidRDefault="00DE01F8">
      <w:pPr>
        <w:tabs>
          <w:tab w:val="left" w:pos="567"/>
        </w:tabs>
        <w:spacing w:line="260" w:lineRule="exact"/>
        <w:rPr>
          <w:sz w:val="22"/>
          <w:szCs w:val="24"/>
        </w:rPr>
      </w:pPr>
    </w:p>
    <w:p w14:paraId="2B842F6C" w14:textId="77777777" w:rsidR="00DE01F8" w:rsidRPr="00220850" w:rsidRDefault="00DE01F8">
      <w:pPr>
        <w:tabs>
          <w:tab w:val="left" w:pos="567"/>
        </w:tabs>
        <w:spacing w:line="260" w:lineRule="exact"/>
        <w:rPr>
          <w:sz w:val="22"/>
          <w:szCs w:val="24"/>
        </w:rPr>
      </w:pPr>
    </w:p>
    <w:p w14:paraId="091C0706" w14:textId="77777777" w:rsidR="00DE01F8" w:rsidRPr="00220850" w:rsidRDefault="00DE01F8">
      <w:pPr>
        <w:tabs>
          <w:tab w:val="left" w:pos="567"/>
        </w:tabs>
        <w:spacing w:line="260" w:lineRule="exact"/>
        <w:rPr>
          <w:sz w:val="22"/>
          <w:szCs w:val="24"/>
        </w:rPr>
      </w:pPr>
    </w:p>
    <w:p w14:paraId="13461AEB" w14:textId="77777777" w:rsidR="00DE01F8" w:rsidRPr="00220850" w:rsidRDefault="00DE01F8">
      <w:pPr>
        <w:tabs>
          <w:tab w:val="left" w:pos="567"/>
        </w:tabs>
        <w:spacing w:line="260" w:lineRule="exact"/>
        <w:rPr>
          <w:sz w:val="22"/>
          <w:szCs w:val="24"/>
        </w:rPr>
      </w:pPr>
    </w:p>
    <w:p w14:paraId="03836385" w14:textId="77777777" w:rsidR="00DE01F8" w:rsidRPr="00220850" w:rsidRDefault="00DE01F8">
      <w:pPr>
        <w:tabs>
          <w:tab w:val="left" w:pos="567"/>
        </w:tabs>
        <w:spacing w:line="260" w:lineRule="exact"/>
        <w:rPr>
          <w:sz w:val="22"/>
          <w:szCs w:val="24"/>
        </w:rPr>
      </w:pPr>
    </w:p>
    <w:p w14:paraId="628D96FE" w14:textId="77777777" w:rsidR="00DE01F8" w:rsidRPr="00220850" w:rsidRDefault="00DE01F8">
      <w:pPr>
        <w:tabs>
          <w:tab w:val="left" w:pos="567"/>
        </w:tabs>
        <w:spacing w:line="260" w:lineRule="exact"/>
        <w:rPr>
          <w:sz w:val="22"/>
          <w:szCs w:val="24"/>
        </w:rPr>
      </w:pPr>
    </w:p>
    <w:p w14:paraId="6CE67885" w14:textId="77777777" w:rsidR="00DE01F8" w:rsidRPr="00220850" w:rsidRDefault="00DE01F8">
      <w:pPr>
        <w:tabs>
          <w:tab w:val="left" w:pos="567"/>
        </w:tabs>
        <w:spacing w:line="260" w:lineRule="exact"/>
        <w:rPr>
          <w:sz w:val="22"/>
          <w:szCs w:val="24"/>
        </w:rPr>
      </w:pPr>
    </w:p>
    <w:p w14:paraId="63816127" w14:textId="77777777" w:rsidR="007A5503" w:rsidRPr="00220850" w:rsidRDefault="007A5503">
      <w:pPr>
        <w:tabs>
          <w:tab w:val="left" w:pos="567"/>
        </w:tabs>
        <w:spacing w:line="260" w:lineRule="exact"/>
        <w:rPr>
          <w:sz w:val="22"/>
          <w:szCs w:val="24"/>
        </w:rPr>
      </w:pPr>
    </w:p>
    <w:p w14:paraId="2081ED8D" w14:textId="77777777" w:rsidR="007A5503" w:rsidRPr="00220850" w:rsidRDefault="007A5503">
      <w:pPr>
        <w:tabs>
          <w:tab w:val="left" w:pos="567"/>
        </w:tabs>
        <w:spacing w:line="260" w:lineRule="exact"/>
        <w:rPr>
          <w:sz w:val="22"/>
          <w:szCs w:val="24"/>
        </w:rPr>
      </w:pPr>
    </w:p>
    <w:p w14:paraId="33F2047E" w14:textId="77777777" w:rsidR="007A5503" w:rsidRPr="00220850" w:rsidRDefault="007A5503">
      <w:pPr>
        <w:tabs>
          <w:tab w:val="left" w:pos="567"/>
        </w:tabs>
        <w:spacing w:line="260" w:lineRule="exact"/>
        <w:rPr>
          <w:sz w:val="22"/>
          <w:szCs w:val="24"/>
        </w:rPr>
      </w:pPr>
    </w:p>
    <w:p w14:paraId="796A1350" w14:textId="77777777" w:rsidR="007A5503" w:rsidRPr="00220850" w:rsidRDefault="007A5503">
      <w:pPr>
        <w:tabs>
          <w:tab w:val="left" w:pos="567"/>
        </w:tabs>
        <w:spacing w:line="260" w:lineRule="exact"/>
        <w:rPr>
          <w:sz w:val="22"/>
          <w:szCs w:val="24"/>
        </w:rPr>
      </w:pPr>
    </w:p>
    <w:p w14:paraId="3E7E37A8" w14:textId="77777777" w:rsidR="007A5503" w:rsidRPr="00220850" w:rsidRDefault="007A5503">
      <w:pPr>
        <w:tabs>
          <w:tab w:val="left" w:pos="567"/>
        </w:tabs>
        <w:spacing w:line="260" w:lineRule="exact"/>
        <w:rPr>
          <w:sz w:val="22"/>
          <w:szCs w:val="24"/>
        </w:rPr>
      </w:pPr>
    </w:p>
    <w:p w14:paraId="38D4D9A0" w14:textId="77777777" w:rsidR="007A5503" w:rsidRPr="00220850" w:rsidRDefault="007A5503">
      <w:pPr>
        <w:tabs>
          <w:tab w:val="left" w:pos="567"/>
        </w:tabs>
        <w:spacing w:line="260" w:lineRule="exact"/>
        <w:rPr>
          <w:sz w:val="22"/>
          <w:szCs w:val="24"/>
        </w:rPr>
      </w:pPr>
    </w:p>
    <w:p w14:paraId="73658EDD" w14:textId="77777777" w:rsidR="007A5503" w:rsidRPr="00220850" w:rsidRDefault="007A5503">
      <w:pPr>
        <w:tabs>
          <w:tab w:val="left" w:pos="567"/>
        </w:tabs>
        <w:spacing w:line="260" w:lineRule="exact"/>
        <w:rPr>
          <w:sz w:val="22"/>
          <w:szCs w:val="24"/>
        </w:rPr>
      </w:pPr>
    </w:p>
    <w:p w14:paraId="4A2F2098" w14:textId="77777777" w:rsidR="007A5503" w:rsidRPr="00220850" w:rsidRDefault="007A5503">
      <w:pPr>
        <w:tabs>
          <w:tab w:val="left" w:pos="567"/>
        </w:tabs>
        <w:spacing w:line="260" w:lineRule="exact"/>
        <w:rPr>
          <w:sz w:val="22"/>
          <w:szCs w:val="24"/>
        </w:rPr>
      </w:pPr>
    </w:p>
    <w:p w14:paraId="791D772B" w14:textId="77777777" w:rsidR="007A5503" w:rsidRPr="00220850" w:rsidRDefault="007A5503">
      <w:pPr>
        <w:tabs>
          <w:tab w:val="left" w:pos="567"/>
        </w:tabs>
        <w:spacing w:line="260" w:lineRule="exact"/>
        <w:rPr>
          <w:sz w:val="22"/>
          <w:szCs w:val="24"/>
        </w:rPr>
      </w:pPr>
    </w:p>
    <w:p w14:paraId="60AA75E2" w14:textId="77777777" w:rsidR="00DE01F8" w:rsidRPr="00220850" w:rsidRDefault="002D5C8E">
      <w:pPr>
        <w:tabs>
          <w:tab w:val="left" w:pos="567"/>
        </w:tabs>
        <w:spacing w:line="260" w:lineRule="exact"/>
        <w:jc w:val="center"/>
        <w:rPr>
          <w:b/>
          <w:sz w:val="22"/>
        </w:rPr>
      </w:pPr>
      <w:r w:rsidRPr="00220850">
        <w:rPr>
          <w:b/>
          <w:sz w:val="22"/>
        </w:rPr>
        <w:t>II PRIEDAS</w:t>
      </w:r>
    </w:p>
    <w:p w14:paraId="06794AC7" w14:textId="77777777" w:rsidR="00DE01F8" w:rsidRPr="00220850" w:rsidRDefault="00DE01F8" w:rsidP="001F7C5A">
      <w:pPr>
        <w:tabs>
          <w:tab w:val="left" w:pos="567"/>
        </w:tabs>
        <w:spacing w:line="260" w:lineRule="exact"/>
        <w:ind w:right="1416"/>
        <w:rPr>
          <w:sz w:val="22"/>
        </w:rPr>
      </w:pPr>
    </w:p>
    <w:p w14:paraId="76366871" w14:textId="77777777" w:rsidR="00DE01F8" w:rsidRPr="00220850" w:rsidRDefault="002D5C8E">
      <w:pPr>
        <w:tabs>
          <w:tab w:val="left" w:pos="567"/>
        </w:tabs>
        <w:spacing w:line="260" w:lineRule="exact"/>
        <w:jc w:val="center"/>
        <w:rPr>
          <w:i/>
          <w:sz w:val="22"/>
        </w:rPr>
      </w:pPr>
      <w:r w:rsidRPr="00220850">
        <w:rPr>
          <w:b/>
          <w:sz w:val="22"/>
        </w:rPr>
        <w:t>REGISTRACIJOS SĄLYGOS</w:t>
      </w:r>
    </w:p>
    <w:p w14:paraId="2051A114" w14:textId="77777777" w:rsidR="00DE01F8" w:rsidRPr="00220850" w:rsidRDefault="00DE01F8">
      <w:pPr>
        <w:tabs>
          <w:tab w:val="left" w:pos="567"/>
        </w:tabs>
        <w:spacing w:line="260" w:lineRule="exact"/>
        <w:rPr>
          <w:sz w:val="22"/>
        </w:rPr>
      </w:pPr>
    </w:p>
    <w:p w14:paraId="769D30A3" w14:textId="1B25732F" w:rsidR="00DE01F8" w:rsidRPr="00220850" w:rsidRDefault="00A9682A">
      <w:pPr>
        <w:tabs>
          <w:tab w:val="left" w:pos="1701"/>
        </w:tabs>
        <w:spacing w:line="260" w:lineRule="exact"/>
        <w:ind w:left="1701" w:right="567" w:hanging="567"/>
        <w:rPr>
          <w:b/>
          <w:sz w:val="22"/>
          <w:szCs w:val="24"/>
        </w:rPr>
      </w:pPr>
      <w:r w:rsidRPr="00220850">
        <w:rPr>
          <w:b/>
          <w:sz w:val="22"/>
          <w:szCs w:val="24"/>
        </w:rPr>
        <w:t>A.</w:t>
      </w:r>
      <w:r w:rsidRPr="00220850">
        <w:rPr>
          <w:b/>
          <w:sz w:val="22"/>
          <w:szCs w:val="24"/>
        </w:rPr>
        <w:tab/>
      </w:r>
      <w:r w:rsidRPr="00220850">
        <w:rPr>
          <w:b/>
          <w:sz w:val="22"/>
        </w:rPr>
        <w:t>GAMINTOJAS (-AI) IR</w:t>
      </w:r>
      <w:r w:rsidR="002D5C8E" w:rsidRPr="00220850">
        <w:rPr>
          <w:b/>
          <w:sz w:val="22"/>
        </w:rPr>
        <w:t xml:space="preserve"> GAMINTOJAS (-AI), ATSAKINGAS (-I) UŽ SERIJŲ IŠLEIDIMĄ</w:t>
      </w:r>
    </w:p>
    <w:p w14:paraId="075FDC26" w14:textId="77777777" w:rsidR="00DE01F8" w:rsidRPr="00220850" w:rsidRDefault="00DE01F8">
      <w:pPr>
        <w:tabs>
          <w:tab w:val="left" w:pos="1701"/>
        </w:tabs>
        <w:spacing w:line="260" w:lineRule="exact"/>
        <w:ind w:left="567" w:right="567" w:hanging="567"/>
        <w:rPr>
          <w:sz w:val="22"/>
          <w:szCs w:val="24"/>
        </w:rPr>
      </w:pPr>
    </w:p>
    <w:p w14:paraId="038D45E5" w14:textId="77777777" w:rsidR="00DE01F8" w:rsidRPr="00220850" w:rsidRDefault="002D5C8E">
      <w:pPr>
        <w:tabs>
          <w:tab w:val="left" w:pos="1701"/>
        </w:tabs>
        <w:spacing w:line="260" w:lineRule="exact"/>
        <w:ind w:left="1701" w:right="567" w:hanging="567"/>
        <w:rPr>
          <w:b/>
          <w:sz w:val="22"/>
        </w:rPr>
      </w:pPr>
      <w:r w:rsidRPr="00220850">
        <w:rPr>
          <w:b/>
          <w:sz w:val="22"/>
        </w:rPr>
        <w:t>B.</w:t>
      </w:r>
      <w:r w:rsidRPr="00220850">
        <w:rPr>
          <w:b/>
          <w:sz w:val="22"/>
        </w:rPr>
        <w:tab/>
        <w:t>TIEKIMO IR VARTOJIMO SĄLYGOS AR APRIBOJIMAI</w:t>
      </w:r>
    </w:p>
    <w:p w14:paraId="5DBF1C7C" w14:textId="77777777" w:rsidR="00DE01F8" w:rsidRPr="00220850" w:rsidRDefault="00DE01F8" w:rsidP="00A9682A">
      <w:pPr>
        <w:tabs>
          <w:tab w:val="left" w:pos="1701"/>
        </w:tabs>
        <w:spacing w:line="260" w:lineRule="exact"/>
        <w:ind w:right="567"/>
        <w:rPr>
          <w:b/>
          <w:bCs/>
          <w:sz w:val="22"/>
        </w:rPr>
      </w:pPr>
    </w:p>
    <w:p w14:paraId="07B4A707" w14:textId="77777777" w:rsidR="00DE01F8" w:rsidRPr="00220850" w:rsidRDefault="00DE01F8" w:rsidP="001F7C5A">
      <w:pPr>
        <w:tabs>
          <w:tab w:val="left" w:pos="1701"/>
        </w:tabs>
        <w:spacing w:line="260" w:lineRule="exact"/>
        <w:ind w:right="567"/>
        <w:rPr>
          <w:b/>
          <w:sz w:val="22"/>
        </w:rPr>
      </w:pPr>
    </w:p>
    <w:p w14:paraId="38787330" w14:textId="77777777" w:rsidR="00DE01F8" w:rsidRPr="00220850" w:rsidRDefault="00DE01F8" w:rsidP="001F7C5A">
      <w:pPr>
        <w:tabs>
          <w:tab w:val="left" w:pos="567"/>
        </w:tabs>
        <w:spacing w:line="260" w:lineRule="exact"/>
        <w:ind w:right="1558"/>
        <w:rPr>
          <w:b/>
          <w:sz w:val="22"/>
        </w:rPr>
      </w:pPr>
    </w:p>
    <w:p w14:paraId="7FE7C263" w14:textId="77777777" w:rsidR="00DE01F8" w:rsidRPr="00220850" w:rsidRDefault="00DE01F8">
      <w:pPr>
        <w:tabs>
          <w:tab w:val="left" w:pos="567"/>
        </w:tabs>
        <w:spacing w:line="260" w:lineRule="exact"/>
        <w:ind w:left="567" w:hanging="567"/>
        <w:rPr>
          <w:sz w:val="22"/>
        </w:rPr>
      </w:pPr>
    </w:p>
    <w:p w14:paraId="79195AE1" w14:textId="77777777" w:rsidR="00DE01F8" w:rsidRPr="00220850" w:rsidRDefault="00DE01F8">
      <w:pPr>
        <w:tabs>
          <w:tab w:val="left" w:pos="567"/>
        </w:tabs>
        <w:spacing w:line="260" w:lineRule="exact"/>
        <w:ind w:right="-1"/>
        <w:rPr>
          <w:sz w:val="22"/>
        </w:rPr>
      </w:pPr>
    </w:p>
    <w:p w14:paraId="5CC060F3" w14:textId="184E0646" w:rsidR="00DE01F8" w:rsidRPr="00220850" w:rsidRDefault="002D5C8E">
      <w:pPr>
        <w:tabs>
          <w:tab w:val="left" w:pos="567"/>
        </w:tabs>
        <w:spacing w:line="260" w:lineRule="exact"/>
        <w:ind w:left="567" w:hanging="567"/>
        <w:rPr>
          <w:b/>
          <w:sz w:val="22"/>
          <w:szCs w:val="24"/>
        </w:rPr>
      </w:pPr>
      <w:r w:rsidRPr="00220850">
        <w:rPr>
          <w:sz w:val="22"/>
        </w:rPr>
        <w:br w:type="page"/>
      </w:r>
      <w:r w:rsidRPr="00220850">
        <w:rPr>
          <w:b/>
          <w:sz w:val="22"/>
        </w:rPr>
        <w:lastRenderedPageBreak/>
        <w:t>A.</w:t>
      </w:r>
      <w:r w:rsidRPr="00220850">
        <w:rPr>
          <w:b/>
          <w:sz w:val="22"/>
          <w:szCs w:val="24"/>
        </w:rPr>
        <w:tab/>
      </w:r>
      <w:r w:rsidRPr="00220850">
        <w:rPr>
          <w:b/>
          <w:sz w:val="22"/>
        </w:rPr>
        <w:t>GAMINTOJAS (-AI), ATSAKINGAS (-I) UŽ SERIJŲ IŠLEIDIMĄ</w:t>
      </w:r>
    </w:p>
    <w:p w14:paraId="5B5423D1" w14:textId="77777777" w:rsidR="00DE01F8" w:rsidRPr="00220850" w:rsidRDefault="00DE01F8">
      <w:pPr>
        <w:tabs>
          <w:tab w:val="left" w:pos="567"/>
        </w:tabs>
        <w:spacing w:line="260" w:lineRule="exact"/>
        <w:rPr>
          <w:sz w:val="22"/>
          <w:szCs w:val="24"/>
        </w:rPr>
      </w:pPr>
    </w:p>
    <w:p w14:paraId="45EEE516" w14:textId="59A6DEC7" w:rsidR="00DE01F8" w:rsidRPr="00220850" w:rsidRDefault="002D5C8E">
      <w:pPr>
        <w:tabs>
          <w:tab w:val="left" w:pos="567"/>
        </w:tabs>
        <w:jc w:val="both"/>
        <w:rPr>
          <w:sz w:val="22"/>
          <w:szCs w:val="24"/>
        </w:rPr>
      </w:pPr>
      <w:r w:rsidRPr="00220850">
        <w:rPr>
          <w:sz w:val="22"/>
          <w:szCs w:val="24"/>
          <w:u w:val="single"/>
        </w:rPr>
        <w:t>Gamintojų, atsakingų už serijų išleidimą, pavadinimai ir adresai</w:t>
      </w:r>
    </w:p>
    <w:p w14:paraId="78D766DD" w14:textId="77777777" w:rsidR="00DE01F8" w:rsidRPr="00220850" w:rsidRDefault="00DE01F8">
      <w:pPr>
        <w:tabs>
          <w:tab w:val="left" w:pos="567"/>
        </w:tabs>
        <w:spacing w:line="260" w:lineRule="exact"/>
        <w:rPr>
          <w:sz w:val="22"/>
          <w:szCs w:val="24"/>
        </w:rPr>
      </w:pPr>
    </w:p>
    <w:p w14:paraId="691ECAC2" w14:textId="643A9D53" w:rsidR="001F1430" w:rsidRPr="00220850" w:rsidRDefault="001F1430" w:rsidP="001F1430">
      <w:pPr>
        <w:numPr>
          <w:ilvl w:val="12"/>
          <w:numId w:val="0"/>
        </w:numPr>
        <w:ind w:right="-2"/>
        <w:rPr>
          <w:sz w:val="22"/>
          <w:szCs w:val="24"/>
        </w:rPr>
      </w:pPr>
      <w:proofErr w:type="spellStart"/>
      <w:r w:rsidRPr="00220850">
        <w:rPr>
          <w:sz w:val="22"/>
          <w:szCs w:val="24"/>
        </w:rPr>
        <w:t>Pharmadox</w:t>
      </w:r>
      <w:proofErr w:type="spellEnd"/>
      <w:r w:rsidRPr="00220850">
        <w:rPr>
          <w:sz w:val="22"/>
          <w:szCs w:val="24"/>
        </w:rPr>
        <w:t xml:space="preserve"> </w:t>
      </w:r>
      <w:proofErr w:type="spellStart"/>
      <w:r w:rsidRPr="00220850">
        <w:rPr>
          <w:sz w:val="22"/>
          <w:szCs w:val="24"/>
        </w:rPr>
        <w:t>Healthcare</w:t>
      </w:r>
      <w:proofErr w:type="spellEnd"/>
      <w:r w:rsidRPr="00220850">
        <w:rPr>
          <w:sz w:val="22"/>
          <w:szCs w:val="24"/>
        </w:rPr>
        <w:t xml:space="preserve"> </w:t>
      </w:r>
      <w:proofErr w:type="spellStart"/>
      <w:r w:rsidRPr="00220850">
        <w:rPr>
          <w:sz w:val="22"/>
          <w:szCs w:val="24"/>
        </w:rPr>
        <w:t>Limited</w:t>
      </w:r>
      <w:proofErr w:type="spellEnd"/>
    </w:p>
    <w:p w14:paraId="5D556B76" w14:textId="77777777" w:rsidR="001F1430" w:rsidRPr="00220850" w:rsidRDefault="001F1430" w:rsidP="001F1430">
      <w:pPr>
        <w:numPr>
          <w:ilvl w:val="12"/>
          <w:numId w:val="0"/>
        </w:numPr>
        <w:ind w:right="-2"/>
        <w:rPr>
          <w:sz w:val="22"/>
          <w:szCs w:val="24"/>
        </w:rPr>
      </w:pPr>
      <w:r w:rsidRPr="00220850">
        <w:rPr>
          <w:sz w:val="22"/>
          <w:szCs w:val="24"/>
        </w:rPr>
        <w:t xml:space="preserve">KW20A </w:t>
      </w:r>
      <w:proofErr w:type="spellStart"/>
      <w:r w:rsidRPr="00220850">
        <w:rPr>
          <w:sz w:val="22"/>
          <w:szCs w:val="24"/>
        </w:rPr>
        <w:t>Kordin</w:t>
      </w:r>
      <w:proofErr w:type="spellEnd"/>
      <w:r w:rsidRPr="00220850">
        <w:rPr>
          <w:sz w:val="22"/>
          <w:szCs w:val="24"/>
        </w:rPr>
        <w:t xml:space="preserve"> </w:t>
      </w:r>
      <w:proofErr w:type="spellStart"/>
      <w:r w:rsidRPr="00220850">
        <w:rPr>
          <w:sz w:val="22"/>
          <w:szCs w:val="24"/>
        </w:rPr>
        <w:t>Industrial</w:t>
      </w:r>
      <w:proofErr w:type="spellEnd"/>
      <w:r w:rsidRPr="00220850">
        <w:rPr>
          <w:sz w:val="22"/>
          <w:szCs w:val="24"/>
        </w:rPr>
        <w:t xml:space="preserve"> </w:t>
      </w:r>
      <w:proofErr w:type="spellStart"/>
      <w:r w:rsidRPr="00220850">
        <w:rPr>
          <w:sz w:val="22"/>
          <w:szCs w:val="24"/>
        </w:rPr>
        <w:t>Park</w:t>
      </w:r>
      <w:proofErr w:type="spellEnd"/>
    </w:p>
    <w:p w14:paraId="310878CB" w14:textId="77777777" w:rsidR="001F1430" w:rsidRPr="00220850" w:rsidRDefault="001F1430" w:rsidP="001F1430">
      <w:pPr>
        <w:numPr>
          <w:ilvl w:val="12"/>
          <w:numId w:val="0"/>
        </w:numPr>
        <w:ind w:right="-2"/>
        <w:rPr>
          <w:sz w:val="22"/>
          <w:szCs w:val="24"/>
        </w:rPr>
      </w:pPr>
      <w:proofErr w:type="spellStart"/>
      <w:r w:rsidRPr="00220850">
        <w:rPr>
          <w:sz w:val="22"/>
          <w:szCs w:val="24"/>
        </w:rPr>
        <w:t>Paola</w:t>
      </w:r>
      <w:proofErr w:type="spellEnd"/>
      <w:r w:rsidRPr="00220850">
        <w:rPr>
          <w:sz w:val="22"/>
          <w:szCs w:val="24"/>
        </w:rPr>
        <w:t xml:space="preserve"> PLA 3000</w:t>
      </w:r>
    </w:p>
    <w:p w14:paraId="2D0EBEF1" w14:textId="77777777" w:rsidR="001F1430" w:rsidRPr="00220850" w:rsidRDefault="001F1430" w:rsidP="001F1430">
      <w:pPr>
        <w:numPr>
          <w:ilvl w:val="12"/>
          <w:numId w:val="0"/>
        </w:numPr>
        <w:ind w:right="-2"/>
        <w:rPr>
          <w:sz w:val="22"/>
          <w:szCs w:val="24"/>
        </w:rPr>
      </w:pPr>
      <w:r w:rsidRPr="00220850">
        <w:rPr>
          <w:sz w:val="22"/>
          <w:szCs w:val="24"/>
        </w:rPr>
        <w:t>Malta</w:t>
      </w:r>
    </w:p>
    <w:p w14:paraId="29BFEA0F" w14:textId="77777777" w:rsidR="001F1430" w:rsidRPr="00220850" w:rsidRDefault="001F1430" w:rsidP="001F1430">
      <w:pPr>
        <w:numPr>
          <w:ilvl w:val="12"/>
          <w:numId w:val="0"/>
        </w:numPr>
        <w:ind w:right="-2"/>
        <w:rPr>
          <w:sz w:val="22"/>
          <w:szCs w:val="24"/>
        </w:rPr>
      </w:pPr>
    </w:p>
    <w:p w14:paraId="4283185E" w14:textId="77777777" w:rsidR="001F1430" w:rsidRPr="00220850" w:rsidRDefault="001F1430" w:rsidP="001F1430">
      <w:pPr>
        <w:numPr>
          <w:ilvl w:val="12"/>
          <w:numId w:val="0"/>
        </w:numPr>
        <w:ind w:right="-2"/>
        <w:rPr>
          <w:sz w:val="22"/>
          <w:szCs w:val="24"/>
          <w:highlight w:val="lightGray"/>
        </w:rPr>
      </w:pPr>
      <w:proofErr w:type="spellStart"/>
      <w:r w:rsidRPr="00220850">
        <w:rPr>
          <w:sz w:val="22"/>
          <w:szCs w:val="24"/>
          <w:highlight w:val="lightGray"/>
        </w:rPr>
        <w:t>Adalvo</w:t>
      </w:r>
      <w:proofErr w:type="spellEnd"/>
      <w:r w:rsidRPr="00220850">
        <w:rPr>
          <w:sz w:val="22"/>
          <w:szCs w:val="24"/>
          <w:highlight w:val="lightGray"/>
        </w:rPr>
        <w:t xml:space="preserve"> </w:t>
      </w:r>
      <w:proofErr w:type="spellStart"/>
      <w:r w:rsidRPr="00220850">
        <w:rPr>
          <w:sz w:val="22"/>
          <w:szCs w:val="24"/>
          <w:highlight w:val="lightGray"/>
        </w:rPr>
        <w:t>Limited</w:t>
      </w:r>
      <w:proofErr w:type="spellEnd"/>
    </w:p>
    <w:p w14:paraId="3A4A9C99" w14:textId="77777777" w:rsidR="001F1430" w:rsidRPr="00220850" w:rsidRDefault="001F1430" w:rsidP="001F1430">
      <w:pPr>
        <w:numPr>
          <w:ilvl w:val="12"/>
          <w:numId w:val="0"/>
        </w:numPr>
        <w:ind w:right="-2"/>
        <w:rPr>
          <w:sz w:val="22"/>
          <w:szCs w:val="24"/>
          <w:highlight w:val="lightGray"/>
        </w:rPr>
      </w:pPr>
      <w:r w:rsidRPr="00220850">
        <w:rPr>
          <w:sz w:val="22"/>
          <w:szCs w:val="24"/>
          <w:highlight w:val="lightGray"/>
        </w:rPr>
        <w:t xml:space="preserve">Malta </w:t>
      </w:r>
      <w:proofErr w:type="spellStart"/>
      <w:r w:rsidRPr="00220850">
        <w:rPr>
          <w:sz w:val="22"/>
          <w:szCs w:val="24"/>
          <w:highlight w:val="lightGray"/>
        </w:rPr>
        <w:t>Life</w:t>
      </w:r>
      <w:proofErr w:type="spellEnd"/>
      <w:r w:rsidRPr="00220850">
        <w:rPr>
          <w:sz w:val="22"/>
          <w:szCs w:val="24"/>
          <w:highlight w:val="lightGray"/>
        </w:rPr>
        <w:t xml:space="preserve"> </w:t>
      </w:r>
      <w:proofErr w:type="spellStart"/>
      <w:r w:rsidRPr="00220850">
        <w:rPr>
          <w:sz w:val="22"/>
          <w:szCs w:val="24"/>
          <w:highlight w:val="lightGray"/>
        </w:rPr>
        <w:t>Sciences</w:t>
      </w:r>
      <w:proofErr w:type="spellEnd"/>
      <w:r w:rsidRPr="00220850">
        <w:rPr>
          <w:sz w:val="22"/>
          <w:szCs w:val="24"/>
          <w:highlight w:val="lightGray"/>
        </w:rPr>
        <w:t xml:space="preserve"> </w:t>
      </w:r>
      <w:proofErr w:type="spellStart"/>
      <w:r w:rsidRPr="00220850">
        <w:rPr>
          <w:sz w:val="22"/>
          <w:szCs w:val="24"/>
          <w:highlight w:val="lightGray"/>
        </w:rPr>
        <w:t>Park</w:t>
      </w:r>
      <w:proofErr w:type="spellEnd"/>
      <w:r w:rsidRPr="00220850">
        <w:rPr>
          <w:sz w:val="22"/>
          <w:szCs w:val="24"/>
          <w:highlight w:val="lightGray"/>
        </w:rPr>
        <w:t xml:space="preserve"> </w:t>
      </w:r>
      <w:proofErr w:type="spellStart"/>
      <w:r w:rsidRPr="00220850">
        <w:rPr>
          <w:sz w:val="22"/>
          <w:szCs w:val="24"/>
          <w:highlight w:val="lightGray"/>
        </w:rPr>
        <w:t>Building</w:t>
      </w:r>
      <w:proofErr w:type="spellEnd"/>
      <w:r w:rsidRPr="00220850">
        <w:rPr>
          <w:sz w:val="22"/>
          <w:szCs w:val="24"/>
          <w:highlight w:val="lightGray"/>
        </w:rPr>
        <w:t xml:space="preserve"> 1 </w:t>
      </w:r>
      <w:proofErr w:type="spellStart"/>
      <w:r w:rsidRPr="00220850">
        <w:rPr>
          <w:sz w:val="22"/>
          <w:szCs w:val="24"/>
          <w:highlight w:val="lightGray"/>
        </w:rPr>
        <w:t>Level</w:t>
      </w:r>
      <w:proofErr w:type="spellEnd"/>
      <w:r w:rsidRPr="00220850">
        <w:rPr>
          <w:sz w:val="22"/>
          <w:szCs w:val="24"/>
          <w:highlight w:val="lightGray"/>
        </w:rPr>
        <w:t xml:space="preserve"> 4</w:t>
      </w:r>
    </w:p>
    <w:p w14:paraId="5B667A3D" w14:textId="77777777" w:rsidR="001F1430" w:rsidRPr="00220850" w:rsidRDefault="001F1430" w:rsidP="001F1430">
      <w:pPr>
        <w:numPr>
          <w:ilvl w:val="12"/>
          <w:numId w:val="0"/>
        </w:numPr>
        <w:ind w:right="-2"/>
        <w:rPr>
          <w:sz w:val="22"/>
          <w:szCs w:val="24"/>
          <w:highlight w:val="lightGray"/>
        </w:rPr>
      </w:pPr>
      <w:proofErr w:type="spellStart"/>
      <w:r w:rsidRPr="00220850">
        <w:rPr>
          <w:sz w:val="22"/>
          <w:szCs w:val="24"/>
          <w:highlight w:val="lightGray"/>
        </w:rPr>
        <w:t>Sir</w:t>
      </w:r>
      <w:proofErr w:type="spellEnd"/>
      <w:r w:rsidRPr="00220850">
        <w:rPr>
          <w:sz w:val="22"/>
          <w:szCs w:val="24"/>
          <w:highlight w:val="lightGray"/>
        </w:rPr>
        <w:t xml:space="preserve"> </w:t>
      </w:r>
      <w:proofErr w:type="spellStart"/>
      <w:r w:rsidRPr="00220850">
        <w:rPr>
          <w:sz w:val="22"/>
          <w:szCs w:val="24"/>
          <w:highlight w:val="lightGray"/>
        </w:rPr>
        <w:t>Temi</w:t>
      </w:r>
      <w:proofErr w:type="spellEnd"/>
      <w:r w:rsidRPr="00220850">
        <w:rPr>
          <w:sz w:val="22"/>
          <w:szCs w:val="24"/>
          <w:highlight w:val="lightGray"/>
        </w:rPr>
        <w:t xml:space="preserve"> </w:t>
      </w:r>
      <w:proofErr w:type="spellStart"/>
      <w:r w:rsidRPr="00220850">
        <w:rPr>
          <w:sz w:val="22"/>
          <w:szCs w:val="24"/>
          <w:highlight w:val="lightGray"/>
        </w:rPr>
        <w:t>Zammit</w:t>
      </w:r>
      <w:proofErr w:type="spellEnd"/>
      <w:r w:rsidRPr="00220850">
        <w:rPr>
          <w:sz w:val="22"/>
          <w:szCs w:val="24"/>
          <w:highlight w:val="lightGray"/>
        </w:rPr>
        <w:t xml:space="preserve"> </w:t>
      </w:r>
      <w:proofErr w:type="spellStart"/>
      <w:r w:rsidRPr="00220850">
        <w:rPr>
          <w:sz w:val="22"/>
          <w:szCs w:val="24"/>
          <w:highlight w:val="lightGray"/>
        </w:rPr>
        <w:t>Buildings</w:t>
      </w:r>
      <w:proofErr w:type="spellEnd"/>
    </w:p>
    <w:p w14:paraId="056C5C24" w14:textId="77777777" w:rsidR="001F1430" w:rsidRPr="00220850" w:rsidRDefault="001F1430" w:rsidP="001F1430">
      <w:pPr>
        <w:numPr>
          <w:ilvl w:val="12"/>
          <w:numId w:val="0"/>
        </w:numPr>
        <w:ind w:right="-2"/>
        <w:rPr>
          <w:sz w:val="22"/>
          <w:szCs w:val="24"/>
          <w:highlight w:val="lightGray"/>
        </w:rPr>
      </w:pPr>
      <w:r w:rsidRPr="00220850">
        <w:rPr>
          <w:sz w:val="22"/>
          <w:szCs w:val="24"/>
          <w:highlight w:val="lightGray"/>
        </w:rPr>
        <w:t xml:space="preserve">San </w:t>
      </w:r>
      <w:proofErr w:type="spellStart"/>
      <w:r w:rsidRPr="00220850">
        <w:rPr>
          <w:sz w:val="22"/>
          <w:szCs w:val="24"/>
          <w:highlight w:val="lightGray"/>
        </w:rPr>
        <w:t>Gwann</w:t>
      </w:r>
      <w:proofErr w:type="spellEnd"/>
      <w:r w:rsidRPr="00220850">
        <w:rPr>
          <w:sz w:val="22"/>
          <w:szCs w:val="24"/>
          <w:highlight w:val="lightGray"/>
        </w:rPr>
        <w:t xml:space="preserve"> </w:t>
      </w:r>
      <w:proofErr w:type="spellStart"/>
      <w:r w:rsidRPr="00220850">
        <w:rPr>
          <w:sz w:val="22"/>
          <w:szCs w:val="24"/>
          <w:highlight w:val="lightGray"/>
        </w:rPr>
        <w:t>Industrial</w:t>
      </w:r>
      <w:proofErr w:type="spellEnd"/>
      <w:r w:rsidRPr="00220850">
        <w:rPr>
          <w:sz w:val="22"/>
          <w:szCs w:val="24"/>
          <w:highlight w:val="lightGray"/>
        </w:rPr>
        <w:t xml:space="preserve"> </w:t>
      </w:r>
      <w:proofErr w:type="spellStart"/>
      <w:r w:rsidRPr="00220850">
        <w:rPr>
          <w:sz w:val="22"/>
          <w:szCs w:val="24"/>
          <w:highlight w:val="lightGray"/>
        </w:rPr>
        <w:t>Estate</w:t>
      </w:r>
      <w:proofErr w:type="spellEnd"/>
      <w:r w:rsidRPr="00220850">
        <w:rPr>
          <w:sz w:val="22"/>
          <w:szCs w:val="24"/>
          <w:highlight w:val="lightGray"/>
        </w:rPr>
        <w:t>, SGN 3000</w:t>
      </w:r>
    </w:p>
    <w:p w14:paraId="29178CB9" w14:textId="77777777" w:rsidR="001F1430" w:rsidRPr="00220850" w:rsidRDefault="001F1430" w:rsidP="001F1430">
      <w:pPr>
        <w:numPr>
          <w:ilvl w:val="12"/>
          <w:numId w:val="0"/>
        </w:numPr>
        <w:ind w:right="-2"/>
        <w:rPr>
          <w:sz w:val="22"/>
          <w:szCs w:val="24"/>
          <w:highlight w:val="lightGray"/>
        </w:rPr>
      </w:pPr>
      <w:r w:rsidRPr="00220850">
        <w:rPr>
          <w:sz w:val="22"/>
          <w:szCs w:val="24"/>
          <w:highlight w:val="lightGray"/>
        </w:rPr>
        <w:t>Malta</w:t>
      </w:r>
    </w:p>
    <w:p w14:paraId="077E5F2A" w14:textId="77777777" w:rsidR="001F1430" w:rsidRPr="00220850" w:rsidRDefault="001F1430" w:rsidP="001F1430">
      <w:pPr>
        <w:numPr>
          <w:ilvl w:val="12"/>
          <w:numId w:val="0"/>
        </w:numPr>
        <w:ind w:right="-2"/>
        <w:rPr>
          <w:sz w:val="22"/>
          <w:szCs w:val="24"/>
          <w:highlight w:val="lightGray"/>
        </w:rPr>
      </w:pPr>
    </w:p>
    <w:p w14:paraId="53B9E879" w14:textId="4C95B0AC" w:rsidR="001F1430" w:rsidRPr="00220850" w:rsidRDefault="00A1736E" w:rsidP="001F1430">
      <w:pPr>
        <w:numPr>
          <w:ilvl w:val="12"/>
          <w:numId w:val="0"/>
        </w:numPr>
        <w:ind w:right="-2"/>
        <w:rPr>
          <w:sz w:val="22"/>
          <w:szCs w:val="24"/>
          <w:highlight w:val="lightGray"/>
        </w:rPr>
      </w:pPr>
      <w:proofErr w:type="spellStart"/>
      <w:r w:rsidRPr="00220850">
        <w:rPr>
          <w:sz w:val="22"/>
          <w:szCs w:val="24"/>
          <w:highlight w:val="lightGray"/>
        </w:rPr>
        <w:t>Qualimetrix</w:t>
      </w:r>
      <w:proofErr w:type="spellEnd"/>
      <w:r w:rsidRPr="00220850">
        <w:rPr>
          <w:sz w:val="22"/>
          <w:szCs w:val="24"/>
          <w:highlight w:val="lightGray"/>
        </w:rPr>
        <w:t xml:space="preserve"> S.A.</w:t>
      </w:r>
      <w:r w:rsidRPr="00220850" w:rsidDel="00A1736E">
        <w:rPr>
          <w:sz w:val="22"/>
          <w:szCs w:val="24"/>
          <w:highlight w:val="lightGray"/>
        </w:rPr>
        <w:t xml:space="preserve"> </w:t>
      </w:r>
      <w:r w:rsidRPr="00220850">
        <w:rPr>
          <w:highlight w:val="lightGray"/>
        </w:rPr>
        <w:t xml:space="preserve">579 </w:t>
      </w:r>
      <w:proofErr w:type="spellStart"/>
      <w:r w:rsidRPr="00220850">
        <w:rPr>
          <w:highlight w:val="lightGray"/>
        </w:rPr>
        <w:t>Mesogeion</w:t>
      </w:r>
      <w:proofErr w:type="spellEnd"/>
      <w:r w:rsidRPr="00220850">
        <w:rPr>
          <w:highlight w:val="lightGray"/>
        </w:rPr>
        <w:t xml:space="preserve"> </w:t>
      </w:r>
      <w:proofErr w:type="spellStart"/>
      <w:r w:rsidRPr="00220850">
        <w:rPr>
          <w:highlight w:val="lightGray"/>
        </w:rPr>
        <w:t>Avenue</w:t>
      </w:r>
      <w:proofErr w:type="spellEnd"/>
      <w:r w:rsidRPr="00220850">
        <w:rPr>
          <w:highlight w:val="lightGray"/>
        </w:rPr>
        <w:t xml:space="preserve">, </w:t>
      </w:r>
      <w:proofErr w:type="spellStart"/>
      <w:r w:rsidRPr="00220850">
        <w:rPr>
          <w:highlight w:val="lightGray"/>
        </w:rPr>
        <w:t>Agia</w:t>
      </w:r>
      <w:proofErr w:type="spellEnd"/>
      <w:r w:rsidRPr="00220850">
        <w:rPr>
          <w:highlight w:val="lightGray"/>
        </w:rPr>
        <w:t xml:space="preserve"> </w:t>
      </w:r>
      <w:proofErr w:type="spellStart"/>
      <w:r w:rsidRPr="00220850">
        <w:rPr>
          <w:highlight w:val="lightGray"/>
        </w:rPr>
        <w:t>Paraskevi</w:t>
      </w:r>
      <w:proofErr w:type="spellEnd"/>
    </w:p>
    <w:p w14:paraId="1E185BDA" w14:textId="77777777" w:rsidR="001F1430" w:rsidRPr="00220850" w:rsidRDefault="001F1430" w:rsidP="001F1430">
      <w:pPr>
        <w:numPr>
          <w:ilvl w:val="12"/>
          <w:numId w:val="0"/>
        </w:numPr>
        <w:ind w:right="-2"/>
        <w:rPr>
          <w:sz w:val="22"/>
          <w:szCs w:val="24"/>
          <w:highlight w:val="lightGray"/>
        </w:rPr>
      </w:pPr>
      <w:proofErr w:type="spellStart"/>
      <w:r w:rsidRPr="00220850">
        <w:rPr>
          <w:sz w:val="22"/>
          <w:szCs w:val="24"/>
          <w:highlight w:val="lightGray"/>
        </w:rPr>
        <w:t>Athens</w:t>
      </w:r>
      <w:proofErr w:type="spellEnd"/>
      <w:r w:rsidRPr="00220850">
        <w:rPr>
          <w:sz w:val="22"/>
          <w:szCs w:val="24"/>
          <w:highlight w:val="lightGray"/>
        </w:rPr>
        <w:t>, 15343</w:t>
      </w:r>
    </w:p>
    <w:p w14:paraId="27887145" w14:textId="77777777" w:rsidR="001F1430" w:rsidRPr="00220850" w:rsidRDefault="001F1430" w:rsidP="001F1430">
      <w:pPr>
        <w:numPr>
          <w:ilvl w:val="12"/>
          <w:numId w:val="0"/>
        </w:numPr>
        <w:ind w:right="-2"/>
        <w:rPr>
          <w:sz w:val="22"/>
          <w:szCs w:val="24"/>
        </w:rPr>
      </w:pPr>
      <w:r w:rsidRPr="00220850">
        <w:rPr>
          <w:sz w:val="22"/>
          <w:szCs w:val="24"/>
          <w:highlight w:val="lightGray"/>
        </w:rPr>
        <w:t>Graikija</w:t>
      </w:r>
    </w:p>
    <w:p w14:paraId="5ED0BE0C" w14:textId="77777777" w:rsidR="007B29EE" w:rsidRPr="00220850" w:rsidRDefault="007B29EE" w:rsidP="001F1430">
      <w:pPr>
        <w:numPr>
          <w:ilvl w:val="12"/>
          <w:numId w:val="0"/>
        </w:numPr>
        <w:ind w:right="-2"/>
        <w:rPr>
          <w:sz w:val="22"/>
          <w:szCs w:val="24"/>
        </w:rPr>
      </w:pPr>
    </w:p>
    <w:p w14:paraId="7F3F3AF6" w14:textId="77777777" w:rsidR="00CA34DC" w:rsidRPr="00220850" w:rsidRDefault="00CA34DC" w:rsidP="00CA34DC">
      <w:pPr>
        <w:numPr>
          <w:ilvl w:val="12"/>
          <w:numId w:val="0"/>
        </w:numPr>
        <w:ind w:right="-2"/>
        <w:rPr>
          <w:sz w:val="22"/>
          <w:szCs w:val="24"/>
          <w:highlight w:val="lightGray"/>
        </w:rPr>
      </w:pPr>
      <w:proofErr w:type="spellStart"/>
      <w:r w:rsidRPr="00220850">
        <w:rPr>
          <w:sz w:val="22"/>
          <w:szCs w:val="24"/>
          <w:highlight w:val="lightGray"/>
        </w:rPr>
        <w:t>Teva</w:t>
      </w:r>
      <w:proofErr w:type="spellEnd"/>
      <w:r w:rsidRPr="00220850">
        <w:rPr>
          <w:sz w:val="22"/>
          <w:szCs w:val="24"/>
          <w:highlight w:val="lightGray"/>
        </w:rPr>
        <w:t xml:space="preserve"> </w:t>
      </w:r>
      <w:proofErr w:type="spellStart"/>
      <w:r w:rsidRPr="00220850">
        <w:rPr>
          <w:sz w:val="22"/>
          <w:szCs w:val="24"/>
          <w:highlight w:val="lightGray"/>
        </w:rPr>
        <w:t>Operations</w:t>
      </w:r>
      <w:proofErr w:type="spellEnd"/>
      <w:r w:rsidRPr="00220850">
        <w:rPr>
          <w:sz w:val="22"/>
          <w:szCs w:val="24"/>
          <w:highlight w:val="lightGray"/>
        </w:rPr>
        <w:t xml:space="preserve"> </w:t>
      </w:r>
      <w:proofErr w:type="spellStart"/>
      <w:r w:rsidRPr="00220850">
        <w:rPr>
          <w:sz w:val="22"/>
          <w:szCs w:val="24"/>
          <w:highlight w:val="lightGray"/>
        </w:rPr>
        <w:t>Poland</w:t>
      </w:r>
      <w:proofErr w:type="spellEnd"/>
      <w:r w:rsidRPr="00220850">
        <w:rPr>
          <w:sz w:val="22"/>
          <w:szCs w:val="24"/>
          <w:highlight w:val="lightGray"/>
        </w:rPr>
        <w:t xml:space="preserve"> Sp. </w:t>
      </w:r>
      <w:proofErr w:type="spellStart"/>
      <w:r w:rsidRPr="00220850">
        <w:rPr>
          <w:sz w:val="22"/>
          <w:szCs w:val="24"/>
          <w:highlight w:val="lightGray"/>
        </w:rPr>
        <w:t>z.o.o</w:t>
      </w:r>
      <w:proofErr w:type="spellEnd"/>
      <w:r w:rsidRPr="00220850">
        <w:rPr>
          <w:sz w:val="22"/>
          <w:szCs w:val="24"/>
          <w:highlight w:val="lightGray"/>
        </w:rPr>
        <w:t>.</w:t>
      </w:r>
    </w:p>
    <w:p w14:paraId="37C5EB86" w14:textId="77777777" w:rsidR="00CA34DC" w:rsidRPr="00220850" w:rsidRDefault="00CA34DC" w:rsidP="00CA34DC">
      <w:pPr>
        <w:numPr>
          <w:ilvl w:val="12"/>
          <w:numId w:val="0"/>
        </w:numPr>
        <w:ind w:right="-2"/>
        <w:rPr>
          <w:sz w:val="22"/>
          <w:szCs w:val="24"/>
          <w:highlight w:val="lightGray"/>
        </w:rPr>
      </w:pPr>
      <w:proofErr w:type="spellStart"/>
      <w:r w:rsidRPr="00220850">
        <w:rPr>
          <w:sz w:val="22"/>
          <w:szCs w:val="24"/>
          <w:highlight w:val="lightGray"/>
        </w:rPr>
        <w:t>Ul</w:t>
      </w:r>
      <w:proofErr w:type="spellEnd"/>
      <w:r w:rsidRPr="00220850">
        <w:rPr>
          <w:sz w:val="22"/>
          <w:szCs w:val="24"/>
          <w:highlight w:val="lightGray"/>
        </w:rPr>
        <w:t xml:space="preserve">. </w:t>
      </w:r>
      <w:proofErr w:type="spellStart"/>
      <w:r w:rsidRPr="00220850">
        <w:rPr>
          <w:sz w:val="22"/>
          <w:szCs w:val="24"/>
          <w:highlight w:val="lightGray"/>
        </w:rPr>
        <w:t>Mogilska</w:t>
      </w:r>
      <w:proofErr w:type="spellEnd"/>
      <w:r w:rsidRPr="00220850">
        <w:rPr>
          <w:sz w:val="22"/>
          <w:szCs w:val="24"/>
          <w:highlight w:val="lightGray"/>
        </w:rPr>
        <w:t xml:space="preserve"> 80</w:t>
      </w:r>
    </w:p>
    <w:p w14:paraId="3EE94CC5" w14:textId="77777777" w:rsidR="00CA34DC" w:rsidRPr="00220850" w:rsidRDefault="00CA34DC" w:rsidP="00CA34DC">
      <w:pPr>
        <w:numPr>
          <w:ilvl w:val="12"/>
          <w:numId w:val="0"/>
        </w:numPr>
        <w:ind w:right="-2"/>
        <w:rPr>
          <w:sz w:val="22"/>
          <w:szCs w:val="24"/>
          <w:highlight w:val="lightGray"/>
        </w:rPr>
      </w:pPr>
      <w:r w:rsidRPr="00220850">
        <w:rPr>
          <w:sz w:val="22"/>
          <w:szCs w:val="24"/>
          <w:highlight w:val="lightGray"/>
        </w:rPr>
        <w:t xml:space="preserve">31-546 </w:t>
      </w:r>
      <w:proofErr w:type="spellStart"/>
      <w:r w:rsidRPr="00220850">
        <w:rPr>
          <w:sz w:val="22"/>
          <w:szCs w:val="24"/>
          <w:highlight w:val="lightGray"/>
        </w:rPr>
        <w:t>Kraków</w:t>
      </w:r>
      <w:proofErr w:type="spellEnd"/>
    </w:p>
    <w:p w14:paraId="1732FA49" w14:textId="77777777" w:rsidR="00CA34DC" w:rsidRPr="00220850" w:rsidRDefault="00CA34DC" w:rsidP="00CA34DC">
      <w:pPr>
        <w:numPr>
          <w:ilvl w:val="12"/>
          <w:numId w:val="0"/>
        </w:numPr>
        <w:ind w:right="-2"/>
        <w:rPr>
          <w:sz w:val="22"/>
          <w:szCs w:val="24"/>
        </w:rPr>
      </w:pPr>
      <w:r w:rsidRPr="00220850">
        <w:rPr>
          <w:sz w:val="22"/>
          <w:szCs w:val="24"/>
          <w:highlight w:val="lightGray"/>
        </w:rPr>
        <w:t>Lenkija</w:t>
      </w:r>
    </w:p>
    <w:p w14:paraId="48FE3CA5" w14:textId="77777777" w:rsidR="00663878" w:rsidRPr="00220850" w:rsidRDefault="00663878" w:rsidP="00663878">
      <w:pPr>
        <w:numPr>
          <w:ilvl w:val="12"/>
          <w:numId w:val="0"/>
        </w:numPr>
        <w:ind w:right="-2"/>
        <w:rPr>
          <w:sz w:val="22"/>
          <w:szCs w:val="24"/>
        </w:rPr>
      </w:pPr>
    </w:p>
    <w:p w14:paraId="48398225" w14:textId="65A40DC0" w:rsidR="007B29EE" w:rsidRPr="00220850" w:rsidRDefault="007B29EE" w:rsidP="007B29EE">
      <w:pPr>
        <w:keepNext/>
        <w:ind w:right="-94"/>
        <w:rPr>
          <w:rFonts w:eastAsia="Calibri"/>
          <w:noProof/>
          <w:snapToGrid w:val="0"/>
          <w:sz w:val="22"/>
          <w:szCs w:val="22"/>
        </w:rPr>
      </w:pPr>
      <w:r w:rsidRPr="00220850">
        <w:rPr>
          <w:rFonts w:eastAsia="Calibri"/>
          <w:noProof/>
          <w:snapToGrid w:val="0"/>
          <w:sz w:val="22"/>
          <w:szCs w:val="22"/>
        </w:rPr>
        <w:t>Su pakuote pateikiamame lapelyje nurodomas gamintojo, atsakingo už konkrečios serijos išleidimą, pavadinimas ir adresas.</w:t>
      </w:r>
    </w:p>
    <w:p w14:paraId="6DA5916E" w14:textId="77777777" w:rsidR="007B29EE" w:rsidRPr="00220850" w:rsidRDefault="007B29EE" w:rsidP="00E65848">
      <w:pPr>
        <w:keepNext/>
        <w:ind w:right="-94"/>
        <w:rPr>
          <w:rFonts w:eastAsia="Calibri"/>
          <w:noProof/>
          <w:snapToGrid w:val="0"/>
        </w:rPr>
      </w:pPr>
    </w:p>
    <w:p w14:paraId="6DF9FAC2" w14:textId="386E2AF3" w:rsidR="00DE01F8" w:rsidRPr="00220850" w:rsidRDefault="00DE01F8" w:rsidP="00A9682A">
      <w:pPr>
        <w:shd w:val="clear" w:color="auto" w:fill="FFFFFF"/>
        <w:rPr>
          <w:sz w:val="22"/>
          <w:szCs w:val="24"/>
        </w:rPr>
      </w:pPr>
    </w:p>
    <w:p w14:paraId="2A15C79C" w14:textId="77777777" w:rsidR="00DE01F8" w:rsidRPr="00220850" w:rsidRDefault="002D5C8E">
      <w:pPr>
        <w:tabs>
          <w:tab w:val="left" w:pos="567"/>
        </w:tabs>
        <w:ind w:left="567" w:hanging="567"/>
        <w:rPr>
          <w:sz w:val="22"/>
          <w:szCs w:val="24"/>
        </w:rPr>
      </w:pPr>
      <w:r w:rsidRPr="00220850">
        <w:rPr>
          <w:b/>
          <w:sz w:val="22"/>
          <w:szCs w:val="24"/>
        </w:rPr>
        <w:t>B.</w:t>
      </w:r>
      <w:r w:rsidRPr="00220850">
        <w:rPr>
          <w:b/>
          <w:sz w:val="22"/>
          <w:szCs w:val="24"/>
        </w:rPr>
        <w:tab/>
        <w:t>TIEKIMO IR VARTOJIMO SĄLYGOS AR APRIBOJIMAI</w:t>
      </w:r>
    </w:p>
    <w:p w14:paraId="20976B23" w14:textId="77777777" w:rsidR="00DE01F8" w:rsidRPr="00220850" w:rsidRDefault="00DE01F8">
      <w:pPr>
        <w:tabs>
          <w:tab w:val="left" w:pos="567"/>
        </w:tabs>
        <w:spacing w:line="260" w:lineRule="exact"/>
        <w:rPr>
          <w:sz w:val="22"/>
          <w:szCs w:val="24"/>
        </w:rPr>
      </w:pPr>
    </w:p>
    <w:p w14:paraId="6BF5F1C8" w14:textId="77777777" w:rsidR="00DE01F8" w:rsidRPr="00220850" w:rsidRDefault="002D5C8E">
      <w:pPr>
        <w:tabs>
          <w:tab w:val="left" w:pos="567"/>
        </w:tabs>
        <w:spacing w:line="260" w:lineRule="exact"/>
        <w:rPr>
          <w:sz w:val="22"/>
          <w:szCs w:val="24"/>
        </w:rPr>
      </w:pPr>
      <w:r w:rsidRPr="00220850">
        <w:rPr>
          <w:sz w:val="22"/>
        </w:rPr>
        <w:t>R</w:t>
      </w:r>
      <w:r w:rsidR="00A9682A" w:rsidRPr="00220850">
        <w:rPr>
          <w:sz w:val="22"/>
        </w:rPr>
        <w:t>eceptinis vaistinis preparatas.</w:t>
      </w:r>
    </w:p>
    <w:p w14:paraId="55497E37" w14:textId="77777777" w:rsidR="00DE01F8" w:rsidRPr="00220850" w:rsidRDefault="00DE01F8">
      <w:pPr>
        <w:tabs>
          <w:tab w:val="left" w:pos="567"/>
        </w:tabs>
        <w:spacing w:line="260" w:lineRule="exact"/>
        <w:rPr>
          <w:sz w:val="22"/>
          <w:szCs w:val="24"/>
        </w:rPr>
      </w:pPr>
    </w:p>
    <w:p w14:paraId="7F7BE7DB" w14:textId="77777777" w:rsidR="00DE01F8" w:rsidRPr="00220850" w:rsidRDefault="00DE01F8">
      <w:pPr>
        <w:tabs>
          <w:tab w:val="left" w:pos="4962"/>
        </w:tabs>
        <w:ind w:firstLine="4962"/>
        <w:sectPr w:rsidR="00DE01F8" w:rsidRPr="00220850" w:rsidSect="00237C83">
          <w:pgSz w:w="11906" w:h="16838"/>
          <w:pgMar w:top="720" w:right="849" w:bottom="720" w:left="1701" w:header="567" w:footer="567" w:gutter="0"/>
          <w:pgNumType w:start="1" w:chapStyle="1"/>
          <w:cols w:space="1296"/>
          <w:titlePg/>
          <w:docGrid w:linePitch="360"/>
        </w:sectPr>
      </w:pPr>
    </w:p>
    <w:p w14:paraId="4F7AC1A1" w14:textId="77777777" w:rsidR="00DE01F8" w:rsidRPr="00220850" w:rsidRDefault="00DE01F8">
      <w:pPr>
        <w:tabs>
          <w:tab w:val="left" w:pos="567"/>
        </w:tabs>
        <w:spacing w:line="260" w:lineRule="exact"/>
        <w:rPr>
          <w:sz w:val="22"/>
        </w:rPr>
      </w:pPr>
    </w:p>
    <w:p w14:paraId="33632E1B" w14:textId="77777777" w:rsidR="00DE01F8" w:rsidRPr="00220850" w:rsidRDefault="00DE01F8">
      <w:pPr>
        <w:tabs>
          <w:tab w:val="left" w:pos="567"/>
        </w:tabs>
        <w:spacing w:line="260" w:lineRule="exact"/>
        <w:rPr>
          <w:sz w:val="22"/>
        </w:rPr>
      </w:pPr>
    </w:p>
    <w:p w14:paraId="7EEC9BDE" w14:textId="77777777" w:rsidR="00DE01F8" w:rsidRPr="00220850" w:rsidRDefault="00DE01F8">
      <w:pPr>
        <w:tabs>
          <w:tab w:val="left" w:pos="567"/>
        </w:tabs>
        <w:spacing w:line="260" w:lineRule="exact"/>
        <w:rPr>
          <w:sz w:val="22"/>
        </w:rPr>
      </w:pPr>
    </w:p>
    <w:p w14:paraId="5624A096" w14:textId="77777777" w:rsidR="00DE01F8" w:rsidRPr="00220850" w:rsidRDefault="00DE01F8">
      <w:pPr>
        <w:tabs>
          <w:tab w:val="left" w:pos="567"/>
        </w:tabs>
        <w:spacing w:line="260" w:lineRule="exact"/>
        <w:rPr>
          <w:sz w:val="22"/>
        </w:rPr>
      </w:pPr>
    </w:p>
    <w:p w14:paraId="56318DF5" w14:textId="77777777" w:rsidR="00DE01F8" w:rsidRPr="00220850" w:rsidRDefault="00DE01F8">
      <w:pPr>
        <w:tabs>
          <w:tab w:val="left" w:pos="567"/>
        </w:tabs>
        <w:spacing w:line="260" w:lineRule="exact"/>
        <w:rPr>
          <w:sz w:val="22"/>
        </w:rPr>
      </w:pPr>
    </w:p>
    <w:p w14:paraId="461FC652" w14:textId="77777777" w:rsidR="00DE01F8" w:rsidRPr="00220850" w:rsidRDefault="00DE01F8">
      <w:pPr>
        <w:tabs>
          <w:tab w:val="left" w:pos="567"/>
        </w:tabs>
        <w:spacing w:line="260" w:lineRule="exact"/>
        <w:rPr>
          <w:sz w:val="22"/>
        </w:rPr>
      </w:pPr>
    </w:p>
    <w:p w14:paraId="4C081B38" w14:textId="77777777" w:rsidR="00DE01F8" w:rsidRPr="00220850" w:rsidRDefault="00DE01F8">
      <w:pPr>
        <w:tabs>
          <w:tab w:val="left" w:pos="567"/>
        </w:tabs>
        <w:spacing w:line="260" w:lineRule="exact"/>
        <w:rPr>
          <w:sz w:val="22"/>
        </w:rPr>
      </w:pPr>
    </w:p>
    <w:p w14:paraId="6E090E9B" w14:textId="77777777" w:rsidR="00DE01F8" w:rsidRPr="00220850" w:rsidRDefault="00DE01F8">
      <w:pPr>
        <w:tabs>
          <w:tab w:val="left" w:pos="567"/>
        </w:tabs>
        <w:spacing w:line="260" w:lineRule="exact"/>
        <w:rPr>
          <w:sz w:val="22"/>
        </w:rPr>
      </w:pPr>
    </w:p>
    <w:p w14:paraId="6C823349" w14:textId="77777777" w:rsidR="00DE01F8" w:rsidRPr="00220850" w:rsidRDefault="00DE01F8">
      <w:pPr>
        <w:tabs>
          <w:tab w:val="left" w:pos="567"/>
        </w:tabs>
        <w:spacing w:line="260" w:lineRule="exact"/>
        <w:rPr>
          <w:sz w:val="22"/>
        </w:rPr>
      </w:pPr>
    </w:p>
    <w:p w14:paraId="59F675C6" w14:textId="77777777" w:rsidR="00DE01F8" w:rsidRPr="00220850" w:rsidRDefault="00DE01F8">
      <w:pPr>
        <w:tabs>
          <w:tab w:val="left" w:pos="567"/>
        </w:tabs>
        <w:spacing w:line="260" w:lineRule="exact"/>
        <w:rPr>
          <w:sz w:val="22"/>
        </w:rPr>
      </w:pPr>
    </w:p>
    <w:p w14:paraId="5F110951" w14:textId="77777777" w:rsidR="00DE01F8" w:rsidRPr="00220850" w:rsidRDefault="00DE01F8">
      <w:pPr>
        <w:tabs>
          <w:tab w:val="left" w:pos="567"/>
        </w:tabs>
        <w:spacing w:line="260" w:lineRule="exact"/>
        <w:rPr>
          <w:sz w:val="22"/>
        </w:rPr>
      </w:pPr>
    </w:p>
    <w:p w14:paraId="2B9F40D8" w14:textId="77777777" w:rsidR="00DE01F8" w:rsidRPr="00220850" w:rsidRDefault="00DE01F8">
      <w:pPr>
        <w:tabs>
          <w:tab w:val="left" w:pos="567"/>
        </w:tabs>
        <w:spacing w:line="260" w:lineRule="exact"/>
        <w:rPr>
          <w:sz w:val="22"/>
        </w:rPr>
      </w:pPr>
    </w:p>
    <w:p w14:paraId="17875ED6" w14:textId="77777777" w:rsidR="00DE01F8" w:rsidRPr="00220850" w:rsidRDefault="00DE01F8">
      <w:pPr>
        <w:tabs>
          <w:tab w:val="left" w:pos="567"/>
        </w:tabs>
        <w:spacing w:line="260" w:lineRule="exact"/>
        <w:rPr>
          <w:sz w:val="22"/>
        </w:rPr>
      </w:pPr>
    </w:p>
    <w:p w14:paraId="3F4DEC58" w14:textId="77777777" w:rsidR="00DE01F8" w:rsidRPr="00220850" w:rsidRDefault="00DE01F8">
      <w:pPr>
        <w:tabs>
          <w:tab w:val="left" w:pos="567"/>
        </w:tabs>
        <w:spacing w:line="260" w:lineRule="exact"/>
        <w:rPr>
          <w:sz w:val="22"/>
        </w:rPr>
      </w:pPr>
    </w:p>
    <w:p w14:paraId="2B70B314" w14:textId="77777777" w:rsidR="00DE01F8" w:rsidRPr="00220850" w:rsidRDefault="00DE01F8">
      <w:pPr>
        <w:tabs>
          <w:tab w:val="left" w:pos="567"/>
        </w:tabs>
        <w:spacing w:line="260" w:lineRule="exact"/>
        <w:rPr>
          <w:sz w:val="22"/>
        </w:rPr>
      </w:pPr>
    </w:p>
    <w:p w14:paraId="1D92C834" w14:textId="77777777" w:rsidR="00DE01F8" w:rsidRPr="00220850" w:rsidRDefault="00DE01F8">
      <w:pPr>
        <w:tabs>
          <w:tab w:val="left" w:pos="567"/>
        </w:tabs>
        <w:spacing w:line="260" w:lineRule="exact"/>
        <w:rPr>
          <w:sz w:val="22"/>
        </w:rPr>
      </w:pPr>
    </w:p>
    <w:p w14:paraId="231746BD" w14:textId="77777777" w:rsidR="00DE01F8" w:rsidRPr="00220850" w:rsidRDefault="00DE01F8">
      <w:pPr>
        <w:tabs>
          <w:tab w:val="left" w:pos="567"/>
        </w:tabs>
        <w:spacing w:line="260" w:lineRule="exact"/>
        <w:rPr>
          <w:b/>
          <w:sz w:val="22"/>
        </w:rPr>
      </w:pPr>
    </w:p>
    <w:p w14:paraId="4F017DF3" w14:textId="77777777" w:rsidR="00DE01F8" w:rsidRPr="00220850" w:rsidRDefault="00DE01F8">
      <w:pPr>
        <w:tabs>
          <w:tab w:val="left" w:pos="567"/>
        </w:tabs>
        <w:spacing w:line="260" w:lineRule="exact"/>
        <w:rPr>
          <w:b/>
          <w:sz w:val="22"/>
        </w:rPr>
      </w:pPr>
    </w:p>
    <w:p w14:paraId="0749C373" w14:textId="77777777" w:rsidR="00DE01F8" w:rsidRPr="00220850" w:rsidRDefault="00DE01F8">
      <w:pPr>
        <w:tabs>
          <w:tab w:val="left" w:pos="567"/>
        </w:tabs>
        <w:spacing w:line="260" w:lineRule="exact"/>
        <w:rPr>
          <w:b/>
          <w:sz w:val="22"/>
        </w:rPr>
      </w:pPr>
    </w:p>
    <w:p w14:paraId="33DBC308" w14:textId="77777777" w:rsidR="00DE01F8" w:rsidRPr="00220850" w:rsidRDefault="00DE01F8">
      <w:pPr>
        <w:tabs>
          <w:tab w:val="left" w:pos="567"/>
        </w:tabs>
        <w:spacing w:line="260" w:lineRule="exact"/>
        <w:rPr>
          <w:b/>
          <w:sz w:val="22"/>
        </w:rPr>
      </w:pPr>
    </w:p>
    <w:p w14:paraId="10D5E2D9" w14:textId="77777777" w:rsidR="00DE01F8" w:rsidRPr="00220850" w:rsidRDefault="00DE01F8">
      <w:pPr>
        <w:tabs>
          <w:tab w:val="left" w:pos="567"/>
        </w:tabs>
        <w:spacing w:line="260" w:lineRule="exact"/>
        <w:rPr>
          <w:b/>
          <w:sz w:val="22"/>
        </w:rPr>
      </w:pPr>
    </w:p>
    <w:p w14:paraId="786C699B" w14:textId="77777777" w:rsidR="00DE01F8" w:rsidRPr="00220850" w:rsidRDefault="00DE01F8">
      <w:pPr>
        <w:tabs>
          <w:tab w:val="left" w:pos="567"/>
        </w:tabs>
        <w:spacing w:line="260" w:lineRule="exact"/>
        <w:rPr>
          <w:b/>
          <w:sz w:val="22"/>
        </w:rPr>
      </w:pPr>
    </w:p>
    <w:p w14:paraId="721C6A26" w14:textId="77777777" w:rsidR="00DE01F8" w:rsidRPr="00220850" w:rsidRDefault="002D5C8E">
      <w:pPr>
        <w:keepNext/>
        <w:tabs>
          <w:tab w:val="left" w:pos="567"/>
        </w:tabs>
        <w:jc w:val="center"/>
        <w:outlineLvl w:val="1"/>
        <w:rPr>
          <w:b/>
          <w:sz w:val="22"/>
          <w:szCs w:val="24"/>
          <w:lang w:eastAsia="x-none"/>
        </w:rPr>
      </w:pPr>
      <w:r w:rsidRPr="00220850">
        <w:rPr>
          <w:b/>
          <w:bCs/>
          <w:iCs/>
          <w:sz w:val="22"/>
          <w:szCs w:val="28"/>
          <w:lang w:eastAsia="x-none"/>
        </w:rPr>
        <w:t>III PRIEDAS</w:t>
      </w:r>
    </w:p>
    <w:p w14:paraId="472123F9" w14:textId="77777777" w:rsidR="00DE01F8" w:rsidRPr="00220850" w:rsidRDefault="00DE01F8">
      <w:pPr>
        <w:tabs>
          <w:tab w:val="left" w:pos="567"/>
        </w:tabs>
        <w:spacing w:line="260" w:lineRule="exact"/>
        <w:rPr>
          <w:sz w:val="22"/>
          <w:szCs w:val="24"/>
        </w:rPr>
      </w:pPr>
    </w:p>
    <w:p w14:paraId="5D6DDE26" w14:textId="77777777" w:rsidR="00DE01F8" w:rsidRPr="00220850" w:rsidRDefault="002D5C8E">
      <w:pPr>
        <w:keepNext/>
        <w:tabs>
          <w:tab w:val="left" w:pos="567"/>
        </w:tabs>
        <w:jc w:val="center"/>
        <w:outlineLvl w:val="1"/>
        <w:rPr>
          <w:b/>
          <w:sz w:val="22"/>
          <w:szCs w:val="24"/>
          <w:lang w:eastAsia="x-none"/>
        </w:rPr>
      </w:pPr>
      <w:r w:rsidRPr="00220850">
        <w:rPr>
          <w:b/>
          <w:bCs/>
          <w:iCs/>
          <w:sz w:val="22"/>
          <w:szCs w:val="28"/>
          <w:lang w:eastAsia="x-none"/>
        </w:rPr>
        <w:t>ŽENKLINIMAS IR PAKUOTĖS LAPELIS</w:t>
      </w:r>
    </w:p>
    <w:p w14:paraId="5AF037B6" w14:textId="77777777" w:rsidR="00DE01F8" w:rsidRPr="00220850" w:rsidRDefault="002D5C8E">
      <w:pPr>
        <w:tabs>
          <w:tab w:val="left" w:pos="567"/>
        </w:tabs>
        <w:spacing w:line="260" w:lineRule="exact"/>
        <w:rPr>
          <w:sz w:val="22"/>
          <w:szCs w:val="24"/>
        </w:rPr>
      </w:pPr>
      <w:r w:rsidRPr="00220850">
        <w:rPr>
          <w:sz w:val="22"/>
          <w:szCs w:val="24"/>
        </w:rPr>
        <w:br w:type="page"/>
      </w:r>
    </w:p>
    <w:p w14:paraId="4C962E23" w14:textId="77777777" w:rsidR="00DE01F8" w:rsidRPr="00220850" w:rsidRDefault="00DE01F8">
      <w:pPr>
        <w:tabs>
          <w:tab w:val="left" w:pos="567"/>
        </w:tabs>
        <w:spacing w:line="260" w:lineRule="exact"/>
        <w:rPr>
          <w:sz w:val="22"/>
          <w:szCs w:val="24"/>
        </w:rPr>
      </w:pPr>
    </w:p>
    <w:p w14:paraId="3874D992" w14:textId="77777777" w:rsidR="00DE01F8" w:rsidRPr="00220850" w:rsidRDefault="00DE01F8">
      <w:pPr>
        <w:tabs>
          <w:tab w:val="left" w:pos="567"/>
        </w:tabs>
        <w:spacing w:line="260" w:lineRule="exact"/>
        <w:rPr>
          <w:sz w:val="22"/>
          <w:szCs w:val="24"/>
        </w:rPr>
      </w:pPr>
    </w:p>
    <w:p w14:paraId="75CB7C3E" w14:textId="77777777" w:rsidR="00DE01F8" w:rsidRPr="00220850" w:rsidRDefault="00DE01F8">
      <w:pPr>
        <w:tabs>
          <w:tab w:val="left" w:pos="567"/>
        </w:tabs>
        <w:spacing w:line="260" w:lineRule="exact"/>
        <w:rPr>
          <w:sz w:val="22"/>
          <w:szCs w:val="24"/>
        </w:rPr>
      </w:pPr>
    </w:p>
    <w:p w14:paraId="1A6A5E4C" w14:textId="77777777" w:rsidR="00DE01F8" w:rsidRPr="00220850" w:rsidRDefault="00DE01F8">
      <w:pPr>
        <w:tabs>
          <w:tab w:val="left" w:pos="567"/>
        </w:tabs>
        <w:spacing w:line="260" w:lineRule="exact"/>
        <w:rPr>
          <w:sz w:val="22"/>
          <w:szCs w:val="24"/>
        </w:rPr>
      </w:pPr>
    </w:p>
    <w:p w14:paraId="7DB0422D" w14:textId="77777777" w:rsidR="00DE01F8" w:rsidRPr="00220850" w:rsidRDefault="00DE01F8">
      <w:pPr>
        <w:tabs>
          <w:tab w:val="left" w:pos="567"/>
        </w:tabs>
        <w:spacing w:line="260" w:lineRule="exact"/>
        <w:rPr>
          <w:sz w:val="22"/>
          <w:szCs w:val="24"/>
        </w:rPr>
      </w:pPr>
    </w:p>
    <w:p w14:paraId="6DE7BDDE" w14:textId="77777777" w:rsidR="00DE01F8" w:rsidRPr="00220850" w:rsidRDefault="00DE01F8">
      <w:pPr>
        <w:tabs>
          <w:tab w:val="left" w:pos="567"/>
        </w:tabs>
        <w:spacing w:line="260" w:lineRule="exact"/>
        <w:rPr>
          <w:sz w:val="22"/>
          <w:szCs w:val="24"/>
        </w:rPr>
      </w:pPr>
    </w:p>
    <w:p w14:paraId="6E6BE1DC" w14:textId="77777777" w:rsidR="00DE01F8" w:rsidRPr="00220850" w:rsidRDefault="00DE01F8">
      <w:pPr>
        <w:tabs>
          <w:tab w:val="left" w:pos="567"/>
        </w:tabs>
        <w:spacing w:line="260" w:lineRule="exact"/>
        <w:rPr>
          <w:sz w:val="22"/>
          <w:szCs w:val="24"/>
        </w:rPr>
      </w:pPr>
    </w:p>
    <w:p w14:paraId="3BC4AAA3" w14:textId="77777777" w:rsidR="00DE01F8" w:rsidRPr="00220850" w:rsidRDefault="00DE01F8">
      <w:pPr>
        <w:tabs>
          <w:tab w:val="left" w:pos="567"/>
        </w:tabs>
        <w:spacing w:line="260" w:lineRule="exact"/>
        <w:rPr>
          <w:sz w:val="22"/>
          <w:szCs w:val="24"/>
        </w:rPr>
      </w:pPr>
    </w:p>
    <w:p w14:paraId="02D2F07B" w14:textId="77777777" w:rsidR="00DE01F8" w:rsidRPr="00220850" w:rsidRDefault="00DE01F8">
      <w:pPr>
        <w:tabs>
          <w:tab w:val="left" w:pos="567"/>
        </w:tabs>
        <w:spacing w:line="260" w:lineRule="exact"/>
        <w:rPr>
          <w:sz w:val="22"/>
          <w:szCs w:val="24"/>
        </w:rPr>
      </w:pPr>
    </w:p>
    <w:p w14:paraId="71605A2D" w14:textId="77777777" w:rsidR="00DE01F8" w:rsidRPr="00220850" w:rsidRDefault="00DE01F8">
      <w:pPr>
        <w:tabs>
          <w:tab w:val="left" w:pos="567"/>
        </w:tabs>
        <w:spacing w:line="260" w:lineRule="exact"/>
        <w:rPr>
          <w:sz w:val="22"/>
          <w:szCs w:val="24"/>
        </w:rPr>
      </w:pPr>
    </w:p>
    <w:p w14:paraId="187052BC" w14:textId="77777777" w:rsidR="00DE01F8" w:rsidRPr="00220850" w:rsidRDefault="00DE01F8">
      <w:pPr>
        <w:tabs>
          <w:tab w:val="left" w:pos="567"/>
        </w:tabs>
        <w:spacing w:line="260" w:lineRule="exact"/>
        <w:rPr>
          <w:sz w:val="22"/>
          <w:szCs w:val="24"/>
        </w:rPr>
      </w:pPr>
    </w:p>
    <w:p w14:paraId="2822AD5F" w14:textId="77777777" w:rsidR="00DE01F8" w:rsidRPr="00220850" w:rsidRDefault="00DE01F8">
      <w:pPr>
        <w:tabs>
          <w:tab w:val="left" w:pos="567"/>
        </w:tabs>
        <w:spacing w:line="260" w:lineRule="exact"/>
        <w:rPr>
          <w:sz w:val="22"/>
          <w:szCs w:val="24"/>
        </w:rPr>
      </w:pPr>
    </w:p>
    <w:p w14:paraId="5561DC65" w14:textId="77777777" w:rsidR="00DE01F8" w:rsidRPr="00220850" w:rsidRDefault="00DE01F8">
      <w:pPr>
        <w:tabs>
          <w:tab w:val="left" w:pos="567"/>
        </w:tabs>
        <w:spacing w:line="260" w:lineRule="exact"/>
        <w:rPr>
          <w:sz w:val="22"/>
          <w:szCs w:val="24"/>
        </w:rPr>
      </w:pPr>
    </w:p>
    <w:p w14:paraId="2650E217" w14:textId="77777777" w:rsidR="00DE01F8" w:rsidRPr="00220850" w:rsidRDefault="00DE01F8">
      <w:pPr>
        <w:tabs>
          <w:tab w:val="left" w:pos="567"/>
        </w:tabs>
        <w:spacing w:line="260" w:lineRule="exact"/>
        <w:rPr>
          <w:sz w:val="22"/>
          <w:szCs w:val="24"/>
        </w:rPr>
      </w:pPr>
    </w:p>
    <w:p w14:paraId="07FE4634" w14:textId="77777777" w:rsidR="00DE01F8" w:rsidRPr="00220850" w:rsidRDefault="00DE01F8">
      <w:pPr>
        <w:tabs>
          <w:tab w:val="left" w:pos="567"/>
        </w:tabs>
        <w:spacing w:line="260" w:lineRule="exact"/>
        <w:rPr>
          <w:sz w:val="22"/>
          <w:szCs w:val="24"/>
        </w:rPr>
      </w:pPr>
    </w:p>
    <w:p w14:paraId="40D7F50F" w14:textId="77777777" w:rsidR="00DE01F8" w:rsidRPr="00220850" w:rsidRDefault="00DE01F8">
      <w:pPr>
        <w:tabs>
          <w:tab w:val="left" w:pos="567"/>
        </w:tabs>
        <w:spacing w:line="260" w:lineRule="exact"/>
        <w:rPr>
          <w:sz w:val="22"/>
          <w:szCs w:val="24"/>
        </w:rPr>
      </w:pPr>
    </w:p>
    <w:p w14:paraId="37E114D2" w14:textId="77777777" w:rsidR="00DE01F8" w:rsidRPr="00220850" w:rsidRDefault="00DE01F8">
      <w:pPr>
        <w:tabs>
          <w:tab w:val="left" w:pos="567"/>
        </w:tabs>
        <w:spacing w:line="260" w:lineRule="exact"/>
        <w:rPr>
          <w:sz w:val="22"/>
          <w:szCs w:val="24"/>
        </w:rPr>
      </w:pPr>
    </w:p>
    <w:p w14:paraId="50E883FF" w14:textId="77777777" w:rsidR="00DE01F8" w:rsidRPr="00220850" w:rsidRDefault="00DE01F8">
      <w:pPr>
        <w:tabs>
          <w:tab w:val="left" w:pos="567"/>
        </w:tabs>
        <w:spacing w:line="260" w:lineRule="exact"/>
        <w:rPr>
          <w:sz w:val="22"/>
          <w:szCs w:val="24"/>
        </w:rPr>
      </w:pPr>
    </w:p>
    <w:p w14:paraId="031CA0F6" w14:textId="77777777" w:rsidR="00DE01F8" w:rsidRPr="00220850" w:rsidRDefault="00DE01F8">
      <w:pPr>
        <w:tabs>
          <w:tab w:val="left" w:pos="567"/>
        </w:tabs>
        <w:spacing w:line="260" w:lineRule="exact"/>
        <w:rPr>
          <w:sz w:val="22"/>
          <w:szCs w:val="24"/>
        </w:rPr>
      </w:pPr>
    </w:p>
    <w:p w14:paraId="7C57B03D" w14:textId="77777777" w:rsidR="00DE01F8" w:rsidRPr="00220850" w:rsidRDefault="00DE01F8">
      <w:pPr>
        <w:tabs>
          <w:tab w:val="left" w:pos="567"/>
        </w:tabs>
        <w:spacing w:line="260" w:lineRule="exact"/>
        <w:rPr>
          <w:sz w:val="22"/>
          <w:szCs w:val="24"/>
        </w:rPr>
      </w:pPr>
    </w:p>
    <w:p w14:paraId="4B11212D" w14:textId="77777777" w:rsidR="00DE01F8" w:rsidRPr="00220850" w:rsidRDefault="00DE01F8">
      <w:pPr>
        <w:tabs>
          <w:tab w:val="left" w:pos="567"/>
        </w:tabs>
        <w:spacing w:line="260" w:lineRule="exact"/>
        <w:rPr>
          <w:sz w:val="22"/>
          <w:szCs w:val="24"/>
        </w:rPr>
      </w:pPr>
    </w:p>
    <w:p w14:paraId="6B32A66B" w14:textId="77777777" w:rsidR="00DE01F8" w:rsidRPr="00220850" w:rsidRDefault="00DE01F8">
      <w:pPr>
        <w:tabs>
          <w:tab w:val="left" w:pos="567"/>
        </w:tabs>
        <w:spacing w:line="260" w:lineRule="exact"/>
        <w:rPr>
          <w:sz w:val="22"/>
          <w:szCs w:val="24"/>
        </w:rPr>
      </w:pPr>
    </w:p>
    <w:p w14:paraId="1127465E" w14:textId="77777777" w:rsidR="00DE01F8" w:rsidRPr="00220850" w:rsidRDefault="002D5C8E">
      <w:pPr>
        <w:keepNext/>
        <w:tabs>
          <w:tab w:val="left" w:pos="567"/>
        </w:tabs>
        <w:jc w:val="center"/>
        <w:outlineLvl w:val="1"/>
        <w:rPr>
          <w:b/>
          <w:sz w:val="22"/>
          <w:szCs w:val="24"/>
          <w:lang w:eastAsia="x-none"/>
        </w:rPr>
      </w:pPr>
      <w:r w:rsidRPr="00220850">
        <w:rPr>
          <w:b/>
          <w:bCs/>
          <w:iCs/>
          <w:sz w:val="22"/>
          <w:szCs w:val="28"/>
          <w:lang w:eastAsia="x-none"/>
        </w:rPr>
        <w:t>A. ŽENKLINIMAS</w:t>
      </w:r>
    </w:p>
    <w:p w14:paraId="2AC3426A" w14:textId="77777777" w:rsidR="00DE01F8" w:rsidRPr="00220850" w:rsidRDefault="002D5C8E">
      <w:pPr>
        <w:tabs>
          <w:tab w:val="left" w:pos="567"/>
        </w:tabs>
        <w:spacing w:line="260" w:lineRule="exact"/>
        <w:rPr>
          <w:sz w:val="22"/>
          <w:szCs w:val="24"/>
        </w:rPr>
      </w:pPr>
      <w:r w:rsidRPr="00220850">
        <w:rPr>
          <w:sz w:val="22"/>
          <w:szCs w:val="24"/>
        </w:rPr>
        <w:br w:type="page"/>
      </w:r>
    </w:p>
    <w:p w14:paraId="1FD7B42D" w14:textId="77777777" w:rsidR="00DE01F8" w:rsidRPr="00220850" w:rsidRDefault="00A316FB">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lastRenderedPageBreak/>
        <w:t xml:space="preserve">INFORMACIJA ANT </w:t>
      </w:r>
      <w:r w:rsidR="002D5C8E" w:rsidRPr="00220850">
        <w:rPr>
          <w:b/>
          <w:sz w:val="22"/>
          <w:szCs w:val="24"/>
        </w:rPr>
        <w:t>IŠORINĖS</w:t>
      </w:r>
      <w:r w:rsidRPr="00220850">
        <w:rPr>
          <w:b/>
          <w:sz w:val="22"/>
          <w:szCs w:val="24"/>
        </w:rPr>
        <w:t xml:space="preserve"> </w:t>
      </w:r>
      <w:r w:rsidR="002D5C8E" w:rsidRPr="00220850">
        <w:rPr>
          <w:b/>
          <w:sz w:val="22"/>
          <w:szCs w:val="24"/>
        </w:rPr>
        <w:t>PAKUOTĖS</w:t>
      </w:r>
    </w:p>
    <w:p w14:paraId="3127E9C1" w14:textId="77777777" w:rsidR="00DE01F8" w:rsidRPr="00220850" w:rsidRDefault="00DE01F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633F6EEC" w14:textId="7DFCADAB" w:rsidR="00DE01F8" w:rsidRPr="00220850" w:rsidRDefault="008757FA">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 xml:space="preserve">KARTONO </w:t>
      </w:r>
      <w:r w:rsidR="00A316FB" w:rsidRPr="00220850">
        <w:rPr>
          <w:b/>
          <w:sz w:val="22"/>
          <w:szCs w:val="24"/>
        </w:rPr>
        <w:t>DĖŽUTĖ</w:t>
      </w:r>
    </w:p>
    <w:p w14:paraId="138F3D76" w14:textId="77777777" w:rsidR="00DE01F8" w:rsidRPr="00220850" w:rsidRDefault="00DE01F8">
      <w:pPr>
        <w:tabs>
          <w:tab w:val="left" w:pos="567"/>
        </w:tabs>
        <w:spacing w:line="260" w:lineRule="exact"/>
        <w:rPr>
          <w:sz w:val="22"/>
          <w:szCs w:val="24"/>
        </w:rPr>
      </w:pPr>
    </w:p>
    <w:p w14:paraId="793596A7" w14:textId="77777777" w:rsidR="00DE01F8" w:rsidRPr="00220850" w:rsidRDefault="00DE01F8">
      <w:pPr>
        <w:tabs>
          <w:tab w:val="left" w:pos="567"/>
        </w:tabs>
        <w:spacing w:line="260" w:lineRule="exact"/>
        <w:rPr>
          <w:sz w:val="22"/>
          <w:szCs w:val="24"/>
        </w:rPr>
      </w:pPr>
    </w:p>
    <w:p w14:paraId="17E18D1D"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1.</w:t>
      </w:r>
      <w:r w:rsidRPr="00220850">
        <w:rPr>
          <w:b/>
          <w:sz w:val="22"/>
          <w:szCs w:val="24"/>
        </w:rPr>
        <w:tab/>
      </w:r>
      <w:r w:rsidRPr="00220850">
        <w:rPr>
          <w:b/>
          <w:caps/>
          <w:sz w:val="22"/>
          <w:szCs w:val="24"/>
        </w:rPr>
        <w:t>VAISTINIO</w:t>
      </w:r>
      <w:r w:rsidRPr="00220850">
        <w:rPr>
          <w:b/>
          <w:sz w:val="22"/>
          <w:szCs w:val="24"/>
        </w:rPr>
        <w:t xml:space="preserve"> PREPARATO PAVADINIMAS</w:t>
      </w:r>
    </w:p>
    <w:p w14:paraId="42EF6288" w14:textId="77777777" w:rsidR="00DE01F8" w:rsidRPr="00220850" w:rsidRDefault="00DE01F8">
      <w:pPr>
        <w:tabs>
          <w:tab w:val="left" w:pos="567"/>
        </w:tabs>
        <w:spacing w:line="260" w:lineRule="exact"/>
        <w:rPr>
          <w:sz w:val="22"/>
          <w:szCs w:val="24"/>
        </w:rPr>
      </w:pPr>
    </w:p>
    <w:p w14:paraId="74A3E2CE" w14:textId="77777777" w:rsidR="004D1238" w:rsidRPr="00220850" w:rsidRDefault="004D1238" w:rsidP="004D1238">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mg minkštosios kapsulės</w:t>
      </w:r>
    </w:p>
    <w:p w14:paraId="4E40EC26" w14:textId="4A9BEF0E" w:rsidR="00DE01F8" w:rsidRPr="00220850" w:rsidRDefault="008447A0">
      <w:pPr>
        <w:tabs>
          <w:tab w:val="left" w:pos="567"/>
        </w:tabs>
        <w:spacing w:line="260" w:lineRule="exact"/>
        <w:rPr>
          <w:sz w:val="22"/>
          <w:szCs w:val="24"/>
        </w:rPr>
      </w:pPr>
      <w:proofErr w:type="spellStart"/>
      <w:r w:rsidRPr="00220850">
        <w:rPr>
          <w:i/>
          <w:iCs/>
          <w:sz w:val="22"/>
          <w:szCs w:val="24"/>
        </w:rPr>
        <w:t>nintedanibum</w:t>
      </w:r>
      <w:proofErr w:type="spellEnd"/>
    </w:p>
    <w:p w14:paraId="2BB05CA0" w14:textId="77777777" w:rsidR="004D1238" w:rsidRPr="00220850" w:rsidRDefault="004D1238">
      <w:pPr>
        <w:tabs>
          <w:tab w:val="left" w:pos="567"/>
        </w:tabs>
        <w:spacing w:line="260" w:lineRule="exact"/>
        <w:rPr>
          <w:sz w:val="22"/>
          <w:szCs w:val="24"/>
        </w:rPr>
      </w:pPr>
    </w:p>
    <w:p w14:paraId="27DE3267" w14:textId="77777777" w:rsidR="00E30D38" w:rsidRPr="00220850" w:rsidRDefault="00E30D38">
      <w:pPr>
        <w:tabs>
          <w:tab w:val="left" w:pos="567"/>
        </w:tabs>
        <w:spacing w:line="260" w:lineRule="exact"/>
        <w:rPr>
          <w:sz w:val="22"/>
          <w:szCs w:val="24"/>
        </w:rPr>
      </w:pPr>
    </w:p>
    <w:p w14:paraId="12406FD0"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220850">
        <w:rPr>
          <w:b/>
          <w:sz w:val="22"/>
          <w:szCs w:val="24"/>
        </w:rPr>
        <w:t>2.</w:t>
      </w:r>
      <w:r w:rsidRPr="00220850">
        <w:rPr>
          <w:b/>
          <w:sz w:val="22"/>
          <w:szCs w:val="24"/>
        </w:rPr>
        <w:tab/>
        <w:t>VEIKLIOJI (-IOS) MEDŽIAGA (-OS) IR JOS (-Ų) KIEKIS (-IAI)</w:t>
      </w:r>
    </w:p>
    <w:p w14:paraId="4D0E4299" w14:textId="77777777" w:rsidR="00DE01F8" w:rsidRPr="00220850" w:rsidRDefault="00DE01F8">
      <w:pPr>
        <w:tabs>
          <w:tab w:val="left" w:pos="567"/>
        </w:tabs>
        <w:spacing w:line="260" w:lineRule="exact"/>
        <w:rPr>
          <w:sz w:val="22"/>
          <w:szCs w:val="24"/>
        </w:rPr>
      </w:pPr>
    </w:p>
    <w:p w14:paraId="371DBEB9" w14:textId="6673D62E" w:rsidR="004D1238" w:rsidRPr="00220850" w:rsidRDefault="004D1238" w:rsidP="004D1238">
      <w:pPr>
        <w:autoSpaceDE w:val="0"/>
        <w:autoSpaceDN w:val="0"/>
        <w:adjustRightInd w:val="0"/>
        <w:rPr>
          <w:rFonts w:eastAsia="TimesNewRoman"/>
          <w:sz w:val="22"/>
          <w:szCs w:val="22"/>
        </w:rPr>
      </w:pPr>
      <w:r w:rsidRPr="00220850">
        <w:rPr>
          <w:rFonts w:eastAsia="TimesNewRoman"/>
          <w:sz w:val="22"/>
          <w:szCs w:val="22"/>
        </w:rPr>
        <w:t xml:space="preserve">Kiekvienoje minkštojoje kapsulėje yra 100 mg </w:t>
      </w:r>
      <w:proofErr w:type="spellStart"/>
      <w:r w:rsidRPr="00220850">
        <w:rPr>
          <w:rFonts w:eastAsia="TimesNewRoman"/>
          <w:sz w:val="22"/>
          <w:szCs w:val="22"/>
        </w:rPr>
        <w:t>nintedanibo</w:t>
      </w:r>
      <w:proofErr w:type="spellEnd"/>
      <w:r w:rsidRPr="00220850">
        <w:rPr>
          <w:rFonts w:eastAsia="TimesNewRoman"/>
          <w:sz w:val="22"/>
          <w:szCs w:val="22"/>
        </w:rPr>
        <w:t xml:space="preserve"> </w:t>
      </w:r>
      <w:r w:rsidR="00E30D38" w:rsidRPr="00220850">
        <w:rPr>
          <w:rFonts w:eastAsia="TimesNewRoman"/>
          <w:sz w:val="22"/>
          <w:szCs w:val="22"/>
        </w:rPr>
        <w:t>(</w:t>
      </w:r>
      <w:proofErr w:type="spellStart"/>
      <w:r w:rsidRPr="00220850">
        <w:rPr>
          <w:rFonts w:eastAsia="TimesNewRoman"/>
          <w:sz w:val="22"/>
          <w:szCs w:val="22"/>
        </w:rPr>
        <w:t>esilato</w:t>
      </w:r>
      <w:proofErr w:type="spellEnd"/>
      <w:r w:rsidR="00E30D38" w:rsidRPr="00220850">
        <w:rPr>
          <w:rFonts w:eastAsia="TimesNewRoman"/>
          <w:sz w:val="22"/>
          <w:szCs w:val="22"/>
        </w:rPr>
        <w:t xml:space="preserve"> pavidalu)</w:t>
      </w:r>
      <w:r w:rsidR="00F87678" w:rsidRPr="00220850">
        <w:rPr>
          <w:rFonts w:eastAsia="TimesNewRoman"/>
          <w:sz w:val="22"/>
          <w:szCs w:val="22"/>
        </w:rPr>
        <w:t>.</w:t>
      </w:r>
    </w:p>
    <w:p w14:paraId="0B2AA291" w14:textId="77777777" w:rsidR="004D1238" w:rsidRPr="00220850" w:rsidRDefault="004D1238" w:rsidP="004D1238">
      <w:pPr>
        <w:tabs>
          <w:tab w:val="left" w:pos="567"/>
        </w:tabs>
        <w:spacing w:line="260" w:lineRule="exact"/>
        <w:rPr>
          <w:sz w:val="22"/>
        </w:rPr>
      </w:pPr>
    </w:p>
    <w:p w14:paraId="7DAB429A" w14:textId="77777777" w:rsidR="00DE01F8" w:rsidRPr="00220850" w:rsidRDefault="00DE01F8">
      <w:pPr>
        <w:tabs>
          <w:tab w:val="left" w:pos="567"/>
        </w:tabs>
        <w:spacing w:line="260" w:lineRule="exact"/>
        <w:rPr>
          <w:sz w:val="22"/>
          <w:szCs w:val="24"/>
        </w:rPr>
      </w:pPr>
    </w:p>
    <w:p w14:paraId="2E271B69"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3.</w:t>
      </w:r>
      <w:r w:rsidRPr="00220850">
        <w:rPr>
          <w:b/>
          <w:sz w:val="22"/>
          <w:szCs w:val="24"/>
        </w:rPr>
        <w:tab/>
        <w:t>PAGALBINIŲ MEDŽIAGŲ SĄRAŠAS</w:t>
      </w:r>
    </w:p>
    <w:p w14:paraId="2D536296" w14:textId="77777777" w:rsidR="00DE01F8" w:rsidRPr="00220850" w:rsidRDefault="00DE01F8">
      <w:pPr>
        <w:tabs>
          <w:tab w:val="left" w:pos="567"/>
        </w:tabs>
        <w:spacing w:line="260" w:lineRule="exact"/>
        <w:rPr>
          <w:sz w:val="22"/>
          <w:szCs w:val="24"/>
        </w:rPr>
      </w:pPr>
    </w:p>
    <w:p w14:paraId="72F9ED5B" w14:textId="77777777" w:rsidR="00DE01F8" w:rsidRPr="00220850" w:rsidRDefault="00DE01F8">
      <w:pPr>
        <w:tabs>
          <w:tab w:val="left" w:pos="567"/>
        </w:tabs>
        <w:spacing w:line="260" w:lineRule="exact"/>
        <w:rPr>
          <w:sz w:val="22"/>
          <w:szCs w:val="24"/>
        </w:rPr>
      </w:pPr>
    </w:p>
    <w:p w14:paraId="7913A63B"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4.</w:t>
      </w:r>
      <w:r w:rsidRPr="00220850">
        <w:rPr>
          <w:b/>
          <w:sz w:val="22"/>
          <w:szCs w:val="24"/>
        </w:rPr>
        <w:tab/>
        <w:t>FARMACINĖ FORMA IR KIEKIS PAKUOTĖJE</w:t>
      </w:r>
    </w:p>
    <w:p w14:paraId="01DD0E1D" w14:textId="77777777" w:rsidR="00DE01F8" w:rsidRPr="00220850" w:rsidRDefault="00DE01F8">
      <w:pPr>
        <w:tabs>
          <w:tab w:val="left" w:pos="567"/>
        </w:tabs>
        <w:spacing w:line="260" w:lineRule="exact"/>
        <w:rPr>
          <w:sz w:val="22"/>
          <w:szCs w:val="24"/>
        </w:rPr>
      </w:pPr>
    </w:p>
    <w:p w14:paraId="18731893" w14:textId="77777777" w:rsidR="00DE01F8" w:rsidRPr="00220850" w:rsidRDefault="00441C18">
      <w:pPr>
        <w:tabs>
          <w:tab w:val="left" w:pos="567"/>
        </w:tabs>
        <w:spacing w:line="260" w:lineRule="exact"/>
        <w:rPr>
          <w:sz w:val="22"/>
          <w:szCs w:val="24"/>
        </w:rPr>
      </w:pPr>
      <w:r w:rsidRPr="00220850">
        <w:rPr>
          <w:sz w:val="22"/>
          <w:szCs w:val="24"/>
          <w:highlight w:val="lightGray"/>
        </w:rPr>
        <w:t>Minkštoji kapsulė</w:t>
      </w:r>
    </w:p>
    <w:p w14:paraId="12826F10" w14:textId="77777777" w:rsidR="00441C18" w:rsidRPr="00220850" w:rsidRDefault="00441C18">
      <w:pPr>
        <w:tabs>
          <w:tab w:val="left" w:pos="567"/>
        </w:tabs>
        <w:spacing w:line="260" w:lineRule="exact"/>
        <w:rPr>
          <w:sz w:val="22"/>
          <w:szCs w:val="24"/>
        </w:rPr>
      </w:pPr>
    </w:p>
    <w:p w14:paraId="30EB7103" w14:textId="77777777" w:rsidR="00441C18" w:rsidRPr="00220850" w:rsidRDefault="00441C18">
      <w:pPr>
        <w:tabs>
          <w:tab w:val="left" w:pos="567"/>
        </w:tabs>
        <w:spacing w:line="260" w:lineRule="exact"/>
        <w:rPr>
          <w:sz w:val="22"/>
          <w:szCs w:val="24"/>
        </w:rPr>
      </w:pPr>
      <w:r w:rsidRPr="00220850">
        <w:rPr>
          <w:sz w:val="22"/>
          <w:szCs w:val="24"/>
        </w:rPr>
        <w:t xml:space="preserve">30x1 </w:t>
      </w:r>
      <w:r w:rsidRPr="00220850">
        <w:rPr>
          <w:sz w:val="22"/>
          <w:szCs w:val="24"/>
          <w:highlight w:val="lightGray"/>
        </w:rPr>
        <w:t>minkštoji</w:t>
      </w:r>
      <w:r w:rsidRPr="00220850">
        <w:rPr>
          <w:sz w:val="22"/>
          <w:szCs w:val="24"/>
        </w:rPr>
        <w:t xml:space="preserve"> kapsulė</w:t>
      </w:r>
    </w:p>
    <w:p w14:paraId="535B3C68" w14:textId="77777777" w:rsidR="00441C18" w:rsidRPr="00220850" w:rsidRDefault="00441C18" w:rsidP="00441C18">
      <w:pPr>
        <w:tabs>
          <w:tab w:val="left" w:pos="567"/>
        </w:tabs>
        <w:spacing w:line="260" w:lineRule="exact"/>
        <w:rPr>
          <w:sz w:val="22"/>
          <w:szCs w:val="24"/>
        </w:rPr>
      </w:pPr>
      <w:r w:rsidRPr="00220850">
        <w:rPr>
          <w:sz w:val="22"/>
          <w:szCs w:val="24"/>
          <w:highlight w:val="lightGray"/>
        </w:rPr>
        <w:t>60x1 minkštoji kapsulė</w:t>
      </w:r>
    </w:p>
    <w:p w14:paraId="6E294416" w14:textId="77777777" w:rsidR="001F7C5A" w:rsidRPr="00220850" w:rsidRDefault="001F7C5A" w:rsidP="00441C18">
      <w:pPr>
        <w:tabs>
          <w:tab w:val="left" w:pos="567"/>
        </w:tabs>
        <w:spacing w:line="260" w:lineRule="exact"/>
        <w:rPr>
          <w:sz w:val="22"/>
          <w:szCs w:val="24"/>
        </w:rPr>
      </w:pPr>
    </w:p>
    <w:p w14:paraId="4025E5D2" w14:textId="77777777" w:rsidR="00441C18" w:rsidRPr="00220850" w:rsidRDefault="00441C18">
      <w:pPr>
        <w:tabs>
          <w:tab w:val="left" w:pos="567"/>
        </w:tabs>
        <w:spacing w:line="260" w:lineRule="exact"/>
        <w:rPr>
          <w:sz w:val="22"/>
          <w:szCs w:val="24"/>
        </w:rPr>
      </w:pPr>
    </w:p>
    <w:p w14:paraId="08EE7D70"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5.</w:t>
      </w:r>
      <w:r w:rsidRPr="00220850">
        <w:rPr>
          <w:b/>
          <w:sz w:val="22"/>
          <w:szCs w:val="24"/>
        </w:rPr>
        <w:tab/>
        <w:t>VARTOJIMO METODAS IR BŪDAS (-AI)</w:t>
      </w:r>
    </w:p>
    <w:p w14:paraId="404EE47D" w14:textId="77777777" w:rsidR="00DE01F8" w:rsidRPr="00220850" w:rsidRDefault="00DE01F8">
      <w:pPr>
        <w:tabs>
          <w:tab w:val="left" w:pos="567"/>
        </w:tabs>
        <w:spacing w:line="260" w:lineRule="exact"/>
        <w:rPr>
          <w:sz w:val="22"/>
          <w:szCs w:val="24"/>
        </w:rPr>
      </w:pPr>
    </w:p>
    <w:p w14:paraId="2DA06F18" w14:textId="3AFE6F27" w:rsidR="001F7C5A" w:rsidRPr="00220850" w:rsidRDefault="001F7C5A">
      <w:pPr>
        <w:tabs>
          <w:tab w:val="left" w:pos="567"/>
        </w:tabs>
        <w:spacing w:line="260" w:lineRule="exact"/>
        <w:rPr>
          <w:sz w:val="22"/>
          <w:szCs w:val="24"/>
        </w:rPr>
      </w:pPr>
      <w:r w:rsidRPr="00220850">
        <w:rPr>
          <w:sz w:val="22"/>
          <w:szCs w:val="24"/>
          <w:highlight w:val="lightGray"/>
        </w:rPr>
        <w:t>Vartoti per burną</w:t>
      </w:r>
      <w:r w:rsidR="00F87678" w:rsidRPr="00220850">
        <w:rPr>
          <w:sz w:val="22"/>
          <w:szCs w:val="24"/>
          <w:highlight w:val="lightGray"/>
        </w:rPr>
        <w:t>.</w:t>
      </w:r>
    </w:p>
    <w:p w14:paraId="7ED2C3D5" w14:textId="77777777" w:rsidR="00DE01F8" w:rsidRPr="00220850" w:rsidRDefault="002D5C8E">
      <w:pPr>
        <w:tabs>
          <w:tab w:val="left" w:pos="567"/>
        </w:tabs>
        <w:spacing w:line="260" w:lineRule="exact"/>
        <w:rPr>
          <w:sz w:val="22"/>
          <w:szCs w:val="24"/>
        </w:rPr>
      </w:pPr>
      <w:r w:rsidRPr="00220850">
        <w:rPr>
          <w:sz w:val="22"/>
          <w:szCs w:val="24"/>
        </w:rPr>
        <w:t>Prieš vartojimą perskaitykite pakuotės lapelį.</w:t>
      </w:r>
    </w:p>
    <w:p w14:paraId="76AFB398" w14:textId="77777777" w:rsidR="00DE01F8" w:rsidRPr="00220850" w:rsidRDefault="00DE01F8">
      <w:pPr>
        <w:tabs>
          <w:tab w:val="left" w:pos="567"/>
        </w:tabs>
        <w:spacing w:line="260" w:lineRule="exact"/>
        <w:rPr>
          <w:sz w:val="22"/>
          <w:szCs w:val="24"/>
        </w:rPr>
      </w:pPr>
    </w:p>
    <w:p w14:paraId="77B376D8" w14:textId="77777777" w:rsidR="00954587" w:rsidRPr="00220850" w:rsidRDefault="00954587" w:rsidP="00954587">
      <w:pPr>
        <w:tabs>
          <w:tab w:val="left" w:pos="567"/>
        </w:tabs>
        <w:spacing w:line="260" w:lineRule="exact"/>
        <w:rPr>
          <w:sz w:val="22"/>
          <w:szCs w:val="24"/>
          <w:highlight w:val="lightGray"/>
        </w:rPr>
      </w:pPr>
      <w:r w:rsidRPr="00220850">
        <w:rPr>
          <w:sz w:val="22"/>
          <w:szCs w:val="24"/>
          <w:highlight w:val="lightGray"/>
        </w:rPr>
        <w:t xml:space="preserve">&lt;{QR kodas}&gt; &lt;{kitas 2D </w:t>
      </w:r>
      <w:proofErr w:type="spellStart"/>
      <w:r w:rsidRPr="00220850">
        <w:rPr>
          <w:sz w:val="22"/>
          <w:szCs w:val="24"/>
          <w:highlight w:val="lightGray"/>
        </w:rPr>
        <w:t>barkodas</w:t>
      </w:r>
      <w:proofErr w:type="spellEnd"/>
      <w:r w:rsidRPr="00220850">
        <w:rPr>
          <w:sz w:val="22"/>
          <w:szCs w:val="24"/>
          <w:highlight w:val="lightGray"/>
        </w:rPr>
        <w:t>}&gt; &lt;{NFC}&gt;</w:t>
      </w:r>
    </w:p>
    <w:p w14:paraId="4D89B9BE" w14:textId="3AE33DDF" w:rsidR="00DE01F8" w:rsidRPr="00220850" w:rsidRDefault="00954587" w:rsidP="00954587">
      <w:pPr>
        <w:tabs>
          <w:tab w:val="left" w:pos="567"/>
        </w:tabs>
        <w:spacing w:line="260" w:lineRule="exact"/>
        <w:rPr>
          <w:sz w:val="22"/>
          <w:szCs w:val="24"/>
        </w:rPr>
      </w:pPr>
      <w:r w:rsidRPr="00220850">
        <w:rPr>
          <w:sz w:val="22"/>
          <w:szCs w:val="24"/>
          <w:highlight w:val="lightGray"/>
        </w:rPr>
        <w:t>&lt;{URL}&gt;</w:t>
      </w:r>
    </w:p>
    <w:p w14:paraId="479FCE08" w14:textId="77777777" w:rsidR="00954587" w:rsidRPr="00220850" w:rsidRDefault="00954587" w:rsidP="00954587">
      <w:pPr>
        <w:tabs>
          <w:tab w:val="left" w:pos="567"/>
        </w:tabs>
        <w:spacing w:line="260" w:lineRule="exact"/>
        <w:rPr>
          <w:sz w:val="22"/>
          <w:szCs w:val="24"/>
        </w:rPr>
      </w:pPr>
    </w:p>
    <w:p w14:paraId="64E97754" w14:textId="77777777" w:rsidR="00954587" w:rsidRPr="00220850" w:rsidRDefault="00954587" w:rsidP="00954587">
      <w:pPr>
        <w:tabs>
          <w:tab w:val="left" w:pos="567"/>
        </w:tabs>
        <w:spacing w:line="260" w:lineRule="exact"/>
        <w:rPr>
          <w:sz w:val="22"/>
          <w:szCs w:val="24"/>
        </w:rPr>
      </w:pPr>
    </w:p>
    <w:p w14:paraId="37A77AAD"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6.</w:t>
      </w:r>
      <w:r w:rsidRPr="00220850">
        <w:rPr>
          <w:b/>
          <w:sz w:val="22"/>
          <w:szCs w:val="24"/>
        </w:rPr>
        <w:tab/>
        <w:t>SPECIALUS ĮSPĖJIMAS, KAD VAISTINĮ PREPARATĄ BŪTINA LAIKYTI VAIKAMS NEPASTEBIMOJE IR  NEPASIEKIAMOJE VIETOJE</w:t>
      </w:r>
    </w:p>
    <w:p w14:paraId="2F1A11B8" w14:textId="77777777" w:rsidR="00DE01F8" w:rsidRPr="00220850" w:rsidRDefault="00DE01F8">
      <w:pPr>
        <w:tabs>
          <w:tab w:val="left" w:pos="567"/>
        </w:tabs>
        <w:spacing w:line="260" w:lineRule="exact"/>
        <w:rPr>
          <w:sz w:val="22"/>
          <w:szCs w:val="24"/>
        </w:rPr>
      </w:pPr>
    </w:p>
    <w:p w14:paraId="162695A4" w14:textId="77777777" w:rsidR="00DE01F8" w:rsidRPr="00220850" w:rsidRDefault="002D5C8E">
      <w:pPr>
        <w:tabs>
          <w:tab w:val="left" w:pos="567"/>
        </w:tabs>
        <w:spacing w:line="260" w:lineRule="exact"/>
        <w:rPr>
          <w:sz w:val="22"/>
          <w:szCs w:val="24"/>
        </w:rPr>
      </w:pPr>
      <w:r w:rsidRPr="00220850">
        <w:rPr>
          <w:sz w:val="22"/>
          <w:szCs w:val="24"/>
        </w:rPr>
        <w:t>Laikyti vaikams nepastebimoje ir nepasiekiamoje vietoje.</w:t>
      </w:r>
    </w:p>
    <w:p w14:paraId="6147673A" w14:textId="77777777" w:rsidR="00DE01F8" w:rsidRPr="00220850" w:rsidRDefault="00DE01F8">
      <w:pPr>
        <w:tabs>
          <w:tab w:val="left" w:pos="567"/>
        </w:tabs>
        <w:spacing w:line="260" w:lineRule="exact"/>
        <w:rPr>
          <w:sz w:val="22"/>
          <w:szCs w:val="24"/>
        </w:rPr>
      </w:pPr>
    </w:p>
    <w:p w14:paraId="0B50142F" w14:textId="77777777" w:rsidR="00DE01F8" w:rsidRPr="00220850" w:rsidRDefault="00DE01F8">
      <w:pPr>
        <w:tabs>
          <w:tab w:val="left" w:pos="567"/>
        </w:tabs>
        <w:spacing w:line="260" w:lineRule="exact"/>
        <w:rPr>
          <w:sz w:val="22"/>
          <w:szCs w:val="24"/>
        </w:rPr>
      </w:pPr>
    </w:p>
    <w:p w14:paraId="1A230912"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7.</w:t>
      </w:r>
      <w:r w:rsidRPr="00220850">
        <w:rPr>
          <w:b/>
          <w:sz w:val="22"/>
          <w:szCs w:val="24"/>
        </w:rPr>
        <w:tab/>
        <w:t>KITAS (-I) SPECIALUS (-ŪS) ĮSPĖJIMAS (-AI) (JEI REIKIA)</w:t>
      </w:r>
    </w:p>
    <w:p w14:paraId="4D1FC1A5" w14:textId="77777777" w:rsidR="00DE01F8" w:rsidRPr="00220850" w:rsidRDefault="00DE01F8">
      <w:pPr>
        <w:tabs>
          <w:tab w:val="left" w:pos="567"/>
        </w:tabs>
        <w:spacing w:line="260" w:lineRule="exact"/>
        <w:rPr>
          <w:sz w:val="22"/>
          <w:szCs w:val="24"/>
        </w:rPr>
      </w:pPr>
    </w:p>
    <w:p w14:paraId="5654A311" w14:textId="77777777" w:rsidR="00DE01F8" w:rsidRPr="00220850" w:rsidRDefault="00DE01F8">
      <w:pPr>
        <w:tabs>
          <w:tab w:val="left" w:pos="567"/>
        </w:tabs>
        <w:spacing w:line="260" w:lineRule="exact"/>
        <w:rPr>
          <w:sz w:val="22"/>
          <w:szCs w:val="24"/>
        </w:rPr>
      </w:pPr>
    </w:p>
    <w:p w14:paraId="0800B200"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8.</w:t>
      </w:r>
      <w:r w:rsidRPr="00220850">
        <w:rPr>
          <w:b/>
          <w:sz w:val="22"/>
          <w:szCs w:val="24"/>
        </w:rPr>
        <w:tab/>
        <w:t>TINKAMUMO LAIKAS</w:t>
      </w:r>
    </w:p>
    <w:p w14:paraId="1DB94FEB" w14:textId="77777777" w:rsidR="00DE01F8" w:rsidRPr="00220850" w:rsidRDefault="00DE01F8">
      <w:pPr>
        <w:tabs>
          <w:tab w:val="left" w:pos="567"/>
        </w:tabs>
        <w:spacing w:line="260" w:lineRule="exact"/>
        <w:rPr>
          <w:sz w:val="22"/>
          <w:szCs w:val="24"/>
        </w:rPr>
      </w:pPr>
    </w:p>
    <w:p w14:paraId="693B9A66" w14:textId="40A746ED" w:rsidR="00DE01F8" w:rsidRPr="00220850" w:rsidRDefault="002D5C8E">
      <w:pPr>
        <w:tabs>
          <w:tab w:val="left" w:pos="567"/>
        </w:tabs>
        <w:spacing w:line="260" w:lineRule="exact"/>
        <w:rPr>
          <w:sz w:val="22"/>
        </w:rPr>
      </w:pPr>
      <w:r w:rsidRPr="00220850">
        <w:rPr>
          <w:sz w:val="22"/>
        </w:rPr>
        <w:t xml:space="preserve">EXP </w:t>
      </w:r>
      <w:r w:rsidR="00E65848" w:rsidRPr="00220850">
        <w:rPr>
          <w:sz w:val="22"/>
        </w:rPr>
        <w:t>{mm MMMM}</w:t>
      </w:r>
    </w:p>
    <w:p w14:paraId="2E9F2574" w14:textId="77777777" w:rsidR="00DE01F8" w:rsidRPr="00220850" w:rsidRDefault="00DE01F8">
      <w:pPr>
        <w:tabs>
          <w:tab w:val="left" w:pos="567"/>
        </w:tabs>
        <w:spacing w:line="260" w:lineRule="exact"/>
        <w:rPr>
          <w:sz w:val="22"/>
          <w:szCs w:val="24"/>
        </w:rPr>
      </w:pPr>
    </w:p>
    <w:p w14:paraId="2A6CAA49" w14:textId="77777777" w:rsidR="00DE01F8" w:rsidRPr="00220850" w:rsidRDefault="00DE01F8">
      <w:pPr>
        <w:tabs>
          <w:tab w:val="left" w:pos="567"/>
        </w:tabs>
        <w:spacing w:line="260" w:lineRule="exact"/>
        <w:rPr>
          <w:sz w:val="22"/>
          <w:szCs w:val="24"/>
        </w:rPr>
      </w:pPr>
    </w:p>
    <w:p w14:paraId="25CD6F83" w14:textId="77777777" w:rsidR="00DE01F8" w:rsidRPr="00220850" w:rsidRDefault="002D5C8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9.</w:t>
      </w:r>
      <w:r w:rsidRPr="00220850">
        <w:rPr>
          <w:b/>
          <w:sz w:val="22"/>
          <w:szCs w:val="24"/>
        </w:rPr>
        <w:tab/>
        <w:t>SPECIALIOS LAIKYMO SĄLYGOS</w:t>
      </w:r>
    </w:p>
    <w:p w14:paraId="553BC8E2" w14:textId="77777777" w:rsidR="00DE01F8" w:rsidRPr="00220850" w:rsidRDefault="00DE01F8">
      <w:pPr>
        <w:tabs>
          <w:tab w:val="left" w:pos="567"/>
        </w:tabs>
        <w:spacing w:line="260" w:lineRule="exact"/>
        <w:rPr>
          <w:sz w:val="22"/>
          <w:szCs w:val="24"/>
        </w:rPr>
      </w:pPr>
    </w:p>
    <w:p w14:paraId="71966D33" w14:textId="77777777" w:rsidR="00DE01F8" w:rsidRPr="00220850" w:rsidRDefault="00DE01F8">
      <w:pPr>
        <w:tabs>
          <w:tab w:val="left" w:pos="567"/>
        </w:tabs>
        <w:spacing w:line="260" w:lineRule="exact"/>
        <w:rPr>
          <w:sz w:val="22"/>
          <w:szCs w:val="24"/>
        </w:rPr>
      </w:pPr>
    </w:p>
    <w:p w14:paraId="32E83B55"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lastRenderedPageBreak/>
        <w:t>10.</w:t>
      </w:r>
      <w:r w:rsidRPr="00220850">
        <w:rPr>
          <w:b/>
          <w:sz w:val="22"/>
          <w:szCs w:val="24"/>
        </w:rPr>
        <w:tab/>
        <w:t>SPECIALIOS ATSARGUMO PRIEMONĖS DĖL NESUVARTOTO VAISTINIO PREPARATO AR JO ATLIEKŲ TVARKYMO (JEI REIKIA)</w:t>
      </w:r>
    </w:p>
    <w:p w14:paraId="123904D2" w14:textId="77777777" w:rsidR="00DE01F8" w:rsidRPr="00220850" w:rsidRDefault="00DE01F8">
      <w:pPr>
        <w:tabs>
          <w:tab w:val="left" w:pos="567"/>
        </w:tabs>
        <w:spacing w:line="260" w:lineRule="exact"/>
        <w:rPr>
          <w:sz w:val="22"/>
          <w:szCs w:val="24"/>
        </w:rPr>
      </w:pPr>
    </w:p>
    <w:p w14:paraId="307AB712" w14:textId="77777777" w:rsidR="00DE01F8" w:rsidRPr="00220850" w:rsidRDefault="00DE01F8">
      <w:pPr>
        <w:tabs>
          <w:tab w:val="left" w:pos="567"/>
        </w:tabs>
        <w:spacing w:line="260" w:lineRule="exact"/>
        <w:rPr>
          <w:sz w:val="22"/>
          <w:szCs w:val="24"/>
        </w:rPr>
      </w:pPr>
    </w:p>
    <w:p w14:paraId="6ECDEBA7"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11.</w:t>
      </w:r>
      <w:r w:rsidRPr="00220850">
        <w:rPr>
          <w:b/>
          <w:sz w:val="22"/>
          <w:szCs w:val="24"/>
        </w:rPr>
        <w:tab/>
      </w:r>
      <w:r w:rsidRPr="00220850">
        <w:rPr>
          <w:b/>
          <w:caps/>
          <w:sz w:val="22"/>
          <w:szCs w:val="24"/>
        </w:rPr>
        <w:t xml:space="preserve"> REGISTRUOTOJO PAVADINIMAS IR ADRESAS</w:t>
      </w:r>
    </w:p>
    <w:p w14:paraId="6CD655C2" w14:textId="77777777" w:rsidR="00DE01F8" w:rsidRPr="00220850" w:rsidRDefault="00DE01F8">
      <w:pPr>
        <w:tabs>
          <w:tab w:val="left" w:pos="567"/>
        </w:tabs>
        <w:spacing w:line="260" w:lineRule="exact"/>
        <w:rPr>
          <w:sz w:val="22"/>
          <w:szCs w:val="24"/>
        </w:rPr>
      </w:pPr>
    </w:p>
    <w:p w14:paraId="75A4E97C" w14:textId="77777777" w:rsidR="001F7C5A" w:rsidRPr="00220850" w:rsidRDefault="001F7C5A" w:rsidP="001F7C5A">
      <w:pPr>
        <w:shd w:val="clear" w:color="auto" w:fill="FFFFFF"/>
        <w:rPr>
          <w:sz w:val="22"/>
          <w:szCs w:val="22"/>
          <w:lang w:val="pt-PT"/>
        </w:rPr>
      </w:pPr>
      <w:r w:rsidRPr="00220850">
        <w:rPr>
          <w:sz w:val="22"/>
          <w:szCs w:val="22"/>
          <w:lang w:val="pt-PT"/>
        </w:rPr>
        <w:t>Teva GmbH</w:t>
      </w:r>
    </w:p>
    <w:p w14:paraId="529E3D8C" w14:textId="409F7BB8" w:rsidR="001F7C5A" w:rsidRPr="00220850" w:rsidRDefault="001F7C5A" w:rsidP="001F7C5A">
      <w:pPr>
        <w:shd w:val="clear" w:color="auto" w:fill="FFFFFF"/>
        <w:rPr>
          <w:sz w:val="22"/>
          <w:szCs w:val="22"/>
          <w:lang w:val="pt-PT"/>
        </w:rPr>
      </w:pPr>
      <w:r w:rsidRPr="00220850">
        <w:rPr>
          <w:sz w:val="22"/>
          <w:lang w:val="pt-PT"/>
        </w:rPr>
        <w:t>Graf-Arco-Str.</w:t>
      </w:r>
      <w:r w:rsidR="00FA5B87" w:rsidRPr="00220850">
        <w:rPr>
          <w:sz w:val="22"/>
          <w:szCs w:val="22"/>
          <w:lang w:val="pt-PT"/>
        </w:rPr>
        <w:t xml:space="preserve"> </w:t>
      </w:r>
      <w:r w:rsidRPr="00220850">
        <w:rPr>
          <w:sz w:val="22"/>
          <w:lang w:val="pt-PT"/>
        </w:rPr>
        <w:t>3</w:t>
      </w:r>
      <w:r w:rsidRPr="00220850">
        <w:rPr>
          <w:sz w:val="22"/>
          <w:szCs w:val="22"/>
          <w:lang w:val="pt-PT"/>
        </w:rPr>
        <w:t xml:space="preserve"> </w:t>
      </w:r>
    </w:p>
    <w:p w14:paraId="1BABF54F" w14:textId="77777777" w:rsidR="001F7C5A" w:rsidRPr="00220850" w:rsidRDefault="001F7C5A" w:rsidP="001F7C5A">
      <w:pPr>
        <w:shd w:val="clear" w:color="auto" w:fill="FFFFFF"/>
        <w:rPr>
          <w:sz w:val="22"/>
          <w:szCs w:val="22"/>
          <w:lang w:val="pt-PT"/>
        </w:rPr>
      </w:pPr>
      <w:r w:rsidRPr="00220850">
        <w:rPr>
          <w:sz w:val="22"/>
          <w:szCs w:val="22"/>
          <w:lang w:val="pt-PT"/>
        </w:rPr>
        <w:t>89079 Ulm</w:t>
      </w:r>
    </w:p>
    <w:p w14:paraId="2EEE9C2F" w14:textId="77777777" w:rsidR="001F7C5A" w:rsidRPr="00220850" w:rsidRDefault="001F7C5A" w:rsidP="001F7C5A">
      <w:pPr>
        <w:shd w:val="clear" w:color="auto" w:fill="FFFFFF"/>
        <w:rPr>
          <w:sz w:val="22"/>
          <w:szCs w:val="22"/>
          <w:lang w:val="pt-PT"/>
        </w:rPr>
      </w:pPr>
      <w:r w:rsidRPr="00220850">
        <w:rPr>
          <w:sz w:val="22"/>
          <w:szCs w:val="22"/>
          <w:lang w:val="pt-PT"/>
        </w:rPr>
        <w:t>Vokietija</w:t>
      </w:r>
    </w:p>
    <w:p w14:paraId="12EA91AA" w14:textId="77777777" w:rsidR="00DE01F8" w:rsidRPr="00220850" w:rsidRDefault="00DE01F8" w:rsidP="001F7C5A">
      <w:pPr>
        <w:shd w:val="clear" w:color="auto" w:fill="FFFFFF"/>
        <w:rPr>
          <w:sz w:val="22"/>
          <w:szCs w:val="24"/>
        </w:rPr>
      </w:pPr>
    </w:p>
    <w:p w14:paraId="4BE2F163" w14:textId="77777777" w:rsidR="00DE01F8" w:rsidRPr="00220850" w:rsidRDefault="00DE01F8">
      <w:pPr>
        <w:tabs>
          <w:tab w:val="left" w:pos="567"/>
        </w:tabs>
        <w:spacing w:line="260" w:lineRule="exact"/>
        <w:rPr>
          <w:sz w:val="22"/>
          <w:szCs w:val="24"/>
        </w:rPr>
      </w:pPr>
    </w:p>
    <w:p w14:paraId="5C533981"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t>12.</w:t>
      </w:r>
      <w:r w:rsidRPr="00220850">
        <w:rPr>
          <w:b/>
          <w:sz w:val="22"/>
          <w:szCs w:val="24"/>
        </w:rPr>
        <w:tab/>
        <w:t xml:space="preserve">REGISTRACIJOS PAŽYMĖJIMO NUMERIS (-IAI) </w:t>
      </w:r>
    </w:p>
    <w:p w14:paraId="7FD20232" w14:textId="77777777" w:rsidR="00DE01F8" w:rsidRPr="00220850" w:rsidRDefault="00DE01F8">
      <w:pPr>
        <w:tabs>
          <w:tab w:val="left" w:pos="567"/>
        </w:tabs>
        <w:spacing w:line="260" w:lineRule="exact"/>
        <w:rPr>
          <w:sz w:val="22"/>
          <w:szCs w:val="24"/>
        </w:rPr>
      </w:pPr>
    </w:p>
    <w:p w14:paraId="1994772A" w14:textId="77777777" w:rsidR="00FA517C" w:rsidRPr="00220850" w:rsidRDefault="00FA517C" w:rsidP="00FA517C">
      <w:pPr>
        <w:tabs>
          <w:tab w:val="left" w:pos="567"/>
        </w:tabs>
        <w:spacing w:line="260" w:lineRule="exact"/>
        <w:rPr>
          <w:sz w:val="22"/>
          <w:shd w:val="clear" w:color="auto" w:fill="F2F2F2" w:themeFill="background1" w:themeFillShade="F2"/>
        </w:rPr>
      </w:pPr>
      <w:r w:rsidRPr="00220850">
        <w:rPr>
          <w:sz w:val="22"/>
        </w:rPr>
        <w:t xml:space="preserve">LT/1/24/5426/001 </w:t>
      </w:r>
      <w:r w:rsidRPr="00220850">
        <w:rPr>
          <w:sz w:val="22"/>
          <w:shd w:val="clear" w:color="auto" w:fill="F2F2F2" w:themeFill="background1" w:themeFillShade="F2"/>
        </w:rPr>
        <w:t>– N30x1</w:t>
      </w:r>
    </w:p>
    <w:p w14:paraId="6FAC444C" w14:textId="77777777" w:rsidR="00FA517C" w:rsidRPr="00220850" w:rsidRDefault="00FA517C" w:rsidP="00FA517C">
      <w:pPr>
        <w:tabs>
          <w:tab w:val="left" w:pos="567"/>
        </w:tabs>
        <w:spacing w:line="260" w:lineRule="exact"/>
        <w:rPr>
          <w:sz w:val="22"/>
        </w:rPr>
      </w:pPr>
      <w:r w:rsidRPr="00220850">
        <w:rPr>
          <w:sz w:val="22"/>
          <w:shd w:val="clear" w:color="auto" w:fill="F2F2F2" w:themeFill="background1" w:themeFillShade="F2"/>
        </w:rPr>
        <w:t>LT/1/24/5426/002 – N60x1</w:t>
      </w:r>
      <w:r w:rsidRPr="00220850">
        <w:rPr>
          <w:sz w:val="22"/>
        </w:rPr>
        <w:tab/>
      </w:r>
    </w:p>
    <w:p w14:paraId="5FFA92C6" w14:textId="77777777" w:rsidR="00DE01F8" w:rsidRPr="00220850" w:rsidRDefault="00DE01F8">
      <w:pPr>
        <w:tabs>
          <w:tab w:val="left" w:pos="567"/>
        </w:tabs>
        <w:spacing w:line="260" w:lineRule="exact"/>
        <w:rPr>
          <w:sz w:val="22"/>
          <w:szCs w:val="24"/>
        </w:rPr>
      </w:pPr>
    </w:p>
    <w:p w14:paraId="2ADDB084" w14:textId="77777777" w:rsidR="00DE01F8" w:rsidRPr="00220850" w:rsidRDefault="00DE01F8">
      <w:pPr>
        <w:tabs>
          <w:tab w:val="left" w:pos="567"/>
        </w:tabs>
        <w:spacing w:line="260" w:lineRule="exact"/>
        <w:rPr>
          <w:sz w:val="22"/>
          <w:szCs w:val="24"/>
        </w:rPr>
      </w:pPr>
    </w:p>
    <w:p w14:paraId="15C971BA"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t>13.</w:t>
      </w:r>
      <w:r w:rsidRPr="00220850">
        <w:rPr>
          <w:b/>
          <w:sz w:val="22"/>
          <w:szCs w:val="24"/>
        </w:rPr>
        <w:tab/>
        <w:t xml:space="preserve">SERIJOS NUMERIS </w:t>
      </w:r>
    </w:p>
    <w:p w14:paraId="6C1CA1C4" w14:textId="77777777" w:rsidR="00DE01F8" w:rsidRPr="00220850" w:rsidRDefault="00DE01F8">
      <w:pPr>
        <w:tabs>
          <w:tab w:val="left" w:pos="567"/>
        </w:tabs>
        <w:spacing w:line="260" w:lineRule="exact"/>
        <w:rPr>
          <w:sz w:val="22"/>
        </w:rPr>
      </w:pPr>
    </w:p>
    <w:p w14:paraId="2176DB0F" w14:textId="77777777" w:rsidR="00DE01F8" w:rsidRPr="00220850" w:rsidRDefault="001F7C5A">
      <w:pPr>
        <w:tabs>
          <w:tab w:val="left" w:pos="567"/>
        </w:tabs>
        <w:spacing w:line="260" w:lineRule="exact"/>
        <w:rPr>
          <w:sz w:val="22"/>
        </w:rPr>
      </w:pPr>
      <w:r w:rsidRPr="00220850">
        <w:rPr>
          <w:sz w:val="22"/>
        </w:rPr>
        <w:t>Lot</w:t>
      </w:r>
    </w:p>
    <w:p w14:paraId="67BE95DB" w14:textId="77777777" w:rsidR="00DE01F8" w:rsidRPr="00220850" w:rsidRDefault="00DE01F8">
      <w:pPr>
        <w:tabs>
          <w:tab w:val="left" w:pos="567"/>
        </w:tabs>
        <w:spacing w:line="260" w:lineRule="exact"/>
        <w:rPr>
          <w:sz w:val="22"/>
          <w:szCs w:val="24"/>
        </w:rPr>
      </w:pPr>
    </w:p>
    <w:p w14:paraId="1587D05F" w14:textId="77777777" w:rsidR="00DE01F8" w:rsidRPr="00220850" w:rsidRDefault="00DE01F8">
      <w:pPr>
        <w:tabs>
          <w:tab w:val="left" w:pos="567"/>
        </w:tabs>
        <w:spacing w:line="260" w:lineRule="exact"/>
        <w:rPr>
          <w:sz w:val="22"/>
          <w:szCs w:val="24"/>
        </w:rPr>
      </w:pPr>
    </w:p>
    <w:p w14:paraId="16518FE0"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t>14.</w:t>
      </w:r>
      <w:r w:rsidRPr="00220850">
        <w:rPr>
          <w:b/>
          <w:sz w:val="22"/>
          <w:szCs w:val="24"/>
        </w:rPr>
        <w:tab/>
        <w:t>PARDAVIMO (IŠDAVIMO) TVARKA</w:t>
      </w:r>
    </w:p>
    <w:p w14:paraId="5209432A" w14:textId="77777777" w:rsidR="00DE01F8" w:rsidRPr="00220850" w:rsidRDefault="00DE01F8">
      <w:pPr>
        <w:tabs>
          <w:tab w:val="left" w:pos="567"/>
        </w:tabs>
        <w:spacing w:line="260" w:lineRule="exact"/>
        <w:rPr>
          <w:sz w:val="22"/>
          <w:szCs w:val="24"/>
        </w:rPr>
      </w:pPr>
    </w:p>
    <w:p w14:paraId="48628457" w14:textId="77777777" w:rsidR="001F7C5A" w:rsidRPr="00220850" w:rsidRDefault="001F7C5A" w:rsidP="001F7C5A">
      <w:pPr>
        <w:tabs>
          <w:tab w:val="left" w:pos="567"/>
        </w:tabs>
        <w:spacing w:line="260" w:lineRule="exact"/>
        <w:rPr>
          <w:sz w:val="22"/>
        </w:rPr>
      </w:pPr>
      <w:r w:rsidRPr="00220850">
        <w:rPr>
          <w:sz w:val="22"/>
        </w:rPr>
        <w:t xml:space="preserve">Receptinis vaistas </w:t>
      </w:r>
    </w:p>
    <w:p w14:paraId="067BCE88" w14:textId="77777777" w:rsidR="00DE01F8" w:rsidRPr="00220850" w:rsidRDefault="00DE01F8">
      <w:pPr>
        <w:tabs>
          <w:tab w:val="left" w:pos="567"/>
        </w:tabs>
        <w:spacing w:line="260" w:lineRule="exact"/>
        <w:rPr>
          <w:sz w:val="22"/>
          <w:szCs w:val="24"/>
        </w:rPr>
      </w:pPr>
    </w:p>
    <w:p w14:paraId="56AEF17A" w14:textId="77777777" w:rsidR="00DE01F8" w:rsidRPr="00220850" w:rsidRDefault="00DE01F8">
      <w:pPr>
        <w:tabs>
          <w:tab w:val="left" w:pos="567"/>
        </w:tabs>
        <w:spacing w:line="260" w:lineRule="exact"/>
        <w:rPr>
          <w:sz w:val="22"/>
          <w:szCs w:val="24"/>
        </w:rPr>
      </w:pPr>
    </w:p>
    <w:p w14:paraId="1072A665" w14:textId="77777777" w:rsidR="00DE01F8" w:rsidRPr="00220850" w:rsidRDefault="002D5C8E">
      <w:pPr>
        <w:pBdr>
          <w:top w:val="single" w:sz="4" w:space="2" w:color="auto"/>
          <w:left w:val="single" w:sz="4" w:space="4" w:color="auto"/>
          <w:bottom w:val="single" w:sz="4" w:space="1" w:color="auto"/>
          <w:right w:val="single" w:sz="4" w:space="4" w:color="auto"/>
        </w:pBdr>
        <w:tabs>
          <w:tab w:val="left" w:pos="567"/>
        </w:tabs>
        <w:rPr>
          <w:sz w:val="22"/>
          <w:szCs w:val="24"/>
        </w:rPr>
      </w:pPr>
      <w:r w:rsidRPr="00220850">
        <w:rPr>
          <w:b/>
          <w:sz w:val="22"/>
          <w:szCs w:val="24"/>
        </w:rPr>
        <w:t>15.</w:t>
      </w:r>
      <w:r w:rsidRPr="00220850">
        <w:rPr>
          <w:b/>
          <w:sz w:val="22"/>
          <w:szCs w:val="24"/>
        </w:rPr>
        <w:tab/>
        <w:t>VARTOJIMO INSTRUKCIJA</w:t>
      </w:r>
    </w:p>
    <w:p w14:paraId="0A2D07AE" w14:textId="77777777" w:rsidR="00DE01F8" w:rsidRPr="00220850" w:rsidRDefault="00DE01F8">
      <w:pPr>
        <w:tabs>
          <w:tab w:val="left" w:pos="567"/>
        </w:tabs>
        <w:spacing w:line="260" w:lineRule="exact"/>
        <w:rPr>
          <w:sz w:val="22"/>
          <w:szCs w:val="24"/>
        </w:rPr>
      </w:pPr>
    </w:p>
    <w:p w14:paraId="7C8C5FFF" w14:textId="77777777" w:rsidR="00E30D38" w:rsidRPr="00220850" w:rsidRDefault="00E30D38">
      <w:pPr>
        <w:tabs>
          <w:tab w:val="left" w:pos="567"/>
        </w:tabs>
        <w:spacing w:line="260" w:lineRule="exact"/>
        <w:rPr>
          <w:sz w:val="22"/>
          <w:szCs w:val="24"/>
        </w:rPr>
      </w:pPr>
    </w:p>
    <w:p w14:paraId="304BB169" w14:textId="77777777" w:rsidR="00DE01F8" w:rsidRPr="00220850" w:rsidRDefault="002D5C8E">
      <w:pPr>
        <w:pBdr>
          <w:top w:val="single" w:sz="4" w:space="1" w:color="auto"/>
          <w:left w:val="single" w:sz="4" w:space="4" w:color="auto"/>
          <w:bottom w:val="single" w:sz="4" w:space="0" w:color="auto"/>
          <w:right w:val="single" w:sz="4" w:space="4" w:color="auto"/>
        </w:pBdr>
        <w:tabs>
          <w:tab w:val="left" w:pos="567"/>
        </w:tabs>
        <w:rPr>
          <w:sz w:val="22"/>
          <w:szCs w:val="24"/>
        </w:rPr>
      </w:pPr>
      <w:r w:rsidRPr="00220850">
        <w:rPr>
          <w:b/>
          <w:sz w:val="22"/>
          <w:szCs w:val="24"/>
        </w:rPr>
        <w:t>16.</w:t>
      </w:r>
      <w:r w:rsidRPr="00220850">
        <w:rPr>
          <w:b/>
          <w:sz w:val="22"/>
          <w:szCs w:val="24"/>
        </w:rPr>
        <w:tab/>
        <w:t>INFORMACIJA BRAILIO RAŠTU</w:t>
      </w:r>
    </w:p>
    <w:p w14:paraId="62E1DD70" w14:textId="77777777" w:rsidR="00DE01F8" w:rsidRPr="00220850" w:rsidRDefault="00DE01F8">
      <w:pPr>
        <w:tabs>
          <w:tab w:val="left" w:pos="567"/>
        </w:tabs>
        <w:spacing w:line="260" w:lineRule="exact"/>
        <w:rPr>
          <w:sz w:val="22"/>
          <w:szCs w:val="24"/>
        </w:rPr>
      </w:pPr>
    </w:p>
    <w:p w14:paraId="0DF8F8CB" w14:textId="77777777" w:rsidR="001F7C5A" w:rsidRPr="00220850" w:rsidRDefault="001F7C5A" w:rsidP="001F7C5A">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mg </w:t>
      </w:r>
    </w:p>
    <w:p w14:paraId="236D34D4" w14:textId="77777777" w:rsidR="00DE01F8" w:rsidRPr="00220850" w:rsidRDefault="00DE01F8">
      <w:pPr>
        <w:tabs>
          <w:tab w:val="left" w:pos="567"/>
        </w:tabs>
        <w:spacing w:line="260" w:lineRule="exact"/>
        <w:rPr>
          <w:sz w:val="22"/>
          <w:szCs w:val="24"/>
        </w:rPr>
      </w:pPr>
    </w:p>
    <w:p w14:paraId="2F905B85" w14:textId="77777777" w:rsidR="00DE01F8" w:rsidRPr="00220850" w:rsidRDefault="00DE01F8">
      <w:pPr>
        <w:tabs>
          <w:tab w:val="left" w:pos="567"/>
        </w:tabs>
        <w:spacing w:line="260" w:lineRule="exact"/>
        <w:rPr>
          <w:sz w:val="22"/>
          <w:szCs w:val="22"/>
          <w:shd w:val="clear" w:color="auto" w:fill="CCCCCC"/>
        </w:rPr>
      </w:pPr>
    </w:p>
    <w:p w14:paraId="5013C120" w14:textId="77777777" w:rsidR="00DE01F8" w:rsidRPr="00220850" w:rsidRDefault="002D5C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220850">
        <w:rPr>
          <w:b/>
          <w:sz w:val="22"/>
        </w:rPr>
        <w:t>17.</w:t>
      </w:r>
      <w:r w:rsidRPr="00220850">
        <w:rPr>
          <w:b/>
          <w:sz w:val="22"/>
        </w:rPr>
        <w:tab/>
        <w:t>UNIKALUS IDENTIFIKATORIUS – 2D BRŪKŠNINIS KODAS</w:t>
      </w:r>
    </w:p>
    <w:p w14:paraId="20E4D13A" w14:textId="77777777" w:rsidR="00DE01F8" w:rsidRPr="00220850" w:rsidRDefault="00DE01F8">
      <w:pPr>
        <w:tabs>
          <w:tab w:val="left" w:pos="567"/>
        </w:tabs>
        <w:spacing w:line="260" w:lineRule="exact"/>
        <w:rPr>
          <w:sz w:val="22"/>
        </w:rPr>
      </w:pPr>
    </w:p>
    <w:p w14:paraId="053B676E" w14:textId="77777777" w:rsidR="00DE01F8" w:rsidRPr="00220850" w:rsidRDefault="002D5C8E">
      <w:pPr>
        <w:tabs>
          <w:tab w:val="left" w:pos="567"/>
        </w:tabs>
        <w:spacing w:line="260" w:lineRule="exact"/>
        <w:rPr>
          <w:sz w:val="22"/>
          <w:szCs w:val="22"/>
          <w:shd w:val="clear" w:color="auto" w:fill="CCCCCC"/>
        </w:rPr>
      </w:pPr>
      <w:r w:rsidRPr="00220850">
        <w:rPr>
          <w:sz w:val="22"/>
          <w:highlight w:val="lightGray"/>
        </w:rPr>
        <w:t>2D brūkšninis kodas su nurod</w:t>
      </w:r>
      <w:r w:rsidR="001F7C5A" w:rsidRPr="00220850">
        <w:rPr>
          <w:sz w:val="22"/>
          <w:highlight w:val="lightGray"/>
        </w:rPr>
        <w:t>ytu unikaliu identifikatoriumi.</w:t>
      </w:r>
    </w:p>
    <w:p w14:paraId="52FB93C4" w14:textId="77777777" w:rsidR="00DE01F8" w:rsidRPr="00220850" w:rsidRDefault="00DE01F8">
      <w:pPr>
        <w:tabs>
          <w:tab w:val="left" w:pos="567"/>
        </w:tabs>
        <w:spacing w:line="260" w:lineRule="exact"/>
        <w:rPr>
          <w:sz w:val="22"/>
          <w:szCs w:val="22"/>
          <w:shd w:val="clear" w:color="auto" w:fill="CCCCCC"/>
        </w:rPr>
      </w:pPr>
    </w:p>
    <w:p w14:paraId="1860B7DF" w14:textId="77777777" w:rsidR="00DE01F8" w:rsidRPr="00220850" w:rsidRDefault="00DE01F8">
      <w:pPr>
        <w:tabs>
          <w:tab w:val="left" w:pos="567"/>
        </w:tabs>
        <w:spacing w:line="260" w:lineRule="exact"/>
        <w:rPr>
          <w:sz w:val="22"/>
        </w:rPr>
      </w:pPr>
    </w:p>
    <w:p w14:paraId="517AAE8B" w14:textId="77777777" w:rsidR="00DE01F8" w:rsidRPr="00220850" w:rsidRDefault="002D5C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220850">
        <w:rPr>
          <w:b/>
          <w:sz w:val="22"/>
        </w:rPr>
        <w:t>18.</w:t>
      </w:r>
      <w:r w:rsidRPr="00220850">
        <w:rPr>
          <w:b/>
          <w:sz w:val="22"/>
        </w:rPr>
        <w:tab/>
        <w:t>UNIKALUS IDENTIFIKATORIUS – ŽMONĖMS SUPRANTAMI DUOMENYS</w:t>
      </w:r>
    </w:p>
    <w:p w14:paraId="6A86DDBD" w14:textId="77777777" w:rsidR="00DE01F8" w:rsidRPr="00220850" w:rsidRDefault="00DE01F8">
      <w:pPr>
        <w:tabs>
          <w:tab w:val="left" w:pos="567"/>
        </w:tabs>
        <w:spacing w:line="260" w:lineRule="exact"/>
        <w:rPr>
          <w:sz w:val="22"/>
        </w:rPr>
      </w:pPr>
    </w:p>
    <w:p w14:paraId="52F5944B" w14:textId="77777777" w:rsidR="001F7C5A" w:rsidRPr="00220850" w:rsidRDefault="001F7C5A" w:rsidP="001F7C5A">
      <w:pPr>
        <w:tabs>
          <w:tab w:val="left" w:pos="567"/>
        </w:tabs>
        <w:spacing w:line="260" w:lineRule="exact"/>
        <w:rPr>
          <w:sz w:val="22"/>
          <w:szCs w:val="22"/>
        </w:rPr>
      </w:pPr>
      <w:r w:rsidRPr="00220850">
        <w:rPr>
          <w:sz w:val="22"/>
          <w:szCs w:val="22"/>
        </w:rPr>
        <w:t xml:space="preserve">PC </w:t>
      </w:r>
    </w:p>
    <w:p w14:paraId="3246EC05" w14:textId="77777777" w:rsidR="001F7C5A" w:rsidRPr="00220850" w:rsidRDefault="001F7C5A" w:rsidP="001F7C5A">
      <w:pPr>
        <w:tabs>
          <w:tab w:val="left" w:pos="567"/>
        </w:tabs>
        <w:spacing w:line="260" w:lineRule="exact"/>
        <w:rPr>
          <w:sz w:val="22"/>
          <w:szCs w:val="22"/>
        </w:rPr>
      </w:pPr>
      <w:r w:rsidRPr="00220850">
        <w:rPr>
          <w:sz w:val="22"/>
          <w:szCs w:val="22"/>
        </w:rPr>
        <w:t xml:space="preserve">SN </w:t>
      </w:r>
    </w:p>
    <w:p w14:paraId="65D94F6F" w14:textId="77777777" w:rsidR="001F7C5A" w:rsidRPr="00220850" w:rsidRDefault="001F7C5A" w:rsidP="001F7C5A">
      <w:pPr>
        <w:tabs>
          <w:tab w:val="left" w:pos="567"/>
        </w:tabs>
        <w:spacing w:line="260" w:lineRule="exact"/>
        <w:rPr>
          <w:sz w:val="22"/>
          <w:szCs w:val="22"/>
        </w:rPr>
      </w:pPr>
      <w:r w:rsidRPr="00220850">
        <w:rPr>
          <w:sz w:val="22"/>
          <w:szCs w:val="22"/>
        </w:rPr>
        <w:t xml:space="preserve">NN </w:t>
      </w:r>
    </w:p>
    <w:p w14:paraId="5CC94A70" w14:textId="77777777" w:rsidR="00DE01F8" w:rsidRPr="00220850" w:rsidRDefault="00DE01F8">
      <w:pPr>
        <w:tabs>
          <w:tab w:val="left" w:pos="567"/>
        </w:tabs>
        <w:spacing w:line="260" w:lineRule="exact"/>
        <w:rPr>
          <w:vanish/>
          <w:sz w:val="22"/>
          <w:szCs w:val="22"/>
        </w:rPr>
      </w:pPr>
    </w:p>
    <w:p w14:paraId="313980DB" w14:textId="77777777" w:rsidR="00DE01F8" w:rsidRPr="00220850" w:rsidRDefault="00DE01F8">
      <w:pPr>
        <w:tabs>
          <w:tab w:val="left" w:pos="567"/>
        </w:tabs>
        <w:spacing w:line="260" w:lineRule="exact"/>
        <w:rPr>
          <w:sz w:val="22"/>
          <w:szCs w:val="24"/>
        </w:rPr>
      </w:pPr>
    </w:p>
    <w:p w14:paraId="0611270E" w14:textId="77777777" w:rsidR="00190CD5" w:rsidRPr="00220850" w:rsidRDefault="00190CD5">
      <w:pPr>
        <w:tabs>
          <w:tab w:val="left" w:pos="567"/>
        </w:tabs>
        <w:spacing w:line="260" w:lineRule="exact"/>
        <w:rPr>
          <w:sz w:val="22"/>
          <w:szCs w:val="24"/>
        </w:rPr>
      </w:pPr>
    </w:p>
    <w:p w14:paraId="5B14013A" w14:textId="77777777" w:rsidR="00190CD5" w:rsidRPr="00220850" w:rsidRDefault="00190CD5">
      <w:pPr>
        <w:tabs>
          <w:tab w:val="left" w:pos="567"/>
        </w:tabs>
        <w:spacing w:line="260" w:lineRule="exact"/>
        <w:rPr>
          <w:sz w:val="22"/>
          <w:szCs w:val="24"/>
        </w:rPr>
      </w:pPr>
    </w:p>
    <w:p w14:paraId="24E3845B" w14:textId="77777777" w:rsidR="0013626C" w:rsidRPr="00220850" w:rsidRDefault="0013626C">
      <w:pPr>
        <w:tabs>
          <w:tab w:val="left" w:pos="567"/>
        </w:tabs>
        <w:spacing w:line="260" w:lineRule="exact"/>
        <w:rPr>
          <w:sz w:val="22"/>
          <w:szCs w:val="24"/>
        </w:rPr>
      </w:pPr>
    </w:p>
    <w:p w14:paraId="297FF04E" w14:textId="1D0FEBC0" w:rsidR="007A5503" w:rsidRPr="00220850" w:rsidRDefault="007A5503">
      <w:pPr>
        <w:rPr>
          <w:sz w:val="22"/>
          <w:szCs w:val="24"/>
        </w:rPr>
      </w:pPr>
      <w:r w:rsidRPr="00220850">
        <w:rPr>
          <w:sz w:val="22"/>
          <w:szCs w:val="24"/>
        </w:rPr>
        <w:br w:type="page"/>
      </w:r>
    </w:p>
    <w:p w14:paraId="06D3EC76" w14:textId="77777777" w:rsidR="00190CD5" w:rsidRPr="00220850" w:rsidRDefault="00190CD5">
      <w:pPr>
        <w:tabs>
          <w:tab w:val="left" w:pos="567"/>
        </w:tabs>
        <w:spacing w:line="260" w:lineRule="exact"/>
        <w:rPr>
          <w:sz w:val="22"/>
          <w:szCs w:val="24"/>
        </w:rPr>
      </w:pPr>
    </w:p>
    <w:p w14:paraId="565AC1E8" w14:textId="77777777" w:rsidR="00190CD5" w:rsidRPr="00220850" w:rsidRDefault="00190CD5" w:rsidP="00E30D38">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INFORMACIJA ANT IŠORINĖS PAKUOTĖS</w:t>
      </w:r>
    </w:p>
    <w:p w14:paraId="72CDBF50" w14:textId="77777777" w:rsidR="00190CD5" w:rsidRPr="00220850" w:rsidRDefault="00190CD5" w:rsidP="00E30D3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5A315EB1" w14:textId="5711B9C6" w:rsidR="00190CD5" w:rsidRPr="00220850" w:rsidRDefault="008757FA" w:rsidP="00E30D38">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 xml:space="preserve">KARTONO </w:t>
      </w:r>
      <w:r w:rsidR="00190CD5" w:rsidRPr="00220850">
        <w:rPr>
          <w:b/>
          <w:sz w:val="22"/>
          <w:szCs w:val="24"/>
        </w:rPr>
        <w:t>DĖŽUTĖ</w:t>
      </w:r>
    </w:p>
    <w:p w14:paraId="330A853E" w14:textId="77777777" w:rsidR="00190CD5" w:rsidRPr="00220850" w:rsidRDefault="00190CD5" w:rsidP="00190CD5">
      <w:pPr>
        <w:tabs>
          <w:tab w:val="left" w:pos="567"/>
        </w:tabs>
        <w:spacing w:line="260" w:lineRule="exact"/>
        <w:rPr>
          <w:sz w:val="22"/>
          <w:szCs w:val="24"/>
        </w:rPr>
      </w:pPr>
    </w:p>
    <w:p w14:paraId="35A6664E" w14:textId="77777777" w:rsidR="00190CD5" w:rsidRPr="00220850" w:rsidRDefault="00190CD5" w:rsidP="00190CD5">
      <w:pPr>
        <w:tabs>
          <w:tab w:val="left" w:pos="567"/>
        </w:tabs>
        <w:spacing w:line="260" w:lineRule="exact"/>
        <w:rPr>
          <w:sz w:val="22"/>
          <w:szCs w:val="24"/>
        </w:rPr>
      </w:pPr>
    </w:p>
    <w:p w14:paraId="4BAF7C73"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1.</w:t>
      </w:r>
      <w:r w:rsidRPr="00220850">
        <w:rPr>
          <w:b/>
          <w:sz w:val="22"/>
          <w:szCs w:val="24"/>
        </w:rPr>
        <w:tab/>
      </w:r>
      <w:r w:rsidRPr="00220850">
        <w:rPr>
          <w:b/>
          <w:caps/>
          <w:sz w:val="22"/>
          <w:szCs w:val="24"/>
        </w:rPr>
        <w:t>VAISTINIO</w:t>
      </w:r>
      <w:r w:rsidRPr="00220850">
        <w:rPr>
          <w:b/>
          <w:sz w:val="22"/>
          <w:szCs w:val="24"/>
        </w:rPr>
        <w:t xml:space="preserve"> PREPARATO PAVADINIMAS</w:t>
      </w:r>
    </w:p>
    <w:p w14:paraId="264637DF" w14:textId="77777777" w:rsidR="00190CD5" w:rsidRPr="00220850" w:rsidRDefault="00190CD5" w:rsidP="00190CD5">
      <w:pPr>
        <w:tabs>
          <w:tab w:val="left" w:pos="567"/>
        </w:tabs>
        <w:spacing w:line="260" w:lineRule="exact"/>
        <w:rPr>
          <w:sz w:val="22"/>
          <w:szCs w:val="24"/>
        </w:rPr>
      </w:pPr>
    </w:p>
    <w:p w14:paraId="6EDA35A8" w14:textId="77777777" w:rsidR="00190CD5" w:rsidRPr="00220850" w:rsidRDefault="00190CD5" w:rsidP="00190CD5">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150 mg minkštosios kapsulės</w:t>
      </w:r>
    </w:p>
    <w:p w14:paraId="44497175" w14:textId="5B2ED8E1" w:rsidR="00190CD5" w:rsidRPr="00220850" w:rsidRDefault="008447A0" w:rsidP="00190CD5">
      <w:pPr>
        <w:tabs>
          <w:tab w:val="left" w:pos="567"/>
        </w:tabs>
        <w:spacing w:line="260" w:lineRule="exact"/>
        <w:rPr>
          <w:sz w:val="22"/>
          <w:szCs w:val="24"/>
        </w:rPr>
      </w:pPr>
      <w:proofErr w:type="spellStart"/>
      <w:r w:rsidRPr="00220850">
        <w:rPr>
          <w:i/>
          <w:iCs/>
          <w:sz w:val="22"/>
          <w:szCs w:val="24"/>
        </w:rPr>
        <w:t>nintedanibum</w:t>
      </w:r>
      <w:proofErr w:type="spellEnd"/>
    </w:p>
    <w:p w14:paraId="5092600F" w14:textId="77777777" w:rsidR="00190CD5" w:rsidRPr="00220850" w:rsidRDefault="00190CD5" w:rsidP="00190CD5">
      <w:pPr>
        <w:tabs>
          <w:tab w:val="left" w:pos="567"/>
        </w:tabs>
        <w:spacing w:line="260" w:lineRule="exact"/>
        <w:rPr>
          <w:sz w:val="22"/>
          <w:szCs w:val="24"/>
        </w:rPr>
      </w:pPr>
    </w:p>
    <w:p w14:paraId="1A7BEF07" w14:textId="77777777" w:rsidR="00E30D38" w:rsidRPr="00220850" w:rsidRDefault="00E30D38" w:rsidP="00190CD5">
      <w:pPr>
        <w:tabs>
          <w:tab w:val="left" w:pos="567"/>
        </w:tabs>
        <w:spacing w:line="260" w:lineRule="exact"/>
        <w:rPr>
          <w:sz w:val="22"/>
          <w:szCs w:val="24"/>
        </w:rPr>
      </w:pPr>
    </w:p>
    <w:p w14:paraId="1F8D8F46"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220850">
        <w:rPr>
          <w:b/>
          <w:sz w:val="22"/>
          <w:szCs w:val="24"/>
        </w:rPr>
        <w:t>2.</w:t>
      </w:r>
      <w:r w:rsidRPr="00220850">
        <w:rPr>
          <w:b/>
          <w:sz w:val="22"/>
          <w:szCs w:val="24"/>
        </w:rPr>
        <w:tab/>
        <w:t>VEIKLIOJI (-IOS) MEDŽIAGA (-OS) IR JOS (-Ų) KIEKIS (-IAI)</w:t>
      </w:r>
    </w:p>
    <w:p w14:paraId="14BE3EF5" w14:textId="77777777" w:rsidR="00190CD5" w:rsidRPr="00220850" w:rsidRDefault="00190CD5" w:rsidP="00190CD5">
      <w:pPr>
        <w:tabs>
          <w:tab w:val="left" w:pos="567"/>
        </w:tabs>
        <w:spacing w:line="260" w:lineRule="exact"/>
        <w:rPr>
          <w:sz w:val="22"/>
          <w:szCs w:val="24"/>
        </w:rPr>
      </w:pPr>
    </w:p>
    <w:p w14:paraId="6181FE44" w14:textId="7BAD6C5E" w:rsidR="00190CD5" w:rsidRPr="00220850" w:rsidRDefault="00190CD5" w:rsidP="00190CD5">
      <w:pPr>
        <w:autoSpaceDE w:val="0"/>
        <w:autoSpaceDN w:val="0"/>
        <w:adjustRightInd w:val="0"/>
        <w:rPr>
          <w:rFonts w:eastAsia="TimesNewRoman"/>
          <w:sz w:val="22"/>
          <w:szCs w:val="22"/>
        </w:rPr>
      </w:pPr>
      <w:r w:rsidRPr="00220850">
        <w:rPr>
          <w:rFonts w:eastAsia="TimesNewRoman"/>
          <w:sz w:val="22"/>
          <w:szCs w:val="22"/>
        </w:rPr>
        <w:t xml:space="preserve">Kiekvienoje minkštojoje kapsulėje yra 150 mg </w:t>
      </w:r>
      <w:proofErr w:type="spellStart"/>
      <w:r w:rsidRPr="00220850">
        <w:rPr>
          <w:rFonts w:eastAsia="TimesNewRoman"/>
          <w:sz w:val="22"/>
          <w:szCs w:val="22"/>
        </w:rPr>
        <w:t>nintedanibo</w:t>
      </w:r>
      <w:proofErr w:type="spellEnd"/>
      <w:r w:rsidRPr="00220850">
        <w:rPr>
          <w:rFonts w:eastAsia="TimesNewRoman"/>
          <w:sz w:val="22"/>
          <w:szCs w:val="22"/>
        </w:rPr>
        <w:t xml:space="preserve"> </w:t>
      </w:r>
      <w:r w:rsidR="00E30D38" w:rsidRPr="00220850">
        <w:rPr>
          <w:rFonts w:eastAsia="TimesNewRoman"/>
          <w:sz w:val="22"/>
          <w:szCs w:val="22"/>
        </w:rPr>
        <w:t>(</w:t>
      </w:r>
      <w:proofErr w:type="spellStart"/>
      <w:r w:rsidRPr="00220850">
        <w:rPr>
          <w:rFonts w:eastAsia="TimesNewRoman"/>
          <w:sz w:val="22"/>
          <w:szCs w:val="22"/>
        </w:rPr>
        <w:t>esilato</w:t>
      </w:r>
      <w:proofErr w:type="spellEnd"/>
      <w:r w:rsidR="00E30D38" w:rsidRPr="00220850">
        <w:rPr>
          <w:rFonts w:eastAsia="TimesNewRoman"/>
          <w:sz w:val="22"/>
          <w:szCs w:val="22"/>
        </w:rPr>
        <w:t xml:space="preserve"> pavidalu)</w:t>
      </w:r>
      <w:r w:rsidR="00F87678" w:rsidRPr="00220850">
        <w:rPr>
          <w:rFonts w:eastAsia="TimesNewRoman"/>
          <w:sz w:val="22"/>
          <w:szCs w:val="22"/>
        </w:rPr>
        <w:t>.</w:t>
      </w:r>
    </w:p>
    <w:p w14:paraId="5304588F" w14:textId="77777777" w:rsidR="00190CD5" w:rsidRPr="00220850" w:rsidRDefault="00190CD5" w:rsidP="00190CD5">
      <w:pPr>
        <w:tabs>
          <w:tab w:val="left" w:pos="567"/>
        </w:tabs>
        <w:spacing w:line="260" w:lineRule="exact"/>
        <w:rPr>
          <w:sz w:val="22"/>
        </w:rPr>
      </w:pPr>
    </w:p>
    <w:p w14:paraId="68C64854" w14:textId="77777777" w:rsidR="00190CD5" w:rsidRPr="00220850" w:rsidRDefault="00190CD5" w:rsidP="00190CD5">
      <w:pPr>
        <w:tabs>
          <w:tab w:val="left" w:pos="567"/>
        </w:tabs>
        <w:spacing w:line="260" w:lineRule="exact"/>
        <w:rPr>
          <w:sz w:val="22"/>
          <w:szCs w:val="24"/>
        </w:rPr>
      </w:pPr>
    </w:p>
    <w:p w14:paraId="19D1AB50"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3.</w:t>
      </w:r>
      <w:r w:rsidRPr="00220850">
        <w:rPr>
          <w:b/>
          <w:sz w:val="22"/>
          <w:szCs w:val="24"/>
        </w:rPr>
        <w:tab/>
        <w:t>PAGALBINIŲ MEDŽIAGŲ SĄRAŠAS</w:t>
      </w:r>
    </w:p>
    <w:p w14:paraId="1BA5EC03" w14:textId="77777777" w:rsidR="00190CD5" w:rsidRPr="00220850" w:rsidRDefault="00190CD5" w:rsidP="00190CD5">
      <w:pPr>
        <w:tabs>
          <w:tab w:val="left" w:pos="567"/>
        </w:tabs>
        <w:spacing w:line="260" w:lineRule="exact"/>
        <w:rPr>
          <w:sz w:val="22"/>
          <w:szCs w:val="24"/>
        </w:rPr>
      </w:pPr>
    </w:p>
    <w:p w14:paraId="475C01A9" w14:textId="77777777" w:rsidR="00190CD5" w:rsidRPr="00220850" w:rsidRDefault="00190CD5" w:rsidP="00190CD5">
      <w:pPr>
        <w:tabs>
          <w:tab w:val="left" w:pos="567"/>
        </w:tabs>
        <w:spacing w:line="260" w:lineRule="exact"/>
        <w:rPr>
          <w:sz w:val="22"/>
          <w:szCs w:val="24"/>
        </w:rPr>
      </w:pPr>
    </w:p>
    <w:p w14:paraId="2FB890AE"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4.</w:t>
      </w:r>
      <w:r w:rsidRPr="00220850">
        <w:rPr>
          <w:b/>
          <w:sz w:val="22"/>
          <w:szCs w:val="24"/>
        </w:rPr>
        <w:tab/>
        <w:t>FARMACINĖ FORMA IR KIEKIS PAKUOTĖJE</w:t>
      </w:r>
    </w:p>
    <w:p w14:paraId="56932658" w14:textId="77777777" w:rsidR="00190CD5" w:rsidRPr="00220850" w:rsidRDefault="00190CD5" w:rsidP="00190CD5">
      <w:pPr>
        <w:tabs>
          <w:tab w:val="left" w:pos="567"/>
        </w:tabs>
        <w:spacing w:line="260" w:lineRule="exact"/>
        <w:rPr>
          <w:sz w:val="22"/>
          <w:szCs w:val="24"/>
        </w:rPr>
      </w:pPr>
    </w:p>
    <w:p w14:paraId="6632F494" w14:textId="77777777" w:rsidR="00190CD5" w:rsidRPr="00220850" w:rsidRDefault="00190CD5" w:rsidP="00190CD5">
      <w:pPr>
        <w:tabs>
          <w:tab w:val="left" w:pos="567"/>
        </w:tabs>
        <w:spacing w:line="260" w:lineRule="exact"/>
        <w:rPr>
          <w:sz w:val="22"/>
          <w:szCs w:val="24"/>
        </w:rPr>
      </w:pPr>
      <w:r w:rsidRPr="00220850">
        <w:rPr>
          <w:sz w:val="22"/>
          <w:szCs w:val="24"/>
          <w:highlight w:val="lightGray"/>
        </w:rPr>
        <w:t>Minkštoji kapsulė</w:t>
      </w:r>
    </w:p>
    <w:p w14:paraId="4BDDC036" w14:textId="77777777" w:rsidR="00190CD5" w:rsidRPr="00220850" w:rsidRDefault="00190CD5" w:rsidP="00190CD5">
      <w:pPr>
        <w:tabs>
          <w:tab w:val="left" w:pos="567"/>
        </w:tabs>
        <w:spacing w:line="260" w:lineRule="exact"/>
        <w:rPr>
          <w:sz w:val="22"/>
          <w:szCs w:val="24"/>
        </w:rPr>
      </w:pPr>
    </w:p>
    <w:p w14:paraId="1523A76B" w14:textId="77777777" w:rsidR="00190CD5" w:rsidRPr="00220850" w:rsidRDefault="00190CD5" w:rsidP="00190CD5">
      <w:pPr>
        <w:tabs>
          <w:tab w:val="left" w:pos="567"/>
        </w:tabs>
        <w:spacing w:line="260" w:lineRule="exact"/>
        <w:rPr>
          <w:sz w:val="22"/>
          <w:szCs w:val="24"/>
        </w:rPr>
      </w:pPr>
      <w:r w:rsidRPr="00220850">
        <w:rPr>
          <w:sz w:val="22"/>
          <w:szCs w:val="24"/>
        </w:rPr>
        <w:t xml:space="preserve">30x1 </w:t>
      </w:r>
      <w:r w:rsidRPr="00220850">
        <w:rPr>
          <w:sz w:val="22"/>
          <w:szCs w:val="24"/>
          <w:highlight w:val="lightGray"/>
        </w:rPr>
        <w:t>minkštoji</w:t>
      </w:r>
      <w:r w:rsidRPr="00220850">
        <w:rPr>
          <w:sz w:val="22"/>
          <w:szCs w:val="24"/>
        </w:rPr>
        <w:t xml:space="preserve"> kapsulė</w:t>
      </w:r>
    </w:p>
    <w:p w14:paraId="13DA7882" w14:textId="77777777" w:rsidR="00190CD5" w:rsidRPr="00220850" w:rsidRDefault="00190CD5" w:rsidP="00190CD5">
      <w:pPr>
        <w:tabs>
          <w:tab w:val="left" w:pos="567"/>
        </w:tabs>
        <w:spacing w:line="260" w:lineRule="exact"/>
        <w:rPr>
          <w:sz w:val="22"/>
          <w:szCs w:val="24"/>
        </w:rPr>
      </w:pPr>
      <w:r w:rsidRPr="00220850">
        <w:rPr>
          <w:sz w:val="22"/>
          <w:szCs w:val="24"/>
          <w:highlight w:val="lightGray"/>
        </w:rPr>
        <w:t>60x1 minkštoji kapsulė</w:t>
      </w:r>
    </w:p>
    <w:p w14:paraId="3F4DD563" w14:textId="77777777" w:rsidR="00190CD5" w:rsidRPr="00220850" w:rsidRDefault="00190CD5" w:rsidP="00190CD5">
      <w:pPr>
        <w:tabs>
          <w:tab w:val="left" w:pos="567"/>
        </w:tabs>
        <w:spacing w:line="260" w:lineRule="exact"/>
        <w:rPr>
          <w:sz w:val="22"/>
          <w:szCs w:val="24"/>
        </w:rPr>
      </w:pPr>
    </w:p>
    <w:p w14:paraId="28001FB7" w14:textId="77777777" w:rsidR="00190CD5" w:rsidRPr="00220850" w:rsidRDefault="00190CD5" w:rsidP="00190CD5">
      <w:pPr>
        <w:tabs>
          <w:tab w:val="left" w:pos="567"/>
        </w:tabs>
        <w:spacing w:line="260" w:lineRule="exact"/>
        <w:rPr>
          <w:sz w:val="22"/>
          <w:szCs w:val="24"/>
        </w:rPr>
      </w:pPr>
    </w:p>
    <w:p w14:paraId="27CD86C6"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5.</w:t>
      </w:r>
      <w:r w:rsidRPr="00220850">
        <w:rPr>
          <w:b/>
          <w:sz w:val="22"/>
          <w:szCs w:val="24"/>
        </w:rPr>
        <w:tab/>
        <w:t>VARTOJIMO METODAS IR BŪDAS (-AI)</w:t>
      </w:r>
    </w:p>
    <w:p w14:paraId="12B824DC" w14:textId="77777777" w:rsidR="00190CD5" w:rsidRPr="00220850" w:rsidRDefault="00190CD5" w:rsidP="00190CD5">
      <w:pPr>
        <w:tabs>
          <w:tab w:val="left" w:pos="567"/>
        </w:tabs>
        <w:spacing w:line="260" w:lineRule="exact"/>
        <w:rPr>
          <w:sz w:val="22"/>
          <w:szCs w:val="24"/>
        </w:rPr>
      </w:pPr>
    </w:p>
    <w:p w14:paraId="3D6AD7F9" w14:textId="28057160" w:rsidR="00190CD5" w:rsidRPr="00220850" w:rsidRDefault="00190CD5" w:rsidP="00190CD5">
      <w:pPr>
        <w:tabs>
          <w:tab w:val="left" w:pos="567"/>
        </w:tabs>
        <w:spacing w:line="260" w:lineRule="exact"/>
        <w:rPr>
          <w:sz w:val="22"/>
          <w:szCs w:val="24"/>
        </w:rPr>
      </w:pPr>
      <w:r w:rsidRPr="00220850">
        <w:rPr>
          <w:sz w:val="22"/>
          <w:szCs w:val="24"/>
          <w:highlight w:val="lightGray"/>
        </w:rPr>
        <w:t>Vartoti per burną</w:t>
      </w:r>
      <w:r w:rsidR="00F87678" w:rsidRPr="00220850">
        <w:rPr>
          <w:sz w:val="22"/>
          <w:szCs w:val="24"/>
          <w:highlight w:val="lightGray"/>
        </w:rPr>
        <w:t>.</w:t>
      </w:r>
    </w:p>
    <w:p w14:paraId="46EC534F" w14:textId="77777777" w:rsidR="00190CD5" w:rsidRPr="00220850" w:rsidRDefault="00190CD5" w:rsidP="00190CD5">
      <w:pPr>
        <w:tabs>
          <w:tab w:val="left" w:pos="567"/>
        </w:tabs>
        <w:spacing w:line="260" w:lineRule="exact"/>
        <w:rPr>
          <w:sz w:val="22"/>
          <w:szCs w:val="24"/>
        </w:rPr>
      </w:pPr>
      <w:r w:rsidRPr="00220850">
        <w:rPr>
          <w:sz w:val="22"/>
          <w:szCs w:val="24"/>
        </w:rPr>
        <w:t>Prieš vartojimą perskaitykite pakuotės lapelį.</w:t>
      </w:r>
    </w:p>
    <w:p w14:paraId="7344CE18" w14:textId="77777777" w:rsidR="00190CD5" w:rsidRPr="00220850" w:rsidRDefault="00190CD5" w:rsidP="00190CD5">
      <w:pPr>
        <w:tabs>
          <w:tab w:val="left" w:pos="567"/>
        </w:tabs>
        <w:spacing w:line="260" w:lineRule="exact"/>
        <w:rPr>
          <w:sz w:val="22"/>
          <w:szCs w:val="24"/>
        </w:rPr>
      </w:pPr>
    </w:p>
    <w:p w14:paraId="6E86FF86" w14:textId="77777777" w:rsidR="00954587" w:rsidRPr="00220850" w:rsidRDefault="00954587" w:rsidP="00954587">
      <w:pPr>
        <w:tabs>
          <w:tab w:val="left" w:pos="567"/>
        </w:tabs>
        <w:spacing w:line="260" w:lineRule="exact"/>
        <w:rPr>
          <w:sz w:val="22"/>
          <w:szCs w:val="24"/>
          <w:highlight w:val="lightGray"/>
        </w:rPr>
      </w:pPr>
      <w:r w:rsidRPr="00220850">
        <w:rPr>
          <w:sz w:val="22"/>
          <w:szCs w:val="24"/>
          <w:highlight w:val="lightGray"/>
        </w:rPr>
        <w:t xml:space="preserve">&lt;{QR kodas}&gt; &lt;{kitas 2D </w:t>
      </w:r>
      <w:proofErr w:type="spellStart"/>
      <w:r w:rsidRPr="00220850">
        <w:rPr>
          <w:sz w:val="22"/>
          <w:szCs w:val="24"/>
          <w:highlight w:val="lightGray"/>
        </w:rPr>
        <w:t>barkodas</w:t>
      </w:r>
      <w:proofErr w:type="spellEnd"/>
      <w:r w:rsidRPr="00220850">
        <w:rPr>
          <w:sz w:val="22"/>
          <w:szCs w:val="24"/>
          <w:highlight w:val="lightGray"/>
        </w:rPr>
        <w:t>}&gt; &lt;{NFC}&gt;</w:t>
      </w:r>
    </w:p>
    <w:p w14:paraId="31A36B1A" w14:textId="4C05BACE" w:rsidR="00190CD5" w:rsidRPr="00220850" w:rsidRDefault="00954587" w:rsidP="00954587">
      <w:pPr>
        <w:tabs>
          <w:tab w:val="left" w:pos="567"/>
        </w:tabs>
        <w:spacing w:line="260" w:lineRule="exact"/>
        <w:rPr>
          <w:sz w:val="22"/>
          <w:szCs w:val="24"/>
        </w:rPr>
      </w:pPr>
      <w:r w:rsidRPr="00220850">
        <w:rPr>
          <w:sz w:val="22"/>
          <w:szCs w:val="24"/>
          <w:highlight w:val="lightGray"/>
        </w:rPr>
        <w:t>&lt;{URL}&gt;</w:t>
      </w:r>
    </w:p>
    <w:p w14:paraId="754164B8" w14:textId="77777777" w:rsidR="00954587" w:rsidRPr="00220850" w:rsidRDefault="00954587" w:rsidP="00954587">
      <w:pPr>
        <w:tabs>
          <w:tab w:val="left" w:pos="567"/>
        </w:tabs>
        <w:spacing w:line="260" w:lineRule="exact"/>
        <w:rPr>
          <w:sz w:val="22"/>
          <w:szCs w:val="24"/>
        </w:rPr>
      </w:pPr>
    </w:p>
    <w:p w14:paraId="2AD63F8F" w14:textId="77777777" w:rsidR="00954587" w:rsidRPr="00220850" w:rsidRDefault="00954587" w:rsidP="00954587">
      <w:pPr>
        <w:tabs>
          <w:tab w:val="left" w:pos="567"/>
        </w:tabs>
        <w:spacing w:line="260" w:lineRule="exact"/>
        <w:rPr>
          <w:sz w:val="22"/>
          <w:szCs w:val="24"/>
        </w:rPr>
      </w:pPr>
    </w:p>
    <w:p w14:paraId="65508C00"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6.</w:t>
      </w:r>
      <w:r w:rsidRPr="00220850">
        <w:rPr>
          <w:b/>
          <w:sz w:val="22"/>
          <w:szCs w:val="24"/>
        </w:rPr>
        <w:tab/>
        <w:t>SPECIALUS ĮSPĖJIMAS, KAD VAISTINĮ PREPARATĄ BŪTINA LAIKYTI VAIKAMS NEPASTEBIMOJE IR  NEPASIEKIAMOJE VIETOJE</w:t>
      </w:r>
    </w:p>
    <w:p w14:paraId="5E17C7BF" w14:textId="77777777" w:rsidR="00190CD5" w:rsidRPr="00220850" w:rsidRDefault="00190CD5" w:rsidP="00190CD5">
      <w:pPr>
        <w:tabs>
          <w:tab w:val="left" w:pos="567"/>
        </w:tabs>
        <w:spacing w:line="260" w:lineRule="exact"/>
        <w:rPr>
          <w:sz w:val="22"/>
          <w:szCs w:val="24"/>
        </w:rPr>
      </w:pPr>
    </w:p>
    <w:p w14:paraId="5156CBDE" w14:textId="77777777" w:rsidR="00190CD5" w:rsidRPr="00220850" w:rsidRDefault="00190CD5" w:rsidP="00190CD5">
      <w:pPr>
        <w:tabs>
          <w:tab w:val="left" w:pos="567"/>
        </w:tabs>
        <w:spacing w:line="260" w:lineRule="exact"/>
        <w:rPr>
          <w:sz w:val="22"/>
          <w:szCs w:val="24"/>
        </w:rPr>
      </w:pPr>
      <w:r w:rsidRPr="00220850">
        <w:rPr>
          <w:sz w:val="22"/>
          <w:szCs w:val="24"/>
        </w:rPr>
        <w:t>Laikyti vaikams nepastebimoje ir nepasiekiamoje vietoje.</w:t>
      </w:r>
    </w:p>
    <w:p w14:paraId="09D7E98E" w14:textId="77777777" w:rsidR="00190CD5" w:rsidRPr="00220850" w:rsidRDefault="00190CD5" w:rsidP="00190CD5">
      <w:pPr>
        <w:tabs>
          <w:tab w:val="left" w:pos="567"/>
        </w:tabs>
        <w:spacing w:line="260" w:lineRule="exact"/>
        <w:rPr>
          <w:sz w:val="22"/>
          <w:szCs w:val="24"/>
        </w:rPr>
      </w:pPr>
    </w:p>
    <w:p w14:paraId="3B27A143" w14:textId="77777777" w:rsidR="00190CD5" w:rsidRPr="00220850" w:rsidRDefault="00190CD5" w:rsidP="00190CD5">
      <w:pPr>
        <w:tabs>
          <w:tab w:val="left" w:pos="567"/>
        </w:tabs>
        <w:spacing w:line="260" w:lineRule="exact"/>
        <w:rPr>
          <w:sz w:val="22"/>
          <w:szCs w:val="24"/>
        </w:rPr>
      </w:pPr>
    </w:p>
    <w:p w14:paraId="7A625569"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7.</w:t>
      </w:r>
      <w:r w:rsidRPr="00220850">
        <w:rPr>
          <w:b/>
          <w:sz w:val="22"/>
          <w:szCs w:val="24"/>
        </w:rPr>
        <w:tab/>
        <w:t>KITAS (-I) SPECIALUS (-ŪS) ĮSPĖJIMAS (-AI) (JEI REIKIA)</w:t>
      </w:r>
    </w:p>
    <w:p w14:paraId="2973A7B0" w14:textId="77777777" w:rsidR="00190CD5" w:rsidRPr="00220850" w:rsidRDefault="00190CD5" w:rsidP="00190CD5">
      <w:pPr>
        <w:tabs>
          <w:tab w:val="left" w:pos="567"/>
        </w:tabs>
        <w:spacing w:line="260" w:lineRule="exact"/>
        <w:rPr>
          <w:sz w:val="22"/>
          <w:szCs w:val="24"/>
        </w:rPr>
      </w:pPr>
    </w:p>
    <w:p w14:paraId="54F4DF3B" w14:textId="77777777" w:rsidR="00190CD5" w:rsidRPr="00220850" w:rsidRDefault="00190CD5" w:rsidP="00190CD5">
      <w:pPr>
        <w:tabs>
          <w:tab w:val="left" w:pos="567"/>
        </w:tabs>
        <w:spacing w:line="260" w:lineRule="exact"/>
        <w:rPr>
          <w:sz w:val="22"/>
          <w:szCs w:val="24"/>
        </w:rPr>
      </w:pPr>
    </w:p>
    <w:p w14:paraId="5124C189"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8.</w:t>
      </w:r>
      <w:r w:rsidRPr="00220850">
        <w:rPr>
          <w:b/>
          <w:sz w:val="22"/>
          <w:szCs w:val="24"/>
        </w:rPr>
        <w:tab/>
        <w:t>TINKAMUMO LAIKAS</w:t>
      </w:r>
    </w:p>
    <w:p w14:paraId="0A217C37" w14:textId="77777777" w:rsidR="00190CD5" w:rsidRPr="00220850" w:rsidRDefault="00190CD5" w:rsidP="00190CD5">
      <w:pPr>
        <w:tabs>
          <w:tab w:val="left" w:pos="567"/>
        </w:tabs>
        <w:spacing w:line="260" w:lineRule="exact"/>
        <w:rPr>
          <w:sz w:val="22"/>
          <w:szCs w:val="24"/>
        </w:rPr>
      </w:pPr>
    </w:p>
    <w:p w14:paraId="41A6FC7B" w14:textId="7D287E17" w:rsidR="00190CD5" w:rsidRPr="00220850" w:rsidRDefault="00190CD5" w:rsidP="00190CD5">
      <w:pPr>
        <w:tabs>
          <w:tab w:val="left" w:pos="567"/>
        </w:tabs>
        <w:spacing w:line="260" w:lineRule="exact"/>
        <w:rPr>
          <w:sz w:val="22"/>
        </w:rPr>
      </w:pPr>
      <w:r w:rsidRPr="00220850">
        <w:rPr>
          <w:sz w:val="22"/>
        </w:rPr>
        <w:t xml:space="preserve">EXP </w:t>
      </w:r>
      <w:r w:rsidR="00E65848" w:rsidRPr="00220850">
        <w:rPr>
          <w:sz w:val="22"/>
        </w:rPr>
        <w:t>{mm MMMM}</w:t>
      </w:r>
    </w:p>
    <w:p w14:paraId="3E30E4DB" w14:textId="77777777" w:rsidR="00190CD5" w:rsidRPr="00220850" w:rsidRDefault="00190CD5" w:rsidP="00190CD5">
      <w:pPr>
        <w:tabs>
          <w:tab w:val="left" w:pos="567"/>
        </w:tabs>
        <w:spacing w:line="260" w:lineRule="exact"/>
        <w:rPr>
          <w:sz w:val="22"/>
          <w:szCs w:val="24"/>
        </w:rPr>
      </w:pPr>
    </w:p>
    <w:p w14:paraId="74C88E28" w14:textId="77777777" w:rsidR="00190CD5" w:rsidRPr="00220850" w:rsidRDefault="00190CD5" w:rsidP="00190CD5">
      <w:pPr>
        <w:tabs>
          <w:tab w:val="left" w:pos="567"/>
        </w:tabs>
        <w:spacing w:line="260" w:lineRule="exact"/>
        <w:rPr>
          <w:sz w:val="22"/>
          <w:szCs w:val="24"/>
        </w:rPr>
      </w:pPr>
    </w:p>
    <w:p w14:paraId="4D028440" w14:textId="77777777" w:rsidR="00190CD5" w:rsidRPr="00220850" w:rsidRDefault="00190CD5" w:rsidP="00190CD5">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220850">
        <w:rPr>
          <w:b/>
          <w:sz w:val="22"/>
          <w:szCs w:val="24"/>
        </w:rPr>
        <w:t>9.</w:t>
      </w:r>
      <w:r w:rsidRPr="00220850">
        <w:rPr>
          <w:b/>
          <w:sz w:val="22"/>
          <w:szCs w:val="24"/>
        </w:rPr>
        <w:tab/>
        <w:t>SPECIALIOS LAIKYMO SĄLYGOS</w:t>
      </w:r>
    </w:p>
    <w:p w14:paraId="74985E7E" w14:textId="77777777" w:rsidR="00190CD5" w:rsidRPr="00220850" w:rsidRDefault="00190CD5" w:rsidP="00190CD5">
      <w:pPr>
        <w:tabs>
          <w:tab w:val="left" w:pos="567"/>
        </w:tabs>
        <w:spacing w:line="260" w:lineRule="exact"/>
        <w:rPr>
          <w:sz w:val="22"/>
          <w:szCs w:val="24"/>
        </w:rPr>
      </w:pPr>
    </w:p>
    <w:p w14:paraId="146E0069" w14:textId="77777777" w:rsidR="00190CD5" w:rsidRPr="00220850" w:rsidRDefault="00190CD5" w:rsidP="00190CD5">
      <w:pPr>
        <w:tabs>
          <w:tab w:val="left" w:pos="567"/>
        </w:tabs>
        <w:spacing w:line="260" w:lineRule="exact"/>
        <w:rPr>
          <w:sz w:val="22"/>
          <w:szCs w:val="24"/>
        </w:rPr>
      </w:pPr>
    </w:p>
    <w:p w14:paraId="5B1280B4"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lastRenderedPageBreak/>
        <w:t>10.</w:t>
      </w:r>
      <w:r w:rsidRPr="00220850">
        <w:rPr>
          <w:b/>
          <w:sz w:val="22"/>
          <w:szCs w:val="24"/>
        </w:rPr>
        <w:tab/>
        <w:t>SPECIALIOS ATSARGUMO PRIEMONĖS DĖL NESUVARTOTO VAISTINIO PREPARATO AR JO ATLIEKŲ TVARKYMO (JEI REIKIA)</w:t>
      </w:r>
    </w:p>
    <w:p w14:paraId="6FE05AF2" w14:textId="77777777" w:rsidR="00190CD5" w:rsidRPr="00220850" w:rsidRDefault="00190CD5" w:rsidP="00190CD5">
      <w:pPr>
        <w:tabs>
          <w:tab w:val="left" w:pos="567"/>
        </w:tabs>
        <w:spacing w:line="260" w:lineRule="exact"/>
        <w:rPr>
          <w:sz w:val="22"/>
          <w:szCs w:val="24"/>
        </w:rPr>
      </w:pPr>
    </w:p>
    <w:p w14:paraId="0D0DE2CA" w14:textId="77777777" w:rsidR="00190CD5" w:rsidRPr="00220850" w:rsidRDefault="00190CD5" w:rsidP="00190CD5">
      <w:pPr>
        <w:tabs>
          <w:tab w:val="left" w:pos="567"/>
        </w:tabs>
        <w:spacing w:line="260" w:lineRule="exact"/>
        <w:rPr>
          <w:sz w:val="22"/>
          <w:szCs w:val="24"/>
        </w:rPr>
      </w:pPr>
    </w:p>
    <w:p w14:paraId="68C21002"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11.</w:t>
      </w:r>
      <w:r w:rsidRPr="00220850">
        <w:rPr>
          <w:b/>
          <w:sz w:val="22"/>
          <w:szCs w:val="24"/>
        </w:rPr>
        <w:tab/>
      </w:r>
      <w:r w:rsidRPr="00220850">
        <w:rPr>
          <w:b/>
          <w:caps/>
          <w:sz w:val="22"/>
          <w:szCs w:val="24"/>
        </w:rPr>
        <w:t xml:space="preserve"> REGISTRUOTOJO PAVADINIMAS IR ADRESAS</w:t>
      </w:r>
    </w:p>
    <w:p w14:paraId="77ED1881" w14:textId="77777777" w:rsidR="00190CD5" w:rsidRPr="00220850" w:rsidRDefault="00190CD5" w:rsidP="00190CD5">
      <w:pPr>
        <w:tabs>
          <w:tab w:val="left" w:pos="567"/>
        </w:tabs>
        <w:spacing w:line="260" w:lineRule="exact"/>
        <w:rPr>
          <w:sz w:val="22"/>
          <w:szCs w:val="24"/>
        </w:rPr>
      </w:pPr>
    </w:p>
    <w:p w14:paraId="5DD20FC3" w14:textId="77777777" w:rsidR="00190CD5" w:rsidRPr="00220850" w:rsidRDefault="00190CD5" w:rsidP="00190CD5">
      <w:pPr>
        <w:shd w:val="clear" w:color="auto" w:fill="FFFFFF"/>
        <w:rPr>
          <w:sz w:val="22"/>
          <w:szCs w:val="22"/>
          <w:lang w:val="pt-PT"/>
        </w:rPr>
      </w:pPr>
      <w:r w:rsidRPr="00220850">
        <w:rPr>
          <w:sz w:val="22"/>
          <w:szCs w:val="22"/>
          <w:lang w:val="pt-PT"/>
        </w:rPr>
        <w:t>Teva GmbH</w:t>
      </w:r>
    </w:p>
    <w:p w14:paraId="5EB39244" w14:textId="12B5A8B3" w:rsidR="00190CD5" w:rsidRPr="00220850" w:rsidRDefault="00190CD5" w:rsidP="00190CD5">
      <w:pPr>
        <w:shd w:val="clear" w:color="auto" w:fill="FFFFFF"/>
        <w:rPr>
          <w:sz w:val="22"/>
          <w:szCs w:val="22"/>
          <w:lang w:val="pt-PT"/>
        </w:rPr>
      </w:pPr>
      <w:r w:rsidRPr="00220850">
        <w:rPr>
          <w:sz w:val="22"/>
          <w:lang w:val="pt-PT"/>
        </w:rPr>
        <w:t>Graf-Arco-Str.</w:t>
      </w:r>
      <w:r w:rsidR="00FA5B87" w:rsidRPr="00220850">
        <w:rPr>
          <w:sz w:val="22"/>
          <w:szCs w:val="22"/>
          <w:lang w:val="pt-PT"/>
        </w:rPr>
        <w:t xml:space="preserve"> </w:t>
      </w:r>
      <w:r w:rsidRPr="00220850">
        <w:rPr>
          <w:sz w:val="22"/>
          <w:lang w:val="pt-PT"/>
        </w:rPr>
        <w:t>3</w:t>
      </w:r>
      <w:r w:rsidRPr="00220850">
        <w:rPr>
          <w:sz w:val="22"/>
          <w:szCs w:val="22"/>
          <w:lang w:val="pt-PT"/>
        </w:rPr>
        <w:t xml:space="preserve"> </w:t>
      </w:r>
    </w:p>
    <w:p w14:paraId="29FF2028" w14:textId="77777777" w:rsidR="00190CD5" w:rsidRPr="00220850" w:rsidRDefault="00190CD5" w:rsidP="00190CD5">
      <w:pPr>
        <w:shd w:val="clear" w:color="auto" w:fill="FFFFFF"/>
        <w:rPr>
          <w:sz w:val="22"/>
          <w:szCs w:val="22"/>
          <w:lang w:val="pt-PT"/>
        </w:rPr>
      </w:pPr>
      <w:r w:rsidRPr="00220850">
        <w:rPr>
          <w:sz w:val="22"/>
          <w:szCs w:val="22"/>
          <w:lang w:val="pt-PT"/>
        </w:rPr>
        <w:t>89079 Ulm</w:t>
      </w:r>
    </w:p>
    <w:p w14:paraId="3B81761F" w14:textId="77777777" w:rsidR="00190CD5" w:rsidRPr="00220850" w:rsidRDefault="00190CD5" w:rsidP="00190CD5">
      <w:pPr>
        <w:shd w:val="clear" w:color="auto" w:fill="FFFFFF"/>
        <w:rPr>
          <w:sz w:val="22"/>
          <w:szCs w:val="22"/>
          <w:lang w:val="pt-PT"/>
        </w:rPr>
      </w:pPr>
      <w:r w:rsidRPr="00220850">
        <w:rPr>
          <w:sz w:val="22"/>
          <w:szCs w:val="22"/>
          <w:lang w:val="pt-PT"/>
        </w:rPr>
        <w:t>Vokietija</w:t>
      </w:r>
    </w:p>
    <w:p w14:paraId="709D6A10" w14:textId="77777777" w:rsidR="00190CD5" w:rsidRPr="00220850" w:rsidRDefault="00190CD5" w:rsidP="00190CD5">
      <w:pPr>
        <w:shd w:val="clear" w:color="auto" w:fill="FFFFFF"/>
        <w:rPr>
          <w:sz w:val="22"/>
          <w:szCs w:val="24"/>
        </w:rPr>
      </w:pPr>
    </w:p>
    <w:p w14:paraId="61FAC9BE" w14:textId="77777777" w:rsidR="00190CD5" w:rsidRPr="00220850" w:rsidRDefault="00190CD5" w:rsidP="00190CD5">
      <w:pPr>
        <w:tabs>
          <w:tab w:val="left" w:pos="567"/>
        </w:tabs>
        <w:spacing w:line="260" w:lineRule="exact"/>
        <w:rPr>
          <w:sz w:val="22"/>
          <w:szCs w:val="24"/>
        </w:rPr>
      </w:pPr>
    </w:p>
    <w:p w14:paraId="6D1A6772"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t>12.</w:t>
      </w:r>
      <w:r w:rsidRPr="00220850">
        <w:rPr>
          <w:b/>
          <w:sz w:val="22"/>
          <w:szCs w:val="24"/>
        </w:rPr>
        <w:tab/>
        <w:t xml:space="preserve">REGISTRACIJOS PAŽYMĖJIMO NUMERIS (-IAI) </w:t>
      </w:r>
    </w:p>
    <w:p w14:paraId="28FF700F" w14:textId="77777777" w:rsidR="00190CD5" w:rsidRPr="00220850" w:rsidRDefault="00190CD5" w:rsidP="00190CD5">
      <w:pPr>
        <w:tabs>
          <w:tab w:val="left" w:pos="567"/>
        </w:tabs>
        <w:spacing w:line="260" w:lineRule="exact"/>
        <w:rPr>
          <w:sz w:val="22"/>
          <w:szCs w:val="24"/>
        </w:rPr>
      </w:pPr>
    </w:p>
    <w:p w14:paraId="52577D3E" w14:textId="1F617E7B" w:rsidR="00A127DC" w:rsidRPr="00220850" w:rsidRDefault="00A127DC" w:rsidP="00A127DC">
      <w:pPr>
        <w:tabs>
          <w:tab w:val="left" w:pos="567"/>
        </w:tabs>
        <w:spacing w:line="260" w:lineRule="exact"/>
        <w:rPr>
          <w:sz w:val="22"/>
          <w:shd w:val="clear" w:color="auto" w:fill="F2F2F2" w:themeFill="background1" w:themeFillShade="F2"/>
        </w:rPr>
      </w:pPr>
      <w:r w:rsidRPr="00220850">
        <w:rPr>
          <w:sz w:val="22"/>
        </w:rPr>
        <w:t>LT/1/24/542</w:t>
      </w:r>
      <w:r w:rsidR="00CB684A" w:rsidRPr="00220850">
        <w:rPr>
          <w:sz w:val="22"/>
        </w:rPr>
        <w:t>7</w:t>
      </w:r>
      <w:r w:rsidRPr="00220850">
        <w:rPr>
          <w:sz w:val="22"/>
        </w:rPr>
        <w:t xml:space="preserve">/001 </w:t>
      </w:r>
      <w:r w:rsidRPr="00220850">
        <w:rPr>
          <w:sz w:val="22"/>
          <w:shd w:val="clear" w:color="auto" w:fill="F2F2F2" w:themeFill="background1" w:themeFillShade="F2"/>
        </w:rPr>
        <w:t>– N30x1</w:t>
      </w:r>
    </w:p>
    <w:p w14:paraId="016C8DD1" w14:textId="376A1741" w:rsidR="00A127DC" w:rsidRPr="00220850" w:rsidRDefault="00A127DC" w:rsidP="00A127DC">
      <w:pPr>
        <w:tabs>
          <w:tab w:val="left" w:pos="567"/>
        </w:tabs>
        <w:spacing w:line="260" w:lineRule="exact"/>
        <w:rPr>
          <w:sz w:val="22"/>
        </w:rPr>
      </w:pPr>
      <w:r w:rsidRPr="00220850">
        <w:rPr>
          <w:sz w:val="22"/>
          <w:shd w:val="clear" w:color="auto" w:fill="F2F2F2" w:themeFill="background1" w:themeFillShade="F2"/>
        </w:rPr>
        <w:t>LT/1/24/542</w:t>
      </w:r>
      <w:r w:rsidR="00CB684A" w:rsidRPr="00220850">
        <w:rPr>
          <w:sz w:val="22"/>
          <w:shd w:val="clear" w:color="auto" w:fill="F2F2F2" w:themeFill="background1" w:themeFillShade="F2"/>
        </w:rPr>
        <w:t>7</w:t>
      </w:r>
      <w:r w:rsidRPr="00220850">
        <w:rPr>
          <w:sz w:val="22"/>
          <w:shd w:val="clear" w:color="auto" w:fill="F2F2F2" w:themeFill="background1" w:themeFillShade="F2"/>
        </w:rPr>
        <w:t>/002 – N60x1</w:t>
      </w:r>
      <w:r w:rsidRPr="00220850">
        <w:rPr>
          <w:sz w:val="22"/>
        </w:rPr>
        <w:tab/>
      </w:r>
    </w:p>
    <w:p w14:paraId="018384D6" w14:textId="77777777" w:rsidR="00190CD5" w:rsidRPr="00220850" w:rsidRDefault="00190CD5" w:rsidP="00190CD5">
      <w:pPr>
        <w:tabs>
          <w:tab w:val="left" w:pos="567"/>
        </w:tabs>
        <w:spacing w:line="260" w:lineRule="exact"/>
        <w:rPr>
          <w:sz w:val="22"/>
          <w:szCs w:val="24"/>
        </w:rPr>
      </w:pPr>
    </w:p>
    <w:p w14:paraId="2D8BC5A8" w14:textId="77777777" w:rsidR="00190CD5" w:rsidRPr="00220850" w:rsidRDefault="00190CD5" w:rsidP="00190CD5">
      <w:pPr>
        <w:tabs>
          <w:tab w:val="left" w:pos="567"/>
        </w:tabs>
        <w:spacing w:line="260" w:lineRule="exact"/>
        <w:rPr>
          <w:sz w:val="22"/>
          <w:szCs w:val="24"/>
        </w:rPr>
      </w:pPr>
    </w:p>
    <w:p w14:paraId="662A958C"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t>13.</w:t>
      </w:r>
      <w:r w:rsidRPr="00220850">
        <w:rPr>
          <w:b/>
          <w:sz w:val="22"/>
          <w:szCs w:val="24"/>
        </w:rPr>
        <w:tab/>
        <w:t xml:space="preserve">SERIJOS NUMERIS </w:t>
      </w:r>
    </w:p>
    <w:p w14:paraId="0AB80733" w14:textId="77777777" w:rsidR="00190CD5" w:rsidRPr="00220850" w:rsidRDefault="00190CD5" w:rsidP="00190CD5">
      <w:pPr>
        <w:tabs>
          <w:tab w:val="left" w:pos="567"/>
        </w:tabs>
        <w:spacing w:line="260" w:lineRule="exact"/>
        <w:rPr>
          <w:sz w:val="22"/>
        </w:rPr>
      </w:pPr>
    </w:p>
    <w:p w14:paraId="50F8D78A" w14:textId="77777777" w:rsidR="00190CD5" w:rsidRPr="00220850" w:rsidRDefault="00190CD5" w:rsidP="00190CD5">
      <w:pPr>
        <w:tabs>
          <w:tab w:val="left" w:pos="567"/>
        </w:tabs>
        <w:spacing w:line="260" w:lineRule="exact"/>
        <w:rPr>
          <w:sz w:val="22"/>
        </w:rPr>
      </w:pPr>
      <w:r w:rsidRPr="00220850">
        <w:rPr>
          <w:sz w:val="22"/>
        </w:rPr>
        <w:t>Lot</w:t>
      </w:r>
    </w:p>
    <w:p w14:paraId="7571A2D2" w14:textId="77777777" w:rsidR="00190CD5" w:rsidRPr="00220850" w:rsidRDefault="00190CD5" w:rsidP="00190CD5">
      <w:pPr>
        <w:tabs>
          <w:tab w:val="left" w:pos="567"/>
        </w:tabs>
        <w:spacing w:line="260" w:lineRule="exact"/>
        <w:rPr>
          <w:sz w:val="22"/>
          <w:szCs w:val="24"/>
        </w:rPr>
      </w:pPr>
    </w:p>
    <w:p w14:paraId="23803C64" w14:textId="77777777" w:rsidR="00190CD5" w:rsidRPr="00220850" w:rsidRDefault="00190CD5" w:rsidP="00190CD5">
      <w:pPr>
        <w:tabs>
          <w:tab w:val="left" w:pos="567"/>
        </w:tabs>
        <w:spacing w:line="260" w:lineRule="exact"/>
        <w:rPr>
          <w:sz w:val="22"/>
          <w:szCs w:val="24"/>
        </w:rPr>
      </w:pPr>
    </w:p>
    <w:p w14:paraId="0999839A" w14:textId="77777777" w:rsidR="00190CD5" w:rsidRPr="00220850" w:rsidRDefault="00190CD5" w:rsidP="00190CD5">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t>14.</w:t>
      </w:r>
      <w:r w:rsidRPr="00220850">
        <w:rPr>
          <w:b/>
          <w:sz w:val="22"/>
          <w:szCs w:val="24"/>
        </w:rPr>
        <w:tab/>
        <w:t>PARDAVIMO (IŠDAVIMO) TVARKA</w:t>
      </w:r>
    </w:p>
    <w:p w14:paraId="615A520E" w14:textId="77777777" w:rsidR="00190CD5" w:rsidRPr="00220850" w:rsidRDefault="00190CD5" w:rsidP="00190CD5">
      <w:pPr>
        <w:tabs>
          <w:tab w:val="left" w:pos="567"/>
        </w:tabs>
        <w:spacing w:line="260" w:lineRule="exact"/>
        <w:rPr>
          <w:sz w:val="22"/>
          <w:szCs w:val="24"/>
        </w:rPr>
      </w:pPr>
    </w:p>
    <w:p w14:paraId="610ADC3E" w14:textId="77777777" w:rsidR="00190CD5" w:rsidRPr="00220850" w:rsidRDefault="00190CD5" w:rsidP="00190CD5">
      <w:pPr>
        <w:tabs>
          <w:tab w:val="left" w:pos="567"/>
        </w:tabs>
        <w:spacing w:line="260" w:lineRule="exact"/>
        <w:rPr>
          <w:sz w:val="22"/>
        </w:rPr>
      </w:pPr>
      <w:r w:rsidRPr="00220850">
        <w:rPr>
          <w:sz w:val="22"/>
        </w:rPr>
        <w:t xml:space="preserve">Receptinis vaistas </w:t>
      </w:r>
    </w:p>
    <w:p w14:paraId="78B02BB5" w14:textId="77777777" w:rsidR="00190CD5" w:rsidRPr="00220850" w:rsidRDefault="00190CD5" w:rsidP="00190CD5">
      <w:pPr>
        <w:tabs>
          <w:tab w:val="left" w:pos="567"/>
        </w:tabs>
        <w:spacing w:line="260" w:lineRule="exact"/>
        <w:rPr>
          <w:sz w:val="22"/>
          <w:szCs w:val="24"/>
        </w:rPr>
      </w:pPr>
    </w:p>
    <w:p w14:paraId="1989C241" w14:textId="77777777" w:rsidR="00190CD5" w:rsidRPr="00220850" w:rsidRDefault="00190CD5" w:rsidP="00190CD5">
      <w:pPr>
        <w:tabs>
          <w:tab w:val="left" w:pos="567"/>
        </w:tabs>
        <w:spacing w:line="260" w:lineRule="exact"/>
        <w:rPr>
          <w:sz w:val="22"/>
          <w:szCs w:val="24"/>
        </w:rPr>
      </w:pPr>
    </w:p>
    <w:p w14:paraId="54EE090F" w14:textId="77777777" w:rsidR="00190CD5" w:rsidRPr="00220850" w:rsidRDefault="00190CD5" w:rsidP="00190CD5">
      <w:pPr>
        <w:pBdr>
          <w:top w:val="single" w:sz="4" w:space="2" w:color="auto"/>
          <w:left w:val="single" w:sz="4" w:space="4" w:color="auto"/>
          <w:bottom w:val="single" w:sz="4" w:space="1" w:color="auto"/>
          <w:right w:val="single" w:sz="4" w:space="4" w:color="auto"/>
        </w:pBdr>
        <w:tabs>
          <w:tab w:val="left" w:pos="567"/>
        </w:tabs>
        <w:rPr>
          <w:sz w:val="22"/>
          <w:szCs w:val="24"/>
        </w:rPr>
      </w:pPr>
      <w:r w:rsidRPr="00220850">
        <w:rPr>
          <w:b/>
          <w:sz w:val="22"/>
          <w:szCs w:val="24"/>
        </w:rPr>
        <w:t>15.</w:t>
      </w:r>
      <w:r w:rsidRPr="00220850">
        <w:rPr>
          <w:b/>
          <w:sz w:val="22"/>
          <w:szCs w:val="24"/>
        </w:rPr>
        <w:tab/>
        <w:t>VARTOJIMO INSTRUKCIJA</w:t>
      </w:r>
    </w:p>
    <w:p w14:paraId="5DAF1C28" w14:textId="77777777" w:rsidR="00190CD5" w:rsidRPr="00220850" w:rsidRDefault="00190CD5" w:rsidP="00190CD5">
      <w:pPr>
        <w:tabs>
          <w:tab w:val="left" w:pos="567"/>
        </w:tabs>
        <w:spacing w:line="260" w:lineRule="exact"/>
        <w:rPr>
          <w:sz w:val="22"/>
          <w:szCs w:val="24"/>
        </w:rPr>
      </w:pPr>
    </w:p>
    <w:p w14:paraId="21D80113" w14:textId="77777777" w:rsidR="00E30D38" w:rsidRPr="00220850" w:rsidRDefault="00E30D38" w:rsidP="00190CD5">
      <w:pPr>
        <w:tabs>
          <w:tab w:val="left" w:pos="567"/>
        </w:tabs>
        <w:spacing w:line="260" w:lineRule="exact"/>
        <w:rPr>
          <w:sz w:val="22"/>
          <w:szCs w:val="24"/>
        </w:rPr>
      </w:pPr>
    </w:p>
    <w:p w14:paraId="76AE07DF" w14:textId="77777777" w:rsidR="00190CD5" w:rsidRPr="00220850" w:rsidRDefault="00190CD5" w:rsidP="00190CD5">
      <w:pPr>
        <w:pBdr>
          <w:top w:val="single" w:sz="4" w:space="1" w:color="auto"/>
          <w:left w:val="single" w:sz="4" w:space="4" w:color="auto"/>
          <w:bottom w:val="single" w:sz="4" w:space="0" w:color="auto"/>
          <w:right w:val="single" w:sz="4" w:space="4" w:color="auto"/>
        </w:pBdr>
        <w:tabs>
          <w:tab w:val="left" w:pos="567"/>
        </w:tabs>
        <w:rPr>
          <w:sz w:val="22"/>
          <w:szCs w:val="24"/>
        </w:rPr>
      </w:pPr>
      <w:r w:rsidRPr="00220850">
        <w:rPr>
          <w:b/>
          <w:sz w:val="22"/>
          <w:szCs w:val="24"/>
        </w:rPr>
        <w:t>16.</w:t>
      </w:r>
      <w:r w:rsidRPr="00220850">
        <w:rPr>
          <w:b/>
          <w:sz w:val="22"/>
          <w:szCs w:val="24"/>
        </w:rPr>
        <w:tab/>
        <w:t>INFORMACIJA BRAILIO RAŠTU</w:t>
      </w:r>
    </w:p>
    <w:p w14:paraId="0D70EB47" w14:textId="77777777" w:rsidR="00190CD5" w:rsidRPr="00220850" w:rsidRDefault="00190CD5" w:rsidP="00190CD5">
      <w:pPr>
        <w:tabs>
          <w:tab w:val="left" w:pos="567"/>
        </w:tabs>
        <w:spacing w:line="260" w:lineRule="exact"/>
        <w:rPr>
          <w:sz w:val="22"/>
          <w:szCs w:val="24"/>
        </w:rPr>
      </w:pPr>
    </w:p>
    <w:p w14:paraId="3FFEC09C" w14:textId="77777777" w:rsidR="00190CD5" w:rsidRPr="00220850" w:rsidRDefault="00E30D38" w:rsidP="00190CD5">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w:t>
      </w:r>
      <w:r w:rsidR="00190CD5" w:rsidRPr="00220850">
        <w:rPr>
          <w:sz w:val="22"/>
          <w:szCs w:val="22"/>
        </w:rPr>
        <w:t xml:space="preserve">0 mg </w:t>
      </w:r>
    </w:p>
    <w:p w14:paraId="2B2FF4E5" w14:textId="77777777" w:rsidR="00190CD5" w:rsidRPr="00220850" w:rsidRDefault="00190CD5" w:rsidP="00190CD5">
      <w:pPr>
        <w:tabs>
          <w:tab w:val="left" w:pos="567"/>
        </w:tabs>
        <w:spacing w:line="260" w:lineRule="exact"/>
        <w:rPr>
          <w:sz w:val="22"/>
          <w:szCs w:val="24"/>
        </w:rPr>
      </w:pPr>
    </w:p>
    <w:p w14:paraId="69D2AEF5" w14:textId="77777777" w:rsidR="00190CD5" w:rsidRPr="00220850" w:rsidRDefault="00190CD5" w:rsidP="00190CD5">
      <w:pPr>
        <w:tabs>
          <w:tab w:val="left" w:pos="567"/>
        </w:tabs>
        <w:spacing w:line="260" w:lineRule="exact"/>
        <w:rPr>
          <w:sz w:val="22"/>
          <w:szCs w:val="22"/>
          <w:shd w:val="clear" w:color="auto" w:fill="CCCCCC"/>
        </w:rPr>
      </w:pPr>
    </w:p>
    <w:p w14:paraId="528EEEEE" w14:textId="77777777" w:rsidR="00190CD5" w:rsidRPr="00220850" w:rsidRDefault="00190CD5" w:rsidP="00190CD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220850">
        <w:rPr>
          <w:b/>
          <w:sz w:val="22"/>
        </w:rPr>
        <w:t>17.</w:t>
      </w:r>
      <w:r w:rsidRPr="00220850">
        <w:rPr>
          <w:b/>
          <w:sz w:val="22"/>
        </w:rPr>
        <w:tab/>
        <w:t>UNIKALUS IDENTIFIKATORIUS – 2D BRŪKŠNINIS KODAS</w:t>
      </w:r>
    </w:p>
    <w:p w14:paraId="5070F8F3" w14:textId="77777777" w:rsidR="00190CD5" w:rsidRPr="00220850" w:rsidRDefault="00190CD5" w:rsidP="00190CD5">
      <w:pPr>
        <w:tabs>
          <w:tab w:val="left" w:pos="567"/>
        </w:tabs>
        <w:spacing w:line="260" w:lineRule="exact"/>
        <w:rPr>
          <w:sz w:val="22"/>
        </w:rPr>
      </w:pPr>
    </w:p>
    <w:p w14:paraId="190B6FFA" w14:textId="77777777" w:rsidR="00190CD5" w:rsidRPr="00220850" w:rsidRDefault="00190CD5" w:rsidP="00190CD5">
      <w:pPr>
        <w:tabs>
          <w:tab w:val="left" w:pos="567"/>
        </w:tabs>
        <w:spacing w:line="260" w:lineRule="exact"/>
        <w:rPr>
          <w:sz w:val="22"/>
          <w:szCs w:val="22"/>
          <w:shd w:val="clear" w:color="auto" w:fill="CCCCCC"/>
        </w:rPr>
      </w:pPr>
      <w:r w:rsidRPr="00220850">
        <w:rPr>
          <w:sz w:val="22"/>
          <w:highlight w:val="lightGray"/>
        </w:rPr>
        <w:t>2D brūkšninis kodas su nurodytu unikaliu identifikatoriumi.</w:t>
      </w:r>
    </w:p>
    <w:p w14:paraId="66D37A4C" w14:textId="77777777" w:rsidR="00190CD5" w:rsidRPr="00220850" w:rsidRDefault="00190CD5" w:rsidP="00190CD5">
      <w:pPr>
        <w:tabs>
          <w:tab w:val="left" w:pos="567"/>
        </w:tabs>
        <w:spacing w:line="260" w:lineRule="exact"/>
        <w:rPr>
          <w:sz w:val="22"/>
          <w:szCs w:val="22"/>
          <w:shd w:val="clear" w:color="auto" w:fill="CCCCCC"/>
        </w:rPr>
      </w:pPr>
    </w:p>
    <w:p w14:paraId="5A07A374" w14:textId="77777777" w:rsidR="00190CD5" w:rsidRPr="00220850" w:rsidRDefault="00190CD5" w:rsidP="00190CD5">
      <w:pPr>
        <w:tabs>
          <w:tab w:val="left" w:pos="567"/>
        </w:tabs>
        <w:spacing w:line="260" w:lineRule="exact"/>
        <w:rPr>
          <w:sz w:val="22"/>
        </w:rPr>
      </w:pPr>
    </w:p>
    <w:p w14:paraId="72167DEB" w14:textId="77777777" w:rsidR="00190CD5" w:rsidRPr="00220850" w:rsidRDefault="00190CD5" w:rsidP="00190CD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220850">
        <w:rPr>
          <w:b/>
          <w:sz w:val="22"/>
        </w:rPr>
        <w:t>18.</w:t>
      </w:r>
      <w:r w:rsidRPr="00220850">
        <w:rPr>
          <w:b/>
          <w:sz w:val="22"/>
        </w:rPr>
        <w:tab/>
        <w:t>UNIKALUS IDENTIFIKATORIUS – ŽMONĖMS SUPRANTAMI DUOMENYS</w:t>
      </w:r>
    </w:p>
    <w:p w14:paraId="63E985F9" w14:textId="77777777" w:rsidR="00190CD5" w:rsidRPr="00220850" w:rsidRDefault="00190CD5" w:rsidP="00190CD5">
      <w:pPr>
        <w:tabs>
          <w:tab w:val="left" w:pos="567"/>
        </w:tabs>
        <w:spacing w:line="260" w:lineRule="exact"/>
        <w:rPr>
          <w:sz w:val="22"/>
        </w:rPr>
      </w:pPr>
    </w:p>
    <w:p w14:paraId="10C586FD" w14:textId="77777777" w:rsidR="00190CD5" w:rsidRPr="00220850" w:rsidRDefault="00190CD5" w:rsidP="00190CD5">
      <w:pPr>
        <w:tabs>
          <w:tab w:val="left" w:pos="567"/>
        </w:tabs>
        <w:spacing w:line="260" w:lineRule="exact"/>
        <w:rPr>
          <w:sz w:val="22"/>
          <w:szCs w:val="22"/>
        </w:rPr>
      </w:pPr>
      <w:r w:rsidRPr="00220850">
        <w:rPr>
          <w:sz w:val="22"/>
          <w:szCs w:val="22"/>
        </w:rPr>
        <w:t xml:space="preserve">PC </w:t>
      </w:r>
    </w:p>
    <w:p w14:paraId="04D8501C" w14:textId="77777777" w:rsidR="00190CD5" w:rsidRPr="00220850" w:rsidRDefault="00190CD5" w:rsidP="00190CD5">
      <w:pPr>
        <w:tabs>
          <w:tab w:val="left" w:pos="567"/>
        </w:tabs>
        <w:spacing w:line="260" w:lineRule="exact"/>
        <w:rPr>
          <w:sz w:val="22"/>
          <w:szCs w:val="22"/>
        </w:rPr>
      </w:pPr>
      <w:r w:rsidRPr="00220850">
        <w:rPr>
          <w:sz w:val="22"/>
          <w:szCs w:val="22"/>
        </w:rPr>
        <w:t xml:space="preserve">SN </w:t>
      </w:r>
    </w:p>
    <w:p w14:paraId="7985FE7C" w14:textId="77777777" w:rsidR="00190CD5" w:rsidRPr="00220850" w:rsidRDefault="00190CD5" w:rsidP="00190CD5">
      <w:pPr>
        <w:tabs>
          <w:tab w:val="left" w:pos="567"/>
        </w:tabs>
        <w:spacing w:line="260" w:lineRule="exact"/>
        <w:rPr>
          <w:sz w:val="22"/>
          <w:szCs w:val="22"/>
        </w:rPr>
      </w:pPr>
      <w:r w:rsidRPr="00220850">
        <w:rPr>
          <w:sz w:val="22"/>
          <w:szCs w:val="22"/>
        </w:rPr>
        <w:t xml:space="preserve">NN </w:t>
      </w:r>
    </w:p>
    <w:p w14:paraId="2480E3B8" w14:textId="77777777" w:rsidR="00190CD5" w:rsidRPr="00220850" w:rsidRDefault="00190CD5" w:rsidP="00190CD5">
      <w:pPr>
        <w:tabs>
          <w:tab w:val="left" w:pos="567"/>
        </w:tabs>
        <w:spacing w:line="260" w:lineRule="exact"/>
        <w:rPr>
          <w:vanish/>
          <w:sz w:val="22"/>
          <w:szCs w:val="22"/>
        </w:rPr>
      </w:pPr>
    </w:p>
    <w:p w14:paraId="7FACC94E" w14:textId="77777777" w:rsidR="00190CD5" w:rsidRPr="00220850" w:rsidRDefault="00190CD5" w:rsidP="00190CD5">
      <w:pPr>
        <w:tabs>
          <w:tab w:val="left" w:pos="567"/>
        </w:tabs>
        <w:spacing w:line="260" w:lineRule="exact"/>
        <w:rPr>
          <w:sz w:val="22"/>
          <w:szCs w:val="24"/>
        </w:rPr>
      </w:pPr>
    </w:p>
    <w:p w14:paraId="22B3AFC5" w14:textId="77777777" w:rsidR="00DE01F8" w:rsidRPr="00220850" w:rsidRDefault="00190CD5" w:rsidP="00190CD5">
      <w:pPr>
        <w:tabs>
          <w:tab w:val="left" w:pos="567"/>
        </w:tabs>
        <w:spacing w:line="260" w:lineRule="exact"/>
        <w:rPr>
          <w:sz w:val="22"/>
          <w:szCs w:val="24"/>
        </w:rPr>
      </w:pPr>
      <w:r w:rsidRPr="00220850">
        <w:rPr>
          <w:sz w:val="22"/>
          <w:szCs w:val="24"/>
        </w:rPr>
        <w:br w:type="page"/>
      </w:r>
    </w:p>
    <w:p w14:paraId="626AEAE9" w14:textId="77777777" w:rsidR="00DE01F8" w:rsidRPr="00220850" w:rsidRDefault="002D5C8E" w:rsidP="00303790">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sidRPr="00220850">
        <w:rPr>
          <w:b/>
          <w:sz w:val="22"/>
          <w:szCs w:val="24"/>
        </w:rPr>
        <w:lastRenderedPageBreak/>
        <w:t>MINIMALI INFORMACIJA ANT LIZDIN</w:t>
      </w:r>
      <w:r w:rsidR="00303790" w:rsidRPr="00220850">
        <w:rPr>
          <w:b/>
          <w:sz w:val="22"/>
          <w:szCs w:val="24"/>
        </w:rPr>
        <w:t xml:space="preserve">IŲ PLOKŠTELIŲ ARBA DVISLUOKSNIŲ </w:t>
      </w:r>
      <w:r w:rsidRPr="00220850">
        <w:rPr>
          <w:b/>
          <w:sz w:val="22"/>
          <w:szCs w:val="24"/>
        </w:rPr>
        <w:t>JUOSTELIŲ</w:t>
      </w:r>
    </w:p>
    <w:p w14:paraId="3AC2DE63" w14:textId="77777777" w:rsidR="00DE01F8" w:rsidRPr="00220850" w:rsidRDefault="00DE01F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216D287C" w14:textId="3F641BEE" w:rsidR="00953D77" w:rsidRPr="00220850" w:rsidRDefault="00953D77" w:rsidP="00303790">
      <w:pPr>
        <w:pBdr>
          <w:top w:val="single" w:sz="4" w:space="1" w:color="auto"/>
          <w:left w:val="single" w:sz="4" w:space="4" w:color="auto"/>
          <w:bottom w:val="single" w:sz="4" w:space="1" w:color="auto"/>
          <w:right w:val="single" w:sz="4" w:space="4" w:color="auto"/>
        </w:pBdr>
        <w:tabs>
          <w:tab w:val="left" w:pos="567"/>
        </w:tabs>
        <w:rPr>
          <w:b/>
          <w:sz w:val="22"/>
          <w:szCs w:val="22"/>
        </w:rPr>
      </w:pPr>
      <w:r w:rsidRPr="00220850">
        <w:rPr>
          <w:b/>
          <w:sz w:val="22"/>
          <w:szCs w:val="22"/>
        </w:rPr>
        <w:t>PERFORUOT</w:t>
      </w:r>
      <w:r w:rsidR="009C0569" w:rsidRPr="00220850">
        <w:rPr>
          <w:b/>
          <w:sz w:val="22"/>
          <w:szCs w:val="22"/>
        </w:rPr>
        <w:t>A</w:t>
      </w:r>
      <w:r w:rsidRPr="00220850">
        <w:rPr>
          <w:b/>
          <w:sz w:val="22"/>
          <w:szCs w:val="22"/>
        </w:rPr>
        <w:t xml:space="preserve"> </w:t>
      </w:r>
      <w:r w:rsidR="00707518" w:rsidRPr="00220850">
        <w:rPr>
          <w:b/>
          <w:sz w:val="22"/>
          <w:szCs w:val="22"/>
        </w:rPr>
        <w:t xml:space="preserve">DALOMOJI </w:t>
      </w:r>
      <w:r w:rsidRPr="00220850">
        <w:rPr>
          <w:b/>
          <w:sz w:val="22"/>
          <w:szCs w:val="22"/>
        </w:rPr>
        <w:t>LIZDINĖ PLOKŠTELĖ</w:t>
      </w:r>
    </w:p>
    <w:p w14:paraId="318DE35B" w14:textId="77777777" w:rsidR="00DE01F8" w:rsidRPr="00220850" w:rsidRDefault="00DE01F8">
      <w:pPr>
        <w:tabs>
          <w:tab w:val="left" w:pos="567"/>
        </w:tabs>
        <w:spacing w:line="260" w:lineRule="exact"/>
        <w:rPr>
          <w:sz w:val="22"/>
        </w:rPr>
      </w:pPr>
    </w:p>
    <w:p w14:paraId="2B57ECB5" w14:textId="77777777" w:rsidR="00DE01F8" w:rsidRPr="00220850" w:rsidRDefault="00DE01F8">
      <w:pPr>
        <w:tabs>
          <w:tab w:val="left" w:pos="567"/>
        </w:tabs>
        <w:spacing w:line="260" w:lineRule="exact"/>
        <w:rPr>
          <w:sz w:val="22"/>
          <w:szCs w:val="24"/>
        </w:rPr>
      </w:pPr>
    </w:p>
    <w:p w14:paraId="67209CA4"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1.</w:t>
      </w:r>
      <w:r w:rsidRPr="00220850">
        <w:rPr>
          <w:b/>
          <w:sz w:val="22"/>
          <w:szCs w:val="24"/>
        </w:rPr>
        <w:tab/>
      </w:r>
      <w:r w:rsidRPr="00220850">
        <w:rPr>
          <w:b/>
          <w:caps/>
          <w:sz w:val="22"/>
          <w:szCs w:val="24"/>
        </w:rPr>
        <w:t>VAISTINIO</w:t>
      </w:r>
      <w:r w:rsidRPr="00220850">
        <w:rPr>
          <w:b/>
          <w:sz w:val="22"/>
          <w:szCs w:val="24"/>
        </w:rPr>
        <w:t xml:space="preserve"> PREPARATO PAVADINIMAS</w:t>
      </w:r>
    </w:p>
    <w:p w14:paraId="692624F4" w14:textId="77777777" w:rsidR="00DE01F8" w:rsidRPr="00220850" w:rsidRDefault="00DE01F8">
      <w:pPr>
        <w:tabs>
          <w:tab w:val="left" w:pos="567"/>
        </w:tabs>
        <w:spacing w:line="260" w:lineRule="exact"/>
        <w:rPr>
          <w:sz w:val="22"/>
          <w:szCs w:val="24"/>
        </w:rPr>
      </w:pPr>
    </w:p>
    <w:p w14:paraId="77649BA0" w14:textId="77777777" w:rsidR="00303790" w:rsidRPr="00220850" w:rsidRDefault="00303790" w:rsidP="00303790">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w:t>
      </w:r>
      <w:r w:rsidR="003F7BAA" w:rsidRPr="00220850">
        <w:rPr>
          <w:sz w:val="22"/>
          <w:szCs w:val="22"/>
        </w:rPr>
        <w:t>0</w:t>
      </w:r>
      <w:r w:rsidRPr="00220850">
        <w:rPr>
          <w:sz w:val="22"/>
          <w:szCs w:val="22"/>
        </w:rPr>
        <w:t>0 mg minkštosios kapsulės</w:t>
      </w:r>
    </w:p>
    <w:p w14:paraId="69B3340C" w14:textId="2F43260D" w:rsidR="00303790" w:rsidRPr="00220850" w:rsidRDefault="008447A0" w:rsidP="00303790">
      <w:pPr>
        <w:tabs>
          <w:tab w:val="left" w:pos="567"/>
        </w:tabs>
        <w:spacing w:line="260" w:lineRule="exact"/>
        <w:rPr>
          <w:sz w:val="22"/>
          <w:szCs w:val="24"/>
        </w:rPr>
      </w:pPr>
      <w:proofErr w:type="spellStart"/>
      <w:r w:rsidRPr="00220850">
        <w:rPr>
          <w:i/>
          <w:iCs/>
          <w:sz w:val="22"/>
          <w:szCs w:val="24"/>
        </w:rPr>
        <w:t>nintedanibum</w:t>
      </w:r>
      <w:proofErr w:type="spellEnd"/>
    </w:p>
    <w:p w14:paraId="6DA7E649" w14:textId="77777777" w:rsidR="00F87678" w:rsidRPr="00220850" w:rsidRDefault="00F87678" w:rsidP="00303790">
      <w:pPr>
        <w:tabs>
          <w:tab w:val="left" w:pos="567"/>
        </w:tabs>
        <w:spacing w:line="260" w:lineRule="exact"/>
        <w:rPr>
          <w:sz w:val="22"/>
          <w:szCs w:val="24"/>
        </w:rPr>
      </w:pPr>
    </w:p>
    <w:p w14:paraId="1AE091FE" w14:textId="77777777" w:rsidR="00DE01F8" w:rsidRPr="00220850" w:rsidRDefault="00DE01F8">
      <w:pPr>
        <w:tabs>
          <w:tab w:val="left" w:pos="567"/>
        </w:tabs>
        <w:spacing w:line="260" w:lineRule="exact"/>
        <w:rPr>
          <w:sz w:val="22"/>
          <w:szCs w:val="24"/>
        </w:rPr>
      </w:pPr>
    </w:p>
    <w:p w14:paraId="344D8AC0"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2.</w:t>
      </w:r>
      <w:r w:rsidRPr="00220850">
        <w:rPr>
          <w:b/>
          <w:sz w:val="22"/>
          <w:szCs w:val="24"/>
        </w:rPr>
        <w:tab/>
      </w:r>
      <w:r w:rsidRPr="00220850">
        <w:rPr>
          <w:b/>
          <w:caps/>
          <w:sz w:val="22"/>
          <w:szCs w:val="24"/>
        </w:rPr>
        <w:t>REGISTRUOTOJO pavadinimas</w:t>
      </w:r>
    </w:p>
    <w:p w14:paraId="1DD0BA8C" w14:textId="77777777" w:rsidR="00DE01F8" w:rsidRPr="00220850" w:rsidRDefault="00DE01F8">
      <w:pPr>
        <w:tabs>
          <w:tab w:val="left" w:pos="567"/>
        </w:tabs>
        <w:spacing w:line="260" w:lineRule="exact"/>
        <w:rPr>
          <w:sz w:val="22"/>
          <w:szCs w:val="24"/>
        </w:rPr>
      </w:pPr>
    </w:p>
    <w:p w14:paraId="6B915BAE" w14:textId="77777777" w:rsidR="003F7BAA" w:rsidRPr="00220850" w:rsidRDefault="003F7BAA" w:rsidP="003F7BAA">
      <w:pPr>
        <w:shd w:val="clear" w:color="auto" w:fill="FFFFFF"/>
        <w:rPr>
          <w:sz w:val="22"/>
          <w:lang w:val="pt-PT"/>
        </w:rPr>
      </w:pPr>
      <w:r w:rsidRPr="00220850">
        <w:rPr>
          <w:sz w:val="22"/>
          <w:lang w:val="pt-PT"/>
        </w:rPr>
        <w:t>Teva GmbH</w:t>
      </w:r>
    </w:p>
    <w:p w14:paraId="6BA7216A" w14:textId="77777777" w:rsidR="00DE01F8" w:rsidRPr="00220850" w:rsidRDefault="00DE01F8">
      <w:pPr>
        <w:tabs>
          <w:tab w:val="left" w:pos="567"/>
        </w:tabs>
        <w:spacing w:line="260" w:lineRule="exact"/>
        <w:rPr>
          <w:sz w:val="22"/>
          <w:szCs w:val="24"/>
        </w:rPr>
      </w:pPr>
    </w:p>
    <w:p w14:paraId="05B9D42D" w14:textId="77777777" w:rsidR="00DE01F8" w:rsidRPr="00220850" w:rsidRDefault="00DE01F8">
      <w:pPr>
        <w:tabs>
          <w:tab w:val="left" w:pos="567"/>
        </w:tabs>
        <w:spacing w:line="260" w:lineRule="exact"/>
        <w:rPr>
          <w:sz w:val="22"/>
          <w:szCs w:val="24"/>
        </w:rPr>
      </w:pPr>
    </w:p>
    <w:p w14:paraId="450D6EC8" w14:textId="77777777" w:rsidR="00DE01F8" w:rsidRPr="00220850" w:rsidRDefault="002D5C8E">
      <w:pPr>
        <w:pBdr>
          <w:top w:val="single" w:sz="4" w:space="1" w:color="auto"/>
          <w:left w:val="single" w:sz="4" w:space="4" w:color="auto"/>
          <w:bottom w:val="single" w:sz="4" w:space="2" w:color="auto"/>
          <w:right w:val="single" w:sz="4" w:space="4" w:color="auto"/>
        </w:pBdr>
        <w:tabs>
          <w:tab w:val="left" w:pos="567"/>
        </w:tabs>
        <w:rPr>
          <w:b/>
          <w:sz w:val="22"/>
          <w:szCs w:val="24"/>
        </w:rPr>
      </w:pPr>
      <w:r w:rsidRPr="00220850">
        <w:rPr>
          <w:b/>
          <w:sz w:val="22"/>
          <w:szCs w:val="24"/>
        </w:rPr>
        <w:t>3.</w:t>
      </w:r>
      <w:r w:rsidRPr="00220850">
        <w:rPr>
          <w:b/>
          <w:sz w:val="22"/>
          <w:szCs w:val="24"/>
        </w:rPr>
        <w:tab/>
        <w:t>TINKAMUMO LAIKAS</w:t>
      </w:r>
    </w:p>
    <w:p w14:paraId="2F5FBD7B" w14:textId="77777777" w:rsidR="00DE01F8" w:rsidRPr="00220850" w:rsidRDefault="00DE01F8">
      <w:pPr>
        <w:tabs>
          <w:tab w:val="left" w:pos="567"/>
        </w:tabs>
        <w:spacing w:line="260" w:lineRule="exact"/>
        <w:rPr>
          <w:sz w:val="22"/>
          <w:szCs w:val="24"/>
        </w:rPr>
      </w:pPr>
    </w:p>
    <w:p w14:paraId="06F4F4D3" w14:textId="2ACDB522" w:rsidR="00DE01F8" w:rsidRPr="00220850" w:rsidRDefault="002D5C8E">
      <w:pPr>
        <w:tabs>
          <w:tab w:val="left" w:pos="567"/>
        </w:tabs>
        <w:spacing w:line="260" w:lineRule="exact"/>
        <w:rPr>
          <w:sz w:val="22"/>
        </w:rPr>
      </w:pPr>
      <w:r w:rsidRPr="00220850">
        <w:rPr>
          <w:sz w:val="22"/>
          <w:highlight w:val="lightGray"/>
        </w:rPr>
        <w:t>EXP</w:t>
      </w:r>
      <w:r w:rsidR="00E65848" w:rsidRPr="00220850">
        <w:rPr>
          <w:sz w:val="22"/>
        </w:rPr>
        <w:t>{mm MMMM}</w:t>
      </w:r>
    </w:p>
    <w:p w14:paraId="7E60EDA8" w14:textId="77777777" w:rsidR="00DE01F8" w:rsidRPr="00220850" w:rsidRDefault="00DE01F8">
      <w:pPr>
        <w:tabs>
          <w:tab w:val="left" w:pos="567"/>
        </w:tabs>
        <w:spacing w:line="260" w:lineRule="exact"/>
        <w:rPr>
          <w:sz w:val="22"/>
        </w:rPr>
      </w:pPr>
    </w:p>
    <w:p w14:paraId="678A5046" w14:textId="77777777" w:rsidR="00DE01F8" w:rsidRPr="00220850" w:rsidRDefault="00DE01F8">
      <w:pPr>
        <w:tabs>
          <w:tab w:val="left" w:pos="567"/>
        </w:tabs>
        <w:spacing w:line="260" w:lineRule="exact"/>
        <w:rPr>
          <w:sz w:val="22"/>
        </w:rPr>
      </w:pPr>
    </w:p>
    <w:p w14:paraId="40366C37" w14:textId="77777777" w:rsidR="00DE01F8" w:rsidRPr="00220850" w:rsidRDefault="002D5C8E">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4.</w:t>
      </w:r>
      <w:r w:rsidRPr="00220850">
        <w:rPr>
          <w:b/>
          <w:sz w:val="22"/>
          <w:szCs w:val="24"/>
        </w:rPr>
        <w:tab/>
        <w:t>SERIJOS NUMERIS</w:t>
      </w:r>
    </w:p>
    <w:p w14:paraId="02E24B35" w14:textId="77777777" w:rsidR="00DE01F8" w:rsidRPr="00220850" w:rsidRDefault="00DE01F8">
      <w:pPr>
        <w:tabs>
          <w:tab w:val="left" w:pos="567"/>
        </w:tabs>
        <w:spacing w:line="260" w:lineRule="exact"/>
        <w:rPr>
          <w:sz w:val="22"/>
        </w:rPr>
      </w:pPr>
    </w:p>
    <w:p w14:paraId="3E6BDFD5" w14:textId="77777777" w:rsidR="00DE01F8" w:rsidRPr="00220850" w:rsidRDefault="002D5C8E" w:rsidP="003F7BAA">
      <w:pPr>
        <w:tabs>
          <w:tab w:val="left" w:pos="567"/>
        </w:tabs>
        <w:rPr>
          <w:sz w:val="22"/>
          <w:szCs w:val="24"/>
        </w:rPr>
      </w:pPr>
      <w:r w:rsidRPr="00220850">
        <w:rPr>
          <w:sz w:val="22"/>
          <w:highlight w:val="lightGray"/>
        </w:rPr>
        <w:t>Lot</w:t>
      </w:r>
    </w:p>
    <w:p w14:paraId="4B76D555" w14:textId="77777777" w:rsidR="00DE01F8" w:rsidRPr="00220850" w:rsidRDefault="00DE01F8">
      <w:pPr>
        <w:tabs>
          <w:tab w:val="left" w:pos="567"/>
        </w:tabs>
        <w:spacing w:line="260" w:lineRule="exact"/>
        <w:rPr>
          <w:sz w:val="22"/>
          <w:szCs w:val="24"/>
        </w:rPr>
      </w:pPr>
    </w:p>
    <w:p w14:paraId="28E2FE63" w14:textId="77777777" w:rsidR="00DE01F8" w:rsidRPr="00220850" w:rsidRDefault="002D5C8E">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5.</w:t>
      </w:r>
      <w:r w:rsidRPr="00220850">
        <w:rPr>
          <w:b/>
          <w:sz w:val="22"/>
          <w:szCs w:val="24"/>
        </w:rPr>
        <w:tab/>
        <w:t>KITA</w:t>
      </w:r>
    </w:p>
    <w:p w14:paraId="2745F402" w14:textId="77777777" w:rsidR="00DE01F8" w:rsidRPr="00220850" w:rsidRDefault="00DE01F8">
      <w:pPr>
        <w:tabs>
          <w:tab w:val="left" w:pos="567"/>
        </w:tabs>
        <w:spacing w:line="260" w:lineRule="exact"/>
        <w:rPr>
          <w:sz w:val="22"/>
          <w:szCs w:val="24"/>
        </w:rPr>
      </w:pPr>
    </w:p>
    <w:p w14:paraId="41AEB49D" w14:textId="77777777" w:rsidR="00DE01F8" w:rsidRPr="00220850" w:rsidRDefault="00DE01F8">
      <w:pPr>
        <w:tabs>
          <w:tab w:val="left" w:pos="567"/>
        </w:tabs>
        <w:spacing w:line="260" w:lineRule="exact"/>
        <w:rPr>
          <w:sz w:val="22"/>
          <w:szCs w:val="24"/>
        </w:rPr>
      </w:pPr>
    </w:p>
    <w:p w14:paraId="6653B43D" w14:textId="77777777" w:rsidR="003F7BAA" w:rsidRPr="00220850" w:rsidRDefault="003F7BAA">
      <w:pPr>
        <w:tabs>
          <w:tab w:val="left" w:pos="567"/>
        </w:tabs>
        <w:spacing w:line="260" w:lineRule="exact"/>
        <w:rPr>
          <w:sz w:val="22"/>
          <w:szCs w:val="24"/>
        </w:rPr>
      </w:pPr>
    </w:p>
    <w:p w14:paraId="343673C2" w14:textId="77777777" w:rsidR="003F7BAA" w:rsidRPr="00220850" w:rsidRDefault="003F7BAA">
      <w:pPr>
        <w:tabs>
          <w:tab w:val="left" w:pos="567"/>
        </w:tabs>
        <w:spacing w:line="260" w:lineRule="exact"/>
        <w:rPr>
          <w:sz w:val="22"/>
          <w:szCs w:val="24"/>
        </w:rPr>
      </w:pPr>
    </w:p>
    <w:p w14:paraId="2803AD06" w14:textId="77777777" w:rsidR="003F7BAA" w:rsidRPr="00220850" w:rsidRDefault="003F7BAA">
      <w:pPr>
        <w:tabs>
          <w:tab w:val="left" w:pos="567"/>
        </w:tabs>
        <w:spacing w:line="260" w:lineRule="exact"/>
        <w:rPr>
          <w:sz w:val="22"/>
          <w:szCs w:val="24"/>
        </w:rPr>
      </w:pPr>
    </w:p>
    <w:p w14:paraId="301186F6" w14:textId="77777777" w:rsidR="003F7BAA" w:rsidRPr="00220850" w:rsidRDefault="003F7BAA">
      <w:pPr>
        <w:tabs>
          <w:tab w:val="left" w:pos="567"/>
        </w:tabs>
        <w:spacing w:line="260" w:lineRule="exact"/>
        <w:rPr>
          <w:sz w:val="22"/>
          <w:szCs w:val="24"/>
        </w:rPr>
      </w:pPr>
    </w:p>
    <w:p w14:paraId="2B7365A8" w14:textId="77777777" w:rsidR="003F7BAA" w:rsidRPr="00220850" w:rsidRDefault="003F7BAA">
      <w:pPr>
        <w:tabs>
          <w:tab w:val="left" w:pos="567"/>
        </w:tabs>
        <w:spacing w:line="260" w:lineRule="exact"/>
        <w:rPr>
          <w:sz w:val="22"/>
          <w:szCs w:val="24"/>
        </w:rPr>
      </w:pPr>
    </w:p>
    <w:p w14:paraId="050FB327" w14:textId="77777777" w:rsidR="003F7BAA" w:rsidRPr="00220850" w:rsidRDefault="003F7BAA">
      <w:pPr>
        <w:tabs>
          <w:tab w:val="left" w:pos="567"/>
        </w:tabs>
        <w:spacing w:line="260" w:lineRule="exact"/>
        <w:rPr>
          <w:sz w:val="22"/>
          <w:szCs w:val="24"/>
        </w:rPr>
      </w:pPr>
    </w:p>
    <w:p w14:paraId="46589FD5" w14:textId="77777777" w:rsidR="003F7BAA" w:rsidRPr="00220850" w:rsidRDefault="003F7BAA">
      <w:pPr>
        <w:tabs>
          <w:tab w:val="left" w:pos="567"/>
        </w:tabs>
        <w:spacing w:line="260" w:lineRule="exact"/>
        <w:rPr>
          <w:sz w:val="22"/>
          <w:szCs w:val="24"/>
        </w:rPr>
      </w:pPr>
    </w:p>
    <w:p w14:paraId="50F87EDA" w14:textId="77777777" w:rsidR="003F7BAA" w:rsidRPr="00220850" w:rsidRDefault="003F7BAA">
      <w:pPr>
        <w:tabs>
          <w:tab w:val="left" w:pos="567"/>
        </w:tabs>
        <w:spacing w:line="260" w:lineRule="exact"/>
        <w:rPr>
          <w:sz w:val="22"/>
          <w:szCs w:val="24"/>
        </w:rPr>
      </w:pPr>
    </w:p>
    <w:p w14:paraId="68274E2E" w14:textId="77777777" w:rsidR="003F7BAA" w:rsidRPr="00220850" w:rsidRDefault="003F7BAA">
      <w:pPr>
        <w:tabs>
          <w:tab w:val="left" w:pos="567"/>
        </w:tabs>
        <w:spacing w:line="260" w:lineRule="exact"/>
        <w:rPr>
          <w:sz w:val="22"/>
          <w:szCs w:val="24"/>
        </w:rPr>
      </w:pPr>
    </w:p>
    <w:p w14:paraId="46EF2482" w14:textId="77777777" w:rsidR="003F7BAA" w:rsidRPr="00220850" w:rsidRDefault="003F7BAA">
      <w:pPr>
        <w:tabs>
          <w:tab w:val="left" w:pos="567"/>
        </w:tabs>
        <w:spacing w:line="260" w:lineRule="exact"/>
        <w:rPr>
          <w:sz w:val="22"/>
          <w:szCs w:val="24"/>
        </w:rPr>
      </w:pPr>
    </w:p>
    <w:p w14:paraId="5F587B59" w14:textId="77777777" w:rsidR="003F7BAA" w:rsidRPr="00220850" w:rsidRDefault="003F7BAA">
      <w:pPr>
        <w:tabs>
          <w:tab w:val="left" w:pos="567"/>
        </w:tabs>
        <w:spacing w:line="260" w:lineRule="exact"/>
        <w:rPr>
          <w:sz w:val="22"/>
          <w:szCs w:val="24"/>
        </w:rPr>
      </w:pPr>
    </w:p>
    <w:p w14:paraId="6080E34A" w14:textId="77777777" w:rsidR="003F7BAA" w:rsidRPr="00220850" w:rsidRDefault="003F7BAA">
      <w:pPr>
        <w:tabs>
          <w:tab w:val="left" w:pos="567"/>
        </w:tabs>
        <w:spacing w:line="260" w:lineRule="exact"/>
        <w:rPr>
          <w:sz w:val="22"/>
          <w:szCs w:val="24"/>
        </w:rPr>
      </w:pPr>
    </w:p>
    <w:p w14:paraId="4B9C858B" w14:textId="77777777" w:rsidR="003F7BAA" w:rsidRPr="00220850" w:rsidRDefault="003F7BAA">
      <w:pPr>
        <w:tabs>
          <w:tab w:val="left" w:pos="567"/>
        </w:tabs>
        <w:spacing w:line="260" w:lineRule="exact"/>
        <w:rPr>
          <w:sz w:val="22"/>
          <w:szCs w:val="24"/>
        </w:rPr>
      </w:pPr>
    </w:p>
    <w:p w14:paraId="4EBC0268" w14:textId="77777777" w:rsidR="003F7BAA" w:rsidRPr="00220850" w:rsidRDefault="003F7BAA">
      <w:pPr>
        <w:tabs>
          <w:tab w:val="left" w:pos="567"/>
        </w:tabs>
        <w:spacing w:line="260" w:lineRule="exact"/>
        <w:rPr>
          <w:sz w:val="22"/>
          <w:szCs w:val="24"/>
        </w:rPr>
      </w:pPr>
    </w:p>
    <w:p w14:paraId="1DB5329D" w14:textId="77777777" w:rsidR="003F7BAA" w:rsidRPr="00220850" w:rsidRDefault="003F7BAA">
      <w:pPr>
        <w:tabs>
          <w:tab w:val="left" w:pos="567"/>
        </w:tabs>
        <w:spacing w:line="260" w:lineRule="exact"/>
        <w:rPr>
          <w:sz w:val="22"/>
          <w:szCs w:val="24"/>
        </w:rPr>
      </w:pPr>
    </w:p>
    <w:p w14:paraId="4B637AEA" w14:textId="77777777" w:rsidR="003F7BAA" w:rsidRPr="00220850" w:rsidRDefault="003F7BAA">
      <w:pPr>
        <w:tabs>
          <w:tab w:val="left" w:pos="567"/>
        </w:tabs>
        <w:spacing w:line="260" w:lineRule="exact"/>
        <w:rPr>
          <w:sz w:val="22"/>
          <w:szCs w:val="24"/>
        </w:rPr>
      </w:pPr>
    </w:p>
    <w:p w14:paraId="426F4098" w14:textId="77777777" w:rsidR="003F7BAA" w:rsidRPr="00220850" w:rsidRDefault="003F7BAA">
      <w:pPr>
        <w:tabs>
          <w:tab w:val="left" w:pos="567"/>
        </w:tabs>
        <w:spacing w:line="260" w:lineRule="exact"/>
        <w:rPr>
          <w:sz w:val="22"/>
          <w:szCs w:val="24"/>
        </w:rPr>
      </w:pPr>
    </w:p>
    <w:p w14:paraId="410DDC0A" w14:textId="77777777" w:rsidR="003F7BAA" w:rsidRPr="00220850" w:rsidRDefault="003F7BAA">
      <w:pPr>
        <w:tabs>
          <w:tab w:val="left" w:pos="567"/>
        </w:tabs>
        <w:spacing w:line="260" w:lineRule="exact"/>
        <w:rPr>
          <w:sz w:val="22"/>
          <w:szCs w:val="24"/>
        </w:rPr>
      </w:pPr>
    </w:p>
    <w:p w14:paraId="4BBF36C9" w14:textId="1E75AEB5" w:rsidR="007A5503" w:rsidRPr="00220850" w:rsidRDefault="007A5503">
      <w:pPr>
        <w:rPr>
          <w:sz w:val="22"/>
          <w:szCs w:val="24"/>
        </w:rPr>
      </w:pPr>
      <w:r w:rsidRPr="00220850">
        <w:rPr>
          <w:sz w:val="22"/>
          <w:szCs w:val="24"/>
        </w:rPr>
        <w:br w:type="page"/>
      </w:r>
    </w:p>
    <w:p w14:paraId="2A024C10" w14:textId="77777777" w:rsidR="003F7BAA" w:rsidRPr="00220850" w:rsidRDefault="003F7BAA" w:rsidP="003F7BAA">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sidRPr="00220850">
        <w:rPr>
          <w:b/>
          <w:sz w:val="22"/>
          <w:szCs w:val="24"/>
        </w:rPr>
        <w:lastRenderedPageBreak/>
        <w:t>MINIMALI INFORMACIJA ANT LIZDINIŲ PLOKŠTELIŲ ARBA DVISLUOKSNIŲ JUOSTELIŲ</w:t>
      </w:r>
    </w:p>
    <w:p w14:paraId="352CC194" w14:textId="77777777" w:rsidR="003F7BAA" w:rsidRPr="00220850" w:rsidRDefault="003F7BAA" w:rsidP="003F7B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110B1459" w14:textId="0F18327E" w:rsidR="003F7BAA" w:rsidRPr="00220850" w:rsidRDefault="00953D77" w:rsidP="003F7BAA">
      <w:pPr>
        <w:pBdr>
          <w:top w:val="single" w:sz="4" w:space="1" w:color="auto"/>
          <w:left w:val="single" w:sz="4" w:space="4" w:color="auto"/>
          <w:bottom w:val="single" w:sz="4" w:space="1" w:color="auto"/>
          <w:right w:val="single" w:sz="4" w:space="4" w:color="auto"/>
        </w:pBdr>
        <w:tabs>
          <w:tab w:val="left" w:pos="567"/>
        </w:tabs>
        <w:rPr>
          <w:b/>
          <w:sz w:val="22"/>
          <w:szCs w:val="22"/>
        </w:rPr>
      </w:pPr>
      <w:r w:rsidRPr="00220850">
        <w:rPr>
          <w:b/>
          <w:sz w:val="22"/>
          <w:szCs w:val="22"/>
        </w:rPr>
        <w:t>PERFORUOT</w:t>
      </w:r>
      <w:r w:rsidR="009C0569" w:rsidRPr="00220850">
        <w:rPr>
          <w:b/>
          <w:sz w:val="22"/>
          <w:szCs w:val="22"/>
        </w:rPr>
        <w:t xml:space="preserve">A </w:t>
      </w:r>
      <w:r w:rsidR="00A1736E" w:rsidRPr="00220850">
        <w:rPr>
          <w:b/>
          <w:sz w:val="22"/>
          <w:szCs w:val="22"/>
        </w:rPr>
        <w:t xml:space="preserve">DALOMOJI </w:t>
      </w:r>
      <w:r w:rsidRPr="00220850">
        <w:rPr>
          <w:b/>
          <w:sz w:val="22"/>
          <w:szCs w:val="22"/>
        </w:rPr>
        <w:t>LIZDINĖ PLOKŠTELĖ</w:t>
      </w:r>
    </w:p>
    <w:p w14:paraId="71185C0B" w14:textId="77777777" w:rsidR="003F7BAA" w:rsidRPr="00220850" w:rsidRDefault="003F7BAA" w:rsidP="003F7BAA">
      <w:pPr>
        <w:tabs>
          <w:tab w:val="left" w:pos="567"/>
        </w:tabs>
        <w:spacing w:line="260" w:lineRule="exact"/>
        <w:rPr>
          <w:sz w:val="22"/>
        </w:rPr>
      </w:pPr>
    </w:p>
    <w:p w14:paraId="4E8FF74C" w14:textId="77777777" w:rsidR="003F7BAA" w:rsidRPr="00220850" w:rsidRDefault="003F7BAA" w:rsidP="003F7BAA">
      <w:pPr>
        <w:tabs>
          <w:tab w:val="left" w:pos="567"/>
        </w:tabs>
        <w:spacing w:line="260" w:lineRule="exact"/>
        <w:rPr>
          <w:sz w:val="22"/>
          <w:szCs w:val="24"/>
        </w:rPr>
      </w:pPr>
    </w:p>
    <w:p w14:paraId="040F0EA2" w14:textId="77777777" w:rsidR="003F7BAA" w:rsidRPr="00220850" w:rsidRDefault="003F7BAA" w:rsidP="003F7BAA">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1.</w:t>
      </w:r>
      <w:r w:rsidRPr="00220850">
        <w:rPr>
          <w:b/>
          <w:sz w:val="22"/>
          <w:szCs w:val="24"/>
        </w:rPr>
        <w:tab/>
      </w:r>
      <w:r w:rsidRPr="00220850">
        <w:rPr>
          <w:b/>
          <w:caps/>
          <w:sz w:val="22"/>
          <w:szCs w:val="24"/>
        </w:rPr>
        <w:t>VAISTINIO</w:t>
      </w:r>
      <w:r w:rsidRPr="00220850">
        <w:rPr>
          <w:b/>
          <w:sz w:val="22"/>
          <w:szCs w:val="24"/>
        </w:rPr>
        <w:t xml:space="preserve"> PREPARATO PAVADINIMAS</w:t>
      </w:r>
    </w:p>
    <w:p w14:paraId="50B0FF2B" w14:textId="77777777" w:rsidR="003F7BAA" w:rsidRPr="00220850" w:rsidRDefault="003F7BAA" w:rsidP="003F7BAA">
      <w:pPr>
        <w:tabs>
          <w:tab w:val="left" w:pos="567"/>
        </w:tabs>
        <w:spacing w:line="260" w:lineRule="exact"/>
        <w:rPr>
          <w:sz w:val="22"/>
          <w:szCs w:val="24"/>
        </w:rPr>
      </w:pPr>
    </w:p>
    <w:p w14:paraId="3139F5CE" w14:textId="77777777" w:rsidR="003F7BAA" w:rsidRPr="00220850" w:rsidRDefault="003F7BAA" w:rsidP="003F7BAA">
      <w:pPr>
        <w:shd w:val="clear" w:color="auto" w:fill="FFFFFF"/>
        <w:rPr>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150 mg minkštosios kapsulės</w:t>
      </w:r>
    </w:p>
    <w:p w14:paraId="1797A9DE" w14:textId="62295CBE" w:rsidR="003F7BAA" w:rsidRPr="00220850" w:rsidRDefault="008447A0" w:rsidP="003F7BAA">
      <w:pPr>
        <w:tabs>
          <w:tab w:val="left" w:pos="567"/>
        </w:tabs>
        <w:spacing w:line="260" w:lineRule="exact"/>
        <w:rPr>
          <w:sz w:val="22"/>
          <w:szCs w:val="24"/>
        </w:rPr>
      </w:pPr>
      <w:proofErr w:type="spellStart"/>
      <w:r w:rsidRPr="00220850">
        <w:rPr>
          <w:i/>
          <w:iCs/>
          <w:sz w:val="22"/>
          <w:szCs w:val="24"/>
        </w:rPr>
        <w:t>nintedanibum</w:t>
      </w:r>
      <w:proofErr w:type="spellEnd"/>
    </w:p>
    <w:p w14:paraId="5275E560" w14:textId="77777777" w:rsidR="00F87678" w:rsidRPr="00220850" w:rsidRDefault="00F87678" w:rsidP="003F7BAA">
      <w:pPr>
        <w:tabs>
          <w:tab w:val="left" w:pos="567"/>
        </w:tabs>
        <w:spacing w:line="260" w:lineRule="exact"/>
        <w:rPr>
          <w:sz w:val="22"/>
          <w:szCs w:val="24"/>
        </w:rPr>
      </w:pPr>
    </w:p>
    <w:p w14:paraId="305C6ECF" w14:textId="77777777" w:rsidR="003F7BAA" w:rsidRPr="00220850" w:rsidRDefault="003F7BAA" w:rsidP="003F7BAA">
      <w:pPr>
        <w:tabs>
          <w:tab w:val="left" w:pos="567"/>
        </w:tabs>
        <w:spacing w:line="260" w:lineRule="exact"/>
        <w:rPr>
          <w:sz w:val="22"/>
          <w:szCs w:val="24"/>
        </w:rPr>
      </w:pPr>
    </w:p>
    <w:p w14:paraId="6513C7C6" w14:textId="77777777" w:rsidR="003F7BAA" w:rsidRPr="00220850" w:rsidRDefault="003F7BAA" w:rsidP="003F7BAA">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2.</w:t>
      </w:r>
      <w:r w:rsidRPr="00220850">
        <w:rPr>
          <w:b/>
          <w:sz w:val="22"/>
          <w:szCs w:val="24"/>
        </w:rPr>
        <w:tab/>
      </w:r>
      <w:r w:rsidRPr="00220850">
        <w:rPr>
          <w:b/>
          <w:caps/>
          <w:sz w:val="22"/>
          <w:szCs w:val="24"/>
        </w:rPr>
        <w:t>REGISTRUOTOJO pavadinimas</w:t>
      </w:r>
    </w:p>
    <w:p w14:paraId="42E3E932" w14:textId="77777777" w:rsidR="003F7BAA" w:rsidRPr="00220850" w:rsidRDefault="003F7BAA" w:rsidP="003F7BAA">
      <w:pPr>
        <w:tabs>
          <w:tab w:val="left" w:pos="567"/>
        </w:tabs>
        <w:spacing w:line="260" w:lineRule="exact"/>
        <w:rPr>
          <w:sz w:val="22"/>
          <w:szCs w:val="24"/>
        </w:rPr>
      </w:pPr>
    </w:p>
    <w:p w14:paraId="3C75FD14" w14:textId="77777777" w:rsidR="003F7BAA" w:rsidRPr="00220850" w:rsidRDefault="003F7BAA" w:rsidP="003F7BAA">
      <w:pPr>
        <w:shd w:val="clear" w:color="auto" w:fill="FFFFFF"/>
        <w:rPr>
          <w:sz w:val="22"/>
          <w:lang w:val="pt-PT"/>
        </w:rPr>
      </w:pPr>
      <w:r w:rsidRPr="00220850">
        <w:rPr>
          <w:sz w:val="22"/>
          <w:lang w:val="pt-PT"/>
        </w:rPr>
        <w:t>Teva GmbH</w:t>
      </w:r>
    </w:p>
    <w:p w14:paraId="7C782DD5" w14:textId="77777777" w:rsidR="003F7BAA" w:rsidRPr="00220850" w:rsidRDefault="003F7BAA" w:rsidP="003F7BAA">
      <w:pPr>
        <w:tabs>
          <w:tab w:val="left" w:pos="567"/>
        </w:tabs>
        <w:spacing w:line="260" w:lineRule="exact"/>
        <w:rPr>
          <w:sz w:val="22"/>
          <w:szCs w:val="24"/>
        </w:rPr>
      </w:pPr>
    </w:p>
    <w:p w14:paraId="29834D80" w14:textId="77777777" w:rsidR="003F7BAA" w:rsidRPr="00220850" w:rsidRDefault="003F7BAA" w:rsidP="003F7BAA">
      <w:pPr>
        <w:tabs>
          <w:tab w:val="left" w:pos="567"/>
        </w:tabs>
        <w:spacing w:line="260" w:lineRule="exact"/>
        <w:rPr>
          <w:sz w:val="22"/>
          <w:szCs w:val="24"/>
        </w:rPr>
      </w:pPr>
    </w:p>
    <w:p w14:paraId="2D40EA90" w14:textId="77777777" w:rsidR="003F7BAA" w:rsidRPr="00220850" w:rsidRDefault="003F7BAA" w:rsidP="003F7BAA">
      <w:pPr>
        <w:pBdr>
          <w:top w:val="single" w:sz="4" w:space="1" w:color="auto"/>
          <w:left w:val="single" w:sz="4" w:space="4" w:color="auto"/>
          <w:bottom w:val="single" w:sz="4" w:space="2" w:color="auto"/>
          <w:right w:val="single" w:sz="4" w:space="4" w:color="auto"/>
        </w:pBdr>
        <w:tabs>
          <w:tab w:val="left" w:pos="567"/>
        </w:tabs>
        <w:rPr>
          <w:b/>
          <w:sz w:val="22"/>
          <w:szCs w:val="24"/>
        </w:rPr>
      </w:pPr>
      <w:r w:rsidRPr="00220850">
        <w:rPr>
          <w:b/>
          <w:sz w:val="22"/>
          <w:szCs w:val="24"/>
        </w:rPr>
        <w:t>3.</w:t>
      </w:r>
      <w:r w:rsidRPr="00220850">
        <w:rPr>
          <w:b/>
          <w:sz w:val="22"/>
          <w:szCs w:val="24"/>
        </w:rPr>
        <w:tab/>
        <w:t>TINKAMUMO LAIKAS</w:t>
      </w:r>
    </w:p>
    <w:p w14:paraId="2E735F98" w14:textId="77777777" w:rsidR="003F7BAA" w:rsidRPr="00220850" w:rsidRDefault="003F7BAA" w:rsidP="003F7BAA">
      <w:pPr>
        <w:tabs>
          <w:tab w:val="left" w:pos="567"/>
        </w:tabs>
        <w:spacing w:line="260" w:lineRule="exact"/>
        <w:rPr>
          <w:sz w:val="22"/>
          <w:szCs w:val="24"/>
        </w:rPr>
      </w:pPr>
    </w:p>
    <w:p w14:paraId="1B27166C" w14:textId="2CA37049" w:rsidR="003F7BAA" w:rsidRPr="00220850" w:rsidRDefault="003F7BAA" w:rsidP="003F7BAA">
      <w:pPr>
        <w:tabs>
          <w:tab w:val="left" w:pos="567"/>
        </w:tabs>
        <w:spacing w:line="260" w:lineRule="exact"/>
        <w:rPr>
          <w:sz w:val="22"/>
        </w:rPr>
      </w:pPr>
      <w:r w:rsidRPr="00220850">
        <w:rPr>
          <w:sz w:val="22"/>
          <w:highlight w:val="lightGray"/>
        </w:rPr>
        <w:t>EXP</w:t>
      </w:r>
      <w:r w:rsidR="00E65848" w:rsidRPr="00220850">
        <w:rPr>
          <w:sz w:val="22"/>
        </w:rPr>
        <w:t>{mm MMMM}</w:t>
      </w:r>
    </w:p>
    <w:p w14:paraId="4593FCA9" w14:textId="77777777" w:rsidR="003F7BAA" w:rsidRPr="00220850" w:rsidRDefault="003F7BAA" w:rsidP="003F7BAA">
      <w:pPr>
        <w:tabs>
          <w:tab w:val="left" w:pos="567"/>
        </w:tabs>
        <w:spacing w:line="260" w:lineRule="exact"/>
        <w:rPr>
          <w:sz w:val="22"/>
        </w:rPr>
      </w:pPr>
    </w:p>
    <w:p w14:paraId="5950A78D" w14:textId="77777777" w:rsidR="003F7BAA" w:rsidRPr="00220850" w:rsidRDefault="003F7BAA" w:rsidP="003F7BAA">
      <w:pPr>
        <w:tabs>
          <w:tab w:val="left" w:pos="567"/>
        </w:tabs>
        <w:spacing w:line="260" w:lineRule="exact"/>
        <w:rPr>
          <w:sz w:val="22"/>
        </w:rPr>
      </w:pPr>
    </w:p>
    <w:p w14:paraId="0638A2FE" w14:textId="77777777" w:rsidR="003F7BAA" w:rsidRPr="00220850" w:rsidRDefault="003F7BAA" w:rsidP="003F7BAA">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4.</w:t>
      </w:r>
      <w:r w:rsidRPr="00220850">
        <w:rPr>
          <w:b/>
          <w:sz w:val="22"/>
          <w:szCs w:val="24"/>
        </w:rPr>
        <w:tab/>
        <w:t>SERIJOS NUMERIS</w:t>
      </w:r>
    </w:p>
    <w:p w14:paraId="45D1AAC9" w14:textId="77777777" w:rsidR="003F7BAA" w:rsidRPr="00220850" w:rsidRDefault="003F7BAA" w:rsidP="003F7BAA">
      <w:pPr>
        <w:tabs>
          <w:tab w:val="left" w:pos="567"/>
        </w:tabs>
        <w:spacing w:line="260" w:lineRule="exact"/>
        <w:rPr>
          <w:sz w:val="22"/>
        </w:rPr>
      </w:pPr>
    </w:p>
    <w:p w14:paraId="1791C9EC" w14:textId="77777777" w:rsidR="003F7BAA" w:rsidRPr="00220850" w:rsidRDefault="003F7BAA" w:rsidP="003F7BAA">
      <w:pPr>
        <w:tabs>
          <w:tab w:val="left" w:pos="567"/>
        </w:tabs>
        <w:rPr>
          <w:sz w:val="22"/>
          <w:szCs w:val="24"/>
        </w:rPr>
      </w:pPr>
      <w:r w:rsidRPr="00220850">
        <w:rPr>
          <w:sz w:val="22"/>
          <w:highlight w:val="lightGray"/>
        </w:rPr>
        <w:t>Lot</w:t>
      </w:r>
    </w:p>
    <w:p w14:paraId="4EFC2199" w14:textId="77777777" w:rsidR="003F7BAA" w:rsidRPr="00220850" w:rsidRDefault="003F7BAA" w:rsidP="003F7BAA">
      <w:pPr>
        <w:tabs>
          <w:tab w:val="left" w:pos="567"/>
        </w:tabs>
        <w:spacing w:line="260" w:lineRule="exact"/>
        <w:rPr>
          <w:sz w:val="22"/>
          <w:szCs w:val="24"/>
        </w:rPr>
      </w:pPr>
    </w:p>
    <w:p w14:paraId="39A1D3A2" w14:textId="77777777" w:rsidR="003F7BAA" w:rsidRPr="00220850" w:rsidRDefault="003F7BAA" w:rsidP="003F7BAA">
      <w:pPr>
        <w:pBdr>
          <w:top w:val="single" w:sz="4" w:space="1" w:color="auto"/>
          <w:left w:val="single" w:sz="4" w:space="4" w:color="auto"/>
          <w:bottom w:val="single" w:sz="4" w:space="1" w:color="auto"/>
          <w:right w:val="single" w:sz="4" w:space="4" w:color="auto"/>
        </w:pBdr>
        <w:tabs>
          <w:tab w:val="left" w:pos="567"/>
        </w:tabs>
        <w:rPr>
          <w:b/>
          <w:sz w:val="22"/>
          <w:szCs w:val="24"/>
        </w:rPr>
      </w:pPr>
      <w:r w:rsidRPr="00220850">
        <w:rPr>
          <w:b/>
          <w:sz w:val="22"/>
          <w:szCs w:val="24"/>
        </w:rPr>
        <w:t>5.</w:t>
      </w:r>
      <w:r w:rsidRPr="00220850">
        <w:rPr>
          <w:b/>
          <w:sz w:val="22"/>
          <w:szCs w:val="24"/>
        </w:rPr>
        <w:tab/>
        <w:t>KITA</w:t>
      </w:r>
    </w:p>
    <w:p w14:paraId="1040BAA8" w14:textId="77777777" w:rsidR="003F7BAA" w:rsidRPr="00220850" w:rsidRDefault="003F7BAA" w:rsidP="003F7BAA">
      <w:pPr>
        <w:tabs>
          <w:tab w:val="left" w:pos="567"/>
        </w:tabs>
        <w:spacing w:line="260" w:lineRule="exact"/>
        <w:rPr>
          <w:sz w:val="22"/>
          <w:szCs w:val="24"/>
        </w:rPr>
      </w:pPr>
    </w:p>
    <w:p w14:paraId="1E45797A" w14:textId="77777777" w:rsidR="003F7BAA" w:rsidRPr="00220850" w:rsidRDefault="003F7BAA" w:rsidP="003F7BAA">
      <w:pPr>
        <w:tabs>
          <w:tab w:val="left" w:pos="567"/>
        </w:tabs>
        <w:spacing w:line="260" w:lineRule="exact"/>
        <w:rPr>
          <w:sz w:val="22"/>
          <w:szCs w:val="24"/>
        </w:rPr>
      </w:pPr>
    </w:p>
    <w:p w14:paraId="71681754" w14:textId="32845A7E" w:rsidR="00695FD8" w:rsidRPr="00220850" w:rsidRDefault="003F7BAA" w:rsidP="0013626C">
      <w:pPr>
        <w:pBdr>
          <w:top w:val="single" w:sz="4" w:space="1" w:color="auto"/>
          <w:left w:val="single" w:sz="4" w:space="4" w:color="auto"/>
          <w:bottom w:val="single" w:sz="4" w:space="1" w:color="auto"/>
          <w:right w:val="single" w:sz="4" w:space="4" w:color="auto"/>
        </w:pBdr>
        <w:tabs>
          <w:tab w:val="left" w:pos="567"/>
        </w:tabs>
        <w:rPr>
          <w:sz w:val="22"/>
          <w:szCs w:val="24"/>
        </w:rPr>
      </w:pPr>
      <w:r w:rsidRPr="00220850">
        <w:rPr>
          <w:b/>
          <w:sz w:val="22"/>
          <w:szCs w:val="24"/>
        </w:rPr>
        <w:br w:type="page"/>
      </w:r>
    </w:p>
    <w:p w14:paraId="4A6788DE" w14:textId="77777777" w:rsidR="00DE01F8" w:rsidRPr="00220850" w:rsidRDefault="00DE01F8">
      <w:pPr>
        <w:tabs>
          <w:tab w:val="left" w:pos="567"/>
        </w:tabs>
        <w:spacing w:line="260" w:lineRule="exact"/>
        <w:rPr>
          <w:sz w:val="22"/>
        </w:rPr>
      </w:pPr>
    </w:p>
    <w:p w14:paraId="00FA99E6" w14:textId="77777777" w:rsidR="00DE01F8" w:rsidRPr="00220850" w:rsidRDefault="00DE01F8">
      <w:pPr>
        <w:tabs>
          <w:tab w:val="left" w:pos="567"/>
        </w:tabs>
        <w:spacing w:line="260" w:lineRule="exact"/>
        <w:rPr>
          <w:sz w:val="22"/>
        </w:rPr>
      </w:pPr>
    </w:p>
    <w:p w14:paraId="28EEB997" w14:textId="77777777" w:rsidR="00DE01F8" w:rsidRPr="00220850" w:rsidRDefault="00DE01F8">
      <w:pPr>
        <w:tabs>
          <w:tab w:val="left" w:pos="567"/>
        </w:tabs>
        <w:spacing w:line="260" w:lineRule="exact"/>
        <w:rPr>
          <w:sz w:val="22"/>
        </w:rPr>
      </w:pPr>
    </w:p>
    <w:p w14:paraId="69528FB3" w14:textId="77777777" w:rsidR="00DE01F8" w:rsidRPr="00220850" w:rsidRDefault="00DE01F8">
      <w:pPr>
        <w:tabs>
          <w:tab w:val="left" w:pos="567"/>
        </w:tabs>
        <w:spacing w:line="260" w:lineRule="exact"/>
        <w:rPr>
          <w:sz w:val="22"/>
        </w:rPr>
      </w:pPr>
    </w:p>
    <w:p w14:paraId="1F5FB410" w14:textId="77777777" w:rsidR="00DE01F8" w:rsidRPr="00220850" w:rsidRDefault="00DE01F8">
      <w:pPr>
        <w:tabs>
          <w:tab w:val="left" w:pos="567"/>
        </w:tabs>
        <w:spacing w:line="260" w:lineRule="exact"/>
        <w:rPr>
          <w:sz w:val="22"/>
        </w:rPr>
      </w:pPr>
    </w:p>
    <w:p w14:paraId="358B8681" w14:textId="77777777" w:rsidR="00DE01F8" w:rsidRPr="00220850" w:rsidRDefault="00DE01F8">
      <w:pPr>
        <w:tabs>
          <w:tab w:val="left" w:pos="567"/>
        </w:tabs>
        <w:spacing w:line="260" w:lineRule="exact"/>
        <w:rPr>
          <w:sz w:val="22"/>
        </w:rPr>
      </w:pPr>
    </w:p>
    <w:p w14:paraId="44B3E1A6" w14:textId="77777777" w:rsidR="00DE01F8" w:rsidRPr="00220850" w:rsidRDefault="00DE01F8">
      <w:pPr>
        <w:tabs>
          <w:tab w:val="left" w:pos="567"/>
        </w:tabs>
        <w:spacing w:line="260" w:lineRule="exact"/>
        <w:rPr>
          <w:sz w:val="22"/>
        </w:rPr>
      </w:pPr>
    </w:p>
    <w:p w14:paraId="43E46E87" w14:textId="77777777" w:rsidR="00DE01F8" w:rsidRPr="00220850" w:rsidRDefault="00DE01F8">
      <w:pPr>
        <w:tabs>
          <w:tab w:val="left" w:pos="567"/>
        </w:tabs>
        <w:spacing w:line="260" w:lineRule="exact"/>
        <w:rPr>
          <w:sz w:val="22"/>
        </w:rPr>
      </w:pPr>
    </w:p>
    <w:p w14:paraId="2D7106FD" w14:textId="77777777" w:rsidR="00DE01F8" w:rsidRPr="00220850" w:rsidRDefault="00DE01F8">
      <w:pPr>
        <w:tabs>
          <w:tab w:val="left" w:pos="567"/>
        </w:tabs>
        <w:spacing w:line="260" w:lineRule="exact"/>
        <w:rPr>
          <w:sz w:val="22"/>
        </w:rPr>
      </w:pPr>
    </w:p>
    <w:p w14:paraId="6425D87F" w14:textId="77777777" w:rsidR="00DE01F8" w:rsidRPr="00220850" w:rsidRDefault="00DE01F8">
      <w:pPr>
        <w:tabs>
          <w:tab w:val="left" w:pos="567"/>
        </w:tabs>
        <w:spacing w:line="260" w:lineRule="exact"/>
        <w:rPr>
          <w:sz w:val="22"/>
        </w:rPr>
      </w:pPr>
    </w:p>
    <w:p w14:paraId="1AEF7002" w14:textId="77777777" w:rsidR="00DE01F8" w:rsidRPr="00220850" w:rsidRDefault="00DE01F8">
      <w:pPr>
        <w:tabs>
          <w:tab w:val="left" w:pos="567"/>
        </w:tabs>
        <w:spacing w:line="260" w:lineRule="exact"/>
        <w:rPr>
          <w:sz w:val="22"/>
        </w:rPr>
      </w:pPr>
    </w:p>
    <w:p w14:paraId="6EA8B778" w14:textId="77777777" w:rsidR="00DE01F8" w:rsidRPr="00220850" w:rsidRDefault="00DE01F8">
      <w:pPr>
        <w:tabs>
          <w:tab w:val="left" w:pos="567"/>
        </w:tabs>
        <w:spacing w:line="260" w:lineRule="exact"/>
        <w:rPr>
          <w:sz w:val="22"/>
        </w:rPr>
      </w:pPr>
    </w:p>
    <w:p w14:paraId="59936004" w14:textId="77777777" w:rsidR="00DE01F8" w:rsidRPr="00220850" w:rsidRDefault="00DE01F8">
      <w:pPr>
        <w:tabs>
          <w:tab w:val="left" w:pos="567"/>
        </w:tabs>
        <w:spacing w:line="260" w:lineRule="exact"/>
        <w:rPr>
          <w:sz w:val="22"/>
        </w:rPr>
      </w:pPr>
    </w:p>
    <w:p w14:paraId="05D7692D" w14:textId="77777777" w:rsidR="00DE01F8" w:rsidRPr="00220850" w:rsidRDefault="00DE01F8">
      <w:pPr>
        <w:tabs>
          <w:tab w:val="left" w:pos="567"/>
        </w:tabs>
        <w:spacing w:line="260" w:lineRule="exact"/>
        <w:rPr>
          <w:sz w:val="22"/>
        </w:rPr>
      </w:pPr>
    </w:p>
    <w:p w14:paraId="33EA9028" w14:textId="77777777" w:rsidR="00DE01F8" w:rsidRPr="00220850" w:rsidRDefault="00DE01F8">
      <w:pPr>
        <w:tabs>
          <w:tab w:val="left" w:pos="567"/>
        </w:tabs>
        <w:spacing w:line="260" w:lineRule="exact"/>
        <w:rPr>
          <w:sz w:val="22"/>
        </w:rPr>
      </w:pPr>
    </w:p>
    <w:p w14:paraId="48A919D5" w14:textId="77777777" w:rsidR="00DE01F8" w:rsidRPr="00220850" w:rsidRDefault="00DE01F8">
      <w:pPr>
        <w:tabs>
          <w:tab w:val="left" w:pos="567"/>
        </w:tabs>
        <w:spacing w:line="260" w:lineRule="exact"/>
        <w:rPr>
          <w:sz w:val="22"/>
        </w:rPr>
      </w:pPr>
    </w:p>
    <w:p w14:paraId="1A50EF47" w14:textId="77777777" w:rsidR="00DE01F8" w:rsidRPr="00220850" w:rsidRDefault="00DE01F8">
      <w:pPr>
        <w:tabs>
          <w:tab w:val="left" w:pos="567"/>
        </w:tabs>
        <w:spacing w:line="260" w:lineRule="exact"/>
        <w:rPr>
          <w:sz w:val="22"/>
        </w:rPr>
      </w:pPr>
    </w:p>
    <w:p w14:paraId="2DF823AD" w14:textId="77777777" w:rsidR="00DE01F8" w:rsidRPr="00220850" w:rsidRDefault="00DE01F8">
      <w:pPr>
        <w:tabs>
          <w:tab w:val="left" w:pos="567"/>
        </w:tabs>
        <w:spacing w:line="260" w:lineRule="exact"/>
        <w:rPr>
          <w:sz w:val="22"/>
        </w:rPr>
      </w:pPr>
    </w:p>
    <w:p w14:paraId="237D761F" w14:textId="77777777" w:rsidR="00DE01F8" w:rsidRPr="00220850" w:rsidRDefault="00DE01F8">
      <w:pPr>
        <w:tabs>
          <w:tab w:val="left" w:pos="567"/>
        </w:tabs>
        <w:spacing w:line="260" w:lineRule="exact"/>
        <w:rPr>
          <w:sz w:val="22"/>
        </w:rPr>
      </w:pPr>
    </w:p>
    <w:p w14:paraId="1F2947AC" w14:textId="77777777" w:rsidR="00DE01F8" w:rsidRPr="00220850" w:rsidRDefault="00DE01F8">
      <w:pPr>
        <w:tabs>
          <w:tab w:val="left" w:pos="567"/>
        </w:tabs>
        <w:spacing w:line="260" w:lineRule="exact"/>
        <w:rPr>
          <w:sz w:val="22"/>
        </w:rPr>
      </w:pPr>
    </w:p>
    <w:p w14:paraId="0DAF651C" w14:textId="77777777" w:rsidR="00DE01F8" w:rsidRPr="00220850" w:rsidRDefault="00DE01F8">
      <w:pPr>
        <w:tabs>
          <w:tab w:val="left" w:pos="567"/>
        </w:tabs>
        <w:spacing w:line="260" w:lineRule="exact"/>
        <w:rPr>
          <w:sz w:val="22"/>
        </w:rPr>
      </w:pPr>
    </w:p>
    <w:p w14:paraId="1CC68B90" w14:textId="77777777" w:rsidR="00DE01F8" w:rsidRPr="00220850" w:rsidRDefault="00DE01F8">
      <w:pPr>
        <w:tabs>
          <w:tab w:val="left" w:pos="567"/>
        </w:tabs>
        <w:spacing w:line="260" w:lineRule="exact"/>
        <w:rPr>
          <w:sz w:val="22"/>
        </w:rPr>
      </w:pPr>
    </w:p>
    <w:p w14:paraId="07E4C31F" w14:textId="77777777" w:rsidR="00DE01F8" w:rsidRPr="00220850" w:rsidRDefault="00DE01F8">
      <w:pPr>
        <w:tabs>
          <w:tab w:val="left" w:pos="567"/>
        </w:tabs>
        <w:spacing w:line="260" w:lineRule="exact"/>
        <w:rPr>
          <w:sz w:val="22"/>
        </w:rPr>
      </w:pPr>
    </w:p>
    <w:p w14:paraId="6E1E2B64" w14:textId="77777777" w:rsidR="00DE01F8" w:rsidRPr="00220850" w:rsidRDefault="002D5C8E">
      <w:pPr>
        <w:tabs>
          <w:tab w:val="left" w:pos="567"/>
        </w:tabs>
        <w:spacing w:line="260" w:lineRule="exact"/>
        <w:jc w:val="center"/>
        <w:rPr>
          <w:b/>
          <w:sz w:val="22"/>
        </w:rPr>
      </w:pPr>
      <w:r w:rsidRPr="00220850">
        <w:rPr>
          <w:b/>
          <w:sz w:val="22"/>
        </w:rPr>
        <w:t>B. PAKUOTĖS LAPELIS</w:t>
      </w:r>
    </w:p>
    <w:p w14:paraId="16737ED6" w14:textId="77777777" w:rsidR="00DE01F8" w:rsidRPr="00220850" w:rsidRDefault="002D5C8E">
      <w:pPr>
        <w:keepNext/>
        <w:tabs>
          <w:tab w:val="left" w:pos="567"/>
        </w:tabs>
        <w:jc w:val="center"/>
        <w:outlineLvl w:val="1"/>
        <w:rPr>
          <w:b/>
          <w:sz w:val="22"/>
          <w:szCs w:val="24"/>
          <w:lang w:eastAsia="x-none"/>
        </w:rPr>
      </w:pPr>
      <w:r w:rsidRPr="00220850">
        <w:rPr>
          <w:b/>
          <w:bCs/>
          <w:iCs/>
          <w:sz w:val="22"/>
          <w:szCs w:val="28"/>
          <w:lang w:eastAsia="x-none"/>
        </w:rPr>
        <w:br w:type="page"/>
      </w:r>
      <w:r w:rsidRPr="00220850">
        <w:rPr>
          <w:b/>
          <w:bCs/>
          <w:iCs/>
          <w:sz w:val="22"/>
          <w:szCs w:val="28"/>
          <w:lang w:eastAsia="x-none"/>
        </w:rPr>
        <w:lastRenderedPageBreak/>
        <w:t>Pakuotės lapelis:</w:t>
      </w:r>
      <w:r w:rsidRPr="00220850">
        <w:rPr>
          <w:b/>
          <w:sz w:val="22"/>
          <w:szCs w:val="24"/>
          <w:lang w:eastAsia="x-none"/>
        </w:rPr>
        <w:t xml:space="preserve"> </w:t>
      </w:r>
      <w:r w:rsidR="005D7751" w:rsidRPr="00220850">
        <w:rPr>
          <w:b/>
          <w:bCs/>
          <w:iCs/>
          <w:sz w:val="22"/>
          <w:szCs w:val="28"/>
          <w:lang w:eastAsia="x-none"/>
        </w:rPr>
        <w:t>informacija pacientui</w:t>
      </w:r>
    </w:p>
    <w:p w14:paraId="67D5939C" w14:textId="77777777" w:rsidR="00DE01F8" w:rsidRPr="00220850" w:rsidRDefault="00DE01F8">
      <w:pPr>
        <w:numPr>
          <w:ilvl w:val="12"/>
          <w:numId w:val="0"/>
        </w:numPr>
        <w:jc w:val="center"/>
        <w:rPr>
          <w:sz w:val="22"/>
          <w:szCs w:val="24"/>
        </w:rPr>
      </w:pPr>
    </w:p>
    <w:p w14:paraId="078CA689" w14:textId="77777777" w:rsidR="005D7751" w:rsidRPr="00220850" w:rsidRDefault="005D7751" w:rsidP="005D7751">
      <w:pPr>
        <w:shd w:val="clear" w:color="auto" w:fill="FFFFFF"/>
        <w:jc w:val="center"/>
        <w:rPr>
          <w:b/>
          <w:sz w:val="22"/>
          <w:szCs w:val="22"/>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100 mg minkštosios kapsulės</w:t>
      </w:r>
    </w:p>
    <w:p w14:paraId="39DD8799" w14:textId="77777777" w:rsidR="005D7751" w:rsidRPr="00220850" w:rsidRDefault="005D7751" w:rsidP="005D7751">
      <w:pPr>
        <w:shd w:val="clear" w:color="auto" w:fill="FFFFFF"/>
        <w:jc w:val="center"/>
        <w:rPr>
          <w:sz w:val="22"/>
          <w:szCs w:val="22"/>
        </w:rPr>
      </w:pPr>
      <w:proofErr w:type="spellStart"/>
      <w:r w:rsidRPr="00220850">
        <w:rPr>
          <w:sz w:val="22"/>
          <w:szCs w:val="22"/>
        </w:rPr>
        <w:t>nintedanibas</w:t>
      </w:r>
      <w:proofErr w:type="spellEnd"/>
    </w:p>
    <w:p w14:paraId="02A7CA68" w14:textId="77777777" w:rsidR="005D7751" w:rsidRPr="00220850" w:rsidRDefault="005D7751" w:rsidP="005D7751">
      <w:pPr>
        <w:tabs>
          <w:tab w:val="left" w:pos="567"/>
        </w:tabs>
        <w:spacing w:line="260" w:lineRule="exact"/>
        <w:rPr>
          <w:sz w:val="22"/>
          <w:szCs w:val="24"/>
        </w:rPr>
      </w:pPr>
    </w:p>
    <w:p w14:paraId="7A0CB8BE" w14:textId="77777777" w:rsidR="00DE01F8" w:rsidRPr="00220850" w:rsidRDefault="002D5C8E" w:rsidP="0013626C">
      <w:pPr>
        <w:suppressAutoHyphens/>
        <w:rPr>
          <w:sz w:val="22"/>
          <w:szCs w:val="24"/>
        </w:rPr>
      </w:pPr>
      <w:r w:rsidRPr="00220850">
        <w:rPr>
          <w:b/>
          <w:sz w:val="22"/>
          <w:szCs w:val="24"/>
        </w:rPr>
        <w:t>Atidžiai perskaitykite visą šį lapelį, prieš pradėdami vartoti vaistą, nes jame pateikiama Jums svarbi informacija.</w:t>
      </w:r>
    </w:p>
    <w:p w14:paraId="55183D5F" w14:textId="77777777" w:rsidR="00DE01F8" w:rsidRPr="00220850" w:rsidRDefault="002D5C8E">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Neišmeskite šio lapelio, nes vėl gali prireikti jį perskaityti. </w:t>
      </w:r>
    </w:p>
    <w:p w14:paraId="1DF74918" w14:textId="77777777" w:rsidR="00DE01F8" w:rsidRPr="00220850" w:rsidRDefault="002D5C8E">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Jeigu kiltų </w:t>
      </w:r>
      <w:r w:rsidR="00324BC7" w:rsidRPr="00220850">
        <w:rPr>
          <w:sz w:val="22"/>
          <w:szCs w:val="24"/>
        </w:rPr>
        <w:t xml:space="preserve">daugiau klausimų, kreipkitės į gydytoją </w:t>
      </w:r>
      <w:r w:rsidRPr="00220850">
        <w:rPr>
          <w:sz w:val="22"/>
          <w:szCs w:val="24"/>
        </w:rPr>
        <w:t>arba</w:t>
      </w:r>
      <w:r w:rsidR="00324BC7" w:rsidRPr="00220850">
        <w:rPr>
          <w:sz w:val="22"/>
          <w:szCs w:val="24"/>
        </w:rPr>
        <w:t xml:space="preserve"> </w:t>
      </w:r>
      <w:r w:rsidRPr="00220850">
        <w:rPr>
          <w:sz w:val="22"/>
          <w:szCs w:val="24"/>
        </w:rPr>
        <w:t>vaistininką.</w:t>
      </w:r>
    </w:p>
    <w:p w14:paraId="32BBE08E" w14:textId="77777777" w:rsidR="00DE01F8" w:rsidRPr="00220850" w:rsidRDefault="00324BC7">
      <w:pPr>
        <w:tabs>
          <w:tab w:val="left" w:pos="567"/>
        </w:tabs>
        <w:ind w:left="567" w:right="-2" w:hanging="567"/>
        <w:rPr>
          <w:sz w:val="22"/>
          <w:szCs w:val="24"/>
        </w:rPr>
      </w:pPr>
      <w:r w:rsidRPr="00220850">
        <w:rPr>
          <w:sz w:val="22"/>
          <w:szCs w:val="24"/>
        </w:rPr>
        <w:t>-</w:t>
      </w:r>
      <w:r w:rsidRPr="00220850">
        <w:rPr>
          <w:sz w:val="22"/>
          <w:szCs w:val="24"/>
        </w:rPr>
        <w:tab/>
      </w:r>
      <w:r w:rsidR="002D5C8E" w:rsidRPr="00220850">
        <w:rPr>
          <w:sz w:val="22"/>
          <w:szCs w:val="24"/>
        </w:rPr>
        <w:t>Šis vaistas skirtas tik Jums, todėl kitiems žmonėms jo duoti negalima. Vaistas gali jiems pakenkti (net tiems, kurių ligos požym</w:t>
      </w:r>
      <w:r w:rsidRPr="00220850">
        <w:rPr>
          <w:sz w:val="22"/>
          <w:szCs w:val="24"/>
        </w:rPr>
        <w:t>iai yra tokie patys kaip Jūsų).</w:t>
      </w:r>
    </w:p>
    <w:p w14:paraId="6CA28252" w14:textId="77777777" w:rsidR="00DE01F8" w:rsidRPr="00220850" w:rsidRDefault="002D5C8E">
      <w:pPr>
        <w:tabs>
          <w:tab w:val="left" w:pos="567"/>
        </w:tabs>
        <w:spacing w:line="260" w:lineRule="exact"/>
        <w:ind w:left="567" w:hanging="567"/>
        <w:rPr>
          <w:sz w:val="22"/>
          <w:szCs w:val="24"/>
        </w:rPr>
      </w:pPr>
      <w:r w:rsidRPr="00220850">
        <w:rPr>
          <w:sz w:val="22"/>
          <w:szCs w:val="24"/>
        </w:rPr>
        <w:t>-</w:t>
      </w:r>
      <w:r w:rsidRPr="00220850">
        <w:rPr>
          <w:sz w:val="22"/>
          <w:szCs w:val="24"/>
        </w:rPr>
        <w:tab/>
        <w:t>Jeigu pasireiškė šalutinis poveikis (net jeigu jis šiame lapel</w:t>
      </w:r>
      <w:r w:rsidR="00324BC7" w:rsidRPr="00220850">
        <w:rPr>
          <w:sz w:val="22"/>
          <w:szCs w:val="24"/>
        </w:rPr>
        <w:t xml:space="preserve">yje nenurodytas), kreipkitės į </w:t>
      </w:r>
      <w:r w:rsidRPr="00220850">
        <w:rPr>
          <w:sz w:val="22"/>
          <w:szCs w:val="24"/>
        </w:rPr>
        <w:t>gydytoją</w:t>
      </w:r>
      <w:r w:rsidR="00324BC7" w:rsidRPr="00220850">
        <w:rPr>
          <w:sz w:val="22"/>
          <w:szCs w:val="24"/>
        </w:rPr>
        <w:t xml:space="preserve"> </w:t>
      </w:r>
      <w:r w:rsidRPr="00220850">
        <w:rPr>
          <w:sz w:val="22"/>
          <w:szCs w:val="24"/>
        </w:rPr>
        <w:t>arba</w:t>
      </w:r>
      <w:r w:rsidR="00324BC7" w:rsidRPr="00220850">
        <w:rPr>
          <w:sz w:val="22"/>
          <w:szCs w:val="24"/>
        </w:rPr>
        <w:t xml:space="preserve"> </w:t>
      </w:r>
      <w:r w:rsidRPr="00220850">
        <w:rPr>
          <w:sz w:val="22"/>
          <w:szCs w:val="24"/>
        </w:rPr>
        <w:t>vaistininką</w:t>
      </w:r>
      <w:r w:rsidR="00324BC7" w:rsidRPr="00220850">
        <w:rPr>
          <w:sz w:val="22"/>
          <w:szCs w:val="24"/>
        </w:rPr>
        <w:t xml:space="preserve"> arba slaugytoją. Žr. 4 skyrių.</w:t>
      </w:r>
    </w:p>
    <w:p w14:paraId="316E82B8" w14:textId="77777777" w:rsidR="00DE01F8" w:rsidRPr="00220850" w:rsidRDefault="00DE01F8">
      <w:pPr>
        <w:ind w:right="-2"/>
        <w:rPr>
          <w:sz w:val="22"/>
          <w:szCs w:val="24"/>
        </w:rPr>
      </w:pPr>
    </w:p>
    <w:p w14:paraId="77999B4A"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Apie ką rašoma šiame lapelyje?</w:t>
      </w:r>
    </w:p>
    <w:p w14:paraId="5AE76CE7" w14:textId="77777777" w:rsidR="00DE01F8" w:rsidRPr="00220850" w:rsidRDefault="00DE01F8">
      <w:pPr>
        <w:numPr>
          <w:ilvl w:val="12"/>
          <w:numId w:val="0"/>
        </w:numPr>
        <w:ind w:left="284" w:right="-2"/>
        <w:rPr>
          <w:sz w:val="22"/>
          <w:szCs w:val="24"/>
        </w:rPr>
      </w:pPr>
    </w:p>
    <w:p w14:paraId="7B49C00B" w14:textId="77777777" w:rsidR="00DE01F8" w:rsidRPr="00220850" w:rsidRDefault="002D5C8E">
      <w:pPr>
        <w:numPr>
          <w:ilvl w:val="12"/>
          <w:numId w:val="0"/>
        </w:numPr>
        <w:tabs>
          <w:tab w:val="left" w:pos="709"/>
        </w:tabs>
        <w:ind w:right="-2"/>
        <w:rPr>
          <w:sz w:val="22"/>
          <w:szCs w:val="24"/>
        </w:rPr>
      </w:pPr>
      <w:r w:rsidRPr="00220850">
        <w:rPr>
          <w:sz w:val="22"/>
          <w:szCs w:val="24"/>
        </w:rPr>
        <w:t>1.</w:t>
      </w:r>
      <w:r w:rsidRPr="00220850">
        <w:rPr>
          <w:sz w:val="22"/>
          <w:szCs w:val="24"/>
        </w:rPr>
        <w:tab/>
      </w:r>
      <w:r w:rsidRPr="00220850">
        <w:rPr>
          <w:sz w:val="22"/>
        </w:rPr>
        <w:t xml:space="preserve">Kas yra </w:t>
      </w:r>
      <w:proofErr w:type="spellStart"/>
      <w:r w:rsidR="005D7751" w:rsidRPr="00220850">
        <w:rPr>
          <w:sz w:val="22"/>
          <w:szCs w:val="22"/>
        </w:rPr>
        <w:t>Nintedanib</w:t>
      </w:r>
      <w:proofErr w:type="spellEnd"/>
      <w:r w:rsidR="005D7751" w:rsidRPr="00220850">
        <w:rPr>
          <w:sz w:val="22"/>
          <w:szCs w:val="22"/>
        </w:rPr>
        <w:t xml:space="preserve"> </w:t>
      </w:r>
      <w:proofErr w:type="spellStart"/>
      <w:r w:rsidR="005D7751" w:rsidRPr="00220850">
        <w:rPr>
          <w:sz w:val="22"/>
          <w:szCs w:val="22"/>
        </w:rPr>
        <w:t>Teva</w:t>
      </w:r>
      <w:proofErr w:type="spellEnd"/>
      <w:r w:rsidRPr="00220850">
        <w:rPr>
          <w:sz w:val="22"/>
        </w:rPr>
        <w:t xml:space="preserve"> ir kam jis vartojamas</w:t>
      </w:r>
      <w:r w:rsidRPr="00220850">
        <w:rPr>
          <w:sz w:val="22"/>
          <w:szCs w:val="24"/>
        </w:rPr>
        <w:t xml:space="preserve"> </w:t>
      </w:r>
    </w:p>
    <w:p w14:paraId="575955F0" w14:textId="77777777" w:rsidR="00DE01F8" w:rsidRPr="00220850" w:rsidRDefault="002D5C8E">
      <w:pPr>
        <w:numPr>
          <w:ilvl w:val="12"/>
          <w:numId w:val="0"/>
        </w:numPr>
        <w:tabs>
          <w:tab w:val="left" w:pos="709"/>
        </w:tabs>
        <w:ind w:right="-2"/>
        <w:rPr>
          <w:sz w:val="22"/>
          <w:szCs w:val="24"/>
        </w:rPr>
      </w:pPr>
      <w:r w:rsidRPr="00220850">
        <w:rPr>
          <w:sz w:val="22"/>
          <w:szCs w:val="24"/>
        </w:rPr>
        <w:t>2.</w:t>
      </w:r>
      <w:r w:rsidRPr="00220850">
        <w:rPr>
          <w:sz w:val="22"/>
          <w:szCs w:val="24"/>
        </w:rPr>
        <w:tab/>
        <w:t xml:space="preserve">Kas žinotina prieš vartojant </w:t>
      </w:r>
      <w:proofErr w:type="spellStart"/>
      <w:r w:rsidR="005D7751" w:rsidRPr="00220850">
        <w:rPr>
          <w:sz w:val="22"/>
          <w:szCs w:val="22"/>
        </w:rPr>
        <w:t>Nintedanib</w:t>
      </w:r>
      <w:proofErr w:type="spellEnd"/>
      <w:r w:rsidR="005D7751" w:rsidRPr="00220850">
        <w:rPr>
          <w:sz w:val="22"/>
          <w:szCs w:val="22"/>
        </w:rPr>
        <w:t xml:space="preserve"> </w:t>
      </w:r>
      <w:proofErr w:type="spellStart"/>
      <w:r w:rsidR="005D7751" w:rsidRPr="00220850">
        <w:rPr>
          <w:sz w:val="22"/>
          <w:szCs w:val="22"/>
        </w:rPr>
        <w:t>Teva</w:t>
      </w:r>
      <w:proofErr w:type="spellEnd"/>
      <w:r w:rsidRPr="00220850">
        <w:rPr>
          <w:sz w:val="22"/>
          <w:szCs w:val="24"/>
        </w:rPr>
        <w:t xml:space="preserve">  </w:t>
      </w:r>
    </w:p>
    <w:p w14:paraId="1942C06A" w14:textId="77777777" w:rsidR="00DE01F8" w:rsidRPr="00220850" w:rsidRDefault="002D5C8E">
      <w:pPr>
        <w:numPr>
          <w:ilvl w:val="12"/>
          <w:numId w:val="0"/>
        </w:numPr>
        <w:tabs>
          <w:tab w:val="left" w:pos="709"/>
        </w:tabs>
        <w:ind w:right="-2"/>
        <w:rPr>
          <w:sz w:val="22"/>
          <w:szCs w:val="24"/>
        </w:rPr>
      </w:pPr>
      <w:r w:rsidRPr="00220850">
        <w:rPr>
          <w:sz w:val="22"/>
          <w:szCs w:val="24"/>
        </w:rPr>
        <w:t>3.</w:t>
      </w:r>
      <w:r w:rsidRPr="00220850">
        <w:rPr>
          <w:sz w:val="22"/>
          <w:szCs w:val="24"/>
        </w:rPr>
        <w:tab/>
        <w:t xml:space="preserve">Kaip vartoti </w:t>
      </w:r>
      <w:proofErr w:type="spellStart"/>
      <w:r w:rsidR="005D7751" w:rsidRPr="00220850">
        <w:rPr>
          <w:sz w:val="22"/>
          <w:szCs w:val="22"/>
        </w:rPr>
        <w:t>Nintedanib</w:t>
      </w:r>
      <w:proofErr w:type="spellEnd"/>
      <w:r w:rsidR="005D7751" w:rsidRPr="00220850">
        <w:rPr>
          <w:sz w:val="22"/>
          <w:szCs w:val="22"/>
        </w:rPr>
        <w:t xml:space="preserve"> </w:t>
      </w:r>
      <w:proofErr w:type="spellStart"/>
      <w:r w:rsidR="005D7751" w:rsidRPr="00220850">
        <w:rPr>
          <w:sz w:val="22"/>
          <w:szCs w:val="22"/>
        </w:rPr>
        <w:t>Teva</w:t>
      </w:r>
      <w:proofErr w:type="spellEnd"/>
      <w:r w:rsidRPr="00220850">
        <w:rPr>
          <w:sz w:val="22"/>
          <w:szCs w:val="24"/>
        </w:rPr>
        <w:t xml:space="preserve"> </w:t>
      </w:r>
    </w:p>
    <w:p w14:paraId="30DC6F63" w14:textId="77777777" w:rsidR="00DE01F8" w:rsidRPr="00220850" w:rsidRDefault="002D5C8E">
      <w:pPr>
        <w:numPr>
          <w:ilvl w:val="12"/>
          <w:numId w:val="0"/>
        </w:numPr>
        <w:tabs>
          <w:tab w:val="left" w:pos="709"/>
        </w:tabs>
        <w:ind w:right="-2"/>
        <w:rPr>
          <w:sz w:val="22"/>
          <w:szCs w:val="24"/>
        </w:rPr>
      </w:pPr>
      <w:r w:rsidRPr="00220850">
        <w:rPr>
          <w:sz w:val="22"/>
          <w:szCs w:val="24"/>
        </w:rPr>
        <w:t>4.</w:t>
      </w:r>
      <w:r w:rsidRPr="00220850">
        <w:rPr>
          <w:sz w:val="22"/>
          <w:szCs w:val="24"/>
        </w:rPr>
        <w:tab/>
      </w:r>
      <w:r w:rsidRPr="00220850">
        <w:rPr>
          <w:sz w:val="22"/>
        </w:rPr>
        <w:t>Galimas šalutinis poveikis</w:t>
      </w:r>
      <w:r w:rsidRPr="00220850">
        <w:rPr>
          <w:sz w:val="22"/>
          <w:szCs w:val="24"/>
        </w:rPr>
        <w:t xml:space="preserve"> </w:t>
      </w:r>
    </w:p>
    <w:p w14:paraId="13A9EA61" w14:textId="77777777" w:rsidR="00DE01F8" w:rsidRPr="00220850" w:rsidRDefault="002D5C8E">
      <w:pPr>
        <w:numPr>
          <w:ilvl w:val="12"/>
          <w:numId w:val="0"/>
        </w:numPr>
        <w:tabs>
          <w:tab w:val="left" w:pos="709"/>
        </w:tabs>
        <w:ind w:right="-2"/>
        <w:rPr>
          <w:sz w:val="22"/>
          <w:szCs w:val="24"/>
        </w:rPr>
      </w:pPr>
      <w:r w:rsidRPr="00220850">
        <w:rPr>
          <w:sz w:val="22"/>
          <w:szCs w:val="24"/>
        </w:rPr>
        <w:t>5.</w:t>
      </w:r>
      <w:r w:rsidRPr="00220850">
        <w:rPr>
          <w:sz w:val="22"/>
          <w:szCs w:val="24"/>
        </w:rPr>
        <w:tab/>
      </w:r>
      <w:r w:rsidRPr="00220850">
        <w:rPr>
          <w:sz w:val="22"/>
        </w:rPr>
        <w:t xml:space="preserve">Kaip laikyti </w:t>
      </w:r>
      <w:proofErr w:type="spellStart"/>
      <w:r w:rsidR="005D7751" w:rsidRPr="00220850">
        <w:rPr>
          <w:sz w:val="22"/>
          <w:szCs w:val="22"/>
        </w:rPr>
        <w:t>Nintedanib</w:t>
      </w:r>
      <w:proofErr w:type="spellEnd"/>
      <w:r w:rsidR="005D7751" w:rsidRPr="00220850">
        <w:rPr>
          <w:sz w:val="22"/>
          <w:szCs w:val="22"/>
        </w:rPr>
        <w:t xml:space="preserve"> </w:t>
      </w:r>
      <w:proofErr w:type="spellStart"/>
      <w:r w:rsidR="005D7751" w:rsidRPr="00220850">
        <w:rPr>
          <w:sz w:val="22"/>
          <w:szCs w:val="22"/>
        </w:rPr>
        <w:t>Teva</w:t>
      </w:r>
      <w:proofErr w:type="spellEnd"/>
      <w:r w:rsidRPr="00220850">
        <w:rPr>
          <w:sz w:val="22"/>
          <w:szCs w:val="24"/>
        </w:rPr>
        <w:t xml:space="preserve"> </w:t>
      </w:r>
    </w:p>
    <w:p w14:paraId="789154AA" w14:textId="77777777" w:rsidR="00DE01F8" w:rsidRPr="00220850" w:rsidRDefault="002D5C8E">
      <w:pPr>
        <w:numPr>
          <w:ilvl w:val="12"/>
          <w:numId w:val="0"/>
        </w:numPr>
        <w:tabs>
          <w:tab w:val="left" w:pos="709"/>
        </w:tabs>
        <w:ind w:right="-2"/>
        <w:rPr>
          <w:sz w:val="22"/>
          <w:szCs w:val="24"/>
        </w:rPr>
      </w:pPr>
      <w:r w:rsidRPr="00220850">
        <w:rPr>
          <w:sz w:val="22"/>
          <w:szCs w:val="24"/>
        </w:rPr>
        <w:t>6.</w:t>
      </w:r>
      <w:r w:rsidRPr="00220850">
        <w:rPr>
          <w:sz w:val="22"/>
          <w:szCs w:val="24"/>
        </w:rPr>
        <w:tab/>
        <w:t>Pakuotės turinys ir kita informacija</w:t>
      </w:r>
    </w:p>
    <w:p w14:paraId="7A69FE42" w14:textId="77777777" w:rsidR="00DE01F8" w:rsidRPr="00220850" w:rsidRDefault="00DE01F8">
      <w:pPr>
        <w:numPr>
          <w:ilvl w:val="12"/>
          <w:numId w:val="0"/>
        </w:numPr>
        <w:ind w:right="-2"/>
        <w:rPr>
          <w:sz w:val="22"/>
          <w:szCs w:val="24"/>
        </w:rPr>
      </w:pPr>
    </w:p>
    <w:p w14:paraId="4F4C1799" w14:textId="77777777" w:rsidR="00DE01F8" w:rsidRPr="00220850" w:rsidRDefault="00DE01F8">
      <w:pPr>
        <w:numPr>
          <w:ilvl w:val="12"/>
          <w:numId w:val="0"/>
        </w:numPr>
        <w:ind w:right="-2"/>
        <w:rPr>
          <w:sz w:val="22"/>
          <w:szCs w:val="24"/>
        </w:rPr>
      </w:pPr>
    </w:p>
    <w:p w14:paraId="35321888"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1.</w:t>
      </w:r>
      <w:r w:rsidRPr="00220850">
        <w:rPr>
          <w:b/>
          <w:bCs/>
          <w:sz w:val="22"/>
          <w:szCs w:val="28"/>
          <w:lang w:eastAsia="x-none"/>
        </w:rPr>
        <w:tab/>
        <w:t xml:space="preserve">Kas yra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r w:rsidRPr="00220850">
        <w:rPr>
          <w:b/>
          <w:bCs/>
          <w:sz w:val="22"/>
          <w:szCs w:val="28"/>
          <w:lang w:eastAsia="x-none"/>
        </w:rPr>
        <w:t xml:space="preserve"> ir kam jis vartojamas</w:t>
      </w:r>
    </w:p>
    <w:p w14:paraId="5DE3EBFA" w14:textId="77777777" w:rsidR="00DE01F8" w:rsidRPr="00220850" w:rsidRDefault="00DE01F8">
      <w:pPr>
        <w:numPr>
          <w:ilvl w:val="12"/>
          <w:numId w:val="0"/>
        </w:numPr>
        <w:ind w:right="-2"/>
        <w:rPr>
          <w:sz w:val="22"/>
          <w:szCs w:val="24"/>
        </w:rPr>
      </w:pPr>
    </w:p>
    <w:p w14:paraId="0BE0B61B" w14:textId="4DBFB6B6" w:rsidR="005D7751" w:rsidRPr="00220850" w:rsidRDefault="00604011" w:rsidP="005D7751">
      <w:pPr>
        <w:autoSpaceDE w:val="0"/>
        <w:autoSpaceDN w:val="0"/>
        <w:adjustRightInd w:val="0"/>
        <w:rPr>
          <w:rFonts w:eastAsia="TimesNewRoman"/>
          <w:sz w:val="22"/>
          <w:szCs w:val="22"/>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005D7751" w:rsidRPr="00220850">
        <w:rPr>
          <w:rFonts w:eastAsia="TimesNewRoman"/>
          <w:sz w:val="22"/>
          <w:szCs w:val="22"/>
        </w:rPr>
        <w:t xml:space="preserve"> </w:t>
      </w:r>
      <w:r w:rsidRPr="00220850">
        <w:rPr>
          <w:rFonts w:eastAsia="TimesNewRoman"/>
          <w:sz w:val="22"/>
          <w:szCs w:val="22"/>
        </w:rPr>
        <w:t xml:space="preserve">sudėtyje yra </w:t>
      </w:r>
      <w:r w:rsidR="005D7751" w:rsidRPr="00220850">
        <w:rPr>
          <w:rFonts w:eastAsia="TimesNewRoman"/>
          <w:sz w:val="22"/>
          <w:szCs w:val="22"/>
        </w:rPr>
        <w:t>veiklio</w:t>
      </w:r>
      <w:r w:rsidR="008757FA" w:rsidRPr="00220850">
        <w:rPr>
          <w:rFonts w:eastAsia="TimesNewRoman"/>
          <w:sz w:val="22"/>
          <w:szCs w:val="22"/>
        </w:rPr>
        <w:t>sios</w:t>
      </w:r>
      <w:r w:rsidR="005D7751" w:rsidRPr="00220850">
        <w:rPr>
          <w:rFonts w:eastAsia="TimesNewRoman"/>
          <w:sz w:val="22"/>
          <w:szCs w:val="22"/>
        </w:rPr>
        <w:t xml:space="preserve"> medžiag</w:t>
      </w:r>
      <w:r w:rsidR="008757FA" w:rsidRPr="00220850">
        <w:rPr>
          <w:rFonts w:eastAsia="TimesNewRoman"/>
          <w:sz w:val="22"/>
          <w:szCs w:val="22"/>
        </w:rPr>
        <w:t>os</w:t>
      </w:r>
      <w:r w:rsidR="005D7751" w:rsidRPr="00220850">
        <w:rPr>
          <w:rFonts w:eastAsia="TimesNewRoman"/>
          <w:sz w:val="22"/>
          <w:szCs w:val="22"/>
        </w:rPr>
        <w:t xml:space="preserve"> </w:t>
      </w:r>
      <w:proofErr w:type="spellStart"/>
      <w:r w:rsidR="005D7751" w:rsidRPr="00220850">
        <w:rPr>
          <w:rFonts w:eastAsia="TimesNewRoman"/>
          <w:sz w:val="22"/>
          <w:szCs w:val="22"/>
        </w:rPr>
        <w:t>nintedanib</w:t>
      </w:r>
      <w:r w:rsidR="008757FA" w:rsidRPr="00220850">
        <w:rPr>
          <w:rFonts w:eastAsia="TimesNewRoman"/>
          <w:sz w:val="22"/>
          <w:szCs w:val="22"/>
        </w:rPr>
        <w:t>o</w:t>
      </w:r>
      <w:proofErr w:type="spellEnd"/>
      <w:r w:rsidR="005D7751" w:rsidRPr="00220850">
        <w:rPr>
          <w:rFonts w:eastAsia="TimesNewRoman"/>
          <w:sz w:val="22"/>
          <w:szCs w:val="22"/>
        </w:rPr>
        <w:t xml:space="preserve"> – vaist</w:t>
      </w:r>
      <w:r w:rsidR="008757FA" w:rsidRPr="00220850">
        <w:rPr>
          <w:rFonts w:eastAsia="TimesNewRoman"/>
          <w:sz w:val="22"/>
          <w:szCs w:val="22"/>
        </w:rPr>
        <w:t>o</w:t>
      </w:r>
      <w:r w:rsidR="005D7751" w:rsidRPr="00220850">
        <w:rPr>
          <w:rFonts w:eastAsia="TimesNewRoman"/>
          <w:sz w:val="22"/>
          <w:szCs w:val="22"/>
        </w:rPr>
        <w:t>, priklausan</w:t>
      </w:r>
      <w:r w:rsidR="008757FA" w:rsidRPr="00220850">
        <w:rPr>
          <w:rFonts w:eastAsia="TimesNewRoman"/>
          <w:sz w:val="22"/>
          <w:szCs w:val="22"/>
        </w:rPr>
        <w:t>čio</w:t>
      </w:r>
      <w:r w:rsidR="005D7751" w:rsidRPr="00220850">
        <w:rPr>
          <w:rFonts w:eastAsia="TimesNewRoman"/>
          <w:sz w:val="22"/>
          <w:szCs w:val="22"/>
        </w:rPr>
        <w:t xml:space="preserve"> vadinamųjų </w:t>
      </w:r>
      <w:proofErr w:type="spellStart"/>
      <w:r w:rsidR="005D7751" w:rsidRPr="00220850">
        <w:rPr>
          <w:rFonts w:eastAsia="TimesNewRoman"/>
          <w:sz w:val="22"/>
          <w:szCs w:val="22"/>
        </w:rPr>
        <w:t>tirozino</w:t>
      </w:r>
      <w:proofErr w:type="spellEnd"/>
      <w:r w:rsidR="005D7751" w:rsidRPr="00220850">
        <w:rPr>
          <w:rFonts w:eastAsia="TimesNewRoman"/>
          <w:sz w:val="22"/>
          <w:szCs w:val="22"/>
        </w:rPr>
        <w:t xml:space="preserve"> </w:t>
      </w:r>
      <w:proofErr w:type="spellStart"/>
      <w:r w:rsidR="005D7751" w:rsidRPr="00220850">
        <w:rPr>
          <w:rFonts w:eastAsia="TimesNewRoman"/>
          <w:sz w:val="22"/>
          <w:szCs w:val="22"/>
        </w:rPr>
        <w:t>kinazės</w:t>
      </w:r>
      <w:proofErr w:type="spellEnd"/>
      <w:r w:rsidRPr="00220850">
        <w:rPr>
          <w:rFonts w:eastAsia="TimesNewRoman"/>
          <w:sz w:val="22"/>
          <w:szCs w:val="22"/>
        </w:rPr>
        <w:t xml:space="preserve"> </w:t>
      </w:r>
      <w:r w:rsidR="005D7751" w:rsidRPr="00220850">
        <w:rPr>
          <w:rFonts w:eastAsia="TimesNewRoman"/>
          <w:sz w:val="22"/>
          <w:szCs w:val="22"/>
        </w:rPr>
        <w:t xml:space="preserve">inhibitorių klasei. </w:t>
      </w:r>
      <w:r w:rsidRPr="00220850">
        <w:rPr>
          <w:rFonts w:eastAsia="TimesNewRoman"/>
          <w:sz w:val="22"/>
          <w:szCs w:val="22"/>
        </w:rPr>
        <w:t>Jis</w:t>
      </w:r>
      <w:r w:rsidR="005D7751" w:rsidRPr="00220850">
        <w:rPr>
          <w:rFonts w:eastAsia="TimesNewRoman"/>
          <w:sz w:val="22"/>
          <w:szCs w:val="22"/>
        </w:rPr>
        <w:t xml:space="preserve"> vartojamas </w:t>
      </w:r>
      <w:r w:rsidR="00FB19AA" w:rsidRPr="00220850">
        <w:rPr>
          <w:rFonts w:eastAsia="TimesNewRoman"/>
          <w:sz w:val="22"/>
          <w:szCs w:val="22"/>
        </w:rPr>
        <w:t>toliau nurodytoms ligoms gydyti</w:t>
      </w:r>
      <w:r w:rsidR="001B1F53" w:rsidRPr="00220850">
        <w:rPr>
          <w:rFonts w:eastAsia="TimesNewRoman"/>
          <w:sz w:val="22"/>
          <w:szCs w:val="22"/>
        </w:rPr>
        <w:t>.</w:t>
      </w:r>
      <w:r w:rsidR="00FB19AA" w:rsidRPr="00220850">
        <w:rPr>
          <w:rFonts w:eastAsia="TimesNewRoman"/>
          <w:sz w:val="22"/>
          <w:szCs w:val="22"/>
        </w:rPr>
        <w:t xml:space="preserve"> </w:t>
      </w:r>
    </w:p>
    <w:p w14:paraId="46B6ECF2" w14:textId="77777777" w:rsidR="00604011" w:rsidRPr="00220850" w:rsidRDefault="00604011" w:rsidP="005D7751">
      <w:pPr>
        <w:autoSpaceDE w:val="0"/>
        <w:autoSpaceDN w:val="0"/>
        <w:adjustRightInd w:val="0"/>
        <w:rPr>
          <w:rFonts w:eastAsia="TimesNewRoman"/>
          <w:sz w:val="22"/>
          <w:szCs w:val="22"/>
        </w:rPr>
      </w:pPr>
    </w:p>
    <w:p w14:paraId="72ACD029" w14:textId="4ED1381C" w:rsidR="005D7751" w:rsidRPr="00220850" w:rsidRDefault="00FB19AA" w:rsidP="005D7751">
      <w:pPr>
        <w:autoSpaceDE w:val="0"/>
        <w:autoSpaceDN w:val="0"/>
        <w:adjustRightInd w:val="0"/>
        <w:rPr>
          <w:rFonts w:eastAsia="TimesNewRoman"/>
          <w:sz w:val="22"/>
          <w:szCs w:val="22"/>
          <w:u w:val="single"/>
        </w:rPr>
      </w:pPr>
      <w:r w:rsidRPr="00220850">
        <w:rPr>
          <w:rFonts w:eastAsia="TimesNewRoman"/>
          <w:sz w:val="22"/>
          <w:szCs w:val="22"/>
          <w:u w:val="single"/>
        </w:rPr>
        <w:t>Suaugusiųjų i</w:t>
      </w:r>
      <w:r w:rsidR="005D7751" w:rsidRPr="00220850">
        <w:rPr>
          <w:rFonts w:eastAsia="TimesNewRoman"/>
          <w:sz w:val="22"/>
          <w:szCs w:val="22"/>
          <w:u w:val="single"/>
        </w:rPr>
        <w:t>diopatinė plaučių fibrozė (IPF)</w:t>
      </w:r>
    </w:p>
    <w:p w14:paraId="6ABAA356" w14:textId="77777777" w:rsidR="005D7751" w:rsidRPr="00220850" w:rsidRDefault="00604011" w:rsidP="005D7751">
      <w:pPr>
        <w:autoSpaceDE w:val="0"/>
        <w:autoSpaceDN w:val="0"/>
        <w:adjustRightInd w:val="0"/>
        <w:rPr>
          <w:rFonts w:eastAsia="TimesNewRoman"/>
          <w:sz w:val="22"/>
          <w:szCs w:val="22"/>
        </w:rPr>
      </w:pPr>
      <w:r w:rsidRPr="00220850">
        <w:rPr>
          <w:rFonts w:eastAsia="TimesNewRoman"/>
          <w:sz w:val="22"/>
          <w:szCs w:val="22"/>
        </w:rPr>
        <w:t>IPF yra būklė</w:t>
      </w:r>
      <w:r w:rsidR="005D7751" w:rsidRPr="00220850">
        <w:rPr>
          <w:rFonts w:eastAsia="TimesNewRoman"/>
          <w:sz w:val="22"/>
          <w:szCs w:val="22"/>
        </w:rPr>
        <w:t>, kurio</w:t>
      </w:r>
      <w:r w:rsidRPr="00220850">
        <w:rPr>
          <w:rFonts w:eastAsia="TimesNewRoman"/>
          <w:sz w:val="22"/>
          <w:szCs w:val="22"/>
        </w:rPr>
        <w:t>s</w:t>
      </w:r>
      <w:r w:rsidR="005D7751" w:rsidRPr="00220850">
        <w:rPr>
          <w:rFonts w:eastAsia="TimesNewRoman"/>
          <w:sz w:val="22"/>
          <w:szCs w:val="22"/>
        </w:rPr>
        <w:t xml:space="preserve"> metu plaučių audinys sustorėja, sustandėja ir laikui bėgant surandėja. Dėl</w:t>
      </w:r>
      <w:r w:rsidRPr="00220850">
        <w:rPr>
          <w:rFonts w:eastAsia="TimesNewRoman"/>
          <w:sz w:val="22"/>
          <w:szCs w:val="22"/>
        </w:rPr>
        <w:t xml:space="preserve"> </w:t>
      </w:r>
      <w:r w:rsidR="005D7751" w:rsidRPr="00220850">
        <w:rPr>
          <w:rFonts w:eastAsia="TimesNewRoman"/>
          <w:sz w:val="22"/>
          <w:szCs w:val="22"/>
        </w:rPr>
        <w:t>randėjimo sumažėja plaučių gebėjimas perne</w:t>
      </w:r>
      <w:r w:rsidR="002E6B2F" w:rsidRPr="00220850">
        <w:rPr>
          <w:rFonts w:eastAsia="TimesNewRoman"/>
          <w:sz w:val="22"/>
          <w:szCs w:val="22"/>
        </w:rPr>
        <w:t>šti deguonį iš plaučių į kraują ir</w:t>
      </w:r>
      <w:r w:rsidR="005D7751" w:rsidRPr="00220850">
        <w:rPr>
          <w:rFonts w:eastAsia="TimesNewRoman"/>
          <w:sz w:val="22"/>
          <w:szCs w:val="22"/>
        </w:rPr>
        <w:t xml:space="preserve"> tampa sunku giliai</w:t>
      </w:r>
      <w:r w:rsidRPr="00220850">
        <w:rPr>
          <w:rFonts w:eastAsia="TimesNewRoman"/>
          <w:sz w:val="22"/>
          <w:szCs w:val="22"/>
        </w:rPr>
        <w:t xml:space="preserve"> </w:t>
      </w:r>
      <w:r w:rsidR="005D7751" w:rsidRPr="00220850">
        <w:rPr>
          <w:rFonts w:eastAsia="TimesNewRoman"/>
          <w:sz w:val="22"/>
          <w:szCs w:val="22"/>
        </w:rPr>
        <w:t xml:space="preserve">kvėpuoti. </w:t>
      </w:r>
      <w:r w:rsidRPr="00220850">
        <w:rPr>
          <w:rFonts w:eastAsia="TimesNewRoman"/>
          <w:sz w:val="22"/>
          <w:szCs w:val="22"/>
        </w:rPr>
        <w:t xml:space="preserve">Šis vaistas </w:t>
      </w:r>
      <w:r w:rsidR="005D7751" w:rsidRPr="00220850">
        <w:rPr>
          <w:rFonts w:eastAsia="TimesNewRoman"/>
          <w:sz w:val="22"/>
          <w:szCs w:val="22"/>
        </w:rPr>
        <w:t>padeda sumažinti tolesnį plaučių randėjimą ir standėjimą.</w:t>
      </w:r>
    </w:p>
    <w:p w14:paraId="1519108F" w14:textId="77777777" w:rsidR="00604011" w:rsidRPr="00220850" w:rsidRDefault="00604011" w:rsidP="005D7751">
      <w:pPr>
        <w:autoSpaceDE w:val="0"/>
        <w:autoSpaceDN w:val="0"/>
        <w:adjustRightInd w:val="0"/>
        <w:rPr>
          <w:rFonts w:eastAsia="TimesNewRoman"/>
          <w:sz w:val="22"/>
          <w:szCs w:val="22"/>
        </w:rPr>
      </w:pPr>
    </w:p>
    <w:p w14:paraId="7D9CEA27" w14:textId="4B627BC3" w:rsidR="005D7751" w:rsidRPr="00220850" w:rsidRDefault="00FB19AA" w:rsidP="005D7751">
      <w:pPr>
        <w:autoSpaceDE w:val="0"/>
        <w:autoSpaceDN w:val="0"/>
        <w:adjustRightInd w:val="0"/>
        <w:rPr>
          <w:rFonts w:eastAsia="TimesNewRoman"/>
          <w:sz w:val="22"/>
          <w:szCs w:val="22"/>
          <w:u w:val="single"/>
        </w:rPr>
      </w:pPr>
      <w:r w:rsidRPr="00220850">
        <w:rPr>
          <w:rFonts w:eastAsia="TimesNewRoman"/>
          <w:sz w:val="22"/>
          <w:szCs w:val="22"/>
          <w:u w:val="single"/>
        </w:rPr>
        <w:t>Suaugusiųjų k</w:t>
      </w:r>
      <w:r w:rsidR="005D7751" w:rsidRPr="00220850">
        <w:rPr>
          <w:rFonts w:eastAsia="TimesNewRoman"/>
          <w:sz w:val="22"/>
          <w:szCs w:val="22"/>
          <w:u w:val="single"/>
        </w:rPr>
        <w:t xml:space="preserve">itos lėtinės </w:t>
      </w:r>
      <w:proofErr w:type="spellStart"/>
      <w:r w:rsidR="005D7751" w:rsidRPr="00220850">
        <w:rPr>
          <w:rFonts w:eastAsia="TimesNewRoman"/>
          <w:sz w:val="22"/>
          <w:szCs w:val="22"/>
          <w:u w:val="single"/>
        </w:rPr>
        <w:t>fibrozinės</w:t>
      </w:r>
      <w:proofErr w:type="spellEnd"/>
      <w:r w:rsidR="005D7751" w:rsidRPr="00220850">
        <w:rPr>
          <w:rFonts w:eastAsia="TimesNewRoman"/>
          <w:sz w:val="22"/>
          <w:szCs w:val="22"/>
          <w:u w:val="single"/>
        </w:rPr>
        <w:t xml:space="preserve"> progresuojančio fenotipo </w:t>
      </w:r>
      <w:proofErr w:type="spellStart"/>
      <w:r w:rsidR="005D7751" w:rsidRPr="00220850">
        <w:rPr>
          <w:rFonts w:eastAsia="TimesNewRoman"/>
          <w:sz w:val="22"/>
          <w:szCs w:val="22"/>
          <w:u w:val="single"/>
        </w:rPr>
        <w:t>intersticinės</w:t>
      </w:r>
      <w:proofErr w:type="spellEnd"/>
      <w:r w:rsidR="005D7751" w:rsidRPr="00220850">
        <w:rPr>
          <w:rFonts w:eastAsia="TimesNewRoman"/>
          <w:sz w:val="22"/>
          <w:szCs w:val="22"/>
          <w:u w:val="single"/>
        </w:rPr>
        <w:t xml:space="preserve"> plaučių ligos (IPL)</w:t>
      </w:r>
    </w:p>
    <w:p w14:paraId="07CFE0D1" w14:textId="77777777" w:rsidR="005D7751" w:rsidRPr="00220850" w:rsidRDefault="005D7751" w:rsidP="005D7751">
      <w:pPr>
        <w:autoSpaceDE w:val="0"/>
        <w:autoSpaceDN w:val="0"/>
        <w:adjustRightInd w:val="0"/>
        <w:rPr>
          <w:rFonts w:eastAsia="TimesNewRoman"/>
          <w:sz w:val="22"/>
          <w:szCs w:val="22"/>
        </w:rPr>
      </w:pPr>
      <w:r w:rsidRPr="00220850">
        <w:rPr>
          <w:rFonts w:eastAsia="TimesNewRoman"/>
          <w:sz w:val="22"/>
          <w:szCs w:val="22"/>
        </w:rPr>
        <w:t>Be IPF, yra kitų sutrikimų, dėl kurių Jūsų plaučių audinys sustorėja, sustandėja ir laikui bėgant</w:t>
      </w:r>
      <w:r w:rsidR="00604011" w:rsidRPr="00220850">
        <w:rPr>
          <w:rFonts w:eastAsia="TimesNewRoman"/>
          <w:sz w:val="22"/>
          <w:szCs w:val="22"/>
        </w:rPr>
        <w:t xml:space="preserve"> </w:t>
      </w:r>
      <w:r w:rsidRPr="00220850">
        <w:rPr>
          <w:rFonts w:eastAsia="TimesNewRoman"/>
          <w:sz w:val="22"/>
          <w:szCs w:val="22"/>
        </w:rPr>
        <w:t>surandė</w:t>
      </w:r>
      <w:r w:rsidR="00604011" w:rsidRPr="00220850">
        <w:rPr>
          <w:rFonts w:eastAsia="TimesNewRoman"/>
          <w:sz w:val="22"/>
          <w:szCs w:val="22"/>
        </w:rPr>
        <w:t>ja (</w:t>
      </w:r>
      <w:r w:rsidRPr="00220850">
        <w:rPr>
          <w:rFonts w:eastAsia="TimesNewRoman"/>
          <w:sz w:val="22"/>
          <w:szCs w:val="22"/>
        </w:rPr>
        <w:t>plaučių fibroze) ir kurių eiga vis blogėja (tai vadinama progresuojančiu</w:t>
      </w:r>
      <w:r w:rsidR="00604011" w:rsidRPr="00220850">
        <w:rPr>
          <w:rFonts w:eastAsia="TimesNewRoman"/>
          <w:sz w:val="22"/>
          <w:szCs w:val="22"/>
        </w:rPr>
        <w:t xml:space="preserve"> </w:t>
      </w:r>
      <w:r w:rsidRPr="00220850">
        <w:rPr>
          <w:rFonts w:eastAsia="TimesNewRoman"/>
          <w:sz w:val="22"/>
          <w:szCs w:val="22"/>
        </w:rPr>
        <w:t xml:space="preserve">fenotipu). Tokių sutrikimų pavyzdžiai gali būti </w:t>
      </w:r>
      <w:proofErr w:type="spellStart"/>
      <w:r w:rsidRPr="00220850">
        <w:rPr>
          <w:rFonts w:eastAsia="TimesNewRoman"/>
          <w:sz w:val="22"/>
          <w:szCs w:val="22"/>
        </w:rPr>
        <w:t>pneumonitas</w:t>
      </w:r>
      <w:proofErr w:type="spellEnd"/>
      <w:r w:rsidRPr="00220850">
        <w:rPr>
          <w:rFonts w:eastAsia="TimesNewRoman"/>
          <w:sz w:val="22"/>
          <w:szCs w:val="22"/>
        </w:rPr>
        <w:t xml:space="preserve"> dėl padidėjusio jautrumo, autoimuninės</w:t>
      </w:r>
      <w:r w:rsidR="00604011" w:rsidRPr="00220850">
        <w:rPr>
          <w:rFonts w:eastAsia="TimesNewRoman"/>
          <w:sz w:val="22"/>
          <w:szCs w:val="22"/>
        </w:rPr>
        <w:t xml:space="preserve"> </w:t>
      </w:r>
      <w:r w:rsidRPr="00220850">
        <w:rPr>
          <w:rFonts w:eastAsia="TimesNewRoman"/>
          <w:sz w:val="22"/>
          <w:szCs w:val="22"/>
        </w:rPr>
        <w:t xml:space="preserve">IPL (pvz., su reumatoidiniu artritu susijusi IPL), nespecifinė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kitaip</w:t>
      </w:r>
      <w:r w:rsidR="00604011" w:rsidRPr="00220850">
        <w:rPr>
          <w:rFonts w:eastAsia="TimesNewRoman"/>
          <w:sz w:val="22"/>
          <w:szCs w:val="22"/>
        </w:rPr>
        <w:t xml:space="preserve"> </w:t>
      </w:r>
      <w:r w:rsidRPr="00220850">
        <w:rPr>
          <w:rFonts w:eastAsia="TimesNewRoman"/>
          <w:sz w:val="22"/>
          <w:szCs w:val="22"/>
        </w:rPr>
        <w:t xml:space="preserve">neklasifikuojama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ir kitos IPL. </w:t>
      </w:r>
      <w:r w:rsidR="00604011" w:rsidRPr="00220850">
        <w:rPr>
          <w:rFonts w:eastAsia="TimesNewRoman"/>
          <w:sz w:val="22"/>
          <w:szCs w:val="22"/>
        </w:rPr>
        <w:t xml:space="preserve">Šis vaistas </w:t>
      </w:r>
      <w:r w:rsidRPr="00220850">
        <w:rPr>
          <w:rFonts w:eastAsia="TimesNewRoman"/>
          <w:sz w:val="22"/>
          <w:szCs w:val="22"/>
        </w:rPr>
        <w:t>padeda sumažinti tolesnį</w:t>
      </w:r>
      <w:r w:rsidR="00604011" w:rsidRPr="00220850">
        <w:rPr>
          <w:rFonts w:eastAsia="TimesNewRoman"/>
          <w:sz w:val="22"/>
          <w:szCs w:val="22"/>
        </w:rPr>
        <w:t xml:space="preserve"> </w:t>
      </w:r>
      <w:r w:rsidRPr="00220850">
        <w:rPr>
          <w:rFonts w:eastAsia="TimesNewRoman"/>
          <w:sz w:val="22"/>
          <w:szCs w:val="22"/>
        </w:rPr>
        <w:t>plaučių randėjimą ir standėjimą.</w:t>
      </w:r>
    </w:p>
    <w:p w14:paraId="221A6B41" w14:textId="77777777" w:rsidR="002C65D7" w:rsidRPr="00220850" w:rsidRDefault="002C65D7" w:rsidP="005D7751">
      <w:pPr>
        <w:autoSpaceDE w:val="0"/>
        <w:autoSpaceDN w:val="0"/>
        <w:adjustRightInd w:val="0"/>
        <w:rPr>
          <w:rFonts w:eastAsia="TimesNewRoman"/>
          <w:sz w:val="22"/>
          <w:szCs w:val="22"/>
        </w:rPr>
      </w:pPr>
    </w:p>
    <w:p w14:paraId="0305136B" w14:textId="77777777" w:rsidR="00FB19AA" w:rsidRPr="00220850" w:rsidRDefault="00FB19AA" w:rsidP="00FB19AA">
      <w:pPr>
        <w:pStyle w:val="Default"/>
        <w:rPr>
          <w:color w:val="auto"/>
          <w:sz w:val="22"/>
          <w:szCs w:val="22"/>
          <w:u w:val="single"/>
          <w:lang w:val="lt-LT"/>
        </w:rPr>
      </w:pPr>
      <w:r w:rsidRPr="00220850">
        <w:rPr>
          <w:color w:val="auto"/>
          <w:sz w:val="22"/>
          <w:szCs w:val="22"/>
          <w:u w:val="single"/>
          <w:lang w:val="lt-LT"/>
        </w:rPr>
        <w:t xml:space="preserve">6-17 metų vaikų ir paauglių kliniškai reikšmingos, progresuojančios </w:t>
      </w:r>
      <w:proofErr w:type="spellStart"/>
      <w:r w:rsidRPr="00220850">
        <w:rPr>
          <w:color w:val="auto"/>
          <w:sz w:val="22"/>
          <w:szCs w:val="22"/>
          <w:u w:val="single"/>
          <w:lang w:val="lt-LT"/>
        </w:rPr>
        <w:t>fibrozinės</w:t>
      </w:r>
      <w:proofErr w:type="spellEnd"/>
      <w:r w:rsidRPr="00220850">
        <w:rPr>
          <w:color w:val="auto"/>
          <w:sz w:val="22"/>
          <w:szCs w:val="22"/>
          <w:u w:val="single"/>
          <w:lang w:val="lt-LT"/>
        </w:rPr>
        <w:t xml:space="preserve"> </w:t>
      </w:r>
      <w:proofErr w:type="spellStart"/>
      <w:r w:rsidRPr="00220850">
        <w:rPr>
          <w:color w:val="auto"/>
          <w:sz w:val="22"/>
          <w:szCs w:val="22"/>
          <w:u w:val="single"/>
          <w:lang w:val="lt-LT"/>
        </w:rPr>
        <w:t>intersticinės</w:t>
      </w:r>
      <w:proofErr w:type="spellEnd"/>
      <w:r w:rsidRPr="00220850">
        <w:rPr>
          <w:color w:val="auto"/>
          <w:sz w:val="22"/>
          <w:szCs w:val="22"/>
          <w:u w:val="single"/>
          <w:lang w:val="lt-LT"/>
        </w:rPr>
        <w:t xml:space="preserve"> plaučių ligos (IPL) </w:t>
      </w:r>
    </w:p>
    <w:p w14:paraId="109ACFCB" w14:textId="4FBC38F1" w:rsidR="00FB19AA" w:rsidRPr="00220850" w:rsidRDefault="00FB19AA" w:rsidP="00FB19AA">
      <w:pPr>
        <w:autoSpaceDE w:val="0"/>
        <w:autoSpaceDN w:val="0"/>
        <w:adjustRightInd w:val="0"/>
        <w:rPr>
          <w:sz w:val="22"/>
          <w:szCs w:val="22"/>
        </w:rPr>
      </w:pPr>
      <w:r w:rsidRPr="00220850">
        <w:rPr>
          <w:sz w:val="22"/>
          <w:szCs w:val="22"/>
        </w:rPr>
        <w:t xml:space="preserve">Pacientams, sergantiems vaikų </w:t>
      </w:r>
      <w:proofErr w:type="spellStart"/>
      <w:r w:rsidRPr="00220850">
        <w:rPr>
          <w:sz w:val="22"/>
          <w:szCs w:val="22"/>
        </w:rPr>
        <w:t>intersticine</w:t>
      </w:r>
      <w:proofErr w:type="spellEnd"/>
      <w:r w:rsidRPr="00220850">
        <w:rPr>
          <w:sz w:val="22"/>
          <w:szCs w:val="22"/>
        </w:rPr>
        <w:t xml:space="preserve"> plaučių liga (angl. </w:t>
      </w:r>
      <w:proofErr w:type="spellStart"/>
      <w:r w:rsidRPr="00220850">
        <w:rPr>
          <w:i/>
          <w:iCs/>
          <w:sz w:val="22"/>
          <w:szCs w:val="22"/>
        </w:rPr>
        <w:t>Childhood</w:t>
      </w:r>
      <w:proofErr w:type="spellEnd"/>
      <w:r w:rsidRPr="00220850">
        <w:rPr>
          <w:i/>
          <w:iCs/>
          <w:sz w:val="22"/>
          <w:szCs w:val="22"/>
        </w:rPr>
        <w:t xml:space="preserve"> </w:t>
      </w:r>
      <w:proofErr w:type="spellStart"/>
      <w:r w:rsidRPr="00220850">
        <w:rPr>
          <w:i/>
          <w:iCs/>
          <w:sz w:val="22"/>
          <w:szCs w:val="22"/>
        </w:rPr>
        <w:t>Interstitial</w:t>
      </w:r>
      <w:proofErr w:type="spellEnd"/>
      <w:r w:rsidRPr="00220850">
        <w:rPr>
          <w:i/>
          <w:iCs/>
          <w:sz w:val="22"/>
          <w:szCs w:val="22"/>
        </w:rPr>
        <w:t xml:space="preserve"> </w:t>
      </w:r>
      <w:proofErr w:type="spellStart"/>
      <w:r w:rsidRPr="00220850">
        <w:rPr>
          <w:i/>
          <w:iCs/>
          <w:sz w:val="22"/>
          <w:szCs w:val="22"/>
        </w:rPr>
        <w:t>Lung</w:t>
      </w:r>
      <w:proofErr w:type="spellEnd"/>
      <w:r w:rsidRPr="00220850">
        <w:rPr>
          <w:i/>
          <w:iCs/>
          <w:sz w:val="22"/>
          <w:szCs w:val="22"/>
        </w:rPr>
        <w:t xml:space="preserve"> </w:t>
      </w:r>
      <w:proofErr w:type="spellStart"/>
      <w:r w:rsidRPr="00220850">
        <w:rPr>
          <w:i/>
          <w:iCs/>
          <w:sz w:val="22"/>
          <w:szCs w:val="22"/>
        </w:rPr>
        <w:t>Disease</w:t>
      </w:r>
      <w:proofErr w:type="spellEnd"/>
      <w:r w:rsidRPr="00220850">
        <w:rPr>
          <w:sz w:val="22"/>
          <w:szCs w:val="22"/>
        </w:rPr>
        <w:t xml:space="preserve">, </w:t>
      </w:r>
      <w:proofErr w:type="spellStart"/>
      <w:r w:rsidRPr="00220850">
        <w:rPr>
          <w:sz w:val="22"/>
          <w:szCs w:val="22"/>
        </w:rPr>
        <w:t>chILD</w:t>
      </w:r>
      <w:proofErr w:type="spellEnd"/>
      <w:r w:rsidRPr="00220850">
        <w:rPr>
          <w:sz w:val="22"/>
          <w:szCs w:val="22"/>
        </w:rPr>
        <w:t xml:space="preserve">), gali pasireikšti plaučių fibrozė. Pasireiškus plaučių fibrozei, laikui bėgant sustorėja, sustandėja ir surandėja vaikų ir paauglių plaučių audinys. </w:t>
      </w:r>
      <w:r w:rsidR="008F2944" w:rsidRPr="00220850">
        <w:rPr>
          <w:sz w:val="22"/>
          <w:szCs w:val="22"/>
        </w:rPr>
        <w:t>Šis vaistas</w:t>
      </w:r>
      <w:r w:rsidRPr="00220850">
        <w:rPr>
          <w:sz w:val="22"/>
          <w:szCs w:val="22"/>
        </w:rPr>
        <w:t xml:space="preserve"> padeda sumažinti tolesnį plaučių randėjimą ir standėjimą.</w:t>
      </w:r>
    </w:p>
    <w:p w14:paraId="4BF1081D" w14:textId="77777777" w:rsidR="008F2944" w:rsidRPr="00220850" w:rsidRDefault="008F2944" w:rsidP="00FB19AA">
      <w:pPr>
        <w:autoSpaceDE w:val="0"/>
        <w:autoSpaceDN w:val="0"/>
        <w:adjustRightInd w:val="0"/>
        <w:rPr>
          <w:rFonts w:eastAsia="TimesNewRoman"/>
          <w:sz w:val="22"/>
          <w:szCs w:val="22"/>
        </w:rPr>
      </w:pPr>
    </w:p>
    <w:p w14:paraId="3FCA96EF" w14:textId="60FDEF25" w:rsidR="005D7751" w:rsidRPr="00220850" w:rsidRDefault="005D7751" w:rsidP="005D7751">
      <w:pPr>
        <w:autoSpaceDE w:val="0"/>
        <w:autoSpaceDN w:val="0"/>
        <w:adjustRightInd w:val="0"/>
        <w:rPr>
          <w:rFonts w:eastAsia="TimesNewRoman"/>
          <w:sz w:val="22"/>
          <w:szCs w:val="22"/>
          <w:u w:val="single"/>
        </w:rPr>
      </w:pPr>
      <w:r w:rsidRPr="00220850">
        <w:rPr>
          <w:rFonts w:eastAsia="TimesNewRoman"/>
          <w:sz w:val="22"/>
          <w:szCs w:val="22"/>
          <w:u w:val="single"/>
        </w:rPr>
        <w:t xml:space="preserve">Su sistemine skleroze susijusi </w:t>
      </w:r>
      <w:r w:rsidR="008F2944" w:rsidRPr="00220850">
        <w:rPr>
          <w:rFonts w:eastAsia="TimesNewRoman"/>
          <w:sz w:val="22"/>
          <w:szCs w:val="22"/>
          <w:u w:val="single"/>
        </w:rPr>
        <w:t xml:space="preserve">suaugusiųjų, paauglių ir 6 metų ir vyresnių vaikų </w:t>
      </w:r>
      <w:proofErr w:type="spellStart"/>
      <w:r w:rsidRPr="00220850">
        <w:rPr>
          <w:rFonts w:eastAsia="TimesNewRoman"/>
          <w:sz w:val="22"/>
          <w:szCs w:val="22"/>
          <w:u w:val="single"/>
        </w:rPr>
        <w:t>intersticinė</w:t>
      </w:r>
      <w:proofErr w:type="spellEnd"/>
      <w:r w:rsidRPr="00220850">
        <w:rPr>
          <w:rFonts w:eastAsia="TimesNewRoman"/>
          <w:sz w:val="22"/>
          <w:szCs w:val="22"/>
          <w:u w:val="single"/>
        </w:rPr>
        <w:t xml:space="preserve"> plaučių liga (SS-IPL)</w:t>
      </w:r>
      <w:r w:rsidR="00FF5ED3" w:rsidRPr="00220850">
        <w:rPr>
          <w:rFonts w:eastAsia="TimesNewRoman"/>
          <w:sz w:val="22"/>
          <w:szCs w:val="22"/>
          <w:u w:val="single"/>
        </w:rPr>
        <w:t xml:space="preserve"> </w:t>
      </w:r>
    </w:p>
    <w:p w14:paraId="5A0D12C8" w14:textId="107E8435" w:rsidR="00DE01F8" w:rsidRPr="00220850" w:rsidRDefault="005D7751" w:rsidP="00604011">
      <w:pPr>
        <w:autoSpaceDE w:val="0"/>
        <w:autoSpaceDN w:val="0"/>
        <w:adjustRightInd w:val="0"/>
        <w:rPr>
          <w:sz w:val="22"/>
          <w:szCs w:val="24"/>
        </w:rPr>
      </w:pPr>
      <w:r w:rsidRPr="00220850">
        <w:rPr>
          <w:rFonts w:eastAsia="TimesNewRoman"/>
          <w:sz w:val="22"/>
          <w:szCs w:val="22"/>
        </w:rPr>
        <w:t xml:space="preserve">Sisteminė sklerozė (SS), dar vadinama </w:t>
      </w:r>
      <w:proofErr w:type="spellStart"/>
      <w:r w:rsidRPr="00220850">
        <w:rPr>
          <w:rFonts w:eastAsia="TimesNewRoman"/>
          <w:sz w:val="22"/>
          <w:szCs w:val="22"/>
        </w:rPr>
        <w:t>skleroderma</w:t>
      </w:r>
      <w:proofErr w:type="spellEnd"/>
      <w:r w:rsidR="004C68FC" w:rsidRPr="00220850">
        <w:rPr>
          <w:rFonts w:eastAsia="TimesNewRoman"/>
          <w:sz w:val="22"/>
          <w:szCs w:val="22"/>
        </w:rPr>
        <w:t xml:space="preserve"> </w:t>
      </w:r>
      <w:r w:rsidR="008F2944" w:rsidRPr="00220850">
        <w:rPr>
          <w:rFonts w:eastAsia="TimesNewRoman"/>
          <w:sz w:val="22"/>
          <w:szCs w:val="22"/>
        </w:rPr>
        <w:t>(ir vaikų bei paauglių jaunatvinė sisteminė sklerozė)</w:t>
      </w:r>
      <w:r w:rsidRPr="00220850">
        <w:rPr>
          <w:rFonts w:eastAsia="TimesNewRoman"/>
          <w:sz w:val="22"/>
          <w:szCs w:val="22"/>
        </w:rPr>
        <w:t>, yra reta lėtinė autoimuninė liga, kuri pažeidžia</w:t>
      </w:r>
      <w:r w:rsidR="00604011" w:rsidRPr="00220850">
        <w:rPr>
          <w:rFonts w:eastAsia="TimesNewRoman"/>
          <w:sz w:val="22"/>
          <w:szCs w:val="22"/>
        </w:rPr>
        <w:t xml:space="preserve"> </w:t>
      </w:r>
      <w:r w:rsidRPr="00220850">
        <w:rPr>
          <w:rFonts w:eastAsia="TimesNewRoman"/>
          <w:sz w:val="22"/>
          <w:szCs w:val="22"/>
        </w:rPr>
        <w:t>jungiamąjį audinį daugelyje organizmo dalių. SS sukelia odos ir kitų vidaus organų, pvz., plaučių,</w:t>
      </w:r>
      <w:r w:rsidR="00604011" w:rsidRPr="00220850">
        <w:rPr>
          <w:rFonts w:eastAsia="TimesNewRoman"/>
          <w:sz w:val="22"/>
          <w:szCs w:val="22"/>
        </w:rPr>
        <w:t xml:space="preserve"> </w:t>
      </w:r>
      <w:r w:rsidRPr="00220850">
        <w:rPr>
          <w:rFonts w:eastAsia="TimesNewRoman"/>
          <w:sz w:val="22"/>
          <w:szCs w:val="22"/>
        </w:rPr>
        <w:t xml:space="preserve">fibrozę (randėjimą ir standėjimą). Liga, kai fibrozė pažeidžia plaučius, vadinama </w:t>
      </w:r>
      <w:proofErr w:type="spellStart"/>
      <w:r w:rsidRPr="00220850">
        <w:rPr>
          <w:rFonts w:eastAsia="TimesNewRoman"/>
          <w:sz w:val="22"/>
          <w:szCs w:val="22"/>
        </w:rPr>
        <w:t>intersticine</w:t>
      </w:r>
      <w:proofErr w:type="spellEnd"/>
      <w:r w:rsidRPr="00220850">
        <w:rPr>
          <w:rFonts w:eastAsia="TimesNewRoman"/>
          <w:sz w:val="22"/>
          <w:szCs w:val="22"/>
        </w:rPr>
        <w:t xml:space="preserve"> plaučių</w:t>
      </w:r>
      <w:r w:rsidR="00604011" w:rsidRPr="00220850">
        <w:rPr>
          <w:rFonts w:eastAsia="TimesNewRoman"/>
          <w:sz w:val="22"/>
          <w:szCs w:val="22"/>
        </w:rPr>
        <w:t xml:space="preserve"> </w:t>
      </w:r>
      <w:r w:rsidRPr="00220850">
        <w:rPr>
          <w:rFonts w:eastAsia="TimesNewRoman"/>
          <w:sz w:val="22"/>
          <w:szCs w:val="22"/>
        </w:rPr>
        <w:t xml:space="preserve">liga (IPL), todėl ši būklė vadinama su sistemine skleroze susijusia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(SS-IPL).</w:t>
      </w:r>
      <w:r w:rsidR="00604011" w:rsidRPr="00220850">
        <w:rPr>
          <w:rFonts w:eastAsia="TimesNewRoman"/>
          <w:sz w:val="22"/>
          <w:szCs w:val="22"/>
        </w:rPr>
        <w:t xml:space="preserve"> </w:t>
      </w:r>
      <w:r w:rsidRPr="00220850">
        <w:rPr>
          <w:rFonts w:eastAsia="TimesNewRoman"/>
          <w:sz w:val="22"/>
          <w:szCs w:val="22"/>
        </w:rPr>
        <w:t xml:space="preserve">Dėl fibrozės sumažėja plaučių </w:t>
      </w:r>
      <w:r w:rsidRPr="00220850">
        <w:rPr>
          <w:rFonts w:eastAsia="TimesNewRoman"/>
          <w:sz w:val="22"/>
          <w:szCs w:val="22"/>
        </w:rPr>
        <w:lastRenderedPageBreak/>
        <w:t>gebėjimas perneš</w:t>
      </w:r>
      <w:r w:rsidR="002E6B2F" w:rsidRPr="00220850">
        <w:rPr>
          <w:rFonts w:eastAsia="TimesNewRoman"/>
          <w:sz w:val="22"/>
          <w:szCs w:val="22"/>
        </w:rPr>
        <w:t>ti deguonį į kraują ir</w:t>
      </w:r>
      <w:r w:rsidRPr="00220850">
        <w:rPr>
          <w:rFonts w:eastAsia="TimesNewRoman"/>
          <w:sz w:val="22"/>
          <w:szCs w:val="22"/>
        </w:rPr>
        <w:t xml:space="preserve"> </w:t>
      </w:r>
      <w:r w:rsidR="002E6B2F" w:rsidRPr="00220850">
        <w:rPr>
          <w:rFonts w:eastAsia="TimesNewRoman"/>
          <w:sz w:val="22"/>
          <w:szCs w:val="22"/>
        </w:rPr>
        <w:t xml:space="preserve">sumažėja </w:t>
      </w:r>
      <w:r w:rsidRPr="00220850">
        <w:rPr>
          <w:rFonts w:eastAsia="TimesNewRoman"/>
          <w:sz w:val="22"/>
          <w:szCs w:val="22"/>
        </w:rPr>
        <w:t>kvėp</w:t>
      </w:r>
      <w:r w:rsidR="002E6B2F" w:rsidRPr="00220850">
        <w:rPr>
          <w:rFonts w:eastAsia="TimesNewRoman"/>
          <w:sz w:val="22"/>
          <w:szCs w:val="22"/>
        </w:rPr>
        <w:t>avimo pajėgumas</w:t>
      </w:r>
      <w:r w:rsidRPr="00220850">
        <w:rPr>
          <w:rFonts w:eastAsia="TimesNewRoman"/>
          <w:sz w:val="22"/>
          <w:szCs w:val="22"/>
        </w:rPr>
        <w:t>.</w:t>
      </w:r>
      <w:r w:rsidR="00604011" w:rsidRPr="00220850">
        <w:rPr>
          <w:rFonts w:eastAsia="TimesNewRoman"/>
          <w:sz w:val="22"/>
          <w:szCs w:val="22"/>
        </w:rPr>
        <w:t xml:space="preserve"> Šis vaistas</w:t>
      </w:r>
      <w:r w:rsidRPr="00220850">
        <w:rPr>
          <w:rFonts w:eastAsia="TimesNewRoman"/>
          <w:sz w:val="22"/>
          <w:szCs w:val="22"/>
        </w:rPr>
        <w:t xml:space="preserve"> padeda sumažinti tolesnį plaučių randėjimą ir standėjimą.</w:t>
      </w:r>
    </w:p>
    <w:p w14:paraId="42967931" w14:textId="51CF240D" w:rsidR="00DE01F8" w:rsidRPr="00220850" w:rsidRDefault="00DE01F8">
      <w:pPr>
        <w:numPr>
          <w:ilvl w:val="12"/>
          <w:numId w:val="0"/>
        </w:numPr>
        <w:ind w:right="-2"/>
        <w:rPr>
          <w:sz w:val="22"/>
          <w:szCs w:val="24"/>
        </w:rPr>
      </w:pPr>
    </w:p>
    <w:p w14:paraId="12A6ED87" w14:textId="77777777" w:rsidR="00C001BA" w:rsidRPr="00220850" w:rsidRDefault="00C001BA">
      <w:pPr>
        <w:numPr>
          <w:ilvl w:val="12"/>
          <w:numId w:val="0"/>
        </w:numPr>
        <w:ind w:right="-2"/>
        <w:rPr>
          <w:sz w:val="22"/>
          <w:szCs w:val="24"/>
        </w:rPr>
      </w:pPr>
    </w:p>
    <w:p w14:paraId="21B43447"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2.</w:t>
      </w:r>
      <w:r w:rsidRPr="00220850">
        <w:rPr>
          <w:b/>
          <w:bCs/>
          <w:sz w:val="22"/>
          <w:szCs w:val="28"/>
          <w:lang w:eastAsia="x-none"/>
        </w:rPr>
        <w:tab/>
        <w:t xml:space="preserve">Kas žinotina prieš vartojant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r w:rsidRPr="00220850">
        <w:rPr>
          <w:b/>
          <w:sz w:val="22"/>
          <w:szCs w:val="24"/>
          <w:lang w:eastAsia="x-none"/>
        </w:rPr>
        <w:t xml:space="preserve"> </w:t>
      </w:r>
    </w:p>
    <w:p w14:paraId="19465BB7" w14:textId="77777777" w:rsidR="00DE01F8" w:rsidRPr="00220850" w:rsidRDefault="00DE01F8">
      <w:pPr>
        <w:numPr>
          <w:ilvl w:val="12"/>
          <w:numId w:val="0"/>
        </w:numPr>
        <w:ind w:right="-2"/>
        <w:rPr>
          <w:sz w:val="22"/>
          <w:szCs w:val="24"/>
        </w:rPr>
      </w:pPr>
    </w:p>
    <w:p w14:paraId="3B393FBE" w14:textId="77777777" w:rsidR="00DE01F8" w:rsidRPr="00220850" w:rsidRDefault="005D7751">
      <w:pPr>
        <w:keepNext/>
        <w:tabs>
          <w:tab w:val="left" w:pos="567"/>
        </w:tabs>
        <w:spacing w:line="260" w:lineRule="exact"/>
        <w:jc w:val="both"/>
        <w:outlineLvl w:val="3"/>
        <w:rPr>
          <w:b/>
          <w:bCs/>
          <w:sz w:val="22"/>
          <w:szCs w:val="22"/>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002D5C8E" w:rsidRPr="00220850">
        <w:rPr>
          <w:b/>
          <w:bCs/>
          <w:sz w:val="22"/>
          <w:szCs w:val="22"/>
          <w:lang w:eastAsia="x-none"/>
        </w:rPr>
        <w:t xml:space="preserve"> vartoti draudžiama:</w:t>
      </w:r>
    </w:p>
    <w:p w14:paraId="1E4F21B6" w14:textId="2DFB531B" w:rsidR="00DE01F8" w:rsidRPr="00220850" w:rsidRDefault="00604011" w:rsidP="0013626C">
      <w:pPr>
        <w:pStyle w:val="Sraopastraipa"/>
        <w:numPr>
          <w:ilvl w:val="0"/>
          <w:numId w:val="36"/>
        </w:numPr>
        <w:tabs>
          <w:tab w:val="left" w:pos="567"/>
        </w:tabs>
        <w:ind w:left="567" w:hanging="567"/>
        <w:rPr>
          <w:sz w:val="22"/>
          <w:szCs w:val="24"/>
        </w:rPr>
      </w:pPr>
      <w:r w:rsidRPr="00220850">
        <w:rPr>
          <w:sz w:val="22"/>
          <w:szCs w:val="24"/>
        </w:rPr>
        <w:t xml:space="preserve">jeigu yra alergija </w:t>
      </w:r>
      <w:proofErr w:type="spellStart"/>
      <w:r w:rsidRPr="00220850">
        <w:rPr>
          <w:sz w:val="22"/>
          <w:szCs w:val="24"/>
        </w:rPr>
        <w:t>nintedanibui</w:t>
      </w:r>
      <w:proofErr w:type="spellEnd"/>
      <w:r w:rsidRPr="00220850">
        <w:rPr>
          <w:sz w:val="22"/>
          <w:szCs w:val="24"/>
        </w:rPr>
        <w:t xml:space="preserve"> </w:t>
      </w:r>
      <w:r w:rsidR="002D5C8E" w:rsidRPr="00220850">
        <w:rPr>
          <w:sz w:val="22"/>
          <w:szCs w:val="24"/>
        </w:rPr>
        <w:t>arba bet kuriai pagalbinei šio vaisto medžiag</w:t>
      </w:r>
      <w:r w:rsidRPr="00220850">
        <w:rPr>
          <w:sz w:val="22"/>
          <w:szCs w:val="24"/>
        </w:rPr>
        <w:t>ai (jos išvardytos 6 skyriuje);</w:t>
      </w:r>
    </w:p>
    <w:p w14:paraId="5CCCF3BF" w14:textId="77777777" w:rsidR="00604011" w:rsidRPr="00220850" w:rsidRDefault="00604011" w:rsidP="0013626C">
      <w:pPr>
        <w:pStyle w:val="Sraopastraipa"/>
        <w:numPr>
          <w:ilvl w:val="0"/>
          <w:numId w:val="36"/>
        </w:numPr>
        <w:tabs>
          <w:tab w:val="left" w:pos="567"/>
        </w:tabs>
        <w:ind w:left="567" w:hanging="567"/>
        <w:rPr>
          <w:sz w:val="22"/>
          <w:szCs w:val="24"/>
        </w:rPr>
      </w:pPr>
      <w:r w:rsidRPr="00220850">
        <w:rPr>
          <w:sz w:val="22"/>
          <w:szCs w:val="24"/>
        </w:rPr>
        <w:t>jeigu esate nėščia.</w:t>
      </w:r>
    </w:p>
    <w:p w14:paraId="3DAFBBCE" w14:textId="77777777" w:rsidR="00DE01F8" w:rsidRPr="00220850" w:rsidRDefault="00DE01F8">
      <w:pPr>
        <w:numPr>
          <w:ilvl w:val="12"/>
          <w:numId w:val="0"/>
        </w:numPr>
        <w:ind w:right="-2"/>
        <w:rPr>
          <w:sz w:val="22"/>
          <w:szCs w:val="24"/>
        </w:rPr>
      </w:pPr>
    </w:p>
    <w:p w14:paraId="19C4AA60"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Įspėjimai ir atsargumo priemonės </w:t>
      </w:r>
    </w:p>
    <w:p w14:paraId="28C8E4DE" w14:textId="77777777" w:rsidR="00604011" w:rsidRPr="00220850" w:rsidRDefault="00604011" w:rsidP="00604011">
      <w:pPr>
        <w:autoSpaceDE w:val="0"/>
        <w:autoSpaceDN w:val="0"/>
        <w:adjustRightInd w:val="0"/>
        <w:rPr>
          <w:rFonts w:eastAsia="TimesNewRoman"/>
          <w:sz w:val="22"/>
          <w:szCs w:val="22"/>
        </w:rPr>
      </w:pPr>
      <w:r w:rsidRPr="00220850">
        <w:rPr>
          <w:rFonts w:eastAsia="TimesNewRoman"/>
          <w:sz w:val="22"/>
          <w:szCs w:val="22"/>
        </w:rPr>
        <w:t xml:space="preserve">Pasitarkite su gydytoju arba vaistininku, prieš pradėdami vartoti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w:t>
      </w:r>
    </w:p>
    <w:p w14:paraId="3E00D0C5"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w:t>
      </w:r>
    </w:p>
    <w:p w14:paraId="4055F147"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nustatytas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w:t>
      </w:r>
    </w:p>
    <w:p w14:paraId="3C161738"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yra ar buvo kraujavimo sutrikimų,</w:t>
      </w:r>
    </w:p>
    <w:p w14:paraId="3685A4CC"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kraują skystinančių vaistų (pvz., varfarino, fenprokumono ar heparino),</w:t>
      </w:r>
      <w:r w:rsidR="002E6B2F" w:rsidRPr="00220850">
        <w:rPr>
          <w:rFonts w:eastAsia="TimesNewRoman"/>
          <w:sz w:val="22"/>
          <w:szCs w:val="22"/>
          <w:lang w:val="pt-PT"/>
        </w:rPr>
        <w:t xml:space="preserve"> saugančių nuo kraujo krešėjimo</w:t>
      </w:r>
      <w:r w:rsidRPr="00220850">
        <w:rPr>
          <w:rFonts w:eastAsia="TimesNewRoman"/>
          <w:sz w:val="22"/>
          <w:szCs w:val="22"/>
          <w:lang w:val="pt-PT"/>
        </w:rPr>
        <w:t>,</w:t>
      </w:r>
    </w:p>
    <w:p w14:paraId="400FFDB3"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pirfenidoną, nes gali padidėti viduriavimo, pykinimo, vėmimo ir kepenų ligų</w:t>
      </w:r>
      <w:r w:rsidR="00F43D60" w:rsidRPr="00220850">
        <w:rPr>
          <w:rFonts w:eastAsia="TimesNewRoman"/>
          <w:sz w:val="22"/>
          <w:szCs w:val="22"/>
          <w:lang w:val="pt-PT"/>
        </w:rPr>
        <w:t xml:space="preserve"> </w:t>
      </w:r>
      <w:r w:rsidRPr="00220850">
        <w:rPr>
          <w:rFonts w:eastAsia="TimesNewRoman"/>
          <w:sz w:val="22"/>
          <w:szCs w:val="22"/>
          <w:lang w:val="pt-PT"/>
        </w:rPr>
        <w:t>rizika,</w:t>
      </w:r>
    </w:p>
    <w:p w14:paraId="4084A2D4"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yra arba buvo širdies sutrikimų (pvz., širdies priepuolis),</w:t>
      </w:r>
    </w:p>
    <w:p w14:paraId="3B6780F3"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jeigu Jums neseniai buvo atlikta operacija. Nintedanibas gali veikti žaizdos gijimą. Taigi, jei</w:t>
      </w:r>
      <w:r w:rsidR="00F43D60" w:rsidRPr="00220850">
        <w:rPr>
          <w:rFonts w:eastAsia="TimesNewRoman"/>
          <w:sz w:val="22"/>
          <w:szCs w:val="22"/>
          <w:lang w:val="pt-PT"/>
        </w:rPr>
        <w:t xml:space="preserve"> </w:t>
      </w:r>
      <w:r w:rsidRPr="00220850">
        <w:rPr>
          <w:rFonts w:eastAsia="TimesNewRoman"/>
          <w:sz w:val="22"/>
          <w:szCs w:val="22"/>
          <w:lang w:val="pt-PT"/>
        </w:rPr>
        <w:t xml:space="preserve">Jums atliekama operacija, gydymas </w:t>
      </w:r>
      <w:r w:rsidR="00F43D60" w:rsidRPr="00220850">
        <w:rPr>
          <w:rFonts w:eastAsia="TimesNewRoman"/>
          <w:sz w:val="22"/>
          <w:szCs w:val="22"/>
          <w:lang w:val="pt-PT"/>
        </w:rPr>
        <w:t>šiuo vaistu</w:t>
      </w:r>
      <w:r w:rsidRPr="00220850">
        <w:rPr>
          <w:rFonts w:eastAsia="TimesNewRoman"/>
          <w:sz w:val="22"/>
          <w:szCs w:val="22"/>
          <w:lang w:val="pt-PT"/>
        </w:rPr>
        <w:t xml:space="preserve"> paprastai bus sustabdytas.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w:t>
      </w:r>
      <w:r w:rsidR="00F43D60" w:rsidRPr="00220850">
        <w:rPr>
          <w:rFonts w:eastAsia="TimesNewRoman"/>
          <w:sz w:val="22"/>
          <w:szCs w:val="22"/>
          <w:lang w:val="en-US"/>
        </w:rPr>
        <w:t xml:space="preserve"> </w:t>
      </w:r>
      <w:proofErr w:type="spellStart"/>
      <w:r w:rsidRPr="00220850">
        <w:rPr>
          <w:rFonts w:eastAsia="TimesNewRoman"/>
          <w:sz w:val="22"/>
          <w:szCs w:val="22"/>
          <w:lang w:val="en-US"/>
        </w:rPr>
        <w:t>kada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atnaujinti</w:t>
      </w:r>
      <w:proofErr w:type="spellEnd"/>
      <w:r w:rsidRPr="00220850">
        <w:rPr>
          <w:rFonts w:eastAsia="TimesNewRoman"/>
          <w:sz w:val="22"/>
          <w:szCs w:val="22"/>
          <w:lang w:val="en-US"/>
        </w:rPr>
        <w:t>,</w:t>
      </w:r>
    </w:p>
    <w:p w14:paraId="0CCAAD44" w14:textId="77777777" w:rsidR="00604011" w:rsidRPr="00220850" w:rsidRDefault="002E6B2F" w:rsidP="0013626C">
      <w:pPr>
        <w:pStyle w:val="Sraopastraipa"/>
        <w:numPr>
          <w:ilvl w:val="0"/>
          <w:numId w:val="3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w:t>
      </w:r>
      <w:r w:rsidR="00604011" w:rsidRPr="00220850">
        <w:rPr>
          <w:rFonts w:eastAsia="TimesNewRoman"/>
          <w:sz w:val="22"/>
          <w:szCs w:val="22"/>
          <w:lang w:val="en-US"/>
        </w:rPr>
        <w:t>ūsų</w:t>
      </w:r>
      <w:proofErr w:type="spellEnd"/>
      <w:r w:rsidR="00604011" w:rsidRPr="00220850">
        <w:rPr>
          <w:rFonts w:eastAsia="TimesNewRoman"/>
          <w:sz w:val="22"/>
          <w:szCs w:val="22"/>
          <w:lang w:val="en-US"/>
        </w:rPr>
        <w:t xml:space="preserve"> </w:t>
      </w:r>
      <w:proofErr w:type="spellStart"/>
      <w:r w:rsidR="00604011" w:rsidRPr="00220850">
        <w:rPr>
          <w:rFonts w:eastAsia="TimesNewRoman"/>
          <w:sz w:val="22"/>
          <w:szCs w:val="22"/>
          <w:lang w:val="en-US"/>
        </w:rPr>
        <w:t>kraujospūdis</w:t>
      </w:r>
      <w:proofErr w:type="spellEnd"/>
      <w:r w:rsidR="00604011" w:rsidRPr="00220850">
        <w:rPr>
          <w:rFonts w:eastAsia="TimesNewRoman"/>
          <w:sz w:val="22"/>
          <w:szCs w:val="22"/>
          <w:lang w:val="en-US"/>
        </w:rPr>
        <w:t xml:space="preserve"> </w:t>
      </w:r>
      <w:proofErr w:type="spellStart"/>
      <w:r w:rsidR="00604011" w:rsidRPr="00220850">
        <w:rPr>
          <w:rFonts w:eastAsia="TimesNewRoman"/>
          <w:sz w:val="22"/>
          <w:szCs w:val="22"/>
          <w:lang w:val="en-US"/>
        </w:rPr>
        <w:t>padidėjęs</w:t>
      </w:r>
      <w:proofErr w:type="spellEnd"/>
      <w:r w:rsidR="00604011" w:rsidRPr="00220850">
        <w:rPr>
          <w:rFonts w:eastAsia="TimesNewRoman"/>
          <w:sz w:val="22"/>
          <w:szCs w:val="22"/>
          <w:lang w:val="en-US"/>
        </w:rPr>
        <w:t>,</w:t>
      </w:r>
    </w:p>
    <w:p w14:paraId="5665CC03"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yra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nenormaliai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1A5085C7" w14:textId="77777777" w:rsidR="00604011" w:rsidRPr="00220850" w:rsidRDefault="00604011" w:rsidP="0013626C">
      <w:pPr>
        <w:pStyle w:val="Sraopastraipa"/>
        <w:numPr>
          <w:ilvl w:val="0"/>
          <w:numId w:val="3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Jums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praeityje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diagnozuota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w:t>
      </w:r>
    </w:p>
    <w:p w14:paraId="6962DD3E" w14:textId="77777777" w:rsidR="000A1419" w:rsidRPr="00220850" w:rsidRDefault="000A1419" w:rsidP="00F43D60">
      <w:pPr>
        <w:autoSpaceDE w:val="0"/>
        <w:autoSpaceDN w:val="0"/>
        <w:adjustRightInd w:val="0"/>
        <w:rPr>
          <w:rFonts w:eastAsia="TimesNewRoman"/>
          <w:sz w:val="22"/>
          <w:szCs w:val="22"/>
          <w:lang w:val="en-US"/>
        </w:rPr>
      </w:pPr>
    </w:p>
    <w:p w14:paraId="1E28F258" w14:textId="6CF40B50" w:rsidR="00604011" w:rsidRPr="00220850" w:rsidRDefault="00604011" w:rsidP="00F43D60">
      <w:pPr>
        <w:autoSpaceDE w:val="0"/>
        <w:autoSpaceDN w:val="0"/>
        <w:adjustRightInd w:val="0"/>
        <w:rPr>
          <w:rFonts w:eastAsia="TimesNewRoman"/>
          <w:sz w:val="22"/>
          <w:szCs w:val="22"/>
          <w:lang w:val="en-US"/>
        </w:rPr>
      </w:pPr>
      <w:proofErr w:type="spellStart"/>
      <w:r w:rsidRPr="00220850">
        <w:rPr>
          <w:rFonts w:eastAsia="TimesNewRoman"/>
          <w:sz w:val="22"/>
          <w:szCs w:val="22"/>
          <w:lang w:val="en-US"/>
        </w:rPr>
        <w:t>Remdamasis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informacija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atlikti</w:t>
      </w:r>
      <w:proofErr w:type="spellEnd"/>
      <w:r w:rsidRPr="00220850">
        <w:rPr>
          <w:rFonts w:eastAsia="TimesNewRoman"/>
          <w:sz w:val="22"/>
          <w:szCs w:val="22"/>
          <w:lang w:val="en-US"/>
        </w:rPr>
        <w:t xml:space="preserve"> tam </w:t>
      </w:r>
      <w:proofErr w:type="spellStart"/>
      <w:r w:rsidRPr="00220850">
        <w:rPr>
          <w:rFonts w:eastAsia="TimesNewRoman"/>
          <w:sz w:val="22"/>
          <w:szCs w:val="22"/>
          <w:lang w:val="en-US"/>
        </w:rPr>
        <w:t>tikrus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pavyzdžiui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patikrinti</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funkciją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rezultatus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aptars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Jumis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galėsite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00F43D60" w:rsidRPr="00220850">
        <w:rPr>
          <w:rFonts w:eastAsia="TimesNewRoman"/>
          <w:sz w:val="22"/>
          <w:szCs w:val="22"/>
          <w:lang w:val="en-US"/>
        </w:rPr>
        <w:t xml:space="preserve"> </w:t>
      </w:r>
      <w:r w:rsidRPr="00220850">
        <w:rPr>
          <w:rFonts w:eastAsia="TimesNewRoman"/>
          <w:sz w:val="22"/>
          <w:szCs w:val="22"/>
          <w:lang w:val="en-US"/>
        </w:rPr>
        <w:t>Nintedanib Teva.</w:t>
      </w:r>
    </w:p>
    <w:p w14:paraId="23E5E5A6" w14:textId="77777777" w:rsidR="00F43D60" w:rsidRPr="00220850" w:rsidRDefault="00F43D60" w:rsidP="00604011">
      <w:pPr>
        <w:autoSpaceDE w:val="0"/>
        <w:autoSpaceDN w:val="0"/>
        <w:adjustRightInd w:val="0"/>
        <w:ind w:left="567" w:hanging="567"/>
        <w:rPr>
          <w:rFonts w:eastAsia="TimesNewRoman"/>
          <w:sz w:val="22"/>
          <w:szCs w:val="22"/>
          <w:lang w:val="en-US"/>
        </w:rPr>
      </w:pPr>
    </w:p>
    <w:p w14:paraId="45A7D650" w14:textId="77777777" w:rsidR="00604011" w:rsidRPr="00220850" w:rsidRDefault="00604011" w:rsidP="00604011">
      <w:p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Vartodami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nedelsdami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praneškite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savo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w:t>
      </w:r>
    </w:p>
    <w:p w14:paraId="52D5A011" w14:textId="5533D7EF"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Viduriavimą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svarbu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žr</w:t>
      </w:r>
      <w:proofErr w:type="spellEnd"/>
      <w:r w:rsidRPr="00220850">
        <w:rPr>
          <w:rFonts w:eastAsia="TimesNewRoman"/>
          <w:sz w:val="22"/>
          <w:szCs w:val="22"/>
          <w:lang w:val="en-US"/>
        </w:rPr>
        <w:t xml:space="preserve">. 4 </w:t>
      </w:r>
      <w:proofErr w:type="spellStart"/>
      <w:r w:rsidRPr="00220850">
        <w:rPr>
          <w:rFonts w:eastAsia="TimesNewRoman"/>
          <w:sz w:val="22"/>
          <w:szCs w:val="22"/>
          <w:lang w:val="en-US"/>
        </w:rPr>
        <w:t>skyrių</w:t>
      </w:r>
      <w:proofErr w:type="spellEnd"/>
      <w:r w:rsidR="004C68FC" w:rsidRPr="00220850">
        <w:rPr>
          <w:rFonts w:eastAsia="TimesNewRoman"/>
          <w:sz w:val="22"/>
          <w:szCs w:val="22"/>
          <w:lang w:val="en-US"/>
        </w:rPr>
        <w:t xml:space="preserve"> </w:t>
      </w:r>
      <w:r w:rsidR="008F2944" w:rsidRPr="00220850">
        <w:rPr>
          <w:rFonts w:eastAsia="TimesNewRoman"/>
          <w:sz w:val="22"/>
          <w:szCs w:val="22"/>
          <w:lang w:val="en-US"/>
        </w:rPr>
        <w:t>“</w:t>
      </w:r>
      <w:proofErr w:type="spellStart"/>
      <w:r w:rsidR="008F2944" w:rsidRPr="00220850">
        <w:rPr>
          <w:rFonts w:eastAsia="TimesNewRoman"/>
          <w:sz w:val="22"/>
          <w:szCs w:val="22"/>
          <w:lang w:val="en-US"/>
        </w:rPr>
        <w:t>Galimas</w:t>
      </w:r>
      <w:proofErr w:type="spellEnd"/>
      <w:r w:rsidR="008F2944" w:rsidRPr="00220850">
        <w:rPr>
          <w:rFonts w:eastAsia="TimesNewRoman"/>
          <w:sz w:val="22"/>
          <w:szCs w:val="22"/>
          <w:lang w:val="en-US"/>
        </w:rPr>
        <w:t xml:space="preserve"> </w:t>
      </w:r>
      <w:proofErr w:type="spellStart"/>
      <w:r w:rsidR="008F2944" w:rsidRPr="00220850">
        <w:rPr>
          <w:rFonts w:eastAsia="TimesNewRoman"/>
          <w:sz w:val="22"/>
          <w:szCs w:val="22"/>
          <w:lang w:val="en-US"/>
        </w:rPr>
        <w:t>šalutinis</w:t>
      </w:r>
      <w:proofErr w:type="spellEnd"/>
      <w:r w:rsidR="008F2944" w:rsidRPr="00220850">
        <w:rPr>
          <w:rFonts w:eastAsia="TimesNewRoman"/>
          <w:sz w:val="22"/>
          <w:szCs w:val="22"/>
          <w:lang w:val="en-US"/>
        </w:rPr>
        <w:t xml:space="preserve"> </w:t>
      </w:r>
      <w:proofErr w:type="spellStart"/>
      <w:r w:rsidR="008F2944" w:rsidRPr="00220850">
        <w:rPr>
          <w:rFonts w:eastAsia="TimesNewRoman"/>
          <w:sz w:val="22"/>
          <w:szCs w:val="22"/>
          <w:lang w:val="en-US"/>
        </w:rPr>
        <w:t>poveikis</w:t>
      </w:r>
      <w:proofErr w:type="spellEnd"/>
      <w:r w:rsidR="008F2944" w:rsidRPr="00220850">
        <w:rPr>
          <w:rFonts w:eastAsia="TimesNewRoman"/>
          <w:sz w:val="22"/>
          <w:szCs w:val="22"/>
          <w:lang w:val="en-US"/>
        </w:rPr>
        <w:t>”)</w:t>
      </w:r>
      <w:r w:rsidRPr="00220850">
        <w:rPr>
          <w:rFonts w:eastAsia="TimesNewRoman"/>
          <w:sz w:val="22"/>
          <w:szCs w:val="22"/>
          <w:lang w:val="en-US"/>
        </w:rPr>
        <w:t>;</w:t>
      </w:r>
    </w:p>
    <w:p w14:paraId="686A8051" w14:textId="77777777"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vemiate ar Jus pykina;</w:t>
      </w:r>
    </w:p>
    <w:p w14:paraId="58C9A2F4" w14:textId="77777777"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jei atsirado nepaaiškinamų simptomų, pvz., pagelto oda arba akių baltymai (gelta), pastebėjote,</w:t>
      </w:r>
      <w:r w:rsidR="00F43D60" w:rsidRPr="00220850">
        <w:rPr>
          <w:rFonts w:eastAsia="TimesNewRoman"/>
          <w:sz w:val="22"/>
          <w:szCs w:val="22"/>
          <w:lang w:val="pt-PT"/>
        </w:rPr>
        <w:t xml:space="preserve"> </w:t>
      </w:r>
      <w:r w:rsidRPr="00220850">
        <w:rPr>
          <w:rFonts w:eastAsia="TimesNewRoman"/>
          <w:sz w:val="22"/>
          <w:szCs w:val="22"/>
          <w:lang w:val="pt-PT"/>
        </w:rPr>
        <w:t>kad šlapimas patamsėjo arba tapo rudas (tarsi arbata), skauda viršutinę dešinę pilvo sritį (pilvą),</w:t>
      </w:r>
      <w:r w:rsidR="00F43D60" w:rsidRPr="00220850">
        <w:rPr>
          <w:rFonts w:eastAsia="TimesNewRoman"/>
          <w:sz w:val="22"/>
          <w:szCs w:val="22"/>
          <w:lang w:val="pt-PT"/>
        </w:rPr>
        <w:t xml:space="preserve"> </w:t>
      </w:r>
      <w:r w:rsidRPr="00220850">
        <w:rPr>
          <w:rFonts w:eastAsia="TimesNewRoman"/>
          <w:sz w:val="22"/>
          <w:szCs w:val="22"/>
          <w:lang w:val="pt-PT"/>
        </w:rPr>
        <w:t xml:space="preserve">lengviau nei įprastai imate kraujuoti ar atsiranda mėlynių arba jaučiate nuovargį. </w:t>
      </w:r>
      <w:r w:rsidRPr="00220850">
        <w:rPr>
          <w:rFonts w:eastAsia="TimesNewRoman"/>
          <w:sz w:val="22"/>
          <w:szCs w:val="22"/>
          <w:lang w:val="en-US"/>
        </w:rPr>
        <w:t xml:space="preserve">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sunkių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veiklos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4A7D4A53" w14:textId="199B9209"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smarkiai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šaltis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standumas</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prakiurimo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virškinimo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trakto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perforacijos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r w:rsidR="00F43D60" w:rsidRPr="00220850">
        <w:rPr>
          <w:rFonts w:eastAsia="TimesNewRoman"/>
          <w:sz w:val="22"/>
          <w:szCs w:val="22"/>
          <w:lang w:val="en-US"/>
        </w:rPr>
        <w:t xml:space="preserve"> </w:t>
      </w:r>
      <w:r w:rsidRPr="00220850">
        <w:rPr>
          <w:rFonts w:eastAsia="TimesNewRoman"/>
          <w:sz w:val="22"/>
          <w:szCs w:val="22"/>
          <w:lang w:val="en-US"/>
        </w:rPr>
        <w:t xml:space="preserve">Taip pat </w:t>
      </w:r>
      <w:proofErr w:type="spellStart"/>
      <w:r w:rsidRPr="00220850">
        <w:rPr>
          <w:rFonts w:eastAsia="TimesNewRoman"/>
          <w:sz w:val="22"/>
          <w:szCs w:val="22"/>
          <w:lang w:val="en-US"/>
        </w:rPr>
        <w:t>pasakykite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anksčiau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pep</w:t>
      </w:r>
      <w:r w:rsidR="001B2ACC" w:rsidRPr="00220850">
        <w:rPr>
          <w:rFonts w:eastAsia="TimesNewRoman"/>
          <w:sz w:val="22"/>
          <w:szCs w:val="22"/>
          <w:lang w:val="en-US"/>
        </w:rPr>
        <w:t>s</w:t>
      </w:r>
      <w:r w:rsidRPr="00220850">
        <w:rPr>
          <w:rFonts w:eastAsia="TimesNewRoman"/>
          <w:sz w:val="22"/>
          <w:szCs w:val="22"/>
          <w:lang w:val="en-US"/>
        </w:rPr>
        <w:t>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opa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divertikuline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nesteroidinių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(NVNU)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malšinti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tinimui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steroidų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alergijų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padidinti</w:t>
      </w:r>
      <w:proofErr w:type="spellEnd"/>
      <w:r w:rsidR="00F43D60" w:rsidRPr="00220850">
        <w:rPr>
          <w:rFonts w:eastAsia="TimesNewRoman"/>
          <w:sz w:val="22"/>
          <w:szCs w:val="22"/>
          <w:lang w:val="en-US"/>
        </w:rPr>
        <w:t xml:space="preserve"> </w:t>
      </w:r>
      <w:proofErr w:type="spellStart"/>
      <w:r w:rsidRPr="00220850">
        <w:rPr>
          <w:rFonts w:eastAsia="TimesNewRoman"/>
          <w:sz w:val="22"/>
          <w:szCs w:val="22"/>
          <w:lang w:val="en-US"/>
        </w:rPr>
        <w:t>tokią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riziką</w:t>
      </w:r>
      <w:proofErr w:type="spellEnd"/>
      <w:r w:rsidRPr="00220850">
        <w:rPr>
          <w:rFonts w:eastAsia="TimesNewRoman"/>
          <w:sz w:val="22"/>
          <w:szCs w:val="22"/>
          <w:lang w:val="en-US"/>
        </w:rPr>
        <w:t>;</w:t>
      </w:r>
    </w:p>
    <w:p w14:paraId="43992A45" w14:textId="77777777"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vargina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stiprus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spazminis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išmatose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pastebėjote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raudono</w:t>
      </w:r>
      <w:proofErr w:type="spellEnd"/>
      <w:r w:rsidR="00612A2D"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kilusį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dėl</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nepakankamo</w:t>
      </w:r>
      <w:proofErr w:type="spellEnd"/>
      <w:r w:rsidR="00612A2D" w:rsidRPr="00220850">
        <w:rPr>
          <w:rFonts w:eastAsia="TimesNewRoman"/>
          <w:sz w:val="22"/>
          <w:szCs w:val="22"/>
          <w:lang w:val="en-US"/>
        </w:rPr>
        <w:t xml:space="preserve"> </w:t>
      </w:r>
      <w:proofErr w:type="spellStart"/>
      <w:r w:rsidRPr="00220850">
        <w:rPr>
          <w:rFonts w:eastAsia="TimesNewRoman"/>
          <w:sz w:val="22"/>
          <w:szCs w:val="22"/>
          <w:lang w:val="en-US"/>
        </w:rPr>
        <w:t>aprūpinimo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w:t>
      </w:r>
      <w:proofErr w:type="spellEnd"/>
      <w:r w:rsidRPr="00220850">
        <w:rPr>
          <w:rFonts w:eastAsia="TimesNewRoman"/>
          <w:sz w:val="22"/>
          <w:szCs w:val="22"/>
          <w:lang w:val="en-US"/>
        </w:rPr>
        <w:t>;</w:t>
      </w:r>
    </w:p>
    <w:p w14:paraId="65F763EB" w14:textId="77777777"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paraudo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šyla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galūnė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00612A2D" w:rsidRPr="00220850">
        <w:rPr>
          <w:rFonts w:eastAsia="TimesNewRoman"/>
          <w:sz w:val="22"/>
          <w:szCs w:val="22"/>
          <w:lang w:val="en-US"/>
        </w:rPr>
        <w:t>tipas</w:t>
      </w:r>
      <w:proofErr w:type="spellEnd"/>
      <w:r w:rsidRPr="00220850">
        <w:rPr>
          <w:rFonts w:eastAsia="TimesNewRoman"/>
          <w:sz w:val="22"/>
          <w:szCs w:val="22"/>
          <w:lang w:val="en-US"/>
        </w:rPr>
        <w:t>)</w:t>
      </w:r>
      <w:r w:rsidR="00612A2D" w:rsidRPr="00220850">
        <w:rPr>
          <w:rFonts w:eastAsia="TimesNewRoman"/>
          <w:sz w:val="22"/>
          <w:szCs w:val="22"/>
          <w:lang w:val="en-US"/>
        </w:rPr>
        <w:t xml:space="preserve"> </w:t>
      </w:r>
      <w:proofErr w:type="spellStart"/>
      <w:r w:rsidRPr="00220850">
        <w:rPr>
          <w:rFonts w:eastAsia="TimesNewRoman"/>
          <w:sz w:val="22"/>
          <w:szCs w:val="22"/>
          <w:lang w:val="en-US"/>
        </w:rPr>
        <w:t>užkimšimo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krešuliu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5EC119D1" w14:textId="77777777"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spaudžia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krūtinę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paprastai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kairę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pusę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kaklą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žandikaulį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petį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ranką</w:t>
      </w:r>
      <w:proofErr w:type="spellEnd"/>
      <w:r w:rsidRPr="00220850">
        <w:rPr>
          <w:rFonts w:eastAsia="TimesNewRoman"/>
          <w:sz w:val="22"/>
          <w:szCs w:val="22"/>
          <w:lang w:val="en-US"/>
        </w:rPr>
        <w:t>,</w:t>
      </w:r>
      <w:r w:rsidR="00612A2D" w:rsidRPr="00220850">
        <w:rPr>
          <w:rFonts w:eastAsia="TimesNewRoman"/>
          <w:sz w:val="22"/>
          <w:szCs w:val="22"/>
          <w:lang w:val="en-US"/>
        </w:rPr>
        <w:t xml:space="preserve"> </w:t>
      </w:r>
      <w:proofErr w:type="spellStart"/>
      <w:r w:rsidRPr="00220850">
        <w:rPr>
          <w:rFonts w:eastAsia="TimesNewRoman"/>
          <w:sz w:val="22"/>
          <w:szCs w:val="22"/>
          <w:lang w:val="en-US"/>
        </w:rPr>
        <w:t>dažnai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plaka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širdis</w:t>
      </w:r>
      <w:proofErr w:type="spellEnd"/>
      <w:r w:rsidRPr="00220850">
        <w:rPr>
          <w:rFonts w:eastAsia="TimesNewRoman"/>
          <w:sz w:val="22"/>
          <w:szCs w:val="22"/>
          <w:lang w:val="en-US"/>
        </w:rPr>
        <w:t xml:space="preserve">, </w:t>
      </w:r>
      <w:proofErr w:type="spellStart"/>
      <w:r w:rsidR="00612A2D" w:rsidRPr="00220850">
        <w:rPr>
          <w:rFonts w:eastAsia="TimesNewRoman"/>
          <w:sz w:val="22"/>
          <w:szCs w:val="22"/>
          <w:lang w:val="en-US"/>
        </w:rPr>
        <w:t>dūstate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priepuolio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310852E6" w14:textId="77777777" w:rsidR="00604011" w:rsidRPr="00220850" w:rsidRDefault="00604011" w:rsidP="007A5503">
      <w:pPr>
        <w:pStyle w:val="Sraopastraipa"/>
        <w:numPr>
          <w:ilvl w:val="1"/>
          <w:numId w:val="63"/>
        </w:numPr>
        <w:tabs>
          <w:tab w:val="left" w:pos="567"/>
        </w:tabs>
        <w:autoSpaceDE w:val="0"/>
        <w:autoSpaceDN w:val="0"/>
        <w:adjustRightInd w:val="0"/>
        <w:ind w:hanging="1440"/>
        <w:rPr>
          <w:rFonts w:eastAsia="TimesNewRoman"/>
          <w:sz w:val="22"/>
          <w:lang w:val="en-US"/>
        </w:rPr>
      </w:pPr>
      <w:proofErr w:type="spellStart"/>
      <w:r w:rsidRPr="00220850">
        <w:rPr>
          <w:rFonts w:eastAsia="TimesNewRoman"/>
          <w:sz w:val="22"/>
          <w:lang w:val="en-US"/>
        </w:rPr>
        <w:t>jeigu</w:t>
      </w:r>
      <w:proofErr w:type="spellEnd"/>
      <w:r w:rsidRPr="00220850">
        <w:rPr>
          <w:rFonts w:eastAsia="TimesNewRoman"/>
          <w:sz w:val="22"/>
          <w:lang w:val="en-US"/>
        </w:rPr>
        <w:t xml:space="preserve"> </w:t>
      </w:r>
      <w:proofErr w:type="spellStart"/>
      <w:r w:rsidRPr="00220850">
        <w:rPr>
          <w:rFonts w:eastAsia="TimesNewRoman"/>
          <w:sz w:val="22"/>
          <w:lang w:val="en-US"/>
        </w:rPr>
        <w:t>patiriate</w:t>
      </w:r>
      <w:proofErr w:type="spellEnd"/>
      <w:r w:rsidRPr="00220850">
        <w:rPr>
          <w:rFonts w:eastAsia="TimesNewRoman"/>
          <w:sz w:val="22"/>
          <w:lang w:val="en-US"/>
        </w:rPr>
        <w:t xml:space="preserve"> bet </w:t>
      </w:r>
      <w:proofErr w:type="spellStart"/>
      <w:r w:rsidRPr="00220850">
        <w:rPr>
          <w:rFonts w:eastAsia="TimesNewRoman"/>
          <w:sz w:val="22"/>
          <w:lang w:val="en-US"/>
        </w:rPr>
        <w:t>kokį</w:t>
      </w:r>
      <w:proofErr w:type="spellEnd"/>
      <w:r w:rsidRPr="00220850">
        <w:rPr>
          <w:rFonts w:eastAsia="TimesNewRoman"/>
          <w:sz w:val="22"/>
          <w:lang w:val="en-US"/>
        </w:rPr>
        <w:t xml:space="preserve"> </w:t>
      </w:r>
      <w:proofErr w:type="spellStart"/>
      <w:r w:rsidRPr="00220850">
        <w:rPr>
          <w:rFonts w:eastAsia="TimesNewRoman"/>
          <w:sz w:val="22"/>
          <w:lang w:val="en-US"/>
        </w:rPr>
        <w:t>didesnį</w:t>
      </w:r>
      <w:proofErr w:type="spellEnd"/>
      <w:r w:rsidRPr="00220850">
        <w:rPr>
          <w:rFonts w:eastAsia="TimesNewRoman"/>
          <w:sz w:val="22"/>
          <w:lang w:val="en-US"/>
        </w:rPr>
        <w:t xml:space="preserve"> </w:t>
      </w:r>
      <w:proofErr w:type="spellStart"/>
      <w:r w:rsidRPr="00220850">
        <w:rPr>
          <w:rFonts w:eastAsia="TimesNewRoman"/>
          <w:sz w:val="22"/>
          <w:lang w:val="en-US"/>
        </w:rPr>
        <w:t>kraujavimą</w:t>
      </w:r>
      <w:proofErr w:type="spellEnd"/>
      <w:r w:rsidRPr="00220850">
        <w:rPr>
          <w:rFonts w:eastAsia="TimesNewRoman"/>
          <w:sz w:val="22"/>
          <w:lang w:val="en-US"/>
        </w:rPr>
        <w:t>;</w:t>
      </w:r>
    </w:p>
    <w:p w14:paraId="27611194" w14:textId="1F7ACB99" w:rsidR="00604011" w:rsidRPr="00220850" w:rsidRDefault="00604011" w:rsidP="0013626C">
      <w:pPr>
        <w:pStyle w:val="Sraopastraipa"/>
        <w:numPr>
          <w:ilvl w:val="0"/>
          <w:numId w:val="3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mėlynių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imate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jaučiate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nuovargį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sumišimą</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004E4480"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pažeidimo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vadinamo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trombozine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mikroangiopatija</w:t>
      </w:r>
      <w:proofErr w:type="spellEnd"/>
      <w:r w:rsidRPr="00220850">
        <w:rPr>
          <w:rFonts w:eastAsia="TimesNewRoman"/>
          <w:sz w:val="22"/>
          <w:szCs w:val="22"/>
          <w:lang w:val="en-US"/>
        </w:rPr>
        <w:t xml:space="preserve"> (TMA), </w:t>
      </w:r>
      <w:proofErr w:type="spellStart"/>
      <w:r w:rsidRPr="00220850">
        <w:rPr>
          <w:rFonts w:eastAsia="TimesNewRoman"/>
          <w:sz w:val="22"/>
          <w:szCs w:val="22"/>
          <w:lang w:val="en-US"/>
        </w:rPr>
        <w:t>požymis</w:t>
      </w:r>
      <w:proofErr w:type="spellEnd"/>
      <w:r w:rsidR="00954587" w:rsidRPr="00220850">
        <w:rPr>
          <w:rFonts w:eastAsia="TimesNewRoman"/>
          <w:sz w:val="22"/>
          <w:szCs w:val="22"/>
          <w:lang w:val="en-US"/>
        </w:rPr>
        <w:t>;</w:t>
      </w:r>
    </w:p>
    <w:p w14:paraId="4A51646E" w14:textId="18DF2D9E" w:rsidR="00954587" w:rsidRPr="00220850" w:rsidRDefault="00954587" w:rsidP="00954587">
      <w:pPr>
        <w:pStyle w:val="Sraopastraipa"/>
        <w:numPr>
          <w:ilvl w:val="0"/>
          <w:numId w:val="34"/>
        </w:numPr>
        <w:autoSpaceDE w:val="0"/>
        <w:autoSpaceDN w:val="0"/>
        <w:adjustRightInd w:val="0"/>
        <w:ind w:left="567" w:hanging="567"/>
        <w:rPr>
          <w:rFonts w:eastAsia="TimesNewRoman"/>
          <w:sz w:val="22"/>
          <w:szCs w:val="22"/>
        </w:rPr>
      </w:pPr>
      <w:r w:rsidRPr="00220850">
        <w:rPr>
          <w:sz w:val="22"/>
          <w:szCs w:val="22"/>
        </w:rPr>
        <w:t xml:space="preserve">jeigu pasireiškia tokie simptomai kaip galvos skausmas, regėjimo pokyčiai, sumišimas, traukuliai ar kiti neurologiniai sutrikimai, pvz., rankos ar kojos silpnumas, kartu su aukštu kraujospūdžiu arba be jo. Tai gali būti smegenų būklės, vadinamos užpakalinės grįžtamosios </w:t>
      </w:r>
      <w:proofErr w:type="spellStart"/>
      <w:r w:rsidRPr="00220850">
        <w:rPr>
          <w:sz w:val="22"/>
          <w:szCs w:val="22"/>
        </w:rPr>
        <w:t>encefalopatijos</w:t>
      </w:r>
      <w:proofErr w:type="spellEnd"/>
      <w:r w:rsidRPr="00220850">
        <w:rPr>
          <w:sz w:val="22"/>
          <w:szCs w:val="22"/>
        </w:rPr>
        <w:t xml:space="preserve"> sindromu (UGES), simptomai.</w:t>
      </w:r>
    </w:p>
    <w:p w14:paraId="51EC344E" w14:textId="77777777" w:rsidR="004E4480" w:rsidRPr="00220850" w:rsidRDefault="004E4480" w:rsidP="00604011">
      <w:pPr>
        <w:autoSpaceDE w:val="0"/>
        <w:autoSpaceDN w:val="0"/>
        <w:adjustRightInd w:val="0"/>
        <w:rPr>
          <w:rFonts w:eastAsia="TimesNewRoman,Bold"/>
          <w:b/>
          <w:bCs/>
          <w:sz w:val="22"/>
          <w:szCs w:val="22"/>
        </w:rPr>
      </w:pPr>
    </w:p>
    <w:p w14:paraId="6D9F707F" w14:textId="77777777" w:rsidR="00604011" w:rsidRPr="00220850" w:rsidRDefault="00604011" w:rsidP="00604011">
      <w:pPr>
        <w:autoSpaceDE w:val="0"/>
        <w:autoSpaceDN w:val="0"/>
        <w:adjustRightInd w:val="0"/>
        <w:rPr>
          <w:rFonts w:eastAsia="TimesNewRoman,Bold"/>
          <w:b/>
          <w:bCs/>
          <w:sz w:val="22"/>
          <w:szCs w:val="22"/>
        </w:rPr>
      </w:pPr>
      <w:r w:rsidRPr="00220850">
        <w:rPr>
          <w:rFonts w:eastAsia="TimesNewRoman,Bold"/>
          <w:b/>
          <w:bCs/>
          <w:sz w:val="22"/>
          <w:szCs w:val="22"/>
        </w:rPr>
        <w:t>Vaikams ir paaugliams</w:t>
      </w:r>
    </w:p>
    <w:p w14:paraId="794BECCE" w14:textId="009A4305" w:rsidR="008F2944" w:rsidRPr="00220850" w:rsidRDefault="008F2944" w:rsidP="008F2944">
      <w:pPr>
        <w:pStyle w:val="Default"/>
        <w:rPr>
          <w:color w:val="auto"/>
          <w:sz w:val="22"/>
          <w:szCs w:val="22"/>
          <w:lang w:val="lt-LT"/>
        </w:rPr>
      </w:pPr>
      <w:proofErr w:type="spellStart"/>
      <w:r w:rsidRPr="00220850">
        <w:rPr>
          <w:color w:val="auto"/>
          <w:sz w:val="22"/>
          <w:szCs w:val="22"/>
          <w:lang w:val="lt-LT"/>
        </w:rPr>
        <w:t>Nintedanib</w:t>
      </w:r>
      <w:proofErr w:type="spellEnd"/>
      <w:r w:rsidRPr="00220850">
        <w:rPr>
          <w:color w:val="auto"/>
          <w:sz w:val="22"/>
          <w:szCs w:val="22"/>
          <w:lang w:val="lt-LT"/>
        </w:rPr>
        <w:t xml:space="preserve"> jaunesniems kaip 6 metų vaikams vartoti negalima. </w:t>
      </w:r>
    </w:p>
    <w:p w14:paraId="0B7319E5" w14:textId="70C89544" w:rsidR="00DE01F8" w:rsidRPr="00220850" w:rsidRDefault="008F2944" w:rsidP="008F2944">
      <w:pPr>
        <w:numPr>
          <w:ilvl w:val="12"/>
          <w:numId w:val="0"/>
        </w:numPr>
        <w:rPr>
          <w:b/>
          <w:sz w:val="22"/>
          <w:szCs w:val="24"/>
        </w:rPr>
      </w:pPr>
      <w:r w:rsidRPr="00220850">
        <w:rPr>
          <w:sz w:val="22"/>
          <w:szCs w:val="22"/>
        </w:rPr>
        <w:t>Gydytojas gali reguliariai bent kas 6 mėnesius atlikti dantų patikrą, kol baigsis dantų vystymasis ir augimas, ir kasmet (atliekant kaulų vaizdinį tyrimą) stebėti Jūsų augimą, kol vartojate šį vaistą.</w:t>
      </w:r>
    </w:p>
    <w:p w14:paraId="010182E6" w14:textId="77777777" w:rsidR="002C65D7" w:rsidRPr="00220850" w:rsidRDefault="002C65D7" w:rsidP="005D7751">
      <w:pPr>
        <w:keepNext/>
        <w:tabs>
          <w:tab w:val="left" w:pos="567"/>
        </w:tabs>
        <w:spacing w:line="260" w:lineRule="exact"/>
        <w:jc w:val="both"/>
        <w:outlineLvl w:val="3"/>
        <w:rPr>
          <w:b/>
          <w:bCs/>
          <w:sz w:val="22"/>
          <w:szCs w:val="28"/>
          <w:lang w:eastAsia="x-none"/>
        </w:rPr>
      </w:pPr>
    </w:p>
    <w:p w14:paraId="59B520A2" w14:textId="7963B41C" w:rsidR="00FF588C" w:rsidRPr="00220850" w:rsidRDefault="002D5C8E" w:rsidP="005D7751">
      <w:pPr>
        <w:keepNext/>
        <w:tabs>
          <w:tab w:val="left" w:pos="567"/>
        </w:tabs>
        <w:spacing w:line="260" w:lineRule="exact"/>
        <w:jc w:val="both"/>
        <w:outlineLvl w:val="3"/>
        <w:rPr>
          <w:b/>
          <w:sz w:val="22"/>
          <w:szCs w:val="22"/>
        </w:rPr>
      </w:pPr>
      <w:r w:rsidRPr="00220850">
        <w:rPr>
          <w:b/>
          <w:bCs/>
          <w:sz w:val="22"/>
          <w:szCs w:val="28"/>
          <w:lang w:eastAsia="x-none"/>
        </w:rPr>
        <w:t xml:space="preserve">Kiti vaistai ir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p>
    <w:p w14:paraId="14B1DAC5" w14:textId="77777777" w:rsidR="00FF588C" w:rsidRPr="00220850" w:rsidRDefault="00FF588C" w:rsidP="00FF588C">
      <w:pPr>
        <w:autoSpaceDE w:val="0"/>
        <w:autoSpaceDN w:val="0"/>
        <w:adjustRightInd w:val="0"/>
        <w:rPr>
          <w:rFonts w:eastAsia="TimesNewRoman"/>
          <w:sz w:val="22"/>
          <w:szCs w:val="22"/>
        </w:rPr>
      </w:pPr>
      <w:r w:rsidRPr="00220850">
        <w:rPr>
          <w:rFonts w:eastAsia="TimesNewRoman"/>
          <w:sz w:val="22"/>
          <w:szCs w:val="22"/>
        </w:rPr>
        <w:t>Jeigu vartojate ar neseniai vartojote kitų vaistų, įskaitant augalinius ir nereceptinius vaistus, arba dėl to nesate tikri, apie tai pasakykite gydytojui arba vaistininkui.</w:t>
      </w:r>
    </w:p>
    <w:p w14:paraId="06226AF9" w14:textId="77777777" w:rsidR="00FF588C" w:rsidRPr="00220850" w:rsidRDefault="00FF588C" w:rsidP="00FF588C">
      <w:pPr>
        <w:autoSpaceDE w:val="0"/>
        <w:autoSpaceDN w:val="0"/>
        <w:adjustRightInd w:val="0"/>
        <w:rPr>
          <w:rFonts w:eastAsia="TimesNewRoman"/>
          <w:sz w:val="22"/>
          <w:szCs w:val="22"/>
        </w:rPr>
      </w:pPr>
    </w:p>
    <w:p w14:paraId="716E76CB" w14:textId="569E7996" w:rsidR="00FF588C" w:rsidRPr="00220850" w:rsidRDefault="00FF588C" w:rsidP="00FF588C">
      <w:pPr>
        <w:autoSpaceDE w:val="0"/>
        <w:autoSpaceDN w:val="0"/>
        <w:adjustRightInd w:val="0"/>
        <w:rPr>
          <w:rFonts w:eastAsia="TimesNewRoman"/>
          <w:sz w:val="22"/>
          <w:szCs w:val="22"/>
          <w:lang w:val="fr-FR"/>
        </w:rPr>
      </w:pPr>
      <w:r w:rsidRPr="00220850">
        <w:rPr>
          <w:rFonts w:eastAsia="TimesNewRoman"/>
          <w:sz w:val="22"/>
          <w:szCs w:val="22"/>
          <w:lang w:val="fr-FR"/>
        </w:rPr>
        <w:t>Nintedanib Teva gali sąveikauti su tam tikrais kitais vaistais. Toliau išvardyti vaistai yra pavyzdžiai vaistų, kurie gali padidinti nintedanibo kiekį Jūsų kraujyje ir todėl gali padidėti šalutinio poveikio rizika (žr. 4 skyrių</w:t>
      </w:r>
      <w:r w:rsidR="004C68FC" w:rsidRPr="00220850">
        <w:rPr>
          <w:rFonts w:eastAsia="TimesNewRoman"/>
          <w:sz w:val="22"/>
          <w:szCs w:val="22"/>
          <w:lang w:val="fr-FR"/>
        </w:rPr>
        <w:t xml:space="preserve"> </w:t>
      </w:r>
      <w:r w:rsidR="00DC7945" w:rsidRPr="00220850">
        <w:rPr>
          <w:rFonts w:eastAsia="TimesNewRoman"/>
          <w:sz w:val="22"/>
          <w:szCs w:val="22"/>
          <w:lang w:val="fr-FR"/>
        </w:rPr>
        <w:t>“Galimas šalutinis poveikis”</w:t>
      </w:r>
      <w:r w:rsidRPr="00220850">
        <w:rPr>
          <w:rFonts w:eastAsia="TimesNewRoman"/>
          <w:sz w:val="22"/>
          <w:szCs w:val="22"/>
          <w:lang w:val="fr-FR"/>
        </w:rPr>
        <w:t>):</w:t>
      </w:r>
    </w:p>
    <w:p w14:paraId="35D04D9F" w14:textId="77777777" w:rsidR="00FF588C" w:rsidRPr="00220850" w:rsidRDefault="00FF588C" w:rsidP="0013626C">
      <w:pPr>
        <w:pStyle w:val="Sraopastraipa"/>
        <w:numPr>
          <w:ilvl w:val="0"/>
          <w:numId w:val="26"/>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grybelinėms infekcinėms ligoms gydyti (ketokonazolas),</w:t>
      </w:r>
    </w:p>
    <w:p w14:paraId="133E9A9E" w14:textId="77777777" w:rsidR="00FF588C" w:rsidRPr="00220850" w:rsidRDefault="00FF588C" w:rsidP="0013626C">
      <w:pPr>
        <w:pStyle w:val="Sraopastraipa"/>
        <w:numPr>
          <w:ilvl w:val="0"/>
          <w:numId w:val="26"/>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bakterinėms infekcinėms ligoms gydyti (eritromicinas),</w:t>
      </w:r>
    </w:p>
    <w:p w14:paraId="63BE484F" w14:textId="77777777" w:rsidR="00FF588C" w:rsidRPr="00220850" w:rsidRDefault="00FF588C" w:rsidP="0013626C">
      <w:pPr>
        <w:pStyle w:val="Sraopastraipa"/>
        <w:numPr>
          <w:ilvl w:val="0"/>
          <w:numId w:val="26"/>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veikiantis imuninę sistemą (ciklosporinas).</w:t>
      </w:r>
    </w:p>
    <w:p w14:paraId="0F3A3196" w14:textId="77777777" w:rsidR="000A1419" w:rsidRPr="00220850" w:rsidRDefault="000A1419" w:rsidP="00FF588C">
      <w:pPr>
        <w:autoSpaceDE w:val="0"/>
        <w:autoSpaceDN w:val="0"/>
        <w:adjustRightInd w:val="0"/>
        <w:rPr>
          <w:rFonts w:eastAsia="TimesNewRoman"/>
          <w:sz w:val="22"/>
          <w:szCs w:val="22"/>
          <w:lang w:val="fr-FR"/>
        </w:rPr>
      </w:pPr>
    </w:p>
    <w:p w14:paraId="15E8DF49" w14:textId="5275E0B4" w:rsidR="00FF588C" w:rsidRPr="00220850" w:rsidRDefault="00FF588C" w:rsidP="00FF588C">
      <w:pPr>
        <w:autoSpaceDE w:val="0"/>
        <w:autoSpaceDN w:val="0"/>
        <w:adjustRightInd w:val="0"/>
        <w:rPr>
          <w:rFonts w:eastAsia="TimesNewRoman"/>
          <w:sz w:val="22"/>
          <w:szCs w:val="22"/>
          <w:lang w:val="fr-FR"/>
        </w:rPr>
      </w:pPr>
      <w:r w:rsidRPr="00220850">
        <w:rPr>
          <w:rFonts w:eastAsia="TimesNewRoman"/>
          <w:sz w:val="22"/>
          <w:szCs w:val="22"/>
          <w:lang w:val="fr-FR"/>
        </w:rPr>
        <w:t>Šie vaistai yra pavyzdžiai vaistų, kurie gali sumažinti nintedanibo kiekį Jūsų kraujyje ir todėl gali</w:t>
      </w:r>
      <w:r w:rsidR="00F86E42" w:rsidRPr="00220850">
        <w:rPr>
          <w:rFonts w:eastAsia="TimesNewRoman"/>
          <w:sz w:val="22"/>
          <w:szCs w:val="22"/>
          <w:lang w:val="fr-FR"/>
        </w:rPr>
        <w:t xml:space="preserve"> </w:t>
      </w:r>
      <w:r w:rsidRPr="00220850">
        <w:rPr>
          <w:rFonts w:eastAsia="TimesNewRoman"/>
          <w:sz w:val="22"/>
          <w:szCs w:val="22"/>
          <w:lang w:val="fr-FR"/>
        </w:rPr>
        <w:t>sumažėti Nintedanib Teva veiksmingumas:</w:t>
      </w:r>
    </w:p>
    <w:p w14:paraId="21CAAC2B" w14:textId="77777777" w:rsidR="00FF588C" w:rsidRPr="00220850" w:rsidRDefault="00FF588C" w:rsidP="0013626C">
      <w:pPr>
        <w:pStyle w:val="Sraopastraipa"/>
        <w:numPr>
          <w:ilvl w:val="0"/>
          <w:numId w:val="27"/>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antibiotikas, vartojamas tuberkuliozei gydyti</w:t>
      </w:r>
      <w:r w:rsidR="00F86E42" w:rsidRPr="00220850">
        <w:rPr>
          <w:rFonts w:eastAsia="TimesNewRoman"/>
          <w:sz w:val="22"/>
          <w:szCs w:val="22"/>
          <w:lang w:val="fr-FR"/>
        </w:rPr>
        <w:t xml:space="preserve"> (rifampicinas</w:t>
      </w:r>
      <w:r w:rsidRPr="00220850">
        <w:rPr>
          <w:rFonts w:eastAsia="TimesNewRoman"/>
          <w:sz w:val="22"/>
          <w:szCs w:val="22"/>
          <w:lang w:val="fr-FR"/>
        </w:rPr>
        <w:t>),</w:t>
      </w:r>
    </w:p>
    <w:p w14:paraId="773BAD62" w14:textId="77777777" w:rsidR="00FF588C" w:rsidRPr="00220850" w:rsidRDefault="00FF588C" w:rsidP="0013626C">
      <w:pPr>
        <w:pStyle w:val="Sraopastraipa"/>
        <w:numPr>
          <w:ilvl w:val="0"/>
          <w:numId w:val="27"/>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vaistai, vartojami traukuliams gydyti</w:t>
      </w:r>
      <w:r w:rsidR="00F86E42" w:rsidRPr="00220850">
        <w:rPr>
          <w:rFonts w:eastAsia="TimesNewRoman"/>
          <w:sz w:val="22"/>
          <w:szCs w:val="22"/>
          <w:lang w:val="fr-FR"/>
        </w:rPr>
        <w:t xml:space="preserve"> (karbamazepinas, fenitoinas</w:t>
      </w:r>
      <w:r w:rsidRPr="00220850">
        <w:rPr>
          <w:rFonts w:eastAsia="TimesNewRoman"/>
          <w:sz w:val="22"/>
          <w:szCs w:val="22"/>
          <w:lang w:val="fr-FR"/>
        </w:rPr>
        <w:t>),</w:t>
      </w:r>
    </w:p>
    <w:p w14:paraId="4777788B" w14:textId="77777777" w:rsidR="00DE01F8" w:rsidRPr="00220850" w:rsidRDefault="00FF588C" w:rsidP="0013626C">
      <w:pPr>
        <w:pStyle w:val="Sraopastraipa"/>
        <w:numPr>
          <w:ilvl w:val="0"/>
          <w:numId w:val="27"/>
        </w:numPr>
        <w:ind w:left="567" w:right="-2" w:hanging="567"/>
        <w:rPr>
          <w:sz w:val="22"/>
          <w:szCs w:val="24"/>
        </w:rPr>
      </w:pPr>
      <w:r w:rsidRPr="00220850">
        <w:rPr>
          <w:rFonts w:eastAsia="TimesNewRoman"/>
          <w:sz w:val="22"/>
          <w:szCs w:val="22"/>
          <w:lang w:val="fr-FR"/>
        </w:rPr>
        <w:t>augaliniai vaistai, vartojami depresijai gydyti</w:t>
      </w:r>
      <w:r w:rsidR="00F86E42" w:rsidRPr="00220850">
        <w:rPr>
          <w:rFonts w:eastAsia="TimesNewRoman"/>
          <w:sz w:val="22"/>
          <w:szCs w:val="22"/>
          <w:lang w:val="fr-FR"/>
        </w:rPr>
        <w:t xml:space="preserve"> (paprastųjų jonažolių preparatai</w:t>
      </w:r>
      <w:r w:rsidRPr="00220850">
        <w:rPr>
          <w:rFonts w:eastAsia="TimesNewRoman"/>
          <w:sz w:val="22"/>
          <w:szCs w:val="22"/>
          <w:lang w:val="fr-FR"/>
        </w:rPr>
        <w:t>).</w:t>
      </w:r>
    </w:p>
    <w:p w14:paraId="4D5854B9" w14:textId="77777777" w:rsidR="00FF588C" w:rsidRPr="00220850" w:rsidRDefault="00FF588C">
      <w:pPr>
        <w:keepNext/>
        <w:tabs>
          <w:tab w:val="left" w:pos="567"/>
        </w:tabs>
        <w:spacing w:line="260" w:lineRule="exact"/>
        <w:jc w:val="both"/>
        <w:outlineLvl w:val="3"/>
        <w:rPr>
          <w:b/>
          <w:sz w:val="22"/>
          <w:szCs w:val="22"/>
        </w:rPr>
      </w:pPr>
    </w:p>
    <w:p w14:paraId="50B70A15" w14:textId="77777777" w:rsidR="00DE01F8" w:rsidRPr="00220850" w:rsidRDefault="004843AC">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Nėštumas ir </w:t>
      </w:r>
      <w:r w:rsidR="002D5C8E" w:rsidRPr="00220850">
        <w:rPr>
          <w:b/>
          <w:bCs/>
          <w:sz w:val="22"/>
          <w:szCs w:val="28"/>
          <w:lang w:eastAsia="x-none"/>
        </w:rPr>
        <w:t>žind</w:t>
      </w:r>
      <w:r w:rsidRPr="00220850">
        <w:rPr>
          <w:b/>
          <w:bCs/>
          <w:sz w:val="22"/>
          <w:szCs w:val="28"/>
          <w:lang w:eastAsia="x-none"/>
        </w:rPr>
        <w:t>ymo laikotarpis</w:t>
      </w:r>
    </w:p>
    <w:p w14:paraId="190AAF68" w14:textId="77777777" w:rsidR="00DE01F8" w:rsidRPr="00220850" w:rsidRDefault="002D5C8E">
      <w:pPr>
        <w:numPr>
          <w:ilvl w:val="12"/>
          <w:numId w:val="0"/>
        </w:numPr>
        <w:rPr>
          <w:sz w:val="22"/>
          <w:szCs w:val="24"/>
        </w:rPr>
      </w:pPr>
      <w:r w:rsidRPr="00220850">
        <w:rPr>
          <w:sz w:val="22"/>
          <w:szCs w:val="24"/>
        </w:rPr>
        <w:t>Jeigu esate nėščia, žindote kūdikį, manote, kad galbūt esate nėščia, arba planuojate pastoti, tai prieš vart</w:t>
      </w:r>
      <w:r w:rsidR="004843AC" w:rsidRPr="00220850">
        <w:rPr>
          <w:sz w:val="22"/>
          <w:szCs w:val="24"/>
        </w:rPr>
        <w:t>odama šį vaistą pasitarkite su gydytoju arba vaistininku.</w:t>
      </w:r>
    </w:p>
    <w:p w14:paraId="49F7F236" w14:textId="77777777" w:rsidR="004843AC" w:rsidRPr="00220850" w:rsidRDefault="004843AC" w:rsidP="004843AC">
      <w:pPr>
        <w:autoSpaceDE w:val="0"/>
        <w:autoSpaceDN w:val="0"/>
        <w:adjustRightInd w:val="0"/>
        <w:rPr>
          <w:rFonts w:eastAsia="TimesNewRoman"/>
          <w:sz w:val="22"/>
          <w:szCs w:val="22"/>
        </w:rPr>
      </w:pPr>
    </w:p>
    <w:p w14:paraId="4813DBC1" w14:textId="77777777" w:rsidR="004843AC" w:rsidRPr="00220850" w:rsidRDefault="004843AC" w:rsidP="004843AC">
      <w:pPr>
        <w:autoSpaceDE w:val="0"/>
        <w:autoSpaceDN w:val="0"/>
        <w:adjustRightInd w:val="0"/>
        <w:rPr>
          <w:rFonts w:eastAsia="TimesNewRoman"/>
          <w:sz w:val="22"/>
          <w:szCs w:val="22"/>
          <w:u w:val="single"/>
        </w:rPr>
      </w:pPr>
      <w:r w:rsidRPr="00220850">
        <w:rPr>
          <w:rFonts w:eastAsia="TimesNewRoman"/>
          <w:sz w:val="22"/>
          <w:szCs w:val="22"/>
          <w:u w:val="single"/>
        </w:rPr>
        <w:t>Nėštumas</w:t>
      </w:r>
    </w:p>
    <w:p w14:paraId="3CE268A9" w14:textId="3EC9C399" w:rsidR="004843AC" w:rsidRPr="00220850" w:rsidRDefault="004843AC" w:rsidP="004843AC">
      <w:pPr>
        <w:autoSpaceDE w:val="0"/>
        <w:autoSpaceDN w:val="0"/>
        <w:adjustRightInd w:val="0"/>
        <w:rPr>
          <w:rFonts w:eastAsia="TimesNewRoman"/>
          <w:sz w:val="22"/>
          <w:szCs w:val="22"/>
        </w:rPr>
      </w:pPr>
      <w:r w:rsidRPr="00220850">
        <w:rPr>
          <w:rFonts w:eastAsia="TimesNewRoman"/>
          <w:sz w:val="22"/>
          <w:szCs w:val="22"/>
        </w:rPr>
        <w:t xml:space="preserve">Nėštumo metu šio vaisto vartoti negalima, nes jis gali pakenkti Jūsų negimusiam vaikui ir sukelti </w:t>
      </w:r>
      <w:r w:rsidR="00C001BA" w:rsidRPr="00220850">
        <w:rPr>
          <w:rFonts w:eastAsia="TimesNewRoman"/>
          <w:sz w:val="22"/>
          <w:szCs w:val="22"/>
        </w:rPr>
        <w:t>įgimtų formavimosi ydų</w:t>
      </w:r>
      <w:r w:rsidRPr="00220850">
        <w:rPr>
          <w:rFonts w:eastAsia="TimesNewRoman"/>
          <w:sz w:val="22"/>
          <w:szCs w:val="22"/>
        </w:rPr>
        <w:t>.</w:t>
      </w:r>
    </w:p>
    <w:p w14:paraId="54D5E44C" w14:textId="77777777" w:rsidR="004843AC" w:rsidRPr="00220850" w:rsidRDefault="004843AC" w:rsidP="004843AC">
      <w:pPr>
        <w:autoSpaceDE w:val="0"/>
        <w:autoSpaceDN w:val="0"/>
        <w:adjustRightInd w:val="0"/>
        <w:rPr>
          <w:rFonts w:eastAsia="TimesNewRoman"/>
          <w:sz w:val="22"/>
          <w:szCs w:val="22"/>
        </w:rPr>
      </w:pPr>
    </w:p>
    <w:p w14:paraId="2CA42DB3" w14:textId="77777777" w:rsidR="004843AC" w:rsidRPr="00220850" w:rsidRDefault="004843AC" w:rsidP="004843AC">
      <w:pPr>
        <w:autoSpaceDE w:val="0"/>
        <w:autoSpaceDN w:val="0"/>
        <w:adjustRightInd w:val="0"/>
        <w:rPr>
          <w:rFonts w:eastAsia="TimesNewRoman"/>
          <w:sz w:val="22"/>
          <w:szCs w:val="22"/>
          <w:lang w:val="en-US"/>
        </w:rPr>
      </w:pPr>
      <w:r w:rsidRPr="00220850">
        <w:rPr>
          <w:rFonts w:eastAsia="TimesNewRoman"/>
          <w:sz w:val="22"/>
          <w:szCs w:val="22"/>
        </w:rPr>
        <w:t xml:space="preserve">Prieš pradedant gydymą šiuo vaistu, Jums būtina atlikti nėštumo testą </w:t>
      </w:r>
      <w:proofErr w:type="spellStart"/>
      <w:r w:rsidRPr="00220850">
        <w:rPr>
          <w:rFonts w:eastAsia="TimesNewRoman"/>
          <w:sz w:val="22"/>
          <w:szCs w:val="22"/>
        </w:rPr>
        <w:t>siekant</w:t>
      </w:r>
      <w:proofErr w:type="spellEnd"/>
      <w:r w:rsidRPr="00220850">
        <w:rPr>
          <w:rFonts w:eastAsia="TimesNewRoman"/>
          <w:sz w:val="22"/>
          <w:szCs w:val="22"/>
        </w:rPr>
        <w:t xml:space="preserve"> įsitikinti, kad nesate nėščia.</w:t>
      </w:r>
      <w:r w:rsidR="00690BDA" w:rsidRPr="00220850">
        <w:rPr>
          <w:rFonts w:eastAsia="TimesNewRoman"/>
          <w:sz w:val="22"/>
          <w:szCs w:val="22"/>
        </w:rPr>
        <w:t xml:space="preserve"> </w:t>
      </w:r>
      <w:proofErr w:type="spellStart"/>
      <w:r w:rsidRPr="00220850">
        <w:rPr>
          <w:rFonts w:eastAsia="TimesNewRoman"/>
          <w:sz w:val="22"/>
          <w:szCs w:val="22"/>
          <w:lang w:val="en-US"/>
        </w:rPr>
        <w:t>Pasitarkite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w:t>
      </w:r>
      <w:proofErr w:type="spellEnd"/>
      <w:r w:rsidRPr="00220850">
        <w:rPr>
          <w:rFonts w:eastAsia="TimesNewRoman"/>
          <w:sz w:val="22"/>
          <w:szCs w:val="22"/>
          <w:lang w:val="en-US"/>
        </w:rPr>
        <w:t>.</w:t>
      </w:r>
    </w:p>
    <w:p w14:paraId="3179E9B2" w14:textId="77777777" w:rsidR="00690BDA" w:rsidRPr="00220850" w:rsidRDefault="00690BDA" w:rsidP="004843AC">
      <w:pPr>
        <w:autoSpaceDE w:val="0"/>
        <w:autoSpaceDN w:val="0"/>
        <w:adjustRightInd w:val="0"/>
        <w:rPr>
          <w:rFonts w:eastAsia="TimesNewRoman"/>
          <w:sz w:val="22"/>
          <w:szCs w:val="22"/>
          <w:lang w:val="en-US"/>
        </w:rPr>
      </w:pPr>
    </w:p>
    <w:p w14:paraId="2D0717F3" w14:textId="77777777" w:rsidR="004843AC" w:rsidRPr="00220850" w:rsidRDefault="004843AC" w:rsidP="004843AC">
      <w:pPr>
        <w:autoSpaceDE w:val="0"/>
        <w:autoSpaceDN w:val="0"/>
        <w:adjustRightInd w:val="0"/>
        <w:rPr>
          <w:rFonts w:eastAsia="TimesNewRoman"/>
          <w:sz w:val="22"/>
          <w:szCs w:val="22"/>
          <w:u w:val="single"/>
          <w:lang w:val="en-US"/>
        </w:rPr>
      </w:pPr>
      <w:proofErr w:type="spellStart"/>
      <w:r w:rsidRPr="00220850">
        <w:rPr>
          <w:rFonts w:eastAsia="TimesNewRoman"/>
          <w:sz w:val="22"/>
          <w:szCs w:val="22"/>
          <w:u w:val="single"/>
          <w:lang w:val="en-US"/>
        </w:rPr>
        <w:t>Kontracepcija</w:t>
      </w:r>
      <w:proofErr w:type="spellEnd"/>
    </w:p>
    <w:p w14:paraId="042E874B" w14:textId="77777777" w:rsidR="004843AC" w:rsidRPr="00220850" w:rsidRDefault="004843AC" w:rsidP="0013626C">
      <w:pPr>
        <w:pStyle w:val="Sraopastraipa"/>
        <w:numPr>
          <w:ilvl w:val="0"/>
          <w:numId w:val="3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Galinčios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moterys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kai </w:t>
      </w:r>
      <w:proofErr w:type="spellStart"/>
      <w:r w:rsidRPr="00220850">
        <w:rPr>
          <w:rFonts w:eastAsia="TimesNewRoman"/>
          <w:sz w:val="22"/>
          <w:szCs w:val="22"/>
          <w:lang w:val="en-US"/>
        </w:rPr>
        <w:t>pradeda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vartoja</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mažiausiai</w:t>
      </w:r>
      <w:proofErr w:type="spellEnd"/>
      <w:r w:rsidRPr="00220850">
        <w:rPr>
          <w:rFonts w:eastAsia="TimesNewRoman"/>
          <w:sz w:val="22"/>
          <w:szCs w:val="22"/>
          <w:lang w:val="en-US"/>
        </w:rPr>
        <w:t xml:space="preserve"> 3</w:t>
      </w:r>
      <w:r w:rsidR="00690BDA" w:rsidRPr="00220850">
        <w:rPr>
          <w:rFonts w:eastAsia="TimesNewRoman"/>
          <w:sz w:val="22"/>
          <w:szCs w:val="22"/>
          <w:lang w:val="en-US"/>
        </w:rPr>
        <w:t xml:space="preserve"> </w:t>
      </w:r>
      <w:proofErr w:type="spellStart"/>
      <w:r w:rsidRPr="00220850">
        <w:rPr>
          <w:rFonts w:eastAsia="TimesNewRoman"/>
          <w:sz w:val="22"/>
          <w:szCs w:val="22"/>
          <w:lang w:val="en-US"/>
        </w:rPr>
        <w:t>mėnesius</w:t>
      </w:r>
      <w:proofErr w:type="spellEnd"/>
      <w:r w:rsidRPr="00220850">
        <w:rPr>
          <w:rFonts w:eastAsia="TimesNewRoman"/>
          <w:sz w:val="22"/>
          <w:szCs w:val="22"/>
          <w:lang w:val="en-US"/>
        </w:rPr>
        <w:t xml:space="preserve"> po </w:t>
      </w:r>
      <w:proofErr w:type="spellStart"/>
      <w:r w:rsidRPr="00220850">
        <w:rPr>
          <w:rFonts w:eastAsia="TimesNewRoman"/>
          <w:sz w:val="22"/>
          <w:szCs w:val="22"/>
          <w:lang w:val="en-US"/>
        </w:rPr>
        <w:t>gydymo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turi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taikyti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labai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veiksmingą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kontrolės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metodą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apsisaugotų</w:t>
      </w:r>
      <w:proofErr w:type="spellEnd"/>
      <w:r w:rsidR="00690BDA"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w:t>
      </w:r>
    </w:p>
    <w:p w14:paraId="0808FCB3" w14:textId="77777777" w:rsidR="004843AC" w:rsidRPr="00220850" w:rsidRDefault="004843AC" w:rsidP="0013626C">
      <w:pPr>
        <w:pStyle w:val="Sraopastraipa"/>
        <w:numPr>
          <w:ilvl w:val="0"/>
          <w:numId w:val="33"/>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Turite aptarti su savo gydytoju Jums tinkamiausius kontracepcijos metodus.</w:t>
      </w:r>
    </w:p>
    <w:p w14:paraId="5BD31832" w14:textId="77777777" w:rsidR="004843AC" w:rsidRPr="00220850" w:rsidRDefault="004843AC" w:rsidP="0013626C">
      <w:pPr>
        <w:pStyle w:val="Sraopastraipa"/>
        <w:numPr>
          <w:ilvl w:val="0"/>
          <w:numId w:val="33"/>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Vėmimas ir (arba) viduriavimas arba kitos virškinimo trakto būklės gali paveikti geriamųjų</w:t>
      </w:r>
      <w:r w:rsidR="00690BDA" w:rsidRPr="00220850">
        <w:rPr>
          <w:rFonts w:eastAsia="TimesNewRoman"/>
          <w:sz w:val="22"/>
          <w:szCs w:val="22"/>
          <w:lang w:val="fr-FR"/>
        </w:rPr>
        <w:t xml:space="preserve"> </w:t>
      </w:r>
      <w:r w:rsidRPr="00220850">
        <w:rPr>
          <w:rFonts w:eastAsia="TimesNewRoman"/>
          <w:sz w:val="22"/>
          <w:szCs w:val="22"/>
          <w:lang w:val="fr-FR"/>
        </w:rPr>
        <w:t>hormoninių kontraceptikų, tokių kaip kontraceptinės tabletės, absorbciją ir gali sumažinti jų</w:t>
      </w:r>
      <w:r w:rsidR="00690BDA" w:rsidRPr="00220850">
        <w:rPr>
          <w:rFonts w:eastAsia="TimesNewRoman"/>
          <w:sz w:val="22"/>
          <w:szCs w:val="22"/>
          <w:lang w:val="fr-FR"/>
        </w:rPr>
        <w:t xml:space="preserve"> </w:t>
      </w:r>
      <w:r w:rsidRPr="00220850">
        <w:rPr>
          <w:rFonts w:eastAsia="TimesNewRoman"/>
          <w:sz w:val="22"/>
          <w:szCs w:val="22"/>
          <w:lang w:val="fr-FR"/>
        </w:rPr>
        <w:t>veiksmingumą. Todėl, jei patiriate minėtų būklių, pasikalbėkite su savo gydytoju dėl</w:t>
      </w:r>
      <w:r w:rsidR="00690BDA" w:rsidRPr="00220850">
        <w:rPr>
          <w:rFonts w:eastAsia="TimesNewRoman"/>
          <w:sz w:val="22"/>
          <w:szCs w:val="22"/>
          <w:lang w:val="fr-FR"/>
        </w:rPr>
        <w:t xml:space="preserve"> </w:t>
      </w:r>
      <w:r w:rsidRPr="00220850">
        <w:rPr>
          <w:rFonts w:eastAsia="TimesNewRoman"/>
          <w:sz w:val="22"/>
          <w:szCs w:val="22"/>
          <w:lang w:val="fr-FR"/>
        </w:rPr>
        <w:t>alternatyvaus tinkamesnio kontracepcijos metodo apsvarstymo.</w:t>
      </w:r>
    </w:p>
    <w:p w14:paraId="4C5426B5" w14:textId="77777777" w:rsidR="00690BDA" w:rsidRPr="00220850" w:rsidRDefault="004843AC" w:rsidP="0013626C">
      <w:pPr>
        <w:pStyle w:val="Sraopastraipa"/>
        <w:numPr>
          <w:ilvl w:val="0"/>
          <w:numId w:val="33"/>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 xml:space="preserve">Nedelsdama pasakykite gydytojui ar vaistininkui, jeigu gydymo </w:t>
      </w:r>
      <w:r w:rsidR="00690BDA" w:rsidRPr="00220850">
        <w:rPr>
          <w:rFonts w:eastAsia="TimesNewRoman"/>
          <w:sz w:val="22"/>
          <w:szCs w:val="22"/>
          <w:lang w:val="fr-FR"/>
        </w:rPr>
        <w:t>šiuo vaistu</w:t>
      </w:r>
      <w:r w:rsidR="007604FE" w:rsidRPr="00220850">
        <w:rPr>
          <w:rFonts w:eastAsia="TimesNewRoman"/>
          <w:sz w:val="22"/>
          <w:szCs w:val="22"/>
          <w:lang w:val="fr-FR"/>
        </w:rPr>
        <w:t xml:space="preserve"> metu pastojo</w:t>
      </w:r>
      <w:r w:rsidRPr="00220850">
        <w:rPr>
          <w:rFonts w:eastAsia="TimesNewRoman"/>
          <w:sz w:val="22"/>
          <w:szCs w:val="22"/>
          <w:lang w:val="fr-FR"/>
        </w:rPr>
        <w:t>te arba</w:t>
      </w:r>
      <w:r w:rsidR="00690BDA" w:rsidRPr="00220850">
        <w:rPr>
          <w:rFonts w:eastAsia="TimesNewRoman"/>
          <w:sz w:val="22"/>
          <w:szCs w:val="22"/>
          <w:lang w:val="fr-FR"/>
        </w:rPr>
        <w:t xml:space="preserve"> </w:t>
      </w:r>
      <w:r w:rsidRPr="00220850">
        <w:rPr>
          <w:rFonts w:eastAsia="TimesNewRoman"/>
          <w:sz w:val="22"/>
          <w:szCs w:val="22"/>
          <w:lang w:val="fr-FR"/>
        </w:rPr>
        <w:t xml:space="preserve">manote, kad galbūt </w:t>
      </w:r>
      <w:r w:rsidR="00690BDA" w:rsidRPr="00220850">
        <w:rPr>
          <w:rFonts w:eastAsia="TimesNewRoman"/>
          <w:sz w:val="22"/>
          <w:szCs w:val="22"/>
          <w:lang w:val="fr-FR"/>
        </w:rPr>
        <w:t>pastojote</w:t>
      </w:r>
      <w:r w:rsidRPr="00220850">
        <w:rPr>
          <w:rFonts w:eastAsia="TimesNewRoman"/>
          <w:sz w:val="22"/>
          <w:szCs w:val="22"/>
          <w:lang w:val="fr-FR"/>
        </w:rPr>
        <w:t>.</w:t>
      </w:r>
    </w:p>
    <w:p w14:paraId="535DC0D9" w14:textId="77777777" w:rsidR="00690BDA" w:rsidRPr="00220850" w:rsidRDefault="00690BDA" w:rsidP="004843AC">
      <w:pPr>
        <w:autoSpaceDE w:val="0"/>
        <w:autoSpaceDN w:val="0"/>
        <w:adjustRightInd w:val="0"/>
        <w:rPr>
          <w:rFonts w:eastAsia="TimesNewRoman"/>
          <w:sz w:val="22"/>
          <w:szCs w:val="22"/>
          <w:u w:val="single"/>
          <w:lang w:val="fr-FR"/>
        </w:rPr>
      </w:pPr>
    </w:p>
    <w:p w14:paraId="4EBC2F88" w14:textId="77777777" w:rsidR="004843AC" w:rsidRPr="00220850" w:rsidRDefault="004843AC" w:rsidP="004843AC">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Žindymo laikotarpis</w:t>
      </w:r>
    </w:p>
    <w:p w14:paraId="2478410F" w14:textId="77777777" w:rsidR="00DE01F8" w:rsidRPr="00220850" w:rsidRDefault="004843AC" w:rsidP="004843AC">
      <w:pPr>
        <w:numPr>
          <w:ilvl w:val="12"/>
          <w:numId w:val="0"/>
        </w:numPr>
        <w:rPr>
          <w:sz w:val="22"/>
          <w:szCs w:val="24"/>
        </w:rPr>
      </w:pPr>
      <w:r w:rsidRPr="00220850">
        <w:rPr>
          <w:rFonts w:eastAsia="TimesNewRoman"/>
          <w:sz w:val="22"/>
          <w:szCs w:val="22"/>
          <w:lang w:val="fr-FR"/>
        </w:rPr>
        <w:t xml:space="preserve">Gydymo </w:t>
      </w:r>
      <w:r w:rsidR="00690BDA" w:rsidRPr="00220850">
        <w:rPr>
          <w:rFonts w:eastAsia="TimesNewRoman"/>
          <w:sz w:val="22"/>
          <w:szCs w:val="22"/>
          <w:lang w:val="fr-FR"/>
        </w:rPr>
        <w:t>šiuo vaistu</w:t>
      </w:r>
      <w:r w:rsidRPr="00220850">
        <w:rPr>
          <w:rFonts w:eastAsia="TimesNewRoman"/>
          <w:sz w:val="22"/>
          <w:szCs w:val="22"/>
          <w:lang w:val="fr-FR"/>
        </w:rPr>
        <w:t xml:space="preserve"> metu nežindykite, nes tai gali pakenkti žindomam kūdikiui.</w:t>
      </w:r>
    </w:p>
    <w:p w14:paraId="3464AF52" w14:textId="77777777" w:rsidR="004843AC" w:rsidRPr="00220850" w:rsidRDefault="004843AC">
      <w:pPr>
        <w:keepNext/>
        <w:tabs>
          <w:tab w:val="left" w:pos="567"/>
        </w:tabs>
        <w:spacing w:line="260" w:lineRule="exact"/>
        <w:jc w:val="both"/>
        <w:outlineLvl w:val="3"/>
        <w:rPr>
          <w:b/>
          <w:bCs/>
          <w:sz w:val="22"/>
          <w:szCs w:val="28"/>
          <w:lang w:eastAsia="x-none"/>
        </w:rPr>
      </w:pPr>
    </w:p>
    <w:p w14:paraId="15A6B296"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Vairavimas ir mechanizmų valdymas</w:t>
      </w:r>
    </w:p>
    <w:p w14:paraId="371DD725" w14:textId="77777777" w:rsidR="00DE01F8" w:rsidRPr="00220850" w:rsidRDefault="00690BDA" w:rsidP="00690BDA">
      <w:pPr>
        <w:autoSpaceDE w:val="0"/>
        <w:autoSpaceDN w:val="0"/>
        <w:adjustRightInd w:val="0"/>
        <w:rPr>
          <w:sz w:val="22"/>
          <w:szCs w:val="24"/>
        </w:rPr>
      </w:pPr>
      <w:r w:rsidRPr="00220850">
        <w:rPr>
          <w:rFonts w:eastAsia="TimesNewRoman"/>
          <w:sz w:val="22"/>
          <w:szCs w:val="22"/>
        </w:rPr>
        <w:t>Šis vaistas gebėjimą vairuoti ir valdyti mechanizmus veikia silpnai. Jei Jus pykina, nevairuokite ir nevaldykite mechanizmų.</w:t>
      </w:r>
    </w:p>
    <w:p w14:paraId="0ED37831" w14:textId="77777777" w:rsidR="00690BDA" w:rsidRPr="00220850" w:rsidRDefault="00690BDA">
      <w:pPr>
        <w:keepNext/>
        <w:tabs>
          <w:tab w:val="left" w:pos="567"/>
        </w:tabs>
        <w:spacing w:line="260" w:lineRule="exact"/>
        <w:jc w:val="both"/>
        <w:outlineLvl w:val="3"/>
        <w:rPr>
          <w:b/>
          <w:bCs/>
          <w:sz w:val="22"/>
          <w:szCs w:val="28"/>
          <w:lang w:eastAsia="x-none"/>
        </w:rPr>
      </w:pPr>
    </w:p>
    <w:p w14:paraId="61B6A9CB" w14:textId="77777777" w:rsidR="00DE01F8" w:rsidRPr="00220850" w:rsidRDefault="00DE01F8">
      <w:pPr>
        <w:numPr>
          <w:ilvl w:val="12"/>
          <w:numId w:val="0"/>
        </w:numPr>
        <w:ind w:right="-2"/>
        <w:rPr>
          <w:sz w:val="22"/>
          <w:szCs w:val="24"/>
        </w:rPr>
      </w:pPr>
    </w:p>
    <w:p w14:paraId="379CC137" w14:textId="77777777" w:rsidR="00DE01F8" w:rsidRPr="00220850" w:rsidRDefault="002D5C8E" w:rsidP="005D7751">
      <w:pPr>
        <w:keepNext/>
        <w:keepLines/>
        <w:tabs>
          <w:tab w:val="left" w:pos="567"/>
        </w:tabs>
        <w:outlineLvl w:val="2"/>
        <w:rPr>
          <w:b/>
          <w:bCs/>
          <w:sz w:val="22"/>
          <w:szCs w:val="26"/>
          <w:lang w:eastAsia="x-none"/>
        </w:rPr>
      </w:pPr>
      <w:r w:rsidRPr="00220850">
        <w:rPr>
          <w:b/>
          <w:bCs/>
          <w:sz w:val="22"/>
          <w:szCs w:val="26"/>
          <w:lang w:eastAsia="x-none"/>
        </w:rPr>
        <w:t>3.</w:t>
      </w:r>
      <w:r w:rsidRPr="00220850">
        <w:rPr>
          <w:b/>
          <w:bCs/>
          <w:sz w:val="22"/>
          <w:szCs w:val="26"/>
          <w:lang w:eastAsia="x-none"/>
        </w:rPr>
        <w:tab/>
        <w:t xml:space="preserve">Kaip vartoti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p>
    <w:p w14:paraId="13AD271C" w14:textId="77777777" w:rsidR="00DE01F8" w:rsidRPr="00220850" w:rsidRDefault="00DE01F8">
      <w:pPr>
        <w:numPr>
          <w:ilvl w:val="12"/>
          <w:numId w:val="0"/>
        </w:numPr>
        <w:ind w:right="-2"/>
        <w:rPr>
          <w:sz w:val="22"/>
          <w:szCs w:val="24"/>
        </w:rPr>
      </w:pPr>
    </w:p>
    <w:p w14:paraId="74C225A0" w14:textId="77777777" w:rsidR="00DE01F8" w:rsidRPr="00220850" w:rsidRDefault="002D5C8E">
      <w:pPr>
        <w:ind w:right="-2"/>
        <w:rPr>
          <w:sz w:val="22"/>
        </w:rPr>
      </w:pPr>
      <w:r w:rsidRPr="00220850">
        <w:rPr>
          <w:sz w:val="22"/>
        </w:rPr>
        <w:t>Visada vartokite šį vaistą t</w:t>
      </w:r>
      <w:r w:rsidR="00690BDA" w:rsidRPr="00220850">
        <w:rPr>
          <w:sz w:val="22"/>
        </w:rPr>
        <w:t>iksliai, kaip nurodė gydytojas arba vaistininkas</w:t>
      </w:r>
      <w:r w:rsidRPr="00220850">
        <w:rPr>
          <w:sz w:val="22"/>
        </w:rPr>
        <w:t>.</w:t>
      </w:r>
      <w:r w:rsidR="00690BDA" w:rsidRPr="00220850">
        <w:rPr>
          <w:sz w:val="22"/>
        </w:rPr>
        <w:t xml:space="preserve"> Jeigu abejojate, kreipkitės į gydytoją arba vaistininką</w:t>
      </w:r>
      <w:r w:rsidRPr="00220850">
        <w:rPr>
          <w:sz w:val="22"/>
        </w:rPr>
        <w:t xml:space="preserve">. </w:t>
      </w:r>
    </w:p>
    <w:p w14:paraId="572A5DC4" w14:textId="77777777" w:rsidR="00DE01F8" w:rsidRPr="00220850" w:rsidRDefault="00DE01F8">
      <w:pPr>
        <w:numPr>
          <w:ilvl w:val="12"/>
          <w:numId w:val="0"/>
        </w:numPr>
        <w:ind w:right="-2"/>
        <w:rPr>
          <w:sz w:val="22"/>
          <w:szCs w:val="24"/>
        </w:rPr>
      </w:pPr>
    </w:p>
    <w:p w14:paraId="0F5BFEC0" w14:textId="3E8EC25E" w:rsidR="00690BDA" w:rsidRPr="00220850" w:rsidRDefault="00690BDA" w:rsidP="00690BDA">
      <w:pPr>
        <w:autoSpaceDE w:val="0"/>
        <w:autoSpaceDN w:val="0"/>
        <w:adjustRightInd w:val="0"/>
        <w:rPr>
          <w:rFonts w:eastAsia="TimesNewRoman"/>
          <w:sz w:val="22"/>
          <w:szCs w:val="22"/>
          <w:lang w:val="fr-FR"/>
        </w:rPr>
      </w:pPr>
      <w:r w:rsidRPr="00220850">
        <w:rPr>
          <w:rFonts w:eastAsia="TimesNewRoman"/>
          <w:sz w:val="22"/>
          <w:szCs w:val="22"/>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220850">
        <w:rPr>
          <w:rFonts w:eastAsia="TimesNewRoman"/>
          <w:sz w:val="22"/>
          <w:szCs w:val="22"/>
        </w:rPr>
        <w:t>nintedanibo</w:t>
      </w:r>
      <w:proofErr w:type="spellEnd"/>
      <w:r w:rsidRPr="00220850">
        <w:rPr>
          <w:rFonts w:eastAsia="TimesNewRoman"/>
          <w:sz w:val="22"/>
          <w:szCs w:val="22"/>
        </w:rPr>
        <w:t xml:space="preserve"> kiekis kraujyje bus pastovus. Nurykite visą kapsulę užsigerdami vandeniu, kapsulės nekramtykite. </w:t>
      </w:r>
      <w:r w:rsidRPr="00220850">
        <w:rPr>
          <w:rFonts w:eastAsia="TimesNewRoman"/>
          <w:sz w:val="22"/>
          <w:szCs w:val="22"/>
          <w:lang w:val="fr-FR"/>
        </w:rPr>
        <w:t>Rekomenduojama kapsules gerti su maistu, t. y. valgant arba prieš pat valgį ar tučtuojau po jo. Kapsulės neatidarykite ir netraiškykite (žr. 5 skyrių</w:t>
      </w:r>
      <w:r w:rsidR="004C68FC" w:rsidRPr="00220850">
        <w:rPr>
          <w:rFonts w:eastAsia="TimesNewRoman"/>
          <w:sz w:val="22"/>
          <w:szCs w:val="22"/>
          <w:lang w:val="fr-FR"/>
        </w:rPr>
        <w:t xml:space="preserve"> </w:t>
      </w:r>
      <w:r w:rsidR="002C65D7" w:rsidRPr="00220850">
        <w:rPr>
          <w:rFonts w:eastAsia="TimesNewRoman"/>
          <w:sz w:val="22"/>
          <w:szCs w:val="22"/>
          <w:lang w:val="fr-FR"/>
        </w:rPr>
        <w:t>„Kaip laikyti Nintedanib Teva“</w:t>
      </w:r>
      <w:r w:rsidRPr="00220850">
        <w:rPr>
          <w:rFonts w:eastAsia="TimesNewRoman"/>
          <w:sz w:val="22"/>
          <w:szCs w:val="22"/>
          <w:lang w:val="fr-FR"/>
        </w:rPr>
        <w:t>).</w:t>
      </w:r>
    </w:p>
    <w:p w14:paraId="2276995E" w14:textId="5F963F48" w:rsidR="004C68FC" w:rsidRPr="00220850" w:rsidRDefault="00DC7945" w:rsidP="00DC7945">
      <w:pPr>
        <w:pStyle w:val="Default"/>
        <w:rPr>
          <w:color w:val="auto"/>
          <w:sz w:val="22"/>
          <w:szCs w:val="22"/>
          <w:lang w:val="fr-FR"/>
        </w:rPr>
      </w:pPr>
      <w:r w:rsidRPr="00220850">
        <w:rPr>
          <w:color w:val="auto"/>
          <w:sz w:val="22"/>
          <w:szCs w:val="22"/>
          <w:lang w:val="fr-FR"/>
        </w:rPr>
        <w:t>Kad būtų lengviau nuryti, kapsules galima vartoti su mažu kiekiu (vienu arbatiniu šaukšteliu) šalto arba kambario temperatūros minkšto maisto, pvz., obuolių tyrės arba šokoladinio pudingo. Kapsulę nedelsdami nurykite ir jos nekramtykite, kad ji išliktų nepažeista.</w:t>
      </w:r>
    </w:p>
    <w:p w14:paraId="3BB9C655" w14:textId="77777777" w:rsidR="002C65D7" w:rsidRPr="00220850" w:rsidRDefault="002C65D7" w:rsidP="00DC7945">
      <w:pPr>
        <w:pStyle w:val="Default"/>
        <w:rPr>
          <w:rFonts w:eastAsia="TimesNewRoman,Bold"/>
          <w:b/>
          <w:bCs/>
          <w:color w:val="auto"/>
          <w:sz w:val="22"/>
          <w:szCs w:val="22"/>
          <w:highlight w:val="cyan"/>
          <w:lang w:val="lt-LT"/>
        </w:rPr>
      </w:pPr>
    </w:p>
    <w:p w14:paraId="1BAF1353" w14:textId="032FFC1F" w:rsidR="00690BDA" w:rsidRPr="00220850" w:rsidRDefault="00690BDA" w:rsidP="00690BDA">
      <w:pPr>
        <w:autoSpaceDE w:val="0"/>
        <w:autoSpaceDN w:val="0"/>
        <w:adjustRightInd w:val="0"/>
        <w:rPr>
          <w:rFonts w:eastAsia="TimesNewRoman,Bold"/>
          <w:b/>
          <w:bCs/>
          <w:sz w:val="22"/>
          <w:szCs w:val="22"/>
        </w:rPr>
      </w:pPr>
      <w:r w:rsidRPr="00220850">
        <w:rPr>
          <w:rFonts w:eastAsia="TimesNewRoman,Bold"/>
          <w:b/>
          <w:bCs/>
          <w:sz w:val="22"/>
          <w:szCs w:val="22"/>
        </w:rPr>
        <w:t>Suaugusie</w:t>
      </w:r>
      <w:r w:rsidR="001C442F" w:rsidRPr="00220850">
        <w:rPr>
          <w:rFonts w:eastAsia="TimesNewRoman,Bold"/>
          <w:b/>
          <w:bCs/>
          <w:sz w:val="22"/>
          <w:szCs w:val="22"/>
        </w:rPr>
        <w:t>siems</w:t>
      </w:r>
    </w:p>
    <w:p w14:paraId="268514E5" w14:textId="77777777" w:rsidR="00690BDA" w:rsidRPr="00220850" w:rsidRDefault="00690BDA" w:rsidP="00690BDA">
      <w:pPr>
        <w:autoSpaceDE w:val="0"/>
        <w:autoSpaceDN w:val="0"/>
        <w:adjustRightInd w:val="0"/>
        <w:rPr>
          <w:rFonts w:eastAsia="TimesNewRoman"/>
          <w:sz w:val="22"/>
          <w:szCs w:val="22"/>
        </w:rPr>
      </w:pPr>
      <w:r w:rsidRPr="00220850">
        <w:rPr>
          <w:rFonts w:eastAsia="TimesNewRoman"/>
          <w:sz w:val="22"/>
          <w:szCs w:val="22"/>
        </w:rPr>
        <w:t>Rekomenduojama dozė yra viena 100 mg kapsulė du kartus per parą (iš viso 200 mg per parą).</w:t>
      </w:r>
    </w:p>
    <w:p w14:paraId="5A7F6271" w14:textId="77777777" w:rsidR="00690BDA" w:rsidRPr="00220850" w:rsidRDefault="00690BDA" w:rsidP="00690BDA">
      <w:pPr>
        <w:autoSpaceDE w:val="0"/>
        <w:autoSpaceDN w:val="0"/>
        <w:adjustRightInd w:val="0"/>
        <w:rPr>
          <w:rFonts w:eastAsia="TimesNewRoman"/>
          <w:sz w:val="22"/>
          <w:szCs w:val="22"/>
        </w:rPr>
      </w:pPr>
    </w:p>
    <w:p w14:paraId="63F06D4E" w14:textId="77777777" w:rsidR="00690BDA" w:rsidRPr="00220850" w:rsidRDefault="00690BDA" w:rsidP="00690BDA">
      <w:pPr>
        <w:autoSpaceDE w:val="0"/>
        <w:autoSpaceDN w:val="0"/>
        <w:adjustRightInd w:val="0"/>
        <w:rPr>
          <w:rFonts w:eastAsia="TimesNewRoman"/>
          <w:sz w:val="22"/>
          <w:szCs w:val="22"/>
        </w:rPr>
      </w:pPr>
      <w:r w:rsidRPr="00220850">
        <w:rPr>
          <w:rFonts w:eastAsia="TimesNewRoman"/>
          <w:sz w:val="22"/>
          <w:szCs w:val="22"/>
        </w:rPr>
        <w:t xml:space="preserve">Nevartokite didesnės už rekomenduojamą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 dvi 100 mg kapsulės per parą.</w:t>
      </w:r>
    </w:p>
    <w:p w14:paraId="199E2487" w14:textId="77777777" w:rsidR="00690BDA" w:rsidRPr="00220850" w:rsidRDefault="00690BDA" w:rsidP="00690BDA">
      <w:pPr>
        <w:autoSpaceDE w:val="0"/>
        <w:autoSpaceDN w:val="0"/>
        <w:adjustRightInd w:val="0"/>
        <w:rPr>
          <w:rFonts w:eastAsia="TimesNewRoman"/>
          <w:sz w:val="22"/>
          <w:szCs w:val="22"/>
        </w:rPr>
      </w:pPr>
    </w:p>
    <w:p w14:paraId="62EC04B1" w14:textId="3E4A6004" w:rsidR="00DE01F8" w:rsidRPr="00220850" w:rsidRDefault="00690BDA" w:rsidP="00690BDA">
      <w:pPr>
        <w:autoSpaceDE w:val="0"/>
        <w:autoSpaceDN w:val="0"/>
        <w:adjustRightInd w:val="0"/>
        <w:rPr>
          <w:rFonts w:eastAsia="TimesNewRoman"/>
          <w:sz w:val="22"/>
          <w:szCs w:val="22"/>
        </w:rPr>
      </w:pPr>
      <w:r w:rsidRPr="00220850">
        <w:rPr>
          <w:rFonts w:eastAsia="TimesNewRoman"/>
          <w:sz w:val="22"/>
          <w:szCs w:val="22"/>
        </w:rPr>
        <w:t xml:space="preserve">Jeigu rekomenduojamos dviejų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100mg kapsulių per parą dozės netoleruojate (žr. </w:t>
      </w:r>
      <w:r w:rsidR="004C68FC" w:rsidRPr="00220850">
        <w:rPr>
          <w:rFonts w:eastAsia="TimesNewRoman"/>
          <w:sz w:val="22"/>
          <w:szCs w:val="22"/>
        </w:rPr>
        <w:t>4 skyrių ”G</w:t>
      </w:r>
      <w:r w:rsidRPr="00220850">
        <w:rPr>
          <w:rFonts w:eastAsia="TimesNewRoman"/>
          <w:sz w:val="22"/>
          <w:szCs w:val="22"/>
        </w:rPr>
        <w:t>alim</w:t>
      </w:r>
      <w:r w:rsidR="004C68FC" w:rsidRPr="00220850">
        <w:rPr>
          <w:rFonts w:eastAsia="TimesNewRoman"/>
          <w:sz w:val="22"/>
          <w:szCs w:val="22"/>
        </w:rPr>
        <w:t>as</w:t>
      </w:r>
      <w:r w:rsidRPr="00220850">
        <w:rPr>
          <w:rFonts w:eastAsia="TimesNewRoman"/>
          <w:sz w:val="22"/>
          <w:szCs w:val="22"/>
        </w:rPr>
        <w:t xml:space="preserve"> šalutin</w:t>
      </w:r>
      <w:r w:rsidR="004C68FC" w:rsidRPr="00220850">
        <w:rPr>
          <w:rFonts w:eastAsia="TimesNewRoman"/>
          <w:sz w:val="22"/>
          <w:szCs w:val="22"/>
        </w:rPr>
        <w:t>is</w:t>
      </w:r>
      <w:r w:rsidRPr="00220850">
        <w:rPr>
          <w:rFonts w:eastAsia="TimesNewRoman"/>
          <w:sz w:val="22"/>
          <w:szCs w:val="22"/>
        </w:rPr>
        <w:t xml:space="preserve"> poveik</w:t>
      </w:r>
      <w:r w:rsidR="004C68FC" w:rsidRPr="00220850">
        <w:rPr>
          <w:rFonts w:eastAsia="TimesNewRoman"/>
          <w:sz w:val="22"/>
          <w:szCs w:val="22"/>
        </w:rPr>
        <w:t>is”</w:t>
      </w:r>
      <w:r w:rsidRPr="00220850">
        <w:rPr>
          <w:rFonts w:eastAsia="TimesNewRoman"/>
          <w:sz w:val="22"/>
          <w:szCs w:val="22"/>
        </w:rPr>
        <w:t>), Jūsų gydytojas gali patarti nustoti vartojus šį vaistą. Patys nemažinkite dozės ir nenustokite vartoję pirmiau nepasitarę su gydytoju.</w:t>
      </w:r>
    </w:p>
    <w:p w14:paraId="6DE2A481" w14:textId="77777777" w:rsidR="002C65D7" w:rsidRPr="00220850" w:rsidRDefault="002C65D7" w:rsidP="00690BDA">
      <w:pPr>
        <w:autoSpaceDE w:val="0"/>
        <w:autoSpaceDN w:val="0"/>
        <w:adjustRightInd w:val="0"/>
        <w:rPr>
          <w:sz w:val="22"/>
          <w:szCs w:val="24"/>
        </w:rPr>
      </w:pPr>
    </w:p>
    <w:p w14:paraId="7E10D5B7" w14:textId="77777777" w:rsidR="00DC7945" w:rsidRPr="00220850" w:rsidRDefault="00DC7945" w:rsidP="00DC7945">
      <w:pPr>
        <w:pStyle w:val="Default"/>
        <w:rPr>
          <w:color w:val="auto"/>
          <w:sz w:val="22"/>
          <w:szCs w:val="22"/>
          <w:lang w:val="lt-LT"/>
        </w:rPr>
      </w:pPr>
      <w:bookmarkStart w:id="1" w:name="_Hlk201904846"/>
      <w:r w:rsidRPr="00220850">
        <w:rPr>
          <w:b/>
          <w:bCs/>
          <w:color w:val="auto"/>
          <w:sz w:val="22"/>
          <w:szCs w:val="22"/>
          <w:lang w:val="lt-LT"/>
        </w:rPr>
        <w:t xml:space="preserve">Vartojimas vaikams ir paaugliams </w:t>
      </w:r>
    </w:p>
    <w:p w14:paraId="66E3BA6D" w14:textId="77777777" w:rsidR="00DC7945" w:rsidRPr="00220850" w:rsidRDefault="00DC7945" w:rsidP="00DC7945">
      <w:pPr>
        <w:pStyle w:val="Default"/>
        <w:rPr>
          <w:color w:val="auto"/>
          <w:sz w:val="22"/>
          <w:szCs w:val="22"/>
          <w:lang w:val="lt-LT"/>
        </w:rPr>
      </w:pPr>
      <w:r w:rsidRPr="00220850">
        <w:rPr>
          <w:color w:val="auto"/>
          <w:sz w:val="22"/>
          <w:szCs w:val="22"/>
          <w:lang w:val="lt-LT"/>
        </w:rPr>
        <w:t xml:space="preserve">Rekomenduojama dozė priklauso nuo paciento kūno svorio. </w:t>
      </w:r>
    </w:p>
    <w:p w14:paraId="7971B01D" w14:textId="0E595659" w:rsidR="00DC7945" w:rsidRPr="00220850" w:rsidRDefault="00DC7945" w:rsidP="00DC7945">
      <w:pPr>
        <w:pStyle w:val="Default"/>
        <w:rPr>
          <w:color w:val="auto"/>
          <w:sz w:val="22"/>
          <w:szCs w:val="22"/>
          <w:lang w:val="lt-LT"/>
        </w:rPr>
      </w:pPr>
      <w:r w:rsidRPr="00220850">
        <w:rPr>
          <w:color w:val="auto"/>
          <w:sz w:val="22"/>
          <w:szCs w:val="22"/>
          <w:lang w:val="lt-LT"/>
        </w:rPr>
        <w:t xml:space="preserve">Jeigu bet kuriuo gydymo metu pacientas sveria mažiau kaip 13,5 kg, apie tai pasakykite savo gydytojui. Jeigu sutrikusi Jūsų kepenų funkcija, apie tai pasakykite gydytojui. </w:t>
      </w:r>
    </w:p>
    <w:p w14:paraId="197E47B1" w14:textId="77777777" w:rsidR="00DC7945" w:rsidRPr="00220850" w:rsidRDefault="00DC7945" w:rsidP="00DC7945">
      <w:pPr>
        <w:pStyle w:val="Default"/>
        <w:rPr>
          <w:color w:val="auto"/>
          <w:sz w:val="22"/>
          <w:szCs w:val="22"/>
          <w:lang w:val="lt-LT"/>
        </w:rPr>
      </w:pPr>
      <w:r w:rsidRPr="00220850">
        <w:rPr>
          <w:color w:val="auto"/>
          <w:sz w:val="22"/>
          <w:szCs w:val="22"/>
          <w:lang w:val="lt-LT"/>
        </w:rPr>
        <w:t xml:space="preserve">Tinkamą dozę nustatys Jūsų gydytojas. Gydymo metu Jūsų gydytojas dozę gali koreguoti. </w:t>
      </w:r>
    </w:p>
    <w:p w14:paraId="1C910E38" w14:textId="2A32D5BB" w:rsidR="00DC7945" w:rsidRPr="00220850" w:rsidRDefault="00DC7945" w:rsidP="00DC7945">
      <w:pPr>
        <w:pStyle w:val="Default"/>
        <w:rPr>
          <w:color w:val="auto"/>
          <w:sz w:val="22"/>
          <w:szCs w:val="22"/>
          <w:lang w:val="lt-LT"/>
        </w:rPr>
      </w:pPr>
      <w:r w:rsidRPr="00220850">
        <w:rPr>
          <w:color w:val="auto"/>
          <w:sz w:val="22"/>
          <w:szCs w:val="22"/>
          <w:lang w:val="lt-LT"/>
        </w:rPr>
        <w:t xml:space="preserve">Jeigu rekomenduojamos </w:t>
      </w:r>
      <w:proofErr w:type="spellStart"/>
      <w:r w:rsidRPr="00220850">
        <w:rPr>
          <w:rFonts w:eastAsia="TimesNewRoman"/>
          <w:color w:val="auto"/>
          <w:sz w:val="22"/>
          <w:szCs w:val="22"/>
          <w:lang w:val="lt-LT"/>
        </w:rPr>
        <w:t>Nintedanib</w:t>
      </w:r>
      <w:proofErr w:type="spellEnd"/>
      <w:r w:rsidRPr="00220850">
        <w:rPr>
          <w:rFonts w:eastAsia="TimesNewRoman"/>
          <w:color w:val="auto"/>
          <w:sz w:val="22"/>
          <w:szCs w:val="22"/>
          <w:lang w:val="lt-LT"/>
        </w:rPr>
        <w:t xml:space="preserve"> </w:t>
      </w:r>
      <w:proofErr w:type="spellStart"/>
      <w:r w:rsidRPr="00220850">
        <w:rPr>
          <w:rFonts w:eastAsia="TimesNewRoman"/>
          <w:color w:val="auto"/>
          <w:sz w:val="22"/>
          <w:szCs w:val="22"/>
          <w:lang w:val="lt-LT"/>
        </w:rPr>
        <w:t>Teva</w:t>
      </w:r>
      <w:proofErr w:type="spellEnd"/>
      <w:r w:rsidRPr="00220850">
        <w:rPr>
          <w:color w:val="auto"/>
          <w:sz w:val="22"/>
          <w:szCs w:val="22"/>
          <w:lang w:val="lt-LT"/>
        </w:rPr>
        <w:t xml:space="preserve"> paros kapsulių dozės netoleruojate (žr. 4 skyrių „Galimas šalutinis poveikis“), gydytojas </w:t>
      </w:r>
      <w:proofErr w:type="spellStart"/>
      <w:r w:rsidRPr="00220850">
        <w:rPr>
          <w:color w:val="auto"/>
          <w:sz w:val="22"/>
          <w:szCs w:val="22"/>
          <w:lang w:val="lt-LT"/>
        </w:rPr>
        <w:t>n</w:t>
      </w:r>
      <w:r w:rsidRPr="00220850">
        <w:rPr>
          <w:rFonts w:eastAsia="TimesNewRoman"/>
          <w:color w:val="auto"/>
          <w:sz w:val="22"/>
          <w:szCs w:val="22"/>
          <w:lang w:val="lt-LT"/>
        </w:rPr>
        <w:t>intedanibo</w:t>
      </w:r>
      <w:proofErr w:type="spellEnd"/>
      <w:r w:rsidRPr="00220850">
        <w:rPr>
          <w:rFonts w:eastAsia="TimesNewRoman"/>
          <w:color w:val="auto"/>
          <w:sz w:val="22"/>
          <w:szCs w:val="22"/>
          <w:lang w:val="lt-LT"/>
        </w:rPr>
        <w:t xml:space="preserve"> </w:t>
      </w:r>
      <w:r w:rsidRPr="00220850">
        <w:rPr>
          <w:color w:val="auto"/>
          <w:sz w:val="22"/>
          <w:szCs w:val="22"/>
          <w:lang w:val="lt-LT"/>
        </w:rPr>
        <w:t xml:space="preserve">paros dozę gali sumažinti. </w:t>
      </w:r>
    </w:p>
    <w:p w14:paraId="28E7B033" w14:textId="03DB47AC" w:rsidR="00DC7945" w:rsidRPr="00220850" w:rsidRDefault="00DC7945" w:rsidP="00DC7945">
      <w:pPr>
        <w:numPr>
          <w:ilvl w:val="12"/>
          <w:numId w:val="0"/>
        </w:numPr>
        <w:rPr>
          <w:sz w:val="22"/>
          <w:szCs w:val="22"/>
          <w:highlight w:val="yellow"/>
        </w:rPr>
      </w:pPr>
      <w:r w:rsidRPr="00220850">
        <w:rPr>
          <w:sz w:val="22"/>
          <w:szCs w:val="22"/>
        </w:rPr>
        <w:t>Patys nemažinkite dozės ir nenutraukite gydymo, pirmiau nepasitarę su savo gydytoju.</w:t>
      </w:r>
    </w:p>
    <w:bookmarkEnd w:id="1"/>
    <w:p w14:paraId="78CC0EE8" w14:textId="77777777" w:rsidR="004C68FC" w:rsidRPr="00220850" w:rsidRDefault="004C68FC">
      <w:pPr>
        <w:ind w:right="-2"/>
        <w:rPr>
          <w:sz w:val="22"/>
        </w:rPr>
      </w:pPr>
    </w:p>
    <w:p w14:paraId="6C12FCAE" w14:textId="462E2EE6" w:rsidR="0015270F" w:rsidRPr="00220850" w:rsidRDefault="00DC7945" w:rsidP="0015270F">
      <w:pPr>
        <w:autoSpaceDE w:val="0"/>
        <w:autoSpaceDN w:val="0"/>
        <w:adjustRightInd w:val="0"/>
        <w:rPr>
          <w:rFonts w:eastAsia="TimesNewRoman"/>
          <w:sz w:val="22"/>
          <w:szCs w:val="22"/>
          <w:u w:val="single"/>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sz w:val="22"/>
          <w:szCs w:val="22"/>
        </w:rPr>
        <w:t xml:space="preserve"> kapsulių dozavimas vaikams ir paaugliams pagal svorį:</w:t>
      </w:r>
    </w:p>
    <w:p w14:paraId="2F749DD7" w14:textId="77777777" w:rsidR="0015270F" w:rsidRPr="00220850" w:rsidRDefault="0015270F" w:rsidP="0015270F">
      <w:pPr>
        <w:pStyle w:val="Pagrindinistekstas"/>
        <w:spacing w:before="34"/>
        <w:rPr>
          <w:b/>
          <w:color w:val="auto"/>
          <w:szCs w:val="22"/>
          <w:lang w:val="lt-LT"/>
        </w:rPr>
      </w:pPr>
    </w:p>
    <w:tbl>
      <w:tblPr>
        <w:tblStyle w:val="TableNormal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820"/>
      </w:tblGrid>
      <w:tr w:rsidR="0015270F" w:rsidRPr="00987E78" w14:paraId="58550FE4" w14:textId="77777777" w:rsidTr="0015270F">
        <w:trPr>
          <w:trHeight w:val="434"/>
        </w:trPr>
        <w:tc>
          <w:tcPr>
            <w:tcW w:w="3969" w:type="dxa"/>
            <w:tcBorders>
              <w:top w:val="single" w:sz="4" w:space="0" w:color="000000"/>
              <w:left w:val="single" w:sz="4" w:space="0" w:color="000000"/>
              <w:bottom w:val="single" w:sz="4" w:space="0" w:color="000000"/>
              <w:right w:val="single" w:sz="4" w:space="0" w:color="000000"/>
            </w:tcBorders>
            <w:hideMark/>
          </w:tcPr>
          <w:p w14:paraId="27D81A0C" w14:textId="3A17551E" w:rsidR="0015270F" w:rsidRPr="00987E78" w:rsidRDefault="0015270F">
            <w:pPr>
              <w:pStyle w:val="TableParagraph"/>
              <w:spacing w:before="27"/>
              <w:ind w:left="7"/>
              <w:jc w:val="center"/>
              <w:rPr>
                <w:rFonts w:ascii="Times New Roman" w:hAnsi="Times New Roman" w:cs="Times New Roman"/>
                <w:b/>
                <w:lang w:val="lt-LT"/>
              </w:rPr>
            </w:pPr>
            <w:r w:rsidRPr="00987E78">
              <w:rPr>
                <w:rFonts w:ascii="Times New Roman" w:hAnsi="Times New Roman" w:cs="Times New Roman"/>
                <w:b/>
                <w:lang w:val="lt-LT"/>
              </w:rPr>
              <w:t>Svorio intervalas (kg)</w:t>
            </w:r>
          </w:p>
        </w:tc>
        <w:tc>
          <w:tcPr>
            <w:tcW w:w="4820" w:type="dxa"/>
            <w:tcBorders>
              <w:top w:val="single" w:sz="4" w:space="0" w:color="000000"/>
              <w:left w:val="single" w:sz="4" w:space="0" w:color="000000"/>
              <w:bottom w:val="single" w:sz="4" w:space="0" w:color="000000"/>
              <w:right w:val="single" w:sz="4" w:space="0" w:color="000000"/>
            </w:tcBorders>
            <w:hideMark/>
          </w:tcPr>
          <w:p w14:paraId="286C0924" w14:textId="6F18B0D8" w:rsidR="0015270F" w:rsidRPr="00987E78" w:rsidRDefault="0015270F">
            <w:pPr>
              <w:pStyle w:val="TableParagraph"/>
              <w:spacing w:before="27"/>
              <w:ind w:left="115" w:right="106"/>
              <w:jc w:val="center"/>
              <w:rPr>
                <w:rFonts w:ascii="Times New Roman" w:hAnsi="Times New Roman" w:cs="Times New Roman"/>
                <w:b/>
                <w:lang w:val="lt-LT"/>
              </w:rPr>
            </w:pPr>
            <w:proofErr w:type="spellStart"/>
            <w:r w:rsidRPr="00987E78">
              <w:rPr>
                <w:rFonts w:ascii="Times New Roman" w:hAnsi="Times New Roman" w:cs="Times New Roman"/>
                <w:b/>
                <w:lang w:val="lt-LT"/>
              </w:rPr>
              <w:t>Nintedanib</w:t>
            </w:r>
            <w:proofErr w:type="spellEnd"/>
            <w:r w:rsidRPr="00987E78">
              <w:rPr>
                <w:rFonts w:ascii="Times New Roman" w:hAnsi="Times New Roman" w:cs="Times New Roman"/>
                <w:b/>
                <w:lang w:val="lt-LT"/>
              </w:rPr>
              <w:t xml:space="preserve"> </w:t>
            </w:r>
            <w:proofErr w:type="spellStart"/>
            <w:r w:rsidRPr="00987E78">
              <w:rPr>
                <w:rFonts w:ascii="Times New Roman" w:hAnsi="Times New Roman" w:cs="Times New Roman"/>
                <w:b/>
                <w:lang w:val="lt-LT"/>
              </w:rPr>
              <w:t>Teva</w:t>
            </w:r>
            <w:proofErr w:type="spellEnd"/>
            <w:r w:rsidRPr="00987E78">
              <w:rPr>
                <w:rFonts w:ascii="Times New Roman" w:hAnsi="Times New Roman" w:cs="Times New Roman"/>
                <w:b/>
                <w:lang w:val="lt-LT"/>
              </w:rPr>
              <w:t xml:space="preserve"> dozė miligramais (mg)</w:t>
            </w:r>
          </w:p>
        </w:tc>
      </w:tr>
      <w:tr w:rsidR="0015270F" w:rsidRPr="00220850" w14:paraId="053EF62F" w14:textId="77777777" w:rsidTr="0015270F">
        <w:trPr>
          <w:trHeight w:val="412"/>
        </w:trPr>
        <w:tc>
          <w:tcPr>
            <w:tcW w:w="3969" w:type="dxa"/>
            <w:tcBorders>
              <w:top w:val="single" w:sz="4" w:space="0" w:color="000000"/>
              <w:left w:val="single" w:sz="4" w:space="0" w:color="000000"/>
              <w:bottom w:val="single" w:sz="4" w:space="0" w:color="000000"/>
              <w:right w:val="single" w:sz="4" w:space="0" w:color="000000"/>
            </w:tcBorders>
            <w:hideMark/>
          </w:tcPr>
          <w:p w14:paraId="524F93D7" w14:textId="77777777" w:rsidR="0015270F" w:rsidRPr="00220850" w:rsidRDefault="0015270F" w:rsidP="0015270F">
            <w:pPr>
              <w:pStyle w:val="TableParagraph"/>
              <w:spacing w:before="29"/>
              <w:ind w:left="115" w:right="106" w:firstLine="1026"/>
              <w:rPr>
                <w:rFonts w:ascii="Times New Roman" w:hAnsi="Times New Roman" w:cs="Times New Roman"/>
                <w:lang w:val="lt-LT"/>
              </w:rPr>
            </w:pPr>
            <w:r w:rsidRPr="00220850">
              <w:rPr>
                <w:rFonts w:ascii="Times New Roman" w:hAnsi="Times New Roman" w:cs="Times New Roman"/>
                <w:lang w:val="lt-LT"/>
              </w:rPr>
              <w:t>13,5</w:t>
            </w:r>
            <w:r w:rsidRPr="00220850">
              <w:rPr>
                <w:rFonts w:ascii="Times New Roman" w:hAnsi="Times New Roman" w:cs="Times New Roman"/>
                <w:vertAlign w:val="superscript"/>
                <w:lang w:val="lt-LT"/>
              </w:rPr>
              <w:t>**</w:t>
            </w:r>
            <w:r w:rsidRPr="00220850">
              <w:rPr>
                <w:rFonts w:ascii="Times New Roman" w:hAnsi="Times New Roman" w:cs="Times New Roman"/>
                <w:spacing w:val="-1"/>
                <w:lang w:val="lt-LT"/>
              </w:rPr>
              <w:t xml:space="preserve"> </w:t>
            </w:r>
            <w:r w:rsidRPr="00220850">
              <w:rPr>
                <w:rFonts w:ascii="Times New Roman" w:hAnsi="Times New Roman" w:cs="Times New Roman"/>
                <w:lang w:val="lt-LT"/>
              </w:rPr>
              <w:t>-</w:t>
            </w:r>
            <w:r w:rsidRPr="00220850">
              <w:rPr>
                <w:rFonts w:ascii="Times New Roman" w:hAnsi="Times New Roman" w:cs="Times New Roman"/>
                <w:spacing w:val="-3"/>
                <w:lang w:val="lt-LT"/>
              </w:rPr>
              <w:t xml:space="preserve"> </w:t>
            </w:r>
            <w:r w:rsidRPr="00220850">
              <w:rPr>
                <w:rFonts w:ascii="Times New Roman" w:hAnsi="Times New Roman" w:cs="Times New Roman"/>
                <w:lang w:val="lt-LT"/>
              </w:rPr>
              <w:t>22,9</w:t>
            </w:r>
            <w:r w:rsidRPr="00220850">
              <w:rPr>
                <w:rFonts w:ascii="Times New Roman" w:hAnsi="Times New Roman" w:cs="Times New Roman"/>
                <w:spacing w:val="-1"/>
                <w:lang w:val="lt-LT"/>
              </w:rPr>
              <w:t> </w:t>
            </w:r>
            <w:r w:rsidRPr="0022085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51E77C2A" w14:textId="06E098B6" w:rsidR="0015270F" w:rsidRPr="00220850" w:rsidRDefault="0015270F">
            <w:pPr>
              <w:pStyle w:val="Default"/>
              <w:ind w:left="112"/>
              <w:rPr>
                <w:rFonts w:ascii="Times New Roman" w:hAnsi="Times New Roman" w:cs="Times New Roman"/>
                <w:color w:val="auto"/>
                <w:lang w:val="lt-LT"/>
              </w:rPr>
            </w:pPr>
            <w:r w:rsidRPr="00220850">
              <w:rPr>
                <w:rFonts w:ascii="Times New Roman" w:hAnsi="Times New Roman" w:cs="Times New Roman"/>
                <w:color w:val="auto"/>
                <w:szCs w:val="22"/>
                <w:lang w:val="lt-LT"/>
              </w:rPr>
              <w:t xml:space="preserve">50 mg (dvi 25 mg kapsules) du kartus per parą </w:t>
            </w:r>
          </w:p>
        </w:tc>
      </w:tr>
      <w:tr w:rsidR="0015270F" w:rsidRPr="00220850" w14:paraId="17E8BE86" w14:textId="77777777" w:rsidTr="0015270F">
        <w:trPr>
          <w:trHeight w:val="404"/>
        </w:trPr>
        <w:tc>
          <w:tcPr>
            <w:tcW w:w="3969" w:type="dxa"/>
            <w:tcBorders>
              <w:top w:val="single" w:sz="4" w:space="0" w:color="000000"/>
              <w:left w:val="single" w:sz="4" w:space="0" w:color="000000"/>
              <w:bottom w:val="single" w:sz="4" w:space="0" w:color="000000"/>
              <w:right w:val="single" w:sz="4" w:space="0" w:color="000000"/>
            </w:tcBorders>
            <w:hideMark/>
          </w:tcPr>
          <w:p w14:paraId="5B77210B" w14:textId="77777777" w:rsidR="0015270F" w:rsidRPr="00220850" w:rsidRDefault="0015270F" w:rsidP="0015270F">
            <w:pPr>
              <w:pStyle w:val="TableParagraph"/>
              <w:spacing w:before="27"/>
              <w:ind w:left="894" w:firstLine="247"/>
              <w:rPr>
                <w:rFonts w:ascii="Times New Roman" w:hAnsi="Times New Roman" w:cs="Times New Roman"/>
                <w:lang w:val="lt-LT"/>
              </w:rPr>
            </w:pPr>
            <w:r w:rsidRPr="00220850">
              <w:rPr>
                <w:rFonts w:ascii="Times New Roman" w:hAnsi="Times New Roman" w:cs="Times New Roman"/>
                <w:lang w:val="lt-LT"/>
              </w:rPr>
              <w:t>23,0 –</w:t>
            </w:r>
            <w:r w:rsidRPr="00220850">
              <w:rPr>
                <w:rFonts w:ascii="Times New Roman" w:hAnsi="Times New Roman" w:cs="Times New Roman"/>
                <w:spacing w:val="-2"/>
                <w:lang w:val="lt-LT"/>
              </w:rPr>
              <w:t xml:space="preserve"> </w:t>
            </w:r>
            <w:r w:rsidRPr="00220850">
              <w:rPr>
                <w:rFonts w:ascii="Times New Roman" w:hAnsi="Times New Roman" w:cs="Times New Roman"/>
                <w:lang w:val="lt-LT"/>
              </w:rPr>
              <w:t>33,4 </w:t>
            </w:r>
            <w:r w:rsidRPr="0022085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043B9724" w14:textId="2CA33F43" w:rsidR="0015270F" w:rsidRPr="00220850" w:rsidRDefault="0015270F">
            <w:pPr>
              <w:pStyle w:val="TableParagraph"/>
              <w:spacing w:before="25" w:line="264" w:lineRule="auto"/>
              <w:ind w:left="127" w:hanging="12"/>
              <w:rPr>
                <w:rFonts w:ascii="Times New Roman" w:hAnsi="Times New Roman" w:cs="Times New Roman"/>
                <w:lang w:val="lt-LT"/>
              </w:rPr>
            </w:pPr>
            <w:r w:rsidRPr="00220850">
              <w:rPr>
                <w:rFonts w:ascii="Times New Roman" w:hAnsi="Times New Roman" w:cs="Times New Roman"/>
                <w:lang w:val="lt-LT"/>
              </w:rPr>
              <w:t>75</w:t>
            </w:r>
            <w:r w:rsidRPr="00220850">
              <w:rPr>
                <w:rFonts w:ascii="Times New Roman" w:hAnsi="Times New Roman" w:cs="Times New Roman"/>
                <w:spacing w:val="-7"/>
                <w:lang w:val="lt-LT"/>
              </w:rPr>
              <w:t> </w:t>
            </w:r>
            <w:r w:rsidRPr="00220850">
              <w:rPr>
                <w:rFonts w:ascii="Times New Roman" w:hAnsi="Times New Roman" w:cs="Times New Roman"/>
                <w:lang w:val="lt-LT"/>
              </w:rPr>
              <w:t>mg</w:t>
            </w:r>
            <w:r w:rsidRPr="00220850">
              <w:rPr>
                <w:rFonts w:ascii="Times New Roman" w:hAnsi="Times New Roman" w:cs="Times New Roman"/>
                <w:spacing w:val="-9"/>
                <w:lang w:val="lt-LT"/>
              </w:rPr>
              <w:t xml:space="preserve"> </w:t>
            </w:r>
            <w:r w:rsidRPr="00220850">
              <w:rPr>
                <w:rFonts w:ascii="Times New Roman" w:hAnsi="Times New Roman" w:cs="Times New Roman"/>
                <w:lang w:val="lt-LT"/>
              </w:rPr>
              <w:t>(tris 25</w:t>
            </w:r>
            <w:r w:rsidRPr="00220850">
              <w:rPr>
                <w:rFonts w:ascii="Times New Roman" w:hAnsi="Times New Roman" w:cs="Times New Roman"/>
                <w:spacing w:val="-9"/>
                <w:lang w:val="lt-LT"/>
              </w:rPr>
              <w:t> </w:t>
            </w:r>
            <w:r w:rsidRPr="00220850">
              <w:rPr>
                <w:rFonts w:ascii="Times New Roman" w:hAnsi="Times New Roman" w:cs="Times New Roman"/>
                <w:lang w:val="lt-LT"/>
              </w:rPr>
              <w:t>mg</w:t>
            </w:r>
            <w:r w:rsidRPr="00220850">
              <w:rPr>
                <w:rFonts w:ascii="Times New Roman" w:hAnsi="Times New Roman" w:cs="Times New Roman"/>
                <w:spacing w:val="-7"/>
                <w:lang w:val="lt-LT"/>
              </w:rPr>
              <w:t xml:space="preserve"> k</w:t>
            </w:r>
            <w:r w:rsidRPr="00220850">
              <w:rPr>
                <w:rFonts w:ascii="Times New Roman" w:hAnsi="Times New Roman" w:cs="Times New Roman"/>
                <w:lang w:val="lt-LT"/>
              </w:rPr>
              <w:t>apsules) du kartus per parą</w:t>
            </w:r>
          </w:p>
        </w:tc>
      </w:tr>
      <w:tr w:rsidR="0015270F" w:rsidRPr="00220850" w14:paraId="0FB18F5D" w14:textId="77777777" w:rsidTr="0015270F">
        <w:trPr>
          <w:trHeight w:val="720"/>
        </w:trPr>
        <w:tc>
          <w:tcPr>
            <w:tcW w:w="3969" w:type="dxa"/>
            <w:tcBorders>
              <w:top w:val="single" w:sz="4" w:space="0" w:color="000000"/>
              <w:left w:val="single" w:sz="4" w:space="0" w:color="000000"/>
              <w:bottom w:val="single" w:sz="4" w:space="0" w:color="000000"/>
              <w:right w:val="single" w:sz="4" w:space="0" w:color="000000"/>
            </w:tcBorders>
            <w:hideMark/>
          </w:tcPr>
          <w:p w14:paraId="56E1D2F3" w14:textId="77777777" w:rsidR="0015270F" w:rsidRPr="00220850" w:rsidRDefault="0015270F" w:rsidP="0015270F">
            <w:pPr>
              <w:pStyle w:val="TableParagraph"/>
              <w:spacing w:before="27"/>
              <w:ind w:left="894" w:firstLine="247"/>
              <w:rPr>
                <w:rFonts w:ascii="Times New Roman" w:hAnsi="Times New Roman" w:cs="Times New Roman"/>
                <w:lang w:val="lt-LT"/>
              </w:rPr>
            </w:pPr>
            <w:r w:rsidRPr="00220850">
              <w:rPr>
                <w:rFonts w:ascii="Times New Roman" w:hAnsi="Times New Roman" w:cs="Times New Roman"/>
                <w:lang w:val="lt-LT"/>
              </w:rPr>
              <w:t>33,5 –</w:t>
            </w:r>
            <w:r w:rsidRPr="00220850">
              <w:rPr>
                <w:rFonts w:ascii="Times New Roman" w:hAnsi="Times New Roman" w:cs="Times New Roman"/>
                <w:spacing w:val="-2"/>
                <w:lang w:val="lt-LT"/>
              </w:rPr>
              <w:t xml:space="preserve"> </w:t>
            </w:r>
            <w:r w:rsidRPr="00220850">
              <w:rPr>
                <w:rFonts w:ascii="Times New Roman" w:hAnsi="Times New Roman" w:cs="Times New Roman"/>
                <w:lang w:val="lt-LT"/>
              </w:rPr>
              <w:t>57,4 </w:t>
            </w:r>
            <w:r w:rsidRPr="0022085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30669DED" w14:textId="363050AE" w:rsidR="0015270F" w:rsidRPr="00220850" w:rsidRDefault="0015270F">
            <w:pPr>
              <w:pStyle w:val="TableParagraph"/>
              <w:spacing w:before="25" w:line="264" w:lineRule="auto"/>
              <w:ind w:left="127" w:hanging="12"/>
              <w:rPr>
                <w:rFonts w:ascii="Times New Roman" w:hAnsi="Times New Roman" w:cs="Times New Roman"/>
                <w:lang w:val="lt-LT"/>
              </w:rPr>
            </w:pPr>
            <w:r w:rsidRPr="00220850">
              <w:rPr>
                <w:rFonts w:ascii="Times New Roman" w:hAnsi="Times New Roman" w:cs="Times New Roman"/>
                <w:lang w:val="lt-LT"/>
              </w:rPr>
              <w:t>100</w:t>
            </w:r>
            <w:r w:rsidRPr="00220850">
              <w:rPr>
                <w:rFonts w:ascii="Times New Roman" w:hAnsi="Times New Roman" w:cs="Times New Roman"/>
                <w:spacing w:val="-5"/>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(vieną</w:t>
            </w:r>
            <w:r w:rsidRPr="00220850">
              <w:rPr>
                <w:rFonts w:ascii="Times New Roman" w:hAnsi="Times New Roman" w:cs="Times New Roman"/>
                <w:spacing w:val="-5"/>
                <w:lang w:val="lt-LT"/>
              </w:rPr>
              <w:t xml:space="preserve"> </w:t>
            </w:r>
            <w:r w:rsidRPr="00220850">
              <w:rPr>
                <w:rFonts w:ascii="Times New Roman" w:hAnsi="Times New Roman" w:cs="Times New Roman"/>
                <w:lang w:val="lt-LT"/>
              </w:rPr>
              <w:t>100</w:t>
            </w:r>
            <w:r w:rsidRPr="00220850">
              <w:rPr>
                <w:rFonts w:ascii="Times New Roman" w:hAnsi="Times New Roman" w:cs="Times New Roman"/>
                <w:spacing w:val="-7"/>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Pr="00220850">
              <w:rPr>
                <w:rFonts w:ascii="Times New Roman" w:hAnsi="Times New Roman" w:cs="Times New Roman"/>
                <w:spacing w:val="-4"/>
                <w:lang w:val="lt-LT"/>
              </w:rPr>
              <w:t xml:space="preserve"> arba keturias </w:t>
            </w:r>
            <w:r w:rsidRPr="00220850">
              <w:rPr>
                <w:rFonts w:ascii="Times New Roman" w:hAnsi="Times New Roman" w:cs="Times New Roman"/>
                <w:lang w:val="lt-LT"/>
              </w:rPr>
              <w:t xml:space="preserve">25 mg kapsules) du </w:t>
            </w:r>
            <w:r w:rsidR="002C65D7" w:rsidRPr="00220850">
              <w:rPr>
                <w:rFonts w:ascii="Times New Roman" w:hAnsi="Times New Roman" w:cs="Times New Roman"/>
                <w:lang w:val="lt-LT"/>
              </w:rPr>
              <w:t>k</w:t>
            </w:r>
            <w:r w:rsidRPr="00220850">
              <w:rPr>
                <w:rFonts w:ascii="Times New Roman" w:hAnsi="Times New Roman" w:cs="Times New Roman"/>
                <w:lang w:val="lt-LT"/>
              </w:rPr>
              <w:t>artus per parą</w:t>
            </w:r>
          </w:p>
        </w:tc>
      </w:tr>
      <w:tr w:rsidR="0015270F" w:rsidRPr="00220850" w14:paraId="68FFA9C4" w14:textId="77777777" w:rsidTr="0015270F">
        <w:trPr>
          <w:trHeight w:val="689"/>
        </w:trPr>
        <w:tc>
          <w:tcPr>
            <w:tcW w:w="3969" w:type="dxa"/>
            <w:tcBorders>
              <w:top w:val="single" w:sz="4" w:space="0" w:color="000000"/>
              <w:left w:val="single" w:sz="4" w:space="0" w:color="000000"/>
              <w:bottom w:val="single" w:sz="4" w:space="0" w:color="000000"/>
              <w:right w:val="single" w:sz="4" w:space="0" w:color="000000"/>
            </w:tcBorders>
            <w:hideMark/>
          </w:tcPr>
          <w:p w14:paraId="29D58CF9" w14:textId="77777777" w:rsidR="0015270F" w:rsidRPr="00220850" w:rsidRDefault="0015270F" w:rsidP="0015270F">
            <w:pPr>
              <w:pStyle w:val="TableParagraph"/>
              <w:spacing w:before="27"/>
              <w:ind w:left="702" w:firstLine="439"/>
              <w:rPr>
                <w:rFonts w:ascii="Times New Roman" w:hAnsi="Times New Roman" w:cs="Times New Roman"/>
                <w:lang w:val="lt-LT"/>
              </w:rPr>
            </w:pPr>
            <w:r w:rsidRPr="00220850">
              <w:rPr>
                <w:rFonts w:ascii="Times New Roman" w:hAnsi="Times New Roman" w:cs="Times New Roman"/>
                <w:lang w:val="lt-LT"/>
              </w:rPr>
              <w:t>57,5</w:t>
            </w:r>
            <w:r w:rsidRPr="00220850">
              <w:rPr>
                <w:rFonts w:ascii="Times New Roman" w:hAnsi="Times New Roman" w:cs="Times New Roman"/>
                <w:spacing w:val="-1"/>
                <w:lang w:val="lt-LT"/>
              </w:rPr>
              <w:t> </w:t>
            </w:r>
            <w:r w:rsidRPr="00220850">
              <w:rPr>
                <w:rFonts w:ascii="Times New Roman" w:hAnsi="Times New Roman" w:cs="Times New Roman"/>
                <w:lang w:val="lt-LT"/>
              </w:rPr>
              <w:t>kg</w:t>
            </w:r>
            <w:r w:rsidRPr="00220850">
              <w:rPr>
                <w:rFonts w:ascii="Times New Roman" w:hAnsi="Times New Roman" w:cs="Times New Roman"/>
                <w:spacing w:val="-1"/>
                <w:lang w:val="lt-LT"/>
              </w:rPr>
              <w:t xml:space="preserve"> ir daugiau</w:t>
            </w:r>
          </w:p>
        </w:tc>
        <w:tc>
          <w:tcPr>
            <w:tcW w:w="4820" w:type="dxa"/>
            <w:tcBorders>
              <w:top w:val="single" w:sz="4" w:space="0" w:color="000000"/>
              <w:left w:val="single" w:sz="4" w:space="0" w:color="000000"/>
              <w:bottom w:val="single" w:sz="4" w:space="0" w:color="000000"/>
              <w:right w:val="single" w:sz="4" w:space="0" w:color="000000"/>
            </w:tcBorders>
            <w:hideMark/>
          </w:tcPr>
          <w:p w14:paraId="008DEA0D" w14:textId="064BA52E" w:rsidR="0015270F" w:rsidRPr="00220850" w:rsidRDefault="0015270F">
            <w:pPr>
              <w:pStyle w:val="TableParagraph"/>
              <w:spacing w:before="25" w:line="264" w:lineRule="auto"/>
              <w:ind w:left="127" w:hanging="12"/>
              <w:rPr>
                <w:rFonts w:ascii="Times New Roman" w:hAnsi="Times New Roman" w:cs="Times New Roman"/>
                <w:lang w:val="lt-LT"/>
              </w:rPr>
            </w:pPr>
            <w:r w:rsidRPr="00220850">
              <w:rPr>
                <w:rFonts w:ascii="Times New Roman" w:hAnsi="Times New Roman" w:cs="Times New Roman"/>
                <w:lang w:val="lt-LT"/>
              </w:rPr>
              <w:t>150</w:t>
            </w:r>
            <w:r w:rsidRPr="00220850">
              <w:rPr>
                <w:rFonts w:ascii="Times New Roman" w:hAnsi="Times New Roman" w:cs="Times New Roman"/>
                <w:spacing w:val="-5"/>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(vieną</w:t>
            </w:r>
            <w:r w:rsidRPr="00220850">
              <w:rPr>
                <w:rFonts w:ascii="Times New Roman" w:hAnsi="Times New Roman" w:cs="Times New Roman"/>
                <w:spacing w:val="-5"/>
                <w:lang w:val="lt-LT"/>
              </w:rPr>
              <w:t xml:space="preserve"> </w:t>
            </w:r>
            <w:r w:rsidRPr="00220850">
              <w:rPr>
                <w:rFonts w:ascii="Times New Roman" w:hAnsi="Times New Roman" w:cs="Times New Roman"/>
                <w:lang w:val="lt-LT"/>
              </w:rPr>
              <w:t>150</w:t>
            </w:r>
            <w:r w:rsidRPr="00220850">
              <w:rPr>
                <w:rFonts w:ascii="Times New Roman" w:hAnsi="Times New Roman" w:cs="Times New Roman"/>
                <w:spacing w:val="-8"/>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Pr="00220850">
              <w:rPr>
                <w:rFonts w:ascii="Times New Roman" w:hAnsi="Times New Roman" w:cs="Times New Roman"/>
                <w:spacing w:val="-4"/>
                <w:lang w:val="lt-LT"/>
              </w:rPr>
              <w:t xml:space="preserve"> </w:t>
            </w:r>
            <w:r w:rsidRPr="00220850">
              <w:rPr>
                <w:rFonts w:ascii="Times New Roman" w:hAnsi="Times New Roman" w:cs="Times New Roman"/>
                <w:lang w:val="lt-LT"/>
              </w:rPr>
              <w:t>arba šešias 25 mg</w:t>
            </w:r>
            <w:r w:rsidRPr="00220850">
              <w:rPr>
                <w:rFonts w:ascii="Times New Roman" w:hAnsi="Times New Roman" w:cs="Times New Roman"/>
                <w:spacing w:val="-5"/>
                <w:lang w:val="lt-LT"/>
              </w:rPr>
              <w:t xml:space="preserve"> </w:t>
            </w:r>
            <w:r w:rsidRPr="00220850">
              <w:rPr>
                <w:rFonts w:ascii="Times New Roman" w:hAnsi="Times New Roman" w:cs="Times New Roman"/>
                <w:lang w:val="lt-LT"/>
              </w:rPr>
              <w:t>kapsules) du kartus per parą</w:t>
            </w:r>
          </w:p>
        </w:tc>
      </w:tr>
    </w:tbl>
    <w:p w14:paraId="3BFCC958" w14:textId="29B55E43" w:rsidR="0015270F" w:rsidRPr="00220850" w:rsidRDefault="0015270F">
      <w:pPr>
        <w:keepNext/>
        <w:tabs>
          <w:tab w:val="left" w:pos="567"/>
        </w:tabs>
        <w:spacing w:line="260" w:lineRule="exact"/>
        <w:jc w:val="both"/>
        <w:outlineLvl w:val="3"/>
        <w:rPr>
          <w:b/>
          <w:bCs/>
          <w:sz w:val="22"/>
          <w:szCs w:val="22"/>
          <w:lang w:eastAsia="x-none"/>
        </w:rPr>
      </w:pPr>
    </w:p>
    <w:p w14:paraId="5DF5C940" w14:textId="65EF5A89" w:rsidR="00DC7945" w:rsidRPr="00220850" w:rsidRDefault="004F281D" w:rsidP="004F281D">
      <w:pPr>
        <w:keepNext/>
        <w:tabs>
          <w:tab w:val="left" w:pos="567"/>
        </w:tabs>
        <w:spacing w:line="260" w:lineRule="exact"/>
        <w:jc w:val="both"/>
        <w:outlineLvl w:val="3"/>
        <w:rPr>
          <w:bCs/>
          <w:sz w:val="22"/>
          <w:szCs w:val="22"/>
          <w:lang w:eastAsia="x-none"/>
        </w:rPr>
      </w:pPr>
      <w:r w:rsidRPr="00220850">
        <w:rPr>
          <w:bCs/>
          <w:sz w:val="22"/>
          <w:szCs w:val="22"/>
          <w:lang w:eastAsia="x-none"/>
        </w:rPr>
        <w:t xml:space="preserve">Jei šiuo vaistu </w:t>
      </w:r>
      <w:r w:rsidR="00CE27D1" w:rsidRPr="00220850">
        <w:rPr>
          <w:bCs/>
          <w:sz w:val="22"/>
          <w:szCs w:val="22"/>
          <w:lang w:eastAsia="x-none"/>
        </w:rPr>
        <w:t xml:space="preserve">tinkamų dozių </w:t>
      </w:r>
      <w:r w:rsidR="005509C6" w:rsidRPr="00220850">
        <w:rPr>
          <w:bCs/>
          <w:sz w:val="22"/>
          <w:szCs w:val="22"/>
          <w:lang w:eastAsia="x-none"/>
        </w:rPr>
        <w:t>vartoti</w:t>
      </w:r>
      <w:r w:rsidR="00CE27D1" w:rsidRPr="00220850">
        <w:rPr>
          <w:bCs/>
          <w:sz w:val="22"/>
          <w:szCs w:val="22"/>
          <w:lang w:eastAsia="x-none"/>
        </w:rPr>
        <w:t xml:space="preserve"> </w:t>
      </w:r>
      <w:r w:rsidRPr="00220850">
        <w:rPr>
          <w:bCs/>
          <w:sz w:val="22"/>
          <w:szCs w:val="22"/>
          <w:lang w:eastAsia="x-none"/>
        </w:rPr>
        <w:t>ne</w:t>
      </w:r>
      <w:r w:rsidR="00DA5D24" w:rsidRPr="00220850">
        <w:rPr>
          <w:bCs/>
          <w:sz w:val="22"/>
          <w:szCs w:val="22"/>
          <w:lang w:eastAsia="x-none"/>
        </w:rPr>
        <w:t>į</w:t>
      </w:r>
      <w:r w:rsidRPr="00220850">
        <w:rPr>
          <w:bCs/>
          <w:sz w:val="22"/>
          <w:szCs w:val="22"/>
          <w:lang w:eastAsia="x-none"/>
        </w:rPr>
        <w:t>manoma</w:t>
      </w:r>
      <w:r w:rsidR="0072396E" w:rsidRPr="00220850">
        <w:rPr>
          <w:bCs/>
          <w:sz w:val="22"/>
          <w:szCs w:val="22"/>
          <w:lang w:eastAsia="x-none"/>
        </w:rPr>
        <w:t xml:space="preserve"> </w:t>
      </w:r>
      <w:r w:rsidRPr="00220850">
        <w:rPr>
          <w:bCs/>
          <w:sz w:val="22"/>
          <w:szCs w:val="22"/>
          <w:lang w:eastAsia="x-none"/>
        </w:rPr>
        <w:t xml:space="preserve">, galima įsigyti tinkamesnio stiprumo </w:t>
      </w:r>
      <w:proofErr w:type="spellStart"/>
      <w:r w:rsidRPr="00220850">
        <w:rPr>
          <w:bCs/>
          <w:sz w:val="22"/>
          <w:szCs w:val="22"/>
          <w:lang w:eastAsia="x-none"/>
        </w:rPr>
        <w:t>nintedanibo</w:t>
      </w:r>
      <w:proofErr w:type="spellEnd"/>
      <w:r w:rsidRPr="00220850">
        <w:rPr>
          <w:bCs/>
          <w:sz w:val="22"/>
          <w:szCs w:val="22"/>
          <w:lang w:eastAsia="x-none"/>
        </w:rPr>
        <w:t xml:space="preserve"> turinčių vaistų.</w:t>
      </w:r>
    </w:p>
    <w:p w14:paraId="683AA6B4" w14:textId="77777777" w:rsidR="00DC7945" w:rsidRPr="00220850" w:rsidRDefault="00DC7945">
      <w:pPr>
        <w:keepNext/>
        <w:tabs>
          <w:tab w:val="left" w:pos="567"/>
        </w:tabs>
        <w:spacing w:line="260" w:lineRule="exact"/>
        <w:jc w:val="both"/>
        <w:outlineLvl w:val="3"/>
        <w:rPr>
          <w:b/>
          <w:bCs/>
          <w:sz w:val="22"/>
          <w:szCs w:val="22"/>
          <w:lang w:eastAsia="x-none"/>
        </w:rPr>
      </w:pPr>
    </w:p>
    <w:p w14:paraId="3733B721" w14:textId="304757B7" w:rsidR="00DE01F8" w:rsidRPr="00220850" w:rsidRDefault="002D5C8E">
      <w:pPr>
        <w:keepNext/>
        <w:tabs>
          <w:tab w:val="left" w:pos="567"/>
        </w:tabs>
        <w:spacing w:line="260" w:lineRule="exact"/>
        <w:jc w:val="both"/>
        <w:outlineLvl w:val="3"/>
        <w:rPr>
          <w:b/>
          <w:bCs/>
          <w:sz w:val="22"/>
          <w:szCs w:val="22"/>
          <w:lang w:eastAsia="x-none"/>
        </w:rPr>
      </w:pPr>
      <w:r w:rsidRPr="00220850">
        <w:rPr>
          <w:b/>
          <w:bCs/>
          <w:sz w:val="22"/>
          <w:szCs w:val="22"/>
          <w:lang w:eastAsia="x-none"/>
        </w:rPr>
        <w:t xml:space="preserve">Ką daryti pavartojus per didelę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r w:rsidRPr="00220850">
        <w:rPr>
          <w:b/>
          <w:bCs/>
          <w:sz w:val="22"/>
          <w:szCs w:val="22"/>
          <w:lang w:eastAsia="x-none"/>
        </w:rPr>
        <w:t xml:space="preserve"> dozę</w:t>
      </w:r>
    </w:p>
    <w:p w14:paraId="56054614" w14:textId="77777777" w:rsidR="00DE01F8" w:rsidRPr="00220850" w:rsidRDefault="00690BDA">
      <w:pPr>
        <w:numPr>
          <w:ilvl w:val="12"/>
          <w:numId w:val="0"/>
        </w:numPr>
        <w:ind w:right="-2"/>
        <w:rPr>
          <w:sz w:val="22"/>
          <w:szCs w:val="24"/>
        </w:rPr>
      </w:pPr>
      <w:r w:rsidRPr="00220850">
        <w:rPr>
          <w:rFonts w:eastAsia="TimesNewRoman"/>
          <w:sz w:val="22"/>
          <w:szCs w:val="22"/>
        </w:rPr>
        <w:t>Nedelsdami kreipkitės į gydytoją arba vaistininką.</w:t>
      </w:r>
    </w:p>
    <w:p w14:paraId="235E45FC" w14:textId="77777777" w:rsidR="003A654B" w:rsidRPr="00220850" w:rsidRDefault="003A654B">
      <w:pPr>
        <w:keepNext/>
        <w:tabs>
          <w:tab w:val="left" w:pos="567"/>
        </w:tabs>
        <w:spacing w:line="260" w:lineRule="exact"/>
        <w:jc w:val="both"/>
        <w:outlineLvl w:val="3"/>
        <w:rPr>
          <w:b/>
          <w:bCs/>
          <w:sz w:val="22"/>
          <w:szCs w:val="28"/>
          <w:lang w:eastAsia="x-none"/>
        </w:rPr>
      </w:pPr>
    </w:p>
    <w:p w14:paraId="72AF8A6B"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Pamiršus pavartoti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r w:rsidR="005D7751" w:rsidRPr="00220850">
        <w:rPr>
          <w:b/>
          <w:sz w:val="22"/>
          <w:szCs w:val="22"/>
        </w:rPr>
        <w:t xml:space="preserve"> </w:t>
      </w:r>
    </w:p>
    <w:p w14:paraId="535E1BB6" w14:textId="77777777" w:rsidR="00DE01F8" w:rsidRPr="00220850" w:rsidRDefault="00690BDA" w:rsidP="003A654B">
      <w:pPr>
        <w:autoSpaceDE w:val="0"/>
        <w:autoSpaceDN w:val="0"/>
        <w:adjustRightInd w:val="0"/>
        <w:rPr>
          <w:sz w:val="22"/>
          <w:szCs w:val="24"/>
        </w:rPr>
      </w:pPr>
      <w:r w:rsidRPr="00220850">
        <w:rPr>
          <w:rFonts w:eastAsia="TimesNewRoman"/>
          <w:sz w:val="22"/>
          <w:szCs w:val="22"/>
        </w:rPr>
        <w:t xml:space="preserve">Negerkite dviejų kapsulių iš karto, jei užmiršote išgerti ankstesnę dozę. Kitą </w:t>
      </w:r>
      <w:r w:rsidR="003A654B" w:rsidRPr="00220850">
        <w:rPr>
          <w:rFonts w:eastAsia="TimesNewRoman"/>
          <w:sz w:val="22"/>
          <w:szCs w:val="22"/>
        </w:rPr>
        <w:t xml:space="preserve">100 mg </w:t>
      </w:r>
      <w:proofErr w:type="spellStart"/>
      <w:r w:rsidR="003A654B" w:rsidRPr="00220850">
        <w:rPr>
          <w:rFonts w:eastAsia="TimesNewRoman"/>
          <w:sz w:val="22"/>
          <w:szCs w:val="22"/>
        </w:rPr>
        <w:t>Nintendanib</w:t>
      </w:r>
      <w:proofErr w:type="spellEnd"/>
      <w:r w:rsidR="003A654B" w:rsidRPr="00220850">
        <w:rPr>
          <w:rFonts w:eastAsia="TimesNewRoman"/>
          <w:sz w:val="22"/>
          <w:szCs w:val="22"/>
        </w:rPr>
        <w:t xml:space="preserve"> </w:t>
      </w:r>
      <w:proofErr w:type="spellStart"/>
      <w:r w:rsidR="003A654B" w:rsidRPr="00220850">
        <w:rPr>
          <w:rFonts w:eastAsia="TimesNewRoman"/>
          <w:sz w:val="22"/>
          <w:szCs w:val="22"/>
        </w:rPr>
        <w:t>Teva</w:t>
      </w:r>
      <w:proofErr w:type="spellEnd"/>
      <w:r w:rsidR="003A654B" w:rsidRPr="00220850">
        <w:rPr>
          <w:rFonts w:eastAsia="TimesNewRoman"/>
          <w:sz w:val="22"/>
          <w:szCs w:val="22"/>
        </w:rPr>
        <w:t xml:space="preserve"> </w:t>
      </w:r>
      <w:r w:rsidRPr="00220850">
        <w:rPr>
          <w:rFonts w:eastAsia="TimesNewRoman"/>
          <w:sz w:val="22"/>
          <w:szCs w:val="22"/>
        </w:rPr>
        <w:t>dozę gerkite kaip</w:t>
      </w:r>
      <w:r w:rsidR="003A654B" w:rsidRPr="00220850">
        <w:rPr>
          <w:rFonts w:eastAsia="TimesNewRoman"/>
          <w:sz w:val="22"/>
          <w:szCs w:val="22"/>
        </w:rPr>
        <w:t xml:space="preserve"> </w:t>
      </w:r>
      <w:r w:rsidRPr="00220850">
        <w:rPr>
          <w:rFonts w:eastAsia="TimesNewRoman"/>
          <w:sz w:val="22"/>
          <w:szCs w:val="22"/>
        </w:rPr>
        <w:t>numatyta įprastu laiku, kaip Jums rekomendavo gydytojas ar vaistininkas.</w:t>
      </w:r>
    </w:p>
    <w:p w14:paraId="5C5A043C" w14:textId="77777777" w:rsidR="003A654B" w:rsidRPr="00220850" w:rsidRDefault="003A654B">
      <w:pPr>
        <w:keepNext/>
        <w:tabs>
          <w:tab w:val="left" w:pos="567"/>
        </w:tabs>
        <w:spacing w:line="260" w:lineRule="exact"/>
        <w:jc w:val="both"/>
        <w:outlineLvl w:val="3"/>
        <w:rPr>
          <w:b/>
          <w:bCs/>
          <w:sz w:val="22"/>
          <w:szCs w:val="28"/>
          <w:lang w:eastAsia="x-none"/>
        </w:rPr>
      </w:pPr>
    </w:p>
    <w:p w14:paraId="046159F3" w14:textId="77777777" w:rsidR="00DE01F8" w:rsidRPr="00220850" w:rsidRDefault="002D5C8E" w:rsidP="003A654B">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Nustojus vartoti </w:t>
      </w:r>
      <w:proofErr w:type="spellStart"/>
      <w:r w:rsidR="003A654B" w:rsidRPr="00220850">
        <w:rPr>
          <w:b/>
          <w:sz w:val="22"/>
          <w:szCs w:val="22"/>
        </w:rPr>
        <w:t>Nintedanib</w:t>
      </w:r>
      <w:proofErr w:type="spellEnd"/>
      <w:r w:rsidR="003A654B" w:rsidRPr="00220850">
        <w:rPr>
          <w:b/>
          <w:sz w:val="22"/>
          <w:szCs w:val="22"/>
        </w:rPr>
        <w:t xml:space="preserve"> </w:t>
      </w:r>
      <w:proofErr w:type="spellStart"/>
      <w:r w:rsidR="003A654B" w:rsidRPr="00220850">
        <w:rPr>
          <w:b/>
          <w:sz w:val="22"/>
          <w:szCs w:val="22"/>
        </w:rPr>
        <w:t>Teva</w:t>
      </w:r>
      <w:proofErr w:type="spellEnd"/>
    </w:p>
    <w:p w14:paraId="25C48530" w14:textId="77777777" w:rsidR="00690BDA" w:rsidRPr="00220850" w:rsidRDefault="00690BDA" w:rsidP="00690BDA">
      <w:pPr>
        <w:autoSpaceDE w:val="0"/>
        <w:autoSpaceDN w:val="0"/>
        <w:adjustRightInd w:val="0"/>
        <w:rPr>
          <w:rFonts w:eastAsia="TimesNewRoman"/>
          <w:sz w:val="22"/>
          <w:szCs w:val="22"/>
        </w:rPr>
      </w:pPr>
      <w:r w:rsidRPr="00220850">
        <w:rPr>
          <w:rFonts w:eastAsia="TimesNewRoman"/>
          <w:sz w:val="22"/>
          <w:szCs w:val="22"/>
        </w:rPr>
        <w:t xml:space="preserve">Nepasitarę su savo gydytoju, nenustokite vartoję </w:t>
      </w:r>
      <w:proofErr w:type="spellStart"/>
      <w:r w:rsidR="003A654B" w:rsidRPr="00220850">
        <w:rPr>
          <w:rFonts w:eastAsia="TimesNewRoman"/>
          <w:sz w:val="22"/>
          <w:szCs w:val="22"/>
        </w:rPr>
        <w:t>Nintedanib</w:t>
      </w:r>
      <w:proofErr w:type="spellEnd"/>
      <w:r w:rsidR="003A654B" w:rsidRPr="00220850">
        <w:rPr>
          <w:rFonts w:eastAsia="TimesNewRoman"/>
          <w:sz w:val="22"/>
          <w:szCs w:val="22"/>
        </w:rPr>
        <w:t xml:space="preserve"> </w:t>
      </w:r>
      <w:proofErr w:type="spellStart"/>
      <w:r w:rsidR="003A654B" w:rsidRPr="00220850">
        <w:rPr>
          <w:rFonts w:eastAsia="TimesNewRoman"/>
          <w:sz w:val="22"/>
          <w:szCs w:val="22"/>
        </w:rPr>
        <w:t>Teva</w:t>
      </w:r>
      <w:proofErr w:type="spellEnd"/>
      <w:r w:rsidRPr="00220850">
        <w:rPr>
          <w:rFonts w:eastAsia="TimesNewRoman"/>
          <w:sz w:val="22"/>
          <w:szCs w:val="22"/>
        </w:rPr>
        <w:t>. Svarbu šį vaistą gerti kiekvieną dieną ir tiek</w:t>
      </w:r>
      <w:r w:rsidR="003A654B" w:rsidRPr="00220850">
        <w:rPr>
          <w:rFonts w:eastAsia="TimesNewRoman"/>
          <w:sz w:val="22"/>
          <w:szCs w:val="22"/>
        </w:rPr>
        <w:t xml:space="preserve"> </w:t>
      </w:r>
      <w:r w:rsidRPr="00220850">
        <w:rPr>
          <w:rFonts w:eastAsia="TimesNewRoman"/>
          <w:sz w:val="22"/>
          <w:szCs w:val="22"/>
        </w:rPr>
        <w:t>laiko, kiek Jums skyrė gydytojas.</w:t>
      </w:r>
    </w:p>
    <w:p w14:paraId="7F3647F8" w14:textId="77777777" w:rsidR="003A654B" w:rsidRPr="00220850" w:rsidRDefault="003A654B" w:rsidP="00690BDA">
      <w:pPr>
        <w:numPr>
          <w:ilvl w:val="12"/>
          <w:numId w:val="0"/>
        </w:numPr>
        <w:ind w:right="-29"/>
        <w:rPr>
          <w:rFonts w:eastAsia="TimesNewRoman"/>
          <w:sz w:val="22"/>
          <w:szCs w:val="22"/>
        </w:rPr>
      </w:pPr>
    </w:p>
    <w:p w14:paraId="6073E483" w14:textId="77777777" w:rsidR="00DE01F8" w:rsidRPr="00220850" w:rsidRDefault="002D5C8E" w:rsidP="00690BDA">
      <w:pPr>
        <w:numPr>
          <w:ilvl w:val="12"/>
          <w:numId w:val="0"/>
        </w:numPr>
        <w:ind w:right="-29"/>
        <w:rPr>
          <w:sz w:val="22"/>
          <w:szCs w:val="24"/>
        </w:rPr>
      </w:pPr>
      <w:r w:rsidRPr="00220850">
        <w:rPr>
          <w:sz w:val="22"/>
          <w:szCs w:val="24"/>
        </w:rPr>
        <w:t xml:space="preserve">Jeigu kiltų daugiau klausimų dėl šio </w:t>
      </w:r>
      <w:r w:rsidR="003A654B" w:rsidRPr="00220850">
        <w:rPr>
          <w:sz w:val="22"/>
          <w:szCs w:val="24"/>
        </w:rPr>
        <w:t>vaisto vartojimo, kreipkitės į gydytoją arba vaistininką.</w:t>
      </w:r>
    </w:p>
    <w:p w14:paraId="59125353" w14:textId="77777777" w:rsidR="00DE01F8" w:rsidRPr="00220850" w:rsidRDefault="00DE01F8">
      <w:pPr>
        <w:numPr>
          <w:ilvl w:val="12"/>
          <w:numId w:val="0"/>
        </w:numPr>
        <w:rPr>
          <w:sz w:val="22"/>
          <w:szCs w:val="24"/>
        </w:rPr>
      </w:pPr>
    </w:p>
    <w:p w14:paraId="2F1379E9" w14:textId="77777777" w:rsidR="00DE01F8" w:rsidRPr="00220850" w:rsidRDefault="00DE01F8">
      <w:pPr>
        <w:numPr>
          <w:ilvl w:val="12"/>
          <w:numId w:val="0"/>
        </w:numPr>
        <w:rPr>
          <w:sz w:val="22"/>
          <w:szCs w:val="24"/>
        </w:rPr>
      </w:pPr>
    </w:p>
    <w:p w14:paraId="1938A28F"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4.</w:t>
      </w:r>
      <w:r w:rsidRPr="00220850">
        <w:rPr>
          <w:b/>
          <w:bCs/>
          <w:sz w:val="22"/>
          <w:szCs w:val="26"/>
          <w:lang w:eastAsia="x-none"/>
        </w:rPr>
        <w:tab/>
        <w:t>Galimas šalutinis poveikis</w:t>
      </w:r>
    </w:p>
    <w:p w14:paraId="2CC1034B" w14:textId="77777777" w:rsidR="00DE01F8" w:rsidRPr="00220850" w:rsidRDefault="00DE01F8">
      <w:pPr>
        <w:numPr>
          <w:ilvl w:val="12"/>
          <w:numId w:val="0"/>
        </w:numPr>
        <w:rPr>
          <w:sz w:val="22"/>
          <w:szCs w:val="24"/>
        </w:rPr>
      </w:pPr>
    </w:p>
    <w:p w14:paraId="03A828B2" w14:textId="77777777" w:rsidR="00DE01F8" w:rsidRPr="00220850" w:rsidRDefault="002D5C8E">
      <w:pPr>
        <w:ind w:right="-29"/>
        <w:rPr>
          <w:sz w:val="22"/>
        </w:rPr>
      </w:pPr>
      <w:r w:rsidRPr="00220850">
        <w:rPr>
          <w:sz w:val="22"/>
        </w:rPr>
        <w:t>Šis vaistas, kaip ir visi kiti, gali sukelti šalutinį poveikį, nors jis pasireiškia ne visiems žmonėms.</w:t>
      </w:r>
    </w:p>
    <w:p w14:paraId="652DDCF9" w14:textId="77777777" w:rsidR="00E15BC4" w:rsidRPr="00220850" w:rsidRDefault="00E15BC4" w:rsidP="00E15BC4">
      <w:pPr>
        <w:autoSpaceDE w:val="0"/>
        <w:autoSpaceDN w:val="0"/>
        <w:adjustRightInd w:val="0"/>
        <w:rPr>
          <w:rFonts w:eastAsia="TimesNewRoman"/>
          <w:sz w:val="22"/>
          <w:szCs w:val="22"/>
        </w:rPr>
      </w:pPr>
    </w:p>
    <w:p w14:paraId="2B833205" w14:textId="77777777" w:rsidR="00E15BC4" w:rsidRPr="00220850" w:rsidRDefault="00E15BC4" w:rsidP="00E15BC4">
      <w:pPr>
        <w:autoSpaceDE w:val="0"/>
        <w:autoSpaceDN w:val="0"/>
        <w:adjustRightInd w:val="0"/>
        <w:rPr>
          <w:rFonts w:eastAsia="TimesNewRoman,Bold"/>
          <w:b/>
          <w:bCs/>
          <w:sz w:val="22"/>
          <w:szCs w:val="22"/>
        </w:rPr>
      </w:pPr>
      <w:r w:rsidRPr="00220850">
        <w:rPr>
          <w:rFonts w:eastAsia="TimesNewRoman"/>
          <w:sz w:val="22"/>
          <w:szCs w:val="22"/>
        </w:rPr>
        <w:t xml:space="preserve">Turite atkreipti ypatingą specialų dėmesį, jeigu gydymo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metu Jums pasireiškia toliau išvardytas šalutinis poveikis:</w:t>
      </w:r>
    </w:p>
    <w:p w14:paraId="6322C36E" w14:textId="77777777" w:rsidR="00E15BC4" w:rsidRPr="00220850" w:rsidRDefault="00E15BC4" w:rsidP="00E15BC4">
      <w:pPr>
        <w:autoSpaceDE w:val="0"/>
        <w:autoSpaceDN w:val="0"/>
        <w:adjustRightInd w:val="0"/>
        <w:rPr>
          <w:rFonts w:eastAsia="TimesNewRoman,Bold"/>
          <w:b/>
          <w:bCs/>
          <w:sz w:val="22"/>
          <w:szCs w:val="22"/>
        </w:rPr>
      </w:pPr>
    </w:p>
    <w:p w14:paraId="47B03617" w14:textId="77777777" w:rsidR="00E15BC4" w:rsidRPr="00220850" w:rsidRDefault="00E15BC4" w:rsidP="00E15BC4">
      <w:pPr>
        <w:autoSpaceDE w:val="0"/>
        <w:autoSpaceDN w:val="0"/>
        <w:adjustRightInd w:val="0"/>
        <w:rPr>
          <w:rFonts w:eastAsia="TimesNewRoman,Italic"/>
          <w:i/>
          <w:iCs/>
          <w:sz w:val="22"/>
          <w:szCs w:val="22"/>
        </w:rPr>
      </w:pPr>
      <w:r w:rsidRPr="00220850">
        <w:rPr>
          <w:rFonts w:eastAsia="TimesNewRoman,Bold"/>
          <w:b/>
          <w:bCs/>
          <w:sz w:val="22"/>
          <w:szCs w:val="22"/>
        </w:rPr>
        <w:t xml:space="preserve">Viduriavimas </w:t>
      </w:r>
      <w:r w:rsidRPr="00220850">
        <w:rPr>
          <w:rFonts w:eastAsia="TimesNewRoman,Italic"/>
          <w:sz w:val="22"/>
          <w:szCs w:val="22"/>
        </w:rPr>
        <w:t>(labai dažnas, gali pasireikšti ne rečiau kaip 1 iš 10 asmenų)</w:t>
      </w:r>
      <w:r w:rsidRPr="00220850">
        <w:rPr>
          <w:rFonts w:eastAsia="TimesNewRoman,Italic"/>
          <w:i/>
          <w:iCs/>
          <w:sz w:val="22"/>
          <w:szCs w:val="22"/>
        </w:rPr>
        <w:t>.</w:t>
      </w:r>
    </w:p>
    <w:p w14:paraId="4E17F61C" w14:textId="77777777" w:rsidR="00E15BC4" w:rsidRPr="00220850" w:rsidRDefault="00E15BC4" w:rsidP="00E15BC4">
      <w:pPr>
        <w:autoSpaceDE w:val="0"/>
        <w:autoSpaceDN w:val="0"/>
        <w:adjustRightInd w:val="0"/>
        <w:rPr>
          <w:rFonts w:eastAsia="TimesNewRoman"/>
          <w:sz w:val="22"/>
          <w:szCs w:val="22"/>
        </w:rPr>
      </w:pPr>
      <w:r w:rsidRPr="00220850">
        <w:rPr>
          <w:rFonts w:eastAsia="TimesNewRoman"/>
          <w:sz w:val="22"/>
          <w:szCs w:val="22"/>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220850">
        <w:rPr>
          <w:rFonts w:eastAsia="TimesNewRoman"/>
          <w:sz w:val="22"/>
          <w:szCs w:val="22"/>
        </w:rPr>
        <w:t>loperamidu</w:t>
      </w:r>
      <w:proofErr w:type="spellEnd"/>
      <w:r w:rsidRPr="00220850">
        <w:rPr>
          <w:rFonts w:eastAsia="TimesNewRoman"/>
          <w:sz w:val="22"/>
          <w:szCs w:val="22"/>
        </w:rPr>
        <w:t>.</w:t>
      </w:r>
    </w:p>
    <w:p w14:paraId="08495D47" w14:textId="77777777" w:rsidR="00E15BC4" w:rsidRPr="00220850" w:rsidRDefault="00E15BC4" w:rsidP="00E15BC4">
      <w:pPr>
        <w:autoSpaceDE w:val="0"/>
        <w:autoSpaceDN w:val="0"/>
        <w:adjustRightInd w:val="0"/>
        <w:rPr>
          <w:rFonts w:eastAsia="TimesNewRoman,Bold"/>
          <w:b/>
          <w:bCs/>
          <w:sz w:val="22"/>
          <w:szCs w:val="22"/>
        </w:rPr>
      </w:pPr>
    </w:p>
    <w:p w14:paraId="018C1CC0" w14:textId="037529EA" w:rsidR="00E15BC4" w:rsidRPr="00220850" w:rsidRDefault="00E15BC4" w:rsidP="00E15BC4">
      <w:pPr>
        <w:autoSpaceDE w:val="0"/>
        <w:autoSpaceDN w:val="0"/>
        <w:adjustRightInd w:val="0"/>
        <w:rPr>
          <w:rFonts w:eastAsia="TimesNewRoman,Bold"/>
          <w:b/>
          <w:bCs/>
          <w:sz w:val="22"/>
          <w:szCs w:val="22"/>
        </w:rPr>
      </w:pPr>
      <w:r w:rsidRPr="00220850">
        <w:rPr>
          <w:rFonts w:eastAsia="TimesNewRoman,Bold"/>
          <w:b/>
          <w:bCs/>
          <w:sz w:val="22"/>
          <w:szCs w:val="22"/>
        </w:rPr>
        <w:t xml:space="preserve">Gydant </w:t>
      </w:r>
      <w:proofErr w:type="spellStart"/>
      <w:r w:rsidR="00FA67A2" w:rsidRPr="00220850">
        <w:rPr>
          <w:rFonts w:eastAsia="TimesNewRoman,Bold"/>
          <w:b/>
          <w:bCs/>
          <w:sz w:val="22"/>
          <w:szCs w:val="22"/>
        </w:rPr>
        <w:t>nintendanibu</w:t>
      </w:r>
      <w:proofErr w:type="spellEnd"/>
      <w:r w:rsidR="00FA67A2" w:rsidRPr="00220850">
        <w:rPr>
          <w:rFonts w:eastAsia="TimesNewRoman,Bold"/>
          <w:b/>
          <w:bCs/>
          <w:sz w:val="22"/>
          <w:szCs w:val="22"/>
        </w:rPr>
        <w:t xml:space="preserve"> (šio v</w:t>
      </w:r>
      <w:r w:rsidR="001A0794" w:rsidRPr="00220850">
        <w:rPr>
          <w:rFonts w:eastAsia="TimesNewRoman,Bold"/>
          <w:b/>
          <w:bCs/>
          <w:sz w:val="22"/>
          <w:szCs w:val="22"/>
        </w:rPr>
        <w:t>a</w:t>
      </w:r>
      <w:r w:rsidR="00FA67A2" w:rsidRPr="00220850">
        <w:rPr>
          <w:rFonts w:eastAsia="TimesNewRoman,Bold"/>
          <w:b/>
          <w:bCs/>
          <w:sz w:val="22"/>
          <w:szCs w:val="22"/>
        </w:rPr>
        <w:t>isto veikliąja medžiaga)</w:t>
      </w:r>
      <w:r w:rsidRPr="00220850">
        <w:rPr>
          <w:rFonts w:eastAsia="TimesNewRoman,Bold"/>
          <w:b/>
          <w:bCs/>
          <w:sz w:val="22"/>
          <w:szCs w:val="22"/>
        </w:rPr>
        <w:t>, buvo pastebėtas toliau išvardytas šalutinis poveikis.</w:t>
      </w:r>
    </w:p>
    <w:p w14:paraId="7737AED0" w14:textId="77777777" w:rsidR="00E15BC4" w:rsidRPr="00220850" w:rsidRDefault="00E15BC4" w:rsidP="00E15BC4">
      <w:pPr>
        <w:autoSpaceDE w:val="0"/>
        <w:autoSpaceDN w:val="0"/>
        <w:adjustRightInd w:val="0"/>
        <w:rPr>
          <w:rFonts w:eastAsia="TimesNewRoman"/>
          <w:sz w:val="22"/>
          <w:szCs w:val="22"/>
          <w:lang w:val="fr-FR"/>
        </w:rPr>
      </w:pPr>
      <w:r w:rsidRPr="00220850">
        <w:rPr>
          <w:rFonts w:eastAsia="TimesNewRoman"/>
          <w:sz w:val="22"/>
          <w:szCs w:val="22"/>
          <w:lang w:val="fr-FR"/>
        </w:rPr>
        <w:t>Jeigu pasireiškė šalutinis poveikis, pasakykite gydytojui.</w:t>
      </w:r>
    </w:p>
    <w:p w14:paraId="2E3A6331" w14:textId="77777777" w:rsidR="00E15BC4" w:rsidRPr="00220850" w:rsidRDefault="00E15BC4" w:rsidP="00E15BC4">
      <w:pPr>
        <w:autoSpaceDE w:val="0"/>
        <w:autoSpaceDN w:val="0"/>
        <w:adjustRightInd w:val="0"/>
        <w:rPr>
          <w:rFonts w:eastAsia="TimesNewRoman"/>
          <w:sz w:val="22"/>
          <w:szCs w:val="22"/>
          <w:lang w:val="fr-FR"/>
        </w:rPr>
      </w:pPr>
    </w:p>
    <w:p w14:paraId="10FC16F6" w14:textId="77777777" w:rsidR="00E15BC4" w:rsidRPr="00220850" w:rsidRDefault="00E15BC4" w:rsidP="00E15BC4">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Idiopatinė plaučių fibrozė (IPF)</w:t>
      </w:r>
    </w:p>
    <w:p w14:paraId="5BDA78B8" w14:textId="7F282D6D" w:rsidR="00052E48" w:rsidRPr="00001D79" w:rsidRDefault="003E7B82" w:rsidP="00001D79">
      <w:pPr>
        <w:autoSpaceDE w:val="0"/>
        <w:autoSpaceDN w:val="0"/>
        <w:adjustRightInd w:val="0"/>
        <w:rPr>
          <w:rFonts w:eastAsia="TimesNewRoman"/>
          <w:sz w:val="22"/>
          <w:szCs w:val="22"/>
          <w:lang w:val="fr-FR"/>
        </w:rPr>
      </w:pPr>
      <w:r w:rsidRPr="00001D79">
        <w:rPr>
          <w:b/>
          <w:bCs/>
          <w:sz w:val="22"/>
          <w:szCs w:val="22"/>
          <w:lang w:eastAsia="lt-LT"/>
        </w:rPr>
        <w:t>Labai dažni šalutinio poveikio reiškiniai (gali pasireikšti ne rečiau kaip 1 iš 10 asmenų):</w:t>
      </w:r>
    </w:p>
    <w:p w14:paraId="4FAC36F3" w14:textId="2B40466C" w:rsidR="00E15BC4" w:rsidRPr="00220850" w:rsidRDefault="00E54111" w:rsidP="0013626C">
      <w:pPr>
        <w:pStyle w:val="Sraopastraipa"/>
        <w:numPr>
          <w:ilvl w:val="0"/>
          <w:numId w:val="28"/>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Blogavimas (p</w:t>
      </w:r>
      <w:r w:rsidR="00E15BC4" w:rsidRPr="00220850">
        <w:rPr>
          <w:rFonts w:eastAsia="TimesNewRoman"/>
          <w:sz w:val="22"/>
          <w:szCs w:val="22"/>
          <w:lang w:val="fr-FR"/>
        </w:rPr>
        <w:t>ykinimas</w:t>
      </w:r>
      <w:r w:rsidRPr="00220850">
        <w:rPr>
          <w:rFonts w:eastAsia="TimesNewRoman"/>
          <w:sz w:val="22"/>
          <w:szCs w:val="22"/>
          <w:lang w:val="fr-FR"/>
        </w:rPr>
        <w:t>)</w:t>
      </w:r>
      <w:r w:rsidR="00E15BC4" w:rsidRPr="00220850">
        <w:rPr>
          <w:rFonts w:eastAsia="TimesNewRoman"/>
          <w:sz w:val="22"/>
          <w:szCs w:val="22"/>
          <w:lang w:val="fr-FR"/>
        </w:rPr>
        <w:t>.</w:t>
      </w:r>
    </w:p>
    <w:p w14:paraId="1CC4ED82" w14:textId="77777777" w:rsidR="00E15BC4" w:rsidRPr="00220850" w:rsidRDefault="00E15BC4" w:rsidP="0013626C">
      <w:pPr>
        <w:pStyle w:val="Sraopastraipa"/>
        <w:numPr>
          <w:ilvl w:val="0"/>
          <w:numId w:val="28"/>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49D856EA" w14:textId="77777777" w:rsidR="00E15BC4" w:rsidRPr="00220850" w:rsidRDefault="00E15BC4" w:rsidP="0013626C">
      <w:pPr>
        <w:pStyle w:val="Sraopastraipa"/>
        <w:numPr>
          <w:ilvl w:val="0"/>
          <w:numId w:val="2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0B8B1BD0" w14:textId="77777777" w:rsidR="00E15BC4" w:rsidRPr="00220850" w:rsidRDefault="00E15BC4" w:rsidP="00E15BC4">
      <w:pPr>
        <w:autoSpaceDE w:val="0"/>
        <w:autoSpaceDN w:val="0"/>
        <w:adjustRightInd w:val="0"/>
        <w:ind w:left="567" w:hanging="567"/>
        <w:rPr>
          <w:rFonts w:eastAsia="TimesNewRoman,Italic"/>
          <w:b/>
          <w:iCs/>
          <w:sz w:val="22"/>
          <w:szCs w:val="22"/>
          <w:lang w:val="en-US"/>
        </w:rPr>
      </w:pPr>
    </w:p>
    <w:p w14:paraId="062D59FC" w14:textId="4363BC4A" w:rsidR="00052E48" w:rsidRPr="00001D79" w:rsidRDefault="00A4325B" w:rsidP="00001D79">
      <w:pPr>
        <w:autoSpaceDE w:val="0"/>
        <w:autoSpaceDN w:val="0"/>
        <w:adjustRightInd w:val="0"/>
        <w:rPr>
          <w:rFonts w:eastAsia="TimesNewRoman"/>
          <w:sz w:val="22"/>
          <w:szCs w:val="22"/>
          <w:lang w:val="en-US"/>
        </w:rPr>
      </w:pPr>
      <w:r w:rsidRPr="00001D79">
        <w:rPr>
          <w:b/>
          <w:bCs/>
          <w:sz w:val="22"/>
          <w:szCs w:val="22"/>
          <w:lang w:eastAsia="lt-LT"/>
        </w:rPr>
        <w:t>Dažni šalutinio poveikio reiškiniai (gali pasireikšti rečiau kaip 1 iš 10 asmenų):</w:t>
      </w:r>
    </w:p>
    <w:p w14:paraId="664ADB46" w14:textId="7DD597CC" w:rsidR="00E15BC4" w:rsidRPr="00220850" w:rsidRDefault="00E15BC4" w:rsidP="0013626C">
      <w:pPr>
        <w:pStyle w:val="Sraopastraipa"/>
        <w:numPr>
          <w:ilvl w:val="2"/>
          <w:numId w:val="3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60CB0CA1" w14:textId="77777777" w:rsidR="00E15BC4" w:rsidRPr="00220850" w:rsidRDefault="00E15BC4" w:rsidP="0013626C">
      <w:pPr>
        <w:pStyle w:val="Sraopastraipa"/>
        <w:numPr>
          <w:ilvl w:val="2"/>
          <w:numId w:val="3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68B07485" w14:textId="77777777" w:rsidR="00E15BC4" w:rsidRPr="00220850" w:rsidRDefault="00E15BC4" w:rsidP="0013626C">
      <w:pPr>
        <w:pStyle w:val="Sraopastraipa"/>
        <w:numPr>
          <w:ilvl w:val="2"/>
          <w:numId w:val="3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54731211" w14:textId="77777777" w:rsidR="00E15BC4" w:rsidRPr="00220850" w:rsidRDefault="00E15BC4" w:rsidP="0013626C">
      <w:pPr>
        <w:pStyle w:val="Sraopastraipa"/>
        <w:numPr>
          <w:ilvl w:val="2"/>
          <w:numId w:val="3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5D890AC3" w14:textId="77777777" w:rsidR="00E15BC4" w:rsidRPr="00220850" w:rsidRDefault="00E15BC4" w:rsidP="0013626C">
      <w:pPr>
        <w:pStyle w:val="Sraopastraipa"/>
        <w:numPr>
          <w:ilvl w:val="2"/>
          <w:numId w:val="3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6D6ECCF4" w14:textId="77777777" w:rsidR="00DE01F8" w:rsidRPr="00220850" w:rsidRDefault="00E15BC4" w:rsidP="0013626C">
      <w:pPr>
        <w:pStyle w:val="Sraopastraipa"/>
        <w:numPr>
          <w:ilvl w:val="2"/>
          <w:numId w:val="38"/>
        </w:numPr>
        <w:tabs>
          <w:tab w:val="left" w:pos="567"/>
        </w:tabs>
        <w:ind w:left="567" w:right="-29"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4EB99EFB" w14:textId="77777777" w:rsidR="00E15BC4" w:rsidRPr="00220850" w:rsidRDefault="00E15BC4" w:rsidP="00E15BC4">
      <w:pPr>
        <w:pStyle w:val="Sraopastraipa"/>
        <w:tabs>
          <w:tab w:val="left" w:pos="567"/>
        </w:tabs>
        <w:ind w:left="567" w:right="-29"/>
        <w:rPr>
          <w:rFonts w:eastAsia="TimesNewRoman"/>
          <w:sz w:val="22"/>
          <w:szCs w:val="22"/>
          <w:lang w:val="en-US"/>
        </w:rPr>
      </w:pPr>
    </w:p>
    <w:p w14:paraId="368BCA98" w14:textId="643B28F0" w:rsidR="00052E48" w:rsidRPr="00001D79" w:rsidRDefault="00864B0A" w:rsidP="00001D79">
      <w:pPr>
        <w:autoSpaceDE w:val="0"/>
        <w:autoSpaceDN w:val="0"/>
        <w:adjustRightInd w:val="0"/>
        <w:rPr>
          <w:rFonts w:eastAsia="TimesNewRoman"/>
          <w:sz w:val="22"/>
          <w:szCs w:val="22"/>
          <w:lang w:val="en-US"/>
        </w:rPr>
      </w:pPr>
      <w:r w:rsidRPr="00001D79">
        <w:rPr>
          <w:b/>
          <w:bCs/>
          <w:sz w:val="22"/>
          <w:szCs w:val="22"/>
          <w:lang w:eastAsia="lt-LT"/>
        </w:rPr>
        <w:t>Nedažni šalutinio poveikio reiškiniai (gali pasireikšti rečiau kaip 1 iš 100 asmenų):</w:t>
      </w:r>
    </w:p>
    <w:p w14:paraId="3683F470" w14:textId="7DFB8E3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7F453A16"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1DD2502F"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285AEE06"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436A1294"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57578CA9"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54BC0184" w14:textId="36F32903"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4B9301CA"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61B87E3E"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7DD004E2" w14:textId="77777777" w:rsidR="00E15BC4" w:rsidRPr="00220850" w:rsidRDefault="00E15BC4" w:rsidP="0013626C">
      <w:pPr>
        <w:pStyle w:val="Sraopastraipa"/>
        <w:numPr>
          <w:ilvl w:val="0"/>
          <w:numId w:val="3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305855AD" w14:textId="77777777" w:rsidR="00E15BC4" w:rsidRPr="00220850" w:rsidRDefault="00E15BC4" w:rsidP="00E15BC4">
      <w:pPr>
        <w:autoSpaceDE w:val="0"/>
        <w:autoSpaceDN w:val="0"/>
        <w:adjustRightInd w:val="0"/>
        <w:rPr>
          <w:rFonts w:eastAsia="TimesNewRoman,Italic"/>
          <w:i/>
          <w:iCs/>
          <w:sz w:val="22"/>
          <w:szCs w:val="22"/>
          <w:lang w:val="en-US"/>
        </w:rPr>
      </w:pPr>
    </w:p>
    <w:p w14:paraId="75FA7E88" w14:textId="4C9E7905" w:rsidR="00052E48" w:rsidRPr="00001D79" w:rsidRDefault="00CB5BA0" w:rsidP="00001D79">
      <w:pPr>
        <w:autoSpaceDE w:val="0"/>
        <w:autoSpaceDN w:val="0"/>
        <w:adjustRightInd w:val="0"/>
        <w:rPr>
          <w:rFonts w:eastAsia="TimesNewRoman"/>
          <w:sz w:val="22"/>
          <w:szCs w:val="22"/>
        </w:rPr>
      </w:pPr>
      <w:r w:rsidRPr="00001D79">
        <w:rPr>
          <w:b/>
          <w:bCs/>
          <w:sz w:val="22"/>
          <w:szCs w:val="22"/>
          <w:lang w:eastAsia="lt-LT"/>
        </w:rPr>
        <w:t>Šalutinio poveikio reiškiniai, kurių dažnis nežinomas (negali būti apskaičiuotas pagal turimus duomenis):</w:t>
      </w:r>
    </w:p>
    <w:p w14:paraId="50835F32" w14:textId="123E2ABE" w:rsidR="00E15BC4" w:rsidRPr="00220850" w:rsidRDefault="00E15BC4" w:rsidP="0013626C">
      <w:pPr>
        <w:pStyle w:val="Sraopastraipa"/>
        <w:numPr>
          <w:ilvl w:val="0"/>
          <w:numId w:val="40"/>
        </w:numPr>
        <w:autoSpaceDE w:val="0"/>
        <w:autoSpaceDN w:val="0"/>
        <w:adjustRightInd w:val="0"/>
        <w:ind w:left="567" w:hanging="567"/>
        <w:rPr>
          <w:rFonts w:eastAsia="TimesNewRoman"/>
          <w:sz w:val="22"/>
          <w:szCs w:val="22"/>
        </w:rPr>
      </w:pPr>
      <w:r w:rsidRPr="00220850">
        <w:rPr>
          <w:rFonts w:eastAsia="TimesNewRoman"/>
          <w:sz w:val="22"/>
          <w:szCs w:val="22"/>
        </w:rPr>
        <w:lastRenderedPageBreak/>
        <w:t>Inkstų nepakankamumas.</w:t>
      </w:r>
    </w:p>
    <w:p w14:paraId="5AE7E03F" w14:textId="44E178B6" w:rsidR="00E15BC4" w:rsidRPr="00220850" w:rsidRDefault="00E15BC4" w:rsidP="0013626C">
      <w:pPr>
        <w:pStyle w:val="Sraopastraipa"/>
        <w:numPr>
          <w:ilvl w:val="0"/>
          <w:numId w:val="40"/>
        </w:numPr>
        <w:autoSpaceDE w:val="0"/>
        <w:autoSpaceDN w:val="0"/>
        <w:adjustRightInd w:val="0"/>
        <w:ind w:left="567" w:hanging="567"/>
        <w:rPr>
          <w:rFonts w:eastAsia="TimesNewRoman"/>
          <w:sz w:val="22"/>
          <w:szCs w:val="22"/>
        </w:rPr>
      </w:pPr>
      <w:r w:rsidRPr="00220850">
        <w:rPr>
          <w:rFonts w:eastAsia="TimesNewRoman"/>
          <w:sz w:val="22"/>
          <w:szCs w:val="22"/>
        </w:rPr>
        <w:t>Kraujagyslės sienelės išsipūtimas ir susilpnėjimas arba kraujagyslės sienelės įplyšimas</w:t>
      </w:r>
      <w:r w:rsidR="000522DD" w:rsidRPr="00220850">
        <w:rPr>
          <w:rFonts w:eastAsia="TimesNewRoman"/>
          <w:sz w:val="22"/>
          <w:szCs w:val="22"/>
        </w:rPr>
        <w:t xml:space="preserve"> </w:t>
      </w:r>
      <w:r w:rsidRPr="00220850">
        <w:rPr>
          <w:rFonts w:eastAsia="TimesNewRoman"/>
          <w:sz w:val="22"/>
          <w:szCs w:val="22"/>
        </w:rPr>
        <w:t xml:space="preserve">(aneurizmos ir arterijų </w:t>
      </w:r>
      <w:proofErr w:type="spellStart"/>
      <w:r w:rsidRPr="00220850">
        <w:rPr>
          <w:rFonts w:eastAsia="TimesNewRoman"/>
          <w:sz w:val="22"/>
          <w:szCs w:val="22"/>
        </w:rPr>
        <w:t>disekacijos</w:t>
      </w:r>
      <w:proofErr w:type="spellEnd"/>
      <w:r w:rsidRPr="00220850">
        <w:rPr>
          <w:rFonts w:eastAsia="TimesNewRoman"/>
          <w:sz w:val="22"/>
          <w:szCs w:val="22"/>
        </w:rPr>
        <w:t>)</w:t>
      </w:r>
      <w:r w:rsidR="00954587" w:rsidRPr="00220850">
        <w:rPr>
          <w:rFonts w:eastAsia="TimesNewRoman"/>
          <w:sz w:val="22"/>
          <w:szCs w:val="22"/>
        </w:rPr>
        <w:t>;</w:t>
      </w:r>
    </w:p>
    <w:p w14:paraId="6E1A5E35" w14:textId="1B6F3E67" w:rsidR="00954587" w:rsidRPr="00220850" w:rsidRDefault="00954587" w:rsidP="00954587">
      <w:pPr>
        <w:pStyle w:val="Sraopastraipa"/>
        <w:numPr>
          <w:ilvl w:val="0"/>
          <w:numId w:val="40"/>
        </w:numPr>
        <w:autoSpaceDE w:val="0"/>
        <w:autoSpaceDN w:val="0"/>
        <w:adjustRightInd w:val="0"/>
        <w:ind w:left="567" w:hanging="567"/>
        <w:rPr>
          <w:rFonts w:eastAsia="TimesNewRoman"/>
          <w:sz w:val="22"/>
          <w:szCs w:val="22"/>
        </w:rPr>
      </w:pPr>
      <w:r w:rsidRPr="00220850">
        <w:rPr>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220850">
        <w:rPr>
          <w:sz w:val="22"/>
          <w:szCs w:val="22"/>
        </w:rPr>
        <w:t>encefalopatijos</w:t>
      </w:r>
      <w:proofErr w:type="spellEnd"/>
      <w:r w:rsidRPr="00220850">
        <w:rPr>
          <w:sz w:val="22"/>
          <w:szCs w:val="22"/>
        </w:rPr>
        <w:t xml:space="preserve"> sindromas).</w:t>
      </w:r>
    </w:p>
    <w:p w14:paraId="0C92BDFC" w14:textId="77777777" w:rsidR="000522DD" w:rsidRPr="00220850" w:rsidRDefault="000522DD" w:rsidP="00E15BC4">
      <w:pPr>
        <w:autoSpaceDE w:val="0"/>
        <w:autoSpaceDN w:val="0"/>
        <w:adjustRightInd w:val="0"/>
        <w:rPr>
          <w:rFonts w:eastAsia="TimesNewRoman"/>
          <w:sz w:val="22"/>
          <w:szCs w:val="22"/>
        </w:rPr>
      </w:pPr>
    </w:p>
    <w:p w14:paraId="748F3201" w14:textId="77777777" w:rsidR="00E15BC4" w:rsidRPr="00220850" w:rsidRDefault="00E15BC4" w:rsidP="00E15BC4">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Kitos lėtinės fibrozinės progresuojančio fenotipo intersticinės plaučių ligos (IPL)</w:t>
      </w:r>
    </w:p>
    <w:p w14:paraId="6956657E" w14:textId="47D275F3" w:rsidR="00E15BC4" w:rsidRPr="00220850" w:rsidRDefault="0040462F" w:rsidP="00E15BC4">
      <w:pPr>
        <w:autoSpaceDE w:val="0"/>
        <w:autoSpaceDN w:val="0"/>
        <w:adjustRightInd w:val="0"/>
        <w:rPr>
          <w:rFonts w:eastAsia="TimesNewRoman,Italic"/>
          <w:b/>
          <w:iCs/>
          <w:sz w:val="22"/>
          <w:szCs w:val="22"/>
        </w:rPr>
      </w:pPr>
      <w:r w:rsidRPr="00220850">
        <w:rPr>
          <w:b/>
          <w:bCs/>
          <w:sz w:val="22"/>
          <w:szCs w:val="22"/>
          <w:lang w:eastAsia="lt-LT"/>
        </w:rPr>
        <w:t xml:space="preserve"> Labai dažni šalutinio poveikio reiškiniai (gali pasireikšti ne rečiau kaip 1 iš 10 asmenų):</w:t>
      </w:r>
    </w:p>
    <w:p w14:paraId="32807C20" w14:textId="60ED7F0B" w:rsidR="00E15BC4" w:rsidRPr="00220850" w:rsidRDefault="00FA67A2" w:rsidP="0013626C">
      <w:pPr>
        <w:pStyle w:val="Sraopastraipa"/>
        <w:numPr>
          <w:ilvl w:val="0"/>
          <w:numId w:val="4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w:t>
      </w:r>
      <w:r w:rsidR="00E15BC4" w:rsidRPr="00220850">
        <w:rPr>
          <w:rFonts w:eastAsia="TimesNewRoman"/>
          <w:sz w:val="22"/>
          <w:szCs w:val="22"/>
          <w:lang w:val="en-US"/>
        </w:rPr>
        <w:t>ykinimas</w:t>
      </w:r>
      <w:proofErr w:type="spellEnd"/>
      <w:r w:rsidRPr="00220850">
        <w:rPr>
          <w:rFonts w:eastAsia="TimesNewRoman"/>
          <w:sz w:val="22"/>
          <w:szCs w:val="22"/>
          <w:lang w:val="en-US"/>
        </w:rPr>
        <w:t>)</w:t>
      </w:r>
      <w:r w:rsidR="00E15BC4" w:rsidRPr="00220850">
        <w:rPr>
          <w:rFonts w:eastAsia="TimesNewRoman"/>
          <w:sz w:val="22"/>
          <w:szCs w:val="22"/>
          <w:lang w:val="en-US"/>
        </w:rPr>
        <w:t>.</w:t>
      </w:r>
    </w:p>
    <w:p w14:paraId="062699F1" w14:textId="77777777" w:rsidR="00E15BC4" w:rsidRPr="00220850" w:rsidRDefault="00E15BC4" w:rsidP="0013626C">
      <w:pPr>
        <w:pStyle w:val="Sraopastraipa"/>
        <w:numPr>
          <w:ilvl w:val="0"/>
          <w:numId w:val="4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11EC5C84" w14:textId="77777777" w:rsidR="00E15BC4" w:rsidRPr="00220850" w:rsidRDefault="00E15BC4" w:rsidP="0013626C">
      <w:pPr>
        <w:pStyle w:val="Sraopastraipa"/>
        <w:numPr>
          <w:ilvl w:val="0"/>
          <w:numId w:val="4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33A5DCA4" w14:textId="77777777" w:rsidR="00E15BC4" w:rsidRPr="00220850" w:rsidRDefault="00E15BC4" w:rsidP="0013626C">
      <w:pPr>
        <w:pStyle w:val="Sraopastraipa"/>
        <w:numPr>
          <w:ilvl w:val="0"/>
          <w:numId w:val="41"/>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7D0E4B41" w14:textId="77777777" w:rsidR="00E15BC4" w:rsidRPr="00220850" w:rsidRDefault="00E15BC4" w:rsidP="0013626C">
      <w:pPr>
        <w:pStyle w:val="Sraopastraipa"/>
        <w:numPr>
          <w:ilvl w:val="0"/>
          <w:numId w:val="4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2869E7FD" w14:textId="77777777" w:rsidR="000522DD" w:rsidRPr="00220850" w:rsidRDefault="000522DD" w:rsidP="00E15BC4">
      <w:pPr>
        <w:autoSpaceDE w:val="0"/>
        <w:autoSpaceDN w:val="0"/>
        <w:adjustRightInd w:val="0"/>
        <w:rPr>
          <w:rFonts w:eastAsia="TimesNewRoman,Italic"/>
          <w:i/>
          <w:iCs/>
          <w:sz w:val="22"/>
          <w:szCs w:val="22"/>
          <w:lang w:val="en-US"/>
        </w:rPr>
      </w:pPr>
    </w:p>
    <w:p w14:paraId="01F593A1" w14:textId="5A54F117" w:rsidR="00E15BC4" w:rsidRPr="00220850" w:rsidRDefault="00DD1B09" w:rsidP="00E15BC4">
      <w:pPr>
        <w:autoSpaceDE w:val="0"/>
        <w:autoSpaceDN w:val="0"/>
        <w:adjustRightInd w:val="0"/>
        <w:rPr>
          <w:rFonts w:eastAsia="TimesNewRoman,Italic"/>
          <w:b/>
          <w:iCs/>
          <w:sz w:val="22"/>
          <w:szCs w:val="22"/>
          <w:lang w:val="en-US"/>
        </w:rPr>
      </w:pPr>
      <w:r w:rsidRPr="00220850">
        <w:rPr>
          <w:b/>
          <w:bCs/>
          <w:sz w:val="22"/>
          <w:szCs w:val="22"/>
          <w:lang w:eastAsia="lt-LT"/>
        </w:rPr>
        <w:t xml:space="preserve"> Dažni šalutinio poveikio reiškiniai (gali pasireikšti rečiau kaip 1 iš 10 asmenų):</w:t>
      </w:r>
    </w:p>
    <w:p w14:paraId="452D3C3D" w14:textId="77777777" w:rsidR="00E15BC4" w:rsidRPr="00220850" w:rsidRDefault="00E15BC4" w:rsidP="0013626C">
      <w:pPr>
        <w:pStyle w:val="Sraopastraipa"/>
        <w:numPr>
          <w:ilvl w:val="2"/>
          <w:numId w:val="4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736CC534" w14:textId="77777777" w:rsidR="00E15BC4" w:rsidRPr="00220850" w:rsidRDefault="00E15BC4" w:rsidP="0013626C">
      <w:pPr>
        <w:pStyle w:val="Sraopastraipa"/>
        <w:numPr>
          <w:ilvl w:val="2"/>
          <w:numId w:val="4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2ED652F4" w14:textId="77777777" w:rsidR="00E15BC4" w:rsidRPr="00220850" w:rsidRDefault="00E15BC4" w:rsidP="0013626C">
      <w:pPr>
        <w:pStyle w:val="Sraopastraipa"/>
        <w:numPr>
          <w:ilvl w:val="2"/>
          <w:numId w:val="4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6F39263E" w14:textId="77777777" w:rsidR="00E15BC4" w:rsidRPr="00220850" w:rsidRDefault="00E15BC4" w:rsidP="0013626C">
      <w:pPr>
        <w:pStyle w:val="Sraopastraipa"/>
        <w:numPr>
          <w:ilvl w:val="2"/>
          <w:numId w:val="4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7E7CFCED" w14:textId="77777777" w:rsidR="00E15BC4" w:rsidRPr="00220850" w:rsidRDefault="00E15BC4" w:rsidP="0013626C">
      <w:pPr>
        <w:pStyle w:val="Sraopastraipa"/>
        <w:numPr>
          <w:ilvl w:val="2"/>
          <w:numId w:val="4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1BFFF939" w14:textId="77777777" w:rsidR="00E15BC4" w:rsidRPr="00220850" w:rsidRDefault="00E15BC4" w:rsidP="0013626C">
      <w:pPr>
        <w:pStyle w:val="Sraopastraipa"/>
        <w:numPr>
          <w:ilvl w:val="2"/>
          <w:numId w:val="42"/>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4608D38D" w14:textId="77777777" w:rsidR="000522DD" w:rsidRPr="00220850" w:rsidRDefault="000522DD" w:rsidP="00E15BC4">
      <w:pPr>
        <w:autoSpaceDE w:val="0"/>
        <w:autoSpaceDN w:val="0"/>
        <w:adjustRightInd w:val="0"/>
        <w:rPr>
          <w:rFonts w:eastAsia="TimesNewRoman,Italic"/>
          <w:i/>
          <w:iCs/>
          <w:sz w:val="22"/>
          <w:szCs w:val="22"/>
          <w:lang w:val="en-US"/>
        </w:rPr>
      </w:pPr>
    </w:p>
    <w:p w14:paraId="4669B341" w14:textId="76959BFD" w:rsidR="00052E48" w:rsidRPr="00001D79" w:rsidRDefault="00772F90" w:rsidP="00001D79">
      <w:pPr>
        <w:autoSpaceDE w:val="0"/>
        <w:autoSpaceDN w:val="0"/>
        <w:adjustRightInd w:val="0"/>
        <w:rPr>
          <w:rFonts w:eastAsia="TimesNewRoman"/>
          <w:sz w:val="22"/>
          <w:szCs w:val="22"/>
          <w:lang w:val="en-US"/>
        </w:rPr>
      </w:pPr>
      <w:r w:rsidRPr="00001D79">
        <w:rPr>
          <w:b/>
          <w:bCs/>
          <w:sz w:val="22"/>
          <w:szCs w:val="22"/>
          <w:lang w:eastAsia="lt-LT"/>
        </w:rPr>
        <w:t>Nedažni šalutinio poveikio reiškiniai (gali pasireikšti rečiau kaip 1 iš 100 asmenų):</w:t>
      </w:r>
    </w:p>
    <w:p w14:paraId="70D6A08A" w14:textId="4CE348B9"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74D9CB1C" w14:textId="77777777"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6251F079" w14:textId="77777777"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7C83432C" w14:textId="77777777"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52B4DA6E" w14:textId="297917EE"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7F2C9A14" w14:textId="77777777"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6D1FF596" w14:textId="77777777"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7E1D734D" w14:textId="77777777" w:rsidR="00E15BC4" w:rsidRPr="00220850" w:rsidRDefault="00E15BC4" w:rsidP="0013626C">
      <w:pPr>
        <w:pStyle w:val="Sraopastraipa"/>
        <w:numPr>
          <w:ilvl w:val="0"/>
          <w:numId w:val="4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4ADD3BE5" w14:textId="77777777" w:rsidR="000522DD" w:rsidRPr="00220850" w:rsidRDefault="000522DD" w:rsidP="00E15BC4">
      <w:pPr>
        <w:autoSpaceDE w:val="0"/>
        <w:autoSpaceDN w:val="0"/>
        <w:adjustRightInd w:val="0"/>
        <w:rPr>
          <w:rFonts w:eastAsia="TimesNewRoman,Italic"/>
          <w:i/>
          <w:iCs/>
          <w:sz w:val="22"/>
          <w:szCs w:val="22"/>
          <w:lang w:val="en-US"/>
        </w:rPr>
      </w:pPr>
    </w:p>
    <w:p w14:paraId="3BEA63EC" w14:textId="648E3DAE" w:rsidR="00052E48" w:rsidRPr="00001D79" w:rsidRDefault="00FD3F78" w:rsidP="00001D79">
      <w:pPr>
        <w:autoSpaceDE w:val="0"/>
        <w:autoSpaceDN w:val="0"/>
        <w:adjustRightInd w:val="0"/>
        <w:rPr>
          <w:rFonts w:eastAsia="TimesNewRoman"/>
          <w:sz w:val="22"/>
          <w:szCs w:val="22"/>
        </w:rPr>
      </w:pPr>
      <w:r w:rsidRPr="00001D79">
        <w:rPr>
          <w:b/>
          <w:bCs/>
          <w:sz w:val="22"/>
          <w:szCs w:val="22"/>
          <w:lang w:eastAsia="lt-LT"/>
        </w:rPr>
        <w:t>Šalutinio poveikio reiškiniai, kurių dažnis nežinomas (negali būti apskaičiuotas pagal turimus duomenis):</w:t>
      </w:r>
    </w:p>
    <w:p w14:paraId="1DFFE921" w14:textId="121E9FF0" w:rsidR="00E15BC4" w:rsidRPr="00220850" w:rsidRDefault="00E15BC4" w:rsidP="0013626C">
      <w:pPr>
        <w:pStyle w:val="Sraopastraipa"/>
        <w:numPr>
          <w:ilvl w:val="2"/>
          <w:numId w:val="44"/>
        </w:numPr>
        <w:autoSpaceDE w:val="0"/>
        <w:autoSpaceDN w:val="0"/>
        <w:adjustRightInd w:val="0"/>
        <w:ind w:left="567" w:hanging="567"/>
        <w:rPr>
          <w:rFonts w:eastAsia="TimesNewRoman"/>
          <w:sz w:val="22"/>
          <w:szCs w:val="22"/>
        </w:rPr>
      </w:pPr>
      <w:r w:rsidRPr="00220850">
        <w:rPr>
          <w:rFonts w:eastAsia="TimesNewRoman"/>
          <w:sz w:val="22"/>
          <w:szCs w:val="22"/>
        </w:rPr>
        <w:t>Inkstų nepakankamumas.</w:t>
      </w:r>
    </w:p>
    <w:p w14:paraId="7D9F69C8" w14:textId="18E0A693" w:rsidR="00E15BC4" w:rsidRPr="00220850" w:rsidRDefault="00E15BC4" w:rsidP="0013626C">
      <w:pPr>
        <w:pStyle w:val="Sraopastraipa"/>
        <w:numPr>
          <w:ilvl w:val="2"/>
          <w:numId w:val="44"/>
        </w:numPr>
        <w:autoSpaceDE w:val="0"/>
        <w:autoSpaceDN w:val="0"/>
        <w:adjustRightInd w:val="0"/>
        <w:ind w:left="567" w:hanging="567"/>
        <w:rPr>
          <w:rFonts w:eastAsia="TimesNewRoman"/>
          <w:sz w:val="22"/>
          <w:szCs w:val="22"/>
        </w:rPr>
      </w:pPr>
      <w:r w:rsidRPr="00220850">
        <w:rPr>
          <w:rFonts w:eastAsia="TimesNewRoman"/>
          <w:sz w:val="22"/>
          <w:szCs w:val="22"/>
        </w:rPr>
        <w:t>Kraujagyslės sienelės išsipūtimas ir susilpnėjimas arba kraujagyslės sienelės įplyšimas</w:t>
      </w:r>
      <w:r w:rsidR="000522DD" w:rsidRPr="00220850">
        <w:rPr>
          <w:rFonts w:eastAsia="TimesNewRoman"/>
          <w:sz w:val="22"/>
          <w:szCs w:val="22"/>
        </w:rPr>
        <w:t xml:space="preserve"> </w:t>
      </w:r>
      <w:r w:rsidRPr="00220850">
        <w:rPr>
          <w:rFonts w:eastAsia="TimesNewRoman"/>
          <w:sz w:val="22"/>
          <w:szCs w:val="22"/>
        </w:rPr>
        <w:t xml:space="preserve">(aneurizmos ir arterijų </w:t>
      </w:r>
      <w:proofErr w:type="spellStart"/>
      <w:r w:rsidRPr="00220850">
        <w:rPr>
          <w:rFonts w:eastAsia="TimesNewRoman"/>
          <w:sz w:val="22"/>
          <w:szCs w:val="22"/>
        </w:rPr>
        <w:t>disekacijos</w:t>
      </w:r>
      <w:proofErr w:type="spellEnd"/>
      <w:r w:rsidRPr="00220850">
        <w:rPr>
          <w:rFonts w:eastAsia="TimesNewRoman"/>
          <w:sz w:val="22"/>
          <w:szCs w:val="22"/>
        </w:rPr>
        <w:t>)</w:t>
      </w:r>
      <w:r w:rsidR="00954587" w:rsidRPr="00220850">
        <w:rPr>
          <w:rFonts w:eastAsia="TimesNewRoman"/>
          <w:sz w:val="22"/>
          <w:szCs w:val="22"/>
        </w:rPr>
        <w:t>;</w:t>
      </w:r>
    </w:p>
    <w:p w14:paraId="0F728B92" w14:textId="4CA75416" w:rsidR="00954587" w:rsidRPr="00220850" w:rsidRDefault="00954587" w:rsidP="00296ED8">
      <w:pPr>
        <w:pStyle w:val="Sraopastraipa"/>
        <w:numPr>
          <w:ilvl w:val="2"/>
          <w:numId w:val="44"/>
        </w:numPr>
        <w:ind w:left="567" w:hanging="567"/>
        <w:rPr>
          <w:sz w:val="22"/>
          <w:szCs w:val="22"/>
        </w:rPr>
      </w:pPr>
      <w:r w:rsidRPr="00220850">
        <w:rPr>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220850">
        <w:rPr>
          <w:sz w:val="22"/>
          <w:szCs w:val="22"/>
        </w:rPr>
        <w:t>encefalopatijos</w:t>
      </w:r>
      <w:proofErr w:type="spellEnd"/>
      <w:r w:rsidRPr="00220850">
        <w:rPr>
          <w:sz w:val="22"/>
          <w:szCs w:val="22"/>
        </w:rPr>
        <w:t xml:space="preserve"> sindromas).</w:t>
      </w:r>
    </w:p>
    <w:p w14:paraId="67AA12D8" w14:textId="77777777" w:rsidR="000522DD" w:rsidRPr="00220850" w:rsidRDefault="000522DD" w:rsidP="00E15BC4">
      <w:pPr>
        <w:autoSpaceDE w:val="0"/>
        <w:autoSpaceDN w:val="0"/>
        <w:adjustRightInd w:val="0"/>
        <w:rPr>
          <w:rFonts w:eastAsia="TimesNewRoman"/>
          <w:sz w:val="22"/>
          <w:szCs w:val="22"/>
        </w:rPr>
      </w:pPr>
    </w:p>
    <w:p w14:paraId="02A1C59C" w14:textId="77777777" w:rsidR="00E15BC4" w:rsidRPr="00220850" w:rsidRDefault="00E15BC4" w:rsidP="00E15BC4">
      <w:pPr>
        <w:autoSpaceDE w:val="0"/>
        <w:autoSpaceDN w:val="0"/>
        <w:adjustRightInd w:val="0"/>
        <w:rPr>
          <w:rFonts w:eastAsia="TimesNewRoman"/>
          <w:sz w:val="22"/>
          <w:szCs w:val="22"/>
          <w:u w:val="single"/>
          <w:lang w:val="it-CH"/>
        </w:rPr>
      </w:pPr>
      <w:r w:rsidRPr="00220850">
        <w:rPr>
          <w:rFonts w:eastAsia="TimesNewRoman"/>
          <w:sz w:val="22"/>
          <w:szCs w:val="22"/>
          <w:u w:val="single"/>
          <w:lang w:val="it-CH"/>
        </w:rPr>
        <w:t>Su sistemine skleroze susijusi intersticinė plaučių liga (SS-IPL)</w:t>
      </w:r>
    </w:p>
    <w:p w14:paraId="40E82193" w14:textId="649585B4" w:rsidR="0035166F" w:rsidRPr="00220850" w:rsidRDefault="00696ED9" w:rsidP="0035166F">
      <w:pPr>
        <w:autoSpaceDE w:val="0"/>
        <w:autoSpaceDN w:val="0"/>
        <w:adjustRightInd w:val="0"/>
        <w:rPr>
          <w:rFonts w:eastAsia="TimesNewRoman"/>
          <w:sz w:val="22"/>
          <w:szCs w:val="22"/>
          <w:lang w:val="it-CH"/>
        </w:rPr>
      </w:pPr>
      <w:r w:rsidRPr="00220850">
        <w:rPr>
          <w:b/>
          <w:bCs/>
          <w:sz w:val="22"/>
          <w:szCs w:val="22"/>
          <w:lang w:eastAsia="lt-LT"/>
        </w:rPr>
        <w:t>Labai dažni šalutinio poveikio reiškiniai (gali pasireikšti ne rečiau kaip 1 iš 10 asmenų):</w:t>
      </w:r>
    </w:p>
    <w:p w14:paraId="2F5E9F12" w14:textId="1D2C2084" w:rsidR="00E15BC4" w:rsidRPr="00220850" w:rsidRDefault="00FA67A2" w:rsidP="0013626C">
      <w:pPr>
        <w:pStyle w:val="Sraopastraipa"/>
        <w:numPr>
          <w:ilvl w:val="0"/>
          <w:numId w:val="45"/>
        </w:numPr>
        <w:autoSpaceDE w:val="0"/>
        <w:autoSpaceDN w:val="0"/>
        <w:adjustRightInd w:val="0"/>
        <w:ind w:left="567" w:hanging="567"/>
        <w:rPr>
          <w:rFonts w:eastAsia="TimesNewRoman"/>
          <w:sz w:val="22"/>
          <w:szCs w:val="22"/>
          <w:lang w:val="it-CH"/>
        </w:rPr>
      </w:pPr>
      <w:r w:rsidRPr="00220850">
        <w:rPr>
          <w:rFonts w:eastAsia="TimesNewRoman"/>
          <w:sz w:val="22"/>
          <w:szCs w:val="22"/>
          <w:lang w:val="it-CH"/>
        </w:rPr>
        <w:t>Blogavimas (p</w:t>
      </w:r>
      <w:r w:rsidR="00E15BC4" w:rsidRPr="00220850">
        <w:rPr>
          <w:rFonts w:eastAsia="TimesNewRoman"/>
          <w:sz w:val="22"/>
          <w:szCs w:val="22"/>
          <w:lang w:val="it-CH"/>
        </w:rPr>
        <w:t>ykinimas</w:t>
      </w:r>
      <w:r w:rsidRPr="00220850">
        <w:rPr>
          <w:rFonts w:eastAsia="TimesNewRoman"/>
          <w:sz w:val="22"/>
          <w:szCs w:val="22"/>
          <w:lang w:val="it-CH"/>
        </w:rPr>
        <w:t>)</w:t>
      </w:r>
      <w:r w:rsidR="00E15BC4" w:rsidRPr="00220850">
        <w:rPr>
          <w:rFonts w:eastAsia="TimesNewRoman"/>
          <w:sz w:val="22"/>
          <w:szCs w:val="22"/>
          <w:lang w:val="it-CH"/>
        </w:rPr>
        <w:t>.</w:t>
      </w:r>
    </w:p>
    <w:p w14:paraId="5C0936BA" w14:textId="77777777" w:rsidR="00E15BC4" w:rsidRPr="00220850" w:rsidRDefault="00E15BC4" w:rsidP="0013626C">
      <w:pPr>
        <w:pStyle w:val="Sraopastraipa"/>
        <w:numPr>
          <w:ilvl w:val="0"/>
          <w:numId w:val="4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68855875" w14:textId="77777777" w:rsidR="00E15BC4" w:rsidRPr="00220850" w:rsidRDefault="00E15BC4" w:rsidP="0013626C">
      <w:pPr>
        <w:pStyle w:val="Sraopastraipa"/>
        <w:numPr>
          <w:ilvl w:val="0"/>
          <w:numId w:val="45"/>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5E9F6701" w14:textId="77777777" w:rsidR="00E15BC4" w:rsidRPr="00220850" w:rsidRDefault="00E15BC4" w:rsidP="0013626C">
      <w:pPr>
        <w:pStyle w:val="Sraopastraipa"/>
        <w:numPr>
          <w:ilvl w:val="0"/>
          <w:numId w:val="45"/>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243F7DC9" w14:textId="77777777" w:rsidR="000522DD" w:rsidRPr="00220850" w:rsidRDefault="000522DD" w:rsidP="00E15BC4">
      <w:pPr>
        <w:autoSpaceDE w:val="0"/>
        <w:autoSpaceDN w:val="0"/>
        <w:adjustRightInd w:val="0"/>
        <w:rPr>
          <w:rFonts w:eastAsia="TimesNewRoman,Italic"/>
          <w:i/>
          <w:iCs/>
          <w:sz w:val="22"/>
          <w:szCs w:val="22"/>
          <w:lang w:val="en-US"/>
        </w:rPr>
      </w:pPr>
    </w:p>
    <w:p w14:paraId="7D346F45" w14:textId="77084219" w:rsidR="0035166F" w:rsidRPr="00220850" w:rsidRDefault="00250DCD" w:rsidP="0035166F">
      <w:pPr>
        <w:autoSpaceDE w:val="0"/>
        <w:autoSpaceDN w:val="0"/>
        <w:adjustRightInd w:val="0"/>
        <w:rPr>
          <w:rFonts w:eastAsia="TimesNewRoman"/>
          <w:sz w:val="22"/>
          <w:szCs w:val="22"/>
          <w:lang w:val="en-US"/>
        </w:rPr>
      </w:pPr>
      <w:r w:rsidRPr="00220850">
        <w:rPr>
          <w:b/>
          <w:bCs/>
          <w:sz w:val="22"/>
          <w:szCs w:val="22"/>
          <w:lang w:eastAsia="lt-LT"/>
        </w:rPr>
        <w:t>Dažni šalutinio poveikio reiškiniai (gali pasireikšti rečiau kaip 1 iš 10 asmenų):</w:t>
      </w:r>
    </w:p>
    <w:p w14:paraId="71C7B195" w14:textId="373812C2" w:rsidR="00E15BC4" w:rsidRPr="00220850" w:rsidRDefault="00E15BC4" w:rsidP="0013626C">
      <w:pPr>
        <w:pStyle w:val="Sraopastraipa"/>
        <w:numPr>
          <w:ilvl w:val="2"/>
          <w:numId w:val="4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14F4A5E8" w14:textId="77777777" w:rsidR="00E15BC4" w:rsidRPr="00220850" w:rsidRDefault="00E15BC4" w:rsidP="0013626C">
      <w:pPr>
        <w:pStyle w:val="Sraopastraipa"/>
        <w:numPr>
          <w:ilvl w:val="2"/>
          <w:numId w:val="4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088D63AA" w14:textId="77777777" w:rsidR="00E15BC4" w:rsidRPr="00220850" w:rsidRDefault="00E15BC4" w:rsidP="0013626C">
      <w:pPr>
        <w:pStyle w:val="Sraopastraipa"/>
        <w:numPr>
          <w:ilvl w:val="2"/>
          <w:numId w:val="4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333534F2" w14:textId="77777777" w:rsidR="00E15BC4" w:rsidRPr="00220850" w:rsidRDefault="00E15BC4" w:rsidP="0013626C">
      <w:pPr>
        <w:pStyle w:val="Sraopastraipa"/>
        <w:numPr>
          <w:ilvl w:val="2"/>
          <w:numId w:val="4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1B3CE6A2" w14:textId="77777777" w:rsidR="00E15BC4" w:rsidRPr="00220850" w:rsidRDefault="00E15BC4" w:rsidP="0013626C">
      <w:pPr>
        <w:pStyle w:val="Sraopastraipa"/>
        <w:numPr>
          <w:ilvl w:val="2"/>
          <w:numId w:val="46"/>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0A68899B" w14:textId="77777777" w:rsidR="000522DD" w:rsidRPr="00220850" w:rsidRDefault="000522DD" w:rsidP="00E15BC4">
      <w:pPr>
        <w:autoSpaceDE w:val="0"/>
        <w:autoSpaceDN w:val="0"/>
        <w:adjustRightInd w:val="0"/>
        <w:rPr>
          <w:rFonts w:eastAsia="TimesNewRoman,Italic"/>
          <w:i/>
          <w:iCs/>
          <w:sz w:val="22"/>
          <w:szCs w:val="22"/>
          <w:lang w:val="en-US"/>
        </w:rPr>
      </w:pPr>
    </w:p>
    <w:p w14:paraId="188B7ADA" w14:textId="52FBBBCB" w:rsidR="0035166F" w:rsidRPr="00220850" w:rsidRDefault="00FB7696" w:rsidP="0035166F">
      <w:pPr>
        <w:autoSpaceDE w:val="0"/>
        <w:autoSpaceDN w:val="0"/>
        <w:adjustRightInd w:val="0"/>
        <w:rPr>
          <w:rFonts w:eastAsia="TimesNewRoman"/>
          <w:sz w:val="22"/>
          <w:szCs w:val="22"/>
          <w:lang w:val="en-US"/>
        </w:rPr>
      </w:pPr>
      <w:r w:rsidRPr="00220850">
        <w:rPr>
          <w:b/>
          <w:bCs/>
          <w:sz w:val="22"/>
          <w:szCs w:val="22"/>
          <w:lang w:eastAsia="lt-LT"/>
        </w:rPr>
        <w:t>Nedažni šalutinio poveikio reiškiniai (gali pasireikšti rečiau kaip 1 iš 100 asmenų):</w:t>
      </w:r>
    </w:p>
    <w:p w14:paraId="5BE6A2F8" w14:textId="05D6B286" w:rsidR="00E15BC4" w:rsidRPr="00220850" w:rsidRDefault="00E15BC4" w:rsidP="0013626C">
      <w:pPr>
        <w:pStyle w:val="Sraopastraipa"/>
        <w:numPr>
          <w:ilvl w:val="2"/>
          <w:numId w:val="4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3A06D8B0" w14:textId="77777777" w:rsidR="00E15BC4" w:rsidRPr="00220850" w:rsidRDefault="00E15BC4" w:rsidP="0013626C">
      <w:pPr>
        <w:pStyle w:val="Sraopastraipa"/>
        <w:numPr>
          <w:ilvl w:val="2"/>
          <w:numId w:val="4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33B3B48D" w14:textId="77777777" w:rsidR="00E15BC4" w:rsidRPr="00220850" w:rsidRDefault="00E15BC4" w:rsidP="0013626C">
      <w:pPr>
        <w:pStyle w:val="Sraopastraipa"/>
        <w:numPr>
          <w:ilvl w:val="2"/>
          <w:numId w:val="4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10224C2F" w14:textId="77777777" w:rsidR="00E15BC4" w:rsidRPr="00220850" w:rsidRDefault="00E15BC4" w:rsidP="0013626C">
      <w:pPr>
        <w:pStyle w:val="Sraopastraipa"/>
        <w:numPr>
          <w:ilvl w:val="2"/>
          <w:numId w:val="4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0ED15B14" w14:textId="77777777" w:rsidR="00E15BC4" w:rsidRPr="00220850" w:rsidRDefault="00E15BC4" w:rsidP="0013626C">
      <w:pPr>
        <w:pStyle w:val="Sraopastraipa"/>
        <w:numPr>
          <w:ilvl w:val="2"/>
          <w:numId w:val="4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109FC3FE" w14:textId="2597D603" w:rsidR="00E15BC4" w:rsidRPr="00220850" w:rsidRDefault="00E15BC4" w:rsidP="0013626C">
      <w:pPr>
        <w:pStyle w:val="Sraopastraipa"/>
        <w:numPr>
          <w:ilvl w:val="2"/>
          <w:numId w:val="4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5C2EA3D0" w14:textId="77777777" w:rsidR="007604FE" w:rsidRPr="00220850" w:rsidRDefault="007604FE" w:rsidP="007604FE">
      <w:pPr>
        <w:pStyle w:val="Sraopastraipa"/>
        <w:autoSpaceDE w:val="0"/>
        <w:autoSpaceDN w:val="0"/>
        <w:adjustRightInd w:val="0"/>
        <w:ind w:left="567"/>
        <w:rPr>
          <w:rFonts w:eastAsia="TimesNewRoman"/>
          <w:sz w:val="22"/>
          <w:szCs w:val="22"/>
          <w:lang w:val="en-US"/>
        </w:rPr>
      </w:pPr>
    </w:p>
    <w:p w14:paraId="3599505F" w14:textId="0F0C4549" w:rsidR="0035166F" w:rsidRPr="00220850" w:rsidRDefault="005824BC" w:rsidP="0035166F">
      <w:pPr>
        <w:autoSpaceDE w:val="0"/>
        <w:autoSpaceDN w:val="0"/>
        <w:adjustRightInd w:val="0"/>
        <w:rPr>
          <w:rFonts w:eastAsia="TimesNewRoman"/>
          <w:sz w:val="22"/>
          <w:szCs w:val="22"/>
          <w:lang w:val="pt-PT"/>
        </w:rPr>
      </w:pPr>
      <w:r w:rsidRPr="00220850">
        <w:rPr>
          <w:b/>
          <w:bCs/>
          <w:sz w:val="22"/>
          <w:szCs w:val="22"/>
          <w:lang w:eastAsia="lt-LT"/>
        </w:rPr>
        <w:t>Šalutinio poveikio reiškiniai, kurių dažnis nežinomas (negali būti apskaičiuotas pagal turimus duomenis):</w:t>
      </w:r>
    </w:p>
    <w:p w14:paraId="7333DA64" w14:textId="2F784FC7" w:rsidR="00E15BC4" w:rsidRPr="00220850" w:rsidRDefault="00E15BC4" w:rsidP="0013626C">
      <w:pPr>
        <w:pStyle w:val="Sraopastraipa"/>
        <w:numPr>
          <w:ilvl w:val="0"/>
          <w:numId w:val="4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274E29E3" w14:textId="77777777" w:rsidR="00E15BC4" w:rsidRPr="00220850" w:rsidRDefault="00E15BC4" w:rsidP="0013626C">
      <w:pPr>
        <w:pStyle w:val="Sraopastraipa"/>
        <w:numPr>
          <w:ilvl w:val="0"/>
          <w:numId w:val="4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7CA9B12B" w14:textId="77777777" w:rsidR="00E15BC4" w:rsidRPr="00220850" w:rsidRDefault="00E15BC4" w:rsidP="0013626C">
      <w:pPr>
        <w:pStyle w:val="Sraopastraipa"/>
        <w:numPr>
          <w:ilvl w:val="0"/>
          <w:numId w:val="48"/>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14FEB84F" w14:textId="77777777" w:rsidR="00E15BC4" w:rsidRPr="00220850" w:rsidRDefault="00E15BC4" w:rsidP="0013626C">
      <w:pPr>
        <w:pStyle w:val="Sraopastraipa"/>
        <w:numPr>
          <w:ilvl w:val="0"/>
          <w:numId w:val="48"/>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Kraujagyslės sienelės išsipūtimas ir susilpnėjimas arba kraujagyslės sienelės įplyšimas</w:t>
      </w:r>
      <w:r w:rsidR="000522DD" w:rsidRPr="00220850">
        <w:rPr>
          <w:rFonts w:eastAsia="TimesNewRoman"/>
          <w:sz w:val="22"/>
          <w:szCs w:val="22"/>
          <w:lang w:val="pt-PT"/>
        </w:rPr>
        <w:t xml:space="preserve"> </w:t>
      </w:r>
      <w:r w:rsidRPr="00220850">
        <w:rPr>
          <w:rFonts w:eastAsia="TimesNewRoman"/>
          <w:sz w:val="22"/>
          <w:szCs w:val="22"/>
          <w:lang w:val="pt-PT"/>
        </w:rPr>
        <w:t>(aneurizmos ir arterijų disekacijos).</w:t>
      </w:r>
    </w:p>
    <w:p w14:paraId="0AF16194" w14:textId="77777777" w:rsidR="00E15BC4" w:rsidRPr="00220850" w:rsidRDefault="00E15BC4" w:rsidP="0013626C">
      <w:pPr>
        <w:pStyle w:val="Sraopastraipa"/>
        <w:numPr>
          <w:ilvl w:val="0"/>
          <w:numId w:val="4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69392B0D" w14:textId="7D6321AD" w:rsidR="00E15BC4" w:rsidRPr="00220850" w:rsidRDefault="00E15BC4" w:rsidP="0013626C">
      <w:pPr>
        <w:pStyle w:val="Sraopastraipa"/>
        <w:numPr>
          <w:ilvl w:val="0"/>
          <w:numId w:val="48"/>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r w:rsidR="00954587" w:rsidRPr="00220850">
        <w:rPr>
          <w:rFonts w:eastAsia="TimesNewRoman"/>
          <w:sz w:val="22"/>
          <w:szCs w:val="22"/>
          <w:lang w:val="en-US"/>
        </w:rPr>
        <w:t>;</w:t>
      </w:r>
    </w:p>
    <w:p w14:paraId="63AE9ABB" w14:textId="5D914A75" w:rsidR="00954587" w:rsidRPr="00220850" w:rsidRDefault="00954587" w:rsidP="00296ED8">
      <w:pPr>
        <w:pStyle w:val="Sraopastraipa"/>
        <w:numPr>
          <w:ilvl w:val="0"/>
          <w:numId w:val="48"/>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552933D3" w14:textId="77777777" w:rsidR="004F281D" w:rsidRPr="00220850" w:rsidRDefault="004F281D" w:rsidP="004F281D">
      <w:pPr>
        <w:pStyle w:val="Default"/>
        <w:rPr>
          <w:color w:val="auto"/>
          <w:sz w:val="22"/>
          <w:szCs w:val="22"/>
        </w:rPr>
      </w:pPr>
    </w:p>
    <w:p w14:paraId="51D09DAA" w14:textId="66E75EB5" w:rsidR="004F281D" w:rsidRPr="00220850" w:rsidRDefault="004F281D" w:rsidP="004F281D">
      <w:pPr>
        <w:pStyle w:val="Default"/>
        <w:rPr>
          <w:color w:val="auto"/>
          <w:sz w:val="22"/>
          <w:szCs w:val="22"/>
          <w:u w:val="single"/>
          <w:lang w:val="pt-PT"/>
        </w:rPr>
      </w:pPr>
      <w:r w:rsidRPr="00220850">
        <w:rPr>
          <w:color w:val="auto"/>
          <w:sz w:val="22"/>
          <w:szCs w:val="22"/>
          <w:u w:val="single"/>
          <w:lang w:val="pt-PT"/>
        </w:rPr>
        <w:t xml:space="preserve">Vaikų ir paauglių fibrozinės intersticinės plaučių ligos (IPL) </w:t>
      </w:r>
    </w:p>
    <w:p w14:paraId="4B3D62F7" w14:textId="77777777" w:rsidR="004F281D" w:rsidRPr="00220850" w:rsidRDefault="004F281D" w:rsidP="004F281D">
      <w:pPr>
        <w:pStyle w:val="Default"/>
        <w:rPr>
          <w:color w:val="auto"/>
          <w:sz w:val="22"/>
          <w:szCs w:val="22"/>
          <w:lang w:val="pt-PT"/>
        </w:rPr>
      </w:pPr>
      <w:r w:rsidRPr="00220850">
        <w:rPr>
          <w:color w:val="auto"/>
          <w:sz w:val="22"/>
          <w:szCs w:val="22"/>
          <w:lang w:val="pt-PT"/>
        </w:rPr>
        <w:t xml:space="preserve">Šalutinis poveikis vaikams ir paaugliams buvo panašus į nustatytą suaugusiems pacientams. </w:t>
      </w:r>
    </w:p>
    <w:p w14:paraId="383D8BDA" w14:textId="0D0A8044" w:rsidR="004C68FC" w:rsidRPr="00220850" w:rsidRDefault="004F281D" w:rsidP="004F281D">
      <w:pPr>
        <w:tabs>
          <w:tab w:val="left" w:pos="567"/>
        </w:tabs>
        <w:ind w:left="567" w:right="-29" w:hanging="567"/>
        <w:rPr>
          <w:sz w:val="22"/>
        </w:rPr>
      </w:pPr>
      <w:r w:rsidRPr="00220850">
        <w:rPr>
          <w:sz w:val="22"/>
          <w:szCs w:val="22"/>
        </w:rPr>
        <w:t>Jeigu pasireiškė bet kuris šalutinis poveikis, pasakykite savo gydytojui.</w:t>
      </w:r>
    </w:p>
    <w:p w14:paraId="681D41B2" w14:textId="77777777" w:rsidR="004F281D" w:rsidRPr="00220850" w:rsidRDefault="004F281D">
      <w:pPr>
        <w:tabs>
          <w:tab w:val="left" w:pos="567"/>
        </w:tabs>
        <w:rPr>
          <w:b/>
          <w:sz w:val="22"/>
          <w:szCs w:val="24"/>
        </w:rPr>
      </w:pPr>
    </w:p>
    <w:p w14:paraId="0E4BCCDC" w14:textId="28B5F8F9" w:rsidR="00DE01F8" w:rsidRPr="00220850" w:rsidRDefault="002D5C8E">
      <w:pPr>
        <w:tabs>
          <w:tab w:val="left" w:pos="567"/>
        </w:tabs>
        <w:rPr>
          <w:b/>
          <w:sz w:val="22"/>
          <w:szCs w:val="24"/>
        </w:rPr>
      </w:pPr>
      <w:r w:rsidRPr="00220850">
        <w:rPr>
          <w:b/>
          <w:sz w:val="22"/>
          <w:szCs w:val="24"/>
        </w:rPr>
        <w:t>Pranešimas apie šalutinį poveikį</w:t>
      </w:r>
    </w:p>
    <w:p w14:paraId="0CFED57D" w14:textId="5B5C3E8B" w:rsidR="00DE01F8" w:rsidRPr="00220850" w:rsidRDefault="00954587">
      <w:pPr>
        <w:tabs>
          <w:tab w:val="left" w:pos="567"/>
        </w:tabs>
        <w:spacing w:line="260" w:lineRule="exact"/>
        <w:ind w:right="-1"/>
        <w:rPr>
          <w:sz w:val="22"/>
        </w:rPr>
      </w:pPr>
      <w:r w:rsidRPr="00220850">
        <w:rPr>
          <w:sz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F33A45" w:rsidRPr="00220850">
        <w:rPr>
          <w:sz w:val="22"/>
        </w:rPr>
        <w:t>+370</w:t>
      </w:r>
      <w:r w:rsidRPr="00220850">
        <w:rPr>
          <w:sz w:val="22"/>
        </w:rPr>
        <w:t xml:space="preserve"> 800 73 568. Pranešdami apie šalutinį poveikį galite mums padėti gauti daugiau informacijos apie šio vaisto saugumą.</w:t>
      </w:r>
    </w:p>
    <w:p w14:paraId="2750CD6A" w14:textId="77777777" w:rsidR="00DE01F8" w:rsidRPr="00220850" w:rsidRDefault="00DE01F8">
      <w:pPr>
        <w:tabs>
          <w:tab w:val="left" w:pos="567"/>
        </w:tabs>
        <w:spacing w:line="260" w:lineRule="exact"/>
        <w:ind w:right="-449"/>
        <w:rPr>
          <w:sz w:val="22"/>
          <w:szCs w:val="24"/>
        </w:rPr>
      </w:pPr>
    </w:p>
    <w:p w14:paraId="61E52D67" w14:textId="77777777" w:rsidR="00DE01F8" w:rsidRPr="00220850" w:rsidRDefault="00DE01F8">
      <w:pPr>
        <w:tabs>
          <w:tab w:val="left" w:pos="567"/>
        </w:tabs>
        <w:spacing w:line="260" w:lineRule="exact"/>
        <w:ind w:right="-449"/>
        <w:rPr>
          <w:sz w:val="22"/>
          <w:szCs w:val="24"/>
        </w:rPr>
      </w:pPr>
    </w:p>
    <w:p w14:paraId="300BB6B7" w14:textId="77777777" w:rsidR="00DE01F8" w:rsidRPr="00220850" w:rsidRDefault="002D5C8E" w:rsidP="005D7751">
      <w:pPr>
        <w:keepNext/>
        <w:keepLines/>
        <w:tabs>
          <w:tab w:val="left" w:pos="567"/>
        </w:tabs>
        <w:outlineLvl w:val="2"/>
        <w:rPr>
          <w:b/>
          <w:bCs/>
          <w:sz w:val="22"/>
          <w:szCs w:val="26"/>
          <w:lang w:eastAsia="x-none"/>
        </w:rPr>
      </w:pPr>
      <w:r w:rsidRPr="00220850">
        <w:rPr>
          <w:b/>
          <w:bCs/>
          <w:sz w:val="22"/>
          <w:szCs w:val="26"/>
          <w:lang w:eastAsia="x-none"/>
        </w:rPr>
        <w:t>5.</w:t>
      </w:r>
      <w:r w:rsidRPr="00220850">
        <w:rPr>
          <w:b/>
          <w:bCs/>
          <w:sz w:val="22"/>
          <w:szCs w:val="26"/>
          <w:lang w:eastAsia="x-none"/>
        </w:rPr>
        <w:tab/>
        <w:t xml:space="preserve">Kaip laikyti </w:t>
      </w:r>
      <w:proofErr w:type="spellStart"/>
      <w:r w:rsidR="005D7751" w:rsidRPr="00220850">
        <w:rPr>
          <w:b/>
          <w:sz w:val="22"/>
          <w:szCs w:val="22"/>
        </w:rPr>
        <w:t>Nintedanib</w:t>
      </w:r>
      <w:proofErr w:type="spellEnd"/>
      <w:r w:rsidR="005D7751" w:rsidRPr="00220850">
        <w:rPr>
          <w:b/>
          <w:sz w:val="22"/>
          <w:szCs w:val="22"/>
        </w:rPr>
        <w:t xml:space="preserve"> </w:t>
      </w:r>
      <w:proofErr w:type="spellStart"/>
      <w:r w:rsidR="005D7751" w:rsidRPr="00220850">
        <w:rPr>
          <w:b/>
          <w:sz w:val="22"/>
          <w:szCs w:val="22"/>
        </w:rPr>
        <w:t>Teva</w:t>
      </w:r>
      <w:proofErr w:type="spellEnd"/>
    </w:p>
    <w:p w14:paraId="4C6D4C58" w14:textId="77777777" w:rsidR="00DE01F8" w:rsidRPr="00220850" w:rsidRDefault="00DE01F8">
      <w:pPr>
        <w:numPr>
          <w:ilvl w:val="12"/>
          <w:numId w:val="0"/>
        </w:numPr>
        <w:ind w:right="-2"/>
        <w:rPr>
          <w:sz w:val="22"/>
          <w:szCs w:val="24"/>
        </w:rPr>
      </w:pPr>
    </w:p>
    <w:p w14:paraId="181698D9" w14:textId="77777777" w:rsidR="00DE01F8" w:rsidRPr="00220850" w:rsidRDefault="002D5C8E">
      <w:pPr>
        <w:numPr>
          <w:ilvl w:val="12"/>
          <w:numId w:val="0"/>
        </w:numPr>
        <w:ind w:right="-2"/>
        <w:rPr>
          <w:sz w:val="22"/>
          <w:szCs w:val="24"/>
        </w:rPr>
      </w:pPr>
      <w:r w:rsidRPr="00220850">
        <w:rPr>
          <w:sz w:val="22"/>
          <w:szCs w:val="24"/>
        </w:rPr>
        <w:t>Šį vaistą laikykite vaikams nepastebimoje ir nepasiekiamoje vietoje.</w:t>
      </w:r>
    </w:p>
    <w:p w14:paraId="35F27E3F" w14:textId="77777777" w:rsidR="00DE01F8" w:rsidRPr="00220850" w:rsidRDefault="00DE01F8">
      <w:pPr>
        <w:numPr>
          <w:ilvl w:val="12"/>
          <w:numId w:val="0"/>
        </w:numPr>
        <w:ind w:right="-2"/>
        <w:rPr>
          <w:sz w:val="22"/>
          <w:szCs w:val="24"/>
        </w:rPr>
      </w:pPr>
    </w:p>
    <w:p w14:paraId="32E20051" w14:textId="77777777" w:rsidR="00E15BC4" w:rsidRPr="00220850" w:rsidRDefault="00E15BC4" w:rsidP="00E15BC4">
      <w:pPr>
        <w:autoSpaceDE w:val="0"/>
        <w:autoSpaceDN w:val="0"/>
        <w:adjustRightInd w:val="0"/>
        <w:rPr>
          <w:rFonts w:eastAsia="TimesNewRoman"/>
          <w:sz w:val="22"/>
          <w:szCs w:val="22"/>
        </w:rPr>
      </w:pPr>
      <w:r w:rsidRPr="00220850">
        <w:rPr>
          <w:rFonts w:eastAsia="TimesNewRoman"/>
          <w:sz w:val="22"/>
          <w:szCs w:val="22"/>
        </w:rPr>
        <w:t>Ant lizdinės plokštelės ir dėžutės po „EXP“ nurodytam tinkamumo laikui pasibaigus, šio vaisto vartoti</w:t>
      </w:r>
      <w:r w:rsidR="000522DD" w:rsidRPr="00220850">
        <w:rPr>
          <w:rFonts w:eastAsia="TimesNewRoman"/>
          <w:sz w:val="22"/>
          <w:szCs w:val="22"/>
        </w:rPr>
        <w:t xml:space="preserve"> </w:t>
      </w:r>
      <w:r w:rsidRPr="00220850">
        <w:rPr>
          <w:rFonts w:eastAsia="TimesNewRoman"/>
          <w:sz w:val="22"/>
          <w:szCs w:val="22"/>
        </w:rPr>
        <w:t>negalima. Vaistas tinkamas vartoti iki paskutinės nurodyto mėnesio dienos.</w:t>
      </w:r>
    </w:p>
    <w:p w14:paraId="2332FD91" w14:textId="77777777" w:rsidR="000522DD" w:rsidRPr="00220850" w:rsidRDefault="000522DD" w:rsidP="00E15BC4">
      <w:pPr>
        <w:autoSpaceDE w:val="0"/>
        <w:autoSpaceDN w:val="0"/>
        <w:adjustRightInd w:val="0"/>
        <w:rPr>
          <w:rFonts w:eastAsia="TimesNewRoman"/>
          <w:sz w:val="22"/>
          <w:szCs w:val="22"/>
        </w:rPr>
      </w:pPr>
    </w:p>
    <w:p w14:paraId="76366ADB" w14:textId="77777777" w:rsidR="00541EF7" w:rsidRPr="00220850" w:rsidRDefault="00541EF7" w:rsidP="007267DC">
      <w:pPr>
        <w:pStyle w:val="BTEMEASMCA"/>
      </w:pPr>
      <w:r w:rsidRPr="00220850">
        <w:t>Šiam vaistiniam preparatui specialių laikymo sąlygų nereikia.</w:t>
      </w:r>
    </w:p>
    <w:p w14:paraId="20AE42D4" w14:textId="77777777" w:rsidR="000522DD" w:rsidRPr="00220850" w:rsidRDefault="000522DD" w:rsidP="00E15BC4">
      <w:pPr>
        <w:autoSpaceDE w:val="0"/>
        <w:autoSpaceDN w:val="0"/>
        <w:adjustRightInd w:val="0"/>
        <w:rPr>
          <w:rFonts w:eastAsia="TimesNewRoman"/>
          <w:sz w:val="22"/>
          <w:szCs w:val="22"/>
        </w:rPr>
      </w:pPr>
    </w:p>
    <w:p w14:paraId="58468ED0" w14:textId="77777777" w:rsidR="00E15BC4" w:rsidRPr="00220850" w:rsidRDefault="00E15BC4" w:rsidP="00E15BC4">
      <w:pPr>
        <w:autoSpaceDE w:val="0"/>
        <w:autoSpaceDN w:val="0"/>
        <w:adjustRightInd w:val="0"/>
        <w:rPr>
          <w:rFonts w:eastAsia="TimesNewRoman"/>
          <w:sz w:val="22"/>
          <w:szCs w:val="22"/>
        </w:rPr>
      </w:pPr>
      <w:r w:rsidRPr="00220850">
        <w:rPr>
          <w:rFonts w:eastAsia="TimesNewRoman"/>
          <w:sz w:val="22"/>
          <w:szCs w:val="22"/>
        </w:rPr>
        <w:t>Pastebėjus, kad lizdinė plokštelė, kurioje yra kapsulių, atidaryta ar kapsulė sulaužyta, šio vaisto vartoti</w:t>
      </w:r>
      <w:r w:rsidR="000522DD" w:rsidRPr="00220850">
        <w:rPr>
          <w:rFonts w:eastAsia="TimesNewRoman"/>
          <w:sz w:val="22"/>
          <w:szCs w:val="22"/>
        </w:rPr>
        <w:t xml:space="preserve"> </w:t>
      </w:r>
      <w:r w:rsidRPr="00220850">
        <w:rPr>
          <w:rFonts w:eastAsia="TimesNewRoman"/>
          <w:sz w:val="22"/>
          <w:szCs w:val="22"/>
        </w:rPr>
        <w:t>negalima.</w:t>
      </w:r>
    </w:p>
    <w:p w14:paraId="5DA5D279" w14:textId="679D03D7" w:rsidR="00E15BC4" w:rsidRPr="00220850" w:rsidRDefault="00E15BC4" w:rsidP="00E15BC4">
      <w:pPr>
        <w:autoSpaceDE w:val="0"/>
        <w:autoSpaceDN w:val="0"/>
        <w:adjustRightInd w:val="0"/>
        <w:rPr>
          <w:rFonts w:eastAsia="TimesNewRoman"/>
          <w:sz w:val="22"/>
          <w:szCs w:val="22"/>
        </w:rPr>
      </w:pPr>
      <w:r w:rsidRPr="00220850">
        <w:rPr>
          <w:rFonts w:eastAsia="TimesNewRoman"/>
          <w:sz w:val="22"/>
          <w:szCs w:val="22"/>
        </w:rPr>
        <w:t>Jeigu prisilietėte prie kapsulės turinio, reikia nedelsiant gausiu vandens kiekiu nusiplauti rankas (žr.</w:t>
      </w:r>
      <w:r w:rsidR="000522DD" w:rsidRPr="00220850">
        <w:rPr>
          <w:rFonts w:eastAsia="TimesNewRoman"/>
          <w:sz w:val="22"/>
          <w:szCs w:val="22"/>
        </w:rPr>
        <w:t xml:space="preserve"> </w:t>
      </w:r>
      <w:r w:rsidRPr="00220850">
        <w:rPr>
          <w:rFonts w:eastAsia="TimesNewRoman"/>
          <w:sz w:val="22"/>
          <w:szCs w:val="22"/>
        </w:rPr>
        <w:t>3 skyrių</w:t>
      </w:r>
      <w:r w:rsidR="004C68FC" w:rsidRPr="00220850">
        <w:rPr>
          <w:rFonts w:eastAsia="TimesNewRoman"/>
          <w:sz w:val="22"/>
          <w:szCs w:val="22"/>
        </w:rPr>
        <w:t xml:space="preserve"> </w:t>
      </w:r>
      <w:r w:rsidR="004F281D" w:rsidRPr="00220850">
        <w:rPr>
          <w:rFonts w:eastAsia="TimesNewRoman"/>
          <w:sz w:val="22"/>
          <w:szCs w:val="22"/>
        </w:rPr>
        <w:t xml:space="preserve">„Kaip vartoti </w:t>
      </w:r>
      <w:proofErr w:type="spellStart"/>
      <w:r w:rsidR="004F281D" w:rsidRPr="00220850">
        <w:rPr>
          <w:rFonts w:eastAsia="TimesNewRoman"/>
          <w:sz w:val="22"/>
          <w:szCs w:val="22"/>
        </w:rPr>
        <w:t>Nintedanib</w:t>
      </w:r>
      <w:proofErr w:type="spellEnd"/>
      <w:r w:rsidR="004F281D" w:rsidRPr="00220850">
        <w:rPr>
          <w:rFonts w:eastAsia="TimesNewRoman"/>
          <w:sz w:val="22"/>
          <w:szCs w:val="22"/>
        </w:rPr>
        <w:t xml:space="preserve"> </w:t>
      </w:r>
      <w:proofErr w:type="spellStart"/>
      <w:r w:rsidR="004F281D" w:rsidRPr="00220850">
        <w:rPr>
          <w:rFonts w:eastAsia="TimesNewRoman"/>
          <w:sz w:val="22"/>
          <w:szCs w:val="22"/>
        </w:rPr>
        <w:t>Teva</w:t>
      </w:r>
      <w:proofErr w:type="spellEnd"/>
      <w:r w:rsidR="004C68FC" w:rsidRPr="00220850">
        <w:rPr>
          <w:rFonts w:eastAsia="TimesNewRoman"/>
          <w:sz w:val="22"/>
          <w:szCs w:val="22"/>
        </w:rPr>
        <w:t>”</w:t>
      </w:r>
      <w:r w:rsidRPr="00220850">
        <w:rPr>
          <w:rFonts w:eastAsia="TimesNewRoman"/>
          <w:sz w:val="22"/>
          <w:szCs w:val="22"/>
        </w:rPr>
        <w:t>).</w:t>
      </w:r>
    </w:p>
    <w:p w14:paraId="3D8854B5" w14:textId="77777777" w:rsidR="000522DD" w:rsidRPr="00220850" w:rsidRDefault="000522DD" w:rsidP="00E15BC4">
      <w:pPr>
        <w:autoSpaceDE w:val="0"/>
        <w:autoSpaceDN w:val="0"/>
        <w:adjustRightInd w:val="0"/>
        <w:rPr>
          <w:rFonts w:eastAsia="TimesNewRoman"/>
          <w:sz w:val="22"/>
          <w:szCs w:val="22"/>
        </w:rPr>
      </w:pPr>
    </w:p>
    <w:p w14:paraId="32267B0C" w14:textId="77777777" w:rsidR="00DE01F8" w:rsidRPr="00220850" w:rsidRDefault="00E15BC4" w:rsidP="000522DD">
      <w:pPr>
        <w:autoSpaceDE w:val="0"/>
        <w:autoSpaceDN w:val="0"/>
        <w:adjustRightInd w:val="0"/>
        <w:rPr>
          <w:sz w:val="22"/>
          <w:szCs w:val="24"/>
        </w:rPr>
      </w:pPr>
      <w:r w:rsidRPr="00220850">
        <w:rPr>
          <w:rFonts w:eastAsia="TimesNewRoman"/>
          <w:sz w:val="22"/>
          <w:szCs w:val="22"/>
        </w:rPr>
        <w:t>Vaistų negalima išmesti į kanalizaciją arba su buitinėmis atliekomis. Kaip išmesti nereikalingus</w:t>
      </w:r>
      <w:r w:rsidR="000522DD" w:rsidRPr="00220850">
        <w:rPr>
          <w:rFonts w:eastAsia="TimesNewRoman"/>
          <w:sz w:val="22"/>
          <w:szCs w:val="22"/>
        </w:rPr>
        <w:t xml:space="preserve"> </w:t>
      </w:r>
      <w:r w:rsidRPr="00220850">
        <w:rPr>
          <w:rFonts w:eastAsia="TimesNewRoman"/>
          <w:sz w:val="22"/>
          <w:szCs w:val="22"/>
        </w:rPr>
        <w:t>vaistus, klauskite vaistininko. Šios priemonės padės apsaugoti aplinką.</w:t>
      </w:r>
    </w:p>
    <w:p w14:paraId="094B464B" w14:textId="77777777" w:rsidR="00DE01F8" w:rsidRPr="00220850" w:rsidRDefault="00DE01F8">
      <w:pPr>
        <w:numPr>
          <w:ilvl w:val="12"/>
          <w:numId w:val="0"/>
        </w:numPr>
        <w:ind w:right="-2"/>
        <w:rPr>
          <w:sz w:val="22"/>
          <w:szCs w:val="24"/>
        </w:rPr>
      </w:pPr>
    </w:p>
    <w:p w14:paraId="3A2EE742" w14:textId="77777777" w:rsidR="00FA67A2" w:rsidRPr="00220850" w:rsidRDefault="00FA67A2">
      <w:pPr>
        <w:numPr>
          <w:ilvl w:val="12"/>
          <w:numId w:val="0"/>
        </w:numPr>
        <w:ind w:right="-2"/>
        <w:rPr>
          <w:sz w:val="22"/>
          <w:szCs w:val="24"/>
        </w:rPr>
      </w:pPr>
    </w:p>
    <w:p w14:paraId="27D450F0" w14:textId="77777777" w:rsidR="00DE01F8" w:rsidRPr="00220850" w:rsidRDefault="002D5C8E">
      <w:pPr>
        <w:keepNext/>
        <w:keepLines/>
        <w:tabs>
          <w:tab w:val="left" w:pos="567"/>
        </w:tabs>
        <w:outlineLvl w:val="2"/>
        <w:rPr>
          <w:b/>
          <w:bCs/>
          <w:sz w:val="22"/>
          <w:szCs w:val="26"/>
          <w:lang w:eastAsia="x-none"/>
        </w:rPr>
      </w:pPr>
      <w:r w:rsidRPr="00220850">
        <w:rPr>
          <w:b/>
          <w:bCs/>
          <w:sz w:val="22"/>
          <w:szCs w:val="26"/>
          <w:lang w:eastAsia="x-none"/>
        </w:rPr>
        <w:t>6.</w:t>
      </w:r>
      <w:r w:rsidRPr="00220850">
        <w:rPr>
          <w:bCs/>
          <w:sz w:val="22"/>
          <w:szCs w:val="26"/>
          <w:lang w:eastAsia="x-none"/>
        </w:rPr>
        <w:tab/>
      </w:r>
      <w:r w:rsidRPr="00220850">
        <w:rPr>
          <w:b/>
          <w:bCs/>
          <w:sz w:val="22"/>
          <w:szCs w:val="26"/>
          <w:lang w:eastAsia="x-none"/>
        </w:rPr>
        <w:t>Pakuotės turinys ir kita informacija</w:t>
      </w:r>
    </w:p>
    <w:p w14:paraId="1731C8AD" w14:textId="77777777" w:rsidR="00DE01F8" w:rsidRPr="00220850" w:rsidRDefault="00DE01F8">
      <w:pPr>
        <w:numPr>
          <w:ilvl w:val="12"/>
          <w:numId w:val="0"/>
        </w:numPr>
        <w:rPr>
          <w:sz w:val="22"/>
          <w:szCs w:val="24"/>
        </w:rPr>
      </w:pPr>
    </w:p>
    <w:p w14:paraId="6BEC653E" w14:textId="77777777" w:rsidR="00DE01F8" w:rsidRPr="00220850" w:rsidRDefault="005D7751">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002D5C8E" w:rsidRPr="00220850">
        <w:rPr>
          <w:b/>
          <w:bCs/>
          <w:sz w:val="22"/>
          <w:szCs w:val="28"/>
          <w:lang w:eastAsia="x-none"/>
        </w:rPr>
        <w:t xml:space="preserve"> sudėtis </w:t>
      </w:r>
    </w:p>
    <w:p w14:paraId="66F4F7E7" w14:textId="77777777" w:rsidR="00DE01F8" w:rsidRPr="00220850" w:rsidRDefault="002D5C8E">
      <w:pPr>
        <w:tabs>
          <w:tab w:val="left" w:pos="567"/>
        </w:tabs>
        <w:spacing w:line="260" w:lineRule="exact"/>
        <w:ind w:left="567" w:right="-2" w:hanging="567"/>
        <w:rPr>
          <w:sz w:val="22"/>
          <w:szCs w:val="24"/>
        </w:rPr>
      </w:pPr>
      <w:r w:rsidRPr="00220850">
        <w:rPr>
          <w:sz w:val="22"/>
          <w:szCs w:val="24"/>
        </w:rPr>
        <w:t>-</w:t>
      </w:r>
      <w:r w:rsidRPr="00220850">
        <w:rPr>
          <w:sz w:val="22"/>
          <w:szCs w:val="24"/>
        </w:rPr>
        <w:tab/>
        <w:t>Veiklioji medžiaga yra</w:t>
      </w:r>
      <w:r w:rsidR="00541EF7" w:rsidRPr="00220850">
        <w:rPr>
          <w:sz w:val="22"/>
          <w:szCs w:val="24"/>
        </w:rPr>
        <w:t xml:space="preserve"> </w:t>
      </w:r>
      <w:proofErr w:type="spellStart"/>
      <w:r w:rsidR="00541EF7" w:rsidRPr="00220850">
        <w:rPr>
          <w:sz w:val="22"/>
          <w:szCs w:val="24"/>
        </w:rPr>
        <w:t>nintedanibas</w:t>
      </w:r>
      <w:proofErr w:type="spellEnd"/>
      <w:r w:rsidR="00541EF7" w:rsidRPr="00220850">
        <w:rPr>
          <w:sz w:val="22"/>
          <w:szCs w:val="24"/>
        </w:rPr>
        <w:t>. Kiekvienoje kapsulėje yra 100 mg</w:t>
      </w:r>
      <w:r w:rsidRPr="00220850">
        <w:rPr>
          <w:sz w:val="22"/>
          <w:szCs w:val="24"/>
        </w:rPr>
        <w:t xml:space="preserve"> </w:t>
      </w:r>
      <w:proofErr w:type="spellStart"/>
      <w:r w:rsidR="00541EF7" w:rsidRPr="00220850">
        <w:rPr>
          <w:sz w:val="22"/>
          <w:szCs w:val="24"/>
        </w:rPr>
        <w:t>nintedanibo</w:t>
      </w:r>
      <w:proofErr w:type="spellEnd"/>
      <w:r w:rsidR="00541EF7" w:rsidRPr="00220850">
        <w:rPr>
          <w:sz w:val="22"/>
          <w:szCs w:val="24"/>
        </w:rPr>
        <w:t xml:space="preserve"> (</w:t>
      </w:r>
      <w:proofErr w:type="spellStart"/>
      <w:r w:rsidR="00541EF7" w:rsidRPr="00220850">
        <w:rPr>
          <w:sz w:val="22"/>
          <w:szCs w:val="24"/>
        </w:rPr>
        <w:t>esilato</w:t>
      </w:r>
      <w:proofErr w:type="spellEnd"/>
      <w:r w:rsidR="00541EF7" w:rsidRPr="00220850">
        <w:rPr>
          <w:sz w:val="22"/>
          <w:szCs w:val="24"/>
        </w:rPr>
        <w:t xml:space="preserve"> pavidalu)</w:t>
      </w:r>
    </w:p>
    <w:p w14:paraId="5ED746D6" w14:textId="77777777" w:rsidR="00541EF7" w:rsidRPr="00220850" w:rsidRDefault="00541EF7">
      <w:pPr>
        <w:tabs>
          <w:tab w:val="left" w:pos="567"/>
        </w:tabs>
        <w:spacing w:line="260" w:lineRule="exact"/>
        <w:ind w:left="567" w:right="-2" w:hanging="567"/>
        <w:rPr>
          <w:sz w:val="22"/>
          <w:szCs w:val="24"/>
        </w:rPr>
      </w:pPr>
      <w:r w:rsidRPr="00220850">
        <w:rPr>
          <w:sz w:val="22"/>
          <w:szCs w:val="24"/>
        </w:rPr>
        <w:t>-</w:t>
      </w:r>
      <w:r w:rsidRPr="00220850">
        <w:rPr>
          <w:sz w:val="22"/>
          <w:szCs w:val="24"/>
        </w:rPr>
        <w:tab/>
        <w:t>Pagalbinės</w:t>
      </w:r>
      <w:r w:rsidR="002D5C8E" w:rsidRPr="00220850">
        <w:rPr>
          <w:sz w:val="22"/>
          <w:szCs w:val="24"/>
        </w:rPr>
        <w:t xml:space="preserve"> medžiagos</w:t>
      </w:r>
      <w:r w:rsidRPr="00220850">
        <w:rPr>
          <w:sz w:val="22"/>
          <w:szCs w:val="24"/>
        </w:rPr>
        <w:t xml:space="preserve"> yra: </w:t>
      </w:r>
    </w:p>
    <w:p w14:paraId="03C56B7E" w14:textId="77777777" w:rsidR="00541EF7" w:rsidRPr="00220850" w:rsidRDefault="00541EF7" w:rsidP="00541EF7">
      <w:pPr>
        <w:tabs>
          <w:tab w:val="left" w:pos="567"/>
        </w:tabs>
        <w:spacing w:line="260" w:lineRule="exact"/>
        <w:ind w:left="567" w:right="-2"/>
        <w:rPr>
          <w:rFonts w:eastAsia="TimesNewRoman"/>
          <w:sz w:val="22"/>
          <w:szCs w:val="22"/>
        </w:rPr>
      </w:pPr>
      <w:r w:rsidRPr="00220850">
        <w:rPr>
          <w:sz w:val="22"/>
          <w:szCs w:val="24"/>
        </w:rPr>
        <w:lastRenderedPageBreak/>
        <w:t>kapsulės turinys: v</w:t>
      </w:r>
      <w:r w:rsidRPr="00220850">
        <w:rPr>
          <w:rFonts w:eastAsia="TimesNewRoman"/>
          <w:sz w:val="22"/>
          <w:szCs w:val="22"/>
        </w:rPr>
        <w:t>idutinės grandinės trigliceridai, kietieji riebalai, poligliceril-3-dioleatas</w:t>
      </w:r>
      <w:r w:rsidR="007604FE" w:rsidRPr="00220850">
        <w:rPr>
          <w:rFonts w:eastAsia="TimesNewRoman"/>
          <w:sz w:val="22"/>
          <w:szCs w:val="22"/>
        </w:rPr>
        <w:t>;</w:t>
      </w:r>
    </w:p>
    <w:p w14:paraId="47B97BE4" w14:textId="076A7FD3" w:rsidR="00541EF7" w:rsidRPr="00220850" w:rsidRDefault="008C60DC" w:rsidP="008C60DC">
      <w:pPr>
        <w:autoSpaceDE w:val="0"/>
        <w:autoSpaceDN w:val="0"/>
        <w:adjustRightInd w:val="0"/>
        <w:ind w:left="567"/>
        <w:rPr>
          <w:rFonts w:eastAsia="TimesNewRoman"/>
          <w:sz w:val="22"/>
          <w:szCs w:val="22"/>
        </w:rPr>
      </w:pPr>
      <w:r w:rsidRPr="00220850">
        <w:rPr>
          <w:rFonts w:eastAsia="TimesNewRoman"/>
          <w:sz w:val="22"/>
          <w:szCs w:val="22"/>
        </w:rPr>
        <w:t>k</w:t>
      </w:r>
      <w:r w:rsidR="00541EF7" w:rsidRPr="00220850">
        <w:rPr>
          <w:rFonts w:eastAsia="TimesNewRoman"/>
          <w:sz w:val="22"/>
          <w:szCs w:val="22"/>
        </w:rPr>
        <w:t>apsulės korpusas</w:t>
      </w:r>
      <w:r w:rsidRPr="00220850">
        <w:rPr>
          <w:rFonts w:eastAsia="TimesNewRoman"/>
          <w:sz w:val="22"/>
          <w:szCs w:val="22"/>
        </w:rPr>
        <w:t>: ž</w:t>
      </w:r>
      <w:r w:rsidR="00541EF7" w:rsidRPr="00220850">
        <w:rPr>
          <w:rFonts w:eastAsia="TimesNewRoman"/>
          <w:sz w:val="22"/>
          <w:szCs w:val="22"/>
        </w:rPr>
        <w:t>elatina</w:t>
      </w:r>
      <w:r w:rsidRPr="00220850">
        <w:rPr>
          <w:rFonts w:eastAsia="TimesNewRoman"/>
          <w:sz w:val="22"/>
          <w:szCs w:val="22"/>
        </w:rPr>
        <w:t xml:space="preserve">, </w:t>
      </w:r>
      <w:proofErr w:type="spellStart"/>
      <w:r w:rsidRPr="00220850">
        <w:rPr>
          <w:rFonts w:eastAsia="TimesNewRoman"/>
          <w:sz w:val="22"/>
          <w:szCs w:val="22"/>
        </w:rPr>
        <w:t>g</w:t>
      </w:r>
      <w:r w:rsidR="00541EF7" w:rsidRPr="00220850">
        <w:rPr>
          <w:rFonts w:eastAsia="TimesNewRoman"/>
          <w:sz w:val="22"/>
          <w:szCs w:val="22"/>
        </w:rPr>
        <w:t>licerolis</w:t>
      </w:r>
      <w:proofErr w:type="spellEnd"/>
      <w:r w:rsidRPr="00220850">
        <w:rPr>
          <w:rFonts w:eastAsia="TimesNewRoman"/>
          <w:sz w:val="22"/>
          <w:szCs w:val="22"/>
        </w:rPr>
        <w:t>, t</w:t>
      </w:r>
      <w:r w:rsidR="00541EF7" w:rsidRPr="00220850">
        <w:rPr>
          <w:rFonts w:eastAsia="TimesNewRoman"/>
          <w:sz w:val="22"/>
          <w:szCs w:val="22"/>
        </w:rPr>
        <w:t>itano dioksidas (E</w:t>
      </w:r>
      <w:r w:rsidR="00566578" w:rsidRPr="00220850">
        <w:rPr>
          <w:rFonts w:eastAsia="TimesNewRoman"/>
          <w:sz w:val="22"/>
          <w:szCs w:val="22"/>
        </w:rPr>
        <w:t> </w:t>
      </w:r>
      <w:r w:rsidR="00541EF7" w:rsidRPr="00220850">
        <w:rPr>
          <w:rFonts w:eastAsia="TimesNewRoman"/>
          <w:sz w:val="22"/>
          <w:szCs w:val="22"/>
        </w:rPr>
        <w:t>171)</w:t>
      </w:r>
      <w:r w:rsidRPr="00220850">
        <w:rPr>
          <w:rFonts w:eastAsia="TimesNewRoman"/>
          <w:sz w:val="22"/>
          <w:szCs w:val="22"/>
        </w:rPr>
        <w:t>, r</w:t>
      </w:r>
      <w:r w:rsidR="00541EF7" w:rsidRPr="00220850">
        <w:rPr>
          <w:rFonts w:eastAsia="TimesNewRoman"/>
          <w:sz w:val="22"/>
          <w:szCs w:val="22"/>
        </w:rPr>
        <w:t>audonasis geležies oksidas (E</w:t>
      </w:r>
      <w:r w:rsidR="00566578" w:rsidRPr="00220850">
        <w:rPr>
          <w:rFonts w:eastAsia="TimesNewRoman"/>
          <w:sz w:val="22"/>
          <w:szCs w:val="22"/>
        </w:rPr>
        <w:t> </w:t>
      </w:r>
      <w:r w:rsidR="00541EF7" w:rsidRPr="00220850">
        <w:rPr>
          <w:rFonts w:eastAsia="TimesNewRoman"/>
          <w:sz w:val="22"/>
          <w:szCs w:val="22"/>
        </w:rPr>
        <w:t>172)</w:t>
      </w:r>
      <w:r w:rsidRPr="00220850">
        <w:rPr>
          <w:rFonts w:eastAsia="TimesNewRoman"/>
          <w:sz w:val="22"/>
          <w:szCs w:val="22"/>
        </w:rPr>
        <w:t xml:space="preserve"> ir g</w:t>
      </w:r>
      <w:r w:rsidR="00541EF7" w:rsidRPr="00220850">
        <w:rPr>
          <w:rFonts w:eastAsia="TimesNewRoman"/>
          <w:sz w:val="22"/>
          <w:szCs w:val="22"/>
        </w:rPr>
        <w:t>eltonasis geležies oksidas (E</w:t>
      </w:r>
      <w:r w:rsidR="00566578" w:rsidRPr="00220850">
        <w:rPr>
          <w:rFonts w:eastAsia="TimesNewRoman"/>
          <w:sz w:val="22"/>
          <w:szCs w:val="22"/>
        </w:rPr>
        <w:t> </w:t>
      </w:r>
      <w:r w:rsidR="00541EF7" w:rsidRPr="00220850">
        <w:rPr>
          <w:rFonts w:eastAsia="TimesNewRoman"/>
          <w:sz w:val="22"/>
          <w:szCs w:val="22"/>
        </w:rPr>
        <w:t>172)</w:t>
      </w:r>
      <w:r w:rsidRPr="00220850">
        <w:rPr>
          <w:rFonts w:eastAsia="TimesNewRoman"/>
          <w:sz w:val="22"/>
          <w:szCs w:val="22"/>
        </w:rPr>
        <w:t>, i</w:t>
      </w:r>
      <w:r w:rsidR="00541EF7" w:rsidRPr="00220850">
        <w:rPr>
          <w:rFonts w:eastAsia="TimesNewRoman"/>
          <w:sz w:val="22"/>
          <w:szCs w:val="22"/>
        </w:rPr>
        <w:t>šgrynintasis vanduo</w:t>
      </w:r>
      <w:r w:rsidR="007604FE" w:rsidRPr="00220850">
        <w:rPr>
          <w:rFonts w:eastAsia="TimesNewRoman"/>
          <w:sz w:val="22"/>
          <w:szCs w:val="22"/>
        </w:rPr>
        <w:t>.</w:t>
      </w:r>
    </w:p>
    <w:p w14:paraId="31D2BFBB" w14:textId="4C8DB56B" w:rsidR="00541EF7" w:rsidRPr="00220850" w:rsidRDefault="00541EF7" w:rsidP="0009101E">
      <w:pPr>
        <w:pStyle w:val="Sraopastraipa"/>
        <w:numPr>
          <w:ilvl w:val="0"/>
          <w:numId w:val="25"/>
        </w:numPr>
        <w:autoSpaceDE w:val="0"/>
        <w:autoSpaceDN w:val="0"/>
        <w:adjustRightInd w:val="0"/>
        <w:ind w:left="567" w:hanging="567"/>
        <w:rPr>
          <w:sz w:val="22"/>
          <w:szCs w:val="24"/>
        </w:rPr>
      </w:pPr>
      <w:r w:rsidRPr="00220850">
        <w:rPr>
          <w:rFonts w:eastAsia="TimesNewRoman"/>
          <w:sz w:val="22"/>
          <w:szCs w:val="22"/>
        </w:rPr>
        <w:t>Spaustuviniai dažai</w:t>
      </w:r>
      <w:r w:rsidR="008C60DC" w:rsidRPr="00220850">
        <w:rPr>
          <w:rFonts w:eastAsia="TimesNewRoman"/>
          <w:sz w:val="22"/>
          <w:szCs w:val="22"/>
        </w:rPr>
        <w:t xml:space="preserve">: </w:t>
      </w:r>
      <w:proofErr w:type="spellStart"/>
      <w:r w:rsidR="008C60DC" w:rsidRPr="00220850">
        <w:rPr>
          <w:rFonts w:eastAsia="TimesNewRoman"/>
          <w:sz w:val="22"/>
          <w:szCs w:val="22"/>
        </w:rPr>
        <w:t>š</w:t>
      </w:r>
      <w:r w:rsidRPr="00220850">
        <w:rPr>
          <w:rFonts w:eastAsia="TimesNewRoman"/>
          <w:sz w:val="22"/>
          <w:szCs w:val="22"/>
        </w:rPr>
        <w:t>elakas</w:t>
      </w:r>
      <w:proofErr w:type="spellEnd"/>
      <w:r w:rsidR="008C60DC" w:rsidRPr="00220850">
        <w:rPr>
          <w:rFonts w:eastAsia="TimesNewRoman"/>
          <w:sz w:val="22"/>
          <w:szCs w:val="22"/>
        </w:rPr>
        <w:t xml:space="preserve">, </w:t>
      </w:r>
      <w:proofErr w:type="spellStart"/>
      <w:r w:rsidR="008C60DC" w:rsidRPr="00220850">
        <w:rPr>
          <w:rFonts w:eastAsia="TimesNewRoman"/>
          <w:sz w:val="22"/>
          <w:szCs w:val="22"/>
        </w:rPr>
        <w:t>k</w:t>
      </w:r>
      <w:r w:rsidRPr="00220850">
        <w:rPr>
          <w:rFonts w:eastAsia="TimesNewRoman"/>
          <w:sz w:val="22"/>
          <w:szCs w:val="22"/>
        </w:rPr>
        <w:t>arminas</w:t>
      </w:r>
      <w:proofErr w:type="spellEnd"/>
      <w:r w:rsidRPr="00220850">
        <w:rPr>
          <w:rFonts w:eastAsia="TimesNewRoman"/>
          <w:sz w:val="22"/>
          <w:szCs w:val="22"/>
        </w:rPr>
        <w:t xml:space="preserve"> (E</w:t>
      </w:r>
      <w:r w:rsidR="00566578" w:rsidRPr="00220850">
        <w:rPr>
          <w:rFonts w:eastAsia="TimesNewRoman"/>
          <w:sz w:val="22"/>
          <w:szCs w:val="22"/>
        </w:rPr>
        <w:t> </w:t>
      </w:r>
      <w:r w:rsidRPr="00220850">
        <w:rPr>
          <w:rFonts w:eastAsia="TimesNewRoman"/>
          <w:sz w:val="22"/>
          <w:szCs w:val="22"/>
        </w:rPr>
        <w:t>120)</w:t>
      </w:r>
      <w:r w:rsidR="008C60DC" w:rsidRPr="00220850">
        <w:rPr>
          <w:rFonts w:eastAsia="TimesNewRoman"/>
          <w:sz w:val="22"/>
          <w:szCs w:val="22"/>
        </w:rPr>
        <w:t xml:space="preserve">, </w:t>
      </w:r>
      <w:proofErr w:type="spellStart"/>
      <w:r w:rsidR="008C60DC" w:rsidRPr="00220850">
        <w:rPr>
          <w:rFonts w:eastAsia="TimesNewRoman"/>
          <w:sz w:val="22"/>
          <w:szCs w:val="22"/>
        </w:rPr>
        <w:t>p</w:t>
      </w:r>
      <w:r w:rsidRPr="00220850">
        <w:rPr>
          <w:rFonts w:eastAsia="TimesNewRoman"/>
          <w:sz w:val="22"/>
          <w:szCs w:val="22"/>
        </w:rPr>
        <w:t>ropilenglikolis</w:t>
      </w:r>
      <w:proofErr w:type="spellEnd"/>
      <w:r w:rsidRPr="00220850">
        <w:rPr>
          <w:rFonts w:eastAsia="TimesNewRoman"/>
          <w:sz w:val="22"/>
          <w:szCs w:val="22"/>
        </w:rPr>
        <w:t xml:space="preserve"> (E</w:t>
      </w:r>
      <w:r w:rsidR="00566578" w:rsidRPr="00220850">
        <w:rPr>
          <w:rFonts w:eastAsia="TimesNewRoman"/>
          <w:sz w:val="22"/>
          <w:szCs w:val="22"/>
        </w:rPr>
        <w:t> </w:t>
      </w:r>
      <w:r w:rsidRPr="00220850">
        <w:rPr>
          <w:rFonts w:eastAsia="TimesNewRoman"/>
          <w:sz w:val="22"/>
          <w:szCs w:val="22"/>
        </w:rPr>
        <w:t>1520)</w:t>
      </w:r>
      <w:r w:rsidR="008C60DC" w:rsidRPr="00220850">
        <w:rPr>
          <w:rFonts w:eastAsia="TimesNewRoman"/>
          <w:sz w:val="22"/>
          <w:szCs w:val="22"/>
        </w:rPr>
        <w:t xml:space="preserve">, </w:t>
      </w:r>
      <w:proofErr w:type="spellStart"/>
      <w:r w:rsidR="008C60DC" w:rsidRPr="00220850">
        <w:rPr>
          <w:rFonts w:eastAsia="TimesNewRoman"/>
          <w:sz w:val="22"/>
          <w:szCs w:val="22"/>
        </w:rPr>
        <w:t>s</w:t>
      </w:r>
      <w:r w:rsidRPr="00220850">
        <w:rPr>
          <w:sz w:val="22"/>
          <w:szCs w:val="24"/>
        </w:rPr>
        <w:t>imetikonas</w:t>
      </w:r>
      <w:proofErr w:type="spellEnd"/>
      <w:r w:rsidR="007604FE" w:rsidRPr="00220850">
        <w:rPr>
          <w:sz w:val="22"/>
          <w:szCs w:val="24"/>
        </w:rPr>
        <w:t>.</w:t>
      </w:r>
    </w:p>
    <w:p w14:paraId="7D1243F8" w14:textId="77777777" w:rsidR="00DE01F8" w:rsidRPr="00220850" w:rsidRDefault="00DE01F8">
      <w:pPr>
        <w:numPr>
          <w:ilvl w:val="12"/>
          <w:numId w:val="0"/>
        </w:numPr>
        <w:ind w:right="-2"/>
        <w:rPr>
          <w:sz w:val="22"/>
          <w:szCs w:val="24"/>
        </w:rPr>
      </w:pPr>
    </w:p>
    <w:p w14:paraId="40C67588" w14:textId="77777777" w:rsidR="00DE01F8" w:rsidRPr="00220850" w:rsidRDefault="005D7751">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r w:rsidR="002D5C8E" w:rsidRPr="00220850">
        <w:rPr>
          <w:b/>
          <w:bCs/>
          <w:sz w:val="22"/>
          <w:szCs w:val="28"/>
          <w:lang w:eastAsia="x-none"/>
        </w:rPr>
        <w:t>išvaizda ir kiekis pakuotėje</w:t>
      </w:r>
    </w:p>
    <w:p w14:paraId="1897C6BD" w14:textId="77777777" w:rsidR="008C60DC" w:rsidRPr="00220850" w:rsidRDefault="008C60DC" w:rsidP="008C60DC">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mg minkštosios kapsulės yra p</w:t>
      </w:r>
      <w:r w:rsidRPr="00220850">
        <w:rPr>
          <w:rFonts w:eastAsia="TimesNewRoman"/>
          <w:sz w:val="22"/>
          <w:szCs w:val="22"/>
        </w:rPr>
        <w:t>ersiko spalvos, matinės, pailgos</w:t>
      </w:r>
      <w:r w:rsidR="007604FE" w:rsidRPr="00220850">
        <w:rPr>
          <w:rFonts w:eastAsia="TimesNewRoman"/>
          <w:sz w:val="22"/>
          <w:szCs w:val="22"/>
        </w:rPr>
        <w:t>,</w:t>
      </w:r>
      <w:r w:rsidRPr="00220850">
        <w:rPr>
          <w:rFonts w:eastAsia="TimesNewRoman"/>
          <w:sz w:val="22"/>
          <w:szCs w:val="22"/>
        </w:rPr>
        <w:t xml:space="preserve"> maždaug 16 mm ilgio kapsulės, užpildytos geltona klampia suspensija, ant kurių yra raudono rašalo užrašas “NT 100”</w:t>
      </w:r>
    </w:p>
    <w:p w14:paraId="11AFFC75" w14:textId="77777777" w:rsidR="00DE01F8" w:rsidRPr="00220850" w:rsidRDefault="00DE01F8">
      <w:pPr>
        <w:numPr>
          <w:ilvl w:val="12"/>
          <w:numId w:val="0"/>
        </w:numPr>
        <w:ind w:right="-2"/>
        <w:rPr>
          <w:sz w:val="22"/>
          <w:szCs w:val="24"/>
        </w:rPr>
      </w:pPr>
    </w:p>
    <w:p w14:paraId="2774C609" w14:textId="171B0B03" w:rsidR="008C60DC" w:rsidRPr="00220850" w:rsidRDefault="008C60DC" w:rsidP="008C60DC">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mg minkštosios kapsulės tiekiamos kartono dėžutėje, kurioje yra </w:t>
      </w:r>
      <w:r w:rsidRPr="00220850">
        <w:rPr>
          <w:rFonts w:eastAsia="TimesNewRoman"/>
          <w:sz w:val="22"/>
          <w:szCs w:val="22"/>
        </w:rPr>
        <w:t>OPA/Al</w:t>
      </w:r>
      <w:r w:rsidR="00566578" w:rsidRPr="00220850">
        <w:rPr>
          <w:rFonts w:eastAsia="TimesNewRoman"/>
          <w:sz w:val="22"/>
          <w:szCs w:val="22"/>
        </w:rPr>
        <w:t>iuminio</w:t>
      </w:r>
      <w:r w:rsidRPr="00220850">
        <w:rPr>
          <w:rFonts w:eastAsia="TimesNewRoman"/>
          <w:sz w:val="22"/>
          <w:szCs w:val="22"/>
        </w:rPr>
        <w:t xml:space="preserve">/PVC/aliuminio perforuotos </w:t>
      </w:r>
      <w:proofErr w:type="spellStart"/>
      <w:r w:rsidR="00707518" w:rsidRPr="00220850">
        <w:rPr>
          <w:rFonts w:eastAsia="TimesNewRoman"/>
          <w:sz w:val="22"/>
          <w:szCs w:val="22"/>
        </w:rPr>
        <w:t>dalomosios</w:t>
      </w:r>
      <w:proofErr w:type="spellEnd"/>
      <w:r w:rsidR="00707518" w:rsidRPr="00220850">
        <w:rPr>
          <w:rFonts w:eastAsia="TimesNewRoman"/>
          <w:sz w:val="22"/>
          <w:szCs w:val="22"/>
        </w:rPr>
        <w:t xml:space="preserve"> </w:t>
      </w:r>
      <w:r w:rsidRPr="00220850">
        <w:rPr>
          <w:rFonts w:eastAsia="TimesNewRoman"/>
          <w:sz w:val="22"/>
          <w:szCs w:val="22"/>
        </w:rPr>
        <w:t>lizdinės plokštelės</w:t>
      </w:r>
      <w:r w:rsidR="00FA67A2" w:rsidRPr="00220850">
        <w:rPr>
          <w:rFonts w:eastAsia="TimesNewRoman"/>
          <w:sz w:val="22"/>
          <w:szCs w:val="22"/>
        </w:rPr>
        <w:t>.</w:t>
      </w:r>
    </w:p>
    <w:p w14:paraId="45DDFD38" w14:textId="77777777" w:rsidR="007604FE" w:rsidRPr="00220850" w:rsidRDefault="007604FE" w:rsidP="008C60DC">
      <w:pPr>
        <w:shd w:val="clear" w:color="auto" w:fill="FFFFFF"/>
        <w:rPr>
          <w:rFonts w:eastAsia="TimesNewRoman"/>
          <w:sz w:val="22"/>
          <w:szCs w:val="22"/>
        </w:rPr>
      </w:pPr>
    </w:p>
    <w:p w14:paraId="70481ECA" w14:textId="77777777" w:rsidR="008C60DC" w:rsidRPr="00220850" w:rsidRDefault="008C60DC" w:rsidP="008C60DC">
      <w:pPr>
        <w:shd w:val="clear" w:color="auto" w:fill="FFFFFF"/>
        <w:rPr>
          <w:rFonts w:eastAsia="TimesNewRoman"/>
          <w:sz w:val="22"/>
          <w:szCs w:val="22"/>
        </w:rPr>
      </w:pPr>
      <w:r w:rsidRPr="00220850">
        <w:rPr>
          <w:rFonts w:eastAsia="TimesNewRoman"/>
          <w:sz w:val="22"/>
          <w:szCs w:val="22"/>
        </w:rPr>
        <w:t>Pakuotėje yra:</w:t>
      </w:r>
    </w:p>
    <w:p w14:paraId="19D2163C" w14:textId="77777777" w:rsidR="008C60DC" w:rsidRPr="00220850" w:rsidRDefault="008C60DC" w:rsidP="008C60DC">
      <w:pPr>
        <w:shd w:val="clear" w:color="auto" w:fill="FFFFFF"/>
        <w:rPr>
          <w:rFonts w:eastAsia="TimesNewRoman"/>
          <w:sz w:val="22"/>
          <w:szCs w:val="22"/>
        </w:rPr>
      </w:pPr>
      <w:r w:rsidRPr="00220850">
        <w:rPr>
          <w:rFonts w:eastAsia="TimesNewRoman"/>
          <w:sz w:val="22"/>
          <w:szCs w:val="22"/>
        </w:rPr>
        <w:t>30 x 1 minkštųjų kapsulių</w:t>
      </w:r>
    </w:p>
    <w:p w14:paraId="2BABB02C" w14:textId="77777777" w:rsidR="008C60DC" w:rsidRPr="00220850" w:rsidRDefault="008C60DC" w:rsidP="008C60DC">
      <w:pPr>
        <w:shd w:val="clear" w:color="auto" w:fill="FFFFFF"/>
        <w:rPr>
          <w:rFonts w:eastAsia="TimesNewRoman"/>
          <w:sz w:val="22"/>
          <w:szCs w:val="22"/>
        </w:rPr>
      </w:pPr>
      <w:r w:rsidRPr="00220850">
        <w:rPr>
          <w:rFonts w:eastAsia="TimesNewRoman"/>
          <w:sz w:val="22"/>
          <w:szCs w:val="22"/>
        </w:rPr>
        <w:t>60 x 1 minkštųjų kapsulių</w:t>
      </w:r>
    </w:p>
    <w:p w14:paraId="37BC1A7A" w14:textId="77777777" w:rsidR="00771FE3" w:rsidRPr="00220850" w:rsidRDefault="00771FE3" w:rsidP="00771FE3">
      <w:pPr>
        <w:rPr>
          <w:sz w:val="22"/>
          <w:szCs w:val="22"/>
        </w:rPr>
      </w:pPr>
    </w:p>
    <w:p w14:paraId="46508925" w14:textId="77777777" w:rsidR="00771FE3" w:rsidRPr="00220850" w:rsidRDefault="00771FE3" w:rsidP="00771FE3">
      <w:pPr>
        <w:rPr>
          <w:sz w:val="22"/>
          <w:szCs w:val="22"/>
        </w:rPr>
      </w:pPr>
      <w:r w:rsidRPr="00220850">
        <w:rPr>
          <w:sz w:val="22"/>
          <w:szCs w:val="22"/>
        </w:rPr>
        <w:t>Gali būti tiekiamos ne visų dydžių pakuotės.</w:t>
      </w:r>
    </w:p>
    <w:p w14:paraId="1AAA2D94" w14:textId="77777777" w:rsidR="008C60DC" w:rsidRPr="00220850" w:rsidRDefault="008C60DC" w:rsidP="008C60DC">
      <w:pPr>
        <w:shd w:val="clear" w:color="auto" w:fill="FFFFFF"/>
        <w:rPr>
          <w:sz w:val="22"/>
          <w:szCs w:val="22"/>
        </w:rPr>
      </w:pPr>
    </w:p>
    <w:p w14:paraId="0DA35824" w14:textId="77777777" w:rsidR="00DE01F8" w:rsidRPr="00220850" w:rsidRDefault="002D5C8E">
      <w:pPr>
        <w:keepNext/>
        <w:tabs>
          <w:tab w:val="left" w:pos="567"/>
        </w:tabs>
        <w:spacing w:line="260" w:lineRule="exact"/>
        <w:jc w:val="both"/>
        <w:outlineLvl w:val="3"/>
        <w:rPr>
          <w:b/>
          <w:bCs/>
          <w:sz w:val="22"/>
          <w:szCs w:val="28"/>
          <w:lang w:eastAsia="x-none"/>
        </w:rPr>
      </w:pPr>
      <w:r w:rsidRPr="00220850">
        <w:rPr>
          <w:b/>
          <w:bCs/>
          <w:sz w:val="22"/>
          <w:szCs w:val="28"/>
          <w:lang w:eastAsia="x-none"/>
        </w:rPr>
        <w:t>Registruotojas ir gamintojas</w:t>
      </w:r>
    </w:p>
    <w:p w14:paraId="4E791A98" w14:textId="77777777" w:rsidR="00DE01F8" w:rsidRPr="00220850" w:rsidRDefault="00DE01F8">
      <w:pPr>
        <w:numPr>
          <w:ilvl w:val="12"/>
          <w:numId w:val="0"/>
        </w:numPr>
        <w:ind w:right="-2"/>
        <w:rPr>
          <w:sz w:val="22"/>
          <w:szCs w:val="24"/>
        </w:rPr>
      </w:pPr>
    </w:p>
    <w:p w14:paraId="16FE17EE" w14:textId="77777777" w:rsidR="00771FE3" w:rsidRPr="00220850" w:rsidRDefault="00771FE3" w:rsidP="00771FE3">
      <w:pPr>
        <w:shd w:val="clear" w:color="auto" w:fill="FFFFFF"/>
        <w:rPr>
          <w:i/>
          <w:sz w:val="22"/>
          <w:szCs w:val="22"/>
          <w:lang w:val="pt-PT"/>
        </w:rPr>
      </w:pPr>
      <w:r w:rsidRPr="00220850">
        <w:rPr>
          <w:i/>
          <w:sz w:val="22"/>
          <w:szCs w:val="22"/>
          <w:lang w:val="pt-PT"/>
        </w:rPr>
        <w:t>Registruotojas</w:t>
      </w:r>
    </w:p>
    <w:p w14:paraId="2CE8CFB7" w14:textId="77777777" w:rsidR="00771FE3" w:rsidRPr="00220850" w:rsidRDefault="00771FE3" w:rsidP="00771FE3">
      <w:pPr>
        <w:shd w:val="clear" w:color="auto" w:fill="FFFFFF"/>
        <w:rPr>
          <w:sz w:val="22"/>
          <w:szCs w:val="22"/>
          <w:lang w:val="pt-PT"/>
        </w:rPr>
      </w:pPr>
      <w:r w:rsidRPr="00220850">
        <w:rPr>
          <w:sz w:val="22"/>
          <w:szCs w:val="22"/>
          <w:lang w:val="pt-PT"/>
        </w:rPr>
        <w:t>Teva GmbH</w:t>
      </w:r>
    </w:p>
    <w:p w14:paraId="7A75798B" w14:textId="79BE876E" w:rsidR="00771FE3" w:rsidRPr="00220850" w:rsidRDefault="00771FE3" w:rsidP="00771FE3">
      <w:pPr>
        <w:shd w:val="clear" w:color="auto" w:fill="FFFFFF"/>
        <w:rPr>
          <w:sz w:val="22"/>
          <w:szCs w:val="22"/>
          <w:lang w:val="pt-PT"/>
        </w:rPr>
      </w:pPr>
      <w:r w:rsidRPr="00220850">
        <w:rPr>
          <w:sz w:val="22"/>
          <w:lang w:val="pt-PT"/>
        </w:rPr>
        <w:t>Graf-Arco-Str.</w:t>
      </w:r>
      <w:r w:rsidR="00363F4E" w:rsidRPr="00220850">
        <w:rPr>
          <w:sz w:val="22"/>
          <w:szCs w:val="22"/>
          <w:lang w:val="pt-PT"/>
        </w:rPr>
        <w:t xml:space="preserve"> </w:t>
      </w:r>
      <w:r w:rsidRPr="00220850">
        <w:rPr>
          <w:sz w:val="22"/>
          <w:lang w:val="pt-PT"/>
        </w:rPr>
        <w:t>3</w:t>
      </w:r>
      <w:r w:rsidRPr="00220850">
        <w:rPr>
          <w:sz w:val="22"/>
          <w:szCs w:val="22"/>
          <w:lang w:val="pt-PT"/>
        </w:rPr>
        <w:t xml:space="preserve"> </w:t>
      </w:r>
    </w:p>
    <w:p w14:paraId="07C4B014" w14:textId="77777777" w:rsidR="00771FE3" w:rsidRPr="00220850" w:rsidRDefault="00771FE3" w:rsidP="00771FE3">
      <w:pPr>
        <w:shd w:val="clear" w:color="auto" w:fill="FFFFFF"/>
        <w:rPr>
          <w:sz w:val="22"/>
          <w:szCs w:val="22"/>
          <w:lang w:val="pt-PT"/>
        </w:rPr>
      </w:pPr>
      <w:r w:rsidRPr="00220850">
        <w:rPr>
          <w:sz w:val="22"/>
          <w:szCs w:val="22"/>
          <w:lang w:val="pt-PT"/>
        </w:rPr>
        <w:t>89079 Ulm</w:t>
      </w:r>
    </w:p>
    <w:p w14:paraId="1FA39601" w14:textId="77777777" w:rsidR="00771FE3" w:rsidRPr="00220850" w:rsidRDefault="00771FE3" w:rsidP="00771FE3">
      <w:pPr>
        <w:shd w:val="clear" w:color="auto" w:fill="FFFFFF"/>
        <w:rPr>
          <w:sz w:val="22"/>
          <w:szCs w:val="22"/>
          <w:lang w:val="pt-PT"/>
        </w:rPr>
      </w:pPr>
      <w:r w:rsidRPr="00220850">
        <w:rPr>
          <w:sz w:val="22"/>
          <w:szCs w:val="22"/>
          <w:lang w:val="pt-PT"/>
        </w:rPr>
        <w:t>Vokietija</w:t>
      </w:r>
    </w:p>
    <w:p w14:paraId="61BE7AAE" w14:textId="77777777" w:rsidR="00771FE3" w:rsidRPr="00220850" w:rsidRDefault="00771FE3" w:rsidP="00771FE3">
      <w:pPr>
        <w:shd w:val="clear" w:color="auto" w:fill="FFFFFF"/>
        <w:rPr>
          <w:sz w:val="22"/>
          <w:szCs w:val="22"/>
          <w:lang w:val="pt-PT"/>
        </w:rPr>
      </w:pPr>
    </w:p>
    <w:p w14:paraId="637548A4" w14:textId="77777777" w:rsidR="00771FE3" w:rsidRPr="00220850" w:rsidRDefault="00771FE3" w:rsidP="00771FE3">
      <w:pPr>
        <w:shd w:val="clear" w:color="auto" w:fill="FFFFFF"/>
        <w:rPr>
          <w:i/>
          <w:sz w:val="22"/>
          <w:szCs w:val="22"/>
          <w:lang w:val="pt-PT"/>
        </w:rPr>
      </w:pPr>
      <w:r w:rsidRPr="00220850">
        <w:rPr>
          <w:i/>
          <w:sz w:val="22"/>
          <w:szCs w:val="22"/>
          <w:lang w:val="pt-PT"/>
        </w:rPr>
        <w:t>Gamintojai</w:t>
      </w:r>
    </w:p>
    <w:p w14:paraId="6A5ED6C3" w14:textId="77777777" w:rsidR="001F1430" w:rsidRPr="00220850" w:rsidRDefault="001F1430" w:rsidP="001F1430">
      <w:pPr>
        <w:numPr>
          <w:ilvl w:val="12"/>
          <w:numId w:val="0"/>
        </w:numPr>
        <w:ind w:right="-2"/>
        <w:rPr>
          <w:sz w:val="22"/>
          <w:szCs w:val="24"/>
        </w:rPr>
      </w:pPr>
      <w:proofErr w:type="spellStart"/>
      <w:r w:rsidRPr="00220850">
        <w:rPr>
          <w:sz w:val="22"/>
          <w:szCs w:val="24"/>
        </w:rPr>
        <w:t>Pharmadox</w:t>
      </w:r>
      <w:proofErr w:type="spellEnd"/>
      <w:r w:rsidRPr="00220850">
        <w:rPr>
          <w:sz w:val="22"/>
          <w:szCs w:val="24"/>
        </w:rPr>
        <w:t xml:space="preserve"> </w:t>
      </w:r>
      <w:proofErr w:type="spellStart"/>
      <w:r w:rsidRPr="00220850">
        <w:rPr>
          <w:sz w:val="22"/>
          <w:szCs w:val="24"/>
        </w:rPr>
        <w:t>Healthcare</w:t>
      </w:r>
      <w:proofErr w:type="spellEnd"/>
      <w:r w:rsidRPr="00220850">
        <w:rPr>
          <w:sz w:val="22"/>
          <w:szCs w:val="24"/>
        </w:rPr>
        <w:t xml:space="preserve"> </w:t>
      </w:r>
      <w:proofErr w:type="spellStart"/>
      <w:r w:rsidRPr="00220850">
        <w:rPr>
          <w:sz w:val="22"/>
          <w:szCs w:val="24"/>
        </w:rPr>
        <w:t>Limited</w:t>
      </w:r>
      <w:proofErr w:type="spellEnd"/>
    </w:p>
    <w:p w14:paraId="5361D938" w14:textId="77777777" w:rsidR="001F1430" w:rsidRPr="00220850" w:rsidRDefault="001F1430" w:rsidP="001F1430">
      <w:pPr>
        <w:numPr>
          <w:ilvl w:val="12"/>
          <w:numId w:val="0"/>
        </w:numPr>
        <w:ind w:right="-2"/>
        <w:rPr>
          <w:sz w:val="22"/>
          <w:szCs w:val="24"/>
        </w:rPr>
      </w:pPr>
      <w:r w:rsidRPr="00220850">
        <w:rPr>
          <w:sz w:val="22"/>
          <w:szCs w:val="24"/>
        </w:rPr>
        <w:t xml:space="preserve">KW20A </w:t>
      </w:r>
      <w:proofErr w:type="spellStart"/>
      <w:r w:rsidRPr="00220850">
        <w:rPr>
          <w:sz w:val="22"/>
          <w:szCs w:val="24"/>
        </w:rPr>
        <w:t>Kordin</w:t>
      </w:r>
      <w:proofErr w:type="spellEnd"/>
      <w:r w:rsidRPr="00220850">
        <w:rPr>
          <w:sz w:val="22"/>
          <w:szCs w:val="24"/>
        </w:rPr>
        <w:t xml:space="preserve"> </w:t>
      </w:r>
      <w:proofErr w:type="spellStart"/>
      <w:r w:rsidRPr="00220850">
        <w:rPr>
          <w:sz w:val="22"/>
          <w:szCs w:val="24"/>
        </w:rPr>
        <w:t>Industrial</w:t>
      </w:r>
      <w:proofErr w:type="spellEnd"/>
      <w:r w:rsidRPr="00220850">
        <w:rPr>
          <w:sz w:val="22"/>
          <w:szCs w:val="24"/>
        </w:rPr>
        <w:t xml:space="preserve"> </w:t>
      </w:r>
      <w:proofErr w:type="spellStart"/>
      <w:r w:rsidRPr="00220850">
        <w:rPr>
          <w:sz w:val="22"/>
          <w:szCs w:val="24"/>
        </w:rPr>
        <w:t>Park</w:t>
      </w:r>
      <w:proofErr w:type="spellEnd"/>
    </w:p>
    <w:p w14:paraId="6BD72623" w14:textId="77777777" w:rsidR="001F1430" w:rsidRPr="00220850" w:rsidRDefault="001F1430" w:rsidP="001F1430">
      <w:pPr>
        <w:numPr>
          <w:ilvl w:val="12"/>
          <w:numId w:val="0"/>
        </w:numPr>
        <w:ind w:right="-2"/>
        <w:rPr>
          <w:sz w:val="22"/>
          <w:szCs w:val="24"/>
        </w:rPr>
      </w:pPr>
      <w:proofErr w:type="spellStart"/>
      <w:r w:rsidRPr="00220850">
        <w:rPr>
          <w:sz w:val="22"/>
          <w:szCs w:val="24"/>
        </w:rPr>
        <w:t>Paola</w:t>
      </w:r>
      <w:proofErr w:type="spellEnd"/>
      <w:r w:rsidRPr="00220850">
        <w:rPr>
          <w:sz w:val="22"/>
          <w:szCs w:val="24"/>
        </w:rPr>
        <w:t xml:space="preserve"> PLA 3000</w:t>
      </w:r>
    </w:p>
    <w:p w14:paraId="37DF0307" w14:textId="77777777" w:rsidR="001F1430" w:rsidRPr="00220850" w:rsidRDefault="001F1430" w:rsidP="001F1430">
      <w:pPr>
        <w:numPr>
          <w:ilvl w:val="12"/>
          <w:numId w:val="0"/>
        </w:numPr>
        <w:ind w:right="-2"/>
        <w:rPr>
          <w:sz w:val="22"/>
          <w:szCs w:val="24"/>
        </w:rPr>
      </w:pPr>
      <w:r w:rsidRPr="00220850">
        <w:rPr>
          <w:sz w:val="22"/>
          <w:szCs w:val="24"/>
        </w:rPr>
        <w:t>Malta</w:t>
      </w:r>
    </w:p>
    <w:p w14:paraId="0183F631" w14:textId="77777777" w:rsidR="001F1430" w:rsidRPr="00220850" w:rsidRDefault="001F1430" w:rsidP="001F1430">
      <w:pPr>
        <w:numPr>
          <w:ilvl w:val="12"/>
          <w:numId w:val="0"/>
        </w:numPr>
        <w:ind w:right="-2"/>
        <w:rPr>
          <w:sz w:val="22"/>
          <w:szCs w:val="24"/>
        </w:rPr>
      </w:pPr>
    </w:p>
    <w:p w14:paraId="3E8876B0" w14:textId="77777777" w:rsidR="001F1430" w:rsidRPr="00220850" w:rsidRDefault="001F1430" w:rsidP="001F1430">
      <w:pPr>
        <w:numPr>
          <w:ilvl w:val="12"/>
          <w:numId w:val="0"/>
        </w:numPr>
        <w:ind w:right="-2"/>
        <w:rPr>
          <w:sz w:val="22"/>
          <w:szCs w:val="24"/>
          <w:highlight w:val="lightGray"/>
        </w:rPr>
      </w:pPr>
      <w:proofErr w:type="spellStart"/>
      <w:r w:rsidRPr="00220850">
        <w:rPr>
          <w:sz w:val="22"/>
          <w:szCs w:val="24"/>
          <w:highlight w:val="lightGray"/>
        </w:rPr>
        <w:t>Adalvo</w:t>
      </w:r>
      <w:proofErr w:type="spellEnd"/>
      <w:r w:rsidRPr="00220850">
        <w:rPr>
          <w:sz w:val="22"/>
          <w:szCs w:val="24"/>
          <w:highlight w:val="lightGray"/>
        </w:rPr>
        <w:t xml:space="preserve"> </w:t>
      </w:r>
      <w:proofErr w:type="spellStart"/>
      <w:r w:rsidRPr="00220850">
        <w:rPr>
          <w:sz w:val="22"/>
          <w:szCs w:val="24"/>
          <w:highlight w:val="lightGray"/>
        </w:rPr>
        <w:t>Limited</w:t>
      </w:r>
      <w:proofErr w:type="spellEnd"/>
    </w:p>
    <w:p w14:paraId="143E2352" w14:textId="77777777" w:rsidR="001F1430" w:rsidRPr="00220850" w:rsidRDefault="001F1430" w:rsidP="001F1430">
      <w:pPr>
        <w:numPr>
          <w:ilvl w:val="12"/>
          <w:numId w:val="0"/>
        </w:numPr>
        <w:ind w:right="-2"/>
        <w:rPr>
          <w:sz w:val="22"/>
          <w:szCs w:val="24"/>
          <w:highlight w:val="lightGray"/>
        </w:rPr>
      </w:pPr>
      <w:r w:rsidRPr="00220850">
        <w:rPr>
          <w:sz w:val="22"/>
          <w:szCs w:val="24"/>
          <w:highlight w:val="lightGray"/>
        </w:rPr>
        <w:t xml:space="preserve">Malta </w:t>
      </w:r>
      <w:proofErr w:type="spellStart"/>
      <w:r w:rsidRPr="00220850">
        <w:rPr>
          <w:sz w:val="22"/>
          <w:szCs w:val="24"/>
          <w:highlight w:val="lightGray"/>
        </w:rPr>
        <w:t>Life</w:t>
      </w:r>
      <w:proofErr w:type="spellEnd"/>
      <w:r w:rsidRPr="00220850">
        <w:rPr>
          <w:sz w:val="22"/>
          <w:szCs w:val="24"/>
          <w:highlight w:val="lightGray"/>
        </w:rPr>
        <w:t xml:space="preserve"> </w:t>
      </w:r>
      <w:proofErr w:type="spellStart"/>
      <w:r w:rsidRPr="00220850">
        <w:rPr>
          <w:sz w:val="22"/>
          <w:szCs w:val="24"/>
          <w:highlight w:val="lightGray"/>
        </w:rPr>
        <w:t>Sciences</w:t>
      </w:r>
      <w:proofErr w:type="spellEnd"/>
      <w:r w:rsidRPr="00220850">
        <w:rPr>
          <w:sz w:val="22"/>
          <w:szCs w:val="24"/>
          <w:highlight w:val="lightGray"/>
        </w:rPr>
        <w:t xml:space="preserve"> </w:t>
      </w:r>
      <w:proofErr w:type="spellStart"/>
      <w:r w:rsidRPr="00220850">
        <w:rPr>
          <w:sz w:val="22"/>
          <w:szCs w:val="24"/>
          <w:highlight w:val="lightGray"/>
        </w:rPr>
        <w:t>Park</w:t>
      </w:r>
      <w:proofErr w:type="spellEnd"/>
      <w:r w:rsidRPr="00220850">
        <w:rPr>
          <w:sz w:val="22"/>
          <w:szCs w:val="24"/>
          <w:highlight w:val="lightGray"/>
        </w:rPr>
        <w:t xml:space="preserve"> </w:t>
      </w:r>
      <w:proofErr w:type="spellStart"/>
      <w:r w:rsidRPr="00220850">
        <w:rPr>
          <w:sz w:val="22"/>
          <w:szCs w:val="24"/>
          <w:highlight w:val="lightGray"/>
        </w:rPr>
        <w:t>Building</w:t>
      </w:r>
      <w:proofErr w:type="spellEnd"/>
      <w:r w:rsidRPr="00220850">
        <w:rPr>
          <w:sz w:val="22"/>
          <w:szCs w:val="24"/>
          <w:highlight w:val="lightGray"/>
        </w:rPr>
        <w:t xml:space="preserve"> 1 </w:t>
      </w:r>
      <w:proofErr w:type="spellStart"/>
      <w:r w:rsidRPr="00220850">
        <w:rPr>
          <w:sz w:val="22"/>
          <w:szCs w:val="24"/>
          <w:highlight w:val="lightGray"/>
        </w:rPr>
        <w:t>Level</w:t>
      </w:r>
      <w:proofErr w:type="spellEnd"/>
      <w:r w:rsidRPr="00220850">
        <w:rPr>
          <w:sz w:val="22"/>
          <w:szCs w:val="24"/>
          <w:highlight w:val="lightGray"/>
        </w:rPr>
        <w:t xml:space="preserve"> 4</w:t>
      </w:r>
    </w:p>
    <w:p w14:paraId="2EDDB684" w14:textId="77777777" w:rsidR="001F1430" w:rsidRPr="00220850" w:rsidRDefault="001F1430" w:rsidP="001F1430">
      <w:pPr>
        <w:numPr>
          <w:ilvl w:val="12"/>
          <w:numId w:val="0"/>
        </w:numPr>
        <w:ind w:right="-2"/>
        <w:rPr>
          <w:sz w:val="22"/>
          <w:szCs w:val="24"/>
          <w:highlight w:val="lightGray"/>
        </w:rPr>
      </w:pPr>
      <w:proofErr w:type="spellStart"/>
      <w:r w:rsidRPr="00220850">
        <w:rPr>
          <w:sz w:val="22"/>
          <w:szCs w:val="24"/>
          <w:highlight w:val="lightGray"/>
        </w:rPr>
        <w:t>Sir</w:t>
      </w:r>
      <w:proofErr w:type="spellEnd"/>
      <w:r w:rsidRPr="00220850">
        <w:rPr>
          <w:sz w:val="22"/>
          <w:szCs w:val="24"/>
          <w:highlight w:val="lightGray"/>
        </w:rPr>
        <w:t xml:space="preserve"> </w:t>
      </w:r>
      <w:proofErr w:type="spellStart"/>
      <w:r w:rsidRPr="00220850">
        <w:rPr>
          <w:sz w:val="22"/>
          <w:szCs w:val="24"/>
          <w:highlight w:val="lightGray"/>
        </w:rPr>
        <w:t>Temi</w:t>
      </w:r>
      <w:proofErr w:type="spellEnd"/>
      <w:r w:rsidRPr="00220850">
        <w:rPr>
          <w:sz w:val="22"/>
          <w:szCs w:val="24"/>
          <w:highlight w:val="lightGray"/>
        </w:rPr>
        <w:t xml:space="preserve"> </w:t>
      </w:r>
      <w:proofErr w:type="spellStart"/>
      <w:r w:rsidRPr="00220850">
        <w:rPr>
          <w:sz w:val="22"/>
          <w:szCs w:val="24"/>
          <w:highlight w:val="lightGray"/>
        </w:rPr>
        <w:t>Zammit</w:t>
      </w:r>
      <w:proofErr w:type="spellEnd"/>
      <w:r w:rsidRPr="00220850">
        <w:rPr>
          <w:sz w:val="22"/>
          <w:szCs w:val="24"/>
          <w:highlight w:val="lightGray"/>
        </w:rPr>
        <w:t xml:space="preserve"> </w:t>
      </w:r>
      <w:proofErr w:type="spellStart"/>
      <w:r w:rsidRPr="00220850">
        <w:rPr>
          <w:sz w:val="22"/>
          <w:szCs w:val="24"/>
          <w:highlight w:val="lightGray"/>
        </w:rPr>
        <w:t>Buildings</w:t>
      </w:r>
      <w:proofErr w:type="spellEnd"/>
    </w:p>
    <w:p w14:paraId="0AAFA280" w14:textId="77777777" w:rsidR="001F1430" w:rsidRPr="00220850" w:rsidRDefault="001F1430" w:rsidP="001F1430">
      <w:pPr>
        <w:numPr>
          <w:ilvl w:val="12"/>
          <w:numId w:val="0"/>
        </w:numPr>
        <w:ind w:right="-2"/>
        <w:rPr>
          <w:sz w:val="22"/>
          <w:szCs w:val="24"/>
          <w:highlight w:val="lightGray"/>
        </w:rPr>
      </w:pPr>
      <w:r w:rsidRPr="00220850">
        <w:rPr>
          <w:sz w:val="22"/>
          <w:szCs w:val="24"/>
          <w:highlight w:val="lightGray"/>
        </w:rPr>
        <w:t xml:space="preserve">San </w:t>
      </w:r>
      <w:proofErr w:type="spellStart"/>
      <w:r w:rsidRPr="00220850">
        <w:rPr>
          <w:sz w:val="22"/>
          <w:szCs w:val="24"/>
          <w:highlight w:val="lightGray"/>
        </w:rPr>
        <w:t>Gwann</w:t>
      </w:r>
      <w:proofErr w:type="spellEnd"/>
      <w:r w:rsidRPr="00220850">
        <w:rPr>
          <w:sz w:val="22"/>
          <w:szCs w:val="24"/>
          <w:highlight w:val="lightGray"/>
        </w:rPr>
        <w:t xml:space="preserve"> </w:t>
      </w:r>
      <w:proofErr w:type="spellStart"/>
      <w:r w:rsidRPr="00220850">
        <w:rPr>
          <w:sz w:val="22"/>
          <w:szCs w:val="24"/>
          <w:highlight w:val="lightGray"/>
        </w:rPr>
        <w:t>Industrial</w:t>
      </w:r>
      <w:proofErr w:type="spellEnd"/>
      <w:r w:rsidRPr="00220850">
        <w:rPr>
          <w:sz w:val="22"/>
          <w:szCs w:val="24"/>
          <w:highlight w:val="lightGray"/>
        </w:rPr>
        <w:t xml:space="preserve"> </w:t>
      </w:r>
      <w:proofErr w:type="spellStart"/>
      <w:r w:rsidRPr="00220850">
        <w:rPr>
          <w:sz w:val="22"/>
          <w:szCs w:val="24"/>
          <w:highlight w:val="lightGray"/>
        </w:rPr>
        <w:t>Estate</w:t>
      </w:r>
      <w:proofErr w:type="spellEnd"/>
      <w:r w:rsidRPr="00220850">
        <w:rPr>
          <w:sz w:val="22"/>
          <w:szCs w:val="24"/>
          <w:highlight w:val="lightGray"/>
        </w:rPr>
        <w:t>, SGN 3000</w:t>
      </w:r>
    </w:p>
    <w:p w14:paraId="0EF9B2FD" w14:textId="77777777" w:rsidR="001F1430" w:rsidRPr="00220850" w:rsidRDefault="001F1430" w:rsidP="001F1430">
      <w:pPr>
        <w:numPr>
          <w:ilvl w:val="12"/>
          <w:numId w:val="0"/>
        </w:numPr>
        <w:ind w:right="-2"/>
        <w:rPr>
          <w:sz w:val="22"/>
          <w:szCs w:val="24"/>
          <w:highlight w:val="lightGray"/>
        </w:rPr>
      </w:pPr>
      <w:r w:rsidRPr="00220850">
        <w:rPr>
          <w:sz w:val="22"/>
          <w:szCs w:val="24"/>
          <w:highlight w:val="lightGray"/>
        </w:rPr>
        <w:t>Malta</w:t>
      </w:r>
    </w:p>
    <w:p w14:paraId="1C544704" w14:textId="77777777" w:rsidR="001F1430" w:rsidRPr="00220850" w:rsidRDefault="001F1430" w:rsidP="001F1430">
      <w:pPr>
        <w:numPr>
          <w:ilvl w:val="12"/>
          <w:numId w:val="0"/>
        </w:numPr>
        <w:ind w:right="-2"/>
        <w:rPr>
          <w:sz w:val="22"/>
          <w:szCs w:val="24"/>
          <w:highlight w:val="lightGray"/>
        </w:rPr>
      </w:pPr>
    </w:p>
    <w:p w14:paraId="7AD1B216" w14:textId="0B641A05" w:rsidR="001F1430" w:rsidRPr="00220850" w:rsidRDefault="00566578" w:rsidP="001F1430">
      <w:pPr>
        <w:numPr>
          <w:ilvl w:val="12"/>
          <w:numId w:val="0"/>
        </w:numPr>
        <w:ind w:right="-2"/>
        <w:rPr>
          <w:sz w:val="22"/>
          <w:szCs w:val="24"/>
          <w:highlight w:val="lightGray"/>
        </w:rPr>
      </w:pPr>
      <w:bookmarkStart w:id="2" w:name="_Hlk158191609"/>
      <w:proofErr w:type="spellStart"/>
      <w:r w:rsidRPr="00220850">
        <w:rPr>
          <w:sz w:val="22"/>
          <w:highlight w:val="lightGray"/>
        </w:rPr>
        <w:t>Qualimetrix</w:t>
      </w:r>
      <w:proofErr w:type="spellEnd"/>
      <w:r w:rsidRPr="00220850">
        <w:rPr>
          <w:sz w:val="22"/>
          <w:highlight w:val="lightGray"/>
        </w:rPr>
        <w:t xml:space="preserve"> S.A.</w:t>
      </w:r>
      <w:r w:rsidRPr="00220850" w:rsidDel="00566578">
        <w:rPr>
          <w:sz w:val="22"/>
          <w:szCs w:val="24"/>
          <w:highlight w:val="lightGray"/>
        </w:rPr>
        <w:t xml:space="preserve"> </w:t>
      </w:r>
      <w:r w:rsidRPr="00220850">
        <w:rPr>
          <w:sz w:val="22"/>
          <w:highlight w:val="lightGray"/>
        </w:rPr>
        <w:t xml:space="preserve">579 </w:t>
      </w:r>
      <w:proofErr w:type="spellStart"/>
      <w:r w:rsidRPr="00220850">
        <w:rPr>
          <w:sz w:val="22"/>
          <w:highlight w:val="lightGray"/>
        </w:rPr>
        <w:t>Mesogeion</w:t>
      </w:r>
      <w:proofErr w:type="spellEnd"/>
      <w:r w:rsidRPr="00220850">
        <w:rPr>
          <w:sz w:val="22"/>
          <w:highlight w:val="lightGray"/>
        </w:rPr>
        <w:t xml:space="preserve"> </w:t>
      </w:r>
      <w:proofErr w:type="spellStart"/>
      <w:r w:rsidRPr="00220850">
        <w:rPr>
          <w:sz w:val="22"/>
          <w:highlight w:val="lightGray"/>
        </w:rPr>
        <w:t>Avenue</w:t>
      </w:r>
      <w:proofErr w:type="spellEnd"/>
      <w:r w:rsidRPr="00220850">
        <w:rPr>
          <w:sz w:val="22"/>
          <w:highlight w:val="lightGray"/>
        </w:rPr>
        <w:t xml:space="preserve">, </w:t>
      </w:r>
      <w:proofErr w:type="spellStart"/>
      <w:r w:rsidRPr="00220850">
        <w:rPr>
          <w:sz w:val="22"/>
          <w:highlight w:val="lightGray"/>
        </w:rPr>
        <w:t>Agia</w:t>
      </w:r>
      <w:proofErr w:type="spellEnd"/>
      <w:r w:rsidRPr="00220850">
        <w:rPr>
          <w:sz w:val="22"/>
          <w:highlight w:val="lightGray"/>
        </w:rPr>
        <w:t xml:space="preserve"> </w:t>
      </w:r>
      <w:proofErr w:type="spellStart"/>
      <w:r w:rsidRPr="00220850">
        <w:rPr>
          <w:sz w:val="22"/>
          <w:highlight w:val="lightGray"/>
        </w:rPr>
        <w:t>Paraskevi</w:t>
      </w:r>
      <w:bookmarkEnd w:id="2"/>
      <w:proofErr w:type="spellEnd"/>
      <w:r w:rsidRPr="00220850" w:rsidDel="00566578">
        <w:rPr>
          <w:sz w:val="22"/>
          <w:szCs w:val="24"/>
          <w:highlight w:val="lightGray"/>
        </w:rPr>
        <w:t xml:space="preserve"> </w:t>
      </w:r>
      <w:proofErr w:type="spellStart"/>
      <w:r w:rsidR="001F1430" w:rsidRPr="00220850">
        <w:rPr>
          <w:sz w:val="22"/>
          <w:szCs w:val="24"/>
          <w:highlight w:val="lightGray"/>
        </w:rPr>
        <w:t>Athens</w:t>
      </w:r>
      <w:proofErr w:type="spellEnd"/>
      <w:r w:rsidR="001F1430" w:rsidRPr="00220850">
        <w:rPr>
          <w:sz w:val="22"/>
          <w:szCs w:val="24"/>
          <w:highlight w:val="lightGray"/>
        </w:rPr>
        <w:t>, 15343</w:t>
      </w:r>
    </w:p>
    <w:p w14:paraId="19C9F0B6" w14:textId="149A3436" w:rsidR="00DE01F8" w:rsidRPr="00220850" w:rsidRDefault="001F1430" w:rsidP="001F1430">
      <w:pPr>
        <w:numPr>
          <w:ilvl w:val="12"/>
          <w:numId w:val="0"/>
        </w:numPr>
        <w:ind w:right="-2"/>
        <w:rPr>
          <w:sz w:val="22"/>
          <w:szCs w:val="24"/>
        </w:rPr>
      </w:pPr>
      <w:r w:rsidRPr="00220850">
        <w:rPr>
          <w:sz w:val="22"/>
          <w:szCs w:val="24"/>
          <w:highlight w:val="lightGray"/>
        </w:rPr>
        <w:t>Graikija</w:t>
      </w:r>
    </w:p>
    <w:p w14:paraId="2DDEF17A" w14:textId="77777777" w:rsidR="001F1430" w:rsidRPr="00220850" w:rsidRDefault="001F1430" w:rsidP="001F1430">
      <w:pPr>
        <w:numPr>
          <w:ilvl w:val="12"/>
          <w:numId w:val="0"/>
        </w:numPr>
        <w:ind w:right="-2"/>
        <w:rPr>
          <w:sz w:val="22"/>
          <w:szCs w:val="24"/>
        </w:rPr>
      </w:pPr>
    </w:p>
    <w:p w14:paraId="2DF73E7D" w14:textId="77C74A7A" w:rsidR="00772331" w:rsidRPr="00220850" w:rsidRDefault="00772331" w:rsidP="00772331">
      <w:pPr>
        <w:numPr>
          <w:ilvl w:val="12"/>
          <w:numId w:val="0"/>
        </w:numPr>
        <w:ind w:right="-2"/>
        <w:rPr>
          <w:sz w:val="22"/>
          <w:szCs w:val="24"/>
          <w:highlight w:val="lightGray"/>
        </w:rPr>
      </w:pPr>
      <w:proofErr w:type="spellStart"/>
      <w:r w:rsidRPr="00220850">
        <w:rPr>
          <w:sz w:val="22"/>
          <w:szCs w:val="24"/>
          <w:highlight w:val="lightGray"/>
        </w:rPr>
        <w:t>Teva</w:t>
      </w:r>
      <w:proofErr w:type="spellEnd"/>
      <w:r w:rsidRPr="00220850">
        <w:rPr>
          <w:sz w:val="22"/>
          <w:szCs w:val="24"/>
          <w:highlight w:val="lightGray"/>
        </w:rPr>
        <w:t xml:space="preserve"> </w:t>
      </w:r>
      <w:proofErr w:type="spellStart"/>
      <w:r w:rsidRPr="00220850">
        <w:rPr>
          <w:sz w:val="22"/>
          <w:szCs w:val="24"/>
          <w:highlight w:val="lightGray"/>
        </w:rPr>
        <w:t>Operations</w:t>
      </w:r>
      <w:proofErr w:type="spellEnd"/>
      <w:r w:rsidRPr="00220850">
        <w:rPr>
          <w:sz w:val="22"/>
          <w:szCs w:val="24"/>
          <w:highlight w:val="lightGray"/>
        </w:rPr>
        <w:t xml:space="preserve"> </w:t>
      </w:r>
      <w:proofErr w:type="spellStart"/>
      <w:r w:rsidRPr="00220850">
        <w:rPr>
          <w:sz w:val="22"/>
          <w:szCs w:val="24"/>
          <w:highlight w:val="lightGray"/>
        </w:rPr>
        <w:t>Poland</w:t>
      </w:r>
      <w:proofErr w:type="spellEnd"/>
      <w:r w:rsidRPr="00220850">
        <w:rPr>
          <w:sz w:val="22"/>
          <w:szCs w:val="24"/>
          <w:highlight w:val="lightGray"/>
        </w:rPr>
        <w:t xml:space="preserve"> Sp. </w:t>
      </w:r>
      <w:proofErr w:type="spellStart"/>
      <w:r w:rsidRPr="00220850">
        <w:rPr>
          <w:sz w:val="22"/>
          <w:szCs w:val="24"/>
          <w:highlight w:val="lightGray"/>
        </w:rPr>
        <w:t>z.o.o</w:t>
      </w:r>
      <w:proofErr w:type="spellEnd"/>
      <w:r w:rsidRPr="00220850">
        <w:rPr>
          <w:sz w:val="22"/>
          <w:szCs w:val="24"/>
          <w:highlight w:val="lightGray"/>
        </w:rPr>
        <w:t>.</w:t>
      </w:r>
    </w:p>
    <w:p w14:paraId="0124FABC" w14:textId="74986A9B" w:rsidR="00772331" w:rsidRPr="00220850" w:rsidRDefault="00772331" w:rsidP="00772331">
      <w:pPr>
        <w:numPr>
          <w:ilvl w:val="12"/>
          <w:numId w:val="0"/>
        </w:numPr>
        <w:ind w:right="-2"/>
        <w:rPr>
          <w:sz w:val="22"/>
          <w:szCs w:val="24"/>
          <w:highlight w:val="lightGray"/>
        </w:rPr>
      </w:pPr>
      <w:proofErr w:type="spellStart"/>
      <w:r w:rsidRPr="00220850">
        <w:rPr>
          <w:sz w:val="22"/>
          <w:szCs w:val="24"/>
          <w:highlight w:val="lightGray"/>
        </w:rPr>
        <w:t>Ul</w:t>
      </w:r>
      <w:proofErr w:type="spellEnd"/>
      <w:r w:rsidRPr="00220850">
        <w:rPr>
          <w:sz w:val="22"/>
          <w:szCs w:val="24"/>
          <w:highlight w:val="lightGray"/>
        </w:rPr>
        <w:t xml:space="preserve">. </w:t>
      </w:r>
      <w:proofErr w:type="spellStart"/>
      <w:r w:rsidRPr="00220850">
        <w:rPr>
          <w:sz w:val="22"/>
          <w:szCs w:val="24"/>
          <w:highlight w:val="lightGray"/>
        </w:rPr>
        <w:t>Mogilska</w:t>
      </w:r>
      <w:proofErr w:type="spellEnd"/>
      <w:r w:rsidRPr="00220850">
        <w:rPr>
          <w:sz w:val="22"/>
          <w:szCs w:val="24"/>
          <w:highlight w:val="lightGray"/>
        </w:rPr>
        <w:t xml:space="preserve"> 80</w:t>
      </w:r>
    </w:p>
    <w:p w14:paraId="02B3B00E" w14:textId="13E6DFC9" w:rsidR="00772331" w:rsidRPr="00220850" w:rsidRDefault="00772331" w:rsidP="00772331">
      <w:pPr>
        <w:numPr>
          <w:ilvl w:val="12"/>
          <w:numId w:val="0"/>
        </w:numPr>
        <w:ind w:right="-2"/>
        <w:rPr>
          <w:sz w:val="22"/>
          <w:szCs w:val="24"/>
          <w:highlight w:val="lightGray"/>
        </w:rPr>
      </w:pPr>
      <w:r w:rsidRPr="00220850">
        <w:rPr>
          <w:sz w:val="22"/>
          <w:szCs w:val="24"/>
          <w:highlight w:val="lightGray"/>
        </w:rPr>
        <w:t xml:space="preserve">31-546 </w:t>
      </w:r>
      <w:proofErr w:type="spellStart"/>
      <w:r w:rsidRPr="00220850">
        <w:rPr>
          <w:sz w:val="22"/>
          <w:szCs w:val="24"/>
          <w:highlight w:val="lightGray"/>
        </w:rPr>
        <w:t>Kraków</w:t>
      </w:r>
      <w:proofErr w:type="spellEnd"/>
    </w:p>
    <w:p w14:paraId="46A37CAC" w14:textId="46EBDAE6" w:rsidR="00663878" w:rsidRPr="00220850" w:rsidRDefault="00772331" w:rsidP="00772331">
      <w:pPr>
        <w:numPr>
          <w:ilvl w:val="12"/>
          <w:numId w:val="0"/>
        </w:numPr>
        <w:ind w:right="-2"/>
        <w:rPr>
          <w:sz w:val="22"/>
          <w:szCs w:val="24"/>
        </w:rPr>
      </w:pPr>
      <w:r w:rsidRPr="00220850">
        <w:rPr>
          <w:sz w:val="22"/>
          <w:szCs w:val="24"/>
          <w:highlight w:val="lightGray"/>
        </w:rPr>
        <w:t>Lenkija</w:t>
      </w:r>
    </w:p>
    <w:p w14:paraId="282314BB" w14:textId="77777777" w:rsidR="00772331" w:rsidRPr="00220850" w:rsidRDefault="00772331" w:rsidP="00772331">
      <w:pPr>
        <w:numPr>
          <w:ilvl w:val="12"/>
          <w:numId w:val="0"/>
        </w:numPr>
        <w:ind w:right="-2"/>
        <w:rPr>
          <w:sz w:val="22"/>
          <w:szCs w:val="24"/>
        </w:rPr>
      </w:pPr>
    </w:p>
    <w:p w14:paraId="7324368D" w14:textId="77777777" w:rsidR="00DE01F8" w:rsidRPr="00220850" w:rsidRDefault="00771FE3">
      <w:pPr>
        <w:tabs>
          <w:tab w:val="left" w:pos="567"/>
        </w:tabs>
        <w:ind w:right="-2"/>
        <w:rPr>
          <w:sz w:val="22"/>
        </w:rPr>
      </w:pPr>
      <w:r w:rsidRPr="00220850">
        <w:rPr>
          <w:sz w:val="22"/>
        </w:rPr>
        <w:t>J</w:t>
      </w:r>
      <w:r w:rsidR="002D5C8E" w:rsidRPr="00220850">
        <w:rPr>
          <w:sz w:val="22"/>
        </w:rPr>
        <w:t>eigu apie šį vaistą norite sužinoti daugiau, kreipkitės į vietinį registruotojo atstovą:</w:t>
      </w:r>
    </w:p>
    <w:p w14:paraId="4F4DC784" w14:textId="77777777" w:rsidR="00DE01F8" w:rsidRPr="00220850" w:rsidRDefault="00DE01F8">
      <w:pPr>
        <w:tabs>
          <w:tab w:val="left" w:pos="567"/>
        </w:tabs>
        <w:rPr>
          <w:sz w:val="22"/>
          <w:szCs w:val="22"/>
        </w:rPr>
      </w:pPr>
    </w:p>
    <w:p w14:paraId="75EBFC60" w14:textId="77777777" w:rsidR="00771FE3" w:rsidRPr="00220850" w:rsidRDefault="00771FE3" w:rsidP="00771FE3">
      <w:pPr>
        <w:suppressAutoHyphens/>
        <w:rPr>
          <w:kern w:val="1"/>
          <w:sz w:val="22"/>
          <w:szCs w:val="22"/>
        </w:rPr>
      </w:pPr>
      <w:r w:rsidRPr="00220850">
        <w:rPr>
          <w:kern w:val="1"/>
          <w:sz w:val="22"/>
          <w:szCs w:val="22"/>
        </w:rPr>
        <w:t>UAB Teva Baltics</w:t>
      </w:r>
    </w:p>
    <w:p w14:paraId="793DDE84" w14:textId="77777777" w:rsidR="00771FE3" w:rsidRPr="00220850" w:rsidRDefault="00771FE3" w:rsidP="00771FE3">
      <w:pPr>
        <w:suppressAutoHyphens/>
        <w:rPr>
          <w:kern w:val="1"/>
          <w:sz w:val="22"/>
          <w:szCs w:val="22"/>
        </w:rPr>
      </w:pPr>
      <w:r w:rsidRPr="00220850">
        <w:rPr>
          <w:kern w:val="1"/>
          <w:sz w:val="22"/>
          <w:szCs w:val="22"/>
        </w:rPr>
        <w:t xml:space="preserve">Molėtų pl. 5 </w:t>
      </w:r>
    </w:p>
    <w:p w14:paraId="558E60AB" w14:textId="77777777" w:rsidR="00771FE3" w:rsidRPr="00220850" w:rsidRDefault="00771FE3" w:rsidP="00771FE3">
      <w:pPr>
        <w:suppressAutoHyphens/>
        <w:rPr>
          <w:kern w:val="1"/>
          <w:sz w:val="22"/>
          <w:szCs w:val="22"/>
        </w:rPr>
      </w:pPr>
      <w:r w:rsidRPr="00220850">
        <w:rPr>
          <w:kern w:val="1"/>
          <w:sz w:val="22"/>
          <w:szCs w:val="22"/>
        </w:rPr>
        <w:t xml:space="preserve">LT-08409 Vilnius </w:t>
      </w:r>
    </w:p>
    <w:p w14:paraId="521F5D8E" w14:textId="77777777" w:rsidR="00771FE3" w:rsidRPr="00220850" w:rsidRDefault="00771FE3" w:rsidP="00771FE3">
      <w:pPr>
        <w:suppressAutoHyphens/>
        <w:rPr>
          <w:kern w:val="1"/>
        </w:rPr>
      </w:pPr>
      <w:r w:rsidRPr="00220850">
        <w:rPr>
          <w:kern w:val="1"/>
        </w:rPr>
        <w:t>Tel.: +370 5 266 02 03</w:t>
      </w:r>
    </w:p>
    <w:p w14:paraId="1854FDD6" w14:textId="77777777" w:rsidR="00DE01F8" w:rsidRPr="00220850" w:rsidRDefault="00DE01F8" w:rsidP="00771FE3">
      <w:pPr>
        <w:rPr>
          <w:sz w:val="22"/>
        </w:rPr>
      </w:pPr>
    </w:p>
    <w:p w14:paraId="0F9AA7C7" w14:textId="39B616B6" w:rsidR="00DE01F8" w:rsidRPr="00220850" w:rsidRDefault="002D5C8E">
      <w:pPr>
        <w:numPr>
          <w:ilvl w:val="12"/>
          <w:numId w:val="0"/>
        </w:numPr>
        <w:tabs>
          <w:tab w:val="left" w:pos="567"/>
        </w:tabs>
        <w:spacing w:line="260" w:lineRule="exact"/>
        <w:ind w:right="-2"/>
        <w:rPr>
          <w:sz w:val="22"/>
        </w:rPr>
      </w:pPr>
      <w:r w:rsidRPr="00220850">
        <w:rPr>
          <w:b/>
          <w:sz w:val="22"/>
        </w:rPr>
        <w:t>Šis vaistas Europos ekonominės erdvės valstybėse narėse registruotas tokiais pavadinimais:</w:t>
      </w:r>
    </w:p>
    <w:p w14:paraId="18D37142" w14:textId="7EDDEED7" w:rsidR="00DE01F8" w:rsidRPr="00220850" w:rsidRDefault="00DE01F8">
      <w:pPr>
        <w:tabs>
          <w:tab w:val="left" w:pos="567"/>
        </w:tabs>
        <w:spacing w:line="260" w:lineRule="exact"/>
        <w:ind w:left="567" w:hanging="567"/>
        <w:rPr>
          <w:sz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116"/>
      </w:tblGrid>
      <w:tr w:rsidR="00FA67A2" w:rsidRPr="00220850" w14:paraId="3857F9A1" w14:textId="77777777" w:rsidTr="0013626C">
        <w:trPr>
          <w:trHeight w:val="525"/>
        </w:trPr>
        <w:tc>
          <w:tcPr>
            <w:tcW w:w="1849" w:type="dxa"/>
          </w:tcPr>
          <w:p w14:paraId="1B9F6856" w14:textId="360DE2BC" w:rsidR="00FA67A2" w:rsidRPr="00220850" w:rsidRDefault="001F1430">
            <w:pPr>
              <w:tabs>
                <w:tab w:val="left" w:pos="567"/>
              </w:tabs>
              <w:spacing w:line="260" w:lineRule="exact"/>
              <w:rPr>
                <w:sz w:val="22"/>
              </w:rPr>
            </w:pPr>
            <w:proofErr w:type="spellStart"/>
            <w:r w:rsidRPr="00220850">
              <w:rPr>
                <w:sz w:val="22"/>
              </w:rPr>
              <w:t>Austrija</w:t>
            </w:r>
            <w:proofErr w:type="spellEnd"/>
          </w:p>
        </w:tc>
        <w:tc>
          <w:tcPr>
            <w:tcW w:w="6116" w:type="dxa"/>
          </w:tcPr>
          <w:p w14:paraId="5DE9F9F6" w14:textId="77777777" w:rsidR="001F1430" w:rsidRPr="00220850" w:rsidRDefault="001F1430" w:rsidP="001F143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 </w:t>
            </w:r>
            <w:proofErr w:type="spellStart"/>
            <w:r w:rsidRPr="00220850">
              <w:rPr>
                <w:sz w:val="22"/>
              </w:rPr>
              <w:t>Weichkapseln</w:t>
            </w:r>
            <w:proofErr w:type="spellEnd"/>
          </w:p>
          <w:p w14:paraId="4D72634A" w14:textId="7427472D" w:rsidR="00FA67A2" w:rsidRPr="00220850" w:rsidRDefault="001F1430" w:rsidP="001F143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 </w:t>
            </w:r>
            <w:proofErr w:type="spellStart"/>
            <w:r w:rsidRPr="00220850">
              <w:rPr>
                <w:sz w:val="22"/>
              </w:rPr>
              <w:t>Weichkapseln</w:t>
            </w:r>
            <w:proofErr w:type="spellEnd"/>
          </w:p>
        </w:tc>
      </w:tr>
      <w:tr w:rsidR="00FA67A2" w:rsidRPr="00220850" w14:paraId="5AA72AAC" w14:textId="77777777" w:rsidTr="0013626C">
        <w:trPr>
          <w:trHeight w:val="1040"/>
        </w:trPr>
        <w:tc>
          <w:tcPr>
            <w:tcW w:w="1849" w:type="dxa"/>
          </w:tcPr>
          <w:p w14:paraId="221076F9" w14:textId="3BECE9B3" w:rsidR="00FA67A2" w:rsidRPr="00220850" w:rsidRDefault="001F1430">
            <w:pPr>
              <w:tabs>
                <w:tab w:val="left" w:pos="567"/>
              </w:tabs>
              <w:spacing w:line="260" w:lineRule="exact"/>
              <w:rPr>
                <w:sz w:val="22"/>
              </w:rPr>
            </w:pPr>
            <w:r w:rsidRPr="00220850">
              <w:rPr>
                <w:sz w:val="22"/>
              </w:rPr>
              <w:lastRenderedPageBreak/>
              <w:t>Belgija</w:t>
            </w:r>
          </w:p>
        </w:tc>
        <w:tc>
          <w:tcPr>
            <w:tcW w:w="6116" w:type="dxa"/>
          </w:tcPr>
          <w:p w14:paraId="69846B00" w14:textId="77777777" w:rsidR="001F1430" w:rsidRPr="00220850" w:rsidRDefault="001F1430" w:rsidP="001F1430">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capsules/capsules</w:t>
            </w:r>
          </w:p>
          <w:p w14:paraId="1809BED6" w14:textId="77777777" w:rsidR="001F1430" w:rsidRPr="00220850" w:rsidRDefault="001F1430" w:rsidP="001F1430">
            <w:pPr>
              <w:tabs>
                <w:tab w:val="left" w:pos="567"/>
              </w:tabs>
              <w:spacing w:line="260" w:lineRule="exact"/>
              <w:rPr>
                <w:sz w:val="22"/>
              </w:rPr>
            </w:pPr>
            <w:r w:rsidRPr="00220850">
              <w:rPr>
                <w:sz w:val="22"/>
              </w:rPr>
              <w:t>molles/</w:t>
            </w:r>
            <w:proofErr w:type="spellStart"/>
            <w:r w:rsidRPr="00220850">
              <w:rPr>
                <w:sz w:val="22"/>
              </w:rPr>
              <w:t>Weichkapseln</w:t>
            </w:r>
            <w:proofErr w:type="spellEnd"/>
          </w:p>
          <w:p w14:paraId="48EAD76E" w14:textId="77777777" w:rsidR="001F1430" w:rsidRPr="00220850" w:rsidRDefault="001F1430" w:rsidP="001F1430">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capsules/capsules</w:t>
            </w:r>
          </w:p>
          <w:p w14:paraId="6CB0EDFE" w14:textId="74577FEF" w:rsidR="00FA67A2" w:rsidRPr="00220850" w:rsidRDefault="001F1430" w:rsidP="001F1430">
            <w:pPr>
              <w:tabs>
                <w:tab w:val="left" w:pos="567"/>
              </w:tabs>
              <w:spacing w:line="260" w:lineRule="exact"/>
              <w:rPr>
                <w:sz w:val="22"/>
              </w:rPr>
            </w:pPr>
            <w:r w:rsidRPr="00220850">
              <w:rPr>
                <w:sz w:val="22"/>
              </w:rPr>
              <w:t>molles/</w:t>
            </w:r>
            <w:proofErr w:type="spellStart"/>
            <w:r w:rsidRPr="00220850">
              <w:rPr>
                <w:sz w:val="22"/>
              </w:rPr>
              <w:t>Weichkapseln</w:t>
            </w:r>
            <w:proofErr w:type="spellEnd"/>
          </w:p>
        </w:tc>
      </w:tr>
      <w:tr w:rsidR="00FA67A2" w:rsidRPr="00220850" w14:paraId="3E71C81E" w14:textId="77777777" w:rsidTr="0013626C">
        <w:trPr>
          <w:trHeight w:val="267"/>
        </w:trPr>
        <w:tc>
          <w:tcPr>
            <w:tcW w:w="1849" w:type="dxa"/>
          </w:tcPr>
          <w:p w14:paraId="5A1CFCFF" w14:textId="2A70C015" w:rsidR="00FA67A2" w:rsidRPr="00220850" w:rsidRDefault="001F1430">
            <w:pPr>
              <w:tabs>
                <w:tab w:val="left" w:pos="567"/>
              </w:tabs>
              <w:spacing w:line="260" w:lineRule="exact"/>
              <w:rPr>
                <w:sz w:val="22"/>
              </w:rPr>
            </w:pPr>
            <w:proofErr w:type="spellStart"/>
            <w:r w:rsidRPr="00220850">
              <w:rPr>
                <w:sz w:val="22"/>
              </w:rPr>
              <w:t>Čekija</w:t>
            </w:r>
            <w:proofErr w:type="spellEnd"/>
          </w:p>
        </w:tc>
        <w:tc>
          <w:tcPr>
            <w:tcW w:w="6116" w:type="dxa"/>
          </w:tcPr>
          <w:p w14:paraId="2522ADC9" w14:textId="35011A8F" w:rsidR="00FA67A2" w:rsidRPr="00220850" w:rsidRDefault="001F1430">
            <w:pPr>
              <w:tabs>
                <w:tab w:val="left" w:pos="567"/>
              </w:tabs>
              <w:spacing w:line="260" w:lineRule="exact"/>
              <w:rPr>
                <w:sz w:val="22"/>
              </w:rPr>
            </w:pPr>
            <w:r w:rsidRPr="00220850">
              <w:rPr>
                <w:sz w:val="22"/>
              </w:rPr>
              <w:t>Nintedanib Teva</w:t>
            </w:r>
          </w:p>
        </w:tc>
      </w:tr>
      <w:tr w:rsidR="00FA67A2" w:rsidRPr="00220850" w14:paraId="15ED7A8A" w14:textId="77777777" w:rsidTr="0013626C">
        <w:trPr>
          <w:trHeight w:val="516"/>
        </w:trPr>
        <w:tc>
          <w:tcPr>
            <w:tcW w:w="1849" w:type="dxa"/>
          </w:tcPr>
          <w:p w14:paraId="2E170768" w14:textId="152D4D10" w:rsidR="00FA67A2" w:rsidRPr="00220850" w:rsidRDefault="001F1430">
            <w:pPr>
              <w:tabs>
                <w:tab w:val="left" w:pos="567"/>
              </w:tabs>
              <w:spacing w:line="260" w:lineRule="exact"/>
              <w:rPr>
                <w:sz w:val="22"/>
              </w:rPr>
            </w:pPr>
            <w:proofErr w:type="spellStart"/>
            <w:r w:rsidRPr="00220850">
              <w:rPr>
                <w:sz w:val="22"/>
              </w:rPr>
              <w:t>Vokietija</w:t>
            </w:r>
            <w:proofErr w:type="spellEnd"/>
          </w:p>
        </w:tc>
        <w:tc>
          <w:tcPr>
            <w:tcW w:w="6116" w:type="dxa"/>
          </w:tcPr>
          <w:p w14:paraId="06F0CBAD" w14:textId="77777777" w:rsidR="001F1430" w:rsidRPr="00220850" w:rsidRDefault="001F1430" w:rsidP="001F1430">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100 mg </w:t>
            </w:r>
            <w:proofErr w:type="spellStart"/>
            <w:r w:rsidRPr="00220850">
              <w:rPr>
                <w:sz w:val="22"/>
              </w:rPr>
              <w:t>Weichkapseln</w:t>
            </w:r>
            <w:proofErr w:type="spellEnd"/>
          </w:p>
          <w:p w14:paraId="4483F8D2" w14:textId="5EC26F35" w:rsidR="00FA67A2" w:rsidRPr="00220850" w:rsidRDefault="001F1430" w:rsidP="001F1430">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150 mg </w:t>
            </w:r>
            <w:proofErr w:type="spellStart"/>
            <w:r w:rsidRPr="00220850">
              <w:rPr>
                <w:sz w:val="22"/>
              </w:rPr>
              <w:t>Weichkapseln</w:t>
            </w:r>
            <w:proofErr w:type="spellEnd"/>
          </w:p>
        </w:tc>
      </w:tr>
      <w:tr w:rsidR="00FA67A2" w:rsidRPr="00220850" w14:paraId="1635B2A7" w14:textId="77777777" w:rsidTr="0013626C">
        <w:trPr>
          <w:trHeight w:val="267"/>
        </w:trPr>
        <w:tc>
          <w:tcPr>
            <w:tcW w:w="1849" w:type="dxa"/>
          </w:tcPr>
          <w:p w14:paraId="5282C956" w14:textId="711A427B" w:rsidR="00FA67A2" w:rsidRPr="00220850" w:rsidRDefault="001F1430">
            <w:pPr>
              <w:tabs>
                <w:tab w:val="left" w:pos="567"/>
              </w:tabs>
              <w:spacing w:line="260" w:lineRule="exact"/>
              <w:rPr>
                <w:sz w:val="22"/>
              </w:rPr>
            </w:pPr>
            <w:r w:rsidRPr="00220850">
              <w:rPr>
                <w:sz w:val="22"/>
              </w:rPr>
              <w:t>Danija</w:t>
            </w:r>
          </w:p>
        </w:tc>
        <w:tc>
          <w:tcPr>
            <w:tcW w:w="6116" w:type="dxa"/>
          </w:tcPr>
          <w:p w14:paraId="7E72D3D6" w14:textId="3B8BCEB8" w:rsidR="00FA67A2" w:rsidRPr="00220850" w:rsidRDefault="001F1430">
            <w:pPr>
              <w:tabs>
                <w:tab w:val="left" w:pos="567"/>
              </w:tabs>
              <w:spacing w:line="260" w:lineRule="exact"/>
              <w:rPr>
                <w:sz w:val="22"/>
              </w:rPr>
            </w:pPr>
            <w:r w:rsidRPr="00220850">
              <w:rPr>
                <w:sz w:val="22"/>
              </w:rPr>
              <w:t>Nintedanib Teva</w:t>
            </w:r>
          </w:p>
        </w:tc>
      </w:tr>
      <w:tr w:rsidR="00FA67A2" w:rsidRPr="00220850" w14:paraId="5E69012F" w14:textId="77777777" w:rsidTr="0013626C">
        <w:trPr>
          <w:trHeight w:val="258"/>
        </w:trPr>
        <w:tc>
          <w:tcPr>
            <w:tcW w:w="1849" w:type="dxa"/>
          </w:tcPr>
          <w:p w14:paraId="25137887" w14:textId="44942CB7" w:rsidR="00FA67A2" w:rsidRPr="00220850" w:rsidRDefault="001F1430">
            <w:pPr>
              <w:tabs>
                <w:tab w:val="left" w:pos="567"/>
              </w:tabs>
              <w:spacing w:line="260" w:lineRule="exact"/>
              <w:rPr>
                <w:sz w:val="22"/>
              </w:rPr>
            </w:pPr>
            <w:proofErr w:type="spellStart"/>
            <w:r w:rsidRPr="00220850">
              <w:rPr>
                <w:sz w:val="22"/>
              </w:rPr>
              <w:t>Estija</w:t>
            </w:r>
            <w:proofErr w:type="spellEnd"/>
          </w:p>
        </w:tc>
        <w:tc>
          <w:tcPr>
            <w:tcW w:w="6116" w:type="dxa"/>
          </w:tcPr>
          <w:p w14:paraId="77038DEF" w14:textId="195D6678" w:rsidR="00FA67A2" w:rsidRPr="00220850" w:rsidRDefault="001F1430">
            <w:pPr>
              <w:tabs>
                <w:tab w:val="left" w:pos="567"/>
              </w:tabs>
              <w:spacing w:line="260" w:lineRule="exact"/>
              <w:rPr>
                <w:sz w:val="22"/>
              </w:rPr>
            </w:pPr>
            <w:r w:rsidRPr="00220850">
              <w:rPr>
                <w:sz w:val="22"/>
              </w:rPr>
              <w:t>Nintedanib Teva</w:t>
            </w:r>
          </w:p>
        </w:tc>
      </w:tr>
      <w:tr w:rsidR="00FA67A2" w:rsidRPr="00220850" w14:paraId="3EEE57B4" w14:textId="77777777" w:rsidTr="0013626C">
        <w:trPr>
          <w:trHeight w:val="267"/>
        </w:trPr>
        <w:tc>
          <w:tcPr>
            <w:tcW w:w="1849" w:type="dxa"/>
          </w:tcPr>
          <w:p w14:paraId="7D5F4F8C" w14:textId="4D845811" w:rsidR="00FA67A2" w:rsidRPr="00220850" w:rsidRDefault="001F1430">
            <w:pPr>
              <w:tabs>
                <w:tab w:val="left" w:pos="567"/>
              </w:tabs>
              <w:spacing w:line="260" w:lineRule="exact"/>
              <w:rPr>
                <w:sz w:val="22"/>
              </w:rPr>
            </w:pPr>
            <w:proofErr w:type="spellStart"/>
            <w:r w:rsidRPr="00220850">
              <w:rPr>
                <w:sz w:val="22"/>
              </w:rPr>
              <w:t>Graikija</w:t>
            </w:r>
            <w:proofErr w:type="spellEnd"/>
          </w:p>
        </w:tc>
        <w:tc>
          <w:tcPr>
            <w:tcW w:w="6116" w:type="dxa"/>
          </w:tcPr>
          <w:p w14:paraId="4C7BA824" w14:textId="732FA2D9" w:rsidR="00FA67A2" w:rsidRPr="00220850" w:rsidRDefault="001F1430">
            <w:pPr>
              <w:tabs>
                <w:tab w:val="left" w:pos="567"/>
              </w:tabs>
              <w:spacing w:line="260" w:lineRule="exact"/>
              <w:rPr>
                <w:sz w:val="22"/>
              </w:rPr>
            </w:pPr>
            <w:r w:rsidRPr="00220850">
              <w:rPr>
                <w:sz w:val="22"/>
              </w:rPr>
              <w:t>Nintedanib/Teva</w:t>
            </w:r>
          </w:p>
        </w:tc>
      </w:tr>
      <w:tr w:rsidR="00FA67A2" w:rsidRPr="00220850" w14:paraId="12B3639D" w14:textId="77777777" w:rsidTr="0013626C">
        <w:trPr>
          <w:trHeight w:val="525"/>
        </w:trPr>
        <w:tc>
          <w:tcPr>
            <w:tcW w:w="1849" w:type="dxa"/>
          </w:tcPr>
          <w:p w14:paraId="58A75A13" w14:textId="3FFE54FA" w:rsidR="00FA67A2" w:rsidRPr="00220850" w:rsidRDefault="001F1430">
            <w:pPr>
              <w:tabs>
                <w:tab w:val="left" w:pos="567"/>
              </w:tabs>
              <w:spacing w:line="260" w:lineRule="exact"/>
              <w:rPr>
                <w:sz w:val="22"/>
              </w:rPr>
            </w:pPr>
            <w:proofErr w:type="spellStart"/>
            <w:r w:rsidRPr="00220850">
              <w:rPr>
                <w:sz w:val="22"/>
              </w:rPr>
              <w:t>Ispanija</w:t>
            </w:r>
            <w:proofErr w:type="spellEnd"/>
          </w:p>
        </w:tc>
        <w:tc>
          <w:tcPr>
            <w:tcW w:w="6116" w:type="dxa"/>
          </w:tcPr>
          <w:p w14:paraId="3E636B39" w14:textId="77777777" w:rsidR="001F1430" w:rsidRPr="00220850" w:rsidRDefault="001F1430" w:rsidP="001F1430">
            <w:pPr>
              <w:tabs>
                <w:tab w:val="left" w:pos="567"/>
              </w:tabs>
              <w:spacing w:line="260" w:lineRule="exact"/>
              <w:rPr>
                <w:sz w:val="22"/>
                <w:lang w:val="pt-PT"/>
              </w:rPr>
            </w:pPr>
            <w:r w:rsidRPr="00220850">
              <w:rPr>
                <w:sz w:val="22"/>
                <w:lang w:val="pt-PT"/>
              </w:rPr>
              <w:t>Nintedanib Teva 100 mg cápsulas blandas EFG</w:t>
            </w:r>
          </w:p>
          <w:p w14:paraId="273761E5" w14:textId="07153DA1" w:rsidR="00FA67A2" w:rsidRPr="00220850" w:rsidRDefault="001F1430" w:rsidP="001F1430">
            <w:pPr>
              <w:tabs>
                <w:tab w:val="left" w:pos="567"/>
              </w:tabs>
              <w:spacing w:line="260" w:lineRule="exact"/>
              <w:rPr>
                <w:sz w:val="22"/>
                <w:lang w:val="pt-PT"/>
              </w:rPr>
            </w:pPr>
            <w:r w:rsidRPr="00220850">
              <w:rPr>
                <w:sz w:val="22"/>
                <w:lang w:val="pt-PT"/>
              </w:rPr>
              <w:t>Nintedanib Teva 150 mg cápsulas blandas EFG</w:t>
            </w:r>
          </w:p>
        </w:tc>
      </w:tr>
      <w:tr w:rsidR="00FA67A2" w:rsidRPr="00220850" w14:paraId="38F607CB" w14:textId="77777777" w:rsidTr="0013626C">
        <w:trPr>
          <w:trHeight w:val="516"/>
        </w:trPr>
        <w:tc>
          <w:tcPr>
            <w:tcW w:w="1849" w:type="dxa"/>
          </w:tcPr>
          <w:p w14:paraId="07013436" w14:textId="41500C52" w:rsidR="00FA67A2" w:rsidRPr="00220850" w:rsidRDefault="001F1430">
            <w:pPr>
              <w:tabs>
                <w:tab w:val="left" w:pos="567"/>
              </w:tabs>
              <w:spacing w:line="260" w:lineRule="exact"/>
              <w:rPr>
                <w:sz w:val="22"/>
              </w:rPr>
            </w:pPr>
            <w:proofErr w:type="spellStart"/>
            <w:r w:rsidRPr="00220850">
              <w:rPr>
                <w:sz w:val="22"/>
              </w:rPr>
              <w:t>Suomija</w:t>
            </w:r>
            <w:proofErr w:type="spellEnd"/>
          </w:p>
        </w:tc>
        <w:tc>
          <w:tcPr>
            <w:tcW w:w="6116" w:type="dxa"/>
          </w:tcPr>
          <w:p w14:paraId="137A042F" w14:textId="77777777" w:rsidR="001F1430" w:rsidRPr="00220850" w:rsidRDefault="001F1430" w:rsidP="001F143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p w14:paraId="543CBB9B" w14:textId="4AFF33D3" w:rsidR="00FA67A2" w:rsidRPr="00220850" w:rsidRDefault="001F1430" w:rsidP="001F143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tc>
      </w:tr>
      <w:tr w:rsidR="00FA67A2" w:rsidRPr="00220850" w14:paraId="523E67EA" w14:textId="77777777" w:rsidTr="0013626C">
        <w:trPr>
          <w:trHeight w:val="525"/>
        </w:trPr>
        <w:tc>
          <w:tcPr>
            <w:tcW w:w="1849" w:type="dxa"/>
          </w:tcPr>
          <w:p w14:paraId="5195D275" w14:textId="19AD2106" w:rsidR="00FA67A2" w:rsidRPr="00220850" w:rsidRDefault="001F1430">
            <w:pPr>
              <w:tabs>
                <w:tab w:val="left" w:pos="567"/>
              </w:tabs>
              <w:spacing w:line="260" w:lineRule="exact"/>
              <w:rPr>
                <w:sz w:val="22"/>
              </w:rPr>
            </w:pPr>
            <w:proofErr w:type="spellStart"/>
            <w:r w:rsidRPr="00220850">
              <w:rPr>
                <w:sz w:val="22"/>
              </w:rPr>
              <w:t>Prancūzija</w:t>
            </w:r>
            <w:proofErr w:type="spellEnd"/>
          </w:p>
        </w:tc>
        <w:tc>
          <w:tcPr>
            <w:tcW w:w="6116" w:type="dxa"/>
          </w:tcPr>
          <w:p w14:paraId="68DF17E2" w14:textId="77777777" w:rsidR="001F1430" w:rsidRPr="00220850" w:rsidRDefault="001F1430" w:rsidP="001F1430">
            <w:pPr>
              <w:tabs>
                <w:tab w:val="left" w:pos="567"/>
              </w:tabs>
              <w:spacing w:line="260" w:lineRule="exact"/>
              <w:rPr>
                <w:sz w:val="22"/>
                <w:lang w:val="it-CH"/>
              </w:rPr>
            </w:pPr>
            <w:r w:rsidRPr="00220850">
              <w:rPr>
                <w:sz w:val="22"/>
                <w:lang w:val="it-CH"/>
              </w:rPr>
              <w:t>NINTEDANIB TEVA 100mg, capsule molle</w:t>
            </w:r>
          </w:p>
          <w:p w14:paraId="7BB7B8ED" w14:textId="51A43675" w:rsidR="00FA67A2" w:rsidRPr="00220850" w:rsidRDefault="001F1430" w:rsidP="001F1430">
            <w:pPr>
              <w:tabs>
                <w:tab w:val="left" w:pos="567"/>
              </w:tabs>
              <w:spacing w:line="260" w:lineRule="exact"/>
              <w:rPr>
                <w:sz w:val="22"/>
                <w:lang w:val="it-CH"/>
              </w:rPr>
            </w:pPr>
            <w:r w:rsidRPr="00220850">
              <w:rPr>
                <w:sz w:val="22"/>
                <w:lang w:val="it-CH"/>
              </w:rPr>
              <w:t>NINTEDANIB TEVA 150mg, capsule molle</w:t>
            </w:r>
          </w:p>
        </w:tc>
      </w:tr>
      <w:tr w:rsidR="00FA67A2" w:rsidRPr="00220850" w14:paraId="34B99451" w14:textId="77777777" w:rsidTr="0013626C">
        <w:trPr>
          <w:trHeight w:val="267"/>
        </w:trPr>
        <w:tc>
          <w:tcPr>
            <w:tcW w:w="1849" w:type="dxa"/>
          </w:tcPr>
          <w:p w14:paraId="3F2553C0" w14:textId="361D2B99" w:rsidR="00FA67A2" w:rsidRPr="00220850" w:rsidRDefault="001F1430">
            <w:pPr>
              <w:tabs>
                <w:tab w:val="left" w:pos="567"/>
              </w:tabs>
              <w:spacing w:line="260" w:lineRule="exact"/>
              <w:rPr>
                <w:sz w:val="22"/>
              </w:rPr>
            </w:pPr>
            <w:proofErr w:type="spellStart"/>
            <w:r w:rsidRPr="00220850">
              <w:rPr>
                <w:sz w:val="22"/>
              </w:rPr>
              <w:t>Kroatija</w:t>
            </w:r>
            <w:proofErr w:type="spellEnd"/>
          </w:p>
        </w:tc>
        <w:tc>
          <w:tcPr>
            <w:tcW w:w="6116" w:type="dxa"/>
          </w:tcPr>
          <w:p w14:paraId="160ABB21" w14:textId="7EF22362" w:rsidR="00FA67A2" w:rsidRPr="00220850" w:rsidRDefault="001F1430">
            <w:pPr>
              <w:tabs>
                <w:tab w:val="left" w:pos="567"/>
              </w:tabs>
              <w:spacing w:line="260" w:lineRule="exact"/>
              <w:rPr>
                <w:sz w:val="22"/>
                <w:lang w:val="sv-SE"/>
              </w:rPr>
            </w:pPr>
            <w:r w:rsidRPr="00220850">
              <w:rPr>
                <w:sz w:val="22"/>
                <w:lang w:val="sv-SE"/>
              </w:rPr>
              <w:t>Nintedanib Teva 100 mg, 150 mg meke kapsule</w:t>
            </w:r>
          </w:p>
        </w:tc>
      </w:tr>
      <w:tr w:rsidR="00FA67A2" w:rsidRPr="00220850" w14:paraId="45467985" w14:textId="77777777" w:rsidTr="0013626C">
        <w:trPr>
          <w:trHeight w:val="258"/>
        </w:trPr>
        <w:tc>
          <w:tcPr>
            <w:tcW w:w="1849" w:type="dxa"/>
          </w:tcPr>
          <w:p w14:paraId="4E7BAB29" w14:textId="1353A184" w:rsidR="00FA67A2" w:rsidRPr="00220850" w:rsidRDefault="001F1430">
            <w:pPr>
              <w:tabs>
                <w:tab w:val="left" w:pos="567"/>
              </w:tabs>
              <w:spacing w:line="260" w:lineRule="exact"/>
              <w:rPr>
                <w:sz w:val="22"/>
                <w:lang w:val="lt-LT"/>
              </w:rPr>
            </w:pPr>
            <w:r w:rsidRPr="00220850">
              <w:rPr>
                <w:sz w:val="22"/>
                <w:lang w:val="lt-LT"/>
              </w:rPr>
              <w:t>Islandija</w:t>
            </w:r>
          </w:p>
        </w:tc>
        <w:tc>
          <w:tcPr>
            <w:tcW w:w="6116" w:type="dxa"/>
          </w:tcPr>
          <w:p w14:paraId="79622586" w14:textId="53468823" w:rsidR="00FA67A2" w:rsidRPr="00220850" w:rsidRDefault="001F1430">
            <w:pPr>
              <w:tabs>
                <w:tab w:val="left" w:pos="567"/>
              </w:tabs>
              <w:spacing w:line="260" w:lineRule="exact"/>
              <w:rPr>
                <w:sz w:val="22"/>
              </w:rPr>
            </w:pPr>
            <w:r w:rsidRPr="00220850">
              <w:rPr>
                <w:sz w:val="22"/>
              </w:rPr>
              <w:t>Nintedanib Teva</w:t>
            </w:r>
          </w:p>
        </w:tc>
      </w:tr>
      <w:tr w:rsidR="00FA67A2" w:rsidRPr="00220850" w14:paraId="76C98B56" w14:textId="77777777" w:rsidTr="0013626C">
        <w:trPr>
          <w:trHeight w:val="258"/>
        </w:trPr>
        <w:tc>
          <w:tcPr>
            <w:tcW w:w="1849" w:type="dxa"/>
          </w:tcPr>
          <w:p w14:paraId="3BB0B643" w14:textId="2915C220" w:rsidR="00FA67A2" w:rsidRPr="00220850" w:rsidRDefault="001F1430">
            <w:pPr>
              <w:tabs>
                <w:tab w:val="left" w:pos="567"/>
              </w:tabs>
              <w:spacing w:line="260" w:lineRule="exact"/>
              <w:rPr>
                <w:sz w:val="22"/>
              </w:rPr>
            </w:pPr>
            <w:proofErr w:type="spellStart"/>
            <w:r w:rsidRPr="00220850">
              <w:rPr>
                <w:sz w:val="22"/>
              </w:rPr>
              <w:t>Italija</w:t>
            </w:r>
            <w:proofErr w:type="spellEnd"/>
          </w:p>
        </w:tc>
        <w:tc>
          <w:tcPr>
            <w:tcW w:w="6116" w:type="dxa"/>
          </w:tcPr>
          <w:p w14:paraId="054D051B" w14:textId="4F621FCC" w:rsidR="00FA67A2" w:rsidRPr="00220850" w:rsidRDefault="001F1430">
            <w:pPr>
              <w:tabs>
                <w:tab w:val="left" w:pos="567"/>
              </w:tabs>
              <w:spacing w:line="260" w:lineRule="exact"/>
              <w:rPr>
                <w:sz w:val="22"/>
              </w:rPr>
            </w:pPr>
            <w:r w:rsidRPr="00220850">
              <w:rPr>
                <w:sz w:val="22"/>
              </w:rPr>
              <w:t>Nintedanib Teva</w:t>
            </w:r>
          </w:p>
        </w:tc>
      </w:tr>
      <w:tr w:rsidR="00FA67A2" w:rsidRPr="00220850" w14:paraId="1F5467A5" w14:textId="77777777" w:rsidTr="0013626C">
        <w:trPr>
          <w:trHeight w:val="525"/>
        </w:trPr>
        <w:tc>
          <w:tcPr>
            <w:tcW w:w="1849" w:type="dxa"/>
          </w:tcPr>
          <w:p w14:paraId="2CF35ABA" w14:textId="13A35E1D" w:rsidR="00FA67A2" w:rsidRPr="00220850" w:rsidRDefault="001F1430">
            <w:pPr>
              <w:tabs>
                <w:tab w:val="left" w:pos="567"/>
              </w:tabs>
              <w:spacing w:line="260" w:lineRule="exact"/>
              <w:rPr>
                <w:sz w:val="22"/>
              </w:rPr>
            </w:pPr>
            <w:r w:rsidRPr="00220850">
              <w:rPr>
                <w:sz w:val="22"/>
              </w:rPr>
              <w:t>Lietuva</w:t>
            </w:r>
          </w:p>
        </w:tc>
        <w:tc>
          <w:tcPr>
            <w:tcW w:w="6116" w:type="dxa"/>
          </w:tcPr>
          <w:p w14:paraId="18E4FB66" w14:textId="77777777" w:rsidR="001F1430" w:rsidRPr="00220850" w:rsidRDefault="001F1430" w:rsidP="001F1430">
            <w:pPr>
              <w:tabs>
                <w:tab w:val="left" w:pos="567"/>
              </w:tabs>
              <w:spacing w:line="260" w:lineRule="exact"/>
              <w:rPr>
                <w:sz w:val="22"/>
              </w:rPr>
            </w:pPr>
            <w:r w:rsidRPr="00220850">
              <w:rPr>
                <w:sz w:val="22"/>
              </w:rPr>
              <w:t xml:space="preserve">Nintedanib Teva 100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p w14:paraId="0EEC6E69" w14:textId="238D24F0" w:rsidR="00FA67A2" w:rsidRPr="00220850" w:rsidRDefault="001F1430" w:rsidP="001F1430">
            <w:pPr>
              <w:tabs>
                <w:tab w:val="left" w:pos="567"/>
              </w:tabs>
              <w:spacing w:line="260" w:lineRule="exact"/>
              <w:rPr>
                <w:sz w:val="22"/>
              </w:rPr>
            </w:pPr>
            <w:r w:rsidRPr="00220850">
              <w:rPr>
                <w:sz w:val="22"/>
              </w:rPr>
              <w:t xml:space="preserve">Nintedanib Teva 150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tc>
      </w:tr>
      <w:tr w:rsidR="00FA67A2" w:rsidRPr="00220850" w14:paraId="7150E52D" w14:textId="77777777" w:rsidTr="0013626C">
        <w:trPr>
          <w:trHeight w:val="525"/>
        </w:trPr>
        <w:tc>
          <w:tcPr>
            <w:tcW w:w="1849" w:type="dxa"/>
          </w:tcPr>
          <w:p w14:paraId="0418F2F2" w14:textId="27154961" w:rsidR="00FA67A2" w:rsidRPr="00220850" w:rsidRDefault="001F1430">
            <w:pPr>
              <w:tabs>
                <w:tab w:val="left" w:pos="567"/>
              </w:tabs>
              <w:spacing w:line="260" w:lineRule="exact"/>
              <w:rPr>
                <w:sz w:val="22"/>
              </w:rPr>
            </w:pPr>
            <w:proofErr w:type="spellStart"/>
            <w:r w:rsidRPr="00220850">
              <w:rPr>
                <w:sz w:val="22"/>
              </w:rPr>
              <w:t>Latvija</w:t>
            </w:r>
            <w:proofErr w:type="spellEnd"/>
          </w:p>
        </w:tc>
        <w:tc>
          <w:tcPr>
            <w:tcW w:w="6116" w:type="dxa"/>
          </w:tcPr>
          <w:p w14:paraId="7403EF97" w14:textId="77777777" w:rsidR="001F1430" w:rsidRPr="00220850" w:rsidRDefault="001F1430" w:rsidP="001F1430">
            <w:pPr>
              <w:tabs>
                <w:tab w:val="left" w:pos="567"/>
              </w:tabs>
              <w:spacing w:line="260" w:lineRule="exact"/>
              <w:rPr>
                <w:sz w:val="22"/>
              </w:rPr>
            </w:pPr>
            <w:r w:rsidRPr="00220850">
              <w:rPr>
                <w:sz w:val="22"/>
              </w:rPr>
              <w:t xml:space="preserve">Nintedanib Teva 100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p w14:paraId="4C2CE4C3" w14:textId="560B5DF4" w:rsidR="00FA67A2" w:rsidRPr="00220850" w:rsidRDefault="001F1430" w:rsidP="001F1430">
            <w:pPr>
              <w:tabs>
                <w:tab w:val="left" w:pos="567"/>
              </w:tabs>
              <w:spacing w:line="260" w:lineRule="exact"/>
              <w:rPr>
                <w:sz w:val="22"/>
              </w:rPr>
            </w:pPr>
            <w:r w:rsidRPr="00220850">
              <w:rPr>
                <w:sz w:val="22"/>
              </w:rPr>
              <w:t xml:space="preserve">Nintedanib Teva 150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tc>
      </w:tr>
      <w:tr w:rsidR="00FA67A2" w:rsidRPr="00220850" w14:paraId="487328AF" w14:textId="77777777" w:rsidTr="0013626C">
        <w:trPr>
          <w:trHeight w:val="525"/>
        </w:trPr>
        <w:tc>
          <w:tcPr>
            <w:tcW w:w="1849" w:type="dxa"/>
          </w:tcPr>
          <w:p w14:paraId="4774F578" w14:textId="3BDA6CB9" w:rsidR="00FA67A2" w:rsidRPr="00220850" w:rsidRDefault="001F1430">
            <w:pPr>
              <w:tabs>
                <w:tab w:val="left" w:pos="567"/>
              </w:tabs>
              <w:spacing w:line="260" w:lineRule="exact"/>
              <w:rPr>
                <w:sz w:val="22"/>
              </w:rPr>
            </w:pPr>
            <w:proofErr w:type="spellStart"/>
            <w:r w:rsidRPr="00220850">
              <w:rPr>
                <w:sz w:val="22"/>
              </w:rPr>
              <w:t>Liuksemburgas</w:t>
            </w:r>
            <w:proofErr w:type="spellEnd"/>
          </w:p>
        </w:tc>
        <w:tc>
          <w:tcPr>
            <w:tcW w:w="6116" w:type="dxa"/>
          </w:tcPr>
          <w:p w14:paraId="449BBB44" w14:textId="77777777" w:rsidR="001F1430" w:rsidRPr="00220850" w:rsidRDefault="001F1430" w:rsidP="001F1430">
            <w:pPr>
              <w:tabs>
                <w:tab w:val="left" w:pos="567"/>
              </w:tabs>
              <w:spacing w:line="260" w:lineRule="exact"/>
              <w:rPr>
                <w:sz w:val="22"/>
              </w:rPr>
            </w:pPr>
            <w:r w:rsidRPr="00220850">
              <w:rPr>
                <w:sz w:val="22"/>
              </w:rPr>
              <w:t>Nintedanib Teva 100 mg capsules molles</w:t>
            </w:r>
          </w:p>
          <w:p w14:paraId="6CF9DBD3" w14:textId="256C00F6" w:rsidR="00FA67A2" w:rsidRPr="00220850" w:rsidRDefault="001F1430" w:rsidP="001F1430">
            <w:pPr>
              <w:tabs>
                <w:tab w:val="left" w:pos="567"/>
              </w:tabs>
              <w:spacing w:line="260" w:lineRule="exact"/>
              <w:rPr>
                <w:sz w:val="22"/>
              </w:rPr>
            </w:pPr>
            <w:r w:rsidRPr="00220850">
              <w:rPr>
                <w:sz w:val="22"/>
              </w:rPr>
              <w:t>Nintedanib Teva 150 mg capsules molles</w:t>
            </w:r>
          </w:p>
        </w:tc>
      </w:tr>
      <w:tr w:rsidR="00FA67A2" w:rsidRPr="00220850" w14:paraId="44BC6EAB" w14:textId="77777777" w:rsidTr="0013626C">
        <w:trPr>
          <w:trHeight w:val="525"/>
        </w:trPr>
        <w:tc>
          <w:tcPr>
            <w:tcW w:w="1849" w:type="dxa"/>
          </w:tcPr>
          <w:p w14:paraId="04ECA54F" w14:textId="34219BCB" w:rsidR="00FA67A2" w:rsidRPr="00220850" w:rsidRDefault="001F1430">
            <w:pPr>
              <w:tabs>
                <w:tab w:val="left" w:pos="567"/>
              </w:tabs>
              <w:spacing w:line="260" w:lineRule="exact"/>
              <w:rPr>
                <w:sz w:val="22"/>
              </w:rPr>
            </w:pPr>
            <w:proofErr w:type="spellStart"/>
            <w:r w:rsidRPr="00220850">
              <w:rPr>
                <w:sz w:val="22"/>
              </w:rPr>
              <w:t>Nyderlandai</w:t>
            </w:r>
            <w:proofErr w:type="spellEnd"/>
          </w:p>
        </w:tc>
        <w:tc>
          <w:tcPr>
            <w:tcW w:w="6116" w:type="dxa"/>
          </w:tcPr>
          <w:p w14:paraId="5EEB9DD1" w14:textId="77777777" w:rsidR="001F1430" w:rsidRPr="00220850" w:rsidRDefault="001F1430" w:rsidP="001F1430">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w:t>
            </w:r>
          </w:p>
          <w:p w14:paraId="058E721D" w14:textId="10123D4F" w:rsidR="00FA67A2" w:rsidRPr="00220850" w:rsidRDefault="001F1430" w:rsidP="001F1430">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w:t>
            </w:r>
          </w:p>
        </w:tc>
      </w:tr>
      <w:tr w:rsidR="00FA67A2" w:rsidRPr="00220850" w14:paraId="0F502DCA" w14:textId="77777777" w:rsidTr="0013626C">
        <w:trPr>
          <w:trHeight w:val="258"/>
        </w:trPr>
        <w:tc>
          <w:tcPr>
            <w:tcW w:w="1849" w:type="dxa"/>
          </w:tcPr>
          <w:p w14:paraId="0BEE6F70" w14:textId="1EED782E" w:rsidR="00FA67A2" w:rsidRPr="00220850" w:rsidRDefault="001F1430">
            <w:pPr>
              <w:tabs>
                <w:tab w:val="left" w:pos="567"/>
              </w:tabs>
              <w:spacing w:line="260" w:lineRule="exact"/>
              <w:rPr>
                <w:sz w:val="22"/>
              </w:rPr>
            </w:pPr>
            <w:proofErr w:type="spellStart"/>
            <w:r w:rsidRPr="00220850">
              <w:rPr>
                <w:sz w:val="22"/>
              </w:rPr>
              <w:t>Norvegija</w:t>
            </w:r>
            <w:proofErr w:type="spellEnd"/>
          </w:p>
        </w:tc>
        <w:tc>
          <w:tcPr>
            <w:tcW w:w="6116" w:type="dxa"/>
          </w:tcPr>
          <w:p w14:paraId="5535E2F1" w14:textId="621CCEDB" w:rsidR="00FA67A2" w:rsidRPr="00220850" w:rsidRDefault="001F1430">
            <w:pPr>
              <w:tabs>
                <w:tab w:val="left" w:pos="567"/>
              </w:tabs>
              <w:spacing w:line="260" w:lineRule="exact"/>
              <w:rPr>
                <w:sz w:val="22"/>
              </w:rPr>
            </w:pPr>
            <w:r w:rsidRPr="00220850">
              <w:rPr>
                <w:sz w:val="22"/>
              </w:rPr>
              <w:t>Nintedanib Teva</w:t>
            </w:r>
          </w:p>
        </w:tc>
      </w:tr>
      <w:tr w:rsidR="00FA67A2" w:rsidRPr="00220850" w14:paraId="17BA6F68" w14:textId="77777777" w:rsidTr="0013626C">
        <w:trPr>
          <w:trHeight w:val="258"/>
        </w:trPr>
        <w:tc>
          <w:tcPr>
            <w:tcW w:w="1849" w:type="dxa"/>
          </w:tcPr>
          <w:p w14:paraId="11F969FD" w14:textId="62EB517C" w:rsidR="00FA67A2" w:rsidRPr="00220850" w:rsidRDefault="001F1430">
            <w:pPr>
              <w:tabs>
                <w:tab w:val="left" w:pos="567"/>
              </w:tabs>
              <w:spacing w:line="260" w:lineRule="exact"/>
              <w:rPr>
                <w:sz w:val="22"/>
              </w:rPr>
            </w:pPr>
            <w:proofErr w:type="spellStart"/>
            <w:r w:rsidRPr="00220850">
              <w:rPr>
                <w:sz w:val="22"/>
              </w:rPr>
              <w:t>Lenkija</w:t>
            </w:r>
            <w:proofErr w:type="spellEnd"/>
          </w:p>
        </w:tc>
        <w:tc>
          <w:tcPr>
            <w:tcW w:w="6116" w:type="dxa"/>
          </w:tcPr>
          <w:p w14:paraId="2863CCF4" w14:textId="6A19A3AF" w:rsidR="00FA67A2" w:rsidRPr="00220850" w:rsidRDefault="001F1430">
            <w:pPr>
              <w:tabs>
                <w:tab w:val="left" w:pos="567"/>
              </w:tabs>
              <w:spacing w:line="260" w:lineRule="exact"/>
              <w:rPr>
                <w:sz w:val="22"/>
              </w:rPr>
            </w:pPr>
            <w:r w:rsidRPr="00220850">
              <w:rPr>
                <w:sz w:val="22"/>
              </w:rPr>
              <w:t>Nintedanib Teva</w:t>
            </w:r>
          </w:p>
        </w:tc>
      </w:tr>
      <w:tr w:rsidR="00FA67A2" w:rsidRPr="00220850" w14:paraId="2972758D" w14:textId="77777777" w:rsidTr="0013626C">
        <w:trPr>
          <w:trHeight w:val="267"/>
        </w:trPr>
        <w:tc>
          <w:tcPr>
            <w:tcW w:w="1849" w:type="dxa"/>
          </w:tcPr>
          <w:p w14:paraId="66509630" w14:textId="00B42A5D" w:rsidR="00FA67A2" w:rsidRPr="00220850" w:rsidRDefault="001F1430">
            <w:pPr>
              <w:tabs>
                <w:tab w:val="left" w:pos="567"/>
              </w:tabs>
              <w:spacing w:line="260" w:lineRule="exact"/>
              <w:rPr>
                <w:sz w:val="22"/>
              </w:rPr>
            </w:pPr>
            <w:proofErr w:type="spellStart"/>
            <w:r w:rsidRPr="00220850">
              <w:rPr>
                <w:sz w:val="22"/>
              </w:rPr>
              <w:t>Portugalija</w:t>
            </w:r>
            <w:proofErr w:type="spellEnd"/>
          </w:p>
        </w:tc>
        <w:tc>
          <w:tcPr>
            <w:tcW w:w="6116" w:type="dxa"/>
          </w:tcPr>
          <w:p w14:paraId="3C9E8C20" w14:textId="17906DF6" w:rsidR="00FA67A2" w:rsidRPr="00220850" w:rsidRDefault="001F1430">
            <w:pPr>
              <w:tabs>
                <w:tab w:val="left" w:pos="567"/>
              </w:tabs>
              <w:spacing w:line="260" w:lineRule="exact"/>
              <w:rPr>
                <w:sz w:val="22"/>
              </w:rPr>
            </w:pPr>
            <w:r w:rsidRPr="00220850">
              <w:rPr>
                <w:sz w:val="22"/>
              </w:rPr>
              <w:t xml:space="preserve">Nintedanib </w:t>
            </w:r>
            <w:proofErr w:type="spellStart"/>
            <w:r w:rsidRPr="00220850">
              <w:rPr>
                <w:sz w:val="22"/>
              </w:rPr>
              <w:t>Zidrium</w:t>
            </w:r>
            <w:proofErr w:type="spellEnd"/>
          </w:p>
        </w:tc>
      </w:tr>
      <w:tr w:rsidR="00FA67A2" w:rsidRPr="00220850" w14:paraId="573DEAAF" w14:textId="77777777" w:rsidTr="0013626C">
        <w:trPr>
          <w:trHeight w:val="258"/>
        </w:trPr>
        <w:tc>
          <w:tcPr>
            <w:tcW w:w="1849" w:type="dxa"/>
          </w:tcPr>
          <w:p w14:paraId="27147878" w14:textId="38B510E8" w:rsidR="00FA67A2" w:rsidRPr="00220850" w:rsidRDefault="001F1430">
            <w:pPr>
              <w:tabs>
                <w:tab w:val="left" w:pos="567"/>
              </w:tabs>
              <w:spacing w:line="260" w:lineRule="exact"/>
              <w:rPr>
                <w:sz w:val="22"/>
              </w:rPr>
            </w:pPr>
            <w:proofErr w:type="spellStart"/>
            <w:r w:rsidRPr="00220850">
              <w:rPr>
                <w:sz w:val="22"/>
              </w:rPr>
              <w:t>Rumunija</w:t>
            </w:r>
            <w:proofErr w:type="spellEnd"/>
          </w:p>
        </w:tc>
        <w:tc>
          <w:tcPr>
            <w:tcW w:w="6116" w:type="dxa"/>
          </w:tcPr>
          <w:p w14:paraId="575E49B1" w14:textId="63F04C74" w:rsidR="00FA67A2" w:rsidRPr="00220850" w:rsidRDefault="001F1430">
            <w:pPr>
              <w:tabs>
                <w:tab w:val="left" w:pos="567"/>
              </w:tabs>
              <w:spacing w:line="260" w:lineRule="exact"/>
              <w:rPr>
                <w:sz w:val="22"/>
                <w:lang w:val="it-CH"/>
              </w:rPr>
            </w:pPr>
            <w:r w:rsidRPr="00220850">
              <w:rPr>
                <w:sz w:val="22"/>
                <w:lang w:val="it-CH"/>
              </w:rPr>
              <w:t>Nintedanib Teva 100 mg, 150 mg capsule moi</w:t>
            </w:r>
          </w:p>
        </w:tc>
      </w:tr>
      <w:tr w:rsidR="00FA67A2" w:rsidRPr="00220850" w14:paraId="66220462" w14:textId="77777777" w:rsidTr="0013626C">
        <w:trPr>
          <w:trHeight w:val="267"/>
        </w:trPr>
        <w:tc>
          <w:tcPr>
            <w:tcW w:w="1849" w:type="dxa"/>
          </w:tcPr>
          <w:p w14:paraId="7D611E2D" w14:textId="7552B90F" w:rsidR="00FA67A2" w:rsidRPr="00220850" w:rsidRDefault="001F1430">
            <w:pPr>
              <w:tabs>
                <w:tab w:val="left" w:pos="567"/>
              </w:tabs>
              <w:spacing w:line="260" w:lineRule="exact"/>
              <w:rPr>
                <w:sz w:val="22"/>
              </w:rPr>
            </w:pPr>
            <w:proofErr w:type="spellStart"/>
            <w:r w:rsidRPr="00220850">
              <w:rPr>
                <w:sz w:val="22"/>
              </w:rPr>
              <w:t>Švedija</w:t>
            </w:r>
            <w:proofErr w:type="spellEnd"/>
          </w:p>
        </w:tc>
        <w:tc>
          <w:tcPr>
            <w:tcW w:w="6116" w:type="dxa"/>
          </w:tcPr>
          <w:p w14:paraId="11CFA60D" w14:textId="4627B079" w:rsidR="00FA67A2" w:rsidRPr="00220850" w:rsidRDefault="001F1430">
            <w:pPr>
              <w:tabs>
                <w:tab w:val="left" w:pos="567"/>
              </w:tabs>
              <w:spacing w:line="260" w:lineRule="exact"/>
              <w:rPr>
                <w:sz w:val="22"/>
              </w:rPr>
            </w:pPr>
            <w:r w:rsidRPr="00220850">
              <w:rPr>
                <w:sz w:val="22"/>
              </w:rPr>
              <w:t>Nintedanib Teva</w:t>
            </w:r>
          </w:p>
        </w:tc>
      </w:tr>
      <w:tr w:rsidR="00FA67A2" w:rsidRPr="00220850" w14:paraId="4E0B8465" w14:textId="77777777" w:rsidTr="0013626C">
        <w:trPr>
          <w:trHeight w:val="525"/>
        </w:trPr>
        <w:tc>
          <w:tcPr>
            <w:tcW w:w="1849" w:type="dxa"/>
          </w:tcPr>
          <w:p w14:paraId="420EFE44" w14:textId="24330983" w:rsidR="00FA67A2" w:rsidRPr="00220850" w:rsidRDefault="001F1430">
            <w:pPr>
              <w:tabs>
                <w:tab w:val="left" w:pos="567"/>
              </w:tabs>
              <w:spacing w:line="260" w:lineRule="exact"/>
              <w:rPr>
                <w:sz w:val="22"/>
              </w:rPr>
            </w:pPr>
            <w:proofErr w:type="spellStart"/>
            <w:r w:rsidRPr="00220850">
              <w:rPr>
                <w:sz w:val="22"/>
              </w:rPr>
              <w:t>Slovakija</w:t>
            </w:r>
            <w:proofErr w:type="spellEnd"/>
          </w:p>
        </w:tc>
        <w:tc>
          <w:tcPr>
            <w:tcW w:w="6116" w:type="dxa"/>
          </w:tcPr>
          <w:p w14:paraId="23590093" w14:textId="77777777" w:rsidR="001F1430" w:rsidRPr="00220850" w:rsidRDefault="001F1430" w:rsidP="001F1430">
            <w:pPr>
              <w:tabs>
                <w:tab w:val="left" w:pos="567"/>
              </w:tabs>
              <w:spacing w:line="260" w:lineRule="exact"/>
              <w:rPr>
                <w:sz w:val="22"/>
              </w:rPr>
            </w:pPr>
            <w:r w:rsidRPr="00220850">
              <w:rPr>
                <w:sz w:val="22"/>
              </w:rPr>
              <w:t xml:space="preserve">Nintedanib Teva 100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p w14:paraId="543D484D" w14:textId="2877CE23" w:rsidR="00FA67A2" w:rsidRPr="00220850" w:rsidRDefault="001F1430" w:rsidP="001F1430">
            <w:pPr>
              <w:tabs>
                <w:tab w:val="left" w:pos="567"/>
              </w:tabs>
              <w:spacing w:line="260" w:lineRule="exact"/>
              <w:rPr>
                <w:sz w:val="22"/>
              </w:rPr>
            </w:pPr>
            <w:r w:rsidRPr="00220850">
              <w:rPr>
                <w:sz w:val="22"/>
              </w:rPr>
              <w:t xml:space="preserve">Nintedanib Teva 150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tc>
      </w:tr>
    </w:tbl>
    <w:p w14:paraId="02ACB8B0" w14:textId="77777777" w:rsidR="00DE01F8" w:rsidRPr="00220850" w:rsidRDefault="00DE01F8">
      <w:pPr>
        <w:tabs>
          <w:tab w:val="left" w:pos="567"/>
        </w:tabs>
        <w:spacing w:line="260" w:lineRule="exact"/>
        <w:ind w:left="567" w:hanging="567"/>
        <w:rPr>
          <w:sz w:val="22"/>
        </w:rPr>
      </w:pPr>
    </w:p>
    <w:p w14:paraId="3735E4E5" w14:textId="5EDE8DE7" w:rsidR="00DE01F8" w:rsidRPr="00220850" w:rsidRDefault="002D5C8E">
      <w:pPr>
        <w:numPr>
          <w:ilvl w:val="12"/>
          <w:numId w:val="0"/>
        </w:numPr>
        <w:ind w:right="-2"/>
        <w:rPr>
          <w:b/>
          <w:sz w:val="22"/>
        </w:rPr>
      </w:pPr>
      <w:r w:rsidRPr="00220850">
        <w:rPr>
          <w:b/>
          <w:sz w:val="22"/>
        </w:rPr>
        <w:t>Šis pakuotės lapel</w:t>
      </w:r>
      <w:r w:rsidR="00771FE3" w:rsidRPr="00220850">
        <w:rPr>
          <w:b/>
          <w:sz w:val="22"/>
        </w:rPr>
        <w:t>is paskutinį kartą peržiūrėtas</w:t>
      </w:r>
      <w:r w:rsidR="00E77D2F" w:rsidRPr="00220850">
        <w:rPr>
          <w:b/>
          <w:sz w:val="22"/>
        </w:rPr>
        <w:t xml:space="preserve"> 2026-03-27</w:t>
      </w:r>
      <w:r w:rsidR="0035166F" w:rsidRPr="00220850">
        <w:rPr>
          <w:b/>
          <w:sz w:val="22"/>
        </w:rPr>
        <w:t>.</w:t>
      </w:r>
    </w:p>
    <w:p w14:paraId="299AFE6F" w14:textId="77777777" w:rsidR="00DE01F8" w:rsidRPr="00220850" w:rsidRDefault="00DE01F8">
      <w:pPr>
        <w:numPr>
          <w:ilvl w:val="12"/>
          <w:numId w:val="0"/>
        </w:numPr>
        <w:tabs>
          <w:tab w:val="left" w:pos="567"/>
        </w:tabs>
        <w:ind w:right="-2"/>
        <w:rPr>
          <w:i/>
          <w:sz w:val="22"/>
          <w:szCs w:val="24"/>
        </w:rPr>
      </w:pPr>
    </w:p>
    <w:p w14:paraId="71F00F12" w14:textId="7A55A2F9" w:rsidR="00954587" w:rsidRPr="00220850" w:rsidRDefault="00954587" w:rsidP="00296ED8">
      <w:pPr>
        <w:numPr>
          <w:ilvl w:val="12"/>
          <w:numId w:val="0"/>
        </w:numPr>
        <w:ind w:right="-2"/>
        <w:rPr>
          <w:bCs/>
          <w:i/>
          <w:iCs/>
          <w:sz w:val="22"/>
          <w:szCs w:val="24"/>
        </w:rPr>
      </w:pPr>
      <w:r w:rsidRPr="00220850">
        <w:rPr>
          <w:bCs/>
          <w:i/>
          <w:iCs/>
          <w:sz w:val="22"/>
          <w:szCs w:val="24"/>
          <w:highlight w:val="lightGray"/>
        </w:rPr>
        <w:t>QR kodas ir URL</w:t>
      </w:r>
    </w:p>
    <w:p w14:paraId="3A1FBF9E" w14:textId="2D847CFE" w:rsidR="00DE01F8" w:rsidRPr="00220850" w:rsidRDefault="00954587">
      <w:pPr>
        <w:numPr>
          <w:ilvl w:val="12"/>
          <w:numId w:val="0"/>
        </w:numPr>
        <w:ind w:right="-2"/>
        <w:rPr>
          <w:b/>
          <w:sz w:val="22"/>
          <w:szCs w:val="24"/>
        </w:rPr>
      </w:pPr>
      <w:r w:rsidRPr="00220850">
        <w:rPr>
          <w:b/>
          <w:sz w:val="22"/>
          <w:szCs w:val="24"/>
          <w:highlight w:val="lightGray"/>
        </w:rPr>
        <w:t>&lt;</w:t>
      </w:r>
      <w:r w:rsidR="00771FE3" w:rsidRPr="00220850">
        <w:rPr>
          <w:b/>
          <w:sz w:val="22"/>
          <w:szCs w:val="24"/>
          <w:highlight w:val="lightGray"/>
        </w:rPr>
        <w:t>Kiti informacijos šaltiniai</w:t>
      </w:r>
      <w:r w:rsidRPr="00220850">
        <w:rPr>
          <w:b/>
          <w:sz w:val="22"/>
          <w:szCs w:val="24"/>
          <w:highlight w:val="lightGray"/>
        </w:rPr>
        <w:t>&gt;</w:t>
      </w:r>
    </w:p>
    <w:p w14:paraId="0AF9611F" w14:textId="77777777" w:rsidR="00954587" w:rsidRPr="00220850" w:rsidRDefault="00954587" w:rsidP="00954587">
      <w:pPr>
        <w:numPr>
          <w:ilvl w:val="12"/>
          <w:numId w:val="0"/>
        </w:numPr>
        <w:ind w:right="-2"/>
        <w:rPr>
          <w:noProof/>
          <w:sz w:val="22"/>
          <w:szCs w:val="22"/>
          <w:highlight w:val="lightGray"/>
        </w:rPr>
      </w:pPr>
      <w:r w:rsidRPr="00220850">
        <w:rPr>
          <w:noProof/>
          <w:sz w:val="22"/>
          <w:szCs w:val="22"/>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https://vvkt.lrv.lt/lt/.&gt;&gt; </w:t>
      </w:r>
    </w:p>
    <w:p w14:paraId="1C0F9D4F" w14:textId="77777777" w:rsidR="00954587" w:rsidRPr="00220850" w:rsidRDefault="00954587" w:rsidP="00954587">
      <w:pPr>
        <w:numPr>
          <w:ilvl w:val="12"/>
          <w:numId w:val="0"/>
        </w:numPr>
        <w:ind w:right="-2"/>
        <w:rPr>
          <w:noProof/>
          <w:sz w:val="22"/>
          <w:szCs w:val="22"/>
        </w:rPr>
      </w:pPr>
      <w:r w:rsidRPr="00220850">
        <w:rPr>
          <w:noProof/>
          <w:sz w:val="22"/>
          <w:szCs w:val="22"/>
          <w:highlight w:val="lightGray"/>
        </w:rPr>
        <w:t>&lt;{QR kodas}&gt; &lt;{kitas 2D barkodas}&gt; &lt;{NFC}&gt;</w:t>
      </w:r>
    </w:p>
    <w:p w14:paraId="1E129846" w14:textId="77777777" w:rsidR="00954587" w:rsidRPr="00220850" w:rsidRDefault="00954587" w:rsidP="00954587">
      <w:pPr>
        <w:numPr>
          <w:ilvl w:val="12"/>
          <w:numId w:val="0"/>
        </w:numPr>
        <w:ind w:right="-2"/>
        <w:rPr>
          <w:noProof/>
          <w:sz w:val="22"/>
          <w:szCs w:val="22"/>
          <w:highlight w:val="yellow"/>
        </w:rPr>
      </w:pPr>
    </w:p>
    <w:p w14:paraId="4A686E3A" w14:textId="77777777" w:rsidR="00954587" w:rsidRPr="00220850" w:rsidRDefault="00954587" w:rsidP="00954587">
      <w:pPr>
        <w:numPr>
          <w:ilvl w:val="12"/>
          <w:numId w:val="0"/>
        </w:numPr>
        <w:tabs>
          <w:tab w:val="left" w:pos="567"/>
        </w:tabs>
        <w:ind w:right="-2"/>
        <w:rPr>
          <w:i/>
          <w:sz w:val="22"/>
          <w:szCs w:val="24"/>
          <w:highlight w:val="lightGray"/>
        </w:rPr>
      </w:pPr>
      <w:r w:rsidRPr="00220850">
        <w:rPr>
          <w:i/>
          <w:sz w:val="22"/>
          <w:szCs w:val="24"/>
          <w:highlight w:val="lightGray"/>
        </w:rPr>
        <w:t>Tik URL</w:t>
      </w:r>
    </w:p>
    <w:p w14:paraId="235974C6" w14:textId="77777777" w:rsidR="00954587" w:rsidRPr="00220850" w:rsidRDefault="00954587" w:rsidP="00954587">
      <w:pPr>
        <w:numPr>
          <w:ilvl w:val="12"/>
          <w:numId w:val="0"/>
        </w:numPr>
        <w:tabs>
          <w:tab w:val="left" w:pos="567"/>
        </w:tabs>
        <w:ind w:right="-2"/>
        <w:rPr>
          <w:b/>
          <w:bCs/>
          <w:iCs/>
          <w:sz w:val="22"/>
          <w:szCs w:val="24"/>
          <w:highlight w:val="lightGray"/>
        </w:rPr>
      </w:pPr>
      <w:r w:rsidRPr="00220850">
        <w:rPr>
          <w:b/>
          <w:bCs/>
          <w:iCs/>
          <w:sz w:val="22"/>
          <w:szCs w:val="24"/>
          <w:highlight w:val="lightGray"/>
        </w:rPr>
        <w:t>&lt;Kiti informacijos šaltiniai&gt;</w:t>
      </w:r>
    </w:p>
    <w:p w14:paraId="39E19145" w14:textId="77777777" w:rsidR="00954587" w:rsidRPr="00220850" w:rsidRDefault="00954587" w:rsidP="00954587">
      <w:pPr>
        <w:numPr>
          <w:ilvl w:val="12"/>
          <w:numId w:val="0"/>
        </w:numPr>
        <w:tabs>
          <w:tab w:val="left" w:pos="567"/>
        </w:tabs>
        <w:ind w:right="-2"/>
        <w:rPr>
          <w:iCs/>
          <w:sz w:val="22"/>
          <w:szCs w:val="24"/>
        </w:rPr>
      </w:pPr>
      <w:r w:rsidRPr="00220850">
        <w:rPr>
          <w:iCs/>
          <w:sz w:val="22"/>
          <w:szCs w:val="24"/>
          <w:highlight w:val="lightGray"/>
        </w:rPr>
        <w:t>&lt;Naujausią patvirtintą informaciją apie šį vaistą rasite šiuo URL: {URL} &lt;ir Valstybinės vaistų kontrolės tarnybos prie Lietuvos Respublikos sveikatos apsaugos ministerijos tinklalapyje https://vvkt.lrv.lt/lt/.&gt;&gt;</w:t>
      </w:r>
    </w:p>
    <w:p w14:paraId="6F06DB53" w14:textId="77777777" w:rsidR="00DE01F8" w:rsidRPr="00220850" w:rsidRDefault="00DE01F8">
      <w:pPr>
        <w:numPr>
          <w:ilvl w:val="12"/>
          <w:numId w:val="0"/>
        </w:numPr>
        <w:tabs>
          <w:tab w:val="left" w:pos="567"/>
        </w:tabs>
        <w:ind w:right="-2"/>
        <w:rPr>
          <w:i/>
          <w:sz w:val="22"/>
          <w:szCs w:val="24"/>
        </w:rPr>
      </w:pPr>
    </w:p>
    <w:p w14:paraId="7518F191" w14:textId="18E936EE" w:rsidR="00DE01F8" w:rsidRPr="00220850" w:rsidRDefault="002D5C8E">
      <w:pPr>
        <w:numPr>
          <w:ilvl w:val="12"/>
          <w:numId w:val="0"/>
        </w:numPr>
        <w:tabs>
          <w:tab w:val="left" w:pos="567"/>
        </w:tabs>
        <w:ind w:right="-2"/>
        <w:rPr>
          <w:sz w:val="22"/>
        </w:rPr>
      </w:pPr>
      <w:r w:rsidRPr="00220850">
        <w:rPr>
          <w:sz w:val="22"/>
        </w:rPr>
        <w:t xml:space="preserve">Išsami informacija apie šį </w:t>
      </w:r>
      <w:r w:rsidRPr="00220850">
        <w:rPr>
          <w:sz w:val="22"/>
          <w:szCs w:val="24"/>
        </w:rPr>
        <w:t>vaistą</w:t>
      </w:r>
      <w:r w:rsidRPr="00220850">
        <w:rPr>
          <w:sz w:val="22"/>
        </w:rPr>
        <w:t xml:space="preserve"> pateikiama Valstybinės vaistų kontrolės tarnybos prie Lietuvos Respublikos sveikatos apsaugos ministerijos tinklalapyje</w:t>
      </w:r>
      <w:r w:rsidR="00954587" w:rsidRPr="00220850">
        <w:rPr>
          <w:sz w:val="22"/>
        </w:rPr>
        <w:t xml:space="preserve"> https://vvkt.lrv.lt/lt/.</w:t>
      </w:r>
    </w:p>
    <w:p w14:paraId="58F82F9A" w14:textId="77777777" w:rsidR="00771FE3" w:rsidRPr="00220850" w:rsidRDefault="00771FE3">
      <w:pPr>
        <w:numPr>
          <w:ilvl w:val="12"/>
          <w:numId w:val="0"/>
        </w:numPr>
        <w:tabs>
          <w:tab w:val="left" w:pos="567"/>
        </w:tabs>
        <w:ind w:right="-2"/>
        <w:rPr>
          <w:sz w:val="22"/>
        </w:rPr>
      </w:pPr>
    </w:p>
    <w:p w14:paraId="4446FE63" w14:textId="77777777" w:rsidR="00541EF7" w:rsidRPr="00220850" w:rsidRDefault="00541EF7">
      <w:pPr>
        <w:numPr>
          <w:ilvl w:val="12"/>
          <w:numId w:val="0"/>
        </w:numPr>
        <w:tabs>
          <w:tab w:val="left" w:pos="567"/>
        </w:tabs>
        <w:ind w:right="-2"/>
        <w:rPr>
          <w:sz w:val="22"/>
          <w:szCs w:val="24"/>
        </w:rPr>
      </w:pPr>
    </w:p>
    <w:p w14:paraId="7299F4D4" w14:textId="77777777" w:rsidR="00771FE3" w:rsidRPr="00220850" w:rsidRDefault="00771FE3">
      <w:pPr>
        <w:numPr>
          <w:ilvl w:val="12"/>
          <w:numId w:val="0"/>
        </w:numPr>
        <w:tabs>
          <w:tab w:val="left" w:pos="567"/>
        </w:tabs>
        <w:ind w:right="-2"/>
        <w:rPr>
          <w:sz w:val="22"/>
          <w:szCs w:val="24"/>
        </w:rPr>
      </w:pPr>
    </w:p>
    <w:p w14:paraId="2AC757F9" w14:textId="77777777" w:rsidR="00771FE3" w:rsidRPr="00220850" w:rsidRDefault="00771FE3">
      <w:pPr>
        <w:numPr>
          <w:ilvl w:val="12"/>
          <w:numId w:val="0"/>
        </w:numPr>
        <w:tabs>
          <w:tab w:val="left" w:pos="567"/>
        </w:tabs>
        <w:ind w:right="-2"/>
        <w:rPr>
          <w:sz w:val="22"/>
          <w:szCs w:val="24"/>
        </w:rPr>
      </w:pPr>
    </w:p>
    <w:p w14:paraId="681DF371" w14:textId="6F8EE623" w:rsidR="00771FE3" w:rsidRPr="00220850" w:rsidRDefault="00771FE3" w:rsidP="00771FE3">
      <w:pPr>
        <w:keepNext/>
        <w:tabs>
          <w:tab w:val="left" w:pos="567"/>
        </w:tabs>
        <w:jc w:val="center"/>
        <w:outlineLvl w:val="1"/>
        <w:rPr>
          <w:b/>
          <w:sz w:val="22"/>
          <w:szCs w:val="24"/>
          <w:lang w:eastAsia="x-none"/>
        </w:rPr>
      </w:pPr>
      <w:r w:rsidRPr="00220850">
        <w:rPr>
          <w:b/>
          <w:bCs/>
          <w:iCs/>
          <w:sz w:val="22"/>
          <w:szCs w:val="28"/>
          <w:lang w:eastAsia="x-none"/>
        </w:rPr>
        <w:t>Pakuotės lapelis:</w:t>
      </w:r>
      <w:r w:rsidRPr="00220850">
        <w:rPr>
          <w:b/>
          <w:sz w:val="22"/>
          <w:szCs w:val="24"/>
          <w:lang w:eastAsia="x-none"/>
        </w:rPr>
        <w:t xml:space="preserve"> </w:t>
      </w:r>
      <w:r w:rsidRPr="00220850">
        <w:rPr>
          <w:b/>
          <w:bCs/>
          <w:iCs/>
          <w:sz w:val="22"/>
          <w:szCs w:val="28"/>
          <w:lang w:eastAsia="x-none"/>
        </w:rPr>
        <w:t>informacija pacientui</w:t>
      </w:r>
    </w:p>
    <w:p w14:paraId="6011302F" w14:textId="77777777" w:rsidR="00771FE3" w:rsidRPr="00220850" w:rsidRDefault="00771FE3" w:rsidP="00771FE3">
      <w:pPr>
        <w:numPr>
          <w:ilvl w:val="12"/>
          <w:numId w:val="0"/>
        </w:numPr>
        <w:jc w:val="center"/>
        <w:rPr>
          <w:sz w:val="22"/>
          <w:szCs w:val="24"/>
        </w:rPr>
      </w:pPr>
    </w:p>
    <w:p w14:paraId="0E7257C4" w14:textId="77777777" w:rsidR="00771FE3" w:rsidRPr="00220850" w:rsidRDefault="00771FE3" w:rsidP="00771FE3">
      <w:pPr>
        <w:shd w:val="clear" w:color="auto" w:fill="FFFFFF"/>
        <w:jc w:val="center"/>
        <w:rPr>
          <w:b/>
          <w:sz w:val="22"/>
          <w:szCs w:val="22"/>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150 mg minkštosios kapsulės</w:t>
      </w:r>
    </w:p>
    <w:p w14:paraId="539DA1C4" w14:textId="77777777" w:rsidR="00771FE3" w:rsidRPr="00220850" w:rsidRDefault="00771FE3" w:rsidP="00771FE3">
      <w:pPr>
        <w:shd w:val="clear" w:color="auto" w:fill="FFFFFF"/>
        <w:jc w:val="center"/>
        <w:rPr>
          <w:sz w:val="22"/>
          <w:szCs w:val="22"/>
        </w:rPr>
      </w:pPr>
      <w:proofErr w:type="spellStart"/>
      <w:r w:rsidRPr="00220850">
        <w:rPr>
          <w:sz w:val="22"/>
          <w:szCs w:val="22"/>
        </w:rPr>
        <w:t>nintedanibas</w:t>
      </w:r>
      <w:proofErr w:type="spellEnd"/>
    </w:p>
    <w:p w14:paraId="6153B272" w14:textId="77777777" w:rsidR="00771FE3" w:rsidRPr="00220850" w:rsidRDefault="00771FE3" w:rsidP="00771FE3">
      <w:pPr>
        <w:tabs>
          <w:tab w:val="left" w:pos="567"/>
        </w:tabs>
        <w:spacing w:line="260" w:lineRule="exact"/>
        <w:rPr>
          <w:sz w:val="22"/>
          <w:szCs w:val="24"/>
        </w:rPr>
      </w:pPr>
    </w:p>
    <w:p w14:paraId="62F19BE0" w14:textId="77777777" w:rsidR="00771FE3" w:rsidRPr="00220850" w:rsidRDefault="00771FE3" w:rsidP="00771FE3">
      <w:pPr>
        <w:suppressAutoHyphens/>
        <w:ind w:left="142" w:hanging="142"/>
        <w:rPr>
          <w:sz w:val="22"/>
          <w:szCs w:val="24"/>
        </w:rPr>
      </w:pPr>
      <w:r w:rsidRPr="00220850">
        <w:rPr>
          <w:b/>
          <w:sz w:val="22"/>
          <w:szCs w:val="24"/>
        </w:rPr>
        <w:t>Atidžiai perskaitykite visą šį lapelį, prieš pradėdami vartoti vaistą, nes jame pateikiama Jums svarbi informacija.</w:t>
      </w:r>
    </w:p>
    <w:p w14:paraId="69F5BFC2" w14:textId="77777777" w:rsidR="00771FE3" w:rsidRPr="00220850" w:rsidRDefault="00771FE3" w:rsidP="00771FE3">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Neišmeskite šio lapelio, nes vėl gali prireikti jį perskaityti. </w:t>
      </w:r>
    </w:p>
    <w:p w14:paraId="13CA5816" w14:textId="77777777" w:rsidR="00771FE3" w:rsidRPr="00220850" w:rsidRDefault="00771FE3" w:rsidP="00771FE3">
      <w:pPr>
        <w:tabs>
          <w:tab w:val="left" w:pos="567"/>
        </w:tabs>
        <w:spacing w:line="260" w:lineRule="exact"/>
        <w:ind w:left="567" w:right="-2" w:hanging="567"/>
        <w:rPr>
          <w:sz w:val="22"/>
          <w:szCs w:val="24"/>
        </w:rPr>
      </w:pPr>
      <w:r w:rsidRPr="00220850">
        <w:rPr>
          <w:sz w:val="22"/>
          <w:szCs w:val="24"/>
        </w:rPr>
        <w:t>-</w:t>
      </w:r>
      <w:r w:rsidRPr="00220850">
        <w:rPr>
          <w:sz w:val="22"/>
          <w:szCs w:val="24"/>
        </w:rPr>
        <w:tab/>
        <w:t>Jeigu kiltų daugiau klausimų, kreipkitės į gydytoją arba vaistininką.</w:t>
      </w:r>
    </w:p>
    <w:p w14:paraId="54A1F8F7" w14:textId="77777777" w:rsidR="00771FE3" w:rsidRPr="00220850" w:rsidRDefault="00771FE3" w:rsidP="00771FE3">
      <w:pPr>
        <w:tabs>
          <w:tab w:val="left" w:pos="567"/>
        </w:tabs>
        <w:ind w:left="567" w:right="-2" w:hanging="567"/>
        <w:rPr>
          <w:sz w:val="22"/>
          <w:szCs w:val="24"/>
        </w:rPr>
      </w:pPr>
      <w:r w:rsidRPr="00220850">
        <w:rPr>
          <w:sz w:val="22"/>
          <w:szCs w:val="24"/>
        </w:rPr>
        <w:t>-</w:t>
      </w:r>
      <w:r w:rsidRPr="00220850">
        <w:rPr>
          <w:sz w:val="22"/>
          <w:szCs w:val="24"/>
        </w:rPr>
        <w:tab/>
        <w:t>Šis vaistas skirtas tik Jums, todėl kitiems žmonėms jo duoti negalima. Vaistas gali jiems pakenkti (net tiems, kurių ligos požymiai yra tokie patys kaip Jūsų).</w:t>
      </w:r>
    </w:p>
    <w:p w14:paraId="64D905AD" w14:textId="77777777" w:rsidR="00771FE3" w:rsidRPr="00220850" w:rsidRDefault="00771FE3" w:rsidP="00771FE3">
      <w:pPr>
        <w:tabs>
          <w:tab w:val="left" w:pos="567"/>
        </w:tabs>
        <w:spacing w:line="260" w:lineRule="exact"/>
        <w:ind w:left="567" w:hanging="567"/>
        <w:rPr>
          <w:sz w:val="22"/>
          <w:szCs w:val="24"/>
        </w:rPr>
      </w:pPr>
      <w:r w:rsidRPr="00220850">
        <w:rPr>
          <w:sz w:val="22"/>
          <w:szCs w:val="24"/>
        </w:rPr>
        <w:t>-</w:t>
      </w:r>
      <w:r w:rsidRPr="00220850">
        <w:rPr>
          <w:sz w:val="22"/>
          <w:szCs w:val="24"/>
        </w:rPr>
        <w:tab/>
        <w:t>Jeigu pasireiškė šalutinis poveikis (net jeigu jis šiame lapelyje nenurodytas), kreipkitės į gydytoją arba vaistininką arba slaugytoją. Žr. 4 skyrių.</w:t>
      </w:r>
    </w:p>
    <w:p w14:paraId="74BBB7E7" w14:textId="77777777" w:rsidR="00771FE3" w:rsidRPr="00220850" w:rsidRDefault="00771FE3" w:rsidP="00771FE3">
      <w:pPr>
        <w:ind w:right="-2"/>
        <w:rPr>
          <w:sz w:val="22"/>
          <w:szCs w:val="24"/>
        </w:rPr>
      </w:pPr>
    </w:p>
    <w:p w14:paraId="608B14FF"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Apie ką rašoma šiame lapelyje?</w:t>
      </w:r>
    </w:p>
    <w:p w14:paraId="52B1730C" w14:textId="77777777" w:rsidR="00771FE3" w:rsidRPr="00220850" w:rsidRDefault="00771FE3" w:rsidP="00771FE3">
      <w:pPr>
        <w:numPr>
          <w:ilvl w:val="12"/>
          <w:numId w:val="0"/>
        </w:numPr>
        <w:ind w:left="284" w:right="-2"/>
        <w:rPr>
          <w:sz w:val="22"/>
          <w:szCs w:val="24"/>
        </w:rPr>
      </w:pPr>
    </w:p>
    <w:p w14:paraId="7C976939" w14:textId="77777777" w:rsidR="00771FE3" w:rsidRPr="00220850" w:rsidRDefault="00771FE3" w:rsidP="00771FE3">
      <w:pPr>
        <w:numPr>
          <w:ilvl w:val="12"/>
          <w:numId w:val="0"/>
        </w:numPr>
        <w:tabs>
          <w:tab w:val="left" w:pos="709"/>
        </w:tabs>
        <w:ind w:right="-2"/>
        <w:rPr>
          <w:sz w:val="22"/>
          <w:szCs w:val="24"/>
        </w:rPr>
      </w:pPr>
      <w:r w:rsidRPr="00220850">
        <w:rPr>
          <w:sz w:val="22"/>
          <w:szCs w:val="24"/>
        </w:rPr>
        <w:t>1.</w:t>
      </w:r>
      <w:r w:rsidRPr="00220850">
        <w:rPr>
          <w:sz w:val="22"/>
          <w:szCs w:val="24"/>
        </w:rPr>
        <w:tab/>
      </w:r>
      <w:r w:rsidRPr="00220850">
        <w:rPr>
          <w:sz w:val="22"/>
        </w:rPr>
        <w:t xml:space="preserve">Kas yra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rPr>
        <w:t xml:space="preserve"> ir kam jis vartojamas</w:t>
      </w:r>
      <w:r w:rsidRPr="00220850">
        <w:rPr>
          <w:sz w:val="22"/>
          <w:szCs w:val="24"/>
        </w:rPr>
        <w:t xml:space="preserve"> </w:t>
      </w:r>
    </w:p>
    <w:p w14:paraId="57ACB60D" w14:textId="77777777" w:rsidR="00771FE3" w:rsidRPr="00220850" w:rsidRDefault="00771FE3" w:rsidP="00771FE3">
      <w:pPr>
        <w:numPr>
          <w:ilvl w:val="12"/>
          <w:numId w:val="0"/>
        </w:numPr>
        <w:tabs>
          <w:tab w:val="left" w:pos="709"/>
        </w:tabs>
        <w:ind w:right="-2"/>
        <w:rPr>
          <w:sz w:val="22"/>
          <w:szCs w:val="24"/>
        </w:rPr>
      </w:pPr>
      <w:r w:rsidRPr="00220850">
        <w:rPr>
          <w:sz w:val="22"/>
          <w:szCs w:val="24"/>
        </w:rPr>
        <w:t>2.</w:t>
      </w:r>
      <w:r w:rsidRPr="00220850">
        <w:rPr>
          <w:sz w:val="22"/>
          <w:szCs w:val="24"/>
        </w:rPr>
        <w:tab/>
        <w:t xml:space="preserve">Kas žinotina prieš vartojant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17D104CA" w14:textId="77777777" w:rsidR="00771FE3" w:rsidRPr="00220850" w:rsidRDefault="00771FE3" w:rsidP="00771FE3">
      <w:pPr>
        <w:numPr>
          <w:ilvl w:val="12"/>
          <w:numId w:val="0"/>
        </w:numPr>
        <w:tabs>
          <w:tab w:val="left" w:pos="709"/>
        </w:tabs>
        <w:ind w:right="-2"/>
        <w:rPr>
          <w:sz w:val="22"/>
          <w:szCs w:val="24"/>
        </w:rPr>
      </w:pPr>
      <w:r w:rsidRPr="00220850">
        <w:rPr>
          <w:sz w:val="22"/>
          <w:szCs w:val="24"/>
        </w:rPr>
        <w:t>3.</w:t>
      </w:r>
      <w:r w:rsidRPr="00220850">
        <w:rPr>
          <w:sz w:val="22"/>
          <w:szCs w:val="24"/>
        </w:rPr>
        <w:tab/>
        <w:t xml:space="preserve">Kaip vartoti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48B17AB8" w14:textId="77777777" w:rsidR="00771FE3" w:rsidRPr="00220850" w:rsidRDefault="00771FE3" w:rsidP="00771FE3">
      <w:pPr>
        <w:numPr>
          <w:ilvl w:val="12"/>
          <w:numId w:val="0"/>
        </w:numPr>
        <w:tabs>
          <w:tab w:val="left" w:pos="709"/>
        </w:tabs>
        <w:ind w:right="-2"/>
        <w:rPr>
          <w:sz w:val="22"/>
          <w:szCs w:val="24"/>
        </w:rPr>
      </w:pPr>
      <w:r w:rsidRPr="00220850">
        <w:rPr>
          <w:sz w:val="22"/>
          <w:szCs w:val="24"/>
        </w:rPr>
        <w:t>4.</w:t>
      </w:r>
      <w:r w:rsidRPr="00220850">
        <w:rPr>
          <w:sz w:val="22"/>
          <w:szCs w:val="24"/>
        </w:rPr>
        <w:tab/>
      </w:r>
      <w:r w:rsidRPr="00220850">
        <w:rPr>
          <w:sz w:val="22"/>
        </w:rPr>
        <w:t>Galimas šalutinis poveikis</w:t>
      </w:r>
      <w:r w:rsidRPr="00220850">
        <w:rPr>
          <w:sz w:val="22"/>
          <w:szCs w:val="24"/>
        </w:rPr>
        <w:t xml:space="preserve"> </w:t>
      </w:r>
    </w:p>
    <w:p w14:paraId="5BBDCDAB" w14:textId="77777777" w:rsidR="00771FE3" w:rsidRPr="00220850" w:rsidRDefault="00771FE3" w:rsidP="00771FE3">
      <w:pPr>
        <w:numPr>
          <w:ilvl w:val="12"/>
          <w:numId w:val="0"/>
        </w:numPr>
        <w:tabs>
          <w:tab w:val="left" w:pos="709"/>
        </w:tabs>
        <w:ind w:right="-2"/>
        <w:rPr>
          <w:sz w:val="22"/>
          <w:szCs w:val="24"/>
        </w:rPr>
      </w:pPr>
      <w:r w:rsidRPr="00220850">
        <w:rPr>
          <w:sz w:val="22"/>
          <w:szCs w:val="24"/>
        </w:rPr>
        <w:t>5.</w:t>
      </w:r>
      <w:r w:rsidRPr="00220850">
        <w:rPr>
          <w:sz w:val="22"/>
          <w:szCs w:val="24"/>
        </w:rPr>
        <w:tab/>
      </w:r>
      <w:r w:rsidRPr="00220850">
        <w:rPr>
          <w:sz w:val="22"/>
        </w:rPr>
        <w:t xml:space="preserve">Kaip laikyti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1B87F762" w14:textId="77777777" w:rsidR="00771FE3" w:rsidRPr="00220850" w:rsidRDefault="00771FE3" w:rsidP="00771FE3">
      <w:pPr>
        <w:numPr>
          <w:ilvl w:val="12"/>
          <w:numId w:val="0"/>
        </w:numPr>
        <w:tabs>
          <w:tab w:val="left" w:pos="709"/>
        </w:tabs>
        <w:ind w:right="-2"/>
        <w:rPr>
          <w:sz w:val="22"/>
          <w:szCs w:val="24"/>
        </w:rPr>
      </w:pPr>
      <w:r w:rsidRPr="00220850">
        <w:rPr>
          <w:sz w:val="22"/>
          <w:szCs w:val="24"/>
        </w:rPr>
        <w:t>6.</w:t>
      </w:r>
      <w:r w:rsidRPr="00220850">
        <w:rPr>
          <w:sz w:val="22"/>
          <w:szCs w:val="24"/>
        </w:rPr>
        <w:tab/>
        <w:t>Pakuotės turinys ir kita informacija</w:t>
      </w:r>
    </w:p>
    <w:p w14:paraId="4A2A3169" w14:textId="77777777" w:rsidR="00771FE3" w:rsidRPr="00220850" w:rsidRDefault="00771FE3" w:rsidP="00771FE3">
      <w:pPr>
        <w:numPr>
          <w:ilvl w:val="12"/>
          <w:numId w:val="0"/>
        </w:numPr>
        <w:ind w:right="-2"/>
        <w:rPr>
          <w:sz w:val="22"/>
          <w:szCs w:val="24"/>
        </w:rPr>
      </w:pPr>
    </w:p>
    <w:p w14:paraId="4FB65592" w14:textId="77777777" w:rsidR="00771FE3" w:rsidRPr="00220850" w:rsidRDefault="00771FE3" w:rsidP="00771FE3">
      <w:pPr>
        <w:numPr>
          <w:ilvl w:val="12"/>
          <w:numId w:val="0"/>
        </w:numPr>
        <w:ind w:right="-2"/>
        <w:rPr>
          <w:sz w:val="22"/>
          <w:szCs w:val="24"/>
        </w:rPr>
      </w:pPr>
    </w:p>
    <w:p w14:paraId="20FDA65F"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1.</w:t>
      </w:r>
      <w:r w:rsidRPr="00220850">
        <w:rPr>
          <w:b/>
          <w:bCs/>
          <w:sz w:val="22"/>
          <w:szCs w:val="28"/>
          <w:lang w:eastAsia="x-none"/>
        </w:rPr>
        <w:tab/>
        <w:t xml:space="preserve">Kas yra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8"/>
          <w:lang w:eastAsia="x-none"/>
        </w:rPr>
        <w:t xml:space="preserve"> ir kam jis vartojamas</w:t>
      </w:r>
    </w:p>
    <w:p w14:paraId="3DE4464E" w14:textId="77777777" w:rsidR="00771FE3" w:rsidRPr="00220850" w:rsidRDefault="00771FE3" w:rsidP="00771FE3">
      <w:pPr>
        <w:numPr>
          <w:ilvl w:val="12"/>
          <w:numId w:val="0"/>
        </w:numPr>
        <w:ind w:right="-2"/>
        <w:rPr>
          <w:sz w:val="22"/>
          <w:szCs w:val="24"/>
        </w:rPr>
      </w:pPr>
    </w:p>
    <w:p w14:paraId="7969F639" w14:textId="763E955D" w:rsidR="00771FE3" w:rsidRPr="00220850" w:rsidRDefault="00771FE3" w:rsidP="00771FE3">
      <w:pPr>
        <w:autoSpaceDE w:val="0"/>
        <w:autoSpaceDN w:val="0"/>
        <w:adjustRightInd w:val="0"/>
        <w:rPr>
          <w:rFonts w:eastAsia="TimesNewRoman"/>
          <w:sz w:val="22"/>
          <w:szCs w:val="22"/>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sudėtyje yra veiklio</w:t>
      </w:r>
      <w:r w:rsidR="001F1430" w:rsidRPr="00220850">
        <w:rPr>
          <w:rFonts w:eastAsia="TimesNewRoman"/>
          <w:sz w:val="22"/>
          <w:szCs w:val="22"/>
        </w:rPr>
        <w:t>sios</w:t>
      </w:r>
      <w:r w:rsidRPr="00220850">
        <w:rPr>
          <w:rFonts w:eastAsia="TimesNewRoman"/>
          <w:sz w:val="22"/>
          <w:szCs w:val="22"/>
        </w:rPr>
        <w:t xml:space="preserve"> medžiag</w:t>
      </w:r>
      <w:r w:rsidR="001F1430" w:rsidRPr="00220850">
        <w:rPr>
          <w:rFonts w:eastAsia="TimesNewRoman"/>
          <w:sz w:val="22"/>
          <w:szCs w:val="22"/>
        </w:rPr>
        <w:t>os</w:t>
      </w:r>
      <w:r w:rsidRPr="00220850">
        <w:rPr>
          <w:rFonts w:eastAsia="TimesNewRoman"/>
          <w:sz w:val="22"/>
          <w:szCs w:val="22"/>
        </w:rPr>
        <w:t xml:space="preserve"> </w:t>
      </w:r>
      <w:proofErr w:type="spellStart"/>
      <w:r w:rsidRPr="00220850">
        <w:rPr>
          <w:rFonts w:eastAsia="TimesNewRoman"/>
          <w:sz w:val="22"/>
          <w:szCs w:val="22"/>
        </w:rPr>
        <w:t>nintedanib</w:t>
      </w:r>
      <w:r w:rsidR="001F1430" w:rsidRPr="00220850">
        <w:rPr>
          <w:rFonts w:eastAsia="TimesNewRoman"/>
          <w:sz w:val="22"/>
          <w:szCs w:val="22"/>
        </w:rPr>
        <w:t>o</w:t>
      </w:r>
      <w:proofErr w:type="spellEnd"/>
      <w:r w:rsidRPr="00220850">
        <w:rPr>
          <w:rFonts w:eastAsia="TimesNewRoman"/>
          <w:sz w:val="22"/>
          <w:szCs w:val="22"/>
        </w:rPr>
        <w:t xml:space="preserve"> – vaist</w:t>
      </w:r>
      <w:r w:rsidR="001F1430" w:rsidRPr="00220850">
        <w:rPr>
          <w:rFonts w:eastAsia="TimesNewRoman"/>
          <w:sz w:val="22"/>
          <w:szCs w:val="22"/>
        </w:rPr>
        <w:t>o</w:t>
      </w:r>
      <w:r w:rsidRPr="00220850">
        <w:rPr>
          <w:rFonts w:eastAsia="TimesNewRoman"/>
          <w:sz w:val="22"/>
          <w:szCs w:val="22"/>
        </w:rPr>
        <w:t>, priklausan</w:t>
      </w:r>
      <w:r w:rsidR="001F1430" w:rsidRPr="00220850">
        <w:rPr>
          <w:rFonts w:eastAsia="TimesNewRoman"/>
          <w:sz w:val="22"/>
          <w:szCs w:val="22"/>
        </w:rPr>
        <w:t>čio</w:t>
      </w:r>
      <w:r w:rsidRPr="00220850">
        <w:rPr>
          <w:rFonts w:eastAsia="TimesNewRoman"/>
          <w:sz w:val="22"/>
          <w:szCs w:val="22"/>
        </w:rPr>
        <w:t xml:space="preserve"> vadinamųjų </w:t>
      </w:r>
      <w:proofErr w:type="spellStart"/>
      <w:r w:rsidRPr="00220850">
        <w:rPr>
          <w:rFonts w:eastAsia="TimesNewRoman"/>
          <w:sz w:val="22"/>
          <w:szCs w:val="22"/>
        </w:rPr>
        <w:t>tirozino</w:t>
      </w:r>
      <w:proofErr w:type="spellEnd"/>
      <w:r w:rsidRPr="00220850">
        <w:rPr>
          <w:rFonts w:eastAsia="TimesNewRoman"/>
          <w:sz w:val="22"/>
          <w:szCs w:val="22"/>
        </w:rPr>
        <w:t xml:space="preserve"> </w:t>
      </w:r>
      <w:proofErr w:type="spellStart"/>
      <w:r w:rsidRPr="00220850">
        <w:rPr>
          <w:rFonts w:eastAsia="TimesNewRoman"/>
          <w:sz w:val="22"/>
          <w:szCs w:val="22"/>
        </w:rPr>
        <w:t>kinazės</w:t>
      </w:r>
      <w:proofErr w:type="spellEnd"/>
      <w:r w:rsidRPr="00220850">
        <w:rPr>
          <w:rFonts w:eastAsia="TimesNewRoman"/>
          <w:sz w:val="22"/>
          <w:szCs w:val="22"/>
        </w:rPr>
        <w:t xml:space="preserve"> inhibitorių klasei. Jis vartojamas </w:t>
      </w:r>
      <w:r w:rsidR="001B1F53" w:rsidRPr="00220850">
        <w:rPr>
          <w:rFonts w:eastAsia="TimesNewRoman"/>
          <w:sz w:val="22"/>
          <w:szCs w:val="22"/>
        </w:rPr>
        <w:t xml:space="preserve">toliau nurodytoms ligoms gydyti. </w:t>
      </w:r>
    </w:p>
    <w:p w14:paraId="7117EB61" w14:textId="77777777" w:rsidR="00771FE3" w:rsidRPr="00220850" w:rsidRDefault="00771FE3" w:rsidP="00771FE3">
      <w:pPr>
        <w:autoSpaceDE w:val="0"/>
        <w:autoSpaceDN w:val="0"/>
        <w:adjustRightInd w:val="0"/>
        <w:rPr>
          <w:rFonts w:eastAsia="TimesNewRoman"/>
          <w:sz w:val="22"/>
          <w:szCs w:val="22"/>
        </w:rPr>
      </w:pPr>
    </w:p>
    <w:p w14:paraId="3DADE00D" w14:textId="59F4F5A3" w:rsidR="00771FE3" w:rsidRPr="00220850" w:rsidRDefault="001B1F53" w:rsidP="00771FE3">
      <w:pPr>
        <w:autoSpaceDE w:val="0"/>
        <w:autoSpaceDN w:val="0"/>
        <w:adjustRightInd w:val="0"/>
        <w:rPr>
          <w:rFonts w:eastAsia="TimesNewRoman"/>
          <w:sz w:val="22"/>
          <w:szCs w:val="22"/>
          <w:u w:val="single"/>
        </w:rPr>
      </w:pPr>
      <w:r w:rsidRPr="00220850">
        <w:rPr>
          <w:rFonts w:eastAsia="TimesNewRoman"/>
          <w:sz w:val="22"/>
          <w:szCs w:val="22"/>
          <w:u w:val="single"/>
        </w:rPr>
        <w:t>Suaugusiųjų i</w:t>
      </w:r>
      <w:r w:rsidR="00771FE3" w:rsidRPr="00220850">
        <w:rPr>
          <w:rFonts w:eastAsia="TimesNewRoman"/>
          <w:sz w:val="22"/>
          <w:szCs w:val="22"/>
          <w:u w:val="single"/>
        </w:rPr>
        <w:t>diopatinė plaučių fibrozė (IPF)</w:t>
      </w:r>
    </w:p>
    <w:p w14:paraId="52791748"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IPF yra būklė, kurios metu plaučių audinys sustorėja, sustandėja ir laikui bėgant surandėja. Dėl randėjimo sumažėja plaučių gebėjimas pernešti deguonį iš plaučių į kraują</w:t>
      </w:r>
      <w:r w:rsidR="00E06932" w:rsidRPr="00220850">
        <w:rPr>
          <w:rFonts w:eastAsia="TimesNewRoman"/>
          <w:sz w:val="22"/>
          <w:szCs w:val="22"/>
        </w:rPr>
        <w:t xml:space="preserve"> ir</w:t>
      </w:r>
      <w:r w:rsidRPr="00220850">
        <w:rPr>
          <w:rFonts w:eastAsia="TimesNewRoman"/>
          <w:sz w:val="22"/>
          <w:szCs w:val="22"/>
        </w:rPr>
        <w:t xml:space="preserve"> tampa sunku giliai kvėpuoti. Šis vaistas padeda sumažinti tolesnį plaučių randėjimą ir standėjimą.</w:t>
      </w:r>
    </w:p>
    <w:p w14:paraId="0A7F06B7" w14:textId="77777777" w:rsidR="00771FE3" w:rsidRPr="00220850" w:rsidRDefault="00771FE3" w:rsidP="00771FE3">
      <w:pPr>
        <w:autoSpaceDE w:val="0"/>
        <w:autoSpaceDN w:val="0"/>
        <w:adjustRightInd w:val="0"/>
        <w:rPr>
          <w:rFonts w:eastAsia="TimesNewRoman"/>
          <w:sz w:val="22"/>
          <w:szCs w:val="22"/>
        </w:rPr>
      </w:pPr>
    </w:p>
    <w:p w14:paraId="463160FD" w14:textId="25805AF0" w:rsidR="00771FE3" w:rsidRPr="00220850" w:rsidRDefault="001B1F53" w:rsidP="00771FE3">
      <w:pPr>
        <w:autoSpaceDE w:val="0"/>
        <w:autoSpaceDN w:val="0"/>
        <w:adjustRightInd w:val="0"/>
        <w:rPr>
          <w:rFonts w:eastAsia="TimesNewRoman"/>
          <w:sz w:val="22"/>
          <w:szCs w:val="22"/>
          <w:u w:val="single"/>
        </w:rPr>
      </w:pPr>
      <w:r w:rsidRPr="00220850">
        <w:rPr>
          <w:rFonts w:eastAsia="TimesNewRoman"/>
          <w:sz w:val="22"/>
          <w:szCs w:val="22"/>
          <w:u w:val="single"/>
        </w:rPr>
        <w:t>Suaugusiųjų k</w:t>
      </w:r>
      <w:r w:rsidR="00771FE3" w:rsidRPr="00220850">
        <w:rPr>
          <w:rFonts w:eastAsia="TimesNewRoman"/>
          <w:sz w:val="22"/>
          <w:szCs w:val="22"/>
          <w:u w:val="single"/>
        </w:rPr>
        <w:t xml:space="preserve">itos lėtinės </w:t>
      </w:r>
      <w:proofErr w:type="spellStart"/>
      <w:r w:rsidR="00771FE3" w:rsidRPr="00220850">
        <w:rPr>
          <w:rFonts w:eastAsia="TimesNewRoman"/>
          <w:sz w:val="22"/>
          <w:szCs w:val="22"/>
          <w:u w:val="single"/>
        </w:rPr>
        <w:t>fibrozinės</w:t>
      </w:r>
      <w:proofErr w:type="spellEnd"/>
      <w:r w:rsidR="00771FE3" w:rsidRPr="00220850">
        <w:rPr>
          <w:rFonts w:eastAsia="TimesNewRoman"/>
          <w:sz w:val="22"/>
          <w:szCs w:val="22"/>
          <w:u w:val="single"/>
        </w:rPr>
        <w:t xml:space="preserve"> progresuojančio fenotipo </w:t>
      </w:r>
      <w:proofErr w:type="spellStart"/>
      <w:r w:rsidR="00771FE3" w:rsidRPr="00220850">
        <w:rPr>
          <w:rFonts w:eastAsia="TimesNewRoman"/>
          <w:sz w:val="22"/>
          <w:szCs w:val="22"/>
          <w:u w:val="single"/>
        </w:rPr>
        <w:t>intersticinės</w:t>
      </w:r>
      <w:proofErr w:type="spellEnd"/>
      <w:r w:rsidR="00771FE3" w:rsidRPr="00220850">
        <w:rPr>
          <w:rFonts w:eastAsia="TimesNewRoman"/>
          <w:sz w:val="22"/>
          <w:szCs w:val="22"/>
          <w:u w:val="single"/>
        </w:rPr>
        <w:t xml:space="preserve"> plaučių ligos (IPL)</w:t>
      </w:r>
    </w:p>
    <w:p w14:paraId="6F62A0D3"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 xml:space="preserve">Be IPF, yra kitų sutrikimų, dėl kurių Jūsų plaučių audinys sustorėja, sustandėja ir laikui bėgant surandėja (plaučių fibroze) ir kurių eiga vis blogėja (tai vadinama progresuojančiu fenotipu). Tokių sutrikimų pavyzdžiai gali būti </w:t>
      </w:r>
      <w:proofErr w:type="spellStart"/>
      <w:r w:rsidRPr="00220850">
        <w:rPr>
          <w:rFonts w:eastAsia="TimesNewRoman"/>
          <w:sz w:val="22"/>
          <w:szCs w:val="22"/>
        </w:rPr>
        <w:t>pneumonitas</w:t>
      </w:r>
      <w:proofErr w:type="spellEnd"/>
      <w:r w:rsidRPr="00220850">
        <w:rPr>
          <w:rFonts w:eastAsia="TimesNewRoman"/>
          <w:sz w:val="22"/>
          <w:szCs w:val="22"/>
        </w:rPr>
        <w:t xml:space="preserve"> dėl padidėjusio jautrumo, autoimuninės IPL (pvz., su reumatoidiniu artritu susijusi IPL), nespecifinė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kitaip neklasifikuojama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ir kitos IPL. Šis vaistas padeda sumažinti tolesnį plaučių randėjimą ir standėjimą.</w:t>
      </w:r>
    </w:p>
    <w:p w14:paraId="35C0B377" w14:textId="77777777" w:rsidR="00771FE3" w:rsidRPr="00220850" w:rsidRDefault="00771FE3" w:rsidP="00771FE3">
      <w:pPr>
        <w:autoSpaceDE w:val="0"/>
        <w:autoSpaceDN w:val="0"/>
        <w:adjustRightInd w:val="0"/>
        <w:rPr>
          <w:rFonts w:eastAsia="TimesNewRoman"/>
          <w:sz w:val="22"/>
          <w:szCs w:val="22"/>
        </w:rPr>
      </w:pPr>
    </w:p>
    <w:p w14:paraId="06152F1D" w14:textId="77777777" w:rsidR="001B1F53" w:rsidRPr="00220850" w:rsidRDefault="001B1F53" w:rsidP="001B1F53">
      <w:pPr>
        <w:autoSpaceDE w:val="0"/>
        <w:autoSpaceDN w:val="0"/>
        <w:adjustRightInd w:val="0"/>
        <w:rPr>
          <w:rFonts w:eastAsia="TimesNewRoman"/>
          <w:sz w:val="22"/>
          <w:szCs w:val="22"/>
          <w:u w:val="single"/>
        </w:rPr>
      </w:pPr>
      <w:r w:rsidRPr="00220850">
        <w:rPr>
          <w:rFonts w:eastAsia="TimesNewRoman"/>
          <w:sz w:val="22"/>
          <w:szCs w:val="22"/>
          <w:u w:val="single"/>
        </w:rPr>
        <w:t xml:space="preserve">6-17 metų vaikų ir paauglių kliniškai reikšmingos, progresuojančios </w:t>
      </w:r>
      <w:proofErr w:type="spellStart"/>
      <w:r w:rsidRPr="00220850">
        <w:rPr>
          <w:rFonts w:eastAsia="TimesNewRoman"/>
          <w:sz w:val="22"/>
          <w:szCs w:val="22"/>
          <w:u w:val="single"/>
        </w:rPr>
        <w:t>fibrozinės</w:t>
      </w:r>
      <w:proofErr w:type="spellEnd"/>
      <w:r w:rsidRPr="00220850">
        <w:rPr>
          <w:rFonts w:eastAsia="TimesNewRoman"/>
          <w:sz w:val="22"/>
          <w:szCs w:val="22"/>
          <w:u w:val="single"/>
        </w:rPr>
        <w:t xml:space="preserve"> </w:t>
      </w:r>
      <w:proofErr w:type="spellStart"/>
      <w:r w:rsidRPr="00220850">
        <w:rPr>
          <w:rFonts w:eastAsia="TimesNewRoman"/>
          <w:sz w:val="22"/>
          <w:szCs w:val="22"/>
          <w:u w:val="single"/>
        </w:rPr>
        <w:t>intersticinės</w:t>
      </w:r>
      <w:proofErr w:type="spellEnd"/>
      <w:r w:rsidRPr="00220850">
        <w:rPr>
          <w:rFonts w:eastAsia="TimesNewRoman"/>
          <w:sz w:val="22"/>
          <w:szCs w:val="22"/>
          <w:u w:val="single"/>
        </w:rPr>
        <w:t xml:space="preserve"> plaučių ligos (IPL) </w:t>
      </w:r>
    </w:p>
    <w:p w14:paraId="259B9ECB" w14:textId="75BD1DCF" w:rsidR="004C68FC" w:rsidRPr="00220850" w:rsidRDefault="001B1F53" w:rsidP="001B1F53">
      <w:pPr>
        <w:autoSpaceDE w:val="0"/>
        <w:autoSpaceDN w:val="0"/>
        <w:adjustRightInd w:val="0"/>
        <w:rPr>
          <w:rFonts w:eastAsia="TimesNewRoman"/>
          <w:sz w:val="22"/>
          <w:szCs w:val="22"/>
        </w:rPr>
      </w:pPr>
      <w:r w:rsidRPr="00220850">
        <w:rPr>
          <w:rFonts w:eastAsia="TimesNewRoman"/>
          <w:sz w:val="22"/>
          <w:szCs w:val="22"/>
        </w:rPr>
        <w:t xml:space="preserve">Pacientams, sergantiems vaikų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(angl. </w:t>
      </w:r>
      <w:proofErr w:type="spellStart"/>
      <w:r w:rsidRPr="00220850">
        <w:rPr>
          <w:rFonts w:eastAsia="TimesNewRoman"/>
          <w:i/>
          <w:iCs/>
          <w:sz w:val="22"/>
          <w:szCs w:val="22"/>
        </w:rPr>
        <w:t>Childhood</w:t>
      </w:r>
      <w:proofErr w:type="spellEnd"/>
      <w:r w:rsidRPr="00220850">
        <w:rPr>
          <w:rFonts w:eastAsia="TimesNewRoman"/>
          <w:i/>
          <w:iCs/>
          <w:sz w:val="22"/>
          <w:szCs w:val="22"/>
        </w:rPr>
        <w:t xml:space="preserve"> </w:t>
      </w:r>
      <w:proofErr w:type="spellStart"/>
      <w:r w:rsidRPr="00220850">
        <w:rPr>
          <w:rFonts w:eastAsia="TimesNewRoman"/>
          <w:i/>
          <w:iCs/>
          <w:sz w:val="22"/>
          <w:szCs w:val="22"/>
        </w:rPr>
        <w:t>Interstitial</w:t>
      </w:r>
      <w:proofErr w:type="spellEnd"/>
      <w:r w:rsidRPr="00220850">
        <w:rPr>
          <w:rFonts w:eastAsia="TimesNewRoman"/>
          <w:i/>
          <w:iCs/>
          <w:sz w:val="22"/>
          <w:szCs w:val="22"/>
        </w:rPr>
        <w:t xml:space="preserve"> </w:t>
      </w:r>
      <w:proofErr w:type="spellStart"/>
      <w:r w:rsidRPr="00220850">
        <w:rPr>
          <w:rFonts w:eastAsia="TimesNewRoman"/>
          <w:i/>
          <w:iCs/>
          <w:sz w:val="22"/>
          <w:szCs w:val="22"/>
        </w:rPr>
        <w:t>Lung</w:t>
      </w:r>
      <w:proofErr w:type="spellEnd"/>
      <w:r w:rsidRPr="00220850">
        <w:rPr>
          <w:rFonts w:eastAsia="TimesNewRoman"/>
          <w:i/>
          <w:iCs/>
          <w:sz w:val="22"/>
          <w:szCs w:val="22"/>
        </w:rPr>
        <w:t xml:space="preserve"> </w:t>
      </w:r>
      <w:proofErr w:type="spellStart"/>
      <w:r w:rsidRPr="00220850">
        <w:rPr>
          <w:rFonts w:eastAsia="TimesNewRoman"/>
          <w:i/>
          <w:iCs/>
          <w:sz w:val="22"/>
          <w:szCs w:val="22"/>
        </w:rPr>
        <w:t>Disease</w:t>
      </w:r>
      <w:proofErr w:type="spellEnd"/>
      <w:r w:rsidRPr="00220850">
        <w:rPr>
          <w:rFonts w:eastAsia="TimesNewRoman"/>
          <w:i/>
          <w:iCs/>
          <w:sz w:val="22"/>
          <w:szCs w:val="22"/>
        </w:rPr>
        <w:t xml:space="preserve">, </w:t>
      </w:r>
      <w:proofErr w:type="spellStart"/>
      <w:r w:rsidRPr="00220850">
        <w:rPr>
          <w:rFonts w:eastAsia="TimesNewRoman"/>
          <w:i/>
          <w:iCs/>
          <w:sz w:val="22"/>
          <w:szCs w:val="22"/>
        </w:rPr>
        <w:t>chILD</w:t>
      </w:r>
      <w:proofErr w:type="spellEnd"/>
      <w:r w:rsidRPr="00220850">
        <w:rPr>
          <w:rFonts w:eastAsia="TimesNewRoman"/>
          <w:sz w:val="22"/>
          <w:szCs w:val="22"/>
        </w:rPr>
        <w:t>), gali pasireikšti plaučių fibrozė. Pasireiškus plaučių fibrozei, laikui bėgant sustorėja, sustandėja ir surandėja vaikų ir paauglių plaučių audinys. Šis vaistas padeda sumažinti tolesnį plaučių randėjimą ir standėjimą.</w:t>
      </w:r>
    </w:p>
    <w:p w14:paraId="31196A80" w14:textId="77777777" w:rsidR="001B1F53" w:rsidRPr="00220850" w:rsidRDefault="001B1F53" w:rsidP="001B1F53">
      <w:pPr>
        <w:autoSpaceDE w:val="0"/>
        <w:autoSpaceDN w:val="0"/>
        <w:adjustRightInd w:val="0"/>
        <w:rPr>
          <w:rFonts w:eastAsia="TimesNewRoman"/>
          <w:sz w:val="22"/>
          <w:szCs w:val="22"/>
        </w:rPr>
      </w:pPr>
    </w:p>
    <w:p w14:paraId="3CB1BCF7" w14:textId="70D5EABE" w:rsidR="00771FE3" w:rsidRPr="00220850" w:rsidRDefault="00771FE3" w:rsidP="00771FE3">
      <w:pPr>
        <w:autoSpaceDE w:val="0"/>
        <w:autoSpaceDN w:val="0"/>
        <w:adjustRightInd w:val="0"/>
        <w:rPr>
          <w:rFonts w:eastAsia="TimesNewRoman"/>
          <w:sz w:val="22"/>
          <w:szCs w:val="22"/>
          <w:u w:val="single"/>
        </w:rPr>
      </w:pPr>
      <w:r w:rsidRPr="00220850">
        <w:rPr>
          <w:rFonts w:eastAsia="TimesNewRoman"/>
          <w:sz w:val="22"/>
          <w:szCs w:val="22"/>
          <w:u w:val="single"/>
        </w:rPr>
        <w:t xml:space="preserve">Su sistemine skleroze susijusi </w:t>
      </w:r>
      <w:r w:rsidR="001B1F53" w:rsidRPr="00220850">
        <w:rPr>
          <w:rFonts w:eastAsia="TimesNewRoman"/>
          <w:sz w:val="22"/>
          <w:szCs w:val="22"/>
          <w:u w:val="single"/>
        </w:rPr>
        <w:t xml:space="preserve">suaugusiųjų, paauglių ir 6 metų ir vyresnių vaikų </w:t>
      </w:r>
      <w:proofErr w:type="spellStart"/>
      <w:r w:rsidRPr="00220850">
        <w:rPr>
          <w:rFonts w:eastAsia="TimesNewRoman"/>
          <w:sz w:val="22"/>
          <w:szCs w:val="22"/>
          <w:u w:val="single"/>
        </w:rPr>
        <w:t>intersticinė</w:t>
      </w:r>
      <w:proofErr w:type="spellEnd"/>
      <w:r w:rsidRPr="00220850">
        <w:rPr>
          <w:rFonts w:eastAsia="TimesNewRoman"/>
          <w:sz w:val="22"/>
          <w:szCs w:val="22"/>
          <w:u w:val="single"/>
        </w:rPr>
        <w:t xml:space="preserve"> plaučių liga (SS-IPL)</w:t>
      </w:r>
      <w:r w:rsidR="004C68FC" w:rsidRPr="00220850">
        <w:rPr>
          <w:rFonts w:eastAsia="TimesNewRoman"/>
          <w:sz w:val="22"/>
          <w:szCs w:val="22"/>
          <w:u w:val="single"/>
        </w:rPr>
        <w:t xml:space="preserve"> </w:t>
      </w:r>
    </w:p>
    <w:p w14:paraId="09AB1651" w14:textId="2E17FB6F" w:rsidR="00771FE3" w:rsidRPr="00220850" w:rsidRDefault="00771FE3" w:rsidP="00771FE3">
      <w:pPr>
        <w:autoSpaceDE w:val="0"/>
        <w:autoSpaceDN w:val="0"/>
        <w:adjustRightInd w:val="0"/>
        <w:rPr>
          <w:sz w:val="22"/>
          <w:szCs w:val="24"/>
        </w:rPr>
      </w:pPr>
      <w:r w:rsidRPr="00220850">
        <w:rPr>
          <w:rFonts w:eastAsia="TimesNewRoman"/>
          <w:sz w:val="22"/>
          <w:szCs w:val="22"/>
        </w:rPr>
        <w:t xml:space="preserve">Sisteminė sklerozė (SS), dar vadinama </w:t>
      </w:r>
      <w:proofErr w:type="spellStart"/>
      <w:r w:rsidRPr="00220850">
        <w:rPr>
          <w:rFonts w:eastAsia="TimesNewRoman"/>
          <w:sz w:val="22"/>
          <w:szCs w:val="22"/>
        </w:rPr>
        <w:t>skleroderma</w:t>
      </w:r>
      <w:proofErr w:type="spellEnd"/>
      <w:r w:rsidR="004C68FC" w:rsidRPr="00220850">
        <w:rPr>
          <w:rFonts w:eastAsia="TimesNewRoman"/>
          <w:sz w:val="22"/>
          <w:szCs w:val="22"/>
        </w:rPr>
        <w:t xml:space="preserve"> </w:t>
      </w:r>
      <w:r w:rsidR="001B1F53" w:rsidRPr="00220850">
        <w:rPr>
          <w:rFonts w:eastAsia="TimesNewRoman"/>
          <w:sz w:val="22"/>
          <w:szCs w:val="22"/>
        </w:rPr>
        <w:t>(ir vaikų bei paauglių jaunatvinė sisteminė sklerozė)</w:t>
      </w:r>
      <w:r w:rsidRPr="00220850">
        <w:rPr>
          <w:rFonts w:eastAsia="TimesNewRoman"/>
          <w:sz w:val="22"/>
          <w:szCs w:val="22"/>
        </w:rPr>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(IPL), todėl ši būklė vadinama su sistemine skleroze susijusia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(SS-IPL). Dėl fibrozės sumažėja plaučių </w:t>
      </w:r>
      <w:r w:rsidRPr="00220850">
        <w:rPr>
          <w:rFonts w:eastAsia="TimesNewRoman"/>
          <w:sz w:val="22"/>
          <w:szCs w:val="22"/>
        </w:rPr>
        <w:lastRenderedPageBreak/>
        <w:t>gebėjimas pernešti deguonį į kraują</w:t>
      </w:r>
      <w:r w:rsidR="00E06932" w:rsidRPr="00220850">
        <w:rPr>
          <w:rFonts w:eastAsia="TimesNewRoman"/>
          <w:sz w:val="22"/>
          <w:szCs w:val="22"/>
        </w:rPr>
        <w:t xml:space="preserve"> ir sumažėja kvėpavimo pajėgumas</w:t>
      </w:r>
      <w:r w:rsidRPr="00220850">
        <w:rPr>
          <w:rFonts w:eastAsia="TimesNewRoman"/>
          <w:sz w:val="22"/>
          <w:szCs w:val="22"/>
        </w:rPr>
        <w:t>. Šis vaistas padeda sumažinti tolesnį plaučių randėjimą ir standėjimą.</w:t>
      </w:r>
    </w:p>
    <w:p w14:paraId="0383D8F4" w14:textId="034D1D14" w:rsidR="00771FE3" w:rsidRPr="00220850" w:rsidRDefault="00771FE3" w:rsidP="00771FE3">
      <w:pPr>
        <w:numPr>
          <w:ilvl w:val="12"/>
          <w:numId w:val="0"/>
        </w:numPr>
        <w:ind w:right="-2"/>
        <w:rPr>
          <w:sz w:val="22"/>
          <w:szCs w:val="24"/>
        </w:rPr>
      </w:pPr>
    </w:p>
    <w:p w14:paraId="40612FFA" w14:textId="77777777" w:rsidR="00C201D1" w:rsidRPr="00220850" w:rsidRDefault="00C201D1" w:rsidP="00771FE3">
      <w:pPr>
        <w:numPr>
          <w:ilvl w:val="12"/>
          <w:numId w:val="0"/>
        </w:numPr>
        <w:ind w:right="-2"/>
        <w:rPr>
          <w:sz w:val="22"/>
          <w:szCs w:val="24"/>
        </w:rPr>
      </w:pPr>
    </w:p>
    <w:p w14:paraId="7426AC9A"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2.</w:t>
      </w:r>
      <w:r w:rsidRPr="00220850">
        <w:rPr>
          <w:b/>
          <w:bCs/>
          <w:sz w:val="22"/>
          <w:szCs w:val="28"/>
          <w:lang w:eastAsia="x-none"/>
        </w:rPr>
        <w:tab/>
        <w:t xml:space="preserve">Kas žinotina prieš vartojant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4"/>
          <w:lang w:eastAsia="x-none"/>
        </w:rPr>
        <w:t xml:space="preserve"> </w:t>
      </w:r>
    </w:p>
    <w:p w14:paraId="0AB89758" w14:textId="77777777" w:rsidR="00771FE3" w:rsidRPr="00220850" w:rsidRDefault="00771FE3" w:rsidP="00771FE3">
      <w:pPr>
        <w:numPr>
          <w:ilvl w:val="12"/>
          <w:numId w:val="0"/>
        </w:numPr>
        <w:ind w:right="-2"/>
        <w:rPr>
          <w:sz w:val="22"/>
          <w:szCs w:val="24"/>
        </w:rPr>
      </w:pPr>
    </w:p>
    <w:p w14:paraId="6692C722" w14:textId="77777777" w:rsidR="00771FE3" w:rsidRPr="00220850" w:rsidRDefault="00771FE3" w:rsidP="00771FE3">
      <w:pPr>
        <w:keepNext/>
        <w:tabs>
          <w:tab w:val="left" w:pos="567"/>
        </w:tabs>
        <w:spacing w:line="260" w:lineRule="exact"/>
        <w:jc w:val="both"/>
        <w:outlineLvl w:val="3"/>
        <w:rPr>
          <w:b/>
          <w:bCs/>
          <w:sz w:val="22"/>
          <w:szCs w:val="22"/>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2"/>
          <w:lang w:eastAsia="x-none"/>
        </w:rPr>
        <w:t xml:space="preserve"> vartoti draudžiama:</w:t>
      </w:r>
    </w:p>
    <w:p w14:paraId="27EE5E16" w14:textId="4A7151FD" w:rsidR="00771FE3" w:rsidRPr="00220850" w:rsidRDefault="00771FE3" w:rsidP="0013626C">
      <w:pPr>
        <w:pStyle w:val="Sraopastraipa"/>
        <w:numPr>
          <w:ilvl w:val="0"/>
          <w:numId w:val="49"/>
        </w:numPr>
        <w:tabs>
          <w:tab w:val="left" w:pos="567"/>
        </w:tabs>
        <w:ind w:left="567" w:hanging="567"/>
        <w:rPr>
          <w:sz w:val="22"/>
          <w:szCs w:val="24"/>
        </w:rPr>
      </w:pPr>
      <w:r w:rsidRPr="00220850">
        <w:rPr>
          <w:sz w:val="22"/>
          <w:szCs w:val="24"/>
        </w:rPr>
        <w:t xml:space="preserve">jeigu yra alergija </w:t>
      </w:r>
      <w:proofErr w:type="spellStart"/>
      <w:r w:rsidRPr="00220850">
        <w:rPr>
          <w:sz w:val="22"/>
          <w:szCs w:val="24"/>
        </w:rPr>
        <w:t>nintedanibui</w:t>
      </w:r>
      <w:proofErr w:type="spellEnd"/>
      <w:r w:rsidRPr="00220850">
        <w:rPr>
          <w:sz w:val="22"/>
          <w:szCs w:val="24"/>
        </w:rPr>
        <w:t xml:space="preserve"> arba bet kuriai pagalbinei šio vaisto medžiagai (jos išvardytos 6 skyriuje);</w:t>
      </w:r>
    </w:p>
    <w:p w14:paraId="7E9C39B2" w14:textId="77777777" w:rsidR="00771FE3" w:rsidRPr="00220850" w:rsidRDefault="00771FE3" w:rsidP="0013626C">
      <w:pPr>
        <w:pStyle w:val="Sraopastraipa"/>
        <w:numPr>
          <w:ilvl w:val="0"/>
          <w:numId w:val="49"/>
        </w:numPr>
        <w:tabs>
          <w:tab w:val="left" w:pos="567"/>
        </w:tabs>
        <w:ind w:left="567" w:hanging="567"/>
        <w:rPr>
          <w:sz w:val="22"/>
          <w:szCs w:val="24"/>
        </w:rPr>
      </w:pPr>
      <w:r w:rsidRPr="00220850">
        <w:rPr>
          <w:sz w:val="22"/>
          <w:szCs w:val="24"/>
        </w:rPr>
        <w:t>jeigu esate nėščia.</w:t>
      </w:r>
    </w:p>
    <w:p w14:paraId="4A5E5B59" w14:textId="77777777" w:rsidR="00771FE3" w:rsidRPr="00220850" w:rsidRDefault="00771FE3" w:rsidP="00771FE3">
      <w:pPr>
        <w:numPr>
          <w:ilvl w:val="12"/>
          <w:numId w:val="0"/>
        </w:numPr>
        <w:ind w:right="-2"/>
        <w:rPr>
          <w:sz w:val="22"/>
          <w:szCs w:val="24"/>
        </w:rPr>
      </w:pPr>
    </w:p>
    <w:p w14:paraId="20E33E93"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Įspėjimai ir atsargumo priemonės </w:t>
      </w:r>
    </w:p>
    <w:p w14:paraId="48E44DB1"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rPr>
      </w:pPr>
      <w:r w:rsidRPr="00220850">
        <w:rPr>
          <w:rFonts w:eastAsia="TimesNewRoman"/>
          <w:sz w:val="22"/>
          <w:szCs w:val="22"/>
        </w:rPr>
        <w:t xml:space="preserve">Pasitarkite su gydytoju arba vaistininku, prieš pradėdami vartoti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w:t>
      </w:r>
    </w:p>
    <w:p w14:paraId="7985534B"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w:t>
      </w:r>
    </w:p>
    <w:p w14:paraId="0AD955D7"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nustatytas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w:t>
      </w:r>
    </w:p>
    <w:p w14:paraId="4EBEDAAB"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yra ar buvo kraujavimo sutrikimų,</w:t>
      </w:r>
    </w:p>
    <w:p w14:paraId="0AD7A97E"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 xml:space="preserve">jeigu vartojate kraują skystinančių vaistų (pvz., varfarino, fenprokumono ar heparino), </w:t>
      </w:r>
      <w:r w:rsidR="00E06932" w:rsidRPr="00220850">
        <w:rPr>
          <w:rFonts w:eastAsia="TimesNewRoman"/>
          <w:sz w:val="22"/>
          <w:szCs w:val="22"/>
          <w:lang w:val="pt-PT"/>
        </w:rPr>
        <w:t>saugančių nuo kraujo krešėjimo</w:t>
      </w:r>
      <w:r w:rsidRPr="00220850">
        <w:rPr>
          <w:rFonts w:eastAsia="TimesNewRoman"/>
          <w:sz w:val="22"/>
          <w:szCs w:val="22"/>
          <w:lang w:val="pt-PT"/>
        </w:rPr>
        <w:t>,</w:t>
      </w:r>
    </w:p>
    <w:p w14:paraId="0E8DF24F"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pirfenidoną, nes gali padidėti viduriavimo, pykinimo, vėmimo ir kepenų ligų rizika,</w:t>
      </w:r>
    </w:p>
    <w:p w14:paraId="769588A1"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yra arba buvo širdies sutrikimų (pvz., širdies priepuolis),</w:t>
      </w:r>
    </w:p>
    <w:p w14:paraId="61A770B6"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 xml:space="preserve">jeigu Jums neseniai buvo atlikta operacija. Nintedanibas gali veikti žaizdos gijimą. Taigi, jei Jums atliekama operacija, gydymas šiuo vaistu paprastai bus sustabdytas.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atnaujinti</w:t>
      </w:r>
      <w:proofErr w:type="spellEnd"/>
      <w:r w:rsidRPr="00220850">
        <w:rPr>
          <w:rFonts w:eastAsia="TimesNewRoman"/>
          <w:sz w:val="22"/>
          <w:szCs w:val="22"/>
          <w:lang w:val="en-US"/>
        </w:rPr>
        <w:t>,</w:t>
      </w:r>
    </w:p>
    <w:p w14:paraId="6F9BE96E" w14:textId="77777777" w:rsidR="00771FE3" w:rsidRPr="00220850" w:rsidRDefault="00E06932" w:rsidP="0013626C">
      <w:pPr>
        <w:pStyle w:val="Sraopastraipa"/>
        <w:numPr>
          <w:ilvl w:val="0"/>
          <w:numId w:val="2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w:t>
      </w:r>
      <w:r w:rsidR="00771FE3" w:rsidRPr="00220850">
        <w:rPr>
          <w:rFonts w:eastAsia="TimesNewRoman"/>
          <w:sz w:val="22"/>
          <w:szCs w:val="22"/>
          <w:lang w:val="en-US"/>
        </w:rPr>
        <w:t>ūsų</w:t>
      </w:r>
      <w:proofErr w:type="spellEnd"/>
      <w:r w:rsidR="00771FE3" w:rsidRPr="00220850">
        <w:rPr>
          <w:rFonts w:eastAsia="TimesNewRoman"/>
          <w:sz w:val="22"/>
          <w:szCs w:val="22"/>
          <w:lang w:val="en-US"/>
        </w:rPr>
        <w:t xml:space="preserve"> </w:t>
      </w:r>
      <w:proofErr w:type="spellStart"/>
      <w:r w:rsidR="00771FE3" w:rsidRPr="00220850">
        <w:rPr>
          <w:rFonts w:eastAsia="TimesNewRoman"/>
          <w:sz w:val="22"/>
          <w:szCs w:val="22"/>
          <w:lang w:val="en-US"/>
        </w:rPr>
        <w:t>kraujospūdis</w:t>
      </w:r>
      <w:proofErr w:type="spellEnd"/>
      <w:r w:rsidR="00771FE3" w:rsidRPr="00220850">
        <w:rPr>
          <w:rFonts w:eastAsia="TimesNewRoman"/>
          <w:sz w:val="22"/>
          <w:szCs w:val="22"/>
          <w:lang w:val="en-US"/>
        </w:rPr>
        <w:t xml:space="preserve"> </w:t>
      </w:r>
      <w:proofErr w:type="spellStart"/>
      <w:r w:rsidR="00771FE3" w:rsidRPr="00220850">
        <w:rPr>
          <w:rFonts w:eastAsia="TimesNewRoman"/>
          <w:sz w:val="22"/>
          <w:szCs w:val="22"/>
          <w:lang w:val="en-US"/>
        </w:rPr>
        <w:t>padidėjęs</w:t>
      </w:r>
      <w:proofErr w:type="spellEnd"/>
      <w:r w:rsidR="00771FE3" w:rsidRPr="00220850">
        <w:rPr>
          <w:rFonts w:eastAsia="TimesNewRoman"/>
          <w:sz w:val="22"/>
          <w:szCs w:val="22"/>
          <w:lang w:val="en-US"/>
        </w:rPr>
        <w:t>,</w:t>
      </w:r>
    </w:p>
    <w:p w14:paraId="4B570FB4"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yra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nenormaliai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66025836" w14:textId="77777777" w:rsidR="00771FE3" w:rsidRPr="00220850" w:rsidRDefault="00771FE3" w:rsidP="0013626C">
      <w:pPr>
        <w:pStyle w:val="Sraopastraipa"/>
        <w:numPr>
          <w:ilvl w:val="0"/>
          <w:numId w:val="2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Jums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praeityje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diagnozuota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w:t>
      </w:r>
    </w:p>
    <w:p w14:paraId="3459A7CC" w14:textId="77777777" w:rsidR="004646FE" w:rsidRPr="00220850" w:rsidRDefault="004646FE" w:rsidP="00771FE3">
      <w:pPr>
        <w:autoSpaceDE w:val="0"/>
        <w:autoSpaceDN w:val="0"/>
        <w:adjustRightInd w:val="0"/>
        <w:rPr>
          <w:rFonts w:eastAsia="TimesNewRoman"/>
          <w:sz w:val="22"/>
          <w:szCs w:val="22"/>
          <w:lang w:val="en-US"/>
        </w:rPr>
      </w:pPr>
    </w:p>
    <w:p w14:paraId="02FEF812" w14:textId="71F08CE2" w:rsidR="00771FE3" w:rsidRPr="00220850" w:rsidRDefault="00771FE3" w:rsidP="00771FE3">
      <w:pPr>
        <w:autoSpaceDE w:val="0"/>
        <w:autoSpaceDN w:val="0"/>
        <w:adjustRightInd w:val="0"/>
        <w:rPr>
          <w:rFonts w:eastAsia="TimesNewRoman"/>
          <w:sz w:val="22"/>
          <w:szCs w:val="22"/>
          <w:lang w:val="en-US"/>
        </w:rPr>
      </w:pPr>
      <w:proofErr w:type="spellStart"/>
      <w:r w:rsidRPr="00220850">
        <w:rPr>
          <w:rFonts w:eastAsia="TimesNewRoman"/>
          <w:sz w:val="22"/>
          <w:szCs w:val="22"/>
          <w:lang w:val="en-US"/>
        </w:rPr>
        <w:t>Remdamasis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informacija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atlikti</w:t>
      </w:r>
      <w:proofErr w:type="spellEnd"/>
      <w:r w:rsidRPr="00220850">
        <w:rPr>
          <w:rFonts w:eastAsia="TimesNewRoman"/>
          <w:sz w:val="22"/>
          <w:szCs w:val="22"/>
          <w:lang w:val="en-US"/>
        </w:rPr>
        <w:t xml:space="preserve"> tam </w:t>
      </w:r>
      <w:proofErr w:type="spellStart"/>
      <w:r w:rsidRPr="00220850">
        <w:rPr>
          <w:rFonts w:eastAsia="TimesNewRoman"/>
          <w:sz w:val="22"/>
          <w:szCs w:val="22"/>
          <w:lang w:val="en-US"/>
        </w:rPr>
        <w:t>tikrus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pavyzdžiui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patikrinti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funkciją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rezultatus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aptars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Jumis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galėsite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w:t>
      </w:r>
    </w:p>
    <w:p w14:paraId="0A7F85F6" w14:textId="77777777" w:rsidR="00771FE3" w:rsidRPr="00220850" w:rsidRDefault="00771FE3" w:rsidP="00771FE3">
      <w:pPr>
        <w:autoSpaceDE w:val="0"/>
        <w:autoSpaceDN w:val="0"/>
        <w:adjustRightInd w:val="0"/>
        <w:ind w:left="567" w:hanging="567"/>
        <w:rPr>
          <w:rFonts w:eastAsia="TimesNewRoman"/>
          <w:sz w:val="22"/>
          <w:szCs w:val="22"/>
          <w:lang w:val="en-US"/>
        </w:rPr>
      </w:pPr>
    </w:p>
    <w:p w14:paraId="5942E36B" w14:textId="77777777" w:rsidR="00771FE3" w:rsidRPr="00220850" w:rsidRDefault="00771FE3" w:rsidP="00771FE3">
      <w:p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Vartodami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nedelsdami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praneškite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savo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w:t>
      </w:r>
    </w:p>
    <w:p w14:paraId="761B616A" w14:textId="08EE53B8"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Viduriavimą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svarbu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žr</w:t>
      </w:r>
      <w:proofErr w:type="spellEnd"/>
      <w:r w:rsidRPr="00220850">
        <w:rPr>
          <w:rFonts w:eastAsia="TimesNewRoman"/>
          <w:sz w:val="22"/>
          <w:szCs w:val="22"/>
          <w:lang w:val="en-US"/>
        </w:rPr>
        <w:t xml:space="preserve">. 4 </w:t>
      </w:r>
      <w:proofErr w:type="spellStart"/>
      <w:r w:rsidRPr="00220850">
        <w:rPr>
          <w:rFonts w:eastAsia="TimesNewRoman"/>
          <w:sz w:val="22"/>
          <w:szCs w:val="22"/>
          <w:lang w:val="en-US"/>
        </w:rPr>
        <w:t>skyrių</w:t>
      </w:r>
      <w:proofErr w:type="spellEnd"/>
      <w:r w:rsidR="004C68FC" w:rsidRPr="00220850">
        <w:rPr>
          <w:rFonts w:eastAsia="TimesNewRoman"/>
          <w:sz w:val="22"/>
          <w:szCs w:val="22"/>
          <w:lang w:val="en-US"/>
        </w:rPr>
        <w:t xml:space="preserve"> </w:t>
      </w:r>
      <w:r w:rsidR="001B1F53" w:rsidRPr="00220850">
        <w:rPr>
          <w:rFonts w:eastAsia="TimesNewRoman"/>
          <w:sz w:val="22"/>
          <w:szCs w:val="22"/>
          <w:lang w:val="en-US"/>
        </w:rPr>
        <w:t>“</w:t>
      </w:r>
      <w:proofErr w:type="spellStart"/>
      <w:r w:rsidR="001B1F53" w:rsidRPr="00220850">
        <w:rPr>
          <w:rFonts w:eastAsia="TimesNewRoman"/>
          <w:sz w:val="22"/>
          <w:szCs w:val="22"/>
          <w:lang w:val="en-US"/>
        </w:rPr>
        <w:t>Galimas</w:t>
      </w:r>
      <w:proofErr w:type="spellEnd"/>
      <w:r w:rsidR="001B1F53" w:rsidRPr="00220850">
        <w:rPr>
          <w:rFonts w:eastAsia="TimesNewRoman"/>
          <w:sz w:val="22"/>
          <w:szCs w:val="22"/>
          <w:lang w:val="en-US"/>
        </w:rPr>
        <w:t xml:space="preserve"> </w:t>
      </w:r>
      <w:proofErr w:type="spellStart"/>
      <w:r w:rsidR="001B1F53" w:rsidRPr="00220850">
        <w:rPr>
          <w:rFonts w:eastAsia="TimesNewRoman"/>
          <w:sz w:val="22"/>
          <w:szCs w:val="22"/>
          <w:lang w:val="en-US"/>
        </w:rPr>
        <w:t>šalutinis</w:t>
      </w:r>
      <w:proofErr w:type="spellEnd"/>
      <w:r w:rsidR="001B1F53" w:rsidRPr="00220850">
        <w:rPr>
          <w:rFonts w:eastAsia="TimesNewRoman"/>
          <w:sz w:val="22"/>
          <w:szCs w:val="22"/>
          <w:lang w:val="en-US"/>
        </w:rPr>
        <w:t xml:space="preserve"> </w:t>
      </w:r>
      <w:proofErr w:type="spellStart"/>
      <w:r w:rsidR="001B1F53" w:rsidRPr="00220850">
        <w:rPr>
          <w:rFonts w:eastAsia="TimesNewRoman"/>
          <w:sz w:val="22"/>
          <w:szCs w:val="22"/>
          <w:lang w:val="en-US"/>
        </w:rPr>
        <w:t>poveikis</w:t>
      </w:r>
      <w:proofErr w:type="spellEnd"/>
      <w:r w:rsidR="001B1F53" w:rsidRPr="00220850">
        <w:rPr>
          <w:rFonts w:eastAsia="TimesNewRoman"/>
          <w:sz w:val="22"/>
          <w:szCs w:val="22"/>
          <w:lang w:val="en-US"/>
        </w:rPr>
        <w:t>”</w:t>
      </w:r>
      <w:r w:rsidRPr="00220850">
        <w:rPr>
          <w:rFonts w:eastAsia="TimesNewRoman"/>
          <w:sz w:val="22"/>
          <w:szCs w:val="22"/>
          <w:lang w:val="en-US"/>
        </w:rPr>
        <w:t>);</w:t>
      </w:r>
    </w:p>
    <w:p w14:paraId="13752376" w14:textId="77777777"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vemiate ar Jus pykina;</w:t>
      </w:r>
    </w:p>
    <w:p w14:paraId="0FDE1467" w14:textId="77777777"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 xml:space="preserve">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w:t>
      </w:r>
      <w:r w:rsidRPr="00220850">
        <w:rPr>
          <w:rFonts w:eastAsia="TimesNewRoman"/>
          <w:sz w:val="22"/>
          <w:szCs w:val="22"/>
          <w:lang w:val="en-US"/>
        </w:rPr>
        <w:t xml:space="preserve">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sunkių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veiklos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55C15F2D" w14:textId="2E70C2EF"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smarkiai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šaltis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standumas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prakiurimo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virškinimo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trakto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perforacijos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Taip pat </w:t>
      </w:r>
      <w:proofErr w:type="spellStart"/>
      <w:r w:rsidRPr="00220850">
        <w:rPr>
          <w:rFonts w:eastAsia="TimesNewRoman"/>
          <w:sz w:val="22"/>
          <w:szCs w:val="22"/>
          <w:lang w:val="en-US"/>
        </w:rPr>
        <w:t>pasakykite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anksčiau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pep</w:t>
      </w:r>
      <w:r w:rsidR="001B2ACC" w:rsidRPr="00220850">
        <w:rPr>
          <w:rFonts w:eastAsia="TimesNewRoman"/>
          <w:sz w:val="22"/>
          <w:szCs w:val="22"/>
          <w:lang w:val="en-US"/>
        </w:rPr>
        <w:t>s</w:t>
      </w:r>
      <w:r w:rsidRPr="00220850">
        <w:rPr>
          <w:rFonts w:eastAsia="TimesNewRoman"/>
          <w:sz w:val="22"/>
          <w:szCs w:val="22"/>
          <w:lang w:val="en-US"/>
        </w:rPr>
        <w:t>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opa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divertikuline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nesteroidinių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(NVNU)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malšinti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tinimui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steroidų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alergijų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riziką</w:t>
      </w:r>
      <w:proofErr w:type="spellEnd"/>
      <w:r w:rsidRPr="00220850">
        <w:rPr>
          <w:rFonts w:eastAsia="TimesNewRoman"/>
          <w:sz w:val="22"/>
          <w:szCs w:val="22"/>
          <w:lang w:val="en-US"/>
        </w:rPr>
        <w:t>;</w:t>
      </w:r>
    </w:p>
    <w:p w14:paraId="766D1E2E" w14:textId="77777777"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vargina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stiprus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spazminis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išmatose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pastebėjote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raudono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kilusį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dėl</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aprūpinimo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w:t>
      </w:r>
      <w:proofErr w:type="spellEnd"/>
      <w:r w:rsidRPr="00220850">
        <w:rPr>
          <w:rFonts w:eastAsia="TimesNewRoman"/>
          <w:sz w:val="22"/>
          <w:szCs w:val="22"/>
          <w:lang w:val="en-US"/>
        </w:rPr>
        <w:t>;</w:t>
      </w:r>
    </w:p>
    <w:p w14:paraId="532BCCEF" w14:textId="77777777"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paraudo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šyla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galūnė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tipas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užkimšimo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krešuliu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5261E156" w14:textId="77777777"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spaudžia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krūtinę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paprastai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kairę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pusę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kaklą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žandikaulį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petį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dažnai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plaka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dūstate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priepuolio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100E8B65" w14:textId="77777777" w:rsidR="00771FE3" w:rsidRPr="00220850" w:rsidRDefault="00771FE3" w:rsidP="007A5503">
      <w:pPr>
        <w:pStyle w:val="Sraopastraipa"/>
        <w:numPr>
          <w:ilvl w:val="1"/>
          <w:numId w:val="64"/>
        </w:numPr>
        <w:tabs>
          <w:tab w:val="left" w:pos="567"/>
        </w:tabs>
        <w:autoSpaceDE w:val="0"/>
        <w:autoSpaceDN w:val="0"/>
        <w:adjustRightInd w:val="0"/>
        <w:ind w:hanging="1440"/>
        <w:rPr>
          <w:rFonts w:eastAsia="TimesNewRoman"/>
          <w:sz w:val="22"/>
          <w:lang w:val="en-US"/>
        </w:rPr>
      </w:pPr>
      <w:proofErr w:type="spellStart"/>
      <w:r w:rsidRPr="00220850">
        <w:rPr>
          <w:rFonts w:eastAsia="TimesNewRoman"/>
          <w:sz w:val="22"/>
          <w:lang w:val="en-US"/>
        </w:rPr>
        <w:t>jeigu</w:t>
      </w:r>
      <w:proofErr w:type="spellEnd"/>
      <w:r w:rsidRPr="00220850">
        <w:rPr>
          <w:rFonts w:eastAsia="TimesNewRoman"/>
          <w:sz w:val="22"/>
          <w:lang w:val="en-US"/>
        </w:rPr>
        <w:t xml:space="preserve"> </w:t>
      </w:r>
      <w:proofErr w:type="spellStart"/>
      <w:r w:rsidRPr="00220850">
        <w:rPr>
          <w:rFonts w:eastAsia="TimesNewRoman"/>
          <w:sz w:val="22"/>
          <w:lang w:val="en-US"/>
        </w:rPr>
        <w:t>patiriate</w:t>
      </w:r>
      <w:proofErr w:type="spellEnd"/>
      <w:r w:rsidRPr="00220850">
        <w:rPr>
          <w:rFonts w:eastAsia="TimesNewRoman"/>
          <w:sz w:val="22"/>
          <w:lang w:val="en-US"/>
        </w:rPr>
        <w:t xml:space="preserve"> bet </w:t>
      </w:r>
      <w:proofErr w:type="spellStart"/>
      <w:r w:rsidRPr="00220850">
        <w:rPr>
          <w:rFonts w:eastAsia="TimesNewRoman"/>
          <w:sz w:val="22"/>
          <w:lang w:val="en-US"/>
        </w:rPr>
        <w:t>kokį</w:t>
      </w:r>
      <w:proofErr w:type="spellEnd"/>
      <w:r w:rsidRPr="00220850">
        <w:rPr>
          <w:rFonts w:eastAsia="TimesNewRoman"/>
          <w:sz w:val="22"/>
          <w:lang w:val="en-US"/>
        </w:rPr>
        <w:t xml:space="preserve"> </w:t>
      </w:r>
      <w:proofErr w:type="spellStart"/>
      <w:r w:rsidRPr="00220850">
        <w:rPr>
          <w:rFonts w:eastAsia="TimesNewRoman"/>
          <w:sz w:val="22"/>
          <w:lang w:val="en-US"/>
        </w:rPr>
        <w:t>didesnį</w:t>
      </w:r>
      <w:proofErr w:type="spellEnd"/>
      <w:r w:rsidRPr="00220850">
        <w:rPr>
          <w:rFonts w:eastAsia="TimesNewRoman"/>
          <w:sz w:val="22"/>
          <w:lang w:val="en-US"/>
        </w:rPr>
        <w:t xml:space="preserve"> </w:t>
      </w:r>
      <w:proofErr w:type="spellStart"/>
      <w:r w:rsidRPr="00220850">
        <w:rPr>
          <w:rFonts w:eastAsia="TimesNewRoman"/>
          <w:sz w:val="22"/>
          <w:lang w:val="en-US"/>
        </w:rPr>
        <w:t>kraujavimą</w:t>
      </w:r>
      <w:proofErr w:type="spellEnd"/>
      <w:r w:rsidRPr="00220850">
        <w:rPr>
          <w:rFonts w:eastAsia="TimesNewRoman"/>
          <w:sz w:val="22"/>
          <w:lang w:val="en-US"/>
        </w:rPr>
        <w:t>;</w:t>
      </w:r>
    </w:p>
    <w:p w14:paraId="19064B6E" w14:textId="45ED0155" w:rsidR="00771FE3" w:rsidRPr="00220850" w:rsidRDefault="00771FE3" w:rsidP="0013626C">
      <w:pPr>
        <w:pStyle w:val="Sraopastraipa"/>
        <w:numPr>
          <w:ilvl w:val="0"/>
          <w:numId w:val="3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mėlynių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imate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jaučiate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nuovargį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sumišimą</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pažeidimo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vadinamo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trombozine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mikroangiopatija</w:t>
      </w:r>
      <w:proofErr w:type="spellEnd"/>
      <w:r w:rsidRPr="00220850">
        <w:rPr>
          <w:rFonts w:eastAsia="TimesNewRoman"/>
          <w:sz w:val="22"/>
          <w:szCs w:val="22"/>
          <w:lang w:val="en-US"/>
        </w:rPr>
        <w:t xml:space="preserve"> (TMA), </w:t>
      </w:r>
      <w:proofErr w:type="spellStart"/>
      <w:r w:rsidRPr="00220850">
        <w:rPr>
          <w:rFonts w:eastAsia="TimesNewRoman"/>
          <w:sz w:val="22"/>
          <w:szCs w:val="22"/>
          <w:lang w:val="en-US"/>
        </w:rPr>
        <w:t>požymis</w:t>
      </w:r>
      <w:proofErr w:type="spellEnd"/>
      <w:r w:rsidR="00954587" w:rsidRPr="00220850">
        <w:rPr>
          <w:rFonts w:eastAsia="TimesNewRoman"/>
          <w:sz w:val="22"/>
          <w:szCs w:val="22"/>
          <w:lang w:val="en-US"/>
        </w:rPr>
        <w:t>;</w:t>
      </w:r>
    </w:p>
    <w:p w14:paraId="77DED66A" w14:textId="6D6D1019" w:rsidR="00954587" w:rsidRPr="00220850" w:rsidRDefault="00954587" w:rsidP="00296ED8">
      <w:pPr>
        <w:pStyle w:val="Sraopastraipa"/>
        <w:numPr>
          <w:ilvl w:val="0"/>
          <w:numId w:val="30"/>
        </w:numPr>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pvz</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vadinamos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sindromu</w:t>
      </w:r>
      <w:proofErr w:type="spellEnd"/>
      <w:r w:rsidRPr="00220850">
        <w:rPr>
          <w:rFonts w:eastAsia="TimesNewRoman"/>
          <w:sz w:val="22"/>
          <w:szCs w:val="22"/>
          <w:lang w:val="en-US"/>
        </w:rPr>
        <w:t xml:space="preserve"> (UGES),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2188751C" w14:textId="77777777" w:rsidR="00771FE3" w:rsidRPr="00220850" w:rsidRDefault="00771FE3" w:rsidP="00771FE3">
      <w:pPr>
        <w:autoSpaceDE w:val="0"/>
        <w:autoSpaceDN w:val="0"/>
        <w:adjustRightInd w:val="0"/>
        <w:rPr>
          <w:rFonts w:eastAsia="TimesNewRoman,Bold"/>
          <w:b/>
          <w:bCs/>
          <w:sz w:val="22"/>
          <w:szCs w:val="22"/>
          <w:lang w:val="en-US"/>
        </w:rPr>
      </w:pPr>
    </w:p>
    <w:p w14:paraId="0B0164DA" w14:textId="77777777" w:rsidR="00771FE3" w:rsidRPr="00220850" w:rsidRDefault="00771FE3" w:rsidP="00771FE3">
      <w:pPr>
        <w:autoSpaceDE w:val="0"/>
        <w:autoSpaceDN w:val="0"/>
        <w:adjustRightInd w:val="0"/>
        <w:rPr>
          <w:rFonts w:eastAsia="TimesNewRoman,Bold"/>
          <w:b/>
          <w:bCs/>
          <w:sz w:val="22"/>
          <w:szCs w:val="22"/>
          <w:lang w:val="en-US"/>
        </w:rPr>
      </w:pPr>
      <w:proofErr w:type="spellStart"/>
      <w:r w:rsidRPr="00220850">
        <w:rPr>
          <w:rFonts w:eastAsia="TimesNewRoman,Bold"/>
          <w:b/>
          <w:bCs/>
          <w:sz w:val="22"/>
          <w:szCs w:val="22"/>
          <w:lang w:val="en-US"/>
        </w:rPr>
        <w:t>Vaikams</w:t>
      </w:r>
      <w:proofErr w:type="spellEnd"/>
      <w:r w:rsidRPr="00220850">
        <w:rPr>
          <w:rFonts w:eastAsia="TimesNewRoman,Bold"/>
          <w:b/>
          <w:bCs/>
          <w:sz w:val="22"/>
          <w:szCs w:val="22"/>
          <w:lang w:val="en-US"/>
        </w:rPr>
        <w:t xml:space="preserve"> </w:t>
      </w:r>
      <w:proofErr w:type="spellStart"/>
      <w:r w:rsidRPr="00220850">
        <w:rPr>
          <w:rFonts w:eastAsia="TimesNewRoman,Bold"/>
          <w:b/>
          <w:bCs/>
          <w:sz w:val="22"/>
          <w:szCs w:val="22"/>
          <w:lang w:val="en-US"/>
        </w:rPr>
        <w:t>ir</w:t>
      </w:r>
      <w:proofErr w:type="spellEnd"/>
      <w:r w:rsidRPr="00220850">
        <w:rPr>
          <w:rFonts w:eastAsia="TimesNewRoman,Bold"/>
          <w:b/>
          <w:bCs/>
          <w:sz w:val="22"/>
          <w:szCs w:val="22"/>
          <w:lang w:val="en-US"/>
        </w:rPr>
        <w:t xml:space="preserve"> </w:t>
      </w:r>
      <w:proofErr w:type="spellStart"/>
      <w:r w:rsidRPr="00220850">
        <w:rPr>
          <w:rFonts w:eastAsia="TimesNewRoman,Bold"/>
          <w:b/>
          <w:bCs/>
          <w:sz w:val="22"/>
          <w:szCs w:val="22"/>
          <w:lang w:val="en-US"/>
        </w:rPr>
        <w:t>paaugliams</w:t>
      </w:r>
      <w:proofErr w:type="spellEnd"/>
    </w:p>
    <w:p w14:paraId="184830AA" w14:textId="14A286F9" w:rsidR="001B1F53" w:rsidRPr="00220850" w:rsidRDefault="001B1F53" w:rsidP="001B1F53">
      <w:pPr>
        <w:numPr>
          <w:ilvl w:val="12"/>
          <w:numId w:val="0"/>
        </w:numPr>
        <w:ind w:right="-2"/>
        <w:rPr>
          <w:noProof/>
          <w:sz w:val="22"/>
          <w:szCs w:val="22"/>
        </w:rPr>
      </w:pPr>
      <w:r w:rsidRPr="00220850">
        <w:t xml:space="preserve"> </w:t>
      </w:r>
      <w:r w:rsidRPr="00220850">
        <w:rPr>
          <w:noProof/>
          <w:sz w:val="22"/>
          <w:szCs w:val="22"/>
        </w:rPr>
        <w:t xml:space="preserve">Nintedanib jaunesniems kaip 6 metų vaikams vartoti negalima. </w:t>
      </w:r>
    </w:p>
    <w:p w14:paraId="4F86C314" w14:textId="2B782C09" w:rsidR="00771FE3" w:rsidRPr="00220850" w:rsidRDefault="001B1F53" w:rsidP="001B1F53">
      <w:pPr>
        <w:numPr>
          <w:ilvl w:val="12"/>
          <w:numId w:val="0"/>
        </w:numPr>
        <w:ind w:right="-2"/>
        <w:rPr>
          <w:szCs w:val="22"/>
        </w:rPr>
      </w:pPr>
      <w:r w:rsidRPr="00220850">
        <w:rPr>
          <w:noProof/>
          <w:sz w:val="22"/>
          <w:szCs w:val="22"/>
        </w:rPr>
        <w:t>Gydytojas gali reguliariai bent kas 6 mėnesius atlikti dantų patikrą, kol baigsis dantų vystymasis ir augimas, ir kasmet (atliekant kaulų vaizdinį tyrimą) stebėti Jūsų augimą, kol vartojate šį vaistą.</w:t>
      </w:r>
    </w:p>
    <w:p w14:paraId="7FF6C5D5" w14:textId="77777777" w:rsidR="00771FE3" w:rsidRPr="00220850" w:rsidRDefault="00771FE3" w:rsidP="00771FE3">
      <w:pPr>
        <w:numPr>
          <w:ilvl w:val="12"/>
          <w:numId w:val="0"/>
        </w:numPr>
        <w:rPr>
          <w:b/>
          <w:sz w:val="22"/>
          <w:szCs w:val="24"/>
        </w:rPr>
      </w:pPr>
    </w:p>
    <w:p w14:paraId="391067FA" w14:textId="77777777" w:rsidR="00771FE3" w:rsidRPr="00220850" w:rsidRDefault="00771FE3" w:rsidP="00771FE3">
      <w:pPr>
        <w:keepNext/>
        <w:tabs>
          <w:tab w:val="left" w:pos="567"/>
        </w:tabs>
        <w:spacing w:line="260" w:lineRule="exact"/>
        <w:jc w:val="both"/>
        <w:outlineLvl w:val="3"/>
        <w:rPr>
          <w:b/>
          <w:sz w:val="22"/>
          <w:szCs w:val="22"/>
        </w:rPr>
      </w:pPr>
      <w:r w:rsidRPr="00220850">
        <w:rPr>
          <w:b/>
          <w:bCs/>
          <w:sz w:val="22"/>
          <w:szCs w:val="28"/>
          <w:lang w:eastAsia="x-none"/>
        </w:rPr>
        <w:t xml:space="preserve">Kiti vaistai ir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4571B55E"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Jeigu vartojate ar neseniai vartojote kitų vaistų, įskaitant augalinius ir nereceptinius vaistus, arba dėl to nesate tikri, apie tai pasakykite gydytojui arba vaistininkui.</w:t>
      </w:r>
    </w:p>
    <w:p w14:paraId="36479EEE" w14:textId="77777777" w:rsidR="00771FE3" w:rsidRPr="00220850" w:rsidRDefault="00771FE3" w:rsidP="00771FE3">
      <w:pPr>
        <w:autoSpaceDE w:val="0"/>
        <w:autoSpaceDN w:val="0"/>
        <w:adjustRightInd w:val="0"/>
        <w:rPr>
          <w:rFonts w:eastAsia="TimesNewRoman"/>
          <w:sz w:val="22"/>
          <w:szCs w:val="22"/>
        </w:rPr>
      </w:pPr>
    </w:p>
    <w:p w14:paraId="74A8EABF" w14:textId="1B167839" w:rsidR="00771FE3" w:rsidRPr="00220850" w:rsidRDefault="00771FE3" w:rsidP="00771FE3">
      <w:pPr>
        <w:autoSpaceDE w:val="0"/>
        <w:autoSpaceDN w:val="0"/>
        <w:adjustRightInd w:val="0"/>
        <w:rPr>
          <w:rFonts w:eastAsia="TimesNewRoman"/>
          <w:sz w:val="22"/>
          <w:szCs w:val="22"/>
          <w:lang w:val="fr-FR"/>
        </w:rPr>
      </w:pPr>
      <w:r w:rsidRPr="00220850">
        <w:rPr>
          <w:rFonts w:eastAsia="TimesNewRoman"/>
          <w:sz w:val="22"/>
          <w:szCs w:val="22"/>
          <w:lang w:val="fr-FR"/>
        </w:rPr>
        <w:t>Nintedanib Teva gali sąveikauti su tam tikrais kitais vaistais. Toliau išvardyti vaistai yra pavyzdžiai vaistų, kurie gali padidinti nintedanibo kiekį Jūsų kraujyje ir todėl gali padidėti šalutinio poveikio rizika (žr. 4 skyrių</w:t>
      </w:r>
      <w:r w:rsidR="004C68FC" w:rsidRPr="00220850">
        <w:rPr>
          <w:rFonts w:eastAsia="TimesNewRoman"/>
          <w:sz w:val="22"/>
          <w:szCs w:val="22"/>
          <w:lang w:val="fr-FR"/>
        </w:rPr>
        <w:t xml:space="preserve"> </w:t>
      </w:r>
      <w:r w:rsidR="00DA7EB5" w:rsidRPr="00220850">
        <w:rPr>
          <w:rFonts w:eastAsia="TimesNewRoman"/>
          <w:sz w:val="22"/>
          <w:szCs w:val="22"/>
          <w:lang w:val="fr-FR"/>
        </w:rPr>
        <w:t>“Galimas šalutinis poveikis”</w:t>
      </w:r>
      <w:r w:rsidRPr="00220850">
        <w:rPr>
          <w:rFonts w:eastAsia="TimesNewRoman"/>
          <w:sz w:val="22"/>
          <w:szCs w:val="22"/>
          <w:lang w:val="fr-FR"/>
        </w:rPr>
        <w:t>):</w:t>
      </w:r>
    </w:p>
    <w:p w14:paraId="0F429CDF" w14:textId="77777777" w:rsidR="00771FE3" w:rsidRPr="00220850" w:rsidRDefault="00771FE3" w:rsidP="0013626C">
      <w:pPr>
        <w:pStyle w:val="Sraopastraipa"/>
        <w:numPr>
          <w:ilvl w:val="0"/>
          <w:numId w:val="31"/>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grybelinėms infekcinėms ligoms gydyti (ketokonazolas),</w:t>
      </w:r>
    </w:p>
    <w:p w14:paraId="0988D7AE" w14:textId="77777777" w:rsidR="00771FE3" w:rsidRPr="00220850" w:rsidRDefault="00771FE3" w:rsidP="0013626C">
      <w:pPr>
        <w:pStyle w:val="Sraopastraipa"/>
        <w:numPr>
          <w:ilvl w:val="0"/>
          <w:numId w:val="31"/>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bakterinėms infekcinėms ligoms gydyti (eritromicinas),</w:t>
      </w:r>
    </w:p>
    <w:p w14:paraId="61C6D852" w14:textId="77777777" w:rsidR="00771FE3" w:rsidRPr="00220850" w:rsidRDefault="00771FE3" w:rsidP="0013626C">
      <w:pPr>
        <w:pStyle w:val="Sraopastraipa"/>
        <w:numPr>
          <w:ilvl w:val="0"/>
          <w:numId w:val="31"/>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veikiantis imuninę sistemą (ciklosporinas).</w:t>
      </w:r>
    </w:p>
    <w:p w14:paraId="402AA09A" w14:textId="77777777" w:rsidR="004646FE" w:rsidRPr="00220850" w:rsidRDefault="004646FE" w:rsidP="00771FE3">
      <w:pPr>
        <w:autoSpaceDE w:val="0"/>
        <w:autoSpaceDN w:val="0"/>
        <w:adjustRightInd w:val="0"/>
        <w:rPr>
          <w:rFonts w:eastAsia="TimesNewRoman"/>
          <w:sz w:val="22"/>
          <w:szCs w:val="22"/>
          <w:lang w:val="fr-FR"/>
        </w:rPr>
      </w:pPr>
    </w:p>
    <w:p w14:paraId="24659EC7" w14:textId="121EBC4D" w:rsidR="00771FE3" w:rsidRPr="00220850" w:rsidRDefault="00771FE3" w:rsidP="00771FE3">
      <w:pPr>
        <w:autoSpaceDE w:val="0"/>
        <w:autoSpaceDN w:val="0"/>
        <w:adjustRightInd w:val="0"/>
        <w:rPr>
          <w:rFonts w:eastAsia="TimesNewRoman"/>
          <w:sz w:val="22"/>
          <w:szCs w:val="22"/>
          <w:lang w:val="fr-FR"/>
        </w:rPr>
      </w:pPr>
      <w:r w:rsidRPr="00220850">
        <w:rPr>
          <w:rFonts w:eastAsia="TimesNewRoman"/>
          <w:sz w:val="22"/>
          <w:szCs w:val="22"/>
          <w:lang w:val="fr-FR"/>
        </w:rPr>
        <w:t>Šie vaistai yra pavyzdžiai vaistų, kurie gali sumažinti nintedanibo kiekį Jūsų kraujyje ir todėl gali sumažėti Nintedanib Teva veiksmingumas:</w:t>
      </w:r>
    </w:p>
    <w:p w14:paraId="6988FBBA" w14:textId="77777777" w:rsidR="00771FE3" w:rsidRPr="00220850" w:rsidRDefault="00771FE3" w:rsidP="0013626C">
      <w:pPr>
        <w:pStyle w:val="Sraopastraipa"/>
        <w:numPr>
          <w:ilvl w:val="0"/>
          <w:numId w:val="32"/>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antibiotikas, vartojamas tuberkuliozei gydyti (rifampicinas),</w:t>
      </w:r>
    </w:p>
    <w:p w14:paraId="472DFAB1" w14:textId="77777777" w:rsidR="00771FE3" w:rsidRPr="00220850" w:rsidRDefault="00771FE3" w:rsidP="0013626C">
      <w:pPr>
        <w:pStyle w:val="Sraopastraipa"/>
        <w:numPr>
          <w:ilvl w:val="0"/>
          <w:numId w:val="32"/>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vaistai, vartojami traukuliams gydyti (karbamazepinas, fenitoinas),</w:t>
      </w:r>
    </w:p>
    <w:p w14:paraId="49F73643" w14:textId="77777777" w:rsidR="00771FE3" w:rsidRPr="00220850" w:rsidRDefault="00771FE3" w:rsidP="0013626C">
      <w:pPr>
        <w:pStyle w:val="Sraopastraipa"/>
        <w:numPr>
          <w:ilvl w:val="0"/>
          <w:numId w:val="32"/>
        </w:numPr>
        <w:ind w:left="567" w:right="-2" w:hanging="567"/>
        <w:rPr>
          <w:sz w:val="22"/>
          <w:szCs w:val="24"/>
        </w:rPr>
      </w:pPr>
      <w:r w:rsidRPr="00220850">
        <w:rPr>
          <w:rFonts w:eastAsia="TimesNewRoman"/>
          <w:sz w:val="22"/>
          <w:szCs w:val="22"/>
          <w:lang w:val="fr-FR"/>
        </w:rPr>
        <w:t>augaliniai vaistai, vartojami depresijai gydyti (paprastųjų jonažolių preparatai).</w:t>
      </w:r>
    </w:p>
    <w:p w14:paraId="2BE979A3" w14:textId="77777777" w:rsidR="00771FE3" w:rsidRPr="00220850" w:rsidRDefault="00771FE3" w:rsidP="00771FE3">
      <w:pPr>
        <w:keepNext/>
        <w:tabs>
          <w:tab w:val="left" w:pos="567"/>
        </w:tabs>
        <w:spacing w:line="260" w:lineRule="exact"/>
        <w:jc w:val="both"/>
        <w:outlineLvl w:val="3"/>
        <w:rPr>
          <w:b/>
          <w:sz w:val="22"/>
          <w:szCs w:val="22"/>
        </w:rPr>
      </w:pPr>
    </w:p>
    <w:p w14:paraId="36EC3F20"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Nėštumas ir žindymo laikotarpis</w:t>
      </w:r>
    </w:p>
    <w:p w14:paraId="203E9175" w14:textId="77777777" w:rsidR="00771FE3" w:rsidRPr="00220850" w:rsidRDefault="00771FE3" w:rsidP="00771FE3">
      <w:pPr>
        <w:numPr>
          <w:ilvl w:val="12"/>
          <w:numId w:val="0"/>
        </w:numPr>
        <w:rPr>
          <w:sz w:val="22"/>
          <w:szCs w:val="24"/>
        </w:rPr>
      </w:pPr>
      <w:r w:rsidRPr="00220850">
        <w:rPr>
          <w:sz w:val="22"/>
          <w:szCs w:val="24"/>
        </w:rPr>
        <w:t>Jeigu esate nėščia, žindote kūdikį, manote, kad galbūt esate nėščia, arba planuojate pastoti, tai prieš vartodama šį vaistą pasitarkite su gydytoju arba vaistininku.</w:t>
      </w:r>
    </w:p>
    <w:p w14:paraId="1B5EFF63" w14:textId="77777777" w:rsidR="00771FE3" w:rsidRPr="00220850" w:rsidRDefault="00771FE3" w:rsidP="00771FE3">
      <w:pPr>
        <w:autoSpaceDE w:val="0"/>
        <w:autoSpaceDN w:val="0"/>
        <w:adjustRightInd w:val="0"/>
        <w:rPr>
          <w:rFonts w:eastAsia="TimesNewRoman"/>
          <w:sz w:val="22"/>
          <w:szCs w:val="22"/>
        </w:rPr>
      </w:pPr>
    </w:p>
    <w:p w14:paraId="26783030" w14:textId="77777777" w:rsidR="00771FE3" w:rsidRPr="00220850" w:rsidRDefault="00771FE3" w:rsidP="00771FE3">
      <w:pPr>
        <w:autoSpaceDE w:val="0"/>
        <w:autoSpaceDN w:val="0"/>
        <w:adjustRightInd w:val="0"/>
        <w:rPr>
          <w:rFonts w:eastAsia="TimesNewRoman"/>
          <w:sz w:val="22"/>
          <w:szCs w:val="22"/>
          <w:u w:val="single"/>
        </w:rPr>
      </w:pPr>
      <w:r w:rsidRPr="00220850">
        <w:rPr>
          <w:rFonts w:eastAsia="TimesNewRoman"/>
          <w:sz w:val="22"/>
          <w:szCs w:val="22"/>
          <w:u w:val="single"/>
        </w:rPr>
        <w:t>Nėštumas</w:t>
      </w:r>
    </w:p>
    <w:p w14:paraId="6BDD7641" w14:textId="190B6FA5"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 xml:space="preserve">Nėštumo metu šio vaisto vartoti negalima, nes jis gali pakenkti Jūsų negimusiam vaikui ir sukelti </w:t>
      </w:r>
      <w:r w:rsidR="00C201D1" w:rsidRPr="00220850">
        <w:rPr>
          <w:rFonts w:eastAsia="TimesNewRoman"/>
          <w:sz w:val="22"/>
          <w:szCs w:val="22"/>
        </w:rPr>
        <w:t>įgimtų formavimosi ydų</w:t>
      </w:r>
      <w:r w:rsidRPr="00220850">
        <w:rPr>
          <w:rFonts w:eastAsia="TimesNewRoman"/>
          <w:sz w:val="22"/>
          <w:szCs w:val="22"/>
        </w:rPr>
        <w:t>.</w:t>
      </w:r>
    </w:p>
    <w:p w14:paraId="2A0E8D22" w14:textId="77777777" w:rsidR="00771FE3" w:rsidRPr="00220850" w:rsidRDefault="00771FE3" w:rsidP="00771FE3">
      <w:pPr>
        <w:autoSpaceDE w:val="0"/>
        <w:autoSpaceDN w:val="0"/>
        <w:adjustRightInd w:val="0"/>
        <w:rPr>
          <w:rFonts w:eastAsia="TimesNewRoman"/>
          <w:sz w:val="22"/>
          <w:szCs w:val="22"/>
        </w:rPr>
      </w:pPr>
    </w:p>
    <w:p w14:paraId="0B490C06" w14:textId="77777777" w:rsidR="00771FE3" w:rsidRPr="00220850" w:rsidRDefault="00771FE3" w:rsidP="00771FE3">
      <w:pPr>
        <w:autoSpaceDE w:val="0"/>
        <w:autoSpaceDN w:val="0"/>
        <w:adjustRightInd w:val="0"/>
        <w:rPr>
          <w:rFonts w:eastAsia="TimesNewRoman"/>
          <w:sz w:val="22"/>
          <w:szCs w:val="22"/>
          <w:lang w:val="en-US"/>
        </w:rPr>
      </w:pPr>
      <w:r w:rsidRPr="00220850">
        <w:rPr>
          <w:rFonts w:eastAsia="TimesNewRoman"/>
          <w:sz w:val="22"/>
          <w:szCs w:val="22"/>
        </w:rPr>
        <w:t xml:space="preserve">Prieš pradedant gydymą šiuo vaistu, Jums būtina atlikti nėštumo testą </w:t>
      </w:r>
      <w:proofErr w:type="spellStart"/>
      <w:r w:rsidRPr="00220850">
        <w:rPr>
          <w:rFonts w:eastAsia="TimesNewRoman"/>
          <w:sz w:val="22"/>
          <w:szCs w:val="22"/>
        </w:rPr>
        <w:t>siekant</w:t>
      </w:r>
      <w:proofErr w:type="spellEnd"/>
      <w:r w:rsidRPr="00220850">
        <w:rPr>
          <w:rFonts w:eastAsia="TimesNewRoman"/>
          <w:sz w:val="22"/>
          <w:szCs w:val="22"/>
        </w:rPr>
        <w:t xml:space="preserve"> įsitikinti, kad nesate nėščia. </w:t>
      </w:r>
      <w:proofErr w:type="spellStart"/>
      <w:r w:rsidRPr="00220850">
        <w:rPr>
          <w:rFonts w:eastAsia="TimesNewRoman"/>
          <w:sz w:val="22"/>
          <w:szCs w:val="22"/>
          <w:lang w:val="en-US"/>
        </w:rPr>
        <w:t>Pasitarkite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w:t>
      </w:r>
      <w:proofErr w:type="spellEnd"/>
      <w:r w:rsidRPr="00220850">
        <w:rPr>
          <w:rFonts w:eastAsia="TimesNewRoman"/>
          <w:sz w:val="22"/>
          <w:szCs w:val="22"/>
          <w:lang w:val="en-US"/>
        </w:rPr>
        <w:t>.</w:t>
      </w:r>
    </w:p>
    <w:p w14:paraId="0C5EFE47" w14:textId="77777777" w:rsidR="00771FE3" w:rsidRPr="00220850" w:rsidRDefault="00771FE3" w:rsidP="00771FE3">
      <w:pPr>
        <w:autoSpaceDE w:val="0"/>
        <w:autoSpaceDN w:val="0"/>
        <w:adjustRightInd w:val="0"/>
        <w:rPr>
          <w:rFonts w:eastAsia="TimesNewRoman"/>
          <w:sz w:val="22"/>
          <w:szCs w:val="22"/>
          <w:lang w:val="en-US"/>
        </w:rPr>
      </w:pPr>
    </w:p>
    <w:p w14:paraId="334D90D5" w14:textId="77777777" w:rsidR="00771FE3" w:rsidRPr="00220850" w:rsidRDefault="00771FE3" w:rsidP="00771FE3">
      <w:pPr>
        <w:autoSpaceDE w:val="0"/>
        <w:autoSpaceDN w:val="0"/>
        <w:adjustRightInd w:val="0"/>
        <w:rPr>
          <w:rFonts w:eastAsia="TimesNewRoman"/>
          <w:sz w:val="22"/>
          <w:szCs w:val="22"/>
          <w:u w:val="single"/>
          <w:lang w:val="en-US"/>
        </w:rPr>
      </w:pPr>
      <w:proofErr w:type="spellStart"/>
      <w:r w:rsidRPr="00220850">
        <w:rPr>
          <w:rFonts w:eastAsia="TimesNewRoman"/>
          <w:sz w:val="22"/>
          <w:szCs w:val="22"/>
          <w:u w:val="single"/>
          <w:lang w:val="en-US"/>
        </w:rPr>
        <w:t>Kontracepcija</w:t>
      </w:r>
      <w:proofErr w:type="spellEnd"/>
    </w:p>
    <w:p w14:paraId="41BA0735" w14:textId="77777777" w:rsidR="00771FE3" w:rsidRPr="00220850" w:rsidRDefault="00771FE3" w:rsidP="0013626C">
      <w:pPr>
        <w:pStyle w:val="Sraopastraipa"/>
        <w:numPr>
          <w:ilvl w:val="0"/>
          <w:numId w:val="5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Galinčios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moterys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kai </w:t>
      </w:r>
      <w:proofErr w:type="spellStart"/>
      <w:r w:rsidRPr="00220850">
        <w:rPr>
          <w:rFonts w:eastAsia="TimesNewRoman"/>
          <w:sz w:val="22"/>
          <w:szCs w:val="22"/>
          <w:lang w:val="en-US"/>
        </w:rPr>
        <w:t>pradeda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vartoja</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mažiausiai</w:t>
      </w:r>
      <w:proofErr w:type="spellEnd"/>
      <w:r w:rsidRPr="00220850">
        <w:rPr>
          <w:rFonts w:eastAsia="TimesNewRoman"/>
          <w:sz w:val="22"/>
          <w:szCs w:val="22"/>
          <w:lang w:val="en-US"/>
        </w:rPr>
        <w:t xml:space="preserve"> 3 </w:t>
      </w:r>
      <w:proofErr w:type="spellStart"/>
      <w:r w:rsidRPr="00220850">
        <w:rPr>
          <w:rFonts w:eastAsia="TimesNewRoman"/>
          <w:sz w:val="22"/>
          <w:szCs w:val="22"/>
          <w:lang w:val="en-US"/>
        </w:rPr>
        <w:t>mėnesius</w:t>
      </w:r>
      <w:proofErr w:type="spellEnd"/>
      <w:r w:rsidRPr="00220850">
        <w:rPr>
          <w:rFonts w:eastAsia="TimesNewRoman"/>
          <w:sz w:val="22"/>
          <w:szCs w:val="22"/>
          <w:lang w:val="en-US"/>
        </w:rPr>
        <w:t xml:space="preserve"> po </w:t>
      </w:r>
      <w:proofErr w:type="spellStart"/>
      <w:r w:rsidRPr="00220850">
        <w:rPr>
          <w:rFonts w:eastAsia="TimesNewRoman"/>
          <w:sz w:val="22"/>
          <w:szCs w:val="22"/>
          <w:lang w:val="en-US"/>
        </w:rPr>
        <w:t>gydymo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turi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taikyti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labai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veiksmingą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kontrolės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metodą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apsisaugotų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w:t>
      </w:r>
    </w:p>
    <w:p w14:paraId="18B34F34" w14:textId="77777777" w:rsidR="00771FE3" w:rsidRPr="00220850" w:rsidRDefault="00771FE3" w:rsidP="0013626C">
      <w:pPr>
        <w:pStyle w:val="Sraopastraipa"/>
        <w:numPr>
          <w:ilvl w:val="0"/>
          <w:numId w:val="50"/>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Turite aptarti su savo gydytoju Jums tinkamiausius kontracepcijos metodus.</w:t>
      </w:r>
    </w:p>
    <w:p w14:paraId="31F2344A" w14:textId="77777777" w:rsidR="00771FE3" w:rsidRPr="00220850" w:rsidRDefault="00771FE3" w:rsidP="0013626C">
      <w:pPr>
        <w:pStyle w:val="Sraopastraipa"/>
        <w:numPr>
          <w:ilvl w:val="0"/>
          <w:numId w:val="50"/>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33CCCFC7" w14:textId="77777777" w:rsidR="00771FE3" w:rsidRPr="00220850" w:rsidRDefault="00771FE3" w:rsidP="0013626C">
      <w:pPr>
        <w:pStyle w:val="Sraopastraipa"/>
        <w:numPr>
          <w:ilvl w:val="0"/>
          <w:numId w:val="50"/>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Nedelsdama pasakykite gydytojui ar vaistininkui, jeigu</w:t>
      </w:r>
      <w:r w:rsidR="00E06932" w:rsidRPr="00220850">
        <w:rPr>
          <w:rFonts w:eastAsia="TimesNewRoman"/>
          <w:sz w:val="22"/>
          <w:szCs w:val="22"/>
          <w:lang w:val="fr-FR"/>
        </w:rPr>
        <w:t xml:space="preserve"> gydymo šiuo vaistu metu pastojo</w:t>
      </w:r>
      <w:r w:rsidRPr="00220850">
        <w:rPr>
          <w:rFonts w:eastAsia="TimesNewRoman"/>
          <w:sz w:val="22"/>
          <w:szCs w:val="22"/>
          <w:lang w:val="fr-FR"/>
        </w:rPr>
        <w:t>te arba manote, kad galbūt pastojote.</w:t>
      </w:r>
    </w:p>
    <w:p w14:paraId="534BD76A" w14:textId="77777777" w:rsidR="00771FE3" w:rsidRPr="00220850" w:rsidRDefault="00771FE3" w:rsidP="00771FE3">
      <w:pPr>
        <w:autoSpaceDE w:val="0"/>
        <w:autoSpaceDN w:val="0"/>
        <w:adjustRightInd w:val="0"/>
        <w:rPr>
          <w:rFonts w:eastAsia="TimesNewRoman"/>
          <w:sz w:val="22"/>
          <w:szCs w:val="22"/>
          <w:u w:val="single"/>
          <w:lang w:val="fr-FR"/>
        </w:rPr>
      </w:pPr>
    </w:p>
    <w:p w14:paraId="1F93DA59" w14:textId="77777777" w:rsidR="00771FE3" w:rsidRPr="00220850" w:rsidRDefault="00771FE3" w:rsidP="00771FE3">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Žindymo laikotarpis</w:t>
      </w:r>
    </w:p>
    <w:p w14:paraId="062C3DD6" w14:textId="77777777" w:rsidR="00771FE3" w:rsidRPr="00220850" w:rsidRDefault="00771FE3" w:rsidP="00771FE3">
      <w:pPr>
        <w:numPr>
          <w:ilvl w:val="12"/>
          <w:numId w:val="0"/>
        </w:numPr>
        <w:rPr>
          <w:sz w:val="22"/>
          <w:szCs w:val="24"/>
        </w:rPr>
      </w:pPr>
      <w:r w:rsidRPr="00220850">
        <w:rPr>
          <w:rFonts w:eastAsia="TimesNewRoman"/>
          <w:sz w:val="22"/>
          <w:szCs w:val="22"/>
          <w:lang w:val="fr-FR"/>
        </w:rPr>
        <w:t>Gydymo šiuo vaistu metu nežindykite, nes tai gali pakenkti žindomam kūdikiui.</w:t>
      </w:r>
    </w:p>
    <w:p w14:paraId="6A4CE261" w14:textId="77777777" w:rsidR="00771FE3" w:rsidRPr="00220850" w:rsidRDefault="00771FE3" w:rsidP="00771FE3">
      <w:pPr>
        <w:keepNext/>
        <w:tabs>
          <w:tab w:val="left" w:pos="567"/>
        </w:tabs>
        <w:spacing w:line="260" w:lineRule="exact"/>
        <w:jc w:val="both"/>
        <w:outlineLvl w:val="3"/>
        <w:rPr>
          <w:b/>
          <w:bCs/>
          <w:sz w:val="22"/>
          <w:szCs w:val="28"/>
          <w:lang w:eastAsia="x-none"/>
        </w:rPr>
      </w:pPr>
    </w:p>
    <w:p w14:paraId="22958074"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Vairavimas ir mechanizmų valdymas</w:t>
      </w:r>
    </w:p>
    <w:p w14:paraId="5C6D941E" w14:textId="77777777" w:rsidR="00771FE3" w:rsidRPr="00220850" w:rsidRDefault="00771FE3" w:rsidP="00771FE3">
      <w:pPr>
        <w:autoSpaceDE w:val="0"/>
        <w:autoSpaceDN w:val="0"/>
        <w:adjustRightInd w:val="0"/>
        <w:rPr>
          <w:sz w:val="22"/>
          <w:szCs w:val="24"/>
        </w:rPr>
      </w:pPr>
      <w:r w:rsidRPr="00220850">
        <w:rPr>
          <w:rFonts w:eastAsia="TimesNewRoman"/>
          <w:sz w:val="22"/>
          <w:szCs w:val="22"/>
        </w:rPr>
        <w:t>Šis vaistas gebėjimą vairuoti ir valdyti mechanizmus veikia silpnai. Jei Jus pykina, nevairuokite ir nevaldykite mechanizmų.</w:t>
      </w:r>
    </w:p>
    <w:p w14:paraId="72D822A7" w14:textId="77777777" w:rsidR="00771FE3" w:rsidRPr="00220850" w:rsidRDefault="00771FE3" w:rsidP="00771FE3">
      <w:pPr>
        <w:keepNext/>
        <w:tabs>
          <w:tab w:val="left" w:pos="567"/>
        </w:tabs>
        <w:spacing w:line="260" w:lineRule="exact"/>
        <w:jc w:val="both"/>
        <w:outlineLvl w:val="3"/>
        <w:rPr>
          <w:b/>
          <w:bCs/>
          <w:sz w:val="22"/>
          <w:szCs w:val="28"/>
          <w:lang w:eastAsia="x-none"/>
        </w:rPr>
      </w:pPr>
    </w:p>
    <w:p w14:paraId="68B6661D" w14:textId="77777777" w:rsidR="00771FE3" w:rsidRPr="00220850" w:rsidRDefault="00771FE3" w:rsidP="00771FE3">
      <w:pPr>
        <w:numPr>
          <w:ilvl w:val="12"/>
          <w:numId w:val="0"/>
        </w:numPr>
        <w:ind w:right="-2"/>
        <w:rPr>
          <w:sz w:val="22"/>
          <w:szCs w:val="24"/>
        </w:rPr>
      </w:pPr>
    </w:p>
    <w:p w14:paraId="387853B5" w14:textId="77777777" w:rsidR="00771FE3" w:rsidRPr="00220850" w:rsidRDefault="00771FE3" w:rsidP="00771FE3">
      <w:pPr>
        <w:keepNext/>
        <w:keepLines/>
        <w:tabs>
          <w:tab w:val="left" w:pos="567"/>
        </w:tabs>
        <w:outlineLvl w:val="2"/>
        <w:rPr>
          <w:b/>
          <w:bCs/>
          <w:sz w:val="22"/>
          <w:szCs w:val="26"/>
          <w:lang w:eastAsia="x-none"/>
        </w:rPr>
      </w:pPr>
      <w:r w:rsidRPr="00220850">
        <w:rPr>
          <w:b/>
          <w:bCs/>
          <w:sz w:val="22"/>
          <w:szCs w:val="26"/>
          <w:lang w:eastAsia="x-none"/>
        </w:rPr>
        <w:t>3.</w:t>
      </w:r>
      <w:r w:rsidRPr="00220850">
        <w:rPr>
          <w:b/>
          <w:bCs/>
          <w:sz w:val="22"/>
          <w:szCs w:val="26"/>
          <w:lang w:eastAsia="x-none"/>
        </w:rPr>
        <w:tab/>
        <w:t xml:space="preserve">Kaip 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7B30132D" w14:textId="77777777" w:rsidR="00771FE3" w:rsidRPr="00220850" w:rsidRDefault="00771FE3" w:rsidP="00771FE3">
      <w:pPr>
        <w:numPr>
          <w:ilvl w:val="12"/>
          <w:numId w:val="0"/>
        </w:numPr>
        <w:ind w:right="-2"/>
        <w:rPr>
          <w:sz w:val="22"/>
          <w:szCs w:val="24"/>
        </w:rPr>
      </w:pPr>
    </w:p>
    <w:p w14:paraId="7E5CB009" w14:textId="77777777" w:rsidR="00771FE3" w:rsidRPr="00220850" w:rsidRDefault="00771FE3" w:rsidP="00771FE3">
      <w:pPr>
        <w:ind w:right="-2"/>
        <w:rPr>
          <w:sz w:val="22"/>
        </w:rPr>
      </w:pPr>
      <w:r w:rsidRPr="00220850">
        <w:rPr>
          <w:sz w:val="22"/>
        </w:rPr>
        <w:t xml:space="preserve">Visada vartokite šį vaistą tiksliai, kaip nurodė gydytojas arba vaistininkas. Jeigu abejojate, kreipkitės į gydytoją arba vaistininką. </w:t>
      </w:r>
    </w:p>
    <w:p w14:paraId="44DA51DD" w14:textId="77777777" w:rsidR="00771FE3" w:rsidRPr="00220850" w:rsidRDefault="00771FE3" w:rsidP="00771FE3">
      <w:pPr>
        <w:numPr>
          <w:ilvl w:val="12"/>
          <w:numId w:val="0"/>
        </w:numPr>
        <w:ind w:right="-2"/>
        <w:rPr>
          <w:sz w:val="22"/>
          <w:szCs w:val="24"/>
        </w:rPr>
      </w:pPr>
    </w:p>
    <w:p w14:paraId="06836A39" w14:textId="01C24019" w:rsidR="00771FE3" w:rsidRPr="00220850" w:rsidRDefault="00771FE3" w:rsidP="00771FE3">
      <w:pPr>
        <w:autoSpaceDE w:val="0"/>
        <w:autoSpaceDN w:val="0"/>
        <w:adjustRightInd w:val="0"/>
        <w:rPr>
          <w:rFonts w:eastAsia="TimesNewRoman"/>
          <w:sz w:val="22"/>
          <w:szCs w:val="22"/>
          <w:lang w:val="fr-FR"/>
        </w:rPr>
      </w:pPr>
      <w:r w:rsidRPr="00220850">
        <w:rPr>
          <w:rFonts w:eastAsia="TimesNewRoman"/>
          <w:sz w:val="22"/>
          <w:szCs w:val="22"/>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220850">
        <w:rPr>
          <w:rFonts w:eastAsia="TimesNewRoman"/>
          <w:sz w:val="22"/>
          <w:szCs w:val="22"/>
        </w:rPr>
        <w:t>nintedanibo</w:t>
      </w:r>
      <w:proofErr w:type="spellEnd"/>
      <w:r w:rsidRPr="00220850">
        <w:rPr>
          <w:rFonts w:eastAsia="TimesNewRoman"/>
          <w:sz w:val="22"/>
          <w:szCs w:val="22"/>
        </w:rPr>
        <w:t xml:space="preserve"> kiekis kraujyje bus pastovus. Nurykite visą kapsulę užsigerdami vandeniu, kapsulės nekramtykite. </w:t>
      </w:r>
      <w:r w:rsidRPr="00220850">
        <w:rPr>
          <w:rFonts w:eastAsia="TimesNewRoman"/>
          <w:sz w:val="22"/>
          <w:szCs w:val="22"/>
          <w:lang w:val="fr-FR"/>
        </w:rPr>
        <w:t>Rekomenduojama kapsules gerti su maistu, t. y. valgant arba prieš pat valgį ar tučtuojau po jo. Kapsulės neatidarykite ir netraiškykite (žr. 5 skyrių</w:t>
      </w:r>
      <w:r w:rsidR="004C68FC" w:rsidRPr="00220850">
        <w:rPr>
          <w:rFonts w:eastAsia="TimesNewRoman"/>
          <w:sz w:val="22"/>
          <w:szCs w:val="22"/>
          <w:lang w:val="fr-FR"/>
        </w:rPr>
        <w:t xml:space="preserve"> </w:t>
      </w:r>
      <w:r w:rsidR="00DA7EB5" w:rsidRPr="00220850">
        <w:rPr>
          <w:rFonts w:eastAsia="TimesNewRoman"/>
          <w:sz w:val="22"/>
          <w:szCs w:val="22"/>
          <w:lang w:val="fr-FR"/>
        </w:rPr>
        <w:t>„Kaip laikyti Nintedanib Teva“</w:t>
      </w:r>
      <w:r w:rsidRPr="00220850">
        <w:rPr>
          <w:rFonts w:eastAsia="TimesNewRoman"/>
          <w:sz w:val="22"/>
          <w:szCs w:val="22"/>
          <w:lang w:val="fr-FR"/>
        </w:rPr>
        <w:t>).</w:t>
      </w:r>
    </w:p>
    <w:p w14:paraId="7A8EC580" w14:textId="77777777" w:rsidR="00771FE3" w:rsidRPr="00220850" w:rsidRDefault="00771FE3" w:rsidP="00771FE3">
      <w:pPr>
        <w:autoSpaceDE w:val="0"/>
        <w:autoSpaceDN w:val="0"/>
        <w:adjustRightInd w:val="0"/>
        <w:rPr>
          <w:rFonts w:eastAsia="TimesNewRoman,Bold"/>
          <w:b/>
          <w:bCs/>
          <w:sz w:val="22"/>
          <w:szCs w:val="22"/>
          <w:lang w:val="fr-FR"/>
        </w:rPr>
      </w:pPr>
    </w:p>
    <w:p w14:paraId="72A0B15F" w14:textId="45EAF6E4" w:rsidR="004C68FC" w:rsidRPr="00220850" w:rsidRDefault="00DA7EB5" w:rsidP="00771FE3">
      <w:pPr>
        <w:autoSpaceDE w:val="0"/>
        <w:autoSpaceDN w:val="0"/>
        <w:adjustRightInd w:val="0"/>
        <w:rPr>
          <w:iCs/>
          <w:sz w:val="22"/>
          <w:lang w:val="fr-FR"/>
        </w:rPr>
      </w:pPr>
      <w:r w:rsidRPr="00220850">
        <w:rPr>
          <w:iCs/>
          <w:sz w:val="22"/>
          <w:lang w:val="fr-FR"/>
        </w:rPr>
        <w:t>Kad būtų lengviau nuryti, kapsules galima vartoti su mažu kiekiu (vienu arbatiniu šaukšteliu) šalto arba kambario temperatūros minkšto maisto, pvz., obuolių tyrės arba šokoladinio pudingo. Kapsulę nedelsdami nurykite ir jos nekramtykite, kad ji išliktų nepažeista.</w:t>
      </w:r>
    </w:p>
    <w:p w14:paraId="3C0B344A" w14:textId="77777777" w:rsidR="00DA7EB5" w:rsidRPr="00220850" w:rsidRDefault="00DA7EB5" w:rsidP="00771FE3">
      <w:pPr>
        <w:autoSpaceDE w:val="0"/>
        <w:autoSpaceDN w:val="0"/>
        <w:adjustRightInd w:val="0"/>
        <w:rPr>
          <w:rFonts w:eastAsia="TimesNewRoman,Bold"/>
          <w:b/>
          <w:bCs/>
          <w:sz w:val="22"/>
          <w:szCs w:val="22"/>
          <w:lang w:val="fr-FR"/>
        </w:rPr>
      </w:pPr>
    </w:p>
    <w:p w14:paraId="523BB390" w14:textId="07B2748E" w:rsidR="00771FE3" w:rsidRPr="00220850" w:rsidRDefault="00771FE3" w:rsidP="00771FE3">
      <w:pPr>
        <w:autoSpaceDE w:val="0"/>
        <w:autoSpaceDN w:val="0"/>
        <w:adjustRightInd w:val="0"/>
        <w:rPr>
          <w:rFonts w:eastAsia="TimesNewRoman,Bold"/>
          <w:b/>
          <w:bCs/>
          <w:sz w:val="22"/>
          <w:szCs w:val="22"/>
          <w:lang w:val="fr-FR"/>
        </w:rPr>
      </w:pPr>
      <w:r w:rsidRPr="00220850">
        <w:rPr>
          <w:rFonts w:eastAsia="TimesNewRoman,Bold"/>
          <w:b/>
          <w:bCs/>
          <w:sz w:val="22"/>
          <w:szCs w:val="22"/>
          <w:lang w:val="fr-FR"/>
        </w:rPr>
        <w:t>Suaugusie</w:t>
      </w:r>
      <w:r w:rsidR="00C201D1" w:rsidRPr="00220850">
        <w:rPr>
          <w:rFonts w:eastAsia="TimesNewRoman,Bold"/>
          <w:b/>
          <w:bCs/>
          <w:sz w:val="22"/>
          <w:szCs w:val="22"/>
          <w:lang w:val="fr-FR"/>
        </w:rPr>
        <w:t>siems</w:t>
      </w:r>
    </w:p>
    <w:p w14:paraId="57648316" w14:textId="77777777" w:rsidR="00771FE3" w:rsidRPr="00220850" w:rsidRDefault="00771FE3" w:rsidP="00771FE3">
      <w:pPr>
        <w:autoSpaceDE w:val="0"/>
        <w:autoSpaceDN w:val="0"/>
        <w:adjustRightInd w:val="0"/>
        <w:rPr>
          <w:rFonts w:eastAsia="TimesNewRoman"/>
          <w:sz w:val="22"/>
          <w:szCs w:val="22"/>
          <w:lang w:val="fr-FR"/>
        </w:rPr>
      </w:pPr>
      <w:r w:rsidRPr="00220850">
        <w:rPr>
          <w:rFonts w:eastAsia="TimesNewRoman"/>
          <w:sz w:val="22"/>
          <w:szCs w:val="22"/>
          <w:lang w:val="fr-FR"/>
        </w:rPr>
        <w:t>Rekomenduojama dozė yra viena 150 mg kapsulė du kartus per parą (iš viso 300 mg per parą).</w:t>
      </w:r>
    </w:p>
    <w:p w14:paraId="4605D2C9" w14:textId="77777777" w:rsidR="00771FE3" w:rsidRPr="00220850" w:rsidRDefault="00771FE3" w:rsidP="00771FE3">
      <w:pPr>
        <w:autoSpaceDE w:val="0"/>
        <w:autoSpaceDN w:val="0"/>
        <w:adjustRightInd w:val="0"/>
        <w:rPr>
          <w:rFonts w:eastAsia="TimesNewRoman"/>
          <w:sz w:val="22"/>
          <w:szCs w:val="22"/>
          <w:lang w:val="fr-FR"/>
        </w:rPr>
      </w:pPr>
      <w:r w:rsidRPr="00220850">
        <w:rPr>
          <w:rFonts w:eastAsia="TimesNewRoman"/>
          <w:sz w:val="22"/>
          <w:szCs w:val="22"/>
          <w:lang w:val="fr-FR"/>
        </w:rPr>
        <w:t>Nevartokite didesnės už rekomenduojamą Nintedanib Teva dozę – dvi 150 mg kapsulės per parą.</w:t>
      </w:r>
    </w:p>
    <w:p w14:paraId="68744328" w14:textId="2C20A12E" w:rsidR="00771FE3" w:rsidRPr="00220850" w:rsidRDefault="00771FE3" w:rsidP="00771FE3">
      <w:pPr>
        <w:autoSpaceDE w:val="0"/>
        <w:autoSpaceDN w:val="0"/>
        <w:adjustRightInd w:val="0"/>
        <w:rPr>
          <w:sz w:val="22"/>
          <w:szCs w:val="24"/>
        </w:rPr>
      </w:pPr>
      <w:r w:rsidRPr="00220850">
        <w:rPr>
          <w:rFonts w:eastAsia="TimesNewRoman"/>
          <w:sz w:val="22"/>
          <w:szCs w:val="22"/>
          <w:lang w:val="fr-FR"/>
        </w:rPr>
        <w:t xml:space="preserve">Jeigu rekomenduojamos dviejų Nintedanib Teva 150 mg kapsulių per parą dozės netoleruojate (žr. </w:t>
      </w:r>
      <w:r w:rsidR="004C68FC" w:rsidRPr="00220850">
        <w:rPr>
          <w:rFonts w:eastAsia="TimesNewRoman"/>
          <w:sz w:val="22"/>
          <w:szCs w:val="22"/>
          <w:lang w:val="fr-FR"/>
        </w:rPr>
        <w:t>4 skyrių “G</w:t>
      </w:r>
      <w:r w:rsidRPr="00220850">
        <w:rPr>
          <w:rFonts w:eastAsia="TimesNewRoman"/>
          <w:sz w:val="22"/>
          <w:szCs w:val="22"/>
          <w:lang w:val="fr-FR"/>
        </w:rPr>
        <w:t>alim</w:t>
      </w:r>
      <w:r w:rsidR="004C68FC" w:rsidRPr="00220850">
        <w:rPr>
          <w:rFonts w:eastAsia="TimesNewRoman"/>
          <w:sz w:val="22"/>
          <w:szCs w:val="22"/>
          <w:lang w:val="fr-FR"/>
        </w:rPr>
        <w:t>as</w:t>
      </w:r>
      <w:r w:rsidRPr="00220850">
        <w:rPr>
          <w:rFonts w:eastAsia="TimesNewRoman"/>
          <w:sz w:val="22"/>
          <w:szCs w:val="22"/>
          <w:lang w:val="fr-FR"/>
        </w:rPr>
        <w:t xml:space="preserve"> šalutin</w:t>
      </w:r>
      <w:r w:rsidR="004C68FC" w:rsidRPr="00220850">
        <w:rPr>
          <w:rFonts w:eastAsia="TimesNewRoman"/>
          <w:sz w:val="22"/>
          <w:szCs w:val="22"/>
          <w:lang w:val="fr-FR"/>
        </w:rPr>
        <w:t>is</w:t>
      </w:r>
      <w:r w:rsidRPr="00220850">
        <w:rPr>
          <w:rFonts w:eastAsia="TimesNewRoman"/>
          <w:sz w:val="22"/>
          <w:szCs w:val="22"/>
          <w:lang w:val="fr-FR"/>
        </w:rPr>
        <w:t xml:space="preserve"> poveik</w:t>
      </w:r>
      <w:r w:rsidR="004C68FC" w:rsidRPr="00220850">
        <w:rPr>
          <w:rFonts w:eastAsia="TimesNewRoman"/>
          <w:sz w:val="22"/>
          <w:szCs w:val="22"/>
          <w:lang w:val="fr-FR"/>
        </w:rPr>
        <w:t>is</w:t>
      </w:r>
      <w:r w:rsidR="004C68FC" w:rsidRPr="00220850">
        <w:rPr>
          <w:rFonts w:eastAsia="TimesNewRoman"/>
          <w:sz w:val="22"/>
          <w:szCs w:val="22"/>
        </w:rPr>
        <w:t>“</w:t>
      </w:r>
      <w:r w:rsidRPr="00220850">
        <w:rPr>
          <w:rFonts w:eastAsia="TimesNewRoman"/>
          <w:sz w:val="22"/>
          <w:szCs w:val="22"/>
          <w:lang w:val="fr-FR"/>
        </w:rPr>
        <w:t>), Jūsų gydytojas gali patarti nustoti vartojus šį vaistą. Patys nemažinkite dozės ir nenustokite vartoję pirmiau nepasitarę su gydytoju.</w:t>
      </w:r>
    </w:p>
    <w:p w14:paraId="4F414313" w14:textId="77777777" w:rsidR="00771FE3" w:rsidRPr="00220850" w:rsidRDefault="00771FE3" w:rsidP="00771FE3">
      <w:pPr>
        <w:ind w:right="-2"/>
        <w:rPr>
          <w:sz w:val="22"/>
        </w:rPr>
      </w:pPr>
    </w:p>
    <w:p w14:paraId="15B71F2C" w14:textId="77777777" w:rsidR="00983DA7" w:rsidRPr="00220850" w:rsidRDefault="00983DA7" w:rsidP="00983DA7">
      <w:pPr>
        <w:autoSpaceDE w:val="0"/>
        <w:autoSpaceDN w:val="0"/>
        <w:adjustRightInd w:val="0"/>
        <w:rPr>
          <w:rFonts w:eastAsia="TimesNewRoman,Bold"/>
          <w:b/>
          <w:bCs/>
          <w:sz w:val="22"/>
          <w:szCs w:val="22"/>
        </w:rPr>
      </w:pPr>
      <w:r w:rsidRPr="00220850">
        <w:rPr>
          <w:rFonts w:eastAsia="TimesNewRoman"/>
          <w:sz w:val="22"/>
          <w:szCs w:val="22"/>
        </w:rPr>
        <w:t xml:space="preserve">Jūsų gydytojas gali sumažinti Jums rekomenduotą dozę iki 100 mg du kartus per parą (viso 200 mg per parą). Tokiu atveju gydytojas Jums gydyti išrašys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100 mg minkštųjų kapsulių. Nevartokite didesnės už rekomenduojamą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 dvi 100 mg kapsules per parą, jei Jūsų paros dozė buvo sumažinta iki 200 mg per parą.</w:t>
      </w:r>
    </w:p>
    <w:p w14:paraId="2D33AAB6" w14:textId="77777777" w:rsidR="00771FE3" w:rsidRPr="00220850" w:rsidRDefault="00771FE3" w:rsidP="00771FE3">
      <w:pPr>
        <w:numPr>
          <w:ilvl w:val="12"/>
          <w:numId w:val="0"/>
        </w:numPr>
        <w:ind w:right="-2"/>
        <w:rPr>
          <w:sz w:val="22"/>
          <w:szCs w:val="24"/>
        </w:rPr>
      </w:pPr>
    </w:p>
    <w:p w14:paraId="40D0351B" w14:textId="77777777" w:rsidR="00DA7EB5" w:rsidRPr="00220850" w:rsidRDefault="00DA7EB5" w:rsidP="00DA7EB5">
      <w:pPr>
        <w:pStyle w:val="Pagrindinistekstas"/>
        <w:rPr>
          <w:b/>
          <w:bCs/>
          <w:i w:val="0"/>
          <w:iCs/>
          <w:color w:val="auto"/>
          <w:szCs w:val="22"/>
          <w:lang w:val="lt-LT"/>
        </w:rPr>
      </w:pPr>
      <w:r w:rsidRPr="00220850">
        <w:rPr>
          <w:b/>
          <w:bCs/>
          <w:i w:val="0"/>
          <w:iCs/>
          <w:color w:val="auto"/>
          <w:szCs w:val="22"/>
          <w:lang w:val="lt-LT"/>
        </w:rPr>
        <w:t xml:space="preserve">Vartojimas vaikams ir paaugliams </w:t>
      </w:r>
    </w:p>
    <w:p w14:paraId="0E921245" w14:textId="77777777" w:rsidR="00DA7EB5" w:rsidRPr="00220850" w:rsidRDefault="00DA7EB5" w:rsidP="00DA7EB5">
      <w:pPr>
        <w:pStyle w:val="Pagrindinistekstas"/>
        <w:rPr>
          <w:i w:val="0"/>
          <w:iCs/>
          <w:color w:val="auto"/>
          <w:szCs w:val="22"/>
          <w:lang w:val="lt-LT"/>
        </w:rPr>
      </w:pPr>
      <w:r w:rsidRPr="00220850">
        <w:rPr>
          <w:i w:val="0"/>
          <w:iCs/>
          <w:color w:val="auto"/>
          <w:szCs w:val="22"/>
          <w:lang w:val="lt-LT"/>
        </w:rPr>
        <w:t xml:space="preserve">Rekomenduojama dozė priklauso nuo paciento kūno svorio. </w:t>
      </w:r>
    </w:p>
    <w:p w14:paraId="14D3A328" w14:textId="77777777" w:rsidR="00DA7EB5" w:rsidRPr="00220850" w:rsidRDefault="00DA7EB5" w:rsidP="00DA7EB5">
      <w:pPr>
        <w:pStyle w:val="Pagrindinistekstas"/>
        <w:rPr>
          <w:i w:val="0"/>
          <w:iCs/>
          <w:color w:val="auto"/>
          <w:szCs w:val="22"/>
          <w:lang w:val="lt-LT"/>
        </w:rPr>
      </w:pPr>
      <w:r w:rsidRPr="00220850">
        <w:rPr>
          <w:i w:val="0"/>
          <w:iCs/>
          <w:color w:val="auto"/>
          <w:szCs w:val="22"/>
          <w:lang w:val="lt-LT"/>
        </w:rPr>
        <w:t xml:space="preserve">Jeigu bet kuriuo gydymo metu pacientas sveria mažiau kaip 13,5 kg, apie tai pasakykite savo gydytojui. Jeigu sutrikusi Jūsų kepenų funkcija, apie tai pasakykite gydytojui. </w:t>
      </w:r>
    </w:p>
    <w:p w14:paraId="1626F0F4" w14:textId="77777777" w:rsidR="00DA7EB5" w:rsidRPr="00220850" w:rsidRDefault="00DA7EB5" w:rsidP="00DA7EB5">
      <w:pPr>
        <w:pStyle w:val="Pagrindinistekstas"/>
        <w:rPr>
          <w:i w:val="0"/>
          <w:iCs/>
          <w:color w:val="auto"/>
          <w:szCs w:val="22"/>
          <w:lang w:val="lt-LT"/>
        </w:rPr>
      </w:pPr>
      <w:r w:rsidRPr="00220850">
        <w:rPr>
          <w:i w:val="0"/>
          <w:iCs/>
          <w:color w:val="auto"/>
          <w:szCs w:val="22"/>
          <w:lang w:val="lt-LT"/>
        </w:rPr>
        <w:t xml:space="preserve">Tinkamą dozę nustatys Jūsų gydytojas. Gydymo metu Jūsų gydytojas dozę gali koreguoti. </w:t>
      </w:r>
    </w:p>
    <w:p w14:paraId="6EF675B0" w14:textId="77777777" w:rsidR="00DA7EB5" w:rsidRPr="00220850" w:rsidRDefault="00DA7EB5" w:rsidP="00DA7EB5">
      <w:pPr>
        <w:pStyle w:val="Pagrindinistekstas"/>
        <w:rPr>
          <w:i w:val="0"/>
          <w:iCs/>
          <w:color w:val="auto"/>
          <w:szCs w:val="22"/>
          <w:lang w:val="lt-LT"/>
        </w:rPr>
      </w:pPr>
      <w:r w:rsidRPr="00220850">
        <w:rPr>
          <w:i w:val="0"/>
          <w:iCs/>
          <w:color w:val="auto"/>
          <w:szCs w:val="22"/>
          <w:lang w:val="lt-LT"/>
        </w:rPr>
        <w:t xml:space="preserve">Jeigu rekomenduojamos </w:t>
      </w:r>
      <w:proofErr w:type="spellStart"/>
      <w:r w:rsidRPr="00220850">
        <w:rPr>
          <w:i w:val="0"/>
          <w:iCs/>
          <w:color w:val="auto"/>
          <w:szCs w:val="22"/>
          <w:lang w:val="lt-LT"/>
        </w:rPr>
        <w:t>Nintedanib</w:t>
      </w:r>
      <w:proofErr w:type="spellEnd"/>
      <w:r w:rsidRPr="00220850">
        <w:rPr>
          <w:i w:val="0"/>
          <w:iCs/>
          <w:color w:val="auto"/>
          <w:szCs w:val="22"/>
          <w:lang w:val="lt-LT"/>
        </w:rPr>
        <w:t xml:space="preserve"> </w:t>
      </w:r>
      <w:proofErr w:type="spellStart"/>
      <w:r w:rsidRPr="00220850">
        <w:rPr>
          <w:i w:val="0"/>
          <w:iCs/>
          <w:color w:val="auto"/>
          <w:szCs w:val="22"/>
          <w:lang w:val="lt-LT"/>
        </w:rPr>
        <w:t>Teva</w:t>
      </w:r>
      <w:proofErr w:type="spellEnd"/>
      <w:r w:rsidRPr="00220850">
        <w:rPr>
          <w:i w:val="0"/>
          <w:iCs/>
          <w:color w:val="auto"/>
          <w:szCs w:val="22"/>
          <w:lang w:val="lt-LT"/>
        </w:rPr>
        <w:t xml:space="preserve"> paros kapsulių dozės netoleruojate (žr. 4 skyrių „Galimas šalutinis poveikis“), gydytojas </w:t>
      </w:r>
      <w:proofErr w:type="spellStart"/>
      <w:r w:rsidRPr="00220850">
        <w:rPr>
          <w:i w:val="0"/>
          <w:iCs/>
          <w:color w:val="auto"/>
          <w:szCs w:val="22"/>
          <w:lang w:val="lt-LT"/>
        </w:rPr>
        <w:t>nintedanibo</w:t>
      </w:r>
      <w:proofErr w:type="spellEnd"/>
      <w:r w:rsidRPr="00220850">
        <w:rPr>
          <w:i w:val="0"/>
          <w:iCs/>
          <w:color w:val="auto"/>
          <w:szCs w:val="22"/>
          <w:lang w:val="lt-LT"/>
        </w:rPr>
        <w:t xml:space="preserve"> paros dozę gali sumažinti. </w:t>
      </w:r>
    </w:p>
    <w:p w14:paraId="18CAADC9" w14:textId="522AF9D6" w:rsidR="004C68FC" w:rsidRPr="00220850" w:rsidRDefault="00DA7EB5" w:rsidP="00DA7EB5">
      <w:pPr>
        <w:pStyle w:val="Pagrindinistekstas"/>
        <w:rPr>
          <w:i w:val="0"/>
          <w:iCs/>
          <w:color w:val="auto"/>
          <w:szCs w:val="22"/>
          <w:lang w:val="lt-LT"/>
        </w:rPr>
      </w:pPr>
      <w:r w:rsidRPr="00220850">
        <w:rPr>
          <w:i w:val="0"/>
          <w:iCs/>
          <w:color w:val="auto"/>
          <w:szCs w:val="22"/>
          <w:lang w:val="lt-LT"/>
        </w:rPr>
        <w:t>Patys nemažinkite dozės ir nenutraukite gydymo, pirmiau nepasitarę su savo gydytoju.</w:t>
      </w:r>
    </w:p>
    <w:p w14:paraId="3BCE1900" w14:textId="77777777" w:rsidR="00DA7EB5" w:rsidRPr="00220850" w:rsidRDefault="00DA7EB5" w:rsidP="00DA7EB5">
      <w:pPr>
        <w:pStyle w:val="Pagrindinistekstas"/>
        <w:rPr>
          <w:i w:val="0"/>
          <w:iCs/>
          <w:color w:val="auto"/>
          <w:szCs w:val="22"/>
          <w:highlight w:val="yellow"/>
          <w:lang w:val="lt-LT"/>
        </w:rPr>
      </w:pPr>
    </w:p>
    <w:p w14:paraId="7CDFD61F" w14:textId="77777777" w:rsidR="00DA7EB5" w:rsidRPr="00220850" w:rsidRDefault="00DA7EB5" w:rsidP="00DA7EB5">
      <w:pPr>
        <w:autoSpaceDE w:val="0"/>
        <w:autoSpaceDN w:val="0"/>
        <w:adjustRightInd w:val="0"/>
        <w:rPr>
          <w:rFonts w:eastAsia="TimesNewRoman"/>
          <w:sz w:val="22"/>
          <w:szCs w:val="22"/>
          <w:u w:val="single"/>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sz w:val="22"/>
          <w:szCs w:val="22"/>
        </w:rPr>
        <w:t xml:space="preserve"> kapsulių dozavimas vaikams ir paaugliams pagal svorį:</w:t>
      </w:r>
    </w:p>
    <w:p w14:paraId="32266F14" w14:textId="77777777" w:rsidR="00DA7EB5" w:rsidRPr="00220850" w:rsidRDefault="00DA7EB5" w:rsidP="00DA7EB5">
      <w:pPr>
        <w:pStyle w:val="Pagrindinistekstas"/>
        <w:spacing w:before="34"/>
        <w:rPr>
          <w:b/>
          <w:color w:val="auto"/>
          <w:szCs w:val="22"/>
          <w:lang w:val="lt-LT"/>
        </w:rPr>
      </w:pPr>
    </w:p>
    <w:tbl>
      <w:tblPr>
        <w:tblStyle w:val="TableNormal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820"/>
      </w:tblGrid>
      <w:tr w:rsidR="00DA7EB5" w:rsidRPr="00220850" w14:paraId="39788823" w14:textId="77777777" w:rsidTr="00034803">
        <w:trPr>
          <w:trHeight w:val="434"/>
        </w:trPr>
        <w:tc>
          <w:tcPr>
            <w:tcW w:w="3969" w:type="dxa"/>
            <w:tcBorders>
              <w:top w:val="single" w:sz="4" w:space="0" w:color="000000"/>
              <w:left w:val="single" w:sz="4" w:space="0" w:color="000000"/>
              <w:bottom w:val="single" w:sz="4" w:space="0" w:color="000000"/>
              <w:right w:val="single" w:sz="4" w:space="0" w:color="000000"/>
            </w:tcBorders>
            <w:hideMark/>
          </w:tcPr>
          <w:p w14:paraId="07802A03" w14:textId="77777777" w:rsidR="00DA7EB5" w:rsidRPr="00220850" w:rsidRDefault="00DA7EB5" w:rsidP="00034803">
            <w:pPr>
              <w:pStyle w:val="TableParagraph"/>
              <w:spacing w:before="27"/>
              <w:ind w:left="7"/>
              <w:jc w:val="center"/>
              <w:rPr>
                <w:rFonts w:ascii="Times New Roman" w:hAnsi="Times New Roman" w:cs="Times New Roman"/>
                <w:b/>
                <w:lang w:val="lt-LT"/>
              </w:rPr>
            </w:pPr>
            <w:r w:rsidRPr="00220850">
              <w:rPr>
                <w:rFonts w:ascii="Times New Roman" w:hAnsi="Times New Roman" w:cs="Times New Roman"/>
                <w:b/>
                <w:lang w:val="lt-LT"/>
              </w:rPr>
              <w:t>Svorio intervalas (kg)</w:t>
            </w:r>
          </w:p>
        </w:tc>
        <w:tc>
          <w:tcPr>
            <w:tcW w:w="4820" w:type="dxa"/>
            <w:tcBorders>
              <w:top w:val="single" w:sz="4" w:space="0" w:color="000000"/>
              <w:left w:val="single" w:sz="4" w:space="0" w:color="000000"/>
              <w:bottom w:val="single" w:sz="4" w:space="0" w:color="000000"/>
              <w:right w:val="single" w:sz="4" w:space="0" w:color="000000"/>
            </w:tcBorders>
            <w:hideMark/>
          </w:tcPr>
          <w:p w14:paraId="5AD85D1A" w14:textId="77777777" w:rsidR="00DA7EB5" w:rsidRPr="00220850" w:rsidRDefault="00DA7EB5" w:rsidP="00034803">
            <w:pPr>
              <w:pStyle w:val="TableParagraph"/>
              <w:spacing w:before="27"/>
              <w:ind w:left="115" w:right="106"/>
              <w:jc w:val="center"/>
              <w:rPr>
                <w:rFonts w:ascii="Times New Roman" w:hAnsi="Times New Roman" w:cs="Times New Roman"/>
                <w:b/>
                <w:lang w:val="lt-LT"/>
              </w:rPr>
            </w:pPr>
            <w:proofErr w:type="spellStart"/>
            <w:r w:rsidRPr="00220850">
              <w:rPr>
                <w:rFonts w:ascii="Times New Roman" w:hAnsi="Times New Roman" w:cs="Times New Roman"/>
                <w:b/>
                <w:lang w:val="lt-LT"/>
              </w:rPr>
              <w:t>Nintedanib</w:t>
            </w:r>
            <w:proofErr w:type="spellEnd"/>
            <w:r w:rsidRPr="00220850">
              <w:rPr>
                <w:rFonts w:ascii="Times New Roman" w:hAnsi="Times New Roman" w:cs="Times New Roman"/>
                <w:b/>
                <w:lang w:val="lt-LT"/>
              </w:rPr>
              <w:t xml:space="preserve"> </w:t>
            </w:r>
            <w:proofErr w:type="spellStart"/>
            <w:r w:rsidRPr="00220850">
              <w:rPr>
                <w:rFonts w:ascii="Times New Roman" w:hAnsi="Times New Roman" w:cs="Times New Roman"/>
                <w:b/>
                <w:lang w:val="lt-LT"/>
              </w:rPr>
              <w:t>Teva</w:t>
            </w:r>
            <w:proofErr w:type="spellEnd"/>
            <w:r w:rsidRPr="00220850">
              <w:rPr>
                <w:rFonts w:ascii="Times New Roman" w:hAnsi="Times New Roman" w:cs="Times New Roman"/>
                <w:b/>
                <w:lang w:val="lt-LT"/>
              </w:rPr>
              <w:t xml:space="preserve"> dozė miligramais (mg)</w:t>
            </w:r>
          </w:p>
        </w:tc>
      </w:tr>
      <w:tr w:rsidR="00DA7EB5" w:rsidRPr="00220850" w14:paraId="59934C9F" w14:textId="77777777" w:rsidTr="00034803">
        <w:trPr>
          <w:trHeight w:val="412"/>
        </w:trPr>
        <w:tc>
          <w:tcPr>
            <w:tcW w:w="3969" w:type="dxa"/>
            <w:tcBorders>
              <w:top w:val="single" w:sz="4" w:space="0" w:color="000000"/>
              <w:left w:val="single" w:sz="4" w:space="0" w:color="000000"/>
              <w:bottom w:val="single" w:sz="4" w:space="0" w:color="000000"/>
              <w:right w:val="single" w:sz="4" w:space="0" w:color="000000"/>
            </w:tcBorders>
            <w:hideMark/>
          </w:tcPr>
          <w:p w14:paraId="600B6A73" w14:textId="77777777" w:rsidR="00DA7EB5" w:rsidRPr="00220850" w:rsidRDefault="00DA7EB5" w:rsidP="00034803">
            <w:pPr>
              <w:pStyle w:val="TableParagraph"/>
              <w:spacing w:before="29"/>
              <w:ind w:left="115" w:right="106" w:firstLine="1026"/>
              <w:rPr>
                <w:rFonts w:ascii="Times New Roman" w:hAnsi="Times New Roman" w:cs="Times New Roman"/>
                <w:lang w:val="lt-LT"/>
              </w:rPr>
            </w:pPr>
            <w:r w:rsidRPr="00220850">
              <w:rPr>
                <w:rFonts w:ascii="Times New Roman" w:hAnsi="Times New Roman" w:cs="Times New Roman"/>
                <w:lang w:val="lt-LT"/>
              </w:rPr>
              <w:t>13,5</w:t>
            </w:r>
            <w:r w:rsidRPr="00220850">
              <w:rPr>
                <w:rFonts w:ascii="Times New Roman" w:hAnsi="Times New Roman" w:cs="Times New Roman"/>
                <w:vertAlign w:val="superscript"/>
                <w:lang w:val="lt-LT"/>
              </w:rPr>
              <w:t>**</w:t>
            </w:r>
            <w:r w:rsidRPr="00220850">
              <w:rPr>
                <w:rFonts w:ascii="Times New Roman" w:hAnsi="Times New Roman" w:cs="Times New Roman"/>
                <w:spacing w:val="-1"/>
                <w:lang w:val="lt-LT"/>
              </w:rPr>
              <w:t xml:space="preserve"> </w:t>
            </w:r>
            <w:r w:rsidRPr="00220850">
              <w:rPr>
                <w:rFonts w:ascii="Times New Roman" w:hAnsi="Times New Roman" w:cs="Times New Roman"/>
                <w:lang w:val="lt-LT"/>
              </w:rPr>
              <w:t>-</w:t>
            </w:r>
            <w:r w:rsidRPr="00220850">
              <w:rPr>
                <w:rFonts w:ascii="Times New Roman" w:hAnsi="Times New Roman" w:cs="Times New Roman"/>
                <w:spacing w:val="-3"/>
                <w:lang w:val="lt-LT"/>
              </w:rPr>
              <w:t xml:space="preserve"> </w:t>
            </w:r>
            <w:r w:rsidRPr="00220850">
              <w:rPr>
                <w:rFonts w:ascii="Times New Roman" w:hAnsi="Times New Roman" w:cs="Times New Roman"/>
                <w:lang w:val="lt-LT"/>
              </w:rPr>
              <w:t>22,9</w:t>
            </w:r>
            <w:r w:rsidRPr="00220850">
              <w:rPr>
                <w:rFonts w:ascii="Times New Roman" w:hAnsi="Times New Roman" w:cs="Times New Roman"/>
                <w:spacing w:val="-1"/>
                <w:lang w:val="lt-LT"/>
              </w:rPr>
              <w:t> </w:t>
            </w:r>
            <w:r w:rsidRPr="0022085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30FF9F69" w14:textId="77777777" w:rsidR="00DA7EB5" w:rsidRPr="00220850" w:rsidRDefault="00DA7EB5" w:rsidP="00034803">
            <w:pPr>
              <w:pStyle w:val="Default"/>
              <w:ind w:left="112"/>
              <w:rPr>
                <w:rFonts w:ascii="Times New Roman" w:hAnsi="Times New Roman" w:cs="Times New Roman"/>
                <w:color w:val="auto"/>
                <w:lang w:val="lt-LT"/>
              </w:rPr>
            </w:pPr>
            <w:r w:rsidRPr="00220850">
              <w:rPr>
                <w:rFonts w:ascii="Times New Roman" w:hAnsi="Times New Roman" w:cs="Times New Roman"/>
                <w:color w:val="auto"/>
                <w:szCs w:val="22"/>
                <w:lang w:val="lt-LT"/>
              </w:rPr>
              <w:t xml:space="preserve">50 mg (dvi 25 mg kapsules) du kartus per parą </w:t>
            </w:r>
          </w:p>
        </w:tc>
      </w:tr>
      <w:tr w:rsidR="00DA7EB5" w:rsidRPr="00220850" w14:paraId="3B172712" w14:textId="77777777" w:rsidTr="00034803">
        <w:trPr>
          <w:trHeight w:val="404"/>
        </w:trPr>
        <w:tc>
          <w:tcPr>
            <w:tcW w:w="3969" w:type="dxa"/>
            <w:tcBorders>
              <w:top w:val="single" w:sz="4" w:space="0" w:color="000000"/>
              <w:left w:val="single" w:sz="4" w:space="0" w:color="000000"/>
              <w:bottom w:val="single" w:sz="4" w:space="0" w:color="000000"/>
              <w:right w:val="single" w:sz="4" w:space="0" w:color="000000"/>
            </w:tcBorders>
            <w:hideMark/>
          </w:tcPr>
          <w:p w14:paraId="02EF4290" w14:textId="77777777" w:rsidR="00DA7EB5" w:rsidRPr="00220850" w:rsidRDefault="00DA7EB5" w:rsidP="00034803">
            <w:pPr>
              <w:pStyle w:val="TableParagraph"/>
              <w:spacing w:before="27"/>
              <w:ind w:left="894" w:firstLine="247"/>
              <w:rPr>
                <w:rFonts w:ascii="Times New Roman" w:hAnsi="Times New Roman" w:cs="Times New Roman"/>
                <w:lang w:val="lt-LT"/>
              </w:rPr>
            </w:pPr>
            <w:r w:rsidRPr="00220850">
              <w:rPr>
                <w:rFonts w:ascii="Times New Roman" w:hAnsi="Times New Roman" w:cs="Times New Roman"/>
                <w:lang w:val="lt-LT"/>
              </w:rPr>
              <w:t>23,0 –</w:t>
            </w:r>
            <w:r w:rsidRPr="00220850">
              <w:rPr>
                <w:rFonts w:ascii="Times New Roman" w:hAnsi="Times New Roman" w:cs="Times New Roman"/>
                <w:spacing w:val="-2"/>
                <w:lang w:val="lt-LT"/>
              </w:rPr>
              <w:t xml:space="preserve"> </w:t>
            </w:r>
            <w:r w:rsidRPr="00220850">
              <w:rPr>
                <w:rFonts w:ascii="Times New Roman" w:hAnsi="Times New Roman" w:cs="Times New Roman"/>
                <w:lang w:val="lt-LT"/>
              </w:rPr>
              <w:t>33,4 </w:t>
            </w:r>
            <w:r w:rsidRPr="0022085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2FD936C6" w14:textId="77777777" w:rsidR="00DA7EB5" w:rsidRPr="00220850" w:rsidRDefault="00DA7EB5" w:rsidP="00034803">
            <w:pPr>
              <w:pStyle w:val="TableParagraph"/>
              <w:spacing w:before="25" w:line="264" w:lineRule="auto"/>
              <w:ind w:left="127" w:hanging="12"/>
              <w:rPr>
                <w:rFonts w:ascii="Times New Roman" w:hAnsi="Times New Roman" w:cs="Times New Roman"/>
                <w:lang w:val="lt-LT"/>
              </w:rPr>
            </w:pPr>
            <w:r w:rsidRPr="00220850">
              <w:rPr>
                <w:rFonts w:ascii="Times New Roman" w:hAnsi="Times New Roman" w:cs="Times New Roman"/>
                <w:lang w:val="lt-LT"/>
              </w:rPr>
              <w:t>75</w:t>
            </w:r>
            <w:r w:rsidRPr="00220850">
              <w:rPr>
                <w:rFonts w:ascii="Times New Roman" w:hAnsi="Times New Roman" w:cs="Times New Roman"/>
                <w:spacing w:val="-7"/>
                <w:lang w:val="lt-LT"/>
              </w:rPr>
              <w:t> </w:t>
            </w:r>
            <w:r w:rsidRPr="00220850">
              <w:rPr>
                <w:rFonts w:ascii="Times New Roman" w:hAnsi="Times New Roman" w:cs="Times New Roman"/>
                <w:lang w:val="lt-LT"/>
              </w:rPr>
              <w:t>mg</w:t>
            </w:r>
            <w:r w:rsidRPr="00220850">
              <w:rPr>
                <w:rFonts w:ascii="Times New Roman" w:hAnsi="Times New Roman" w:cs="Times New Roman"/>
                <w:spacing w:val="-9"/>
                <w:lang w:val="lt-LT"/>
              </w:rPr>
              <w:t xml:space="preserve"> </w:t>
            </w:r>
            <w:r w:rsidRPr="00220850">
              <w:rPr>
                <w:rFonts w:ascii="Times New Roman" w:hAnsi="Times New Roman" w:cs="Times New Roman"/>
                <w:lang w:val="lt-LT"/>
              </w:rPr>
              <w:t>(tris 25</w:t>
            </w:r>
            <w:r w:rsidRPr="00220850">
              <w:rPr>
                <w:rFonts w:ascii="Times New Roman" w:hAnsi="Times New Roman" w:cs="Times New Roman"/>
                <w:spacing w:val="-9"/>
                <w:lang w:val="lt-LT"/>
              </w:rPr>
              <w:t> </w:t>
            </w:r>
            <w:r w:rsidRPr="00220850">
              <w:rPr>
                <w:rFonts w:ascii="Times New Roman" w:hAnsi="Times New Roman" w:cs="Times New Roman"/>
                <w:lang w:val="lt-LT"/>
              </w:rPr>
              <w:t>mg</w:t>
            </w:r>
            <w:r w:rsidRPr="00220850">
              <w:rPr>
                <w:rFonts w:ascii="Times New Roman" w:hAnsi="Times New Roman" w:cs="Times New Roman"/>
                <w:spacing w:val="-7"/>
                <w:lang w:val="lt-LT"/>
              </w:rPr>
              <w:t xml:space="preserve"> k</w:t>
            </w:r>
            <w:r w:rsidRPr="00220850">
              <w:rPr>
                <w:rFonts w:ascii="Times New Roman" w:hAnsi="Times New Roman" w:cs="Times New Roman"/>
                <w:lang w:val="lt-LT"/>
              </w:rPr>
              <w:t>apsules) du kartus per parą</w:t>
            </w:r>
          </w:p>
        </w:tc>
      </w:tr>
      <w:tr w:rsidR="00DA7EB5" w:rsidRPr="00220850" w14:paraId="18809BCF" w14:textId="77777777" w:rsidTr="00034803">
        <w:trPr>
          <w:trHeight w:val="720"/>
        </w:trPr>
        <w:tc>
          <w:tcPr>
            <w:tcW w:w="3969" w:type="dxa"/>
            <w:tcBorders>
              <w:top w:val="single" w:sz="4" w:space="0" w:color="000000"/>
              <w:left w:val="single" w:sz="4" w:space="0" w:color="000000"/>
              <w:bottom w:val="single" w:sz="4" w:space="0" w:color="000000"/>
              <w:right w:val="single" w:sz="4" w:space="0" w:color="000000"/>
            </w:tcBorders>
            <w:hideMark/>
          </w:tcPr>
          <w:p w14:paraId="02429F8E" w14:textId="77777777" w:rsidR="00DA7EB5" w:rsidRPr="00220850" w:rsidRDefault="00DA7EB5" w:rsidP="00034803">
            <w:pPr>
              <w:pStyle w:val="TableParagraph"/>
              <w:spacing w:before="27"/>
              <w:ind w:left="894" w:firstLine="247"/>
              <w:rPr>
                <w:rFonts w:ascii="Times New Roman" w:hAnsi="Times New Roman" w:cs="Times New Roman"/>
                <w:lang w:val="lt-LT"/>
              </w:rPr>
            </w:pPr>
            <w:r w:rsidRPr="00220850">
              <w:rPr>
                <w:rFonts w:ascii="Times New Roman" w:hAnsi="Times New Roman" w:cs="Times New Roman"/>
                <w:lang w:val="lt-LT"/>
              </w:rPr>
              <w:t>33,5 –</w:t>
            </w:r>
            <w:r w:rsidRPr="00220850">
              <w:rPr>
                <w:rFonts w:ascii="Times New Roman" w:hAnsi="Times New Roman" w:cs="Times New Roman"/>
                <w:spacing w:val="-2"/>
                <w:lang w:val="lt-LT"/>
              </w:rPr>
              <w:t xml:space="preserve"> </w:t>
            </w:r>
            <w:r w:rsidRPr="00220850">
              <w:rPr>
                <w:rFonts w:ascii="Times New Roman" w:hAnsi="Times New Roman" w:cs="Times New Roman"/>
                <w:lang w:val="lt-LT"/>
              </w:rPr>
              <w:t>57,4 </w:t>
            </w:r>
            <w:r w:rsidRPr="00220850">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50EFBF09" w14:textId="62BFF07A" w:rsidR="00DA7EB5" w:rsidRPr="00220850" w:rsidRDefault="00DA7EB5" w:rsidP="00034803">
            <w:pPr>
              <w:pStyle w:val="TableParagraph"/>
              <w:spacing w:before="25" w:line="264" w:lineRule="auto"/>
              <w:ind w:left="127" w:hanging="12"/>
              <w:rPr>
                <w:rFonts w:ascii="Times New Roman" w:hAnsi="Times New Roman" w:cs="Times New Roman"/>
                <w:lang w:val="lt-LT"/>
              </w:rPr>
            </w:pPr>
            <w:r w:rsidRPr="00220850">
              <w:rPr>
                <w:rFonts w:ascii="Times New Roman" w:hAnsi="Times New Roman" w:cs="Times New Roman"/>
                <w:lang w:val="lt-LT"/>
              </w:rPr>
              <w:t>100</w:t>
            </w:r>
            <w:r w:rsidRPr="00220850">
              <w:rPr>
                <w:rFonts w:ascii="Times New Roman" w:hAnsi="Times New Roman" w:cs="Times New Roman"/>
                <w:spacing w:val="-5"/>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(vieną</w:t>
            </w:r>
            <w:r w:rsidRPr="00220850">
              <w:rPr>
                <w:rFonts w:ascii="Times New Roman" w:hAnsi="Times New Roman" w:cs="Times New Roman"/>
                <w:spacing w:val="-5"/>
                <w:lang w:val="lt-LT"/>
              </w:rPr>
              <w:t xml:space="preserve"> </w:t>
            </w:r>
            <w:r w:rsidRPr="00220850">
              <w:rPr>
                <w:rFonts w:ascii="Times New Roman" w:hAnsi="Times New Roman" w:cs="Times New Roman"/>
                <w:lang w:val="lt-LT"/>
              </w:rPr>
              <w:t>100</w:t>
            </w:r>
            <w:r w:rsidRPr="00220850">
              <w:rPr>
                <w:rFonts w:ascii="Times New Roman" w:hAnsi="Times New Roman" w:cs="Times New Roman"/>
                <w:spacing w:val="-7"/>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Pr="00220850">
              <w:rPr>
                <w:rFonts w:ascii="Times New Roman" w:hAnsi="Times New Roman" w:cs="Times New Roman"/>
                <w:spacing w:val="-4"/>
                <w:lang w:val="lt-LT"/>
              </w:rPr>
              <w:t xml:space="preserve"> arba keturias </w:t>
            </w:r>
            <w:r w:rsidRPr="00220850">
              <w:rPr>
                <w:rFonts w:ascii="Times New Roman" w:hAnsi="Times New Roman" w:cs="Times New Roman"/>
                <w:lang w:val="lt-LT"/>
              </w:rPr>
              <w:t xml:space="preserve">25 mg kapsules) du </w:t>
            </w:r>
            <w:r w:rsidR="000517FD" w:rsidRPr="00220850">
              <w:rPr>
                <w:rFonts w:ascii="Times New Roman" w:hAnsi="Times New Roman" w:cs="Times New Roman"/>
                <w:lang w:val="lt-LT"/>
              </w:rPr>
              <w:t>k</w:t>
            </w:r>
            <w:r w:rsidRPr="00220850">
              <w:rPr>
                <w:rFonts w:ascii="Times New Roman" w:hAnsi="Times New Roman" w:cs="Times New Roman"/>
                <w:lang w:val="lt-LT"/>
              </w:rPr>
              <w:t>artus per parą</w:t>
            </w:r>
          </w:p>
        </w:tc>
      </w:tr>
      <w:tr w:rsidR="00DA7EB5" w:rsidRPr="00220850" w14:paraId="0822D5FF" w14:textId="77777777" w:rsidTr="00034803">
        <w:trPr>
          <w:trHeight w:val="689"/>
        </w:trPr>
        <w:tc>
          <w:tcPr>
            <w:tcW w:w="3969" w:type="dxa"/>
            <w:tcBorders>
              <w:top w:val="single" w:sz="4" w:space="0" w:color="000000"/>
              <w:left w:val="single" w:sz="4" w:space="0" w:color="000000"/>
              <w:bottom w:val="single" w:sz="4" w:space="0" w:color="000000"/>
              <w:right w:val="single" w:sz="4" w:space="0" w:color="000000"/>
            </w:tcBorders>
            <w:hideMark/>
          </w:tcPr>
          <w:p w14:paraId="18E60F05" w14:textId="77777777" w:rsidR="00DA7EB5" w:rsidRPr="00220850" w:rsidRDefault="00DA7EB5" w:rsidP="00034803">
            <w:pPr>
              <w:pStyle w:val="TableParagraph"/>
              <w:spacing w:before="27"/>
              <w:ind w:left="702" w:firstLine="439"/>
              <w:rPr>
                <w:rFonts w:ascii="Times New Roman" w:hAnsi="Times New Roman" w:cs="Times New Roman"/>
                <w:lang w:val="lt-LT"/>
              </w:rPr>
            </w:pPr>
            <w:r w:rsidRPr="00220850">
              <w:rPr>
                <w:rFonts w:ascii="Times New Roman" w:hAnsi="Times New Roman" w:cs="Times New Roman"/>
                <w:lang w:val="lt-LT"/>
              </w:rPr>
              <w:t>57,5</w:t>
            </w:r>
            <w:r w:rsidRPr="00220850">
              <w:rPr>
                <w:rFonts w:ascii="Times New Roman" w:hAnsi="Times New Roman" w:cs="Times New Roman"/>
                <w:spacing w:val="-1"/>
                <w:lang w:val="lt-LT"/>
              </w:rPr>
              <w:t> </w:t>
            </w:r>
            <w:r w:rsidRPr="00220850">
              <w:rPr>
                <w:rFonts w:ascii="Times New Roman" w:hAnsi="Times New Roman" w:cs="Times New Roman"/>
                <w:lang w:val="lt-LT"/>
              </w:rPr>
              <w:t>kg</w:t>
            </w:r>
            <w:r w:rsidRPr="00220850">
              <w:rPr>
                <w:rFonts w:ascii="Times New Roman" w:hAnsi="Times New Roman" w:cs="Times New Roman"/>
                <w:spacing w:val="-1"/>
                <w:lang w:val="lt-LT"/>
              </w:rPr>
              <w:t xml:space="preserve"> ir daugiau</w:t>
            </w:r>
          </w:p>
        </w:tc>
        <w:tc>
          <w:tcPr>
            <w:tcW w:w="4820" w:type="dxa"/>
            <w:tcBorders>
              <w:top w:val="single" w:sz="4" w:space="0" w:color="000000"/>
              <w:left w:val="single" w:sz="4" w:space="0" w:color="000000"/>
              <w:bottom w:val="single" w:sz="4" w:space="0" w:color="000000"/>
              <w:right w:val="single" w:sz="4" w:space="0" w:color="000000"/>
            </w:tcBorders>
            <w:hideMark/>
          </w:tcPr>
          <w:p w14:paraId="4CDAFCD8" w14:textId="77777777" w:rsidR="00DA7EB5" w:rsidRPr="00220850" w:rsidRDefault="00DA7EB5" w:rsidP="00034803">
            <w:pPr>
              <w:pStyle w:val="TableParagraph"/>
              <w:spacing w:before="25" w:line="264" w:lineRule="auto"/>
              <w:ind w:left="127" w:hanging="12"/>
              <w:rPr>
                <w:rFonts w:ascii="Times New Roman" w:hAnsi="Times New Roman" w:cs="Times New Roman"/>
                <w:lang w:val="lt-LT"/>
              </w:rPr>
            </w:pPr>
            <w:r w:rsidRPr="00220850">
              <w:rPr>
                <w:rFonts w:ascii="Times New Roman" w:hAnsi="Times New Roman" w:cs="Times New Roman"/>
                <w:lang w:val="lt-LT"/>
              </w:rPr>
              <w:t>150</w:t>
            </w:r>
            <w:r w:rsidRPr="00220850">
              <w:rPr>
                <w:rFonts w:ascii="Times New Roman" w:hAnsi="Times New Roman" w:cs="Times New Roman"/>
                <w:spacing w:val="-5"/>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(vieną</w:t>
            </w:r>
            <w:r w:rsidRPr="00220850">
              <w:rPr>
                <w:rFonts w:ascii="Times New Roman" w:hAnsi="Times New Roman" w:cs="Times New Roman"/>
                <w:spacing w:val="-5"/>
                <w:lang w:val="lt-LT"/>
              </w:rPr>
              <w:t xml:space="preserve"> </w:t>
            </w:r>
            <w:r w:rsidRPr="00220850">
              <w:rPr>
                <w:rFonts w:ascii="Times New Roman" w:hAnsi="Times New Roman" w:cs="Times New Roman"/>
                <w:lang w:val="lt-LT"/>
              </w:rPr>
              <w:t>150</w:t>
            </w:r>
            <w:r w:rsidRPr="00220850">
              <w:rPr>
                <w:rFonts w:ascii="Times New Roman" w:hAnsi="Times New Roman" w:cs="Times New Roman"/>
                <w:spacing w:val="-8"/>
                <w:lang w:val="lt-LT"/>
              </w:rPr>
              <w:t> </w:t>
            </w:r>
            <w:r w:rsidRPr="00220850">
              <w:rPr>
                <w:rFonts w:ascii="Times New Roman" w:hAnsi="Times New Roman" w:cs="Times New Roman"/>
                <w:lang w:val="lt-LT"/>
              </w:rPr>
              <w:t>mg</w:t>
            </w:r>
            <w:r w:rsidRPr="00220850">
              <w:rPr>
                <w:rFonts w:ascii="Times New Roman" w:hAnsi="Times New Roman" w:cs="Times New Roman"/>
                <w:spacing w:val="-8"/>
                <w:lang w:val="lt-LT"/>
              </w:rPr>
              <w:t xml:space="preserve"> </w:t>
            </w:r>
            <w:r w:rsidRPr="00220850">
              <w:rPr>
                <w:rFonts w:ascii="Times New Roman" w:hAnsi="Times New Roman" w:cs="Times New Roman"/>
                <w:lang w:val="lt-LT"/>
              </w:rPr>
              <w:t>kapsulę</w:t>
            </w:r>
            <w:r w:rsidRPr="00220850">
              <w:rPr>
                <w:rFonts w:ascii="Times New Roman" w:hAnsi="Times New Roman" w:cs="Times New Roman"/>
                <w:spacing w:val="-4"/>
                <w:lang w:val="lt-LT"/>
              </w:rPr>
              <w:t xml:space="preserve"> </w:t>
            </w:r>
            <w:r w:rsidRPr="00220850">
              <w:rPr>
                <w:rFonts w:ascii="Times New Roman" w:hAnsi="Times New Roman" w:cs="Times New Roman"/>
                <w:lang w:val="lt-LT"/>
              </w:rPr>
              <w:t>arba šešias 25 mg</w:t>
            </w:r>
            <w:r w:rsidRPr="00220850">
              <w:rPr>
                <w:rFonts w:ascii="Times New Roman" w:hAnsi="Times New Roman" w:cs="Times New Roman"/>
                <w:spacing w:val="-5"/>
                <w:lang w:val="lt-LT"/>
              </w:rPr>
              <w:t xml:space="preserve"> </w:t>
            </w:r>
            <w:r w:rsidRPr="00220850">
              <w:rPr>
                <w:rFonts w:ascii="Times New Roman" w:hAnsi="Times New Roman" w:cs="Times New Roman"/>
                <w:lang w:val="lt-LT"/>
              </w:rPr>
              <w:t>kapsules) du kartus per parą</w:t>
            </w:r>
          </w:p>
        </w:tc>
      </w:tr>
    </w:tbl>
    <w:p w14:paraId="3B783DDA" w14:textId="77777777" w:rsidR="00DA7EB5" w:rsidRPr="00220850" w:rsidRDefault="00DA7EB5" w:rsidP="00DA7EB5">
      <w:pPr>
        <w:keepNext/>
        <w:tabs>
          <w:tab w:val="left" w:pos="567"/>
        </w:tabs>
        <w:spacing w:line="260" w:lineRule="exact"/>
        <w:jc w:val="both"/>
        <w:outlineLvl w:val="3"/>
        <w:rPr>
          <w:b/>
          <w:bCs/>
          <w:sz w:val="22"/>
          <w:szCs w:val="22"/>
          <w:lang w:eastAsia="x-none"/>
        </w:rPr>
      </w:pPr>
    </w:p>
    <w:p w14:paraId="0EE9A01A" w14:textId="77777777" w:rsidR="00DA7EB5" w:rsidRPr="00220850" w:rsidRDefault="00DA7EB5" w:rsidP="00DA7EB5">
      <w:pPr>
        <w:keepNext/>
        <w:tabs>
          <w:tab w:val="left" w:pos="567"/>
        </w:tabs>
        <w:spacing w:line="260" w:lineRule="exact"/>
        <w:jc w:val="both"/>
        <w:outlineLvl w:val="3"/>
        <w:rPr>
          <w:bCs/>
          <w:sz w:val="22"/>
          <w:szCs w:val="22"/>
          <w:lang w:eastAsia="x-none"/>
        </w:rPr>
      </w:pPr>
      <w:r w:rsidRPr="00220850">
        <w:rPr>
          <w:bCs/>
          <w:sz w:val="22"/>
          <w:szCs w:val="22"/>
          <w:lang w:eastAsia="x-none"/>
        </w:rPr>
        <w:t xml:space="preserve">Jei šiuo vaistu dozavimo </w:t>
      </w:r>
      <w:proofErr w:type="spellStart"/>
      <w:r w:rsidRPr="00220850">
        <w:rPr>
          <w:bCs/>
          <w:sz w:val="22"/>
          <w:szCs w:val="22"/>
          <w:lang w:eastAsia="x-none"/>
        </w:rPr>
        <w:t>neimanoma</w:t>
      </w:r>
      <w:proofErr w:type="spellEnd"/>
      <w:r w:rsidRPr="00220850">
        <w:rPr>
          <w:bCs/>
          <w:sz w:val="22"/>
          <w:szCs w:val="22"/>
          <w:lang w:eastAsia="x-none"/>
        </w:rPr>
        <w:t xml:space="preserve"> pasiekti, galima įsigyti tinkamesnio stiprumo </w:t>
      </w:r>
      <w:proofErr w:type="spellStart"/>
      <w:r w:rsidRPr="00220850">
        <w:rPr>
          <w:bCs/>
          <w:sz w:val="22"/>
          <w:szCs w:val="22"/>
          <w:lang w:eastAsia="x-none"/>
        </w:rPr>
        <w:t>nintedanibo</w:t>
      </w:r>
      <w:proofErr w:type="spellEnd"/>
      <w:r w:rsidRPr="00220850">
        <w:rPr>
          <w:bCs/>
          <w:sz w:val="22"/>
          <w:szCs w:val="22"/>
          <w:lang w:eastAsia="x-none"/>
        </w:rPr>
        <w:t xml:space="preserve"> turinčių vaistų.</w:t>
      </w:r>
    </w:p>
    <w:p w14:paraId="0EDC816B" w14:textId="77777777" w:rsidR="004C68FC" w:rsidRPr="00220850" w:rsidRDefault="004C68FC" w:rsidP="00771FE3">
      <w:pPr>
        <w:numPr>
          <w:ilvl w:val="12"/>
          <w:numId w:val="0"/>
        </w:numPr>
        <w:ind w:right="-2"/>
        <w:rPr>
          <w:sz w:val="22"/>
          <w:szCs w:val="24"/>
        </w:rPr>
      </w:pPr>
    </w:p>
    <w:p w14:paraId="3228C5C9" w14:textId="77777777" w:rsidR="00771FE3" w:rsidRPr="00220850" w:rsidRDefault="00771FE3" w:rsidP="00771FE3">
      <w:pPr>
        <w:keepNext/>
        <w:tabs>
          <w:tab w:val="left" w:pos="567"/>
        </w:tabs>
        <w:spacing w:line="260" w:lineRule="exact"/>
        <w:jc w:val="both"/>
        <w:outlineLvl w:val="3"/>
        <w:rPr>
          <w:b/>
          <w:bCs/>
          <w:sz w:val="22"/>
          <w:szCs w:val="22"/>
          <w:lang w:eastAsia="x-none"/>
        </w:rPr>
      </w:pPr>
      <w:r w:rsidRPr="00220850">
        <w:rPr>
          <w:b/>
          <w:bCs/>
          <w:sz w:val="22"/>
          <w:szCs w:val="22"/>
          <w:lang w:eastAsia="x-none"/>
        </w:rPr>
        <w:t xml:space="preserve">Ką daryti pavartojus per didelę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2"/>
          <w:lang w:eastAsia="x-none"/>
        </w:rPr>
        <w:t xml:space="preserve"> dozę</w:t>
      </w:r>
    </w:p>
    <w:p w14:paraId="6138764D" w14:textId="77777777" w:rsidR="00771FE3" w:rsidRPr="00220850" w:rsidRDefault="00771FE3" w:rsidP="00771FE3">
      <w:pPr>
        <w:numPr>
          <w:ilvl w:val="12"/>
          <w:numId w:val="0"/>
        </w:numPr>
        <w:ind w:right="-2"/>
        <w:rPr>
          <w:sz w:val="22"/>
          <w:szCs w:val="24"/>
        </w:rPr>
      </w:pPr>
      <w:r w:rsidRPr="00220850">
        <w:rPr>
          <w:rFonts w:eastAsia="TimesNewRoman"/>
          <w:sz w:val="22"/>
          <w:szCs w:val="22"/>
        </w:rPr>
        <w:t>Nedelsdami kreipkitės į gydytoją arba vaistininką.</w:t>
      </w:r>
    </w:p>
    <w:p w14:paraId="4E1F5059" w14:textId="77777777" w:rsidR="00771FE3" w:rsidRPr="00220850" w:rsidRDefault="00771FE3" w:rsidP="00771FE3">
      <w:pPr>
        <w:keepNext/>
        <w:tabs>
          <w:tab w:val="left" w:pos="567"/>
        </w:tabs>
        <w:spacing w:line="260" w:lineRule="exact"/>
        <w:jc w:val="both"/>
        <w:outlineLvl w:val="3"/>
        <w:rPr>
          <w:b/>
          <w:bCs/>
          <w:sz w:val="22"/>
          <w:szCs w:val="28"/>
          <w:lang w:eastAsia="x-none"/>
        </w:rPr>
      </w:pPr>
    </w:p>
    <w:p w14:paraId="225A4126"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Pamiršus pavartoti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p>
    <w:p w14:paraId="7B8207F9" w14:textId="77777777" w:rsidR="00771FE3" w:rsidRPr="00220850" w:rsidRDefault="00771FE3" w:rsidP="00771FE3">
      <w:pPr>
        <w:autoSpaceDE w:val="0"/>
        <w:autoSpaceDN w:val="0"/>
        <w:adjustRightInd w:val="0"/>
        <w:rPr>
          <w:sz w:val="22"/>
          <w:szCs w:val="24"/>
        </w:rPr>
      </w:pPr>
      <w:r w:rsidRPr="00220850">
        <w:rPr>
          <w:rFonts w:eastAsia="TimesNewRoman"/>
          <w:sz w:val="22"/>
          <w:szCs w:val="22"/>
        </w:rPr>
        <w:t xml:space="preserve">Negerkite dviejų kapsulių iš karto, jei užmiršote išgerti ankstesnę dozę. Kitą </w:t>
      </w:r>
      <w:r w:rsidR="00E06932" w:rsidRPr="00220850">
        <w:rPr>
          <w:rFonts w:eastAsia="TimesNewRoman"/>
          <w:sz w:val="22"/>
          <w:szCs w:val="22"/>
        </w:rPr>
        <w:t>15</w:t>
      </w:r>
      <w:r w:rsidRPr="00220850">
        <w:rPr>
          <w:rFonts w:eastAsia="TimesNewRoman"/>
          <w:sz w:val="22"/>
          <w:szCs w:val="22"/>
        </w:rPr>
        <w:t xml:space="preserve">0 mg </w:t>
      </w:r>
      <w:proofErr w:type="spellStart"/>
      <w:r w:rsidRPr="00220850">
        <w:rPr>
          <w:rFonts w:eastAsia="TimesNewRoman"/>
          <w:sz w:val="22"/>
          <w:szCs w:val="22"/>
        </w:rPr>
        <w:t>Nintendanib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gerkite kaip numatyta įprastu laiku, kaip Jums rekomendavo gydytojas ar vaistininkas.</w:t>
      </w:r>
    </w:p>
    <w:p w14:paraId="4678CC00" w14:textId="77777777" w:rsidR="00771FE3" w:rsidRPr="00220850" w:rsidRDefault="00771FE3" w:rsidP="00771FE3">
      <w:pPr>
        <w:keepNext/>
        <w:tabs>
          <w:tab w:val="left" w:pos="567"/>
        </w:tabs>
        <w:spacing w:line="260" w:lineRule="exact"/>
        <w:jc w:val="both"/>
        <w:outlineLvl w:val="3"/>
        <w:rPr>
          <w:b/>
          <w:bCs/>
          <w:sz w:val="22"/>
          <w:szCs w:val="28"/>
          <w:lang w:eastAsia="x-none"/>
        </w:rPr>
      </w:pPr>
    </w:p>
    <w:p w14:paraId="2336EF3F"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Nustojus 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0D851629"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 xml:space="preserve">Nepasitarę su savo gydytoju, nenustokite vartoję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Svarbu šį vaistą gerti kiekvieną dieną ir tiek laiko, kiek Jums skyrė gydytojas.</w:t>
      </w:r>
    </w:p>
    <w:p w14:paraId="45AFE74E" w14:textId="77777777" w:rsidR="00E06932" w:rsidRPr="00220850" w:rsidRDefault="00E06932" w:rsidP="00E06932">
      <w:pPr>
        <w:numPr>
          <w:ilvl w:val="12"/>
          <w:numId w:val="0"/>
        </w:numPr>
        <w:ind w:right="-29"/>
        <w:rPr>
          <w:rFonts w:eastAsia="TimesNewRoman"/>
          <w:sz w:val="22"/>
          <w:szCs w:val="22"/>
        </w:rPr>
      </w:pPr>
    </w:p>
    <w:p w14:paraId="08496EF6" w14:textId="77777777" w:rsidR="00771FE3" w:rsidRPr="00220850" w:rsidRDefault="00771FE3" w:rsidP="00771FE3">
      <w:pPr>
        <w:numPr>
          <w:ilvl w:val="12"/>
          <w:numId w:val="0"/>
        </w:numPr>
        <w:ind w:right="-29"/>
        <w:rPr>
          <w:sz w:val="22"/>
          <w:szCs w:val="24"/>
        </w:rPr>
      </w:pPr>
      <w:r w:rsidRPr="00220850">
        <w:rPr>
          <w:sz w:val="22"/>
          <w:szCs w:val="24"/>
        </w:rPr>
        <w:t>Jeigu kiltų daugiau klausimų dėl šio vaisto vartojimo, kreipkitės į gydytoją arba vaistininką.</w:t>
      </w:r>
    </w:p>
    <w:p w14:paraId="04327BC2" w14:textId="77777777" w:rsidR="00771FE3" w:rsidRPr="00220850" w:rsidRDefault="00771FE3" w:rsidP="00771FE3">
      <w:pPr>
        <w:numPr>
          <w:ilvl w:val="12"/>
          <w:numId w:val="0"/>
        </w:numPr>
        <w:rPr>
          <w:sz w:val="22"/>
          <w:szCs w:val="24"/>
        </w:rPr>
      </w:pPr>
    </w:p>
    <w:p w14:paraId="1FC27148" w14:textId="77777777" w:rsidR="00771FE3" w:rsidRPr="00220850" w:rsidRDefault="00771FE3" w:rsidP="00771FE3">
      <w:pPr>
        <w:numPr>
          <w:ilvl w:val="12"/>
          <w:numId w:val="0"/>
        </w:numPr>
        <w:rPr>
          <w:sz w:val="22"/>
          <w:szCs w:val="24"/>
        </w:rPr>
      </w:pPr>
    </w:p>
    <w:p w14:paraId="0180ACA7" w14:textId="77777777" w:rsidR="00771FE3" w:rsidRPr="00220850" w:rsidRDefault="00771FE3" w:rsidP="00771FE3">
      <w:pPr>
        <w:keepNext/>
        <w:keepLines/>
        <w:tabs>
          <w:tab w:val="left" w:pos="567"/>
        </w:tabs>
        <w:outlineLvl w:val="2"/>
        <w:rPr>
          <w:b/>
          <w:bCs/>
          <w:sz w:val="22"/>
          <w:szCs w:val="26"/>
          <w:lang w:eastAsia="x-none"/>
        </w:rPr>
      </w:pPr>
      <w:r w:rsidRPr="00220850">
        <w:rPr>
          <w:b/>
          <w:bCs/>
          <w:sz w:val="22"/>
          <w:szCs w:val="26"/>
          <w:lang w:eastAsia="x-none"/>
        </w:rPr>
        <w:t>4.</w:t>
      </w:r>
      <w:r w:rsidRPr="00220850">
        <w:rPr>
          <w:b/>
          <w:bCs/>
          <w:sz w:val="22"/>
          <w:szCs w:val="26"/>
          <w:lang w:eastAsia="x-none"/>
        </w:rPr>
        <w:tab/>
        <w:t>Galimas šalutinis poveikis</w:t>
      </w:r>
    </w:p>
    <w:p w14:paraId="406C3FCF" w14:textId="77777777" w:rsidR="00771FE3" w:rsidRPr="00220850" w:rsidRDefault="00771FE3" w:rsidP="00771FE3">
      <w:pPr>
        <w:numPr>
          <w:ilvl w:val="12"/>
          <w:numId w:val="0"/>
        </w:numPr>
        <w:rPr>
          <w:sz w:val="22"/>
          <w:szCs w:val="24"/>
        </w:rPr>
      </w:pPr>
    </w:p>
    <w:p w14:paraId="13D8CA6F" w14:textId="77777777" w:rsidR="00771FE3" w:rsidRPr="00220850" w:rsidRDefault="00771FE3" w:rsidP="00771FE3">
      <w:pPr>
        <w:ind w:right="-29"/>
        <w:rPr>
          <w:sz w:val="22"/>
        </w:rPr>
      </w:pPr>
      <w:r w:rsidRPr="00220850">
        <w:rPr>
          <w:sz w:val="22"/>
        </w:rPr>
        <w:t>Šis vaistas, kaip ir visi kiti, gali sukelti šalutinį poveikį, nors jis pasireiškia ne visiems žmonėms.</w:t>
      </w:r>
    </w:p>
    <w:p w14:paraId="7EDAC848" w14:textId="77777777" w:rsidR="00771FE3" w:rsidRPr="00220850" w:rsidRDefault="00771FE3" w:rsidP="00771FE3">
      <w:pPr>
        <w:autoSpaceDE w:val="0"/>
        <w:autoSpaceDN w:val="0"/>
        <w:adjustRightInd w:val="0"/>
        <w:rPr>
          <w:rFonts w:eastAsia="TimesNewRoman"/>
          <w:sz w:val="22"/>
          <w:szCs w:val="22"/>
        </w:rPr>
      </w:pPr>
    </w:p>
    <w:p w14:paraId="2A4268B2" w14:textId="77777777" w:rsidR="00771FE3" w:rsidRPr="00220850" w:rsidRDefault="00771FE3" w:rsidP="00771FE3">
      <w:pPr>
        <w:autoSpaceDE w:val="0"/>
        <w:autoSpaceDN w:val="0"/>
        <w:adjustRightInd w:val="0"/>
        <w:rPr>
          <w:rFonts w:eastAsia="TimesNewRoman,Bold"/>
          <w:b/>
          <w:bCs/>
          <w:sz w:val="22"/>
          <w:szCs w:val="22"/>
        </w:rPr>
      </w:pPr>
      <w:r w:rsidRPr="00220850">
        <w:rPr>
          <w:rFonts w:eastAsia="TimesNewRoman"/>
          <w:sz w:val="22"/>
          <w:szCs w:val="22"/>
        </w:rPr>
        <w:t xml:space="preserve">Turite atkreipti ypatingą specialų dėmesį, jeigu gydymo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metu Jums pasireiškia toliau išvardytas šalutinis poveikis:</w:t>
      </w:r>
    </w:p>
    <w:p w14:paraId="50B735ED" w14:textId="77777777" w:rsidR="00771FE3" w:rsidRPr="00220850" w:rsidRDefault="00771FE3" w:rsidP="00771FE3">
      <w:pPr>
        <w:autoSpaceDE w:val="0"/>
        <w:autoSpaceDN w:val="0"/>
        <w:adjustRightInd w:val="0"/>
        <w:rPr>
          <w:rFonts w:eastAsia="TimesNewRoman,Bold"/>
          <w:b/>
          <w:bCs/>
          <w:sz w:val="22"/>
          <w:szCs w:val="22"/>
        </w:rPr>
      </w:pPr>
    </w:p>
    <w:p w14:paraId="1F9CA6F5" w14:textId="77777777" w:rsidR="00771FE3" w:rsidRPr="00220850" w:rsidRDefault="00771FE3" w:rsidP="00771FE3">
      <w:pPr>
        <w:autoSpaceDE w:val="0"/>
        <w:autoSpaceDN w:val="0"/>
        <w:adjustRightInd w:val="0"/>
        <w:rPr>
          <w:rFonts w:eastAsia="TimesNewRoman,Italic"/>
          <w:i/>
          <w:iCs/>
          <w:sz w:val="22"/>
          <w:szCs w:val="22"/>
        </w:rPr>
      </w:pPr>
      <w:r w:rsidRPr="00220850">
        <w:rPr>
          <w:rFonts w:eastAsia="TimesNewRoman,Bold"/>
          <w:b/>
          <w:bCs/>
          <w:sz w:val="22"/>
          <w:szCs w:val="22"/>
        </w:rPr>
        <w:t xml:space="preserve">Viduriavimas </w:t>
      </w:r>
      <w:r w:rsidRPr="00220850">
        <w:rPr>
          <w:rFonts w:eastAsia="TimesNewRoman,Italic"/>
          <w:b/>
          <w:bCs/>
          <w:sz w:val="22"/>
          <w:szCs w:val="22"/>
        </w:rPr>
        <w:t>(labai dažnas,</w:t>
      </w:r>
      <w:r w:rsidRPr="00220850">
        <w:rPr>
          <w:rFonts w:eastAsia="TimesNewRoman,Italic"/>
          <w:sz w:val="22"/>
          <w:szCs w:val="22"/>
        </w:rPr>
        <w:t xml:space="preserve"> gali pasireikšti ne rečiau kaip 1 iš 10 asmenų).</w:t>
      </w:r>
    </w:p>
    <w:p w14:paraId="57BDC105"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220850">
        <w:rPr>
          <w:rFonts w:eastAsia="TimesNewRoman"/>
          <w:sz w:val="22"/>
          <w:szCs w:val="22"/>
        </w:rPr>
        <w:t>loperamidu</w:t>
      </w:r>
      <w:proofErr w:type="spellEnd"/>
      <w:r w:rsidRPr="00220850">
        <w:rPr>
          <w:rFonts w:eastAsia="TimesNewRoman"/>
          <w:sz w:val="22"/>
          <w:szCs w:val="22"/>
        </w:rPr>
        <w:t>.</w:t>
      </w:r>
    </w:p>
    <w:p w14:paraId="25A2C99D" w14:textId="77777777" w:rsidR="00771FE3" w:rsidRPr="00220850" w:rsidRDefault="00771FE3" w:rsidP="00771FE3">
      <w:pPr>
        <w:autoSpaceDE w:val="0"/>
        <w:autoSpaceDN w:val="0"/>
        <w:adjustRightInd w:val="0"/>
        <w:rPr>
          <w:rFonts w:eastAsia="TimesNewRoman,Bold"/>
          <w:b/>
          <w:bCs/>
          <w:sz w:val="22"/>
          <w:szCs w:val="22"/>
        </w:rPr>
      </w:pPr>
    </w:p>
    <w:p w14:paraId="711D5BFB" w14:textId="77777777" w:rsidR="00771FE3" w:rsidRPr="00220850" w:rsidRDefault="00771FE3" w:rsidP="00771FE3">
      <w:pPr>
        <w:autoSpaceDE w:val="0"/>
        <w:autoSpaceDN w:val="0"/>
        <w:adjustRightInd w:val="0"/>
        <w:rPr>
          <w:rFonts w:eastAsia="TimesNewRoman,Bold"/>
          <w:b/>
          <w:bCs/>
          <w:sz w:val="22"/>
          <w:szCs w:val="22"/>
        </w:rPr>
      </w:pPr>
      <w:r w:rsidRPr="00220850">
        <w:rPr>
          <w:rFonts w:eastAsia="TimesNewRoman,Bold"/>
          <w:b/>
          <w:bCs/>
          <w:sz w:val="22"/>
          <w:szCs w:val="22"/>
        </w:rPr>
        <w:t>Gydant šiuo vaistu, buvo pastebėtas toliau išvardytas šalutinis poveikis.</w:t>
      </w:r>
    </w:p>
    <w:p w14:paraId="0E5EA51F" w14:textId="77777777" w:rsidR="00771FE3" w:rsidRPr="00220850" w:rsidRDefault="00771FE3" w:rsidP="00771FE3">
      <w:pPr>
        <w:autoSpaceDE w:val="0"/>
        <w:autoSpaceDN w:val="0"/>
        <w:adjustRightInd w:val="0"/>
        <w:rPr>
          <w:rFonts w:eastAsia="TimesNewRoman"/>
          <w:sz w:val="22"/>
          <w:szCs w:val="22"/>
          <w:lang w:val="fr-FR"/>
        </w:rPr>
      </w:pPr>
      <w:r w:rsidRPr="00220850">
        <w:rPr>
          <w:rFonts w:eastAsia="TimesNewRoman"/>
          <w:sz w:val="22"/>
          <w:szCs w:val="22"/>
          <w:lang w:val="fr-FR"/>
        </w:rPr>
        <w:t>Jeigu pasireiškė šalutinis poveikis, pasakykite gydytojui.</w:t>
      </w:r>
    </w:p>
    <w:p w14:paraId="5FF15054" w14:textId="77777777" w:rsidR="00771FE3" w:rsidRPr="00220850" w:rsidRDefault="00771FE3" w:rsidP="00771FE3">
      <w:pPr>
        <w:autoSpaceDE w:val="0"/>
        <w:autoSpaceDN w:val="0"/>
        <w:adjustRightInd w:val="0"/>
        <w:rPr>
          <w:rFonts w:eastAsia="TimesNewRoman"/>
          <w:sz w:val="22"/>
          <w:szCs w:val="22"/>
          <w:lang w:val="fr-FR"/>
        </w:rPr>
      </w:pPr>
    </w:p>
    <w:p w14:paraId="47A39DF4" w14:textId="77777777" w:rsidR="00771FE3" w:rsidRPr="00220850" w:rsidRDefault="00771FE3" w:rsidP="00771FE3">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Idiopatinė plaučių fibrozė (IPF)</w:t>
      </w:r>
    </w:p>
    <w:p w14:paraId="7C81E622" w14:textId="3FE13752" w:rsidR="00771FE3" w:rsidRPr="00220850" w:rsidRDefault="00771FE3" w:rsidP="00771FE3">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 xml:space="preserve">Labai </w:t>
      </w:r>
      <w:r w:rsidR="00E77D2F" w:rsidRPr="00220850">
        <w:rPr>
          <w:rFonts w:eastAsia="TimesNewRoman,Italic"/>
          <w:b/>
          <w:iCs/>
          <w:sz w:val="22"/>
          <w:szCs w:val="22"/>
          <w:lang w:val="fr-FR"/>
        </w:rPr>
        <w:t>dažni šalutinio poveikio</w:t>
      </w:r>
      <w:r w:rsidR="00E77D2F" w:rsidRPr="00220850">
        <w:rPr>
          <w:rFonts w:eastAsia="TimesNewRoman,Italic"/>
          <w:bCs/>
          <w:iCs/>
          <w:sz w:val="22"/>
          <w:szCs w:val="22"/>
          <w:lang w:val="fr-FR"/>
        </w:rPr>
        <w:t xml:space="preserve"> </w:t>
      </w:r>
      <w:r w:rsidR="001D0E0C" w:rsidRPr="00220850">
        <w:rPr>
          <w:rFonts w:eastAsia="TimesNewRoman,Italic"/>
          <w:b/>
          <w:iCs/>
          <w:sz w:val="22"/>
          <w:szCs w:val="22"/>
          <w:lang w:val="fr-FR"/>
        </w:rPr>
        <w:t>reiškiniai</w:t>
      </w:r>
      <w:r w:rsidR="001D0E0C" w:rsidRPr="00220850">
        <w:rPr>
          <w:rFonts w:eastAsia="TimesNewRoman,Italic"/>
          <w:bCs/>
          <w:iCs/>
          <w:sz w:val="22"/>
          <w:szCs w:val="22"/>
          <w:lang w:val="fr-FR"/>
        </w:rPr>
        <w:t xml:space="preserve"> </w:t>
      </w:r>
      <w:r w:rsidRPr="00001D79">
        <w:rPr>
          <w:rFonts w:eastAsia="TimesNewRoman,Italic"/>
          <w:b/>
          <w:iCs/>
          <w:sz w:val="22"/>
          <w:szCs w:val="22"/>
          <w:lang w:val="fr-FR"/>
        </w:rPr>
        <w:t>(gali pasireikšti ne rečiau kaip 1 iš 10 asmenų)</w:t>
      </w:r>
      <w:r w:rsidR="0035166F" w:rsidRPr="00001D79">
        <w:rPr>
          <w:rFonts w:eastAsia="TimesNewRoman,Italic"/>
          <w:b/>
          <w:iCs/>
          <w:sz w:val="22"/>
          <w:szCs w:val="22"/>
          <w:lang w:val="fr-FR"/>
        </w:rPr>
        <w:t>:</w:t>
      </w:r>
    </w:p>
    <w:p w14:paraId="1E669579" w14:textId="7863225C" w:rsidR="00771FE3" w:rsidRPr="00220850" w:rsidRDefault="004646FE" w:rsidP="0013626C">
      <w:pPr>
        <w:pStyle w:val="Sraopastraipa"/>
        <w:numPr>
          <w:ilvl w:val="0"/>
          <w:numId w:val="5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w:t>
      </w:r>
      <w:r w:rsidR="00771FE3" w:rsidRPr="00220850">
        <w:rPr>
          <w:rFonts w:eastAsia="TimesNewRoman"/>
          <w:sz w:val="22"/>
          <w:szCs w:val="22"/>
          <w:lang w:val="en-US"/>
        </w:rPr>
        <w:t>ykinimas</w:t>
      </w:r>
      <w:proofErr w:type="spellEnd"/>
      <w:r w:rsidRPr="00220850">
        <w:rPr>
          <w:rFonts w:eastAsia="TimesNewRoman"/>
          <w:sz w:val="22"/>
          <w:szCs w:val="22"/>
          <w:lang w:val="en-US"/>
        </w:rPr>
        <w:t>)</w:t>
      </w:r>
      <w:r w:rsidR="00771FE3" w:rsidRPr="00220850">
        <w:rPr>
          <w:rFonts w:eastAsia="TimesNewRoman"/>
          <w:sz w:val="22"/>
          <w:szCs w:val="22"/>
          <w:lang w:val="en-US"/>
        </w:rPr>
        <w:t>.</w:t>
      </w:r>
    </w:p>
    <w:p w14:paraId="608104D1" w14:textId="77777777" w:rsidR="00771FE3" w:rsidRPr="00220850" w:rsidRDefault="00771FE3" w:rsidP="0013626C">
      <w:pPr>
        <w:pStyle w:val="Sraopastraipa"/>
        <w:numPr>
          <w:ilvl w:val="0"/>
          <w:numId w:val="51"/>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50A2B92A" w14:textId="77777777" w:rsidR="00771FE3" w:rsidRPr="00220850" w:rsidRDefault="00771FE3" w:rsidP="0013626C">
      <w:pPr>
        <w:pStyle w:val="Sraopastraipa"/>
        <w:numPr>
          <w:ilvl w:val="0"/>
          <w:numId w:val="5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0DA66809" w14:textId="77777777" w:rsidR="00771FE3" w:rsidRPr="00220850" w:rsidRDefault="00771FE3" w:rsidP="00771FE3">
      <w:pPr>
        <w:autoSpaceDE w:val="0"/>
        <w:autoSpaceDN w:val="0"/>
        <w:adjustRightInd w:val="0"/>
        <w:ind w:left="567" w:hanging="567"/>
        <w:rPr>
          <w:rFonts w:eastAsia="TimesNewRoman,Italic"/>
          <w:b/>
          <w:iCs/>
          <w:sz w:val="22"/>
          <w:szCs w:val="22"/>
          <w:lang w:val="en-US"/>
        </w:rPr>
      </w:pPr>
    </w:p>
    <w:p w14:paraId="43F1EAB3" w14:textId="2429055D" w:rsidR="00771FE3" w:rsidRPr="00052E48" w:rsidRDefault="001D0E0C" w:rsidP="00771FE3">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00771FE3" w:rsidRPr="00001D79">
        <w:rPr>
          <w:rFonts w:eastAsia="TimesNewRoman,Italic"/>
          <w:b/>
          <w:iCs/>
          <w:sz w:val="22"/>
          <w:szCs w:val="22"/>
          <w:lang w:val="en-US"/>
        </w:rPr>
        <w:t>(</w:t>
      </w:r>
      <w:proofErr w:type="spellStart"/>
      <w:r w:rsidR="00771FE3" w:rsidRPr="00001D79">
        <w:rPr>
          <w:rFonts w:eastAsia="TimesNewRoman,Italic"/>
          <w:b/>
          <w:iCs/>
          <w:sz w:val="22"/>
          <w:szCs w:val="22"/>
          <w:lang w:val="en-US"/>
        </w:rPr>
        <w:t>gali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pasireikšti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rečiau</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kaip</w:t>
      </w:r>
      <w:proofErr w:type="spellEnd"/>
      <w:r w:rsidR="00771FE3" w:rsidRPr="00001D79">
        <w:rPr>
          <w:rFonts w:eastAsia="TimesNewRoman,Italic"/>
          <w:b/>
          <w:iCs/>
          <w:sz w:val="22"/>
          <w:szCs w:val="22"/>
          <w:lang w:val="en-US"/>
        </w:rPr>
        <w:t xml:space="preserve"> 1 </w:t>
      </w:r>
      <w:proofErr w:type="spellStart"/>
      <w:r w:rsidR="00771FE3" w:rsidRPr="00001D79">
        <w:rPr>
          <w:rFonts w:eastAsia="TimesNewRoman,Italic"/>
          <w:b/>
          <w:iCs/>
          <w:sz w:val="22"/>
          <w:szCs w:val="22"/>
          <w:lang w:val="en-US"/>
        </w:rPr>
        <w:t>iš</w:t>
      </w:r>
      <w:proofErr w:type="spellEnd"/>
      <w:r w:rsidR="00771FE3" w:rsidRPr="00001D79">
        <w:rPr>
          <w:rFonts w:eastAsia="TimesNewRoman,Italic"/>
          <w:b/>
          <w:iCs/>
          <w:sz w:val="22"/>
          <w:szCs w:val="22"/>
          <w:lang w:val="en-US"/>
        </w:rPr>
        <w:t xml:space="preserve"> 10 </w:t>
      </w:r>
      <w:proofErr w:type="spellStart"/>
      <w:r w:rsidR="00771FE3" w:rsidRPr="00001D79">
        <w:rPr>
          <w:rFonts w:eastAsia="TimesNewRoman,Italic"/>
          <w:b/>
          <w:iCs/>
          <w:sz w:val="22"/>
          <w:szCs w:val="22"/>
          <w:lang w:val="en-US"/>
        </w:rPr>
        <w:t>asmenų</w:t>
      </w:r>
      <w:proofErr w:type="spellEnd"/>
      <w:r w:rsidR="00771FE3" w:rsidRPr="00001D79">
        <w:rPr>
          <w:rFonts w:eastAsia="TimesNewRoman,Italic"/>
          <w:b/>
          <w:iCs/>
          <w:sz w:val="22"/>
          <w:szCs w:val="22"/>
          <w:lang w:val="en-US"/>
        </w:rPr>
        <w:t>)</w:t>
      </w:r>
      <w:r w:rsidR="0035166F" w:rsidRPr="00001D79">
        <w:rPr>
          <w:rFonts w:eastAsia="TimesNewRoman,Italic"/>
          <w:b/>
          <w:iCs/>
          <w:sz w:val="22"/>
          <w:szCs w:val="22"/>
          <w:lang w:val="en-US"/>
        </w:rPr>
        <w:t>:</w:t>
      </w:r>
    </w:p>
    <w:p w14:paraId="32C5AF2B" w14:textId="77777777" w:rsidR="00771FE3" w:rsidRPr="00220850" w:rsidRDefault="00771FE3" w:rsidP="0013626C">
      <w:pPr>
        <w:pStyle w:val="Sraopastraipa"/>
        <w:numPr>
          <w:ilvl w:val="2"/>
          <w:numId w:val="5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64DDCBCD" w14:textId="77777777" w:rsidR="00771FE3" w:rsidRPr="00220850" w:rsidRDefault="00771FE3" w:rsidP="0013626C">
      <w:pPr>
        <w:pStyle w:val="Sraopastraipa"/>
        <w:numPr>
          <w:ilvl w:val="2"/>
          <w:numId w:val="5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2BE066BE" w14:textId="77777777" w:rsidR="00771FE3" w:rsidRPr="00220850" w:rsidRDefault="00771FE3" w:rsidP="0013626C">
      <w:pPr>
        <w:pStyle w:val="Sraopastraipa"/>
        <w:numPr>
          <w:ilvl w:val="2"/>
          <w:numId w:val="5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5AD256BF" w14:textId="77777777" w:rsidR="00771FE3" w:rsidRPr="00220850" w:rsidRDefault="00771FE3" w:rsidP="0013626C">
      <w:pPr>
        <w:pStyle w:val="Sraopastraipa"/>
        <w:numPr>
          <w:ilvl w:val="2"/>
          <w:numId w:val="5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5256C16A" w14:textId="77777777" w:rsidR="00771FE3" w:rsidRPr="00220850" w:rsidRDefault="00771FE3" w:rsidP="0013626C">
      <w:pPr>
        <w:pStyle w:val="Sraopastraipa"/>
        <w:numPr>
          <w:ilvl w:val="2"/>
          <w:numId w:val="5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6546EC27" w14:textId="77777777" w:rsidR="00771FE3" w:rsidRPr="00220850" w:rsidRDefault="00771FE3" w:rsidP="0013626C">
      <w:pPr>
        <w:pStyle w:val="Sraopastraipa"/>
        <w:numPr>
          <w:ilvl w:val="2"/>
          <w:numId w:val="52"/>
        </w:numPr>
        <w:tabs>
          <w:tab w:val="left" w:pos="567"/>
        </w:tabs>
        <w:ind w:left="567" w:right="-29"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6CDE7C8A" w14:textId="77777777" w:rsidR="00771FE3" w:rsidRPr="00220850" w:rsidRDefault="00771FE3" w:rsidP="00771FE3">
      <w:pPr>
        <w:pStyle w:val="Sraopastraipa"/>
        <w:tabs>
          <w:tab w:val="left" w:pos="567"/>
        </w:tabs>
        <w:ind w:left="567" w:right="-29"/>
        <w:rPr>
          <w:rFonts w:eastAsia="TimesNewRoman"/>
          <w:sz w:val="22"/>
          <w:szCs w:val="22"/>
          <w:lang w:val="en-US"/>
        </w:rPr>
      </w:pPr>
    </w:p>
    <w:p w14:paraId="2E5CBB50" w14:textId="4C59971B" w:rsidR="00771FE3" w:rsidRPr="00052E48" w:rsidRDefault="001D0E0C" w:rsidP="00771FE3">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Nedažni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00771FE3" w:rsidRPr="00001D79">
        <w:rPr>
          <w:rFonts w:eastAsia="TimesNewRoman,Italic"/>
          <w:b/>
          <w:iCs/>
          <w:sz w:val="22"/>
          <w:szCs w:val="22"/>
          <w:lang w:val="en-US"/>
        </w:rPr>
        <w:t>(</w:t>
      </w:r>
      <w:proofErr w:type="spellStart"/>
      <w:r w:rsidR="00771FE3" w:rsidRPr="00001D79">
        <w:rPr>
          <w:rFonts w:eastAsia="TimesNewRoman,Italic"/>
          <w:b/>
          <w:iCs/>
          <w:sz w:val="22"/>
          <w:szCs w:val="22"/>
          <w:lang w:val="en-US"/>
        </w:rPr>
        <w:t>gali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pasireikšti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rečiau</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kaip</w:t>
      </w:r>
      <w:proofErr w:type="spellEnd"/>
      <w:r w:rsidR="00771FE3" w:rsidRPr="00001D79">
        <w:rPr>
          <w:rFonts w:eastAsia="TimesNewRoman,Italic"/>
          <w:b/>
          <w:iCs/>
          <w:sz w:val="22"/>
          <w:szCs w:val="22"/>
          <w:lang w:val="en-US"/>
        </w:rPr>
        <w:t xml:space="preserve"> 1 </w:t>
      </w:r>
      <w:proofErr w:type="spellStart"/>
      <w:r w:rsidR="00771FE3" w:rsidRPr="00001D79">
        <w:rPr>
          <w:rFonts w:eastAsia="TimesNewRoman,Italic"/>
          <w:b/>
          <w:iCs/>
          <w:sz w:val="22"/>
          <w:szCs w:val="22"/>
          <w:lang w:val="en-US"/>
        </w:rPr>
        <w:t>iš</w:t>
      </w:r>
      <w:proofErr w:type="spellEnd"/>
      <w:r w:rsidR="00771FE3" w:rsidRPr="00001D79">
        <w:rPr>
          <w:rFonts w:eastAsia="TimesNewRoman,Italic"/>
          <w:b/>
          <w:iCs/>
          <w:sz w:val="22"/>
          <w:szCs w:val="22"/>
          <w:lang w:val="en-US"/>
        </w:rPr>
        <w:t xml:space="preserve"> 100 </w:t>
      </w:r>
      <w:proofErr w:type="spellStart"/>
      <w:r w:rsidR="00771FE3" w:rsidRPr="00001D79">
        <w:rPr>
          <w:rFonts w:eastAsia="TimesNewRoman,Italic"/>
          <w:b/>
          <w:iCs/>
          <w:sz w:val="22"/>
          <w:szCs w:val="22"/>
          <w:lang w:val="en-US"/>
        </w:rPr>
        <w:t>asmenų</w:t>
      </w:r>
      <w:proofErr w:type="spellEnd"/>
      <w:r w:rsidR="00771FE3" w:rsidRPr="00001D79">
        <w:rPr>
          <w:rFonts w:eastAsia="TimesNewRoman,Italic"/>
          <w:b/>
          <w:iCs/>
          <w:sz w:val="22"/>
          <w:szCs w:val="22"/>
          <w:lang w:val="en-US"/>
        </w:rPr>
        <w:t>)</w:t>
      </w:r>
      <w:r w:rsidR="0035166F" w:rsidRPr="00001D79">
        <w:rPr>
          <w:rFonts w:eastAsia="TimesNewRoman,Italic"/>
          <w:b/>
          <w:iCs/>
          <w:sz w:val="22"/>
          <w:szCs w:val="22"/>
          <w:lang w:val="en-US"/>
        </w:rPr>
        <w:t>:</w:t>
      </w:r>
    </w:p>
    <w:p w14:paraId="368AA53C"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7FF1B8F9"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775221EA"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24EBF8C8"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0BB3E45B"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0F4C266B"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776A828D" w14:textId="4CF9EEAE"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4C1F5774"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696ADD45"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43B7A1FE" w14:textId="77777777" w:rsidR="00771FE3" w:rsidRPr="00220850" w:rsidRDefault="00771FE3" w:rsidP="0013626C">
      <w:pPr>
        <w:pStyle w:val="Sraopastraipa"/>
        <w:numPr>
          <w:ilvl w:val="0"/>
          <w:numId w:val="5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76CE65C3" w14:textId="77777777" w:rsidR="00771FE3" w:rsidRPr="00220850" w:rsidRDefault="00771FE3" w:rsidP="00771FE3">
      <w:pPr>
        <w:autoSpaceDE w:val="0"/>
        <w:autoSpaceDN w:val="0"/>
        <w:adjustRightInd w:val="0"/>
        <w:rPr>
          <w:rFonts w:eastAsia="TimesNewRoman,Italic"/>
          <w:i/>
          <w:iCs/>
          <w:sz w:val="22"/>
          <w:szCs w:val="22"/>
          <w:lang w:val="en-US"/>
        </w:rPr>
      </w:pPr>
    </w:p>
    <w:p w14:paraId="6722D788" w14:textId="3E1408F9" w:rsidR="00771FE3" w:rsidRPr="00052E48" w:rsidRDefault="001D0E0C" w:rsidP="00771FE3">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 xml:space="preserve">Šalutinio poveikio </w:t>
      </w:r>
      <w:r w:rsidRPr="00220850">
        <w:rPr>
          <w:rFonts w:eastAsia="TimesNewRoman,Italic"/>
          <w:b/>
          <w:iCs/>
          <w:sz w:val="22"/>
          <w:szCs w:val="22"/>
          <w:lang w:val="pt-PT"/>
        </w:rPr>
        <w:t>reiškiniai, kurių</w:t>
      </w:r>
      <w:r w:rsidRPr="00220850">
        <w:rPr>
          <w:rFonts w:eastAsia="TimesNewRoman,Italic"/>
          <w:bCs/>
          <w:iCs/>
          <w:sz w:val="22"/>
          <w:szCs w:val="22"/>
          <w:lang w:val="pt-PT"/>
        </w:rPr>
        <w:t xml:space="preserve"> </w:t>
      </w:r>
      <w:r w:rsidRPr="00220850">
        <w:rPr>
          <w:rFonts w:eastAsia="TimesNewRoman,Italic"/>
          <w:b/>
          <w:iCs/>
          <w:sz w:val="22"/>
          <w:szCs w:val="22"/>
          <w:lang w:val="fr-FR"/>
        </w:rPr>
        <w:t xml:space="preserve">dažnis </w:t>
      </w:r>
      <w:r w:rsidR="00771FE3" w:rsidRPr="00220850">
        <w:rPr>
          <w:rFonts w:eastAsia="TimesNewRoman,Italic"/>
          <w:b/>
          <w:iCs/>
          <w:sz w:val="22"/>
          <w:szCs w:val="22"/>
          <w:lang w:val="fr-FR"/>
        </w:rPr>
        <w:t>nežinomas</w:t>
      </w:r>
      <w:r w:rsidR="00771FE3" w:rsidRPr="00220850">
        <w:rPr>
          <w:rFonts w:eastAsia="TimesNewRoman,Italic"/>
          <w:bCs/>
          <w:iCs/>
          <w:sz w:val="22"/>
          <w:szCs w:val="22"/>
          <w:lang w:val="fr-FR"/>
        </w:rPr>
        <w:t xml:space="preserve"> </w:t>
      </w:r>
      <w:r w:rsidR="00771FE3" w:rsidRPr="00001D79">
        <w:rPr>
          <w:rFonts w:eastAsia="TimesNewRoman,Italic"/>
          <w:b/>
          <w:iCs/>
          <w:sz w:val="22"/>
          <w:szCs w:val="22"/>
          <w:lang w:val="fr-FR"/>
        </w:rPr>
        <w:t>(negali būti apskaičiuotas pagal turimus duomenis)</w:t>
      </w:r>
      <w:r w:rsidR="0035166F" w:rsidRPr="00001D79">
        <w:rPr>
          <w:rFonts w:eastAsia="TimesNewRoman,Italic"/>
          <w:b/>
          <w:iCs/>
          <w:sz w:val="22"/>
          <w:szCs w:val="22"/>
          <w:lang w:val="fr-FR"/>
        </w:rPr>
        <w:t>:</w:t>
      </w:r>
    </w:p>
    <w:p w14:paraId="3EB3799D" w14:textId="77777777" w:rsidR="00771FE3" w:rsidRPr="00220850" w:rsidRDefault="00771FE3" w:rsidP="0013626C">
      <w:pPr>
        <w:pStyle w:val="Sraopastraipa"/>
        <w:numPr>
          <w:ilvl w:val="0"/>
          <w:numId w:val="5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064D4385" w14:textId="3058EE8D" w:rsidR="00771FE3" w:rsidRPr="00220850" w:rsidRDefault="00771FE3" w:rsidP="0013626C">
      <w:pPr>
        <w:pStyle w:val="Sraopastraipa"/>
        <w:numPr>
          <w:ilvl w:val="0"/>
          <w:numId w:val="5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arterijų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disekacijos</w:t>
      </w:r>
      <w:proofErr w:type="spellEnd"/>
      <w:r w:rsidRPr="00220850">
        <w:rPr>
          <w:rFonts w:eastAsia="TimesNewRoman"/>
          <w:sz w:val="22"/>
          <w:szCs w:val="22"/>
          <w:lang w:val="en-US"/>
        </w:rPr>
        <w:t>)</w:t>
      </w:r>
      <w:r w:rsidR="00954587" w:rsidRPr="00220850">
        <w:rPr>
          <w:rFonts w:eastAsia="TimesNewRoman"/>
          <w:sz w:val="22"/>
          <w:szCs w:val="22"/>
          <w:lang w:val="en-US"/>
        </w:rPr>
        <w:t>;</w:t>
      </w:r>
    </w:p>
    <w:p w14:paraId="5A857518" w14:textId="167453BF" w:rsidR="00954587" w:rsidRPr="00220850" w:rsidRDefault="00954587" w:rsidP="00296ED8">
      <w:pPr>
        <w:pStyle w:val="Sraopastraipa"/>
        <w:numPr>
          <w:ilvl w:val="0"/>
          <w:numId w:val="54"/>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5D2403BB" w14:textId="77777777" w:rsidR="00771FE3" w:rsidRPr="00220850" w:rsidRDefault="00771FE3" w:rsidP="00771FE3">
      <w:pPr>
        <w:autoSpaceDE w:val="0"/>
        <w:autoSpaceDN w:val="0"/>
        <w:adjustRightInd w:val="0"/>
        <w:rPr>
          <w:rFonts w:eastAsia="TimesNewRoman"/>
          <w:sz w:val="22"/>
          <w:szCs w:val="22"/>
          <w:lang w:val="en-US"/>
        </w:rPr>
      </w:pPr>
    </w:p>
    <w:p w14:paraId="49B00289" w14:textId="77777777" w:rsidR="00771FE3" w:rsidRPr="00220850" w:rsidRDefault="00771FE3" w:rsidP="00771FE3">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Kitos lėtinės fibrozinės progresuojančio fenotipo intersticinės plaučių ligos (IPL)</w:t>
      </w:r>
    </w:p>
    <w:p w14:paraId="37166D2B" w14:textId="759164E4" w:rsidR="00771FE3" w:rsidRPr="00220850" w:rsidRDefault="00771FE3" w:rsidP="00771FE3">
      <w:pPr>
        <w:autoSpaceDE w:val="0"/>
        <w:autoSpaceDN w:val="0"/>
        <w:adjustRightInd w:val="0"/>
        <w:rPr>
          <w:rFonts w:eastAsia="TimesNewRoman,Italic"/>
          <w:b/>
          <w:iCs/>
          <w:sz w:val="22"/>
          <w:szCs w:val="22"/>
          <w:lang w:val="pt-PT"/>
        </w:rPr>
      </w:pPr>
      <w:r w:rsidRPr="00220850">
        <w:rPr>
          <w:rFonts w:eastAsia="TimesNewRoman,Italic"/>
          <w:b/>
          <w:iCs/>
          <w:sz w:val="22"/>
          <w:szCs w:val="22"/>
          <w:lang w:val="pt-PT"/>
        </w:rPr>
        <w:t xml:space="preserve">Labai </w:t>
      </w:r>
      <w:r w:rsidR="001D0E0C" w:rsidRPr="00220850">
        <w:rPr>
          <w:rFonts w:eastAsia="TimesNewRoman,Italic"/>
          <w:b/>
          <w:iCs/>
          <w:sz w:val="22"/>
          <w:szCs w:val="22"/>
          <w:lang w:val="pt-PT"/>
        </w:rPr>
        <w:t>dažni šalutinio poveikio reiškiniai</w:t>
      </w:r>
      <w:r w:rsidR="001D0E0C" w:rsidRPr="00220850">
        <w:rPr>
          <w:rFonts w:eastAsia="TimesNewRoman,Italic"/>
          <w:bCs/>
          <w:iCs/>
          <w:sz w:val="22"/>
          <w:szCs w:val="22"/>
          <w:lang w:val="pt-PT"/>
        </w:rPr>
        <w:t xml:space="preserve"> </w:t>
      </w:r>
      <w:r w:rsidRPr="00001D79">
        <w:rPr>
          <w:rFonts w:eastAsia="TimesNewRoman,Italic"/>
          <w:b/>
          <w:iCs/>
          <w:sz w:val="22"/>
          <w:szCs w:val="22"/>
          <w:lang w:val="pt-PT"/>
        </w:rPr>
        <w:t>(gali pasireikšti ne rečiau kaip 1 iš 10 asmenų)</w:t>
      </w:r>
      <w:r w:rsidR="0035166F" w:rsidRPr="00001D79">
        <w:rPr>
          <w:rFonts w:eastAsia="TimesNewRoman,Italic"/>
          <w:b/>
          <w:iCs/>
          <w:sz w:val="22"/>
          <w:szCs w:val="22"/>
          <w:lang w:val="pt-PT"/>
        </w:rPr>
        <w:t>:</w:t>
      </w:r>
    </w:p>
    <w:p w14:paraId="7266ED4D" w14:textId="0E2A2041" w:rsidR="00771FE3" w:rsidRPr="00220850" w:rsidRDefault="004646FE" w:rsidP="0013626C">
      <w:pPr>
        <w:pStyle w:val="Sraopastraipa"/>
        <w:numPr>
          <w:ilvl w:val="0"/>
          <w:numId w:val="5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w:t>
      </w:r>
      <w:r w:rsidR="00771FE3" w:rsidRPr="00220850">
        <w:rPr>
          <w:rFonts w:eastAsia="TimesNewRoman"/>
          <w:sz w:val="22"/>
          <w:szCs w:val="22"/>
          <w:lang w:val="en-US"/>
        </w:rPr>
        <w:t>ykinimas</w:t>
      </w:r>
      <w:proofErr w:type="spellEnd"/>
      <w:r w:rsidRPr="00220850">
        <w:rPr>
          <w:rFonts w:eastAsia="TimesNewRoman"/>
          <w:sz w:val="22"/>
          <w:szCs w:val="22"/>
          <w:lang w:val="en-US"/>
        </w:rPr>
        <w:t>)</w:t>
      </w:r>
      <w:r w:rsidR="00771FE3" w:rsidRPr="00220850">
        <w:rPr>
          <w:rFonts w:eastAsia="TimesNewRoman"/>
          <w:sz w:val="22"/>
          <w:szCs w:val="22"/>
          <w:lang w:val="en-US"/>
        </w:rPr>
        <w:t>.</w:t>
      </w:r>
    </w:p>
    <w:p w14:paraId="71AA93A9" w14:textId="77777777" w:rsidR="00771FE3" w:rsidRPr="00220850" w:rsidRDefault="00771FE3" w:rsidP="0013626C">
      <w:pPr>
        <w:pStyle w:val="Sraopastraipa"/>
        <w:numPr>
          <w:ilvl w:val="0"/>
          <w:numId w:val="5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37EFC1CA" w14:textId="77777777" w:rsidR="00771FE3" w:rsidRPr="00220850" w:rsidRDefault="00771FE3" w:rsidP="0013626C">
      <w:pPr>
        <w:pStyle w:val="Sraopastraipa"/>
        <w:numPr>
          <w:ilvl w:val="0"/>
          <w:numId w:val="5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03EA44EB" w14:textId="77777777" w:rsidR="00771FE3" w:rsidRPr="00220850" w:rsidRDefault="00771FE3" w:rsidP="0013626C">
      <w:pPr>
        <w:pStyle w:val="Sraopastraipa"/>
        <w:numPr>
          <w:ilvl w:val="0"/>
          <w:numId w:val="55"/>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4D629960" w14:textId="77777777" w:rsidR="00771FE3" w:rsidRPr="00220850" w:rsidRDefault="00771FE3" w:rsidP="0013626C">
      <w:pPr>
        <w:pStyle w:val="Sraopastraipa"/>
        <w:numPr>
          <w:ilvl w:val="0"/>
          <w:numId w:val="5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5AA2E5F1" w14:textId="77777777" w:rsidR="00771FE3" w:rsidRPr="00220850" w:rsidRDefault="00771FE3" w:rsidP="00771FE3">
      <w:pPr>
        <w:autoSpaceDE w:val="0"/>
        <w:autoSpaceDN w:val="0"/>
        <w:adjustRightInd w:val="0"/>
        <w:rPr>
          <w:rFonts w:eastAsia="TimesNewRoman,Italic"/>
          <w:i/>
          <w:iCs/>
          <w:sz w:val="22"/>
          <w:szCs w:val="22"/>
          <w:lang w:val="en-US"/>
        </w:rPr>
      </w:pPr>
    </w:p>
    <w:p w14:paraId="365C483C" w14:textId="6372BBA1" w:rsidR="00771FE3" w:rsidRPr="00052E48" w:rsidRDefault="001D0E0C" w:rsidP="00771FE3">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00771FE3" w:rsidRPr="00220850">
        <w:rPr>
          <w:rFonts w:eastAsia="TimesNewRoman,Italic"/>
          <w:b/>
          <w:iCs/>
          <w:sz w:val="22"/>
          <w:szCs w:val="22"/>
          <w:lang w:val="en-US"/>
        </w:rPr>
        <w:t>poveiki</w:t>
      </w:r>
      <w:r w:rsidRPr="00220850">
        <w:rPr>
          <w:rFonts w:eastAsia="TimesNewRoman,Italic"/>
          <w:b/>
          <w:iCs/>
          <w:sz w:val="22"/>
          <w:szCs w:val="22"/>
          <w:lang w:val="en-US"/>
        </w:rPr>
        <w:t>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00771FE3" w:rsidRPr="00220850">
        <w:rPr>
          <w:rFonts w:eastAsia="TimesNewRoman,Italic"/>
          <w:bCs/>
          <w:iCs/>
          <w:sz w:val="22"/>
          <w:szCs w:val="22"/>
          <w:lang w:val="en-US"/>
        </w:rPr>
        <w:t xml:space="preserve"> </w:t>
      </w:r>
      <w:r w:rsidR="00771FE3" w:rsidRPr="00001D79">
        <w:rPr>
          <w:rFonts w:eastAsia="TimesNewRoman,Italic"/>
          <w:b/>
          <w:iCs/>
          <w:sz w:val="22"/>
          <w:szCs w:val="22"/>
          <w:lang w:val="en-US"/>
        </w:rPr>
        <w:t>(</w:t>
      </w:r>
      <w:proofErr w:type="spellStart"/>
      <w:r w:rsidR="00771FE3" w:rsidRPr="00001D79">
        <w:rPr>
          <w:rFonts w:eastAsia="TimesNewRoman,Italic"/>
          <w:b/>
          <w:iCs/>
          <w:sz w:val="22"/>
          <w:szCs w:val="22"/>
          <w:lang w:val="en-US"/>
        </w:rPr>
        <w:t>gali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pasireikšti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rečiau</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kaip</w:t>
      </w:r>
      <w:proofErr w:type="spellEnd"/>
      <w:r w:rsidR="00771FE3" w:rsidRPr="00001D79">
        <w:rPr>
          <w:rFonts w:eastAsia="TimesNewRoman,Italic"/>
          <w:b/>
          <w:iCs/>
          <w:sz w:val="22"/>
          <w:szCs w:val="22"/>
          <w:lang w:val="en-US"/>
        </w:rPr>
        <w:t xml:space="preserve"> 1 </w:t>
      </w:r>
      <w:proofErr w:type="spellStart"/>
      <w:r w:rsidR="00771FE3" w:rsidRPr="00001D79">
        <w:rPr>
          <w:rFonts w:eastAsia="TimesNewRoman,Italic"/>
          <w:b/>
          <w:iCs/>
          <w:sz w:val="22"/>
          <w:szCs w:val="22"/>
          <w:lang w:val="en-US"/>
        </w:rPr>
        <w:t>iš</w:t>
      </w:r>
      <w:proofErr w:type="spellEnd"/>
      <w:r w:rsidR="00771FE3" w:rsidRPr="00001D79">
        <w:rPr>
          <w:rFonts w:eastAsia="TimesNewRoman,Italic"/>
          <w:b/>
          <w:iCs/>
          <w:sz w:val="22"/>
          <w:szCs w:val="22"/>
          <w:lang w:val="en-US"/>
        </w:rPr>
        <w:t xml:space="preserve"> 10 </w:t>
      </w:r>
      <w:proofErr w:type="spellStart"/>
      <w:r w:rsidR="00771FE3" w:rsidRPr="00001D79">
        <w:rPr>
          <w:rFonts w:eastAsia="TimesNewRoman,Italic"/>
          <w:b/>
          <w:iCs/>
          <w:sz w:val="22"/>
          <w:szCs w:val="22"/>
          <w:lang w:val="en-US"/>
        </w:rPr>
        <w:t>asmenų</w:t>
      </w:r>
      <w:proofErr w:type="spellEnd"/>
      <w:r w:rsidR="00771FE3" w:rsidRPr="00001D79">
        <w:rPr>
          <w:rFonts w:eastAsia="TimesNewRoman,Italic"/>
          <w:b/>
          <w:iCs/>
          <w:sz w:val="22"/>
          <w:szCs w:val="22"/>
          <w:lang w:val="en-US"/>
        </w:rPr>
        <w:t>)</w:t>
      </w:r>
      <w:r w:rsidR="0035166F" w:rsidRPr="00001D79">
        <w:rPr>
          <w:rFonts w:eastAsia="TimesNewRoman,Italic"/>
          <w:b/>
          <w:iCs/>
          <w:sz w:val="22"/>
          <w:szCs w:val="22"/>
          <w:lang w:val="en-US"/>
        </w:rPr>
        <w:t>:</w:t>
      </w:r>
    </w:p>
    <w:p w14:paraId="0D4BFF0A" w14:textId="77777777" w:rsidR="00771FE3" w:rsidRPr="00220850" w:rsidRDefault="00771FE3" w:rsidP="0013626C">
      <w:pPr>
        <w:pStyle w:val="Sraopastraipa"/>
        <w:numPr>
          <w:ilvl w:val="2"/>
          <w:numId w:val="5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3783E2EC" w14:textId="77777777" w:rsidR="00771FE3" w:rsidRPr="00220850" w:rsidRDefault="00771FE3" w:rsidP="0013626C">
      <w:pPr>
        <w:pStyle w:val="Sraopastraipa"/>
        <w:numPr>
          <w:ilvl w:val="2"/>
          <w:numId w:val="5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59A54BBA" w14:textId="77777777" w:rsidR="00771FE3" w:rsidRPr="00220850" w:rsidRDefault="00771FE3" w:rsidP="0013626C">
      <w:pPr>
        <w:pStyle w:val="Sraopastraipa"/>
        <w:numPr>
          <w:ilvl w:val="2"/>
          <w:numId w:val="5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3557102A" w14:textId="77777777" w:rsidR="00771FE3" w:rsidRPr="00220850" w:rsidRDefault="00771FE3" w:rsidP="0013626C">
      <w:pPr>
        <w:pStyle w:val="Sraopastraipa"/>
        <w:numPr>
          <w:ilvl w:val="2"/>
          <w:numId w:val="5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6813DCD1" w14:textId="77777777" w:rsidR="00771FE3" w:rsidRPr="00220850" w:rsidRDefault="00771FE3" w:rsidP="0013626C">
      <w:pPr>
        <w:pStyle w:val="Sraopastraipa"/>
        <w:numPr>
          <w:ilvl w:val="2"/>
          <w:numId w:val="5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5D0B3BA7" w14:textId="77777777" w:rsidR="00771FE3" w:rsidRPr="00220850" w:rsidRDefault="00771FE3" w:rsidP="0013626C">
      <w:pPr>
        <w:pStyle w:val="Sraopastraipa"/>
        <w:numPr>
          <w:ilvl w:val="2"/>
          <w:numId w:val="56"/>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12FC6DEE" w14:textId="77777777" w:rsidR="00771FE3" w:rsidRPr="00220850" w:rsidRDefault="00771FE3" w:rsidP="00771FE3">
      <w:pPr>
        <w:autoSpaceDE w:val="0"/>
        <w:autoSpaceDN w:val="0"/>
        <w:adjustRightInd w:val="0"/>
        <w:rPr>
          <w:rFonts w:eastAsia="TimesNewRoman,Italic"/>
          <w:i/>
          <w:iCs/>
          <w:sz w:val="22"/>
          <w:szCs w:val="22"/>
          <w:lang w:val="en-US"/>
        </w:rPr>
      </w:pPr>
    </w:p>
    <w:p w14:paraId="79120B64" w14:textId="4394F877" w:rsidR="00771FE3" w:rsidRPr="00220850" w:rsidRDefault="001D0E0C" w:rsidP="00771FE3">
      <w:pPr>
        <w:autoSpaceDE w:val="0"/>
        <w:autoSpaceDN w:val="0"/>
        <w:adjustRightInd w:val="0"/>
        <w:rPr>
          <w:rFonts w:eastAsia="TimesNewRoman,Italic"/>
          <w:bCs/>
          <w:iCs/>
          <w:sz w:val="22"/>
          <w:szCs w:val="22"/>
          <w:lang w:val="en-US"/>
        </w:rPr>
      </w:pPr>
      <w:proofErr w:type="spellStart"/>
      <w:r w:rsidRPr="00220850">
        <w:rPr>
          <w:rFonts w:eastAsia="TimesNewRoman,Italic"/>
          <w:b/>
          <w:iCs/>
          <w:sz w:val="22"/>
          <w:szCs w:val="22"/>
          <w:lang w:val="en-US"/>
        </w:rPr>
        <w:t>Nedažni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00771FE3" w:rsidRPr="00001D79">
        <w:rPr>
          <w:rFonts w:eastAsia="TimesNewRoman,Italic"/>
          <w:b/>
          <w:iCs/>
          <w:sz w:val="22"/>
          <w:szCs w:val="22"/>
          <w:lang w:val="en-US"/>
        </w:rPr>
        <w:t>(</w:t>
      </w:r>
      <w:proofErr w:type="spellStart"/>
      <w:r w:rsidR="00771FE3" w:rsidRPr="00001D79">
        <w:rPr>
          <w:rFonts w:eastAsia="TimesNewRoman,Italic"/>
          <w:b/>
          <w:iCs/>
          <w:sz w:val="22"/>
          <w:szCs w:val="22"/>
          <w:lang w:val="en-US"/>
        </w:rPr>
        <w:t>gali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pasireikšti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rečiau</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kaip</w:t>
      </w:r>
      <w:proofErr w:type="spellEnd"/>
      <w:r w:rsidR="00771FE3" w:rsidRPr="00001D79">
        <w:rPr>
          <w:rFonts w:eastAsia="TimesNewRoman,Italic"/>
          <w:b/>
          <w:iCs/>
          <w:sz w:val="22"/>
          <w:szCs w:val="22"/>
          <w:lang w:val="en-US"/>
        </w:rPr>
        <w:t xml:space="preserve"> 1 </w:t>
      </w:r>
      <w:proofErr w:type="spellStart"/>
      <w:r w:rsidR="00771FE3" w:rsidRPr="00001D79">
        <w:rPr>
          <w:rFonts w:eastAsia="TimesNewRoman,Italic"/>
          <w:b/>
          <w:iCs/>
          <w:sz w:val="22"/>
          <w:szCs w:val="22"/>
          <w:lang w:val="en-US"/>
        </w:rPr>
        <w:t>iš</w:t>
      </w:r>
      <w:proofErr w:type="spellEnd"/>
      <w:r w:rsidR="00771FE3" w:rsidRPr="00001D79">
        <w:rPr>
          <w:rFonts w:eastAsia="TimesNewRoman,Italic"/>
          <w:b/>
          <w:iCs/>
          <w:sz w:val="22"/>
          <w:szCs w:val="22"/>
          <w:lang w:val="en-US"/>
        </w:rPr>
        <w:t xml:space="preserve"> 100 </w:t>
      </w:r>
      <w:proofErr w:type="spellStart"/>
      <w:r w:rsidR="00771FE3" w:rsidRPr="00001D79">
        <w:rPr>
          <w:rFonts w:eastAsia="TimesNewRoman,Italic"/>
          <w:b/>
          <w:iCs/>
          <w:sz w:val="22"/>
          <w:szCs w:val="22"/>
          <w:lang w:val="en-US"/>
        </w:rPr>
        <w:t>asmenų</w:t>
      </w:r>
      <w:proofErr w:type="spellEnd"/>
      <w:r w:rsidR="00771FE3" w:rsidRPr="00001D79">
        <w:rPr>
          <w:rFonts w:eastAsia="TimesNewRoman,Italic"/>
          <w:b/>
          <w:iCs/>
          <w:sz w:val="22"/>
          <w:szCs w:val="22"/>
          <w:lang w:val="en-US"/>
        </w:rPr>
        <w:t>)</w:t>
      </w:r>
      <w:r w:rsidR="0035166F" w:rsidRPr="00001D79">
        <w:rPr>
          <w:rFonts w:eastAsia="TimesNewRoman,Italic"/>
          <w:b/>
          <w:iCs/>
          <w:sz w:val="22"/>
          <w:szCs w:val="22"/>
          <w:lang w:val="en-US"/>
        </w:rPr>
        <w:t>:</w:t>
      </w:r>
    </w:p>
    <w:p w14:paraId="444BE38E"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2E658B8A"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08A6F584"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08258E44"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23CF7ADB" w14:textId="2B466EE4"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69A8E737"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0FBB2A03"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1A476053" w14:textId="77777777" w:rsidR="00771FE3" w:rsidRPr="00220850" w:rsidRDefault="00771FE3" w:rsidP="0013626C">
      <w:pPr>
        <w:pStyle w:val="Sraopastraipa"/>
        <w:numPr>
          <w:ilvl w:val="0"/>
          <w:numId w:val="5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3F472293" w14:textId="77777777" w:rsidR="00771FE3" w:rsidRPr="00220850" w:rsidRDefault="00771FE3" w:rsidP="00771FE3">
      <w:pPr>
        <w:autoSpaceDE w:val="0"/>
        <w:autoSpaceDN w:val="0"/>
        <w:adjustRightInd w:val="0"/>
        <w:rPr>
          <w:rFonts w:eastAsia="TimesNewRoman,Italic"/>
          <w:i/>
          <w:iCs/>
          <w:sz w:val="22"/>
          <w:szCs w:val="22"/>
          <w:lang w:val="en-US"/>
        </w:rPr>
      </w:pPr>
    </w:p>
    <w:p w14:paraId="270633C0" w14:textId="21A91D8A" w:rsidR="00771FE3" w:rsidRPr="00001D79" w:rsidRDefault="001D0E0C" w:rsidP="00771FE3">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 xml:space="preserve">Šalutinio poveikio reiškiniai, kurių dažnis </w:t>
      </w:r>
      <w:r w:rsidR="00771FE3" w:rsidRPr="00220850">
        <w:rPr>
          <w:rFonts w:eastAsia="TimesNewRoman,Italic"/>
          <w:b/>
          <w:iCs/>
          <w:sz w:val="22"/>
          <w:szCs w:val="22"/>
          <w:lang w:val="fr-FR"/>
        </w:rPr>
        <w:t>nežinomas</w:t>
      </w:r>
      <w:r w:rsidR="00771FE3" w:rsidRPr="00220850">
        <w:rPr>
          <w:rFonts w:eastAsia="TimesNewRoman,Italic"/>
          <w:bCs/>
          <w:iCs/>
          <w:sz w:val="22"/>
          <w:szCs w:val="22"/>
          <w:lang w:val="fr-FR"/>
        </w:rPr>
        <w:t xml:space="preserve"> </w:t>
      </w:r>
      <w:r w:rsidR="00771FE3" w:rsidRPr="00001D79">
        <w:rPr>
          <w:rFonts w:eastAsia="TimesNewRoman,Italic"/>
          <w:b/>
          <w:iCs/>
          <w:sz w:val="22"/>
          <w:szCs w:val="22"/>
          <w:lang w:val="fr-FR"/>
        </w:rPr>
        <w:t>(negali būti apskaičiuotas pagal turimus duomenis)</w:t>
      </w:r>
      <w:r w:rsidR="0035166F" w:rsidRPr="00001D79">
        <w:rPr>
          <w:rFonts w:eastAsia="TimesNewRoman,Italic"/>
          <w:b/>
          <w:iCs/>
          <w:sz w:val="22"/>
          <w:szCs w:val="22"/>
          <w:lang w:val="fr-FR"/>
        </w:rPr>
        <w:t>:</w:t>
      </w:r>
    </w:p>
    <w:p w14:paraId="33FC1821" w14:textId="77777777" w:rsidR="00771FE3" w:rsidRPr="00220850" w:rsidRDefault="00771FE3" w:rsidP="0013626C">
      <w:pPr>
        <w:pStyle w:val="Sraopastraipa"/>
        <w:numPr>
          <w:ilvl w:val="2"/>
          <w:numId w:val="5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69DF7F88" w14:textId="188F55A7" w:rsidR="00771FE3" w:rsidRPr="00220850" w:rsidRDefault="00771FE3" w:rsidP="0035166F">
      <w:pPr>
        <w:pStyle w:val="Sraopastraipa"/>
        <w:numPr>
          <w:ilvl w:val="2"/>
          <w:numId w:val="5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arterijų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disekacijos</w:t>
      </w:r>
      <w:proofErr w:type="spellEnd"/>
      <w:r w:rsidRPr="00220850">
        <w:rPr>
          <w:rFonts w:eastAsia="TimesNewRoman"/>
          <w:sz w:val="22"/>
          <w:szCs w:val="22"/>
          <w:lang w:val="en-US"/>
        </w:rPr>
        <w:t>)</w:t>
      </w:r>
      <w:r w:rsidR="00954587" w:rsidRPr="00220850">
        <w:rPr>
          <w:rFonts w:eastAsia="TimesNewRoman"/>
          <w:sz w:val="22"/>
          <w:szCs w:val="22"/>
          <w:lang w:val="en-US"/>
        </w:rPr>
        <w:t>;</w:t>
      </w:r>
    </w:p>
    <w:p w14:paraId="72D63500" w14:textId="77777777" w:rsidR="00954587" w:rsidRPr="00220850" w:rsidRDefault="00954587" w:rsidP="00954587">
      <w:pPr>
        <w:pStyle w:val="Sraopastraipa"/>
        <w:numPr>
          <w:ilvl w:val="2"/>
          <w:numId w:val="58"/>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46EB1088" w14:textId="77777777" w:rsidR="00954587" w:rsidRPr="00220850" w:rsidRDefault="00954587" w:rsidP="00771FE3">
      <w:pPr>
        <w:autoSpaceDE w:val="0"/>
        <w:autoSpaceDN w:val="0"/>
        <w:adjustRightInd w:val="0"/>
        <w:rPr>
          <w:rFonts w:eastAsia="TimesNewRoman"/>
          <w:sz w:val="22"/>
          <w:szCs w:val="22"/>
          <w:lang w:val="en-US"/>
        </w:rPr>
      </w:pPr>
    </w:p>
    <w:p w14:paraId="3E2C7D6A" w14:textId="77777777" w:rsidR="00771FE3" w:rsidRPr="00220850" w:rsidRDefault="00771FE3" w:rsidP="00771FE3">
      <w:pPr>
        <w:autoSpaceDE w:val="0"/>
        <w:autoSpaceDN w:val="0"/>
        <w:adjustRightInd w:val="0"/>
        <w:rPr>
          <w:rFonts w:eastAsia="TimesNewRoman"/>
          <w:sz w:val="22"/>
          <w:szCs w:val="22"/>
          <w:u w:val="single"/>
          <w:lang w:val="it-CH"/>
        </w:rPr>
      </w:pPr>
      <w:r w:rsidRPr="00220850">
        <w:rPr>
          <w:rFonts w:eastAsia="TimesNewRoman"/>
          <w:sz w:val="22"/>
          <w:szCs w:val="22"/>
          <w:u w:val="single"/>
          <w:lang w:val="it-CH"/>
        </w:rPr>
        <w:t>Su sistemine skleroze susijusi intersticinė plaučių liga (SS-IPL)</w:t>
      </w:r>
    </w:p>
    <w:p w14:paraId="26AC21DB" w14:textId="58D2B333" w:rsidR="00771FE3" w:rsidRPr="00220850" w:rsidRDefault="00771FE3" w:rsidP="00771FE3">
      <w:pPr>
        <w:autoSpaceDE w:val="0"/>
        <w:autoSpaceDN w:val="0"/>
        <w:adjustRightInd w:val="0"/>
        <w:rPr>
          <w:rFonts w:eastAsia="TimesNewRoman,Italic"/>
          <w:b/>
          <w:iCs/>
          <w:sz w:val="22"/>
          <w:szCs w:val="22"/>
          <w:lang w:val="it-CH"/>
        </w:rPr>
      </w:pPr>
      <w:r w:rsidRPr="00220850">
        <w:rPr>
          <w:rFonts w:eastAsia="TimesNewRoman,Italic"/>
          <w:b/>
          <w:iCs/>
          <w:sz w:val="22"/>
          <w:szCs w:val="22"/>
          <w:lang w:val="it-CH"/>
        </w:rPr>
        <w:t xml:space="preserve">Labai </w:t>
      </w:r>
      <w:r w:rsidR="001D0E0C" w:rsidRPr="00220850">
        <w:rPr>
          <w:rFonts w:eastAsia="TimesNewRoman,Italic"/>
          <w:b/>
          <w:iCs/>
          <w:sz w:val="22"/>
          <w:szCs w:val="22"/>
          <w:lang w:val="it-CH"/>
        </w:rPr>
        <w:t xml:space="preserve">dažni </w:t>
      </w:r>
      <w:r w:rsidRPr="00220850">
        <w:rPr>
          <w:rFonts w:eastAsia="TimesNewRoman,Italic"/>
          <w:b/>
          <w:iCs/>
          <w:sz w:val="22"/>
          <w:szCs w:val="22"/>
          <w:lang w:val="it-CH"/>
        </w:rPr>
        <w:t>šalutini</w:t>
      </w:r>
      <w:r w:rsidR="001D0E0C" w:rsidRPr="00220850">
        <w:rPr>
          <w:rFonts w:eastAsia="TimesNewRoman,Italic"/>
          <w:b/>
          <w:iCs/>
          <w:sz w:val="22"/>
          <w:szCs w:val="22"/>
          <w:lang w:val="it-CH"/>
        </w:rPr>
        <w:t>o</w:t>
      </w:r>
      <w:r w:rsidRPr="00220850">
        <w:rPr>
          <w:rFonts w:eastAsia="TimesNewRoman,Italic"/>
          <w:b/>
          <w:iCs/>
          <w:sz w:val="22"/>
          <w:szCs w:val="22"/>
          <w:lang w:val="it-CH"/>
        </w:rPr>
        <w:t xml:space="preserve"> poveiki</w:t>
      </w:r>
      <w:r w:rsidR="001D0E0C" w:rsidRPr="00220850">
        <w:rPr>
          <w:rFonts w:eastAsia="TimesNewRoman,Italic"/>
          <w:b/>
          <w:iCs/>
          <w:sz w:val="22"/>
          <w:szCs w:val="22"/>
          <w:lang w:val="it-CH"/>
        </w:rPr>
        <w:t>o reiškiniai</w:t>
      </w:r>
      <w:r w:rsidR="001D0E0C" w:rsidRPr="00220850">
        <w:rPr>
          <w:rFonts w:eastAsia="TimesNewRoman,Italic"/>
          <w:bCs/>
          <w:iCs/>
          <w:sz w:val="22"/>
          <w:szCs w:val="22"/>
          <w:lang w:val="it-CH"/>
        </w:rPr>
        <w:t xml:space="preserve"> </w:t>
      </w:r>
      <w:r w:rsidRPr="00220850">
        <w:rPr>
          <w:rFonts w:eastAsia="TimesNewRoman,Italic"/>
          <w:bCs/>
          <w:iCs/>
          <w:sz w:val="22"/>
          <w:szCs w:val="22"/>
          <w:lang w:val="it-CH"/>
        </w:rPr>
        <w:t xml:space="preserve"> </w:t>
      </w:r>
      <w:r w:rsidRPr="00001D79">
        <w:rPr>
          <w:rFonts w:eastAsia="TimesNewRoman,Italic"/>
          <w:b/>
          <w:iCs/>
          <w:sz w:val="22"/>
          <w:szCs w:val="22"/>
          <w:lang w:val="it-CH"/>
        </w:rPr>
        <w:t>(gali pasireikšti ne rečiau kaip 1 iš 10 asmenų)</w:t>
      </w:r>
      <w:r w:rsidR="0035166F" w:rsidRPr="00001D79">
        <w:rPr>
          <w:rFonts w:eastAsia="TimesNewRoman,Italic"/>
          <w:b/>
          <w:iCs/>
          <w:sz w:val="22"/>
          <w:szCs w:val="22"/>
          <w:lang w:val="it-CH"/>
        </w:rPr>
        <w:t>:</w:t>
      </w:r>
    </w:p>
    <w:p w14:paraId="349B9F2F" w14:textId="012428C5" w:rsidR="00771FE3" w:rsidRPr="00220850" w:rsidRDefault="004646FE" w:rsidP="0013626C">
      <w:pPr>
        <w:pStyle w:val="Sraopastraipa"/>
        <w:numPr>
          <w:ilvl w:val="0"/>
          <w:numId w:val="5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w:t>
      </w:r>
      <w:r w:rsidR="00771FE3" w:rsidRPr="00220850">
        <w:rPr>
          <w:rFonts w:eastAsia="TimesNewRoman"/>
          <w:sz w:val="22"/>
          <w:szCs w:val="22"/>
          <w:lang w:val="en-US"/>
        </w:rPr>
        <w:t>ykinimas</w:t>
      </w:r>
      <w:proofErr w:type="spellEnd"/>
      <w:r w:rsidRPr="00220850">
        <w:rPr>
          <w:rFonts w:eastAsia="TimesNewRoman"/>
          <w:sz w:val="22"/>
          <w:szCs w:val="22"/>
          <w:lang w:val="en-US"/>
        </w:rPr>
        <w:t>)</w:t>
      </w:r>
      <w:r w:rsidR="00771FE3" w:rsidRPr="00220850">
        <w:rPr>
          <w:rFonts w:eastAsia="TimesNewRoman"/>
          <w:sz w:val="22"/>
          <w:szCs w:val="22"/>
          <w:lang w:val="en-US"/>
        </w:rPr>
        <w:t>.</w:t>
      </w:r>
    </w:p>
    <w:p w14:paraId="513692A2" w14:textId="77777777" w:rsidR="00771FE3" w:rsidRPr="00220850" w:rsidRDefault="00771FE3" w:rsidP="0013626C">
      <w:pPr>
        <w:pStyle w:val="Sraopastraipa"/>
        <w:numPr>
          <w:ilvl w:val="0"/>
          <w:numId w:val="5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35A43269" w14:textId="77777777" w:rsidR="00771FE3" w:rsidRPr="00220850" w:rsidRDefault="00771FE3" w:rsidP="0013626C">
      <w:pPr>
        <w:pStyle w:val="Sraopastraipa"/>
        <w:numPr>
          <w:ilvl w:val="0"/>
          <w:numId w:val="5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772EACA6" w14:textId="77777777" w:rsidR="00771FE3" w:rsidRPr="00220850" w:rsidRDefault="00771FE3" w:rsidP="0013626C">
      <w:pPr>
        <w:pStyle w:val="Sraopastraipa"/>
        <w:numPr>
          <w:ilvl w:val="0"/>
          <w:numId w:val="59"/>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54A25995" w14:textId="77777777" w:rsidR="00771FE3" w:rsidRPr="00220850" w:rsidRDefault="00771FE3" w:rsidP="00771FE3">
      <w:pPr>
        <w:autoSpaceDE w:val="0"/>
        <w:autoSpaceDN w:val="0"/>
        <w:adjustRightInd w:val="0"/>
        <w:rPr>
          <w:rFonts w:eastAsia="TimesNewRoman,Italic"/>
          <w:i/>
          <w:iCs/>
          <w:sz w:val="22"/>
          <w:szCs w:val="22"/>
          <w:lang w:val="en-US"/>
        </w:rPr>
      </w:pPr>
    </w:p>
    <w:p w14:paraId="73539DF0" w14:textId="0D3506B4" w:rsidR="00771FE3" w:rsidRPr="00052E48" w:rsidRDefault="001D0E0C" w:rsidP="00771FE3">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00771FE3" w:rsidRPr="00001D79">
        <w:rPr>
          <w:rFonts w:eastAsia="TimesNewRoman,Italic"/>
          <w:b/>
          <w:iCs/>
          <w:sz w:val="22"/>
          <w:szCs w:val="22"/>
          <w:lang w:val="en-US"/>
        </w:rPr>
        <w:t>(</w:t>
      </w:r>
      <w:proofErr w:type="spellStart"/>
      <w:r w:rsidR="00771FE3" w:rsidRPr="00001D79">
        <w:rPr>
          <w:rFonts w:eastAsia="TimesNewRoman,Italic"/>
          <w:b/>
          <w:iCs/>
          <w:sz w:val="22"/>
          <w:szCs w:val="22"/>
          <w:lang w:val="en-US"/>
        </w:rPr>
        <w:t>gali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pasireikšti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rečiau</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kaip</w:t>
      </w:r>
      <w:proofErr w:type="spellEnd"/>
      <w:r w:rsidR="00771FE3" w:rsidRPr="00001D79">
        <w:rPr>
          <w:rFonts w:eastAsia="TimesNewRoman,Italic"/>
          <w:b/>
          <w:iCs/>
          <w:sz w:val="22"/>
          <w:szCs w:val="22"/>
          <w:lang w:val="en-US"/>
        </w:rPr>
        <w:t xml:space="preserve"> 1 </w:t>
      </w:r>
      <w:proofErr w:type="spellStart"/>
      <w:r w:rsidR="00771FE3" w:rsidRPr="00001D79">
        <w:rPr>
          <w:rFonts w:eastAsia="TimesNewRoman,Italic"/>
          <w:b/>
          <w:iCs/>
          <w:sz w:val="22"/>
          <w:szCs w:val="22"/>
          <w:lang w:val="en-US"/>
        </w:rPr>
        <w:t>iš</w:t>
      </w:r>
      <w:proofErr w:type="spellEnd"/>
      <w:r w:rsidR="00771FE3" w:rsidRPr="00001D79">
        <w:rPr>
          <w:rFonts w:eastAsia="TimesNewRoman,Italic"/>
          <w:b/>
          <w:iCs/>
          <w:sz w:val="22"/>
          <w:szCs w:val="22"/>
          <w:lang w:val="en-US"/>
        </w:rPr>
        <w:t xml:space="preserve"> 10 </w:t>
      </w:r>
      <w:proofErr w:type="spellStart"/>
      <w:r w:rsidR="00771FE3" w:rsidRPr="00001D79">
        <w:rPr>
          <w:rFonts w:eastAsia="TimesNewRoman,Italic"/>
          <w:b/>
          <w:iCs/>
          <w:sz w:val="22"/>
          <w:szCs w:val="22"/>
          <w:lang w:val="en-US"/>
        </w:rPr>
        <w:t>asmenų</w:t>
      </w:r>
      <w:proofErr w:type="spellEnd"/>
      <w:r w:rsidR="00771FE3" w:rsidRPr="00001D79">
        <w:rPr>
          <w:rFonts w:eastAsia="TimesNewRoman,Italic"/>
          <w:b/>
          <w:iCs/>
          <w:sz w:val="22"/>
          <w:szCs w:val="22"/>
          <w:lang w:val="en-US"/>
        </w:rPr>
        <w:t>)</w:t>
      </w:r>
      <w:r w:rsidR="0035166F" w:rsidRPr="00001D79">
        <w:rPr>
          <w:rFonts w:eastAsia="TimesNewRoman,Italic"/>
          <w:b/>
          <w:iCs/>
          <w:sz w:val="22"/>
          <w:szCs w:val="22"/>
          <w:lang w:val="en-US"/>
        </w:rPr>
        <w:t>:</w:t>
      </w:r>
    </w:p>
    <w:p w14:paraId="69DF0735" w14:textId="77777777" w:rsidR="00771FE3" w:rsidRPr="00220850" w:rsidRDefault="00771FE3" w:rsidP="0013626C">
      <w:pPr>
        <w:pStyle w:val="Sraopastraipa"/>
        <w:numPr>
          <w:ilvl w:val="2"/>
          <w:numId w:val="6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2C246262" w14:textId="77777777" w:rsidR="00771FE3" w:rsidRPr="00220850" w:rsidRDefault="00771FE3" w:rsidP="0013626C">
      <w:pPr>
        <w:pStyle w:val="Sraopastraipa"/>
        <w:numPr>
          <w:ilvl w:val="2"/>
          <w:numId w:val="6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0ADF132F" w14:textId="77777777" w:rsidR="00771FE3" w:rsidRPr="00220850" w:rsidRDefault="00771FE3" w:rsidP="0013626C">
      <w:pPr>
        <w:pStyle w:val="Sraopastraipa"/>
        <w:numPr>
          <w:ilvl w:val="2"/>
          <w:numId w:val="6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2AEFB3CA" w14:textId="77777777" w:rsidR="00771FE3" w:rsidRPr="00220850" w:rsidRDefault="00771FE3" w:rsidP="0013626C">
      <w:pPr>
        <w:pStyle w:val="Sraopastraipa"/>
        <w:numPr>
          <w:ilvl w:val="2"/>
          <w:numId w:val="6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48D10B53" w14:textId="77777777" w:rsidR="00771FE3" w:rsidRPr="00220850" w:rsidRDefault="00771FE3" w:rsidP="0013626C">
      <w:pPr>
        <w:pStyle w:val="Sraopastraipa"/>
        <w:numPr>
          <w:ilvl w:val="2"/>
          <w:numId w:val="60"/>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16AC38CF" w14:textId="77777777" w:rsidR="00771FE3" w:rsidRPr="00220850" w:rsidRDefault="00771FE3" w:rsidP="00771FE3">
      <w:pPr>
        <w:autoSpaceDE w:val="0"/>
        <w:autoSpaceDN w:val="0"/>
        <w:adjustRightInd w:val="0"/>
        <w:rPr>
          <w:rFonts w:eastAsia="TimesNewRoman,Italic"/>
          <w:i/>
          <w:iCs/>
          <w:sz w:val="22"/>
          <w:szCs w:val="22"/>
          <w:lang w:val="en-US"/>
        </w:rPr>
      </w:pPr>
    </w:p>
    <w:p w14:paraId="680C25E1" w14:textId="464EDC84" w:rsidR="00771FE3" w:rsidRPr="00052E48" w:rsidRDefault="001D0E0C" w:rsidP="00771FE3">
      <w:pPr>
        <w:autoSpaceDE w:val="0"/>
        <w:autoSpaceDN w:val="0"/>
        <w:adjustRightInd w:val="0"/>
        <w:rPr>
          <w:rFonts w:eastAsia="TimesNewRoman,Italic"/>
          <w:b/>
          <w:iCs/>
          <w:sz w:val="22"/>
          <w:szCs w:val="22"/>
          <w:lang w:val="en-US"/>
        </w:rPr>
      </w:pPr>
      <w:proofErr w:type="spellStart"/>
      <w:r w:rsidRPr="00220850">
        <w:rPr>
          <w:rFonts w:eastAsia="TimesNewRoman,Italic"/>
          <w:b/>
          <w:iCs/>
          <w:sz w:val="22"/>
          <w:szCs w:val="22"/>
          <w:lang w:val="en-US"/>
        </w:rPr>
        <w:t>Nedažni</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šalutinio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poveikio</w:t>
      </w:r>
      <w:proofErr w:type="spellEnd"/>
      <w:r w:rsidRPr="00220850">
        <w:rPr>
          <w:rFonts w:eastAsia="TimesNewRoman,Italic"/>
          <w:b/>
          <w:iCs/>
          <w:sz w:val="22"/>
          <w:szCs w:val="22"/>
          <w:lang w:val="en-US"/>
        </w:rPr>
        <w:t xml:space="preserve"> </w:t>
      </w:r>
      <w:proofErr w:type="spellStart"/>
      <w:r w:rsidRPr="00220850">
        <w:rPr>
          <w:rFonts w:eastAsia="TimesNewRoman,Italic"/>
          <w:b/>
          <w:iCs/>
          <w:sz w:val="22"/>
          <w:szCs w:val="22"/>
          <w:lang w:val="en-US"/>
        </w:rPr>
        <w:t>reiškiniai</w:t>
      </w:r>
      <w:proofErr w:type="spellEnd"/>
      <w:r w:rsidRPr="00220850">
        <w:rPr>
          <w:rFonts w:eastAsia="TimesNewRoman,Italic"/>
          <w:bCs/>
          <w:iCs/>
          <w:sz w:val="22"/>
          <w:szCs w:val="22"/>
          <w:lang w:val="en-US"/>
        </w:rPr>
        <w:t xml:space="preserve"> </w:t>
      </w:r>
      <w:r w:rsidR="00771FE3" w:rsidRPr="00001D79">
        <w:rPr>
          <w:rFonts w:eastAsia="TimesNewRoman,Italic"/>
          <w:b/>
          <w:iCs/>
          <w:sz w:val="22"/>
          <w:szCs w:val="22"/>
          <w:lang w:val="en-US"/>
        </w:rPr>
        <w:t>(</w:t>
      </w:r>
      <w:proofErr w:type="spellStart"/>
      <w:r w:rsidR="00771FE3" w:rsidRPr="00001D79">
        <w:rPr>
          <w:rFonts w:eastAsia="TimesNewRoman,Italic"/>
          <w:b/>
          <w:iCs/>
          <w:sz w:val="22"/>
          <w:szCs w:val="22"/>
          <w:lang w:val="en-US"/>
        </w:rPr>
        <w:t>gali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pasireikšti</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rečiau</w:t>
      </w:r>
      <w:proofErr w:type="spellEnd"/>
      <w:r w:rsidR="00771FE3" w:rsidRPr="00001D79">
        <w:rPr>
          <w:rFonts w:eastAsia="TimesNewRoman,Italic"/>
          <w:b/>
          <w:iCs/>
          <w:sz w:val="22"/>
          <w:szCs w:val="22"/>
          <w:lang w:val="en-US"/>
        </w:rPr>
        <w:t xml:space="preserve"> </w:t>
      </w:r>
      <w:proofErr w:type="spellStart"/>
      <w:r w:rsidR="00771FE3" w:rsidRPr="00001D79">
        <w:rPr>
          <w:rFonts w:eastAsia="TimesNewRoman,Italic"/>
          <w:b/>
          <w:iCs/>
          <w:sz w:val="22"/>
          <w:szCs w:val="22"/>
          <w:lang w:val="en-US"/>
        </w:rPr>
        <w:t>kaip</w:t>
      </w:r>
      <w:proofErr w:type="spellEnd"/>
      <w:r w:rsidR="00771FE3" w:rsidRPr="00001D79">
        <w:rPr>
          <w:rFonts w:eastAsia="TimesNewRoman,Italic"/>
          <w:b/>
          <w:iCs/>
          <w:sz w:val="22"/>
          <w:szCs w:val="22"/>
          <w:lang w:val="en-US"/>
        </w:rPr>
        <w:t xml:space="preserve"> 1 </w:t>
      </w:r>
      <w:proofErr w:type="spellStart"/>
      <w:r w:rsidR="00771FE3" w:rsidRPr="00001D79">
        <w:rPr>
          <w:rFonts w:eastAsia="TimesNewRoman,Italic"/>
          <w:b/>
          <w:iCs/>
          <w:sz w:val="22"/>
          <w:szCs w:val="22"/>
          <w:lang w:val="en-US"/>
        </w:rPr>
        <w:t>iš</w:t>
      </w:r>
      <w:proofErr w:type="spellEnd"/>
      <w:r w:rsidR="00771FE3" w:rsidRPr="00001D79">
        <w:rPr>
          <w:rFonts w:eastAsia="TimesNewRoman,Italic"/>
          <w:b/>
          <w:iCs/>
          <w:sz w:val="22"/>
          <w:szCs w:val="22"/>
          <w:lang w:val="en-US"/>
        </w:rPr>
        <w:t xml:space="preserve"> 100 </w:t>
      </w:r>
      <w:proofErr w:type="spellStart"/>
      <w:r w:rsidR="00771FE3" w:rsidRPr="00001D79">
        <w:rPr>
          <w:rFonts w:eastAsia="TimesNewRoman,Italic"/>
          <w:b/>
          <w:iCs/>
          <w:sz w:val="22"/>
          <w:szCs w:val="22"/>
          <w:lang w:val="en-US"/>
        </w:rPr>
        <w:t>asmenų</w:t>
      </w:r>
      <w:proofErr w:type="spellEnd"/>
      <w:r w:rsidR="00771FE3" w:rsidRPr="00001D79">
        <w:rPr>
          <w:rFonts w:eastAsia="TimesNewRoman,Italic"/>
          <w:b/>
          <w:iCs/>
          <w:sz w:val="22"/>
          <w:szCs w:val="22"/>
          <w:lang w:val="en-US"/>
        </w:rPr>
        <w:t>)</w:t>
      </w:r>
      <w:r w:rsidR="0035166F" w:rsidRPr="00001D79">
        <w:rPr>
          <w:rFonts w:eastAsia="TimesNewRoman,Italic"/>
          <w:b/>
          <w:iCs/>
          <w:sz w:val="22"/>
          <w:szCs w:val="22"/>
          <w:lang w:val="en-US"/>
        </w:rPr>
        <w:t>:</w:t>
      </w:r>
    </w:p>
    <w:p w14:paraId="351609EC" w14:textId="77777777" w:rsidR="00771FE3" w:rsidRPr="00220850" w:rsidRDefault="00771FE3" w:rsidP="0013626C">
      <w:pPr>
        <w:pStyle w:val="Sraopastraipa"/>
        <w:numPr>
          <w:ilvl w:val="2"/>
          <w:numId w:val="6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29876CC4" w14:textId="77777777" w:rsidR="00771FE3" w:rsidRPr="00220850" w:rsidRDefault="00771FE3" w:rsidP="0013626C">
      <w:pPr>
        <w:pStyle w:val="Sraopastraipa"/>
        <w:numPr>
          <w:ilvl w:val="2"/>
          <w:numId w:val="6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4B64605D" w14:textId="77777777" w:rsidR="00771FE3" w:rsidRPr="00220850" w:rsidRDefault="00771FE3" w:rsidP="0013626C">
      <w:pPr>
        <w:pStyle w:val="Sraopastraipa"/>
        <w:numPr>
          <w:ilvl w:val="2"/>
          <w:numId w:val="6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64D19C5C" w14:textId="77777777" w:rsidR="00771FE3" w:rsidRPr="00220850" w:rsidRDefault="00771FE3" w:rsidP="0013626C">
      <w:pPr>
        <w:pStyle w:val="Sraopastraipa"/>
        <w:numPr>
          <w:ilvl w:val="2"/>
          <w:numId w:val="6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586867B0" w14:textId="77777777" w:rsidR="00771FE3" w:rsidRPr="00220850" w:rsidRDefault="00771FE3" w:rsidP="0013626C">
      <w:pPr>
        <w:pStyle w:val="Sraopastraipa"/>
        <w:numPr>
          <w:ilvl w:val="2"/>
          <w:numId w:val="6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385EA4DA" w14:textId="4818E6F6" w:rsidR="00771FE3" w:rsidRPr="00220850" w:rsidRDefault="00771FE3" w:rsidP="0013626C">
      <w:pPr>
        <w:pStyle w:val="Sraopastraipa"/>
        <w:numPr>
          <w:ilvl w:val="2"/>
          <w:numId w:val="61"/>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19085AB0" w14:textId="77777777" w:rsidR="00364A87" w:rsidRPr="00220850" w:rsidRDefault="00364A87" w:rsidP="00771FE3">
      <w:pPr>
        <w:autoSpaceDE w:val="0"/>
        <w:autoSpaceDN w:val="0"/>
        <w:adjustRightInd w:val="0"/>
        <w:rPr>
          <w:rFonts w:eastAsia="TimesNewRoman,Italic"/>
          <w:b/>
          <w:iCs/>
          <w:sz w:val="22"/>
          <w:szCs w:val="22"/>
          <w:lang w:val="fr-FR"/>
        </w:rPr>
      </w:pPr>
    </w:p>
    <w:p w14:paraId="21E717D6" w14:textId="6FDEEBE1" w:rsidR="00771FE3" w:rsidRPr="00052E48" w:rsidRDefault="001D0E0C" w:rsidP="00771FE3">
      <w:pPr>
        <w:autoSpaceDE w:val="0"/>
        <w:autoSpaceDN w:val="0"/>
        <w:adjustRightInd w:val="0"/>
        <w:rPr>
          <w:rFonts w:eastAsia="TimesNewRoman,Italic"/>
          <w:b/>
          <w:iCs/>
          <w:sz w:val="22"/>
          <w:szCs w:val="22"/>
          <w:lang w:val="fr-FR"/>
        </w:rPr>
      </w:pPr>
      <w:r w:rsidRPr="00220850">
        <w:rPr>
          <w:rFonts w:eastAsia="TimesNewRoman,Italic"/>
          <w:b/>
          <w:iCs/>
          <w:sz w:val="22"/>
          <w:szCs w:val="22"/>
          <w:lang w:val="fr-FR"/>
        </w:rPr>
        <w:t>Šalutinio poveikio reiškiniai</w:t>
      </w:r>
      <w:r w:rsidRPr="00220850">
        <w:rPr>
          <w:rFonts w:eastAsia="TimesNewRoman,Italic"/>
          <w:bCs/>
          <w:iCs/>
          <w:sz w:val="22"/>
          <w:szCs w:val="22"/>
          <w:lang w:val="fr-FR"/>
        </w:rPr>
        <w:t xml:space="preserve">, kurių </w:t>
      </w:r>
      <w:r w:rsidRPr="00220850">
        <w:rPr>
          <w:rFonts w:eastAsia="TimesNewRoman,Italic"/>
          <w:b/>
          <w:iCs/>
          <w:sz w:val="22"/>
          <w:szCs w:val="22"/>
          <w:lang w:val="fr-FR"/>
        </w:rPr>
        <w:t>d</w:t>
      </w:r>
      <w:r w:rsidR="00771FE3" w:rsidRPr="00220850">
        <w:rPr>
          <w:rFonts w:eastAsia="TimesNewRoman,Italic"/>
          <w:b/>
          <w:iCs/>
          <w:sz w:val="22"/>
          <w:szCs w:val="22"/>
          <w:lang w:val="fr-FR"/>
        </w:rPr>
        <w:t>ažnis nežinomas</w:t>
      </w:r>
      <w:r w:rsidR="00771FE3" w:rsidRPr="00220850">
        <w:rPr>
          <w:rFonts w:eastAsia="TimesNewRoman,Italic"/>
          <w:bCs/>
          <w:iCs/>
          <w:sz w:val="22"/>
          <w:szCs w:val="22"/>
          <w:lang w:val="fr-FR"/>
        </w:rPr>
        <w:t xml:space="preserve"> </w:t>
      </w:r>
      <w:r w:rsidR="00771FE3" w:rsidRPr="00001D79">
        <w:rPr>
          <w:rFonts w:eastAsia="TimesNewRoman,Italic"/>
          <w:b/>
          <w:iCs/>
          <w:sz w:val="22"/>
          <w:szCs w:val="22"/>
          <w:lang w:val="fr-FR"/>
        </w:rPr>
        <w:t>(negali būti apskaičiuotas pagal turimus duomenis)</w:t>
      </w:r>
      <w:r w:rsidR="0035166F" w:rsidRPr="00001D79">
        <w:rPr>
          <w:rFonts w:eastAsia="TimesNewRoman,Italic"/>
          <w:b/>
          <w:iCs/>
          <w:sz w:val="22"/>
          <w:szCs w:val="22"/>
          <w:lang w:val="fr-FR"/>
        </w:rPr>
        <w:t>:</w:t>
      </w:r>
    </w:p>
    <w:p w14:paraId="398A4203" w14:textId="77777777" w:rsidR="00771FE3" w:rsidRPr="00220850" w:rsidRDefault="00771FE3" w:rsidP="0013626C">
      <w:pPr>
        <w:pStyle w:val="Sraopastraipa"/>
        <w:numPr>
          <w:ilvl w:val="0"/>
          <w:numId w:val="6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08133BB2" w14:textId="77777777" w:rsidR="00771FE3" w:rsidRPr="00220850" w:rsidRDefault="00771FE3" w:rsidP="0013626C">
      <w:pPr>
        <w:pStyle w:val="Sraopastraipa"/>
        <w:numPr>
          <w:ilvl w:val="0"/>
          <w:numId w:val="6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64E5BD88" w14:textId="77777777" w:rsidR="00771FE3" w:rsidRPr="00220850" w:rsidRDefault="00771FE3" w:rsidP="0013626C">
      <w:pPr>
        <w:pStyle w:val="Sraopastraipa"/>
        <w:numPr>
          <w:ilvl w:val="0"/>
          <w:numId w:val="6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5CA4E824" w14:textId="77777777" w:rsidR="00771FE3" w:rsidRPr="00220850" w:rsidRDefault="00771FE3" w:rsidP="0013626C">
      <w:pPr>
        <w:pStyle w:val="Sraopastraipa"/>
        <w:numPr>
          <w:ilvl w:val="0"/>
          <w:numId w:val="6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Kraujagyslės sienelės išsipūtimas ir susilpnėjimas arba kraujagyslės sienelės įplyšimas (aneurizmos ir arterijų disekacijos).</w:t>
      </w:r>
    </w:p>
    <w:p w14:paraId="3D6A8FD6" w14:textId="77777777" w:rsidR="00771FE3" w:rsidRPr="00220850" w:rsidRDefault="00771FE3" w:rsidP="0013626C">
      <w:pPr>
        <w:pStyle w:val="Sraopastraipa"/>
        <w:numPr>
          <w:ilvl w:val="0"/>
          <w:numId w:val="6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3C1CC7A7" w14:textId="2CE835E3" w:rsidR="00771FE3" w:rsidRPr="00220850" w:rsidRDefault="00771FE3" w:rsidP="0013626C">
      <w:pPr>
        <w:pStyle w:val="Sraopastraipa"/>
        <w:numPr>
          <w:ilvl w:val="0"/>
          <w:numId w:val="62"/>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r w:rsidR="00954587" w:rsidRPr="00220850">
        <w:rPr>
          <w:rFonts w:eastAsia="TimesNewRoman"/>
          <w:sz w:val="22"/>
          <w:szCs w:val="22"/>
          <w:lang w:val="en-US"/>
        </w:rPr>
        <w:t>;</w:t>
      </w:r>
    </w:p>
    <w:p w14:paraId="6E2160EB" w14:textId="5E6F38F7" w:rsidR="00954587" w:rsidRPr="00220850" w:rsidRDefault="00954587" w:rsidP="00296ED8">
      <w:pPr>
        <w:pStyle w:val="Sraopastraipa"/>
        <w:numPr>
          <w:ilvl w:val="0"/>
          <w:numId w:val="62"/>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37243360" w14:textId="77777777" w:rsidR="00771FE3" w:rsidRPr="00220850" w:rsidRDefault="00771FE3" w:rsidP="00771FE3">
      <w:pPr>
        <w:tabs>
          <w:tab w:val="left" w:pos="567"/>
        </w:tabs>
        <w:ind w:left="567" w:right="-29" w:hanging="567"/>
        <w:rPr>
          <w:sz w:val="22"/>
        </w:rPr>
      </w:pPr>
    </w:p>
    <w:p w14:paraId="233BC865" w14:textId="77777777" w:rsidR="00DA7EB5" w:rsidRPr="00220850" w:rsidRDefault="00DA7EB5" w:rsidP="00DA7EB5">
      <w:pPr>
        <w:tabs>
          <w:tab w:val="left" w:pos="567"/>
        </w:tabs>
        <w:ind w:left="567" w:right="-29" w:hanging="567"/>
        <w:rPr>
          <w:iCs/>
          <w:sz w:val="22"/>
          <w:u w:val="single"/>
        </w:rPr>
      </w:pPr>
      <w:r w:rsidRPr="00220850">
        <w:rPr>
          <w:iCs/>
          <w:sz w:val="22"/>
          <w:u w:val="single"/>
        </w:rPr>
        <w:t xml:space="preserve">Vaikų ir paauglių </w:t>
      </w:r>
      <w:proofErr w:type="spellStart"/>
      <w:r w:rsidRPr="00220850">
        <w:rPr>
          <w:iCs/>
          <w:sz w:val="22"/>
          <w:u w:val="single"/>
        </w:rPr>
        <w:t>fibrozinės</w:t>
      </w:r>
      <w:proofErr w:type="spellEnd"/>
      <w:r w:rsidRPr="00220850">
        <w:rPr>
          <w:iCs/>
          <w:sz w:val="22"/>
          <w:u w:val="single"/>
        </w:rPr>
        <w:t xml:space="preserve"> </w:t>
      </w:r>
      <w:proofErr w:type="spellStart"/>
      <w:r w:rsidRPr="00220850">
        <w:rPr>
          <w:iCs/>
          <w:sz w:val="22"/>
          <w:u w:val="single"/>
        </w:rPr>
        <w:t>intersticinės</w:t>
      </w:r>
      <w:proofErr w:type="spellEnd"/>
      <w:r w:rsidRPr="00220850">
        <w:rPr>
          <w:iCs/>
          <w:sz w:val="22"/>
          <w:u w:val="single"/>
        </w:rPr>
        <w:t xml:space="preserve"> plaučių ligos (IPL) </w:t>
      </w:r>
    </w:p>
    <w:p w14:paraId="478381EA" w14:textId="77777777" w:rsidR="00DA7EB5" w:rsidRPr="00220850" w:rsidRDefault="00DA7EB5" w:rsidP="00DA7EB5">
      <w:pPr>
        <w:tabs>
          <w:tab w:val="left" w:pos="567"/>
        </w:tabs>
        <w:ind w:left="567" w:right="-29" w:hanging="567"/>
        <w:rPr>
          <w:iCs/>
          <w:sz w:val="22"/>
        </w:rPr>
      </w:pPr>
      <w:r w:rsidRPr="00220850">
        <w:rPr>
          <w:iCs/>
          <w:sz w:val="22"/>
        </w:rPr>
        <w:t xml:space="preserve">Šalutinis poveikis vaikams ir paaugliams buvo panašus į nustatytą suaugusiems pacientams. </w:t>
      </w:r>
    </w:p>
    <w:p w14:paraId="4270588B" w14:textId="1B1BC2D4" w:rsidR="004C68FC" w:rsidRPr="00220850" w:rsidRDefault="00DA7EB5" w:rsidP="00DA7EB5">
      <w:pPr>
        <w:tabs>
          <w:tab w:val="left" w:pos="567"/>
        </w:tabs>
        <w:ind w:left="567" w:right="-29" w:hanging="567"/>
        <w:rPr>
          <w:iCs/>
          <w:sz w:val="22"/>
        </w:rPr>
      </w:pPr>
      <w:r w:rsidRPr="00220850">
        <w:rPr>
          <w:iCs/>
          <w:sz w:val="22"/>
        </w:rPr>
        <w:t>Jeigu pasireiškė bet kuris šalutinis poveikis, pasakykite savo gydytojui.</w:t>
      </w:r>
    </w:p>
    <w:p w14:paraId="35A9836E" w14:textId="77777777" w:rsidR="00DA7EB5" w:rsidRPr="00220850" w:rsidRDefault="00DA7EB5" w:rsidP="00DA7EB5">
      <w:pPr>
        <w:tabs>
          <w:tab w:val="left" w:pos="567"/>
        </w:tabs>
        <w:ind w:left="567" w:right="-29" w:hanging="567"/>
        <w:rPr>
          <w:sz w:val="22"/>
        </w:rPr>
      </w:pPr>
    </w:p>
    <w:p w14:paraId="02D3BE53" w14:textId="77777777" w:rsidR="00771FE3" w:rsidRPr="00220850" w:rsidRDefault="00771FE3" w:rsidP="00771FE3">
      <w:pPr>
        <w:tabs>
          <w:tab w:val="left" w:pos="567"/>
        </w:tabs>
        <w:rPr>
          <w:b/>
          <w:sz w:val="22"/>
          <w:szCs w:val="24"/>
        </w:rPr>
      </w:pPr>
      <w:r w:rsidRPr="00220850">
        <w:rPr>
          <w:b/>
          <w:sz w:val="22"/>
          <w:szCs w:val="24"/>
        </w:rPr>
        <w:t>Pranešimas apie šalutinį poveikį</w:t>
      </w:r>
    </w:p>
    <w:p w14:paraId="10391E78" w14:textId="070B1EB9" w:rsidR="00771FE3" w:rsidRPr="00220850" w:rsidRDefault="00954587" w:rsidP="00771FE3">
      <w:pPr>
        <w:tabs>
          <w:tab w:val="left" w:pos="567"/>
        </w:tabs>
        <w:spacing w:line="260" w:lineRule="exact"/>
        <w:ind w:right="-1"/>
        <w:rPr>
          <w:sz w:val="22"/>
        </w:rPr>
      </w:pPr>
      <w:r w:rsidRPr="00220850">
        <w:rPr>
          <w:sz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F33A45" w:rsidRPr="00220850">
        <w:rPr>
          <w:sz w:val="22"/>
        </w:rPr>
        <w:t>+370</w:t>
      </w:r>
      <w:r w:rsidRPr="00220850">
        <w:rPr>
          <w:sz w:val="22"/>
        </w:rPr>
        <w:t xml:space="preserve"> 800 73 568. Pranešdami apie šalutinį poveikį galite mums padėti gauti daugiau informacijos apie šio vaisto saugumą.</w:t>
      </w:r>
    </w:p>
    <w:p w14:paraId="7A528A6E" w14:textId="77777777" w:rsidR="00771FE3" w:rsidRPr="00220850" w:rsidRDefault="00771FE3" w:rsidP="00771FE3">
      <w:pPr>
        <w:tabs>
          <w:tab w:val="left" w:pos="567"/>
        </w:tabs>
        <w:spacing w:line="260" w:lineRule="exact"/>
        <w:ind w:right="-449"/>
        <w:rPr>
          <w:sz w:val="22"/>
          <w:szCs w:val="24"/>
        </w:rPr>
      </w:pPr>
    </w:p>
    <w:p w14:paraId="4B958E94" w14:textId="77777777" w:rsidR="00771FE3" w:rsidRPr="00220850" w:rsidRDefault="00771FE3" w:rsidP="00771FE3">
      <w:pPr>
        <w:tabs>
          <w:tab w:val="left" w:pos="567"/>
        </w:tabs>
        <w:spacing w:line="260" w:lineRule="exact"/>
        <w:ind w:right="-449"/>
        <w:rPr>
          <w:sz w:val="22"/>
          <w:szCs w:val="24"/>
        </w:rPr>
      </w:pPr>
    </w:p>
    <w:p w14:paraId="438B9DE8" w14:textId="77777777" w:rsidR="00771FE3" w:rsidRPr="00220850" w:rsidRDefault="00771FE3" w:rsidP="00771FE3">
      <w:pPr>
        <w:keepNext/>
        <w:keepLines/>
        <w:tabs>
          <w:tab w:val="left" w:pos="567"/>
        </w:tabs>
        <w:outlineLvl w:val="2"/>
        <w:rPr>
          <w:b/>
          <w:bCs/>
          <w:sz w:val="22"/>
          <w:szCs w:val="26"/>
          <w:lang w:eastAsia="x-none"/>
        </w:rPr>
      </w:pPr>
      <w:r w:rsidRPr="00220850">
        <w:rPr>
          <w:b/>
          <w:bCs/>
          <w:sz w:val="22"/>
          <w:szCs w:val="26"/>
          <w:lang w:eastAsia="x-none"/>
        </w:rPr>
        <w:t>5.</w:t>
      </w:r>
      <w:r w:rsidRPr="00220850">
        <w:rPr>
          <w:b/>
          <w:bCs/>
          <w:sz w:val="22"/>
          <w:szCs w:val="26"/>
          <w:lang w:eastAsia="x-none"/>
        </w:rPr>
        <w:tab/>
        <w:t xml:space="preserve">Kaip laikyti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5E359476" w14:textId="77777777" w:rsidR="00771FE3" w:rsidRPr="00220850" w:rsidRDefault="00771FE3" w:rsidP="00771FE3">
      <w:pPr>
        <w:numPr>
          <w:ilvl w:val="12"/>
          <w:numId w:val="0"/>
        </w:numPr>
        <w:ind w:right="-2"/>
        <w:rPr>
          <w:sz w:val="22"/>
          <w:szCs w:val="24"/>
        </w:rPr>
      </w:pPr>
    </w:p>
    <w:p w14:paraId="488D6223" w14:textId="77777777" w:rsidR="00771FE3" w:rsidRPr="00220850" w:rsidRDefault="00771FE3" w:rsidP="00771FE3">
      <w:pPr>
        <w:numPr>
          <w:ilvl w:val="12"/>
          <w:numId w:val="0"/>
        </w:numPr>
        <w:ind w:right="-2"/>
        <w:rPr>
          <w:sz w:val="22"/>
          <w:szCs w:val="24"/>
        </w:rPr>
      </w:pPr>
      <w:r w:rsidRPr="00220850">
        <w:rPr>
          <w:sz w:val="22"/>
          <w:szCs w:val="24"/>
        </w:rPr>
        <w:t>Šį vaistą laikykite vaikams nepastebimoje ir nepasiekiamoje vietoje.</w:t>
      </w:r>
    </w:p>
    <w:p w14:paraId="72FAA870" w14:textId="77777777" w:rsidR="00771FE3" w:rsidRPr="00220850" w:rsidRDefault="00771FE3" w:rsidP="00771FE3">
      <w:pPr>
        <w:numPr>
          <w:ilvl w:val="12"/>
          <w:numId w:val="0"/>
        </w:numPr>
        <w:ind w:right="-2"/>
        <w:rPr>
          <w:sz w:val="22"/>
          <w:szCs w:val="24"/>
        </w:rPr>
      </w:pPr>
    </w:p>
    <w:p w14:paraId="151CB4B8"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Ant lizdinės plokštelės ir dėžutės po „EXP“ nurodytam tinkamumo laikui pasibaigus, šio vaisto vartoti negalima. Vaistas tinkamas vartoti iki paskutinės nurodyto mėnesio dienos.</w:t>
      </w:r>
    </w:p>
    <w:p w14:paraId="094DBD35" w14:textId="77777777" w:rsidR="00771FE3" w:rsidRPr="00220850" w:rsidRDefault="00771FE3" w:rsidP="00771FE3">
      <w:pPr>
        <w:autoSpaceDE w:val="0"/>
        <w:autoSpaceDN w:val="0"/>
        <w:adjustRightInd w:val="0"/>
        <w:rPr>
          <w:rFonts w:eastAsia="TimesNewRoman"/>
          <w:sz w:val="22"/>
          <w:szCs w:val="22"/>
        </w:rPr>
      </w:pPr>
    </w:p>
    <w:p w14:paraId="06603CE0" w14:textId="77777777" w:rsidR="00771FE3" w:rsidRPr="00220850" w:rsidRDefault="00771FE3" w:rsidP="007267DC">
      <w:pPr>
        <w:pStyle w:val="BTEMEASMCA"/>
      </w:pPr>
      <w:r w:rsidRPr="00220850">
        <w:t>Šiam vaistiniam preparatui specialių laikymo sąlygų nereikia.</w:t>
      </w:r>
    </w:p>
    <w:p w14:paraId="350C0DB4" w14:textId="77777777" w:rsidR="00771FE3" w:rsidRPr="00220850" w:rsidRDefault="00771FE3" w:rsidP="00771FE3">
      <w:pPr>
        <w:autoSpaceDE w:val="0"/>
        <w:autoSpaceDN w:val="0"/>
        <w:adjustRightInd w:val="0"/>
        <w:rPr>
          <w:rFonts w:eastAsia="TimesNewRoman"/>
          <w:sz w:val="22"/>
          <w:szCs w:val="22"/>
        </w:rPr>
      </w:pPr>
    </w:p>
    <w:p w14:paraId="2A76924D" w14:textId="77777777"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Pastebėjus, kad lizdinė plokštelė, kurioje yra kapsulių, atidaryta ar kapsulė sulaužyta, šio vaisto vartoti negalima.</w:t>
      </w:r>
    </w:p>
    <w:p w14:paraId="5DBCB757" w14:textId="68D1652D" w:rsidR="00771FE3" w:rsidRPr="00220850" w:rsidRDefault="00771FE3" w:rsidP="00771FE3">
      <w:pPr>
        <w:autoSpaceDE w:val="0"/>
        <w:autoSpaceDN w:val="0"/>
        <w:adjustRightInd w:val="0"/>
        <w:rPr>
          <w:rFonts w:eastAsia="TimesNewRoman"/>
          <w:sz w:val="22"/>
          <w:szCs w:val="22"/>
        </w:rPr>
      </w:pPr>
      <w:r w:rsidRPr="00220850">
        <w:rPr>
          <w:rFonts w:eastAsia="TimesNewRoman"/>
          <w:sz w:val="22"/>
          <w:szCs w:val="22"/>
        </w:rPr>
        <w:t>Jeigu prisilietėte prie kapsulės turinio, reikia nedelsiant gausiu vandens kiekiu nusiplauti rankas (žr. 3 skyrių</w:t>
      </w:r>
      <w:r w:rsidR="004C68FC" w:rsidRPr="00220850">
        <w:rPr>
          <w:rFonts w:eastAsia="TimesNewRoman"/>
          <w:sz w:val="22"/>
          <w:szCs w:val="22"/>
        </w:rPr>
        <w:t xml:space="preserve"> </w:t>
      </w:r>
      <w:r w:rsidR="00DA7EB5" w:rsidRPr="00220850">
        <w:rPr>
          <w:rFonts w:eastAsia="TimesNewRoman"/>
          <w:sz w:val="22"/>
          <w:szCs w:val="22"/>
        </w:rPr>
        <w:t xml:space="preserve">„Kaip vartoti </w:t>
      </w:r>
      <w:proofErr w:type="spellStart"/>
      <w:r w:rsidR="00DA7EB5" w:rsidRPr="00220850">
        <w:rPr>
          <w:rFonts w:eastAsia="TimesNewRoman"/>
          <w:sz w:val="22"/>
          <w:szCs w:val="22"/>
        </w:rPr>
        <w:t>Nintedanib</w:t>
      </w:r>
      <w:proofErr w:type="spellEnd"/>
      <w:r w:rsidR="00DA7EB5" w:rsidRPr="00220850">
        <w:rPr>
          <w:rFonts w:eastAsia="TimesNewRoman"/>
          <w:sz w:val="22"/>
          <w:szCs w:val="22"/>
        </w:rPr>
        <w:t xml:space="preserve"> </w:t>
      </w:r>
      <w:proofErr w:type="spellStart"/>
      <w:r w:rsidR="00DA7EB5" w:rsidRPr="00220850">
        <w:rPr>
          <w:rFonts w:eastAsia="TimesNewRoman"/>
          <w:sz w:val="22"/>
          <w:szCs w:val="22"/>
        </w:rPr>
        <w:t>Teva</w:t>
      </w:r>
      <w:proofErr w:type="spellEnd"/>
      <w:r w:rsidR="00DA7EB5" w:rsidRPr="00220850">
        <w:rPr>
          <w:rFonts w:eastAsia="TimesNewRoman"/>
          <w:sz w:val="22"/>
          <w:szCs w:val="22"/>
        </w:rPr>
        <w:t>“</w:t>
      </w:r>
      <w:r w:rsidRPr="00220850">
        <w:rPr>
          <w:rFonts w:eastAsia="TimesNewRoman"/>
          <w:sz w:val="22"/>
          <w:szCs w:val="22"/>
        </w:rPr>
        <w:t>).</w:t>
      </w:r>
    </w:p>
    <w:p w14:paraId="2BD2712E" w14:textId="77777777" w:rsidR="00771FE3" w:rsidRPr="00220850" w:rsidRDefault="00771FE3" w:rsidP="00771FE3">
      <w:pPr>
        <w:autoSpaceDE w:val="0"/>
        <w:autoSpaceDN w:val="0"/>
        <w:adjustRightInd w:val="0"/>
        <w:rPr>
          <w:rFonts w:eastAsia="TimesNewRoman"/>
          <w:sz w:val="22"/>
          <w:szCs w:val="22"/>
        </w:rPr>
      </w:pPr>
    </w:p>
    <w:p w14:paraId="434CACC1" w14:textId="77777777" w:rsidR="00771FE3" w:rsidRPr="00220850" w:rsidRDefault="00771FE3" w:rsidP="00771FE3">
      <w:pPr>
        <w:autoSpaceDE w:val="0"/>
        <w:autoSpaceDN w:val="0"/>
        <w:adjustRightInd w:val="0"/>
        <w:rPr>
          <w:sz w:val="22"/>
          <w:szCs w:val="24"/>
        </w:rPr>
      </w:pPr>
      <w:r w:rsidRPr="00220850">
        <w:rPr>
          <w:rFonts w:eastAsia="TimesNewRoman"/>
          <w:sz w:val="22"/>
          <w:szCs w:val="22"/>
        </w:rPr>
        <w:t>Vaistų negalima išmesti į kanalizaciją arba su buitinėmis atliekomis. Kaip išmesti nereikalingus vaistus, klauskite vaistininko. Šios priemonės padės apsaugoti aplinką.</w:t>
      </w:r>
    </w:p>
    <w:p w14:paraId="6F8C470B" w14:textId="77777777" w:rsidR="00771FE3" w:rsidRPr="00220850" w:rsidRDefault="00771FE3" w:rsidP="00771FE3">
      <w:pPr>
        <w:numPr>
          <w:ilvl w:val="12"/>
          <w:numId w:val="0"/>
        </w:numPr>
        <w:ind w:right="-2"/>
        <w:rPr>
          <w:sz w:val="22"/>
          <w:szCs w:val="24"/>
        </w:rPr>
      </w:pPr>
    </w:p>
    <w:p w14:paraId="336E51E4" w14:textId="77777777" w:rsidR="002A0BA4" w:rsidRPr="00220850" w:rsidRDefault="002A0BA4" w:rsidP="00771FE3">
      <w:pPr>
        <w:numPr>
          <w:ilvl w:val="12"/>
          <w:numId w:val="0"/>
        </w:numPr>
        <w:ind w:right="-2"/>
        <w:rPr>
          <w:sz w:val="22"/>
          <w:szCs w:val="24"/>
        </w:rPr>
      </w:pPr>
    </w:p>
    <w:p w14:paraId="738E7684" w14:textId="77777777" w:rsidR="00771FE3" w:rsidRPr="00220850" w:rsidRDefault="00771FE3" w:rsidP="00771FE3">
      <w:pPr>
        <w:keepNext/>
        <w:keepLines/>
        <w:tabs>
          <w:tab w:val="left" w:pos="567"/>
        </w:tabs>
        <w:outlineLvl w:val="2"/>
        <w:rPr>
          <w:b/>
          <w:bCs/>
          <w:sz w:val="22"/>
          <w:szCs w:val="26"/>
          <w:lang w:eastAsia="x-none"/>
        </w:rPr>
      </w:pPr>
      <w:r w:rsidRPr="00220850">
        <w:rPr>
          <w:b/>
          <w:bCs/>
          <w:sz w:val="22"/>
          <w:szCs w:val="26"/>
          <w:lang w:eastAsia="x-none"/>
        </w:rPr>
        <w:lastRenderedPageBreak/>
        <w:t>6.</w:t>
      </w:r>
      <w:r w:rsidRPr="00220850">
        <w:rPr>
          <w:bCs/>
          <w:sz w:val="22"/>
          <w:szCs w:val="26"/>
          <w:lang w:eastAsia="x-none"/>
        </w:rPr>
        <w:tab/>
      </w:r>
      <w:r w:rsidRPr="00220850">
        <w:rPr>
          <w:b/>
          <w:bCs/>
          <w:sz w:val="22"/>
          <w:szCs w:val="26"/>
          <w:lang w:eastAsia="x-none"/>
        </w:rPr>
        <w:t>Pakuotės turinys ir kita informacija</w:t>
      </w:r>
    </w:p>
    <w:p w14:paraId="3B659A2B" w14:textId="77777777" w:rsidR="00771FE3" w:rsidRPr="00220850" w:rsidRDefault="00771FE3" w:rsidP="00771FE3">
      <w:pPr>
        <w:numPr>
          <w:ilvl w:val="12"/>
          <w:numId w:val="0"/>
        </w:numPr>
        <w:rPr>
          <w:sz w:val="22"/>
          <w:szCs w:val="24"/>
        </w:rPr>
      </w:pPr>
    </w:p>
    <w:p w14:paraId="43D832F8" w14:textId="77777777" w:rsidR="00771FE3" w:rsidRPr="00220850" w:rsidRDefault="00771FE3" w:rsidP="00771FE3">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8"/>
          <w:lang w:eastAsia="x-none"/>
        </w:rPr>
        <w:t xml:space="preserve"> sudėtis </w:t>
      </w:r>
    </w:p>
    <w:p w14:paraId="58283BA5" w14:textId="77777777" w:rsidR="00771FE3" w:rsidRPr="00220850" w:rsidRDefault="00771FE3" w:rsidP="00771FE3">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Veiklioji medžiaga yra </w:t>
      </w:r>
      <w:proofErr w:type="spellStart"/>
      <w:r w:rsidRPr="00220850">
        <w:rPr>
          <w:sz w:val="22"/>
          <w:szCs w:val="24"/>
        </w:rPr>
        <w:t>nintedanib</w:t>
      </w:r>
      <w:r w:rsidR="00983DA7" w:rsidRPr="00220850">
        <w:rPr>
          <w:sz w:val="22"/>
          <w:szCs w:val="24"/>
        </w:rPr>
        <w:t>as</w:t>
      </w:r>
      <w:proofErr w:type="spellEnd"/>
      <w:r w:rsidR="00983DA7" w:rsidRPr="00220850">
        <w:rPr>
          <w:sz w:val="22"/>
          <w:szCs w:val="24"/>
        </w:rPr>
        <w:t>. Kiekvienoje kapsulėje yra 15</w:t>
      </w:r>
      <w:r w:rsidRPr="00220850">
        <w:rPr>
          <w:sz w:val="22"/>
          <w:szCs w:val="24"/>
        </w:rPr>
        <w:t xml:space="preserve">0 mg </w:t>
      </w:r>
      <w:proofErr w:type="spellStart"/>
      <w:r w:rsidRPr="00220850">
        <w:rPr>
          <w:sz w:val="22"/>
          <w:szCs w:val="24"/>
        </w:rPr>
        <w:t>nintedanibo</w:t>
      </w:r>
      <w:proofErr w:type="spellEnd"/>
      <w:r w:rsidRPr="00220850">
        <w:rPr>
          <w:sz w:val="22"/>
          <w:szCs w:val="24"/>
        </w:rPr>
        <w:t xml:space="preserve"> (</w:t>
      </w:r>
      <w:proofErr w:type="spellStart"/>
      <w:r w:rsidRPr="00220850">
        <w:rPr>
          <w:sz w:val="22"/>
          <w:szCs w:val="24"/>
        </w:rPr>
        <w:t>esilato</w:t>
      </w:r>
      <w:proofErr w:type="spellEnd"/>
      <w:r w:rsidRPr="00220850">
        <w:rPr>
          <w:sz w:val="22"/>
          <w:szCs w:val="24"/>
        </w:rPr>
        <w:t xml:space="preserve"> pavidalu)</w:t>
      </w:r>
      <w:r w:rsidR="00E06932" w:rsidRPr="00220850">
        <w:rPr>
          <w:sz w:val="22"/>
          <w:szCs w:val="24"/>
        </w:rPr>
        <w:t>.</w:t>
      </w:r>
    </w:p>
    <w:p w14:paraId="1A8503D5" w14:textId="77777777" w:rsidR="00771FE3" w:rsidRPr="00220850" w:rsidRDefault="00771FE3" w:rsidP="00771FE3">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Pagalbinės medžiagos yra: </w:t>
      </w:r>
    </w:p>
    <w:p w14:paraId="7BF0C284" w14:textId="77777777" w:rsidR="00771FE3" w:rsidRPr="00220850" w:rsidRDefault="00771FE3" w:rsidP="00771FE3">
      <w:pPr>
        <w:tabs>
          <w:tab w:val="left" w:pos="567"/>
        </w:tabs>
        <w:spacing w:line="260" w:lineRule="exact"/>
        <w:ind w:left="567" w:right="-2"/>
        <w:rPr>
          <w:rFonts w:eastAsia="TimesNewRoman"/>
          <w:sz w:val="22"/>
          <w:szCs w:val="22"/>
        </w:rPr>
      </w:pPr>
      <w:r w:rsidRPr="00220850">
        <w:rPr>
          <w:sz w:val="22"/>
          <w:szCs w:val="24"/>
        </w:rPr>
        <w:t>kapsulės turinys: v</w:t>
      </w:r>
      <w:r w:rsidRPr="00220850">
        <w:rPr>
          <w:rFonts w:eastAsia="TimesNewRoman"/>
          <w:sz w:val="22"/>
          <w:szCs w:val="22"/>
        </w:rPr>
        <w:t>idutinės grandinės trigliceridai, kietieji riebalai, poligliceril-3-dioleatas</w:t>
      </w:r>
      <w:r w:rsidR="00E06932" w:rsidRPr="00220850">
        <w:rPr>
          <w:rFonts w:eastAsia="TimesNewRoman"/>
          <w:sz w:val="22"/>
          <w:szCs w:val="22"/>
        </w:rPr>
        <w:t>;</w:t>
      </w:r>
    </w:p>
    <w:p w14:paraId="5E632E5F" w14:textId="398558E3" w:rsidR="00771FE3" w:rsidRPr="00220850" w:rsidRDefault="00771FE3" w:rsidP="00771FE3">
      <w:pPr>
        <w:autoSpaceDE w:val="0"/>
        <w:autoSpaceDN w:val="0"/>
        <w:adjustRightInd w:val="0"/>
        <w:ind w:left="567"/>
        <w:rPr>
          <w:rFonts w:eastAsia="TimesNewRoman"/>
          <w:sz w:val="22"/>
          <w:szCs w:val="22"/>
        </w:rPr>
      </w:pPr>
      <w:r w:rsidRPr="00220850">
        <w:rPr>
          <w:rFonts w:eastAsia="TimesNewRoman"/>
          <w:sz w:val="22"/>
          <w:szCs w:val="22"/>
        </w:rPr>
        <w:t xml:space="preserve">kapsulės korpusas: želatina, </w:t>
      </w:r>
      <w:proofErr w:type="spellStart"/>
      <w:r w:rsidRPr="00220850">
        <w:rPr>
          <w:rFonts w:eastAsia="TimesNewRoman"/>
          <w:sz w:val="22"/>
          <w:szCs w:val="22"/>
        </w:rPr>
        <w:t>glicerolis</w:t>
      </w:r>
      <w:proofErr w:type="spellEnd"/>
      <w:r w:rsidRPr="00220850">
        <w:rPr>
          <w:rFonts w:eastAsia="TimesNewRoman"/>
          <w:sz w:val="22"/>
          <w:szCs w:val="22"/>
        </w:rPr>
        <w:t>, titano dioksidas (E</w:t>
      </w:r>
      <w:r w:rsidR="00566578" w:rsidRPr="00220850">
        <w:rPr>
          <w:rFonts w:eastAsia="TimesNewRoman"/>
          <w:sz w:val="22"/>
          <w:szCs w:val="22"/>
        </w:rPr>
        <w:t> </w:t>
      </w:r>
      <w:r w:rsidRPr="00220850">
        <w:rPr>
          <w:rFonts w:eastAsia="TimesNewRoman"/>
          <w:sz w:val="22"/>
          <w:szCs w:val="22"/>
        </w:rPr>
        <w:t>171), raudonasis geležies oksidas (E</w:t>
      </w:r>
      <w:r w:rsidR="00566578" w:rsidRPr="00220850">
        <w:rPr>
          <w:rFonts w:eastAsia="TimesNewRoman"/>
          <w:sz w:val="22"/>
          <w:szCs w:val="22"/>
        </w:rPr>
        <w:t> </w:t>
      </w:r>
      <w:r w:rsidRPr="00220850">
        <w:rPr>
          <w:rFonts w:eastAsia="TimesNewRoman"/>
          <w:sz w:val="22"/>
          <w:szCs w:val="22"/>
        </w:rPr>
        <w:t>172) ir geltonasis geležies oksidas (E</w:t>
      </w:r>
      <w:r w:rsidR="00566578" w:rsidRPr="00220850">
        <w:rPr>
          <w:rFonts w:eastAsia="TimesNewRoman"/>
          <w:sz w:val="22"/>
          <w:szCs w:val="22"/>
        </w:rPr>
        <w:t> </w:t>
      </w:r>
      <w:r w:rsidRPr="00220850">
        <w:rPr>
          <w:rFonts w:eastAsia="TimesNewRoman"/>
          <w:sz w:val="22"/>
          <w:szCs w:val="22"/>
        </w:rPr>
        <w:t>172), išgrynintasis vanduo</w:t>
      </w:r>
      <w:r w:rsidR="00E06932" w:rsidRPr="00220850">
        <w:rPr>
          <w:rFonts w:eastAsia="TimesNewRoman"/>
          <w:sz w:val="22"/>
          <w:szCs w:val="22"/>
        </w:rPr>
        <w:t>.</w:t>
      </w:r>
    </w:p>
    <w:p w14:paraId="1DF6EC6C" w14:textId="483DBFF5" w:rsidR="00771FE3" w:rsidRPr="00220850" w:rsidRDefault="00771FE3" w:rsidP="0009101E">
      <w:pPr>
        <w:pStyle w:val="Sraopastraipa"/>
        <w:numPr>
          <w:ilvl w:val="0"/>
          <w:numId w:val="25"/>
        </w:numPr>
        <w:autoSpaceDE w:val="0"/>
        <w:autoSpaceDN w:val="0"/>
        <w:adjustRightInd w:val="0"/>
        <w:ind w:left="567" w:hanging="567"/>
        <w:rPr>
          <w:sz w:val="22"/>
          <w:szCs w:val="24"/>
        </w:rPr>
      </w:pPr>
      <w:r w:rsidRPr="00220850">
        <w:rPr>
          <w:rFonts w:eastAsia="TimesNewRoman"/>
          <w:sz w:val="22"/>
          <w:szCs w:val="22"/>
        </w:rPr>
        <w:t xml:space="preserve">Spaustuviniai dažai: </w:t>
      </w:r>
      <w:proofErr w:type="spellStart"/>
      <w:r w:rsidRPr="00220850">
        <w:rPr>
          <w:rFonts w:eastAsia="TimesNewRoman"/>
          <w:sz w:val="22"/>
          <w:szCs w:val="22"/>
        </w:rPr>
        <w:t>šelakas</w:t>
      </w:r>
      <w:proofErr w:type="spellEnd"/>
      <w:r w:rsidRPr="00220850">
        <w:rPr>
          <w:rFonts w:eastAsia="TimesNewRoman"/>
          <w:sz w:val="22"/>
          <w:szCs w:val="22"/>
        </w:rPr>
        <w:t xml:space="preserve">, </w:t>
      </w:r>
      <w:r w:rsidR="002E47B5" w:rsidRPr="00220850">
        <w:rPr>
          <w:rFonts w:eastAsia="TimesNewRoman"/>
          <w:sz w:val="22"/>
          <w:szCs w:val="22"/>
        </w:rPr>
        <w:t>juodasis geležies oksidas</w:t>
      </w:r>
      <w:r w:rsidR="002E47B5" w:rsidRPr="00220850" w:rsidDel="002E47B5">
        <w:rPr>
          <w:rFonts w:eastAsia="TimesNewRoman"/>
          <w:sz w:val="22"/>
          <w:szCs w:val="22"/>
        </w:rPr>
        <w:t xml:space="preserve"> </w:t>
      </w:r>
      <w:r w:rsidR="002E47B5" w:rsidRPr="00220850">
        <w:rPr>
          <w:rFonts w:eastAsia="TimesNewRoman"/>
          <w:sz w:val="22"/>
          <w:szCs w:val="22"/>
        </w:rPr>
        <w:t>(E 172)</w:t>
      </w:r>
      <w:r w:rsidRPr="00220850">
        <w:rPr>
          <w:rFonts w:eastAsia="TimesNewRoman"/>
          <w:sz w:val="22"/>
          <w:szCs w:val="22"/>
        </w:rPr>
        <w:t xml:space="preserve">, </w:t>
      </w:r>
      <w:proofErr w:type="spellStart"/>
      <w:r w:rsidRPr="00220850">
        <w:rPr>
          <w:rFonts w:eastAsia="TimesNewRoman"/>
          <w:sz w:val="22"/>
          <w:szCs w:val="22"/>
        </w:rPr>
        <w:t>propilenglikolis</w:t>
      </w:r>
      <w:proofErr w:type="spellEnd"/>
      <w:r w:rsidRPr="00220850">
        <w:rPr>
          <w:rFonts w:eastAsia="TimesNewRoman"/>
          <w:sz w:val="22"/>
          <w:szCs w:val="22"/>
        </w:rPr>
        <w:t xml:space="preserve"> (E</w:t>
      </w:r>
      <w:r w:rsidR="00566578" w:rsidRPr="00220850">
        <w:rPr>
          <w:rFonts w:eastAsia="TimesNewRoman"/>
          <w:sz w:val="22"/>
          <w:szCs w:val="22"/>
        </w:rPr>
        <w:t> </w:t>
      </w:r>
      <w:r w:rsidRPr="00220850">
        <w:rPr>
          <w:rFonts w:eastAsia="TimesNewRoman"/>
          <w:sz w:val="22"/>
          <w:szCs w:val="22"/>
        </w:rPr>
        <w:t>1520)</w:t>
      </w:r>
      <w:r w:rsidR="00E06932" w:rsidRPr="00220850">
        <w:rPr>
          <w:sz w:val="22"/>
          <w:szCs w:val="24"/>
        </w:rPr>
        <w:t>.</w:t>
      </w:r>
    </w:p>
    <w:p w14:paraId="24D8B305" w14:textId="77777777" w:rsidR="00771FE3" w:rsidRPr="00220850" w:rsidRDefault="00771FE3" w:rsidP="00771FE3">
      <w:pPr>
        <w:numPr>
          <w:ilvl w:val="12"/>
          <w:numId w:val="0"/>
        </w:numPr>
        <w:ind w:right="-2"/>
        <w:rPr>
          <w:sz w:val="22"/>
          <w:szCs w:val="24"/>
        </w:rPr>
      </w:pPr>
    </w:p>
    <w:p w14:paraId="28587ABE" w14:textId="77777777" w:rsidR="00771FE3" w:rsidRPr="00220850" w:rsidRDefault="00771FE3" w:rsidP="00771FE3">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r w:rsidRPr="00220850">
        <w:rPr>
          <w:b/>
          <w:bCs/>
          <w:sz w:val="22"/>
          <w:szCs w:val="28"/>
          <w:lang w:eastAsia="x-none"/>
        </w:rPr>
        <w:t>išvaizda ir kiekis pakuotėje</w:t>
      </w:r>
    </w:p>
    <w:p w14:paraId="6569A024" w14:textId="03F9E7B5" w:rsidR="00983DA7" w:rsidRPr="00220850" w:rsidRDefault="00983DA7" w:rsidP="00983DA7">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150 mg minkštosios kapsulės yra r</w:t>
      </w:r>
      <w:r w:rsidRPr="00220850">
        <w:rPr>
          <w:rFonts w:eastAsia="TimesNewRoman"/>
          <w:sz w:val="22"/>
          <w:szCs w:val="22"/>
        </w:rPr>
        <w:t xml:space="preserve">udos </w:t>
      </w:r>
      <w:r w:rsidR="00364A87" w:rsidRPr="00220850">
        <w:rPr>
          <w:rFonts w:eastAsia="TimesNewRoman"/>
          <w:sz w:val="22"/>
          <w:szCs w:val="22"/>
        </w:rPr>
        <w:t xml:space="preserve">spalvos, </w:t>
      </w:r>
      <w:r w:rsidRPr="00220850">
        <w:rPr>
          <w:rFonts w:eastAsia="TimesNewRoman"/>
          <w:sz w:val="22"/>
          <w:szCs w:val="22"/>
        </w:rPr>
        <w:t xml:space="preserve">matinės, pailgos, maždaug 17 mm ilgio kapsulės, užpildytos geltona klampia suspensija, ant kurių yra </w:t>
      </w:r>
      <w:r w:rsidR="002E47B5" w:rsidRPr="00220850">
        <w:rPr>
          <w:rFonts w:eastAsia="TimesNewRoman"/>
          <w:sz w:val="22"/>
          <w:szCs w:val="22"/>
        </w:rPr>
        <w:t>juodo</w:t>
      </w:r>
      <w:r w:rsidRPr="00220850">
        <w:rPr>
          <w:rFonts w:eastAsia="TimesNewRoman"/>
          <w:sz w:val="22"/>
          <w:szCs w:val="22"/>
        </w:rPr>
        <w:t xml:space="preserve"> rašalo užrašas “NT 150”</w:t>
      </w:r>
    </w:p>
    <w:p w14:paraId="20316C1B" w14:textId="77777777" w:rsidR="00771FE3" w:rsidRPr="00220850" w:rsidRDefault="00771FE3" w:rsidP="00771FE3">
      <w:pPr>
        <w:numPr>
          <w:ilvl w:val="12"/>
          <w:numId w:val="0"/>
        </w:numPr>
        <w:ind w:right="-2"/>
        <w:rPr>
          <w:sz w:val="22"/>
          <w:szCs w:val="24"/>
        </w:rPr>
      </w:pPr>
    </w:p>
    <w:p w14:paraId="230D1849" w14:textId="7963B72A" w:rsidR="00771FE3" w:rsidRPr="00220850" w:rsidRDefault="00983DA7" w:rsidP="00771FE3">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15</w:t>
      </w:r>
      <w:r w:rsidR="00771FE3" w:rsidRPr="00220850">
        <w:rPr>
          <w:sz w:val="22"/>
          <w:szCs w:val="22"/>
        </w:rPr>
        <w:t xml:space="preserve">0 mg minkštosios kapsulės tiekiamos kartono dėžutėje, kurioje yra </w:t>
      </w:r>
      <w:r w:rsidR="00771FE3" w:rsidRPr="00220850">
        <w:rPr>
          <w:rFonts w:eastAsia="TimesNewRoman"/>
          <w:sz w:val="22"/>
          <w:szCs w:val="22"/>
        </w:rPr>
        <w:t>OPA/Al</w:t>
      </w:r>
      <w:r w:rsidR="00566578" w:rsidRPr="00220850">
        <w:rPr>
          <w:rFonts w:eastAsia="TimesNewRoman"/>
          <w:sz w:val="22"/>
          <w:szCs w:val="22"/>
        </w:rPr>
        <w:t>iuminio</w:t>
      </w:r>
      <w:r w:rsidR="00771FE3" w:rsidRPr="00220850">
        <w:rPr>
          <w:rFonts w:eastAsia="TimesNewRoman"/>
          <w:sz w:val="22"/>
          <w:szCs w:val="22"/>
        </w:rPr>
        <w:t xml:space="preserve">/PVC/aliuminio perforuotos </w:t>
      </w:r>
      <w:proofErr w:type="spellStart"/>
      <w:r w:rsidR="00707518" w:rsidRPr="00220850">
        <w:rPr>
          <w:rFonts w:eastAsia="TimesNewRoman"/>
          <w:sz w:val="22"/>
          <w:szCs w:val="22"/>
        </w:rPr>
        <w:t>dalomosios</w:t>
      </w:r>
      <w:proofErr w:type="spellEnd"/>
      <w:r w:rsidR="00707518" w:rsidRPr="00220850">
        <w:rPr>
          <w:rFonts w:eastAsia="TimesNewRoman"/>
          <w:sz w:val="22"/>
          <w:szCs w:val="22"/>
        </w:rPr>
        <w:t xml:space="preserve"> </w:t>
      </w:r>
      <w:r w:rsidR="00771FE3" w:rsidRPr="00220850">
        <w:rPr>
          <w:rFonts w:eastAsia="TimesNewRoman"/>
          <w:sz w:val="22"/>
          <w:szCs w:val="22"/>
        </w:rPr>
        <w:t>lizdinės plokštelės</w:t>
      </w:r>
    </w:p>
    <w:p w14:paraId="62D74BA5" w14:textId="77777777" w:rsidR="00364A87" w:rsidRPr="00220850" w:rsidRDefault="00364A87" w:rsidP="00771FE3">
      <w:pPr>
        <w:shd w:val="clear" w:color="auto" w:fill="FFFFFF"/>
        <w:rPr>
          <w:rFonts w:eastAsia="TimesNewRoman"/>
          <w:sz w:val="22"/>
          <w:szCs w:val="22"/>
        </w:rPr>
      </w:pPr>
    </w:p>
    <w:p w14:paraId="48695F24" w14:textId="79DB0838" w:rsidR="00771FE3" w:rsidRPr="00220850" w:rsidRDefault="00771FE3" w:rsidP="00771FE3">
      <w:pPr>
        <w:shd w:val="clear" w:color="auto" w:fill="FFFFFF"/>
        <w:rPr>
          <w:rFonts w:eastAsia="TimesNewRoman"/>
          <w:sz w:val="22"/>
          <w:szCs w:val="22"/>
        </w:rPr>
      </w:pPr>
      <w:r w:rsidRPr="00220850">
        <w:rPr>
          <w:rFonts w:eastAsia="TimesNewRoman"/>
          <w:sz w:val="22"/>
          <w:szCs w:val="22"/>
        </w:rPr>
        <w:t>Pakuotėje yra:</w:t>
      </w:r>
    </w:p>
    <w:p w14:paraId="0D73D1E1" w14:textId="77777777" w:rsidR="00771FE3" w:rsidRPr="00220850" w:rsidRDefault="00771FE3" w:rsidP="00771FE3">
      <w:pPr>
        <w:shd w:val="clear" w:color="auto" w:fill="FFFFFF"/>
        <w:rPr>
          <w:rFonts w:eastAsia="TimesNewRoman"/>
          <w:sz w:val="22"/>
          <w:szCs w:val="22"/>
        </w:rPr>
      </w:pPr>
      <w:r w:rsidRPr="00220850">
        <w:rPr>
          <w:rFonts w:eastAsia="TimesNewRoman"/>
          <w:sz w:val="22"/>
          <w:szCs w:val="22"/>
        </w:rPr>
        <w:t>30 x 1 minkštųjų kapsulių</w:t>
      </w:r>
    </w:p>
    <w:p w14:paraId="2F476A7F" w14:textId="77777777" w:rsidR="00771FE3" w:rsidRPr="00220850" w:rsidRDefault="00771FE3" w:rsidP="00771FE3">
      <w:pPr>
        <w:shd w:val="clear" w:color="auto" w:fill="FFFFFF"/>
        <w:rPr>
          <w:rFonts w:eastAsia="TimesNewRoman"/>
          <w:sz w:val="22"/>
          <w:szCs w:val="22"/>
        </w:rPr>
      </w:pPr>
      <w:r w:rsidRPr="00220850">
        <w:rPr>
          <w:rFonts w:eastAsia="TimesNewRoman"/>
          <w:sz w:val="22"/>
          <w:szCs w:val="22"/>
        </w:rPr>
        <w:t>60 x 1 minkštųjų kapsulių</w:t>
      </w:r>
    </w:p>
    <w:p w14:paraId="201F5862" w14:textId="77777777" w:rsidR="00771FE3" w:rsidRPr="00220850" w:rsidRDefault="00771FE3" w:rsidP="00771FE3">
      <w:pPr>
        <w:rPr>
          <w:sz w:val="22"/>
          <w:szCs w:val="22"/>
        </w:rPr>
      </w:pPr>
    </w:p>
    <w:p w14:paraId="6D8E5E26" w14:textId="77777777" w:rsidR="00771FE3" w:rsidRPr="00220850" w:rsidRDefault="00771FE3" w:rsidP="00771FE3">
      <w:pPr>
        <w:rPr>
          <w:sz w:val="22"/>
          <w:szCs w:val="22"/>
        </w:rPr>
      </w:pPr>
      <w:r w:rsidRPr="00220850">
        <w:rPr>
          <w:sz w:val="22"/>
          <w:szCs w:val="22"/>
        </w:rPr>
        <w:t>Gali būti tiekiamos ne visų dydžių pakuotės.</w:t>
      </w:r>
    </w:p>
    <w:p w14:paraId="09BEBAA4" w14:textId="77777777" w:rsidR="00771FE3" w:rsidRPr="00220850" w:rsidRDefault="00771FE3" w:rsidP="00771FE3">
      <w:pPr>
        <w:shd w:val="clear" w:color="auto" w:fill="FFFFFF"/>
        <w:rPr>
          <w:sz w:val="22"/>
          <w:szCs w:val="22"/>
        </w:rPr>
      </w:pPr>
    </w:p>
    <w:p w14:paraId="750AC92B" w14:textId="77777777" w:rsidR="00771FE3" w:rsidRPr="00220850" w:rsidRDefault="00771FE3" w:rsidP="00771FE3">
      <w:pPr>
        <w:keepNext/>
        <w:tabs>
          <w:tab w:val="left" w:pos="567"/>
        </w:tabs>
        <w:spacing w:line="260" w:lineRule="exact"/>
        <w:jc w:val="both"/>
        <w:outlineLvl w:val="3"/>
        <w:rPr>
          <w:b/>
          <w:bCs/>
          <w:sz w:val="22"/>
          <w:szCs w:val="28"/>
          <w:lang w:eastAsia="x-none"/>
        </w:rPr>
      </w:pPr>
      <w:r w:rsidRPr="00220850">
        <w:rPr>
          <w:b/>
          <w:bCs/>
          <w:sz w:val="22"/>
          <w:szCs w:val="28"/>
          <w:lang w:eastAsia="x-none"/>
        </w:rPr>
        <w:t>Registruotojas ir gamintojas</w:t>
      </w:r>
    </w:p>
    <w:p w14:paraId="39D45B2D" w14:textId="77777777" w:rsidR="00771FE3" w:rsidRPr="00220850" w:rsidRDefault="00771FE3" w:rsidP="00771FE3">
      <w:pPr>
        <w:numPr>
          <w:ilvl w:val="12"/>
          <w:numId w:val="0"/>
        </w:numPr>
        <w:ind w:right="-2"/>
        <w:rPr>
          <w:sz w:val="22"/>
          <w:szCs w:val="24"/>
        </w:rPr>
      </w:pPr>
    </w:p>
    <w:p w14:paraId="22BA9E33" w14:textId="77777777" w:rsidR="00771FE3" w:rsidRPr="00220850" w:rsidRDefault="00771FE3" w:rsidP="00771FE3">
      <w:pPr>
        <w:shd w:val="clear" w:color="auto" w:fill="FFFFFF"/>
        <w:rPr>
          <w:i/>
          <w:sz w:val="22"/>
          <w:szCs w:val="22"/>
          <w:lang w:val="pt-PT"/>
        </w:rPr>
      </w:pPr>
      <w:r w:rsidRPr="00220850">
        <w:rPr>
          <w:i/>
          <w:sz w:val="22"/>
          <w:szCs w:val="22"/>
          <w:lang w:val="pt-PT"/>
        </w:rPr>
        <w:t>Registruotojas</w:t>
      </w:r>
    </w:p>
    <w:p w14:paraId="6C53BDA0" w14:textId="77777777" w:rsidR="00771FE3" w:rsidRPr="00220850" w:rsidRDefault="00771FE3" w:rsidP="00771FE3">
      <w:pPr>
        <w:shd w:val="clear" w:color="auto" w:fill="FFFFFF"/>
        <w:rPr>
          <w:sz w:val="22"/>
          <w:szCs w:val="22"/>
          <w:lang w:val="pt-PT"/>
        </w:rPr>
      </w:pPr>
      <w:r w:rsidRPr="00220850">
        <w:rPr>
          <w:sz w:val="22"/>
          <w:szCs w:val="22"/>
          <w:lang w:val="pt-PT"/>
        </w:rPr>
        <w:t>Teva GmbH</w:t>
      </w:r>
    </w:p>
    <w:p w14:paraId="639E9EAE" w14:textId="05DBC9D1" w:rsidR="00771FE3" w:rsidRPr="00220850" w:rsidRDefault="00771FE3" w:rsidP="00771FE3">
      <w:pPr>
        <w:shd w:val="clear" w:color="auto" w:fill="FFFFFF"/>
        <w:rPr>
          <w:sz w:val="22"/>
          <w:szCs w:val="22"/>
          <w:lang w:val="pt-PT"/>
        </w:rPr>
      </w:pPr>
      <w:r w:rsidRPr="00220850">
        <w:rPr>
          <w:sz w:val="22"/>
          <w:lang w:val="pt-PT"/>
        </w:rPr>
        <w:t>Graf-Arco-Str.</w:t>
      </w:r>
      <w:r w:rsidR="00363F4E" w:rsidRPr="00220850">
        <w:rPr>
          <w:sz w:val="22"/>
          <w:szCs w:val="22"/>
          <w:lang w:val="pt-PT"/>
        </w:rPr>
        <w:t xml:space="preserve"> </w:t>
      </w:r>
      <w:r w:rsidRPr="00220850">
        <w:rPr>
          <w:sz w:val="22"/>
          <w:lang w:val="pt-PT"/>
        </w:rPr>
        <w:t>3</w:t>
      </w:r>
      <w:r w:rsidRPr="00220850">
        <w:rPr>
          <w:sz w:val="22"/>
          <w:szCs w:val="22"/>
          <w:lang w:val="pt-PT"/>
        </w:rPr>
        <w:t xml:space="preserve"> </w:t>
      </w:r>
    </w:p>
    <w:p w14:paraId="573A6748" w14:textId="77777777" w:rsidR="00771FE3" w:rsidRPr="00220850" w:rsidRDefault="00771FE3" w:rsidP="00771FE3">
      <w:pPr>
        <w:shd w:val="clear" w:color="auto" w:fill="FFFFFF"/>
        <w:rPr>
          <w:sz w:val="22"/>
          <w:szCs w:val="22"/>
          <w:lang w:val="pt-PT"/>
        </w:rPr>
      </w:pPr>
      <w:r w:rsidRPr="00220850">
        <w:rPr>
          <w:sz w:val="22"/>
          <w:szCs w:val="22"/>
          <w:lang w:val="pt-PT"/>
        </w:rPr>
        <w:t>89079 Ulm</w:t>
      </w:r>
    </w:p>
    <w:p w14:paraId="76990879" w14:textId="77777777" w:rsidR="00771FE3" w:rsidRPr="00220850" w:rsidRDefault="00771FE3" w:rsidP="00771FE3">
      <w:pPr>
        <w:shd w:val="clear" w:color="auto" w:fill="FFFFFF"/>
        <w:rPr>
          <w:sz w:val="22"/>
          <w:szCs w:val="22"/>
          <w:lang w:val="pt-PT"/>
        </w:rPr>
      </w:pPr>
      <w:r w:rsidRPr="00220850">
        <w:rPr>
          <w:sz w:val="22"/>
          <w:szCs w:val="22"/>
          <w:lang w:val="pt-PT"/>
        </w:rPr>
        <w:t>Vokietija</w:t>
      </w:r>
    </w:p>
    <w:p w14:paraId="67E7098F" w14:textId="77777777" w:rsidR="00771FE3" w:rsidRPr="00220850" w:rsidRDefault="00771FE3" w:rsidP="00771FE3">
      <w:pPr>
        <w:shd w:val="clear" w:color="auto" w:fill="FFFFFF"/>
        <w:rPr>
          <w:sz w:val="22"/>
          <w:szCs w:val="22"/>
          <w:lang w:val="pt-PT"/>
        </w:rPr>
      </w:pPr>
    </w:p>
    <w:p w14:paraId="256699AE" w14:textId="77777777" w:rsidR="00771FE3" w:rsidRPr="00220850" w:rsidRDefault="00771FE3" w:rsidP="00771FE3">
      <w:pPr>
        <w:shd w:val="clear" w:color="auto" w:fill="FFFFFF"/>
        <w:rPr>
          <w:i/>
          <w:sz w:val="22"/>
          <w:szCs w:val="22"/>
          <w:lang w:val="pt-PT"/>
        </w:rPr>
      </w:pPr>
      <w:r w:rsidRPr="00220850">
        <w:rPr>
          <w:i/>
          <w:sz w:val="22"/>
          <w:szCs w:val="22"/>
          <w:lang w:val="pt-PT"/>
        </w:rPr>
        <w:t>Gamintojai</w:t>
      </w:r>
    </w:p>
    <w:p w14:paraId="2394E235" w14:textId="77777777" w:rsidR="00364A87" w:rsidRPr="00220850" w:rsidRDefault="00364A87" w:rsidP="00364A87">
      <w:pPr>
        <w:numPr>
          <w:ilvl w:val="12"/>
          <w:numId w:val="0"/>
        </w:numPr>
        <w:ind w:right="-2"/>
        <w:rPr>
          <w:sz w:val="22"/>
          <w:szCs w:val="24"/>
        </w:rPr>
      </w:pPr>
      <w:proofErr w:type="spellStart"/>
      <w:r w:rsidRPr="00220850">
        <w:rPr>
          <w:sz w:val="22"/>
          <w:szCs w:val="24"/>
        </w:rPr>
        <w:t>Pharmadox</w:t>
      </w:r>
      <w:proofErr w:type="spellEnd"/>
      <w:r w:rsidRPr="00220850">
        <w:rPr>
          <w:sz w:val="22"/>
          <w:szCs w:val="24"/>
        </w:rPr>
        <w:t xml:space="preserve"> </w:t>
      </w:r>
      <w:proofErr w:type="spellStart"/>
      <w:r w:rsidRPr="00220850">
        <w:rPr>
          <w:sz w:val="22"/>
          <w:szCs w:val="24"/>
        </w:rPr>
        <w:t>Healthcare</w:t>
      </w:r>
      <w:proofErr w:type="spellEnd"/>
      <w:r w:rsidRPr="00220850">
        <w:rPr>
          <w:sz w:val="22"/>
          <w:szCs w:val="24"/>
        </w:rPr>
        <w:t xml:space="preserve"> </w:t>
      </w:r>
      <w:proofErr w:type="spellStart"/>
      <w:r w:rsidRPr="00220850">
        <w:rPr>
          <w:sz w:val="22"/>
          <w:szCs w:val="24"/>
        </w:rPr>
        <w:t>Limited</w:t>
      </w:r>
      <w:proofErr w:type="spellEnd"/>
    </w:p>
    <w:p w14:paraId="21B6E219" w14:textId="77777777" w:rsidR="00364A87" w:rsidRPr="00220850" w:rsidRDefault="00364A87" w:rsidP="00364A87">
      <w:pPr>
        <w:numPr>
          <w:ilvl w:val="12"/>
          <w:numId w:val="0"/>
        </w:numPr>
        <w:ind w:right="-2"/>
        <w:rPr>
          <w:sz w:val="22"/>
          <w:szCs w:val="24"/>
        </w:rPr>
      </w:pPr>
      <w:r w:rsidRPr="00220850">
        <w:rPr>
          <w:sz w:val="22"/>
          <w:szCs w:val="24"/>
        </w:rPr>
        <w:t xml:space="preserve">KW20A </w:t>
      </w:r>
      <w:proofErr w:type="spellStart"/>
      <w:r w:rsidRPr="00220850">
        <w:rPr>
          <w:sz w:val="22"/>
          <w:szCs w:val="24"/>
        </w:rPr>
        <w:t>Kordin</w:t>
      </w:r>
      <w:proofErr w:type="spellEnd"/>
      <w:r w:rsidRPr="00220850">
        <w:rPr>
          <w:sz w:val="22"/>
          <w:szCs w:val="24"/>
        </w:rPr>
        <w:t xml:space="preserve"> </w:t>
      </w:r>
      <w:proofErr w:type="spellStart"/>
      <w:r w:rsidRPr="00220850">
        <w:rPr>
          <w:sz w:val="22"/>
          <w:szCs w:val="24"/>
        </w:rPr>
        <w:t>Industrial</w:t>
      </w:r>
      <w:proofErr w:type="spellEnd"/>
      <w:r w:rsidRPr="00220850">
        <w:rPr>
          <w:sz w:val="22"/>
          <w:szCs w:val="24"/>
        </w:rPr>
        <w:t xml:space="preserve"> </w:t>
      </w:r>
      <w:proofErr w:type="spellStart"/>
      <w:r w:rsidRPr="00220850">
        <w:rPr>
          <w:sz w:val="22"/>
          <w:szCs w:val="24"/>
        </w:rPr>
        <w:t>Park</w:t>
      </w:r>
      <w:proofErr w:type="spellEnd"/>
    </w:p>
    <w:p w14:paraId="000CA091" w14:textId="77777777" w:rsidR="00364A87" w:rsidRPr="00220850" w:rsidRDefault="00364A87" w:rsidP="00364A87">
      <w:pPr>
        <w:numPr>
          <w:ilvl w:val="12"/>
          <w:numId w:val="0"/>
        </w:numPr>
        <w:ind w:right="-2"/>
        <w:rPr>
          <w:sz w:val="22"/>
          <w:szCs w:val="24"/>
        </w:rPr>
      </w:pPr>
      <w:proofErr w:type="spellStart"/>
      <w:r w:rsidRPr="00220850">
        <w:rPr>
          <w:sz w:val="22"/>
          <w:szCs w:val="24"/>
        </w:rPr>
        <w:t>Paola</w:t>
      </w:r>
      <w:proofErr w:type="spellEnd"/>
      <w:r w:rsidRPr="00220850">
        <w:rPr>
          <w:sz w:val="22"/>
          <w:szCs w:val="24"/>
        </w:rPr>
        <w:t xml:space="preserve"> PLA 3000</w:t>
      </w:r>
    </w:p>
    <w:p w14:paraId="7F789916" w14:textId="77777777" w:rsidR="00364A87" w:rsidRPr="00220850" w:rsidRDefault="00364A87" w:rsidP="00364A87">
      <w:pPr>
        <w:numPr>
          <w:ilvl w:val="12"/>
          <w:numId w:val="0"/>
        </w:numPr>
        <w:ind w:right="-2"/>
        <w:rPr>
          <w:sz w:val="22"/>
          <w:szCs w:val="24"/>
        </w:rPr>
      </w:pPr>
      <w:r w:rsidRPr="00220850">
        <w:rPr>
          <w:sz w:val="22"/>
          <w:szCs w:val="24"/>
        </w:rPr>
        <w:t>Malta</w:t>
      </w:r>
    </w:p>
    <w:p w14:paraId="5095ECF5" w14:textId="77777777" w:rsidR="00364A87" w:rsidRPr="00220850" w:rsidRDefault="00364A87" w:rsidP="00364A87">
      <w:pPr>
        <w:numPr>
          <w:ilvl w:val="12"/>
          <w:numId w:val="0"/>
        </w:numPr>
        <w:ind w:right="-2"/>
        <w:rPr>
          <w:sz w:val="22"/>
          <w:szCs w:val="24"/>
        </w:rPr>
      </w:pPr>
    </w:p>
    <w:p w14:paraId="22B06652" w14:textId="77777777" w:rsidR="00364A87" w:rsidRPr="00220850" w:rsidRDefault="00364A87" w:rsidP="00364A87">
      <w:pPr>
        <w:numPr>
          <w:ilvl w:val="12"/>
          <w:numId w:val="0"/>
        </w:numPr>
        <w:ind w:right="-2"/>
        <w:rPr>
          <w:sz w:val="22"/>
          <w:szCs w:val="24"/>
          <w:highlight w:val="lightGray"/>
        </w:rPr>
      </w:pPr>
      <w:proofErr w:type="spellStart"/>
      <w:r w:rsidRPr="00220850">
        <w:rPr>
          <w:sz w:val="22"/>
          <w:szCs w:val="24"/>
          <w:highlight w:val="lightGray"/>
        </w:rPr>
        <w:t>Adalvo</w:t>
      </w:r>
      <w:proofErr w:type="spellEnd"/>
      <w:r w:rsidRPr="00220850">
        <w:rPr>
          <w:sz w:val="22"/>
          <w:szCs w:val="24"/>
          <w:highlight w:val="lightGray"/>
        </w:rPr>
        <w:t xml:space="preserve"> </w:t>
      </w:r>
      <w:proofErr w:type="spellStart"/>
      <w:r w:rsidRPr="00220850">
        <w:rPr>
          <w:sz w:val="22"/>
          <w:szCs w:val="24"/>
          <w:highlight w:val="lightGray"/>
        </w:rPr>
        <w:t>Limited</w:t>
      </w:r>
      <w:proofErr w:type="spellEnd"/>
    </w:p>
    <w:p w14:paraId="6452202B" w14:textId="77777777" w:rsidR="00364A87" w:rsidRPr="00220850" w:rsidRDefault="00364A87" w:rsidP="00364A87">
      <w:pPr>
        <w:numPr>
          <w:ilvl w:val="12"/>
          <w:numId w:val="0"/>
        </w:numPr>
        <w:ind w:right="-2"/>
        <w:rPr>
          <w:sz w:val="22"/>
          <w:szCs w:val="24"/>
          <w:highlight w:val="lightGray"/>
        </w:rPr>
      </w:pPr>
      <w:r w:rsidRPr="00220850">
        <w:rPr>
          <w:sz w:val="22"/>
          <w:szCs w:val="24"/>
          <w:highlight w:val="lightGray"/>
        </w:rPr>
        <w:t xml:space="preserve">Malta </w:t>
      </w:r>
      <w:proofErr w:type="spellStart"/>
      <w:r w:rsidRPr="00220850">
        <w:rPr>
          <w:sz w:val="22"/>
          <w:szCs w:val="24"/>
          <w:highlight w:val="lightGray"/>
        </w:rPr>
        <w:t>Life</w:t>
      </w:r>
      <w:proofErr w:type="spellEnd"/>
      <w:r w:rsidRPr="00220850">
        <w:rPr>
          <w:sz w:val="22"/>
          <w:szCs w:val="24"/>
          <w:highlight w:val="lightGray"/>
        </w:rPr>
        <w:t xml:space="preserve"> </w:t>
      </w:r>
      <w:proofErr w:type="spellStart"/>
      <w:r w:rsidRPr="00220850">
        <w:rPr>
          <w:sz w:val="22"/>
          <w:szCs w:val="24"/>
          <w:highlight w:val="lightGray"/>
        </w:rPr>
        <w:t>Sciences</w:t>
      </w:r>
      <w:proofErr w:type="spellEnd"/>
      <w:r w:rsidRPr="00220850">
        <w:rPr>
          <w:sz w:val="22"/>
          <w:szCs w:val="24"/>
          <w:highlight w:val="lightGray"/>
        </w:rPr>
        <w:t xml:space="preserve"> </w:t>
      </w:r>
      <w:proofErr w:type="spellStart"/>
      <w:r w:rsidRPr="00220850">
        <w:rPr>
          <w:sz w:val="22"/>
          <w:szCs w:val="24"/>
          <w:highlight w:val="lightGray"/>
        </w:rPr>
        <w:t>Park</w:t>
      </w:r>
      <w:proofErr w:type="spellEnd"/>
      <w:r w:rsidRPr="00220850">
        <w:rPr>
          <w:sz w:val="22"/>
          <w:szCs w:val="24"/>
          <w:highlight w:val="lightGray"/>
        </w:rPr>
        <w:t xml:space="preserve"> </w:t>
      </w:r>
      <w:proofErr w:type="spellStart"/>
      <w:r w:rsidRPr="00220850">
        <w:rPr>
          <w:sz w:val="22"/>
          <w:szCs w:val="24"/>
          <w:highlight w:val="lightGray"/>
        </w:rPr>
        <w:t>Building</w:t>
      </w:r>
      <w:proofErr w:type="spellEnd"/>
      <w:r w:rsidRPr="00220850">
        <w:rPr>
          <w:sz w:val="22"/>
          <w:szCs w:val="24"/>
          <w:highlight w:val="lightGray"/>
        </w:rPr>
        <w:t xml:space="preserve"> 1 </w:t>
      </w:r>
      <w:proofErr w:type="spellStart"/>
      <w:r w:rsidRPr="00220850">
        <w:rPr>
          <w:sz w:val="22"/>
          <w:szCs w:val="24"/>
          <w:highlight w:val="lightGray"/>
        </w:rPr>
        <w:t>Level</w:t>
      </w:r>
      <w:proofErr w:type="spellEnd"/>
      <w:r w:rsidRPr="00220850">
        <w:rPr>
          <w:sz w:val="22"/>
          <w:szCs w:val="24"/>
          <w:highlight w:val="lightGray"/>
        </w:rPr>
        <w:t xml:space="preserve"> 4</w:t>
      </w:r>
    </w:p>
    <w:p w14:paraId="3DA8FD4B" w14:textId="77777777" w:rsidR="00364A87" w:rsidRPr="00220850" w:rsidRDefault="00364A87" w:rsidP="00364A87">
      <w:pPr>
        <w:numPr>
          <w:ilvl w:val="12"/>
          <w:numId w:val="0"/>
        </w:numPr>
        <w:ind w:right="-2"/>
        <w:rPr>
          <w:sz w:val="22"/>
          <w:szCs w:val="24"/>
          <w:highlight w:val="lightGray"/>
        </w:rPr>
      </w:pPr>
      <w:proofErr w:type="spellStart"/>
      <w:r w:rsidRPr="00220850">
        <w:rPr>
          <w:sz w:val="22"/>
          <w:szCs w:val="24"/>
          <w:highlight w:val="lightGray"/>
        </w:rPr>
        <w:t>Sir</w:t>
      </w:r>
      <w:proofErr w:type="spellEnd"/>
      <w:r w:rsidRPr="00220850">
        <w:rPr>
          <w:sz w:val="22"/>
          <w:szCs w:val="24"/>
          <w:highlight w:val="lightGray"/>
        </w:rPr>
        <w:t xml:space="preserve"> </w:t>
      </w:r>
      <w:proofErr w:type="spellStart"/>
      <w:r w:rsidRPr="00220850">
        <w:rPr>
          <w:sz w:val="22"/>
          <w:szCs w:val="24"/>
          <w:highlight w:val="lightGray"/>
        </w:rPr>
        <w:t>Temi</w:t>
      </w:r>
      <w:proofErr w:type="spellEnd"/>
      <w:r w:rsidRPr="00220850">
        <w:rPr>
          <w:sz w:val="22"/>
          <w:szCs w:val="24"/>
          <w:highlight w:val="lightGray"/>
        </w:rPr>
        <w:t xml:space="preserve"> </w:t>
      </w:r>
      <w:proofErr w:type="spellStart"/>
      <w:r w:rsidRPr="00220850">
        <w:rPr>
          <w:sz w:val="22"/>
          <w:szCs w:val="24"/>
          <w:highlight w:val="lightGray"/>
        </w:rPr>
        <w:t>Zammit</w:t>
      </w:r>
      <w:proofErr w:type="spellEnd"/>
      <w:r w:rsidRPr="00220850">
        <w:rPr>
          <w:sz w:val="22"/>
          <w:szCs w:val="24"/>
          <w:highlight w:val="lightGray"/>
        </w:rPr>
        <w:t xml:space="preserve"> </w:t>
      </w:r>
      <w:proofErr w:type="spellStart"/>
      <w:r w:rsidRPr="00220850">
        <w:rPr>
          <w:sz w:val="22"/>
          <w:szCs w:val="24"/>
          <w:highlight w:val="lightGray"/>
        </w:rPr>
        <w:t>Buildings</w:t>
      </w:r>
      <w:proofErr w:type="spellEnd"/>
    </w:p>
    <w:p w14:paraId="170A00C3" w14:textId="77777777" w:rsidR="00364A87" w:rsidRPr="00220850" w:rsidRDefault="00364A87" w:rsidP="00364A87">
      <w:pPr>
        <w:numPr>
          <w:ilvl w:val="12"/>
          <w:numId w:val="0"/>
        </w:numPr>
        <w:ind w:right="-2"/>
        <w:rPr>
          <w:sz w:val="22"/>
          <w:szCs w:val="24"/>
          <w:highlight w:val="lightGray"/>
        </w:rPr>
      </w:pPr>
      <w:r w:rsidRPr="00220850">
        <w:rPr>
          <w:sz w:val="22"/>
          <w:szCs w:val="24"/>
          <w:highlight w:val="lightGray"/>
        </w:rPr>
        <w:t xml:space="preserve">San </w:t>
      </w:r>
      <w:proofErr w:type="spellStart"/>
      <w:r w:rsidRPr="00220850">
        <w:rPr>
          <w:sz w:val="22"/>
          <w:szCs w:val="24"/>
          <w:highlight w:val="lightGray"/>
        </w:rPr>
        <w:t>Gwann</w:t>
      </w:r>
      <w:proofErr w:type="spellEnd"/>
      <w:r w:rsidRPr="00220850">
        <w:rPr>
          <w:sz w:val="22"/>
          <w:szCs w:val="24"/>
          <w:highlight w:val="lightGray"/>
        </w:rPr>
        <w:t xml:space="preserve"> </w:t>
      </w:r>
      <w:proofErr w:type="spellStart"/>
      <w:r w:rsidRPr="00220850">
        <w:rPr>
          <w:sz w:val="22"/>
          <w:szCs w:val="24"/>
          <w:highlight w:val="lightGray"/>
        </w:rPr>
        <w:t>Industrial</w:t>
      </w:r>
      <w:proofErr w:type="spellEnd"/>
      <w:r w:rsidRPr="00220850">
        <w:rPr>
          <w:sz w:val="22"/>
          <w:szCs w:val="24"/>
          <w:highlight w:val="lightGray"/>
        </w:rPr>
        <w:t xml:space="preserve"> </w:t>
      </w:r>
      <w:proofErr w:type="spellStart"/>
      <w:r w:rsidRPr="00220850">
        <w:rPr>
          <w:sz w:val="22"/>
          <w:szCs w:val="24"/>
          <w:highlight w:val="lightGray"/>
        </w:rPr>
        <w:t>Estate</w:t>
      </w:r>
      <w:proofErr w:type="spellEnd"/>
      <w:r w:rsidRPr="00220850">
        <w:rPr>
          <w:sz w:val="22"/>
          <w:szCs w:val="24"/>
          <w:highlight w:val="lightGray"/>
        </w:rPr>
        <w:t>, SGN 3000</w:t>
      </w:r>
    </w:p>
    <w:p w14:paraId="75CBFC7F" w14:textId="77777777" w:rsidR="00364A87" w:rsidRPr="00220850" w:rsidRDefault="00364A87" w:rsidP="00364A87">
      <w:pPr>
        <w:numPr>
          <w:ilvl w:val="12"/>
          <w:numId w:val="0"/>
        </w:numPr>
        <w:ind w:right="-2"/>
        <w:rPr>
          <w:sz w:val="22"/>
          <w:szCs w:val="24"/>
          <w:highlight w:val="lightGray"/>
        </w:rPr>
      </w:pPr>
      <w:r w:rsidRPr="00220850">
        <w:rPr>
          <w:sz w:val="22"/>
          <w:szCs w:val="24"/>
          <w:highlight w:val="lightGray"/>
        </w:rPr>
        <w:t>Malta</w:t>
      </w:r>
    </w:p>
    <w:p w14:paraId="2DA2952A" w14:textId="77777777" w:rsidR="00364A87" w:rsidRPr="00220850" w:rsidRDefault="00364A87" w:rsidP="00364A87">
      <w:pPr>
        <w:numPr>
          <w:ilvl w:val="12"/>
          <w:numId w:val="0"/>
        </w:numPr>
        <w:ind w:right="-2"/>
        <w:rPr>
          <w:sz w:val="22"/>
          <w:szCs w:val="24"/>
          <w:highlight w:val="lightGray"/>
        </w:rPr>
      </w:pPr>
    </w:p>
    <w:p w14:paraId="4EF48CB8" w14:textId="06751E0E" w:rsidR="00364A87" w:rsidRPr="00220850" w:rsidRDefault="00566578" w:rsidP="00364A87">
      <w:pPr>
        <w:numPr>
          <w:ilvl w:val="12"/>
          <w:numId w:val="0"/>
        </w:numPr>
        <w:ind w:right="-2"/>
        <w:rPr>
          <w:sz w:val="22"/>
          <w:szCs w:val="24"/>
          <w:highlight w:val="lightGray"/>
        </w:rPr>
      </w:pPr>
      <w:proofErr w:type="spellStart"/>
      <w:r w:rsidRPr="00220850">
        <w:rPr>
          <w:sz w:val="22"/>
          <w:highlight w:val="lightGray"/>
        </w:rPr>
        <w:t>Qualimetrix</w:t>
      </w:r>
      <w:proofErr w:type="spellEnd"/>
      <w:r w:rsidRPr="00220850">
        <w:rPr>
          <w:sz w:val="22"/>
          <w:highlight w:val="lightGray"/>
        </w:rPr>
        <w:t xml:space="preserve"> S.A.579 </w:t>
      </w:r>
      <w:proofErr w:type="spellStart"/>
      <w:r w:rsidRPr="00220850">
        <w:rPr>
          <w:sz w:val="22"/>
          <w:highlight w:val="lightGray"/>
        </w:rPr>
        <w:t>Mesogeion</w:t>
      </w:r>
      <w:proofErr w:type="spellEnd"/>
      <w:r w:rsidRPr="00220850">
        <w:rPr>
          <w:sz w:val="22"/>
          <w:highlight w:val="lightGray"/>
        </w:rPr>
        <w:t xml:space="preserve"> </w:t>
      </w:r>
      <w:proofErr w:type="spellStart"/>
      <w:r w:rsidRPr="00220850">
        <w:rPr>
          <w:sz w:val="22"/>
          <w:highlight w:val="lightGray"/>
        </w:rPr>
        <w:t>Avenue</w:t>
      </w:r>
      <w:proofErr w:type="spellEnd"/>
      <w:r w:rsidRPr="00220850">
        <w:rPr>
          <w:sz w:val="22"/>
          <w:highlight w:val="lightGray"/>
        </w:rPr>
        <w:t xml:space="preserve">, </w:t>
      </w:r>
      <w:proofErr w:type="spellStart"/>
      <w:r w:rsidRPr="00220850">
        <w:rPr>
          <w:sz w:val="22"/>
          <w:highlight w:val="lightGray"/>
        </w:rPr>
        <w:t>Agia</w:t>
      </w:r>
      <w:proofErr w:type="spellEnd"/>
      <w:r w:rsidRPr="00220850">
        <w:rPr>
          <w:sz w:val="22"/>
          <w:highlight w:val="lightGray"/>
        </w:rPr>
        <w:t xml:space="preserve"> </w:t>
      </w:r>
      <w:proofErr w:type="spellStart"/>
      <w:r w:rsidRPr="00220850">
        <w:rPr>
          <w:sz w:val="22"/>
          <w:highlight w:val="lightGray"/>
        </w:rPr>
        <w:t>Paraskevi</w:t>
      </w:r>
      <w:proofErr w:type="spellEnd"/>
      <w:r w:rsidRPr="00220850" w:rsidDel="00566578">
        <w:rPr>
          <w:sz w:val="22"/>
          <w:szCs w:val="24"/>
          <w:highlight w:val="lightGray"/>
        </w:rPr>
        <w:t xml:space="preserve"> </w:t>
      </w:r>
    </w:p>
    <w:p w14:paraId="6E4D2CCD" w14:textId="77777777" w:rsidR="00364A87" w:rsidRPr="00220850" w:rsidRDefault="00364A87" w:rsidP="00364A87">
      <w:pPr>
        <w:numPr>
          <w:ilvl w:val="12"/>
          <w:numId w:val="0"/>
        </w:numPr>
        <w:ind w:right="-2"/>
        <w:rPr>
          <w:sz w:val="22"/>
          <w:szCs w:val="24"/>
          <w:highlight w:val="lightGray"/>
        </w:rPr>
      </w:pPr>
      <w:proofErr w:type="spellStart"/>
      <w:r w:rsidRPr="00220850">
        <w:rPr>
          <w:sz w:val="22"/>
          <w:szCs w:val="24"/>
          <w:highlight w:val="lightGray"/>
        </w:rPr>
        <w:t>Athens</w:t>
      </w:r>
      <w:proofErr w:type="spellEnd"/>
      <w:r w:rsidRPr="00220850">
        <w:rPr>
          <w:sz w:val="22"/>
          <w:szCs w:val="24"/>
          <w:highlight w:val="lightGray"/>
        </w:rPr>
        <w:t>, 15343</w:t>
      </w:r>
    </w:p>
    <w:p w14:paraId="7FF99AB0" w14:textId="67EB8D19" w:rsidR="00771FE3" w:rsidRPr="00220850" w:rsidRDefault="00364A87" w:rsidP="00364A87">
      <w:pPr>
        <w:numPr>
          <w:ilvl w:val="12"/>
          <w:numId w:val="0"/>
        </w:numPr>
        <w:ind w:right="-2"/>
        <w:rPr>
          <w:sz w:val="22"/>
          <w:szCs w:val="24"/>
        </w:rPr>
      </w:pPr>
      <w:r w:rsidRPr="00220850">
        <w:rPr>
          <w:sz w:val="22"/>
          <w:szCs w:val="24"/>
          <w:highlight w:val="lightGray"/>
        </w:rPr>
        <w:t>Graikija</w:t>
      </w:r>
    </w:p>
    <w:p w14:paraId="20A50CE1" w14:textId="77777777" w:rsidR="00364A87" w:rsidRPr="00220850" w:rsidRDefault="00364A87" w:rsidP="00364A87">
      <w:pPr>
        <w:numPr>
          <w:ilvl w:val="12"/>
          <w:numId w:val="0"/>
        </w:numPr>
        <w:ind w:right="-2"/>
        <w:rPr>
          <w:sz w:val="22"/>
          <w:szCs w:val="24"/>
        </w:rPr>
      </w:pPr>
    </w:p>
    <w:p w14:paraId="18B1BD6D" w14:textId="77777777" w:rsidR="00FF34DE" w:rsidRPr="00220850" w:rsidRDefault="00FF34DE" w:rsidP="00FF34DE">
      <w:pPr>
        <w:numPr>
          <w:ilvl w:val="12"/>
          <w:numId w:val="0"/>
        </w:numPr>
        <w:ind w:right="-2"/>
        <w:rPr>
          <w:sz w:val="22"/>
          <w:szCs w:val="24"/>
          <w:highlight w:val="lightGray"/>
        </w:rPr>
      </w:pPr>
      <w:proofErr w:type="spellStart"/>
      <w:r w:rsidRPr="00220850">
        <w:rPr>
          <w:sz w:val="22"/>
          <w:szCs w:val="24"/>
          <w:highlight w:val="lightGray"/>
        </w:rPr>
        <w:t>Teva</w:t>
      </w:r>
      <w:proofErr w:type="spellEnd"/>
      <w:r w:rsidRPr="00220850">
        <w:rPr>
          <w:sz w:val="22"/>
          <w:szCs w:val="24"/>
          <w:highlight w:val="lightGray"/>
        </w:rPr>
        <w:t xml:space="preserve"> </w:t>
      </w:r>
      <w:proofErr w:type="spellStart"/>
      <w:r w:rsidRPr="00220850">
        <w:rPr>
          <w:sz w:val="22"/>
          <w:szCs w:val="24"/>
          <w:highlight w:val="lightGray"/>
        </w:rPr>
        <w:t>Operations</w:t>
      </w:r>
      <w:proofErr w:type="spellEnd"/>
      <w:r w:rsidRPr="00220850">
        <w:rPr>
          <w:sz w:val="22"/>
          <w:szCs w:val="24"/>
          <w:highlight w:val="lightGray"/>
        </w:rPr>
        <w:t xml:space="preserve"> </w:t>
      </w:r>
      <w:proofErr w:type="spellStart"/>
      <w:r w:rsidRPr="00220850">
        <w:rPr>
          <w:sz w:val="22"/>
          <w:szCs w:val="24"/>
          <w:highlight w:val="lightGray"/>
        </w:rPr>
        <w:t>Poland</w:t>
      </w:r>
      <w:proofErr w:type="spellEnd"/>
      <w:r w:rsidRPr="00220850">
        <w:rPr>
          <w:sz w:val="22"/>
          <w:szCs w:val="24"/>
          <w:highlight w:val="lightGray"/>
        </w:rPr>
        <w:t xml:space="preserve"> Sp. </w:t>
      </w:r>
      <w:proofErr w:type="spellStart"/>
      <w:r w:rsidRPr="00220850">
        <w:rPr>
          <w:sz w:val="22"/>
          <w:szCs w:val="24"/>
          <w:highlight w:val="lightGray"/>
        </w:rPr>
        <w:t>z.o.o</w:t>
      </w:r>
      <w:proofErr w:type="spellEnd"/>
      <w:r w:rsidRPr="00220850">
        <w:rPr>
          <w:sz w:val="22"/>
          <w:szCs w:val="24"/>
          <w:highlight w:val="lightGray"/>
        </w:rPr>
        <w:t>.</w:t>
      </w:r>
    </w:p>
    <w:p w14:paraId="75BCB0DF" w14:textId="77777777" w:rsidR="00FF34DE" w:rsidRPr="00220850" w:rsidRDefault="00FF34DE" w:rsidP="00FF34DE">
      <w:pPr>
        <w:numPr>
          <w:ilvl w:val="12"/>
          <w:numId w:val="0"/>
        </w:numPr>
        <w:ind w:right="-2"/>
        <w:rPr>
          <w:sz w:val="22"/>
          <w:szCs w:val="24"/>
          <w:highlight w:val="lightGray"/>
        </w:rPr>
      </w:pPr>
      <w:proofErr w:type="spellStart"/>
      <w:r w:rsidRPr="00220850">
        <w:rPr>
          <w:sz w:val="22"/>
          <w:szCs w:val="24"/>
          <w:highlight w:val="lightGray"/>
        </w:rPr>
        <w:t>Ul</w:t>
      </w:r>
      <w:proofErr w:type="spellEnd"/>
      <w:r w:rsidRPr="00220850">
        <w:rPr>
          <w:sz w:val="22"/>
          <w:szCs w:val="24"/>
          <w:highlight w:val="lightGray"/>
        </w:rPr>
        <w:t xml:space="preserve">. </w:t>
      </w:r>
      <w:proofErr w:type="spellStart"/>
      <w:r w:rsidRPr="00220850">
        <w:rPr>
          <w:sz w:val="22"/>
          <w:szCs w:val="24"/>
          <w:highlight w:val="lightGray"/>
        </w:rPr>
        <w:t>Mogilska</w:t>
      </w:r>
      <w:proofErr w:type="spellEnd"/>
      <w:r w:rsidRPr="00220850">
        <w:rPr>
          <w:sz w:val="22"/>
          <w:szCs w:val="24"/>
          <w:highlight w:val="lightGray"/>
        </w:rPr>
        <w:t xml:space="preserve"> 80</w:t>
      </w:r>
    </w:p>
    <w:p w14:paraId="62DA56A4" w14:textId="6345FB95" w:rsidR="00FF34DE" w:rsidRPr="00220850" w:rsidRDefault="00FF34DE" w:rsidP="00FF34DE">
      <w:pPr>
        <w:numPr>
          <w:ilvl w:val="12"/>
          <w:numId w:val="0"/>
        </w:numPr>
        <w:ind w:right="-2"/>
        <w:rPr>
          <w:sz w:val="22"/>
          <w:szCs w:val="24"/>
          <w:highlight w:val="lightGray"/>
        </w:rPr>
      </w:pPr>
      <w:r w:rsidRPr="00220850">
        <w:rPr>
          <w:sz w:val="22"/>
          <w:szCs w:val="24"/>
          <w:highlight w:val="lightGray"/>
        </w:rPr>
        <w:t xml:space="preserve">31-546 </w:t>
      </w:r>
      <w:proofErr w:type="spellStart"/>
      <w:r w:rsidR="00CA34DC" w:rsidRPr="00220850">
        <w:rPr>
          <w:sz w:val="22"/>
          <w:szCs w:val="24"/>
          <w:highlight w:val="lightGray"/>
        </w:rPr>
        <w:t>Kraków</w:t>
      </w:r>
      <w:proofErr w:type="spellEnd"/>
    </w:p>
    <w:p w14:paraId="6D3AC6B0" w14:textId="77777777" w:rsidR="00FF34DE" w:rsidRPr="00220850" w:rsidRDefault="00FF34DE" w:rsidP="00FF34DE">
      <w:pPr>
        <w:numPr>
          <w:ilvl w:val="12"/>
          <w:numId w:val="0"/>
        </w:numPr>
        <w:ind w:right="-2"/>
        <w:rPr>
          <w:sz w:val="22"/>
          <w:szCs w:val="24"/>
        </w:rPr>
      </w:pPr>
      <w:r w:rsidRPr="00220850">
        <w:rPr>
          <w:sz w:val="22"/>
          <w:szCs w:val="24"/>
          <w:highlight w:val="lightGray"/>
        </w:rPr>
        <w:t>Lenkija</w:t>
      </w:r>
    </w:p>
    <w:p w14:paraId="05EBC152" w14:textId="77777777" w:rsidR="00FF34DE" w:rsidRPr="00220850" w:rsidRDefault="00FF34DE" w:rsidP="00364A87">
      <w:pPr>
        <w:numPr>
          <w:ilvl w:val="12"/>
          <w:numId w:val="0"/>
        </w:numPr>
        <w:ind w:right="-2"/>
        <w:rPr>
          <w:sz w:val="22"/>
          <w:szCs w:val="24"/>
        </w:rPr>
      </w:pPr>
    </w:p>
    <w:p w14:paraId="25B054EA" w14:textId="77777777" w:rsidR="00771FE3" w:rsidRPr="00220850" w:rsidRDefault="00771FE3" w:rsidP="00771FE3">
      <w:pPr>
        <w:tabs>
          <w:tab w:val="left" w:pos="567"/>
        </w:tabs>
        <w:ind w:right="-2"/>
        <w:rPr>
          <w:sz w:val="22"/>
        </w:rPr>
      </w:pPr>
      <w:r w:rsidRPr="00220850">
        <w:rPr>
          <w:sz w:val="22"/>
        </w:rPr>
        <w:t>Jeigu apie šį vaistą norite sužinoti daugiau, kreipkitės į vietinį registruotojo atstovą:</w:t>
      </w:r>
    </w:p>
    <w:p w14:paraId="78B65BF6" w14:textId="77777777" w:rsidR="00771FE3" w:rsidRPr="00220850" w:rsidRDefault="00771FE3" w:rsidP="00771FE3">
      <w:pPr>
        <w:tabs>
          <w:tab w:val="left" w:pos="567"/>
        </w:tabs>
        <w:rPr>
          <w:sz w:val="22"/>
          <w:szCs w:val="24"/>
        </w:rPr>
      </w:pPr>
    </w:p>
    <w:p w14:paraId="06F2ED19" w14:textId="77777777" w:rsidR="00771FE3" w:rsidRPr="00220850" w:rsidRDefault="00771FE3" w:rsidP="00771FE3">
      <w:pPr>
        <w:suppressAutoHyphens/>
        <w:rPr>
          <w:kern w:val="1"/>
          <w:sz w:val="22"/>
          <w:szCs w:val="22"/>
        </w:rPr>
      </w:pPr>
      <w:r w:rsidRPr="00220850">
        <w:rPr>
          <w:kern w:val="1"/>
          <w:sz w:val="22"/>
          <w:szCs w:val="22"/>
        </w:rPr>
        <w:t>UAB Teva Baltics</w:t>
      </w:r>
    </w:p>
    <w:p w14:paraId="307E8DF5" w14:textId="77777777" w:rsidR="00771FE3" w:rsidRPr="00220850" w:rsidRDefault="00771FE3" w:rsidP="00771FE3">
      <w:pPr>
        <w:suppressAutoHyphens/>
        <w:rPr>
          <w:kern w:val="1"/>
          <w:sz w:val="22"/>
          <w:szCs w:val="22"/>
        </w:rPr>
      </w:pPr>
      <w:r w:rsidRPr="00220850">
        <w:rPr>
          <w:kern w:val="1"/>
          <w:sz w:val="22"/>
          <w:szCs w:val="22"/>
        </w:rPr>
        <w:t xml:space="preserve">Molėtų pl. 5 </w:t>
      </w:r>
    </w:p>
    <w:p w14:paraId="0218BA7D" w14:textId="77777777" w:rsidR="00771FE3" w:rsidRPr="00220850" w:rsidRDefault="00771FE3" w:rsidP="00771FE3">
      <w:pPr>
        <w:suppressAutoHyphens/>
        <w:rPr>
          <w:kern w:val="1"/>
          <w:sz w:val="22"/>
          <w:szCs w:val="22"/>
        </w:rPr>
      </w:pPr>
      <w:r w:rsidRPr="00220850">
        <w:rPr>
          <w:kern w:val="1"/>
          <w:sz w:val="22"/>
          <w:szCs w:val="22"/>
        </w:rPr>
        <w:lastRenderedPageBreak/>
        <w:t xml:space="preserve">LT-08409 Vilnius </w:t>
      </w:r>
    </w:p>
    <w:p w14:paraId="09B6EFA8" w14:textId="77777777" w:rsidR="00771FE3" w:rsidRPr="00220850" w:rsidRDefault="00771FE3" w:rsidP="00771FE3">
      <w:pPr>
        <w:suppressAutoHyphens/>
        <w:rPr>
          <w:kern w:val="1"/>
          <w:sz w:val="22"/>
          <w:szCs w:val="22"/>
        </w:rPr>
      </w:pPr>
      <w:r w:rsidRPr="00220850">
        <w:rPr>
          <w:kern w:val="1"/>
          <w:sz w:val="22"/>
          <w:szCs w:val="22"/>
        </w:rPr>
        <w:t>Tel.: +370 5 266 02 03</w:t>
      </w:r>
    </w:p>
    <w:p w14:paraId="4A14B3E2" w14:textId="77777777" w:rsidR="00771FE3" w:rsidRPr="00220850" w:rsidRDefault="00771FE3" w:rsidP="00771FE3">
      <w:pPr>
        <w:rPr>
          <w:sz w:val="22"/>
        </w:rPr>
      </w:pPr>
    </w:p>
    <w:p w14:paraId="1745CA40" w14:textId="015379F3" w:rsidR="00771FE3" w:rsidRPr="00220850" w:rsidRDefault="00771FE3" w:rsidP="00771FE3">
      <w:pPr>
        <w:numPr>
          <w:ilvl w:val="12"/>
          <w:numId w:val="0"/>
        </w:numPr>
        <w:tabs>
          <w:tab w:val="left" w:pos="567"/>
        </w:tabs>
        <w:spacing w:line="260" w:lineRule="exact"/>
        <w:ind w:right="-2"/>
        <w:rPr>
          <w:sz w:val="22"/>
        </w:rPr>
      </w:pPr>
      <w:r w:rsidRPr="00220850">
        <w:rPr>
          <w:b/>
          <w:sz w:val="22"/>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116"/>
      </w:tblGrid>
      <w:tr w:rsidR="00364A87" w:rsidRPr="00220850" w14:paraId="65545492" w14:textId="77777777" w:rsidTr="00EB023B">
        <w:trPr>
          <w:trHeight w:val="525"/>
        </w:trPr>
        <w:tc>
          <w:tcPr>
            <w:tcW w:w="1849" w:type="dxa"/>
          </w:tcPr>
          <w:p w14:paraId="19B591F6" w14:textId="77777777" w:rsidR="00364A87" w:rsidRPr="00220850" w:rsidRDefault="00364A87" w:rsidP="00EB023B">
            <w:pPr>
              <w:tabs>
                <w:tab w:val="left" w:pos="567"/>
              </w:tabs>
              <w:spacing w:line="260" w:lineRule="exact"/>
              <w:rPr>
                <w:sz w:val="22"/>
              </w:rPr>
            </w:pPr>
            <w:proofErr w:type="spellStart"/>
            <w:r w:rsidRPr="00220850">
              <w:rPr>
                <w:sz w:val="22"/>
              </w:rPr>
              <w:t>Austrija</w:t>
            </w:r>
            <w:proofErr w:type="spellEnd"/>
          </w:p>
        </w:tc>
        <w:tc>
          <w:tcPr>
            <w:tcW w:w="6116" w:type="dxa"/>
          </w:tcPr>
          <w:p w14:paraId="65AD5046" w14:textId="77777777" w:rsidR="00364A87" w:rsidRPr="00220850" w:rsidRDefault="00364A87" w:rsidP="00EB023B">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 </w:t>
            </w:r>
            <w:proofErr w:type="spellStart"/>
            <w:r w:rsidRPr="00220850">
              <w:rPr>
                <w:sz w:val="22"/>
              </w:rPr>
              <w:t>Weichkapseln</w:t>
            </w:r>
            <w:proofErr w:type="spellEnd"/>
          </w:p>
          <w:p w14:paraId="44ED7954" w14:textId="77777777" w:rsidR="00364A87" w:rsidRPr="00220850" w:rsidRDefault="00364A87" w:rsidP="00EB023B">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 </w:t>
            </w:r>
            <w:proofErr w:type="spellStart"/>
            <w:r w:rsidRPr="00220850">
              <w:rPr>
                <w:sz w:val="22"/>
              </w:rPr>
              <w:t>Weichkapseln</w:t>
            </w:r>
            <w:proofErr w:type="spellEnd"/>
          </w:p>
        </w:tc>
      </w:tr>
      <w:tr w:rsidR="00364A87" w:rsidRPr="00220850" w14:paraId="20D60BBD" w14:textId="77777777" w:rsidTr="00EB023B">
        <w:trPr>
          <w:trHeight w:val="1040"/>
        </w:trPr>
        <w:tc>
          <w:tcPr>
            <w:tcW w:w="1849" w:type="dxa"/>
          </w:tcPr>
          <w:p w14:paraId="6F3D42B2" w14:textId="77777777" w:rsidR="00364A87" w:rsidRPr="00220850" w:rsidRDefault="00364A87" w:rsidP="00EB023B">
            <w:pPr>
              <w:tabs>
                <w:tab w:val="left" w:pos="567"/>
              </w:tabs>
              <w:spacing w:line="260" w:lineRule="exact"/>
              <w:rPr>
                <w:sz w:val="22"/>
              </w:rPr>
            </w:pPr>
            <w:r w:rsidRPr="00220850">
              <w:rPr>
                <w:sz w:val="22"/>
              </w:rPr>
              <w:t>Belgija</w:t>
            </w:r>
          </w:p>
        </w:tc>
        <w:tc>
          <w:tcPr>
            <w:tcW w:w="6116" w:type="dxa"/>
          </w:tcPr>
          <w:p w14:paraId="1C34A8D1" w14:textId="77777777" w:rsidR="00364A87" w:rsidRPr="00220850" w:rsidRDefault="00364A87" w:rsidP="00EB023B">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capsules/capsules</w:t>
            </w:r>
          </w:p>
          <w:p w14:paraId="2B3D2109" w14:textId="77777777" w:rsidR="00364A87" w:rsidRPr="00220850" w:rsidRDefault="00364A87" w:rsidP="00EB023B">
            <w:pPr>
              <w:tabs>
                <w:tab w:val="left" w:pos="567"/>
              </w:tabs>
              <w:spacing w:line="260" w:lineRule="exact"/>
              <w:rPr>
                <w:sz w:val="22"/>
              </w:rPr>
            </w:pPr>
            <w:r w:rsidRPr="00220850">
              <w:rPr>
                <w:sz w:val="22"/>
              </w:rPr>
              <w:t>molles/</w:t>
            </w:r>
            <w:proofErr w:type="spellStart"/>
            <w:r w:rsidRPr="00220850">
              <w:rPr>
                <w:sz w:val="22"/>
              </w:rPr>
              <w:t>Weichkapseln</w:t>
            </w:r>
            <w:proofErr w:type="spellEnd"/>
          </w:p>
          <w:p w14:paraId="63291834" w14:textId="77777777" w:rsidR="00364A87" w:rsidRPr="00220850" w:rsidRDefault="00364A87" w:rsidP="00EB023B">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capsules/capsules</w:t>
            </w:r>
          </w:p>
          <w:p w14:paraId="3A927D19" w14:textId="77777777" w:rsidR="00364A87" w:rsidRPr="00220850" w:rsidRDefault="00364A87" w:rsidP="00EB023B">
            <w:pPr>
              <w:tabs>
                <w:tab w:val="left" w:pos="567"/>
              </w:tabs>
              <w:spacing w:line="260" w:lineRule="exact"/>
              <w:rPr>
                <w:sz w:val="22"/>
              </w:rPr>
            </w:pPr>
            <w:r w:rsidRPr="00220850">
              <w:rPr>
                <w:sz w:val="22"/>
              </w:rPr>
              <w:t>molles/</w:t>
            </w:r>
            <w:proofErr w:type="spellStart"/>
            <w:r w:rsidRPr="00220850">
              <w:rPr>
                <w:sz w:val="22"/>
              </w:rPr>
              <w:t>Weichkapseln</w:t>
            </w:r>
            <w:proofErr w:type="spellEnd"/>
          </w:p>
        </w:tc>
      </w:tr>
      <w:tr w:rsidR="00364A87" w:rsidRPr="00220850" w14:paraId="016CAFC7" w14:textId="77777777" w:rsidTr="00EB023B">
        <w:trPr>
          <w:trHeight w:val="267"/>
        </w:trPr>
        <w:tc>
          <w:tcPr>
            <w:tcW w:w="1849" w:type="dxa"/>
          </w:tcPr>
          <w:p w14:paraId="4E8D1B77" w14:textId="77777777" w:rsidR="00364A87" w:rsidRPr="00220850" w:rsidRDefault="00364A87" w:rsidP="00EB023B">
            <w:pPr>
              <w:tabs>
                <w:tab w:val="left" w:pos="567"/>
              </w:tabs>
              <w:spacing w:line="260" w:lineRule="exact"/>
              <w:rPr>
                <w:sz w:val="22"/>
              </w:rPr>
            </w:pPr>
            <w:proofErr w:type="spellStart"/>
            <w:r w:rsidRPr="00220850">
              <w:rPr>
                <w:sz w:val="22"/>
              </w:rPr>
              <w:t>Čekija</w:t>
            </w:r>
            <w:proofErr w:type="spellEnd"/>
          </w:p>
        </w:tc>
        <w:tc>
          <w:tcPr>
            <w:tcW w:w="6116" w:type="dxa"/>
          </w:tcPr>
          <w:p w14:paraId="16637ADA"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42D372E8" w14:textId="77777777" w:rsidTr="00EB023B">
        <w:trPr>
          <w:trHeight w:val="516"/>
        </w:trPr>
        <w:tc>
          <w:tcPr>
            <w:tcW w:w="1849" w:type="dxa"/>
          </w:tcPr>
          <w:p w14:paraId="41A009B5" w14:textId="77777777" w:rsidR="00364A87" w:rsidRPr="00220850" w:rsidRDefault="00364A87" w:rsidP="00EB023B">
            <w:pPr>
              <w:tabs>
                <w:tab w:val="left" w:pos="567"/>
              </w:tabs>
              <w:spacing w:line="260" w:lineRule="exact"/>
              <w:rPr>
                <w:sz w:val="22"/>
              </w:rPr>
            </w:pPr>
            <w:proofErr w:type="spellStart"/>
            <w:r w:rsidRPr="00220850">
              <w:rPr>
                <w:sz w:val="22"/>
              </w:rPr>
              <w:t>Vokietija</w:t>
            </w:r>
            <w:proofErr w:type="spellEnd"/>
          </w:p>
        </w:tc>
        <w:tc>
          <w:tcPr>
            <w:tcW w:w="6116" w:type="dxa"/>
          </w:tcPr>
          <w:p w14:paraId="33A1493C" w14:textId="77777777" w:rsidR="00364A87" w:rsidRPr="00220850" w:rsidRDefault="00364A87" w:rsidP="00EB023B">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100 mg </w:t>
            </w:r>
            <w:proofErr w:type="spellStart"/>
            <w:r w:rsidRPr="00220850">
              <w:rPr>
                <w:sz w:val="22"/>
              </w:rPr>
              <w:t>Weichkapseln</w:t>
            </w:r>
            <w:proofErr w:type="spellEnd"/>
          </w:p>
          <w:p w14:paraId="4D8357FD" w14:textId="77777777" w:rsidR="00364A87" w:rsidRPr="00220850" w:rsidRDefault="00364A87" w:rsidP="00EB023B">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150 mg </w:t>
            </w:r>
            <w:proofErr w:type="spellStart"/>
            <w:r w:rsidRPr="00220850">
              <w:rPr>
                <w:sz w:val="22"/>
              </w:rPr>
              <w:t>Weichkapseln</w:t>
            </w:r>
            <w:proofErr w:type="spellEnd"/>
          </w:p>
        </w:tc>
      </w:tr>
      <w:tr w:rsidR="00364A87" w:rsidRPr="00220850" w14:paraId="55C45BE5" w14:textId="77777777" w:rsidTr="00EB023B">
        <w:trPr>
          <w:trHeight w:val="267"/>
        </w:trPr>
        <w:tc>
          <w:tcPr>
            <w:tcW w:w="1849" w:type="dxa"/>
          </w:tcPr>
          <w:p w14:paraId="44EBFAA2" w14:textId="77777777" w:rsidR="00364A87" w:rsidRPr="00220850" w:rsidRDefault="00364A87" w:rsidP="00EB023B">
            <w:pPr>
              <w:tabs>
                <w:tab w:val="left" w:pos="567"/>
              </w:tabs>
              <w:spacing w:line="260" w:lineRule="exact"/>
              <w:rPr>
                <w:sz w:val="22"/>
              </w:rPr>
            </w:pPr>
            <w:r w:rsidRPr="00220850">
              <w:rPr>
                <w:sz w:val="22"/>
              </w:rPr>
              <w:t>Danija</w:t>
            </w:r>
          </w:p>
        </w:tc>
        <w:tc>
          <w:tcPr>
            <w:tcW w:w="6116" w:type="dxa"/>
          </w:tcPr>
          <w:p w14:paraId="2BFAF637"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7E01328B" w14:textId="77777777" w:rsidTr="00EB023B">
        <w:trPr>
          <w:trHeight w:val="258"/>
        </w:trPr>
        <w:tc>
          <w:tcPr>
            <w:tcW w:w="1849" w:type="dxa"/>
          </w:tcPr>
          <w:p w14:paraId="690637B5" w14:textId="77777777" w:rsidR="00364A87" w:rsidRPr="00220850" w:rsidRDefault="00364A87" w:rsidP="00EB023B">
            <w:pPr>
              <w:tabs>
                <w:tab w:val="left" w:pos="567"/>
              </w:tabs>
              <w:spacing w:line="260" w:lineRule="exact"/>
              <w:rPr>
                <w:sz w:val="22"/>
              </w:rPr>
            </w:pPr>
            <w:proofErr w:type="spellStart"/>
            <w:r w:rsidRPr="00220850">
              <w:rPr>
                <w:sz w:val="22"/>
              </w:rPr>
              <w:t>Estija</w:t>
            </w:r>
            <w:proofErr w:type="spellEnd"/>
          </w:p>
        </w:tc>
        <w:tc>
          <w:tcPr>
            <w:tcW w:w="6116" w:type="dxa"/>
          </w:tcPr>
          <w:p w14:paraId="2E93FA97"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5FCE542E" w14:textId="77777777" w:rsidTr="00EB023B">
        <w:trPr>
          <w:trHeight w:val="267"/>
        </w:trPr>
        <w:tc>
          <w:tcPr>
            <w:tcW w:w="1849" w:type="dxa"/>
          </w:tcPr>
          <w:p w14:paraId="0EFCE779" w14:textId="77777777" w:rsidR="00364A87" w:rsidRPr="00220850" w:rsidRDefault="00364A87" w:rsidP="00EB023B">
            <w:pPr>
              <w:tabs>
                <w:tab w:val="left" w:pos="567"/>
              </w:tabs>
              <w:spacing w:line="260" w:lineRule="exact"/>
              <w:rPr>
                <w:sz w:val="22"/>
              </w:rPr>
            </w:pPr>
            <w:proofErr w:type="spellStart"/>
            <w:r w:rsidRPr="00220850">
              <w:rPr>
                <w:sz w:val="22"/>
              </w:rPr>
              <w:t>Graikija</w:t>
            </w:r>
            <w:proofErr w:type="spellEnd"/>
          </w:p>
        </w:tc>
        <w:tc>
          <w:tcPr>
            <w:tcW w:w="6116" w:type="dxa"/>
          </w:tcPr>
          <w:p w14:paraId="1748D2DE" w14:textId="77777777" w:rsidR="00364A87" w:rsidRPr="00220850" w:rsidRDefault="00364A87" w:rsidP="00EB023B">
            <w:pPr>
              <w:tabs>
                <w:tab w:val="left" w:pos="567"/>
              </w:tabs>
              <w:spacing w:line="260" w:lineRule="exact"/>
              <w:rPr>
                <w:sz w:val="22"/>
              </w:rPr>
            </w:pPr>
            <w:r w:rsidRPr="00220850">
              <w:rPr>
                <w:sz w:val="22"/>
              </w:rPr>
              <w:t>Nintedanib/Teva</w:t>
            </w:r>
          </w:p>
        </w:tc>
      </w:tr>
      <w:tr w:rsidR="00364A87" w:rsidRPr="00220850" w14:paraId="65BDEAC0" w14:textId="77777777" w:rsidTr="00EB023B">
        <w:trPr>
          <w:trHeight w:val="525"/>
        </w:trPr>
        <w:tc>
          <w:tcPr>
            <w:tcW w:w="1849" w:type="dxa"/>
          </w:tcPr>
          <w:p w14:paraId="09805822" w14:textId="77777777" w:rsidR="00364A87" w:rsidRPr="00220850" w:rsidRDefault="00364A87" w:rsidP="00EB023B">
            <w:pPr>
              <w:tabs>
                <w:tab w:val="left" w:pos="567"/>
              </w:tabs>
              <w:spacing w:line="260" w:lineRule="exact"/>
              <w:rPr>
                <w:sz w:val="22"/>
              </w:rPr>
            </w:pPr>
            <w:proofErr w:type="spellStart"/>
            <w:r w:rsidRPr="00220850">
              <w:rPr>
                <w:sz w:val="22"/>
              </w:rPr>
              <w:t>Ispanija</w:t>
            </w:r>
            <w:proofErr w:type="spellEnd"/>
          </w:p>
        </w:tc>
        <w:tc>
          <w:tcPr>
            <w:tcW w:w="6116" w:type="dxa"/>
          </w:tcPr>
          <w:p w14:paraId="1BC1C7A7" w14:textId="77777777" w:rsidR="00364A87" w:rsidRPr="00220850" w:rsidRDefault="00364A87" w:rsidP="00EB023B">
            <w:pPr>
              <w:tabs>
                <w:tab w:val="left" w:pos="567"/>
              </w:tabs>
              <w:spacing w:line="260" w:lineRule="exact"/>
              <w:rPr>
                <w:sz w:val="22"/>
                <w:lang w:val="pt-PT"/>
              </w:rPr>
            </w:pPr>
            <w:r w:rsidRPr="00220850">
              <w:rPr>
                <w:sz w:val="22"/>
                <w:lang w:val="pt-PT"/>
              </w:rPr>
              <w:t>Nintedanib Teva 100 mg cápsulas blandas EFG</w:t>
            </w:r>
          </w:p>
          <w:p w14:paraId="74150717" w14:textId="77777777" w:rsidR="00364A87" w:rsidRPr="00220850" w:rsidRDefault="00364A87" w:rsidP="00EB023B">
            <w:pPr>
              <w:tabs>
                <w:tab w:val="left" w:pos="567"/>
              </w:tabs>
              <w:spacing w:line="260" w:lineRule="exact"/>
              <w:rPr>
                <w:sz w:val="22"/>
                <w:lang w:val="pt-PT"/>
              </w:rPr>
            </w:pPr>
            <w:r w:rsidRPr="00220850">
              <w:rPr>
                <w:sz w:val="22"/>
                <w:lang w:val="pt-PT"/>
              </w:rPr>
              <w:t>Nintedanib Teva 150 mg cápsulas blandas EFG</w:t>
            </w:r>
          </w:p>
        </w:tc>
      </w:tr>
      <w:tr w:rsidR="00364A87" w:rsidRPr="00220850" w14:paraId="0321AFD4" w14:textId="77777777" w:rsidTr="00EB023B">
        <w:trPr>
          <w:trHeight w:val="516"/>
        </w:trPr>
        <w:tc>
          <w:tcPr>
            <w:tcW w:w="1849" w:type="dxa"/>
          </w:tcPr>
          <w:p w14:paraId="41E3A915" w14:textId="77777777" w:rsidR="00364A87" w:rsidRPr="00220850" w:rsidRDefault="00364A87" w:rsidP="00EB023B">
            <w:pPr>
              <w:tabs>
                <w:tab w:val="left" w:pos="567"/>
              </w:tabs>
              <w:spacing w:line="260" w:lineRule="exact"/>
              <w:rPr>
                <w:sz w:val="22"/>
              </w:rPr>
            </w:pPr>
            <w:proofErr w:type="spellStart"/>
            <w:r w:rsidRPr="00220850">
              <w:rPr>
                <w:sz w:val="22"/>
              </w:rPr>
              <w:t>Suomija</w:t>
            </w:r>
            <w:proofErr w:type="spellEnd"/>
          </w:p>
        </w:tc>
        <w:tc>
          <w:tcPr>
            <w:tcW w:w="6116" w:type="dxa"/>
          </w:tcPr>
          <w:p w14:paraId="55DA6298" w14:textId="77777777" w:rsidR="00364A87" w:rsidRPr="00220850" w:rsidRDefault="00364A87" w:rsidP="00EB023B">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p w14:paraId="36054480" w14:textId="77777777" w:rsidR="00364A87" w:rsidRPr="00220850" w:rsidRDefault="00364A87" w:rsidP="00EB023B">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tc>
      </w:tr>
      <w:tr w:rsidR="00364A87" w:rsidRPr="00220850" w14:paraId="508C0C66" w14:textId="77777777" w:rsidTr="00EB023B">
        <w:trPr>
          <w:trHeight w:val="525"/>
        </w:trPr>
        <w:tc>
          <w:tcPr>
            <w:tcW w:w="1849" w:type="dxa"/>
          </w:tcPr>
          <w:p w14:paraId="3E631CE0" w14:textId="77777777" w:rsidR="00364A87" w:rsidRPr="00220850" w:rsidRDefault="00364A87" w:rsidP="00EB023B">
            <w:pPr>
              <w:tabs>
                <w:tab w:val="left" w:pos="567"/>
              </w:tabs>
              <w:spacing w:line="260" w:lineRule="exact"/>
              <w:rPr>
                <w:sz w:val="22"/>
              </w:rPr>
            </w:pPr>
            <w:proofErr w:type="spellStart"/>
            <w:r w:rsidRPr="00220850">
              <w:rPr>
                <w:sz w:val="22"/>
              </w:rPr>
              <w:t>Prancūzija</w:t>
            </w:r>
            <w:proofErr w:type="spellEnd"/>
          </w:p>
        </w:tc>
        <w:tc>
          <w:tcPr>
            <w:tcW w:w="6116" w:type="dxa"/>
          </w:tcPr>
          <w:p w14:paraId="7B579471" w14:textId="77777777" w:rsidR="00364A87" w:rsidRPr="00220850" w:rsidRDefault="00364A87" w:rsidP="00EB023B">
            <w:pPr>
              <w:tabs>
                <w:tab w:val="left" w:pos="567"/>
              </w:tabs>
              <w:spacing w:line="260" w:lineRule="exact"/>
              <w:rPr>
                <w:sz w:val="22"/>
                <w:lang w:val="it-CH"/>
              </w:rPr>
            </w:pPr>
            <w:r w:rsidRPr="00220850">
              <w:rPr>
                <w:sz w:val="22"/>
                <w:lang w:val="it-CH"/>
              </w:rPr>
              <w:t>NINTEDANIB TEVA 100mg, capsule molle</w:t>
            </w:r>
          </w:p>
          <w:p w14:paraId="69E6A670" w14:textId="77777777" w:rsidR="00364A87" w:rsidRPr="00220850" w:rsidRDefault="00364A87" w:rsidP="00EB023B">
            <w:pPr>
              <w:tabs>
                <w:tab w:val="left" w:pos="567"/>
              </w:tabs>
              <w:spacing w:line="260" w:lineRule="exact"/>
              <w:rPr>
                <w:sz w:val="22"/>
                <w:lang w:val="it-CH"/>
              </w:rPr>
            </w:pPr>
            <w:r w:rsidRPr="00220850">
              <w:rPr>
                <w:sz w:val="22"/>
                <w:lang w:val="it-CH"/>
              </w:rPr>
              <w:t>NINTEDANIB TEVA 150mg, capsule molle</w:t>
            </w:r>
          </w:p>
        </w:tc>
      </w:tr>
      <w:tr w:rsidR="00364A87" w:rsidRPr="00220850" w14:paraId="1AFBF1AB" w14:textId="77777777" w:rsidTr="00EB023B">
        <w:trPr>
          <w:trHeight w:val="267"/>
        </w:trPr>
        <w:tc>
          <w:tcPr>
            <w:tcW w:w="1849" w:type="dxa"/>
          </w:tcPr>
          <w:p w14:paraId="27C48C9B" w14:textId="77777777" w:rsidR="00364A87" w:rsidRPr="00220850" w:rsidRDefault="00364A87" w:rsidP="00EB023B">
            <w:pPr>
              <w:tabs>
                <w:tab w:val="left" w:pos="567"/>
              </w:tabs>
              <w:spacing w:line="260" w:lineRule="exact"/>
              <w:rPr>
                <w:sz w:val="22"/>
              </w:rPr>
            </w:pPr>
            <w:proofErr w:type="spellStart"/>
            <w:r w:rsidRPr="00220850">
              <w:rPr>
                <w:sz w:val="22"/>
              </w:rPr>
              <w:t>Kroatija</w:t>
            </w:r>
            <w:proofErr w:type="spellEnd"/>
          </w:p>
        </w:tc>
        <w:tc>
          <w:tcPr>
            <w:tcW w:w="6116" w:type="dxa"/>
          </w:tcPr>
          <w:p w14:paraId="3A52F133" w14:textId="77777777" w:rsidR="00364A87" w:rsidRPr="00220850" w:rsidRDefault="00364A87" w:rsidP="00EB023B">
            <w:pPr>
              <w:tabs>
                <w:tab w:val="left" w:pos="567"/>
              </w:tabs>
              <w:spacing w:line="260" w:lineRule="exact"/>
              <w:rPr>
                <w:sz w:val="22"/>
                <w:lang w:val="sv-SE"/>
              </w:rPr>
            </w:pPr>
            <w:r w:rsidRPr="00220850">
              <w:rPr>
                <w:sz w:val="22"/>
                <w:lang w:val="sv-SE"/>
              </w:rPr>
              <w:t>Nintedanib Teva 100 mg, 150 mg meke kapsule</w:t>
            </w:r>
          </w:p>
        </w:tc>
      </w:tr>
      <w:tr w:rsidR="00364A87" w:rsidRPr="00220850" w14:paraId="21356EE4" w14:textId="77777777" w:rsidTr="00EB023B">
        <w:trPr>
          <w:trHeight w:val="258"/>
        </w:trPr>
        <w:tc>
          <w:tcPr>
            <w:tcW w:w="1849" w:type="dxa"/>
          </w:tcPr>
          <w:p w14:paraId="4E72F32E" w14:textId="77777777" w:rsidR="00364A87" w:rsidRPr="00220850" w:rsidRDefault="00364A87" w:rsidP="00EB023B">
            <w:pPr>
              <w:tabs>
                <w:tab w:val="left" w:pos="567"/>
              </w:tabs>
              <w:spacing w:line="260" w:lineRule="exact"/>
              <w:rPr>
                <w:sz w:val="22"/>
                <w:lang w:val="lt-LT"/>
              </w:rPr>
            </w:pPr>
            <w:r w:rsidRPr="00220850">
              <w:rPr>
                <w:sz w:val="22"/>
                <w:lang w:val="lt-LT"/>
              </w:rPr>
              <w:t>Islandija</w:t>
            </w:r>
          </w:p>
        </w:tc>
        <w:tc>
          <w:tcPr>
            <w:tcW w:w="6116" w:type="dxa"/>
          </w:tcPr>
          <w:p w14:paraId="2AE7FF2F"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7EB50F71" w14:textId="77777777" w:rsidTr="00EB023B">
        <w:trPr>
          <w:trHeight w:val="258"/>
        </w:trPr>
        <w:tc>
          <w:tcPr>
            <w:tcW w:w="1849" w:type="dxa"/>
          </w:tcPr>
          <w:p w14:paraId="19EBD8E1" w14:textId="77777777" w:rsidR="00364A87" w:rsidRPr="00220850" w:rsidRDefault="00364A87" w:rsidP="00EB023B">
            <w:pPr>
              <w:tabs>
                <w:tab w:val="left" w:pos="567"/>
              </w:tabs>
              <w:spacing w:line="260" w:lineRule="exact"/>
              <w:rPr>
                <w:sz w:val="22"/>
              </w:rPr>
            </w:pPr>
            <w:proofErr w:type="spellStart"/>
            <w:r w:rsidRPr="00220850">
              <w:rPr>
                <w:sz w:val="22"/>
              </w:rPr>
              <w:t>Italija</w:t>
            </w:r>
            <w:proofErr w:type="spellEnd"/>
          </w:p>
        </w:tc>
        <w:tc>
          <w:tcPr>
            <w:tcW w:w="6116" w:type="dxa"/>
          </w:tcPr>
          <w:p w14:paraId="07EBDE1F"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07186E2F" w14:textId="77777777" w:rsidTr="00EB023B">
        <w:trPr>
          <w:trHeight w:val="525"/>
        </w:trPr>
        <w:tc>
          <w:tcPr>
            <w:tcW w:w="1849" w:type="dxa"/>
          </w:tcPr>
          <w:p w14:paraId="031E6D7F" w14:textId="77777777" w:rsidR="00364A87" w:rsidRPr="00220850" w:rsidRDefault="00364A87" w:rsidP="00EB023B">
            <w:pPr>
              <w:tabs>
                <w:tab w:val="left" w:pos="567"/>
              </w:tabs>
              <w:spacing w:line="260" w:lineRule="exact"/>
              <w:rPr>
                <w:sz w:val="22"/>
              </w:rPr>
            </w:pPr>
            <w:r w:rsidRPr="00220850">
              <w:rPr>
                <w:sz w:val="22"/>
              </w:rPr>
              <w:t>Lietuva</w:t>
            </w:r>
          </w:p>
        </w:tc>
        <w:tc>
          <w:tcPr>
            <w:tcW w:w="6116" w:type="dxa"/>
          </w:tcPr>
          <w:p w14:paraId="415B55F6" w14:textId="77777777" w:rsidR="00364A87" w:rsidRPr="00220850" w:rsidRDefault="00364A87" w:rsidP="00EB023B">
            <w:pPr>
              <w:tabs>
                <w:tab w:val="left" w:pos="567"/>
              </w:tabs>
              <w:spacing w:line="260" w:lineRule="exact"/>
              <w:rPr>
                <w:sz w:val="22"/>
              </w:rPr>
            </w:pPr>
            <w:r w:rsidRPr="00220850">
              <w:rPr>
                <w:sz w:val="22"/>
              </w:rPr>
              <w:t xml:space="preserve">Nintedanib Teva 100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p w14:paraId="67FD9A61" w14:textId="77777777" w:rsidR="00364A87" w:rsidRPr="00220850" w:rsidRDefault="00364A87" w:rsidP="00EB023B">
            <w:pPr>
              <w:tabs>
                <w:tab w:val="left" w:pos="567"/>
              </w:tabs>
              <w:spacing w:line="260" w:lineRule="exact"/>
              <w:rPr>
                <w:sz w:val="22"/>
              </w:rPr>
            </w:pPr>
            <w:r w:rsidRPr="00220850">
              <w:rPr>
                <w:sz w:val="22"/>
              </w:rPr>
              <w:t xml:space="preserve">Nintedanib Teva 150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tc>
      </w:tr>
      <w:tr w:rsidR="00364A87" w:rsidRPr="00220850" w14:paraId="6E66A4A3" w14:textId="77777777" w:rsidTr="00EB023B">
        <w:trPr>
          <w:trHeight w:val="525"/>
        </w:trPr>
        <w:tc>
          <w:tcPr>
            <w:tcW w:w="1849" w:type="dxa"/>
          </w:tcPr>
          <w:p w14:paraId="4F47A69D" w14:textId="77777777" w:rsidR="00364A87" w:rsidRPr="00220850" w:rsidRDefault="00364A87" w:rsidP="00EB023B">
            <w:pPr>
              <w:tabs>
                <w:tab w:val="left" w:pos="567"/>
              </w:tabs>
              <w:spacing w:line="260" w:lineRule="exact"/>
              <w:rPr>
                <w:sz w:val="22"/>
              </w:rPr>
            </w:pPr>
            <w:proofErr w:type="spellStart"/>
            <w:r w:rsidRPr="00220850">
              <w:rPr>
                <w:sz w:val="22"/>
              </w:rPr>
              <w:t>Latvija</w:t>
            </w:r>
            <w:proofErr w:type="spellEnd"/>
          </w:p>
        </w:tc>
        <w:tc>
          <w:tcPr>
            <w:tcW w:w="6116" w:type="dxa"/>
          </w:tcPr>
          <w:p w14:paraId="0ACFAEF4" w14:textId="77777777" w:rsidR="00364A87" w:rsidRPr="00220850" w:rsidRDefault="00364A87" w:rsidP="00EB023B">
            <w:pPr>
              <w:tabs>
                <w:tab w:val="left" w:pos="567"/>
              </w:tabs>
              <w:spacing w:line="260" w:lineRule="exact"/>
              <w:rPr>
                <w:sz w:val="22"/>
              </w:rPr>
            </w:pPr>
            <w:r w:rsidRPr="00220850">
              <w:rPr>
                <w:sz w:val="22"/>
              </w:rPr>
              <w:t xml:space="preserve">Nintedanib Teva 100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p w14:paraId="5C7778EB" w14:textId="77777777" w:rsidR="00364A87" w:rsidRPr="00220850" w:rsidRDefault="00364A87" w:rsidP="00EB023B">
            <w:pPr>
              <w:tabs>
                <w:tab w:val="left" w:pos="567"/>
              </w:tabs>
              <w:spacing w:line="260" w:lineRule="exact"/>
              <w:rPr>
                <w:sz w:val="22"/>
              </w:rPr>
            </w:pPr>
            <w:r w:rsidRPr="00220850">
              <w:rPr>
                <w:sz w:val="22"/>
              </w:rPr>
              <w:t xml:space="preserve">Nintedanib Teva 150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tc>
      </w:tr>
      <w:tr w:rsidR="00364A87" w:rsidRPr="00220850" w14:paraId="3BEF2609" w14:textId="77777777" w:rsidTr="00EB023B">
        <w:trPr>
          <w:trHeight w:val="525"/>
        </w:trPr>
        <w:tc>
          <w:tcPr>
            <w:tcW w:w="1849" w:type="dxa"/>
          </w:tcPr>
          <w:p w14:paraId="72C6F62D" w14:textId="77777777" w:rsidR="00364A87" w:rsidRPr="00220850" w:rsidRDefault="00364A87" w:rsidP="00EB023B">
            <w:pPr>
              <w:tabs>
                <w:tab w:val="left" w:pos="567"/>
              </w:tabs>
              <w:spacing w:line="260" w:lineRule="exact"/>
              <w:rPr>
                <w:sz w:val="22"/>
              </w:rPr>
            </w:pPr>
            <w:proofErr w:type="spellStart"/>
            <w:r w:rsidRPr="00220850">
              <w:rPr>
                <w:sz w:val="22"/>
              </w:rPr>
              <w:t>Liuksemburgas</w:t>
            </w:r>
            <w:proofErr w:type="spellEnd"/>
          </w:p>
        </w:tc>
        <w:tc>
          <w:tcPr>
            <w:tcW w:w="6116" w:type="dxa"/>
          </w:tcPr>
          <w:p w14:paraId="55DF0B04" w14:textId="77777777" w:rsidR="00364A87" w:rsidRPr="00220850" w:rsidRDefault="00364A87" w:rsidP="00EB023B">
            <w:pPr>
              <w:tabs>
                <w:tab w:val="left" w:pos="567"/>
              </w:tabs>
              <w:spacing w:line="260" w:lineRule="exact"/>
              <w:rPr>
                <w:sz w:val="22"/>
              </w:rPr>
            </w:pPr>
            <w:r w:rsidRPr="00220850">
              <w:rPr>
                <w:sz w:val="22"/>
              </w:rPr>
              <w:t>Nintedanib Teva 100 mg capsules molles</w:t>
            </w:r>
          </w:p>
          <w:p w14:paraId="68B67D3B" w14:textId="77777777" w:rsidR="00364A87" w:rsidRPr="00220850" w:rsidRDefault="00364A87" w:rsidP="00EB023B">
            <w:pPr>
              <w:tabs>
                <w:tab w:val="left" w:pos="567"/>
              </w:tabs>
              <w:spacing w:line="260" w:lineRule="exact"/>
              <w:rPr>
                <w:sz w:val="22"/>
              </w:rPr>
            </w:pPr>
            <w:r w:rsidRPr="00220850">
              <w:rPr>
                <w:sz w:val="22"/>
              </w:rPr>
              <w:t>Nintedanib Teva 150 mg capsules molles</w:t>
            </w:r>
          </w:p>
        </w:tc>
      </w:tr>
      <w:tr w:rsidR="00364A87" w:rsidRPr="00220850" w14:paraId="4E7F00C7" w14:textId="77777777" w:rsidTr="00EB023B">
        <w:trPr>
          <w:trHeight w:val="525"/>
        </w:trPr>
        <w:tc>
          <w:tcPr>
            <w:tcW w:w="1849" w:type="dxa"/>
          </w:tcPr>
          <w:p w14:paraId="60930CCC" w14:textId="77777777" w:rsidR="00364A87" w:rsidRPr="00220850" w:rsidRDefault="00364A87" w:rsidP="00EB023B">
            <w:pPr>
              <w:tabs>
                <w:tab w:val="left" w:pos="567"/>
              </w:tabs>
              <w:spacing w:line="260" w:lineRule="exact"/>
              <w:rPr>
                <w:sz w:val="22"/>
              </w:rPr>
            </w:pPr>
            <w:proofErr w:type="spellStart"/>
            <w:r w:rsidRPr="00220850">
              <w:rPr>
                <w:sz w:val="22"/>
              </w:rPr>
              <w:t>Nyderlandai</w:t>
            </w:r>
            <w:proofErr w:type="spellEnd"/>
          </w:p>
        </w:tc>
        <w:tc>
          <w:tcPr>
            <w:tcW w:w="6116" w:type="dxa"/>
          </w:tcPr>
          <w:p w14:paraId="045ECCAC" w14:textId="77777777" w:rsidR="00364A87" w:rsidRPr="00220850" w:rsidRDefault="00364A87" w:rsidP="00EB023B">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w:t>
            </w:r>
          </w:p>
          <w:p w14:paraId="43DE9ECD" w14:textId="77777777" w:rsidR="00364A87" w:rsidRPr="00220850" w:rsidRDefault="00364A87" w:rsidP="00EB023B">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w:t>
            </w:r>
          </w:p>
        </w:tc>
      </w:tr>
      <w:tr w:rsidR="00364A87" w:rsidRPr="00220850" w14:paraId="6F45FC39" w14:textId="77777777" w:rsidTr="00EB023B">
        <w:trPr>
          <w:trHeight w:val="258"/>
        </w:trPr>
        <w:tc>
          <w:tcPr>
            <w:tcW w:w="1849" w:type="dxa"/>
          </w:tcPr>
          <w:p w14:paraId="794DB81E" w14:textId="77777777" w:rsidR="00364A87" w:rsidRPr="00220850" w:rsidRDefault="00364A87" w:rsidP="00EB023B">
            <w:pPr>
              <w:tabs>
                <w:tab w:val="left" w:pos="567"/>
              </w:tabs>
              <w:spacing w:line="260" w:lineRule="exact"/>
              <w:rPr>
                <w:sz w:val="22"/>
              </w:rPr>
            </w:pPr>
            <w:proofErr w:type="spellStart"/>
            <w:r w:rsidRPr="00220850">
              <w:rPr>
                <w:sz w:val="22"/>
              </w:rPr>
              <w:t>Norvegija</w:t>
            </w:r>
            <w:proofErr w:type="spellEnd"/>
          </w:p>
        </w:tc>
        <w:tc>
          <w:tcPr>
            <w:tcW w:w="6116" w:type="dxa"/>
          </w:tcPr>
          <w:p w14:paraId="359D5155"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1C5179BC" w14:textId="77777777" w:rsidTr="00EB023B">
        <w:trPr>
          <w:trHeight w:val="258"/>
        </w:trPr>
        <w:tc>
          <w:tcPr>
            <w:tcW w:w="1849" w:type="dxa"/>
          </w:tcPr>
          <w:p w14:paraId="6AEA0872" w14:textId="77777777" w:rsidR="00364A87" w:rsidRPr="00220850" w:rsidRDefault="00364A87" w:rsidP="00EB023B">
            <w:pPr>
              <w:tabs>
                <w:tab w:val="left" w:pos="567"/>
              </w:tabs>
              <w:spacing w:line="260" w:lineRule="exact"/>
              <w:rPr>
                <w:sz w:val="22"/>
              </w:rPr>
            </w:pPr>
            <w:proofErr w:type="spellStart"/>
            <w:r w:rsidRPr="00220850">
              <w:rPr>
                <w:sz w:val="22"/>
              </w:rPr>
              <w:t>Lenkija</w:t>
            </w:r>
            <w:proofErr w:type="spellEnd"/>
          </w:p>
        </w:tc>
        <w:tc>
          <w:tcPr>
            <w:tcW w:w="6116" w:type="dxa"/>
          </w:tcPr>
          <w:p w14:paraId="2F52F36D"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77B9D4C8" w14:textId="77777777" w:rsidTr="00EB023B">
        <w:trPr>
          <w:trHeight w:val="267"/>
        </w:trPr>
        <w:tc>
          <w:tcPr>
            <w:tcW w:w="1849" w:type="dxa"/>
          </w:tcPr>
          <w:p w14:paraId="7CB7F2AA" w14:textId="77777777" w:rsidR="00364A87" w:rsidRPr="00220850" w:rsidRDefault="00364A87" w:rsidP="00EB023B">
            <w:pPr>
              <w:tabs>
                <w:tab w:val="left" w:pos="567"/>
              </w:tabs>
              <w:spacing w:line="260" w:lineRule="exact"/>
              <w:rPr>
                <w:sz w:val="22"/>
              </w:rPr>
            </w:pPr>
            <w:proofErr w:type="spellStart"/>
            <w:r w:rsidRPr="00220850">
              <w:rPr>
                <w:sz w:val="22"/>
              </w:rPr>
              <w:t>Portugalija</w:t>
            </w:r>
            <w:proofErr w:type="spellEnd"/>
          </w:p>
        </w:tc>
        <w:tc>
          <w:tcPr>
            <w:tcW w:w="6116" w:type="dxa"/>
          </w:tcPr>
          <w:p w14:paraId="37E56E00" w14:textId="77777777" w:rsidR="00364A87" w:rsidRPr="00220850" w:rsidRDefault="00364A87" w:rsidP="00EB023B">
            <w:pPr>
              <w:tabs>
                <w:tab w:val="left" w:pos="567"/>
              </w:tabs>
              <w:spacing w:line="260" w:lineRule="exact"/>
              <w:rPr>
                <w:sz w:val="22"/>
              </w:rPr>
            </w:pPr>
            <w:r w:rsidRPr="00220850">
              <w:rPr>
                <w:sz w:val="22"/>
              </w:rPr>
              <w:t xml:space="preserve">Nintedanib </w:t>
            </w:r>
            <w:proofErr w:type="spellStart"/>
            <w:r w:rsidRPr="00220850">
              <w:rPr>
                <w:sz w:val="22"/>
              </w:rPr>
              <w:t>Zidrium</w:t>
            </w:r>
            <w:proofErr w:type="spellEnd"/>
          </w:p>
        </w:tc>
      </w:tr>
      <w:tr w:rsidR="00364A87" w:rsidRPr="00220850" w14:paraId="130FF02F" w14:textId="77777777" w:rsidTr="00EB023B">
        <w:trPr>
          <w:trHeight w:val="258"/>
        </w:trPr>
        <w:tc>
          <w:tcPr>
            <w:tcW w:w="1849" w:type="dxa"/>
          </w:tcPr>
          <w:p w14:paraId="2F24F43E" w14:textId="77777777" w:rsidR="00364A87" w:rsidRPr="00220850" w:rsidRDefault="00364A87" w:rsidP="00EB023B">
            <w:pPr>
              <w:tabs>
                <w:tab w:val="left" w:pos="567"/>
              </w:tabs>
              <w:spacing w:line="260" w:lineRule="exact"/>
              <w:rPr>
                <w:sz w:val="22"/>
              </w:rPr>
            </w:pPr>
            <w:proofErr w:type="spellStart"/>
            <w:r w:rsidRPr="00220850">
              <w:rPr>
                <w:sz w:val="22"/>
              </w:rPr>
              <w:t>Rumunija</w:t>
            </w:r>
            <w:proofErr w:type="spellEnd"/>
          </w:p>
        </w:tc>
        <w:tc>
          <w:tcPr>
            <w:tcW w:w="6116" w:type="dxa"/>
          </w:tcPr>
          <w:p w14:paraId="37BAC478" w14:textId="77777777" w:rsidR="00364A87" w:rsidRPr="00220850" w:rsidRDefault="00364A87" w:rsidP="00EB023B">
            <w:pPr>
              <w:tabs>
                <w:tab w:val="left" w:pos="567"/>
              </w:tabs>
              <w:spacing w:line="260" w:lineRule="exact"/>
              <w:rPr>
                <w:sz w:val="22"/>
                <w:lang w:val="it-CH"/>
              </w:rPr>
            </w:pPr>
            <w:r w:rsidRPr="00220850">
              <w:rPr>
                <w:sz w:val="22"/>
                <w:lang w:val="it-CH"/>
              </w:rPr>
              <w:t>Nintedanib Teva 100 mg, 150 mg capsule moi</w:t>
            </w:r>
          </w:p>
        </w:tc>
      </w:tr>
      <w:tr w:rsidR="00364A87" w:rsidRPr="00220850" w14:paraId="5FE38E6F" w14:textId="77777777" w:rsidTr="00EB023B">
        <w:trPr>
          <w:trHeight w:val="267"/>
        </w:trPr>
        <w:tc>
          <w:tcPr>
            <w:tcW w:w="1849" w:type="dxa"/>
          </w:tcPr>
          <w:p w14:paraId="657E0494" w14:textId="77777777" w:rsidR="00364A87" w:rsidRPr="00220850" w:rsidRDefault="00364A87" w:rsidP="00EB023B">
            <w:pPr>
              <w:tabs>
                <w:tab w:val="left" w:pos="567"/>
              </w:tabs>
              <w:spacing w:line="260" w:lineRule="exact"/>
              <w:rPr>
                <w:sz w:val="22"/>
              </w:rPr>
            </w:pPr>
            <w:proofErr w:type="spellStart"/>
            <w:r w:rsidRPr="00220850">
              <w:rPr>
                <w:sz w:val="22"/>
              </w:rPr>
              <w:t>Švedija</w:t>
            </w:r>
            <w:proofErr w:type="spellEnd"/>
          </w:p>
        </w:tc>
        <w:tc>
          <w:tcPr>
            <w:tcW w:w="6116" w:type="dxa"/>
          </w:tcPr>
          <w:p w14:paraId="2E8282E0" w14:textId="77777777" w:rsidR="00364A87" w:rsidRPr="00220850" w:rsidRDefault="00364A87" w:rsidP="00EB023B">
            <w:pPr>
              <w:tabs>
                <w:tab w:val="left" w:pos="567"/>
              </w:tabs>
              <w:spacing w:line="260" w:lineRule="exact"/>
              <w:rPr>
                <w:sz w:val="22"/>
              </w:rPr>
            </w:pPr>
            <w:r w:rsidRPr="00220850">
              <w:rPr>
                <w:sz w:val="22"/>
              </w:rPr>
              <w:t>Nintedanib Teva</w:t>
            </w:r>
          </w:p>
        </w:tc>
      </w:tr>
      <w:tr w:rsidR="00364A87" w:rsidRPr="00220850" w14:paraId="0C07916E" w14:textId="77777777" w:rsidTr="00EB023B">
        <w:trPr>
          <w:trHeight w:val="525"/>
        </w:trPr>
        <w:tc>
          <w:tcPr>
            <w:tcW w:w="1849" w:type="dxa"/>
          </w:tcPr>
          <w:p w14:paraId="37DC27F8" w14:textId="77777777" w:rsidR="00364A87" w:rsidRPr="00220850" w:rsidRDefault="00364A87" w:rsidP="00EB023B">
            <w:pPr>
              <w:tabs>
                <w:tab w:val="left" w:pos="567"/>
              </w:tabs>
              <w:spacing w:line="260" w:lineRule="exact"/>
              <w:rPr>
                <w:sz w:val="22"/>
              </w:rPr>
            </w:pPr>
            <w:proofErr w:type="spellStart"/>
            <w:r w:rsidRPr="00220850">
              <w:rPr>
                <w:sz w:val="22"/>
              </w:rPr>
              <w:t>Slovakija</w:t>
            </w:r>
            <w:proofErr w:type="spellEnd"/>
          </w:p>
        </w:tc>
        <w:tc>
          <w:tcPr>
            <w:tcW w:w="6116" w:type="dxa"/>
          </w:tcPr>
          <w:p w14:paraId="13F6214D" w14:textId="77777777" w:rsidR="00364A87" w:rsidRPr="00220850" w:rsidRDefault="00364A87" w:rsidP="00EB023B">
            <w:pPr>
              <w:tabs>
                <w:tab w:val="left" w:pos="567"/>
              </w:tabs>
              <w:spacing w:line="260" w:lineRule="exact"/>
              <w:rPr>
                <w:sz w:val="22"/>
              </w:rPr>
            </w:pPr>
            <w:r w:rsidRPr="00220850">
              <w:rPr>
                <w:sz w:val="22"/>
              </w:rPr>
              <w:t xml:space="preserve">Nintedanib Teva 100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p w14:paraId="64683008" w14:textId="77777777" w:rsidR="00364A87" w:rsidRPr="00220850" w:rsidRDefault="00364A87" w:rsidP="00EB023B">
            <w:pPr>
              <w:tabs>
                <w:tab w:val="left" w:pos="567"/>
              </w:tabs>
              <w:spacing w:line="260" w:lineRule="exact"/>
              <w:rPr>
                <w:sz w:val="22"/>
              </w:rPr>
            </w:pPr>
            <w:r w:rsidRPr="00220850">
              <w:rPr>
                <w:sz w:val="22"/>
              </w:rPr>
              <w:t xml:space="preserve">Nintedanib Teva 150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tc>
      </w:tr>
    </w:tbl>
    <w:p w14:paraId="3586782D" w14:textId="77777777" w:rsidR="00771FE3" w:rsidRPr="00220850" w:rsidRDefault="00771FE3" w:rsidP="00771FE3">
      <w:pPr>
        <w:tabs>
          <w:tab w:val="left" w:pos="567"/>
        </w:tabs>
        <w:spacing w:line="260" w:lineRule="exact"/>
        <w:ind w:left="567" w:hanging="567"/>
        <w:rPr>
          <w:sz w:val="22"/>
        </w:rPr>
      </w:pPr>
    </w:p>
    <w:p w14:paraId="02BD1405" w14:textId="25292BC8" w:rsidR="00771FE3" w:rsidRPr="00220850" w:rsidRDefault="00771FE3" w:rsidP="00771FE3">
      <w:pPr>
        <w:numPr>
          <w:ilvl w:val="12"/>
          <w:numId w:val="0"/>
        </w:numPr>
        <w:ind w:right="-2"/>
        <w:rPr>
          <w:b/>
          <w:sz w:val="22"/>
        </w:rPr>
      </w:pPr>
      <w:r w:rsidRPr="00220850">
        <w:rPr>
          <w:b/>
          <w:sz w:val="22"/>
        </w:rPr>
        <w:t>Šis pakuotės lapelis paskutinį kartą peržiūrėtas</w:t>
      </w:r>
      <w:r w:rsidR="00736837" w:rsidRPr="00220850">
        <w:rPr>
          <w:b/>
          <w:sz w:val="22"/>
        </w:rPr>
        <w:t xml:space="preserve"> 2026-03-27.</w:t>
      </w:r>
    </w:p>
    <w:p w14:paraId="2AB5A3BD" w14:textId="77777777" w:rsidR="00771FE3" w:rsidRPr="00220850" w:rsidRDefault="00771FE3" w:rsidP="00771FE3">
      <w:pPr>
        <w:numPr>
          <w:ilvl w:val="12"/>
          <w:numId w:val="0"/>
        </w:numPr>
        <w:tabs>
          <w:tab w:val="left" w:pos="567"/>
        </w:tabs>
        <w:ind w:right="-2"/>
        <w:rPr>
          <w:i/>
          <w:sz w:val="22"/>
          <w:szCs w:val="24"/>
        </w:rPr>
      </w:pPr>
    </w:p>
    <w:p w14:paraId="7B680B42" w14:textId="0C1CB222" w:rsidR="00954587" w:rsidRPr="00220850" w:rsidRDefault="00954587" w:rsidP="00296ED8">
      <w:pPr>
        <w:numPr>
          <w:ilvl w:val="12"/>
          <w:numId w:val="0"/>
        </w:numPr>
        <w:ind w:right="-2"/>
        <w:rPr>
          <w:bCs/>
          <w:i/>
          <w:iCs/>
          <w:sz w:val="22"/>
          <w:szCs w:val="24"/>
        </w:rPr>
      </w:pPr>
      <w:r w:rsidRPr="00220850">
        <w:rPr>
          <w:bCs/>
          <w:i/>
          <w:iCs/>
          <w:sz w:val="22"/>
          <w:szCs w:val="24"/>
          <w:highlight w:val="lightGray"/>
        </w:rPr>
        <w:t>QR kodas ir URL</w:t>
      </w:r>
    </w:p>
    <w:p w14:paraId="15574BAD" w14:textId="7B6FAEF8" w:rsidR="00771FE3" w:rsidRPr="00220850" w:rsidRDefault="00954587" w:rsidP="00771FE3">
      <w:pPr>
        <w:numPr>
          <w:ilvl w:val="12"/>
          <w:numId w:val="0"/>
        </w:numPr>
        <w:ind w:right="-2"/>
        <w:rPr>
          <w:b/>
          <w:sz w:val="22"/>
          <w:szCs w:val="24"/>
        </w:rPr>
      </w:pPr>
      <w:r w:rsidRPr="00220850">
        <w:rPr>
          <w:b/>
          <w:sz w:val="22"/>
          <w:szCs w:val="24"/>
          <w:highlight w:val="lightGray"/>
        </w:rPr>
        <w:t>&lt;</w:t>
      </w:r>
      <w:r w:rsidR="00C87ECD" w:rsidRPr="00220850">
        <w:rPr>
          <w:b/>
          <w:sz w:val="22"/>
          <w:szCs w:val="24"/>
          <w:highlight w:val="lightGray"/>
        </w:rPr>
        <w:t>Kiti informacijos šaltiniai</w:t>
      </w:r>
      <w:r w:rsidRPr="00220850">
        <w:rPr>
          <w:b/>
          <w:sz w:val="22"/>
          <w:szCs w:val="24"/>
          <w:highlight w:val="lightGray"/>
        </w:rPr>
        <w:t>&gt;</w:t>
      </w:r>
    </w:p>
    <w:p w14:paraId="0774283A" w14:textId="77777777" w:rsidR="00954587" w:rsidRPr="00220850" w:rsidRDefault="00954587" w:rsidP="00954587">
      <w:pPr>
        <w:numPr>
          <w:ilvl w:val="12"/>
          <w:numId w:val="0"/>
        </w:numPr>
        <w:ind w:right="-2"/>
        <w:rPr>
          <w:noProof/>
          <w:sz w:val="22"/>
          <w:szCs w:val="22"/>
          <w:highlight w:val="lightGray"/>
        </w:rPr>
      </w:pPr>
      <w:r w:rsidRPr="00220850">
        <w:rPr>
          <w:noProof/>
          <w:sz w:val="22"/>
          <w:szCs w:val="22"/>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https://vvkt.lrv.lt/lt/.&gt;&gt; </w:t>
      </w:r>
    </w:p>
    <w:p w14:paraId="0E37EB47" w14:textId="77777777" w:rsidR="00954587" w:rsidRPr="00220850" w:rsidRDefault="00954587" w:rsidP="00954587">
      <w:pPr>
        <w:numPr>
          <w:ilvl w:val="12"/>
          <w:numId w:val="0"/>
        </w:numPr>
        <w:ind w:right="-2"/>
        <w:rPr>
          <w:noProof/>
          <w:sz w:val="22"/>
          <w:szCs w:val="22"/>
        </w:rPr>
      </w:pPr>
      <w:r w:rsidRPr="00220850">
        <w:rPr>
          <w:noProof/>
          <w:sz w:val="22"/>
          <w:szCs w:val="22"/>
          <w:highlight w:val="lightGray"/>
        </w:rPr>
        <w:t>&lt;{QR kodas}&gt; &lt;{kitas 2D barkodas}&gt; &lt;{NFC}&gt;</w:t>
      </w:r>
    </w:p>
    <w:p w14:paraId="1249AABC" w14:textId="77777777" w:rsidR="00954587" w:rsidRPr="00220850" w:rsidRDefault="00954587" w:rsidP="00954587">
      <w:pPr>
        <w:numPr>
          <w:ilvl w:val="12"/>
          <w:numId w:val="0"/>
        </w:numPr>
        <w:ind w:right="-2"/>
        <w:rPr>
          <w:noProof/>
          <w:sz w:val="22"/>
          <w:szCs w:val="22"/>
          <w:highlight w:val="yellow"/>
        </w:rPr>
      </w:pPr>
    </w:p>
    <w:p w14:paraId="2F279AA8" w14:textId="77777777" w:rsidR="00954587" w:rsidRPr="00220850" w:rsidRDefault="00954587" w:rsidP="00954587">
      <w:pPr>
        <w:numPr>
          <w:ilvl w:val="12"/>
          <w:numId w:val="0"/>
        </w:numPr>
        <w:tabs>
          <w:tab w:val="left" w:pos="567"/>
        </w:tabs>
        <w:ind w:right="-2"/>
        <w:rPr>
          <w:i/>
          <w:sz w:val="22"/>
          <w:szCs w:val="24"/>
          <w:highlight w:val="lightGray"/>
        </w:rPr>
      </w:pPr>
      <w:r w:rsidRPr="00220850">
        <w:rPr>
          <w:i/>
          <w:sz w:val="22"/>
          <w:szCs w:val="24"/>
          <w:highlight w:val="lightGray"/>
        </w:rPr>
        <w:t>Tik URL</w:t>
      </w:r>
    </w:p>
    <w:p w14:paraId="1D64E6E4" w14:textId="77777777" w:rsidR="00954587" w:rsidRPr="00220850" w:rsidRDefault="00954587" w:rsidP="00954587">
      <w:pPr>
        <w:numPr>
          <w:ilvl w:val="12"/>
          <w:numId w:val="0"/>
        </w:numPr>
        <w:tabs>
          <w:tab w:val="left" w:pos="567"/>
        </w:tabs>
        <w:ind w:right="-2"/>
        <w:rPr>
          <w:b/>
          <w:bCs/>
          <w:iCs/>
          <w:sz w:val="22"/>
          <w:szCs w:val="24"/>
          <w:highlight w:val="lightGray"/>
        </w:rPr>
      </w:pPr>
      <w:r w:rsidRPr="00220850">
        <w:rPr>
          <w:b/>
          <w:bCs/>
          <w:iCs/>
          <w:sz w:val="22"/>
          <w:szCs w:val="24"/>
          <w:highlight w:val="lightGray"/>
        </w:rPr>
        <w:t>&lt;Kiti informacijos šaltiniai&gt;</w:t>
      </w:r>
    </w:p>
    <w:p w14:paraId="42FA73B9" w14:textId="77777777" w:rsidR="00954587" w:rsidRPr="00220850" w:rsidRDefault="00954587" w:rsidP="00954587">
      <w:pPr>
        <w:numPr>
          <w:ilvl w:val="12"/>
          <w:numId w:val="0"/>
        </w:numPr>
        <w:tabs>
          <w:tab w:val="left" w:pos="567"/>
        </w:tabs>
        <w:ind w:right="-2"/>
        <w:rPr>
          <w:iCs/>
          <w:sz w:val="22"/>
          <w:szCs w:val="24"/>
        </w:rPr>
      </w:pPr>
      <w:r w:rsidRPr="00220850">
        <w:rPr>
          <w:iCs/>
          <w:sz w:val="22"/>
          <w:szCs w:val="24"/>
          <w:highlight w:val="lightGray"/>
        </w:rPr>
        <w:t>&lt;Naujausią patvirtintą informaciją apie šį vaistą rasite šiuo URL: {URL} &lt;ir Valstybinės vaistų kontrolės tarnybos prie Lietuvos Respublikos sveikatos apsaugos ministerijos tinklalapyje https://vvkt.lrv.lt/lt/.&gt;&gt;</w:t>
      </w:r>
    </w:p>
    <w:p w14:paraId="50FEF74D" w14:textId="77777777" w:rsidR="00771FE3" w:rsidRPr="00220850" w:rsidRDefault="00771FE3" w:rsidP="00771FE3">
      <w:pPr>
        <w:numPr>
          <w:ilvl w:val="12"/>
          <w:numId w:val="0"/>
        </w:numPr>
        <w:tabs>
          <w:tab w:val="left" w:pos="567"/>
        </w:tabs>
        <w:ind w:right="-2"/>
        <w:rPr>
          <w:i/>
          <w:sz w:val="22"/>
          <w:szCs w:val="24"/>
        </w:rPr>
      </w:pPr>
    </w:p>
    <w:p w14:paraId="60621B70" w14:textId="1C9B3F7B" w:rsidR="00771FE3" w:rsidRPr="00220850" w:rsidRDefault="00771FE3" w:rsidP="00771FE3">
      <w:pPr>
        <w:numPr>
          <w:ilvl w:val="12"/>
          <w:numId w:val="0"/>
        </w:numPr>
        <w:tabs>
          <w:tab w:val="left" w:pos="567"/>
        </w:tabs>
        <w:ind w:right="-2"/>
        <w:rPr>
          <w:sz w:val="22"/>
        </w:rPr>
      </w:pPr>
      <w:r w:rsidRPr="00220850">
        <w:rPr>
          <w:sz w:val="22"/>
        </w:rPr>
        <w:t xml:space="preserve">Išsami informacija apie šį </w:t>
      </w:r>
      <w:r w:rsidRPr="00220850">
        <w:rPr>
          <w:sz w:val="22"/>
          <w:szCs w:val="24"/>
        </w:rPr>
        <w:t>vaistą</w:t>
      </w:r>
      <w:r w:rsidRPr="00220850">
        <w:rPr>
          <w:sz w:val="22"/>
        </w:rPr>
        <w:t xml:space="preserve"> pateikiama Valstybinės vaistų kontrolės tarnybos prie Lietuvos Respublikos sveikatos apsaugos ministerijos tinklalapyje</w:t>
      </w:r>
      <w:r w:rsidR="00E109DD" w:rsidRPr="00220850">
        <w:rPr>
          <w:sz w:val="22"/>
        </w:rPr>
        <w:t xml:space="preserve"> https://vvkt.lrv.lt/lt/.</w:t>
      </w:r>
    </w:p>
    <w:p w14:paraId="6C0A2C44" w14:textId="5D5119CC" w:rsidR="00F814F3" w:rsidRPr="00220850" w:rsidRDefault="00F814F3" w:rsidP="00771FE3">
      <w:pPr>
        <w:numPr>
          <w:ilvl w:val="12"/>
          <w:numId w:val="0"/>
        </w:numPr>
        <w:tabs>
          <w:tab w:val="left" w:pos="567"/>
        </w:tabs>
        <w:ind w:right="-2"/>
        <w:rPr>
          <w:sz w:val="22"/>
        </w:rPr>
      </w:pPr>
    </w:p>
    <w:p w14:paraId="0B5792EF" w14:textId="77777777" w:rsidR="00F814F3" w:rsidRPr="00220850" w:rsidRDefault="00F814F3" w:rsidP="00771FE3">
      <w:pPr>
        <w:numPr>
          <w:ilvl w:val="12"/>
          <w:numId w:val="0"/>
        </w:numPr>
        <w:tabs>
          <w:tab w:val="left" w:pos="567"/>
        </w:tabs>
        <w:ind w:right="-2"/>
        <w:rPr>
          <w:sz w:val="22"/>
        </w:rPr>
      </w:pPr>
    </w:p>
    <w:sectPr w:rsidR="00F814F3" w:rsidRPr="00220850" w:rsidSect="007267DC">
      <w:headerReference w:type="first" r:id="rId20"/>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4DAC" w14:textId="77777777" w:rsidR="00A04F40" w:rsidRDefault="00A04F40">
      <w:r>
        <w:separator/>
      </w:r>
    </w:p>
  </w:endnote>
  <w:endnote w:type="continuationSeparator" w:id="0">
    <w:p w14:paraId="3059AB42" w14:textId="77777777" w:rsidR="00A04F40" w:rsidRDefault="00A04F40">
      <w:r>
        <w:continuationSeparator/>
      </w:r>
    </w:p>
  </w:endnote>
  <w:endnote w:type="continuationNotice" w:id="1">
    <w:p w14:paraId="10E99230" w14:textId="77777777" w:rsidR="00A04F40" w:rsidRDefault="00A04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98D" w14:textId="77777777" w:rsidR="00FB19AA" w:rsidRDefault="00FB19AA">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6BF4" w14:textId="77777777" w:rsidR="00FB19AA" w:rsidRDefault="00FB19AA">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E034" w14:textId="77777777" w:rsidR="00FB19AA" w:rsidRDefault="00FB19AA">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725F" w14:textId="77777777" w:rsidR="00A04F40" w:rsidRDefault="00A04F40">
      <w:r>
        <w:separator/>
      </w:r>
    </w:p>
  </w:footnote>
  <w:footnote w:type="continuationSeparator" w:id="0">
    <w:p w14:paraId="4B21C1C8" w14:textId="77777777" w:rsidR="00A04F40" w:rsidRDefault="00A04F40">
      <w:r>
        <w:continuationSeparator/>
      </w:r>
    </w:p>
  </w:footnote>
  <w:footnote w:type="continuationNotice" w:id="1">
    <w:p w14:paraId="3E6CFA93" w14:textId="77777777" w:rsidR="00A04F40" w:rsidRDefault="00A04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23B1" w14:textId="77777777" w:rsidR="00FB19AA" w:rsidRDefault="00FB19AA">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B2BC" w14:textId="621D5ED8" w:rsidR="00FB19AA" w:rsidRPr="00296ED8" w:rsidRDefault="00FB19AA" w:rsidP="00296ED8">
    <w:pPr>
      <w:tabs>
        <w:tab w:val="center" w:pos="4819"/>
        <w:tab w:val="right" w:pos="9638"/>
      </w:tabs>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F267" w14:textId="77777777" w:rsidR="00FB19AA" w:rsidRDefault="00FB19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488401"/>
    <w:multiLevelType w:val="hybridMultilevel"/>
    <w:tmpl w:val="5E36A52A"/>
    <w:lvl w:ilvl="0" w:tplc="FFFFFFFF">
      <w:start w:val="1"/>
      <w:numFmt w:val="bullet"/>
      <w:lvlText w:val="•"/>
      <w:lvlJc w:val="left"/>
    </w:lvl>
    <w:lvl w:ilvl="1" w:tplc="04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50668"/>
    <w:multiLevelType w:val="hybridMultilevel"/>
    <w:tmpl w:val="DF822144"/>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ACF2FA"/>
    <w:multiLevelType w:val="hybridMultilevel"/>
    <w:tmpl w:val="8E0AB2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E90398"/>
    <w:multiLevelType w:val="hybridMultilevel"/>
    <w:tmpl w:val="51230A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D9BF72"/>
    <w:multiLevelType w:val="hybridMultilevel"/>
    <w:tmpl w:val="8ECE8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40119A"/>
    <w:multiLevelType w:val="hybridMultilevel"/>
    <w:tmpl w:val="FC96A9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936402"/>
    <w:multiLevelType w:val="hybridMultilevel"/>
    <w:tmpl w:val="C284FC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2C9125C"/>
    <w:multiLevelType w:val="hybridMultilevel"/>
    <w:tmpl w:val="1E02B7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64D36"/>
    <w:multiLevelType w:val="hybridMultilevel"/>
    <w:tmpl w:val="71AEA23C"/>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07CD783F"/>
    <w:multiLevelType w:val="hybridMultilevel"/>
    <w:tmpl w:val="BEC2C490"/>
    <w:lvl w:ilvl="0" w:tplc="FFFFFFFF">
      <w:start w:val="1"/>
      <w:numFmt w:val="bullet"/>
      <w:lvlText w:val="-"/>
      <w:lvlJc w:val="left"/>
      <w:pPr>
        <w:ind w:left="644" w:hanging="360"/>
      </w:pPr>
      <w:rPr>
        <w:rFonts w:hint="default"/>
        <w:sz w:val="22"/>
      </w:rPr>
    </w:lvl>
    <w:lvl w:ilvl="1" w:tplc="FFFFFFFF">
      <w:numFmt w:val="bullet"/>
      <w:lvlText w:val="-"/>
      <w:lvlJc w:val="left"/>
      <w:pPr>
        <w:ind w:left="1440" w:hanging="360"/>
      </w:pPr>
      <w:rPr>
        <w:rFonts w:ascii="Times New Roman" w:eastAsia="TimesNew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485E97"/>
    <w:multiLevelType w:val="hybridMultilevel"/>
    <w:tmpl w:val="508677FA"/>
    <w:lvl w:ilvl="0" w:tplc="FFFFFFFF">
      <w:start w:val="1"/>
      <w:numFmt w:val="bullet"/>
      <w:lvlText w:val="•"/>
      <w:lvlJc w:val="left"/>
    </w:lvl>
    <w:lvl w:ilvl="1" w:tplc="FFFFFFFF">
      <w:start w:val="1"/>
      <w:numFmt w:val="bullet"/>
      <w:lvlText w:val="-"/>
      <w:lvlJc w:val="left"/>
      <w:pPr>
        <w:ind w:left="720" w:hanging="360"/>
      </w:pPr>
      <w:rPr>
        <w:rFonts w:hint="default"/>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62D66"/>
    <w:multiLevelType w:val="hybridMultilevel"/>
    <w:tmpl w:val="A2E83A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9CF6CC4"/>
    <w:multiLevelType w:val="hybridMultilevel"/>
    <w:tmpl w:val="331E772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08013F"/>
    <w:multiLevelType w:val="hybridMultilevel"/>
    <w:tmpl w:val="06788E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C64025EE">
      <w:numFmt w:val="bullet"/>
      <w:lvlText w:val="-"/>
      <w:lvlJc w:val="left"/>
      <w:pPr>
        <w:ind w:left="2160" w:hanging="360"/>
      </w:pPr>
      <w:rPr>
        <w:rFonts w:ascii="Times New Roman" w:eastAsia="TimesNew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30C9A"/>
    <w:multiLevelType w:val="hybridMultilevel"/>
    <w:tmpl w:val="4250566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E21CC8"/>
    <w:multiLevelType w:val="hybridMultilevel"/>
    <w:tmpl w:val="C836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535107"/>
    <w:multiLevelType w:val="hybridMultilevel"/>
    <w:tmpl w:val="1AA44EF2"/>
    <w:lvl w:ilvl="0" w:tplc="FFFFFFFF">
      <w:start w:val="1"/>
      <w:numFmt w:val="bullet"/>
      <w:lvlText w:val="-"/>
      <w:lvlJc w:val="left"/>
      <w:pPr>
        <w:ind w:left="1854" w:hanging="360"/>
      </w:pPr>
      <w:rPr>
        <w:rFonts w:hint="default"/>
        <w:sz w:val="22"/>
      </w:rPr>
    </w:lvl>
    <w:lvl w:ilvl="1" w:tplc="FFFFFFFF">
      <w:start w:val="1"/>
      <w:numFmt w:val="bullet"/>
      <w:lvlText w:val="-"/>
      <w:lvlJc w:val="left"/>
      <w:pPr>
        <w:ind w:left="720" w:hanging="360"/>
      </w:pPr>
      <w:rPr>
        <w:rFonts w:hint="default"/>
        <w:sz w:val="22"/>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 w15:restartNumberingAfterBreak="0">
    <w:nsid w:val="0E575DD0"/>
    <w:multiLevelType w:val="hybridMultilevel"/>
    <w:tmpl w:val="664CCB2E"/>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B345F1"/>
    <w:multiLevelType w:val="hybridMultilevel"/>
    <w:tmpl w:val="E41C9B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C7398"/>
    <w:multiLevelType w:val="hybridMultilevel"/>
    <w:tmpl w:val="B3C4D53A"/>
    <w:lvl w:ilvl="0" w:tplc="04070003">
      <w:start w:val="1"/>
      <w:numFmt w:val="bullet"/>
      <w:lvlText w:val="o"/>
      <w:lvlJc w:val="left"/>
      <w:pPr>
        <w:ind w:left="1290" w:hanging="360"/>
      </w:pPr>
      <w:rPr>
        <w:rFonts w:ascii="Courier New" w:hAnsi="Courier New" w:cs="Courier New"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0" w15:restartNumberingAfterBreak="0">
    <w:nsid w:val="119F362F"/>
    <w:multiLevelType w:val="hybridMultilevel"/>
    <w:tmpl w:val="EF4A7E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2DCAED"/>
    <w:multiLevelType w:val="hybridMultilevel"/>
    <w:tmpl w:val="B3CEC1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4593DFD"/>
    <w:multiLevelType w:val="hybridMultilevel"/>
    <w:tmpl w:val="CC66152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1A4269"/>
    <w:multiLevelType w:val="hybridMultilevel"/>
    <w:tmpl w:val="D574443C"/>
    <w:lvl w:ilvl="0" w:tplc="FFFFFFFF">
      <w:start w:val="1"/>
      <w:numFmt w:val="bullet"/>
      <w:lvlText w:val="-"/>
      <w:lvlJc w:val="left"/>
      <w:pPr>
        <w:ind w:left="720" w:hanging="360"/>
      </w:pPr>
      <w:rPr>
        <w:rFonts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6A74520"/>
    <w:multiLevelType w:val="hybridMultilevel"/>
    <w:tmpl w:val="6F78DCD4"/>
    <w:lvl w:ilvl="0" w:tplc="FFFFFFFF">
      <w:start w:val="1"/>
      <w:numFmt w:val="bullet"/>
      <w:lvlText w:val="•"/>
      <w:lvlJc w:val="left"/>
    </w:lvl>
    <w:lvl w:ilvl="1" w:tplc="FFFFFFFF">
      <w:start w:val="1"/>
      <w:numFmt w:val="bullet"/>
      <w:lvlText w:val="-"/>
      <w:lvlJc w:val="left"/>
      <w:pPr>
        <w:ind w:left="720" w:hanging="360"/>
      </w:pPr>
      <w:rPr>
        <w:rFonts w:hint="default"/>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7DB4FFC"/>
    <w:multiLevelType w:val="hybridMultilevel"/>
    <w:tmpl w:val="4D506BB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7DC03E7"/>
    <w:multiLevelType w:val="hybridMultilevel"/>
    <w:tmpl w:val="B31238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37374"/>
    <w:multiLevelType w:val="hybridMultilevel"/>
    <w:tmpl w:val="B400F1A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9742889"/>
    <w:multiLevelType w:val="hybridMultilevel"/>
    <w:tmpl w:val="F98C12E8"/>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1C4E167B"/>
    <w:multiLevelType w:val="multilevel"/>
    <w:tmpl w:val="3B1E5A54"/>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93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48" w:hanging="360"/>
      </w:pPr>
      <w:rPr>
        <w:rFonts w:hint="default"/>
        <w:lang w:val="en-US" w:eastAsia="en-US" w:bidi="ar-SA"/>
      </w:rPr>
    </w:lvl>
    <w:lvl w:ilvl="4">
      <w:numFmt w:val="bullet"/>
      <w:lvlText w:val="•"/>
      <w:lvlJc w:val="left"/>
      <w:pPr>
        <w:ind w:left="3802" w:hanging="360"/>
      </w:pPr>
      <w:rPr>
        <w:rFonts w:hint="default"/>
        <w:lang w:val="en-US" w:eastAsia="en-US" w:bidi="ar-SA"/>
      </w:rPr>
    </w:lvl>
    <w:lvl w:ilvl="5">
      <w:numFmt w:val="bullet"/>
      <w:lvlText w:val="•"/>
      <w:lvlJc w:val="left"/>
      <w:pPr>
        <w:ind w:left="4756" w:hanging="360"/>
      </w:pPr>
      <w:rPr>
        <w:rFonts w:hint="default"/>
        <w:lang w:val="en-US" w:eastAsia="en-US" w:bidi="ar-SA"/>
      </w:rPr>
    </w:lvl>
    <w:lvl w:ilvl="6">
      <w:numFmt w:val="bullet"/>
      <w:lvlText w:val="•"/>
      <w:lvlJc w:val="left"/>
      <w:pPr>
        <w:ind w:left="5710"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618" w:hanging="360"/>
      </w:pPr>
      <w:rPr>
        <w:rFonts w:hint="default"/>
        <w:lang w:val="en-US" w:eastAsia="en-US" w:bidi="ar-SA"/>
      </w:rPr>
    </w:lvl>
  </w:abstractNum>
  <w:abstractNum w:abstractNumId="30" w15:restartNumberingAfterBreak="0">
    <w:nsid w:val="1EA71E7A"/>
    <w:multiLevelType w:val="hybridMultilevel"/>
    <w:tmpl w:val="CDBE6E8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02563FA"/>
    <w:multiLevelType w:val="hybridMultilevel"/>
    <w:tmpl w:val="3462FA70"/>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2221CB0"/>
    <w:multiLevelType w:val="hybridMultilevel"/>
    <w:tmpl w:val="B5CAB75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4B868F2"/>
    <w:multiLevelType w:val="hybridMultilevel"/>
    <w:tmpl w:val="DBF03E38"/>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6BD6513"/>
    <w:multiLevelType w:val="hybridMultilevel"/>
    <w:tmpl w:val="A8646E0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288662D9"/>
    <w:multiLevelType w:val="hybridMultilevel"/>
    <w:tmpl w:val="5CD4B2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9E26BC"/>
    <w:multiLevelType w:val="hybridMultilevel"/>
    <w:tmpl w:val="4642B3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C4A5B22"/>
    <w:multiLevelType w:val="hybridMultilevel"/>
    <w:tmpl w:val="D262A2D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9C5868"/>
    <w:multiLevelType w:val="hybridMultilevel"/>
    <w:tmpl w:val="D3EA5C86"/>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0806611"/>
    <w:multiLevelType w:val="hybridMultilevel"/>
    <w:tmpl w:val="079E811C"/>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2D00DE6"/>
    <w:multiLevelType w:val="hybridMultilevel"/>
    <w:tmpl w:val="7458DD06"/>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A7B4E13"/>
    <w:multiLevelType w:val="hybridMultilevel"/>
    <w:tmpl w:val="E17612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853C4E"/>
    <w:multiLevelType w:val="hybridMultilevel"/>
    <w:tmpl w:val="36E414F2"/>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584E0A"/>
    <w:multiLevelType w:val="hybridMultilevel"/>
    <w:tmpl w:val="7512A2A6"/>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714592"/>
    <w:multiLevelType w:val="hybridMultilevel"/>
    <w:tmpl w:val="19FE7CF8"/>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5" w15:restartNumberingAfterBreak="0">
    <w:nsid w:val="41191FF9"/>
    <w:multiLevelType w:val="hybridMultilevel"/>
    <w:tmpl w:val="80EA32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BC1A66"/>
    <w:multiLevelType w:val="hybridMultilevel"/>
    <w:tmpl w:val="E9EED2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D2173D"/>
    <w:multiLevelType w:val="hybridMultilevel"/>
    <w:tmpl w:val="6B38A2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F20512"/>
    <w:multiLevelType w:val="hybridMultilevel"/>
    <w:tmpl w:val="94CCC200"/>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AAF601B"/>
    <w:multiLevelType w:val="hybridMultilevel"/>
    <w:tmpl w:val="79FE6818"/>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4C8E304E"/>
    <w:multiLevelType w:val="hybridMultilevel"/>
    <w:tmpl w:val="BBC290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E2C21B5"/>
    <w:multiLevelType w:val="hybridMultilevel"/>
    <w:tmpl w:val="8F32F5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6E30D6"/>
    <w:multiLevelType w:val="hybridMultilevel"/>
    <w:tmpl w:val="7C065DC0"/>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17B2BAB"/>
    <w:multiLevelType w:val="hybridMultilevel"/>
    <w:tmpl w:val="B278386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4" w15:restartNumberingAfterBreak="0">
    <w:nsid w:val="53D72261"/>
    <w:multiLevelType w:val="hybridMultilevel"/>
    <w:tmpl w:val="101086D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5" w15:restartNumberingAfterBreak="0">
    <w:nsid w:val="54132AF6"/>
    <w:multiLevelType w:val="hybridMultilevel"/>
    <w:tmpl w:val="199A719E"/>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7161F24"/>
    <w:multiLevelType w:val="hybridMultilevel"/>
    <w:tmpl w:val="70DAED72"/>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71C1500"/>
    <w:multiLevelType w:val="hybridMultilevel"/>
    <w:tmpl w:val="CE54F27E"/>
    <w:lvl w:ilvl="0" w:tplc="55F2ABAE">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78606EC"/>
    <w:multiLevelType w:val="hybridMultilevel"/>
    <w:tmpl w:val="615221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8951B07"/>
    <w:multiLevelType w:val="hybridMultilevel"/>
    <w:tmpl w:val="F18AF74E"/>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0" w15:restartNumberingAfterBreak="0">
    <w:nsid w:val="5B2E3BFD"/>
    <w:multiLevelType w:val="hybridMultilevel"/>
    <w:tmpl w:val="740A16C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897235"/>
    <w:multiLevelType w:val="hybridMultilevel"/>
    <w:tmpl w:val="54EC393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5C27208C"/>
    <w:multiLevelType w:val="hybridMultilevel"/>
    <w:tmpl w:val="88F803FC"/>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3" w15:restartNumberingAfterBreak="0">
    <w:nsid w:val="5DE90F8B"/>
    <w:multiLevelType w:val="hybridMultilevel"/>
    <w:tmpl w:val="0A0CD07C"/>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F6C7132"/>
    <w:multiLevelType w:val="hybridMultilevel"/>
    <w:tmpl w:val="656425EA"/>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5" w15:restartNumberingAfterBreak="0">
    <w:nsid w:val="5FE05958"/>
    <w:multiLevelType w:val="hybridMultilevel"/>
    <w:tmpl w:val="95F66FDC"/>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5FFC0133"/>
    <w:multiLevelType w:val="hybridMultilevel"/>
    <w:tmpl w:val="6E0E87FC"/>
    <w:lvl w:ilvl="0" w:tplc="FFFFFFFF">
      <w:start w:val="1"/>
      <w:numFmt w:val="bullet"/>
      <w:lvlText w:val="-"/>
      <w:lvlJc w:val="left"/>
      <w:pPr>
        <w:ind w:left="1854" w:hanging="360"/>
      </w:pPr>
      <w:rPr>
        <w:rFonts w:hint="default"/>
        <w:sz w:val="22"/>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7" w15:restartNumberingAfterBreak="0">
    <w:nsid w:val="612928F1"/>
    <w:multiLevelType w:val="hybridMultilevel"/>
    <w:tmpl w:val="0304042E"/>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1833118"/>
    <w:multiLevelType w:val="hybridMultilevel"/>
    <w:tmpl w:val="3F62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49584F"/>
    <w:multiLevelType w:val="hybridMultilevel"/>
    <w:tmpl w:val="FC12C2B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4E5041F"/>
    <w:multiLevelType w:val="hybridMultilevel"/>
    <w:tmpl w:val="7E085F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5EB446A"/>
    <w:multiLevelType w:val="hybridMultilevel"/>
    <w:tmpl w:val="2BA2482C"/>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73B0B7F"/>
    <w:multiLevelType w:val="hybridMultilevel"/>
    <w:tmpl w:val="0A70B3A4"/>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3" w15:restartNumberingAfterBreak="0">
    <w:nsid w:val="677F3206"/>
    <w:multiLevelType w:val="hybridMultilevel"/>
    <w:tmpl w:val="936C3C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7C36B38"/>
    <w:multiLevelType w:val="hybridMultilevel"/>
    <w:tmpl w:val="01C64F9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102E2A"/>
    <w:multiLevelType w:val="hybridMultilevel"/>
    <w:tmpl w:val="6E7024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A56271A"/>
    <w:multiLevelType w:val="hybridMultilevel"/>
    <w:tmpl w:val="894A8296"/>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6AFFF10E"/>
    <w:multiLevelType w:val="hybridMultilevel"/>
    <w:tmpl w:val="7FC42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B7E0335"/>
    <w:multiLevelType w:val="hybridMultilevel"/>
    <w:tmpl w:val="75DAA0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D134B44"/>
    <w:multiLevelType w:val="hybridMultilevel"/>
    <w:tmpl w:val="6BDEAD9A"/>
    <w:lvl w:ilvl="0" w:tplc="9BD01D18">
      <w:numFmt w:val="bullet"/>
      <w:lvlText w:val=""/>
      <w:lvlJc w:val="left"/>
      <w:pPr>
        <w:ind w:left="938" w:hanging="360"/>
      </w:pPr>
      <w:rPr>
        <w:rFonts w:ascii="Symbol" w:eastAsia="Symbol" w:hAnsi="Symbol" w:cs="Symbol" w:hint="default"/>
        <w:spacing w:val="0"/>
        <w:w w:val="100"/>
        <w:lang w:val="en-US" w:eastAsia="en-US" w:bidi="ar-SA"/>
      </w:rPr>
    </w:lvl>
    <w:lvl w:ilvl="1" w:tplc="7D42D422">
      <w:numFmt w:val="bullet"/>
      <w:lvlText w:val="o"/>
      <w:lvlJc w:val="left"/>
      <w:pPr>
        <w:ind w:left="1298" w:hanging="360"/>
      </w:pPr>
      <w:rPr>
        <w:rFonts w:ascii="Courier New" w:eastAsia="Courier New" w:hAnsi="Courier New" w:cs="Courier New" w:hint="default"/>
        <w:spacing w:val="0"/>
        <w:w w:val="99"/>
        <w:lang w:val="en-US" w:eastAsia="en-US" w:bidi="ar-SA"/>
      </w:rPr>
    </w:lvl>
    <w:lvl w:ilvl="2" w:tplc="B7B40B0E">
      <w:numFmt w:val="bullet"/>
      <w:lvlText w:val="•"/>
      <w:lvlJc w:val="left"/>
      <w:pPr>
        <w:ind w:left="1660" w:hanging="360"/>
      </w:pPr>
      <w:rPr>
        <w:rFonts w:hint="default"/>
        <w:lang w:val="en-US" w:eastAsia="en-US" w:bidi="ar-SA"/>
      </w:rPr>
    </w:lvl>
    <w:lvl w:ilvl="3" w:tplc="8AE4C1D8">
      <w:numFmt w:val="bullet"/>
      <w:lvlText w:val="•"/>
      <w:lvlJc w:val="left"/>
      <w:pPr>
        <w:ind w:left="2643" w:hanging="360"/>
      </w:pPr>
      <w:rPr>
        <w:rFonts w:hint="default"/>
        <w:lang w:val="en-US" w:eastAsia="en-US" w:bidi="ar-SA"/>
      </w:rPr>
    </w:lvl>
    <w:lvl w:ilvl="4" w:tplc="0EB22EAC">
      <w:numFmt w:val="bullet"/>
      <w:lvlText w:val="•"/>
      <w:lvlJc w:val="left"/>
      <w:pPr>
        <w:ind w:left="3626" w:hanging="360"/>
      </w:pPr>
      <w:rPr>
        <w:rFonts w:hint="default"/>
        <w:lang w:val="en-US" w:eastAsia="en-US" w:bidi="ar-SA"/>
      </w:rPr>
    </w:lvl>
    <w:lvl w:ilvl="5" w:tplc="C8864936">
      <w:numFmt w:val="bullet"/>
      <w:lvlText w:val="•"/>
      <w:lvlJc w:val="left"/>
      <w:pPr>
        <w:ind w:left="4609" w:hanging="360"/>
      </w:pPr>
      <w:rPr>
        <w:rFonts w:hint="default"/>
        <w:lang w:val="en-US" w:eastAsia="en-US" w:bidi="ar-SA"/>
      </w:rPr>
    </w:lvl>
    <w:lvl w:ilvl="6" w:tplc="FEBAAD1C">
      <w:numFmt w:val="bullet"/>
      <w:lvlText w:val="•"/>
      <w:lvlJc w:val="left"/>
      <w:pPr>
        <w:ind w:left="5593" w:hanging="360"/>
      </w:pPr>
      <w:rPr>
        <w:rFonts w:hint="default"/>
        <w:lang w:val="en-US" w:eastAsia="en-US" w:bidi="ar-SA"/>
      </w:rPr>
    </w:lvl>
    <w:lvl w:ilvl="7" w:tplc="B448BA98">
      <w:numFmt w:val="bullet"/>
      <w:lvlText w:val="•"/>
      <w:lvlJc w:val="left"/>
      <w:pPr>
        <w:ind w:left="6576" w:hanging="360"/>
      </w:pPr>
      <w:rPr>
        <w:rFonts w:hint="default"/>
        <w:lang w:val="en-US" w:eastAsia="en-US" w:bidi="ar-SA"/>
      </w:rPr>
    </w:lvl>
    <w:lvl w:ilvl="8" w:tplc="F28EB6CC">
      <w:numFmt w:val="bullet"/>
      <w:lvlText w:val="•"/>
      <w:lvlJc w:val="left"/>
      <w:pPr>
        <w:ind w:left="7559" w:hanging="360"/>
      </w:pPr>
      <w:rPr>
        <w:rFonts w:hint="default"/>
        <w:lang w:val="en-US" w:eastAsia="en-US" w:bidi="ar-SA"/>
      </w:rPr>
    </w:lvl>
  </w:abstractNum>
  <w:abstractNum w:abstractNumId="80" w15:restartNumberingAfterBreak="0">
    <w:nsid w:val="6D6927C4"/>
    <w:multiLevelType w:val="hybridMultilevel"/>
    <w:tmpl w:val="D78CACE8"/>
    <w:lvl w:ilvl="0" w:tplc="67BE8460">
      <w:numFmt w:val="bullet"/>
      <w:lvlText w:val="˗"/>
      <w:lvlJc w:val="left"/>
      <w:pPr>
        <w:ind w:left="720" w:hanging="360"/>
      </w:pPr>
      <w:rPr>
        <w:rFonts w:ascii="Times New Roman" w:hAnsi="Times New Roman" w:cs="Times New Roman" w:hint="default"/>
        <w:sz w:val="22"/>
      </w:rPr>
    </w:lvl>
    <w:lvl w:ilvl="1" w:tplc="F22294C4">
      <w:numFmt w:val="bullet"/>
      <w:lvlText w:val="-"/>
      <w:lvlJc w:val="left"/>
      <w:pPr>
        <w:ind w:left="1440" w:hanging="360"/>
      </w:pPr>
      <w:rPr>
        <w:rFonts w:ascii="Times New Roman" w:eastAsia="TimesNew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552A3F"/>
    <w:multiLevelType w:val="hybridMultilevel"/>
    <w:tmpl w:val="D1649F3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CB3681"/>
    <w:multiLevelType w:val="hybridMultilevel"/>
    <w:tmpl w:val="56DE1DF6"/>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3BD6A91"/>
    <w:multiLevelType w:val="hybridMultilevel"/>
    <w:tmpl w:val="24E4A8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679A8"/>
    <w:multiLevelType w:val="hybridMultilevel"/>
    <w:tmpl w:val="023651B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5" w15:restartNumberingAfterBreak="0">
    <w:nsid w:val="76520963"/>
    <w:multiLevelType w:val="hybridMultilevel"/>
    <w:tmpl w:val="8396B9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E44891"/>
    <w:multiLevelType w:val="hybridMultilevel"/>
    <w:tmpl w:val="85908CC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7107C6D"/>
    <w:multiLevelType w:val="hybridMultilevel"/>
    <w:tmpl w:val="5DB8E6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1F5E28"/>
    <w:multiLevelType w:val="hybridMultilevel"/>
    <w:tmpl w:val="CC1A97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9A3CFF"/>
    <w:multiLevelType w:val="hybridMultilevel"/>
    <w:tmpl w:val="5518DCEE"/>
    <w:lvl w:ilvl="0" w:tplc="FFFFFFFF">
      <w:start w:val="1"/>
      <w:numFmt w:val="bullet"/>
      <w:lvlText w:val="-"/>
      <w:lvlJc w:val="left"/>
      <w:pPr>
        <w:ind w:left="720" w:hanging="360"/>
      </w:pPr>
      <w:rPr>
        <w:rFonts w:hint="default"/>
        <w:sz w:val="22"/>
      </w:rPr>
    </w:lvl>
    <w:lvl w:ilvl="1" w:tplc="FFFFFFFF">
      <w:start w:val="1"/>
      <w:numFmt w:val="bullet"/>
      <w:lvlText w:val="-"/>
      <w:lvlJc w:val="left"/>
      <w:pPr>
        <w:ind w:left="720" w:hanging="360"/>
      </w:pPr>
      <w:rPr>
        <w:rFonts w:hint="default"/>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B314B71"/>
    <w:multiLevelType w:val="hybridMultilevel"/>
    <w:tmpl w:val="001A22C4"/>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7C755D0D"/>
    <w:multiLevelType w:val="hybridMultilevel"/>
    <w:tmpl w:val="B1D236D6"/>
    <w:lvl w:ilvl="0" w:tplc="A0FA3648">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FDB47FA"/>
    <w:multiLevelType w:val="hybridMultilevel"/>
    <w:tmpl w:val="3AE84A5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8349230">
    <w:abstractNumId w:val="68"/>
  </w:num>
  <w:num w:numId="2" w16cid:durableId="1546213221">
    <w:abstractNumId w:val="81"/>
  </w:num>
  <w:num w:numId="3" w16cid:durableId="1230075109">
    <w:abstractNumId w:val="45"/>
  </w:num>
  <w:num w:numId="4" w16cid:durableId="1924339659">
    <w:abstractNumId w:val="46"/>
  </w:num>
  <w:num w:numId="5" w16cid:durableId="363528957">
    <w:abstractNumId w:val="80"/>
  </w:num>
  <w:num w:numId="6" w16cid:durableId="1623461130">
    <w:abstractNumId w:val="60"/>
  </w:num>
  <w:num w:numId="7" w16cid:durableId="1581327753">
    <w:abstractNumId w:val="90"/>
  </w:num>
  <w:num w:numId="8" w16cid:durableId="1701786352">
    <w:abstractNumId w:val="13"/>
  </w:num>
  <w:num w:numId="9" w16cid:durableId="101384299">
    <w:abstractNumId w:val="85"/>
  </w:num>
  <w:num w:numId="10" w16cid:durableId="1763842330">
    <w:abstractNumId w:val="34"/>
  </w:num>
  <w:num w:numId="11" w16cid:durableId="1837499129">
    <w:abstractNumId w:val="87"/>
  </w:num>
  <w:num w:numId="12" w16cid:durableId="1223951686">
    <w:abstractNumId w:val="74"/>
  </w:num>
  <w:num w:numId="13" w16cid:durableId="1571383319">
    <w:abstractNumId w:val="47"/>
  </w:num>
  <w:num w:numId="14" w16cid:durableId="1177504001">
    <w:abstractNumId w:val="65"/>
  </w:num>
  <w:num w:numId="15" w16cid:durableId="872890373">
    <w:abstractNumId w:val="41"/>
  </w:num>
  <w:num w:numId="16" w16cid:durableId="534387212">
    <w:abstractNumId w:val="61"/>
  </w:num>
  <w:num w:numId="17" w16cid:durableId="1918436416">
    <w:abstractNumId w:val="88"/>
  </w:num>
  <w:num w:numId="18" w16cid:durableId="1150051780">
    <w:abstractNumId w:val="76"/>
  </w:num>
  <w:num w:numId="19" w16cid:durableId="1778522461">
    <w:abstractNumId w:val="51"/>
  </w:num>
  <w:num w:numId="20" w16cid:durableId="366485988">
    <w:abstractNumId w:val="52"/>
  </w:num>
  <w:num w:numId="21" w16cid:durableId="817384554">
    <w:abstractNumId w:val="26"/>
  </w:num>
  <w:num w:numId="22" w16cid:durableId="1101922943">
    <w:abstractNumId w:val="83"/>
  </w:num>
  <w:num w:numId="23" w16cid:durableId="1839151561">
    <w:abstractNumId w:val="20"/>
  </w:num>
  <w:num w:numId="24" w16cid:durableId="165559888">
    <w:abstractNumId w:val="37"/>
  </w:num>
  <w:num w:numId="25" w16cid:durableId="1028065762">
    <w:abstractNumId w:val="18"/>
  </w:num>
  <w:num w:numId="26" w16cid:durableId="931553683">
    <w:abstractNumId w:val="33"/>
  </w:num>
  <w:num w:numId="27" w16cid:durableId="1012804083">
    <w:abstractNumId w:val="64"/>
  </w:num>
  <w:num w:numId="28" w16cid:durableId="1280450175">
    <w:abstractNumId w:val="92"/>
  </w:num>
  <w:num w:numId="29" w16cid:durableId="616956817">
    <w:abstractNumId w:val="6"/>
  </w:num>
  <w:num w:numId="30" w16cid:durableId="1634285600">
    <w:abstractNumId w:val="22"/>
  </w:num>
  <w:num w:numId="31" w16cid:durableId="1046442590">
    <w:abstractNumId w:val="55"/>
  </w:num>
  <w:num w:numId="32" w16cid:durableId="1253851989">
    <w:abstractNumId w:val="54"/>
  </w:num>
  <w:num w:numId="33" w16cid:durableId="78261847">
    <w:abstractNumId w:val="56"/>
  </w:num>
  <w:num w:numId="34" w16cid:durableId="2055887939">
    <w:abstractNumId w:val="73"/>
  </w:num>
  <w:num w:numId="35" w16cid:durableId="1607887123">
    <w:abstractNumId w:val="9"/>
  </w:num>
  <w:num w:numId="36" w16cid:durableId="6181541">
    <w:abstractNumId w:val="78"/>
  </w:num>
  <w:num w:numId="37" w16cid:durableId="1586760672">
    <w:abstractNumId w:val="57"/>
  </w:num>
  <w:num w:numId="38" w16cid:durableId="1192718423">
    <w:abstractNumId w:val="86"/>
  </w:num>
  <w:num w:numId="39" w16cid:durableId="782919249">
    <w:abstractNumId w:val="28"/>
  </w:num>
  <w:num w:numId="40" w16cid:durableId="436876538">
    <w:abstractNumId w:val="25"/>
  </w:num>
  <w:num w:numId="41" w16cid:durableId="2058581979">
    <w:abstractNumId w:val="53"/>
  </w:num>
  <w:num w:numId="42" w16cid:durableId="397166577">
    <w:abstractNumId w:val="17"/>
  </w:num>
  <w:num w:numId="43" w16cid:durableId="1933850489">
    <w:abstractNumId w:val="84"/>
  </w:num>
  <w:num w:numId="44" w16cid:durableId="423067074">
    <w:abstractNumId w:val="42"/>
  </w:num>
  <w:num w:numId="45" w16cid:durableId="1677414244">
    <w:abstractNumId w:val="62"/>
  </w:num>
  <w:num w:numId="46" w16cid:durableId="1434208988">
    <w:abstractNumId w:val="14"/>
  </w:num>
  <w:num w:numId="47" w16cid:durableId="429280834">
    <w:abstractNumId w:val="27"/>
  </w:num>
  <w:num w:numId="48" w16cid:durableId="891889687">
    <w:abstractNumId w:val="50"/>
  </w:num>
  <w:num w:numId="49" w16cid:durableId="808934477">
    <w:abstractNumId w:val="75"/>
  </w:num>
  <w:num w:numId="50" w16cid:durableId="698891731">
    <w:abstractNumId w:val="38"/>
  </w:num>
  <w:num w:numId="51" w16cid:durableId="1377703824">
    <w:abstractNumId w:val="48"/>
  </w:num>
  <w:num w:numId="52" w16cid:durableId="358748411">
    <w:abstractNumId w:val="69"/>
  </w:num>
  <w:num w:numId="53" w16cid:durableId="513034347">
    <w:abstractNumId w:val="8"/>
  </w:num>
  <w:num w:numId="54" w16cid:durableId="1778599272">
    <w:abstractNumId w:val="43"/>
  </w:num>
  <w:num w:numId="55" w16cid:durableId="1723092927">
    <w:abstractNumId w:val="72"/>
  </w:num>
  <w:num w:numId="56" w16cid:durableId="932861238">
    <w:abstractNumId w:val="12"/>
  </w:num>
  <w:num w:numId="57" w16cid:durableId="1744521575">
    <w:abstractNumId w:val="59"/>
  </w:num>
  <w:num w:numId="58" w16cid:durableId="1582983765">
    <w:abstractNumId w:val="30"/>
  </w:num>
  <w:num w:numId="59" w16cid:durableId="1005665206">
    <w:abstractNumId w:val="44"/>
  </w:num>
  <w:num w:numId="60" w16cid:durableId="1287128279">
    <w:abstractNumId w:val="31"/>
  </w:num>
  <w:num w:numId="61" w16cid:durableId="646594500">
    <w:abstractNumId w:val="32"/>
  </w:num>
  <w:num w:numId="62" w16cid:durableId="831411989">
    <w:abstractNumId w:val="70"/>
  </w:num>
  <w:num w:numId="63" w16cid:durableId="1626502510">
    <w:abstractNumId w:val="67"/>
  </w:num>
  <w:num w:numId="64" w16cid:durableId="1051199103">
    <w:abstractNumId w:val="82"/>
  </w:num>
  <w:num w:numId="65" w16cid:durableId="743915350">
    <w:abstractNumId w:val="91"/>
  </w:num>
  <w:num w:numId="66" w16cid:durableId="1731414701">
    <w:abstractNumId w:val="29"/>
  </w:num>
  <w:num w:numId="67" w16cid:durableId="1358195734">
    <w:abstractNumId w:val="36"/>
  </w:num>
  <w:num w:numId="68" w16cid:durableId="2109231550">
    <w:abstractNumId w:val="58"/>
  </w:num>
  <w:num w:numId="69" w16cid:durableId="1923640469">
    <w:abstractNumId w:val="11"/>
  </w:num>
  <w:num w:numId="70" w16cid:durableId="97870636">
    <w:abstractNumId w:val="49"/>
  </w:num>
  <w:num w:numId="71" w16cid:durableId="44835668">
    <w:abstractNumId w:val="35"/>
  </w:num>
  <w:num w:numId="72" w16cid:durableId="189076212">
    <w:abstractNumId w:val="79"/>
  </w:num>
  <w:num w:numId="73" w16cid:durableId="954600791">
    <w:abstractNumId w:val="19"/>
  </w:num>
  <w:num w:numId="74" w16cid:durableId="735517874">
    <w:abstractNumId w:val="2"/>
  </w:num>
  <w:num w:numId="75" w16cid:durableId="1396733984">
    <w:abstractNumId w:val="5"/>
  </w:num>
  <w:num w:numId="76" w16cid:durableId="1765766141">
    <w:abstractNumId w:val="4"/>
  </w:num>
  <w:num w:numId="77" w16cid:durableId="1448545354">
    <w:abstractNumId w:val="15"/>
  </w:num>
  <w:num w:numId="78" w16cid:durableId="365062920">
    <w:abstractNumId w:val="21"/>
  </w:num>
  <w:num w:numId="79" w16cid:durableId="1573782522">
    <w:abstractNumId w:val="7"/>
  </w:num>
  <w:num w:numId="80" w16cid:durableId="1291473462">
    <w:abstractNumId w:val="1"/>
  </w:num>
  <w:num w:numId="81" w16cid:durableId="1248732097">
    <w:abstractNumId w:val="77"/>
  </w:num>
  <w:num w:numId="82" w16cid:durableId="433013674">
    <w:abstractNumId w:val="0"/>
  </w:num>
  <w:num w:numId="83" w16cid:durableId="1509254799">
    <w:abstractNumId w:val="3"/>
  </w:num>
  <w:num w:numId="84" w16cid:durableId="1478645141">
    <w:abstractNumId w:val="39"/>
  </w:num>
  <w:num w:numId="85" w16cid:durableId="1545672953">
    <w:abstractNumId w:val="40"/>
  </w:num>
  <w:num w:numId="86" w16cid:durableId="165440008">
    <w:abstractNumId w:val="63"/>
  </w:num>
  <w:num w:numId="87" w16cid:durableId="1580214024">
    <w:abstractNumId w:val="71"/>
  </w:num>
  <w:num w:numId="88" w16cid:durableId="268394088">
    <w:abstractNumId w:val="23"/>
  </w:num>
  <w:num w:numId="89" w16cid:durableId="1035958462">
    <w:abstractNumId w:val="66"/>
  </w:num>
  <w:num w:numId="90" w16cid:durableId="703094788">
    <w:abstractNumId w:val="24"/>
  </w:num>
  <w:num w:numId="91" w16cid:durableId="92285975">
    <w:abstractNumId w:val="10"/>
  </w:num>
  <w:num w:numId="92" w16cid:durableId="826440152">
    <w:abstractNumId w:val="89"/>
  </w:num>
  <w:num w:numId="93" w16cid:durableId="1313870462">
    <w:abstractNumId w:val="1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1D79"/>
    <w:rsid w:val="00001D9B"/>
    <w:rsid w:val="000040AC"/>
    <w:rsid w:val="00007B47"/>
    <w:rsid w:val="00012033"/>
    <w:rsid w:val="00012589"/>
    <w:rsid w:val="0001324B"/>
    <w:rsid w:val="00014A9C"/>
    <w:rsid w:val="00017C97"/>
    <w:rsid w:val="0002004B"/>
    <w:rsid w:val="00021A06"/>
    <w:rsid w:val="000262BE"/>
    <w:rsid w:val="00036C74"/>
    <w:rsid w:val="00037B32"/>
    <w:rsid w:val="000517FD"/>
    <w:rsid w:val="000522DD"/>
    <w:rsid w:val="00052E48"/>
    <w:rsid w:val="000634A6"/>
    <w:rsid w:val="00067519"/>
    <w:rsid w:val="00085829"/>
    <w:rsid w:val="0009101E"/>
    <w:rsid w:val="00097611"/>
    <w:rsid w:val="000A1419"/>
    <w:rsid w:val="000A24D2"/>
    <w:rsid w:val="000B6476"/>
    <w:rsid w:val="000B7F95"/>
    <w:rsid w:val="000D6B80"/>
    <w:rsid w:val="000D7E1F"/>
    <w:rsid w:val="000E04CF"/>
    <w:rsid w:val="000F7F8F"/>
    <w:rsid w:val="00116CB4"/>
    <w:rsid w:val="00127026"/>
    <w:rsid w:val="00132A77"/>
    <w:rsid w:val="00135247"/>
    <w:rsid w:val="0013527F"/>
    <w:rsid w:val="0013626C"/>
    <w:rsid w:val="00140B92"/>
    <w:rsid w:val="0015270F"/>
    <w:rsid w:val="00154A99"/>
    <w:rsid w:val="00157471"/>
    <w:rsid w:val="00157637"/>
    <w:rsid w:val="001600BA"/>
    <w:rsid w:val="00160C7C"/>
    <w:rsid w:val="001722EF"/>
    <w:rsid w:val="00172F3D"/>
    <w:rsid w:val="0018150A"/>
    <w:rsid w:val="0018606E"/>
    <w:rsid w:val="0019060A"/>
    <w:rsid w:val="00190CD5"/>
    <w:rsid w:val="001945AD"/>
    <w:rsid w:val="00195EB5"/>
    <w:rsid w:val="001A0794"/>
    <w:rsid w:val="001A3022"/>
    <w:rsid w:val="001B1F53"/>
    <w:rsid w:val="001B2ACC"/>
    <w:rsid w:val="001B2B0C"/>
    <w:rsid w:val="001B5A47"/>
    <w:rsid w:val="001C306E"/>
    <w:rsid w:val="001C442F"/>
    <w:rsid w:val="001C64DA"/>
    <w:rsid w:val="001D011B"/>
    <w:rsid w:val="001D0E0C"/>
    <w:rsid w:val="001E378C"/>
    <w:rsid w:val="001E5B8F"/>
    <w:rsid w:val="001E67FF"/>
    <w:rsid w:val="001F1430"/>
    <w:rsid w:val="001F1895"/>
    <w:rsid w:val="001F4F42"/>
    <w:rsid w:val="001F7B49"/>
    <w:rsid w:val="001F7C5A"/>
    <w:rsid w:val="0021509E"/>
    <w:rsid w:val="002158EF"/>
    <w:rsid w:val="00216DAB"/>
    <w:rsid w:val="00220850"/>
    <w:rsid w:val="00220F21"/>
    <w:rsid w:val="0022151D"/>
    <w:rsid w:val="00226581"/>
    <w:rsid w:val="00234ED8"/>
    <w:rsid w:val="0023629B"/>
    <w:rsid w:val="00237C83"/>
    <w:rsid w:val="002458A1"/>
    <w:rsid w:val="00250DCD"/>
    <w:rsid w:val="00252B76"/>
    <w:rsid w:val="002559D3"/>
    <w:rsid w:val="00255F93"/>
    <w:rsid w:val="002606DA"/>
    <w:rsid w:val="002623F4"/>
    <w:rsid w:val="002707C6"/>
    <w:rsid w:val="00276D02"/>
    <w:rsid w:val="00292EEC"/>
    <w:rsid w:val="0029345F"/>
    <w:rsid w:val="00296ED8"/>
    <w:rsid w:val="002979DA"/>
    <w:rsid w:val="002A0881"/>
    <w:rsid w:val="002A0BA4"/>
    <w:rsid w:val="002A0CA9"/>
    <w:rsid w:val="002A6C0D"/>
    <w:rsid w:val="002B26B5"/>
    <w:rsid w:val="002B5D9F"/>
    <w:rsid w:val="002C65D7"/>
    <w:rsid w:val="002D0EEE"/>
    <w:rsid w:val="002D5C8E"/>
    <w:rsid w:val="002E2D5B"/>
    <w:rsid w:val="002E47B5"/>
    <w:rsid w:val="002E5DDD"/>
    <w:rsid w:val="002E6B2F"/>
    <w:rsid w:val="002E763F"/>
    <w:rsid w:val="002F589C"/>
    <w:rsid w:val="00303790"/>
    <w:rsid w:val="00304B46"/>
    <w:rsid w:val="00313FCF"/>
    <w:rsid w:val="00314D87"/>
    <w:rsid w:val="00324BC7"/>
    <w:rsid w:val="00326ADF"/>
    <w:rsid w:val="003313AA"/>
    <w:rsid w:val="00331A5B"/>
    <w:rsid w:val="00342B59"/>
    <w:rsid w:val="00347014"/>
    <w:rsid w:val="0035166F"/>
    <w:rsid w:val="00352EBB"/>
    <w:rsid w:val="00352F8F"/>
    <w:rsid w:val="003555DC"/>
    <w:rsid w:val="00363F4E"/>
    <w:rsid w:val="00364A87"/>
    <w:rsid w:val="0036738D"/>
    <w:rsid w:val="00372C33"/>
    <w:rsid w:val="0037700B"/>
    <w:rsid w:val="003814D3"/>
    <w:rsid w:val="00391845"/>
    <w:rsid w:val="003953DB"/>
    <w:rsid w:val="003A115D"/>
    <w:rsid w:val="003A4612"/>
    <w:rsid w:val="003A654B"/>
    <w:rsid w:val="003A6568"/>
    <w:rsid w:val="003A6F2A"/>
    <w:rsid w:val="003E7B82"/>
    <w:rsid w:val="003F7BAA"/>
    <w:rsid w:val="0040462F"/>
    <w:rsid w:val="00407979"/>
    <w:rsid w:val="00407B85"/>
    <w:rsid w:val="00420ABE"/>
    <w:rsid w:val="00421585"/>
    <w:rsid w:val="0042604C"/>
    <w:rsid w:val="00430A2A"/>
    <w:rsid w:val="00435715"/>
    <w:rsid w:val="00435E71"/>
    <w:rsid w:val="00437963"/>
    <w:rsid w:val="00441C18"/>
    <w:rsid w:val="004454C6"/>
    <w:rsid w:val="00445F53"/>
    <w:rsid w:val="0044696F"/>
    <w:rsid w:val="004543D6"/>
    <w:rsid w:val="004612D0"/>
    <w:rsid w:val="004646FE"/>
    <w:rsid w:val="004705AC"/>
    <w:rsid w:val="00476EEA"/>
    <w:rsid w:val="00477A66"/>
    <w:rsid w:val="004843AC"/>
    <w:rsid w:val="00492ECC"/>
    <w:rsid w:val="004A16EB"/>
    <w:rsid w:val="004A1B49"/>
    <w:rsid w:val="004A1D83"/>
    <w:rsid w:val="004B1282"/>
    <w:rsid w:val="004B2460"/>
    <w:rsid w:val="004B60F6"/>
    <w:rsid w:val="004C0355"/>
    <w:rsid w:val="004C68FC"/>
    <w:rsid w:val="004D1238"/>
    <w:rsid w:val="004D21C7"/>
    <w:rsid w:val="004D2B77"/>
    <w:rsid w:val="004E0206"/>
    <w:rsid w:val="004E0FC9"/>
    <w:rsid w:val="004E1ED4"/>
    <w:rsid w:val="004E4480"/>
    <w:rsid w:val="004F281D"/>
    <w:rsid w:val="00514685"/>
    <w:rsid w:val="005217BF"/>
    <w:rsid w:val="00521DCC"/>
    <w:rsid w:val="00541EF7"/>
    <w:rsid w:val="005509C6"/>
    <w:rsid w:val="00564624"/>
    <w:rsid w:val="00566578"/>
    <w:rsid w:val="00566824"/>
    <w:rsid w:val="005668B6"/>
    <w:rsid w:val="005670D0"/>
    <w:rsid w:val="005678E3"/>
    <w:rsid w:val="005763B1"/>
    <w:rsid w:val="00577557"/>
    <w:rsid w:val="0058123B"/>
    <w:rsid w:val="00581745"/>
    <w:rsid w:val="005824BC"/>
    <w:rsid w:val="0058343C"/>
    <w:rsid w:val="005937CB"/>
    <w:rsid w:val="00595DFA"/>
    <w:rsid w:val="00597C71"/>
    <w:rsid w:val="005A51BC"/>
    <w:rsid w:val="005A7BD2"/>
    <w:rsid w:val="005D2E06"/>
    <w:rsid w:val="005D7751"/>
    <w:rsid w:val="005E0393"/>
    <w:rsid w:val="005E30AB"/>
    <w:rsid w:val="005E5A06"/>
    <w:rsid w:val="005E77AD"/>
    <w:rsid w:val="005F1EF8"/>
    <w:rsid w:val="00600DF7"/>
    <w:rsid w:val="006022FC"/>
    <w:rsid w:val="00603521"/>
    <w:rsid w:val="00604011"/>
    <w:rsid w:val="00612A2D"/>
    <w:rsid w:val="00612AB0"/>
    <w:rsid w:val="00621BBC"/>
    <w:rsid w:val="0062227D"/>
    <w:rsid w:val="0062228B"/>
    <w:rsid w:val="006241C1"/>
    <w:rsid w:val="00626A12"/>
    <w:rsid w:val="00631705"/>
    <w:rsid w:val="00633722"/>
    <w:rsid w:val="006406C7"/>
    <w:rsid w:val="00644F4E"/>
    <w:rsid w:val="006479B1"/>
    <w:rsid w:val="00650BB5"/>
    <w:rsid w:val="00661831"/>
    <w:rsid w:val="00663878"/>
    <w:rsid w:val="00667014"/>
    <w:rsid w:val="00676D2D"/>
    <w:rsid w:val="00684B07"/>
    <w:rsid w:val="006851B1"/>
    <w:rsid w:val="006855F3"/>
    <w:rsid w:val="006872FC"/>
    <w:rsid w:val="006904A5"/>
    <w:rsid w:val="00690BDA"/>
    <w:rsid w:val="006918EB"/>
    <w:rsid w:val="006925E6"/>
    <w:rsid w:val="00695FD8"/>
    <w:rsid w:val="00696ED9"/>
    <w:rsid w:val="006A196C"/>
    <w:rsid w:val="006B2579"/>
    <w:rsid w:val="006B31CE"/>
    <w:rsid w:val="006B373A"/>
    <w:rsid w:val="006B71F6"/>
    <w:rsid w:val="006B781F"/>
    <w:rsid w:val="006C0806"/>
    <w:rsid w:val="006C2CAE"/>
    <w:rsid w:val="006C71C4"/>
    <w:rsid w:val="006D0324"/>
    <w:rsid w:val="006D1096"/>
    <w:rsid w:val="006D4697"/>
    <w:rsid w:val="006E21A1"/>
    <w:rsid w:val="006E2B44"/>
    <w:rsid w:val="006F1EC6"/>
    <w:rsid w:val="00704AA0"/>
    <w:rsid w:val="00705C2D"/>
    <w:rsid w:val="00707518"/>
    <w:rsid w:val="007117E8"/>
    <w:rsid w:val="00712359"/>
    <w:rsid w:val="007151A8"/>
    <w:rsid w:val="007161BE"/>
    <w:rsid w:val="00717F68"/>
    <w:rsid w:val="0072396E"/>
    <w:rsid w:val="00724D7C"/>
    <w:rsid w:val="0072519C"/>
    <w:rsid w:val="007267DC"/>
    <w:rsid w:val="00736837"/>
    <w:rsid w:val="00740DB7"/>
    <w:rsid w:val="00740E6E"/>
    <w:rsid w:val="00740F33"/>
    <w:rsid w:val="00755416"/>
    <w:rsid w:val="00756549"/>
    <w:rsid w:val="007604FE"/>
    <w:rsid w:val="007649B4"/>
    <w:rsid w:val="007663B8"/>
    <w:rsid w:val="00771FE3"/>
    <w:rsid w:val="00772331"/>
    <w:rsid w:val="00772F90"/>
    <w:rsid w:val="00783720"/>
    <w:rsid w:val="0078437F"/>
    <w:rsid w:val="007A5503"/>
    <w:rsid w:val="007A6417"/>
    <w:rsid w:val="007A747F"/>
    <w:rsid w:val="007B29EE"/>
    <w:rsid w:val="007C16F8"/>
    <w:rsid w:val="007C4A52"/>
    <w:rsid w:val="007E61E1"/>
    <w:rsid w:val="007F5BE4"/>
    <w:rsid w:val="008055F8"/>
    <w:rsid w:val="0080656F"/>
    <w:rsid w:val="0081051F"/>
    <w:rsid w:val="00815FDD"/>
    <w:rsid w:val="00830EB8"/>
    <w:rsid w:val="00834026"/>
    <w:rsid w:val="00836C64"/>
    <w:rsid w:val="00840ACC"/>
    <w:rsid w:val="0084194D"/>
    <w:rsid w:val="008447A0"/>
    <w:rsid w:val="00864B0A"/>
    <w:rsid w:val="0086733A"/>
    <w:rsid w:val="008757FA"/>
    <w:rsid w:val="0089031E"/>
    <w:rsid w:val="00890A67"/>
    <w:rsid w:val="008A566D"/>
    <w:rsid w:val="008B0AD2"/>
    <w:rsid w:val="008B35EA"/>
    <w:rsid w:val="008C0496"/>
    <w:rsid w:val="008C210B"/>
    <w:rsid w:val="008C4AE7"/>
    <w:rsid w:val="008C60DC"/>
    <w:rsid w:val="008D1D54"/>
    <w:rsid w:val="008E5FFA"/>
    <w:rsid w:val="008E69DB"/>
    <w:rsid w:val="008F2944"/>
    <w:rsid w:val="00905303"/>
    <w:rsid w:val="00905725"/>
    <w:rsid w:val="00912AD2"/>
    <w:rsid w:val="0094307B"/>
    <w:rsid w:val="00953D77"/>
    <w:rsid w:val="00954587"/>
    <w:rsid w:val="00963409"/>
    <w:rsid w:val="00964B35"/>
    <w:rsid w:val="009656D4"/>
    <w:rsid w:val="00967D60"/>
    <w:rsid w:val="00970966"/>
    <w:rsid w:val="00975827"/>
    <w:rsid w:val="00980355"/>
    <w:rsid w:val="0098046E"/>
    <w:rsid w:val="00983DA7"/>
    <w:rsid w:val="00987E78"/>
    <w:rsid w:val="0099475B"/>
    <w:rsid w:val="009A7EB0"/>
    <w:rsid w:val="009C0569"/>
    <w:rsid w:val="009C44D6"/>
    <w:rsid w:val="009C6A64"/>
    <w:rsid w:val="009D6D30"/>
    <w:rsid w:val="009F1AF3"/>
    <w:rsid w:val="00A01397"/>
    <w:rsid w:val="00A0382B"/>
    <w:rsid w:val="00A04368"/>
    <w:rsid w:val="00A04F40"/>
    <w:rsid w:val="00A127DC"/>
    <w:rsid w:val="00A1736E"/>
    <w:rsid w:val="00A20D84"/>
    <w:rsid w:val="00A21B70"/>
    <w:rsid w:val="00A2345E"/>
    <w:rsid w:val="00A316FB"/>
    <w:rsid w:val="00A37BAA"/>
    <w:rsid w:val="00A40202"/>
    <w:rsid w:val="00A4325B"/>
    <w:rsid w:val="00A4350A"/>
    <w:rsid w:val="00A4584D"/>
    <w:rsid w:val="00A52309"/>
    <w:rsid w:val="00A65A8A"/>
    <w:rsid w:val="00A66383"/>
    <w:rsid w:val="00A67351"/>
    <w:rsid w:val="00A75E81"/>
    <w:rsid w:val="00A77D77"/>
    <w:rsid w:val="00A911A2"/>
    <w:rsid w:val="00A94D6F"/>
    <w:rsid w:val="00A95C0C"/>
    <w:rsid w:val="00A9682A"/>
    <w:rsid w:val="00AA239D"/>
    <w:rsid w:val="00AC271D"/>
    <w:rsid w:val="00AC5286"/>
    <w:rsid w:val="00AC7284"/>
    <w:rsid w:val="00AD1927"/>
    <w:rsid w:val="00AF2A96"/>
    <w:rsid w:val="00B003EB"/>
    <w:rsid w:val="00B02591"/>
    <w:rsid w:val="00B17E34"/>
    <w:rsid w:val="00B243D9"/>
    <w:rsid w:val="00B430C3"/>
    <w:rsid w:val="00B459E2"/>
    <w:rsid w:val="00B672A6"/>
    <w:rsid w:val="00B85731"/>
    <w:rsid w:val="00B85C82"/>
    <w:rsid w:val="00B97523"/>
    <w:rsid w:val="00BA0FFC"/>
    <w:rsid w:val="00BB4034"/>
    <w:rsid w:val="00BC4BDF"/>
    <w:rsid w:val="00BC57C7"/>
    <w:rsid w:val="00BD4C10"/>
    <w:rsid w:val="00BF0165"/>
    <w:rsid w:val="00BF4210"/>
    <w:rsid w:val="00C001BA"/>
    <w:rsid w:val="00C02DBB"/>
    <w:rsid w:val="00C148A6"/>
    <w:rsid w:val="00C148C9"/>
    <w:rsid w:val="00C201D1"/>
    <w:rsid w:val="00C24DC9"/>
    <w:rsid w:val="00C258F7"/>
    <w:rsid w:val="00C308E0"/>
    <w:rsid w:val="00C3323C"/>
    <w:rsid w:val="00C343C7"/>
    <w:rsid w:val="00C34A50"/>
    <w:rsid w:val="00C3633F"/>
    <w:rsid w:val="00C44324"/>
    <w:rsid w:val="00C45503"/>
    <w:rsid w:val="00C56D0D"/>
    <w:rsid w:val="00C625EE"/>
    <w:rsid w:val="00C64F91"/>
    <w:rsid w:val="00C6773E"/>
    <w:rsid w:val="00C778BA"/>
    <w:rsid w:val="00C84083"/>
    <w:rsid w:val="00C855F4"/>
    <w:rsid w:val="00C87ECD"/>
    <w:rsid w:val="00C96A0C"/>
    <w:rsid w:val="00CA211E"/>
    <w:rsid w:val="00CA34DC"/>
    <w:rsid w:val="00CA5ADC"/>
    <w:rsid w:val="00CA696A"/>
    <w:rsid w:val="00CA7843"/>
    <w:rsid w:val="00CB5BA0"/>
    <w:rsid w:val="00CB6118"/>
    <w:rsid w:val="00CB6515"/>
    <w:rsid w:val="00CB684A"/>
    <w:rsid w:val="00CC094E"/>
    <w:rsid w:val="00CC11C3"/>
    <w:rsid w:val="00CC769A"/>
    <w:rsid w:val="00CD04F2"/>
    <w:rsid w:val="00CE11B4"/>
    <w:rsid w:val="00CE27D1"/>
    <w:rsid w:val="00CF2C60"/>
    <w:rsid w:val="00D072C3"/>
    <w:rsid w:val="00D178CD"/>
    <w:rsid w:val="00D24928"/>
    <w:rsid w:val="00D31EA2"/>
    <w:rsid w:val="00D33BD9"/>
    <w:rsid w:val="00D351B4"/>
    <w:rsid w:val="00D41288"/>
    <w:rsid w:val="00D412B8"/>
    <w:rsid w:val="00D51908"/>
    <w:rsid w:val="00D5657F"/>
    <w:rsid w:val="00D61653"/>
    <w:rsid w:val="00D67363"/>
    <w:rsid w:val="00D721B0"/>
    <w:rsid w:val="00D8706D"/>
    <w:rsid w:val="00D90A84"/>
    <w:rsid w:val="00D917AC"/>
    <w:rsid w:val="00D93572"/>
    <w:rsid w:val="00D9373C"/>
    <w:rsid w:val="00D95F80"/>
    <w:rsid w:val="00DA0AE8"/>
    <w:rsid w:val="00DA1F5B"/>
    <w:rsid w:val="00DA53CB"/>
    <w:rsid w:val="00DA5D24"/>
    <w:rsid w:val="00DA7EB5"/>
    <w:rsid w:val="00DB2BDB"/>
    <w:rsid w:val="00DB755A"/>
    <w:rsid w:val="00DC7945"/>
    <w:rsid w:val="00DD1B09"/>
    <w:rsid w:val="00DD6203"/>
    <w:rsid w:val="00DE01F8"/>
    <w:rsid w:val="00DE44B4"/>
    <w:rsid w:val="00DE4D59"/>
    <w:rsid w:val="00DE7545"/>
    <w:rsid w:val="00DF3A9A"/>
    <w:rsid w:val="00DF5BE1"/>
    <w:rsid w:val="00DF6FAF"/>
    <w:rsid w:val="00E05387"/>
    <w:rsid w:val="00E056FF"/>
    <w:rsid w:val="00E05F35"/>
    <w:rsid w:val="00E0641F"/>
    <w:rsid w:val="00E06932"/>
    <w:rsid w:val="00E109DD"/>
    <w:rsid w:val="00E1240E"/>
    <w:rsid w:val="00E15BC4"/>
    <w:rsid w:val="00E2154D"/>
    <w:rsid w:val="00E26EC5"/>
    <w:rsid w:val="00E30D38"/>
    <w:rsid w:val="00E401E2"/>
    <w:rsid w:val="00E40E22"/>
    <w:rsid w:val="00E4413C"/>
    <w:rsid w:val="00E4557B"/>
    <w:rsid w:val="00E47ED5"/>
    <w:rsid w:val="00E51063"/>
    <w:rsid w:val="00E53515"/>
    <w:rsid w:val="00E53B84"/>
    <w:rsid w:val="00E53EE9"/>
    <w:rsid w:val="00E54111"/>
    <w:rsid w:val="00E54EBA"/>
    <w:rsid w:val="00E563DA"/>
    <w:rsid w:val="00E641C5"/>
    <w:rsid w:val="00E65848"/>
    <w:rsid w:val="00E74E53"/>
    <w:rsid w:val="00E77D2F"/>
    <w:rsid w:val="00E86A16"/>
    <w:rsid w:val="00E9384E"/>
    <w:rsid w:val="00E9779A"/>
    <w:rsid w:val="00EA0BF4"/>
    <w:rsid w:val="00EA6A6A"/>
    <w:rsid w:val="00EB023B"/>
    <w:rsid w:val="00EB06EF"/>
    <w:rsid w:val="00EB0F50"/>
    <w:rsid w:val="00EB110B"/>
    <w:rsid w:val="00EB2ADC"/>
    <w:rsid w:val="00EB427D"/>
    <w:rsid w:val="00EB587E"/>
    <w:rsid w:val="00EC0166"/>
    <w:rsid w:val="00EC61CF"/>
    <w:rsid w:val="00EC65D8"/>
    <w:rsid w:val="00ED34D9"/>
    <w:rsid w:val="00ED416F"/>
    <w:rsid w:val="00ED5B02"/>
    <w:rsid w:val="00EE567E"/>
    <w:rsid w:val="00EE6C00"/>
    <w:rsid w:val="00EF1255"/>
    <w:rsid w:val="00EF7CDF"/>
    <w:rsid w:val="00F0015E"/>
    <w:rsid w:val="00F018CF"/>
    <w:rsid w:val="00F1038D"/>
    <w:rsid w:val="00F20214"/>
    <w:rsid w:val="00F20730"/>
    <w:rsid w:val="00F20FB6"/>
    <w:rsid w:val="00F23E78"/>
    <w:rsid w:val="00F26990"/>
    <w:rsid w:val="00F32990"/>
    <w:rsid w:val="00F33A45"/>
    <w:rsid w:val="00F41314"/>
    <w:rsid w:val="00F43D60"/>
    <w:rsid w:val="00F44B6B"/>
    <w:rsid w:val="00F56BE7"/>
    <w:rsid w:val="00F676CB"/>
    <w:rsid w:val="00F67D77"/>
    <w:rsid w:val="00F740C2"/>
    <w:rsid w:val="00F74549"/>
    <w:rsid w:val="00F814F3"/>
    <w:rsid w:val="00F848BC"/>
    <w:rsid w:val="00F86E42"/>
    <w:rsid w:val="00F87296"/>
    <w:rsid w:val="00F87678"/>
    <w:rsid w:val="00F95494"/>
    <w:rsid w:val="00FA10E7"/>
    <w:rsid w:val="00FA517C"/>
    <w:rsid w:val="00FA5B87"/>
    <w:rsid w:val="00FA67A2"/>
    <w:rsid w:val="00FB19AA"/>
    <w:rsid w:val="00FB7696"/>
    <w:rsid w:val="00FC17FB"/>
    <w:rsid w:val="00FD1AC2"/>
    <w:rsid w:val="00FD3F78"/>
    <w:rsid w:val="00FE0978"/>
    <w:rsid w:val="00FE2C2B"/>
    <w:rsid w:val="00FE6F4B"/>
    <w:rsid w:val="00FF28C2"/>
    <w:rsid w:val="00FF34DE"/>
    <w:rsid w:val="00FF5762"/>
    <w:rsid w:val="00FF588C"/>
    <w:rsid w:val="00FF5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4232"/>
  <w15:docId w15:val="{0CFB467B-FE89-45A1-AE57-AF714637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55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1"/>
    <w:qFormat/>
    <w:rsid w:val="002A0CA9"/>
    <w:pPr>
      <w:ind w:left="720"/>
      <w:contextualSpacing/>
    </w:pPr>
  </w:style>
  <w:style w:type="table" w:styleId="Lentelstinklelis">
    <w:name w:val="Table Grid"/>
    <w:basedOn w:val="prastojilentel"/>
    <w:rsid w:val="005678E3"/>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7267DC"/>
    <w:rPr>
      <w:noProof/>
      <w:sz w:val="22"/>
      <w:szCs w:val="22"/>
    </w:rPr>
  </w:style>
  <w:style w:type="character" w:customStyle="1" w:styleId="BTEMEASMCAChar">
    <w:name w:val="BT EMEA_SMCA Char"/>
    <w:link w:val="BTEMEASMCA"/>
    <w:uiPriority w:val="99"/>
    <w:rsid w:val="007267DC"/>
    <w:rPr>
      <w:noProof/>
      <w:sz w:val="22"/>
      <w:szCs w:val="22"/>
    </w:rPr>
  </w:style>
  <w:style w:type="character" w:styleId="Hipersaitas">
    <w:name w:val="Hyperlink"/>
    <w:basedOn w:val="Numatytasispastraiposriftas"/>
    <w:unhideWhenUsed/>
    <w:rsid w:val="00541EF7"/>
    <w:rPr>
      <w:color w:val="0563C1" w:themeColor="hyperlink"/>
      <w:u w:val="single"/>
    </w:rPr>
  </w:style>
  <w:style w:type="paragraph" w:styleId="HTMLiankstoformatuotas">
    <w:name w:val="HTML Preformatted"/>
    <w:basedOn w:val="prastasis"/>
    <w:link w:val="HTMLiankstoformatuotasDiagrama"/>
    <w:uiPriority w:val="99"/>
    <w:semiHidden/>
    <w:unhideWhenUsed/>
    <w:rsid w:val="00E5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E563DA"/>
    <w:rPr>
      <w:rFonts w:ascii="Courier New" w:hAnsi="Courier New" w:cs="Courier New"/>
      <w:sz w:val="20"/>
      <w:lang w:val="en-US"/>
    </w:rPr>
  </w:style>
  <w:style w:type="character" w:customStyle="1" w:styleId="y2iqfc">
    <w:name w:val="y2iqfc"/>
    <w:basedOn w:val="Numatytasispastraiposriftas"/>
    <w:rsid w:val="00E563DA"/>
  </w:style>
  <w:style w:type="paragraph" w:styleId="Pataisymai">
    <w:name w:val="Revision"/>
    <w:hidden/>
    <w:semiHidden/>
    <w:rsid w:val="004D21C7"/>
  </w:style>
  <w:style w:type="character" w:styleId="Komentaronuoroda">
    <w:name w:val="annotation reference"/>
    <w:basedOn w:val="Numatytasispastraiposriftas"/>
    <w:unhideWhenUsed/>
    <w:rsid w:val="00834026"/>
    <w:rPr>
      <w:sz w:val="16"/>
      <w:szCs w:val="16"/>
    </w:rPr>
  </w:style>
  <w:style w:type="paragraph" w:styleId="Komentarotekstas">
    <w:name w:val="annotation text"/>
    <w:basedOn w:val="prastasis"/>
    <w:link w:val="KomentarotekstasDiagrama"/>
    <w:unhideWhenUsed/>
    <w:rsid w:val="00834026"/>
    <w:rPr>
      <w:sz w:val="20"/>
    </w:rPr>
  </w:style>
  <w:style w:type="character" w:customStyle="1" w:styleId="KomentarotekstasDiagrama">
    <w:name w:val="Komentaro tekstas Diagrama"/>
    <w:basedOn w:val="Numatytasispastraiposriftas"/>
    <w:link w:val="Komentarotekstas"/>
    <w:rsid w:val="00834026"/>
    <w:rPr>
      <w:sz w:val="20"/>
    </w:rPr>
  </w:style>
  <w:style w:type="paragraph" w:styleId="Komentarotema">
    <w:name w:val="annotation subject"/>
    <w:basedOn w:val="Komentarotekstas"/>
    <w:next w:val="Komentarotekstas"/>
    <w:link w:val="KomentarotemaDiagrama"/>
    <w:semiHidden/>
    <w:unhideWhenUsed/>
    <w:rsid w:val="00834026"/>
    <w:rPr>
      <w:b/>
      <w:bCs/>
    </w:rPr>
  </w:style>
  <w:style w:type="character" w:customStyle="1" w:styleId="KomentarotemaDiagrama">
    <w:name w:val="Komentaro tema Diagrama"/>
    <w:basedOn w:val="KomentarotekstasDiagrama"/>
    <w:link w:val="Komentarotema"/>
    <w:semiHidden/>
    <w:rsid w:val="00834026"/>
    <w:rPr>
      <w:b/>
      <w:bCs/>
      <w:sz w:val="20"/>
    </w:rPr>
  </w:style>
  <w:style w:type="character" w:styleId="Emfaz">
    <w:name w:val="Emphasis"/>
    <w:basedOn w:val="Numatytasispastraiposriftas"/>
    <w:uiPriority w:val="20"/>
    <w:qFormat/>
    <w:rsid w:val="001F7B49"/>
    <w:rPr>
      <w:i/>
      <w:iCs/>
    </w:rPr>
  </w:style>
  <w:style w:type="character" w:customStyle="1" w:styleId="UnresolvedMention1">
    <w:name w:val="Unresolved Mention1"/>
    <w:basedOn w:val="Numatytasispastraiposriftas"/>
    <w:uiPriority w:val="99"/>
    <w:semiHidden/>
    <w:unhideWhenUsed/>
    <w:rsid w:val="00F33A45"/>
    <w:rPr>
      <w:color w:val="605E5C"/>
      <w:shd w:val="clear" w:color="auto" w:fill="E1DFDD"/>
    </w:rPr>
  </w:style>
  <w:style w:type="character" w:customStyle="1" w:styleId="Neapdorotaspaminjimas1">
    <w:name w:val="Neapdorotas paminėjimas1"/>
    <w:basedOn w:val="Numatytasispastraiposriftas"/>
    <w:uiPriority w:val="99"/>
    <w:semiHidden/>
    <w:unhideWhenUsed/>
    <w:rsid w:val="00836C64"/>
    <w:rPr>
      <w:color w:val="605E5C"/>
      <w:shd w:val="clear" w:color="auto" w:fill="E1DFDD"/>
    </w:rPr>
  </w:style>
  <w:style w:type="paragraph" w:styleId="Pagrindinistekstas">
    <w:name w:val="Body Text"/>
    <w:basedOn w:val="prastasis"/>
    <w:link w:val="PagrindinistekstasDiagrama"/>
    <w:rsid w:val="00252B76"/>
    <w:rPr>
      <w:i/>
      <w:color w:val="008000"/>
      <w:sz w:val="22"/>
      <w:lang w:val="en-GB"/>
    </w:rPr>
  </w:style>
  <w:style w:type="character" w:customStyle="1" w:styleId="PagrindinistekstasDiagrama">
    <w:name w:val="Pagrindinis tekstas Diagrama"/>
    <w:basedOn w:val="Numatytasispastraiposriftas"/>
    <w:link w:val="Pagrindinistekstas"/>
    <w:rsid w:val="00252B76"/>
    <w:rPr>
      <w:i/>
      <w:color w:val="008000"/>
      <w:sz w:val="22"/>
      <w:lang w:val="en-GB"/>
    </w:rPr>
  </w:style>
  <w:style w:type="table" w:customStyle="1" w:styleId="TableNormal1">
    <w:name w:val="Table Normal1"/>
    <w:uiPriority w:val="2"/>
    <w:semiHidden/>
    <w:unhideWhenUsed/>
    <w:qFormat/>
    <w:rsid w:val="00252B76"/>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52B76"/>
    <w:pPr>
      <w:widowControl w:val="0"/>
      <w:autoSpaceDE w:val="0"/>
      <w:autoSpaceDN w:val="0"/>
    </w:pPr>
    <w:rPr>
      <w:sz w:val="22"/>
      <w:szCs w:val="22"/>
      <w:lang w:val="en-US"/>
    </w:rPr>
  </w:style>
  <w:style w:type="paragraph" w:customStyle="1" w:styleId="Default">
    <w:name w:val="Default"/>
    <w:rsid w:val="005E5A06"/>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2348">
      <w:bodyDiv w:val="1"/>
      <w:marLeft w:val="0"/>
      <w:marRight w:val="0"/>
      <w:marTop w:val="0"/>
      <w:marBottom w:val="0"/>
      <w:divBdr>
        <w:top w:val="none" w:sz="0" w:space="0" w:color="auto"/>
        <w:left w:val="none" w:sz="0" w:space="0" w:color="auto"/>
        <w:bottom w:val="none" w:sz="0" w:space="0" w:color="auto"/>
        <w:right w:val="none" w:sz="0" w:space="0" w:color="auto"/>
      </w:divBdr>
    </w:div>
    <w:div w:id="119538730">
      <w:bodyDiv w:val="1"/>
      <w:marLeft w:val="0"/>
      <w:marRight w:val="0"/>
      <w:marTop w:val="0"/>
      <w:marBottom w:val="0"/>
      <w:divBdr>
        <w:top w:val="none" w:sz="0" w:space="0" w:color="auto"/>
        <w:left w:val="none" w:sz="0" w:space="0" w:color="auto"/>
        <w:bottom w:val="none" w:sz="0" w:space="0" w:color="auto"/>
        <w:right w:val="none" w:sz="0" w:space="0" w:color="auto"/>
      </w:divBdr>
    </w:div>
    <w:div w:id="171575350">
      <w:bodyDiv w:val="1"/>
      <w:marLeft w:val="0"/>
      <w:marRight w:val="0"/>
      <w:marTop w:val="0"/>
      <w:marBottom w:val="0"/>
      <w:divBdr>
        <w:top w:val="none" w:sz="0" w:space="0" w:color="auto"/>
        <w:left w:val="none" w:sz="0" w:space="0" w:color="auto"/>
        <w:bottom w:val="none" w:sz="0" w:space="0" w:color="auto"/>
        <w:right w:val="none" w:sz="0" w:space="0" w:color="auto"/>
      </w:divBdr>
    </w:div>
    <w:div w:id="291836399">
      <w:bodyDiv w:val="1"/>
      <w:marLeft w:val="0"/>
      <w:marRight w:val="0"/>
      <w:marTop w:val="0"/>
      <w:marBottom w:val="0"/>
      <w:divBdr>
        <w:top w:val="none" w:sz="0" w:space="0" w:color="auto"/>
        <w:left w:val="none" w:sz="0" w:space="0" w:color="auto"/>
        <w:bottom w:val="none" w:sz="0" w:space="0" w:color="auto"/>
        <w:right w:val="none" w:sz="0" w:space="0" w:color="auto"/>
      </w:divBdr>
    </w:div>
    <w:div w:id="384255313">
      <w:bodyDiv w:val="1"/>
      <w:marLeft w:val="0"/>
      <w:marRight w:val="0"/>
      <w:marTop w:val="0"/>
      <w:marBottom w:val="0"/>
      <w:divBdr>
        <w:top w:val="none" w:sz="0" w:space="0" w:color="auto"/>
        <w:left w:val="none" w:sz="0" w:space="0" w:color="auto"/>
        <w:bottom w:val="none" w:sz="0" w:space="0" w:color="auto"/>
        <w:right w:val="none" w:sz="0" w:space="0" w:color="auto"/>
      </w:divBdr>
    </w:div>
    <w:div w:id="540704233">
      <w:bodyDiv w:val="1"/>
      <w:marLeft w:val="0"/>
      <w:marRight w:val="0"/>
      <w:marTop w:val="0"/>
      <w:marBottom w:val="0"/>
      <w:divBdr>
        <w:top w:val="none" w:sz="0" w:space="0" w:color="auto"/>
        <w:left w:val="none" w:sz="0" w:space="0" w:color="auto"/>
        <w:bottom w:val="none" w:sz="0" w:space="0" w:color="auto"/>
        <w:right w:val="none" w:sz="0" w:space="0" w:color="auto"/>
      </w:divBdr>
    </w:div>
    <w:div w:id="604850080">
      <w:bodyDiv w:val="1"/>
      <w:marLeft w:val="0"/>
      <w:marRight w:val="0"/>
      <w:marTop w:val="0"/>
      <w:marBottom w:val="0"/>
      <w:divBdr>
        <w:top w:val="none" w:sz="0" w:space="0" w:color="auto"/>
        <w:left w:val="none" w:sz="0" w:space="0" w:color="auto"/>
        <w:bottom w:val="none" w:sz="0" w:space="0" w:color="auto"/>
        <w:right w:val="none" w:sz="0" w:space="0" w:color="auto"/>
      </w:divBdr>
    </w:div>
    <w:div w:id="701710128">
      <w:bodyDiv w:val="1"/>
      <w:marLeft w:val="0"/>
      <w:marRight w:val="0"/>
      <w:marTop w:val="0"/>
      <w:marBottom w:val="0"/>
      <w:divBdr>
        <w:top w:val="none" w:sz="0" w:space="0" w:color="auto"/>
        <w:left w:val="none" w:sz="0" w:space="0" w:color="auto"/>
        <w:bottom w:val="none" w:sz="0" w:space="0" w:color="auto"/>
        <w:right w:val="none" w:sz="0" w:space="0" w:color="auto"/>
      </w:divBdr>
    </w:div>
    <w:div w:id="925920654">
      <w:bodyDiv w:val="1"/>
      <w:marLeft w:val="0"/>
      <w:marRight w:val="0"/>
      <w:marTop w:val="0"/>
      <w:marBottom w:val="0"/>
      <w:divBdr>
        <w:top w:val="none" w:sz="0" w:space="0" w:color="auto"/>
        <w:left w:val="none" w:sz="0" w:space="0" w:color="auto"/>
        <w:bottom w:val="none" w:sz="0" w:space="0" w:color="auto"/>
        <w:right w:val="none" w:sz="0" w:space="0" w:color="auto"/>
      </w:divBdr>
    </w:div>
    <w:div w:id="930773115">
      <w:bodyDiv w:val="1"/>
      <w:marLeft w:val="0"/>
      <w:marRight w:val="0"/>
      <w:marTop w:val="0"/>
      <w:marBottom w:val="0"/>
      <w:divBdr>
        <w:top w:val="none" w:sz="0" w:space="0" w:color="auto"/>
        <w:left w:val="none" w:sz="0" w:space="0" w:color="auto"/>
        <w:bottom w:val="none" w:sz="0" w:space="0" w:color="auto"/>
        <w:right w:val="none" w:sz="0" w:space="0" w:color="auto"/>
      </w:divBdr>
      <w:divsChild>
        <w:div w:id="1310095861">
          <w:marLeft w:val="0"/>
          <w:marRight w:val="0"/>
          <w:marTop w:val="0"/>
          <w:marBottom w:val="0"/>
          <w:divBdr>
            <w:top w:val="none" w:sz="0" w:space="0" w:color="auto"/>
            <w:left w:val="none" w:sz="0" w:space="0" w:color="auto"/>
            <w:bottom w:val="none" w:sz="0" w:space="0" w:color="auto"/>
            <w:right w:val="none" w:sz="0" w:space="0" w:color="auto"/>
          </w:divBdr>
          <w:divsChild>
            <w:div w:id="429938583">
              <w:marLeft w:val="0"/>
              <w:marRight w:val="0"/>
              <w:marTop w:val="0"/>
              <w:marBottom w:val="0"/>
              <w:divBdr>
                <w:top w:val="none" w:sz="0" w:space="0" w:color="auto"/>
                <w:left w:val="none" w:sz="0" w:space="0" w:color="auto"/>
                <w:bottom w:val="none" w:sz="0" w:space="0" w:color="auto"/>
                <w:right w:val="none" w:sz="0" w:space="0" w:color="auto"/>
              </w:divBdr>
              <w:divsChild>
                <w:div w:id="795373783">
                  <w:marLeft w:val="0"/>
                  <w:marRight w:val="0"/>
                  <w:marTop w:val="0"/>
                  <w:marBottom w:val="0"/>
                  <w:divBdr>
                    <w:top w:val="none" w:sz="0" w:space="0" w:color="auto"/>
                    <w:left w:val="none" w:sz="0" w:space="0" w:color="auto"/>
                    <w:bottom w:val="none" w:sz="0" w:space="0" w:color="auto"/>
                    <w:right w:val="none" w:sz="0" w:space="0" w:color="auto"/>
                  </w:divBdr>
                  <w:divsChild>
                    <w:div w:id="874807219">
                      <w:marLeft w:val="0"/>
                      <w:marRight w:val="0"/>
                      <w:marTop w:val="0"/>
                      <w:marBottom w:val="0"/>
                      <w:divBdr>
                        <w:top w:val="none" w:sz="0" w:space="0" w:color="auto"/>
                        <w:left w:val="none" w:sz="0" w:space="0" w:color="auto"/>
                        <w:bottom w:val="none" w:sz="0" w:space="0" w:color="auto"/>
                        <w:right w:val="none" w:sz="0" w:space="0" w:color="auto"/>
                      </w:divBdr>
                      <w:divsChild>
                        <w:div w:id="1085878850">
                          <w:marLeft w:val="0"/>
                          <w:marRight w:val="0"/>
                          <w:marTop w:val="0"/>
                          <w:marBottom w:val="0"/>
                          <w:divBdr>
                            <w:top w:val="none" w:sz="0" w:space="0" w:color="auto"/>
                            <w:left w:val="none" w:sz="0" w:space="0" w:color="auto"/>
                            <w:bottom w:val="none" w:sz="0" w:space="0" w:color="auto"/>
                            <w:right w:val="none" w:sz="0" w:space="0" w:color="auto"/>
                          </w:divBdr>
                          <w:divsChild>
                            <w:div w:id="849300557">
                              <w:marLeft w:val="0"/>
                              <w:marRight w:val="0"/>
                              <w:marTop w:val="0"/>
                              <w:marBottom w:val="0"/>
                              <w:divBdr>
                                <w:top w:val="none" w:sz="0" w:space="0" w:color="auto"/>
                                <w:left w:val="none" w:sz="0" w:space="0" w:color="auto"/>
                                <w:bottom w:val="none" w:sz="0" w:space="0" w:color="auto"/>
                                <w:right w:val="none" w:sz="0" w:space="0" w:color="auto"/>
                              </w:divBdr>
                              <w:divsChild>
                                <w:div w:id="1009597068">
                                  <w:marLeft w:val="0"/>
                                  <w:marRight w:val="0"/>
                                  <w:marTop w:val="0"/>
                                  <w:marBottom w:val="0"/>
                                  <w:divBdr>
                                    <w:top w:val="none" w:sz="0" w:space="0" w:color="auto"/>
                                    <w:left w:val="none" w:sz="0" w:space="0" w:color="auto"/>
                                    <w:bottom w:val="none" w:sz="0" w:space="0" w:color="auto"/>
                                    <w:right w:val="none" w:sz="0" w:space="0" w:color="auto"/>
                                  </w:divBdr>
                                  <w:divsChild>
                                    <w:div w:id="1825273181">
                                      <w:marLeft w:val="0"/>
                                      <w:marRight w:val="0"/>
                                      <w:marTop w:val="0"/>
                                      <w:marBottom w:val="0"/>
                                      <w:divBdr>
                                        <w:top w:val="none" w:sz="0" w:space="0" w:color="auto"/>
                                        <w:left w:val="none" w:sz="0" w:space="0" w:color="auto"/>
                                        <w:bottom w:val="none" w:sz="0" w:space="0" w:color="auto"/>
                                        <w:right w:val="none" w:sz="0" w:space="0" w:color="auto"/>
                                      </w:divBdr>
                                    </w:div>
                                    <w:div w:id="138885576">
                                      <w:marLeft w:val="0"/>
                                      <w:marRight w:val="0"/>
                                      <w:marTop w:val="0"/>
                                      <w:marBottom w:val="0"/>
                                      <w:divBdr>
                                        <w:top w:val="none" w:sz="0" w:space="0" w:color="auto"/>
                                        <w:left w:val="none" w:sz="0" w:space="0" w:color="auto"/>
                                        <w:bottom w:val="none" w:sz="0" w:space="0" w:color="auto"/>
                                        <w:right w:val="none" w:sz="0" w:space="0" w:color="auto"/>
                                      </w:divBdr>
                                      <w:divsChild>
                                        <w:div w:id="1514106034">
                                          <w:marLeft w:val="0"/>
                                          <w:marRight w:val="165"/>
                                          <w:marTop w:val="150"/>
                                          <w:marBottom w:val="0"/>
                                          <w:divBdr>
                                            <w:top w:val="none" w:sz="0" w:space="0" w:color="auto"/>
                                            <w:left w:val="none" w:sz="0" w:space="0" w:color="auto"/>
                                            <w:bottom w:val="none" w:sz="0" w:space="0" w:color="auto"/>
                                            <w:right w:val="none" w:sz="0" w:space="0" w:color="auto"/>
                                          </w:divBdr>
                                          <w:divsChild>
                                            <w:div w:id="977150393">
                                              <w:marLeft w:val="0"/>
                                              <w:marRight w:val="0"/>
                                              <w:marTop w:val="0"/>
                                              <w:marBottom w:val="0"/>
                                              <w:divBdr>
                                                <w:top w:val="none" w:sz="0" w:space="0" w:color="auto"/>
                                                <w:left w:val="none" w:sz="0" w:space="0" w:color="auto"/>
                                                <w:bottom w:val="none" w:sz="0" w:space="0" w:color="auto"/>
                                                <w:right w:val="none" w:sz="0" w:space="0" w:color="auto"/>
                                              </w:divBdr>
                                              <w:divsChild>
                                                <w:div w:id="6373040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315083">
      <w:bodyDiv w:val="1"/>
      <w:marLeft w:val="0"/>
      <w:marRight w:val="0"/>
      <w:marTop w:val="0"/>
      <w:marBottom w:val="0"/>
      <w:divBdr>
        <w:top w:val="none" w:sz="0" w:space="0" w:color="auto"/>
        <w:left w:val="none" w:sz="0" w:space="0" w:color="auto"/>
        <w:bottom w:val="none" w:sz="0" w:space="0" w:color="auto"/>
        <w:right w:val="none" w:sz="0" w:space="0" w:color="auto"/>
      </w:divBdr>
    </w:div>
    <w:div w:id="1139108765">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7688">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36111">
      <w:bodyDiv w:val="1"/>
      <w:marLeft w:val="0"/>
      <w:marRight w:val="0"/>
      <w:marTop w:val="0"/>
      <w:marBottom w:val="0"/>
      <w:divBdr>
        <w:top w:val="none" w:sz="0" w:space="0" w:color="auto"/>
        <w:left w:val="none" w:sz="0" w:space="0" w:color="auto"/>
        <w:bottom w:val="none" w:sz="0" w:space="0" w:color="auto"/>
        <w:right w:val="none" w:sz="0" w:space="0" w:color="auto"/>
      </w:divBdr>
    </w:div>
    <w:div w:id="1382561147">
      <w:bodyDiv w:val="1"/>
      <w:marLeft w:val="0"/>
      <w:marRight w:val="0"/>
      <w:marTop w:val="0"/>
      <w:marBottom w:val="0"/>
      <w:divBdr>
        <w:top w:val="none" w:sz="0" w:space="0" w:color="auto"/>
        <w:left w:val="none" w:sz="0" w:space="0" w:color="auto"/>
        <w:bottom w:val="none" w:sz="0" w:space="0" w:color="auto"/>
        <w:right w:val="none" w:sz="0" w:space="0" w:color="auto"/>
      </w:divBdr>
    </w:div>
    <w:div w:id="1539245250">
      <w:bodyDiv w:val="1"/>
      <w:marLeft w:val="0"/>
      <w:marRight w:val="0"/>
      <w:marTop w:val="0"/>
      <w:marBottom w:val="0"/>
      <w:divBdr>
        <w:top w:val="none" w:sz="0" w:space="0" w:color="auto"/>
        <w:left w:val="none" w:sz="0" w:space="0" w:color="auto"/>
        <w:bottom w:val="none" w:sz="0" w:space="0" w:color="auto"/>
        <w:right w:val="none" w:sz="0" w:space="0" w:color="auto"/>
      </w:divBdr>
    </w:div>
    <w:div w:id="1577519730">
      <w:bodyDiv w:val="1"/>
      <w:marLeft w:val="0"/>
      <w:marRight w:val="0"/>
      <w:marTop w:val="0"/>
      <w:marBottom w:val="0"/>
      <w:divBdr>
        <w:top w:val="none" w:sz="0" w:space="0" w:color="auto"/>
        <w:left w:val="none" w:sz="0" w:space="0" w:color="auto"/>
        <w:bottom w:val="none" w:sz="0" w:space="0" w:color="auto"/>
        <w:right w:val="none" w:sz="0" w:space="0" w:color="auto"/>
      </w:divBdr>
    </w:div>
    <w:div w:id="1727071213">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50890003">
      <w:bodyDiv w:val="1"/>
      <w:marLeft w:val="0"/>
      <w:marRight w:val="0"/>
      <w:marTop w:val="0"/>
      <w:marBottom w:val="0"/>
      <w:divBdr>
        <w:top w:val="none" w:sz="0" w:space="0" w:color="auto"/>
        <w:left w:val="none" w:sz="0" w:space="0" w:color="auto"/>
        <w:bottom w:val="none" w:sz="0" w:space="0" w:color="auto"/>
        <w:right w:val="none" w:sz="0" w:space="0" w:color="auto"/>
      </w:divBdr>
    </w:div>
    <w:div w:id="1959264369">
      <w:bodyDiv w:val="1"/>
      <w:marLeft w:val="0"/>
      <w:marRight w:val="0"/>
      <w:marTop w:val="0"/>
      <w:marBottom w:val="0"/>
      <w:divBdr>
        <w:top w:val="none" w:sz="0" w:space="0" w:color="auto"/>
        <w:left w:val="none" w:sz="0" w:space="0" w:color="auto"/>
        <w:bottom w:val="none" w:sz="0" w:space="0" w:color="auto"/>
        <w:right w:val="none" w:sz="0" w:space="0" w:color="auto"/>
      </w:divBdr>
    </w:div>
    <w:div w:id="1960454404">
      <w:bodyDiv w:val="1"/>
      <w:marLeft w:val="0"/>
      <w:marRight w:val="0"/>
      <w:marTop w:val="0"/>
      <w:marBottom w:val="0"/>
      <w:divBdr>
        <w:top w:val="none" w:sz="0" w:space="0" w:color="auto"/>
        <w:left w:val="none" w:sz="0" w:space="0" w:color="auto"/>
        <w:bottom w:val="none" w:sz="0" w:space="0" w:color="auto"/>
        <w:right w:val="none" w:sz="0" w:space="0" w:color="auto"/>
      </w:divBdr>
    </w:div>
    <w:div w:id="2022320668">
      <w:bodyDiv w:val="1"/>
      <w:marLeft w:val="0"/>
      <w:marRight w:val="0"/>
      <w:marTop w:val="0"/>
      <w:marBottom w:val="0"/>
      <w:divBdr>
        <w:top w:val="none" w:sz="0" w:space="0" w:color="auto"/>
        <w:left w:val="none" w:sz="0" w:space="0" w:color="auto"/>
        <w:bottom w:val="none" w:sz="0" w:space="0" w:color="auto"/>
        <w:right w:val="none" w:sz="0" w:space="0" w:color="auto"/>
      </w:divBdr>
    </w:div>
    <w:div w:id="2073192267">
      <w:bodyDiv w:val="1"/>
      <w:marLeft w:val="0"/>
      <w:marRight w:val="0"/>
      <w:marTop w:val="0"/>
      <w:marBottom w:val="0"/>
      <w:divBdr>
        <w:top w:val="none" w:sz="0" w:space="0" w:color="auto"/>
        <w:left w:val="none" w:sz="0" w:space="0" w:color="auto"/>
        <w:bottom w:val="none" w:sz="0" w:space="0" w:color="auto"/>
        <w:right w:val="none" w:sz="0" w:space="0" w:color="auto"/>
      </w:divBdr>
    </w:div>
    <w:div w:id="2083406315">
      <w:bodyDiv w:val="1"/>
      <w:marLeft w:val="0"/>
      <w:marRight w:val="0"/>
      <w:marTop w:val="0"/>
      <w:marBottom w:val="0"/>
      <w:divBdr>
        <w:top w:val="none" w:sz="0" w:space="0" w:color="auto"/>
        <w:left w:val="none" w:sz="0" w:space="0" w:color="auto"/>
        <w:bottom w:val="none" w:sz="0" w:space="0" w:color="auto"/>
        <w:right w:val="none" w:sz="0" w:space="0" w:color="auto"/>
      </w:divBdr>
    </w:div>
    <w:div w:id="2094008702">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8FDE-BB9E-460C-A81E-A2484399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91599</Words>
  <Characters>52212</Characters>
  <Application>Microsoft Office Word</Application>
  <DocSecurity>4</DocSecurity>
  <Lines>435</Lines>
  <Paragraphs>287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143524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cp:lastPrinted>2015-07-02T05:18:00Z</cp:lastPrinted>
  <dcterms:created xsi:type="dcterms:W3CDTF">2026-05-04T06:29:00Z</dcterms:created>
  <dcterms:modified xsi:type="dcterms:W3CDTF">2026-05-04T06:29:00Z</dcterms:modified>
</cp:coreProperties>
</file>