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EE23F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7"/>
      <w:bookmarkStart w:id="1" w:name="_Toc129243262"/>
      <w:bookmarkStart w:id="2" w:name="_Toc129243136"/>
      <w:bookmarkStart w:id="3" w:name="_Toc129243261"/>
    </w:p>
    <w:p w14:paraId="6E9A5EA7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32E2FB8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DE973D9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00E02AE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489A58D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FA0F1FA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C700945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12062E0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27DF7CE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59857CE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06D35A1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8AF3961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5391A8D" w14:textId="77777777" w:rsidR="001D16A9" w:rsidRPr="001D16A9" w:rsidRDefault="001D16A9" w:rsidP="001D16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1D16A9">
        <w:rPr>
          <w:rFonts w:ascii="Times New Roman" w:eastAsia="Times New Roman" w:hAnsi="Times New Roman" w:cs="Times New Roman"/>
          <w:b/>
          <w:caps/>
          <w:lang w:val="lt-LT"/>
        </w:rPr>
        <w:t>A. ŽENKLINIMAS</w:t>
      </w:r>
      <w:bookmarkEnd w:id="2"/>
      <w:bookmarkEnd w:id="3"/>
    </w:p>
    <w:p w14:paraId="6ABC64AB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D16A9">
        <w:rPr>
          <w:rFonts w:ascii="Times New Roman" w:eastAsia="Times New Roman" w:hAnsi="Times New Roman" w:cs="Times New Roman"/>
          <w:lang w:val="lt-LT"/>
        </w:rPr>
        <w:br w:type="page"/>
      </w:r>
    </w:p>
    <w:p w14:paraId="586EDEF8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INFORMACIJA ANT IŠORINĖS PAKUOTĖS</w:t>
      </w:r>
    </w:p>
    <w:p w14:paraId="306CAAAF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53DCC634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KARTONO DĖŽUTĖ</w:t>
      </w:r>
    </w:p>
    <w:p w14:paraId="57AC8F6F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07674D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129D82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02316856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7C5221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CYCLODOL 2 mg tabletės </w:t>
      </w:r>
    </w:p>
    <w:p w14:paraId="0867A040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trihexyphenidyli</w:t>
      </w:r>
      <w:proofErr w:type="spellEnd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hydrochloridum</w:t>
      </w:r>
      <w:proofErr w:type="spellEnd"/>
    </w:p>
    <w:p w14:paraId="0A7B5CB8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A0AB6D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DD515B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VEIKLIOJI MEDŽIAGA IR JOS KIEKIS</w:t>
      </w:r>
    </w:p>
    <w:p w14:paraId="3C870B51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C9F48D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Kiekvienoje tabletėje yra 2 mg </w:t>
      </w:r>
      <w:proofErr w:type="spellStart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triheksifenidilio</w:t>
      </w:r>
      <w:proofErr w:type="spellEnd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hidrochlorido.</w:t>
      </w:r>
    </w:p>
    <w:p w14:paraId="15B77BB3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113787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8C040C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PAGALBINIŲ MEDŽIAGŲ SĄRAŠAS</w:t>
      </w:r>
    </w:p>
    <w:p w14:paraId="7C83F734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AF8498" w14:textId="77777777" w:rsidR="001D16A9" w:rsidRPr="001D16A9" w:rsidRDefault="001D16A9" w:rsidP="001D1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Sudėtyje yra sacharozės.</w:t>
      </w:r>
    </w:p>
    <w:p w14:paraId="017E9B0E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0F27D9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789FC6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FARMACINĖ FORMA IR KIEKIS PAKUOTĖJE</w:t>
      </w:r>
    </w:p>
    <w:p w14:paraId="4796628B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4F52D3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Tabletės</w:t>
      </w: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51294ACF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50 tablečių</w:t>
      </w:r>
    </w:p>
    <w:p w14:paraId="3827BF3E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E07168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6B925A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VARTOJIMO METODAS IR BŪDAS (-AI)</w:t>
      </w:r>
    </w:p>
    <w:p w14:paraId="41DA4BEE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9FBD01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D16A9">
        <w:rPr>
          <w:rFonts w:ascii="Times New Roman" w:eastAsia="Times New Roman" w:hAnsi="Times New Roman" w:cs="Times New Roman"/>
          <w:lang w:val="lt-LT"/>
        </w:rPr>
        <w:t>Vartoti per burną.</w:t>
      </w:r>
    </w:p>
    <w:p w14:paraId="0122BD83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D16A9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2CCCFEAB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52A2D0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3CEFD9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SPECIALUS ĮSPĖJIMAS, KAD VAISTINĮ PREPARATĄ BŪTINA LAIKYTI VAIKAMS NEPASTEBIMOJE IR NEPASIEKIAMOJE VIETOJE</w:t>
      </w:r>
    </w:p>
    <w:p w14:paraId="2CCA37BE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C93AAE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D16A9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16DD0A11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D7F462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C73502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7.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KITAS (-I) SPECIALUS (-ŪS) ĮSPĖJIMAS (-AI) (JEI REIKIA)</w:t>
      </w:r>
    </w:p>
    <w:p w14:paraId="28496CAA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DA6E8E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D00B4A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8.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014DD739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46682C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D16A9">
        <w:rPr>
          <w:rFonts w:ascii="Times New Roman" w:eastAsia="Times New Roman" w:hAnsi="Times New Roman" w:cs="Times New Roman"/>
          <w:lang w:val="pt-PT"/>
        </w:rPr>
        <w:t>EXP {mm MMMM}</w:t>
      </w:r>
    </w:p>
    <w:p w14:paraId="021717E3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FC0B69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4E9639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9.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SPECIALIOS LAIKYMO SĄLYGOS</w:t>
      </w:r>
    </w:p>
    <w:p w14:paraId="5BE5DE0D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846E4B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Laikyti ne aukštesnėje kaip 25 </w:t>
      </w: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sym w:font="Symbol" w:char="F0B0"/>
      </w: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C temperatūroje. </w:t>
      </w:r>
    </w:p>
    <w:p w14:paraId="1F87F75C" w14:textId="77777777" w:rsidR="001D16A9" w:rsidRPr="001D16A9" w:rsidRDefault="001D16A9" w:rsidP="001D1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Lizdinę plokštelę laikyti gamintojo pakuotėje, kad vaistas būtų apsaugotas nuo šviesos.</w:t>
      </w:r>
    </w:p>
    <w:p w14:paraId="3E293C2B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F61CDB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BDD23A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10.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SPECIALIOS ATSARGUMO PRIEMONĖS DĖL NESUVARTOTO </w:t>
      </w:r>
      <w:r w:rsidRPr="001D16A9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VAISTINIO PREPARATO AR JO ATLIEKŲ 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TVARKYMO (JEI REIKIA)</w:t>
      </w:r>
    </w:p>
    <w:p w14:paraId="5736DEA6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086F80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AA829A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1D16A9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75612695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B121DC3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proofErr w:type="spellStart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proofErr w:type="spellEnd"/>
    </w:p>
    <w:p w14:paraId="710C9096" w14:textId="77777777" w:rsidR="001D16A9" w:rsidRPr="001D16A9" w:rsidRDefault="001D16A9" w:rsidP="001D1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0A13C707" w14:textId="77777777" w:rsidR="001D16A9" w:rsidRPr="001D16A9" w:rsidRDefault="001D16A9" w:rsidP="001D1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33C706D3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1D16A9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755D97BA" w14:textId="77777777" w:rsidR="001D16A9" w:rsidRPr="001D16A9" w:rsidRDefault="001D16A9" w:rsidP="001D16A9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292BAED" w14:textId="77777777" w:rsidR="001D16A9" w:rsidRPr="001D16A9" w:rsidRDefault="001D16A9" w:rsidP="001D16A9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LT/L/23/1960/001</w:t>
      </w:r>
    </w:p>
    <w:p w14:paraId="7219CF6A" w14:textId="77777777" w:rsidR="001D16A9" w:rsidRPr="001D16A9" w:rsidRDefault="001D16A9" w:rsidP="001D1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33713FC" w14:textId="77777777" w:rsidR="001D16A9" w:rsidRPr="001D16A9" w:rsidRDefault="001D16A9" w:rsidP="001D1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3069BC3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1D16A9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3F92734A" w14:textId="77777777" w:rsidR="001D16A9" w:rsidRPr="001D16A9" w:rsidRDefault="001D16A9" w:rsidP="001D1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705DA37D" w14:textId="77777777" w:rsidR="001D16A9" w:rsidRPr="001D16A9" w:rsidRDefault="001D16A9" w:rsidP="001D1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  <w:proofErr w:type="spellEnd"/>
    </w:p>
    <w:p w14:paraId="5355E8CC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D0B3A7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5E88C377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BF961B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D16A9">
        <w:rPr>
          <w:rFonts w:ascii="Times New Roman" w:eastAsia="Times New Roman" w:hAnsi="Times New Roman" w:cs="Times New Roman"/>
          <w:lang w:val="lt-LT"/>
        </w:rPr>
        <w:t>Receptinis vaistas.</w:t>
      </w:r>
    </w:p>
    <w:p w14:paraId="33EE5689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7A9F9B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49F558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40560A5C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D839A6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28610E" w14:textId="77777777" w:rsidR="001D16A9" w:rsidRPr="001D16A9" w:rsidRDefault="001D16A9" w:rsidP="001D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1D16A9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5920486D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875E7B" w14:textId="77777777" w:rsidR="001D16A9" w:rsidRPr="001D16A9" w:rsidRDefault="001D16A9" w:rsidP="001D16A9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cyclodol</w:t>
      </w:r>
      <w:proofErr w:type="spellEnd"/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52406934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10C58A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/>
          <w14:ligatures w14:val="none"/>
        </w:rPr>
      </w:pPr>
    </w:p>
    <w:p w14:paraId="7A76E3D8" w14:textId="77777777" w:rsidR="001D16A9" w:rsidRPr="001D16A9" w:rsidRDefault="001D16A9" w:rsidP="001D16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17.</w:t>
      </w:r>
      <w:r w:rsidRPr="001D16A9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UNIKALUS IDENTIFIKATORIUS – 2D BRŪKŠNINIS KODAS</w:t>
      </w:r>
    </w:p>
    <w:p w14:paraId="3E0FD5D2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008AB8FA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noProof/>
          <w:kern w:val="0"/>
          <w:highlight w:val="lightGray"/>
          <w:lang w:val="lt-LT"/>
          <w14:ligatures w14:val="none"/>
        </w:rPr>
        <w:t>2D brūkšninis kodas su nurodytu unikaliu identifikatoriumi.</w:t>
      </w:r>
    </w:p>
    <w:p w14:paraId="64E70092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0D0DD243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6647FE86" w14:textId="77777777" w:rsidR="001D16A9" w:rsidRPr="001D16A9" w:rsidRDefault="001D16A9" w:rsidP="001D16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18.</w:t>
      </w:r>
      <w:r w:rsidRPr="001D16A9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UNIKALUS IDENTIFIKATORIUS – ŽMONĖMS SUPRANTAMI DUOMENYS</w:t>
      </w:r>
    </w:p>
    <w:p w14:paraId="72FC3EA2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</w:pPr>
    </w:p>
    <w:p w14:paraId="51FBB287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PC: {numeris} </w:t>
      </w:r>
    </w:p>
    <w:p w14:paraId="3FFCD19D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SN: {numeris} </w:t>
      </w:r>
    </w:p>
    <w:p w14:paraId="61025571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16A9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 xml:space="preserve">NN: {numeris} </w:t>
      </w:r>
    </w:p>
    <w:p w14:paraId="3194AEFC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D16A9">
        <w:rPr>
          <w:rFonts w:ascii="Times New Roman" w:eastAsia="Times New Roman" w:hAnsi="Times New Roman" w:cs="Times New Roman"/>
          <w:lang w:val="lt-LT"/>
        </w:rPr>
        <w:br w:type="page"/>
      </w:r>
    </w:p>
    <w:p w14:paraId="3009D8B5" w14:textId="77777777" w:rsidR="001D16A9" w:rsidRPr="001D16A9" w:rsidRDefault="001D16A9" w:rsidP="001D16A9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lastRenderedPageBreak/>
        <w:t xml:space="preserve">Gamintojas: AS GRINDEKS,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Krustpils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iela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53,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Rīga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, LV 1057, Latvija</w:t>
      </w:r>
    </w:p>
    <w:p w14:paraId="04CB6575" w14:textId="77777777" w:rsidR="001D16A9" w:rsidRPr="001D16A9" w:rsidRDefault="001D16A9" w:rsidP="001D16A9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09FFFAD8" w14:textId="77777777" w:rsidR="001D16A9" w:rsidRPr="001D16A9" w:rsidRDefault="001D16A9" w:rsidP="001D16A9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Perpakavo: LABOR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Przedsiębiorstwo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Farmaceutyczno-Chemiczne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sp. z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o.o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.,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Ul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Długosza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49, 51-162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Wrocław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, Lenkija arba UAB „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Entafarma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“, </w:t>
      </w:r>
      <w:proofErr w:type="spellStart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Klonėnų</w:t>
      </w:r>
      <w:proofErr w:type="spellEnd"/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vs. 1, LT-19156 Širvintų r. sav., Lietuva.</w:t>
      </w:r>
    </w:p>
    <w:p w14:paraId="3C46F2EE" w14:textId="77777777" w:rsidR="001D16A9" w:rsidRPr="001D16A9" w:rsidRDefault="001D16A9" w:rsidP="001D16A9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08E272B9" w14:textId="77777777" w:rsidR="001D16A9" w:rsidRPr="001D16A9" w:rsidRDefault="001D16A9" w:rsidP="001D1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1D16A9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Perpakavimo serija</w:t>
      </w:r>
    </w:p>
    <w:p w14:paraId="0B8C952D" w14:textId="7257EA03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1B967E2" w14:textId="30D30712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AC2F955" w14:textId="14E409C6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B57A6E2" w14:textId="3CA9D730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AB110EC" w14:textId="55E30852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C322C9" w14:textId="361A2933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4AB5B81" w14:textId="5CE22367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A750174" w14:textId="25C5B395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C8718F2" w14:textId="55D4D022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041887C" w14:textId="4D1DD89C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D0BB12A" w14:textId="14985F98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497FAB3" w14:textId="45796C82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E449C01" w14:textId="0921B7F8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D9B6441" w14:textId="7D621688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707689A" w14:textId="3244A5E7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E9D4D1D" w14:textId="43A3FBDF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502658B" w14:textId="47FE3C91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F6673EB" w14:textId="1879F822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A30EA46" w14:textId="61984290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3E84ED" w14:textId="5E7E402D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C70F483" w14:textId="04610A3A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9D2153C" w14:textId="2B85612F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6EE1F5E" w14:textId="68362413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012DF52" w14:textId="6F0E0E46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9468A32" w14:textId="72305D87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480FB2E" w14:textId="2330E65C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6021850" w14:textId="396B7414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A50F3E3" w14:textId="3EA93663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C985585" w14:textId="7B15BC2F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BE1546F" w14:textId="5E70D574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B9A6A6" w14:textId="523AEA2C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93678D8" w14:textId="79C6CEA8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AF2FB37" w14:textId="369C544F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65B20AF" w14:textId="1101A614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74D1234" w14:textId="32C00C90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CAEC895" w14:textId="2851AE8F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0A260CA" w14:textId="5068121A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38B5ECA" w14:textId="54C04213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EB3B2CF" w14:textId="7EDF9C37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378F545" w14:textId="32664BAF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9723678" w14:textId="4DA04E6B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9ED3AE3" w14:textId="3CF8CC0A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FB8709A" w14:textId="51C49D09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EC93AFB" w14:textId="08E8B1CA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1F93692" w14:textId="30AF74FA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62770E9" w14:textId="77777777" w:rsidR="001D16A9" w:rsidRDefault="001D16A9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4" w:name="_GoBack"/>
      <w:bookmarkEnd w:id="4"/>
    </w:p>
    <w:p w14:paraId="5D07FBEE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82A915F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F07415B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CAE12A4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060016D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311EA67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B1EA82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A2989F9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DF81E1F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10D6A30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A1C81DD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8C87792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EF8AFC5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E405AC4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53BA908" w14:textId="77777777" w:rsid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2716982" w14:textId="15E6E068" w:rsidR="00F40626" w:rsidRPr="00F40626" w:rsidRDefault="00F40626" w:rsidP="00F4062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F40626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0"/>
      <w:bookmarkEnd w:id="1"/>
    </w:p>
    <w:p w14:paraId="73E95486" w14:textId="77777777" w:rsidR="00F40626" w:rsidRPr="00F40626" w:rsidRDefault="00F40626" w:rsidP="00F40626">
      <w:pPr>
        <w:keepNext/>
        <w:keepLines/>
        <w:tabs>
          <w:tab w:val="left" w:pos="184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kern w:val="0"/>
          <w:lang w:val="lt-LT"/>
          <w14:ligatures w14:val="none"/>
        </w:rPr>
      </w:pPr>
      <w:r w:rsidRPr="00F40626">
        <w:rPr>
          <w:rFonts w:ascii="Cambria" w:eastAsia="Times New Roman" w:hAnsi="Cambria" w:cs="Times New Roman"/>
          <w:color w:val="4F81BD"/>
          <w:kern w:val="0"/>
          <w:sz w:val="26"/>
          <w:szCs w:val="26"/>
          <w:lang w:val="lt-LT"/>
          <w14:ligatures w14:val="none"/>
        </w:rPr>
        <w:br w:type="page"/>
      </w:r>
      <w:r w:rsidRPr="00F40626">
        <w:rPr>
          <w:rFonts w:ascii="Times New Roman" w:eastAsia="Times New Roman" w:hAnsi="Times New Roman" w:cs="Times New Roman"/>
          <w:b/>
          <w:bCs/>
          <w:color w:val="000000"/>
          <w:kern w:val="0"/>
          <w:lang w:val="lt-LT"/>
          <w14:ligatures w14:val="none"/>
        </w:rPr>
        <w:lastRenderedPageBreak/>
        <w:t>Pakuotės lapelis:</w:t>
      </w:r>
      <w:r w:rsidRPr="00F40626">
        <w:rPr>
          <w:rFonts w:ascii="Times New Roman" w:eastAsia="Times New Roman" w:hAnsi="Times New Roman" w:cs="Times New Roman"/>
          <w:b/>
          <w:iCs/>
          <w:color w:val="000000"/>
          <w:kern w:val="0"/>
          <w:lang w:val="lt-LT"/>
          <w14:ligatures w14:val="none"/>
        </w:rPr>
        <w:t xml:space="preserve"> </w:t>
      </w:r>
      <w:r w:rsidRPr="00F40626">
        <w:rPr>
          <w:rFonts w:ascii="Times New Roman" w:eastAsia="Times New Roman" w:hAnsi="Times New Roman" w:cs="Times New Roman"/>
          <w:b/>
          <w:bCs/>
          <w:color w:val="000000"/>
          <w:kern w:val="0"/>
          <w:lang w:val="lt-LT"/>
          <w14:ligatures w14:val="none"/>
        </w:rPr>
        <w:t>informacija pacientui</w:t>
      </w:r>
    </w:p>
    <w:p w14:paraId="595C90A3" w14:textId="77777777" w:rsidR="00F40626" w:rsidRPr="00F40626" w:rsidRDefault="00F40626" w:rsidP="00F40626">
      <w:pPr>
        <w:spacing w:after="0" w:line="240" w:lineRule="auto"/>
        <w:ind w:left="1296" w:firstLine="1296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4F25B613" w14:textId="77777777" w:rsidR="00F40626" w:rsidRPr="00F40626" w:rsidRDefault="00F40626" w:rsidP="00F40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CYCLODOL 2 mg tabletės</w:t>
      </w:r>
    </w:p>
    <w:p w14:paraId="74C6D037" w14:textId="77777777" w:rsidR="00F40626" w:rsidRPr="00F40626" w:rsidRDefault="00F40626" w:rsidP="00F406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triheksifenidilio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hidrochloridas</w:t>
      </w:r>
    </w:p>
    <w:p w14:paraId="0A2EBB9B" w14:textId="77777777" w:rsidR="00F40626" w:rsidRPr="00F40626" w:rsidRDefault="00F40626" w:rsidP="00F4062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3DDFD2E5" w14:textId="77777777" w:rsidR="00F40626" w:rsidRPr="00F40626" w:rsidRDefault="00F40626" w:rsidP="00F40626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Atidžiai perskaitykite visą šį lapelį, prieš pradėdami vartoti vaistą, nes jame pateikiama Jums svarbi informacija.</w:t>
      </w:r>
    </w:p>
    <w:p w14:paraId="4EAA6DC3" w14:textId="77777777" w:rsidR="00F40626" w:rsidRPr="00F40626" w:rsidRDefault="00F40626" w:rsidP="00F40626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Neišmeskite šio lapelio, nes vėl gali prireikti jį perskaityti.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7B41B21F" w14:textId="77777777" w:rsidR="00F40626" w:rsidRPr="00F40626" w:rsidRDefault="00F40626" w:rsidP="00F40626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Jeigu kiltų daugiau klausimų, kreipkitės į gydytoją arba vaistininką.</w:t>
      </w:r>
    </w:p>
    <w:p w14:paraId="225B38C3" w14:textId="77777777" w:rsidR="00F40626" w:rsidRPr="00F40626" w:rsidRDefault="00F40626" w:rsidP="00F40626">
      <w:p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Šis vaistas skirtas tik Jums, todėl kitiems žmonėms jo duoti negalima.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Vaistas gali jiems pakenkti (net tiems, kurių ligos požymiai yra tokie patys kaip Jūsų).</w:t>
      </w:r>
      <w:r w:rsidRPr="00F40626">
        <w:rPr>
          <w:rFonts w:ascii="Times New Roman" w:eastAsia="Times New Roman" w:hAnsi="Times New Roman" w:cs="Times New Roman"/>
          <w:color w:val="008000"/>
          <w:kern w:val="0"/>
          <w:lang w:val="lt-LT"/>
          <w14:ligatures w14:val="none"/>
        </w:rPr>
        <w:t xml:space="preserve"> </w:t>
      </w:r>
    </w:p>
    <w:p w14:paraId="209D6117" w14:textId="77777777" w:rsidR="00F40626" w:rsidRPr="00F40626" w:rsidRDefault="00F40626" w:rsidP="00F4062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Jeigu pasireiškė šalutinis poveikis (net jeigu jis šiame lapelyje nenurodytas), kreipkitės į gydytoją arba vaistininką. Žr. 4 skyrių.</w:t>
      </w:r>
    </w:p>
    <w:p w14:paraId="50A27770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CCD37D" w14:textId="77777777" w:rsidR="00F40626" w:rsidRPr="00F40626" w:rsidRDefault="00F40626" w:rsidP="00F40626">
      <w:pPr>
        <w:keepNext/>
        <w:keepLines/>
        <w:spacing w:before="200"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  <w:t>Apie ką rašoma šiame lapelyje?</w:t>
      </w:r>
    </w:p>
    <w:p w14:paraId="63DA270B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18B985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1.</w:t>
      </w:r>
      <w:r w:rsidRPr="00F40626">
        <w:rPr>
          <w:rFonts w:ascii="Times New Roman" w:eastAsia="Times New Roman" w:hAnsi="Times New Roman" w:cs="Times New Roman"/>
          <w:lang w:val="lt-LT"/>
        </w:rPr>
        <w:tab/>
        <w:t>Kas yra CYCLODOL ir kam jis vartojamas</w:t>
      </w:r>
    </w:p>
    <w:p w14:paraId="26920C11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2.</w:t>
      </w:r>
      <w:r w:rsidRPr="00F40626">
        <w:rPr>
          <w:rFonts w:ascii="Times New Roman" w:eastAsia="Times New Roman" w:hAnsi="Times New Roman" w:cs="Times New Roman"/>
          <w:lang w:val="lt-LT"/>
        </w:rPr>
        <w:tab/>
        <w:t xml:space="preserve">Kas žinotina prieš vartojant CYCLODOL </w:t>
      </w:r>
    </w:p>
    <w:p w14:paraId="4BE5BF78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3.</w:t>
      </w:r>
      <w:r w:rsidRPr="00F40626">
        <w:rPr>
          <w:rFonts w:ascii="Times New Roman" w:eastAsia="Times New Roman" w:hAnsi="Times New Roman" w:cs="Times New Roman"/>
          <w:lang w:val="lt-LT"/>
        </w:rPr>
        <w:tab/>
        <w:t xml:space="preserve">Kaip vartoti CYCLODOL </w:t>
      </w:r>
    </w:p>
    <w:p w14:paraId="47EF2986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4.</w:t>
      </w:r>
      <w:r w:rsidRPr="00F40626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3D18C5BB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5.</w:t>
      </w:r>
      <w:r w:rsidRPr="00F40626">
        <w:rPr>
          <w:rFonts w:ascii="Times New Roman" w:eastAsia="Times New Roman" w:hAnsi="Times New Roman" w:cs="Times New Roman"/>
          <w:lang w:val="lt-LT"/>
        </w:rPr>
        <w:tab/>
        <w:t xml:space="preserve">Kaip laikyti CYCLODOL </w:t>
      </w:r>
    </w:p>
    <w:p w14:paraId="7A667EC8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6.</w:t>
      </w:r>
      <w:r w:rsidRPr="00F40626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491AB56B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AE9FF7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3B9541" w14:textId="77777777" w:rsidR="00F40626" w:rsidRPr="00F40626" w:rsidRDefault="00F40626" w:rsidP="00F4062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5" w:name="_Toc129243139"/>
      <w:bookmarkStart w:id="6" w:name="_Toc129243264"/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1.</w:t>
      </w: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Kas yra CYCLODOL ir kam jis vartojamas</w:t>
      </w:r>
      <w:bookmarkEnd w:id="5"/>
      <w:bookmarkEnd w:id="6"/>
    </w:p>
    <w:p w14:paraId="16D9C63E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96F404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CYCLODOL sudėtyje yra veikliosios medžiagos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triheksifenidilio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hidrochlorido. Vaistas yra vartojamas antriniam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parkinsonizmui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gydyti.</w:t>
      </w:r>
    </w:p>
    <w:p w14:paraId="291C1FD6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FE1B2D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655D4C" w14:textId="77777777" w:rsidR="00F40626" w:rsidRPr="00F40626" w:rsidRDefault="00F40626" w:rsidP="00F4062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7" w:name="_Toc129243140"/>
      <w:bookmarkStart w:id="8" w:name="_Toc129243265"/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2.</w:t>
      </w: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Kas žinotina prieš vartojant CYCLODOL</w:t>
      </w:r>
      <w:bookmarkEnd w:id="7"/>
      <w:bookmarkEnd w:id="8"/>
    </w:p>
    <w:p w14:paraId="44B8FF2E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2267FF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CYCLODOL vartoti draudžiama:</w:t>
      </w:r>
    </w:p>
    <w:p w14:paraId="2AFC64C6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yra alergija veikliajai medžiagai arba bet kuriai pagalbinei šio vaisto medžiagai (jos išvardytos 6 skyriuje);</w:t>
      </w:r>
    </w:p>
    <w:p w14:paraId="2FB2D02E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esant ūminiam šlapimo susilaikymui;</w:t>
      </w:r>
    </w:p>
    <w:p w14:paraId="79E93CCA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esant gerybiniam prostatos padidėjimui, kai nevisiškai išsituština šlapimo pūslė (joje lieka šlapimo);</w:t>
      </w:r>
    </w:p>
    <w:p w14:paraId="03CE078C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esant uždarojo kampo glaukomai, kai dėl padidėjusio vidinio akies spaudimo sutrinka regos nervo ir akies tinklainės funkcija;</w:t>
      </w:r>
    </w:p>
    <w:p w14:paraId="12044A92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yra žarnų nepraeinamumas ar susiaurėjimas virškinimo trakte;</w:t>
      </w:r>
    </w:p>
    <w:p w14:paraId="49AD8C2B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yra gaubtinės žarnos išsiplėtimas;</w:t>
      </w:r>
    </w:p>
    <w:p w14:paraId="21E73240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jeigu yra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prievarčio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stenozė (skrandžio rauko susiaurėjimas);</w:t>
      </w:r>
    </w:p>
    <w:p w14:paraId="3D7F98EB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yra dažnas širdies ritmas (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tachiaritmija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631A36C7" w14:textId="77777777" w:rsidR="00F40626" w:rsidRPr="00F40626" w:rsidRDefault="00F40626" w:rsidP="00F40626">
      <w:pPr>
        <w:keepNext/>
        <w:tabs>
          <w:tab w:val="left" w:pos="567"/>
        </w:tabs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sunkiai apsinuodijus alkoholiu arba psichotropiniais (psichiką veikiančiais) medikamentais, opijaus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alkaloidais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vaistais, kuriuose yra jų darinių;</w:t>
      </w:r>
    </w:p>
    <w:p w14:paraId="7FB44E1A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esant ūminei sumišimo būklei (sunkus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delyras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), manijai;</w:t>
      </w:r>
    </w:p>
    <w:p w14:paraId="4325252B" w14:textId="77777777" w:rsidR="00F40626" w:rsidRPr="00F40626" w:rsidRDefault="00F40626" w:rsidP="00F40626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esant vėlyvajai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diskinezijai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(judesių sutrikimui).</w:t>
      </w:r>
    </w:p>
    <w:p w14:paraId="030FC7DA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F72B8E3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Jeigu sergate kokia nors iš šių ligų arba sutrikimų, prieš pradėdami vartoti vaisto, pasitarkite su gydytoju. </w:t>
      </w:r>
    </w:p>
    <w:p w14:paraId="3F2B82E8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349CFBB" w14:textId="77777777" w:rsidR="00F40626" w:rsidRPr="00F40626" w:rsidRDefault="00F40626" w:rsidP="00F40626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  <w:t xml:space="preserve">Įspėjimai ir atsargumo priemonės </w:t>
      </w:r>
    </w:p>
    <w:p w14:paraId="41B2FD6B" w14:textId="77777777" w:rsidR="00F40626" w:rsidRPr="00F40626" w:rsidRDefault="00F40626" w:rsidP="00F406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Pasitarkite su gydytoju arba vaistininku, prieš pradėdami vartoti CYCLODOL, jeigu:</w:t>
      </w:r>
    </w:p>
    <w:p w14:paraId="0AB0CC77" w14:textId="77777777" w:rsidR="00F40626" w:rsidRPr="00F40626" w:rsidRDefault="00F40626" w:rsidP="00F40626">
      <w:pPr>
        <w:tabs>
          <w:tab w:val="left" w:pos="540"/>
        </w:tabs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jeigu esate senyvo amžiaus;</w:t>
      </w:r>
    </w:p>
    <w:p w14:paraId="3BA0AC80" w14:textId="77777777" w:rsidR="00F40626" w:rsidRPr="00F40626" w:rsidRDefault="00F40626" w:rsidP="00F40626">
      <w:pPr>
        <w:tabs>
          <w:tab w:val="left" w:pos="540"/>
        </w:tabs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jeigu sergate širdies ir kraujagyslių ligomis;</w:t>
      </w:r>
    </w:p>
    <w:p w14:paraId="1E0677FA" w14:textId="77777777" w:rsidR="00F40626" w:rsidRPr="00F40626" w:rsidRDefault="00F40626" w:rsidP="00F40626">
      <w:pPr>
        <w:tabs>
          <w:tab w:val="left" w:pos="540"/>
        </w:tabs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jeigu sergate inkstų arba kepenų ligomis;</w:t>
      </w:r>
    </w:p>
    <w:p w14:paraId="7935849D" w14:textId="77777777" w:rsidR="00F40626" w:rsidRPr="00F40626" w:rsidRDefault="00F40626" w:rsidP="00F40626">
      <w:pPr>
        <w:tabs>
          <w:tab w:val="left" w:pos="540"/>
        </w:tabs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jeigu Jūs sergate liga, dėl kurios gali atsirasti pavojinga gyvybei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tachikardija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(dažnas širdies 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plakimas);</w:t>
      </w:r>
    </w:p>
    <w:p w14:paraId="152D703A" w14:textId="77777777" w:rsidR="00F40626" w:rsidRPr="00F40626" w:rsidRDefault="00F40626" w:rsidP="00F40626">
      <w:pPr>
        <w:tabs>
          <w:tab w:val="left" w:pos="540"/>
        </w:tabs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jei yra demencijos sindromas (silpnaprotystė);</w:t>
      </w:r>
    </w:p>
    <w:p w14:paraId="0B3717D9" w14:textId="77777777" w:rsidR="00F40626" w:rsidRPr="00F40626" w:rsidRDefault="00F40626" w:rsidP="00F40626">
      <w:pPr>
        <w:tabs>
          <w:tab w:val="left" w:pos="540"/>
        </w:tabs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jeigu Jūs sergate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generalizuota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miastenija</w:t>
      </w:r>
      <w:proofErr w:type="spellEnd"/>
      <w:r w:rsidRPr="00F40626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 xml:space="preserve"> 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(raumenų silpnumas);</w:t>
      </w:r>
    </w:p>
    <w:p w14:paraId="5B9A8AD7" w14:textId="77777777" w:rsidR="00F40626" w:rsidRPr="00F40626" w:rsidRDefault="00F40626" w:rsidP="00F40626">
      <w:pPr>
        <w:numPr>
          <w:ilvl w:val="0"/>
          <w:numId w:val="2"/>
        </w:numPr>
        <w:tabs>
          <w:tab w:val="num" w:pos="540"/>
          <w:tab w:val="num" w:pos="567"/>
        </w:tabs>
        <w:spacing w:after="0" w:line="240" w:lineRule="auto"/>
        <w:ind w:left="567"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 yra gerybinis prostatos padidėjimas, bet šlapimo pūslė gerai išsituština (joje po nusišlapinimo nelieka šlapimo).</w:t>
      </w:r>
    </w:p>
    <w:p w14:paraId="52CD3DFC" w14:textId="77777777" w:rsidR="00F40626" w:rsidRPr="00F40626" w:rsidRDefault="00F40626" w:rsidP="00F40626">
      <w:pPr>
        <w:tabs>
          <w:tab w:val="left" w:pos="540"/>
        </w:tabs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6CFCB42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Vaistas gali skatinti prasidedančios glaukomos progresavimą. Todėl Jums reguliariai turi būti atidžiai sekamas akispūdis.</w:t>
      </w:r>
    </w:p>
    <w:p w14:paraId="0CB56D3C" w14:textId="77777777" w:rsidR="00F40626" w:rsidRPr="00F40626" w:rsidRDefault="00F40626" w:rsidP="00F40626">
      <w:pPr>
        <w:tabs>
          <w:tab w:val="left" w:pos="540"/>
        </w:tabs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Vėlyvoji </w:t>
      </w:r>
      <w:proofErr w:type="spellStart"/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diskinezija</w:t>
      </w:r>
      <w:proofErr w:type="spellEnd"/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gali pasireikšti kartu vartojant </w:t>
      </w:r>
      <w:proofErr w:type="spellStart"/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antipsichozinius</w:t>
      </w:r>
      <w:proofErr w:type="spellEnd"/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vaistus.</w:t>
      </w:r>
    </w:p>
    <w:p w14:paraId="272C4A80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Dėl euforinio ir haliucinogeninio poveikio, CYCLODOL gali sukelti priklausomybę.</w:t>
      </w:r>
    </w:p>
    <w:p w14:paraId="6932D0B6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Ilgą laiką vartojantiems CYCLODOL, 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negalima jo nutraukti staigiai, siekiant išvengti pagrindinės ligos simptomų pasikartojimo ir galimo šalutinio poveikio.</w:t>
      </w:r>
    </w:p>
    <w:p w14:paraId="5D7DC981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A84F93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40626">
        <w:rPr>
          <w:rFonts w:ascii="Times New Roman" w:eastAsia="Times New Roman" w:hAnsi="Times New Roman" w:cs="Times New Roman"/>
          <w:b/>
          <w:lang w:val="lt-LT"/>
        </w:rPr>
        <w:t>Vaikams ir paaugliams</w:t>
      </w:r>
    </w:p>
    <w:p w14:paraId="7D01A1F3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CYCLODOL vaikams ir paaugliams vaisto vartoti negalima.</w:t>
      </w:r>
    </w:p>
    <w:p w14:paraId="42AEE887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1B699F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Kiti vaistai ir CYCLODOL</w:t>
      </w:r>
    </w:p>
    <w:p w14:paraId="75AFC5C9" w14:textId="77777777" w:rsidR="00F40626" w:rsidRPr="00F40626" w:rsidRDefault="00F40626" w:rsidP="00F406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Jeigu vartojate ar neseniai vartojote kitų vaistų arba dėl to nesate tikri, apie tai pasakykite gydytojui arba vaistininkui.</w:t>
      </w:r>
    </w:p>
    <w:p w14:paraId="7343A5BB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CYCLODOL vartojant su kitais panašių savybių vaistais, kaip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priešvirusiniu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vaistu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amantadinu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anthistamininiais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vaistais (pvz.,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difenhidraminu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prometazinu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klemastinu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antipsichotiniais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fenotiazino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grupės vaistais (pvz.,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chlorpromazinu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trimeprazinu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tricikliais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antidepresantais (pvz.,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imipraminu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amitriptilinu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trimipraminu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ir taip pat su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monoaminooksidazės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inhibitoriais (pvz.,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moklobemidu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), padidėja šalutinių poveikių atsiradimo rizika.</w:t>
      </w:r>
    </w:p>
    <w:p w14:paraId="0539DE90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CYCLODOL gali silpninti vaistų, vartojamų po liežuviu, poveikį (dėl  burnos džiūvimo). </w:t>
      </w:r>
    </w:p>
    <w:p w14:paraId="181BF5E2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CYCLODOL sumažina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parasimpatomimetinių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vaistų (pvz.,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pilokarpino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karbacholio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neostigmino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 poveikį.</w:t>
      </w:r>
    </w:p>
    <w:p w14:paraId="03B4A217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Kadangi CYCLODOL slopina žarnų judesius, jis gali silpninti kitų vaistų absorbciją iš virškinamojo trakto.</w:t>
      </w:r>
    </w:p>
    <w:p w14:paraId="43BB0EAB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CYCLODOL sumažina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metoklopramido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domperidono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poveikį virškinimo trakto veiklai.</w:t>
      </w:r>
    </w:p>
    <w:p w14:paraId="7A2E8671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Alkoholio ir CNS veikiančių vaistų, vartojant juos kartu su CYCLODOL, sukeliamas slopinamasis poveikis gali sustiprėti. </w:t>
      </w:r>
    </w:p>
    <w:p w14:paraId="65E89276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647AAFC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CYCLODOL vartojimas su maistu, gėrimais ir alkoholiu</w:t>
      </w:r>
    </w:p>
    <w:p w14:paraId="26775187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CYCLODOL nerekomenduojama vartoti kartu su alkoholiu.</w:t>
      </w:r>
    </w:p>
    <w:p w14:paraId="4A7F6290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CYCLODOL reikėtų gerti prieš valgį arba valgio metu.</w:t>
      </w:r>
    </w:p>
    <w:p w14:paraId="13F502D6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A7B06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Nėštumas, žindymo laikotarpis ir vaisingumas</w:t>
      </w:r>
    </w:p>
    <w:p w14:paraId="2ACE6042" w14:textId="77777777" w:rsidR="00F40626" w:rsidRPr="00F40626" w:rsidRDefault="00F40626" w:rsidP="00F4062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Jeigu esate nėščia, žindote kūdikį, manote, kad galbūt esate nėščia, arba planuojate pastoti, tai prieš vartodama šį vaistą, pasitarkite su gydytoju arba vaistininku.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4A4F9DF7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CYCLODOL nėštumo metu vartoti negalima, kadangi nėra duomenų apie šio vaisto saugumą.</w:t>
      </w:r>
    </w:p>
    <w:p w14:paraId="6B6BEC56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Nevartokite 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CYCLODOL</w:t>
      </w:r>
      <w:r w:rsidRPr="00F4062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, jei žindote, nes šis vaistas 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slopina pieno išsiskyrimą. Duomenų apie jo patekimą į moters pieną nėra.</w:t>
      </w:r>
    </w:p>
    <w:p w14:paraId="265696C1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E23929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lastRenderedPageBreak/>
        <w:t>Vairavimas ir mechanizmų valdymas</w:t>
      </w:r>
    </w:p>
    <w:p w14:paraId="1BB7CBF0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 xml:space="preserve">Jeigu vartojant vaistą pablogėja regėjimas bei sumažėja budrumas, vairuoti ir mechanizmų valdyti negalima. </w:t>
      </w:r>
    </w:p>
    <w:p w14:paraId="75177B32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0DE122B" w14:textId="77777777" w:rsidR="00F40626" w:rsidRPr="00F40626" w:rsidRDefault="00F40626" w:rsidP="00F40626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iCs/>
          <w:kern w:val="0"/>
          <w:lang w:val="lt-LT"/>
          <w14:ligatures w14:val="none"/>
        </w:rPr>
        <w:t>CYCLODOL sudėtyje yra sacharozės</w:t>
      </w:r>
    </w:p>
    <w:p w14:paraId="026BCFC5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gydytojas Jums yra sakęs, kad netoleruojate kokių nors angliavandenių, kreipkitės į jį prieš pradėdami vartoti šį vaistą.</w:t>
      </w:r>
    </w:p>
    <w:p w14:paraId="7D0E6B5D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D39D4D6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EA6DE80" w14:textId="77777777" w:rsidR="00F40626" w:rsidRPr="00F40626" w:rsidRDefault="00F40626" w:rsidP="00F4062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9" w:name="_Toc129243141"/>
      <w:bookmarkStart w:id="10" w:name="_Toc129243266"/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3.</w:t>
      </w: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Kaip vartoti CYCLODOL</w:t>
      </w:r>
      <w:bookmarkEnd w:id="9"/>
      <w:bookmarkEnd w:id="10"/>
    </w:p>
    <w:p w14:paraId="02B2964B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3C5ACB" w14:textId="77777777" w:rsidR="00F40626" w:rsidRPr="00F40626" w:rsidRDefault="00F40626" w:rsidP="00F406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Visada vartokite šį vaistą tiksliai kaip nurodė gydytojas arba vaistininkas.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Jeigu abejojate, kreipkitės į gydytoją arba vaistininką.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5E73E348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Vaisto dozė yra individuali, todėl ją visada nustato tik gydytojas.</w:t>
      </w:r>
    </w:p>
    <w:p w14:paraId="1EE32137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CYCLODOL galima gerti prieš valgį arba valgio metu. Jei vartojant preparato atsiranda burnos džiūvimas, vaisto rekomenduojama gerti prieš valgį, kad nepradėtų pykinti.</w:t>
      </w:r>
    </w:p>
    <w:p w14:paraId="0A7E0F94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1285704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>Suaugusieji</w:t>
      </w:r>
    </w:p>
    <w:p w14:paraId="239EFB6A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Įprastinė palaikomoji paros dozė yra 6–10 mg (3–5 tabletės). Dozė koreguojama, atsižvelgiant į gydymo veiksmingumą. Ji suvartojama per 3–4 kartus. Sunkiais atvejais paros dozę galima padidinti iki 12–16 mg (6–8 tablečių), kurią reikia suvartoti per 3–4 kartus. Didžiausia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triheksifenidilio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hidrochlorido paros dozė yra 16 mg.</w:t>
      </w:r>
    </w:p>
    <w:p w14:paraId="251FC583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EE8E850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Baigiant gydytis arba pradedant vartoti kitokių vaistų, CYCLODOL dozė turi būti mažinama palaipsniui.</w:t>
      </w:r>
    </w:p>
    <w:p w14:paraId="582527F7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47B25F2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>Senyvi pacientai</w:t>
      </w:r>
    </w:p>
    <w:p w14:paraId="236B6804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Kadangi senyvo amžiaus pacientai paprastai yra jautresni vaisto šalutiniam poveikiui, todėl jiems reikėtų vartoti mažesnę dozę.</w:t>
      </w:r>
    </w:p>
    <w:p w14:paraId="6A8236A5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07745F0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Gydymo kurso trukmę nustato gydytojas.</w:t>
      </w:r>
    </w:p>
    <w:p w14:paraId="1AC2D48B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608F7E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Jeigu manote, kad vaisto poveikis per stiprus ar per silpnas, kreipkitės į gydytoją.</w:t>
      </w:r>
    </w:p>
    <w:p w14:paraId="766DBB0C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AADB93D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Ką daryti pavartojus per didelę CYCLODOL dozę</w:t>
      </w:r>
    </w:p>
    <w:p w14:paraId="25A838FF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Perdozavimo simptomai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: išsiplėtę vyzdžiai, gleivinių sausumas, padažnėjęs širdies plakimas, vidurių užkietėjimas, pakilusi kūno temperatūra, nervingumas, tikrovės nesuvokimas ir (arba) kiti sąmonės sutrikimai. Sunkiau apsinuodijus, gali ištikti koma ir sustoti kvėpavimas.</w:t>
      </w:r>
    </w:p>
    <w:p w14:paraId="419F4E53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78CAF21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Perdozavus vaisto arba įtarus jo perdozavimą, būtina nedelsiant kreiptis į gydytoją. Reikia pasiimti pavartoto vaisto pakuotę.</w:t>
      </w:r>
    </w:p>
    <w:p w14:paraId="0B274AD3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Pacientui reikėtų sukelti vėmimą, gerti skysčių, dėti šaltus kompresus.</w:t>
      </w:r>
    </w:p>
    <w:p w14:paraId="7D6E3F37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Informuokite gydytoją apie priemones, kurias naudojate.</w:t>
      </w:r>
    </w:p>
    <w:p w14:paraId="097C1486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782C0FC0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Pamiršus pavartoti CYCLODOL</w:t>
      </w:r>
    </w:p>
    <w:p w14:paraId="4D6525FF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 xml:space="preserve">Praleistą dozę suvartokite kaip galima greičiau. Jeigu jau laikas kitai dozei, praleiskite nesuvartotą dozę ir grįžkite prie įprastinės tvarkos. Negalima vartoti dvigubos dozės norint kompensuoti praleistą dozę. </w:t>
      </w:r>
    </w:p>
    <w:p w14:paraId="3C6F7B2F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D581DC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Nustojus vartoti CYCLODOL</w:t>
      </w:r>
    </w:p>
    <w:p w14:paraId="68E388D8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Ilgą laiką vartojantiems CYCLODOL, 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negalima vaisto vartojimą nutraukti staigiai, siekiant išvengti pagrindinės ligos simptomų atsinaujinimo ir galimo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anticholinerginio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poveikio.</w:t>
      </w:r>
    </w:p>
    <w:p w14:paraId="7C05C1F2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EE6E4F" w14:textId="77777777" w:rsidR="00F40626" w:rsidRPr="00F40626" w:rsidRDefault="00F40626" w:rsidP="00F40626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Jeigu kiltų daugiau klausimų dėl šio vaisto vartojimo, kreipkitės į gydytoją arba vaistininką.</w:t>
      </w:r>
    </w:p>
    <w:p w14:paraId="6D0A76E2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7FA00E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2C1EEA" w14:textId="77777777" w:rsidR="00F40626" w:rsidRPr="00F40626" w:rsidRDefault="00F40626" w:rsidP="00F4062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11" w:name="_Toc129243142"/>
      <w:bookmarkStart w:id="12" w:name="_Toc129243267"/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4.</w:t>
      </w: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Galimas šalutinis poveikis</w:t>
      </w:r>
      <w:bookmarkEnd w:id="11"/>
      <w:bookmarkEnd w:id="12"/>
    </w:p>
    <w:p w14:paraId="53AACB14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3D9076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14:paraId="06DBE2AD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kern w:val="0"/>
          <w:szCs w:val="24"/>
          <w:lang w:val="lt-LT"/>
          <w14:ligatures w14:val="none"/>
        </w:rPr>
      </w:pPr>
    </w:p>
    <w:p w14:paraId="3C93B83A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A0F5773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Labai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dažni šalutinio poveikio reiškiniai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 (gali pasireikšti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ne rečiau kaip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 1 iš 10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asmenų):</w:t>
      </w:r>
    </w:p>
    <w:p w14:paraId="099A8A1B" w14:textId="77777777" w:rsidR="00F40626" w:rsidRPr="00F40626" w:rsidRDefault="00F40626" w:rsidP="00F40626">
      <w:pPr>
        <w:numPr>
          <w:ilvl w:val="0"/>
          <w:numId w:val="3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burnos džiūvimas;</w:t>
      </w:r>
    </w:p>
    <w:p w14:paraId="08B0F18C" w14:textId="77777777" w:rsidR="00F40626" w:rsidRPr="00F40626" w:rsidRDefault="00F40626" w:rsidP="00F40626">
      <w:pPr>
        <w:numPr>
          <w:ilvl w:val="0"/>
          <w:numId w:val="3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pykinimas;</w:t>
      </w:r>
    </w:p>
    <w:p w14:paraId="072F4322" w14:textId="77777777" w:rsidR="00F40626" w:rsidRPr="00F40626" w:rsidRDefault="00F40626" w:rsidP="00F40626">
      <w:pPr>
        <w:numPr>
          <w:ilvl w:val="0"/>
          <w:numId w:val="3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vidurių užkietėjimas; </w:t>
      </w:r>
    </w:p>
    <w:p w14:paraId="3B2F1677" w14:textId="77777777" w:rsidR="00F40626" w:rsidRPr="00F40626" w:rsidRDefault="00F40626" w:rsidP="00F40626">
      <w:pPr>
        <w:numPr>
          <w:ilvl w:val="0"/>
          <w:numId w:val="3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neryškus matymas.</w:t>
      </w:r>
    </w:p>
    <w:p w14:paraId="187DA607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757295F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5DAD849" w14:textId="77777777" w:rsidR="00F40626" w:rsidRPr="00F40626" w:rsidRDefault="00F40626" w:rsidP="00F40626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Dažni šalutinio poveikio reiškiniai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 (gali pasireikšti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rečiau kaip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 1 iš 10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asmenų):</w:t>
      </w:r>
    </w:p>
    <w:p w14:paraId="47A839E4" w14:textId="77777777" w:rsidR="00F40626" w:rsidRPr="00F40626" w:rsidRDefault="00F40626" w:rsidP="00F40626">
      <w:pPr>
        <w:numPr>
          <w:ilvl w:val="0"/>
          <w:numId w:val="4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svaigulys;</w:t>
      </w:r>
    </w:p>
    <w:p w14:paraId="1BC1C3B6" w14:textId="77777777" w:rsidR="00F40626" w:rsidRPr="00F40626" w:rsidRDefault="00F40626" w:rsidP="00F40626">
      <w:pPr>
        <w:numPr>
          <w:ilvl w:val="0"/>
          <w:numId w:val="4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mieguistumas; </w:t>
      </w:r>
    </w:p>
    <w:p w14:paraId="737DD576" w14:textId="77777777" w:rsidR="00F40626" w:rsidRPr="00F40626" w:rsidRDefault="00F40626" w:rsidP="00F40626">
      <w:pPr>
        <w:numPr>
          <w:ilvl w:val="0"/>
          <w:numId w:val="4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akomodacijos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sutrikimai; </w:t>
      </w:r>
    </w:p>
    <w:p w14:paraId="3D73007C" w14:textId="77777777" w:rsidR="00F40626" w:rsidRPr="00F40626" w:rsidRDefault="00F40626" w:rsidP="00F40626">
      <w:pPr>
        <w:numPr>
          <w:ilvl w:val="0"/>
          <w:numId w:val="4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nervingumas.</w:t>
      </w:r>
    </w:p>
    <w:p w14:paraId="7FE66F2F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6444B9F" w14:textId="77777777" w:rsidR="00F40626" w:rsidRPr="00F40626" w:rsidRDefault="00F40626" w:rsidP="00F40626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515DBD1" w14:textId="77777777" w:rsidR="00F40626" w:rsidRPr="00F40626" w:rsidRDefault="00F40626" w:rsidP="00F40626">
      <w:pPr>
        <w:tabs>
          <w:tab w:val="left" w:pos="567"/>
        </w:tabs>
        <w:spacing w:after="0" w:line="240" w:lineRule="auto"/>
        <w:ind w:right="-29"/>
        <w:rPr>
          <w:rFonts w:ascii="Segoe UI Emoji" w:eastAsia="Segoe UI Emoji" w:hAnsi="Segoe UI Emoji" w:cs="Times New Roman"/>
          <w:b/>
          <w:kern w:val="0"/>
          <w:szCs w:val="24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Reti šalutinio poveikio reiškiniai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 (gali pasireikšti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rečiau kaip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 1 iš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1 000 asmenų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): </w:t>
      </w:r>
    </w:p>
    <w:p w14:paraId="729EBE95" w14:textId="77777777" w:rsidR="00F40626" w:rsidRPr="00F40626" w:rsidRDefault="00F40626" w:rsidP="00F40626">
      <w:pPr>
        <w:numPr>
          <w:ilvl w:val="0"/>
          <w:numId w:val="5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padidėjęs jautrumas; </w:t>
      </w:r>
    </w:p>
    <w:p w14:paraId="4F025C47" w14:textId="77777777" w:rsidR="00F40626" w:rsidRPr="00F40626" w:rsidRDefault="00F40626" w:rsidP="00F40626">
      <w:pPr>
        <w:numPr>
          <w:ilvl w:val="0"/>
          <w:numId w:val="5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skrandžio veiklos sutrikimai; </w:t>
      </w:r>
    </w:p>
    <w:p w14:paraId="289AFD44" w14:textId="77777777" w:rsidR="00F40626" w:rsidRPr="00F40626" w:rsidRDefault="00F40626" w:rsidP="00F40626">
      <w:pPr>
        <w:numPr>
          <w:ilvl w:val="0"/>
          <w:numId w:val="5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pagreitėjusi širdies veikla;</w:t>
      </w:r>
    </w:p>
    <w:p w14:paraId="5CF2DBA3" w14:textId="77777777" w:rsidR="00F40626" w:rsidRPr="00F40626" w:rsidRDefault="00F40626" w:rsidP="00F40626">
      <w:pPr>
        <w:numPr>
          <w:ilvl w:val="0"/>
          <w:numId w:val="5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vyzdžių išsiplėtimas;</w:t>
      </w:r>
    </w:p>
    <w:p w14:paraId="6BE0F66C" w14:textId="77777777" w:rsidR="00F40626" w:rsidRPr="00F40626" w:rsidRDefault="00F40626" w:rsidP="00F40626">
      <w:pPr>
        <w:numPr>
          <w:ilvl w:val="0"/>
          <w:numId w:val="5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prakaitavimo sumažėjimas; </w:t>
      </w:r>
    </w:p>
    <w:p w14:paraId="305A70E4" w14:textId="77777777" w:rsidR="00F40626" w:rsidRPr="00F40626" w:rsidRDefault="00F40626" w:rsidP="00F40626">
      <w:pPr>
        <w:numPr>
          <w:ilvl w:val="0"/>
          <w:numId w:val="5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šlapimo susilaikymas; </w:t>
      </w:r>
    </w:p>
    <w:p w14:paraId="18A9A4C9" w14:textId="77777777" w:rsidR="00F40626" w:rsidRPr="00F40626" w:rsidRDefault="00F40626" w:rsidP="00F40626">
      <w:pPr>
        <w:numPr>
          <w:ilvl w:val="0"/>
          <w:numId w:val="5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nemiga; </w:t>
      </w:r>
    </w:p>
    <w:p w14:paraId="3F237136" w14:textId="77777777" w:rsidR="00F40626" w:rsidRPr="00F40626" w:rsidRDefault="00F40626" w:rsidP="00F40626">
      <w:pPr>
        <w:numPr>
          <w:ilvl w:val="0"/>
          <w:numId w:val="5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nuovargis.</w:t>
      </w:r>
    </w:p>
    <w:p w14:paraId="4DBAF550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i/>
          <w:kern w:val="0"/>
          <w:szCs w:val="24"/>
          <w:lang w:val="lt-LT"/>
          <w14:ligatures w14:val="none"/>
        </w:rPr>
      </w:pPr>
    </w:p>
    <w:p w14:paraId="1861EFF5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Labai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reti šalutinio poveikio reiškiniai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 (gali pasireikšti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rečiau kaip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 xml:space="preserve"> 1 iš </w:t>
      </w:r>
      <w:r w:rsidRPr="00F40626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val="lt-LT"/>
          <w14:ligatures w14:val="none"/>
        </w:rPr>
        <w:t>10 000 asmenų</w:t>
      </w:r>
      <w:r w:rsidRPr="00F40626">
        <w:rPr>
          <w:rFonts w:ascii="Times New Roman" w:eastAsia="Times New Roman" w:hAnsi="Times New Roman" w:cs="Times New Roman"/>
          <w:b/>
          <w:kern w:val="0"/>
          <w:szCs w:val="24"/>
          <w:lang w:val="lt-LT"/>
          <w14:ligatures w14:val="none"/>
        </w:rPr>
        <w:t>):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003F4115" w14:textId="77777777" w:rsidR="00F40626" w:rsidRPr="00F40626" w:rsidRDefault="00F40626" w:rsidP="00F40626">
      <w:pPr>
        <w:numPr>
          <w:ilvl w:val="0"/>
          <w:numId w:val="6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sulėtėjusi širdies veikla;</w:t>
      </w:r>
    </w:p>
    <w:p w14:paraId="15B06327" w14:textId="77777777" w:rsidR="00F40626" w:rsidRPr="00F40626" w:rsidRDefault="00F40626" w:rsidP="00F40626">
      <w:pPr>
        <w:numPr>
          <w:ilvl w:val="0"/>
          <w:numId w:val="6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uždarojo kampo glaukoma, susijusi su padidėjusiu akispūdžiu (taip pat žr. skyrių „Įspėjimai ir atsargumo priemonės“);</w:t>
      </w:r>
    </w:p>
    <w:p w14:paraId="2AD87C34" w14:textId="77777777" w:rsidR="00F40626" w:rsidRPr="00F40626" w:rsidRDefault="00F40626" w:rsidP="00F40626">
      <w:pPr>
        <w:numPr>
          <w:ilvl w:val="0"/>
          <w:numId w:val="6"/>
        </w:num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fotofobija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4E219F1A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AE18E0B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Pacientams, vartojantiems didelę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triheksifenidilio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dozę arba turintiems rizikos veiksnių (senyvas amžius arba ypatingas jautrumas kokiam nors vaistui), gali pasireikšti sąmonės pritemimas (ypač senyviems asmenims), atminties sutrikimas, neįprastas nuotaikos pakilimas,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ažitacija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susijaudinimas, pykinimas arba vėmimas. Tokiu atveju gydymą reikia nutraukti. Sumažinus vaisto dozę arba nutraukus gydymą, nepageidaujamas poveikis išnyksta.</w:t>
      </w:r>
    </w:p>
    <w:p w14:paraId="3A1347E3" w14:textId="77777777" w:rsidR="00F40626" w:rsidRPr="00F40626" w:rsidRDefault="00F40626" w:rsidP="00F40626">
      <w:pPr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0B9AE1A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Buvo gauta pranešimų apie piktnaudžiavimą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triheksifenidilio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hidrochloridu dėl euforiją ir haliucinacijas sukeliančių savybių (taip pat žr. skyrių „Įspėjimai ir atsargumo priemonės“).</w:t>
      </w:r>
    </w:p>
    <w:p w14:paraId="3E58DEBB" w14:textId="77777777" w:rsidR="00F40626" w:rsidRPr="00F40626" w:rsidRDefault="00F40626" w:rsidP="00F40626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13567449" w14:textId="77777777" w:rsidR="00F40626" w:rsidRPr="00F40626" w:rsidRDefault="00F40626" w:rsidP="00F406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Pranešimas apie šalutinį poveikį</w:t>
      </w:r>
    </w:p>
    <w:p w14:paraId="76B7CA77" w14:textId="77777777" w:rsidR="00F40626" w:rsidRPr="00F40626" w:rsidRDefault="00F40626" w:rsidP="00F40626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lastRenderedPageBreak/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40626">
          <w:rPr>
            <w:rFonts w:ascii="Times New Roman" w:eastAsia="Times New Roman" w:hAnsi="Times New Roman" w:cs="Times New Roman"/>
            <w:snapToGrid w:val="0"/>
            <w:color w:val="0000FF"/>
            <w:kern w:val="0"/>
            <w:szCs w:val="20"/>
            <w:u w:val="single"/>
            <w:lang w:val="lt-LT"/>
            <w14:ligatures w14:val="none"/>
          </w:rPr>
          <w:t>https://vapris.vvkt.lt/vvkt-web/public/nrv</w:t>
        </w:r>
      </w:hyperlink>
      <w:r w:rsidRPr="00F40626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 arba užpildant Paciento pranešimo apie įtariamą nepageidaujamą reakciją (ĮNR) formą, kuri skelbiama </w:t>
      </w:r>
      <w:hyperlink r:id="rId6" w:history="1">
        <w:r w:rsidRPr="00F40626">
          <w:rPr>
            <w:rFonts w:ascii="Times New Roman" w:eastAsia="Times New Roman" w:hAnsi="Times New Roman" w:cs="Times New Roman"/>
            <w:snapToGrid w:val="0"/>
            <w:color w:val="0000FF"/>
            <w:kern w:val="0"/>
            <w:szCs w:val="20"/>
            <w:u w:val="single"/>
            <w:lang w:val="lt-LT"/>
            <w14:ligatures w14:val="none"/>
          </w:rPr>
          <w:t>https://www.vvkt.lt/index.php?4004286486</w:t>
        </w:r>
      </w:hyperlink>
      <w:r w:rsidRPr="00F40626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, ir atsiunčiant elektroniniu paštu (adresu </w:t>
      </w:r>
      <w:hyperlink r:id="rId7" w:history="1">
        <w:r w:rsidRPr="00F40626">
          <w:rPr>
            <w:rFonts w:ascii="Times New Roman" w:eastAsia="Times New Roman" w:hAnsi="Times New Roman" w:cs="Times New Roman"/>
            <w:snapToGrid w:val="0"/>
            <w:color w:val="0000FF"/>
            <w:kern w:val="0"/>
            <w:szCs w:val="20"/>
            <w:u w:val="single"/>
            <w:lang w:val="lt-LT"/>
            <w14:ligatures w14:val="none"/>
          </w:rPr>
          <w:t>NepageidaujamaR@vvkt.lt</w:t>
        </w:r>
      </w:hyperlink>
      <w:r w:rsidRPr="00F40626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) arba nemokamu telefonu 8 800 73 568. Pranešdami apie šalutinį poveikį galite mums padėti gauti daugiau informacijos apie šio vaisto saugumą.</w:t>
      </w:r>
    </w:p>
    <w:p w14:paraId="03DF2F0B" w14:textId="77777777" w:rsidR="00F40626" w:rsidRPr="00F40626" w:rsidRDefault="00F40626" w:rsidP="00F40626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kern w:val="0"/>
          <w:lang w:val="lt-LT"/>
          <w14:ligatures w14:val="none"/>
        </w:rPr>
      </w:pPr>
    </w:p>
    <w:p w14:paraId="2C27B43B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39FAC0" w14:textId="77777777" w:rsidR="00F40626" w:rsidRPr="00F40626" w:rsidRDefault="00F40626" w:rsidP="00F4062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13" w:name="_Toc129243143"/>
      <w:bookmarkStart w:id="14" w:name="_Toc129243268"/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5.</w:t>
      </w: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Kaip laikyti CYCLODOL</w:t>
      </w:r>
      <w:bookmarkEnd w:id="13"/>
      <w:bookmarkEnd w:id="14"/>
    </w:p>
    <w:p w14:paraId="6D555DE1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FF8189" w14:textId="77777777" w:rsidR="00F40626" w:rsidRPr="00F40626" w:rsidRDefault="00F40626" w:rsidP="00F406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t>Šį vaistą laikykite vaikams nepastebimoje ir nepasiekiamoje vietoje.</w:t>
      </w:r>
    </w:p>
    <w:p w14:paraId="2B196E44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A7E62C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 xml:space="preserve">Ant  dėžutės po „EXP“ ir lizdinės plokštelės nurodytam tinkamumo laikui pasibaigus, šio vaisto vartoti negalima. Vaistas tinkamas vartoti iki paskutinės nurodyto mėnesio dienos. </w:t>
      </w:r>
    </w:p>
    <w:p w14:paraId="0935D3B2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106FF7F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Laikyti ne aukštesnėje kaip 25 </w:t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sym w:font="Symbol" w:char="F0B0"/>
      </w: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C temperatūroje. </w:t>
      </w:r>
    </w:p>
    <w:p w14:paraId="34848EF1" w14:textId="77777777" w:rsidR="00F40626" w:rsidRPr="00F40626" w:rsidRDefault="00F40626" w:rsidP="00F406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Lizdines plokšteles laikyti išorinėje dėžutėje, kad vaistas būtų apsaugotas nuo šviesos.</w:t>
      </w:r>
    </w:p>
    <w:p w14:paraId="5C6C8B4A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288A9F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</w:t>
      </w:r>
    </w:p>
    <w:p w14:paraId="6D5ACF73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D558E0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BF6B02" w14:textId="77777777" w:rsidR="00F40626" w:rsidRPr="00F40626" w:rsidRDefault="00F40626" w:rsidP="00F4062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15" w:name="_Toc129243144"/>
      <w:bookmarkStart w:id="16" w:name="_Toc129243269"/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6.</w:t>
      </w: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Pakuotės turinys ir kita informacija</w:t>
      </w:r>
      <w:bookmarkEnd w:id="15"/>
      <w:bookmarkEnd w:id="16"/>
    </w:p>
    <w:p w14:paraId="3878F934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FD12B0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CYCLODOL sudėtis</w:t>
      </w:r>
    </w:p>
    <w:p w14:paraId="6EC2B8C2" w14:textId="77777777" w:rsidR="00F40626" w:rsidRPr="00F40626" w:rsidRDefault="00F40626" w:rsidP="00F40626">
      <w:pPr>
        <w:keepNext/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67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Veiklioji medžiaga yra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triheksifenidilio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hidrochloridas. Kiekvienoje tabletėje yra 2 mg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triheksifenidilio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hidrochlorido.</w:t>
      </w:r>
    </w:p>
    <w:p w14:paraId="3F36EDFA" w14:textId="77777777" w:rsidR="00F40626" w:rsidRPr="00F40626" w:rsidRDefault="00F40626" w:rsidP="00F40626">
      <w:pPr>
        <w:keepNext/>
        <w:numPr>
          <w:ilvl w:val="0"/>
          <w:numId w:val="2"/>
        </w:numPr>
        <w:tabs>
          <w:tab w:val="num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Pagalbinės medžiagos yra sacharozė, bulvių krakmolas, </w:t>
      </w: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mikrokristalinė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celiuliozė, kalcio</w:t>
      </w:r>
    </w:p>
    <w:p w14:paraId="39546145" w14:textId="77777777" w:rsidR="00F40626" w:rsidRPr="00F40626" w:rsidRDefault="00F40626" w:rsidP="00F40626">
      <w:pPr>
        <w:keepNext/>
        <w:tabs>
          <w:tab w:val="left" w:pos="720"/>
        </w:tabs>
        <w:spacing w:after="0" w:line="240" w:lineRule="auto"/>
        <w:ind w:left="567" w:firstLine="273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proofErr w:type="spellStart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stearatas</w:t>
      </w:r>
      <w:proofErr w:type="spellEnd"/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7524588C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65F3D0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CYCLODOL išvaizda ir kiekis pakuotėje</w:t>
      </w:r>
    </w:p>
    <w:p w14:paraId="78473D43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Tabletės yra baltos spalvos, apvalios, plokščiu paviršiumi su nuožulniais kraštais.</w:t>
      </w:r>
    </w:p>
    <w:p w14:paraId="60063736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Lizdinėje plokštelėje yra 25 tabletės, kartono dėžutėje yra 2 lizdinės plokštelės.</w:t>
      </w:r>
    </w:p>
    <w:p w14:paraId="698106D4" w14:textId="77777777" w:rsidR="00F40626" w:rsidRPr="00F40626" w:rsidRDefault="00F40626" w:rsidP="00F4062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14BA9ADD" w14:textId="77777777" w:rsidR="00F40626" w:rsidRPr="00F40626" w:rsidRDefault="00F40626" w:rsidP="00F40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  <w:t>Registruotojas eksportuojančioje valstybėje ir gamintojas</w:t>
      </w:r>
    </w:p>
    <w:p w14:paraId="7946360B" w14:textId="3572DF5F" w:rsidR="00F40626" w:rsidRPr="00F40626" w:rsidRDefault="00F40626" w:rsidP="00F40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AS </w:t>
      </w:r>
      <w:r w:rsidRPr="00F40626">
        <w:rPr>
          <w:rFonts w:ascii="Times New Roman" w:eastAsia="Times New Roman" w:hAnsi="Times New Roman" w:cs="Times New Roman"/>
          <w:iCs/>
          <w:kern w:val="0"/>
          <w:lang w:val="lv-LV"/>
          <w14:ligatures w14:val="none"/>
        </w:rPr>
        <w:t>GRINDEKS</w:t>
      </w:r>
    </w:p>
    <w:p w14:paraId="1E5A36C5" w14:textId="77777777" w:rsidR="00F40626" w:rsidRDefault="00F40626" w:rsidP="00F40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Krustpils iela 53,</w:t>
      </w:r>
    </w:p>
    <w:p w14:paraId="77230BF1" w14:textId="5F7AEABC" w:rsidR="00F40626" w:rsidRDefault="00F40626" w:rsidP="00F40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Rīga, LV</w:t>
      </w:r>
      <w:r w:rsidRPr="00F40626">
        <w:rPr>
          <w:rFonts w:ascii="Times New Roman" w:eastAsia="Times New Roman" w:hAnsi="Times New Roman" w:cs="Times New Roman"/>
          <w:kern w:val="0"/>
          <w:lang w:val="lv-LV"/>
          <w14:ligatures w14:val="none"/>
        </w:rPr>
        <w:noBreakHyphen/>
        <w:t>1057,</w:t>
      </w:r>
    </w:p>
    <w:p w14:paraId="1594457A" w14:textId="098C1F38" w:rsidR="00F40626" w:rsidRDefault="00F40626" w:rsidP="00F40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Latvija</w:t>
      </w:r>
    </w:p>
    <w:p w14:paraId="272E39DC" w14:textId="77777777" w:rsidR="006F02E7" w:rsidRDefault="006F02E7" w:rsidP="00F40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</w:p>
    <w:p w14:paraId="7E82A418" w14:textId="77777777" w:rsidR="006F02E7" w:rsidRPr="00720923" w:rsidRDefault="006F02E7" w:rsidP="006F02E7">
      <w:pPr>
        <w:pStyle w:val="Default"/>
        <w:rPr>
          <w:rFonts w:eastAsia="TimesNewRoman"/>
          <w:sz w:val="22"/>
          <w:szCs w:val="22"/>
        </w:rPr>
      </w:pPr>
      <w:proofErr w:type="spellStart"/>
      <w:r w:rsidRPr="00720923">
        <w:rPr>
          <w:b/>
          <w:sz w:val="22"/>
          <w:szCs w:val="22"/>
        </w:rPr>
        <w:t>Lygiagretus</w:t>
      </w:r>
      <w:proofErr w:type="spellEnd"/>
      <w:r w:rsidRPr="00720923">
        <w:rPr>
          <w:b/>
          <w:sz w:val="22"/>
          <w:szCs w:val="22"/>
        </w:rPr>
        <w:t xml:space="preserve"> </w:t>
      </w:r>
      <w:proofErr w:type="spellStart"/>
      <w:r w:rsidRPr="00720923">
        <w:rPr>
          <w:b/>
          <w:sz w:val="22"/>
          <w:szCs w:val="22"/>
        </w:rPr>
        <w:t>importuotojas</w:t>
      </w:r>
      <w:proofErr w:type="spellEnd"/>
      <w:r w:rsidRPr="00720923">
        <w:rPr>
          <w:b/>
          <w:sz w:val="22"/>
          <w:szCs w:val="22"/>
        </w:rPr>
        <w:t xml:space="preserve"> </w:t>
      </w:r>
      <w:r w:rsidRPr="00720923">
        <w:rPr>
          <w:b/>
          <w:sz w:val="22"/>
          <w:szCs w:val="22"/>
        </w:rPr>
        <w:br/>
      </w:r>
      <w:r w:rsidRPr="00720923">
        <w:rPr>
          <w:rFonts w:eastAsia="TimesNewRoman"/>
          <w:sz w:val="22"/>
          <w:szCs w:val="22"/>
        </w:rPr>
        <w:t xml:space="preserve">UAB </w:t>
      </w:r>
      <w:proofErr w:type="spellStart"/>
      <w:r w:rsidRPr="00720923">
        <w:rPr>
          <w:rFonts w:eastAsia="TimesNewRoman"/>
          <w:sz w:val="22"/>
          <w:szCs w:val="22"/>
        </w:rPr>
        <w:t>Niromed</w:t>
      </w:r>
      <w:proofErr w:type="spellEnd"/>
      <w:r w:rsidRPr="00720923">
        <w:rPr>
          <w:b/>
          <w:sz w:val="22"/>
          <w:szCs w:val="22"/>
        </w:rPr>
        <w:br/>
      </w:r>
      <w:proofErr w:type="spellStart"/>
      <w:r w:rsidRPr="00720923">
        <w:rPr>
          <w:rFonts w:eastAsia="TimesNewRoman"/>
          <w:sz w:val="22"/>
          <w:szCs w:val="22"/>
        </w:rPr>
        <w:t>Žirmūnų</w:t>
      </w:r>
      <w:proofErr w:type="spellEnd"/>
      <w:r w:rsidRPr="00720923">
        <w:rPr>
          <w:rFonts w:eastAsia="TimesNewRoman"/>
          <w:sz w:val="22"/>
          <w:szCs w:val="22"/>
        </w:rPr>
        <w:t xml:space="preserve"> g. 139A</w:t>
      </w:r>
      <w:r w:rsidRPr="00720923">
        <w:rPr>
          <w:b/>
          <w:sz w:val="22"/>
          <w:szCs w:val="22"/>
        </w:rPr>
        <w:br/>
      </w:r>
      <w:r w:rsidRPr="00720923">
        <w:rPr>
          <w:rFonts w:eastAsia="TimesNewRoman"/>
          <w:sz w:val="22"/>
          <w:szCs w:val="22"/>
        </w:rPr>
        <w:t>LT‑09120 Vilnius</w:t>
      </w:r>
      <w:r w:rsidRPr="00720923">
        <w:rPr>
          <w:rFonts w:eastAsia="TimesNewRoman"/>
          <w:sz w:val="22"/>
          <w:szCs w:val="22"/>
        </w:rPr>
        <w:br/>
      </w:r>
      <w:proofErr w:type="spellStart"/>
      <w:r w:rsidRPr="00720923">
        <w:rPr>
          <w:rFonts w:eastAsia="TimesNewRoman"/>
          <w:sz w:val="22"/>
          <w:szCs w:val="22"/>
        </w:rPr>
        <w:t>Lietuva</w:t>
      </w:r>
      <w:proofErr w:type="spellEnd"/>
    </w:p>
    <w:p w14:paraId="2F99D684" w14:textId="77777777" w:rsidR="006F02E7" w:rsidRDefault="006F02E7" w:rsidP="00F40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</w:p>
    <w:p w14:paraId="7341AEDD" w14:textId="77777777" w:rsidR="00BA246C" w:rsidRPr="00BA246C" w:rsidRDefault="00BA246C" w:rsidP="00BA24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Perpakavo</w:t>
      </w:r>
    </w:p>
    <w:p w14:paraId="39DE44AE" w14:textId="77777777" w:rsidR="00BA246C" w:rsidRPr="00BA246C" w:rsidRDefault="00BA246C" w:rsidP="00BA24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LABOR Przedsiębiorstwo Farmaceutyczno-Chemiczne sp. z o.o.</w:t>
      </w:r>
    </w:p>
    <w:p w14:paraId="1EFD8C5F" w14:textId="77777777" w:rsidR="00BA246C" w:rsidRPr="00BA246C" w:rsidRDefault="00BA246C" w:rsidP="00BA24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Ul. Długosza 49,</w:t>
      </w:r>
    </w:p>
    <w:p w14:paraId="7FFEE516" w14:textId="77777777" w:rsidR="00BA246C" w:rsidRPr="00BA246C" w:rsidRDefault="00BA246C" w:rsidP="00BA24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lastRenderedPageBreak/>
        <w:t>51-162 Wrocław,</w:t>
      </w:r>
    </w:p>
    <w:p w14:paraId="70A76F41" w14:textId="77777777" w:rsidR="00BA246C" w:rsidRPr="00BA246C" w:rsidRDefault="00BA246C" w:rsidP="00BA24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Lenkija</w:t>
      </w:r>
    </w:p>
    <w:p w14:paraId="626410F7" w14:textId="77777777" w:rsidR="00BA246C" w:rsidRPr="00BA246C" w:rsidRDefault="00BA246C" w:rsidP="00BA24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3EBB36A" w14:textId="77777777" w:rsidR="00BA246C" w:rsidRPr="00BA246C" w:rsidRDefault="00BA246C" w:rsidP="00BA24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arba</w:t>
      </w:r>
    </w:p>
    <w:p w14:paraId="744EC19F" w14:textId="77777777" w:rsidR="00BA246C" w:rsidRPr="00BA246C" w:rsidRDefault="00BA246C" w:rsidP="00BA24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C66E1FB" w14:textId="77777777" w:rsidR="00BA246C" w:rsidRPr="00BA246C" w:rsidRDefault="00BA246C" w:rsidP="00BA24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UAB „Entafarma“</w:t>
      </w:r>
    </w:p>
    <w:p w14:paraId="61F81F57" w14:textId="77777777" w:rsidR="00BA246C" w:rsidRPr="00BA246C" w:rsidRDefault="00BA246C" w:rsidP="00BA24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Klonėnų vs. 1,</w:t>
      </w:r>
    </w:p>
    <w:p w14:paraId="06D73F8D" w14:textId="77777777" w:rsidR="00BA246C" w:rsidRPr="00BA246C" w:rsidRDefault="00BA246C" w:rsidP="00BA24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LT-19156 Širvintų r. sav.</w:t>
      </w:r>
    </w:p>
    <w:p w14:paraId="0AADA9C4" w14:textId="77777777" w:rsidR="00BA246C" w:rsidRPr="00BA246C" w:rsidRDefault="00BA246C" w:rsidP="00BA24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BA246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Lietuva</w:t>
      </w:r>
    </w:p>
    <w:p w14:paraId="435677C1" w14:textId="77777777" w:rsidR="00BA246C" w:rsidRPr="00BA246C" w:rsidRDefault="00BA246C" w:rsidP="00BA246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x-none"/>
          <w14:ligatures w14:val="none"/>
        </w:rPr>
      </w:pPr>
    </w:p>
    <w:p w14:paraId="673CFFC0" w14:textId="77777777" w:rsidR="00BA246C" w:rsidRPr="00BA246C" w:rsidRDefault="00BA246C" w:rsidP="00BA246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x-none"/>
          <w14:ligatures w14:val="none"/>
        </w:rPr>
      </w:pPr>
    </w:p>
    <w:p w14:paraId="711C130B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40626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14:paraId="5D13851B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F40626" w:rsidRPr="00F40626" w14:paraId="1A154C0D" w14:textId="77777777" w:rsidTr="00F40626">
        <w:tc>
          <w:tcPr>
            <w:tcW w:w="4678" w:type="dxa"/>
          </w:tcPr>
          <w:p w14:paraId="50E63D3E" w14:textId="77777777" w:rsidR="00F40626" w:rsidRPr="00F40626" w:rsidRDefault="00F40626" w:rsidP="00F406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062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AS GRINDEKS</w:t>
            </w:r>
            <w:r w:rsidRPr="00F40626">
              <w:rPr>
                <w:rFonts w:ascii="Times New Roman" w:eastAsia="Times New Roman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r w:rsidRPr="00F40626">
              <w:rPr>
                <w:rFonts w:ascii="Times New Roman" w:eastAsia="Times New Roman" w:hAnsi="Times New Roman" w:cs="Times New Roman"/>
                <w:iCs/>
                <w:kern w:val="0"/>
                <w:lang w:val="lt-LT"/>
                <w14:ligatures w14:val="none"/>
              </w:rPr>
              <w:t>filialas</w:t>
            </w:r>
          </w:p>
          <w:p w14:paraId="2BC84499" w14:textId="77777777" w:rsidR="00F40626" w:rsidRPr="00F40626" w:rsidRDefault="00F40626" w:rsidP="00F406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062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Kalvarijų g. 300 </w:t>
            </w:r>
          </w:p>
          <w:p w14:paraId="3CFC6997" w14:textId="77777777" w:rsidR="00F40626" w:rsidRPr="00F40626" w:rsidRDefault="00F40626" w:rsidP="00F406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062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LT</w:t>
            </w:r>
            <w:r w:rsidRPr="00F4062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noBreakHyphen/>
              <w:t>08318 Vilnius</w:t>
            </w:r>
          </w:p>
          <w:p w14:paraId="3A6B8EB0" w14:textId="77777777" w:rsidR="00F40626" w:rsidRPr="00F40626" w:rsidRDefault="00F40626" w:rsidP="00F406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062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Tel.+370 5 210 14 01</w:t>
            </w:r>
          </w:p>
          <w:p w14:paraId="4B4DBEB1" w14:textId="77777777" w:rsidR="00F40626" w:rsidRPr="00F40626" w:rsidRDefault="00F40626" w:rsidP="00F4062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062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Faksas +370 5 210 14 02</w:t>
            </w:r>
          </w:p>
          <w:p w14:paraId="00997475" w14:textId="77777777" w:rsidR="00F40626" w:rsidRPr="00F40626" w:rsidRDefault="00F40626" w:rsidP="00F40626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3E135442" w14:textId="67415536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Šis pakuotės lapelis paskutinį kartą peržiūrėtas 202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3</w:t>
      </w: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-</w:t>
      </w:r>
      <w:r w:rsidR="00695A3B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08-07</w:t>
      </w:r>
      <w:r w:rsidRPr="00F40626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.</w:t>
      </w:r>
    </w:p>
    <w:p w14:paraId="06943C89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FE319C0" w14:textId="77777777" w:rsidR="00F40626" w:rsidRPr="00F40626" w:rsidRDefault="00F40626" w:rsidP="00F406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Išsami informacija apie šį vaistą pateikiama Valstybinės vaistų kontrolės tarnybos prie Lietuvos Respublikos sveikatos apsaugos ministerijos tinklalapyje</w:t>
      </w:r>
      <w:r w:rsidRPr="00F40626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 xml:space="preserve"> </w:t>
      </w:r>
      <w:hyperlink r:id="rId8" w:history="1">
        <w:r w:rsidRPr="00F40626">
          <w:rPr>
            <w:rFonts w:ascii="Times New Roman" w:eastAsia="SimSun" w:hAnsi="Times New Roman" w:cs="Times New Roman"/>
            <w:color w:val="0000FF"/>
            <w:kern w:val="0"/>
            <w:u w:val="single"/>
            <w:lang w:val="lt-LT"/>
            <w14:ligatures w14:val="none"/>
          </w:rPr>
          <w:t>http://www.vvkt.lt/</w:t>
        </w:r>
      </w:hyperlink>
      <w:r w:rsidRPr="00F4062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465FCD9D" w14:textId="77777777" w:rsidR="00F40626" w:rsidRPr="00F40626" w:rsidRDefault="00F40626" w:rsidP="00F40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45FEB68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ED6D9C9" w14:textId="77777777" w:rsidR="00F40626" w:rsidRPr="00F40626" w:rsidRDefault="00F40626" w:rsidP="00F40626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72BD2D6" w14:textId="77777777" w:rsidR="00943BA6" w:rsidRPr="00F40626" w:rsidRDefault="00943BA6">
      <w:pPr>
        <w:rPr>
          <w:lang w:val="lt-LT"/>
        </w:rPr>
      </w:pPr>
    </w:p>
    <w:sectPr w:rsidR="00943BA6" w:rsidRPr="00F4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02D159E"/>
    <w:multiLevelType w:val="hybridMultilevel"/>
    <w:tmpl w:val="F8A8D5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16BEB"/>
    <w:multiLevelType w:val="hybridMultilevel"/>
    <w:tmpl w:val="BFE655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C7F62"/>
    <w:multiLevelType w:val="hybridMultilevel"/>
    <w:tmpl w:val="340AB4E6"/>
    <w:lvl w:ilvl="0" w:tplc="F38E36CA">
      <w:start w:val="4"/>
      <w:numFmt w:val="bullet"/>
      <w:lvlText w:val="-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66040253"/>
    <w:multiLevelType w:val="hybridMultilevel"/>
    <w:tmpl w:val="A2E227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A11BE"/>
    <w:multiLevelType w:val="hybridMultilevel"/>
    <w:tmpl w:val="AEBABD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26"/>
    <w:rsid w:val="001D16A9"/>
    <w:rsid w:val="00301CA7"/>
    <w:rsid w:val="00695A3B"/>
    <w:rsid w:val="006F02E7"/>
    <w:rsid w:val="00943BA6"/>
    <w:rsid w:val="00BA246C"/>
    <w:rsid w:val="00F4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0025"/>
  <w15:chartTrackingRefBased/>
  <w15:docId w15:val="{0525D46B-96BD-4785-8C34-0D3B2029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6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0626"/>
    <w:rPr>
      <w:color w:val="605E5C"/>
      <w:shd w:val="clear" w:color="auto" w:fill="E1DFDD"/>
    </w:rPr>
  </w:style>
  <w:style w:type="paragraph" w:customStyle="1" w:styleId="Default">
    <w:name w:val="Default"/>
    <w:rsid w:val="006F0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8781</Words>
  <Characters>5006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Jūratė Valaitienė</cp:lastModifiedBy>
  <cp:revision>2</cp:revision>
  <dcterms:created xsi:type="dcterms:W3CDTF">2023-08-07T13:22:00Z</dcterms:created>
  <dcterms:modified xsi:type="dcterms:W3CDTF">2023-08-07T13:22:00Z</dcterms:modified>
</cp:coreProperties>
</file>