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9CBE95"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6E482A99"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619732EE"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0089BE57"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3F57B5F8"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22ECC4F0"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704BE1F5"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2A286BBE"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6BBA15B0"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5CDEED95"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6F4D55A7"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04DBD06C"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7FD7704F"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06FC85EE"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20AABF6C"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517E6268"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78921741"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179312E6"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0048C5D2"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02D9A89D"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73263FAA"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1D65408E" w14:textId="77777777" w:rsidR="00C463FF" w:rsidRPr="00C463FF" w:rsidRDefault="00C463FF" w:rsidP="00135C1A">
      <w:pPr>
        <w:spacing w:after="0" w:line="240" w:lineRule="auto"/>
        <w:rPr>
          <w:rFonts w:ascii="Times New Roman" w:eastAsia="Times New Roman" w:hAnsi="Times New Roman" w:cs="Times New Roman"/>
          <w:b/>
          <w:color w:val="000000"/>
          <w:lang w:eastAsia="lt-LT"/>
        </w:rPr>
      </w:pPr>
    </w:p>
    <w:p w14:paraId="506A391D" w14:textId="77777777" w:rsidR="00C463FF" w:rsidRDefault="00C463FF" w:rsidP="00135C1A">
      <w:pPr>
        <w:spacing w:after="0" w:line="240" w:lineRule="auto"/>
        <w:rPr>
          <w:rFonts w:ascii="Times New Roman" w:eastAsia="Times New Roman" w:hAnsi="Times New Roman" w:cs="Times New Roman"/>
          <w:b/>
          <w:color w:val="000000"/>
          <w:lang w:eastAsia="lt-LT"/>
        </w:rPr>
      </w:pPr>
    </w:p>
    <w:p w14:paraId="6CF00FB7" w14:textId="77777777" w:rsidR="004B1EFE" w:rsidRDefault="004B1EFE" w:rsidP="00135C1A">
      <w:pPr>
        <w:spacing w:after="0" w:line="240" w:lineRule="auto"/>
        <w:rPr>
          <w:rFonts w:ascii="Times New Roman" w:eastAsia="Times New Roman" w:hAnsi="Times New Roman" w:cs="Times New Roman"/>
          <w:b/>
          <w:color w:val="000000"/>
          <w:lang w:eastAsia="lt-LT"/>
        </w:rPr>
      </w:pPr>
    </w:p>
    <w:p w14:paraId="0950B5E6" w14:textId="77777777" w:rsidR="004B1EFE" w:rsidRPr="00C463FF" w:rsidRDefault="004B1EFE" w:rsidP="00135C1A">
      <w:pPr>
        <w:spacing w:after="0" w:line="240" w:lineRule="auto"/>
        <w:rPr>
          <w:rFonts w:ascii="Times New Roman" w:eastAsia="Times New Roman" w:hAnsi="Times New Roman" w:cs="Times New Roman"/>
          <w:b/>
          <w:color w:val="000000"/>
          <w:lang w:eastAsia="lt-LT"/>
        </w:rPr>
      </w:pPr>
    </w:p>
    <w:p w14:paraId="161DE9DA" w14:textId="77777777" w:rsidR="00C463FF" w:rsidRPr="00C463FF" w:rsidRDefault="00C463FF" w:rsidP="00135C1A">
      <w:pPr>
        <w:spacing w:after="0" w:line="240" w:lineRule="auto"/>
        <w:jc w:val="center"/>
        <w:rPr>
          <w:rFonts w:ascii="Times New Roman" w:eastAsia="Times New Roman" w:hAnsi="Times New Roman" w:cs="Times New Roman"/>
          <w:b/>
          <w:color w:val="000000"/>
          <w:lang w:eastAsia="lt-LT"/>
        </w:rPr>
      </w:pPr>
      <w:r w:rsidRPr="00C463FF">
        <w:rPr>
          <w:rFonts w:ascii="Times New Roman" w:eastAsia="Times New Roman" w:hAnsi="Times New Roman" w:cs="Times New Roman"/>
          <w:b/>
          <w:color w:val="000000"/>
          <w:lang w:eastAsia="lt-LT"/>
        </w:rPr>
        <w:t>I PRIEDAS</w:t>
      </w:r>
    </w:p>
    <w:p w14:paraId="14A0FB48" w14:textId="77777777" w:rsidR="00C463FF" w:rsidRPr="00C463FF" w:rsidRDefault="00C463FF" w:rsidP="00135C1A">
      <w:pPr>
        <w:spacing w:after="0" w:line="240" w:lineRule="auto"/>
        <w:jc w:val="center"/>
        <w:rPr>
          <w:rFonts w:ascii="Times New Roman" w:eastAsia="Times New Roman" w:hAnsi="Times New Roman" w:cs="Times New Roman"/>
          <w:b/>
          <w:color w:val="000000"/>
          <w:lang w:eastAsia="lt-LT"/>
        </w:rPr>
      </w:pPr>
    </w:p>
    <w:p w14:paraId="7ED4BDA3" w14:textId="77777777" w:rsidR="00C463FF" w:rsidRPr="00C463FF" w:rsidRDefault="00C463FF" w:rsidP="00135C1A">
      <w:pPr>
        <w:spacing w:after="0" w:line="240" w:lineRule="auto"/>
        <w:jc w:val="center"/>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PREPARATO CHARAKTERISTIKŲ SANTRAUKA</w:t>
      </w:r>
      <w:r w:rsidRPr="00C463FF">
        <w:rPr>
          <w:rFonts w:ascii="Times New Roman" w:eastAsia="Times New Roman" w:hAnsi="Times New Roman" w:cs="Times New Roman"/>
          <w:color w:val="000000"/>
          <w:lang w:eastAsia="lt-LT"/>
        </w:rPr>
        <w:br w:type="page"/>
      </w:r>
    </w:p>
    <w:p w14:paraId="427C172B" w14:textId="77777777" w:rsidR="00C463FF" w:rsidRPr="00C463FF" w:rsidRDefault="00C463FF" w:rsidP="00135C1A">
      <w:pPr>
        <w:tabs>
          <w:tab w:val="center" w:pos="2688"/>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lastRenderedPageBreak/>
        <w:t>1.</w:t>
      </w:r>
      <w:r w:rsidRPr="00C463FF">
        <w:rPr>
          <w:rFonts w:ascii="Times New Roman" w:eastAsia="Times New Roman" w:hAnsi="Times New Roman" w:cs="Times New Roman"/>
          <w:b/>
          <w:color w:val="000000"/>
          <w:lang w:eastAsia="lt-LT"/>
        </w:rPr>
        <w:tab/>
        <w:t>VAISTINIO PREPARATO PAVADINIMAS</w:t>
      </w:r>
    </w:p>
    <w:p w14:paraId="2D919753"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456728AA"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Jeligo 5 mg plėvele dengtos tabletės</w:t>
      </w:r>
    </w:p>
    <w:p w14:paraId="218FCF9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251C62F3"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4D0CBE7F" w14:textId="77777777" w:rsidR="00C463FF" w:rsidRPr="00C463FF" w:rsidRDefault="00C463FF" w:rsidP="00135C1A">
      <w:pPr>
        <w:keepNext/>
        <w:keepLines/>
        <w:tabs>
          <w:tab w:val="center" w:pos="2483"/>
        </w:tabs>
        <w:spacing w:after="0" w:line="240" w:lineRule="auto"/>
        <w:outlineLvl w:val="0"/>
        <w:rPr>
          <w:rFonts w:ascii="Times New Roman" w:eastAsia="Times New Roman" w:hAnsi="Times New Roman" w:cs="Times New Roman"/>
          <w:b/>
          <w:color w:val="000000"/>
          <w:lang w:eastAsia="lt-LT"/>
        </w:rPr>
      </w:pPr>
      <w:r w:rsidRPr="00C463FF">
        <w:rPr>
          <w:rFonts w:ascii="Times New Roman" w:eastAsia="Times New Roman" w:hAnsi="Times New Roman" w:cs="Times New Roman"/>
          <w:b/>
          <w:color w:val="000000"/>
          <w:lang w:eastAsia="lt-LT"/>
        </w:rPr>
        <w:t>2.</w:t>
      </w:r>
      <w:r w:rsidRPr="00C463FF">
        <w:rPr>
          <w:rFonts w:ascii="Times New Roman" w:eastAsia="Times New Roman" w:hAnsi="Times New Roman" w:cs="Times New Roman"/>
          <w:b/>
          <w:color w:val="000000"/>
          <w:lang w:eastAsia="lt-LT"/>
        </w:rPr>
        <w:tab/>
        <w:t>KOKYBINĖ IR KIEKYBINĖ SUDĖTIS</w:t>
      </w:r>
    </w:p>
    <w:p w14:paraId="7CF4ED2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5B3A8A91" w14:textId="475E503D"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 xml:space="preserve">Kiekvienoje </w:t>
      </w:r>
      <w:r w:rsidR="001F2FAC">
        <w:rPr>
          <w:rFonts w:ascii="Times New Roman" w:eastAsia="Times New Roman" w:hAnsi="Times New Roman" w:cs="Times New Roman"/>
          <w:color w:val="000000"/>
          <w:lang w:eastAsia="lt-LT"/>
        </w:rPr>
        <w:t xml:space="preserve">plėvele dengtoje </w:t>
      </w:r>
      <w:r w:rsidRPr="00C463FF">
        <w:rPr>
          <w:rFonts w:ascii="Times New Roman" w:eastAsia="Times New Roman" w:hAnsi="Times New Roman" w:cs="Times New Roman"/>
          <w:color w:val="000000"/>
          <w:lang w:eastAsia="lt-LT"/>
        </w:rPr>
        <w:t>tabletėje yra 5 mg linagliptino.</w:t>
      </w:r>
    </w:p>
    <w:p w14:paraId="6FE2CCB1"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6AD3915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Visos pagalbinės medžiagos išvardytos 6.1 skyriuje.</w:t>
      </w:r>
    </w:p>
    <w:p w14:paraId="517BBE4D"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1340680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28E32557" w14:textId="77777777" w:rsidR="00C463FF" w:rsidRPr="00C463FF" w:rsidRDefault="00C463FF" w:rsidP="00135C1A">
      <w:pPr>
        <w:keepNext/>
        <w:keepLines/>
        <w:tabs>
          <w:tab w:val="center" w:pos="1695"/>
        </w:tabs>
        <w:spacing w:after="0" w:line="240" w:lineRule="auto"/>
        <w:outlineLvl w:val="0"/>
        <w:rPr>
          <w:rFonts w:ascii="Times New Roman" w:eastAsia="Times New Roman" w:hAnsi="Times New Roman" w:cs="Times New Roman"/>
          <w:b/>
          <w:color w:val="000000"/>
          <w:lang w:eastAsia="lt-LT"/>
        </w:rPr>
      </w:pPr>
      <w:r w:rsidRPr="00C463FF">
        <w:rPr>
          <w:rFonts w:ascii="Times New Roman" w:eastAsia="Times New Roman" w:hAnsi="Times New Roman" w:cs="Times New Roman"/>
          <w:b/>
          <w:color w:val="000000"/>
          <w:lang w:eastAsia="lt-LT"/>
        </w:rPr>
        <w:t>3.</w:t>
      </w:r>
      <w:r w:rsidRPr="00C463FF">
        <w:rPr>
          <w:rFonts w:ascii="Times New Roman" w:eastAsia="Times New Roman" w:hAnsi="Times New Roman" w:cs="Times New Roman"/>
          <w:b/>
          <w:color w:val="000000"/>
          <w:lang w:eastAsia="lt-LT"/>
        </w:rPr>
        <w:tab/>
        <w:t>FARMACINĖ FORMA</w:t>
      </w:r>
    </w:p>
    <w:p w14:paraId="2D1C43D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306247CC" w14:textId="08391C50"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Plėvele dengta tabletė</w:t>
      </w:r>
    </w:p>
    <w:p w14:paraId="456930A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Raudonos, apvalios, abipus išgaubtos plėvele dengtos tabletės, kurių skersmuo 8,1 mm, vienoje pusėje yra įspaudas „5“, kita pusė lygi.</w:t>
      </w:r>
    </w:p>
    <w:p w14:paraId="6F7C64CF"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123459DB"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7D67D563" w14:textId="77777777" w:rsidR="00C463FF" w:rsidRPr="00C463FF" w:rsidRDefault="00C463FF" w:rsidP="00135C1A">
      <w:pPr>
        <w:keepNext/>
        <w:keepLines/>
        <w:tabs>
          <w:tab w:val="center" w:pos="1994"/>
        </w:tabs>
        <w:spacing w:after="0" w:line="240" w:lineRule="auto"/>
        <w:outlineLvl w:val="0"/>
        <w:rPr>
          <w:rFonts w:ascii="Times New Roman" w:eastAsia="Times New Roman" w:hAnsi="Times New Roman" w:cs="Times New Roman"/>
          <w:b/>
          <w:color w:val="000000"/>
          <w:lang w:eastAsia="lt-LT"/>
        </w:rPr>
      </w:pPr>
      <w:r w:rsidRPr="00C463FF">
        <w:rPr>
          <w:rFonts w:ascii="Times New Roman" w:eastAsia="Times New Roman" w:hAnsi="Times New Roman" w:cs="Times New Roman"/>
          <w:b/>
          <w:color w:val="000000"/>
          <w:lang w:eastAsia="lt-LT"/>
        </w:rPr>
        <w:t>4.</w:t>
      </w:r>
      <w:r w:rsidRPr="00C463FF">
        <w:rPr>
          <w:rFonts w:ascii="Times New Roman" w:eastAsia="Times New Roman" w:hAnsi="Times New Roman" w:cs="Times New Roman"/>
          <w:b/>
          <w:color w:val="000000"/>
          <w:lang w:eastAsia="lt-LT"/>
        </w:rPr>
        <w:tab/>
        <w:t>KLINIKINĖ INFORMACIJA</w:t>
      </w:r>
    </w:p>
    <w:p w14:paraId="137224F6" w14:textId="77777777" w:rsidR="00C463FF" w:rsidRPr="00C463FF" w:rsidRDefault="00C463FF" w:rsidP="00135C1A">
      <w:pPr>
        <w:spacing w:after="5" w:line="240" w:lineRule="auto"/>
        <w:ind w:left="10" w:hanging="10"/>
        <w:rPr>
          <w:rFonts w:ascii="Times New Roman" w:eastAsia="Times New Roman" w:hAnsi="Times New Roman" w:cs="Times New Roman"/>
          <w:color w:val="000000"/>
          <w:lang w:eastAsia="lt-LT"/>
        </w:rPr>
      </w:pPr>
    </w:p>
    <w:p w14:paraId="1D00BDB9" w14:textId="77777777" w:rsidR="00C463FF" w:rsidRPr="00C463FF" w:rsidRDefault="00C463FF" w:rsidP="00135C1A">
      <w:pPr>
        <w:keepNext/>
        <w:keepLines/>
        <w:tabs>
          <w:tab w:val="center" w:pos="1579"/>
        </w:tab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b/>
          <w:color w:val="000000"/>
          <w:u w:color="000000"/>
          <w:lang w:eastAsia="lt-LT"/>
        </w:rPr>
        <w:t>4.1</w:t>
      </w:r>
      <w:r w:rsidRPr="00C463FF">
        <w:rPr>
          <w:rFonts w:ascii="Times New Roman" w:eastAsia="Times New Roman" w:hAnsi="Times New Roman" w:cs="Times New Roman"/>
          <w:b/>
          <w:color w:val="000000"/>
          <w:u w:color="000000"/>
          <w:lang w:eastAsia="lt-LT"/>
        </w:rPr>
        <w:tab/>
        <w:t>Terapinės indikacijos</w:t>
      </w:r>
    </w:p>
    <w:p w14:paraId="407B193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4D82C62B"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Jeligo skirtas 2 tipo cukriniu diabetu sergantiems suaugusiesiems kaip dietos ir fizinio krūvio papildymas, siekiant pagerinti glikemijos kontrolę:</w:t>
      </w:r>
    </w:p>
    <w:p w14:paraId="2CF9372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kaip monoterapija</w:t>
      </w:r>
    </w:p>
    <w:p w14:paraId="6FC5198C" w14:textId="77777777" w:rsidR="00C463FF" w:rsidRPr="00C463FF" w:rsidRDefault="00C463FF" w:rsidP="00135C1A">
      <w:pPr>
        <w:numPr>
          <w:ilvl w:val="0"/>
          <w:numId w:val="1"/>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kai netinka metforminas dėl netoleravimo ar jis yra kontraindikuotinas dėl inkstų funkcijos sutrikimo;</w:t>
      </w:r>
    </w:p>
    <w:p w14:paraId="7771F5E9" w14:textId="77777777" w:rsidR="00C463FF" w:rsidRPr="00C463FF" w:rsidRDefault="00C463FF" w:rsidP="00135C1A">
      <w:p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kaip sudėtinis gydymas</w:t>
      </w:r>
    </w:p>
    <w:p w14:paraId="69F3D4C4" w14:textId="77777777" w:rsidR="00C463FF" w:rsidRPr="00C463FF" w:rsidRDefault="00C463FF" w:rsidP="00135C1A">
      <w:pPr>
        <w:numPr>
          <w:ilvl w:val="0"/>
          <w:numId w:val="1"/>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derinant su kitais vaistiniais preparatais, vartojamais cukriniam diabetui gydyti, įskaitant insuliną, kai pastarieji neužtikrina pakankamos glikemijos kontrolės (žr. 4.4, 4.5 ir 5.1 skyrius, kuriuose pateikti duomenys apie įvairius derinius).</w:t>
      </w:r>
    </w:p>
    <w:p w14:paraId="4A365D69" w14:textId="77777777" w:rsidR="00C463FF" w:rsidRPr="00C463FF" w:rsidRDefault="00C463FF" w:rsidP="00135C1A">
      <w:pPr>
        <w:tabs>
          <w:tab w:val="center" w:pos="2099"/>
        </w:tabs>
        <w:spacing w:after="0" w:line="240" w:lineRule="auto"/>
        <w:rPr>
          <w:rFonts w:ascii="Times New Roman" w:eastAsia="Times New Roman" w:hAnsi="Times New Roman" w:cs="Times New Roman"/>
          <w:b/>
          <w:color w:val="000000"/>
          <w:lang w:eastAsia="lt-LT"/>
        </w:rPr>
      </w:pPr>
    </w:p>
    <w:p w14:paraId="22AA68CD" w14:textId="77777777" w:rsidR="00C463FF" w:rsidRPr="00C463FF" w:rsidRDefault="00C463FF" w:rsidP="00135C1A">
      <w:pPr>
        <w:tabs>
          <w:tab w:val="center" w:pos="2099"/>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4.2</w:t>
      </w:r>
      <w:r w:rsidRPr="00C463FF">
        <w:rPr>
          <w:rFonts w:ascii="Times New Roman" w:eastAsia="Times New Roman" w:hAnsi="Times New Roman" w:cs="Times New Roman"/>
          <w:b/>
          <w:color w:val="000000"/>
          <w:lang w:eastAsia="lt-LT"/>
        </w:rPr>
        <w:tab/>
        <w:t>Dozavimas ir vartojimo metodas</w:t>
      </w:r>
    </w:p>
    <w:p w14:paraId="7E834A46"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0DC55C6A"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Dozavimas</w:t>
      </w:r>
    </w:p>
    <w:p w14:paraId="67770115"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Linagliptino dozė, vartojama kartą per parą, yra 5 mg. Jeigu gydymas metforminu papildomas linagliptinu, gydymą vartojama metformino doze reikia tęsti ir kartu pradėti gydyti linagliptinu. Linagliptiną derinant su sulfonilurėjos dariniu arba su insulinu, sulfonilurėjos darinio arba insulino dozė gali būti mažinama, kad sumažėtų hipoglikemijos rizika (žr. 4.4 skyrių).</w:t>
      </w:r>
    </w:p>
    <w:p w14:paraId="5B7173C5" w14:textId="77777777" w:rsidR="00C463FF" w:rsidRPr="00C463FF" w:rsidRDefault="00C463FF" w:rsidP="00135C1A">
      <w:pPr>
        <w:spacing w:after="0" w:line="240" w:lineRule="auto"/>
        <w:rPr>
          <w:rFonts w:ascii="Times New Roman" w:eastAsia="Times New Roman" w:hAnsi="Times New Roman" w:cs="Times New Roman"/>
          <w:i/>
          <w:color w:val="000000"/>
          <w:u w:val="single" w:color="000000"/>
          <w:lang w:eastAsia="lt-LT"/>
        </w:rPr>
      </w:pPr>
    </w:p>
    <w:p w14:paraId="2A73310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u w:val="single" w:color="000000"/>
          <w:lang w:eastAsia="lt-LT"/>
        </w:rPr>
        <w:t>Ypatingos populiacijos</w:t>
      </w:r>
    </w:p>
    <w:p w14:paraId="202D6317"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083F3902" w14:textId="77777777" w:rsidR="00C463FF" w:rsidRPr="00C463FF" w:rsidRDefault="00C463FF" w:rsidP="00135C1A">
      <w:pPr>
        <w:spacing w:after="5" w:line="240" w:lineRule="auto"/>
        <w:ind w:left="10" w:hanging="10"/>
        <w:rPr>
          <w:rFonts w:ascii="Times New Roman" w:eastAsia="Times New Roman" w:hAnsi="Times New Roman" w:cs="Times New Roman"/>
          <w:i/>
          <w:color w:val="000000"/>
          <w:lang w:eastAsia="lt-LT"/>
        </w:rPr>
      </w:pPr>
      <w:r w:rsidRPr="00C463FF">
        <w:rPr>
          <w:rFonts w:ascii="Times New Roman" w:eastAsia="Times New Roman" w:hAnsi="Times New Roman" w:cs="Times New Roman"/>
          <w:i/>
          <w:color w:val="000000"/>
          <w:lang w:eastAsia="lt-LT"/>
        </w:rPr>
        <w:t>Pacientams, kurių inkstų funkcija sutrikusi</w:t>
      </w:r>
    </w:p>
    <w:p w14:paraId="7C7AB86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Pacientams, kurių inkstų funkcija sutrikusi, linagliptino dozės koreguoti nėra būtina.</w:t>
      </w:r>
    </w:p>
    <w:p w14:paraId="0B01F801" w14:textId="77777777" w:rsidR="00C463FF" w:rsidRPr="00C463FF" w:rsidRDefault="00C463FF" w:rsidP="00135C1A">
      <w:pPr>
        <w:keepNext/>
        <w:keepLines/>
        <w:spacing w:after="0" w:line="240" w:lineRule="auto"/>
        <w:outlineLvl w:val="2"/>
        <w:rPr>
          <w:rFonts w:ascii="Times New Roman" w:eastAsia="Times New Roman" w:hAnsi="Times New Roman" w:cs="Times New Roman"/>
          <w:i/>
          <w:color w:val="000000"/>
          <w:lang w:eastAsia="lt-LT"/>
        </w:rPr>
      </w:pPr>
    </w:p>
    <w:p w14:paraId="65940013" w14:textId="77777777" w:rsidR="00C463FF" w:rsidRPr="00C463FF" w:rsidRDefault="00C463FF" w:rsidP="00135C1A">
      <w:pPr>
        <w:spacing w:after="0" w:line="240" w:lineRule="auto"/>
        <w:rPr>
          <w:rFonts w:ascii="Times New Roman" w:eastAsia="Times New Roman" w:hAnsi="Times New Roman" w:cs="Times New Roman"/>
          <w:i/>
          <w:kern w:val="0"/>
          <w14:ligatures w14:val="none"/>
        </w:rPr>
      </w:pPr>
      <w:r w:rsidRPr="00C463FF">
        <w:rPr>
          <w:rFonts w:ascii="Times New Roman" w:eastAsia="Times New Roman" w:hAnsi="Times New Roman" w:cs="Times New Roman"/>
          <w:i/>
          <w:kern w:val="0"/>
          <w14:ligatures w14:val="none"/>
        </w:rPr>
        <w:t>Pacientams, kurių kepenų funkcija sutrikusi</w:t>
      </w:r>
    </w:p>
    <w:p w14:paraId="79D3BE3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Farmakokinetikos tyrimai rodo, kad pacientams, kurių kepenų funkcija sutrikusi, dozės koreguoti nėra būtina, tačiau tokių pacientų gydymo patirties trūksta.</w:t>
      </w:r>
    </w:p>
    <w:p w14:paraId="4B34C0E8"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41D97366"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Senyvi pacientai</w:t>
      </w:r>
    </w:p>
    <w:p w14:paraId="4E2CF83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Atsižvelgiant į amžių, dozės koreguoti nėra būtina.</w:t>
      </w:r>
    </w:p>
    <w:p w14:paraId="2E3ACF2A" w14:textId="77777777" w:rsidR="00C463FF" w:rsidRPr="00C463FF" w:rsidRDefault="00C463FF" w:rsidP="00135C1A">
      <w:pPr>
        <w:keepNext/>
        <w:keepLines/>
        <w:spacing w:after="0" w:line="240" w:lineRule="auto"/>
        <w:outlineLvl w:val="2"/>
        <w:rPr>
          <w:rFonts w:ascii="Times New Roman" w:eastAsia="Times New Roman" w:hAnsi="Times New Roman" w:cs="Times New Roman"/>
          <w:i/>
          <w:color w:val="000000"/>
          <w:lang w:eastAsia="lt-LT"/>
        </w:rPr>
      </w:pPr>
    </w:p>
    <w:p w14:paraId="212A43CB" w14:textId="77777777" w:rsidR="00C463FF" w:rsidRPr="00C463FF" w:rsidRDefault="00C463FF" w:rsidP="00135C1A">
      <w:pPr>
        <w:keepNext/>
        <w:keepLines/>
        <w:spacing w:after="0" w:line="240" w:lineRule="auto"/>
        <w:outlineLvl w:val="2"/>
        <w:rPr>
          <w:rFonts w:ascii="Times New Roman" w:eastAsia="Times New Roman" w:hAnsi="Times New Roman" w:cs="Times New Roman"/>
          <w:i/>
          <w:color w:val="000000"/>
          <w:lang w:eastAsia="lt-LT"/>
        </w:rPr>
      </w:pPr>
      <w:r w:rsidRPr="00C463FF">
        <w:rPr>
          <w:rFonts w:ascii="Times New Roman" w:eastAsia="Times New Roman" w:hAnsi="Times New Roman" w:cs="Times New Roman"/>
          <w:i/>
          <w:color w:val="000000"/>
          <w:lang w:eastAsia="lt-LT"/>
        </w:rPr>
        <w:t>Vaikų populiacija</w:t>
      </w:r>
    </w:p>
    <w:p w14:paraId="6D778BC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Klinikiniu tyrimu nepavyko nustatyti veiksmingumo 10–17 metų pacientams vaikams (žr. 4.8, 5.1 ir 5.2 skyrius), todėl vaikų ir paauglių gydyti linagliptinu nerekomenduojama. Linagliptinas netirtas su jaunesniais kaip 10 metų pacientais vaikais.</w:t>
      </w:r>
    </w:p>
    <w:p w14:paraId="1E3B1523"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lastRenderedPageBreak/>
        <w:t>Vartojimo metodas</w:t>
      </w:r>
    </w:p>
    <w:p w14:paraId="5BA6954A"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Tabletes galima gerti valgio metu arba nevalgius bet kuriuo paros metu. Jeigu dozė praleidžiama, ją pacientas turi išgerti tuoj pat, kai tik prisimena. Negalima vartoti dvigubos dozės tą pačią dieną.</w:t>
      </w:r>
    </w:p>
    <w:p w14:paraId="20BA0CDB" w14:textId="77777777" w:rsidR="00C463FF" w:rsidRPr="00C463FF" w:rsidRDefault="00C463FF" w:rsidP="00135C1A">
      <w:pPr>
        <w:tabs>
          <w:tab w:val="center" w:pos="1423"/>
        </w:tabs>
        <w:spacing w:after="0" w:line="240" w:lineRule="auto"/>
        <w:rPr>
          <w:rFonts w:ascii="Times New Roman" w:eastAsia="Times New Roman" w:hAnsi="Times New Roman" w:cs="Times New Roman"/>
          <w:b/>
          <w:color w:val="000000"/>
          <w:lang w:eastAsia="lt-LT"/>
        </w:rPr>
      </w:pPr>
    </w:p>
    <w:p w14:paraId="1C8BE04A" w14:textId="77777777" w:rsidR="00C463FF" w:rsidRPr="00C463FF" w:rsidRDefault="00C463FF" w:rsidP="00135C1A">
      <w:pPr>
        <w:tabs>
          <w:tab w:val="center" w:pos="1423"/>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4.3</w:t>
      </w:r>
      <w:r w:rsidRPr="00C463FF">
        <w:rPr>
          <w:rFonts w:ascii="Times New Roman" w:eastAsia="Times New Roman" w:hAnsi="Times New Roman" w:cs="Times New Roman"/>
          <w:b/>
          <w:color w:val="000000"/>
          <w:lang w:eastAsia="lt-LT"/>
        </w:rPr>
        <w:tab/>
        <w:t>Kontraindikacijos</w:t>
      </w:r>
    </w:p>
    <w:p w14:paraId="3D28293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48C2BF09"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Padidėjęs jautrumas veikliajai arba bet kuriai 6.1 skyriuje nurodytai pagalbinei medžiagai.</w:t>
      </w:r>
    </w:p>
    <w:p w14:paraId="722786BF" w14:textId="77777777" w:rsidR="00C463FF" w:rsidRPr="00C463FF" w:rsidRDefault="00C463FF" w:rsidP="00135C1A">
      <w:pPr>
        <w:tabs>
          <w:tab w:val="center" w:pos="2615"/>
        </w:tabs>
        <w:spacing w:after="0" w:line="240" w:lineRule="auto"/>
        <w:rPr>
          <w:rFonts w:ascii="Times New Roman" w:eastAsia="Times New Roman" w:hAnsi="Times New Roman" w:cs="Times New Roman"/>
          <w:b/>
          <w:color w:val="000000"/>
          <w:lang w:eastAsia="lt-LT"/>
        </w:rPr>
      </w:pPr>
    </w:p>
    <w:p w14:paraId="71693C5A" w14:textId="77777777" w:rsidR="00C463FF" w:rsidRPr="00C463FF" w:rsidRDefault="00C463FF" w:rsidP="00135C1A">
      <w:pPr>
        <w:tabs>
          <w:tab w:val="center" w:pos="2615"/>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4.4</w:t>
      </w:r>
      <w:r w:rsidRPr="00C463FF">
        <w:rPr>
          <w:rFonts w:ascii="Times New Roman" w:eastAsia="Times New Roman" w:hAnsi="Times New Roman" w:cs="Times New Roman"/>
          <w:b/>
          <w:color w:val="000000"/>
          <w:lang w:eastAsia="lt-LT"/>
        </w:rPr>
        <w:tab/>
        <w:t>Specialūs įspėjimai ir atsargumo priemonės</w:t>
      </w:r>
    </w:p>
    <w:p w14:paraId="6D3D4958" w14:textId="77777777" w:rsidR="00C463FF" w:rsidRPr="00C463FF" w:rsidRDefault="00C463FF" w:rsidP="00135C1A">
      <w:pPr>
        <w:spacing w:after="0" w:line="240" w:lineRule="auto"/>
        <w:rPr>
          <w:rFonts w:ascii="Times New Roman" w:eastAsia="Times New Roman" w:hAnsi="Times New Roman" w:cs="Times New Roman"/>
          <w:color w:val="000000"/>
          <w:u w:val="single" w:color="000000"/>
          <w:lang w:eastAsia="lt-LT"/>
        </w:rPr>
      </w:pPr>
    </w:p>
    <w:p w14:paraId="6333B086"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u w:val="single" w:color="000000"/>
          <w:lang w:eastAsia="lt-LT"/>
        </w:rPr>
        <w:t>Bendrieji</w:t>
      </w:r>
    </w:p>
    <w:p w14:paraId="5107F2C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1 tipo cukrinio diabeto bei diabetinės ketoacidozės linagliptinu gydyti negalima.</w:t>
      </w:r>
    </w:p>
    <w:p w14:paraId="38F88312"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30C922C8"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Hipoglikemija</w:t>
      </w:r>
    </w:p>
    <w:p w14:paraId="2F4812F2"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Gydant vien linagliptinu hipoglikemijos dažnis yra panašus kaip vartojant placebą.</w:t>
      </w:r>
    </w:p>
    <w:p w14:paraId="7B0BA1E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Klinikinių tyrimų, kurių metu linagliptinas buvo skiriamas kaip sudėtinio gydymo dalis su vaistiniais preparatais, nesukeliančiais hipoglikemijos (metforminu), linagliptino vartojantiems pacientams hipoglikemijos dažnis buvo panašus į dažnį placebą vartojantiems pacientams.</w:t>
      </w:r>
    </w:p>
    <w:p w14:paraId="084F32E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615F7CF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Gydymą sulfonilurėjos dariniu papildžius linagliptinu (foninio gydymo metforminu metu), hipoglikemijos dažnis buvo didesnis nei vartojant placebą (žr. 4.8 skyrių).</w:t>
      </w:r>
    </w:p>
    <w:p w14:paraId="2748DA8E"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30F54B7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Žinoma, kad sulfonilurėjos dariniai ir insulinas sukelia hipoglikemiją, todėl linagliptino ir sulfonilurėjos darinio ir (arba) insulino deriniu patariama gydyti atsargiai. Galima apsvarstyti sulfonilurėjos darinio arba insulino dozės mažinimą (žr. 4.2 skyrių).</w:t>
      </w:r>
    </w:p>
    <w:p w14:paraId="4D5D9BFA"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1B35AE0C"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Ūminis pankreatitas</w:t>
      </w:r>
    </w:p>
    <w:p w14:paraId="7562CF3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DPP-4 inhibitorių vartojimas yra susijęs su ūminio pankreatito išsivystymo rizika. Linagliptino vartojusiems pacientams stebėtas ūminis pankreatitas. Saugumo širdies ir kraujagyslių sistemai bei inkstams tyrimo (CARMELINA), kurio stebėjimo laikotarpio mediana siekė 2,2 metų, metu gauta pranešimų apie nepriklausomai pripažintą ūminį pankreatitą, pasireiškusį 0,3 % pacientų, vartojusių linagliptino, ir 0,1 % pacientų, vartojusių placebo. Pacientai turi būti informuoti apie būdingus ūminio pankreatito simptomus. Jei įtariamas pankreatitas, Jeligo vartojimą reikia nutraukti; jei patvirtinama ūminio pankreatito diagnozė, negalima vėl pradėti vartoti Jeligo. Pacientus, kurie anamnezėje sirgę pankreatitu, reikia gydyti atsargiai.</w:t>
      </w:r>
    </w:p>
    <w:p w14:paraId="6AB51892"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407C88E8"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Pūslinis pemfigoidas</w:t>
      </w:r>
    </w:p>
    <w:p w14:paraId="049D0D6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Linagliptino vartojusiems pacientams stebėtas pūslinis pemfigoidas. CARMELINA tyrimo metu buvo gauta pranešimų apie pūslinį pemfigoidą, pasireiškusį 0,2 % pacientų, vartojusių linagliptino; iš placebo vartojusių pacientų tokių pranešimų negauta. Jei įtariamas pūslinis pemfigoidas, Jeligo vartojimą reikia nutraukti.</w:t>
      </w:r>
    </w:p>
    <w:p w14:paraId="1817786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57725D9B" w14:textId="77777777" w:rsidR="00C463FF" w:rsidRPr="00C463FF" w:rsidRDefault="00C463FF" w:rsidP="00135C1A">
      <w:pPr>
        <w:tabs>
          <w:tab w:val="center" w:pos="3261"/>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4.5</w:t>
      </w:r>
      <w:r w:rsidRPr="00C463FF">
        <w:rPr>
          <w:rFonts w:ascii="Times New Roman" w:eastAsia="Times New Roman" w:hAnsi="Times New Roman" w:cs="Times New Roman"/>
          <w:b/>
          <w:color w:val="000000"/>
          <w:lang w:eastAsia="lt-LT"/>
        </w:rPr>
        <w:tab/>
        <w:t>Sąveika su kitais vaistiniais preparatais ir kitokia sąveika</w:t>
      </w:r>
    </w:p>
    <w:p w14:paraId="597DF5DF"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504E61CC"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 xml:space="preserve">Sąveikos tyrimai </w:t>
      </w:r>
      <w:r w:rsidRPr="00C463FF">
        <w:rPr>
          <w:rFonts w:ascii="Times New Roman" w:eastAsia="Times New Roman" w:hAnsi="Times New Roman" w:cs="Times New Roman"/>
          <w:i/>
          <w:color w:val="000000"/>
          <w:u w:val="single" w:color="000000"/>
          <w:lang w:eastAsia="lt-LT"/>
        </w:rPr>
        <w:t>in vitro</w:t>
      </w:r>
    </w:p>
    <w:p w14:paraId="6A0ABDA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 xml:space="preserve">Linagliptinas silpnai konkurenciniu būdu ir silpnai arba vidutiniškai nuo veikimo mechanizmo priklausomu būdu slopina CYP izofermentą CYP3A4, tačiau kitų CYP izofermentų neslopina. </w:t>
      </w:r>
    </w:p>
    <w:p w14:paraId="3919A042"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CYP izofermentų linagliptinas neindukuoja.</w:t>
      </w:r>
    </w:p>
    <w:p w14:paraId="2725C47E" w14:textId="11FFEEF9"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 xml:space="preserve">Linagliptinas yra P glikoproteino substratas ir šiek tiek slopina digoksino pernašą, vykstančią tarpininkaujant P glikoproteinui. Remiantis šiais rezultatais bei sąveikos tyrimais </w:t>
      </w:r>
      <w:r w:rsidRPr="00C463FF">
        <w:rPr>
          <w:rFonts w:ascii="Times New Roman" w:eastAsia="Times New Roman" w:hAnsi="Times New Roman" w:cs="Times New Roman"/>
          <w:i/>
          <w:color w:val="000000"/>
          <w:lang w:eastAsia="lt-LT"/>
        </w:rPr>
        <w:t>in vivo</w:t>
      </w:r>
      <w:r w:rsidRPr="00C463FF">
        <w:rPr>
          <w:rFonts w:ascii="Times New Roman" w:eastAsia="Times New Roman" w:hAnsi="Times New Roman" w:cs="Times New Roman"/>
          <w:color w:val="000000"/>
          <w:lang w:eastAsia="lt-LT"/>
        </w:rPr>
        <w:t>, manoma, kad linagliptino ir kitų P</w:t>
      </w:r>
      <w:r w:rsidR="00A37DBC">
        <w:rPr>
          <w:rFonts w:ascii="Times New Roman" w:eastAsia="Times New Roman" w:hAnsi="Times New Roman" w:cs="Times New Roman"/>
          <w:color w:val="000000"/>
          <w:lang w:eastAsia="lt-LT"/>
        </w:rPr>
        <w:t>-</w:t>
      </w:r>
      <w:r w:rsidRPr="00C463FF">
        <w:rPr>
          <w:rFonts w:ascii="Times New Roman" w:eastAsia="Times New Roman" w:hAnsi="Times New Roman" w:cs="Times New Roman"/>
          <w:color w:val="000000"/>
          <w:lang w:eastAsia="lt-LT"/>
        </w:rPr>
        <w:t>gp substratų sąveikos pasireikšti neturėtų.</w:t>
      </w:r>
    </w:p>
    <w:p w14:paraId="6EEFD84F"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024A33EE"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 xml:space="preserve">Sąveikos tyrimai </w:t>
      </w:r>
      <w:r w:rsidRPr="00C463FF">
        <w:rPr>
          <w:rFonts w:ascii="Times New Roman" w:eastAsia="Times New Roman" w:hAnsi="Times New Roman" w:cs="Times New Roman"/>
          <w:i/>
          <w:color w:val="000000"/>
          <w:u w:val="single" w:color="000000"/>
          <w:lang w:eastAsia="lt-LT"/>
        </w:rPr>
        <w:t>in vivo</w:t>
      </w:r>
    </w:p>
    <w:p w14:paraId="73B6F43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u w:val="single" w:color="000000"/>
          <w:lang w:eastAsia="lt-LT"/>
        </w:rPr>
        <w:t>Kitų vaistinių preparatų poveikis linagliptinui</w:t>
      </w:r>
    </w:p>
    <w:p w14:paraId="4CC4027B"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Toliau pateikti klinikiniai duomenys rodo, kad kliniškai reikšmingos sąveikos su kartu vartotais vaistiniais preparatais rizika yra maža.</w:t>
      </w:r>
    </w:p>
    <w:p w14:paraId="169FF616" w14:textId="227F8BFE"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Rifampicinas</w:t>
      </w:r>
      <w:r w:rsidRPr="00C463FF">
        <w:rPr>
          <w:rFonts w:ascii="Times New Roman" w:eastAsia="Times New Roman" w:hAnsi="Times New Roman" w:cs="Times New Roman"/>
          <w:color w:val="000000"/>
          <w:lang w:eastAsia="lt-LT"/>
        </w:rPr>
        <w:t>: daugkartinis linagliptino 5 mg dozės vartojimas kartu su stipriai P glikoproteiną ir CYP3A4 indukuojančiu rifampicinu lėmė linagliptino AUC tuo metu, kai apykaita pusiausvyrinė, sumažėjimą ir C</w:t>
      </w:r>
      <w:r w:rsidRPr="00C463FF">
        <w:rPr>
          <w:rFonts w:ascii="Times New Roman" w:eastAsia="Times New Roman" w:hAnsi="Times New Roman" w:cs="Times New Roman"/>
          <w:color w:val="000000"/>
          <w:vertAlign w:val="subscript"/>
          <w:lang w:eastAsia="lt-LT"/>
        </w:rPr>
        <w:t xml:space="preserve">max </w:t>
      </w:r>
      <w:r w:rsidRPr="00C463FF">
        <w:rPr>
          <w:rFonts w:ascii="Times New Roman" w:eastAsia="Times New Roman" w:hAnsi="Times New Roman" w:cs="Times New Roman"/>
          <w:color w:val="000000"/>
          <w:lang w:eastAsia="lt-LT"/>
        </w:rPr>
        <w:t>sumažėjimą atitinkamai 39,6 %</w:t>
      </w:r>
      <w:r w:rsidRPr="00C463FF">
        <w:rPr>
          <w:rFonts w:ascii="Times New Roman" w:eastAsia="Segoe UI Symbol" w:hAnsi="Times New Roman" w:cs="Times New Roman"/>
          <w:color w:val="000000"/>
          <w:lang w:eastAsia="lt-LT"/>
        </w:rPr>
        <w:t xml:space="preserve"> </w:t>
      </w:r>
      <w:r w:rsidRPr="00C463FF">
        <w:rPr>
          <w:rFonts w:ascii="Times New Roman" w:eastAsia="Times New Roman" w:hAnsi="Times New Roman" w:cs="Times New Roman"/>
          <w:color w:val="000000"/>
          <w:lang w:eastAsia="lt-LT"/>
        </w:rPr>
        <w:t>ir 43,8 %</w:t>
      </w:r>
      <w:r w:rsidRPr="00C463FF">
        <w:rPr>
          <w:rFonts w:ascii="Times New Roman" w:eastAsia="Segoe UI Symbol" w:hAnsi="Times New Roman" w:cs="Times New Roman"/>
          <w:color w:val="000000"/>
          <w:lang w:eastAsia="lt-LT"/>
        </w:rPr>
        <w:t xml:space="preserve"> </w:t>
      </w:r>
      <w:r w:rsidRPr="00C463FF">
        <w:rPr>
          <w:rFonts w:ascii="Times New Roman" w:eastAsia="Times New Roman" w:hAnsi="Times New Roman" w:cs="Times New Roman"/>
          <w:color w:val="000000"/>
          <w:lang w:eastAsia="lt-LT"/>
        </w:rPr>
        <w:t>bei DPP-4 slopinimo tuo metu, kai koncentracija mažiausia, sumažėjimą maždaug 30 %. Taigi visas linagliptino, vartojamo kartu su stipriai veikiančiais P</w:t>
      </w:r>
      <w:r w:rsidR="000C78F6">
        <w:rPr>
          <w:rFonts w:ascii="Times New Roman" w:eastAsia="Times New Roman" w:hAnsi="Times New Roman" w:cs="Times New Roman"/>
          <w:color w:val="000000"/>
          <w:lang w:eastAsia="lt-LT"/>
        </w:rPr>
        <w:t>-</w:t>
      </w:r>
      <w:r w:rsidRPr="00C463FF">
        <w:rPr>
          <w:rFonts w:ascii="Times New Roman" w:eastAsia="Times New Roman" w:hAnsi="Times New Roman" w:cs="Times New Roman"/>
          <w:color w:val="000000"/>
          <w:lang w:eastAsia="lt-LT"/>
        </w:rPr>
        <w:t>gp induktoriais, veiksmingumas gali nepasireikšti, ypač ilgalaikio vartojimo metu. Derinimas su kitais stipriai veikiančiais P glikoproteino ir CYP3A4 induktoriais, tokiais kaip karbamazepinas, fenobarbitalis ar fenitoinas, nebuvo tirtas.</w:t>
      </w:r>
    </w:p>
    <w:p w14:paraId="11B075D3"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39A4CC3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Ritonaviras</w:t>
      </w:r>
      <w:r w:rsidRPr="00C463FF">
        <w:rPr>
          <w:rFonts w:ascii="Times New Roman" w:eastAsia="Times New Roman" w:hAnsi="Times New Roman" w:cs="Times New Roman"/>
          <w:color w:val="000000"/>
          <w:lang w:eastAsia="lt-LT"/>
        </w:rPr>
        <w:t>: vieną 5 mg linagliptino dozę išgėrus kartu su stipriai P glikoproteiną ir CYP3A4 slopinančio ritonaviro daugkartinėmis per burną vartojamomis 200 mg dozėmis, linagliptino AUC ir C</w:t>
      </w:r>
      <w:r w:rsidRPr="00C463FF">
        <w:rPr>
          <w:rFonts w:ascii="Times New Roman" w:eastAsia="Times New Roman" w:hAnsi="Times New Roman" w:cs="Times New Roman"/>
          <w:color w:val="000000"/>
          <w:vertAlign w:val="subscript"/>
          <w:lang w:eastAsia="lt-LT"/>
        </w:rPr>
        <w:t xml:space="preserve">max </w:t>
      </w:r>
      <w:r w:rsidRPr="00C463FF">
        <w:rPr>
          <w:rFonts w:ascii="Times New Roman" w:eastAsia="Times New Roman" w:hAnsi="Times New Roman" w:cs="Times New Roman"/>
          <w:color w:val="000000"/>
          <w:lang w:eastAsia="lt-LT"/>
        </w:rPr>
        <w:t>padidėjo atitinkamai maždaug du ir tris kartus. Neprisijungusios medžiagos koncentracija, kuri gydymo terapine linagliptino doze metu paprastai būna mažesnė negu 1 %, po pavartojimo kartu su ritonaviru padidėjo 4–5 kartus. Linagliptino koncentracijos kraujo plazmoje pusiausvyrinės apykaitos metu modeliavimas, kai kartu vartojama arba nevartojama ritonaviro, rodo, kad ekspozicijos padidėjimas nėra susijęs su kaupimosi padidėjimu. Šie linagliptino farmakokinetikos pokyčiai kliniškai reikšmingais nelaikomi. Taigi kliniškai reikšmingos sąveikos su kitais P glikoproteino ar CYP3A4 inhibitoriais pasireikšti neturėtų.</w:t>
      </w:r>
    </w:p>
    <w:p w14:paraId="023BF690"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516EA0D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Metforminas</w:t>
      </w:r>
      <w:r w:rsidRPr="00C463FF">
        <w:rPr>
          <w:rFonts w:ascii="Times New Roman" w:eastAsia="Times New Roman" w:hAnsi="Times New Roman" w:cs="Times New Roman"/>
          <w:color w:val="000000"/>
          <w:lang w:eastAsia="lt-LT"/>
        </w:rPr>
        <w:t>: sveikų savanorių, kartu su daugkartinėmis tris kartus per parą geriamomis 850 mg metformino dozėmis vartojusių 10 mg linagliptino dozę kartą per parą, organizme kliniškai reikšmingai linagliptino farmakokinetika nekito.</w:t>
      </w:r>
    </w:p>
    <w:p w14:paraId="1C1D5098"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2BA9A4B2" w14:textId="4EAD2243"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Sulfonilurėjos dariniai</w:t>
      </w:r>
      <w:r w:rsidRPr="00C463FF">
        <w:rPr>
          <w:rFonts w:ascii="Times New Roman" w:eastAsia="Times New Roman" w:hAnsi="Times New Roman" w:cs="Times New Roman"/>
          <w:color w:val="000000"/>
          <w:lang w:eastAsia="lt-LT"/>
        </w:rPr>
        <w:t>: 5 mg linagliptino pusiausvyros apykaitos farmakokinetikos kartu pavartota viena 1,75 mg glibenklamido (gliburido) dozė nepakeitė.</w:t>
      </w:r>
    </w:p>
    <w:p w14:paraId="26201376" w14:textId="77777777" w:rsidR="00C463FF" w:rsidRPr="00C463FF" w:rsidRDefault="00C463FF" w:rsidP="00135C1A">
      <w:pPr>
        <w:spacing w:after="0" w:line="240" w:lineRule="auto"/>
        <w:rPr>
          <w:rFonts w:ascii="Times New Roman" w:eastAsia="Times New Roman" w:hAnsi="Times New Roman" w:cs="Times New Roman"/>
          <w:i/>
          <w:color w:val="000000"/>
          <w:u w:val="single" w:color="000000"/>
          <w:lang w:eastAsia="lt-LT"/>
        </w:rPr>
      </w:pPr>
    </w:p>
    <w:p w14:paraId="379764B1"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u w:val="single" w:color="000000"/>
          <w:lang w:eastAsia="lt-LT"/>
        </w:rPr>
        <w:t>Linagliptino poveikis kitiems vaistiniams preparatams</w:t>
      </w:r>
    </w:p>
    <w:p w14:paraId="45FEB77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 xml:space="preserve">Kaip aprašyta toliau klinikinių tyrimų metu kliniškai reikšmingo poveikio metformino, gliburido, simvastatino, varfarino, digoksino ar geriamųjų kontraceptikų farmakokinetikai linagliptinas nedarė. Tai rodo, kad </w:t>
      </w:r>
      <w:r w:rsidRPr="00C463FF">
        <w:rPr>
          <w:rFonts w:ascii="Times New Roman" w:eastAsia="Times New Roman" w:hAnsi="Times New Roman" w:cs="Times New Roman"/>
          <w:i/>
          <w:color w:val="000000"/>
          <w:lang w:eastAsia="lt-LT"/>
        </w:rPr>
        <w:t xml:space="preserve">in vivo </w:t>
      </w:r>
      <w:r w:rsidRPr="00C463FF">
        <w:rPr>
          <w:rFonts w:ascii="Times New Roman" w:eastAsia="Times New Roman" w:hAnsi="Times New Roman" w:cs="Times New Roman"/>
          <w:color w:val="000000"/>
          <w:lang w:eastAsia="lt-LT"/>
        </w:rPr>
        <w:t>jo polinkis į sąveiką su CYP3A4, CYP2C9, CYP2C8, P glikoproteino bei organinių katijonų nešiklių (OKN) substratais yra mažas.</w:t>
      </w:r>
    </w:p>
    <w:p w14:paraId="57D0150F"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64C4C45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Metforminas</w:t>
      </w:r>
      <w:r w:rsidRPr="00C463FF">
        <w:rPr>
          <w:rFonts w:ascii="Times New Roman" w:eastAsia="Times New Roman" w:hAnsi="Times New Roman" w:cs="Times New Roman"/>
          <w:color w:val="000000"/>
          <w:lang w:eastAsia="lt-LT"/>
        </w:rPr>
        <w:t>: daugkartinių 10 mg linagliptino paros dozių vartojimas kartu su OKN substrato metformino 850 mg doze reikšmingo poveikio metformino farmakokinetikai sveikų savanorių organizme neturėjo. Taigi linagliptinas pernašos, vykstančios tarpininkaujant OKN, neslopina.</w:t>
      </w:r>
    </w:p>
    <w:p w14:paraId="6BACA939"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59E4E053"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Sulfonilurėjos dariniai</w:t>
      </w:r>
      <w:r w:rsidRPr="00C463FF">
        <w:rPr>
          <w:rFonts w:ascii="Times New Roman" w:eastAsia="Times New Roman" w:hAnsi="Times New Roman" w:cs="Times New Roman"/>
          <w:color w:val="000000"/>
          <w:lang w:eastAsia="lt-LT"/>
        </w:rPr>
        <w:t>: kartu su daugkartinėmis per burną vartojamomis 5 mg linagliptino dozėmis pavartojus vienkartinę per burną vartojamą 1,75 mg glibenklamido (gliburido) dozę, pasireiškė tiek glibenklamido AUC, tiek C</w:t>
      </w:r>
      <w:r w:rsidRPr="00C463FF">
        <w:rPr>
          <w:rFonts w:ascii="Times New Roman" w:eastAsia="Times New Roman" w:hAnsi="Times New Roman" w:cs="Times New Roman"/>
          <w:color w:val="000000"/>
          <w:vertAlign w:val="subscript"/>
          <w:lang w:eastAsia="lt-LT"/>
        </w:rPr>
        <w:t xml:space="preserve">max </w:t>
      </w:r>
      <w:r w:rsidRPr="00C463FF">
        <w:rPr>
          <w:rFonts w:ascii="Times New Roman" w:eastAsia="Times New Roman" w:hAnsi="Times New Roman" w:cs="Times New Roman"/>
          <w:color w:val="000000"/>
          <w:lang w:eastAsia="lt-LT"/>
        </w:rPr>
        <w:t>kliniškai nereikšmingas (14 %) sumažėjimas. Kadangi glibenklamidą metabolizuoja visų pirma CYP2C9, gauti duomenys paremia išvadą, kad linagliptinas nėra CYP2C9 inhibitorius. Kliniškai reikšmingos sąveikos su kitais sulfonilurėjos dariniais (pvz., glipizidu, tolbutamidu ar glimepiridu), kurių, kaip ir glibenklamido, eliminacija priklauso daugiausia nuo CYP2C9, neturėtų pasireikšti.</w:t>
      </w:r>
    </w:p>
    <w:p w14:paraId="3C7EAA4B"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6257C66D"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Digoksinas</w:t>
      </w:r>
      <w:r w:rsidRPr="00C463FF">
        <w:rPr>
          <w:rFonts w:ascii="Times New Roman" w:eastAsia="Times New Roman" w:hAnsi="Times New Roman" w:cs="Times New Roman"/>
          <w:color w:val="000000"/>
          <w:lang w:eastAsia="lt-LT"/>
        </w:rPr>
        <w:t xml:space="preserve">: sveikų savanorių, daugkartines 5 mg linagliptino paros dozes vartojusių kartu su daugkartinėmis 0,25 mg digoksino dozėmis, organizme poveikio digoksino farmakokinetikai nepasireiškė. Vadinasi, </w:t>
      </w:r>
      <w:r w:rsidRPr="00C463FF">
        <w:rPr>
          <w:rFonts w:ascii="Times New Roman" w:eastAsia="Times New Roman" w:hAnsi="Times New Roman" w:cs="Times New Roman"/>
          <w:i/>
          <w:color w:val="000000"/>
          <w:lang w:eastAsia="lt-LT"/>
        </w:rPr>
        <w:t xml:space="preserve">in vivo </w:t>
      </w:r>
      <w:r w:rsidRPr="00C463FF">
        <w:rPr>
          <w:rFonts w:ascii="Times New Roman" w:eastAsia="Times New Roman" w:hAnsi="Times New Roman" w:cs="Times New Roman"/>
          <w:color w:val="000000"/>
          <w:lang w:eastAsia="lt-LT"/>
        </w:rPr>
        <w:t>linagliptinas pernašos, vykstančios tarpininkaujant P glikoproteinui, neslopina.</w:t>
      </w:r>
    </w:p>
    <w:p w14:paraId="5C6432DD"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0B003E6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Varfarinas</w:t>
      </w:r>
      <w:r w:rsidRPr="00C463FF">
        <w:rPr>
          <w:rFonts w:ascii="Times New Roman" w:eastAsia="Times New Roman" w:hAnsi="Times New Roman" w:cs="Times New Roman"/>
          <w:color w:val="000000"/>
          <w:lang w:eastAsia="lt-LT"/>
        </w:rPr>
        <w:t>: daugkartinės 5 mg linagliptino paros dozės vienkartinės CYP2C9 substrato S(-) ar R(+) varfarino dozės farmakokinetikos nekeitė.</w:t>
      </w:r>
    </w:p>
    <w:p w14:paraId="2365A68B"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0DB2E8C8"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Simvastatinas</w:t>
      </w:r>
      <w:r w:rsidRPr="00C463FF">
        <w:rPr>
          <w:rFonts w:ascii="Times New Roman" w:eastAsia="Times New Roman" w:hAnsi="Times New Roman" w:cs="Times New Roman"/>
          <w:color w:val="000000"/>
          <w:lang w:eastAsia="lt-LT"/>
        </w:rPr>
        <w:t>: sveikų savanorių organizme daugkartinių linagliptino paros dozių poveikis jautraus CYP3A4 substrato simvastatino farmakokinetikai pusiausvyrinės apykaitos metu buvo minimalus. 6 paras vartojus didesnę už terapinę, t. y. 10 mg, linagliptino paros dozę kartu su 40 mg simvastatino paros doze, simvastatino AUC kraujo plazmoje padidėjo 34 %, o C</w:t>
      </w:r>
      <w:r w:rsidRPr="00C463FF">
        <w:rPr>
          <w:rFonts w:ascii="Times New Roman" w:eastAsia="Times New Roman" w:hAnsi="Times New Roman" w:cs="Times New Roman"/>
          <w:color w:val="000000"/>
          <w:vertAlign w:val="subscript"/>
          <w:lang w:eastAsia="lt-LT"/>
        </w:rPr>
        <w:t xml:space="preserve">max </w:t>
      </w:r>
      <w:r w:rsidRPr="00C463FF">
        <w:rPr>
          <w:rFonts w:ascii="Times New Roman" w:eastAsia="Times New Roman" w:hAnsi="Times New Roman" w:cs="Times New Roman"/>
          <w:color w:val="000000"/>
          <w:lang w:eastAsia="lt-LT"/>
        </w:rPr>
        <w:t>kraujo plazmoje – 10 %.</w:t>
      </w:r>
    </w:p>
    <w:p w14:paraId="239902AC" w14:textId="77777777" w:rsidR="00C463FF" w:rsidRPr="00C463FF" w:rsidRDefault="00C463FF" w:rsidP="00135C1A">
      <w:pPr>
        <w:spacing w:after="0" w:line="240" w:lineRule="auto"/>
        <w:rPr>
          <w:rFonts w:ascii="Times New Roman" w:eastAsia="Times New Roman" w:hAnsi="Times New Roman" w:cs="Times New Roman"/>
          <w:i/>
          <w:color w:val="000000"/>
          <w:lang w:eastAsia="lt-LT"/>
        </w:rPr>
      </w:pPr>
    </w:p>
    <w:p w14:paraId="400834EF"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i/>
          <w:color w:val="000000"/>
          <w:lang w:eastAsia="lt-LT"/>
        </w:rPr>
        <w:t>Geriamieji kontraceptikai</w:t>
      </w:r>
      <w:r w:rsidRPr="00C463FF">
        <w:rPr>
          <w:rFonts w:ascii="Times New Roman" w:eastAsia="Times New Roman" w:hAnsi="Times New Roman" w:cs="Times New Roman"/>
          <w:color w:val="000000"/>
          <w:lang w:eastAsia="lt-LT"/>
        </w:rPr>
        <w:t>: kartu su 5 mg linagliptino doze vartojamų levonorgestrelio ar etinilestradiolio farmakokinetika pusiausvyrinės apykaitos metu nekito.</w:t>
      </w:r>
    </w:p>
    <w:p w14:paraId="15E3945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56BF579A" w14:textId="77777777" w:rsidR="00C463FF" w:rsidRPr="00C463FF" w:rsidRDefault="00C463FF" w:rsidP="00135C1A">
      <w:pPr>
        <w:tabs>
          <w:tab w:val="center" w:pos="2697"/>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4.6</w:t>
      </w:r>
      <w:r w:rsidRPr="00C463FF">
        <w:rPr>
          <w:rFonts w:ascii="Times New Roman" w:eastAsia="Times New Roman" w:hAnsi="Times New Roman" w:cs="Times New Roman"/>
          <w:b/>
          <w:color w:val="000000"/>
          <w:lang w:eastAsia="lt-LT"/>
        </w:rPr>
        <w:tab/>
        <w:t>Vaisingumas, nėštumo ir žindymo laikotarpis</w:t>
      </w:r>
    </w:p>
    <w:p w14:paraId="0590820B"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13D9A455"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Nėštumas</w:t>
      </w:r>
    </w:p>
    <w:p w14:paraId="1F821D88" w14:textId="437F246B"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Linagliptino vartojimas nėštumo metu netirtas. Tyrimai su gyvūnais tiesioginio ar netiesioginio kenksmingo toksinio poveikio reprodukcijai neparodė (žr. 5.3</w:t>
      </w:r>
      <w:r w:rsidRPr="00135C1A">
        <w:rPr>
          <w:rFonts w:ascii="Times New Roman" w:eastAsia="Times New Roman" w:hAnsi="Times New Roman" w:cs="Times New Roman"/>
          <w:color w:val="000000"/>
          <w:lang w:eastAsia="lt-LT"/>
        </w:rPr>
        <w:t> </w:t>
      </w:r>
      <w:r w:rsidRPr="00C463FF">
        <w:rPr>
          <w:rFonts w:ascii="Times New Roman" w:eastAsia="Times New Roman" w:hAnsi="Times New Roman" w:cs="Times New Roman"/>
          <w:color w:val="000000"/>
          <w:lang w:eastAsia="lt-LT"/>
        </w:rPr>
        <w:t>skyrių). Nėštumo metu linagliptino geriau nevartoti.</w:t>
      </w:r>
    </w:p>
    <w:p w14:paraId="5DB3BD47"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53712296"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Žindymas</w:t>
      </w:r>
    </w:p>
    <w:p w14:paraId="3648AD82"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Esami farmakokinetikos tyrimų su gyvūnais duomenys rodo, kad linagliptino ir (ar) metabolitų išsiskiria į gyvūnų pieną. Pavojaus žindomiems vaikams negalima atmesti. Atsižvelgiant į žindymo naudą kūdikiui ir gydymo naudą motinai, reikia nuspręsti, ar nutraukti žindymą ar nutraukti arba susilaikyti nuo gydymo linagliptinu.</w:t>
      </w:r>
    </w:p>
    <w:p w14:paraId="1D3525FA"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1AFEA1D1"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Vaisingumas</w:t>
      </w:r>
    </w:p>
    <w:p w14:paraId="35929908" w14:textId="3C6317FE"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Linagliptino poveikio žmogaus vaisingumui tyrimų neatlikta. Tyrimai su gyvūnais tiesioginio ar netiesioginio kenksmingo toksinio poveikio vaisingumui neparodė (žr. 5.3</w:t>
      </w:r>
      <w:r w:rsidRPr="00135C1A">
        <w:rPr>
          <w:rFonts w:ascii="Times New Roman" w:eastAsia="Times New Roman" w:hAnsi="Times New Roman" w:cs="Times New Roman"/>
          <w:color w:val="000000"/>
          <w:lang w:eastAsia="lt-LT"/>
        </w:rPr>
        <w:t> </w:t>
      </w:r>
      <w:r w:rsidRPr="00C463FF">
        <w:rPr>
          <w:rFonts w:ascii="Times New Roman" w:eastAsia="Times New Roman" w:hAnsi="Times New Roman" w:cs="Times New Roman"/>
          <w:color w:val="000000"/>
          <w:lang w:eastAsia="lt-LT"/>
        </w:rPr>
        <w:t>skyrių).</w:t>
      </w:r>
    </w:p>
    <w:p w14:paraId="54059408" w14:textId="77777777" w:rsidR="00C463FF" w:rsidRPr="00C463FF" w:rsidRDefault="00C463FF" w:rsidP="00135C1A">
      <w:pPr>
        <w:keepNext/>
        <w:keepLines/>
        <w:tabs>
          <w:tab w:val="center" w:pos="2979"/>
        </w:tabs>
        <w:spacing w:after="0" w:line="240" w:lineRule="auto"/>
        <w:outlineLvl w:val="2"/>
        <w:rPr>
          <w:rFonts w:ascii="Times New Roman" w:eastAsia="Times New Roman" w:hAnsi="Times New Roman" w:cs="Times New Roman"/>
          <w:b/>
          <w:color w:val="000000"/>
          <w:lang w:eastAsia="lt-LT"/>
        </w:rPr>
      </w:pPr>
    </w:p>
    <w:p w14:paraId="750CE5B9" w14:textId="77777777" w:rsidR="00C463FF" w:rsidRPr="00C463FF" w:rsidRDefault="00C463FF" w:rsidP="00135C1A">
      <w:pPr>
        <w:keepNext/>
        <w:keepLines/>
        <w:tabs>
          <w:tab w:val="center" w:pos="2979"/>
        </w:tabs>
        <w:spacing w:after="0" w:line="240" w:lineRule="auto"/>
        <w:outlineLvl w:val="2"/>
        <w:rPr>
          <w:rFonts w:ascii="Times New Roman" w:eastAsia="Times New Roman" w:hAnsi="Times New Roman" w:cs="Times New Roman"/>
          <w:i/>
          <w:color w:val="000000"/>
          <w:lang w:eastAsia="lt-LT"/>
        </w:rPr>
      </w:pPr>
      <w:r w:rsidRPr="00C463FF">
        <w:rPr>
          <w:rFonts w:ascii="Times New Roman" w:eastAsia="Times New Roman" w:hAnsi="Times New Roman" w:cs="Times New Roman"/>
          <w:b/>
          <w:color w:val="000000"/>
          <w:lang w:eastAsia="lt-LT"/>
        </w:rPr>
        <w:t>4.7</w:t>
      </w:r>
      <w:r w:rsidRPr="00C463FF">
        <w:rPr>
          <w:rFonts w:ascii="Times New Roman" w:eastAsia="Times New Roman" w:hAnsi="Times New Roman" w:cs="Times New Roman"/>
          <w:b/>
          <w:color w:val="000000"/>
          <w:lang w:eastAsia="lt-LT"/>
        </w:rPr>
        <w:tab/>
        <w:t>Poveikis gebėjimui vairuoti ir valdyti mechanizmus</w:t>
      </w:r>
    </w:p>
    <w:p w14:paraId="0AD5DCDA"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4986476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Linagliptinas gebėjimo vairuoti ir valdyti mechanizmus neveikia arba veikia nereikšmingai. Vis dėlto pacientus reikia įspėti apie hipoglikemijos riziką, ypač gydant linagliptinu kartu su sulfonilurėjos dariniu ir (arba) insulinu.</w:t>
      </w:r>
    </w:p>
    <w:p w14:paraId="3F6CFFD9" w14:textId="77777777" w:rsidR="00C463FF" w:rsidRPr="00C463FF" w:rsidRDefault="00C463FF" w:rsidP="00135C1A">
      <w:pPr>
        <w:tabs>
          <w:tab w:val="center" w:pos="1817"/>
        </w:tabs>
        <w:spacing w:after="0" w:line="240" w:lineRule="auto"/>
        <w:rPr>
          <w:rFonts w:ascii="Times New Roman" w:eastAsia="Times New Roman" w:hAnsi="Times New Roman" w:cs="Times New Roman"/>
          <w:b/>
          <w:color w:val="000000"/>
          <w:lang w:eastAsia="lt-LT"/>
        </w:rPr>
      </w:pPr>
    </w:p>
    <w:p w14:paraId="539FF6BB" w14:textId="77777777" w:rsidR="00C463FF" w:rsidRPr="00C463FF" w:rsidRDefault="00C463FF" w:rsidP="00135C1A">
      <w:pPr>
        <w:tabs>
          <w:tab w:val="center" w:pos="1817"/>
        </w:tabs>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b/>
          <w:color w:val="000000"/>
          <w:lang w:eastAsia="lt-LT"/>
        </w:rPr>
        <w:t>4.8</w:t>
      </w:r>
      <w:r w:rsidRPr="00C463FF">
        <w:rPr>
          <w:rFonts w:ascii="Times New Roman" w:eastAsia="Times New Roman" w:hAnsi="Times New Roman" w:cs="Times New Roman"/>
          <w:b/>
          <w:color w:val="000000"/>
          <w:lang w:eastAsia="lt-LT"/>
        </w:rPr>
        <w:tab/>
        <w:t>Nepageidaujamas poveikis</w:t>
      </w:r>
    </w:p>
    <w:p w14:paraId="3AC9480A"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56DD74E2"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F62E28">
        <w:rPr>
          <w:rFonts w:ascii="Times New Roman" w:eastAsia="Times New Roman" w:hAnsi="Times New Roman" w:cs="Times New Roman"/>
          <w:color w:val="000000"/>
          <w:u w:val="single" w:color="000000"/>
          <w:lang w:eastAsia="lt-LT"/>
        </w:rPr>
        <w:t>Saugumo duomenų santrauka</w:t>
      </w:r>
    </w:p>
    <w:p w14:paraId="08D9E65C"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Bendros placebu kontroliuojamų tyrimų analizės duomenimis, bendras nepageidaujamų reiškinių, atsiradusių placebu gydytiems pacientams, dažnis buvo panašus į dažnį 5 mg linagliptino doze gydytiems pacientams (atitinkamai 63,4 % ir 59,1 %).</w:t>
      </w:r>
    </w:p>
    <w:p w14:paraId="2A670C3F"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Gydymo nutraukimo dėl nepageidaujamų reiškinių dažnis placebo vartojantiems pacientams buvo didesnis negu 5 mg linagliptino doze gydomiems pacientams (atitinkamai 4,3 % ir 3,4 %).</w:t>
      </w:r>
    </w:p>
    <w:p w14:paraId="4E4DA8E6"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14555B7F"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Dažniausia nepageidaujama reakcija buvo hipoglikemija, kuri pasireiškė 14,8 % trilypiu deriniu – linagliptinu, metforminu ir sulfonilurėjos dariniu – gydytų pacientų ir 7,6 % – gydytų placebu.</w:t>
      </w:r>
    </w:p>
    <w:p w14:paraId="29A3C5BE"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0AE5E31E" w14:textId="7D8B6C2C"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Placebu kontroliuojamų tyrimų metu hipoglikemija kaip nepageidaujama reakcija pasireiškė 4,9 % linagliptinu gydytų pacientų. 4 % iš jų pagal intensyvumą buvo lengvos, 0,9 % – vidutinio sunkumo bei 0,1 % – sunkios. Pacientams, atsitiktinių imčių būdu atrinktiems gydyti linagliptinu, dažniau pasireiškė pankreatitas (7 atvejai iš 6</w:t>
      </w:r>
      <w:r w:rsidR="005D1095">
        <w:rPr>
          <w:rFonts w:ascii="Times New Roman" w:eastAsia="Times New Roman" w:hAnsi="Times New Roman" w:cs="Times New Roman"/>
          <w:color w:val="000000"/>
          <w:lang w:eastAsia="lt-LT"/>
        </w:rPr>
        <w:t> </w:t>
      </w:r>
      <w:r w:rsidRPr="00C463FF">
        <w:rPr>
          <w:rFonts w:ascii="Times New Roman" w:eastAsia="Times New Roman" w:hAnsi="Times New Roman" w:cs="Times New Roman"/>
          <w:color w:val="000000"/>
          <w:lang w:eastAsia="lt-LT"/>
        </w:rPr>
        <w:t>580 linagliptinu gydytų pacientų, palyginti su 2 atvejais iš 4</w:t>
      </w:r>
      <w:r w:rsidR="005D1095">
        <w:rPr>
          <w:rFonts w:ascii="Times New Roman" w:eastAsia="Times New Roman" w:hAnsi="Times New Roman" w:cs="Times New Roman"/>
          <w:color w:val="000000"/>
          <w:lang w:eastAsia="lt-LT"/>
        </w:rPr>
        <w:t> </w:t>
      </w:r>
      <w:r w:rsidRPr="00C463FF">
        <w:rPr>
          <w:rFonts w:ascii="Times New Roman" w:eastAsia="Times New Roman" w:hAnsi="Times New Roman" w:cs="Times New Roman"/>
          <w:color w:val="000000"/>
          <w:lang w:eastAsia="lt-LT"/>
        </w:rPr>
        <w:t>383 placebą vartojusių pacientų).</w:t>
      </w:r>
    </w:p>
    <w:p w14:paraId="3046A840"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21B17B7D" w14:textId="77777777"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Nepageidaujamų reakcijų santrauka lentelėje</w:t>
      </w:r>
    </w:p>
    <w:p w14:paraId="30DB34E4"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Dėl foninio gydymo įtakos nepageidaujamoms reakcijoms (pvz., hipoglikemijai), nepageidaujamos reakcijos buvo išanalizuotos pagal atitinkamą gydymo būdą (monoterapija, gydymo metforminu papildymas, gydymo metformino bei sulfonilurėjos darinio deriniu papildymas ir gydymo insulinu papildymas).</w:t>
      </w:r>
    </w:p>
    <w:p w14:paraId="6488D76F"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Placebu kontroliuojami tyrimai apėmė tyrimus, kurių metu linagliptino buvo vartojama:</w:t>
      </w:r>
    </w:p>
    <w:p w14:paraId="70BD9789" w14:textId="77777777"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trumpalaikei, ne ilgesnei kaip 4 savaičių monoterapijai;</w:t>
      </w:r>
    </w:p>
    <w:p w14:paraId="346B5749" w14:textId="69931C25"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w:t>
      </w:r>
      <w:r w:rsidR="00000214" w:rsidRPr="00135C1A">
        <w:rPr>
          <w:rFonts w:ascii="Times New Roman" w:eastAsia="Times New Roman" w:hAnsi="Times New Roman" w:cs="Times New Roman"/>
          <w:color w:val="000000"/>
          <w:lang w:eastAsia="lt-LT"/>
        </w:rPr>
        <w:t> </w:t>
      </w:r>
      <w:r w:rsidRPr="00C463FF">
        <w:rPr>
          <w:rFonts w:ascii="Times New Roman" w:eastAsia="Times New Roman" w:hAnsi="Times New Roman" w:cs="Times New Roman"/>
          <w:color w:val="000000"/>
          <w:lang w:eastAsia="lt-LT"/>
        </w:rPr>
        <w:t>12 savaičių trukmės monoterapijai;</w:t>
      </w:r>
    </w:p>
    <w:p w14:paraId="15005062" w14:textId="77777777"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gydymui metforminu papildyti;</w:t>
      </w:r>
    </w:p>
    <w:p w14:paraId="4818704E" w14:textId="77777777"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gydymui metformino ir sulfonilurėjos darinio deriniu papildyti;</w:t>
      </w:r>
    </w:p>
    <w:p w14:paraId="6C993CB8" w14:textId="77777777"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gydymui metforminu ir empagliflozinu papildyti;</w:t>
      </w:r>
    </w:p>
    <w:p w14:paraId="4DBB5D9F" w14:textId="77777777" w:rsidR="00C463FF" w:rsidRPr="00C463FF" w:rsidRDefault="00C463FF" w:rsidP="00135C1A">
      <w:pPr>
        <w:numPr>
          <w:ilvl w:val="0"/>
          <w:numId w:val="2"/>
        </w:numPr>
        <w:tabs>
          <w:tab w:val="left" w:pos="567"/>
        </w:tabs>
        <w:spacing w:after="0" w:line="240" w:lineRule="auto"/>
        <w:ind w:left="567" w:hanging="567"/>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gydymui insulinu su metforminu arba be jo papildyti.</w:t>
      </w:r>
    </w:p>
    <w:p w14:paraId="2803837D" w14:textId="68C1D622"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 xml:space="preserve">Nepageidaujamos reakcijos, pasireiškusios dvigubai </w:t>
      </w:r>
      <w:r w:rsidR="005D1095">
        <w:rPr>
          <w:rFonts w:ascii="Times New Roman" w:eastAsia="Times New Roman" w:hAnsi="Times New Roman" w:cs="Times New Roman"/>
          <w:color w:val="000000"/>
          <w:lang w:eastAsia="lt-LT"/>
        </w:rPr>
        <w:t>koduotų</w:t>
      </w:r>
      <w:r w:rsidRPr="00C463FF">
        <w:rPr>
          <w:rFonts w:ascii="Times New Roman" w:eastAsia="Times New Roman" w:hAnsi="Times New Roman" w:cs="Times New Roman"/>
          <w:color w:val="000000"/>
          <w:lang w:eastAsia="lt-LT"/>
        </w:rPr>
        <w:t xml:space="preserve"> tyrimų metu pacientams, 5 mg linagliptino dozę vartojusiems monoterapijai ar gydymui papildyti, yra suklasifikuotos pagal organų sistemų klases (OSK) bei MedDRA tinkamiausius terminus ir išvardytos toliau esančioje lentelėje (žr. 1 lentelę).</w:t>
      </w:r>
    </w:p>
    <w:p w14:paraId="29D82D60"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655182FB"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Nepageidaujamos reakcijos yra išvardytos pagal absoliutų dažnį. Dažnis apibūdinamas taip: labai dažnas (≥ 1/10), dažnas (nuo ≥ 1/100 iki &lt; 1/10), nedažnas (nuo ≥ 1/1 000 iki &lt; 1/100), retas (nuo ≥ 1/10 000 iki &lt; 1/1 000), labai retas (&lt; 1/10 000) arba dažnis nežinomas (negali būti apskaičiuotas pagal turimus duomenis).</w:t>
      </w:r>
    </w:p>
    <w:p w14:paraId="031ABF7D"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p>
    <w:p w14:paraId="3430CBE5" w14:textId="77777777"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1 lentelė.</w:t>
      </w:r>
      <w:r w:rsidRPr="00C463FF">
        <w:rPr>
          <w:rFonts w:ascii="Times New Roman" w:eastAsia="Times New Roman" w:hAnsi="Times New Roman" w:cs="Times New Roman"/>
          <w:color w:val="000000"/>
          <w:lang w:eastAsia="lt-LT"/>
        </w:rPr>
        <w:tab/>
        <w:t>Nepageidaujamos reakcijos, pasireiškusios pacientams, 5 mg linagliptino paros dozę vartojusiems monoterapijai arba gydymui papildyti, remiantis klinikinių tyrimų duomenimis bei duomenimis, gautais vaistinį preparatą pateikus į rinką</w:t>
      </w:r>
    </w:p>
    <w:tbl>
      <w:tblPr>
        <w:tblW w:w="93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76"/>
        <w:gridCol w:w="4282"/>
      </w:tblGrid>
      <w:tr w:rsidR="00C463FF" w:rsidRPr="00C463FF" w14:paraId="4A89505B" w14:textId="77777777" w:rsidTr="00C32B7C">
        <w:trPr>
          <w:cantSplit/>
          <w:trHeight w:val="712"/>
        </w:trPr>
        <w:tc>
          <w:tcPr>
            <w:tcW w:w="5076" w:type="dxa"/>
            <w:tcBorders>
              <w:top w:val="single" w:sz="4" w:space="0" w:color="000000"/>
              <w:left w:val="single" w:sz="4" w:space="0" w:color="000000"/>
              <w:bottom w:val="single" w:sz="4" w:space="0" w:color="000000"/>
              <w:right w:val="single" w:sz="4" w:space="0" w:color="000000"/>
            </w:tcBorders>
            <w:hideMark/>
          </w:tcPr>
          <w:p w14:paraId="5F305B79" w14:textId="77777777" w:rsidR="00C463FF" w:rsidRPr="00C463FF" w:rsidRDefault="00C463FF" w:rsidP="00135C1A">
            <w:pPr>
              <w:widowControl w:val="0"/>
              <w:autoSpaceDE w:val="0"/>
              <w:autoSpaceDN w:val="0"/>
              <w:spacing w:before="109" w:after="0" w:line="240" w:lineRule="auto"/>
              <w:ind w:left="69"/>
              <w:rPr>
                <w:rFonts w:ascii="Times New Roman" w:eastAsia="Times New Roman" w:hAnsi="Times New Roman" w:cs="Times New Roman"/>
                <w:b/>
                <w:kern w:val="0"/>
                <w14:ligatures w14:val="none"/>
              </w:rPr>
            </w:pPr>
            <w:r w:rsidRPr="00C463FF">
              <w:rPr>
                <w:rFonts w:ascii="Times New Roman" w:eastAsia="Times New Roman" w:hAnsi="Times New Roman" w:cs="Times New Roman"/>
                <w:b/>
                <w:kern w:val="0"/>
                <w14:ligatures w14:val="none"/>
              </w:rPr>
              <w:t>Organų</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sistemų</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klasė</w:t>
            </w:r>
          </w:p>
          <w:p w14:paraId="5D322133" w14:textId="77777777" w:rsidR="00C463FF" w:rsidRPr="00C463FF" w:rsidRDefault="00C463FF" w:rsidP="00135C1A">
            <w:pPr>
              <w:widowControl w:val="0"/>
              <w:autoSpaceDE w:val="0"/>
              <w:autoSpaceDN w:val="0"/>
              <w:spacing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Nepageidaujama</w:t>
            </w:r>
            <w:r w:rsidRPr="00C463FF">
              <w:rPr>
                <w:rFonts w:ascii="Times New Roman" w:eastAsia="Times New Roman" w:hAnsi="Times New Roman" w:cs="Times New Roman"/>
                <w:spacing w:val="-7"/>
                <w:kern w:val="0"/>
                <w14:ligatures w14:val="none"/>
              </w:rPr>
              <w:t xml:space="preserve"> </w:t>
            </w:r>
            <w:r w:rsidRPr="00C463FF">
              <w:rPr>
                <w:rFonts w:ascii="Times New Roman" w:eastAsia="Times New Roman" w:hAnsi="Times New Roman" w:cs="Times New Roman"/>
                <w:kern w:val="0"/>
                <w14:ligatures w14:val="none"/>
              </w:rPr>
              <w:t>reakcija</w:t>
            </w:r>
          </w:p>
        </w:tc>
        <w:tc>
          <w:tcPr>
            <w:tcW w:w="4282" w:type="dxa"/>
            <w:tcBorders>
              <w:top w:val="single" w:sz="4" w:space="0" w:color="000000"/>
              <w:left w:val="single" w:sz="4" w:space="0" w:color="000000"/>
              <w:bottom w:val="single" w:sz="4" w:space="0" w:color="000000"/>
              <w:right w:val="single" w:sz="4" w:space="0" w:color="000000"/>
            </w:tcBorders>
            <w:vAlign w:val="center"/>
          </w:tcPr>
          <w:p w14:paraId="67307F1C" w14:textId="77777777" w:rsidR="00C463FF" w:rsidRPr="00C463FF" w:rsidRDefault="00C463FF" w:rsidP="00135C1A">
            <w:pPr>
              <w:widowControl w:val="0"/>
              <w:autoSpaceDE w:val="0"/>
              <w:autoSpaceDN w:val="0"/>
              <w:spacing w:after="0" w:line="240" w:lineRule="auto"/>
              <w:ind w:right="500" w:firstLine="326"/>
              <w:jc w:val="center"/>
              <w:rPr>
                <w:rFonts w:ascii="Times New Roman" w:eastAsia="Times New Roman" w:hAnsi="Times New Roman" w:cs="Times New Roman"/>
                <w:b/>
                <w:kern w:val="0"/>
                <w14:ligatures w14:val="none"/>
              </w:rPr>
            </w:pPr>
            <w:r w:rsidRPr="00C463FF">
              <w:rPr>
                <w:rFonts w:ascii="Times New Roman" w:eastAsia="Times New Roman" w:hAnsi="Times New Roman" w:cs="Times New Roman"/>
                <w:b/>
                <w:kern w:val="0"/>
                <w14:ligatures w14:val="none"/>
              </w:rPr>
              <w:t>Nepageidaujamos</w:t>
            </w:r>
            <w:r w:rsidRPr="00C463FF">
              <w:rPr>
                <w:rFonts w:ascii="Times New Roman" w:eastAsia="Times New Roman" w:hAnsi="Times New Roman" w:cs="Times New Roman"/>
                <w:b/>
                <w:spacing w:val="-6"/>
                <w:kern w:val="0"/>
                <w14:ligatures w14:val="none"/>
              </w:rPr>
              <w:t xml:space="preserve"> </w:t>
            </w:r>
            <w:r w:rsidRPr="00C463FF">
              <w:rPr>
                <w:rFonts w:ascii="Times New Roman" w:eastAsia="Times New Roman" w:hAnsi="Times New Roman" w:cs="Times New Roman"/>
                <w:b/>
                <w:kern w:val="0"/>
                <w14:ligatures w14:val="none"/>
              </w:rPr>
              <w:t>reakcijos</w:t>
            </w:r>
            <w:r w:rsidRPr="00C463FF">
              <w:rPr>
                <w:rFonts w:ascii="Times New Roman" w:eastAsia="Times New Roman" w:hAnsi="Times New Roman" w:cs="Times New Roman"/>
                <w:b/>
                <w:spacing w:val="-6"/>
                <w:kern w:val="0"/>
                <w14:ligatures w14:val="none"/>
              </w:rPr>
              <w:t xml:space="preserve"> </w:t>
            </w:r>
            <w:r w:rsidRPr="00C463FF">
              <w:rPr>
                <w:rFonts w:ascii="Times New Roman" w:eastAsia="Times New Roman" w:hAnsi="Times New Roman" w:cs="Times New Roman"/>
                <w:b/>
                <w:kern w:val="0"/>
                <w14:ligatures w14:val="none"/>
              </w:rPr>
              <w:t>dažnis</w:t>
            </w:r>
          </w:p>
        </w:tc>
      </w:tr>
      <w:tr w:rsidR="00C463FF" w:rsidRPr="00C463FF" w14:paraId="75E2BE92"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hideMark/>
          </w:tcPr>
          <w:p w14:paraId="10DC7E37"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Infekcijos</w:t>
            </w:r>
            <w:r w:rsidRPr="00C463FF">
              <w:rPr>
                <w:rFonts w:ascii="Times New Roman" w:eastAsia="Times New Roman" w:hAnsi="Times New Roman" w:cs="Times New Roman"/>
                <w:b/>
                <w:spacing w:val="-6"/>
                <w:kern w:val="0"/>
                <w14:ligatures w14:val="none"/>
              </w:rPr>
              <w:t xml:space="preserve"> </w:t>
            </w:r>
            <w:r w:rsidRPr="00C463FF">
              <w:rPr>
                <w:rFonts w:ascii="Times New Roman" w:eastAsia="Times New Roman" w:hAnsi="Times New Roman" w:cs="Times New Roman"/>
                <w:b/>
                <w:kern w:val="0"/>
                <w14:ligatures w14:val="none"/>
              </w:rPr>
              <w:t>ir</w:t>
            </w:r>
            <w:r w:rsidRPr="00C463FF">
              <w:rPr>
                <w:rFonts w:ascii="Times New Roman" w:eastAsia="Times New Roman" w:hAnsi="Times New Roman" w:cs="Times New Roman"/>
                <w:b/>
                <w:spacing w:val="-5"/>
                <w:kern w:val="0"/>
                <w14:ligatures w14:val="none"/>
              </w:rPr>
              <w:t xml:space="preserve"> </w:t>
            </w:r>
            <w:r w:rsidRPr="00C463FF">
              <w:rPr>
                <w:rFonts w:ascii="Times New Roman" w:eastAsia="Times New Roman" w:hAnsi="Times New Roman" w:cs="Times New Roman"/>
                <w:b/>
                <w:kern w:val="0"/>
                <w14:ligatures w14:val="none"/>
              </w:rPr>
              <w:t>infestacijos</w:t>
            </w:r>
          </w:p>
        </w:tc>
      </w:tr>
      <w:tr w:rsidR="00C463FF" w:rsidRPr="00C463FF" w14:paraId="2DB1DC05"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16B5E8E5" w14:textId="77777777" w:rsidR="00C463FF" w:rsidRPr="00C463FF" w:rsidRDefault="00C463FF" w:rsidP="00135C1A">
            <w:pPr>
              <w:widowControl w:val="0"/>
              <w:autoSpaceDE w:val="0"/>
              <w:autoSpaceDN w:val="0"/>
              <w:spacing w:before="37"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Nazofaringitas</w:t>
            </w:r>
          </w:p>
        </w:tc>
        <w:tc>
          <w:tcPr>
            <w:tcW w:w="4282" w:type="dxa"/>
            <w:tcBorders>
              <w:top w:val="single" w:sz="4" w:space="0" w:color="000000"/>
              <w:left w:val="single" w:sz="4" w:space="0" w:color="000000"/>
              <w:bottom w:val="single" w:sz="4" w:space="0" w:color="000000"/>
              <w:right w:val="single" w:sz="4" w:space="0" w:color="000000"/>
            </w:tcBorders>
            <w:hideMark/>
          </w:tcPr>
          <w:p w14:paraId="5BB4446C" w14:textId="77777777" w:rsidR="00C463FF" w:rsidRPr="00C463FF" w:rsidRDefault="00C463FF" w:rsidP="00135C1A">
            <w:pPr>
              <w:widowControl w:val="0"/>
              <w:autoSpaceDE w:val="0"/>
              <w:autoSpaceDN w:val="0"/>
              <w:spacing w:before="37"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46BEDCA3"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hideMark/>
          </w:tcPr>
          <w:p w14:paraId="1B527E2A"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Imuninės</w:t>
            </w:r>
            <w:r w:rsidRPr="00C463FF">
              <w:rPr>
                <w:rFonts w:ascii="Times New Roman" w:eastAsia="Times New Roman" w:hAnsi="Times New Roman" w:cs="Times New Roman"/>
                <w:b/>
                <w:spacing w:val="-6"/>
                <w:kern w:val="0"/>
                <w14:ligatures w14:val="none"/>
              </w:rPr>
              <w:t xml:space="preserve"> </w:t>
            </w:r>
            <w:r w:rsidRPr="00C463FF">
              <w:rPr>
                <w:rFonts w:ascii="Times New Roman" w:eastAsia="Times New Roman" w:hAnsi="Times New Roman" w:cs="Times New Roman"/>
                <w:b/>
                <w:kern w:val="0"/>
                <w14:ligatures w14:val="none"/>
              </w:rPr>
              <w:t>sistemos</w:t>
            </w:r>
            <w:r w:rsidRPr="00C463FF">
              <w:rPr>
                <w:rFonts w:ascii="Times New Roman" w:eastAsia="Times New Roman" w:hAnsi="Times New Roman" w:cs="Times New Roman"/>
                <w:b/>
                <w:spacing w:val="-5"/>
                <w:kern w:val="0"/>
                <w14:ligatures w14:val="none"/>
              </w:rPr>
              <w:t xml:space="preserve"> </w:t>
            </w:r>
            <w:r w:rsidRPr="00C463FF">
              <w:rPr>
                <w:rFonts w:ascii="Times New Roman" w:eastAsia="Times New Roman" w:hAnsi="Times New Roman" w:cs="Times New Roman"/>
                <w:b/>
                <w:kern w:val="0"/>
                <w14:ligatures w14:val="none"/>
              </w:rPr>
              <w:t>sutrikimai</w:t>
            </w:r>
          </w:p>
        </w:tc>
      </w:tr>
      <w:tr w:rsidR="00C463FF" w:rsidRPr="00C463FF" w14:paraId="7B26EEE3"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232328B7" w14:textId="77777777" w:rsidR="00C463FF" w:rsidRPr="00C463FF" w:rsidRDefault="00C463FF" w:rsidP="00135C1A">
            <w:pPr>
              <w:widowControl w:val="0"/>
              <w:autoSpaceDE w:val="0"/>
              <w:autoSpaceDN w:val="0"/>
              <w:spacing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Padidėjęs</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jautrumas</w:t>
            </w:r>
          </w:p>
          <w:p w14:paraId="16DDC39C" w14:textId="77777777" w:rsidR="00C463FF" w:rsidRPr="00C463FF" w:rsidRDefault="00C463FF" w:rsidP="00135C1A">
            <w:pPr>
              <w:widowControl w:val="0"/>
              <w:autoSpaceDE w:val="0"/>
              <w:autoSpaceDN w:val="0"/>
              <w:spacing w:before="1"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(pvz.,</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padidėjęs</w:t>
            </w:r>
            <w:r w:rsidRPr="00C463FF">
              <w:rPr>
                <w:rFonts w:ascii="Times New Roman" w:eastAsia="Times New Roman" w:hAnsi="Times New Roman" w:cs="Times New Roman"/>
                <w:spacing w:val="-5"/>
                <w:kern w:val="0"/>
                <w14:ligatures w14:val="none"/>
              </w:rPr>
              <w:t xml:space="preserve"> </w:t>
            </w:r>
            <w:r w:rsidRPr="00C463FF">
              <w:rPr>
                <w:rFonts w:ascii="Times New Roman" w:eastAsia="Times New Roman" w:hAnsi="Times New Roman" w:cs="Times New Roman"/>
                <w:kern w:val="0"/>
                <w14:ligatures w14:val="none"/>
              </w:rPr>
              <w:t>bronchų</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reaktyvumas)</w:t>
            </w:r>
          </w:p>
        </w:tc>
        <w:tc>
          <w:tcPr>
            <w:tcW w:w="4282" w:type="dxa"/>
            <w:tcBorders>
              <w:top w:val="single" w:sz="4" w:space="0" w:color="000000"/>
              <w:left w:val="single" w:sz="4" w:space="0" w:color="000000"/>
              <w:bottom w:val="single" w:sz="4" w:space="0" w:color="000000"/>
              <w:right w:val="single" w:sz="4" w:space="0" w:color="000000"/>
            </w:tcBorders>
            <w:hideMark/>
          </w:tcPr>
          <w:p w14:paraId="54A5E3F4" w14:textId="77777777" w:rsidR="00C463FF" w:rsidRPr="00C463FF" w:rsidRDefault="00C463FF" w:rsidP="00135C1A">
            <w:pPr>
              <w:widowControl w:val="0"/>
              <w:autoSpaceDE w:val="0"/>
              <w:autoSpaceDN w:val="0"/>
              <w:spacing w:before="121"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78D46FF3"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hideMark/>
          </w:tcPr>
          <w:p w14:paraId="1FA78635"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Metabolizmo</w:t>
            </w:r>
            <w:r w:rsidRPr="00C463FF">
              <w:rPr>
                <w:rFonts w:ascii="Times New Roman" w:eastAsia="Times New Roman" w:hAnsi="Times New Roman" w:cs="Times New Roman"/>
                <w:b/>
                <w:spacing w:val="-5"/>
                <w:kern w:val="0"/>
                <w14:ligatures w14:val="none"/>
              </w:rPr>
              <w:t xml:space="preserve"> </w:t>
            </w:r>
            <w:r w:rsidRPr="00C463FF">
              <w:rPr>
                <w:rFonts w:ascii="Times New Roman" w:eastAsia="Times New Roman" w:hAnsi="Times New Roman" w:cs="Times New Roman"/>
                <w:b/>
                <w:kern w:val="0"/>
                <w14:ligatures w14:val="none"/>
              </w:rPr>
              <w:t>ir</w:t>
            </w:r>
            <w:r w:rsidRPr="00C463FF">
              <w:rPr>
                <w:rFonts w:ascii="Times New Roman" w:eastAsia="Times New Roman" w:hAnsi="Times New Roman" w:cs="Times New Roman"/>
                <w:b/>
                <w:spacing w:val="-5"/>
                <w:kern w:val="0"/>
                <w14:ligatures w14:val="none"/>
              </w:rPr>
              <w:t xml:space="preserve"> </w:t>
            </w:r>
            <w:r w:rsidRPr="00C463FF">
              <w:rPr>
                <w:rFonts w:ascii="Times New Roman" w:eastAsia="Times New Roman" w:hAnsi="Times New Roman" w:cs="Times New Roman"/>
                <w:b/>
                <w:kern w:val="0"/>
                <w14:ligatures w14:val="none"/>
              </w:rPr>
              <w:t>mitybos</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sutrikimai</w:t>
            </w:r>
          </w:p>
        </w:tc>
      </w:tr>
      <w:tr w:rsidR="00C463FF" w:rsidRPr="00C463FF" w14:paraId="0D582056"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08D7AF2C" w14:textId="77777777" w:rsidR="00C463FF" w:rsidRPr="00C463FF" w:rsidRDefault="00C463FF" w:rsidP="00135C1A">
            <w:pPr>
              <w:widowControl w:val="0"/>
              <w:autoSpaceDE w:val="0"/>
              <w:autoSpaceDN w:val="0"/>
              <w:spacing w:before="37"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Hipoglikemija</w:t>
            </w:r>
            <w:r w:rsidRPr="00C463FF">
              <w:rPr>
                <w:rFonts w:ascii="Times New Roman" w:eastAsia="Times New Roman" w:hAnsi="Times New Roman" w:cs="Times New Roman"/>
                <w:kern w:val="0"/>
                <w:vertAlign w:val="superscript"/>
                <w14:ligatures w14:val="none"/>
              </w:rPr>
              <w:t>1</w:t>
            </w:r>
          </w:p>
        </w:tc>
        <w:tc>
          <w:tcPr>
            <w:tcW w:w="4282" w:type="dxa"/>
            <w:tcBorders>
              <w:top w:val="single" w:sz="4" w:space="0" w:color="000000"/>
              <w:left w:val="single" w:sz="4" w:space="0" w:color="000000"/>
              <w:bottom w:val="single" w:sz="4" w:space="0" w:color="000000"/>
              <w:right w:val="single" w:sz="4" w:space="0" w:color="000000"/>
            </w:tcBorders>
            <w:hideMark/>
          </w:tcPr>
          <w:p w14:paraId="5567E20E" w14:textId="77777777" w:rsidR="00C463FF" w:rsidRPr="00C463FF" w:rsidRDefault="00C463FF" w:rsidP="00135C1A">
            <w:pPr>
              <w:widowControl w:val="0"/>
              <w:autoSpaceDE w:val="0"/>
              <w:autoSpaceDN w:val="0"/>
              <w:spacing w:before="37"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labai</w:t>
            </w:r>
            <w:r w:rsidRPr="00C463FF">
              <w:rPr>
                <w:rFonts w:ascii="Times New Roman" w:eastAsia="Times New Roman" w:hAnsi="Times New Roman" w:cs="Times New Roman"/>
                <w:spacing w:val="-4"/>
                <w:kern w:val="0"/>
                <w14:ligatures w14:val="none"/>
              </w:rPr>
              <w:t xml:space="preserve"> </w:t>
            </w:r>
            <w:r w:rsidRPr="00C463FF">
              <w:rPr>
                <w:rFonts w:ascii="Times New Roman" w:eastAsia="Times New Roman" w:hAnsi="Times New Roman" w:cs="Times New Roman"/>
                <w:kern w:val="0"/>
                <w14:ligatures w14:val="none"/>
              </w:rPr>
              <w:t>dažnas</w:t>
            </w:r>
          </w:p>
        </w:tc>
      </w:tr>
      <w:tr w:rsidR="00C463FF" w:rsidRPr="00C463FF" w14:paraId="2891CDA4"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vAlign w:val="center"/>
            <w:hideMark/>
          </w:tcPr>
          <w:p w14:paraId="08DD3047"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Kvėpavimo sistemos, krūtinės ląstos ir tarpuplaučio sutrikimai</w:t>
            </w:r>
          </w:p>
        </w:tc>
      </w:tr>
      <w:tr w:rsidR="00C463FF" w:rsidRPr="00C463FF" w14:paraId="16E9A956"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7C8AC8BE" w14:textId="77777777" w:rsidR="00C463FF" w:rsidRPr="00C463FF" w:rsidRDefault="00C463FF" w:rsidP="00135C1A">
            <w:pPr>
              <w:widowControl w:val="0"/>
              <w:autoSpaceDE w:val="0"/>
              <w:autoSpaceDN w:val="0"/>
              <w:spacing w:before="37"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Kosulys</w:t>
            </w:r>
          </w:p>
        </w:tc>
        <w:tc>
          <w:tcPr>
            <w:tcW w:w="4282" w:type="dxa"/>
            <w:tcBorders>
              <w:top w:val="single" w:sz="4" w:space="0" w:color="000000"/>
              <w:left w:val="single" w:sz="4" w:space="0" w:color="000000"/>
              <w:bottom w:val="single" w:sz="4" w:space="0" w:color="000000"/>
              <w:right w:val="single" w:sz="4" w:space="0" w:color="000000"/>
            </w:tcBorders>
            <w:hideMark/>
          </w:tcPr>
          <w:p w14:paraId="73441BC1" w14:textId="77777777" w:rsidR="00C463FF" w:rsidRPr="00C463FF" w:rsidRDefault="00C463FF" w:rsidP="00135C1A">
            <w:pPr>
              <w:widowControl w:val="0"/>
              <w:autoSpaceDE w:val="0"/>
              <w:autoSpaceDN w:val="0"/>
              <w:spacing w:before="37"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57120695"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vAlign w:val="center"/>
            <w:hideMark/>
          </w:tcPr>
          <w:p w14:paraId="1D120337"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Virškinimo</w:t>
            </w:r>
            <w:r w:rsidRPr="00C463FF">
              <w:rPr>
                <w:rFonts w:ascii="Times New Roman" w:eastAsia="Times New Roman" w:hAnsi="Times New Roman" w:cs="Times New Roman"/>
                <w:b/>
                <w:spacing w:val="-6"/>
                <w:kern w:val="0"/>
                <w14:ligatures w14:val="none"/>
              </w:rPr>
              <w:t xml:space="preserve"> </w:t>
            </w:r>
            <w:r w:rsidRPr="00C463FF">
              <w:rPr>
                <w:rFonts w:ascii="Times New Roman" w:eastAsia="Times New Roman" w:hAnsi="Times New Roman" w:cs="Times New Roman"/>
                <w:b/>
                <w:kern w:val="0"/>
                <w14:ligatures w14:val="none"/>
              </w:rPr>
              <w:t>trakto</w:t>
            </w:r>
            <w:r w:rsidRPr="00C463FF">
              <w:rPr>
                <w:rFonts w:ascii="Times New Roman" w:eastAsia="Times New Roman" w:hAnsi="Times New Roman" w:cs="Times New Roman"/>
                <w:b/>
                <w:spacing w:val="-5"/>
                <w:kern w:val="0"/>
                <w14:ligatures w14:val="none"/>
              </w:rPr>
              <w:t xml:space="preserve"> </w:t>
            </w:r>
            <w:r w:rsidRPr="00C463FF">
              <w:rPr>
                <w:rFonts w:ascii="Times New Roman" w:eastAsia="Times New Roman" w:hAnsi="Times New Roman" w:cs="Times New Roman"/>
                <w:b/>
                <w:kern w:val="0"/>
                <w14:ligatures w14:val="none"/>
              </w:rPr>
              <w:t>sutrikimai</w:t>
            </w:r>
          </w:p>
        </w:tc>
      </w:tr>
      <w:tr w:rsidR="00C463FF" w:rsidRPr="00C463FF" w14:paraId="421DF8D1"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69936568"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Pankreatitas</w:t>
            </w:r>
          </w:p>
        </w:tc>
        <w:tc>
          <w:tcPr>
            <w:tcW w:w="4282" w:type="dxa"/>
            <w:tcBorders>
              <w:top w:val="single" w:sz="4" w:space="0" w:color="000000"/>
              <w:left w:val="single" w:sz="4" w:space="0" w:color="000000"/>
              <w:bottom w:val="single" w:sz="4" w:space="0" w:color="000000"/>
              <w:right w:val="single" w:sz="4" w:space="0" w:color="000000"/>
            </w:tcBorders>
            <w:hideMark/>
          </w:tcPr>
          <w:p w14:paraId="56A63A78" w14:textId="77777777" w:rsidR="00C463FF" w:rsidRPr="00C463FF" w:rsidRDefault="00C463FF" w:rsidP="00135C1A">
            <w:pPr>
              <w:widowControl w:val="0"/>
              <w:autoSpaceDE w:val="0"/>
              <w:autoSpaceDN w:val="0"/>
              <w:spacing w:before="65"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retas</w:t>
            </w:r>
            <w:r w:rsidRPr="00C463FF">
              <w:rPr>
                <w:rFonts w:ascii="Times New Roman" w:eastAsia="Times New Roman" w:hAnsi="Times New Roman" w:cs="Times New Roman"/>
                <w:kern w:val="0"/>
                <w:vertAlign w:val="superscript"/>
                <w14:ligatures w14:val="none"/>
              </w:rPr>
              <w:t>#</w:t>
            </w:r>
          </w:p>
        </w:tc>
      </w:tr>
      <w:tr w:rsidR="00C463FF" w:rsidRPr="00C463FF" w14:paraId="6F3727CF"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12DF40FF"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Vidurių</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užkietėjimas</w:t>
            </w:r>
            <w:r w:rsidRPr="00C463FF">
              <w:rPr>
                <w:rFonts w:ascii="Times New Roman" w:eastAsia="Times New Roman" w:hAnsi="Times New Roman" w:cs="Times New Roman"/>
                <w:kern w:val="0"/>
                <w:vertAlign w:val="superscript"/>
                <w14:ligatures w14:val="none"/>
              </w:rPr>
              <w:t>2</w:t>
            </w:r>
          </w:p>
        </w:tc>
        <w:tc>
          <w:tcPr>
            <w:tcW w:w="4282" w:type="dxa"/>
            <w:tcBorders>
              <w:top w:val="single" w:sz="4" w:space="0" w:color="000000"/>
              <w:left w:val="single" w:sz="4" w:space="0" w:color="000000"/>
              <w:bottom w:val="single" w:sz="4" w:space="0" w:color="000000"/>
              <w:right w:val="single" w:sz="4" w:space="0" w:color="000000"/>
            </w:tcBorders>
            <w:hideMark/>
          </w:tcPr>
          <w:p w14:paraId="19CD2CAA" w14:textId="77777777" w:rsidR="00C463FF" w:rsidRPr="00C463FF" w:rsidRDefault="00C463FF" w:rsidP="00135C1A">
            <w:pPr>
              <w:widowControl w:val="0"/>
              <w:autoSpaceDE w:val="0"/>
              <w:autoSpaceDN w:val="0"/>
              <w:spacing w:before="65"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221F5D23"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vAlign w:val="center"/>
            <w:hideMark/>
          </w:tcPr>
          <w:p w14:paraId="31FF16ED"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Odos</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ir</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poodinio</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audinio</w:t>
            </w:r>
            <w:r w:rsidRPr="00C463FF">
              <w:rPr>
                <w:rFonts w:ascii="Times New Roman" w:eastAsia="Times New Roman" w:hAnsi="Times New Roman" w:cs="Times New Roman"/>
                <w:b/>
                <w:spacing w:val="-4"/>
                <w:kern w:val="0"/>
                <w14:ligatures w14:val="none"/>
              </w:rPr>
              <w:t xml:space="preserve"> </w:t>
            </w:r>
            <w:r w:rsidRPr="00C463FF">
              <w:rPr>
                <w:rFonts w:ascii="Times New Roman" w:eastAsia="Times New Roman" w:hAnsi="Times New Roman" w:cs="Times New Roman"/>
                <w:b/>
                <w:kern w:val="0"/>
                <w14:ligatures w14:val="none"/>
              </w:rPr>
              <w:t>sutrikimai</w:t>
            </w:r>
          </w:p>
        </w:tc>
      </w:tr>
      <w:tr w:rsidR="00C463FF" w:rsidRPr="00C463FF" w14:paraId="3C328A88"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2844D5CB"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Angioneurozinė</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edema*</w:t>
            </w:r>
          </w:p>
        </w:tc>
        <w:tc>
          <w:tcPr>
            <w:tcW w:w="4282" w:type="dxa"/>
            <w:tcBorders>
              <w:top w:val="single" w:sz="4" w:space="0" w:color="000000"/>
              <w:left w:val="single" w:sz="4" w:space="0" w:color="000000"/>
              <w:bottom w:val="single" w:sz="4" w:space="0" w:color="000000"/>
              <w:right w:val="single" w:sz="4" w:space="0" w:color="000000"/>
            </w:tcBorders>
            <w:hideMark/>
          </w:tcPr>
          <w:p w14:paraId="73CA8A8F" w14:textId="77777777" w:rsidR="00C463FF" w:rsidRPr="00C463FF" w:rsidRDefault="00C463FF" w:rsidP="00135C1A">
            <w:pPr>
              <w:widowControl w:val="0"/>
              <w:autoSpaceDE w:val="0"/>
              <w:autoSpaceDN w:val="0"/>
              <w:spacing w:before="65" w:after="0" w:line="240" w:lineRule="auto"/>
              <w:ind w:right="497"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retas</w:t>
            </w:r>
          </w:p>
        </w:tc>
      </w:tr>
      <w:tr w:rsidR="00C463FF" w:rsidRPr="00C463FF" w14:paraId="3092054E"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79F96389"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Dilgėlinė*</w:t>
            </w:r>
          </w:p>
        </w:tc>
        <w:tc>
          <w:tcPr>
            <w:tcW w:w="4282" w:type="dxa"/>
            <w:tcBorders>
              <w:top w:val="single" w:sz="4" w:space="0" w:color="000000"/>
              <w:left w:val="single" w:sz="4" w:space="0" w:color="000000"/>
              <w:bottom w:val="single" w:sz="4" w:space="0" w:color="000000"/>
              <w:right w:val="single" w:sz="4" w:space="0" w:color="000000"/>
            </w:tcBorders>
            <w:hideMark/>
          </w:tcPr>
          <w:p w14:paraId="6F6C80B1" w14:textId="77777777" w:rsidR="00C463FF" w:rsidRPr="00C463FF" w:rsidRDefault="00C463FF" w:rsidP="00135C1A">
            <w:pPr>
              <w:widowControl w:val="0"/>
              <w:autoSpaceDE w:val="0"/>
              <w:autoSpaceDN w:val="0"/>
              <w:spacing w:before="65" w:after="0" w:line="240" w:lineRule="auto"/>
              <w:ind w:right="497"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retas</w:t>
            </w:r>
          </w:p>
        </w:tc>
      </w:tr>
      <w:tr w:rsidR="00C463FF" w:rsidRPr="00C463FF" w14:paraId="7FF08AEA"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6CE256AD"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Išbėrimas*</w:t>
            </w:r>
          </w:p>
        </w:tc>
        <w:tc>
          <w:tcPr>
            <w:tcW w:w="4282" w:type="dxa"/>
            <w:tcBorders>
              <w:top w:val="single" w:sz="4" w:space="0" w:color="000000"/>
              <w:left w:val="single" w:sz="4" w:space="0" w:color="000000"/>
              <w:bottom w:val="single" w:sz="4" w:space="0" w:color="000000"/>
              <w:right w:val="single" w:sz="4" w:space="0" w:color="000000"/>
            </w:tcBorders>
            <w:hideMark/>
          </w:tcPr>
          <w:p w14:paraId="422426C7" w14:textId="77777777" w:rsidR="00C463FF" w:rsidRPr="00C463FF" w:rsidRDefault="00C463FF" w:rsidP="00135C1A">
            <w:pPr>
              <w:widowControl w:val="0"/>
              <w:autoSpaceDE w:val="0"/>
              <w:autoSpaceDN w:val="0"/>
              <w:spacing w:before="65"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5A1C1B6D"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4A0E1F0E" w14:textId="77777777" w:rsidR="00C463FF" w:rsidRPr="00C463FF" w:rsidRDefault="00C463FF" w:rsidP="00135C1A">
            <w:pPr>
              <w:widowControl w:val="0"/>
              <w:autoSpaceDE w:val="0"/>
              <w:autoSpaceDN w:val="0"/>
              <w:spacing w:before="68"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Pūslinis</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pemfigoidas</w:t>
            </w:r>
          </w:p>
        </w:tc>
        <w:tc>
          <w:tcPr>
            <w:tcW w:w="4282" w:type="dxa"/>
            <w:tcBorders>
              <w:top w:val="single" w:sz="4" w:space="0" w:color="000000"/>
              <w:left w:val="single" w:sz="4" w:space="0" w:color="000000"/>
              <w:bottom w:val="single" w:sz="4" w:space="0" w:color="000000"/>
              <w:right w:val="single" w:sz="4" w:space="0" w:color="000000"/>
            </w:tcBorders>
            <w:hideMark/>
          </w:tcPr>
          <w:p w14:paraId="1ACA333B" w14:textId="77777777" w:rsidR="00C463FF" w:rsidRPr="00C463FF" w:rsidRDefault="00C463FF" w:rsidP="00135C1A">
            <w:pPr>
              <w:widowControl w:val="0"/>
              <w:autoSpaceDE w:val="0"/>
              <w:autoSpaceDN w:val="0"/>
              <w:spacing w:before="68"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retas</w:t>
            </w:r>
            <w:r w:rsidRPr="00C463FF">
              <w:rPr>
                <w:rFonts w:ascii="Times New Roman" w:eastAsia="Times New Roman" w:hAnsi="Times New Roman" w:cs="Times New Roman"/>
                <w:kern w:val="0"/>
                <w:vertAlign w:val="superscript"/>
                <w14:ligatures w14:val="none"/>
              </w:rPr>
              <w:t>#</w:t>
            </w:r>
          </w:p>
        </w:tc>
      </w:tr>
      <w:tr w:rsidR="00C463FF" w:rsidRPr="00C463FF" w14:paraId="6DDD29ED" w14:textId="77777777" w:rsidTr="00C32B7C">
        <w:trPr>
          <w:cantSplit/>
          <w:trHeight w:val="23"/>
        </w:trPr>
        <w:tc>
          <w:tcPr>
            <w:tcW w:w="9358" w:type="dxa"/>
            <w:gridSpan w:val="2"/>
            <w:tcBorders>
              <w:top w:val="single" w:sz="4" w:space="0" w:color="000000"/>
              <w:left w:val="single" w:sz="4" w:space="0" w:color="000000"/>
              <w:bottom w:val="single" w:sz="4" w:space="0" w:color="000000"/>
              <w:right w:val="single" w:sz="4" w:space="0" w:color="000000"/>
            </w:tcBorders>
            <w:vAlign w:val="center"/>
            <w:hideMark/>
          </w:tcPr>
          <w:p w14:paraId="0354F8E5" w14:textId="77777777" w:rsidR="00C463FF" w:rsidRPr="00C463FF" w:rsidRDefault="00C463FF" w:rsidP="00135C1A">
            <w:pPr>
              <w:widowControl w:val="0"/>
              <w:autoSpaceDE w:val="0"/>
              <w:autoSpaceDN w:val="0"/>
              <w:spacing w:after="0" w:line="240" w:lineRule="auto"/>
              <w:ind w:firstLine="326"/>
              <w:rPr>
                <w:rFonts w:ascii="Times New Roman" w:eastAsia="Times New Roman" w:hAnsi="Times New Roman" w:cs="Times New Roman"/>
                <w:kern w:val="0"/>
                <w14:ligatures w14:val="none"/>
              </w:rPr>
            </w:pPr>
            <w:r w:rsidRPr="00C463FF">
              <w:rPr>
                <w:rFonts w:ascii="Times New Roman" w:eastAsia="Times New Roman" w:hAnsi="Times New Roman" w:cs="Times New Roman"/>
                <w:b/>
                <w:kern w:val="0"/>
                <w14:ligatures w14:val="none"/>
              </w:rPr>
              <w:t>Tyrimai</w:t>
            </w:r>
          </w:p>
        </w:tc>
      </w:tr>
      <w:tr w:rsidR="00C463FF" w:rsidRPr="00C463FF" w14:paraId="2A0B4F21"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589E66E7"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Padidėjęs</w:t>
            </w:r>
            <w:r w:rsidRPr="00C463FF">
              <w:rPr>
                <w:rFonts w:ascii="Times New Roman" w:eastAsia="Times New Roman" w:hAnsi="Times New Roman" w:cs="Times New Roman"/>
                <w:spacing w:val="-8"/>
                <w:kern w:val="0"/>
                <w14:ligatures w14:val="none"/>
              </w:rPr>
              <w:t xml:space="preserve"> </w:t>
            </w:r>
            <w:r w:rsidRPr="00C463FF">
              <w:rPr>
                <w:rFonts w:ascii="Times New Roman" w:eastAsia="Times New Roman" w:hAnsi="Times New Roman" w:cs="Times New Roman"/>
                <w:kern w:val="0"/>
                <w14:ligatures w14:val="none"/>
              </w:rPr>
              <w:t>amilazės</w:t>
            </w:r>
            <w:r w:rsidRPr="00C463FF">
              <w:rPr>
                <w:rFonts w:ascii="Times New Roman" w:eastAsia="Times New Roman" w:hAnsi="Times New Roman" w:cs="Times New Roman"/>
                <w:spacing w:val="-8"/>
                <w:kern w:val="0"/>
                <w14:ligatures w14:val="none"/>
              </w:rPr>
              <w:t xml:space="preserve"> </w:t>
            </w:r>
            <w:r w:rsidRPr="00C463FF">
              <w:rPr>
                <w:rFonts w:ascii="Times New Roman" w:eastAsia="Times New Roman" w:hAnsi="Times New Roman" w:cs="Times New Roman"/>
                <w:kern w:val="0"/>
                <w14:ligatures w14:val="none"/>
              </w:rPr>
              <w:t>aktyvumas</w:t>
            </w:r>
          </w:p>
        </w:tc>
        <w:tc>
          <w:tcPr>
            <w:tcW w:w="4282" w:type="dxa"/>
            <w:tcBorders>
              <w:top w:val="single" w:sz="4" w:space="0" w:color="000000"/>
              <w:left w:val="single" w:sz="4" w:space="0" w:color="000000"/>
              <w:bottom w:val="single" w:sz="4" w:space="0" w:color="000000"/>
              <w:right w:val="single" w:sz="4" w:space="0" w:color="000000"/>
            </w:tcBorders>
            <w:hideMark/>
          </w:tcPr>
          <w:p w14:paraId="4FDE9BC9" w14:textId="77777777" w:rsidR="00C463FF" w:rsidRPr="00C463FF" w:rsidRDefault="00C463FF" w:rsidP="00135C1A">
            <w:pPr>
              <w:widowControl w:val="0"/>
              <w:autoSpaceDE w:val="0"/>
              <w:autoSpaceDN w:val="0"/>
              <w:spacing w:before="65" w:after="0" w:line="240" w:lineRule="auto"/>
              <w:ind w:right="499"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nedažnas</w:t>
            </w:r>
          </w:p>
        </w:tc>
      </w:tr>
      <w:tr w:rsidR="00C463FF" w:rsidRPr="00C463FF" w14:paraId="42C7E691" w14:textId="77777777" w:rsidTr="00C32B7C">
        <w:trPr>
          <w:cantSplit/>
          <w:trHeight w:val="23"/>
        </w:trPr>
        <w:tc>
          <w:tcPr>
            <w:tcW w:w="5076" w:type="dxa"/>
            <w:tcBorders>
              <w:top w:val="single" w:sz="4" w:space="0" w:color="000000"/>
              <w:left w:val="single" w:sz="4" w:space="0" w:color="000000"/>
              <w:bottom w:val="single" w:sz="4" w:space="0" w:color="000000"/>
              <w:right w:val="single" w:sz="4" w:space="0" w:color="000000"/>
            </w:tcBorders>
            <w:vAlign w:val="center"/>
            <w:hideMark/>
          </w:tcPr>
          <w:p w14:paraId="0EE7680D" w14:textId="77777777" w:rsidR="00C463FF" w:rsidRPr="00C463FF" w:rsidRDefault="00C463FF" w:rsidP="00135C1A">
            <w:pPr>
              <w:widowControl w:val="0"/>
              <w:autoSpaceDE w:val="0"/>
              <w:autoSpaceDN w:val="0"/>
              <w:spacing w:before="65" w:after="0" w:line="240" w:lineRule="auto"/>
              <w:ind w:left="69"/>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Padidėjęs</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lipazės</w:t>
            </w:r>
            <w:r w:rsidRPr="00C463FF">
              <w:rPr>
                <w:rFonts w:ascii="Times New Roman" w:eastAsia="Times New Roman" w:hAnsi="Times New Roman" w:cs="Times New Roman"/>
                <w:spacing w:val="-6"/>
                <w:kern w:val="0"/>
                <w14:ligatures w14:val="none"/>
              </w:rPr>
              <w:t xml:space="preserve"> </w:t>
            </w:r>
            <w:r w:rsidRPr="00C463FF">
              <w:rPr>
                <w:rFonts w:ascii="Times New Roman" w:eastAsia="Times New Roman" w:hAnsi="Times New Roman" w:cs="Times New Roman"/>
                <w:kern w:val="0"/>
                <w14:ligatures w14:val="none"/>
              </w:rPr>
              <w:t>aktyvumas**</w:t>
            </w:r>
          </w:p>
        </w:tc>
        <w:tc>
          <w:tcPr>
            <w:tcW w:w="4282" w:type="dxa"/>
            <w:tcBorders>
              <w:top w:val="single" w:sz="4" w:space="0" w:color="000000"/>
              <w:left w:val="single" w:sz="4" w:space="0" w:color="000000"/>
              <w:bottom w:val="single" w:sz="4" w:space="0" w:color="000000"/>
              <w:right w:val="single" w:sz="4" w:space="0" w:color="000000"/>
            </w:tcBorders>
            <w:hideMark/>
          </w:tcPr>
          <w:p w14:paraId="5E8F8400" w14:textId="77777777" w:rsidR="00C463FF" w:rsidRPr="00C463FF" w:rsidRDefault="00C463FF" w:rsidP="00135C1A">
            <w:pPr>
              <w:widowControl w:val="0"/>
              <w:autoSpaceDE w:val="0"/>
              <w:autoSpaceDN w:val="0"/>
              <w:spacing w:before="65" w:after="0" w:line="240" w:lineRule="auto"/>
              <w:ind w:right="497" w:firstLine="326"/>
              <w:jc w:val="center"/>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dažnas</w:t>
            </w:r>
          </w:p>
        </w:tc>
      </w:tr>
    </w:tbl>
    <w:p w14:paraId="747B0FE9" w14:textId="77777777" w:rsidR="00C463FF" w:rsidRPr="00C463FF" w:rsidRDefault="00C463FF" w:rsidP="00135C1A">
      <w:pPr>
        <w:autoSpaceDE w:val="0"/>
        <w:autoSpaceDN w:val="0"/>
        <w:adjustRightInd w:val="0"/>
        <w:spacing w:after="0" w:line="240" w:lineRule="auto"/>
        <w:ind w:left="567" w:hanging="567"/>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w:t>
      </w:r>
      <w:r w:rsidRPr="00C463FF">
        <w:rPr>
          <w:rFonts w:ascii="Times New Roman" w:eastAsia="Times New Roman" w:hAnsi="Times New Roman" w:cs="Times New Roman"/>
          <w:kern w:val="0"/>
          <w14:ligatures w14:val="none"/>
        </w:rPr>
        <w:tab/>
        <w:t>Remiantis duomenimis, gautais vaistinį preparatą pateikus į rinką</w:t>
      </w:r>
    </w:p>
    <w:p w14:paraId="301E4DAA" w14:textId="77777777" w:rsidR="00C463FF" w:rsidRPr="00C463FF" w:rsidRDefault="00C463FF" w:rsidP="00135C1A">
      <w:pPr>
        <w:autoSpaceDE w:val="0"/>
        <w:autoSpaceDN w:val="0"/>
        <w:adjustRightInd w:val="0"/>
        <w:spacing w:after="0" w:line="240" w:lineRule="auto"/>
        <w:ind w:left="567" w:hanging="567"/>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w:t>
      </w:r>
      <w:r w:rsidRPr="00C463FF">
        <w:rPr>
          <w:rFonts w:ascii="Times New Roman" w:eastAsia="Times New Roman" w:hAnsi="Times New Roman" w:cs="Times New Roman"/>
          <w:kern w:val="0"/>
          <w14:ligatures w14:val="none"/>
        </w:rPr>
        <w:tab/>
        <w:t>Remiantis klinikiniuose tyrimuose pastebėtu lipazės aktyvumo padidėjimu &gt;3x virš viršutinės normos ribos (VNR)</w:t>
      </w:r>
    </w:p>
    <w:p w14:paraId="15963B84" w14:textId="77777777" w:rsidR="00C463FF" w:rsidRPr="00C463FF" w:rsidRDefault="00C463FF" w:rsidP="00135C1A">
      <w:pPr>
        <w:autoSpaceDE w:val="0"/>
        <w:autoSpaceDN w:val="0"/>
        <w:adjustRightInd w:val="0"/>
        <w:spacing w:after="0" w:line="240" w:lineRule="auto"/>
        <w:ind w:left="567" w:hanging="567"/>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w:t>
      </w:r>
      <w:r w:rsidRPr="00C463FF">
        <w:rPr>
          <w:rFonts w:ascii="Times New Roman" w:eastAsia="Times New Roman" w:hAnsi="Times New Roman" w:cs="Times New Roman"/>
          <w:kern w:val="0"/>
          <w14:ligatures w14:val="none"/>
        </w:rPr>
        <w:tab/>
        <w:t>Remiantis linagliptino saugumo širdies ir kraujagyslių sistemai bei inkstams tyrimu (</w:t>
      </w:r>
      <w:r w:rsidRPr="00C463FF">
        <w:rPr>
          <w:rFonts w:ascii="Times New Roman" w:eastAsia="Times New Roman" w:hAnsi="Times New Roman" w:cs="Times New Roman"/>
          <w:i/>
          <w:iCs/>
          <w:kern w:val="0"/>
          <w14:ligatures w14:val="none"/>
        </w:rPr>
        <w:t>CARMELINA</w:t>
      </w:r>
      <w:r w:rsidRPr="00C463FF">
        <w:rPr>
          <w:rFonts w:ascii="Times New Roman" w:eastAsia="Times New Roman" w:hAnsi="Times New Roman" w:cs="Times New Roman"/>
          <w:kern w:val="0"/>
          <w14:ligatures w14:val="none"/>
        </w:rPr>
        <w:t>), išsamiau žr. toliau.</w:t>
      </w:r>
    </w:p>
    <w:p w14:paraId="3F75F8BE" w14:textId="77777777" w:rsidR="00C463FF" w:rsidRPr="00C463FF" w:rsidRDefault="00C463FF" w:rsidP="00135C1A">
      <w:pPr>
        <w:autoSpaceDE w:val="0"/>
        <w:autoSpaceDN w:val="0"/>
        <w:adjustRightInd w:val="0"/>
        <w:spacing w:after="0" w:line="240" w:lineRule="auto"/>
        <w:ind w:left="567" w:hanging="567"/>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1</w:t>
      </w:r>
      <w:r w:rsidRPr="00C463FF">
        <w:rPr>
          <w:rFonts w:ascii="Times New Roman" w:eastAsia="Times New Roman" w:hAnsi="Times New Roman" w:cs="Times New Roman"/>
          <w:kern w:val="0"/>
          <w14:ligatures w14:val="none"/>
        </w:rPr>
        <w:tab/>
        <w:t>Nepageidaujama reakcija stebėta skiriant kartu su metforminu ir sulfonilurėjos dariniu</w:t>
      </w:r>
    </w:p>
    <w:p w14:paraId="2BD456EF" w14:textId="77777777" w:rsidR="00C463FF" w:rsidRPr="00C463FF" w:rsidRDefault="00C463FF" w:rsidP="00135C1A">
      <w:pPr>
        <w:autoSpaceDE w:val="0"/>
        <w:autoSpaceDN w:val="0"/>
        <w:adjustRightInd w:val="0"/>
        <w:spacing w:after="0" w:line="240" w:lineRule="auto"/>
        <w:ind w:left="567" w:hanging="567"/>
        <w:rPr>
          <w:rFonts w:ascii="Times New Roman" w:eastAsia="Times New Roman" w:hAnsi="Times New Roman" w:cs="Times New Roman"/>
          <w:kern w:val="0"/>
          <w14:ligatures w14:val="none"/>
        </w:rPr>
      </w:pPr>
      <w:r w:rsidRPr="00C463FF">
        <w:rPr>
          <w:rFonts w:ascii="Times New Roman" w:eastAsia="Times New Roman" w:hAnsi="Times New Roman" w:cs="Times New Roman"/>
          <w:kern w:val="0"/>
          <w14:ligatures w14:val="none"/>
        </w:rPr>
        <w:t>2</w:t>
      </w:r>
      <w:r w:rsidRPr="00C463FF">
        <w:rPr>
          <w:rFonts w:ascii="Times New Roman" w:eastAsia="Times New Roman" w:hAnsi="Times New Roman" w:cs="Times New Roman"/>
          <w:kern w:val="0"/>
          <w14:ligatures w14:val="none"/>
        </w:rPr>
        <w:tab/>
        <w:t>Nepageidaujama reakcija stebėta skiriant kartu su insulinu</w:t>
      </w:r>
    </w:p>
    <w:p w14:paraId="0C17D45C" w14:textId="77777777" w:rsidR="00C463FF" w:rsidRPr="00C463FF" w:rsidRDefault="00C463FF" w:rsidP="00135C1A">
      <w:pPr>
        <w:keepNext/>
        <w:spacing w:after="0" w:line="240" w:lineRule="auto"/>
        <w:rPr>
          <w:rFonts w:ascii="Times New Roman" w:eastAsia="Times New Roman" w:hAnsi="Times New Roman" w:cs="Times New Roman"/>
          <w:kern w:val="0"/>
          <w14:ligatures w14:val="none"/>
        </w:rPr>
      </w:pPr>
    </w:p>
    <w:p w14:paraId="093A967B" w14:textId="77777777" w:rsidR="00C463FF" w:rsidRPr="00C463FF" w:rsidRDefault="00C463FF" w:rsidP="00135C1A">
      <w:pPr>
        <w:keepNext/>
        <w:spacing w:after="0" w:line="240" w:lineRule="auto"/>
        <w:rPr>
          <w:rFonts w:ascii="Times New Roman" w:eastAsia="Times New Roman" w:hAnsi="Times New Roman" w:cs="Times New Roman"/>
          <w:kern w:val="0"/>
          <w:u w:val="single"/>
          <w14:ligatures w14:val="none"/>
        </w:rPr>
      </w:pPr>
      <w:r w:rsidRPr="00C463FF">
        <w:rPr>
          <w:rFonts w:ascii="Times New Roman" w:eastAsia="Times New Roman" w:hAnsi="Times New Roman" w:cs="Times New Roman"/>
          <w:kern w:val="0"/>
          <w:u w:val="single"/>
          <w14:ligatures w14:val="none"/>
        </w:rPr>
        <w:t>Linagliptino saugumo širdies ir kraujagyslių sistemai bei inkstams tyrimas (</w:t>
      </w:r>
      <w:r w:rsidRPr="00C463FF">
        <w:rPr>
          <w:rFonts w:ascii="Times New Roman" w:eastAsia="Times New Roman" w:hAnsi="Times New Roman" w:cs="Times New Roman"/>
          <w:i/>
          <w:iCs/>
          <w:kern w:val="0"/>
          <w:u w:val="single"/>
          <w14:ligatures w14:val="none"/>
        </w:rPr>
        <w:t>CARMELINA</w:t>
      </w:r>
      <w:r w:rsidRPr="00C463FF">
        <w:rPr>
          <w:rFonts w:ascii="Times New Roman" w:eastAsia="Times New Roman" w:hAnsi="Times New Roman" w:cs="Times New Roman"/>
          <w:kern w:val="0"/>
          <w:u w:val="single"/>
          <w14:ligatures w14:val="none"/>
        </w:rPr>
        <w:t xml:space="preserve">) </w:t>
      </w:r>
    </w:p>
    <w:p w14:paraId="27ABA3FC" w14:textId="6F40C3D2" w:rsidR="00C463FF" w:rsidRPr="00C463FF" w:rsidRDefault="00C463FF" w:rsidP="00135C1A">
      <w:pPr>
        <w:keepNext/>
        <w:spacing w:after="0" w:line="240" w:lineRule="auto"/>
        <w:rPr>
          <w:rFonts w:ascii="Times New Roman" w:eastAsia="Times New Roman" w:hAnsi="Times New Roman" w:cs="Times New Roman"/>
          <w:kern w:val="0"/>
          <w14:ligatures w14:val="none"/>
        </w:rPr>
      </w:pPr>
      <w:r w:rsidRPr="00C463FF">
        <w:rPr>
          <w:rFonts w:ascii="Times New Roman" w:eastAsia="Times New Roman" w:hAnsi="Times New Roman" w:cs="Times New Roman"/>
          <w:i/>
          <w:iCs/>
          <w:kern w:val="0"/>
          <w14:ligatures w14:val="none"/>
        </w:rPr>
        <w:t>CARMELINA</w:t>
      </w:r>
      <w:r w:rsidRPr="00C463FF">
        <w:rPr>
          <w:rFonts w:ascii="Times New Roman" w:eastAsia="Times New Roman" w:hAnsi="Times New Roman" w:cs="Times New Roman"/>
          <w:kern w:val="0"/>
          <w14:ligatures w14:val="none"/>
        </w:rPr>
        <w:t xml:space="preserve"> tyrimo metu buvo vertinamas linagliptino saugumas širdies ir kraujagyslių sistemai bei inkstams, palyginti su placebu, pacientams, sergantiems 2</w:t>
      </w:r>
      <w:r w:rsidRPr="00135C1A">
        <w:rPr>
          <w:rFonts w:ascii="Times New Roman" w:eastAsia="Times New Roman" w:hAnsi="Times New Roman" w:cs="Times New Roman"/>
          <w:kern w:val="0"/>
          <w14:ligatures w14:val="none"/>
        </w:rPr>
        <w:t> </w:t>
      </w:r>
      <w:r w:rsidRPr="00C463FF">
        <w:rPr>
          <w:rFonts w:ascii="Times New Roman" w:eastAsia="Times New Roman" w:hAnsi="Times New Roman" w:cs="Times New Roman"/>
          <w:kern w:val="0"/>
          <w14:ligatures w14:val="none"/>
        </w:rPr>
        <w:t>tipo diabetu ir turintiems padid</w:t>
      </w:r>
      <w:r w:rsidR="005B535B">
        <w:rPr>
          <w:rFonts w:ascii="Times New Roman" w:eastAsia="Times New Roman" w:hAnsi="Times New Roman" w:cs="Times New Roman"/>
          <w:kern w:val="0"/>
          <w14:ligatures w14:val="none"/>
        </w:rPr>
        <w:t>ėjusią</w:t>
      </w:r>
      <w:r w:rsidRPr="00C463FF">
        <w:rPr>
          <w:rFonts w:ascii="Times New Roman" w:eastAsia="Times New Roman" w:hAnsi="Times New Roman" w:cs="Times New Roman"/>
          <w:kern w:val="0"/>
          <w14:ligatures w14:val="none"/>
        </w:rPr>
        <w:t xml:space="preserve"> su širdies ir kraujagyslių sistema (ŠKS) susijusią riziką, kurią parodė nustatyta makrovaskulinė arba inkstų liga anamnezėje (žr. 5.1</w:t>
      </w:r>
      <w:r w:rsidRPr="00135C1A">
        <w:rPr>
          <w:rFonts w:ascii="Times New Roman" w:eastAsia="Times New Roman" w:hAnsi="Times New Roman" w:cs="Times New Roman"/>
          <w:kern w:val="0"/>
          <w14:ligatures w14:val="none"/>
        </w:rPr>
        <w:t> </w:t>
      </w:r>
      <w:r w:rsidRPr="00C463FF">
        <w:rPr>
          <w:rFonts w:ascii="Times New Roman" w:eastAsia="Times New Roman" w:hAnsi="Times New Roman" w:cs="Times New Roman"/>
          <w:kern w:val="0"/>
          <w14:ligatures w14:val="none"/>
        </w:rPr>
        <w:t>skyrių). Šiame tyrime dalyvavo 3 494 pacientai, kurie buvo gydomi linagliptinu (5 mg), ir 3 485 pacientai, gydomi placebu. Abu gydymo režimai buvo skiriami papildomai prie standartinio gydymo, taikomo atsižvelgiant į regionui nustatytą HbA</w:t>
      </w:r>
      <w:r w:rsidRPr="00C463FF">
        <w:rPr>
          <w:rFonts w:ascii="Times New Roman" w:eastAsia="Times New Roman" w:hAnsi="Times New Roman" w:cs="Times New Roman"/>
          <w:kern w:val="0"/>
          <w:vertAlign w:val="subscript"/>
          <w14:ligatures w14:val="none"/>
        </w:rPr>
        <w:t>1c</w:t>
      </w:r>
      <w:r w:rsidRPr="00C463FF">
        <w:rPr>
          <w:rFonts w:ascii="Times New Roman" w:eastAsia="Times New Roman" w:hAnsi="Times New Roman" w:cs="Times New Roman"/>
          <w:kern w:val="0"/>
          <w14:ligatures w14:val="none"/>
        </w:rPr>
        <w:t xml:space="preserve"> normą ir su ŠKS susijusius rizikos veiksnius. Bendrasis nepageidaujamų reiškinių ir sunkių nepageidaujamų reiškinių, pasireiškusių linagliptino vartojusiems pacientams, dažnis buvo panašus į pacientų, vartojusių placebo. Šiuo tyrimu gauti saugumo duomenys atitiko anksčiau nustatytą linagliptino saugumo profilį.</w:t>
      </w:r>
    </w:p>
    <w:p w14:paraId="2DA8F015" w14:textId="77777777" w:rsidR="00C463FF" w:rsidRPr="00135C1A" w:rsidRDefault="00C463FF" w:rsidP="00135C1A">
      <w:pPr>
        <w:spacing w:after="0" w:line="240" w:lineRule="auto"/>
        <w:rPr>
          <w:rFonts w:ascii="Times New Roman" w:eastAsia="Times New Roman" w:hAnsi="Times New Roman" w:cs="Times New Roman"/>
          <w:color w:val="000000"/>
          <w:lang w:eastAsia="lt-LT"/>
        </w:rPr>
      </w:pPr>
    </w:p>
    <w:p w14:paraId="6D8707D5" w14:textId="37526FB3"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Iš gydytos populiacijos gauta pranešimų apie sunkius hipoglikemijos atvejus (kai reikėjo pagalbos), kurie pasireiškė 3 % pacientų, vartojusių linagliptin</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 ir 3,1 % pacientų, vartojusių placeb</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w:t>
      </w:r>
      <w:r w:rsidR="00A8667C">
        <w:rPr>
          <w:rFonts w:ascii="Times New Roman" w:eastAsia="Times New Roman" w:hAnsi="Times New Roman" w:cs="Times New Roman"/>
          <w:color w:val="000000"/>
          <w:lang w:eastAsia="lt-LT"/>
        </w:rPr>
        <w:t xml:space="preserve"> </w:t>
      </w:r>
      <w:r w:rsidRPr="00C463FF">
        <w:rPr>
          <w:rFonts w:ascii="Times New Roman" w:eastAsia="Times New Roman" w:hAnsi="Times New Roman" w:cs="Times New Roman"/>
          <w:color w:val="000000"/>
          <w:lang w:eastAsia="lt-LT"/>
        </w:rPr>
        <w:t>Pacientams, pradinio vertinimo metu vartojusiems sulfonilurėj</w:t>
      </w:r>
      <w:r w:rsidR="00000214" w:rsidRPr="00135C1A">
        <w:rPr>
          <w:rFonts w:ascii="Times New Roman" w:eastAsia="Times New Roman" w:hAnsi="Times New Roman" w:cs="Times New Roman"/>
          <w:color w:val="000000"/>
          <w:lang w:eastAsia="lt-LT"/>
        </w:rPr>
        <w:t>os</w:t>
      </w:r>
      <w:r w:rsidRPr="00C463FF">
        <w:rPr>
          <w:rFonts w:ascii="Times New Roman" w:eastAsia="Times New Roman" w:hAnsi="Times New Roman" w:cs="Times New Roman"/>
          <w:color w:val="000000"/>
          <w:lang w:eastAsia="lt-LT"/>
        </w:rPr>
        <w:t xml:space="preserve"> darinį, sunkios hipoglikemijos dažnis siekė 2 % linagliptino grupėje ir 1,7 % placebo grupėje. Pacientams, pradinio vertinimo metu vartojusiems insulin</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 sunkios hipoglikemijos dažnis siekė 4,4 % linagliptino grupėje ir 4,9 % placebo grupėje.</w:t>
      </w:r>
    </w:p>
    <w:p w14:paraId="20819F28" w14:textId="77777777" w:rsidR="00C463FF" w:rsidRPr="00135C1A" w:rsidRDefault="00C463FF" w:rsidP="00135C1A">
      <w:pPr>
        <w:spacing w:after="0" w:line="240" w:lineRule="auto"/>
        <w:rPr>
          <w:rFonts w:ascii="Times New Roman" w:eastAsia="Times New Roman" w:hAnsi="Times New Roman" w:cs="Times New Roman"/>
          <w:color w:val="000000"/>
          <w:lang w:eastAsia="lt-LT"/>
        </w:rPr>
      </w:pPr>
    </w:p>
    <w:p w14:paraId="70446B31" w14:textId="5E7670E7" w:rsid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Per visą tyrimo stebėjimo laikotarpį gauta pranešimų apie ūminį pankreatitą (įvertinimą atliko nepriklausomas vertinimo komitetas), pasireiškusį 0,3 % pacientų, vartojusių linagliptin</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 ir 0,1 % pacientų, vartojusių placeb</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w:t>
      </w:r>
    </w:p>
    <w:p w14:paraId="00D63B05" w14:textId="77777777" w:rsidR="00A8667C" w:rsidRPr="00C463FF" w:rsidRDefault="00A8667C" w:rsidP="00135C1A">
      <w:pPr>
        <w:spacing w:after="0" w:line="240" w:lineRule="auto"/>
        <w:rPr>
          <w:rFonts w:ascii="Times New Roman" w:eastAsia="Times New Roman" w:hAnsi="Times New Roman" w:cs="Times New Roman"/>
          <w:color w:val="000000"/>
          <w:lang w:eastAsia="lt-LT"/>
        </w:rPr>
      </w:pPr>
    </w:p>
    <w:p w14:paraId="0BD11789" w14:textId="1751B523" w:rsidR="00C463FF" w:rsidRPr="00C463FF" w:rsidRDefault="00C463FF" w:rsidP="00135C1A">
      <w:pPr>
        <w:spacing w:after="0" w:line="240" w:lineRule="auto"/>
        <w:rPr>
          <w:rFonts w:ascii="Times New Roman" w:eastAsia="Times New Roman" w:hAnsi="Times New Roman" w:cs="Times New Roman"/>
          <w:color w:val="000000"/>
          <w:lang w:eastAsia="lt-LT"/>
        </w:rPr>
      </w:pPr>
      <w:r w:rsidRPr="00C463FF">
        <w:rPr>
          <w:rFonts w:ascii="Times New Roman" w:eastAsia="Times New Roman" w:hAnsi="Times New Roman" w:cs="Times New Roman"/>
          <w:color w:val="000000"/>
          <w:lang w:eastAsia="lt-LT"/>
        </w:rPr>
        <w:t>Tyrimo CARMELINA metu gauta pranešimų apie pūslinį pemfigoidą, pasireiškusį 0,2 % pacientų, vartojusių linagliptin</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 iš placeb</w:t>
      </w:r>
      <w:r w:rsidR="00000214" w:rsidRPr="00135C1A">
        <w:rPr>
          <w:rFonts w:ascii="Times New Roman" w:eastAsia="Times New Roman" w:hAnsi="Times New Roman" w:cs="Times New Roman"/>
          <w:color w:val="000000"/>
          <w:lang w:eastAsia="lt-LT"/>
        </w:rPr>
        <w:t>o</w:t>
      </w:r>
      <w:r w:rsidRPr="00C463FF">
        <w:rPr>
          <w:rFonts w:ascii="Times New Roman" w:eastAsia="Times New Roman" w:hAnsi="Times New Roman" w:cs="Times New Roman"/>
          <w:color w:val="000000"/>
          <w:lang w:eastAsia="lt-LT"/>
        </w:rPr>
        <w:t xml:space="preserve"> vartojusių pacientų tokių pranešimų negauta.</w:t>
      </w:r>
    </w:p>
    <w:p w14:paraId="6F69A51F" w14:textId="77777777" w:rsidR="00C463FF" w:rsidRPr="00135C1A"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6F80A96D" w14:textId="450F1A1D" w:rsidR="00C463FF" w:rsidRPr="00C463FF" w:rsidRDefault="00C463FF"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C463FF">
        <w:rPr>
          <w:rFonts w:ascii="Times New Roman" w:eastAsia="Times New Roman" w:hAnsi="Times New Roman" w:cs="Times New Roman"/>
          <w:color w:val="000000"/>
          <w:u w:val="single" w:color="000000"/>
          <w:lang w:eastAsia="lt-LT"/>
        </w:rPr>
        <w:t>Vaikų populiacija</w:t>
      </w:r>
    </w:p>
    <w:p w14:paraId="07B6A56D" w14:textId="49529932" w:rsidR="00867275" w:rsidRPr="00135C1A" w:rsidRDefault="00C463FF"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Klinikiniais tyrimais, kuriuose dalyvavo 10–17 metų 2 tipo cukriniu diabetu sergantys pacientai vaikai, nustatyti linagliptino saugumo duomenys iš esmės buvo panašūs į stebėtus suaugusiųjų populiacijoje</w:t>
      </w:r>
      <w:r w:rsidR="00000214" w:rsidRPr="00135C1A">
        <w:rPr>
          <w:rFonts w:ascii="Times New Roman" w:eastAsia="Times New Roman" w:hAnsi="Times New Roman" w:cs="Times New Roman"/>
          <w:color w:val="000000"/>
          <w:lang w:eastAsia="lt-LT"/>
        </w:rPr>
        <w:t>.</w:t>
      </w:r>
    </w:p>
    <w:p w14:paraId="0C6889ED" w14:textId="77777777" w:rsidR="00000214" w:rsidRPr="00135C1A" w:rsidRDefault="00000214" w:rsidP="00135C1A">
      <w:pPr>
        <w:spacing w:after="0" w:line="240" w:lineRule="auto"/>
        <w:rPr>
          <w:rFonts w:ascii="Times New Roman" w:eastAsia="Times New Roman" w:hAnsi="Times New Roman" w:cs="Times New Roman"/>
          <w:color w:val="000000"/>
          <w:lang w:eastAsia="lt-LT"/>
        </w:rPr>
      </w:pPr>
    </w:p>
    <w:p w14:paraId="5FA1D5AF" w14:textId="77777777" w:rsidR="00000214" w:rsidRPr="00000214" w:rsidRDefault="00000214" w:rsidP="00135C1A">
      <w:pPr>
        <w:tabs>
          <w:tab w:val="left" w:pos="567"/>
        </w:tabs>
        <w:spacing w:after="0" w:line="240" w:lineRule="auto"/>
        <w:jc w:val="both"/>
        <w:rPr>
          <w:rFonts w:ascii="Times New Roman" w:eastAsia="Times New Roman" w:hAnsi="Times New Roman" w:cs="Times New Roman"/>
          <w:kern w:val="0"/>
          <w:u w:val="single"/>
          <w14:ligatures w14:val="none"/>
        </w:rPr>
      </w:pPr>
      <w:r w:rsidRPr="00000214">
        <w:rPr>
          <w:rFonts w:ascii="Times New Roman" w:eastAsia="Times New Roman" w:hAnsi="Times New Roman" w:cs="Times New Roman"/>
          <w:kern w:val="0"/>
          <w:u w:val="single"/>
          <w14:ligatures w14:val="none"/>
        </w:rPr>
        <w:t>Pranešimas apie įtariamas nepageidaujamas reakcijas</w:t>
      </w:r>
    </w:p>
    <w:p w14:paraId="2850680F" w14:textId="618694CC" w:rsidR="00000214" w:rsidRPr="00135C1A" w:rsidRDefault="00000214" w:rsidP="00135C1A">
      <w:pPr>
        <w:spacing w:after="0" w:line="240" w:lineRule="auto"/>
        <w:rPr>
          <w:rFonts w:ascii="Times New Roman" w:eastAsia="Times New Roman" w:hAnsi="Times New Roman" w:cs="Times New Roman"/>
          <w:kern w:val="0"/>
          <w14:ligatures w14:val="none"/>
        </w:rPr>
      </w:pPr>
      <w:r w:rsidRPr="00135C1A">
        <w:rPr>
          <w:rFonts w:ascii="Times New Roman" w:eastAsia="Times New Roman" w:hAnsi="Times New Roman" w:cs="Times New Roman"/>
          <w:kern w:val="0"/>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Pr="00135C1A">
          <w:rPr>
            <w:rStyle w:val="Hipersaitas"/>
            <w:rFonts w:ascii="Times New Roman" w:eastAsia="Times New Roman" w:hAnsi="Times New Roman" w:cs="Times New Roman"/>
            <w:kern w:val="0"/>
            <w14:ligatures w14:val="none"/>
          </w:rPr>
          <w:t>https://vvkt.lrv.lt/lt</w:t>
        </w:r>
      </w:hyperlink>
      <w:r w:rsidRPr="00135C1A">
        <w:rPr>
          <w:rFonts w:ascii="Times New Roman" w:eastAsia="Times New Roman" w:hAnsi="Times New Roman" w:cs="Times New Roman"/>
          <w:kern w:val="0"/>
          <w:u w:val="single"/>
          <w14:ligatures w14:val="none"/>
        </w:rPr>
        <w:t>/</w:t>
      </w:r>
      <w:r w:rsidRPr="00135C1A">
        <w:rPr>
          <w:rFonts w:ascii="Times New Roman" w:eastAsia="Times New Roman" w:hAnsi="Times New Roman" w:cs="Times New Roman"/>
          <w:kern w:val="0"/>
          <w14:ligatures w14:val="none"/>
        </w:rPr>
        <w:t xml:space="preserve"> nurodytais būdais.</w:t>
      </w:r>
    </w:p>
    <w:p w14:paraId="45D8E1AE" w14:textId="77777777" w:rsidR="00000214" w:rsidRPr="00135C1A" w:rsidRDefault="00000214" w:rsidP="00135C1A">
      <w:pPr>
        <w:spacing w:after="0" w:line="240" w:lineRule="auto"/>
        <w:rPr>
          <w:rFonts w:ascii="Times New Roman" w:eastAsia="Times New Roman" w:hAnsi="Times New Roman" w:cs="Times New Roman"/>
          <w:kern w:val="0"/>
          <w14:ligatures w14:val="none"/>
        </w:rPr>
      </w:pPr>
    </w:p>
    <w:p w14:paraId="09CB0F71" w14:textId="77777777" w:rsidR="0082730B" w:rsidRPr="0082730B" w:rsidRDefault="0082730B" w:rsidP="00135C1A">
      <w:pPr>
        <w:tabs>
          <w:tab w:val="center" w:pos="1227"/>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4.9</w:t>
      </w:r>
      <w:r w:rsidRPr="0082730B">
        <w:rPr>
          <w:rFonts w:ascii="Times New Roman" w:eastAsia="Times New Roman" w:hAnsi="Times New Roman" w:cs="Times New Roman"/>
          <w:b/>
          <w:color w:val="000000"/>
          <w:lang w:eastAsia="lt-LT"/>
        </w:rPr>
        <w:tab/>
        <w:t>Perdozavimas</w:t>
      </w:r>
    </w:p>
    <w:p w14:paraId="01A3CEC5" w14:textId="77777777" w:rsidR="0082730B" w:rsidRPr="00135C1A"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4E1C232A" w14:textId="7ED30CED"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Simptomai</w:t>
      </w:r>
    </w:p>
    <w:p w14:paraId="287DD62E" w14:textId="447DEA90"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Kontroliuojamų klinikinių tyrimų metu vienkartinę ne didesnę kaip 600 mg linagliptino dozę (ekvivalentišką 120</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kartų didesnei už rekomenduojamą dozę) sveiki asmenys paprastai toleruodavo gerai. Patirties su žmonėmis vartojant didesnes negu 600 mg dozes nėra.</w:t>
      </w:r>
    </w:p>
    <w:p w14:paraId="2A3197CA" w14:textId="77777777" w:rsidR="0082730B" w:rsidRPr="00135C1A"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7E8E66F8" w14:textId="044019FC"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Gydymas</w:t>
      </w:r>
    </w:p>
    <w:p w14:paraId="3811242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Perdozavimo atveju reikia imtis įprastinių palaikomųjų gydymo priemonių, pvz., pašalinti iš virškinimo trakto neabsorbuotą vaistinio preparato dalį, pradėti klinikinę stebėseną, prireikus imtis klinikinių gydymo priemonių.</w:t>
      </w:r>
    </w:p>
    <w:p w14:paraId="63E0CCD9" w14:textId="77777777" w:rsidR="0082730B" w:rsidRPr="00135C1A" w:rsidRDefault="0082730B" w:rsidP="00135C1A">
      <w:pPr>
        <w:keepNext/>
        <w:keepLines/>
        <w:tabs>
          <w:tab w:val="center" w:pos="2184"/>
        </w:tabs>
        <w:spacing w:after="0" w:line="240" w:lineRule="auto"/>
        <w:outlineLvl w:val="0"/>
        <w:rPr>
          <w:rFonts w:ascii="Times New Roman" w:eastAsia="Times New Roman" w:hAnsi="Times New Roman" w:cs="Times New Roman"/>
          <w:b/>
          <w:color w:val="000000"/>
          <w:lang w:eastAsia="lt-LT"/>
        </w:rPr>
      </w:pPr>
    </w:p>
    <w:p w14:paraId="512CD68E" w14:textId="77777777" w:rsidR="0082730B" w:rsidRPr="00135C1A" w:rsidRDefault="0082730B" w:rsidP="00135C1A">
      <w:pPr>
        <w:keepNext/>
        <w:keepLines/>
        <w:tabs>
          <w:tab w:val="center" w:pos="2184"/>
        </w:tabs>
        <w:spacing w:after="0" w:line="240" w:lineRule="auto"/>
        <w:outlineLvl w:val="0"/>
        <w:rPr>
          <w:rFonts w:ascii="Times New Roman" w:eastAsia="Times New Roman" w:hAnsi="Times New Roman" w:cs="Times New Roman"/>
          <w:b/>
          <w:color w:val="000000"/>
          <w:lang w:eastAsia="lt-LT"/>
        </w:rPr>
      </w:pPr>
    </w:p>
    <w:p w14:paraId="04A45039" w14:textId="421F9891" w:rsidR="0082730B" w:rsidRPr="0082730B" w:rsidRDefault="0082730B" w:rsidP="00135C1A">
      <w:pPr>
        <w:keepNext/>
        <w:keepLines/>
        <w:tabs>
          <w:tab w:val="center" w:pos="2184"/>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5.</w:t>
      </w:r>
      <w:r w:rsidRPr="0082730B">
        <w:rPr>
          <w:rFonts w:ascii="Times New Roman" w:eastAsia="Times New Roman" w:hAnsi="Times New Roman" w:cs="Times New Roman"/>
          <w:b/>
          <w:color w:val="000000"/>
          <w:lang w:eastAsia="lt-LT"/>
        </w:rPr>
        <w:tab/>
        <w:t>FARMAKOLOGINĖS SAVYBĖS</w:t>
      </w:r>
    </w:p>
    <w:p w14:paraId="22AFA070" w14:textId="77777777" w:rsidR="001F2FAC" w:rsidRDefault="001F2FAC" w:rsidP="00135C1A">
      <w:pPr>
        <w:keepNext/>
        <w:keepLines/>
        <w:tabs>
          <w:tab w:val="center" w:pos="1872"/>
        </w:tabs>
        <w:spacing w:after="0" w:line="240" w:lineRule="auto"/>
        <w:outlineLvl w:val="1"/>
        <w:rPr>
          <w:rFonts w:ascii="Times New Roman" w:eastAsia="Times New Roman" w:hAnsi="Times New Roman" w:cs="Times New Roman"/>
          <w:b/>
          <w:color w:val="000000"/>
          <w:u w:color="000000"/>
          <w:lang w:eastAsia="lt-LT"/>
        </w:rPr>
      </w:pPr>
    </w:p>
    <w:p w14:paraId="2EA657B3" w14:textId="7EAF35CB" w:rsidR="0082730B" w:rsidRPr="0082730B" w:rsidRDefault="0082730B" w:rsidP="00135C1A">
      <w:pPr>
        <w:keepNext/>
        <w:keepLines/>
        <w:tabs>
          <w:tab w:val="center" w:pos="1872"/>
        </w:tab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b/>
          <w:color w:val="000000"/>
          <w:u w:color="000000"/>
          <w:lang w:eastAsia="lt-LT"/>
        </w:rPr>
        <w:t>5.1</w:t>
      </w:r>
      <w:r w:rsidRPr="0082730B">
        <w:rPr>
          <w:rFonts w:ascii="Times New Roman" w:eastAsia="Times New Roman" w:hAnsi="Times New Roman" w:cs="Times New Roman"/>
          <w:b/>
          <w:color w:val="000000"/>
          <w:u w:color="000000"/>
          <w:lang w:eastAsia="lt-LT"/>
        </w:rPr>
        <w:tab/>
        <w:t>Farmakodinaminės savybės</w:t>
      </w:r>
    </w:p>
    <w:p w14:paraId="085601DE"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33202AE4" w14:textId="709409AE"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Farmakoterapinė grupė – vaistai diabetui gydyti, dipeptidilpeptidazės 4 (DDP-4) inhibitoriai, ATC kodas – A10BH05.</w:t>
      </w:r>
    </w:p>
    <w:p w14:paraId="16E11DE9" w14:textId="77777777" w:rsidR="0082730B" w:rsidRPr="00135C1A"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741A4444" w14:textId="66925559"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Veikimo mechanizmas</w:t>
      </w:r>
    </w:p>
    <w:p w14:paraId="31182429" w14:textId="77777777" w:rsidR="00A8667C"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Linagliptinas yra fermento DPP-4 (dipeptidilpeptidazės 4, EC 3.4.14.5), kuris dalyvauja inaktyvuojant inkrecinius hormonus GLP-1 (į gliukagoną panašų peptidą 1) ir GIP (nuo gliukozės priklausomą insulinotropinį polipeptidą), inhibitorius. Šiuos hormonus DPP-4 fermentas greitai suskaldo. Abu inkreciniai hormonai dalyvauja gliukozės homeostazės fiziologinėje reguliacijoje. </w:t>
      </w:r>
    </w:p>
    <w:p w14:paraId="2EB9E3EF" w14:textId="45A39F04"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Šiek tiek inkrecinių hormonų išskiriama per visą dieną, pavalgius jų kiekis tučtuojau padidėja. GLP-1 ir GIP didina insulino biosintezę kasos beta ląstelėse ir išskyrimą iš jų tiek esant normaliam, tiek padidėjusiam gliukozės kiekiui kraujyje. Be to, GLP-1 mažina gliukagono išsiskyrimą iš kasos alfa ląstelių, todėl mažėja gliukozės gamyba kepenyse. Linagliptinas labai veiksmingai laikinai prisijungia prie DPP-4 ir tai lemia ilgalaikį aktyvių inkrecinių hormonų kiekio didėjimą ir jų buvimo prailginimą. Linagliptinas, priklausomai nuo gliukozės kiekio, insulino sekreciją didina, o gliukagono išsiskyrimą mažina, dėl to pagerėja visa gliukozės homeostazė. Prie DPP-4 linagliptinas prisijungia selektyviai, jo selektyvumas yra </w:t>
      </w:r>
      <w:r w:rsidRPr="00135C1A">
        <w:rPr>
          <w:rFonts w:ascii="Times New Roman" w:eastAsia="Times New Roman" w:hAnsi="Times New Roman" w:cs="Times New Roman"/>
          <w:color w:val="000000"/>
          <w:lang w:eastAsia="lt-LT"/>
        </w:rPr>
        <w:t>&gt;</w:t>
      </w:r>
      <w:r w:rsidR="006429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10</w:t>
      </w:r>
      <w:r w:rsidR="006429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000 kartų didesnis negu DPP-8 ar DPP-9 aktyvumas </w:t>
      </w:r>
      <w:r w:rsidRPr="0082730B">
        <w:rPr>
          <w:rFonts w:ascii="Times New Roman" w:eastAsia="Times New Roman" w:hAnsi="Times New Roman" w:cs="Times New Roman"/>
          <w:i/>
          <w:color w:val="000000"/>
          <w:lang w:eastAsia="lt-LT"/>
        </w:rPr>
        <w:t>in vitro</w:t>
      </w:r>
      <w:r w:rsidRPr="0082730B">
        <w:rPr>
          <w:rFonts w:ascii="Times New Roman" w:eastAsia="Times New Roman" w:hAnsi="Times New Roman" w:cs="Times New Roman"/>
          <w:color w:val="000000"/>
          <w:lang w:eastAsia="lt-LT"/>
        </w:rPr>
        <w:t>.</w:t>
      </w:r>
    </w:p>
    <w:p w14:paraId="36155FB9" w14:textId="77777777" w:rsidR="0064291B" w:rsidRPr="00135C1A" w:rsidRDefault="0064291B"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2C6A0BC9" w14:textId="32104AE1"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Klinikinis veiksmingumas ir saugumas</w:t>
      </w:r>
    </w:p>
    <w:p w14:paraId="3788B547" w14:textId="7A444860"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Atlikti 8 III fazės atsitiktinių imčių kontroliuojami klinikiniai tyrimai, kuriuose dalyvavo 5</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239 pacientai, sergantys 2 tipo cukriniu diabetu, iš kurių 3</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319 buvo gydomi linagliptinu, siekiant įvertinti jo veiksmingumą ir saugumą. 929 šių tyrimų metu linagliptinu gydyti pacientai buvo 65 metų arba vyresni. 1</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238 linagliptinu gydomiems pacientams buvo lengvas inkstų funkcijos sutrikimas, 143</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vidutinio sunkumo inkstų funkcijos sutrikimas. Kartą per parą vartojamas linagliptinas kliniškai reikšmingai pagerino glikemijos kontrolę, nesukeldamas kliniškai reikšmingo kūno svorio pokyčio. Visų pogrupių tiriamiesiems, įskaitant sugrupuotus pagal lytį, amžių, inkstų funkcijos sutrikimą ir kūno masės indeksą (KMI), glikozilinto hemoglobino A</w:t>
      </w:r>
      <w:r w:rsidRPr="0082730B">
        <w:rPr>
          <w:rFonts w:ascii="Times New Roman" w:eastAsia="Times New Roman" w:hAnsi="Times New Roman" w:cs="Times New Roman"/>
          <w:color w:val="000000"/>
          <w:vertAlign w:val="subscript"/>
          <w:lang w:eastAsia="lt-LT"/>
        </w:rPr>
        <w:t xml:space="preserve">1c </w:t>
      </w:r>
      <w:r w:rsidRPr="0082730B">
        <w:rPr>
          <w:rFonts w:ascii="Times New Roman" w:eastAsia="Times New Roman" w:hAnsi="Times New Roman" w:cs="Times New Roman"/>
          <w:color w:val="000000"/>
          <w:lang w:eastAsia="lt-LT"/>
        </w:rPr>
        <w:t>(HbA</w:t>
      </w:r>
      <w:r w:rsidRPr="0082730B">
        <w:rPr>
          <w:rFonts w:ascii="Times New Roman" w:eastAsia="Times New Roman" w:hAnsi="Times New Roman" w:cs="Times New Roman"/>
          <w:color w:val="000000"/>
          <w:vertAlign w:val="subscript"/>
          <w:lang w:eastAsia="lt-LT"/>
        </w:rPr>
        <w:t>1c</w:t>
      </w:r>
      <w:r w:rsidRPr="0082730B">
        <w:rPr>
          <w:rFonts w:ascii="Times New Roman" w:eastAsia="Times New Roman" w:hAnsi="Times New Roman" w:cs="Times New Roman"/>
          <w:color w:val="000000"/>
          <w:lang w:eastAsia="lt-LT"/>
        </w:rPr>
        <w:t>) kiekio sumažėjimas buvo panašus. Didesnis pradinis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kiekis buvo susijęs su didesniu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kiekio sumažėjimu. Visų tyrimų metu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kiekio sumažėjimas pacientams azijiečiams ir pacientams baltaodžiams skyrėsi reikšmingai (atitinkamai 0,8 % ir 0,5 %).</w:t>
      </w:r>
    </w:p>
    <w:p w14:paraId="37C1AEB9"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129F38CA"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Monoterapija linagliptinu pacientams, kurie netinkami gydyti metforminu</w:t>
      </w:r>
    </w:p>
    <w:p w14:paraId="0152689D" w14:textId="289987EF"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Monoterapijos linagliptinu veiksmingumas ir saugumas buvo tiriami 24 savaičių trukmės dvigubai </w:t>
      </w:r>
      <w:r w:rsidR="0072049A">
        <w:rPr>
          <w:rFonts w:ascii="Times New Roman" w:eastAsia="Times New Roman" w:hAnsi="Times New Roman" w:cs="Times New Roman"/>
          <w:color w:val="000000"/>
          <w:lang w:eastAsia="lt-LT"/>
        </w:rPr>
        <w:t>koduotu</w:t>
      </w:r>
      <w:r w:rsidRPr="0082730B">
        <w:rPr>
          <w:rFonts w:ascii="Times New Roman" w:eastAsia="Times New Roman" w:hAnsi="Times New Roman" w:cs="Times New Roman"/>
          <w:color w:val="000000"/>
          <w:lang w:eastAsia="lt-LT"/>
        </w:rPr>
        <w:t>, placebu kontroliuojamu tyrimu. Gydant kartą per parą vartojama 5 mg linagliptino doze pacientams, kurių pradinis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kiekis buvo maždaug 8 %, reikšmingai pagerėjo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kiekis (-0,69 % pokytis, palyginti su placebu). Be to, gydant linagliptinu, palyginti su placebu, reikšmingai pagerėjo gliukozės kiekis kraujo plazmoje nevalgius (GKPN) bei antrą valandą po valgio (GKPV). Linagliptinu gydomiems pacientams hipoglikemijos dažnis buvo panašus į dažnį placebą vartojusiems pacientams.</w:t>
      </w:r>
    </w:p>
    <w:p w14:paraId="13A7543C" w14:textId="77777777" w:rsidR="00EF5C50" w:rsidRPr="00135C1A" w:rsidRDefault="00EF5C50" w:rsidP="00135C1A">
      <w:pPr>
        <w:spacing w:after="0" w:line="240" w:lineRule="auto"/>
        <w:rPr>
          <w:rFonts w:ascii="Times New Roman" w:eastAsia="Times New Roman" w:hAnsi="Times New Roman" w:cs="Times New Roman"/>
          <w:color w:val="000000"/>
          <w:lang w:eastAsia="lt-LT"/>
        </w:rPr>
      </w:pPr>
    </w:p>
    <w:p w14:paraId="51841099" w14:textId="25009572"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Monoterapijos linagliptinu veiksmingumas ir saugumas pacientams, kuriems gydymas metforminu netinka dėl netoleravimo arba kurių juo gydyti negalima dėl inkstų funkcijos sutrikimo, buvo tirti ir dvigubai </w:t>
      </w:r>
      <w:r w:rsidR="00D065CB">
        <w:rPr>
          <w:rFonts w:ascii="Times New Roman" w:eastAsia="Times New Roman" w:hAnsi="Times New Roman" w:cs="Times New Roman"/>
          <w:color w:val="000000"/>
          <w:lang w:eastAsia="lt-LT"/>
        </w:rPr>
        <w:t>koduoto</w:t>
      </w:r>
      <w:r w:rsidRPr="0082730B">
        <w:rPr>
          <w:rFonts w:ascii="Times New Roman" w:eastAsia="Times New Roman" w:hAnsi="Times New Roman" w:cs="Times New Roman"/>
          <w:color w:val="000000"/>
          <w:lang w:eastAsia="lt-LT"/>
        </w:rPr>
        <w:t>, placebu kontroliuojamo 18 savaičių trukmės tyrimo metu. Linagliptinas reikšmingai pagerino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kiekį (-0,57 % pokytis, palyginti su placebu), palyginti su vidutiniu pradiniu 8,09 %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kiekiu. Be to, gydant linagliptinu, palyginti su placebu, reikšmingai pagerėjo gliukozės kiekis kraujo plazmoje nevalgius (GKPN). Linagliptinu gydomiems pacientams hipoglikemijos dažnis buvo panašus į dažnį placebą vartojusiems pacientams.</w:t>
      </w:r>
    </w:p>
    <w:p w14:paraId="4F38DDDE"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527D94F3"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Gydymo metforminu papildymas linagliptinu</w:t>
      </w:r>
    </w:p>
    <w:p w14:paraId="36C80BA4" w14:textId="2272040B"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Linagliptino ir metformino derinio veiksmingumas ir saugumas buvo tirti dvigubai </w:t>
      </w:r>
      <w:r w:rsidR="00D065CB">
        <w:rPr>
          <w:rFonts w:ascii="Times New Roman" w:eastAsia="Times New Roman" w:hAnsi="Times New Roman" w:cs="Times New Roman"/>
          <w:color w:val="000000"/>
          <w:lang w:eastAsia="lt-LT"/>
        </w:rPr>
        <w:t>koduoto</w:t>
      </w:r>
      <w:r w:rsidRPr="0082730B">
        <w:rPr>
          <w:rFonts w:ascii="Times New Roman" w:eastAsia="Times New Roman" w:hAnsi="Times New Roman" w:cs="Times New Roman"/>
          <w:color w:val="000000"/>
          <w:lang w:eastAsia="lt-LT"/>
        </w:rPr>
        <w:t>, placebu kontroliuojamo 24 savaičių trukmės tyrimo metu. Linagliptinas reikšmingai sumažino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kiekį (-0,64</w:t>
      </w:r>
      <w:r w:rsidR="00EF5C50" w:rsidRPr="00135C1A">
        <w:rPr>
          <w:rFonts w:ascii="Times New Roman" w:eastAsia="Times New Roman" w:hAnsi="Times New Roman" w:cs="Times New Roman"/>
          <w:color w:val="000000"/>
          <w:lang w:eastAsia="lt-LT"/>
        </w:rPr>
        <w:t> </w:t>
      </w:r>
      <w:r w:rsidR="00EF5C50" w:rsidRPr="0082730B">
        <w:rPr>
          <w:rFonts w:ascii="Times New Roman" w:eastAsia="Times New Roman" w:hAnsi="Times New Roman" w:cs="Times New Roman"/>
          <w:color w:val="000000"/>
          <w:lang w:eastAsia="lt-LT"/>
        </w:rPr>
        <w:t>%</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pokytis, palyginti su placebu), palyginti su vidutiniu pradiniu 8</w:t>
      </w:r>
      <w:r w:rsidR="00EF5C50" w:rsidRPr="00135C1A">
        <w:rPr>
          <w:rFonts w:ascii="Times New Roman" w:eastAsia="Times New Roman" w:hAnsi="Times New Roman" w:cs="Times New Roman"/>
          <w:color w:val="000000"/>
          <w:lang w:eastAsia="lt-LT"/>
        </w:rPr>
        <w:t> </w:t>
      </w:r>
      <w:r w:rsidR="00EF5C50" w:rsidRPr="0082730B">
        <w:rPr>
          <w:rFonts w:ascii="Times New Roman" w:eastAsia="Times New Roman" w:hAnsi="Times New Roman" w:cs="Times New Roman"/>
          <w:color w:val="000000"/>
          <w:lang w:eastAsia="lt-LT"/>
        </w:rPr>
        <w:t>%</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kiekiu. Be to, gydant linagliptinu, palyginti su placebu, reikšmingai sumažėjo gliukozės kiekis kraujo plazmoje nevalgius (GKPN) bei antrą valandą po valgio (GKPV). Linagliptinu gydomiems pacientams hipoglikemijos dažnis buvo panašus į dažnį placebą vartojusiems pacientams.</w:t>
      </w:r>
    </w:p>
    <w:p w14:paraId="643A228E"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3373527E"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Gydymo metformino ir sulfonilurėjos darinio deriniu papildymas linagliptinu</w:t>
      </w:r>
    </w:p>
    <w:p w14:paraId="6A30834A" w14:textId="16F35E13"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Linagliptino 5 mg paros dozės, palyginti su placebu, veiksmingumas ir saugumas pacientams, kuriems gydymas metformino ir sulfonilurėjos darinio deriniu nebuvo pakankamai veiksmingas, buvo tirti placebu kontroliuojamo </w:t>
      </w:r>
      <w:r w:rsidRPr="0082730B">
        <w:rPr>
          <w:rFonts w:ascii="Times New Roman" w:hAnsi="Times New Roman" w:cs="Times New Roman"/>
          <w:lang w:eastAsia="lt-LT"/>
        </w:rPr>
        <w:t>24</w:t>
      </w:r>
      <w:r w:rsidR="001A3875">
        <w:rPr>
          <w:rFonts w:ascii="Times New Roman" w:hAnsi="Times New Roman" w:cs="Times New Roman"/>
          <w:lang w:eastAsia="lt-LT"/>
        </w:rPr>
        <w:t xml:space="preserve"> </w:t>
      </w:r>
      <w:r w:rsidRPr="0082730B">
        <w:rPr>
          <w:rFonts w:ascii="Times New Roman" w:hAnsi="Times New Roman" w:cs="Times New Roman"/>
          <w:lang w:eastAsia="lt-LT"/>
        </w:rPr>
        <w:t>savaičių</w:t>
      </w:r>
      <w:r w:rsidRPr="0082730B">
        <w:rPr>
          <w:rFonts w:ascii="Times New Roman" w:eastAsia="Times New Roman" w:hAnsi="Times New Roman" w:cs="Times New Roman"/>
          <w:color w:val="000000"/>
          <w:lang w:eastAsia="lt-LT"/>
        </w:rPr>
        <w:t xml:space="preserve"> trukmės tyrimo metu. Linagliptinas reikšmingai pagerino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kiekį (-0,62 % pokytis, palyginti su placebu), lyginant su vidutiniu pradiniu 8,14 %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kiekiu. Be to, gydant linagliptinu, palyginti su placebu, reikšmingai pagerėjo gliukozės kiekis kraujo plazmoje nevalgius (GKPN) bei antrą valandą po valgio (GKPV).</w:t>
      </w:r>
    </w:p>
    <w:p w14:paraId="5C6BF1DC"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62298DB7"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Gydymo metformino ir empagliflozino deriniu papildymas linagliptinu</w:t>
      </w:r>
    </w:p>
    <w:p w14:paraId="6F2E8B88" w14:textId="1ED4776D"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Pacientams, kuriems gydymas metforminu ir empagliflozinu (10 mg </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n = 247</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xml:space="preserve"> arba 25 mg </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n = 217</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nepakankamai kontroliavo glikemiją, 24 savaičių gydymas papildžius 5 mg linagliptino sąlygojo koreguoto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 xml:space="preserve">vidurkio sumažėjimą nuo pradinio lygio atitinkamai -0,53 % (reikšmingas skirtumas lyginant su papildymu placebu -0,32 % </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PI 95 % -0,52, -0,13</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xml:space="preserve">) ir -0,58 % (reikšmingas skirtumas lyginant su papildymu placebu -0,47 % </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PI 95 % -0,66; -0,28</w:t>
      </w:r>
      <w:r w:rsidR="001A3875">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Tikslinį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&lt;</w:t>
      </w:r>
      <w:r w:rsidR="001A3875">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7 % lygį pasiekė statistiškai reikšmingai didesnė dalis pacientų, kurių pradinis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buvo ≥</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7,0 % ir kurie buvo gydyti 5 mg linagliptino, palyginti su placebu.</w:t>
      </w:r>
    </w:p>
    <w:p w14:paraId="5956E6F1"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67ABC961"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Gydymo insulinu papildymas linagliptinu</w:t>
      </w:r>
    </w:p>
    <w:p w14:paraId="44597A82" w14:textId="57F643FF"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Dvigubai </w:t>
      </w:r>
      <w:r w:rsidR="005D74BE">
        <w:rPr>
          <w:rFonts w:ascii="Times New Roman" w:eastAsia="Times New Roman" w:hAnsi="Times New Roman" w:cs="Times New Roman"/>
          <w:color w:val="000000"/>
          <w:lang w:eastAsia="lt-LT"/>
        </w:rPr>
        <w:t>koduotu</w:t>
      </w:r>
      <w:r w:rsidRPr="0082730B">
        <w:rPr>
          <w:rFonts w:ascii="Times New Roman" w:eastAsia="Times New Roman" w:hAnsi="Times New Roman" w:cs="Times New Roman"/>
          <w:color w:val="000000"/>
          <w:lang w:eastAsia="lt-LT"/>
        </w:rPr>
        <w:t>, placebu kontroliuojamu, 24 savaičių trukmės tyrimu įvertinti gydymo vien insulinu ar insulino deriniu su metforminu ir (arba) pioglitazonu papildymo 5 mg linagliptino veiksmingumas ir saugumas. Lignaliptinas reikšmingai sumažino HbA</w:t>
      </w:r>
      <w:r w:rsidRPr="0082730B">
        <w:rPr>
          <w:rFonts w:ascii="Times New Roman" w:eastAsia="Times New Roman" w:hAnsi="Times New Roman" w:cs="Times New Roman"/>
          <w:color w:val="000000"/>
          <w:vertAlign w:val="subscript"/>
          <w:lang w:eastAsia="lt-LT"/>
        </w:rPr>
        <w:t>lc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(-0,65 %, palyginti su placebu), palyginti su vidutiniu pradiniu HbA</w:t>
      </w:r>
      <w:r w:rsidRPr="0082730B">
        <w:rPr>
          <w:rFonts w:ascii="Times New Roman" w:eastAsia="Times New Roman" w:hAnsi="Times New Roman" w:cs="Times New Roman"/>
          <w:color w:val="000000"/>
          <w:vertAlign w:val="subscript"/>
          <w:lang w:eastAsia="lt-LT"/>
        </w:rPr>
        <w:t>lc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8,3 % kiekiu. Be to, vartojant linagliptino, palyginti su placebu, reikšmingai sumažėjo gliukozės kiekis kraujo plazmoje nevalgius (GKPN) ir, palyginti su placebu, didesnė dalis pacientų pasiekė &lt;</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7,0 % tikslinį HbA</w:t>
      </w:r>
      <w:r w:rsidRPr="0082730B">
        <w:rPr>
          <w:rFonts w:ascii="Times New Roman" w:eastAsia="Times New Roman" w:hAnsi="Times New Roman" w:cs="Times New Roman"/>
          <w:color w:val="000000"/>
          <w:vertAlign w:val="subscript"/>
          <w:lang w:eastAsia="lt-LT"/>
        </w:rPr>
        <w:t>lc</w:t>
      </w:r>
      <w:r w:rsidRPr="0082730B">
        <w:rPr>
          <w:rFonts w:ascii="Times New Roman" w:eastAsia="Times New Roman" w:hAnsi="Times New Roman" w:cs="Times New Roman"/>
          <w:color w:val="000000"/>
          <w:lang w:eastAsia="lt-LT"/>
        </w:rPr>
        <w:t>. Tai buvo pasiekta, esant stabiliai insulino dozei (40,</w:t>
      </w:r>
      <w:r w:rsidRPr="0082730B">
        <w:rPr>
          <w:rFonts w:ascii="Times New Roman" w:hAnsi="Times New Roman" w:cs="Times New Roman"/>
          <w:lang w:eastAsia="lt-LT"/>
        </w:rPr>
        <w:t>1</w:t>
      </w:r>
      <w:r w:rsidR="005D74BE">
        <w:rPr>
          <w:rFonts w:ascii="Times New Roman" w:hAnsi="Times New Roman" w:cs="Times New Roman"/>
          <w:lang w:eastAsia="lt-LT"/>
        </w:rPr>
        <w:t> </w:t>
      </w:r>
      <w:r w:rsidRPr="0082730B">
        <w:rPr>
          <w:rFonts w:ascii="Times New Roman" w:hAnsi="Times New Roman" w:cs="Times New Roman"/>
          <w:lang w:eastAsia="lt-LT"/>
        </w:rPr>
        <w:t>TV</w:t>
      </w:r>
      <w:r w:rsidRPr="0082730B">
        <w:rPr>
          <w:rFonts w:ascii="Times New Roman" w:eastAsia="Times New Roman" w:hAnsi="Times New Roman" w:cs="Times New Roman"/>
          <w:color w:val="000000"/>
          <w:lang w:eastAsia="lt-LT"/>
        </w:rPr>
        <w:t>). Tiriamųjų pacientų svoris grupėse reikšmingai nesiskyrė. Poveikis kraujo plazmos lipidams buvo nedidelis. Pastebėtas hipoglikemijos atvejų skaičius gydytiems linagliptinu ar vartojusiems placebą pacientams buvo panašus (22,2 % linagliptinui; 21,2 % placebui).</w:t>
      </w:r>
    </w:p>
    <w:p w14:paraId="009000C0" w14:textId="77777777" w:rsidR="00EF5C50" w:rsidRPr="00135C1A" w:rsidRDefault="00EF5C50" w:rsidP="00135C1A">
      <w:pPr>
        <w:spacing w:after="0" w:line="240" w:lineRule="auto"/>
        <w:rPr>
          <w:rFonts w:ascii="Times New Roman" w:eastAsia="Times New Roman" w:hAnsi="Times New Roman" w:cs="Times New Roman"/>
          <w:i/>
          <w:color w:val="000000"/>
          <w:lang w:eastAsia="lt-LT"/>
        </w:rPr>
      </w:pPr>
    </w:p>
    <w:p w14:paraId="647F7CF9" w14:textId="77777777" w:rsidR="00EF5C50" w:rsidRPr="00135C1A" w:rsidRDefault="0082730B" w:rsidP="00135C1A">
      <w:pPr>
        <w:spacing w:after="0" w:line="240" w:lineRule="auto"/>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 xml:space="preserve">Gydymo metforminu papildymas linagliptinu arba glimepiridu (24 mėnesių tyrimo duomenys) </w:t>
      </w:r>
    </w:p>
    <w:p w14:paraId="37BDB920" w14:textId="71589CE6"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Tyrimo, kuriuo buvo lyginami gydymo metforminu papildymo linagliptino 5 mg doze arba glimepiridu (vidutinė dozė – 3 mg) veiksmingumas ir saugumas pacientams, kuriems monoterapija metforminu glikemiją kontroliavo nepakankamai, metu linagliptinu gydomiems pacientams vidutinis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kiekio sumažėjimas buvo -0,16 % (vidutinis pradinis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kiekis buvo 7,69 %), glimepiridu gydomiems pacientams – -0,36 % (vidutinis pradinis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kiekis buvo 7,69 %), vidutinis gydymo skirtumas – 0,20 % (97,5 % PI: 0,09; 0,299). Linagliptinu gydomos grupės pacientams hipoglikemijos dažnis buvo reikšmingai mažesnis (7,5 %) negu glimepiridu gydomos grupės pacientams (36,1 %). Linagliptinu gydomų pacientų vidutinis kūno svoris, palyginti su pradiniu, reikšmingai sumažėjo, glimepiridu gydomų pacientų reikšmingai padidėjo (atitinkamai -1,39</w:t>
      </w:r>
      <w:r w:rsidR="006F0847">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kg ir +1,29</w:t>
      </w:r>
      <w:r w:rsidR="006F0847">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kg).</w:t>
      </w:r>
    </w:p>
    <w:p w14:paraId="797DFFD0" w14:textId="77777777" w:rsidR="00EF5C50" w:rsidRPr="00135C1A" w:rsidRDefault="00EF5C50" w:rsidP="00135C1A">
      <w:pPr>
        <w:keepNext/>
        <w:keepLines/>
        <w:spacing w:after="0" w:line="240" w:lineRule="auto"/>
        <w:outlineLvl w:val="2"/>
        <w:rPr>
          <w:rFonts w:ascii="Times New Roman" w:eastAsia="Times New Roman" w:hAnsi="Times New Roman" w:cs="Times New Roman"/>
          <w:i/>
          <w:color w:val="000000"/>
          <w:lang w:eastAsia="lt-LT"/>
        </w:rPr>
      </w:pPr>
    </w:p>
    <w:p w14:paraId="0473C9AF" w14:textId="2846D4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Gydymo papildymas linagliptinu pacientams, kuriems yra sunkus inkstų funkcijos sutrikimas. 12</w:t>
      </w:r>
      <w:r w:rsidR="00EF5C50" w:rsidRPr="00135C1A">
        <w:rPr>
          <w:rFonts w:ascii="Times New Roman" w:eastAsia="Times New Roman" w:hAnsi="Times New Roman" w:cs="Times New Roman"/>
          <w:i/>
          <w:color w:val="000000"/>
          <w:lang w:eastAsia="lt-LT"/>
        </w:rPr>
        <w:t> </w:t>
      </w:r>
      <w:r w:rsidRPr="0082730B">
        <w:rPr>
          <w:rFonts w:ascii="Times New Roman" w:eastAsia="Times New Roman" w:hAnsi="Times New Roman" w:cs="Times New Roman"/>
          <w:i/>
          <w:color w:val="000000"/>
          <w:lang w:eastAsia="lt-LT"/>
        </w:rPr>
        <w:t>savaičių placebu kontroliuojamo tyrimo (foninis gydymas buvo stabilus) ir 40</w:t>
      </w:r>
      <w:r w:rsidR="00EF5C50" w:rsidRPr="00135C1A">
        <w:rPr>
          <w:rFonts w:ascii="Times New Roman" w:eastAsia="Times New Roman" w:hAnsi="Times New Roman" w:cs="Times New Roman"/>
          <w:i/>
          <w:color w:val="000000"/>
          <w:lang w:eastAsia="lt-LT"/>
        </w:rPr>
        <w:t> </w:t>
      </w:r>
      <w:r w:rsidRPr="0082730B">
        <w:rPr>
          <w:rFonts w:ascii="Times New Roman" w:eastAsia="Times New Roman" w:hAnsi="Times New Roman" w:cs="Times New Roman"/>
          <w:i/>
          <w:color w:val="000000"/>
          <w:lang w:eastAsia="lt-LT"/>
        </w:rPr>
        <w:t>savaičių placebu kontroliuojamo tęstinio tyrimo (foninį gydymą buvo leista reguliuoti) duomenys</w:t>
      </w:r>
    </w:p>
    <w:p w14:paraId="314147CD" w14:textId="6F8817C4" w:rsidR="0082730B" w:rsidRPr="00135C1A"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Linagliptino veiksmingumas ir saugumas 2</w:t>
      </w:r>
      <w:r w:rsidR="00EF5C50" w:rsidRPr="00135C1A">
        <w:rPr>
          <w:rFonts w:ascii="Times New Roman" w:hAnsi="Times New Roman" w:cs="Times New Roman"/>
          <w:lang w:eastAsia="lt-LT"/>
        </w:rPr>
        <w:t> </w:t>
      </w:r>
      <w:r w:rsidRPr="0082730B">
        <w:rPr>
          <w:rFonts w:ascii="Times New Roman" w:eastAsia="Times New Roman" w:hAnsi="Times New Roman" w:cs="Times New Roman"/>
          <w:color w:val="000000"/>
          <w:lang w:eastAsia="lt-LT"/>
        </w:rPr>
        <w:t xml:space="preserve">tipo cukriniu diabetu sergantiems pacientams, kuriuos vargino sunkus inkstų funkcijos sutrikimas, buvo vertinti dvigubai </w:t>
      </w:r>
      <w:r w:rsidR="00481745">
        <w:rPr>
          <w:rFonts w:ascii="Times New Roman" w:eastAsia="Times New Roman" w:hAnsi="Times New Roman" w:cs="Times New Roman"/>
          <w:color w:val="000000"/>
          <w:lang w:eastAsia="lt-LT"/>
        </w:rPr>
        <w:t>koduotu</w:t>
      </w:r>
      <w:r w:rsidRPr="0082730B">
        <w:rPr>
          <w:rFonts w:ascii="Times New Roman" w:eastAsia="Times New Roman" w:hAnsi="Times New Roman" w:cs="Times New Roman"/>
          <w:color w:val="000000"/>
          <w:lang w:eastAsia="lt-LT"/>
        </w:rPr>
        <w:t>, placebu kontroliuojamu 12</w:t>
      </w:r>
      <w:r w:rsidR="00EF5C5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savaičių tyrimu, kurio metu foninis glikemijos gydymas buvo stabilus. Daugumai pacientų (80,5</w:t>
      </w:r>
      <w:r w:rsidR="00CE77C3" w:rsidRPr="00135C1A">
        <w:rPr>
          <w:rFonts w:ascii="Times New Roman" w:eastAsia="Times New Roman" w:hAnsi="Times New Roman" w:cs="Times New Roman"/>
          <w:color w:val="000000"/>
          <w:lang w:eastAsia="lt-LT"/>
        </w:rPr>
        <w:t> </w:t>
      </w:r>
      <w:r w:rsidR="00CE77C3"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foninis gydymas buvo taikomas vien insulinu arba insulino deriniu su geriamaisiais antidiabetiniais vaistiniais preparatais, tokiais kaip sulfonilurėjos dariniai, glinidas ir pioglitazonas. Tęstinio 40 savaičių tyrimo metu buvo leista reguliuoti foninio antidiabetinio gydymo vaistinių preparatų dozes.</w:t>
      </w:r>
    </w:p>
    <w:p w14:paraId="4C937783" w14:textId="77777777" w:rsidR="00CE77C3" w:rsidRPr="0082730B" w:rsidRDefault="00CE77C3" w:rsidP="00135C1A">
      <w:pPr>
        <w:spacing w:after="0" w:line="240" w:lineRule="auto"/>
        <w:rPr>
          <w:rFonts w:ascii="Times New Roman" w:eastAsia="Times New Roman" w:hAnsi="Times New Roman" w:cs="Times New Roman"/>
          <w:color w:val="000000"/>
          <w:lang w:eastAsia="lt-LT"/>
        </w:rPr>
      </w:pPr>
    </w:p>
    <w:p w14:paraId="306C4A82" w14:textId="5098AE6F" w:rsidR="0082730B" w:rsidRPr="00135C1A"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Linagliptinas reikšmingai sumažino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kiekį (-0,59 % pokytis, palyginti su placebu, po 12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savaičių gydymo), lyginant su vidutiniu pradiniu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8,2 % kiekiu. Po 52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gydymo savaičių linagliptino, palyginti su placebu, sukelto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kiekio sumažėjimo skirtumas buvo -0,72 %.</w:t>
      </w:r>
    </w:p>
    <w:p w14:paraId="26B5F05F" w14:textId="77777777" w:rsidR="00CE77C3" w:rsidRPr="0082730B" w:rsidRDefault="00CE77C3" w:rsidP="00135C1A">
      <w:pPr>
        <w:spacing w:after="0" w:line="240" w:lineRule="auto"/>
        <w:rPr>
          <w:rFonts w:ascii="Times New Roman" w:eastAsia="Times New Roman" w:hAnsi="Times New Roman" w:cs="Times New Roman"/>
          <w:color w:val="000000"/>
          <w:lang w:eastAsia="lt-LT"/>
        </w:rPr>
      </w:pPr>
    </w:p>
    <w:p w14:paraId="45731832"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Gydomų grupių pacientų kūno svoris reikšmingai nesiskyrė. Linagliptinu gydomiems pacientams dėl besimptomių hipoglikemijos reiškinių padažnėjimo hipoglikemijos dažnis buvo didesnis negu vartojantiems placebą. Sunkių hipoglikemijos reiškinių dažnis tarp grupių nesiskyrė.</w:t>
      </w:r>
    </w:p>
    <w:p w14:paraId="3F44A79E" w14:textId="77777777" w:rsidR="00CE77C3" w:rsidRPr="00135C1A" w:rsidRDefault="00CE77C3" w:rsidP="00135C1A">
      <w:pPr>
        <w:keepNext/>
        <w:keepLines/>
        <w:spacing w:after="0" w:line="240" w:lineRule="auto"/>
        <w:outlineLvl w:val="2"/>
        <w:rPr>
          <w:rFonts w:ascii="Times New Roman" w:eastAsia="Times New Roman" w:hAnsi="Times New Roman" w:cs="Times New Roman"/>
          <w:i/>
          <w:color w:val="000000"/>
          <w:lang w:eastAsia="lt-LT"/>
        </w:rPr>
      </w:pPr>
    </w:p>
    <w:p w14:paraId="6B740E21" w14:textId="15097178"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Senyvo amžiaus žmonių (70</w:t>
      </w:r>
      <w:r w:rsidR="00CE77C3" w:rsidRPr="00135C1A">
        <w:rPr>
          <w:rFonts w:ascii="Times New Roman" w:eastAsia="Times New Roman" w:hAnsi="Times New Roman" w:cs="Times New Roman"/>
          <w:i/>
          <w:color w:val="000000"/>
          <w:lang w:eastAsia="lt-LT"/>
        </w:rPr>
        <w:t> </w:t>
      </w:r>
      <w:r w:rsidRPr="0082730B">
        <w:rPr>
          <w:rFonts w:ascii="Times New Roman" w:eastAsia="Times New Roman" w:hAnsi="Times New Roman" w:cs="Times New Roman"/>
          <w:i/>
          <w:color w:val="000000"/>
          <w:lang w:eastAsia="lt-LT"/>
        </w:rPr>
        <w:t>metų ir vyresnių), sergančių 2</w:t>
      </w:r>
      <w:r w:rsidR="00CE77C3" w:rsidRPr="00135C1A">
        <w:rPr>
          <w:rFonts w:ascii="Times New Roman" w:eastAsia="Times New Roman" w:hAnsi="Times New Roman" w:cs="Times New Roman"/>
          <w:i/>
          <w:color w:val="000000"/>
          <w:lang w:eastAsia="lt-LT"/>
        </w:rPr>
        <w:t> </w:t>
      </w:r>
      <w:r w:rsidRPr="0082730B">
        <w:rPr>
          <w:rFonts w:ascii="Times New Roman" w:eastAsia="Times New Roman" w:hAnsi="Times New Roman" w:cs="Times New Roman"/>
          <w:i/>
          <w:color w:val="000000"/>
          <w:lang w:eastAsia="lt-LT"/>
        </w:rPr>
        <w:t>tipo cukriniu diabetu, gydymo papildymas linagliptinu</w:t>
      </w:r>
    </w:p>
    <w:p w14:paraId="5E4EEB44" w14:textId="5304AFEA"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Linagliptino veiksmingumas ir saugumas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sergantiems senyvo amžiaus (70</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metų ir vyresniems) žmonėms buvo vertinti dvigubai </w:t>
      </w:r>
      <w:r w:rsidR="00481745">
        <w:rPr>
          <w:rFonts w:ascii="Times New Roman" w:eastAsia="Times New Roman" w:hAnsi="Times New Roman" w:cs="Times New Roman"/>
          <w:color w:val="000000"/>
          <w:lang w:eastAsia="lt-LT"/>
        </w:rPr>
        <w:t>koduotu</w:t>
      </w:r>
      <w:r w:rsidRPr="0082730B">
        <w:rPr>
          <w:rFonts w:ascii="Times New Roman" w:eastAsia="Times New Roman" w:hAnsi="Times New Roman" w:cs="Times New Roman"/>
          <w:color w:val="000000"/>
          <w:lang w:eastAsia="lt-LT"/>
        </w:rPr>
        <w:t xml:space="preserve"> 24</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savaičių trukmės tyrimu. Foninis gydymas buvo taikomas metforminu ir (arba) sulfonilurėjos dariniais ir (arba) insulinu. Pirmųjų 12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savaičių foninio antidiabetinio gydymo vaistiniais preparatais dozavimas išliko stabilus, po to buvo leidžiama dozes koreguoti. Linagliptinas reikšmingai pagerino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kiekį (-0,64 % pokytis, palyginti su placebu, po 24 savaičių gydymo), lyginant su vidutiniu pradiniu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7,8 % kiekiu. Be to, gydant linagliptinu, palyginti su placebu, reikšmingai pagerėjo gliukozės kiekis kraujo plazmoje nevalgius (GKPN). Gydomų grupių pacientų kūno svoris reikšmingai nesiskyrė.</w:t>
      </w:r>
    </w:p>
    <w:p w14:paraId="5185C0AF" w14:textId="77777777" w:rsidR="00CE77C3" w:rsidRPr="00135C1A" w:rsidRDefault="00CE77C3" w:rsidP="00135C1A">
      <w:pPr>
        <w:spacing w:after="0" w:line="240" w:lineRule="auto"/>
        <w:rPr>
          <w:rFonts w:ascii="Times New Roman" w:eastAsia="Times New Roman" w:hAnsi="Times New Roman" w:cs="Times New Roman"/>
          <w:i/>
          <w:color w:val="000000"/>
          <w:lang w:eastAsia="lt-LT"/>
        </w:rPr>
      </w:pPr>
    </w:p>
    <w:p w14:paraId="14A48378" w14:textId="75DD8BA1"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i/>
          <w:color w:val="000000"/>
          <w:lang w:eastAsia="lt-LT"/>
        </w:rPr>
        <w:t xml:space="preserve">Linagliptino saugumo širdies ir kraujagyslių sistemai bei inkstams tyrimas (CARMELINA) </w:t>
      </w:r>
      <w:r w:rsidRPr="0082730B">
        <w:rPr>
          <w:rFonts w:ascii="Times New Roman" w:eastAsia="Times New Roman" w:hAnsi="Times New Roman" w:cs="Times New Roman"/>
          <w:color w:val="000000"/>
          <w:lang w:eastAsia="lt-LT"/>
        </w:rPr>
        <w:t>CARMELINA buvo atsitiktinių imčių tyrimas, kuriame dalyvavo 6</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979 pacientai, sergantys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ir turintys padid</w:t>
      </w:r>
      <w:r w:rsidR="009058A5">
        <w:rPr>
          <w:rFonts w:ascii="Times New Roman" w:eastAsia="Times New Roman" w:hAnsi="Times New Roman" w:cs="Times New Roman"/>
          <w:color w:val="000000"/>
          <w:lang w:eastAsia="lt-LT"/>
        </w:rPr>
        <w:t>ėjusią</w:t>
      </w:r>
      <w:r w:rsidRPr="0082730B">
        <w:rPr>
          <w:rFonts w:ascii="Times New Roman" w:eastAsia="Times New Roman" w:hAnsi="Times New Roman" w:cs="Times New Roman"/>
          <w:color w:val="000000"/>
          <w:lang w:eastAsia="lt-LT"/>
        </w:rPr>
        <w:t xml:space="preserve"> su ŠKS susijusią riziką, kurią parodė nustatyta makrovaskulinė arba inkstų liga anamnezėje. Pacientai vartojo 5 mg linagliptino (3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494) arba placebą (3</w:t>
      </w:r>
      <w:r w:rsidR="00CE77C3" w:rsidRPr="00135C1A">
        <w:rPr>
          <w:rFonts w:ascii="Times New Roman" w:hAnsi="Times New Roman" w:cs="Times New Roman"/>
          <w:lang w:eastAsia="lt-LT"/>
        </w:rPr>
        <w:t> </w:t>
      </w:r>
      <w:r w:rsidRPr="0082730B">
        <w:rPr>
          <w:rFonts w:ascii="Times New Roman" w:eastAsia="Times New Roman" w:hAnsi="Times New Roman" w:cs="Times New Roman"/>
          <w:color w:val="000000"/>
          <w:lang w:eastAsia="lt-LT"/>
        </w:rPr>
        <w:t>485), šiuos vaistinius preparatus skiriant papildomai prie standartinio gydymo, taikomo atsižvelgiant į regionui nustatytą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normą, su ŠKS susijusius rizikos veiksnius ir inkstų ligą. Tyrimo populiaciją sudarė 1</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211 (17,4 %) pacientų, kurių amžius buvo ≥</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75 metų, ir 4</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348 (62,3 %) pacientai, kurių sutrikusi inkstų funkcija. Maždaug 19 % populiacijos aGFG buvo nuo ≥</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45 iki &lt;</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60 ml/min./1,73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w:t>
      </w:r>
      <w:r w:rsidRPr="0082730B">
        <w:rPr>
          <w:rFonts w:ascii="Times New Roman" w:eastAsia="Times New Roman" w:hAnsi="Times New Roman" w:cs="Times New Roman"/>
          <w:color w:val="000000"/>
          <w:vertAlign w:val="superscript"/>
          <w:lang w:eastAsia="lt-LT"/>
        </w:rPr>
        <w:t>2</w:t>
      </w:r>
      <w:r w:rsidRPr="0082730B">
        <w:rPr>
          <w:rFonts w:ascii="Times New Roman" w:eastAsia="Times New Roman" w:hAnsi="Times New Roman" w:cs="Times New Roman"/>
          <w:color w:val="000000"/>
          <w:lang w:eastAsia="lt-LT"/>
        </w:rPr>
        <w:t>, 28 % populiacijos aGFG buvo nuo ≥</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30 iki &lt;</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45 ml/min./1,73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w:t>
      </w:r>
      <w:r w:rsidRPr="0082730B">
        <w:rPr>
          <w:rFonts w:ascii="Times New Roman" w:eastAsia="Times New Roman" w:hAnsi="Times New Roman" w:cs="Times New Roman"/>
          <w:color w:val="000000"/>
          <w:vertAlign w:val="superscript"/>
          <w:lang w:eastAsia="lt-LT"/>
        </w:rPr>
        <w:t>2</w:t>
      </w:r>
      <w:r w:rsidRPr="0082730B">
        <w:rPr>
          <w:rFonts w:ascii="Times New Roman" w:eastAsia="Times New Roman" w:hAnsi="Times New Roman" w:cs="Times New Roman"/>
          <w:color w:val="000000"/>
          <w:lang w:eastAsia="lt-LT"/>
        </w:rPr>
        <w:t>, o 15 % aGFG buvo &lt;</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30 ml/min./1,73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w:t>
      </w:r>
      <w:r w:rsidRPr="0082730B">
        <w:rPr>
          <w:rFonts w:ascii="Times New Roman" w:eastAsia="Times New Roman" w:hAnsi="Times New Roman" w:cs="Times New Roman"/>
          <w:color w:val="000000"/>
          <w:vertAlign w:val="superscript"/>
          <w:lang w:eastAsia="lt-LT"/>
        </w:rPr>
        <w:t>2</w:t>
      </w:r>
      <w:r w:rsidRPr="0082730B">
        <w:rPr>
          <w:rFonts w:ascii="Times New Roman" w:eastAsia="Times New Roman" w:hAnsi="Times New Roman" w:cs="Times New Roman"/>
          <w:color w:val="000000"/>
          <w:lang w:eastAsia="lt-LT"/>
        </w:rPr>
        <w:t>.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vidurkis pradinio vertinimo metu siekė 8 %.</w:t>
      </w:r>
    </w:p>
    <w:p w14:paraId="0C8884EE" w14:textId="77777777" w:rsidR="00CE77C3" w:rsidRPr="00135C1A" w:rsidRDefault="00CE77C3" w:rsidP="00135C1A">
      <w:pPr>
        <w:spacing w:after="0" w:line="240" w:lineRule="auto"/>
        <w:rPr>
          <w:rFonts w:ascii="Times New Roman" w:eastAsia="Times New Roman" w:hAnsi="Times New Roman" w:cs="Times New Roman"/>
          <w:color w:val="000000"/>
          <w:lang w:eastAsia="lt-LT"/>
        </w:rPr>
      </w:pPr>
    </w:p>
    <w:p w14:paraId="06545E6D"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Tyrimo struktūra sudaryta siekiant parodyti ne prastesnį rezultatą, vertinant pagal pagrindinę sudėtinę vertinamąją baigtį (poveikį širdies ir kraujagyslių sistemai), kurią sudarė pirmosios mirties dėl priežasčių, susijusių su širdies ir kraujagyslių ligomis, atvejis, arba nemirtinas miokardo infarktas (MI), arba nemirtinas insultas (3P-MACE). Poveikio inkstams sudėtinė vertinamoji baigtis apibūdinta kaip mirtis dėl inkstų ligos, ilgalaikė galutinės stadijos inkstų liga arba ilgalaikis aGFG sumažėjimas 40 % arba daugiau.</w:t>
      </w:r>
    </w:p>
    <w:p w14:paraId="453A211C" w14:textId="77777777" w:rsidR="00CE77C3" w:rsidRPr="00135C1A" w:rsidRDefault="00CE77C3" w:rsidP="00135C1A">
      <w:pPr>
        <w:spacing w:after="0" w:line="240" w:lineRule="auto"/>
        <w:rPr>
          <w:rFonts w:ascii="Times New Roman" w:eastAsia="Times New Roman" w:hAnsi="Times New Roman" w:cs="Times New Roman"/>
          <w:color w:val="000000"/>
          <w:lang w:eastAsia="lt-LT"/>
        </w:rPr>
      </w:pPr>
    </w:p>
    <w:p w14:paraId="6DB7282D" w14:textId="7E6CBC4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Po stebėjimo laikotarpio, kurio mediana buvo 2,2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metai, linagliptinas, jo skiriant kartu su įprastu gydymu, sunkiųjų nepageidaujamų širdies ir kraujagyslių reiškinių arba su inkstais susijusių išeičių rizikos nedidino. Lyginant su įprastu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cukrinio diabeto gydymu be linagliptino, hospitalizacijos dėl širdies nepakankamumo rizikos, kuri buvo papildoma vertinamoji baigtis (įvertinimą atliko nepriklausomas vertinimo komitetas), padidėjimo nestebėta (žr.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lentelę).</w:t>
      </w:r>
    </w:p>
    <w:p w14:paraId="41A88CA9" w14:textId="7A28FB5E" w:rsidR="00CE77C3" w:rsidRPr="00135C1A" w:rsidRDefault="00CE77C3" w:rsidP="00135C1A">
      <w:pPr>
        <w:spacing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br w:type="page"/>
      </w:r>
    </w:p>
    <w:p w14:paraId="11404C66" w14:textId="77777777" w:rsidR="00CE77C3" w:rsidRPr="00135C1A" w:rsidRDefault="00CE77C3" w:rsidP="00135C1A">
      <w:pPr>
        <w:spacing w:after="0" w:line="240" w:lineRule="auto"/>
        <w:rPr>
          <w:rFonts w:ascii="Times New Roman" w:eastAsia="Times New Roman" w:hAnsi="Times New Roman" w:cs="Times New Roman"/>
          <w:color w:val="000000"/>
          <w:lang w:eastAsia="lt-LT"/>
        </w:rPr>
      </w:pPr>
    </w:p>
    <w:p w14:paraId="268D4979" w14:textId="52823421"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lentelė</w:t>
      </w:r>
      <w:r w:rsidRPr="0082730B">
        <w:rPr>
          <w:rFonts w:ascii="Times New Roman" w:eastAsia="Times New Roman" w:hAnsi="Times New Roman" w:cs="Times New Roman"/>
          <w:color w:val="000000"/>
          <w:lang w:eastAsia="lt-LT"/>
        </w:rPr>
        <w:tab/>
        <w:t>Su širdimi ir kraujagyslėmis bei inkstais susijusios išeitys pagal gydymo grupę CARMELINA tyrimo metu</w:t>
      </w:r>
    </w:p>
    <w:tbl>
      <w:tblPr>
        <w:tblStyle w:val="TableGrid"/>
        <w:tblW w:w="9062" w:type="dxa"/>
        <w:tblInd w:w="5" w:type="dxa"/>
        <w:tblCellMar>
          <w:top w:w="51" w:type="dxa"/>
          <w:left w:w="108" w:type="dxa"/>
          <w:right w:w="55" w:type="dxa"/>
        </w:tblCellMar>
        <w:tblLook w:val="04A0" w:firstRow="1" w:lastRow="0" w:firstColumn="1" w:lastColumn="0" w:noHBand="0" w:noVBand="1"/>
      </w:tblPr>
      <w:tblGrid>
        <w:gridCol w:w="2836"/>
        <w:gridCol w:w="1147"/>
        <w:gridCol w:w="1337"/>
        <w:gridCol w:w="1133"/>
        <w:gridCol w:w="1426"/>
        <w:gridCol w:w="1183"/>
      </w:tblGrid>
      <w:tr w:rsidR="0082730B" w:rsidRPr="0082730B" w14:paraId="23A1B1A2" w14:textId="77777777" w:rsidTr="00C32B7C">
        <w:trPr>
          <w:trHeight w:val="516"/>
        </w:trPr>
        <w:tc>
          <w:tcPr>
            <w:tcW w:w="2837" w:type="dxa"/>
            <w:vMerge w:val="restart"/>
            <w:tcBorders>
              <w:top w:val="single" w:sz="4" w:space="0" w:color="000000"/>
              <w:left w:val="single" w:sz="4" w:space="0" w:color="000000"/>
              <w:bottom w:val="single" w:sz="4" w:space="0" w:color="000000"/>
              <w:right w:val="single" w:sz="4" w:space="0" w:color="000000"/>
            </w:tcBorders>
          </w:tcPr>
          <w:p w14:paraId="15487C01" w14:textId="77777777" w:rsidR="0082730B" w:rsidRPr="0082730B" w:rsidRDefault="0082730B" w:rsidP="00135C1A">
            <w:pPr>
              <w:rPr>
                <w:rFonts w:ascii="Times New Roman" w:hAnsi="Times New Roman" w:cs="Times New Roman"/>
                <w:color w:val="000000"/>
                <w:sz w:val="22"/>
                <w:szCs w:val="22"/>
              </w:rPr>
            </w:pPr>
          </w:p>
        </w:tc>
        <w:tc>
          <w:tcPr>
            <w:tcW w:w="2484" w:type="dxa"/>
            <w:gridSpan w:val="2"/>
            <w:tcBorders>
              <w:top w:val="single" w:sz="4" w:space="0" w:color="000000"/>
              <w:left w:val="single" w:sz="4" w:space="0" w:color="000000"/>
              <w:bottom w:val="single" w:sz="4" w:space="0" w:color="000000"/>
              <w:right w:val="single" w:sz="4" w:space="0" w:color="000000"/>
            </w:tcBorders>
          </w:tcPr>
          <w:p w14:paraId="18C9EC1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Linagliptinas 5 mg</w:t>
            </w:r>
          </w:p>
        </w:tc>
        <w:tc>
          <w:tcPr>
            <w:tcW w:w="2558" w:type="dxa"/>
            <w:gridSpan w:val="2"/>
            <w:tcBorders>
              <w:top w:val="single" w:sz="4" w:space="0" w:color="000000"/>
              <w:left w:val="single" w:sz="4" w:space="0" w:color="000000"/>
              <w:bottom w:val="single" w:sz="4" w:space="0" w:color="000000"/>
              <w:right w:val="single" w:sz="4" w:space="0" w:color="000000"/>
            </w:tcBorders>
          </w:tcPr>
          <w:p w14:paraId="1571D00C"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Placebas</w:t>
            </w:r>
          </w:p>
        </w:tc>
        <w:tc>
          <w:tcPr>
            <w:tcW w:w="1183" w:type="dxa"/>
            <w:tcBorders>
              <w:top w:val="single" w:sz="4" w:space="0" w:color="000000"/>
              <w:left w:val="single" w:sz="4" w:space="0" w:color="000000"/>
              <w:bottom w:val="single" w:sz="4" w:space="0" w:color="000000"/>
              <w:right w:val="single" w:sz="4" w:space="0" w:color="000000"/>
            </w:tcBorders>
          </w:tcPr>
          <w:p w14:paraId="4A47129B"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Rizikos santykis</w:t>
            </w:r>
          </w:p>
        </w:tc>
      </w:tr>
      <w:tr w:rsidR="0082730B" w:rsidRPr="0082730B" w14:paraId="7624B754" w14:textId="77777777" w:rsidTr="00C32B7C">
        <w:trPr>
          <w:trHeight w:val="770"/>
        </w:trPr>
        <w:tc>
          <w:tcPr>
            <w:tcW w:w="0" w:type="auto"/>
            <w:vMerge/>
            <w:tcBorders>
              <w:top w:val="nil"/>
              <w:left w:val="single" w:sz="4" w:space="0" w:color="000000"/>
              <w:bottom w:val="single" w:sz="4" w:space="0" w:color="000000"/>
              <w:right w:val="single" w:sz="4" w:space="0" w:color="000000"/>
            </w:tcBorders>
          </w:tcPr>
          <w:p w14:paraId="0D2847DB" w14:textId="77777777" w:rsidR="0082730B" w:rsidRPr="0082730B" w:rsidRDefault="0082730B" w:rsidP="00135C1A">
            <w:pPr>
              <w:rPr>
                <w:rFonts w:ascii="Times New Roman" w:hAnsi="Times New Roman" w:cs="Times New Roman"/>
                <w:color w:val="000000"/>
                <w:sz w:val="22"/>
                <w:szCs w:val="22"/>
              </w:rPr>
            </w:pPr>
          </w:p>
        </w:tc>
        <w:tc>
          <w:tcPr>
            <w:tcW w:w="1147" w:type="dxa"/>
            <w:tcBorders>
              <w:top w:val="single" w:sz="4" w:space="0" w:color="000000"/>
              <w:left w:val="single" w:sz="4" w:space="0" w:color="000000"/>
              <w:bottom w:val="single" w:sz="4" w:space="0" w:color="000000"/>
              <w:right w:val="single" w:sz="4" w:space="0" w:color="000000"/>
            </w:tcBorders>
          </w:tcPr>
          <w:p w14:paraId="5D595248"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Tiriamųjų skaičius </w:t>
            </w:r>
          </w:p>
          <w:p w14:paraId="46B6771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w:t>
            </w:r>
          </w:p>
        </w:tc>
        <w:tc>
          <w:tcPr>
            <w:tcW w:w="1337" w:type="dxa"/>
            <w:tcBorders>
              <w:top w:val="single" w:sz="4" w:space="0" w:color="000000"/>
              <w:left w:val="single" w:sz="4" w:space="0" w:color="000000"/>
              <w:bottom w:val="single" w:sz="4" w:space="0" w:color="000000"/>
              <w:right w:val="single" w:sz="4" w:space="0" w:color="000000"/>
            </w:tcBorders>
          </w:tcPr>
          <w:p w14:paraId="610271A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Įvykių dažnis per </w:t>
            </w:r>
          </w:p>
          <w:p w14:paraId="35CF39DC" w14:textId="4D39BF76"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w:t>
            </w:r>
            <w:r w:rsidR="00CE77C3" w:rsidRPr="00135C1A">
              <w:rPr>
                <w:rFonts w:ascii="Times New Roman" w:hAnsi="Times New Roman" w:cs="Times New Roman"/>
                <w:sz w:val="22"/>
                <w:szCs w:val="22"/>
              </w:rPr>
              <w:t> </w:t>
            </w:r>
            <w:r w:rsidRPr="0082730B">
              <w:rPr>
                <w:rFonts w:ascii="Times New Roman" w:hAnsi="Times New Roman" w:cs="Times New Roman"/>
                <w:color w:val="000000"/>
                <w:sz w:val="22"/>
                <w:szCs w:val="22"/>
              </w:rPr>
              <w:t>000 SPM*</w:t>
            </w:r>
          </w:p>
        </w:tc>
        <w:tc>
          <w:tcPr>
            <w:tcW w:w="1133" w:type="dxa"/>
            <w:tcBorders>
              <w:top w:val="single" w:sz="4" w:space="0" w:color="000000"/>
              <w:left w:val="single" w:sz="4" w:space="0" w:color="000000"/>
              <w:bottom w:val="single" w:sz="4" w:space="0" w:color="000000"/>
              <w:right w:val="single" w:sz="4" w:space="0" w:color="000000"/>
            </w:tcBorders>
          </w:tcPr>
          <w:p w14:paraId="69EB821D"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Tiriamųjų skaičius </w:t>
            </w:r>
          </w:p>
          <w:p w14:paraId="0AEB808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w:t>
            </w:r>
          </w:p>
        </w:tc>
        <w:tc>
          <w:tcPr>
            <w:tcW w:w="1426" w:type="dxa"/>
            <w:tcBorders>
              <w:top w:val="single" w:sz="4" w:space="0" w:color="000000"/>
              <w:left w:val="single" w:sz="4" w:space="0" w:color="000000"/>
              <w:bottom w:val="single" w:sz="4" w:space="0" w:color="000000"/>
              <w:right w:val="single" w:sz="4" w:space="0" w:color="000000"/>
            </w:tcBorders>
          </w:tcPr>
          <w:p w14:paraId="07AEADC3"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Įvykių dažnis dažnis per </w:t>
            </w:r>
          </w:p>
          <w:p w14:paraId="534CC8D6" w14:textId="4C4F8810"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w:t>
            </w:r>
            <w:r w:rsidR="00CE77C3"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000 SPM*</w:t>
            </w:r>
          </w:p>
        </w:tc>
        <w:tc>
          <w:tcPr>
            <w:tcW w:w="1183" w:type="dxa"/>
            <w:tcBorders>
              <w:top w:val="single" w:sz="4" w:space="0" w:color="000000"/>
              <w:left w:val="single" w:sz="4" w:space="0" w:color="000000"/>
              <w:bottom w:val="single" w:sz="4" w:space="0" w:color="000000"/>
              <w:right w:val="single" w:sz="4" w:space="0" w:color="000000"/>
            </w:tcBorders>
          </w:tcPr>
          <w:p w14:paraId="43C1A00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(95 % PI)</w:t>
            </w:r>
          </w:p>
        </w:tc>
      </w:tr>
      <w:tr w:rsidR="0082730B" w:rsidRPr="0082730B" w14:paraId="545F69D8" w14:textId="77777777" w:rsidTr="00C32B7C">
        <w:trPr>
          <w:trHeight w:val="262"/>
        </w:trPr>
        <w:tc>
          <w:tcPr>
            <w:tcW w:w="2837" w:type="dxa"/>
            <w:tcBorders>
              <w:top w:val="single" w:sz="4" w:space="0" w:color="000000"/>
              <w:left w:val="single" w:sz="4" w:space="0" w:color="000000"/>
              <w:bottom w:val="single" w:sz="4" w:space="0" w:color="000000"/>
              <w:right w:val="single" w:sz="4" w:space="0" w:color="000000"/>
            </w:tcBorders>
          </w:tcPr>
          <w:p w14:paraId="799A17B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Pacientų skaičius</w:t>
            </w:r>
          </w:p>
        </w:tc>
        <w:tc>
          <w:tcPr>
            <w:tcW w:w="1147" w:type="dxa"/>
            <w:tcBorders>
              <w:top w:val="single" w:sz="4" w:space="0" w:color="000000"/>
              <w:left w:val="single" w:sz="4" w:space="0" w:color="000000"/>
              <w:bottom w:val="single" w:sz="4" w:space="0" w:color="000000"/>
              <w:right w:val="single" w:sz="4" w:space="0" w:color="000000"/>
            </w:tcBorders>
          </w:tcPr>
          <w:p w14:paraId="278C873F" w14:textId="7DFAA5CD"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w:t>
            </w:r>
            <w:r w:rsidR="00CE77C3"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494</w:t>
            </w:r>
          </w:p>
        </w:tc>
        <w:tc>
          <w:tcPr>
            <w:tcW w:w="1337" w:type="dxa"/>
            <w:tcBorders>
              <w:top w:val="single" w:sz="4" w:space="0" w:color="000000"/>
              <w:left w:val="single" w:sz="4" w:space="0" w:color="000000"/>
              <w:bottom w:val="single" w:sz="4" w:space="0" w:color="000000"/>
              <w:right w:val="single" w:sz="4" w:space="0" w:color="000000"/>
            </w:tcBorders>
          </w:tcPr>
          <w:p w14:paraId="552D458A" w14:textId="77777777" w:rsidR="0082730B" w:rsidRPr="0082730B" w:rsidRDefault="0082730B" w:rsidP="00135C1A">
            <w:pPr>
              <w:rPr>
                <w:rFonts w:ascii="Times New Roman" w:hAnsi="Times New Roman" w:cs="Times New Roman"/>
                <w:color w:val="000000"/>
                <w:sz w:val="22"/>
                <w:szCs w:val="22"/>
              </w:rPr>
            </w:pPr>
          </w:p>
        </w:tc>
        <w:tc>
          <w:tcPr>
            <w:tcW w:w="1133" w:type="dxa"/>
            <w:tcBorders>
              <w:top w:val="single" w:sz="4" w:space="0" w:color="000000"/>
              <w:left w:val="single" w:sz="4" w:space="0" w:color="000000"/>
              <w:bottom w:val="single" w:sz="4" w:space="0" w:color="000000"/>
              <w:right w:val="single" w:sz="4" w:space="0" w:color="000000"/>
            </w:tcBorders>
          </w:tcPr>
          <w:p w14:paraId="44D1AE2D" w14:textId="05EFBAE0"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w:t>
            </w:r>
            <w:r w:rsidR="00CE77C3"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485</w:t>
            </w:r>
          </w:p>
        </w:tc>
        <w:tc>
          <w:tcPr>
            <w:tcW w:w="1426" w:type="dxa"/>
            <w:tcBorders>
              <w:top w:val="single" w:sz="4" w:space="0" w:color="000000"/>
              <w:left w:val="single" w:sz="4" w:space="0" w:color="000000"/>
              <w:bottom w:val="single" w:sz="4" w:space="0" w:color="000000"/>
              <w:right w:val="single" w:sz="4" w:space="0" w:color="000000"/>
            </w:tcBorders>
          </w:tcPr>
          <w:p w14:paraId="3B13D588" w14:textId="77777777" w:rsidR="0082730B" w:rsidRPr="0082730B" w:rsidRDefault="0082730B" w:rsidP="00135C1A">
            <w:pPr>
              <w:rPr>
                <w:rFonts w:ascii="Times New Roman" w:hAnsi="Times New Roman" w:cs="Times New Roman"/>
                <w:color w:val="000000"/>
                <w:sz w:val="22"/>
                <w:szCs w:val="22"/>
              </w:rPr>
            </w:pPr>
          </w:p>
        </w:tc>
        <w:tc>
          <w:tcPr>
            <w:tcW w:w="1183" w:type="dxa"/>
            <w:tcBorders>
              <w:top w:val="single" w:sz="4" w:space="0" w:color="000000"/>
              <w:left w:val="single" w:sz="4" w:space="0" w:color="000000"/>
              <w:bottom w:val="single" w:sz="4" w:space="0" w:color="000000"/>
              <w:right w:val="single" w:sz="4" w:space="0" w:color="000000"/>
            </w:tcBorders>
          </w:tcPr>
          <w:p w14:paraId="02F38C71" w14:textId="77777777" w:rsidR="0082730B" w:rsidRPr="0082730B" w:rsidRDefault="0082730B" w:rsidP="00135C1A">
            <w:pPr>
              <w:rPr>
                <w:rFonts w:ascii="Times New Roman" w:hAnsi="Times New Roman" w:cs="Times New Roman"/>
                <w:color w:val="000000"/>
                <w:sz w:val="22"/>
                <w:szCs w:val="22"/>
              </w:rPr>
            </w:pPr>
          </w:p>
        </w:tc>
      </w:tr>
      <w:tr w:rsidR="0082730B" w:rsidRPr="0082730B" w14:paraId="060D04FC" w14:textId="77777777" w:rsidTr="00C32B7C">
        <w:trPr>
          <w:trHeight w:val="1529"/>
        </w:trPr>
        <w:tc>
          <w:tcPr>
            <w:tcW w:w="2837" w:type="dxa"/>
            <w:tcBorders>
              <w:top w:val="single" w:sz="4" w:space="0" w:color="000000"/>
              <w:left w:val="single" w:sz="4" w:space="0" w:color="000000"/>
              <w:bottom w:val="single" w:sz="4" w:space="0" w:color="000000"/>
              <w:right w:val="single" w:sz="4" w:space="0" w:color="000000"/>
            </w:tcBorders>
          </w:tcPr>
          <w:p w14:paraId="6B6C766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Pirminis ŠKS sudėtinis kriterijus (mirtis dėl priežasčių, susijusių su širdies ir kraujagyslių ligomis, nemirtinas MI, nemirtinas insultas)</w:t>
            </w:r>
          </w:p>
        </w:tc>
        <w:tc>
          <w:tcPr>
            <w:tcW w:w="1147" w:type="dxa"/>
            <w:tcBorders>
              <w:top w:val="single" w:sz="4" w:space="0" w:color="000000"/>
              <w:left w:val="single" w:sz="4" w:space="0" w:color="000000"/>
              <w:bottom w:val="single" w:sz="4" w:space="0" w:color="000000"/>
              <w:right w:val="single" w:sz="4" w:space="0" w:color="000000"/>
            </w:tcBorders>
          </w:tcPr>
          <w:p w14:paraId="3B077D0D"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434 (12,4)</w:t>
            </w:r>
          </w:p>
        </w:tc>
        <w:tc>
          <w:tcPr>
            <w:tcW w:w="1337" w:type="dxa"/>
            <w:tcBorders>
              <w:top w:val="single" w:sz="4" w:space="0" w:color="000000"/>
              <w:left w:val="single" w:sz="4" w:space="0" w:color="000000"/>
              <w:bottom w:val="single" w:sz="4" w:space="0" w:color="000000"/>
              <w:right w:val="single" w:sz="4" w:space="0" w:color="000000"/>
            </w:tcBorders>
          </w:tcPr>
          <w:p w14:paraId="29552C9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57,7</w:t>
            </w:r>
          </w:p>
        </w:tc>
        <w:tc>
          <w:tcPr>
            <w:tcW w:w="1133" w:type="dxa"/>
            <w:tcBorders>
              <w:top w:val="single" w:sz="4" w:space="0" w:color="000000"/>
              <w:left w:val="single" w:sz="4" w:space="0" w:color="000000"/>
              <w:bottom w:val="single" w:sz="4" w:space="0" w:color="000000"/>
              <w:right w:val="single" w:sz="4" w:space="0" w:color="000000"/>
            </w:tcBorders>
          </w:tcPr>
          <w:p w14:paraId="439BB68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420 (12,1)</w:t>
            </w:r>
          </w:p>
        </w:tc>
        <w:tc>
          <w:tcPr>
            <w:tcW w:w="1426" w:type="dxa"/>
            <w:tcBorders>
              <w:top w:val="single" w:sz="4" w:space="0" w:color="000000"/>
              <w:left w:val="single" w:sz="4" w:space="0" w:color="000000"/>
              <w:bottom w:val="single" w:sz="4" w:space="0" w:color="000000"/>
              <w:right w:val="single" w:sz="4" w:space="0" w:color="000000"/>
            </w:tcBorders>
          </w:tcPr>
          <w:p w14:paraId="47B5480E"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56,3</w:t>
            </w:r>
          </w:p>
        </w:tc>
        <w:tc>
          <w:tcPr>
            <w:tcW w:w="1183" w:type="dxa"/>
            <w:tcBorders>
              <w:top w:val="single" w:sz="4" w:space="0" w:color="000000"/>
              <w:left w:val="single" w:sz="4" w:space="0" w:color="000000"/>
              <w:bottom w:val="single" w:sz="4" w:space="0" w:color="000000"/>
              <w:right w:val="single" w:sz="4" w:space="0" w:color="000000"/>
            </w:tcBorders>
          </w:tcPr>
          <w:p w14:paraId="109A2F1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1,02 (0,89; 1,17)**</w:t>
            </w:r>
          </w:p>
        </w:tc>
      </w:tr>
      <w:tr w:rsidR="0082730B" w:rsidRPr="0082730B" w14:paraId="72CBE210" w14:textId="77777777" w:rsidTr="00C32B7C">
        <w:trPr>
          <w:trHeight w:val="1022"/>
        </w:trPr>
        <w:tc>
          <w:tcPr>
            <w:tcW w:w="2837" w:type="dxa"/>
            <w:tcBorders>
              <w:top w:val="single" w:sz="4" w:space="0" w:color="000000"/>
              <w:left w:val="single" w:sz="4" w:space="0" w:color="000000"/>
              <w:bottom w:val="single" w:sz="4" w:space="0" w:color="000000"/>
              <w:right w:val="single" w:sz="4" w:space="0" w:color="000000"/>
            </w:tcBorders>
          </w:tcPr>
          <w:p w14:paraId="3C84EE8B"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Antrinis inkstų sudėtinis kriterijus (su inkstais susijusi </w:t>
            </w:r>
          </w:p>
          <w:p w14:paraId="52C030C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mirtis, GILS, ilgalaikis 40 % aGFG sumažėjimas)</w:t>
            </w:r>
          </w:p>
        </w:tc>
        <w:tc>
          <w:tcPr>
            <w:tcW w:w="1147" w:type="dxa"/>
            <w:tcBorders>
              <w:top w:val="single" w:sz="4" w:space="0" w:color="000000"/>
              <w:left w:val="single" w:sz="4" w:space="0" w:color="000000"/>
              <w:bottom w:val="single" w:sz="4" w:space="0" w:color="000000"/>
              <w:right w:val="single" w:sz="4" w:space="0" w:color="000000"/>
            </w:tcBorders>
          </w:tcPr>
          <w:p w14:paraId="321BF37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327 (9,4)</w:t>
            </w:r>
          </w:p>
        </w:tc>
        <w:tc>
          <w:tcPr>
            <w:tcW w:w="1337" w:type="dxa"/>
            <w:tcBorders>
              <w:top w:val="single" w:sz="4" w:space="0" w:color="000000"/>
              <w:left w:val="single" w:sz="4" w:space="0" w:color="000000"/>
              <w:bottom w:val="single" w:sz="4" w:space="0" w:color="000000"/>
              <w:right w:val="single" w:sz="4" w:space="0" w:color="000000"/>
            </w:tcBorders>
          </w:tcPr>
          <w:p w14:paraId="75573C3F"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48,9</w:t>
            </w:r>
          </w:p>
        </w:tc>
        <w:tc>
          <w:tcPr>
            <w:tcW w:w="1133" w:type="dxa"/>
            <w:tcBorders>
              <w:top w:val="single" w:sz="4" w:space="0" w:color="000000"/>
              <w:left w:val="single" w:sz="4" w:space="0" w:color="000000"/>
              <w:bottom w:val="single" w:sz="4" w:space="0" w:color="000000"/>
              <w:right w:val="single" w:sz="4" w:space="0" w:color="000000"/>
            </w:tcBorders>
          </w:tcPr>
          <w:p w14:paraId="2EAF22F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306 (8,8)</w:t>
            </w:r>
          </w:p>
        </w:tc>
        <w:tc>
          <w:tcPr>
            <w:tcW w:w="1426" w:type="dxa"/>
            <w:tcBorders>
              <w:top w:val="single" w:sz="4" w:space="0" w:color="000000"/>
              <w:left w:val="single" w:sz="4" w:space="0" w:color="000000"/>
              <w:bottom w:val="single" w:sz="4" w:space="0" w:color="000000"/>
              <w:right w:val="single" w:sz="4" w:space="0" w:color="000000"/>
            </w:tcBorders>
          </w:tcPr>
          <w:p w14:paraId="0FDC3A5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46,6</w:t>
            </w:r>
          </w:p>
        </w:tc>
        <w:tc>
          <w:tcPr>
            <w:tcW w:w="1183" w:type="dxa"/>
            <w:tcBorders>
              <w:top w:val="single" w:sz="4" w:space="0" w:color="000000"/>
              <w:left w:val="single" w:sz="4" w:space="0" w:color="000000"/>
              <w:bottom w:val="single" w:sz="4" w:space="0" w:color="000000"/>
              <w:right w:val="single" w:sz="4" w:space="0" w:color="000000"/>
            </w:tcBorders>
          </w:tcPr>
          <w:p w14:paraId="0EB5E2D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1,04 (0,89; 1,22)</w:t>
            </w:r>
          </w:p>
        </w:tc>
      </w:tr>
      <w:tr w:rsidR="0082730B" w:rsidRPr="0082730B" w14:paraId="5BBE7A5F" w14:textId="77777777" w:rsidTr="00C32B7C">
        <w:trPr>
          <w:trHeight w:val="516"/>
        </w:trPr>
        <w:tc>
          <w:tcPr>
            <w:tcW w:w="2837" w:type="dxa"/>
            <w:tcBorders>
              <w:top w:val="single" w:sz="4" w:space="0" w:color="000000"/>
              <w:left w:val="single" w:sz="4" w:space="0" w:color="000000"/>
              <w:bottom w:val="single" w:sz="4" w:space="0" w:color="000000"/>
              <w:right w:val="single" w:sz="4" w:space="0" w:color="000000"/>
            </w:tcBorders>
          </w:tcPr>
          <w:p w14:paraId="12AC741B"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Mirštamumas dėl bet kurios priežasties</w:t>
            </w:r>
          </w:p>
        </w:tc>
        <w:tc>
          <w:tcPr>
            <w:tcW w:w="1147" w:type="dxa"/>
            <w:tcBorders>
              <w:top w:val="single" w:sz="4" w:space="0" w:color="000000"/>
              <w:left w:val="single" w:sz="4" w:space="0" w:color="000000"/>
              <w:bottom w:val="single" w:sz="4" w:space="0" w:color="000000"/>
              <w:right w:val="single" w:sz="4" w:space="0" w:color="000000"/>
            </w:tcBorders>
          </w:tcPr>
          <w:p w14:paraId="7CEEDFAF"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367 (10,5)</w:t>
            </w:r>
          </w:p>
        </w:tc>
        <w:tc>
          <w:tcPr>
            <w:tcW w:w="1337" w:type="dxa"/>
            <w:tcBorders>
              <w:top w:val="single" w:sz="4" w:space="0" w:color="000000"/>
              <w:left w:val="single" w:sz="4" w:space="0" w:color="000000"/>
              <w:bottom w:val="single" w:sz="4" w:space="0" w:color="000000"/>
              <w:right w:val="single" w:sz="4" w:space="0" w:color="000000"/>
            </w:tcBorders>
          </w:tcPr>
          <w:p w14:paraId="73083F6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46,9</w:t>
            </w:r>
          </w:p>
        </w:tc>
        <w:tc>
          <w:tcPr>
            <w:tcW w:w="1133" w:type="dxa"/>
            <w:tcBorders>
              <w:top w:val="single" w:sz="4" w:space="0" w:color="000000"/>
              <w:left w:val="single" w:sz="4" w:space="0" w:color="000000"/>
              <w:bottom w:val="single" w:sz="4" w:space="0" w:color="000000"/>
              <w:right w:val="single" w:sz="4" w:space="0" w:color="000000"/>
            </w:tcBorders>
          </w:tcPr>
          <w:p w14:paraId="1E750B97"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373 (10,7)</w:t>
            </w:r>
          </w:p>
        </w:tc>
        <w:tc>
          <w:tcPr>
            <w:tcW w:w="1426" w:type="dxa"/>
            <w:tcBorders>
              <w:top w:val="single" w:sz="4" w:space="0" w:color="000000"/>
              <w:left w:val="single" w:sz="4" w:space="0" w:color="000000"/>
              <w:bottom w:val="single" w:sz="4" w:space="0" w:color="000000"/>
              <w:right w:val="single" w:sz="4" w:space="0" w:color="000000"/>
            </w:tcBorders>
          </w:tcPr>
          <w:p w14:paraId="0B4A6A1D"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48</w:t>
            </w:r>
          </w:p>
        </w:tc>
        <w:tc>
          <w:tcPr>
            <w:tcW w:w="1183" w:type="dxa"/>
            <w:tcBorders>
              <w:top w:val="single" w:sz="4" w:space="0" w:color="000000"/>
              <w:left w:val="single" w:sz="4" w:space="0" w:color="000000"/>
              <w:bottom w:val="single" w:sz="4" w:space="0" w:color="000000"/>
              <w:right w:val="single" w:sz="4" w:space="0" w:color="000000"/>
            </w:tcBorders>
          </w:tcPr>
          <w:p w14:paraId="40D58E3C"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0,98 (0,84; 1,13)</w:t>
            </w:r>
          </w:p>
        </w:tc>
      </w:tr>
      <w:tr w:rsidR="0082730B" w:rsidRPr="0082730B" w14:paraId="694D4DB4" w14:textId="77777777" w:rsidTr="00C32B7C">
        <w:trPr>
          <w:trHeight w:val="768"/>
        </w:trPr>
        <w:tc>
          <w:tcPr>
            <w:tcW w:w="2837" w:type="dxa"/>
            <w:tcBorders>
              <w:top w:val="single" w:sz="4" w:space="0" w:color="000000"/>
              <w:left w:val="single" w:sz="4" w:space="0" w:color="000000"/>
              <w:bottom w:val="single" w:sz="4" w:space="0" w:color="000000"/>
              <w:right w:val="single" w:sz="4" w:space="0" w:color="000000"/>
            </w:tcBorders>
          </w:tcPr>
          <w:p w14:paraId="356981E7"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Mirtis dėl priežasčių, susijusių su širdies ir kraujagyslių ligomis</w:t>
            </w:r>
          </w:p>
        </w:tc>
        <w:tc>
          <w:tcPr>
            <w:tcW w:w="1147" w:type="dxa"/>
            <w:tcBorders>
              <w:top w:val="single" w:sz="4" w:space="0" w:color="000000"/>
              <w:left w:val="single" w:sz="4" w:space="0" w:color="000000"/>
              <w:bottom w:val="single" w:sz="4" w:space="0" w:color="000000"/>
              <w:right w:val="single" w:sz="4" w:space="0" w:color="000000"/>
            </w:tcBorders>
          </w:tcPr>
          <w:p w14:paraId="2BA94A4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255 (7,3)</w:t>
            </w:r>
          </w:p>
        </w:tc>
        <w:tc>
          <w:tcPr>
            <w:tcW w:w="1337" w:type="dxa"/>
            <w:tcBorders>
              <w:top w:val="single" w:sz="4" w:space="0" w:color="000000"/>
              <w:left w:val="single" w:sz="4" w:space="0" w:color="000000"/>
              <w:bottom w:val="single" w:sz="4" w:space="0" w:color="000000"/>
              <w:right w:val="single" w:sz="4" w:space="0" w:color="000000"/>
            </w:tcBorders>
          </w:tcPr>
          <w:p w14:paraId="1892FA4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32,6</w:t>
            </w:r>
          </w:p>
        </w:tc>
        <w:tc>
          <w:tcPr>
            <w:tcW w:w="1133" w:type="dxa"/>
            <w:tcBorders>
              <w:top w:val="single" w:sz="4" w:space="0" w:color="000000"/>
              <w:left w:val="single" w:sz="4" w:space="0" w:color="000000"/>
              <w:bottom w:val="single" w:sz="4" w:space="0" w:color="000000"/>
              <w:right w:val="single" w:sz="4" w:space="0" w:color="000000"/>
            </w:tcBorders>
          </w:tcPr>
          <w:p w14:paraId="59976A8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264 (7,6)</w:t>
            </w:r>
          </w:p>
        </w:tc>
        <w:tc>
          <w:tcPr>
            <w:tcW w:w="1426" w:type="dxa"/>
            <w:tcBorders>
              <w:top w:val="single" w:sz="4" w:space="0" w:color="000000"/>
              <w:left w:val="single" w:sz="4" w:space="0" w:color="000000"/>
              <w:bottom w:val="single" w:sz="4" w:space="0" w:color="000000"/>
              <w:right w:val="single" w:sz="4" w:space="0" w:color="000000"/>
            </w:tcBorders>
          </w:tcPr>
          <w:p w14:paraId="20DD970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34</w:t>
            </w:r>
          </w:p>
        </w:tc>
        <w:tc>
          <w:tcPr>
            <w:tcW w:w="1183" w:type="dxa"/>
            <w:tcBorders>
              <w:top w:val="single" w:sz="4" w:space="0" w:color="000000"/>
              <w:left w:val="single" w:sz="4" w:space="0" w:color="000000"/>
              <w:bottom w:val="single" w:sz="4" w:space="0" w:color="000000"/>
              <w:right w:val="single" w:sz="4" w:space="0" w:color="000000"/>
            </w:tcBorders>
          </w:tcPr>
          <w:p w14:paraId="6FF6C76B"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0,96 (0,81; 1,14)</w:t>
            </w:r>
          </w:p>
        </w:tc>
      </w:tr>
      <w:tr w:rsidR="0082730B" w:rsidRPr="0082730B" w14:paraId="6D7EB967" w14:textId="77777777" w:rsidTr="00C32B7C">
        <w:trPr>
          <w:trHeight w:val="516"/>
        </w:trPr>
        <w:tc>
          <w:tcPr>
            <w:tcW w:w="2837" w:type="dxa"/>
            <w:tcBorders>
              <w:top w:val="single" w:sz="4" w:space="0" w:color="000000"/>
              <w:left w:val="single" w:sz="4" w:space="0" w:color="000000"/>
              <w:bottom w:val="single" w:sz="4" w:space="0" w:color="000000"/>
              <w:right w:val="single" w:sz="4" w:space="0" w:color="000000"/>
            </w:tcBorders>
          </w:tcPr>
          <w:p w14:paraId="55AAD9B7"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Hospitalizacija dėl širdies </w:t>
            </w:r>
          </w:p>
          <w:p w14:paraId="166F2DD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nepakankamumo</w:t>
            </w:r>
          </w:p>
        </w:tc>
        <w:tc>
          <w:tcPr>
            <w:tcW w:w="1147" w:type="dxa"/>
            <w:tcBorders>
              <w:top w:val="single" w:sz="4" w:space="0" w:color="000000"/>
              <w:left w:val="single" w:sz="4" w:space="0" w:color="000000"/>
              <w:bottom w:val="single" w:sz="4" w:space="0" w:color="000000"/>
              <w:right w:val="single" w:sz="4" w:space="0" w:color="000000"/>
            </w:tcBorders>
          </w:tcPr>
          <w:p w14:paraId="423DEA8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209 (6)</w:t>
            </w:r>
          </w:p>
        </w:tc>
        <w:tc>
          <w:tcPr>
            <w:tcW w:w="1337" w:type="dxa"/>
            <w:tcBorders>
              <w:top w:val="single" w:sz="4" w:space="0" w:color="000000"/>
              <w:left w:val="single" w:sz="4" w:space="0" w:color="000000"/>
              <w:bottom w:val="single" w:sz="4" w:space="0" w:color="000000"/>
              <w:right w:val="single" w:sz="4" w:space="0" w:color="000000"/>
            </w:tcBorders>
          </w:tcPr>
          <w:p w14:paraId="5C5AB54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27,7</w:t>
            </w:r>
          </w:p>
        </w:tc>
        <w:tc>
          <w:tcPr>
            <w:tcW w:w="1133" w:type="dxa"/>
            <w:tcBorders>
              <w:top w:val="single" w:sz="4" w:space="0" w:color="000000"/>
              <w:left w:val="single" w:sz="4" w:space="0" w:color="000000"/>
              <w:bottom w:val="single" w:sz="4" w:space="0" w:color="000000"/>
              <w:right w:val="single" w:sz="4" w:space="0" w:color="000000"/>
            </w:tcBorders>
          </w:tcPr>
          <w:p w14:paraId="1EE8364A"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226 (6,5)</w:t>
            </w:r>
          </w:p>
        </w:tc>
        <w:tc>
          <w:tcPr>
            <w:tcW w:w="1426" w:type="dxa"/>
            <w:tcBorders>
              <w:top w:val="single" w:sz="4" w:space="0" w:color="000000"/>
              <w:left w:val="single" w:sz="4" w:space="0" w:color="000000"/>
              <w:bottom w:val="single" w:sz="4" w:space="0" w:color="000000"/>
              <w:right w:val="single" w:sz="4" w:space="0" w:color="000000"/>
            </w:tcBorders>
          </w:tcPr>
          <w:p w14:paraId="4D7766C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30,4</w:t>
            </w:r>
          </w:p>
        </w:tc>
        <w:tc>
          <w:tcPr>
            <w:tcW w:w="1183" w:type="dxa"/>
            <w:tcBorders>
              <w:top w:val="single" w:sz="4" w:space="0" w:color="000000"/>
              <w:left w:val="single" w:sz="4" w:space="0" w:color="000000"/>
              <w:bottom w:val="single" w:sz="4" w:space="0" w:color="000000"/>
              <w:right w:val="single" w:sz="4" w:space="0" w:color="000000"/>
            </w:tcBorders>
          </w:tcPr>
          <w:p w14:paraId="78AF05CE"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0,9 (0,74; 1,08)</w:t>
            </w:r>
          </w:p>
        </w:tc>
      </w:tr>
    </w:tbl>
    <w:p w14:paraId="319B9124" w14:textId="77777777" w:rsidR="0082730B" w:rsidRPr="0082730B" w:rsidRDefault="0082730B" w:rsidP="00135C1A">
      <w:pPr>
        <w:tabs>
          <w:tab w:val="center" w:pos="1601"/>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ab/>
        <w:t>SPM = sutartiniai pacientų metai</w:t>
      </w:r>
    </w:p>
    <w:p w14:paraId="381BDB22"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Neprastesnio rezultato testas, skirtas parodyti, kad viršutinė 95 % PI rizikos santykio riba yra mažesnė kaip 1,3</w:t>
      </w:r>
    </w:p>
    <w:p w14:paraId="6A0846BD" w14:textId="77777777" w:rsidR="00CE77C3" w:rsidRPr="00135C1A" w:rsidRDefault="00CE77C3" w:rsidP="00135C1A">
      <w:pPr>
        <w:spacing w:after="0" w:line="240" w:lineRule="auto"/>
        <w:rPr>
          <w:rFonts w:ascii="Times New Roman" w:eastAsia="Times New Roman" w:hAnsi="Times New Roman" w:cs="Times New Roman"/>
          <w:color w:val="000000"/>
          <w:lang w:eastAsia="lt-LT"/>
        </w:rPr>
      </w:pPr>
    </w:p>
    <w:p w14:paraId="1FB2850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Analizuojant albuminurijos progresavimą (pokytį iš normoalbuminurijos į mikroalbuminuriją ar makroalbuminuriją arba iš mikroalbuminurijos į makroalbuminuriją), apskaičiuotas rizikos santykis siekė 0,86 (95 % PI 0,78; 0,95) linagliptiną lyginant su placebu.</w:t>
      </w:r>
    </w:p>
    <w:p w14:paraId="2D006435" w14:textId="77777777" w:rsidR="00CE77C3" w:rsidRPr="00135C1A" w:rsidRDefault="00CE77C3" w:rsidP="00135C1A">
      <w:pPr>
        <w:keepNext/>
        <w:keepLines/>
        <w:spacing w:after="0" w:line="240" w:lineRule="auto"/>
        <w:outlineLvl w:val="2"/>
        <w:rPr>
          <w:rFonts w:ascii="Times New Roman" w:eastAsia="Times New Roman" w:hAnsi="Times New Roman" w:cs="Times New Roman"/>
          <w:i/>
          <w:color w:val="000000"/>
          <w:lang w:eastAsia="lt-LT"/>
        </w:rPr>
      </w:pPr>
    </w:p>
    <w:p w14:paraId="1EA59FE1"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Linagliptino saugumo širdies ir kraujagyslių sistemai tyrimas (CAROLINA)</w:t>
      </w:r>
    </w:p>
    <w:p w14:paraId="52F341C5" w14:textId="4B28AD49"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CAROLINA buvo atsitiktinių imčių tyrimas, kuriame dalyvavo su 6</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033 pacientai, sergantys ankstyvuoju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ir turintys padid</w:t>
      </w:r>
      <w:r w:rsidR="004F72E1">
        <w:rPr>
          <w:rFonts w:ascii="Times New Roman" w:eastAsia="Times New Roman" w:hAnsi="Times New Roman" w:cs="Times New Roman"/>
          <w:color w:val="000000"/>
          <w:lang w:eastAsia="lt-LT"/>
        </w:rPr>
        <w:t>ėjusią</w:t>
      </w:r>
      <w:r w:rsidRPr="0082730B">
        <w:rPr>
          <w:rFonts w:ascii="Times New Roman" w:eastAsia="Times New Roman" w:hAnsi="Times New Roman" w:cs="Times New Roman"/>
          <w:color w:val="000000"/>
          <w:lang w:eastAsia="lt-LT"/>
        </w:rPr>
        <w:t xml:space="preserve"> su ŠKS susijusią riziką arba nustatytų komplikacijų. Pacientai vartojo 5 mg linagliptino (3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023) arba 1</w:t>
      </w:r>
      <w:r w:rsidR="00CE77C3"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4 mg glimepirido (3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010), šiuos vaistinius preparatus skiriant papildomai prie standartinio gydymo (įskaitant foninį gydymą metforminu, kuris taikytas 83 % pacientų), taikomo atsižvelgiant į regionui nustatytą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normą ir su ŠKS susijusius rizikos veiksnius. Tyrimo populiacijos amžiaus vidurkis siekė 64</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metus ir tyrime dalyvavo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030 (34 %) pacientų, kurių amžius buvo ≥</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70</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metų. Tyrimo populiaciją sudarė 2</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089</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(35 %) pacientai, sirgę širdies ir kraujagyslių liga, ir 1</w:t>
      </w:r>
      <w:r w:rsidR="004F72E1">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130 (19 %) pacientų, kurių sutrikusi inkstų funkcija (aGFG &lt;</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60</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ml/min./1,73</w:t>
      </w:r>
      <w:r w:rsidR="00CE77C3"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w:t>
      </w:r>
      <w:r w:rsidRPr="0082730B">
        <w:rPr>
          <w:rFonts w:ascii="Times New Roman" w:eastAsia="Times New Roman" w:hAnsi="Times New Roman" w:cs="Times New Roman"/>
          <w:color w:val="000000"/>
          <w:vertAlign w:val="superscript"/>
          <w:lang w:eastAsia="lt-LT"/>
        </w:rPr>
        <w:t xml:space="preserve">2 </w:t>
      </w:r>
      <w:r w:rsidRPr="0082730B">
        <w:rPr>
          <w:rFonts w:ascii="Times New Roman" w:eastAsia="Times New Roman" w:hAnsi="Times New Roman" w:cs="Times New Roman"/>
          <w:color w:val="000000"/>
          <w:lang w:eastAsia="lt-LT"/>
        </w:rPr>
        <w:t>pradinio vertinimo metu).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vidurkis pradinio vertinimo metu siekė 7,15 %.</w:t>
      </w:r>
    </w:p>
    <w:p w14:paraId="40E2813B" w14:textId="77777777" w:rsidR="00375A1B" w:rsidRPr="00135C1A" w:rsidRDefault="00375A1B" w:rsidP="00135C1A">
      <w:pPr>
        <w:spacing w:after="0" w:line="240" w:lineRule="auto"/>
        <w:rPr>
          <w:rFonts w:ascii="Times New Roman" w:eastAsia="Times New Roman" w:hAnsi="Times New Roman" w:cs="Times New Roman"/>
          <w:color w:val="000000"/>
          <w:lang w:eastAsia="lt-LT"/>
        </w:rPr>
      </w:pPr>
    </w:p>
    <w:p w14:paraId="592F03E6"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Tyrimas buvo skirtas įrodyti ne prastesnį rezultatą, vertinant pagal pirminę sudėtinę vertinamąją baigtį (poveikį širdies ir kraujagyslių sistemai), kurią sudarė pirmasis mirties dėl priežasčių, susijusių su širdies ir kraujagyslių ligomis, atvejis, arba nemirtinas miokardo infarktas (MI), arba nemirtinas insultas (3P-MACE).</w:t>
      </w:r>
    </w:p>
    <w:p w14:paraId="7BB5668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Po stebėjimo laikotarpio, kurio mediana buvo 6,25 metų, linagliptinas pagrindinių nepageidaujamų širdies ir kraujagyslių reiškinių rizikos (žr. 3 lentelę), palyginti su glimepiridu, nedidino. Nuoseklūs rezultatai gauti nepriklausomai nuo to, ar pacientai vartojo metforminą, ar ne.</w:t>
      </w:r>
    </w:p>
    <w:p w14:paraId="11C94255" w14:textId="77777777" w:rsidR="00375A1B" w:rsidRPr="00135C1A" w:rsidRDefault="00375A1B" w:rsidP="00135C1A">
      <w:pPr>
        <w:spacing w:after="0" w:line="240" w:lineRule="auto"/>
        <w:rPr>
          <w:rFonts w:ascii="Times New Roman" w:eastAsia="Times New Roman" w:hAnsi="Times New Roman" w:cs="Times New Roman"/>
          <w:color w:val="000000"/>
          <w:lang w:eastAsia="lt-LT"/>
        </w:rPr>
      </w:pPr>
    </w:p>
    <w:p w14:paraId="792ADF98" w14:textId="063DE525"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3</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lentelė</w:t>
      </w:r>
      <w:r w:rsidRPr="0082730B">
        <w:rPr>
          <w:rFonts w:ascii="Times New Roman" w:eastAsia="Times New Roman" w:hAnsi="Times New Roman" w:cs="Times New Roman"/>
          <w:color w:val="000000"/>
          <w:lang w:eastAsia="lt-LT"/>
        </w:rPr>
        <w:tab/>
        <w:t>Pagrindiniai širdies ir kraujagyslių reiškiniai (MACE) ir mirštamumas pagal gydymo grupę CAROLINA tyrimo metu</w:t>
      </w:r>
    </w:p>
    <w:tbl>
      <w:tblPr>
        <w:tblStyle w:val="TableGrid"/>
        <w:tblW w:w="9062" w:type="dxa"/>
        <w:tblInd w:w="5" w:type="dxa"/>
        <w:tblCellMar>
          <w:top w:w="51" w:type="dxa"/>
          <w:left w:w="108" w:type="dxa"/>
          <w:right w:w="67" w:type="dxa"/>
        </w:tblCellMar>
        <w:tblLook w:val="04A0" w:firstRow="1" w:lastRow="0" w:firstColumn="1" w:lastColumn="0" w:noHBand="0" w:noVBand="1"/>
      </w:tblPr>
      <w:tblGrid>
        <w:gridCol w:w="2305"/>
        <w:gridCol w:w="1164"/>
        <w:gridCol w:w="1330"/>
        <w:gridCol w:w="1145"/>
        <w:gridCol w:w="1356"/>
        <w:gridCol w:w="1762"/>
      </w:tblGrid>
      <w:tr w:rsidR="0082730B" w:rsidRPr="0082730B" w14:paraId="5104F794" w14:textId="77777777" w:rsidTr="00C32B7C">
        <w:trPr>
          <w:trHeight w:val="262"/>
        </w:trPr>
        <w:tc>
          <w:tcPr>
            <w:tcW w:w="2306" w:type="dxa"/>
            <w:vMerge w:val="restart"/>
            <w:tcBorders>
              <w:top w:val="single" w:sz="4" w:space="0" w:color="000000"/>
              <w:left w:val="single" w:sz="4" w:space="0" w:color="000000"/>
              <w:bottom w:val="single" w:sz="4" w:space="0" w:color="000000"/>
              <w:right w:val="single" w:sz="4" w:space="0" w:color="000000"/>
            </w:tcBorders>
          </w:tcPr>
          <w:p w14:paraId="7CD0BDFB" w14:textId="77777777" w:rsidR="0082730B" w:rsidRPr="0082730B" w:rsidRDefault="0082730B" w:rsidP="00135C1A">
            <w:pPr>
              <w:rPr>
                <w:rFonts w:ascii="Times New Roman" w:hAnsi="Times New Roman" w:cs="Times New Roman"/>
                <w:color w:val="000000"/>
                <w:sz w:val="22"/>
                <w:szCs w:val="22"/>
              </w:rPr>
            </w:pPr>
          </w:p>
        </w:tc>
        <w:tc>
          <w:tcPr>
            <w:tcW w:w="2494" w:type="dxa"/>
            <w:gridSpan w:val="2"/>
            <w:tcBorders>
              <w:top w:val="single" w:sz="4" w:space="0" w:color="000000"/>
              <w:left w:val="single" w:sz="4" w:space="0" w:color="000000"/>
              <w:bottom w:val="single" w:sz="4" w:space="0" w:color="000000"/>
              <w:right w:val="single" w:sz="4" w:space="0" w:color="000000"/>
            </w:tcBorders>
          </w:tcPr>
          <w:p w14:paraId="6F15387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Linagliptinas 5 mg</w:t>
            </w:r>
          </w:p>
        </w:tc>
        <w:tc>
          <w:tcPr>
            <w:tcW w:w="2501" w:type="dxa"/>
            <w:gridSpan w:val="2"/>
            <w:tcBorders>
              <w:top w:val="single" w:sz="4" w:space="0" w:color="000000"/>
              <w:left w:val="single" w:sz="4" w:space="0" w:color="000000"/>
              <w:bottom w:val="single" w:sz="4" w:space="0" w:color="000000"/>
              <w:right w:val="single" w:sz="4" w:space="0" w:color="000000"/>
            </w:tcBorders>
          </w:tcPr>
          <w:p w14:paraId="1C236DC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Glimepiridas (1-4 mg)</w:t>
            </w:r>
          </w:p>
        </w:tc>
        <w:tc>
          <w:tcPr>
            <w:tcW w:w="1762" w:type="dxa"/>
            <w:tcBorders>
              <w:top w:val="single" w:sz="4" w:space="0" w:color="000000"/>
              <w:left w:val="single" w:sz="4" w:space="0" w:color="000000"/>
              <w:bottom w:val="single" w:sz="4" w:space="0" w:color="000000"/>
              <w:right w:val="single" w:sz="4" w:space="0" w:color="000000"/>
            </w:tcBorders>
          </w:tcPr>
          <w:p w14:paraId="1636D7E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b/>
                <w:color w:val="000000"/>
                <w:sz w:val="22"/>
                <w:szCs w:val="22"/>
              </w:rPr>
              <w:t>Rizikos santykis</w:t>
            </w:r>
          </w:p>
        </w:tc>
      </w:tr>
      <w:tr w:rsidR="0082730B" w:rsidRPr="0082730B" w14:paraId="5872CE52" w14:textId="77777777" w:rsidTr="00C32B7C">
        <w:trPr>
          <w:trHeight w:val="770"/>
        </w:trPr>
        <w:tc>
          <w:tcPr>
            <w:tcW w:w="0" w:type="auto"/>
            <w:vMerge/>
            <w:tcBorders>
              <w:top w:val="nil"/>
              <w:left w:val="single" w:sz="4" w:space="0" w:color="000000"/>
              <w:bottom w:val="single" w:sz="4" w:space="0" w:color="000000"/>
              <w:right w:val="single" w:sz="4" w:space="0" w:color="000000"/>
            </w:tcBorders>
          </w:tcPr>
          <w:p w14:paraId="469AD9FB" w14:textId="77777777" w:rsidR="0082730B" w:rsidRPr="0082730B" w:rsidRDefault="0082730B" w:rsidP="00135C1A">
            <w:pPr>
              <w:rPr>
                <w:rFonts w:ascii="Times New Roman" w:hAnsi="Times New Roman" w:cs="Times New Roman"/>
                <w:color w:val="000000"/>
                <w:sz w:val="22"/>
                <w:szCs w:val="22"/>
              </w:rPr>
            </w:pPr>
          </w:p>
        </w:tc>
        <w:tc>
          <w:tcPr>
            <w:tcW w:w="1164" w:type="dxa"/>
            <w:tcBorders>
              <w:top w:val="single" w:sz="4" w:space="0" w:color="000000"/>
              <w:left w:val="single" w:sz="4" w:space="0" w:color="000000"/>
              <w:bottom w:val="single" w:sz="4" w:space="0" w:color="000000"/>
              <w:right w:val="single" w:sz="4" w:space="0" w:color="000000"/>
            </w:tcBorders>
          </w:tcPr>
          <w:p w14:paraId="3DA95DA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Tiriamųjų skaičius </w:t>
            </w:r>
          </w:p>
          <w:p w14:paraId="2579D57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w:t>
            </w:r>
          </w:p>
        </w:tc>
        <w:tc>
          <w:tcPr>
            <w:tcW w:w="1330" w:type="dxa"/>
            <w:tcBorders>
              <w:top w:val="single" w:sz="4" w:space="0" w:color="000000"/>
              <w:left w:val="single" w:sz="4" w:space="0" w:color="000000"/>
              <w:bottom w:val="single" w:sz="4" w:space="0" w:color="000000"/>
              <w:right w:val="single" w:sz="4" w:space="0" w:color="000000"/>
            </w:tcBorders>
          </w:tcPr>
          <w:p w14:paraId="4DFEDFE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Įvykių dažnis per </w:t>
            </w:r>
          </w:p>
          <w:p w14:paraId="45E0075E" w14:textId="1BE1C2B3"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w:t>
            </w:r>
            <w:r w:rsidR="00375A1B"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000 SPM*</w:t>
            </w:r>
          </w:p>
        </w:tc>
        <w:tc>
          <w:tcPr>
            <w:tcW w:w="1145" w:type="dxa"/>
            <w:tcBorders>
              <w:top w:val="single" w:sz="4" w:space="0" w:color="000000"/>
              <w:left w:val="single" w:sz="4" w:space="0" w:color="000000"/>
              <w:bottom w:val="single" w:sz="4" w:space="0" w:color="000000"/>
              <w:right w:val="single" w:sz="4" w:space="0" w:color="000000"/>
            </w:tcBorders>
          </w:tcPr>
          <w:p w14:paraId="3E877D5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Tiriamųjų skaičius </w:t>
            </w:r>
          </w:p>
          <w:p w14:paraId="6EDF299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w:t>
            </w:r>
          </w:p>
        </w:tc>
        <w:tc>
          <w:tcPr>
            <w:tcW w:w="1356" w:type="dxa"/>
            <w:tcBorders>
              <w:top w:val="single" w:sz="4" w:space="0" w:color="000000"/>
              <w:left w:val="single" w:sz="4" w:space="0" w:color="000000"/>
              <w:bottom w:val="single" w:sz="4" w:space="0" w:color="000000"/>
              <w:right w:val="single" w:sz="4" w:space="0" w:color="000000"/>
            </w:tcBorders>
          </w:tcPr>
          <w:p w14:paraId="024AB92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Įvykių dažnis per </w:t>
            </w:r>
          </w:p>
          <w:p w14:paraId="07AD00D5" w14:textId="24796AEF"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w:t>
            </w:r>
            <w:r w:rsidR="00375A1B"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000 SPM*</w:t>
            </w:r>
          </w:p>
        </w:tc>
        <w:tc>
          <w:tcPr>
            <w:tcW w:w="1762" w:type="dxa"/>
            <w:tcBorders>
              <w:top w:val="single" w:sz="4" w:space="0" w:color="000000"/>
              <w:left w:val="single" w:sz="4" w:space="0" w:color="000000"/>
              <w:bottom w:val="single" w:sz="4" w:space="0" w:color="000000"/>
              <w:right w:val="single" w:sz="4" w:space="0" w:color="000000"/>
            </w:tcBorders>
          </w:tcPr>
          <w:p w14:paraId="130596B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(95 % PI)</w:t>
            </w:r>
          </w:p>
        </w:tc>
      </w:tr>
      <w:tr w:rsidR="0082730B" w:rsidRPr="0082730B" w14:paraId="05261189" w14:textId="77777777" w:rsidTr="00C32B7C">
        <w:trPr>
          <w:trHeight w:val="262"/>
        </w:trPr>
        <w:tc>
          <w:tcPr>
            <w:tcW w:w="2306" w:type="dxa"/>
            <w:tcBorders>
              <w:top w:val="single" w:sz="4" w:space="0" w:color="000000"/>
              <w:left w:val="single" w:sz="4" w:space="0" w:color="000000"/>
              <w:bottom w:val="single" w:sz="4" w:space="0" w:color="000000"/>
              <w:right w:val="single" w:sz="4" w:space="0" w:color="000000"/>
            </w:tcBorders>
          </w:tcPr>
          <w:p w14:paraId="4761FC10"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Pacientų skaičius</w:t>
            </w:r>
          </w:p>
        </w:tc>
        <w:tc>
          <w:tcPr>
            <w:tcW w:w="2494" w:type="dxa"/>
            <w:gridSpan w:val="2"/>
            <w:tcBorders>
              <w:top w:val="single" w:sz="4" w:space="0" w:color="000000"/>
              <w:left w:val="single" w:sz="4" w:space="0" w:color="000000"/>
              <w:bottom w:val="single" w:sz="4" w:space="0" w:color="000000"/>
              <w:right w:val="single" w:sz="4" w:space="0" w:color="000000"/>
            </w:tcBorders>
          </w:tcPr>
          <w:p w14:paraId="150FD2EC" w14:textId="0F955F3B"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w:t>
            </w:r>
            <w:r w:rsidR="00375A1B"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023</w:t>
            </w:r>
          </w:p>
        </w:tc>
        <w:tc>
          <w:tcPr>
            <w:tcW w:w="2501" w:type="dxa"/>
            <w:gridSpan w:val="2"/>
            <w:tcBorders>
              <w:top w:val="single" w:sz="4" w:space="0" w:color="000000"/>
              <w:left w:val="single" w:sz="4" w:space="0" w:color="000000"/>
              <w:bottom w:val="single" w:sz="4" w:space="0" w:color="000000"/>
              <w:right w:val="single" w:sz="4" w:space="0" w:color="000000"/>
            </w:tcBorders>
          </w:tcPr>
          <w:p w14:paraId="1B1B6ACC" w14:textId="077F459D"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w:t>
            </w:r>
            <w:r w:rsidR="00375A1B" w:rsidRPr="00135C1A">
              <w:rPr>
                <w:rFonts w:ascii="Times New Roman" w:hAnsi="Times New Roman" w:cs="Times New Roman"/>
                <w:color w:val="000000"/>
                <w:sz w:val="22"/>
                <w:szCs w:val="22"/>
              </w:rPr>
              <w:t> </w:t>
            </w:r>
            <w:r w:rsidRPr="0082730B">
              <w:rPr>
                <w:rFonts w:ascii="Times New Roman" w:hAnsi="Times New Roman" w:cs="Times New Roman"/>
                <w:color w:val="000000"/>
                <w:sz w:val="22"/>
                <w:szCs w:val="22"/>
              </w:rPr>
              <w:t>010</w:t>
            </w:r>
          </w:p>
        </w:tc>
        <w:tc>
          <w:tcPr>
            <w:tcW w:w="1762" w:type="dxa"/>
            <w:tcBorders>
              <w:top w:val="single" w:sz="4" w:space="0" w:color="000000"/>
              <w:left w:val="single" w:sz="4" w:space="0" w:color="000000"/>
              <w:bottom w:val="single" w:sz="4" w:space="0" w:color="000000"/>
              <w:right w:val="single" w:sz="4" w:space="0" w:color="000000"/>
            </w:tcBorders>
          </w:tcPr>
          <w:p w14:paraId="05DCDD65" w14:textId="77777777" w:rsidR="0082730B" w:rsidRPr="0082730B" w:rsidRDefault="0082730B" w:rsidP="00135C1A">
            <w:pPr>
              <w:rPr>
                <w:rFonts w:ascii="Times New Roman" w:hAnsi="Times New Roman" w:cs="Times New Roman"/>
                <w:color w:val="000000"/>
                <w:sz w:val="22"/>
                <w:szCs w:val="22"/>
              </w:rPr>
            </w:pPr>
          </w:p>
        </w:tc>
      </w:tr>
      <w:tr w:rsidR="0082730B" w:rsidRPr="0082730B" w14:paraId="250A10EE" w14:textId="77777777" w:rsidTr="00C32B7C">
        <w:trPr>
          <w:trHeight w:val="1529"/>
        </w:trPr>
        <w:tc>
          <w:tcPr>
            <w:tcW w:w="2306" w:type="dxa"/>
            <w:tcBorders>
              <w:top w:val="single" w:sz="4" w:space="0" w:color="000000"/>
              <w:left w:val="single" w:sz="4" w:space="0" w:color="000000"/>
              <w:bottom w:val="single" w:sz="4" w:space="0" w:color="000000"/>
              <w:right w:val="single" w:sz="4" w:space="0" w:color="000000"/>
            </w:tcBorders>
          </w:tcPr>
          <w:p w14:paraId="207B5DD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Pirminis ŠKS sudėtinis kriterijus (mirtis dėl priežasčių, susijusių su širdies ir kraujagyslių ligomis, nemirtinas MI, nemirtinas insultas)</w:t>
            </w:r>
          </w:p>
        </w:tc>
        <w:tc>
          <w:tcPr>
            <w:tcW w:w="1164" w:type="dxa"/>
            <w:tcBorders>
              <w:top w:val="single" w:sz="4" w:space="0" w:color="000000"/>
              <w:left w:val="single" w:sz="4" w:space="0" w:color="000000"/>
              <w:bottom w:val="single" w:sz="4" w:space="0" w:color="000000"/>
              <w:right w:val="single" w:sz="4" w:space="0" w:color="000000"/>
            </w:tcBorders>
          </w:tcPr>
          <w:p w14:paraId="37CB7C8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356 (11,8)</w:t>
            </w:r>
          </w:p>
        </w:tc>
        <w:tc>
          <w:tcPr>
            <w:tcW w:w="1330" w:type="dxa"/>
            <w:tcBorders>
              <w:top w:val="single" w:sz="4" w:space="0" w:color="000000"/>
              <w:left w:val="single" w:sz="4" w:space="0" w:color="000000"/>
              <w:bottom w:val="single" w:sz="4" w:space="0" w:color="000000"/>
              <w:right w:val="single" w:sz="4" w:space="0" w:color="000000"/>
            </w:tcBorders>
          </w:tcPr>
          <w:p w14:paraId="14756A8A"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20,7</w:t>
            </w:r>
          </w:p>
        </w:tc>
        <w:tc>
          <w:tcPr>
            <w:tcW w:w="1145" w:type="dxa"/>
            <w:tcBorders>
              <w:top w:val="single" w:sz="4" w:space="0" w:color="000000"/>
              <w:left w:val="single" w:sz="4" w:space="0" w:color="000000"/>
              <w:bottom w:val="single" w:sz="4" w:space="0" w:color="000000"/>
              <w:right w:val="single" w:sz="4" w:space="0" w:color="000000"/>
            </w:tcBorders>
          </w:tcPr>
          <w:p w14:paraId="7784F0A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362 (12,0)</w:t>
            </w:r>
          </w:p>
        </w:tc>
        <w:tc>
          <w:tcPr>
            <w:tcW w:w="1356" w:type="dxa"/>
            <w:tcBorders>
              <w:top w:val="single" w:sz="4" w:space="0" w:color="000000"/>
              <w:left w:val="single" w:sz="4" w:space="0" w:color="000000"/>
              <w:bottom w:val="single" w:sz="4" w:space="0" w:color="000000"/>
              <w:right w:val="single" w:sz="4" w:space="0" w:color="000000"/>
            </w:tcBorders>
          </w:tcPr>
          <w:p w14:paraId="4210D2D7"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21,2</w:t>
            </w:r>
          </w:p>
        </w:tc>
        <w:tc>
          <w:tcPr>
            <w:tcW w:w="1762" w:type="dxa"/>
            <w:tcBorders>
              <w:top w:val="single" w:sz="4" w:space="0" w:color="000000"/>
              <w:left w:val="single" w:sz="4" w:space="0" w:color="000000"/>
              <w:bottom w:val="single" w:sz="4" w:space="0" w:color="000000"/>
              <w:right w:val="single" w:sz="4" w:space="0" w:color="000000"/>
            </w:tcBorders>
          </w:tcPr>
          <w:p w14:paraId="1A75675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0,98 (0,84; 1,14)**</w:t>
            </w:r>
          </w:p>
        </w:tc>
      </w:tr>
      <w:tr w:rsidR="0082730B" w:rsidRPr="0082730B" w14:paraId="53BB18C2" w14:textId="77777777" w:rsidTr="00C32B7C">
        <w:trPr>
          <w:trHeight w:val="516"/>
        </w:trPr>
        <w:tc>
          <w:tcPr>
            <w:tcW w:w="2306" w:type="dxa"/>
            <w:tcBorders>
              <w:top w:val="single" w:sz="4" w:space="0" w:color="000000"/>
              <w:left w:val="single" w:sz="4" w:space="0" w:color="000000"/>
              <w:bottom w:val="single" w:sz="4" w:space="0" w:color="000000"/>
              <w:right w:val="single" w:sz="4" w:space="0" w:color="000000"/>
            </w:tcBorders>
          </w:tcPr>
          <w:p w14:paraId="0E38474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Mirštamumas dėl bet kurios priežasties</w:t>
            </w:r>
          </w:p>
        </w:tc>
        <w:tc>
          <w:tcPr>
            <w:tcW w:w="1164" w:type="dxa"/>
            <w:tcBorders>
              <w:top w:val="single" w:sz="4" w:space="0" w:color="000000"/>
              <w:left w:val="single" w:sz="4" w:space="0" w:color="000000"/>
              <w:bottom w:val="single" w:sz="4" w:space="0" w:color="000000"/>
              <w:right w:val="single" w:sz="4" w:space="0" w:color="000000"/>
            </w:tcBorders>
          </w:tcPr>
          <w:p w14:paraId="2012B62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308 (10,2)</w:t>
            </w:r>
          </w:p>
        </w:tc>
        <w:tc>
          <w:tcPr>
            <w:tcW w:w="1330" w:type="dxa"/>
            <w:tcBorders>
              <w:top w:val="single" w:sz="4" w:space="0" w:color="000000"/>
              <w:left w:val="single" w:sz="4" w:space="0" w:color="000000"/>
              <w:bottom w:val="single" w:sz="4" w:space="0" w:color="000000"/>
              <w:right w:val="single" w:sz="4" w:space="0" w:color="000000"/>
            </w:tcBorders>
          </w:tcPr>
          <w:p w14:paraId="08E29D5C"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16,8</w:t>
            </w:r>
          </w:p>
        </w:tc>
        <w:tc>
          <w:tcPr>
            <w:tcW w:w="1145" w:type="dxa"/>
            <w:tcBorders>
              <w:top w:val="single" w:sz="4" w:space="0" w:color="000000"/>
              <w:left w:val="single" w:sz="4" w:space="0" w:color="000000"/>
              <w:bottom w:val="single" w:sz="4" w:space="0" w:color="000000"/>
              <w:right w:val="single" w:sz="4" w:space="0" w:color="000000"/>
            </w:tcBorders>
          </w:tcPr>
          <w:p w14:paraId="78BB85D2"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336 (11,2)</w:t>
            </w:r>
          </w:p>
        </w:tc>
        <w:tc>
          <w:tcPr>
            <w:tcW w:w="1356" w:type="dxa"/>
            <w:tcBorders>
              <w:top w:val="single" w:sz="4" w:space="0" w:color="000000"/>
              <w:left w:val="single" w:sz="4" w:space="0" w:color="000000"/>
              <w:bottom w:val="single" w:sz="4" w:space="0" w:color="000000"/>
              <w:right w:val="single" w:sz="4" w:space="0" w:color="000000"/>
            </w:tcBorders>
          </w:tcPr>
          <w:p w14:paraId="4D09BA5B"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18,4</w:t>
            </w:r>
          </w:p>
        </w:tc>
        <w:tc>
          <w:tcPr>
            <w:tcW w:w="1762" w:type="dxa"/>
            <w:tcBorders>
              <w:top w:val="single" w:sz="4" w:space="0" w:color="000000"/>
              <w:left w:val="single" w:sz="4" w:space="0" w:color="000000"/>
              <w:bottom w:val="single" w:sz="4" w:space="0" w:color="000000"/>
              <w:right w:val="single" w:sz="4" w:space="0" w:color="000000"/>
            </w:tcBorders>
          </w:tcPr>
          <w:p w14:paraId="093F12A6"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0,91 (0,78; 1,06)</w:t>
            </w:r>
          </w:p>
        </w:tc>
      </w:tr>
      <w:tr w:rsidR="0082730B" w:rsidRPr="0082730B" w14:paraId="40AC652B" w14:textId="77777777" w:rsidTr="00C32B7C">
        <w:trPr>
          <w:trHeight w:val="768"/>
        </w:trPr>
        <w:tc>
          <w:tcPr>
            <w:tcW w:w="2306" w:type="dxa"/>
            <w:tcBorders>
              <w:top w:val="single" w:sz="4" w:space="0" w:color="000000"/>
              <w:left w:val="single" w:sz="4" w:space="0" w:color="000000"/>
              <w:bottom w:val="single" w:sz="4" w:space="0" w:color="000000"/>
              <w:right w:val="single" w:sz="4" w:space="0" w:color="000000"/>
            </w:tcBorders>
          </w:tcPr>
          <w:p w14:paraId="4BB1BBFE"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Mirtis dėl priežasčių, susijusių su širdies ir kraujagyslių ligomis</w:t>
            </w:r>
          </w:p>
        </w:tc>
        <w:tc>
          <w:tcPr>
            <w:tcW w:w="1164" w:type="dxa"/>
            <w:tcBorders>
              <w:top w:val="single" w:sz="4" w:space="0" w:color="000000"/>
              <w:left w:val="single" w:sz="4" w:space="0" w:color="000000"/>
              <w:bottom w:val="single" w:sz="4" w:space="0" w:color="000000"/>
              <w:right w:val="single" w:sz="4" w:space="0" w:color="000000"/>
            </w:tcBorders>
          </w:tcPr>
          <w:p w14:paraId="7C85E03A"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169 (5,6)</w:t>
            </w:r>
          </w:p>
        </w:tc>
        <w:tc>
          <w:tcPr>
            <w:tcW w:w="1330" w:type="dxa"/>
            <w:tcBorders>
              <w:top w:val="single" w:sz="4" w:space="0" w:color="000000"/>
              <w:left w:val="single" w:sz="4" w:space="0" w:color="000000"/>
              <w:bottom w:val="single" w:sz="4" w:space="0" w:color="000000"/>
              <w:right w:val="single" w:sz="4" w:space="0" w:color="000000"/>
            </w:tcBorders>
          </w:tcPr>
          <w:p w14:paraId="36F812EC"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9,2</w:t>
            </w:r>
          </w:p>
        </w:tc>
        <w:tc>
          <w:tcPr>
            <w:tcW w:w="1145" w:type="dxa"/>
            <w:tcBorders>
              <w:top w:val="single" w:sz="4" w:space="0" w:color="000000"/>
              <w:left w:val="single" w:sz="4" w:space="0" w:color="000000"/>
              <w:bottom w:val="single" w:sz="4" w:space="0" w:color="000000"/>
              <w:right w:val="single" w:sz="4" w:space="0" w:color="000000"/>
            </w:tcBorders>
          </w:tcPr>
          <w:p w14:paraId="65FAB95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168 (5,6)</w:t>
            </w:r>
          </w:p>
        </w:tc>
        <w:tc>
          <w:tcPr>
            <w:tcW w:w="1356" w:type="dxa"/>
            <w:tcBorders>
              <w:top w:val="single" w:sz="4" w:space="0" w:color="000000"/>
              <w:left w:val="single" w:sz="4" w:space="0" w:color="000000"/>
              <w:bottom w:val="single" w:sz="4" w:space="0" w:color="000000"/>
              <w:right w:val="single" w:sz="4" w:space="0" w:color="000000"/>
            </w:tcBorders>
          </w:tcPr>
          <w:p w14:paraId="5EA4C44C"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9,2</w:t>
            </w:r>
          </w:p>
        </w:tc>
        <w:tc>
          <w:tcPr>
            <w:tcW w:w="1762" w:type="dxa"/>
            <w:tcBorders>
              <w:top w:val="single" w:sz="4" w:space="0" w:color="000000"/>
              <w:left w:val="single" w:sz="4" w:space="0" w:color="000000"/>
              <w:bottom w:val="single" w:sz="4" w:space="0" w:color="000000"/>
              <w:right w:val="single" w:sz="4" w:space="0" w:color="000000"/>
            </w:tcBorders>
          </w:tcPr>
          <w:p w14:paraId="720B905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1,00 (0,81; 1,24)</w:t>
            </w:r>
          </w:p>
        </w:tc>
      </w:tr>
      <w:tr w:rsidR="0082730B" w:rsidRPr="0082730B" w14:paraId="061E6F8C" w14:textId="77777777" w:rsidTr="00C32B7C">
        <w:trPr>
          <w:trHeight w:val="1022"/>
        </w:trPr>
        <w:tc>
          <w:tcPr>
            <w:tcW w:w="2306" w:type="dxa"/>
            <w:tcBorders>
              <w:top w:val="single" w:sz="4" w:space="0" w:color="000000"/>
              <w:left w:val="single" w:sz="4" w:space="0" w:color="000000"/>
              <w:bottom w:val="single" w:sz="4" w:space="0" w:color="000000"/>
              <w:right w:val="single" w:sz="4" w:space="0" w:color="000000"/>
            </w:tcBorders>
          </w:tcPr>
          <w:p w14:paraId="30B1F24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 xml:space="preserve">Hospitalizacija dėl širdies </w:t>
            </w:r>
          </w:p>
          <w:p w14:paraId="35A81E21"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nepakankamumo (HŠN)</w:t>
            </w:r>
          </w:p>
        </w:tc>
        <w:tc>
          <w:tcPr>
            <w:tcW w:w="1164" w:type="dxa"/>
            <w:tcBorders>
              <w:top w:val="single" w:sz="4" w:space="0" w:color="000000"/>
              <w:left w:val="single" w:sz="4" w:space="0" w:color="000000"/>
              <w:bottom w:val="single" w:sz="4" w:space="0" w:color="000000"/>
              <w:right w:val="single" w:sz="4" w:space="0" w:color="000000"/>
            </w:tcBorders>
          </w:tcPr>
          <w:p w14:paraId="0D98A265"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112 (3,7)</w:t>
            </w:r>
          </w:p>
        </w:tc>
        <w:tc>
          <w:tcPr>
            <w:tcW w:w="1330" w:type="dxa"/>
            <w:tcBorders>
              <w:top w:val="single" w:sz="4" w:space="0" w:color="000000"/>
              <w:left w:val="single" w:sz="4" w:space="0" w:color="000000"/>
              <w:bottom w:val="single" w:sz="4" w:space="0" w:color="000000"/>
              <w:right w:val="single" w:sz="4" w:space="0" w:color="000000"/>
            </w:tcBorders>
          </w:tcPr>
          <w:p w14:paraId="339ABE54"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6,4</w:t>
            </w:r>
          </w:p>
        </w:tc>
        <w:tc>
          <w:tcPr>
            <w:tcW w:w="1145" w:type="dxa"/>
            <w:tcBorders>
              <w:top w:val="single" w:sz="4" w:space="0" w:color="000000"/>
              <w:left w:val="single" w:sz="4" w:space="0" w:color="000000"/>
              <w:bottom w:val="single" w:sz="4" w:space="0" w:color="000000"/>
              <w:right w:val="single" w:sz="4" w:space="0" w:color="000000"/>
            </w:tcBorders>
          </w:tcPr>
          <w:p w14:paraId="52847AD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92 (3,1)</w:t>
            </w:r>
          </w:p>
        </w:tc>
        <w:tc>
          <w:tcPr>
            <w:tcW w:w="1356" w:type="dxa"/>
            <w:tcBorders>
              <w:top w:val="single" w:sz="4" w:space="0" w:color="000000"/>
              <w:left w:val="single" w:sz="4" w:space="0" w:color="000000"/>
              <w:bottom w:val="single" w:sz="4" w:space="0" w:color="000000"/>
              <w:right w:val="single" w:sz="4" w:space="0" w:color="000000"/>
            </w:tcBorders>
          </w:tcPr>
          <w:p w14:paraId="3F69CAF9"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5,3</w:t>
            </w:r>
          </w:p>
        </w:tc>
        <w:tc>
          <w:tcPr>
            <w:tcW w:w="1762" w:type="dxa"/>
            <w:tcBorders>
              <w:top w:val="single" w:sz="4" w:space="0" w:color="000000"/>
              <w:left w:val="single" w:sz="4" w:space="0" w:color="000000"/>
              <w:bottom w:val="single" w:sz="4" w:space="0" w:color="000000"/>
              <w:right w:val="single" w:sz="4" w:space="0" w:color="000000"/>
            </w:tcBorders>
          </w:tcPr>
          <w:p w14:paraId="589C7AC3" w14:textId="77777777" w:rsidR="0082730B" w:rsidRPr="0082730B" w:rsidRDefault="0082730B" w:rsidP="00135C1A">
            <w:pPr>
              <w:rPr>
                <w:rFonts w:ascii="Times New Roman" w:hAnsi="Times New Roman" w:cs="Times New Roman"/>
                <w:color w:val="000000"/>
                <w:sz w:val="22"/>
                <w:szCs w:val="22"/>
              </w:rPr>
            </w:pPr>
            <w:r w:rsidRPr="0082730B">
              <w:rPr>
                <w:rFonts w:ascii="Times New Roman" w:hAnsi="Times New Roman" w:cs="Times New Roman"/>
                <w:color w:val="000000"/>
                <w:sz w:val="22"/>
                <w:szCs w:val="22"/>
              </w:rPr>
              <w:t>1,21 (0,92; 1,59)</w:t>
            </w:r>
          </w:p>
        </w:tc>
      </w:tr>
    </w:tbl>
    <w:p w14:paraId="58AA0621" w14:textId="77777777" w:rsidR="0082730B" w:rsidRPr="0082730B" w:rsidRDefault="0082730B" w:rsidP="00135C1A">
      <w:pPr>
        <w:tabs>
          <w:tab w:val="center" w:pos="1601"/>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ab/>
        <w:t>SPM = sutartiniai pacientų metai</w:t>
      </w:r>
    </w:p>
    <w:p w14:paraId="0DBA09A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Neprastesnio rezultato testas, skirtas parodyti, kad viršutinė 95 % PI rizikos santykio riba yra mažesnė kaip 1,3</w:t>
      </w:r>
    </w:p>
    <w:p w14:paraId="42F8521E" w14:textId="77777777" w:rsidR="00375A1B" w:rsidRPr="00135C1A" w:rsidRDefault="00375A1B" w:rsidP="00135C1A">
      <w:pPr>
        <w:spacing w:after="0" w:line="240" w:lineRule="auto"/>
        <w:rPr>
          <w:rFonts w:ascii="Times New Roman" w:eastAsia="Times New Roman" w:hAnsi="Times New Roman" w:cs="Times New Roman"/>
          <w:color w:val="000000"/>
          <w:lang w:eastAsia="lt-LT"/>
        </w:rPr>
      </w:pPr>
    </w:p>
    <w:p w14:paraId="35109067" w14:textId="1A592639"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Visą gydymo laikotarpį (gydymo laiko mediana siekė 5,9</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metų) pacientų, patyrusių vidutinio sunkumo arba sunkią hipoglikemiją, rodiklis linagliptino grupėje buvo 6,5 %, palyginti su 30,9 % glimepirido grupėje; sunki hipoglikemija ištiko 0,3 % pacientų, vartojusių linagliptiną, palyginti su 2,2 % pacientų, vartojusių glimepiridą.</w:t>
      </w:r>
    </w:p>
    <w:p w14:paraId="772874EB" w14:textId="77777777" w:rsidR="00375A1B" w:rsidRPr="00135C1A" w:rsidRDefault="00375A1B" w:rsidP="00135C1A">
      <w:pPr>
        <w:keepNext/>
        <w:keepLines/>
        <w:spacing w:after="0" w:line="240" w:lineRule="auto"/>
        <w:outlineLvl w:val="2"/>
        <w:rPr>
          <w:rFonts w:ascii="Times New Roman" w:eastAsia="Times New Roman" w:hAnsi="Times New Roman" w:cs="Times New Roman"/>
          <w:i/>
          <w:color w:val="000000"/>
          <w:lang w:eastAsia="lt-LT"/>
        </w:rPr>
      </w:pPr>
    </w:p>
    <w:p w14:paraId="57807F41" w14:textId="77777777"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Vaikų populiacija</w:t>
      </w:r>
    </w:p>
    <w:p w14:paraId="779ED785" w14:textId="1791FB8A"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Atliekant 26</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savaičių trukmės dvigubai </w:t>
      </w:r>
      <w:r w:rsidR="004F72E1">
        <w:rPr>
          <w:rFonts w:ascii="Times New Roman" w:eastAsia="Times New Roman" w:hAnsi="Times New Roman" w:cs="Times New Roman"/>
          <w:color w:val="000000"/>
          <w:lang w:eastAsia="lt-LT"/>
        </w:rPr>
        <w:t>koduotą</w:t>
      </w:r>
      <w:r w:rsidRPr="0082730B">
        <w:rPr>
          <w:rFonts w:ascii="Times New Roman" w:eastAsia="Times New Roman" w:hAnsi="Times New Roman" w:cs="Times New Roman"/>
          <w:color w:val="000000"/>
          <w:lang w:eastAsia="lt-LT"/>
        </w:rPr>
        <w:t>, atsitiktinių imčių, placebu kontroliuojamą, lygiagrečių grupių tyrimą (DINAMO) su iki 52</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savaičių trukmės dvigubai </w:t>
      </w:r>
      <w:r w:rsidR="00601BBC">
        <w:rPr>
          <w:rFonts w:ascii="Times New Roman" w:eastAsia="Times New Roman" w:hAnsi="Times New Roman" w:cs="Times New Roman"/>
          <w:color w:val="000000"/>
          <w:lang w:eastAsia="lt-LT"/>
        </w:rPr>
        <w:t>koduotu</w:t>
      </w:r>
      <w:r w:rsidRPr="0082730B">
        <w:rPr>
          <w:rFonts w:ascii="Times New Roman" w:eastAsia="Times New Roman" w:hAnsi="Times New Roman" w:cs="Times New Roman"/>
          <w:color w:val="000000"/>
          <w:lang w:eastAsia="lt-LT"/>
        </w:rPr>
        <w:t xml:space="preserve"> gydymo veikliąja medžiaga saugumo tęstiniu periodu, tirti 10 mg empagliflozino su galimybe padidinti iki 25 mg, arba 5 mg linagliptino, vartojamų vieną kartą per parą, klinikinis veiksmingumas ir saugumas 10</w:t>
      </w:r>
      <w:r w:rsidR="00375A1B"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17 metų vaikams ir paaugliams, sergantiems 2</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w:t>
      </w:r>
    </w:p>
    <w:p w14:paraId="63D32B9F" w14:textId="77777777" w:rsidR="00375A1B" w:rsidRPr="00135C1A" w:rsidRDefault="00375A1B" w:rsidP="00135C1A">
      <w:pPr>
        <w:spacing w:after="0" w:line="240" w:lineRule="auto"/>
        <w:rPr>
          <w:rFonts w:ascii="Times New Roman" w:eastAsia="Times New Roman" w:hAnsi="Times New Roman" w:cs="Times New Roman"/>
          <w:color w:val="000000"/>
          <w:lang w:eastAsia="lt-LT"/>
        </w:rPr>
      </w:pPr>
    </w:p>
    <w:p w14:paraId="23BF13A3" w14:textId="69A011E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Pradinio vertinimo metu vidutinis HbA</w:t>
      </w:r>
      <w:r w:rsidRPr="0082730B">
        <w:rPr>
          <w:rFonts w:ascii="Times New Roman" w:eastAsia="Times New Roman" w:hAnsi="Times New Roman" w:cs="Times New Roman"/>
          <w:color w:val="000000"/>
          <w:vertAlign w:val="subscript"/>
          <w:lang w:eastAsia="lt-LT"/>
        </w:rPr>
        <w:t xml:space="preserve">1c </w:t>
      </w:r>
      <w:r w:rsidRPr="0082730B">
        <w:rPr>
          <w:rFonts w:ascii="Times New Roman" w:eastAsia="Times New Roman" w:hAnsi="Times New Roman" w:cs="Times New Roman"/>
          <w:color w:val="000000"/>
          <w:lang w:eastAsia="lt-LT"/>
        </w:rPr>
        <w:t>buvo 8,03 %. Gydymas 5 mg linagliptino reikšmingai nepagerino HbA</w:t>
      </w:r>
      <w:r w:rsidRPr="0082730B">
        <w:rPr>
          <w:rFonts w:ascii="Times New Roman" w:eastAsia="Times New Roman" w:hAnsi="Times New Roman" w:cs="Times New Roman"/>
          <w:color w:val="000000"/>
          <w:vertAlign w:val="subscript"/>
          <w:lang w:eastAsia="lt-LT"/>
        </w:rPr>
        <w:t>1c</w:t>
      </w:r>
      <w:r w:rsidRPr="0082730B">
        <w:rPr>
          <w:rFonts w:ascii="Times New Roman" w:eastAsia="Times New Roman" w:hAnsi="Times New Roman" w:cs="Times New Roman"/>
          <w:color w:val="000000"/>
          <w:lang w:eastAsia="lt-LT"/>
        </w:rPr>
        <w:t>. Gydymo linagliptinu ir placebu skirtumas pagal koreguotąjį vidutinį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po 26</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savaičių buvo -0,34 % (95 % PI: -0,99; 0,3; p</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0,2935). Koreguotasis vidutinis HbA</w:t>
      </w:r>
      <w:r w:rsidRPr="0082730B">
        <w:rPr>
          <w:rFonts w:ascii="Times New Roman" w:eastAsia="Times New Roman" w:hAnsi="Times New Roman" w:cs="Times New Roman"/>
          <w:color w:val="000000"/>
          <w:vertAlign w:val="subscript"/>
          <w:lang w:eastAsia="lt-LT"/>
        </w:rPr>
        <w:t>1c</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pokytis nuo pradinio vertinimo buvo 0,33 % pacientams, vartojusiems linagliptiną, ir 0,68 % pacientams, vartojusiems placebą (žr. 4.2</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skyrių).</w:t>
      </w:r>
    </w:p>
    <w:p w14:paraId="7797C2F1" w14:textId="77777777" w:rsidR="00375A1B" w:rsidRPr="00135C1A" w:rsidRDefault="00375A1B" w:rsidP="00135C1A">
      <w:pPr>
        <w:keepNext/>
        <w:keepLines/>
        <w:tabs>
          <w:tab w:val="center" w:pos="1811"/>
        </w:tabs>
        <w:spacing w:after="0" w:line="240" w:lineRule="auto"/>
        <w:outlineLvl w:val="3"/>
        <w:rPr>
          <w:rFonts w:ascii="Times New Roman" w:eastAsia="Times New Roman" w:hAnsi="Times New Roman" w:cs="Times New Roman"/>
          <w:b/>
          <w:color w:val="000000"/>
          <w:lang w:eastAsia="lt-LT"/>
        </w:rPr>
      </w:pPr>
    </w:p>
    <w:p w14:paraId="746113AD" w14:textId="77777777" w:rsidR="0082730B" w:rsidRPr="00135C1A" w:rsidRDefault="0082730B" w:rsidP="00135C1A">
      <w:pPr>
        <w:keepNext/>
        <w:keepLines/>
        <w:tabs>
          <w:tab w:val="center" w:pos="1811"/>
        </w:tabs>
        <w:spacing w:after="0" w:line="240" w:lineRule="auto"/>
        <w:outlineLvl w:val="3"/>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5.2</w:t>
      </w:r>
      <w:r w:rsidRPr="0082730B">
        <w:rPr>
          <w:rFonts w:ascii="Times New Roman" w:eastAsia="Times New Roman" w:hAnsi="Times New Roman" w:cs="Times New Roman"/>
          <w:b/>
          <w:color w:val="000000"/>
          <w:lang w:eastAsia="lt-LT"/>
        </w:rPr>
        <w:tab/>
        <w:t>Farmakokinetinės savybės</w:t>
      </w:r>
    </w:p>
    <w:p w14:paraId="52F30523" w14:textId="77777777" w:rsidR="00375A1B" w:rsidRPr="0082730B" w:rsidRDefault="00375A1B" w:rsidP="00135C1A">
      <w:pPr>
        <w:keepNext/>
        <w:keepLines/>
        <w:tabs>
          <w:tab w:val="center" w:pos="1811"/>
        </w:tabs>
        <w:spacing w:after="0" w:line="240" w:lineRule="auto"/>
        <w:outlineLvl w:val="3"/>
        <w:rPr>
          <w:rFonts w:ascii="Times New Roman" w:eastAsia="Times New Roman" w:hAnsi="Times New Roman" w:cs="Times New Roman"/>
          <w:b/>
          <w:color w:val="000000"/>
          <w:lang w:eastAsia="lt-LT"/>
        </w:rPr>
      </w:pPr>
    </w:p>
    <w:p w14:paraId="4B3CCE48" w14:textId="52465FDA"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Linagliptino farmakokinetika plačiai buvo tirta sveikų savanorių ir 2</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sergančių pacientų organizme. 5 mg dozę išgėrusių sveikų savanorių ar pacientų organizme linagliptino absorbcija buvo greita, didžiausia koncentracija kraujo plazmoje (t</w:t>
      </w:r>
      <w:r w:rsidRPr="0082730B">
        <w:rPr>
          <w:rFonts w:ascii="Times New Roman" w:eastAsia="Times New Roman" w:hAnsi="Times New Roman" w:cs="Times New Roman"/>
          <w:color w:val="000000"/>
          <w:vertAlign w:val="subscript"/>
          <w:lang w:eastAsia="lt-LT"/>
        </w:rPr>
        <w:t xml:space="preserve">max </w:t>
      </w:r>
      <w:r w:rsidRPr="0082730B">
        <w:rPr>
          <w:rFonts w:ascii="Times New Roman" w:eastAsia="Times New Roman" w:hAnsi="Times New Roman" w:cs="Times New Roman"/>
          <w:color w:val="000000"/>
          <w:lang w:eastAsia="lt-LT"/>
        </w:rPr>
        <w:t>mediana) atsirado po 1,5</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val.</w:t>
      </w:r>
    </w:p>
    <w:p w14:paraId="6BB56F05" w14:textId="77777777" w:rsidR="00EC6C68" w:rsidRPr="00135C1A" w:rsidRDefault="00EC6C68" w:rsidP="00135C1A">
      <w:pPr>
        <w:spacing w:after="0" w:line="240" w:lineRule="auto"/>
        <w:rPr>
          <w:rFonts w:ascii="Times New Roman" w:eastAsia="Times New Roman" w:hAnsi="Times New Roman" w:cs="Times New Roman"/>
          <w:color w:val="000000"/>
          <w:lang w:eastAsia="lt-LT"/>
        </w:rPr>
      </w:pPr>
    </w:p>
    <w:p w14:paraId="76C27280" w14:textId="57932028"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Linagliptino koncentracijos mažėjimas kraujo plazmoje yra trifazis, galutinės fazės metu pusinės eliminacijos laikas yra ilgas (galutinė linagliptino pusinė eliminacija trunka ilgiau negu 100</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val.) ir daugiausiai priklauso nuo linagliptino įsotinamojo, tvirto prisijungimo prie DPP-4, o vaistinio preparato kaupimuisi organizme įtakos nedaro. Linagliptino kaupimosi efektyvus laikas, nustatytas daugkartinių 5 mg dozių vartojimo per burną metu, yra maždaug 12</w:t>
      </w:r>
      <w:r w:rsidR="00375A1B"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val. Vartojant po vieną 5 mg linagliptino dozę per parą, pusiausvyrinė koncentracija kraujo plazmoje nusistovi po trečiosios dozės pavartojimo. 5 mg dozę vartojant tuo metu, kai koncentracija pusiausvyrinė, linagliptino AUC būna maždaug 33</w:t>
      </w:r>
      <w:r w:rsidR="006855AE" w:rsidRPr="0082730B">
        <w:rPr>
          <w:rFonts w:ascii="Times New Roman" w:eastAsia="Times New Roman" w:hAnsi="Times New Roman" w:cs="Times New Roman"/>
          <w:color w:val="000000"/>
          <w:lang w:eastAsia="lt-LT"/>
        </w:rPr>
        <w:t> %</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didesnis negu po pirmosios dozės pavartojimo. Atskirų ir to paties paciento organizme linagliptino AUC variacijos koeficientas buvo mažas (atitinkamai 12,6 ir 28,5</w:t>
      </w:r>
      <w:r w:rsidR="006855AE" w:rsidRPr="00135C1A">
        <w:rPr>
          <w:rFonts w:ascii="Times New Roman" w:eastAsia="Times New Roman" w:hAnsi="Times New Roman" w:cs="Times New Roman"/>
          <w:color w:val="000000"/>
          <w:lang w:eastAsia="lt-LT"/>
        </w:rPr>
        <w:t> </w:t>
      </w:r>
      <w:r w:rsidR="006855AE"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xml:space="preserve">). Dėl nuo koncentracijos priklausomo linagliptino prisijungimo prie DPP-4 linagliptino farmakokinetika, remiantis bendra ekspozicija, nėra tiesinė: bendro linagliptino AUC kraujo plazmoje didėja mažiau negu dozei proporcingai, neprisijungusio linagliptino AUC </w:t>
      </w:r>
      <w:r w:rsidR="00EC6C68" w:rsidRPr="00135C1A">
        <w:rPr>
          <w:rFonts w:ascii="Times New Roman" w:eastAsia="Segoe UI Symbol" w:hAnsi="Times New Roman" w:cs="Times New Roman"/>
          <w:color w:val="000000"/>
          <w:lang w:eastAsia="lt-LT"/>
        </w:rPr>
        <w:t>–</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apytikriai proporcingai dozės dydžiui. Sveikų asmenų ir 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sergančių pacientų organizme linagliptino farmakokinetika paprastai buvo panaši.</w:t>
      </w:r>
    </w:p>
    <w:p w14:paraId="7E2A860D" w14:textId="77777777" w:rsidR="00EC6C68" w:rsidRPr="00135C1A" w:rsidRDefault="00EC6C68"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1CAF8A3E" w14:textId="77777777"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Absorbcija</w:t>
      </w:r>
    </w:p>
    <w:p w14:paraId="15573C2D" w14:textId="5A2086ED"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Absoliutus linagliptino biologinis prieinamumas yra maždaug 30</w:t>
      </w:r>
      <w:r w:rsidR="00EC6C68" w:rsidRPr="00135C1A">
        <w:rPr>
          <w:rFonts w:ascii="Times New Roman" w:eastAsia="Times New Roman" w:hAnsi="Times New Roman" w:cs="Times New Roman"/>
          <w:color w:val="000000"/>
          <w:lang w:eastAsia="lt-LT"/>
        </w:rPr>
        <w:t> </w:t>
      </w:r>
      <w:r w:rsidR="00EC6C68"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Labai riebus maistas kartu pavartoto linagliptino laiką iki tol, kol koncentracija kraujo plazmoje tampa didžiausia, pailgino 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val. ir C</w:t>
      </w:r>
      <w:r w:rsidRPr="0082730B">
        <w:rPr>
          <w:rFonts w:ascii="Times New Roman" w:eastAsia="Times New Roman" w:hAnsi="Times New Roman" w:cs="Times New Roman"/>
          <w:color w:val="000000"/>
          <w:vertAlign w:val="subscript"/>
          <w:lang w:eastAsia="lt-LT"/>
        </w:rPr>
        <w:t xml:space="preserve">max </w:t>
      </w:r>
      <w:r w:rsidRPr="0082730B">
        <w:rPr>
          <w:rFonts w:ascii="Times New Roman" w:eastAsia="Times New Roman" w:hAnsi="Times New Roman" w:cs="Times New Roman"/>
          <w:color w:val="000000"/>
          <w:lang w:eastAsia="lt-LT"/>
        </w:rPr>
        <w:t>sumažino 15</w:t>
      </w:r>
      <w:r w:rsidR="00EC6C68" w:rsidRPr="00135C1A">
        <w:rPr>
          <w:rFonts w:ascii="Times New Roman" w:eastAsia="Times New Roman" w:hAnsi="Times New Roman" w:cs="Times New Roman"/>
          <w:color w:val="000000"/>
          <w:lang w:eastAsia="lt-LT"/>
        </w:rPr>
        <w:t> </w:t>
      </w:r>
      <w:r w:rsidR="00EC6C68"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tačiau AUC</w:t>
      </w:r>
      <w:r w:rsidRPr="0082730B">
        <w:rPr>
          <w:rFonts w:ascii="Times New Roman" w:eastAsia="Times New Roman" w:hAnsi="Times New Roman" w:cs="Times New Roman"/>
          <w:color w:val="000000"/>
          <w:vertAlign w:val="subscript"/>
          <w:lang w:eastAsia="lt-LT"/>
        </w:rPr>
        <w:t xml:space="preserve">0-72 val. </w:t>
      </w:r>
      <w:r w:rsidRPr="0082730B">
        <w:rPr>
          <w:rFonts w:ascii="Times New Roman" w:eastAsia="Times New Roman" w:hAnsi="Times New Roman" w:cs="Times New Roman"/>
          <w:color w:val="000000"/>
          <w:lang w:eastAsia="lt-LT"/>
        </w:rPr>
        <w:t>poveikio nedarė. Kliniškai reikšmingas poveikis C</w:t>
      </w:r>
      <w:r w:rsidRPr="0082730B">
        <w:rPr>
          <w:rFonts w:ascii="Times New Roman" w:eastAsia="Times New Roman" w:hAnsi="Times New Roman" w:cs="Times New Roman"/>
          <w:color w:val="000000"/>
          <w:vertAlign w:val="subscript"/>
          <w:lang w:eastAsia="lt-LT"/>
        </w:rPr>
        <w:t xml:space="preserve">max </w:t>
      </w:r>
      <w:r w:rsidRPr="0082730B">
        <w:rPr>
          <w:rFonts w:ascii="Times New Roman" w:eastAsia="Times New Roman" w:hAnsi="Times New Roman" w:cs="Times New Roman"/>
          <w:color w:val="000000"/>
          <w:lang w:eastAsia="lt-LT"/>
        </w:rPr>
        <w:t>ir t</w:t>
      </w:r>
      <w:r w:rsidRPr="0082730B">
        <w:rPr>
          <w:rFonts w:ascii="Times New Roman" w:eastAsia="Times New Roman" w:hAnsi="Times New Roman" w:cs="Times New Roman"/>
          <w:color w:val="000000"/>
          <w:vertAlign w:val="subscript"/>
          <w:lang w:eastAsia="lt-LT"/>
        </w:rPr>
        <w:t xml:space="preserve">max </w:t>
      </w:r>
      <w:r w:rsidRPr="0082730B">
        <w:rPr>
          <w:rFonts w:ascii="Times New Roman" w:eastAsia="Times New Roman" w:hAnsi="Times New Roman" w:cs="Times New Roman"/>
          <w:color w:val="000000"/>
          <w:lang w:eastAsia="lt-LT"/>
        </w:rPr>
        <w:t>nėra tikėtinas, todėl linagliptino galima gerti su maistu arba nevalgius.</w:t>
      </w:r>
    </w:p>
    <w:p w14:paraId="694170C8" w14:textId="77777777" w:rsidR="00EC6C68" w:rsidRPr="00135C1A" w:rsidRDefault="00EC6C68"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4EAC410B" w14:textId="77777777"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Pasiskirstymas</w:t>
      </w:r>
    </w:p>
    <w:p w14:paraId="414833C3" w14:textId="1D345D81"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Sveikų asmenų organizme į veną suleistos 5 mg linagliptino dozės vidutinis tariamasis pasiskirstymo tūris tuo metu, kai apykaita pusiausvyrinė, dėl prisijungimo prie audinių yra maždaug 1</w:t>
      </w:r>
      <w:r w:rsidR="00EC6C68" w:rsidRPr="00135C1A">
        <w:rPr>
          <w:rFonts w:ascii="Times New Roman" w:hAnsi="Times New Roman" w:cs="Times New Roman"/>
          <w:lang w:eastAsia="lt-LT"/>
        </w:rPr>
        <w:t> </w:t>
      </w:r>
      <w:r w:rsidRPr="0082730B">
        <w:rPr>
          <w:rFonts w:ascii="Times New Roman" w:eastAsia="Times New Roman" w:hAnsi="Times New Roman" w:cs="Times New Roman"/>
          <w:color w:val="000000"/>
          <w:lang w:eastAsia="lt-LT"/>
        </w:rPr>
        <w:t>110 litrų. Tai rodo, kad linagliptinas plačiai pasiskirsto audiniuose. Linagliptino prisijungimas prie kraujo plazmos baltymų priklauso nuo jo koncentracijos kraujyje: jei koncentracija yra 1</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nmol/l, prisijungia maždaug 99 %, jei ≥</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30 nmol/l – 75</w:t>
      </w:r>
      <w:r w:rsidR="00EC6C68"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89 %. Tai rodo, kad prisijungimas prie DDP-4 įsotinamas didėjant linagliptino koncentracijai kraujyje. Kai koncentracija didelė ir prisijungimas prie DPP-4 visiškai įsotintas, prie kitokių (ne DPP-4) kraujo plazmos baltymų linagliptino prisijungė 70</w:t>
      </w:r>
      <w:r w:rsidR="00EC6C68"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80 %, o neprisijungusių kraujo plazmoje buvo 30</w:t>
      </w:r>
      <w:r w:rsidR="00EC6C68"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20 %.</w:t>
      </w:r>
    </w:p>
    <w:p w14:paraId="5B38594C" w14:textId="77777777" w:rsidR="00EC6C68" w:rsidRPr="00135C1A" w:rsidRDefault="00EC6C68"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09F6A7D8" w14:textId="77777777"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Biotransformacija</w:t>
      </w:r>
    </w:p>
    <w:p w14:paraId="30B6D9D4" w14:textId="566B8A2A"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Išgėrus 10 mg [</w:t>
      </w:r>
      <w:r w:rsidRPr="0082730B">
        <w:rPr>
          <w:rFonts w:ascii="Times New Roman" w:eastAsia="Times New Roman" w:hAnsi="Times New Roman" w:cs="Times New Roman"/>
          <w:color w:val="000000"/>
          <w:vertAlign w:val="superscript"/>
          <w:lang w:eastAsia="lt-LT"/>
        </w:rPr>
        <w:t>14</w:t>
      </w:r>
      <w:r w:rsidRPr="0082730B">
        <w:rPr>
          <w:rFonts w:ascii="Times New Roman" w:eastAsia="Times New Roman" w:hAnsi="Times New Roman" w:cs="Times New Roman"/>
          <w:color w:val="000000"/>
          <w:lang w:eastAsia="lt-LT"/>
        </w:rPr>
        <w:t>C] linagliptino dozę, maždaug 5 % radioaktyvumo iš organizmo išsiskyrė su šlapimu. Metabolizmas linagliptino eliminacijai nėra toks svarbus. Vieno svarbiausio metabolito santykinė 13,3 % ekspozicija buvo nustatyta tada, kai linagliptino apykaita buvo pusiausvyrinė, tačiau farmakologiškai šis metabolitas yra neveiklus, todėl neprisideda prie linagliptino sukeliamo DPP-4 slopinimo kraujo plazmoje.</w:t>
      </w:r>
    </w:p>
    <w:p w14:paraId="32A13209" w14:textId="77777777" w:rsidR="00EC6C68" w:rsidRPr="00135C1A" w:rsidRDefault="00EC6C68"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71CF6252" w14:textId="77777777"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Eliminacija</w:t>
      </w:r>
    </w:p>
    <w:p w14:paraId="3BFBC87E" w14:textId="5632B59C"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Iš sveikų savanorių, išgėrusių 10 mg [</w:t>
      </w:r>
      <w:r w:rsidRPr="0082730B">
        <w:rPr>
          <w:rFonts w:ascii="Times New Roman" w:eastAsia="Times New Roman" w:hAnsi="Times New Roman" w:cs="Times New Roman"/>
          <w:color w:val="000000"/>
          <w:vertAlign w:val="superscript"/>
          <w:lang w:eastAsia="lt-LT"/>
        </w:rPr>
        <w:t>14</w:t>
      </w:r>
      <w:r w:rsidRPr="0082730B">
        <w:rPr>
          <w:rFonts w:ascii="Times New Roman" w:eastAsia="Times New Roman" w:hAnsi="Times New Roman" w:cs="Times New Roman"/>
          <w:color w:val="000000"/>
          <w:lang w:eastAsia="lt-LT"/>
        </w:rPr>
        <w:t>C] linagliptino dozę, organizmo maždaug 85</w:t>
      </w:r>
      <w:r w:rsidR="00EC6C68" w:rsidRPr="00135C1A">
        <w:rPr>
          <w:rFonts w:ascii="Times New Roman" w:eastAsia="Times New Roman" w:hAnsi="Times New Roman" w:cs="Times New Roman"/>
          <w:color w:val="000000"/>
          <w:lang w:eastAsia="lt-LT"/>
        </w:rPr>
        <w:t> </w:t>
      </w:r>
      <w:r w:rsidR="00EC6C68" w:rsidRPr="0082730B">
        <w:rPr>
          <w:rFonts w:ascii="Times New Roman" w:eastAsia="Times New Roman" w:hAnsi="Times New Roman" w:cs="Times New Roman"/>
          <w:color w:val="000000"/>
          <w:lang w:eastAsia="lt-LT"/>
        </w:rPr>
        <w:t>%</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pavartoto radioaktyvumo išsiskyrė su išmatomis (80</w:t>
      </w:r>
      <w:r w:rsidR="00EC6C68" w:rsidRPr="00135C1A">
        <w:rPr>
          <w:rFonts w:ascii="Times New Roman" w:eastAsia="Times New Roman" w:hAnsi="Times New Roman" w:cs="Times New Roman"/>
          <w:color w:val="000000"/>
          <w:lang w:eastAsia="lt-LT"/>
        </w:rPr>
        <w:t> </w:t>
      </w:r>
      <w:r w:rsidR="00EC6C68"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ir šlapimu (5</w:t>
      </w:r>
      <w:r w:rsidR="00EC6C68" w:rsidRPr="00135C1A">
        <w:rPr>
          <w:rFonts w:ascii="Times New Roman" w:eastAsia="Times New Roman" w:hAnsi="Times New Roman" w:cs="Times New Roman"/>
          <w:color w:val="000000"/>
          <w:lang w:eastAsia="lt-LT"/>
        </w:rPr>
        <w:t> </w:t>
      </w:r>
      <w:r w:rsidR="00EC6C68" w:rsidRPr="0082730B">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per 4 paras. Klirensas inkstuose tuo metu, kai apykaita pusiausvyrinė, buvo 70</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w:t>
      </w:r>
    </w:p>
    <w:p w14:paraId="0450347C" w14:textId="77777777" w:rsidR="00EC6C68" w:rsidRPr="00135C1A" w:rsidRDefault="00EC6C68" w:rsidP="00135C1A">
      <w:pPr>
        <w:spacing w:after="0" w:line="240" w:lineRule="auto"/>
        <w:rPr>
          <w:rFonts w:ascii="Times New Roman" w:eastAsia="Times New Roman" w:hAnsi="Times New Roman" w:cs="Times New Roman"/>
          <w:i/>
          <w:color w:val="000000"/>
          <w:u w:val="single" w:color="000000"/>
          <w:lang w:eastAsia="lt-LT"/>
        </w:rPr>
      </w:pPr>
    </w:p>
    <w:p w14:paraId="45476868"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i/>
          <w:color w:val="000000"/>
          <w:u w:val="single" w:color="000000"/>
          <w:lang w:eastAsia="lt-LT"/>
        </w:rPr>
        <w:t>Ypatingos populiacijos</w:t>
      </w:r>
    </w:p>
    <w:p w14:paraId="46A747FF" w14:textId="77777777" w:rsidR="00EC6C68" w:rsidRPr="00135C1A" w:rsidRDefault="00EC6C68" w:rsidP="00135C1A">
      <w:pPr>
        <w:spacing w:after="0" w:line="240" w:lineRule="auto"/>
        <w:rPr>
          <w:rFonts w:ascii="Times New Roman" w:eastAsia="Times New Roman" w:hAnsi="Times New Roman" w:cs="Times New Roman"/>
          <w:i/>
          <w:color w:val="000000"/>
          <w:lang w:eastAsia="lt-LT"/>
        </w:rPr>
      </w:pPr>
    </w:p>
    <w:p w14:paraId="7524DBC1" w14:textId="220F7925" w:rsidR="00EC6C68" w:rsidRPr="00135C1A" w:rsidRDefault="00EC6C68" w:rsidP="00135C1A">
      <w:pPr>
        <w:spacing w:after="0" w:line="240" w:lineRule="auto"/>
        <w:rPr>
          <w:rFonts w:ascii="Times New Roman" w:eastAsia="Times New Roman" w:hAnsi="Times New Roman" w:cs="Times New Roman"/>
          <w:i/>
          <w:color w:val="000000"/>
          <w:lang w:eastAsia="lt-LT"/>
        </w:rPr>
      </w:pPr>
      <w:r w:rsidRPr="00135C1A">
        <w:rPr>
          <w:rFonts w:ascii="Times New Roman" w:eastAsia="Times New Roman" w:hAnsi="Times New Roman" w:cs="Times New Roman"/>
          <w:i/>
          <w:color w:val="000000"/>
          <w:lang w:eastAsia="lt-LT"/>
        </w:rPr>
        <w:t>Sutrikusi inkstų funkcija</w:t>
      </w:r>
    </w:p>
    <w:p w14:paraId="1EACCCA5" w14:textId="7EC8B0C2" w:rsidR="006B64AC"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Daugkartinių 5 mg linagliptino dozių farmakokinetika pacientų, sergančių įvairaus sunkumo lėtiniu inkstų nepakankamumu, palyginti su kontrolinės grupės asmenų, kurių inkstų funkcija normali, organizme buvo tirta atviruoju būdu atliekamo tyrimo metu. Tyrime dalyvavo pacientai, kurių inkstų nepakankamumo sunkumas buvo suklasifikuotas, atsižvelgiant į kreatinino klirensą, į lengvą (nuo 50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iki </w:t>
      </w:r>
      <w:r w:rsidR="00EC6C68" w:rsidRPr="00135C1A">
        <w:rPr>
          <w:rFonts w:ascii="Times New Roman" w:eastAsia="TimesNewRoman,Italic" w:hAnsi="Times New Roman" w:cs="Times New Roman"/>
        </w:rPr>
        <w:t>&lt; </w:t>
      </w:r>
      <w:r w:rsidRPr="0082730B">
        <w:rPr>
          <w:rFonts w:ascii="Times New Roman" w:eastAsia="Times New Roman" w:hAnsi="Times New Roman" w:cs="Times New Roman"/>
          <w:color w:val="000000"/>
          <w:lang w:eastAsia="lt-LT"/>
        </w:rPr>
        <w:t>80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 vidutinio sunkumo (nuo 30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iki </w:t>
      </w:r>
      <w:r w:rsidR="00EC6C68" w:rsidRPr="00135C1A">
        <w:rPr>
          <w:rFonts w:ascii="Times New Roman" w:eastAsia="TimesNewRoman,Italic" w:hAnsi="Times New Roman" w:cs="Times New Roman"/>
        </w:rPr>
        <w:t>&lt; </w:t>
      </w:r>
      <w:r w:rsidRPr="0082730B">
        <w:rPr>
          <w:rFonts w:ascii="Times New Roman" w:eastAsia="Times New Roman" w:hAnsi="Times New Roman" w:cs="Times New Roman"/>
          <w:color w:val="000000"/>
          <w:lang w:eastAsia="lt-LT"/>
        </w:rPr>
        <w:t>50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 ir sunkų (</w:t>
      </w:r>
      <w:r w:rsidR="00EC6C68" w:rsidRPr="00135C1A">
        <w:rPr>
          <w:rFonts w:ascii="Times New Roman" w:eastAsia="TimesNewRoman,Italic" w:hAnsi="Times New Roman" w:cs="Times New Roman"/>
        </w:rPr>
        <w:t>&lt; </w:t>
      </w:r>
      <w:r w:rsidRPr="0082730B">
        <w:rPr>
          <w:rFonts w:ascii="Times New Roman" w:eastAsia="Times New Roman" w:hAnsi="Times New Roman" w:cs="Times New Roman"/>
          <w:color w:val="000000"/>
          <w:lang w:eastAsia="lt-LT"/>
        </w:rPr>
        <w:t>30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 bei pacientai, kuriems buvo galutinė inkstų ligos stadija (GILS)</w:t>
      </w:r>
      <w:r w:rsidR="007C43E4">
        <w:rPr>
          <w:rFonts w:ascii="Times New Roman" w:eastAsia="Times New Roman" w:hAnsi="Times New Roman" w:cs="Times New Roman"/>
          <w:color w:val="000000"/>
          <w:lang w:eastAsia="lt-LT"/>
        </w:rPr>
        <w:t xml:space="preserve"> ir kuriems buvo taikoma hemodializė</w:t>
      </w:r>
      <w:r w:rsidRPr="0082730B">
        <w:rPr>
          <w:rFonts w:ascii="Times New Roman" w:eastAsia="Times New Roman" w:hAnsi="Times New Roman" w:cs="Times New Roman"/>
          <w:color w:val="000000"/>
          <w:lang w:eastAsia="lt-LT"/>
        </w:rPr>
        <w:t>. Be to, farmakokinetika pacientų, kuriems yra 2</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tipo cukrinis diabetas ir sunkus inkstų nepakankamumas (kreatinino klirensas </w:t>
      </w:r>
      <w:r w:rsidR="00EC6C68" w:rsidRPr="00135C1A">
        <w:rPr>
          <w:rFonts w:ascii="Times New Roman" w:eastAsia="TimesNewRoman,Italic" w:hAnsi="Times New Roman" w:cs="Times New Roman"/>
          <w:kern w:val="0"/>
          <w14:ligatures w14:val="none"/>
        </w:rPr>
        <w:t>&lt; </w:t>
      </w:r>
      <w:r w:rsidRPr="0082730B">
        <w:rPr>
          <w:rFonts w:ascii="Times New Roman" w:eastAsia="Times New Roman" w:hAnsi="Times New Roman" w:cs="Times New Roman"/>
          <w:color w:val="000000"/>
          <w:lang w:eastAsia="lt-LT"/>
        </w:rPr>
        <w:t>30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ml/min.), organizme buvo lyginta su farmakokinetika 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sergančių pacientų, kurių inkstų funkcija normali, organizme. Kreatinino klirensas buvo vertintas atsižvelgiant į su šlapimu išsiskyrusio kreatinino kiekį per 24</w:t>
      </w:r>
      <w:r w:rsidR="00774572" w:rsidRPr="00135C1A">
        <w:rPr>
          <w:rFonts w:ascii="Times New Roman" w:hAnsi="Times New Roman" w:cs="Times New Roman"/>
          <w:lang w:eastAsia="lt-LT"/>
        </w:rPr>
        <w:t> </w:t>
      </w:r>
      <w:r w:rsidRPr="0082730B">
        <w:rPr>
          <w:rFonts w:ascii="Times New Roman" w:eastAsia="Times New Roman" w:hAnsi="Times New Roman" w:cs="Times New Roman"/>
          <w:color w:val="000000"/>
          <w:lang w:eastAsia="lt-LT"/>
        </w:rPr>
        <w:t xml:space="preserve">val. po pavartojimo arba kreatinino kraujo serume kiekį, apskaičiuotą pagal </w:t>
      </w:r>
      <w:r w:rsidRPr="0082730B">
        <w:rPr>
          <w:rFonts w:ascii="Times New Roman" w:eastAsia="Times New Roman" w:hAnsi="Times New Roman" w:cs="Times New Roman"/>
          <w:i/>
          <w:color w:val="000000"/>
          <w:lang w:eastAsia="lt-LT"/>
        </w:rPr>
        <w:t xml:space="preserve">Cockcroft-Gault </w:t>
      </w:r>
      <w:r w:rsidRPr="0082730B">
        <w:rPr>
          <w:rFonts w:ascii="Times New Roman" w:eastAsia="Times New Roman" w:hAnsi="Times New Roman" w:cs="Times New Roman"/>
          <w:color w:val="000000"/>
          <w:lang w:eastAsia="lt-LT"/>
        </w:rPr>
        <w:t>formulę KrKl</w:t>
      </w:r>
      <w:r w:rsidR="00774572" w:rsidRPr="00135C1A">
        <w:rPr>
          <w:rFonts w:ascii="Times New Roman" w:eastAsia="TimesNewRoman,Italic" w:hAnsi="Times New Roman" w:cs="Times New Roman"/>
        </w:rPr>
        <w:t> = </w:t>
      </w:r>
      <w:r w:rsidRPr="0082730B">
        <w:rPr>
          <w:rFonts w:ascii="Times New Roman" w:eastAsia="Times New Roman" w:hAnsi="Times New Roman" w:cs="Times New Roman"/>
          <w:color w:val="000000"/>
          <w:lang w:eastAsia="lt-LT"/>
        </w:rPr>
        <w:t xml:space="preserve">(140 </w:t>
      </w:r>
      <w:r w:rsidR="00774572" w:rsidRPr="00135C1A">
        <w:rPr>
          <w:rFonts w:ascii="Times New Roman" w:eastAsia="Times New Roman" w:hAnsi="Times New Roman" w:cs="Times New Roman"/>
          <w:color w:val="000000"/>
          <w:lang w:eastAsia="lt-LT"/>
        </w:rPr>
        <w:t>-</w:t>
      </w:r>
      <w:r w:rsidRPr="0082730B">
        <w:rPr>
          <w:rFonts w:ascii="Times New Roman" w:eastAsia="Times New Roman" w:hAnsi="Times New Roman" w:cs="Times New Roman"/>
          <w:color w:val="000000"/>
          <w:lang w:eastAsia="lt-LT"/>
        </w:rPr>
        <w:t xml:space="preserve"> amžius)</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kūno svoris/72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kreatinino kiekis kraujo serume [×</w:t>
      </w:r>
      <w:r w:rsidR="000A12BE">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0,85 moterims], kai amžius nurodomas metais, kūno svoris </w:t>
      </w:r>
      <w:r w:rsidR="00774572" w:rsidRPr="00135C1A">
        <w:rPr>
          <w:rFonts w:ascii="Times New Roman" w:eastAsia="Segoe UI Symbol" w:hAnsi="Times New Roman" w:cs="Times New Roman"/>
          <w:color w:val="000000"/>
          <w:lang w:eastAsia="lt-LT"/>
        </w:rPr>
        <w:t>–</w:t>
      </w:r>
      <w:r w:rsidRPr="0082730B">
        <w:rPr>
          <w:rFonts w:ascii="Times New Roman" w:eastAsia="Segoe UI Symbol" w:hAnsi="Times New Roman" w:cs="Times New Roman"/>
          <w:color w:val="000000"/>
          <w:lang w:eastAsia="lt-LT"/>
        </w:rPr>
        <w:t xml:space="preserve"> </w:t>
      </w:r>
      <w:r w:rsidRPr="0082730B">
        <w:rPr>
          <w:rFonts w:ascii="Times New Roman" w:eastAsia="Times New Roman" w:hAnsi="Times New Roman" w:cs="Times New Roman"/>
          <w:color w:val="000000"/>
          <w:lang w:eastAsia="lt-LT"/>
        </w:rPr>
        <w:t xml:space="preserve">kilogramais, kreatinino kiekis kraujo serume </w:t>
      </w:r>
      <w:r w:rsidR="00774572" w:rsidRPr="00135C1A">
        <w:rPr>
          <w:rFonts w:ascii="Times New Roman" w:eastAsia="Segoe UI Symbol" w:hAnsi="Times New Roman" w:cs="Times New Roman"/>
          <w:color w:val="000000"/>
          <w:lang w:eastAsia="lt-LT"/>
        </w:rPr>
        <w:t>–</w:t>
      </w:r>
      <w:r w:rsidRPr="0082730B">
        <w:rPr>
          <w:rFonts w:ascii="Times New Roman" w:eastAsia="Segoe UI Symbol" w:hAnsi="Times New Roman" w:cs="Times New Roman"/>
          <w:color w:val="000000"/>
          <w:lang w:eastAsia="lt-LT"/>
        </w:rPr>
        <w:t> mg</w:t>
      </w:r>
      <w:r w:rsidRPr="0082730B">
        <w:rPr>
          <w:rFonts w:ascii="Times New Roman" w:eastAsia="Times New Roman" w:hAnsi="Times New Roman" w:cs="Times New Roman"/>
          <w:color w:val="000000"/>
          <w:lang w:eastAsia="lt-LT"/>
        </w:rPr>
        <w:t xml:space="preserve">/dl. </w:t>
      </w:r>
    </w:p>
    <w:p w14:paraId="642A2525" w14:textId="58ADCD60"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Pacientų, sergančių lengvu inkstų nepakankamumu, organizme linagliptino ekspozicija tuo metu, kai apykaita pusiausvyrinė, buvo panaši į ekspoziciją sveikų asmenų organizme. Pacientų, sergančių vidutinio sunkumo inkstų nepakankamumu, organizme ekspozicija buvo maždaug 1,7</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karto didesnė negu kontrolinės grupės tiriamųjų. 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sergančių pacientų, kuriems yra sunkus inkstų funkcijos sutrikimas, organizme ekspozicija buvo maždaug 1,4</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karto didesnė negu 2</w:t>
      </w:r>
      <w:r w:rsidR="00EC6C68"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tipo cukriniu diabetu sergančių pacientų, kurių inkstų funkcija normali. Pacientų, kuriems yra GILS, organizme apskaičiuotas linagliptino AUC tuo metu, kai apykaita pusiausvyrinė, rodo, kad asmenų, kuriems yra vidutinio sunkumo arba sunkus inkstų funkcijos sutrikimas, organizme ekspozicija yra panaši. Be to, nėra tikėtina, kad linagliptino kiekį, kuris yra reikšmingas gydant, būtų galima pašalinti hemodialize ar peritonite dialize. Taigi pacientams, kuriems yra bet kokio sunkumo inkstų nepakankamumas, dozės koreguoti nėra būtina.</w:t>
      </w:r>
    </w:p>
    <w:p w14:paraId="47861B53" w14:textId="77777777" w:rsidR="0082730B" w:rsidRPr="00135C1A" w:rsidRDefault="0082730B" w:rsidP="00135C1A">
      <w:pPr>
        <w:keepNext/>
        <w:keepLines/>
        <w:spacing w:after="0" w:line="240" w:lineRule="auto"/>
        <w:outlineLvl w:val="2"/>
        <w:rPr>
          <w:rFonts w:ascii="Times New Roman" w:eastAsia="Times New Roman" w:hAnsi="Times New Roman" w:cs="Times New Roman"/>
          <w:i/>
          <w:color w:val="000000"/>
          <w:lang w:eastAsia="lt-LT"/>
        </w:rPr>
      </w:pPr>
    </w:p>
    <w:p w14:paraId="2C956497" w14:textId="77777777" w:rsidR="00EC6C68" w:rsidRPr="00135C1A" w:rsidRDefault="00EC6C68" w:rsidP="00135C1A">
      <w:pPr>
        <w:spacing w:after="0" w:line="240" w:lineRule="auto"/>
        <w:rPr>
          <w:rFonts w:ascii="Times New Roman" w:eastAsia="Times New Roman" w:hAnsi="Times New Roman" w:cs="Times New Roman"/>
          <w:i/>
          <w:color w:val="000000"/>
          <w:lang w:eastAsia="lt-LT"/>
        </w:rPr>
      </w:pPr>
      <w:r w:rsidRPr="00135C1A">
        <w:rPr>
          <w:rFonts w:ascii="Times New Roman" w:eastAsia="Times New Roman" w:hAnsi="Times New Roman" w:cs="Times New Roman"/>
          <w:i/>
          <w:color w:val="000000"/>
          <w:lang w:eastAsia="lt-LT"/>
        </w:rPr>
        <w:t>Sutrikusi kepenų funkcija</w:t>
      </w:r>
    </w:p>
    <w:p w14:paraId="0B06A47E"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Cukriniu diabetu nesergančių pacientų, kuriems yra lengvas, vidutinio sunkumo arba sunkus kepenų funkcijos nepakankamumas (pagal </w:t>
      </w:r>
      <w:r w:rsidRPr="0082730B">
        <w:rPr>
          <w:rFonts w:ascii="Times New Roman" w:eastAsia="Times New Roman" w:hAnsi="Times New Roman" w:cs="Times New Roman"/>
          <w:i/>
          <w:color w:val="000000"/>
          <w:lang w:eastAsia="lt-LT"/>
        </w:rPr>
        <w:t xml:space="preserve">Child-Pugh </w:t>
      </w:r>
      <w:r w:rsidRPr="0082730B">
        <w:rPr>
          <w:rFonts w:ascii="Times New Roman" w:eastAsia="Times New Roman" w:hAnsi="Times New Roman" w:cs="Times New Roman"/>
          <w:color w:val="000000"/>
          <w:lang w:eastAsia="lt-LT"/>
        </w:rPr>
        <w:t>klasifikaciją), organizme po daugkartinių 5 mg dozių vartojimo linagliptino AUC ir C</w:t>
      </w:r>
      <w:r w:rsidRPr="0082730B">
        <w:rPr>
          <w:rFonts w:ascii="Times New Roman" w:eastAsia="Times New Roman" w:hAnsi="Times New Roman" w:cs="Times New Roman"/>
          <w:color w:val="000000"/>
          <w:vertAlign w:val="subscript"/>
          <w:lang w:eastAsia="lt-LT"/>
        </w:rPr>
        <w:t>max</w:t>
      </w:r>
      <w:r w:rsidRPr="004B1EFE">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vidurkiai buvo panašūs į nustatytus atitinkamos kontrolinės grupės tiriamųjų organizme. Cukriniu diabetu sergantiems pacientams, kuriems yra lengvas, vidutinio sunkumo arba sunkus kepenų funkcijos sutrikimas, joks linagliptino dozės koregavimas nesiūlomas.</w:t>
      </w:r>
    </w:p>
    <w:p w14:paraId="704325B7" w14:textId="77777777" w:rsidR="0082730B" w:rsidRPr="00135C1A" w:rsidRDefault="0082730B" w:rsidP="00135C1A">
      <w:pPr>
        <w:keepNext/>
        <w:keepLines/>
        <w:spacing w:after="0" w:line="240" w:lineRule="auto"/>
        <w:outlineLvl w:val="2"/>
        <w:rPr>
          <w:rFonts w:ascii="Times New Roman" w:eastAsia="Times New Roman" w:hAnsi="Times New Roman" w:cs="Times New Roman"/>
          <w:i/>
          <w:color w:val="000000"/>
          <w:lang w:eastAsia="lt-LT"/>
        </w:rPr>
      </w:pPr>
    </w:p>
    <w:p w14:paraId="18E1335E" w14:textId="30C42819"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Kūno masės indeksas (KMI)</w:t>
      </w:r>
    </w:p>
    <w:p w14:paraId="127C5C77" w14:textId="7431FD48"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Priklausomai nuo KMI dozės keisti nėra būtina. I ir II fazės tyrimų populiacijos farmakokinetikos analizės duomenimis, KMI kliniškai reikšmingos įtakos linagliptino farmakokinetikai nedaro. Prieš vaistinio preparato registraciją klinikiniai tyrimai buvo atlikti su pacientais, kurių KMI buvo ne didesnis kaip 40</w:t>
      </w:r>
      <w:r w:rsidR="000A12BE">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kg/m</w:t>
      </w:r>
      <w:r w:rsidRPr="0082730B">
        <w:rPr>
          <w:rFonts w:ascii="Times New Roman" w:eastAsia="Times New Roman" w:hAnsi="Times New Roman" w:cs="Times New Roman"/>
          <w:color w:val="000000"/>
          <w:vertAlign w:val="superscript"/>
          <w:lang w:eastAsia="lt-LT"/>
        </w:rPr>
        <w:t>2</w:t>
      </w:r>
      <w:r w:rsidRPr="0082730B">
        <w:rPr>
          <w:rFonts w:ascii="Times New Roman" w:eastAsia="Times New Roman" w:hAnsi="Times New Roman" w:cs="Times New Roman"/>
          <w:color w:val="000000"/>
          <w:lang w:eastAsia="lt-LT"/>
        </w:rPr>
        <w:t>.</w:t>
      </w:r>
    </w:p>
    <w:p w14:paraId="7856B0A8" w14:textId="77777777" w:rsidR="0082730B" w:rsidRPr="00135C1A" w:rsidRDefault="0082730B" w:rsidP="00135C1A">
      <w:pPr>
        <w:keepNext/>
        <w:keepLines/>
        <w:spacing w:after="0" w:line="240" w:lineRule="auto"/>
        <w:outlineLvl w:val="2"/>
        <w:rPr>
          <w:rFonts w:ascii="Times New Roman" w:eastAsia="Times New Roman" w:hAnsi="Times New Roman" w:cs="Times New Roman"/>
          <w:i/>
          <w:color w:val="000000"/>
          <w:lang w:eastAsia="lt-LT"/>
        </w:rPr>
      </w:pPr>
    </w:p>
    <w:p w14:paraId="47F4075D" w14:textId="4E4CEE16"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Lytis</w:t>
      </w:r>
    </w:p>
    <w:p w14:paraId="77CB5538"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Priklausomai nuo lyties dozės keisti nėra būtina. I ir II fazės tyrimų populiacijos farmakokinetikos analizės duomenimis, lytis kliniškai reikšmingos įtakos linagliptino farmakokinetikai nedaro.</w:t>
      </w:r>
    </w:p>
    <w:p w14:paraId="3E93FC90" w14:textId="77777777" w:rsidR="0082730B" w:rsidRPr="00135C1A" w:rsidRDefault="0082730B" w:rsidP="00135C1A">
      <w:pPr>
        <w:keepNext/>
        <w:keepLines/>
        <w:spacing w:after="0" w:line="240" w:lineRule="auto"/>
        <w:outlineLvl w:val="2"/>
        <w:rPr>
          <w:rFonts w:ascii="Times New Roman" w:eastAsia="Times New Roman" w:hAnsi="Times New Roman" w:cs="Times New Roman"/>
          <w:i/>
          <w:color w:val="000000"/>
          <w:lang w:eastAsia="lt-LT"/>
        </w:rPr>
      </w:pPr>
    </w:p>
    <w:p w14:paraId="4E914EC3" w14:textId="0461FF83"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Senyvi pacientai</w:t>
      </w:r>
    </w:p>
    <w:p w14:paraId="37876DC6" w14:textId="11D25FD8"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Ne vyresniems kaip 80</w:t>
      </w:r>
      <w:r w:rsidR="00774572"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metų pacientams priklausomai nuo amžiaus dozės keisti nėra būtina, kadangi I ir II fazės tyrimų populiacijos farmakokinetikos analizės duomenys rodo, kad amžius kliniškai reikšmingos įtakos linagliptino farmakokinetikai nedaro. Senyvų (iš 65</w:t>
      </w:r>
      <w:r w:rsidRPr="00135C1A">
        <w:rPr>
          <w:rFonts w:ascii="Times New Roman" w:eastAsia="Times New Roman" w:hAnsi="Times New Roman" w:cs="Times New Roman"/>
          <w:color w:val="000000"/>
          <w:lang w:eastAsia="lt-LT"/>
        </w:rPr>
        <w:t>–</w:t>
      </w:r>
      <w:r w:rsidRPr="0082730B">
        <w:rPr>
          <w:rFonts w:ascii="Times New Roman" w:hAnsi="Times New Roman" w:cs="Times New Roman"/>
          <w:lang w:eastAsia="lt-LT"/>
        </w:rPr>
        <w:t>80</w:t>
      </w:r>
      <w:r w:rsidR="00774572" w:rsidRPr="00135C1A">
        <w:rPr>
          <w:rFonts w:ascii="Times New Roman" w:hAnsi="Times New Roman" w:cs="Times New Roman"/>
          <w:lang w:eastAsia="lt-LT"/>
        </w:rPr>
        <w:t> </w:t>
      </w:r>
      <w:r w:rsidRPr="0082730B">
        <w:rPr>
          <w:rFonts w:ascii="Times New Roman" w:hAnsi="Times New Roman" w:cs="Times New Roman"/>
          <w:lang w:eastAsia="lt-LT"/>
        </w:rPr>
        <w:t>metų</w:t>
      </w:r>
      <w:r w:rsidRPr="0082730B">
        <w:rPr>
          <w:rFonts w:ascii="Times New Roman" w:eastAsia="Times New Roman" w:hAnsi="Times New Roman" w:cs="Times New Roman"/>
          <w:color w:val="000000"/>
          <w:lang w:eastAsia="lt-LT"/>
        </w:rPr>
        <w:t xml:space="preserve"> pacientų grupės vyriausiam pacientui buvo 78</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metai) asmenų kraujo plazmoje koncentracija buvo panaši į jaunesnių.</w:t>
      </w:r>
    </w:p>
    <w:p w14:paraId="1A578C99" w14:textId="77777777" w:rsidR="0082730B" w:rsidRPr="00135C1A" w:rsidRDefault="0082730B" w:rsidP="00135C1A">
      <w:pPr>
        <w:keepNext/>
        <w:keepLines/>
        <w:tabs>
          <w:tab w:val="left" w:pos="567"/>
        </w:tabs>
        <w:spacing w:after="0" w:line="240" w:lineRule="auto"/>
        <w:outlineLvl w:val="2"/>
        <w:rPr>
          <w:rFonts w:ascii="Times New Roman" w:eastAsia="Times New Roman" w:hAnsi="Times New Roman" w:cs="Times New Roman"/>
          <w:i/>
          <w:color w:val="000000"/>
          <w:lang w:eastAsia="lt-LT"/>
        </w:rPr>
      </w:pPr>
    </w:p>
    <w:p w14:paraId="618B2416" w14:textId="168F8114" w:rsidR="0082730B" w:rsidRPr="0082730B" w:rsidRDefault="0082730B" w:rsidP="00135C1A">
      <w:pPr>
        <w:keepNext/>
        <w:keepLines/>
        <w:tabs>
          <w:tab w:val="left" w:pos="567"/>
        </w:tab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Vaikų populiacija</w:t>
      </w:r>
    </w:p>
    <w:p w14:paraId="31F4540F" w14:textId="389311B6" w:rsidR="0082730B" w:rsidRPr="00135C1A" w:rsidRDefault="00AF100E" w:rsidP="00135C1A">
      <w:pPr>
        <w:tabs>
          <w:tab w:val="left" w:pos="567"/>
        </w:tabs>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II</w:t>
      </w:r>
      <w:r w:rsidR="00774572" w:rsidRPr="00135C1A">
        <w:rPr>
          <w:rFonts w:ascii="Times New Roman" w:eastAsia="Times New Roman" w:hAnsi="Times New Roman" w:cs="Times New Roman"/>
          <w:color w:val="000000"/>
          <w:lang w:eastAsia="lt-LT"/>
        </w:rPr>
        <w:t xml:space="preserve"> </w:t>
      </w:r>
      <w:r w:rsidR="0082730B" w:rsidRPr="00135C1A">
        <w:rPr>
          <w:rFonts w:ascii="Times New Roman" w:eastAsia="Times New Roman" w:hAnsi="Times New Roman" w:cs="Times New Roman"/>
          <w:color w:val="000000"/>
          <w:lang w:eastAsia="lt-LT"/>
        </w:rPr>
        <w:t>fazės pediatrinio tyrimo metu buvo tiriama 1 mg ir 5 mg linagliptino farmakokinetika ir farmakodinamika 2</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tipo cukriniu diabetu sergančių vaikų ir paauglių, kurių amžius buvo nuo ≥ 10</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metų iki &lt; 18</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metų, organizmuose. Gauti farmakokinetikos ir farmakodinamikos duomenys atitiko suaugusiųjų organizmuose nustatytus duomenis. 5 mg linagliptino dozė buvo pranašesnė už 1 mg, vertinant pagal DDP-4 slopinimą (72 %, palyginti su 32 %, p</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0,0050) ir pagal kiekybiškai didesnį koreguoto vidutinio HbA</w:t>
      </w:r>
      <w:r w:rsidR="0082730B" w:rsidRPr="00135C1A">
        <w:rPr>
          <w:rFonts w:ascii="Times New Roman" w:eastAsia="Times New Roman" w:hAnsi="Times New Roman" w:cs="Times New Roman"/>
          <w:color w:val="000000"/>
          <w:vertAlign w:val="subscript"/>
          <w:lang w:eastAsia="lt-LT"/>
        </w:rPr>
        <w:t>1c</w:t>
      </w:r>
      <w:r w:rsidR="0082730B" w:rsidRPr="004B1EFE">
        <w:rPr>
          <w:rFonts w:ascii="Times New Roman" w:eastAsia="Times New Roman" w:hAnsi="Times New Roman" w:cs="Times New Roman"/>
          <w:color w:val="000000"/>
          <w:lang w:eastAsia="lt-LT"/>
        </w:rPr>
        <w:t xml:space="preserve"> </w:t>
      </w:r>
      <w:r w:rsidR="0082730B" w:rsidRPr="00135C1A">
        <w:rPr>
          <w:rFonts w:ascii="Times New Roman" w:eastAsia="Times New Roman" w:hAnsi="Times New Roman" w:cs="Times New Roman"/>
          <w:color w:val="000000"/>
          <w:lang w:eastAsia="lt-LT"/>
        </w:rPr>
        <w:t>pokyčio nuo pradinės vertės sumažėjimą (-0,63 %, palyginti su -0,48 %, nereikšminga). Dėl riboto duomenų pobūdžio šiuos rezultatus reikia vertinti atsargiai.</w:t>
      </w:r>
    </w:p>
    <w:p w14:paraId="3EC07B7C" w14:textId="77777777" w:rsidR="00AF100E" w:rsidRPr="00135C1A" w:rsidRDefault="00AF100E" w:rsidP="00135C1A">
      <w:pPr>
        <w:tabs>
          <w:tab w:val="left" w:pos="567"/>
        </w:tabs>
        <w:spacing w:after="0" w:line="240" w:lineRule="auto"/>
        <w:rPr>
          <w:rFonts w:ascii="Times New Roman" w:eastAsia="Times New Roman" w:hAnsi="Times New Roman" w:cs="Times New Roman"/>
          <w:color w:val="000000"/>
          <w:lang w:eastAsia="lt-LT"/>
        </w:rPr>
      </w:pPr>
    </w:p>
    <w:p w14:paraId="7077FBD7" w14:textId="75E6CB47" w:rsidR="0082730B" w:rsidRPr="00135C1A" w:rsidRDefault="00AF100E" w:rsidP="00135C1A">
      <w:pPr>
        <w:tabs>
          <w:tab w:val="left" w:pos="567"/>
        </w:tabs>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III </w:t>
      </w:r>
      <w:r w:rsidR="0082730B" w:rsidRPr="00135C1A">
        <w:rPr>
          <w:rFonts w:ascii="Times New Roman" w:eastAsia="Times New Roman" w:hAnsi="Times New Roman" w:cs="Times New Roman"/>
          <w:color w:val="000000"/>
          <w:lang w:eastAsia="lt-LT"/>
        </w:rPr>
        <w:t>fazės pediatrinio tyrimo metu buvo tiriama 5 mg linagliptino farmakokinetika ir farmakodinamika (HbA</w:t>
      </w:r>
      <w:r w:rsidR="0082730B" w:rsidRPr="00135C1A">
        <w:rPr>
          <w:rFonts w:ascii="Times New Roman" w:eastAsia="Times New Roman" w:hAnsi="Times New Roman" w:cs="Times New Roman"/>
          <w:color w:val="000000"/>
          <w:vertAlign w:val="subscript"/>
          <w:lang w:eastAsia="lt-LT"/>
        </w:rPr>
        <w:t>1c</w:t>
      </w:r>
      <w:r w:rsidR="0082730B" w:rsidRPr="004B1EFE">
        <w:rPr>
          <w:rFonts w:ascii="Times New Roman" w:eastAsia="Times New Roman" w:hAnsi="Times New Roman" w:cs="Times New Roman"/>
          <w:color w:val="000000"/>
          <w:lang w:eastAsia="lt-LT"/>
        </w:rPr>
        <w:t xml:space="preserve"> </w:t>
      </w:r>
      <w:r w:rsidR="0082730B" w:rsidRPr="00135C1A">
        <w:rPr>
          <w:rFonts w:ascii="Times New Roman" w:eastAsia="Times New Roman" w:hAnsi="Times New Roman" w:cs="Times New Roman"/>
          <w:color w:val="000000"/>
          <w:lang w:eastAsia="lt-LT"/>
        </w:rPr>
        <w:t>pokytis nuo pradinio vertinimo) 2</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tipo cukriniu diabetu sergančių vaikų ir paauglių, kurių amžius buvo 10</w:t>
      </w:r>
      <w:r w:rsidRPr="00135C1A">
        <w:rPr>
          <w:rFonts w:ascii="Times New Roman" w:eastAsia="Times New Roman" w:hAnsi="Times New Roman" w:cs="Times New Roman"/>
          <w:color w:val="000000"/>
          <w:lang w:eastAsia="lt-LT"/>
        </w:rPr>
        <w:t>–</w:t>
      </w:r>
      <w:r w:rsidR="0082730B" w:rsidRPr="00135C1A">
        <w:rPr>
          <w:rFonts w:ascii="Times New Roman" w:eastAsia="Times New Roman" w:hAnsi="Times New Roman" w:cs="Times New Roman"/>
          <w:color w:val="000000"/>
          <w:lang w:eastAsia="lt-LT"/>
        </w:rPr>
        <w:t>17 metų, organizmuose. Stebėtas ekspozicijos ir atsako santykis tarp pacientų vaikų ir suaugusiųjų buvo panašus, tačiau vaikams apskaičiuotas mažesnis vaistinio preparato poveikis. Per burną vartojant linagliptin</w:t>
      </w:r>
      <w:r w:rsidRPr="00135C1A">
        <w:rPr>
          <w:rFonts w:ascii="Times New Roman" w:eastAsia="Times New Roman" w:hAnsi="Times New Roman" w:cs="Times New Roman"/>
          <w:color w:val="000000"/>
          <w:lang w:eastAsia="lt-LT"/>
        </w:rPr>
        <w:t>o</w:t>
      </w:r>
      <w:r w:rsidR="0082730B" w:rsidRPr="00135C1A">
        <w:rPr>
          <w:rFonts w:ascii="Times New Roman" w:eastAsia="Times New Roman" w:hAnsi="Times New Roman" w:cs="Times New Roman"/>
          <w:color w:val="000000"/>
          <w:lang w:eastAsia="lt-LT"/>
        </w:rPr>
        <w:t xml:space="preserve"> susidarė ekspozicija, kuri įėjo į diapazoną, stebėtą suaugusiems pacientams. Stebėtas geometrinis mažiausių koncentracijų prieš vartojant vidurkis ir geometrinis koncentracijų vidurkis po suvartojimo praėjus 1,5</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val. (atitinkantis koncentraciją, panašią į t</w:t>
      </w:r>
      <w:r w:rsidR="0082730B" w:rsidRPr="00135C1A">
        <w:rPr>
          <w:rFonts w:ascii="Times New Roman" w:eastAsia="Times New Roman" w:hAnsi="Times New Roman" w:cs="Times New Roman"/>
          <w:color w:val="000000"/>
          <w:vertAlign w:val="subscript"/>
          <w:lang w:eastAsia="lt-LT"/>
        </w:rPr>
        <w:t>max</w:t>
      </w:r>
      <w:r w:rsidR="0082730B" w:rsidRPr="00135C1A">
        <w:rPr>
          <w:rFonts w:ascii="Times New Roman" w:eastAsia="Times New Roman" w:hAnsi="Times New Roman" w:cs="Times New Roman"/>
          <w:color w:val="000000"/>
          <w:lang w:eastAsia="lt-LT"/>
        </w:rPr>
        <w:t>), kai apykaita pusiausvyrinė, atitinkamai buvo 4,30</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nmol/l ir 12,6</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nmol/l. Atitinkama koncentracija kraujo plazmoje suaugusiems pacientams buvo 6,04</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nmol/l ir 15,1</w:t>
      </w:r>
      <w:r w:rsidRPr="00135C1A">
        <w:rPr>
          <w:rFonts w:ascii="Times New Roman" w:eastAsia="Times New Roman" w:hAnsi="Times New Roman" w:cs="Times New Roman"/>
          <w:color w:val="000000"/>
          <w:lang w:eastAsia="lt-LT"/>
        </w:rPr>
        <w:t> </w:t>
      </w:r>
      <w:r w:rsidR="0082730B" w:rsidRPr="00135C1A">
        <w:rPr>
          <w:rFonts w:ascii="Times New Roman" w:eastAsia="Times New Roman" w:hAnsi="Times New Roman" w:cs="Times New Roman"/>
          <w:color w:val="000000"/>
          <w:lang w:eastAsia="lt-LT"/>
        </w:rPr>
        <w:t>nmol/l.</w:t>
      </w:r>
    </w:p>
    <w:p w14:paraId="5FA8D549" w14:textId="77777777" w:rsidR="0082730B" w:rsidRPr="00135C1A" w:rsidRDefault="0082730B" w:rsidP="00135C1A">
      <w:pPr>
        <w:keepNext/>
        <w:keepLines/>
        <w:spacing w:after="0" w:line="240" w:lineRule="auto"/>
        <w:outlineLvl w:val="2"/>
        <w:rPr>
          <w:rFonts w:ascii="Times New Roman" w:eastAsia="Times New Roman" w:hAnsi="Times New Roman" w:cs="Times New Roman"/>
          <w:i/>
          <w:color w:val="000000"/>
          <w:lang w:eastAsia="lt-LT"/>
        </w:rPr>
      </w:pPr>
    </w:p>
    <w:p w14:paraId="46056BBA" w14:textId="4A9C0CEE" w:rsidR="0082730B" w:rsidRPr="0082730B" w:rsidRDefault="0082730B" w:rsidP="00135C1A">
      <w:pPr>
        <w:keepNext/>
        <w:keepLine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i/>
          <w:color w:val="000000"/>
          <w:lang w:eastAsia="lt-LT"/>
        </w:rPr>
        <w:t>Rasė</w:t>
      </w:r>
    </w:p>
    <w:p w14:paraId="5902ABE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Priklausomai nuo rasės dozės keisti nėra būtina. Bendra turimų farmakokinetikos, įskaitant farmakokinetiką europidų, ispanų, afrikiečių ir azijiečių organizme, duomenų analizė rodo, kad rasė akivaizdaus poveikio linagliptino koncentracijai kraujo plazmoje nedaro. Be to, specialiais I fazės tyrimais nustatyta, kad linagliptino farmakokinetiką sveikų savanorių japonų, kinų ir europidų organizme yra panaši.</w:t>
      </w:r>
    </w:p>
    <w:p w14:paraId="4723FC8A" w14:textId="77777777" w:rsidR="0082730B" w:rsidRPr="00135C1A" w:rsidRDefault="0082730B" w:rsidP="00135C1A">
      <w:pPr>
        <w:keepNext/>
        <w:keepLines/>
        <w:tabs>
          <w:tab w:val="center" w:pos="2466"/>
        </w:tabs>
        <w:spacing w:after="0" w:line="240" w:lineRule="auto"/>
        <w:outlineLvl w:val="3"/>
        <w:rPr>
          <w:rFonts w:ascii="Times New Roman" w:eastAsia="Times New Roman" w:hAnsi="Times New Roman" w:cs="Times New Roman"/>
          <w:b/>
          <w:color w:val="000000"/>
          <w:lang w:eastAsia="lt-LT"/>
        </w:rPr>
      </w:pPr>
    </w:p>
    <w:p w14:paraId="56892431" w14:textId="42E0DA50" w:rsidR="0082730B" w:rsidRPr="0082730B" w:rsidRDefault="0082730B" w:rsidP="00135C1A">
      <w:pPr>
        <w:keepNext/>
        <w:keepLines/>
        <w:tabs>
          <w:tab w:val="center" w:pos="2466"/>
        </w:tabs>
        <w:spacing w:after="0" w:line="240" w:lineRule="auto"/>
        <w:outlineLvl w:val="3"/>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5.3</w:t>
      </w:r>
      <w:r w:rsidRPr="0082730B">
        <w:rPr>
          <w:rFonts w:ascii="Times New Roman" w:eastAsia="Times New Roman" w:hAnsi="Times New Roman" w:cs="Times New Roman"/>
          <w:b/>
          <w:color w:val="000000"/>
          <w:lang w:eastAsia="lt-LT"/>
        </w:rPr>
        <w:tab/>
        <w:t>Ikiklinikinių saugumo tyrimų duomenys</w:t>
      </w:r>
    </w:p>
    <w:p w14:paraId="5D4102B7" w14:textId="77777777" w:rsidR="00AF100E" w:rsidRPr="00135C1A" w:rsidRDefault="00AF100E" w:rsidP="00135C1A">
      <w:pPr>
        <w:spacing w:after="0" w:line="240" w:lineRule="auto"/>
        <w:rPr>
          <w:rFonts w:ascii="Times New Roman" w:eastAsia="Times New Roman" w:hAnsi="Times New Roman" w:cs="Times New Roman"/>
          <w:color w:val="000000"/>
          <w:lang w:eastAsia="lt-LT"/>
        </w:rPr>
      </w:pPr>
    </w:p>
    <w:p w14:paraId="663E47E3" w14:textId="27C879C8"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Pelėms ir žiurkėms duodant kartotines linagiptino dozes, kurių ekspozicija daugiau negu 300</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kartų viršijo ekspoziciją žmogui, didžiausias toksinis poveikis nustatytas kepenims, inkstams ir virškinimo traktui.</w:t>
      </w:r>
    </w:p>
    <w:p w14:paraId="16793487"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7E58B25E" w14:textId="4E4F4A22"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Poveikis žiurkių reprodukcijos organams, skydliaukei bei limfoidiniams organams pasireiškė tada, kai ekspozicija buvo 1</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500 kartų didesnė už ekspoziciją žmogui. Šunims duodant vidutinio stiprumo dozes, nustatyta stiprių pseudoalerginių reakcijų, sukėlusių širdies ir kraujagyslių pokyčių, kurie buvo laikomi specifiniais šunims. </w:t>
      </w:r>
      <w:r w:rsidRPr="0082730B">
        <w:rPr>
          <w:rFonts w:ascii="Times New Roman" w:eastAsia="Times New Roman" w:hAnsi="Times New Roman" w:cs="Times New Roman"/>
          <w:i/>
          <w:color w:val="000000"/>
          <w:lang w:eastAsia="lt-LT"/>
        </w:rPr>
        <w:t xml:space="preserve">Cynomolgus </w:t>
      </w:r>
      <w:r w:rsidRPr="0082730B">
        <w:rPr>
          <w:rFonts w:ascii="Times New Roman" w:eastAsia="Times New Roman" w:hAnsi="Times New Roman" w:cs="Times New Roman"/>
          <w:color w:val="000000"/>
          <w:lang w:eastAsia="lt-LT"/>
        </w:rPr>
        <w:t>beždžionėms, kurių organizme ekspozicija buvo daugiau negu 450</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kartų didesnė negu žmogaus, nustatytas toksinis poveikis kepenims, inkstams, skrandžiui, reprodukcijos organams, užkrūčio liaukai, blužniai ir limfmazgiams. Kai ekspozicija buvo daugiau negu 100</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kartų didesnė už ekspoziciją žmogaus organizme, šioms beždžionėms pagrindinis poveikis buvo skrandžio dirginimas.</w:t>
      </w:r>
    </w:p>
    <w:p w14:paraId="15F46416"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2BBFB75C" w14:textId="4EF48739"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Linagliptino ir svarbiausio jo metabolito galimo genotoksiškumo nenustatyta.</w:t>
      </w:r>
    </w:p>
    <w:p w14:paraId="74EA1DF5" w14:textId="56488EE5"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2</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metų trukmės kancerogeniškumo tyrimai su žiurkėmis ir pelėmis per burną vartojamo vaistinio preparato kancerogeniškumo žiurkėms ar pelių patinams neparodė. Nustatytas reikšmingai didesnis piktybinės limfomos dažnis tik pelių patelėms duodant didžiausią tirtą dozę (</w:t>
      </w:r>
      <w:r w:rsidRPr="00135C1A">
        <w:rPr>
          <w:rFonts w:ascii="Times New Roman" w:eastAsia="Times New Roman" w:hAnsi="Times New Roman" w:cs="Times New Roman"/>
          <w:color w:val="000000"/>
          <w:lang w:eastAsia="lt-LT"/>
        </w:rPr>
        <w:t>&gt; </w:t>
      </w:r>
      <w:r w:rsidRPr="0082730B">
        <w:rPr>
          <w:rFonts w:ascii="Times New Roman" w:eastAsia="Times New Roman" w:hAnsi="Times New Roman" w:cs="Times New Roman"/>
          <w:color w:val="000000"/>
          <w:lang w:eastAsia="lt-LT"/>
        </w:rPr>
        <w:t>200 kartų viršijančią ekspoziciją žmogaus organizme) žmogui reikšmingu nelaikomas (paaiškinimas: jis priklauso ne nuo gydymo, bet nuo to, kad pradinis dažnis yra labai nepastovus). Remiantis šiais tyrimais, nerimauti dėl kancerogeniškumo žmogui nereikia.</w:t>
      </w:r>
    </w:p>
    <w:p w14:paraId="68C9E3BA"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548C4287" w14:textId="16D582CF"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Nepageidaujamo poveikio nesukelianti dozė (angl. </w:t>
      </w:r>
      <w:r w:rsidRPr="0082730B">
        <w:rPr>
          <w:rFonts w:ascii="Times New Roman" w:eastAsia="Times New Roman" w:hAnsi="Times New Roman" w:cs="Times New Roman"/>
          <w:i/>
          <w:color w:val="000000"/>
          <w:lang w:eastAsia="lt-LT"/>
        </w:rPr>
        <w:t>No Observed Adverse Effect Level</w:t>
      </w:r>
      <w:r w:rsidRPr="0082730B">
        <w:rPr>
          <w:rFonts w:ascii="Times New Roman" w:eastAsia="Times New Roman" w:hAnsi="Times New Roman" w:cs="Times New Roman"/>
          <w:color w:val="000000"/>
          <w:lang w:eastAsia="lt-LT"/>
        </w:rPr>
        <w:t xml:space="preserve">, NOAEL) žiurkių vaisingumui, ankstyvam embrionų vystymuisi ir nesukelianti teratogeniškumo, buvo </w:t>
      </w:r>
      <w:r w:rsidRPr="00135C1A">
        <w:rPr>
          <w:rFonts w:ascii="Times New Roman" w:eastAsia="Times New Roman" w:hAnsi="Times New Roman" w:cs="Times New Roman"/>
          <w:color w:val="000000"/>
          <w:lang w:eastAsia="lt-LT"/>
        </w:rPr>
        <w:t>&gt; </w:t>
      </w:r>
      <w:r w:rsidRPr="0082730B">
        <w:rPr>
          <w:rFonts w:ascii="Times New Roman" w:eastAsia="Times New Roman" w:hAnsi="Times New Roman" w:cs="Times New Roman"/>
          <w:color w:val="000000"/>
          <w:lang w:eastAsia="lt-LT"/>
        </w:rPr>
        <w:t>900 kartų didesnė už ekspoziciją žmogaus organizme. NOAEL vaikingoms žiurkėms, jų embrionams, vaisiams ir jaunikliams, buvo 49</w:t>
      </w:r>
      <w:r w:rsidR="00AF100E"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 xml:space="preserve">kartus didesnė už ekspoziciją žmogaus organizme. Triušiams, kurių organizme ekspozicija buvo </w:t>
      </w:r>
      <w:r w:rsidRPr="00135C1A">
        <w:rPr>
          <w:rFonts w:ascii="Times New Roman" w:eastAsia="Times New Roman" w:hAnsi="Times New Roman" w:cs="Times New Roman"/>
          <w:color w:val="000000"/>
          <w:lang w:eastAsia="lt-LT"/>
        </w:rPr>
        <w:t>&gt; </w:t>
      </w:r>
      <w:r w:rsidRPr="0082730B">
        <w:rPr>
          <w:rFonts w:ascii="Times New Roman" w:eastAsia="Times New Roman" w:hAnsi="Times New Roman" w:cs="Times New Roman"/>
          <w:color w:val="000000"/>
          <w:lang w:eastAsia="lt-LT"/>
        </w:rPr>
        <w:t>1</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000 kartų didesnė už ekspoziciją žmogaus organizme, teratogeninio poveikio nenustatyta. NOAEL triušių embrionams ir vaisiams buvo 78</w:t>
      </w:r>
      <w:r w:rsidR="0079408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kartus, vaikingoms triušių patelėms 2,1</w:t>
      </w:r>
      <w:r w:rsidR="00794080"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karto didesnė už ekspoziciją žmogaus organizme. Taigi manoma, jog terapinė linagliptino ekspozicija poveikio žmogaus reprodukcijai neturėtų daryti.</w:t>
      </w:r>
    </w:p>
    <w:p w14:paraId="4A8E5852" w14:textId="77777777" w:rsidR="0082730B" w:rsidRDefault="0082730B" w:rsidP="00135C1A">
      <w:pPr>
        <w:keepNext/>
        <w:keepLines/>
        <w:tabs>
          <w:tab w:val="center" w:pos="2073"/>
        </w:tabs>
        <w:spacing w:after="0" w:line="240" w:lineRule="auto"/>
        <w:outlineLvl w:val="0"/>
        <w:rPr>
          <w:rFonts w:ascii="Times New Roman" w:eastAsia="Times New Roman" w:hAnsi="Times New Roman" w:cs="Times New Roman"/>
          <w:b/>
          <w:color w:val="000000"/>
          <w:lang w:eastAsia="lt-LT"/>
        </w:rPr>
      </w:pPr>
    </w:p>
    <w:p w14:paraId="55FE8C2F" w14:textId="77777777" w:rsidR="001F2FAC" w:rsidRPr="00135C1A" w:rsidRDefault="001F2FAC" w:rsidP="00135C1A">
      <w:pPr>
        <w:keepNext/>
        <w:keepLines/>
        <w:tabs>
          <w:tab w:val="center" w:pos="2073"/>
        </w:tabs>
        <w:spacing w:after="0" w:line="240" w:lineRule="auto"/>
        <w:outlineLvl w:val="0"/>
        <w:rPr>
          <w:rFonts w:ascii="Times New Roman" w:eastAsia="Times New Roman" w:hAnsi="Times New Roman" w:cs="Times New Roman"/>
          <w:b/>
          <w:color w:val="000000"/>
          <w:lang w:eastAsia="lt-LT"/>
        </w:rPr>
      </w:pPr>
    </w:p>
    <w:p w14:paraId="23E11F12" w14:textId="6E082C09" w:rsidR="0082730B" w:rsidRPr="0082730B" w:rsidRDefault="0082730B" w:rsidP="00135C1A">
      <w:pPr>
        <w:keepNext/>
        <w:keepLines/>
        <w:tabs>
          <w:tab w:val="center" w:pos="2073"/>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6.</w:t>
      </w:r>
      <w:r w:rsidRPr="0082730B">
        <w:rPr>
          <w:rFonts w:ascii="Times New Roman" w:eastAsia="Times New Roman" w:hAnsi="Times New Roman" w:cs="Times New Roman"/>
          <w:b/>
          <w:color w:val="000000"/>
          <w:lang w:eastAsia="lt-LT"/>
        </w:rPr>
        <w:tab/>
        <w:t>FARMACINĖ INFORMACIJA</w:t>
      </w:r>
    </w:p>
    <w:p w14:paraId="756D9597" w14:textId="77777777" w:rsidR="0082730B" w:rsidRPr="00135C1A" w:rsidRDefault="0082730B" w:rsidP="00135C1A">
      <w:pPr>
        <w:tabs>
          <w:tab w:val="center" w:pos="1925"/>
        </w:tabs>
        <w:spacing w:after="0" w:line="240" w:lineRule="auto"/>
        <w:rPr>
          <w:rFonts w:ascii="Times New Roman" w:eastAsia="Times New Roman" w:hAnsi="Times New Roman" w:cs="Times New Roman"/>
          <w:b/>
          <w:color w:val="000000"/>
          <w:lang w:eastAsia="lt-LT"/>
        </w:rPr>
      </w:pPr>
    </w:p>
    <w:p w14:paraId="0E71A9D8" w14:textId="51DF0FCA" w:rsidR="0082730B" w:rsidRPr="0082730B" w:rsidRDefault="0082730B" w:rsidP="00135C1A">
      <w:pPr>
        <w:tabs>
          <w:tab w:val="center" w:pos="1925"/>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6.1</w:t>
      </w:r>
      <w:r w:rsidRPr="0082730B">
        <w:rPr>
          <w:rFonts w:ascii="Times New Roman" w:eastAsia="Times New Roman" w:hAnsi="Times New Roman" w:cs="Times New Roman"/>
          <w:b/>
          <w:color w:val="000000"/>
          <w:lang w:eastAsia="lt-LT"/>
        </w:rPr>
        <w:tab/>
        <w:t>Pagalbinių medžiagų sąrašas</w:t>
      </w:r>
    </w:p>
    <w:p w14:paraId="05B80DC9" w14:textId="77777777" w:rsidR="0082730B" w:rsidRPr="00135C1A"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398D6EB4" w14:textId="0810C090"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Tabletės šerdis</w:t>
      </w:r>
    </w:p>
    <w:p w14:paraId="01DCC1D1" w14:textId="581B02DE"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Manitolis</w:t>
      </w:r>
      <w:r w:rsidR="00AF100E" w:rsidRPr="00135C1A">
        <w:rPr>
          <w:rFonts w:ascii="Times New Roman" w:eastAsia="Times New Roman" w:hAnsi="Times New Roman" w:cs="Times New Roman"/>
          <w:color w:val="000000"/>
          <w:lang w:eastAsia="lt-LT"/>
        </w:rPr>
        <w:t xml:space="preserve"> (E421)</w:t>
      </w:r>
    </w:p>
    <w:p w14:paraId="0D041AEA" w14:textId="57BDC76E"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Pregelifikuotas </w:t>
      </w:r>
      <w:r w:rsidR="00613FE6" w:rsidRPr="0082730B">
        <w:rPr>
          <w:rFonts w:ascii="Times New Roman" w:eastAsia="Times New Roman" w:hAnsi="Times New Roman" w:cs="Times New Roman"/>
          <w:color w:val="000000"/>
          <w:lang w:eastAsia="lt-LT"/>
        </w:rPr>
        <w:t>kukurūzų</w:t>
      </w:r>
      <w:r w:rsidR="00613FE6" w:rsidRPr="00135C1A">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krakmolas</w:t>
      </w:r>
    </w:p>
    <w:p w14:paraId="71892806"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Kukurūzų krakmolas</w:t>
      </w:r>
    </w:p>
    <w:p w14:paraId="35D154AC" w14:textId="05D354EB" w:rsidR="0082730B" w:rsidRPr="0082730B" w:rsidRDefault="00613FE6"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P</w:t>
      </w:r>
      <w:r w:rsidR="0082730B" w:rsidRPr="0082730B">
        <w:rPr>
          <w:rFonts w:ascii="Times New Roman" w:eastAsia="Times New Roman" w:hAnsi="Times New Roman" w:cs="Times New Roman"/>
          <w:color w:val="000000"/>
          <w:lang w:eastAsia="lt-LT"/>
        </w:rPr>
        <w:t>ovidonas</w:t>
      </w:r>
      <w:r w:rsidRPr="00135C1A">
        <w:rPr>
          <w:rFonts w:ascii="Times New Roman" w:eastAsia="Times New Roman" w:hAnsi="Times New Roman" w:cs="Times New Roman"/>
          <w:color w:val="000000"/>
          <w:lang w:eastAsia="lt-LT"/>
        </w:rPr>
        <w:t xml:space="preserve"> K30</w:t>
      </w:r>
    </w:p>
    <w:p w14:paraId="3AAA27C5"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Magnio stearatas</w:t>
      </w:r>
    </w:p>
    <w:p w14:paraId="5D1CC2AC" w14:textId="77777777" w:rsidR="00613FE6" w:rsidRPr="00135C1A" w:rsidRDefault="00613FE6" w:rsidP="00135C1A">
      <w:pPr>
        <w:keepNext/>
        <w:keepLines/>
        <w:spacing w:after="0" w:line="240" w:lineRule="auto"/>
        <w:outlineLvl w:val="1"/>
        <w:rPr>
          <w:rFonts w:ascii="Times New Roman" w:eastAsia="Times New Roman" w:hAnsi="Times New Roman" w:cs="Times New Roman"/>
          <w:color w:val="000000"/>
          <w:u w:val="single" w:color="000000"/>
          <w:lang w:eastAsia="lt-LT"/>
        </w:rPr>
      </w:pPr>
    </w:p>
    <w:p w14:paraId="2CC48FE0" w14:textId="77777777" w:rsidR="0082730B" w:rsidRPr="0082730B" w:rsidRDefault="0082730B" w:rsidP="00135C1A">
      <w:pPr>
        <w:keepNext/>
        <w:keepLines/>
        <w:spacing w:after="0" w:line="240" w:lineRule="auto"/>
        <w:outlineLvl w:val="1"/>
        <w:rPr>
          <w:rFonts w:ascii="Times New Roman" w:eastAsia="Times New Roman" w:hAnsi="Times New Roman" w:cs="Times New Roman"/>
          <w:color w:val="000000"/>
          <w:u w:val="single" w:color="000000"/>
          <w:lang w:eastAsia="lt-LT"/>
        </w:rPr>
      </w:pPr>
      <w:r w:rsidRPr="0082730B">
        <w:rPr>
          <w:rFonts w:ascii="Times New Roman" w:eastAsia="Times New Roman" w:hAnsi="Times New Roman" w:cs="Times New Roman"/>
          <w:color w:val="000000"/>
          <w:u w:val="single" w:color="000000"/>
          <w:lang w:eastAsia="lt-LT"/>
        </w:rPr>
        <w:t>Tabletės plėvelė</w:t>
      </w:r>
    </w:p>
    <w:p w14:paraId="0BD06004"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Hipromeliozė</w:t>
      </w:r>
    </w:p>
    <w:p w14:paraId="5400328C" w14:textId="336539F2"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Titano dioksidas (E171)</w:t>
      </w:r>
    </w:p>
    <w:p w14:paraId="7AB4AF49" w14:textId="77777777" w:rsidR="00613FE6" w:rsidRPr="0082730B" w:rsidRDefault="00613FE6"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Makrogolis (</w:t>
      </w:r>
      <w:r w:rsidRPr="00135C1A">
        <w:rPr>
          <w:rFonts w:ascii="Times New Roman" w:eastAsia="Times New Roman" w:hAnsi="Times New Roman" w:cs="Times New Roman"/>
          <w:color w:val="000000"/>
          <w:lang w:eastAsia="lt-LT"/>
        </w:rPr>
        <w:t>4</w:t>
      </w:r>
      <w:r w:rsidRPr="0082730B">
        <w:rPr>
          <w:rFonts w:ascii="Times New Roman" w:eastAsia="Times New Roman" w:hAnsi="Times New Roman" w:cs="Times New Roman"/>
          <w:color w:val="000000"/>
          <w:lang w:eastAsia="lt-LT"/>
        </w:rPr>
        <w:t>00)</w:t>
      </w:r>
    </w:p>
    <w:p w14:paraId="44CD8B75" w14:textId="60A92089"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Raudonasis geležies oksidas (E172)</w:t>
      </w:r>
    </w:p>
    <w:p w14:paraId="0376B90D" w14:textId="77777777" w:rsidR="0082730B" w:rsidRPr="00135C1A" w:rsidRDefault="0082730B" w:rsidP="00135C1A">
      <w:pPr>
        <w:tabs>
          <w:tab w:val="center" w:pos="1447"/>
        </w:tabs>
        <w:spacing w:after="0" w:line="240" w:lineRule="auto"/>
        <w:rPr>
          <w:rFonts w:ascii="Times New Roman" w:eastAsia="Times New Roman" w:hAnsi="Times New Roman" w:cs="Times New Roman"/>
          <w:b/>
          <w:color w:val="000000"/>
          <w:lang w:eastAsia="lt-LT"/>
        </w:rPr>
      </w:pPr>
    </w:p>
    <w:p w14:paraId="1C6BD7AE" w14:textId="3EDEC6A0" w:rsidR="0082730B" w:rsidRPr="0082730B" w:rsidRDefault="0082730B" w:rsidP="00135C1A">
      <w:pPr>
        <w:tabs>
          <w:tab w:val="center" w:pos="1447"/>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6.2</w:t>
      </w:r>
      <w:r w:rsidRPr="0082730B">
        <w:rPr>
          <w:rFonts w:ascii="Times New Roman" w:eastAsia="Times New Roman" w:hAnsi="Times New Roman" w:cs="Times New Roman"/>
          <w:b/>
          <w:color w:val="000000"/>
          <w:lang w:eastAsia="lt-LT"/>
        </w:rPr>
        <w:tab/>
        <w:t>Nesuderinamumas</w:t>
      </w:r>
    </w:p>
    <w:p w14:paraId="59640B09"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703DEF52" w14:textId="3A7298FE"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Duomenys nebūtini.</w:t>
      </w:r>
    </w:p>
    <w:p w14:paraId="6956B807" w14:textId="77777777" w:rsidR="0082730B" w:rsidRPr="00135C1A" w:rsidRDefault="0082730B" w:rsidP="00135C1A">
      <w:pPr>
        <w:tabs>
          <w:tab w:val="center" w:pos="1451"/>
        </w:tabs>
        <w:spacing w:after="0" w:line="240" w:lineRule="auto"/>
        <w:rPr>
          <w:rFonts w:ascii="Times New Roman" w:eastAsia="Times New Roman" w:hAnsi="Times New Roman" w:cs="Times New Roman"/>
          <w:b/>
          <w:color w:val="000000"/>
          <w:lang w:eastAsia="lt-LT"/>
        </w:rPr>
      </w:pPr>
    </w:p>
    <w:p w14:paraId="13131713" w14:textId="7B683F70" w:rsidR="0082730B" w:rsidRPr="0082730B" w:rsidRDefault="0082730B" w:rsidP="00135C1A">
      <w:pPr>
        <w:tabs>
          <w:tab w:val="center" w:pos="1451"/>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6.3</w:t>
      </w:r>
      <w:r w:rsidRPr="0082730B">
        <w:rPr>
          <w:rFonts w:ascii="Times New Roman" w:eastAsia="Times New Roman" w:hAnsi="Times New Roman" w:cs="Times New Roman"/>
          <w:b/>
          <w:color w:val="000000"/>
          <w:lang w:eastAsia="lt-LT"/>
        </w:rPr>
        <w:tab/>
        <w:t>Tinkamumo laikas</w:t>
      </w:r>
    </w:p>
    <w:p w14:paraId="6CBD6FB0"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5E68F829" w14:textId="55CA475E"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3</w:t>
      </w:r>
      <w:r w:rsidR="00613FE6" w:rsidRPr="00135C1A">
        <w:rPr>
          <w:rFonts w:ascii="Times New Roman" w:eastAsia="Times New Roman" w:hAnsi="Times New Roman" w:cs="Times New Roman"/>
          <w:color w:val="000000"/>
          <w:lang w:eastAsia="lt-LT"/>
        </w:rPr>
        <w:t>0 mėnesių</w:t>
      </w:r>
    </w:p>
    <w:p w14:paraId="6EC44A6E" w14:textId="77777777" w:rsidR="0082730B" w:rsidRPr="00135C1A" w:rsidRDefault="0082730B" w:rsidP="00135C1A">
      <w:pPr>
        <w:tabs>
          <w:tab w:val="center" w:pos="1801"/>
        </w:tabs>
        <w:spacing w:after="0" w:line="240" w:lineRule="auto"/>
        <w:rPr>
          <w:rFonts w:ascii="Times New Roman" w:eastAsia="Times New Roman" w:hAnsi="Times New Roman" w:cs="Times New Roman"/>
          <w:b/>
          <w:color w:val="000000"/>
          <w:lang w:eastAsia="lt-LT"/>
        </w:rPr>
      </w:pPr>
    </w:p>
    <w:p w14:paraId="7C0528F0" w14:textId="6009B07B" w:rsidR="0082730B" w:rsidRPr="0082730B" w:rsidRDefault="0082730B" w:rsidP="00135C1A">
      <w:pPr>
        <w:tabs>
          <w:tab w:val="center" w:pos="1801"/>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6.4</w:t>
      </w:r>
      <w:r w:rsidRPr="0082730B">
        <w:rPr>
          <w:rFonts w:ascii="Times New Roman" w:eastAsia="Times New Roman" w:hAnsi="Times New Roman" w:cs="Times New Roman"/>
          <w:b/>
          <w:color w:val="000000"/>
          <w:lang w:eastAsia="lt-LT"/>
        </w:rPr>
        <w:tab/>
        <w:t>Specialios laikymo sąlygos</w:t>
      </w:r>
    </w:p>
    <w:p w14:paraId="09F4AD30"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6D007C8A" w14:textId="1923B573"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Šiam vaistiniam preparatui specialių laikymo sąlygų nereikia.</w:t>
      </w:r>
    </w:p>
    <w:p w14:paraId="6A6C83D0" w14:textId="77777777" w:rsidR="0082730B" w:rsidRPr="00135C1A" w:rsidRDefault="0082730B" w:rsidP="00135C1A">
      <w:pPr>
        <w:keepNext/>
        <w:keepLines/>
        <w:tabs>
          <w:tab w:val="center" w:pos="2059"/>
        </w:tabs>
        <w:spacing w:after="0" w:line="240" w:lineRule="auto"/>
        <w:outlineLvl w:val="2"/>
        <w:rPr>
          <w:rFonts w:ascii="Times New Roman" w:eastAsia="Times New Roman" w:hAnsi="Times New Roman" w:cs="Times New Roman"/>
          <w:b/>
          <w:color w:val="000000"/>
          <w:lang w:eastAsia="lt-LT"/>
        </w:rPr>
      </w:pPr>
    </w:p>
    <w:p w14:paraId="46B6B5FD" w14:textId="73E6703B" w:rsidR="0082730B" w:rsidRPr="0082730B" w:rsidRDefault="0082730B" w:rsidP="00135C1A">
      <w:pPr>
        <w:keepNext/>
        <w:keepLines/>
        <w:tabs>
          <w:tab w:val="center" w:pos="2059"/>
        </w:tabs>
        <w:spacing w:after="0" w:line="240" w:lineRule="auto"/>
        <w:outlineLvl w:val="2"/>
        <w:rPr>
          <w:rFonts w:ascii="Times New Roman" w:eastAsia="Times New Roman" w:hAnsi="Times New Roman" w:cs="Times New Roman"/>
          <w:i/>
          <w:color w:val="000000"/>
          <w:lang w:eastAsia="lt-LT"/>
        </w:rPr>
      </w:pPr>
      <w:r w:rsidRPr="0082730B">
        <w:rPr>
          <w:rFonts w:ascii="Times New Roman" w:eastAsia="Times New Roman" w:hAnsi="Times New Roman" w:cs="Times New Roman"/>
          <w:b/>
          <w:color w:val="000000"/>
          <w:lang w:eastAsia="lt-LT"/>
        </w:rPr>
        <w:t>6.5</w:t>
      </w:r>
      <w:r w:rsidRPr="0082730B">
        <w:rPr>
          <w:rFonts w:ascii="Times New Roman" w:eastAsia="Times New Roman" w:hAnsi="Times New Roman" w:cs="Times New Roman"/>
          <w:b/>
          <w:color w:val="000000"/>
          <w:lang w:eastAsia="lt-LT"/>
        </w:rPr>
        <w:tab/>
        <w:t>Talpyklės pobūdis ir jos turinys</w:t>
      </w:r>
    </w:p>
    <w:p w14:paraId="02D3F9D3"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3952B838" w14:textId="44280B58" w:rsidR="00613FE6" w:rsidRPr="00135C1A" w:rsidRDefault="00613FE6" w:rsidP="00135C1A">
      <w:pPr>
        <w:spacing w:after="0" w:line="240" w:lineRule="auto"/>
        <w:rPr>
          <w:rFonts w:ascii="Times New Roman" w:eastAsia="Times New Roman" w:hAnsi="Times New Roman" w:cs="Times New Roman"/>
          <w:color w:val="000000"/>
          <w:lang w:eastAsia="lt-LT"/>
        </w:rPr>
      </w:pPr>
      <w:bookmarkStart w:id="0" w:name="_Hlk173763213"/>
      <w:r w:rsidRPr="00135C1A">
        <w:rPr>
          <w:rFonts w:ascii="Times New Roman" w:eastAsia="Times New Roman" w:hAnsi="Times New Roman" w:cs="Times New Roman"/>
          <w:color w:val="000000"/>
          <w:lang w:eastAsia="lt-LT"/>
        </w:rPr>
        <w:t>oPA/Al/PVC/Aliuminio lizdinės plokštelės. Kartono dėžutėje yra 30</w:t>
      </w:r>
      <w:r w:rsidR="00B719BA" w:rsidRPr="00135C1A">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plėvele dengtų tablečių.</w:t>
      </w:r>
    </w:p>
    <w:p w14:paraId="6A708E7D" w14:textId="2C42DE99" w:rsidR="0082730B" w:rsidRPr="0082730B" w:rsidRDefault="00B719B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Gali būti tiekiamos </w:t>
      </w:r>
      <w:r w:rsidRPr="0082730B">
        <w:rPr>
          <w:rFonts w:ascii="Times New Roman" w:eastAsia="Times New Roman" w:hAnsi="Times New Roman" w:cs="Times New Roman"/>
          <w:color w:val="000000"/>
          <w:lang w:eastAsia="lt-LT"/>
        </w:rPr>
        <w:t>30</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1</w:t>
      </w:r>
      <w:r w:rsidRPr="00135C1A">
        <w:rPr>
          <w:rFonts w:ascii="Times New Roman" w:eastAsia="Times New Roman" w:hAnsi="Times New Roman" w:cs="Times New Roman"/>
          <w:color w:val="000000"/>
          <w:lang w:eastAsia="lt-LT"/>
        </w:rPr>
        <w:t xml:space="preserve"> </w:t>
      </w:r>
      <w:r w:rsidR="0082730B" w:rsidRPr="0082730B">
        <w:rPr>
          <w:rFonts w:ascii="Times New Roman" w:eastAsia="Times New Roman" w:hAnsi="Times New Roman" w:cs="Times New Roman"/>
          <w:color w:val="000000"/>
          <w:lang w:eastAsia="lt-LT"/>
        </w:rPr>
        <w:t>dalomosios lizdinės plokštelės</w:t>
      </w:r>
      <w:r w:rsidRPr="00135C1A">
        <w:rPr>
          <w:rFonts w:ascii="Times New Roman" w:eastAsia="Times New Roman" w:hAnsi="Times New Roman" w:cs="Times New Roman"/>
          <w:color w:val="000000"/>
          <w:lang w:eastAsia="lt-LT"/>
        </w:rPr>
        <w:t xml:space="preserve"> dėžut</w:t>
      </w:r>
      <w:r w:rsidR="0082730B" w:rsidRPr="0082730B">
        <w:rPr>
          <w:rFonts w:ascii="Times New Roman" w:eastAsia="Times New Roman" w:hAnsi="Times New Roman" w:cs="Times New Roman"/>
          <w:color w:val="000000"/>
          <w:lang w:eastAsia="lt-LT"/>
        </w:rPr>
        <w:t>ėse</w:t>
      </w:r>
      <w:bookmarkEnd w:id="0"/>
      <w:r w:rsidRPr="00135C1A">
        <w:rPr>
          <w:rFonts w:ascii="Times New Roman" w:eastAsia="Times New Roman" w:hAnsi="Times New Roman" w:cs="Times New Roman"/>
          <w:color w:val="000000"/>
          <w:lang w:eastAsia="lt-LT"/>
        </w:rPr>
        <w:t>.</w:t>
      </w:r>
    </w:p>
    <w:p w14:paraId="4457B5CE" w14:textId="77777777" w:rsidR="0082730B" w:rsidRPr="00135C1A" w:rsidRDefault="0082730B" w:rsidP="00135C1A">
      <w:pPr>
        <w:tabs>
          <w:tab w:val="center" w:pos="2514"/>
        </w:tabs>
        <w:spacing w:after="0" w:line="240" w:lineRule="auto"/>
        <w:rPr>
          <w:rFonts w:ascii="Times New Roman" w:eastAsia="Times New Roman" w:hAnsi="Times New Roman" w:cs="Times New Roman"/>
          <w:b/>
          <w:color w:val="000000"/>
          <w:lang w:eastAsia="lt-LT"/>
        </w:rPr>
      </w:pPr>
    </w:p>
    <w:p w14:paraId="45304D69" w14:textId="37D6BE85" w:rsidR="0082730B" w:rsidRPr="0082730B" w:rsidRDefault="0082730B" w:rsidP="00135C1A">
      <w:pPr>
        <w:tabs>
          <w:tab w:val="center" w:pos="2514"/>
        </w:tabs>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b/>
          <w:color w:val="000000"/>
          <w:lang w:eastAsia="lt-LT"/>
        </w:rPr>
        <w:t>6.6</w:t>
      </w:r>
      <w:r w:rsidRPr="0082730B">
        <w:rPr>
          <w:rFonts w:ascii="Times New Roman" w:eastAsia="Times New Roman" w:hAnsi="Times New Roman" w:cs="Times New Roman"/>
          <w:b/>
          <w:color w:val="000000"/>
          <w:lang w:eastAsia="lt-LT"/>
        </w:rPr>
        <w:tab/>
        <w:t>Specialūs reikalavimai atliekoms tvarkyti</w:t>
      </w:r>
    </w:p>
    <w:p w14:paraId="726E13A8" w14:textId="77777777" w:rsidR="00794080" w:rsidRPr="00135C1A" w:rsidRDefault="00794080" w:rsidP="00135C1A">
      <w:pPr>
        <w:spacing w:after="0" w:line="240" w:lineRule="auto"/>
        <w:rPr>
          <w:rFonts w:ascii="Times New Roman" w:eastAsia="Times New Roman" w:hAnsi="Times New Roman" w:cs="Times New Roman"/>
          <w:color w:val="000000"/>
          <w:lang w:eastAsia="lt-LT"/>
        </w:rPr>
      </w:pPr>
    </w:p>
    <w:p w14:paraId="69168DC8"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Nesuvartotą vaistinį preparatą ar atliekas reikia tvarkyti laikantis vietinių reikalavimų.</w:t>
      </w:r>
    </w:p>
    <w:p w14:paraId="4029974C" w14:textId="77777777" w:rsidR="0082730B" w:rsidRPr="00135C1A" w:rsidRDefault="0082730B" w:rsidP="00135C1A">
      <w:pPr>
        <w:keepNext/>
        <w:keepLines/>
        <w:tabs>
          <w:tab w:val="center" w:pos="1582"/>
        </w:tabs>
        <w:spacing w:after="0" w:line="240" w:lineRule="auto"/>
        <w:outlineLvl w:val="0"/>
        <w:rPr>
          <w:rFonts w:ascii="Times New Roman" w:eastAsia="Times New Roman" w:hAnsi="Times New Roman" w:cs="Times New Roman"/>
          <w:b/>
          <w:color w:val="000000"/>
          <w:lang w:eastAsia="lt-LT"/>
        </w:rPr>
      </w:pPr>
    </w:p>
    <w:p w14:paraId="48119CFC" w14:textId="77777777" w:rsidR="0082730B" w:rsidRPr="00135C1A" w:rsidRDefault="0082730B" w:rsidP="00135C1A">
      <w:pPr>
        <w:keepNext/>
        <w:keepLines/>
        <w:tabs>
          <w:tab w:val="center" w:pos="1582"/>
        </w:tabs>
        <w:spacing w:after="0" w:line="240" w:lineRule="auto"/>
        <w:outlineLvl w:val="0"/>
        <w:rPr>
          <w:rFonts w:ascii="Times New Roman" w:eastAsia="Times New Roman" w:hAnsi="Times New Roman" w:cs="Times New Roman"/>
          <w:b/>
          <w:color w:val="000000"/>
          <w:lang w:eastAsia="lt-LT"/>
        </w:rPr>
      </w:pPr>
    </w:p>
    <w:p w14:paraId="214A2D4A" w14:textId="169E0AD0" w:rsidR="0082730B" w:rsidRPr="0082730B" w:rsidRDefault="0082730B" w:rsidP="00135C1A">
      <w:pPr>
        <w:keepNext/>
        <w:keepLines/>
        <w:tabs>
          <w:tab w:val="center" w:pos="1582"/>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7.</w:t>
      </w:r>
      <w:r w:rsidRPr="0082730B">
        <w:rPr>
          <w:rFonts w:ascii="Times New Roman" w:eastAsia="Times New Roman" w:hAnsi="Times New Roman" w:cs="Times New Roman"/>
          <w:b/>
          <w:color w:val="000000"/>
          <w:lang w:eastAsia="lt-LT"/>
        </w:rPr>
        <w:tab/>
        <w:t>REGISTRUOTOJAS</w:t>
      </w:r>
    </w:p>
    <w:p w14:paraId="18459194" w14:textId="77777777" w:rsidR="0082730B" w:rsidRPr="00135C1A" w:rsidRDefault="0082730B" w:rsidP="00135C1A">
      <w:pPr>
        <w:keepNext/>
        <w:keepLines/>
        <w:tabs>
          <w:tab w:val="center" w:pos="3106"/>
        </w:tabs>
        <w:spacing w:after="0" w:line="240" w:lineRule="auto"/>
        <w:outlineLvl w:val="0"/>
        <w:rPr>
          <w:rFonts w:ascii="Times New Roman" w:eastAsia="Times New Roman" w:hAnsi="Times New Roman" w:cs="Times New Roman"/>
          <w:b/>
          <w:color w:val="000000"/>
          <w:lang w:eastAsia="lt-LT"/>
        </w:rPr>
      </w:pPr>
    </w:p>
    <w:p w14:paraId="15BE9FF2" w14:textId="77777777" w:rsidR="00794080" w:rsidRPr="00794080" w:rsidRDefault="00794080" w:rsidP="00135C1A">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Egis Pharmaceuticals PLC</w:t>
      </w:r>
    </w:p>
    <w:p w14:paraId="4D0ABDB0" w14:textId="77777777" w:rsidR="00794080" w:rsidRPr="00794080" w:rsidRDefault="00794080" w:rsidP="00135C1A">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1106 Budapest, Keresztúri út 30-38</w:t>
      </w:r>
    </w:p>
    <w:p w14:paraId="301BDA50" w14:textId="77777777" w:rsidR="00794080" w:rsidRPr="00135C1A" w:rsidRDefault="00794080"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Vengrija</w:t>
      </w:r>
    </w:p>
    <w:p w14:paraId="1E6305AD" w14:textId="77777777" w:rsidR="0082730B" w:rsidRPr="00135C1A" w:rsidRDefault="0082730B" w:rsidP="00135C1A">
      <w:pPr>
        <w:keepNext/>
        <w:keepLines/>
        <w:tabs>
          <w:tab w:val="center" w:pos="3106"/>
        </w:tabs>
        <w:spacing w:after="0" w:line="240" w:lineRule="auto"/>
        <w:outlineLvl w:val="0"/>
        <w:rPr>
          <w:rFonts w:ascii="Times New Roman" w:eastAsia="Times New Roman" w:hAnsi="Times New Roman" w:cs="Times New Roman"/>
          <w:b/>
          <w:color w:val="000000"/>
          <w:lang w:eastAsia="lt-LT"/>
        </w:rPr>
      </w:pPr>
    </w:p>
    <w:p w14:paraId="66232562" w14:textId="77777777" w:rsidR="0082730B" w:rsidRPr="00135C1A" w:rsidRDefault="0082730B" w:rsidP="00135C1A">
      <w:pPr>
        <w:keepNext/>
        <w:keepLines/>
        <w:tabs>
          <w:tab w:val="center" w:pos="3106"/>
        </w:tabs>
        <w:spacing w:after="0" w:line="240" w:lineRule="auto"/>
        <w:outlineLvl w:val="0"/>
        <w:rPr>
          <w:rFonts w:ascii="Times New Roman" w:eastAsia="Times New Roman" w:hAnsi="Times New Roman" w:cs="Times New Roman"/>
          <w:b/>
          <w:color w:val="000000"/>
          <w:lang w:eastAsia="lt-LT"/>
        </w:rPr>
      </w:pPr>
    </w:p>
    <w:p w14:paraId="5D2335DF" w14:textId="49107AD8" w:rsidR="0082730B" w:rsidRPr="0082730B" w:rsidRDefault="0082730B" w:rsidP="00135C1A">
      <w:pPr>
        <w:keepNext/>
        <w:keepLines/>
        <w:tabs>
          <w:tab w:val="center" w:pos="3106"/>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8.</w:t>
      </w:r>
      <w:r w:rsidRPr="0082730B">
        <w:rPr>
          <w:rFonts w:ascii="Times New Roman" w:eastAsia="Times New Roman" w:hAnsi="Times New Roman" w:cs="Times New Roman"/>
          <w:b/>
          <w:color w:val="000000"/>
          <w:lang w:eastAsia="lt-LT"/>
        </w:rPr>
        <w:tab/>
        <w:t>REGISTRACIJOS PAŽYMĖJIMO NUMERIS (-IAI)</w:t>
      </w:r>
    </w:p>
    <w:p w14:paraId="60F36795"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1EB1BCE4" w14:textId="77777777" w:rsidR="00992230" w:rsidRPr="00992230" w:rsidRDefault="00992230" w:rsidP="00992230">
      <w:pPr>
        <w:spacing w:after="0" w:line="240" w:lineRule="auto"/>
        <w:rPr>
          <w:rFonts w:ascii="Times New Roman" w:eastAsia="Times New Roman" w:hAnsi="Times New Roman" w:cs="Times New Roman"/>
          <w:color w:val="000000"/>
          <w:lang w:eastAsia="lt-LT"/>
        </w:rPr>
      </w:pPr>
      <w:r w:rsidRPr="00992230">
        <w:rPr>
          <w:rFonts w:ascii="Times New Roman" w:eastAsia="Times New Roman" w:hAnsi="Times New Roman" w:cs="Times New Roman"/>
          <w:color w:val="000000"/>
          <w:u w:val="single"/>
          <w:lang w:eastAsia="lt-LT"/>
        </w:rPr>
        <w:t>Lizdinė plokštelė</w:t>
      </w:r>
      <w:r w:rsidRPr="00992230">
        <w:rPr>
          <w:rFonts w:ascii="Times New Roman" w:eastAsia="Times New Roman" w:hAnsi="Times New Roman" w:cs="Times New Roman"/>
          <w:color w:val="000000"/>
          <w:lang w:eastAsia="lt-LT"/>
        </w:rPr>
        <w:t>:</w:t>
      </w:r>
    </w:p>
    <w:p w14:paraId="23A831B9" w14:textId="77777777" w:rsidR="00992230" w:rsidRPr="00992230" w:rsidRDefault="00992230" w:rsidP="00992230">
      <w:pPr>
        <w:spacing w:after="0" w:line="240" w:lineRule="auto"/>
        <w:rPr>
          <w:rFonts w:ascii="Times New Roman" w:eastAsia="Times New Roman" w:hAnsi="Times New Roman" w:cs="Times New Roman"/>
          <w:color w:val="000000"/>
          <w:lang w:eastAsia="lt-LT"/>
        </w:rPr>
      </w:pPr>
      <w:r w:rsidRPr="00992230">
        <w:rPr>
          <w:rFonts w:ascii="Times New Roman" w:eastAsia="Times New Roman" w:hAnsi="Times New Roman" w:cs="Times New Roman"/>
          <w:color w:val="000000"/>
          <w:lang w:eastAsia="lt-LT"/>
        </w:rPr>
        <w:t>LT/1/24/5588/001 – N30</w:t>
      </w:r>
    </w:p>
    <w:p w14:paraId="06885735" w14:textId="77777777" w:rsidR="00992230" w:rsidRPr="00992230" w:rsidRDefault="00992230" w:rsidP="00992230">
      <w:pPr>
        <w:spacing w:after="0" w:line="240" w:lineRule="auto"/>
        <w:rPr>
          <w:rFonts w:ascii="Times New Roman" w:eastAsia="Times New Roman" w:hAnsi="Times New Roman" w:cs="Times New Roman"/>
          <w:color w:val="000000"/>
          <w:lang w:eastAsia="lt-LT"/>
        </w:rPr>
      </w:pPr>
      <w:r w:rsidRPr="00992230">
        <w:rPr>
          <w:rFonts w:ascii="Times New Roman" w:eastAsia="Times New Roman" w:hAnsi="Times New Roman" w:cs="Times New Roman"/>
          <w:color w:val="000000"/>
          <w:u w:val="single"/>
          <w:lang w:eastAsia="lt-LT"/>
        </w:rPr>
        <w:t>Dalomoji lizdinė plokštelė</w:t>
      </w:r>
      <w:r w:rsidRPr="00992230">
        <w:rPr>
          <w:rFonts w:ascii="Times New Roman" w:eastAsia="Times New Roman" w:hAnsi="Times New Roman" w:cs="Times New Roman"/>
          <w:color w:val="000000"/>
          <w:lang w:eastAsia="lt-LT"/>
        </w:rPr>
        <w:t>:</w:t>
      </w:r>
    </w:p>
    <w:p w14:paraId="4A352906" w14:textId="052AD928" w:rsidR="00794080" w:rsidRDefault="00992230" w:rsidP="00992230">
      <w:pPr>
        <w:spacing w:after="0" w:line="240" w:lineRule="auto"/>
        <w:rPr>
          <w:rFonts w:ascii="Times New Roman" w:eastAsia="Times New Roman" w:hAnsi="Times New Roman" w:cs="Times New Roman"/>
          <w:color w:val="000000"/>
          <w:lang w:eastAsia="lt-LT"/>
        </w:rPr>
      </w:pPr>
      <w:r w:rsidRPr="00992230">
        <w:rPr>
          <w:rFonts w:ascii="Times New Roman" w:eastAsia="Times New Roman" w:hAnsi="Times New Roman" w:cs="Times New Roman"/>
          <w:color w:val="000000"/>
          <w:lang w:eastAsia="lt-LT"/>
        </w:rPr>
        <w:t>LT/1/24/5588/002 – N30</w:t>
      </w:r>
      <w:r>
        <w:rPr>
          <w:rFonts w:ascii="Times New Roman" w:eastAsia="Times New Roman" w:hAnsi="Times New Roman" w:cs="Times New Roman"/>
          <w:color w:val="000000"/>
          <w:lang w:eastAsia="lt-LT"/>
        </w:rPr>
        <w:t>×</w:t>
      </w:r>
      <w:r w:rsidRPr="00992230">
        <w:rPr>
          <w:rFonts w:ascii="Times New Roman" w:eastAsia="Times New Roman" w:hAnsi="Times New Roman" w:cs="Times New Roman"/>
          <w:color w:val="000000"/>
          <w:lang w:eastAsia="lt-LT"/>
        </w:rPr>
        <w:t>1</w:t>
      </w:r>
    </w:p>
    <w:p w14:paraId="369783E9" w14:textId="77777777" w:rsidR="00992230" w:rsidRPr="00135C1A" w:rsidRDefault="00992230" w:rsidP="00992230">
      <w:pPr>
        <w:spacing w:after="0" w:line="240" w:lineRule="auto"/>
        <w:rPr>
          <w:rFonts w:ascii="Times New Roman" w:eastAsia="Times New Roman" w:hAnsi="Times New Roman" w:cs="Times New Roman"/>
          <w:color w:val="000000"/>
          <w:lang w:eastAsia="lt-LT"/>
        </w:rPr>
      </w:pPr>
    </w:p>
    <w:p w14:paraId="132CC6E3"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p>
    <w:p w14:paraId="186A73B9" w14:textId="77777777" w:rsidR="0082730B" w:rsidRPr="0082730B" w:rsidRDefault="0082730B" w:rsidP="00135C1A">
      <w:pPr>
        <w:keepNext/>
        <w:keepLines/>
        <w:tabs>
          <w:tab w:val="center" w:pos="2984"/>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9.</w:t>
      </w:r>
      <w:r w:rsidRPr="0082730B">
        <w:rPr>
          <w:rFonts w:ascii="Times New Roman" w:eastAsia="Times New Roman" w:hAnsi="Times New Roman" w:cs="Times New Roman"/>
          <w:b/>
          <w:color w:val="000000"/>
          <w:lang w:eastAsia="lt-LT"/>
        </w:rPr>
        <w:tab/>
        <w:t>REGISTRAVIMO / PERREGISTRAVIMO DATA</w:t>
      </w:r>
    </w:p>
    <w:p w14:paraId="54748D5B"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0CBD7FAF" w14:textId="7D88F756" w:rsidR="0082730B" w:rsidRPr="00135C1A" w:rsidRDefault="00992230" w:rsidP="00135C1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2024 m. rugsėjo 25 d.</w:t>
      </w:r>
    </w:p>
    <w:p w14:paraId="6B1E15C8"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5492A906" w14:textId="77777777" w:rsidR="0082730B" w:rsidRPr="0082730B" w:rsidRDefault="0082730B" w:rsidP="00135C1A">
      <w:pPr>
        <w:spacing w:after="0" w:line="240" w:lineRule="auto"/>
        <w:rPr>
          <w:rFonts w:ascii="Times New Roman" w:eastAsia="Times New Roman" w:hAnsi="Times New Roman" w:cs="Times New Roman"/>
          <w:color w:val="000000"/>
          <w:lang w:eastAsia="lt-LT"/>
        </w:rPr>
      </w:pPr>
    </w:p>
    <w:p w14:paraId="5CD80F86" w14:textId="15958C09" w:rsidR="0082730B" w:rsidRDefault="0082730B" w:rsidP="00135C1A">
      <w:pPr>
        <w:keepNext/>
        <w:keepLines/>
        <w:tabs>
          <w:tab w:val="center" w:pos="2027"/>
        </w:tabs>
        <w:spacing w:after="0" w:line="240" w:lineRule="auto"/>
        <w:outlineLvl w:val="0"/>
        <w:rPr>
          <w:rFonts w:ascii="Times New Roman" w:eastAsia="Times New Roman" w:hAnsi="Times New Roman" w:cs="Times New Roman"/>
          <w:b/>
          <w:color w:val="000000"/>
          <w:lang w:eastAsia="lt-LT"/>
        </w:rPr>
      </w:pPr>
      <w:r w:rsidRPr="0082730B">
        <w:rPr>
          <w:rFonts w:ascii="Times New Roman" w:eastAsia="Times New Roman" w:hAnsi="Times New Roman" w:cs="Times New Roman"/>
          <w:b/>
          <w:color w:val="000000"/>
          <w:lang w:eastAsia="lt-LT"/>
        </w:rPr>
        <w:t>10.</w:t>
      </w:r>
      <w:r w:rsidRPr="0082730B">
        <w:rPr>
          <w:rFonts w:ascii="Times New Roman" w:eastAsia="Times New Roman" w:hAnsi="Times New Roman" w:cs="Times New Roman"/>
          <w:b/>
          <w:color w:val="000000"/>
          <w:lang w:eastAsia="lt-LT"/>
        </w:rPr>
        <w:tab/>
        <w:t>TEKSTO PERŽIŪROS DATA</w:t>
      </w:r>
    </w:p>
    <w:p w14:paraId="2529F1BD" w14:textId="552BA98A" w:rsidR="00992230" w:rsidRDefault="00992230" w:rsidP="00135C1A">
      <w:pPr>
        <w:keepNext/>
        <w:keepLines/>
        <w:tabs>
          <w:tab w:val="center" w:pos="2027"/>
        </w:tabs>
        <w:spacing w:after="0" w:line="240" w:lineRule="auto"/>
        <w:outlineLvl w:val="0"/>
        <w:rPr>
          <w:rFonts w:ascii="Times New Roman" w:eastAsia="Times New Roman" w:hAnsi="Times New Roman" w:cs="Times New Roman"/>
          <w:b/>
          <w:color w:val="000000"/>
          <w:lang w:eastAsia="lt-LT"/>
        </w:rPr>
      </w:pPr>
    </w:p>
    <w:p w14:paraId="0713F0B9" w14:textId="41343BEB" w:rsidR="00992230" w:rsidRPr="00EB662E" w:rsidRDefault="00992230" w:rsidP="00135C1A">
      <w:pPr>
        <w:keepNext/>
        <w:keepLines/>
        <w:tabs>
          <w:tab w:val="center" w:pos="2027"/>
        </w:tabs>
        <w:spacing w:after="0" w:line="240" w:lineRule="auto"/>
        <w:outlineLvl w:val="0"/>
        <w:rPr>
          <w:rFonts w:ascii="Times New Roman" w:eastAsia="Times New Roman" w:hAnsi="Times New Roman" w:cs="Times New Roman"/>
          <w:color w:val="000000"/>
          <w:lang w:eastAsia="lt-LT"/>
        </w:rPr>
      </w:pPr>
      <w:r w:rsidRPr="00EB662E">
        <w:rPr>
          <w:rFonts w:ascii="Times New Roman" w:eastAsia="Times New Roman" w:hAnsi="Times New Roman" w:cs="Times New Roman"/>
          <w:color w:val="000000"/>
          <w:lang w:eastAsia="lt-LT"/>
        </w:rPr>
        <w:t>2024 m. rugsėjo 25 d.</w:t>
      </w:r>
    </w:p>
    <w:p w14:paraId="37BDBAAD" w14:textId="77777777" w:rsidR="0082730B" w:rsidRPr="00135C1A" w:rsidRDefault="0082730B" w:rsidP="00135C1A">
      <w:pPr>
        <w:spacing w:after="0" w:line="240" w:lineRule="auto"/>
        <w:rPr>
          <w:rFonts w:ascii="Times New Roman" w:eastAsia="Times New Roman" w:hAnsi="Times New Roman" w:cs="Times New Roman"/>
          <w:color w:val="000000"/>
          <w:lang w:eastAsia="lt-LT"/>
        </w:rPr>
      </w:pPr>
    </w:p>
    <w:p w14:paraId="458FCB6F" w14:textId="1E9791B6" w:rsidR="0082730B" w:rsidRPr="0082730B" w:rsidRDefault="0082730B" w:rsidP="00135C1A">
      <w:pPr>
        <w:spacing w:after="0" w:line="240" w:lineRule="auto"/>
        <w:rPr>
          <w:rFonts w:ascii="Times New Roman" w:eastAsia="Times New Roman" w:hAnsi="Times New Roman" w:cs="Times New Roman"/>
          <w:color w:val="000000"/>
          <w:lang w:eastAsia="lt-LT"/>
        </w:rPr>
      </w:pPr>
      <w:r w:rsidRPr="0082730B">
        <w:rPr>
          <w:rFonts w:ascii="Times New Roman" w:eastAsia="Times New Roman" w:hAnsi="Times New Roman" w:cs="Times New Roman"/>
          <w:color w:val="000000"/>
          <w:lang w:eastAsia="lt-LT"/>
        </w:rPr>
        <w:t xml:space="preserve">Išsami informacija apie šį vaistinį preparatą pateikiama Valstybinės vaistų kontrolės tarnybos prie Lietuvos Respublikos sveikatos apsaugos ministerijos tinklalapyje </w:t>
      </w:r>
      <w:hyperlink r:id="rId11" w:history="1">
        <w:r w:rsidRPr="0082730B">
          <w:rPr>
            <w:rStyle w:val="Hipersaitas"/>
            <w:rFonts w:ascii="Times New Roman" w:eastAsia="Times New Roman" w:hAnsi="Times New Roman" w:cs="Times New Roman"/>
            <w:lang w:eastAsia="lt-LT"/>
          </w:rPr>
          <w:t>https://vvkt.lrv.lt/lt/.</w:t>
        </w:r>
      </w:hyperlink>
    </w:p>
    <w:p w14:paraId="14C09B25" w14:textId="5F5993C7" w:rsidR="00794080" w:rsidRPr="00135C1A" w:rsidRDefault="00794080" w:rsidP="00135C1A">
      <w:pPr>
        <w:spacing w:line="240" w:lineRule="auto"/>
        <w:rPr>
          <w:rFonts w:ascii="Times New Roman" w:hAnsi="Times New Roman" w:cs="Times New Roman"/>
        </w:rPr>
      </w:pPr>
      <w:r w:rsidRPr="00135C1A">
        <w:rPr>
          <w:rFonts w:ascii="Times New Roman" w:hAnsi="Times New Roman" w:cs="Times New Roman"/>
        </w:rPr>
        <w:br w:type="page"/>
      </w:r>
    </w:p>
    <w:p w14:paraId="0A871ED3" w14:textId="77777777" w:rsidR="00000214" w:rsidRPr="00135C1A" w:rsidRDefault="00000214" w:rsidP="00135C1A">
      <w:pPr>
        <w:spacing w:after="0" w:line="240" w:lineRule="auto"/>
        <w:rPr>
          <w:rFonts w:ascii="Times New Roman" w:hAnsi="Times New Roman" w:cs="Times New Roman"/>
        </w:rPr>
      </w:pPr>
    </w:p>
    <w:p w14:paraId="4D0EA78A" w14:textId="77777777" w:rsidR="00794080" w:rsidRPr="00135C1A" w:rsidRDefault="00794080" w:rsidP="00135C1A">
      <w:pPr>
        <w:spacing w:after="0" w:line="240" w:lineRule="auto"/>
        <w:rPr>
          <w:rFonts w:ascii="Times New Roman" w:hAnsi="Times New Roman" w:cs="Times New Roman"/>
        </w:rPr>
      </w:pPr>
    </w:p>
    <w:p w14:paraId="5C0542D1" w14:textId="77777777" w:rsidR="00794080" w:rsidRPr="00135C1A" w:rsidRDefault="00794080" w:rsidP="00135C1A">
      <w:pPr>
        <w:spacing w:after="0" w:line="240" w:lineRule="auto"/>
        <w:rPr>
          <w:rFonts w:ascii="Times New Roman" w:hAnsi="Times New Roman" w:cs="Times New Roman"/>
        </w:rPr>
      </w:pPr>
    </w:p>
    <w:p w14:paraId="69E8510F" w14:textId="77777777" w:rsidR="00794080" w:rsidRPr="00135C1A" w:rsidRDefault="00794080" w:rsidP="00135C1A">
      <w:pPr>
        <w:spacing w:after="0" w:line="240" w:lineRule="auto"/>
        <w:rPr>
          <w:rFonts w:ascii="Times New Roman" w:hAnsi="Times New Roman" w:cs="Times New Roman"/>
        </w:rPr>
      </w:pPr>
    </w:p>
    <w:p w14:paraId="4D60D2CA" w14:textId="77777777" w:rsidR="00794080" w:rsidRPr="00135C1A" w:rsidRDefault="00794080" w:rsidP="00135C1A">
      <w:pPr>
        <w:spacing w:after="0" w:line="240" w:lineRule="auto"/>
        <w:rPr>
          <w:rFonts w:ascii="Times New Roman" w:hAnsi="Times New Roman" w:cs="Times New Roman"/>
        </w:rPr>
      </w:pPr>
    </w:p>
    <w:p w14:paraId="48ADD54B" w14:textId="77777777" w:rsidR="00794080" w:rsidRPr="00135C1A" w:rsidRDefault="00794080" w:rsidP="00135C1A">
      <w:pPr>
        <w:spacing w:after="0" w:line="240" w:lineRule="auto"/>
        <w:rPr>
          <w:rFonts w:ascii="Times New Roman" w:hAnsi="Times New Roman" w:cs="Times New Roman"/>
        </w:rPr>
      </w:pPr>
    </w:p>
    <w:p w14:paraId="5B05927C" w14:textId="77777777" w:rsidR="00794080" w:rsidRPr="00135C1A" w:rsidRDefault="00794080" w:rsidP="00135C1A">
      <w:pPr>
        <w:spacing w:after="0" w:line="240" w:lineRule="auto"/>
        <w:rPr>
          <w:rFonts w:ascii="Times New Roman" w:hAnsi="Times New Roman" w:cs="Times New Roman"/>
        </w:rPr>
      </w:pPr>
    </w:p>
    <w:p w14:paraId="2683FB2F" w14:textId="77777777" w:rsidR="00794080" w:rsidRPr="00135C1A" w:rsidRDefault="00794080" w:rsidP="00135C1A">
      <w:pPr>
        <w:spacing w:after="0" w:line="240" w:lineRule="auto"/>
        <w:rPr>
          <w:rFonts w:ascii="Times New Roman" w:hAnsi="Times New Roman" w:cs="Times New Roman"/>
        </w:rPr>
      </w:pPr>
    </w:p>
    <w:p w14:paraId="56425FEC" w14:textId="77777777" w:rsidR="00794080" w:rsidRPr="00135C1A" w:rsidRDefault="00794080" w:rsidP="00135C1A">
      <w:pPr>
        <w:spacing w:after="0" w:line="240" w:lineRule="auto"/>
        <w:rPr>
          <w:rFonts w:ascii="Times New Roman" w:hAnsi="Times New Roman" w:cs="Times New Roman"/>
        </w:rPr>
      </w:pPr>
    </w:p>
    <w:p w14:paraId="41BC8C4B" w14:textId="77777777" w:rsidR="00794080" w:rsidRPr="00135C1A" w:rsidRDefault="00794080" w:rsidP="00135C1A">
      <w:pPr>
        <w:spacing w:after="0" w:line="240" w:lineRule="auto"/>
        <w:rPr>
          <w:rFonts w:ascii="Times New Roman" w:hAnsi="Times New Roman" w:cs="Times New Roman"/>
        </w:rPr>
      </w:pPr>
    </w:p>
    <w:p w14:paraId="4D0D48BB" w14:textId="77777777" w:rsidR="00794080" w:rsidRPr="00135C1A" w:rsidRDefault="00794080" w:rsidP="00135C1A">
      <w:pPr>
        <w:spacing w:after="0" w:line="240" w:lineRule="auto"/>
        <w:rPr>
          <w:rFonts w:ascii="Times New Roman" w:hAnsi="Times New Roman" w:cs="Times New Roman"/>
        </w:rPr>
      </w:pPr>
    </w:p>
    <w:p w14:paraId="0E7C9692" w14:textId="77777777" w:rsidR="00794080" w:rsidRPr="00135C1A" w:rsidRDefault="00794080" w:rsidP="00135C1A">
      <w:pPr>
        <w:spacing w:after="0" w:line="240" w:lineRule="auto"/>
        <w:rPr>
          <w:rFonts w:ascii="Times New Roman" w:hAnsi="Times New Roman" w:cs="Times New Roman"/>
        </w:rPr>
      </w:pPr>
    </w:p>
    <w:p w14:paraId="609C3C91" w14:textId="77777777" w:rsidR="00794080" w:rsidRPr="00135C1A" w:rsidRDefault="00794080" w:rsidP="00135C1A">
      <w:pPr>
        <w:spacing w:after="0" w:line="240" w:lineRule="auto"/>
        <w:rPr>
          <w:rFonts w:ascii="Times New Roman" w:hAnsi="Times New Roman" w:cs="Times New Roman"/>
        </w:rPr>
      </w:pPr>
    </w:p>
    <w:p w14:paraId="12C4556B" w14:textId="77777777" w:rsidR="00794080" w:rsidRPr="00135C1A" w:rsidRDefault="00794080" w:rsidP="00135C1A">
      <w:pPr>
        <w:spacing w:after="0" w:line="240" w:lineRule="auto"/>
        <w:rPr>
          <w:rFonts w:ascii="Times New Roman" w:hAnsi="Times New Roman" w:cs="Times New Roman"/>
        </w:rPr>
      </w:pPr>
    </w:p>
    <w:p w14:paraId="51D5F6F4" w14:textId="77777777" w:rsidR="00794080" w:rsidRPr="00135C1A" w:rsidRDefault="00794080" w:rsidP="00135C1A">
      <w:pPr>
        <w:spacing w:after="0" w:line="240" w:lineRule="auto"/>
        <w:rPr>
          <w:rFonts w:ascii="Times New Roman" w:hAnsi="Times New Roman" w:cs="Times New Roman"/>
        </w:rPr>
      </w:pPr>
    </w:p>
    <w:p w14:paraId="13036D04" w14:textId="77777777" w:rsidR="00794080" w:rsidRPr="00135C1A" w:rsidRDefault="00794080" w:rsidP="00135C1A">
      <w:pPr>
        <w:spacing w:after="0" w:line="240" w:lineRule="auto"/>
        <w:rPr>
          <w:rFonts w:ascii="Times New Roman" w:hAnsi="Times New Roman" w:cs="Times New Roman"/>
        </w:rPr>
      </w:pPr>
    </w:p>
    <w:p w14:paraId="2FA1F6B4" w14:textId="77777777" w:rsidR="00794080" w:rsidRPr="00135C1A" w:rsidRDefault="00794080" w:rsidP="00135C1A">
      <w:pPr>
        <w:spacing w:after="0" w:line="240" w:lineRule="auto"/>
        <w:rPr>
          <w:rFonts w:ascii="Times New Roman" w:hAnsi="Times New Roman" w:cs="Times New Roman"/>
        </w:rPr>
      </w:pPr>
    </w:p>
    <w:p w14:paraId="644B7A3E" w14:textId="77777777" w:rsidR="00794080" w:rsidRPr="00135C1A" w:rsidRDefault="00794080" w:rsidP="00135C1A">
      <w:pPr>
        <w:spacing w:after="0" w:line="240" w:lineRule="auto"/>
        <w:rPr>
          <w:rFonts w:ascii="Times New Roman" w:hAnsi="Times New Roman" w:cs="Times New Roman"/>
        </w:rPr>
      </w:pPr>
    </w:p>
    <w:p w14:paraId="3C4B0301" w14:textId="77777777" w:rsidR="00794080" w:rsidRPr="00135C1A" w:rsidRDefault="00794080" w:rsidP="00135C1A">
      <w:pPr>
        <w:spacing w:after="0" w:line="240" w:lineRule="auto"/>
        <w:rPr>
          <w:rFonts w:ascii="Times New Roman" w:hAnsi="Times New Roman" w:cs="Times New Roman"/>
        </w:rPr>
      </w:pPr>
    </w:p>
    <w:p w14:paraId="53F52006" w14:textId="77777777" w:rsidR="00794080" w:rsidRPr="00135C1A" w:rsidRDefault="00794080" w:rsidP="00135C1A">
      <w:pPr>
        <w:spacing w:after="0" w:line="240" w:lineRule="auto"/>
        <w:rPr>
          <w:rFonts w:ascii="Times New Roman" w:hAnsi="Times New Roman" w:cs="Times New Roman"/>
        </w:rPr>
      </w:pPr>
    </w:p>
    <w:p w14:paraId="40265485" w14:textId="77777777" w:rsidR="00794080" w:rsidRPr="00135C1A" w:rsidRDefault="00794080" w:rsidP="00135C1A">
      <w:pPr>
        <w:spacing w:after="0" w:line="240" w:lineRule="auto"/>
        <w:rPr>
          <w:rFonts w:ascii="Times New Roman" w:hAnsi="Times New Roman" w:cs="Times New Roman"/>
        </w:rPr>
      </w:pPr>
    </w:p>
    <w:p w14:paraId="295FF0DC" w14:textId="77777777" w:rsidR="00794080" w:rsidRPr="00135C1A" w:rsidRDefault="00794080" w:rsidP="00135C1A">
      <w:pPr>
        <w:spacing w:after="0" w:line="240" w:lineRule="auto"/>
        <w:rPr>
          <w:rFonts w:ascii="Times New Roman" w:hAnsi="Times New Roman" w:cs="Times New Roman"/>
        </w:rPr>
      </w:pPr>
    </w:p>
    <w:p w14:paraId="2783B115" w14:textId="77777777" w:rsidR="00794080" w:rsidRPr="00135C1A" w:rsidRDefault="00794080" w:rsidP="00135C1A">
      <w:pPr>
        <w:spacing w:after="0" w:line="240" w:lineRule="auto"/>
        <w:rPr>
          <w:rFonts w:ascii="Times New Roman" w:hAnsi="Times New Roman" w:cs="Times New Roman"/>
        </w:rPr>
      </w:pPr>
    </w:p>
    <w:p w14:paraId="283B9B13" w14:textId="77777777" w:rsidR="00794080" w:rsidRPr="00794080" w:rsidRDefault="00794080" w:rsidP="00135C1A">
      <w:pPr>
        <w:keepNext/>
        <w:tabs>
          <w:tab w:val="left" w:pos="567"/>
        </w:tabs>
        <w:spacing w:after="0" w:line="240" w:lineRule="auto"/>
        <w:rPr>
          <w:rFonts w:ascii="Times New Roman" w:eastAsia="Times New Roman" w:hAnsi="Times New Roman" w:cs="Times New Roman"/>
          <w:kern w:val="0"/>
          <w14:ligatures w14:val="none"/>
        </w:rPr>
      </w:pPr>
    </w:p>
    <w:p w14:paraId="11B8F9B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r w:rsidRPr="00794080">
        <w:rPr>
          <w:rFonts w:ascii="Times New Roman" w:eastAsia="Times New Roman" w:hAnsi="Times New Roman" w:cs="Times New Roman"/>
          <w:b/>
          <w:bCs/>
          <w:kern w:val="0"/>
          <w14:ligatures w14:val="none"/>
        </w:rPr>
        <w:t>I PRIEDAS</w:t>
      </w:r>
    </w:p>
    <w:p w14:paraId="0051158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41B3EEC1"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r w:rsidRPr="00794080">
        <w:rPr>
          <w:rFonts w:ascii="Times New Roman" w:eastAsia="Times New Roman" w:hAnsi="Times New Roman" w:cs="Times New Roman"/>
          <w:b/>
          <w:bCs/>
          <w:kern w:val="0"/>
          <w14:ligatures w14:val="none"/>
        </w:rPr>
        <w:t>REGISTRACIJOS SĄLYGOS</w:t>
      </w:r>
    </w:p>
    <w:p w14:paraId="2EDB2E9E"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299836B8" w14:textId="77777777" w:rsidR="00794080" w:rsidRPr="00794080" w:rsidRDefault="00794080" w:rsidP="00135C1A">
      <w:pPr>
        <w:tabs>
          <w:tab w:val="left" w:pos="1701"/>
        </w:tabs>
        <w:spacing w:after="0" w:line="240" w:lineRule="auto"/>
        <w:ind w:left="1701" w:right="567" w:hanging="567"/>
        <w:rPr>
          <w:rFonts w:ascii="Times New Roman" w:eastAsia="Times New Roman" w:hAnsi="Times New Roman" w:cs="Times New Roman"/>
          <w:b/>
          <w:kern w:val="0"/>
          <w14:ligatures w14:val="none"/>
        </w:rPr>
      </w:pPr>
      <w:r w:rsidRPr="00794080">
        <w:rPr>
          <w:rFonts w:ascii="Times New Roman" w:eastAsia="Times New Roman" w:hAnsi="Times New Roman" w:cs="Times New Roman"/>
          <w:b/>
          <w:kern w:val="0"/>
          <w14:ligatures w14:val="none"/>
        </w:rPr>
        <w:t>A.</w:t>
      </w:r>
      <w:r w:rsidRPr="00794080">
        <w:rPr>
          <w:rFonts w:ascii="Times New Roman" w:eastAsia="Times New Roman" w:hAnsi="Times New Roman" w:cs="Times New Roman"/>
          <w:b/>
          <w:kern w:val="0"/>
          <w14:ligatures w14:val="none"/>
        </w:rPr>
        <w:tab/>
        <w:t>GAMINTOJAS (-AI), ATSAKINGAS (-I) UŽ SERIJŲ IŠLEIDIMĄ</w:t>
      </w:r>
    </w:p>
    <w:p w14:paraId="4F780A15" w14:textId="77777777" w:rsidR="00794080" w:rsidRPr="00794080" w:rsidRDefault="00794080" w:rsidP="00135C1A">
      <w:pPr>
        <w:tabs>
          <w:tab w:val="left" w:pos="1701"/>
        </w:tabs>
        <w:spacing w:after="0" w:line="240" w:lineRule="auto"/>
        <w:ind w:left="567" w:right="567" w:hanging="567"/>
        <w:rPr>
          <w:rFonts w:ascii="Times New Roman" w:eastAsia="Times New Roman" w:hAnsi="Times New Roman" w:cs="Times New Roman"/>
          <w:kern w:val="0"/>
          <w14:ligatures w14:val="none"/>
        </w:rPr>
      </w:pPr>
    </w:p>
    <w:p w14:paraId="4B27AE48" w14:textId="77777777" w:rsidR="00794080" w:rsidRPr="00794080" w:rsidRDefault="00794080" w:rsidP="00135C1A">
      <w:pPr>
        <w:tabs>
          <w:tab w:val="left" w:pos="1701"/>
        </w:tabs>
        <w:spacing w:after="0" w:line="240" w:lineRule="auto"/>
        <w:ind w:left="1701" w:right="567" w:hanging="567"/>
        <w:rPr>
          <w:rFonts w:ascii="Times New Roman" w:eastAsia="Times New Roman" w:hAnsi="Times New Roman" w:cs="Times New Roman"/>
          <w:b/>
          <w:kern w:val="0"/>
          <w14:ligatures w14:val="none"/>
        </w:rPr>
      </w:pPr>
      <w:r w:rsidRPr="00794080">
        <w:rPr>
          <w:rFonts w:ascii="Times New Roman" w:eastAsia="Times New Roman" w:hAnsi="Times New Roman" w:cs="Times New Roman"/>
          <w:b/>
          <w:kern w:val="0"/>
          <w14:ligatures w14:val="none"/>
        </w:rPr>
        <w:t>B.</w:t>
      </w:r>
      <w:r w:rsidRPr="00794080">
        <w:rPr>
          <w:rFonts w:ascii="Times New Roman" w:eastAsia="Times New Roman" w:hAnsi="Times New Roman" w:cs="Times New Roman"/>
          <w:b/>
          <w:kern w:val="0"/>
          <w14:ligatures w14:val="none"/>
        </w:rPr>
        <w:tab/>
        <w:t>TIEKIMO IR VARTOJIMO SĄLYGOS AR APRIBOJIMAI</w:t>
      </w:r>
    </w:p>
    <w:p w14:paraId="4C55D427" w14:textId="77777777" w:rsidR="00794080" w:rsidRPr="00794080" w:rsidRDefault="00794080" w:rsidP="00135C1A">
      <w:pPr>
        <w:spacing w:after="0" w:line="240" w:lineRule="auto"/>
        <w:rPr>
          <w:rFonts w:ascii="Times New Roman" w:eastAsia="Times New Roman" w:hAnsi="Times New Roman" w:cs="Times New Roman"/>
          <w:b/>
          <w:bCs/>
          <w:kern w:val="0"/>
          <w14:ligatures w14:val="none"/>
        </w:rPr>
      </w:pPr>
      <w:r w:rsidRPr="00794080">
        <w:rPr>
          <w:rFonts w:ascii="Times New Roman" w:eastAsia="Times New Roman" w:hAnsi="Times New Roman" w:cs="Times New Roman"/>
          <w:b/>
          <w:bCs/>
          <w:kern w:val="0"/>
          <w14:ligatures w14:val="none"/>
        </w:rPr>
        <w:br w:type="page"/>
      </w:r>
    </w:p>
    <w:p w14:paraId="3CB3AD6F" w14:textId="77777777" w:rsidR="00794080" w:rsidRPr="00794080" w:rsidRDefault="00794080" w:rsidP="00135C1A">
      <w:pPr>
        <w:tabs>
          <w:tab w:val="left" w:pos="567"/>
        </w:tabs>
        <w:spacing w:after="0" w:line="240" w:lineRule="auto"/>
        <w:ind w:left="567" w:hanging="567"/>
        <w:rPr>
          <w:rFonts w:ascii="Times New Roman" w:eastAsia="Times New Roman" w:hAnsi="Times New Roman" w:cs="Times New Roman"/>
          <w:b/>
          <w:kern w:val="0"/>
          <w14:ligatures w14:val="none"/>
        </w:rPr>
      </w:pPr>
      <w:r w:rsidRPr="00794080">
        <w:rPr>
          <w:rFonts w:ascii="Times New Roman" w:eastAsia="Times New Roman" w:hAnsi="Times New Roman" w:cs="Times New Roman"/>
          <w:b/>
          <w:kern w:val="0"/>
          <w14:ligatures w14:val="none"/>
        </w:rPr>
        <w:t>A.</w:t>
      </w:r>
      <w:r w:rsidRPr="00794080">
        <w:rPr>
          <w:rFonts w:ascii="Times New Roman" w:eastAsia="Times New Roman" w:hAnsi="Times New Roman" w:cs="Times New Roman"/>
          <w:b/>
          <w:kern w:val="0"/>
          <w14:ligatures w14:val="none"/>
        </w:rPr>
        <w:tab/>
        <w:t>GAMINTOJAS (-AI), ATSAKINGAS (-I) UŽ SERIJŲ IŠLEIDIMĄ</w:t>
      </w:r>
    </w:p>
    <w:p w14:paraId="541143C7"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35621BEF" w14:textId="77777777" w:rsidR="00794080" w:rsidRPr="00794080" w:rsidRDefault="00794080" w:rsidP="00135C1A">
      <w:pPr>
        <w:tabs>
          <w:tab w:val="left" w:pos="567"/>
        </w:tabs>
        <w:spacing w:after="0" w:line="240" w:lineRule="auto"/>
        <w:jc w:val="both"/>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u w:val="single"/>
          <w14:ligatures w14:val="none"/>
        </w:rPr>
        <w:t>Gamintojo (-ų), atsakingo (-ų) už serijų išleidimą, pavadinimas (-ai) ir adresas (-ai)</w:t>
      </w:r>
    </w:p>
    <w:p w14:paraId="0FD67638"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7AA22971"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Genepharm S.A.</w:t>
      </w:r>
    </w:p>
    <w:p w14:paraId="3A1CDAB3"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18th Km Marathonos Avenue</w:t>
      </w:r>
    </w:p>
    <w:p w14:paraId="060C8434" w14:textId="77777777" w:rsid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153 51 Pallini</w:t>
      </w:r>
    </w:p>
    <w:p w14:paraId="616F69B1" w14:textId="1EBD735D" w:rsidR="00794080" w:rsidRPr="00794080" w:rsidRDefault="00C7534B" w:rsidP="00C7534B">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Graikija</w:t>
      </w:r>
    </w:p>
    <w:p w14:paraId="0A3682BF"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68428BE3"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5BFD6DA3" w14:textId="77777777" w:rsidR="00794080" w:rsidRPr="00794080" w:rsidRDefault="00794080" w:rsidP="00135C1A">
      <w:pPr>
        <w:tabs>
          <w:tab w:val="left" w:pos="567"/>
        </w:tabs>
        <w:spacing w:after="0" w:line="240" w:lineRule="auto"/>
        <w:ind w:left="567" w:hanging="567"/>
        <w:rPr>
          <w:rFonts w:ascii="Times New Roman" w:eastAsia="Times New Roman" w:hAnsi="Times New Roman" w:cs="Times New Roman"/>
          <w:kern w:val="0"/>
          <w14:ligatures w14:val="none"/>
        </w:rPr>
      </w:pPr>
      <w:r w:rsidRPr="00794080">
        <w:rPr>
          <w:rFonts w:ascii="Times New Roman" w:eastAsia="Times New Roman" w:hAnsi="Times New Roman" w:cs="Times New Roman"/>
          <w:b/>
          <w:kern w:val="0"/>
          <w14:ligatures w14:val="none"/>
        </w:rPr>
        <w:t>B.</w:t>
      </w:r>
      <w:r w:rsidRPr="00794080">
        <w:rPr>
          <w:rFonts w:ascii="Times New Roman" w:eastAsia="Times New Roman" w:hAnsi="Times New Roman" w:cs="Times New Roman"/>
          <w:b/>
          <w:kern w:val="0"/>
          <w14:ligatures w14:val="none"/>
        </w:rPr>
        <w:tab/>
        <w:t>TIEKIMO IR VARTOJIMO SĄLYGOS AR APRIBOJIMAI</w:t>
      </w:r>
    </w:p>
    <w:p w14:paraId="2463EED1"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28CD9148"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14:ligatures w14:val="none"/>
        </w:rPr>
        <w:t>Receptinis vaistinis preparatas.</w:t>
      </w:r>
    </w:p>
    <w:p w14:paraId="1E7F6D68" w14:textId="5173CF8F" w:rsidR="00794080" w:rsidRPr="00135C1A" w:rsidRDefault="00794080" w:rsidP="00135C1A">
      <w:pPr>
        <w:spacing w:line="240" w:lineRule="auto"/>
        <w:rPr>
          <w:rFonts w:ascii="Times New Roman" w:hAnsi="Times New Roman" w:cs="Times New Roman"/>
        </w:rPr>
      </w:pPr>
      <w:r w:rsidRPr="00135C1A">
        <w:rPr>
          <w:rFonts w:ascii="Times New Roman" w:hAnsi="Times New Roman" w:cs="Times New Roman"/>
        </w:rPr>
        <w:br w:type="page"/>
      </w:r>
    </w:p>
    <w:p w14:paraId="72C99EF7" w14:textId="77777777" w:rsidR="00794080" w:rsidRPr="00794080" w:rsidRDefault="00794080" w:rsidP="00135C1A">
      <w:pPr>
        <w:spacing w:after="0" w:line="240" w:lineRule="auto"/>
        <w:rPr>
          <w:rFonts w:ascii="Times New Roman" w:eastAsia="Times New Roman" w:hAnsi="Times New Roman" w:cs="Times New Roman"/>
          <w:b/>
          <w:bCs/>
          <w:kern w:val="0"/>
          <w14:ligatures w14:val="none"/>
        </w:rPr>
      </w:pPr>
    </w:p>
    <w:p w14:paraId="3BE45AF3"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0E31F99A"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18924315"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0C539920"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13E411E2"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119C8C2A"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215649F3"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20497CE3"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0C465B8C"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72AFBA38"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293EAD40"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7C85843B"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014FF486" w14:textId="77777777" w:rsidR="00794080" w:rsidRPr="00794080" w:rsidRDefault="00794080" w:rsidP="00135C1A">
      <w:pPr>
        <w:spacing w:after="0" w:line="240" w:lineRule="auto"/>
        <w:rPr>
          <w:rFonts w:ascii="Times New Roman" w:eastAsia="Times New Roman" w:hAnsi="Times New Roman" w:cs="Times New Roman"/>
          <w:b/>
          <w:bCs/>
          <w:kern w:val="0"/>
          <w14:ligatures w14:val="none"/>
        </w:rPr>
      </w:pPr>
    </w:p>
    <w:p w14:paraId="4281E170"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6D5CBA4C"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2AD9FE50"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35E1F28E"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316C1DF0"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7B13479F"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422DC109"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48A2236B"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185655C6" w14:textId="77777777" w:rsidR="00794080" w:rsidRPr="00135C1A" w:rsidRDefault="00794080" w:rsidP="00135C1A">
      <w:pPr>
        <w:spacing w:after="0" w:line="240" w:lineRule="auto"/>
        <w:rPr>
          <w:rFonts w:ascii="Times New Roman" w:eastAsia="Times New Roman" w:hAnsi="Times New Roman" w:cs="Times New Roman"/>
          <w:b/>
          <w:bCs/>
          <w:kern w:val="0"/>
          <w14:ligatures w14:val="none"/>
        </w:rPr>
      </w:pPr>
    </w:p>
    <w:p w14:paraId="06613040" w14:textId="77777777" w:rsidR="00794080" w:rsidRPr="00794080" w:rsidRDefault="00794080" w:rsidP="00135C1A">
      <w:pPr>
        <w:spacing w:after="0" w:line="240" w:lineRule="auto"/>
        <w:rPr>
          <w:rFonts w:ascii="Times New Roman" w:eastAsia="Times New Roman" w:hAnsi="Times New Roman" w:cs="Times New Roman"/>
          <w:b/>
          <w:bCs/>
          <w:kern w:val="0"/>
          <w14:ligatures w14:val="none"/>
        </w:rPr>
      </w:pPr>
    </w:p>
    <w:p w14:paraId="0BB25245" w14:textId="77777777" w:rsidR="00794080" w:rsidRPr="00794080" w:rsidRDefault="00794080" w:rsidP="00135C1A">
      <w:pPr>
        <w:spacing w:after="0" w:line="240" w:lineRule="auto"/>
        <w:jc w:val="center"/>
        <w:rPr>
          <w:rFonts w:ascii="Times New Roman" w:eastAsia="Times New Roman" w:hAnsi="Times New Roman" w:cs="Times New Roman"/>
          <w:b/>
          <w:bCs/>
          <w:iCs/>
          <w:kern w:val="0"/>
          <w:lang w:eastAsia="x-none"/>
          <w14:ligatures w14:val="none"/>
        </w:rPr>
      </w:pPr>
      <w:r w:rsidRPr="00794080">
        <w:rPr>
          <w:rFonts w:ascii="Times New Roman" w:eastAsia="Times New Roman" w:hAnsi="Times New Roman" w:cs="Times New Roman"/>
          <w:b/>
          <w:bCs/>
          <w:iCs/>
          <w:kern w:val="0"/>
          <w:lang w:eastAsia="x-none"/>
          <w14:ligatures w14:val="none"/>
        </w:rPr>
        <w:t>III PRIEDAS</w:t>
      </w:r>
    </w:p>
    <w:p w14:paraId="530AC69B"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5F720239"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iCs/>
          <w:kern w:val="0"/>
          <w:lang w:eastAsia="x-none"/>
          <w14:ligatures w14:val="none"/>
        </w:rPr>
      </w:pPr>
      <w:r w:rsidRPr="00794080">
        <w:rPr>
          <w:rFonts w:ascii="Times New Roman" w:eastAsia="Times New Roman" w:hAnsi="Times New Roman" w:cs="Times New Roman"/>
          <w:b/>
          <w:bCs/>
          <w:iCs/>
          <w:kern w:val="0"/>
          <w:lang w:eastAsia="x-none"/>
          <w14:ligatures w14:val="none"/>
        </w:rPr>
        <w:t>ŽENKLINIMAS IR PAKUOTĖS LAPELIS</w:t>
      </w:r>
    </w:p>
    <w:p w14:paraId="33CC1D59" w14:textId="77777777" w:rsidR="00794080" w:rsidRPr="00794080" w:rsidRDefault="00794080" w:rsidP="00135C1A">
      <w:pPr>
        <w:spacing w:after="0" w:line="240" w:lineRule="auto"/>
        <w:rPr>
          <w:rFonts w:ascii="Times New Roman" w:eastAsia="Times New Roman" w:hAnsi="Times New Roman" w:cs="Times New Roman"/>
          <w:b/>
          <w:bCs/>
          <w:iCs/>
          <w:kern w:val="0"/>
          <w:lang w:eastAsia="x-none"/>
          <w14:ligatures w14:val="none"/>
        </w:rPr>
      </w:pPr>
      <w:r w:rsidRPr="00794080">
        <w:rPr>
          <w:rFonts w:ascii="Times New Roman" w:eastAsia="Times New Roman" w:hAnsi="Times New Roman" w:cs="Times New Roman"/>
          <w:b/>
          <w:bCs/>
          <w:iCs/>
          <w:kern w:val="0"/>
          <w:lang w:eastAsia="x-none"/>
          <w14:ligatures w14:val="none"/>
        </w:rPr>
        <w:br w:type="page"/>
      </w:r>
    </w:p>
    <w:p w14:paraId="388EB49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5B3468B"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9A63117"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7B61D17"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0086DE1D"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103C172"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18211420"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480DC92B"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3EB63A4"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085A6F6F"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1071BB89"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763431CF"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4B67D77F"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69C3025E"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793ECB2D"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7905874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64240B28"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5CCDF50"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2F9FDB7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22B3A1E0"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6055DDF2"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5930895E"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3612D00A"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kern w:val="0"/>
          <w14:ligatures w14:val="none"/>
        </w:rPr>
      </w:pPr>
    </w:p>
    <w:p w14:paraId="0AC3D0E6" w14:textId="77777777" w:rsidR="00794080" w:rsidRPr="00794080" w:rsidRDefault="00794080" w:rsidP="00135C1A">
      <w:pPr>
        <w:keepNext/>
        <w:tabs>
          <w:tab w:val="left" w:pos="567"/>
        </w:tabs>
        <w:spacing w:after="0" w:line="240" w:lineRule="auto"/>
        <w:jc w:val="center"/>
        <w:rPr>
          <w:rFonts w:ascii="Times New Roman" w:eastAsia="Times New Roman" w:hAnsi="Times New Roman" w:cs="Times New Roman"/>
          <w:b/>
          <w:bCs/>
          <w:iCs/>
          <w:kern w:val="0"/>
          <w:lang w:eastAsia="x-none"/>
          <w14:ligatures w14:val="none"/>
        </w:rPr>
      </w:pPr>
      <w:r w:rsidRPr="00794080">
        <w:rPr>
          <w:rFonts w:ascii="Times New Roman" w:eastAsia="Times New Roman" w:hAnsi="Times New Roman" w:cs="Times New Roman"/>
          <w:b/>
          <w:bCs/>
          <w:iCs/>
          <w:kern w:val="0"/>
          <w:lang w:eastAsia="x-none"/>
          <w14:ligatures w14:val="none"/>
        </w:rPr>
        <w:t>A. ŽENKLINIMAS</w:t>
      </w:r>
    </w:p>
    <w:p w14:paraId="1531C30D" w14:textId="77777777" w:rsidR="00794080" w:rsidRPr="00794080" w:rsidRDefault="00794080" w:rsidP="00135C1A">
      <w:pPr>
        <w:spacing w:after="0" w:line="240" w:lineRule="auto"/>
        <w:rPr>
          <w:rFonts w:ascii="Times New Roman" w:eastAsia="Times New Roman" w:hAnsi="Times New Roman" w:cs="Times New Roman"/>
          <w:b/>
          <w:bCs/>
          <w:iCs/>
          <w:kern w:val="0"/>
          <w:lang w:eastAsia="x-none"/>
          <w14:ligatures w14:val="none"/>
        </w:rPr>
      </w:pPr>
      <w:r w:rsidRPr="00794080">
        <w:rPr>
          <w:rFonts w:ascii="Times New Roman" w:eastAsia="Times New Roman" w:hAnsi="Times New Roman" w:cs="Times New Roman"/>
          <w:b/>
          <w:bCs/>
          <w:iCs/>
          <w:kern w:val="0"/>
          <w:lang w:eastAsia="x-none"/>
          <w14:ligatures w14:val="none"/>
        </w:rPr>
        <w:br w:type="page"/>
      </w:r>
    </w:p>
    <w:p w14:paraId="311485BE"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INFORMACIJA ANT IŠORINĖS PAKUOTĖS</w:t>
      </w:r>
    </w:p>
    <w:p w14:paraId="7B5B9074"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p>
    <w:p w14:paraId="02C1A875"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KARTONO DĖŽUTĖ</w:t>
      </w:r>
    </w:p>
    <w:p w14:paraId="5A683CC9"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BF0D245"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0BF9D73"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w:t>
      </w:r>
      <w:r w:rsidRPr="00794080">
        <w:rPr>
          <w:rFonts w:ascii="Times New Roman" w:eastAsia="Times New Roman" w:hAnsi="Times New Roman" w:cs="Times New Roman"/>
          <w:b/>
          <w:bCs/>
          <w:noProof/>
          <w:kern w:val="0"/>
          <w14:ligatures w14:val="none"/>
        </w:rPr>
        <w:tab/>
        <w:t>VAISTINIO PREPARATO PAVADINIMAS</w:t>
      </w:r>
    </w:p>
    <w:p w14:paraId="22080C5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29CE04A1" w14:textId="1A4AFB95" w:rsidR="00794080" w:rsidRPr="00794080" w:rsidRDefault="00794080" w:rsidP="00135C1A">
      <w:pPr>
        <w:keepNext/>
        <w:keepLines/>
        <w:tabs>
          <w:tab w:val="left" w:pos="567"/>
        </w:tabs>
        <w:spacing w:after="0" w:line="240" w:lineRule="auto"/>
        <w:outlineLvl w:val="2"/>
        <w:rPr>
          <w:rFonts w:ascii="Times New Roman" w:eastAsia="Times New Roman" w:hAnsi="Times New Roman" w:cs="Times New Roman"/>
          <w:kern w:val="0"/>
          <w14:ligatures w14:val="none"/>
        </w:rPr>
      </w:pPr>
      <w:bookmarkStart w:id="1" w:name="_Hlk86055307"/>
      <w:r w:rsidRPr="00135C1A">
        <w:rPr>
          <w:rFonts w:ascii="Times New Roman" w:eastAsia="Times New Roman" w:hAnsi="Times New Roman" w:cs="Times New Roman"/>
          <w:kern w:val="0"/>
          <w14:ligatures w14:val="none"/>
        </w:rPr>
        <w:t>Jeligo</w:t>
      </w:r>
      <w:r w:rsidRPr="00794080">
        <w:rPr>
          <w:rFonts w:ascii="Times New Roman" w:eastAsia="Times New Roman" w:hAnsi="Times New Roman" w:cs="Times New Roman"/>
          <w:kern w:val="0"/>
          <w14:ligatures w14:val="none"/>
        </w:rPr>
        <w:t xml:space="preserve"> 5 mg plėvele dengtos tabletės</w:t>
      </w:r>
    </w:p>
    <w:p w14:paraId="5F944F9B" w14:textId="04E1C3A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linagliptin</w:t>
      </w:r>
      <w:r w:rsidR="00C07908">
        <w:rPr>
          <w:rFonts w:ascii="Times New Roman" w:eastAsia="Times New Roman" w:hAnsi="Times New Roman" w:cs="Times New Roman"/>
          <w:noProof/>
          <w:kern w:val="0"/>
          <w:lang w:eastAsia="x-none"/>
          <w14:ligatures w14:val="none"/>
        </w:rPr>
        <w:t>as</w:t>
      </w:r>
    </w:p>
    <w:bookmarkEnd w:id="1"/>
    <w:p w14:paraId="57BED33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4EB999A8"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4148901B"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2.</w:t>
      </w:r>
      <w:r w:rsidRPr="00794080">
        <w:rPr>
          <w:rFonts w:ascii="Times New Roman" w:eastAsia="Times New Roman" w:hAnsi="Times New Roman" w:cs="Times New Roman"/>
          <w:b/>
          <w:bCs/>
          <w:noProof/>
          <w:kern w:val="0"/>
          <w14:ligatures w14:val="none"/>
        </w:rPr>
        <w:tab/>
        <w:t>VEIKLIOJI (-IOS) MEDŽIAGA (-OS) IR JOS (-Ų) KIEKIS (-IAI)</w:t>
      </w:r>
    </w:p>
    <w:p w14:paraId="17CD3FFE"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81CA121"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r w:rsidRPr="00EC700C">
        <w:rPr>
          <w:rFonts w:ascii="Times New Roman" w:eastAsia="Times New Roman" w:hAnsi="Times New Roman" w:cs="Times New Roman"/>
          <w:kern w:val="0"/>
          <w:lang w:eastAsia="lt-LT"/>
          <w14:ligatures w14:val="none"/>
        </w:rPr>
        <w:t xml:space="preserve">Kiekvienoje plėvele dengtoje tabletėje yra 5 mg </w:t>
      </w:r>
      <w:r w:rsidRPr="00EC700C">
        <w:rPr>
          <w:rFonts w:ascii="Times New Roman" w:eastAsia="Times New Roman" w:hAnsi="Times New Roman" w:cs="Times New Roman"/>
          <w:kern w:val="0"/>
          <w14:ligatures w14:val="none"/>
        </w:rPr>
        <w:t>linagliptino.</w:t>
      </w:r>
    </w:p>
    <w:p w14:paraId="3D5E4F1F"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60E33D2"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49E6FE24"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highlight w:val="lightGray"/>
          <w14:ligatures w14:val="none"/>
        </w:rPr>
      </w:pPr>
      <w:r w:rsidRPr="00794080">
        <w:rPr>
          <w:rFonts w:ascii="Times New Roman" w:eastAsia="Times New Roman" w:hAnsi="Times New Roman" w:cs="Times New Roman"/>
          <w:b/>
          <w:bCs/>
          <w:noProof/>
          <w:kern w:val="0"/>
          <w14:ligatures w14:val="none"/>
        </w:rPr>
        <w:t>3.</w:t>
      </w:r>
      <w:r w:rsidRPr="00794080">
        <w:rPr>
          <w:rFonts w:ascii="Times New Roman" w:eastAsia="Times New Roman" w:hAnsi="Times New Roman" w:cs="Times New Roman"/>
          <w:b/>
          <w:bCs/>
          <w:noProof/>
          <w:kern w:val="0"/>
          <w14:ligatures w14:val="none"/>
        </w:rPr>
        <w:tab/>
        <w:t>PAGALBINIŲ MEDŽIAGŲ SĄRAŠAS</w:t>
      </w:r>
    </w:p>
    <w:p w14:paraId="3DB098C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AE1BAC6" w14:textId="68BFF377" w:rsidR="00794080"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Pr>
          <w:rFonts w:ascii="Times New Roman" w:eastAsia="Times New Roman" w:hAnsi="Times New Roman" w:cs="Times New Roman"/>
          <w:noProof/>
          <w:kern w:val="0"/>
          <w:lang w:eastAsia="x-none"/>
          <w14:ligatures w14:val="none"/>
        </w:rPr>
        <w:t>Daugiau informacijos pateikta pakuotės lapelyje.</w:t>
      </w:r>
    </w:p>
    <w:p w14:paraId="4745CB73" w14:textId="77777777" w:rsidR="0080236D"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5E543DA3" w14:textId="77777777" w:rsidR="0080236D" w:rsidRPr="00794080"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0C7056A"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4.</w:t>
      </w:r>
      <w:r w:rsidRPr="00794080">
        <w:rPr>
          <w:rFonts w:ascii="Times New Roman" w:eastAsia="Times New Roman" w:hAnsi="Times New Roman" w:cs="Times New Roman"/>
          <w:b/>
          <w:bCs/>
          <w:noProof/>
          <w:kern w:val="0"/>
          <w14:ligatures w14:val="none"/>
        </w:rPr>
        <w:tab/>
        <w:t>FARMACINĖ FORMA IR KIEKIS PAKUOTĖJE</w:t>
      </w:r>
    </w:p>
    <w:p w14:paraId="6E2771EC"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7A4A505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EC700C">
        <w:rPr>
          <w:rFonts w:ascii="Times New Roman" w:eastAsia="Times New Roman" w:hAnsi="Times New Roman" w:cs="Times New Roman"/>
          <w:noProof/>
          <w:kern w:val="0"/>
          <w:lang w:eastAsia="x-none"/>
          <w14:ligatures w14:val="none"/>
        </w:rPr>
        <w:t>Plėvele dengta tabletė</w:t>
      </w:r>
    </w:p>
    <w:p w14:paraId="0FF8E450"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5A5B8849" w14:textId="3113C0CF" w:rsidR="00794080" w:rsidRPr="00EC700C"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EC700C">
        <w:rPr>
          <w:rFonts w:ascii="Times New Roman" w:eastAsia="Times New Roman" w:hAnsi="Times New Roman" w:cs="Times New Roman"/>
          <w:noProof/>
          <w:kern w:val="0"/>
          <w:lang w:eastAsia="x-none"/>
          <w14:ligatures w14:val="none"/>
        </w:rPr>
        <w:t>30 plėvele dengtų tablečių</w:t>
      </w:r>
    </w:p>
    <w:p w14:paraId="16202FCA" w14:textId="159B4B6A" w:rsidR="00794080" w:rsidRDefault="00EC700C"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Pr>
          <w:rFonts w:ascii="Times New Roman" w:eastAsia="Times New Roman" w:hAnsi="Times New Roman" w:cs="Times New Roman"/>
          <w:noProof/>
          <w:kern w:val="0"/>
          <w:lang w:eastAsia="x-none"/>
          <w14:ligatures w14:val="none"/>
        </w:rPr>
        <w:t>30 x 1 plėvele dengtų tablečių (daloma</w:t>
      </w:r>
      <w:r w:rsidR="00B64CCB">
        <w:rPr>
          <w:rFonts w:ascii="Times New Roman" w:eastAsia="Times New Roman" w:hAnsi="Times New Roman" w:cs="Times New Roman"/>
          <w:noProof/>
          <w:kern w:val="0"/>
          <w:lang w:eastAsia="x-none"/>
          <w14:ligatures w14:val="none"/>
        </w:rPr>
        <w:t xml:space="preserve"> </w:t>
      </w:r>
      <w:r w:rsidR="00C7534B">
        <w:rPr>
          <w:rFonts w:ascii="Times New Roman" w:eastAsia="Times New Roman" w:hAnsi="Times New Roman" w:cs="Times New Roman"/>
          <w:noProof/>
          <w:kern w:val="0"/>
          <w:lang w:eastAsia="x-none"/>
          <w14:ligatures w14:val="none"/>
        </w:rPr>
        <w:t>pakuotė</w:t>
      </w:r>
      <w:r w:rsidR="00B64CCB">
        <w:rPr>
          <w:rFonts w:ascii="Times New Roman" w:eastAsia="Times New Roman" w:hAnsi="Times New Roman" w:cs="Times New Roman"/>
          <w:noProof/>
          <w:kern w:val="0"/>
          <w:lang w:eastAsia="x-none"/>
          <w14:ligatures w14:val="none"/>
        </w:rPr>
        <w:t>)</w:t>
      </w:r>
    </w:p>
    <w:p w14:paraId="470DFB34" w14:textId="77777777" w:rsidR="0080236D" w:rsidRPr="00794080"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BD61CF1"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0212B1C"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highlight w:val="lightGray"/>
          <w14:ligatures w14:val="none"/>
        </w:rPr>
      </w:pPr>
      <w:r w:rsidRPr="00794080">
        <w:rPr>
          <w:rFonts w:ascii="Times New Roman" w:eastAsia="Times New Roman" w:hAnsi="Times New Roman" w:cs="Times New Roman"/>
          <w:b/>
          <w:bCs/>
          <w:noProof/>
          <w:kern w:val="0"/>
          <w14:ligatures w14:val="none"/>
        </w:rPr>
        <w:t>5.</w:t>
      </w:r>
      <w:r w:rsidRPr="00794080">
        <w:rPr>
          <w:rFonts w:ascii="Times New Roman" w:eastAsia="Times New Roman" w:hAnsi="Times New Roman" w:cs="Times New Roman"/>
          <w:b/>
          <w:bCs/>
          <w:noProof/>
          <w:kern w:val="0"/>
          <w14:ligatures w14:val="none"/>
        </w:rPr>
        <w:tab/>
        <w:t>VARTOJIMO METODAS IR BŪDAS (-AI)</w:t>
      </w:r>
    </w:p>
    <w:p w14:paraId="637F97D4"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6262539" w14:textId="77777777" w:rsidR="00794080" w:rsidRPr="00794080" w:rsidRDefault="00794080" w:rsidP="00135C1A">
      <w:pPr>
        <w:widowControl w:val="0"/>
        <w:autoSpaceDE w:val="0"/>
        <w:autoSpaceDN w:val="0"/>
        <w:spacing w:after="0" w:line="240" w:lineRule="auto"/>
        <w:rPr>
          <w:rFonts w:ascii="Times New Roman" w:eastAsia="Times New Roman" w:hAnsi="Times New Roman" w:cs="Times New Roman"/>
          <w:strike/>
          <w:kern w:val="0"/>
          <w14:ligatures w14:val="none"/>
        </w:rPr>
      </w:pPr>
      <w:r w:rsidRPr="00794080">
        <w:rPr>
          <w:rFonts w:ascii="Times New Roman" w:eastAsia="Times New Roman" w:hAnsi="Times New Roman" w:cs="Times New Roman"/>
          <w:kern w:val="0"/>
          <w14:ligatures w14:val="none"/>
        </w:rPr>
        <w:t>Prieš vartojimą perskaitykite pakuotės lapelį.</w:t>
      </w:r>
    </w:p>
    <w:p w14:paraId="1E342AB7" w14:textId="77777777" w:rsidR="005A3791" w:rsidRPr="00794080" w:rsidRDefault="005A3791" w:rsidP="005A3791">
      <w:pPr>
        <w:tabs>
          <w:tab w:val="left" w:pos="8130"/>
        </w:tabs>
        <w:spacing w:after="0" w:line="240" w:lineRule="auto"/>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14:ligatures w14:val="none"/>
        </w:rPr>
        <w:t>Vartoti per burną.</w:t>
      </w:r>
    </w:p>
    <w:p w14:paraId="506EB6C0"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4265C2AF"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54EA92BB"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6.</w:t>
      </w:r>
      <w:r w:rsidRPr="00794080">
        <w:rPr>
          <w:rFonts w:ascii="Times New Roman" w:eastAsia="Times New Roman" w:hAnsi="Times New Roman" w:cs="Times New Roman"/>
          <w:b/>
          <w:bCs/>
          <w:noProof/>
          <w:kern w:val="0"/>
          <w14:ligatures w14:val="none"/>
        </w:rPr>
        <w:tab/>
        <w:t>SPECIALUS ĮSPĖJIMAS, KAD VAISTINĮ PREPARATĄ BŪTINA LAIKYTI VAIKAMS NEPASTEBIMOJE IR NEPASIEKIAMOJE VIETOJE</w:t>
      </w:r>
    </w:p>
    <w:p w14:paraId="460C03FF"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5602355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Laikyti vaikams nepastebimoje ir nepasiekiamoje vietoje.</w:t>
      </w:r>
    </w:p>
    <w:p w14:paraId="2DC50D11"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7B93236F"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56C3467E"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highlight w:val="lightGray"/>
          <w14:ligatures w14:val="none"/>
        </w:rPr>
      </w:pPr>
      <w:r w:rsidRPr="00794080">
        <w:rPr>
          <w:rFonts w:ascii="Times New Roman" w:eastAsia="Times New Roman" w:hAnsi="Times New Roman" w:cs="Times New Roman"/>
          <w:b/>
          <w:bCs/>
          <w:noProof/>
          <w:kern w:val="0"/>
          <w14:ligatures w14:val="none"/>
        </w:rPr>
        <w:t>7.</w:t>
      </w:r>
      <w:r w:rsidRPr="00794080">
        <w:rPr>
          <w:rFonts w:ascii="Times New Roman" w:eastAsia="Times New Roman" w:hAnsi="Times New Roman" w:cs="Times New Roman"/>
          <w:b/>
          <w:bCs/>
          <w:noProof/>
          <w:kern w:val="0"/>
          <w14:ligatures w14:val="none"/>
        </w:rPr>
        <w:tab/>
        <w:t>KITAS (-I) SPECIALUS (-ŪS) ĮSPĖJIMAS (-AI) (JEI REIKIA)</w:t>
      </w:r>
    </w:p>
    <w:p w14:paraId="1C7442A4"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32D5283"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CC3499F"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highlight w:val="lightGray"/>
          <w14:ligatures w14:val="none"/>
        </w:rPr>
      </w:pPr>
      <w:r w:rsidRPr="00794080">
        <w:rPr>
          <w:rFonts w:ascii="Times New Roman" w:eastAsia="Times New Roman" w:hAnsi="Times New Roman" w:cs="Times New Roman"/>
          <w:b/>
          <w:bCs/>
          <w:noProof/>
          <w:kern w:val="0"/>
          <w14:ligatures w14:val="none"/>
        </w:rPr>
        <w:t>8.</w:t>
      </w:r>
      <w:r w:rsidRPr="00794080">
        <w:rPr>
          <w:rFonts w:ascii="Times New Roman" w:eastAsia="Times New Roman" w:hAnsi="Times New Roman" w:cs="Times New Roman"/>
          <w:b/>
          <w:bCs/>
          <w:noProof/>
          <w:kern w:val="0"/>
          <w14:ligatures w14:val="none"/>
        </w:rPr>
        <w:tab/>
        <w:t>TINKAMUMO LAIKAS</w:t>
      </w:r>
    </w:p>
    <w:p w14:paraId="1AEC5765"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77E17044"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EXP {mm/MMMM}</w:t>
      </w:r>
    </w:p>
    <w:p w14:paraId="1E9CD1D9" w14:textId="77777777" w:rsidR="00794080" w:rsidRPr="00794080" w:rsidRDefault="00794080" w:rsidP="00135C1A">
      <w:pPr>
        <w:tabs>
          <w:tab w:val="left" w:pos="567"/>
        </w:tabs>
        <w:spacing w:after="0" w:line="240" w:lineRule="auto"/>
        <w:rPr>
          <w:rFonts w:ascii="Times New Roman" w:eastAsia="Times New Roman" w:hAnsi="Times New Roman" w:cs="Times New Roman"/>
          <w:kern w:val="0"/>
          <w14:ligatures w14:val="none"/>
        </w:rPr>
      </w:pPr>
    </w:p>
    <w:p w14:paraId="012B301A"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70E106BF"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9.</w:t>
      </w:r>
      <w:r w:rsidRPr="00794080">
        <w:rPr>
          <w:rFonts w:ascii="Times New Roman" w:eastAsia="Times New Roman" w:hAnsi="Times New Roman" w:cs="Times New Roman"/>
          <w:b/>
          <w:bCs/>
          <w:noProof/>
          <w:kern w:val="0"/>
          <w14:ligatures w14:val="none"/>
        </w:rPr>
        <w:tab/>
        <w:t>SPECIALIOS LAIKYMO SĄLYGOS</w:t>
      </w:r>
    </w:p>
    <w:p w14:paraId="03CCBB29"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6273E48"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A8D42BA"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84582A1"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10.</w:t>
      </w:r>
      <w:r w:rsidRPr="00794080">
        <w:rPr>
          <w:rFonts w:ascii="Times New Roman" w:eastAsia="Times New Roman" w:hAnsi="Times New Roman" w:cs="Times New Roman"/>
          <w:b/>
          <w:bCs/>
          <w:noProof/>
          <w:kern w:val="0"/>
          <w14:ligatures w14:val="none"/>
        </w:rPr>
        <w:tab/>
        <w:t>SPECIALIOS ATSARGUMO PRIEMONĖS DĖL NESUVARTOTO VAISTINIO PREPARATO AR JO ATLIEKŲ TVARKYMO (JEI REIKIA)</w:t>
      </w:r>
    </w:p>
    <w:p w14:paraId="4DB14902"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254AA87F"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C2ED0A7"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11.</w:t>
      </w:r>
      <w:r w:rsidRPr="00794080">
        <w:rPr>
          <w:rFonts w:ascii="Times New Roman" w:eastAsia="Times New Roman" w:hAnsi="Times New Roman" w:cs="Times New Roman"/>
          <w:b/>
          <w:bCs/>
          <w:noProof/>
          <w:kern w:val="0"/>
          <w14:ligatures w14:val="none"/>
        </w:rPr>
        <w:tab/>
      </w:r>
      <w:r w:rsidRPr="00794080">
        <w:rPr>
          <w:rFonts w:ascii="Times New Roman" w:eastAsia="Times New Roman" w:hAnsi="Times New Roman" w:cs="Times New Roman"/>
          <w:b/>
          <w:bCs/>
          <w:caps/>
          <w:noProof/>
          <w:kern w:val="0"/>
          <w14:ligatures w14:val="none"/>
        </w:rPr>
        <w:t>REGISTRUOTOJO</w:t>
      </w:r>
      <w:r w:rsidRPr="00794080">
        <w:rPr>
          <w:rFonts w:ascii="Times New Roman" w:eastAsia="Times New Roman" w:hAnsi="Times New Roman" w:cs="Times New Roman"/>
          <w:b/>
          <w:bCs/>
          <w:noProof/>
          <w:kern w:val="0"/>
          <w14:ligatures w14:val="none"/>
        </w:rPr>
        <w:t xml:space="preserve"> PAVADINIMAS IR ADRESAS</w:t>
      </w:r>
    </w:p>
    <w:p w14:paraId="6B075934"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BC07490" w14:textId="77777777" w:rsidR="00C07908" w:rsidRPr="00794080" w:rsidRDefault="00C07908" w:rsidP="00C07908">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Egis Pharmaceuticals PLC</w:t>
      </w:r>
    </w:p>
    <w:p w14:paraId="414483C4" w14:textId="77777777" w:rsidR="00C07908" w:rsidRPr="00794080" w:rsidRDefault="00C07908" w:rsidP="00C07908">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1106 Budapest, Keresztúri út 30-38</w:t>
      </w:r>
    </w:p>
    <w:p w14:paraId="189FB5F8" w14:textId="7C7FCCAB" w:rsidR="00794080" w:rsidRDefault="00C07908" w:rsidP="00C07908">
      <w:pPr>
        <w:widowControl w:val="0"/>
        <w:tabs>
          <w:tab w:val="left" w:pos="567"/>
        </w:tabs>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Vengrija</w:t>
      </w:r>
    </w:p>
    <w:p w14:paraId="7F9B6781" w14:textId="77777777" w:rsidR="00C07908" w:rsidRDefault="00C07908" w:rsidP="00C07908">
      <w:pPr>
        <w:widowControl w:val="0"/>
        <w:tabs>
          <w:tab w:val="left" w:pos="567"/>
        </w:tabs>
        <w:spacing w:after="0" w:line="240" w:lineRule="auto"/>
        <w:rPr>
          <w:rFonts w:ascii="Times New Roman" w:eastAsia="Times New Roman" w:hAnsi="Times New Roman" w:cs="Times New Roman"/>
          <w:color w:val="000000"/>
          <w:lang w:eastAsia="lt-LT"/>
        </w:rPr>
      </w:pPr>
    </w:p>
    <w:p w14:paraId="044222F8" w14:textId="77777777" w:rsidR="00C07908" w:rsidRPr="00794080" w:rsidRDefault="00C07908" w:rsidP="00C07908">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4214AB15"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12.</w:t>
      </w:r>
      <w:r w:rsidRPr="00794080">
        <w:rPr>
          <w:rFonts w:ascii="Times New Roman" w:eastAsia="Times New Roman" w:hAnsi="Times New Roman" w:cs="Times New Roman"/>
          <w:b/>
          <w:bCs/>
          <w:noProof/>
          <w:kern w:val="0"/>
          <w14:ligatures w14:val="none"/>
        </w:rPr>
        <w:tab/>
        <w:t xml:space="preserve">REGISTRACIJOS PAŽYMĖJIMO NUMERIS (-IAI) </w:t>
      </w:r>
    </w:p>
    <w:p w14:paraId="2DF4231D"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DE0720E" w14:textId="77777777" w:rsidR="00D90C35" w:rsidRPr="00D90C35" w:rsidRDefault="00D90C35" w:rsidP="00D90C35">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D90C35">
        <w:rPr>
          <w:rFonts w:ascii="Times New Roman" w:eastAsia="Times New Roman" w:hAnsi="Times New Roman" w:cs="Times New Roman"/>
          <w:noProof/>
          <w:kern w:val="0"/>
          <w:lang w:eastAsia="x-none"/>
          <w14:ligatures w14:val="none"/>
        </w:rPr>
        <w:t xml:space="preserve">LT/1/24/5588/001 </w:t>
      </w:r>
      <w:r w:rsidRPr="00D90C35">
        <w:rPr>
          <w:rFonts w:ascii="Times New Roman" w:eastAsia="Times New Roman" w:hAnsi="Times New Roman" w:cs="Times New Roman"/>
          <w:noProof/>
          <w:kern w:val="0"/>
          <w:shd w:val="clear" w:color="auto" w:fill="F2F2F2" w:themeFill="background1" w:themeFillShade="F2"/>
          <w:lang w:eastAsia="x-none"/>
          <w14:ligatures w14:val="none"/>
        </w:rPr>
        <w:t>– N30</w:t>
      </w:r>
    </w:p>
    <w:p w14:paraId="383957ED" w14:textId="5C47604F" w:rsidR="00794080" w:rsidRDefault="00D90C35" w:rsidP="00D90C35">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D90C35">
        <w:rPr>
          <w:rFonts w:ascii="Times New Roman" w:eastAsia="Times New Roman" w:hAnsi="Times New Roman" w:cs="Times New Roman"/>
          <w:noProof/>
          <w:kern w:val="0"/>
          <w:lang w:eastAsia="x-none"/>
          <w14:ligatures w14:val="none"/>
        </w:rPr>
        <w:t xml:space="preserve">LT/1/24/5588/002 </w:t>
      </w:r>
      <w:r w:rsidRPr="00D90C35">
        <w:rPr>
          <w:rFonts w:ascii="Times New Roman" w:eastAsia="Times New Roman" w:hAnsi="Times New Roman" w:cs="Times New Roman"/>
          <w:noProof/>
          <w:kern w:val="0"/>
          <w:shd w:val="clear" w:color="auto" w:fill="F2F2F2" w:themeFill="background1" w:themeFillShade="F2"/>
          <w:lang w:eastAsia="x-none"/>
          <w14:ligatures w14:val="none"/>
        </w:rPr>
        <w:t>– N30</w:t>
      </w:r>
      <w:r w:rsidRPr="00D90C35">
        <w:rPr>
          <w:rFonts w:ascii="Times New Roman" w:eastAsia="Times New Roman" w:hAnsi="Times New Roman" w:cs="Times New Roman"/>
          <w:noProof/>
          <w:kern w:val="0"/>
          <w:shd w:val="clear" w:color="auto" w:fill="F2F2F2" w:themeFill="background1" w:themeFillShade="F2"/>
          <w:lang w:eastAsia="x-none"/>
          <w14:ligatures w14:val="none"/>
        </w:rPr>
        <w:t>×</w:t>
      </w:r>
      <w:r w:rsidRPr="00D90C35">
        <w:rPr>
          <w:rFonts w:ascii="Times New Roman" w:eastAsia="Times New Roman" w:hAnsi="Times New Roman" w:cs="Times New Roman"/>
          <w:noProof/>
          <w:kern w:val="0"/>
          <w:shd w:val="clear" w:color="auto" w:fill="F2F2F2" w:themeFill="background1" w:themeFillShade="F2"/>
          <w:lang w:eastAsia="x-none"/>
          <w14:ligatures w14:val="none"/>
        </w:rPr>
        <w:t>1</w:t>
      </w:r>
    </w:p>
    <w:p w14:paraId="0BE66994" w14:textId="77777777" w:rsidR="00D90C35" w:rsidRPr="00794080" w:rsidRDefault="00D90C35" w:rsidP="00D90C35">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AEF03A8"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E6BEE5E"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13.</w:t>
      </w:r>
      <w:r w:rsidRPr="00794080">
        <w:rPr>
          <w:rFonts w:ascii="Times New Roman" w:eastAsia="Times New Roman" w:hAnsi="Times New Roman" w:cs="Times New Roman"/>
          <w:b/>
          <w:bCs/>
          <w:noProof/>
          <w:kern w:val="0"/>
          <w14:ligatures w14:val="none"/>
        </w:rPr>
        <w:tab/>
        <w:t>SERIJOS NUMERIS</w:t>
      </w:r>
    </w:p>
    <w:p w14:paraId="5DA457AD"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4C4654A"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Lot</w:t>
      </w:r>
    </w:p>
    <w:p w14:paraId="7D6E6866"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FA80AD1"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CB3ADD9"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14.</w:t>
      </w:r>
      <w:r w:rsidRPr="00794080">
        <w:rPr>
          <w:rFonts w:ascii="Times New Roman" w:eastAsia="Times New Roman" w:hAnsi="Times New Roman" w:cs="Times New Roman"/>
          <w:b/>
          <w:bCs/>
          <w:noProof/>
          <w:kern w:val="0"/>
          <w14:ligatures w14:val="none"/>
        </w:rPr>
        <w:tab/>
        <w:t>PARDAVIMO (IŠDAVIMO) TVARKA</w:t>
      </w:r>
    </w:p>
    <w:p w14:paraId="542120F8"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5FA9A58"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Receptinis vaistas.</w:t>
      </w:r>
    </w:p>
    <w:p w14:paraId="49FFEA0D"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79C2C485"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3FFA0D50"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15.</w:t>
      </w:r>
      <w:r w:rsidRPr="00794080">
        <w:rPr>
          <w:rFonts w:ascii="Times New Roman" w:eastAsia="Times New Roman" w:hAnsi="Times New Roman" w:cs="Times New Roman"/>
          <w:b/>
          <w:bCs/>
          <w:noProof/>
          <w:kern w:val="0"/>
          <w14:ligatures w14:val="none"/>
        </w:rPr>
        <w:tab/>
        <w:t>VARTOJIMO INSTRUKCIJA</w:t>
      </w:r>
    </w:p>
    <w:p w14:paraId="76DD9E96" w14:textId="77777777" w:rsidR="00794080" w:rsidRPr="00794080" w:rsidRDefault="00794080" w:rsidP="00135C1A">
      <w:pPr>
        <w:widowControl w:val="0"/>
        <w:autoSpaceDE w:val="0"/>
        <w:autoSpaceDN w:val="0"/>
        <w:spacing w:after="0" w:line="240" w:lineRule="auto"/>
        <w:rPr>
          <w:rFonts w:ascii="Times New Roman" w:eastAsia="Times New Roman" w:hAnsi="Times New Roman" w:cs="Times New Roman"/>
          <w:strike/>
          <w:kern w:val="0"/>
          <w14:ligatures w14:val="none"/>
        </w:rPr>
      </w:pPr>
    </w:p>
    <w:p w14:paraId="2F19C93E"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B4A26F8"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kern w:val="0"/>
          <w14:ligatures w14:val="none"/>
        </w:rPr>
      </w:pPr>
      <w:r w:rsidRPr="00794080">
        <w:rPr>
          <w:rFonts w:ascii="Times New Roman" w:eastAsia="Times New Roman" w:hAnsi="Times New Roman" w:cs="Times New Roman"/>
          <w:b/>
          <w:bCs/>
          <w:noProof/>
          <w:kern w:val="0"/>
          <w14:ligatures w14:val="none"/>
        </w:rPr>
        <w:t>16.</w:t>
      </w:r>
      <w:r w:rsidRPr="00794080">
        <w:rPr>
          <w:rFonts w:ascii="Times New Roman" w:eastAsia="Times New Roman" w:hAnsi="Times New Roman" w:cs="Times New Roman"/>
          <w:b/>
          <w:bCs/>
          <w:noProof/>
          <w:kern w:val="0"/>
          <w14:ligatures w14:val="none"/>
        </w:rPr>
        <w:tab/>
        <w:t>INFORMACIJA BRAILIO RAŠTU</w:t>
      </w:r>
    </w:p>
    <w:p w14:paraId="36C5AA99"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090DABEF" w14:textId="12D2BF24" w:rsidR="00794080"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Pr>
          <w:rFonts w:ascii="Times New Roman" w:eastAsia="Times New Roman" w:hAnsi="Times New Roman" w:cs="Times New Roman"/>
          <w:noProof/>
          <w:kern w:val="0"/>
          <w:lang w:eastAsia="x-none"/>
          <w14:ligatures w14:val="none"/>
        </w:rPr>
        <w:t>J</w:t>
      </w:r>
      <w:r w:rsidR="00C07908">
        <w:rPr>
          <w:rFonts w:ascii="Times New Roman" w:eastAsia="Times New Roman" w:hAnsi="Times New Roman" w:cs="Times New Roman"/>
          <w:noProof/>
          <w:kern w:val="0"/>
          <w:lang w:eastAsia="x-none"/>
          <w14:ligatures w14:val="none"/>
        </w:rPr>
        <w:t>eligo</w:t>
      </w:r>
    </w:p>
    <w:p w14:paraId="6201CD59" w14:textId="77777777" w:rsidR="0080236D" w:rsidRPr="00794080" w:rsidRDefault="0080236D"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6C8992D0" w14:textId="77777777" w:rsidR="00794080" w:rsidRPr="00794080" w:rsidRDefault="00794080" w:rsidP="00135C1A">
      <w:pPr>
        <w:spacing w:after="0" w:line="240" w:lineRule="auto"/>
        <w:rPr>
          <w:rFonts w:ascii="Times New Roman" w:eastAsia="Times New Roman" w:hAnsi="Times New Roman" w:cs="Times New Roman"/>
          <w:noProof/>
          <w:kern w:val="0"/>
          <w:shd w:val="clear" w:color="auto" w:fill="CCCCCC"/>
          <w14:ligatures w14:val="none"/>
        </w:rPr>
      </w:pPr>
    </w:p>
    <w:p w14:paraId="74D22F18"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i/>
          <w:kern w:val="0"/>
          <w14:ligatures w14:val="none"/>
        </w:rPr>
      </w:pPr>
      <w:r w:rsidRPr="00794080">
        <w:rPr>
          <w:rFonts w:ascii="Times New Roman" w:eastAsia="Times New Roman" w:hAnsi="Times New Roman" w:cs="Times New Roman"/>
          <w:b/>
          <w:kern w:val="0"/>
          <w14:ligatures w14:val="none"/>
        </w:rPr>
        <w:t>17.</w:t>
      </w:r>
      <w:r w:rsidRPr="00794080">
        <w:rPr>
          <w:rFonts w:ascii="Times New Roman" w:eastAsia="Times New Roman" w:hAnsi="Times New Roman" w:cs="Times New Roman"/>
          <w:b/>
          <w:kern w:val="0"/>
          <w14:ligatures w14:val="none"/>
        </w:rPr>
        <w:tab/>
        <w:t>UNIKALUS IDENTIFIKATORIUS – 2D BRŪKŠNINIS KODAS</w:t>
      </w:r>
    </w:p>
    <w:p w14:paraId="3E659D89"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p>
    <w:p w14:paraId="5B59674F" w14:textId="77777777" w:rsidR="00794080" w:rsidRPr="00794080" w:rsidRDefault="00794080" w:rsidP="00135C1A">
      <w:pPr>
        <w:spacing w:after="0" w:line="240" w:lineRule="auto"/>
        <w:rPr>
          <w:rFonts w:ascii="Times New Roman" w:eastAsia="Times New Roman" w:hAnsi="Times New Roman" w:cs="Times New Roman"/>
          <w:kern w:val="0"/>
          <w:shd w:val="clear" w:color="auto" w:fill="CCCCCC"/>
          <w14:ligatures w14:val="none"/>
        </w:rPr>
      </w:pPr>
      <w:r w:rsidRPr="00794080">
        <w:rPr>
          <w:rFonts w:ascii="Times New Roman" w:eastAsia="Times New Roman" w:hAnsi="Times New Roman" w:cs="Times New Roman"/>
          <w:kern w:val="0"/>
          <w:highlight w:val="lightGray"/>
          <w14:ligatures w14:val="none"/>
        </w:rPr>
        <w:t>2D brūkšninis kodas su nurodytu unikaliu identifikatoriumi.</w:t>
      </w:r>
    </w:p>
    <w:p w14:paraId="0FDD3A0A"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p>
    <w:p w14:paraId="35083A2C"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p>
    <w:p w14:paraId="17AC67BA" w14:textId="77777777" w:rsidR="00794080" w:rsidRPr="00794080" w:rsidRDefault="00794080" w:rsidP="00135C1A">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i/>
          <w:kern w:val="0"/>
          <w14:ligatures w14:val="none"/>
        </w:rPr>
      </w:pPr>
      <w:r w:rsidRPr="00794080">
        <w:rPr>
          <w:rFonts w:ascii="Times New Roman" w:eastAsia="Times New Roman" w:hAnsi="Times New Roman" w:cs="Times New Roman"/>
          <w:b/>
          <w:kern w:val="0"/>
          <w14:ligatures w14:val="none"/>
        </w:rPr>
        <w:t>18.</w:t>
      </w:r>
      <w:r w:rsidRPr="00794080">
        <w:rPr>
          <w:rFonts w:ascii="Times New Roman" w:eastAsia="Times New Roman" w:hAnsi="Times New Roman" w:cs="Times New Roman"/>
          <w:b/>
          <w:kern w:val="0"/>
          <w14:ligatures w14:val="none"/>
        </w:rPr>
        <w:tab/>
        <w:t>UNIKALUS IDENTIFIKATORIUS – ŽMONĖMS SUPRANTAMI DUOMENYS</w:t>
      </w:r>
    </w:p>
    <w:p w14:paraId="4C1417D2"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p>
    <w:p w14:paraId="39E2B78B" w14:textId="77777777" w:rsidR="00794080" w:rsidRPr="00794080" w:rsidRDefault="00794080" w:rsidP="00135C1A">
      <w:pPr>
        <w:spacing w:after="0" w:line="240" w:lineRule="auto"/>
        <w:rPr>
          <w:rFonts w:ascii="Times New Roman" w:eastAsia="Times New Roman" w:hAnsi="Times New Roman" w:cs="Times New Roman"/>
          <w:color w:val="008000"/>
          <w:kern w:val="0"/>
          <w14:ligatures w14:val="none"/>
        </w:rPr>
      </w:pPr>
      <w:r w:rsidRPr="00794080">
        <w:rPr>
          <w:rFonts w:ascii="Times New Roman" w:eastAsia="Times New Roman" w:hAnsi="Times New Roman" w:cs="Times New Roman"/>
          <w:kern w:val="0"/>
          <w14:ligatures w14:val="none"/>
        </w:rPr>
        <w:t xml:space="preserve">PC </w:t>
      </w:r>
    </w:p>
    <w:p w14:paraId="49A82AAF"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14:ligatures w14:val="none"/>
        </w:rPr>
        <w:t xml:space="preserve">SN </w:t>
      </w:r>
    </w:p>
    <w:p w14:paraId="537A5796" w14:textId="77777777" w:rsidR="00794080" w:rsidRPr="00794080" w:rsidRDefault="00794080" w:rsidP="00135C1A">
      <w:pPr>
        <w:spacing w:after="0" w:line="240" w:lineRule="auto"/>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highlight w:val="lightGray"/>
          <w14:ligatures w14:val="none"/>
        </w:rPr>
        <w:t>NN</w:t>
      </w:r>
      <w:r w:rsidRPr="00794080">
        <w:rPr>
          <w:rFonts w:ascii="Times New Roman" w:eastAsia="Times New Roman" w:hAnsi="Times New Roman" w:cs="Times New Roman"/>
          <w:kern w:val="0"/>
          <w14:ligatures w14:val="none"/>
        </w:rPr>
        <w:t xml:space="preserve"> </w:t>
      </w:r>
      <w:r w:rsidRPr="00794080">
        <w:rPr>
          <w:rFonts w:ascii="Times New Roman" w:eastAsia="Times New Roman" w:hAnsi="Times New Roman" w:cs="Times New Roman"/>
          <w:kern w:val="0"/>
          <w14:ligatures w14:val="none"/>
        </w:rPr>
        <w:br w:type="page"/>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120A1604" w14:textId="77777777" w:rsidTr="00C32B7C">
        <w:trPr>
          <w:trHeight w:val="785"/>
        </w:trPr>
        <w:tc>
          <w:tcPr>
            <w:tcW w:w="9287" w:type="dxa"/>
            <w:tcBorders>
              <w:top w:val="single" w:sz="4" w:space="0" w:color="auto"/>
              <w:left w:val="single" w:sz="4" w:space="0" w:color="auto"/>
              <w:bottom w:val="single" w:sz="4" w:space="0" w:color="auto"/>
              <w:right w:val="single" w:sz="4" w:space="0" w:color="auto"/>
            </w:tcBorders>
          </w:tcPr>
          <w:p w14:paraId="177EF16F"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 xml:space="preserve">MINIMALI </w:t>
            </w:r>
            <w:r w:rsidRPr="00794080">
              <w:rPr>
                <w:rFonts w:ascii="Times New Roman" w:eastAsia="Times New Roman" w:hAnsi="Times New Roman" w:cs="Times New Roman"/>
                <w:b/>
                <w:caps/>
                <w:noProof/>
                <w:kern w:val="0"/>
                <w14:ligatures w14:val="none"/>
              </w:rPr>
              <w:t xml:space="preserve">informacija ant </w:t>
            </w:r>
            <w:r w:rsidRPr="00794080">
              <w:rPr>
                <w:rFonts w:ascii="Times New Roman" w:eastAsia="Times New Roman" w:hAnsi="Times New Roman" w:cs="Times New Roman"/>
                <w:b/>
                <w:noProof/>
                <w:kern w:val="0"/>
                <w14:ligatures w14:val="none"/>
              </w:rPr>
              <w:t>LIZDINIŲ PLOKŠTELIŲ ARBA DVISLUOKSNIŲ JUOSTELIŲ</w:t>
            </w:r>
          </w:p>
          <w:p w14:paraId="7C00DDED"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p w14:paraId="484ECC8D"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LIZDINĖ PLOKŠTELĖ</w:t>
            </w:r>
          </w:p>
        </w:tc>
      </w:tr>
    </w:tbl>
    <w:p w14:paraId="27FB544C" w14:textId="77777777" w:rsidR="00794080" w:rsidRPr="00794080" w:rsidRDefault="00794080" w:rsidP="00135C1A">
      <w:pPr>
        <w:spacing w:after="0" w:line="240" w:lineRule="auto"/>
        <w:rPr>
          <w:rFonts w:ascii="Times New Roman" w:eastAsia="Times New Roman" w:hAnsi="Times New Roman" w:cs="Times New Roman"/>
          <w:b/>
          <w:noProof/>
          <w:kern w:val="0"/>
          <w:lang w:eastAsia="lt-LT"/>
          <w14:ligatures w14:val="none"/>
        </w:rPr>
      </w:pPr>
    </w:p>
    <w:p w14:paraId="6FDDADF7"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770CCBBE" w14:textId="77777777" w:rsidTr="00C32B7C">
        <w:tc>
          <w:tcPr>
            <w:tcW w:w="9287" w:type="dxa"/>
            <w:tcBorders>
              <w:top w:val="single" w:sz="4" w:space="0" w:color="auto"/>
              <w:left w:val="single" w:sz="4" w:space="0" w:color="auto"/>
              <w:bottom w:val="single" w:sz="4" w:space="0" w:color="auto"/>
              <w:right w:val="single" w:sz="4" w:space="0" w:color="auto"/>
            </w:tcBorders>
            <w:hideMark/>
          </w:tcPr>
          <w:p w14:paraId="2667CC13" w14:textId="77777777" w:rsidR="00794080" w:rsidRPr="00794080" w:rsidRDefault="00794080" w:rsidP="00135C1A">
            <w:pPr>
              <w:tabs>
                <w:tab w:val="left" w:pos="142"/>
              </w:tabs>
              <w:spacing w:after="0" w:line="240" w:lineRule="auto"/>
              <w:ind w:left="567" w:hanging="567"/>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1.</w:t>
            </w:r>
            <w:r w:rsidRPr="00794080">
              <w:rPr>
                <w:rFonts w:ascii="Times New Roman" w:eastAsia="Times New Roman" w:hAnsi="Times New Roman" w:cs="Times New Roman"/>
                <w:b/>
                <w:noProof/>
                <w:kern w:val="0"/>
                <w14:ligatures w14:val="none"/>
              </w:rPr>
              <w:tab/>
            </w:r>
            <w:r w:rsidRPr="00794080">
              <w:rPr>
                <w:rFonts w:ascii="Times New Roman" w:eastAsia="Times New Roman" w:hAnsi="Times New Roman" w:cs="Times New Roman"/>
                <w:b/>
                <w:caps/>
                <w:noProof/>
                <w:kern w:val="0"/>
                <w14:ligatures w14:val="none"/>
              </w:rPr>
              <w:t>Vaistinio preparato pavadinimas</w:t>
            </w:r>
          </w:p>
        </w:tc>
      </w:tr>
    </w:tbl>
    <w:p w14:paraId="40F125DE" w14:textId="77777777" w:rsidR="00794080" w:rsidRPr="00794080" w:rsidRDefault="00794080" w:rsidP="00135C1A">
      <w:pPr>
        <w:spacing w:after="0" w:line="240" w:lineRule="auto"/>
        <w:ind w:left="567" w:hanging="567"/>
        <w:rPr>
          <w:rFonts w:ascii="Times New Roman" w:eastAsia="Times New Roman" w:hAnsi="Times New Roman" w:cs="Times New Roman"/>
          <w:noProof/>
          <w:kern w:val="0"/>
          <w:lang w:eastAsia="lt-LT"/>
          <w14:ligatures w14:val="none"/>
        </w:rPr>
      </w:pPr>
    </w:p>
    <w:p w14:paraId="7E469A93" w14:textId="58056038" w:rsidR="00794080" w:rsidRPr="00794080" w:rsidRDefault="00794080" w:rsidP="00135C1A">
      <w:pPr>
        <w:keepNext/>
        <w:keepLines/>
        <w:tabs>
          <w:tab w:val="left" w:pos="567"/>
        </w:tabs>
        <w:spacing w:after="0" w:line="240" w:lineRule="auto"/>
        <w:outlineLvl w:val="2"/>
        <w:rPr>
          <w:rFonts w:ascii="Times New Roman" w:eastAsia="Times New Roman" w:hAnsi="Times New Roman" w:cs="Times New Roman"/>
          <w:kern w:val="0"/>
          <w14:ligatures w14:val="none"/>
        </w:rPr>
      </w:pPr>
      <w:r w:rsidRPr="00135C1A">
        <w:rPr>
          <w:rFonts w:ascii="Times New Roman" w:eastAsia="Times New Roman" w:hAnsi="Times New Roman" w:cs="Times New Roman"/>
          <w:kern w:val="0"/>
          <w14:ligatures w14:val="none"/>
        </w:rPr>
        <w:t>Jeligo</w:t>
      </w:r>
      <w:r w:rsidRPr="00794080">
        <w:rPr>
          <w:rFonts w:ascii="Times New Roman" w:eastAsia="Times New Roman" w:hAnsi="Times New Roman" w:cs="Times New Roman"/>
          <w:kern w:val="0"/>
          <w14:ligatures w14:val="none"/>
        </w:rPr>
        <w:t> 5 mg plėvele dengtos tabletės</w:t>
      </w:r>
    </w:p>
    <w:p w14:paraId="75A4ECF0" w14:textId="5EA59EEF"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r w:rsidRPr="00794080">
        <w:rPr>
          <w:rFonts w:ascii="Times New Roman" w:eastAsia="Times New Roman" w:hAnsi="Times New Roman" w:cs="Times New Roman"/>
          <w:noProof/>
          <w:kern w:val="0"/>
          <w:lang w:eastAsia="x-none"/>
          <w14:ligatures w14:val="none"/>
        </w:rPr>
        <w:t>linagliptin</w:t>
      </w:r>
      <w:r w:rsidR="00E47695" w:rsidRPr="00135C1A">
        <w:rPr>
          <w:rFonts w:ascii="Times New Roman" w:eastAsia="Times New Roman" w:hAnsi="Times New Roman" w:cs="Times New Roman"/>
          <w:noProof/>
          <w:kern w:val="0"/>
          <w:lang w:eastAsia="x-none"/>
          <w14:ligatures w14:val="none"/>
        </w:rPr>
        <w:t>as</w:t>
      </w:r>
    </w:p>
    <w:p w14:paraId="5322B6FC"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p w14:paraId="75D2CEDD"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2A025054" w14:textId="77777777" w:rsidTr="00C32B7C">
        <w:tc>
          <w:tcPr>
            <w:tcW w:w="9287" w:type="dxa"/>
            <w:tcBorders>
              <w:top w:val="single" w:sz="4" w:space="0" w:color="auto"/>
              <w:left w:val="single" w:sz="4" w:space="0" w:color="auto"/>
              <w:bottom w:val="single" w:sz="4" w:space="0" w:color="auto"/>
              <w:right w:val="single" w:sz="4" w:space="0" w:color="auto"/>
            </w:tcBorders>
            <w:hideMark/>
          </w:tcPr>
          <w:p w14:paraId="3356F503" w14:textId="77777777" w:rsidR="00794080" w:rsidRPr="00794080" w:rsidRDefault="00794080" w:rsidP="00135C1A">
            <w:pPr>
              <w:tabs>
                <w:tab w:val="left" w:pos="142"/>
              </w:tabs>
              <w:spacing w:after="0" w:line="240" w:lineRule="auto"/>
              <w:ind w:left="567" w:hanging="567"/>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2.</w:t>
            </w:r>
            <w:r w:rsidRPr="00794080">
              <w:rPr>
                <w:rFonts w:ascii="Times New Roman" w:eastAsia="Times New Roman" w:hAnsi="Times New Roman" w:cs="Times New Roman"/>
                <w:b/>
                <w:noProof/>
                <w:kern w:val="0"/>
                <w14:ligatures w14:val="none"/>
              </w:rPr>
              <w:tab/>
            </w:r>
            <w:r w:rsidRPr="00794080">
              <w:rPr>
                <w:rFonts w:ascii="Times New Roman" w:eastAsia="Times New Roman" w:hAnsi="Times New Roman" w:cs="Times New Roman"/>
                <w:b/>
                <w:kern w:val="0"/>
                <w14:ligatures w14:val="none"/>
              </w:rPr>
              <w:t>REGISTRUOTOJO</w:t>
            </w:r>
            <w:r w:rsidRPr="00794080">
              <w:rPr>
                <w:rFonts w:ascii="Times New Roman" w:eastAsia="Times New Roman" w:hAnsi="Times New Roman" w:cs="Times New Roman"/>
                <w:b/>
                <w:caps/>
                <w:noProof/>
                <w:kern w:val="0"/>
                <w14:ligatures w14:val="none"/>
              </w:rPr>
              <w:t xml:space="preserve"> pavadinimas</w:t>
            </w:r>
          </w:p>
        </w:tc>
      </w:tr>
    </w:tbl>
    <w:p w14:paraId="35D070FF" w14:textId="77777777" w:rsidR="00794080" w:rsidRPr="00794080" w:rsidRDefault="00794080" w:rsidP="00135C1A">
      <w:pPr>
        <w:spacing w:after="0" w:line="240" w:lineRule="auto"/>
        <w:rPr>
          <w:rFonts w:ascii="Times New Roman" w:eastAsia="Times New Roman" w:hAnsi="Times New Roman" w:cs="Times New Roman"/>
          <w:b/>
          <w:noProof/>
          <w:kern w:val="0"/>
          <w:lang w:eastAsia="lt-LT"/>
          <w14:ligatures w14:val="none"/>
        </w:rPr>
      </w:pPr>
    </w:p>
    <w:p w14:paraId="188BAF3F" w14:textId="5FF269A4" w:rsidR="00794080" w:rsidRPr="00794080" w:rsidRDefault="00E47695" w:rsidP="00135C1A">
      <w:pPr>
        <w:spacing w:after="0" w:line="240" w:lineRule="auto"/>
        <w:rPr>
          <w:rFonts w:ascii="Times New Roman" w:eastAsia="Times New Roman" w:hAnsi="Times New Roman" w:cs="Times New Roman"/>
          <w:noProof/>
          <w:kern w:val="0"/>
          <w14:ligatures w14:val="none"/>
        </w:rPr>
      </w:pPr>
      <w:r w:rsidRPr="00135C1A">
        <w:rPr>
          <w:rFonts w:ascii="Times New Roman" w:eastAsia="Times New Roman" w:hAnsi="Times New Roman" w:cs="Times New Roman"/>
          <w:kern w:val="0"/>
          <w14:ligatures w14:val="none"/>
        </w:rPr>
        <w:t>Egis</w:t>
      </w:r>
    </w:p>
    <w:p w14:paraId="41CEB7BD"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p w14:paraId="326B9BD0" w14:textId="77777777" w:rsidR="00794080" w:rsidRPr="00794080" w:rsidRDefault="00794080" w:rsidP="00135C1A">
      <w:pPr>
        <w:spacing w:after="0" w:line="240" w:lineRule="auto"/>
        <w:rPr>
          <w:rFonts w:ascii="Times New Roman" w:eastAsia="Times New Roman" w:hAnsi="Times New Roman" w:cs="Times New Roman"/>
          <w:b/>
          <w:noProof/>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2C9C096F" w14:textId="77777777" w:rsidTr="00C32B7C">
        <w:tc>
          <w:tcPr>
            <w:tcW w:w="9287" w:type="dxa"/>
            <w:tcBorders>
              <w:top w:val="single" w:sz="4" w:space="0" w:color="auto"/>
              <w:left w:val="single" w:sz="4" w:space="0" w:color="auto"/>
              <w:bottom w:val="single" w:sz="4" w:space="0" w:color="auto"/>
              <w:right w:val="single" w:sz="4" w:space="0" w:color="auto"/>
            </w:tcBorders>
            <w:hideMark/>
          </w:tcPr>
          <w:p w14:paraId="65453F58" w14:textId="77777777" w:rsidR="00794080" w:rsidRPr="00794080" w:rsidRDefault="00794080" w:rsidP="00135C1A">
            <w:pPr>
              <w:tabs>
                <w:tab w:val="left" w:pos="142"/>
              </w:tabs>
              <w:spacing w:after="0" w:line="240" w:lineRule="auto"/>
              <w:ind w:left="567" w:hanging="567"/>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3.</w:t>
            </w:r>
            <w:r w:rsidRPr="00794080">
              <w:rPr>
                <w:rFonts w:ascii="Times New Roman" w:eastAsia="Times New Roman" w:hAnsi="Times New Roman" w:cs="Times New Roman"/>
                <w:b/>
                <w:noProof/>
                <w:kern w:val="0"/>
                <w14:ligatures w14:val="none"/>
              </w:rPr>
              <w:tab/>
            </w:r>
            <w:r w:rsidRPr="00794080">
              <w:rPr>
                <w:rFonts w:ascii="Times New Roman" w:eastAsia="Times New Roman" w:hAnsi="Times New Roman" w:cs="Times New Roman"/>
                <w:b/>
                <w:caps/>
                <w:noProof/>
                <w:kern w:val="0"/>
                <w14:ligatures w14:val="none"/>
              </w:rPr>
              <w:t>tinkamumo laikas</w:t>
            </w:r>
          </w:p>
        </w:tc>
      </w:tr>
    </w:tbl>
    <w:p w14:paraId="7922A177" w14:textId="77777777" w:rsidR="00794080" w:rsidRPr="00794080" w:rsidRDefault="00794080" w:rsidP="00135C1A">
      <w:pPr>
        <w:widowControl w:val="0"/>
        <w:autoSpaceDE w:val="0"/>
        <w:autoSpaceDN w:val="0"/>
        <w:spacing w:after="0" w:line="240" w:lineRule="auto"/>
        <w:rPr>
          <w:rFonts w:ascii="Times New Roman" w:eastAsia="Times New Roman" w:hAnsi="Times New Roman" w:cs="Times New Roman"/>
          <w:kern w:val="0"/>
          <w:lang w:eastAsia="lt-LT"/>
          <w14:ligatures w14:val="none"/>
        </w:rPr>
      </w:pPr>
    </w:p>
    <w:p w14:paraId="409950A3" w14:textId="73D2E8DE" w:rsidR="00794080" w:rsidRPr="00794080" w:rsidRDefault="00794080" w:rsidP="00135C1A">
      <w:pPr>
        <w:widowControl w:val="0"/>
        <w:autoSpaceDE w:val="0"/>
        <w:autoSpaceDN w:val="0"/>
        <w:spacing w:after="0" w:line="240" w:lineRule="auto"/>
        <w:rPr>
          <w:rFonts w:ascii="Times New Roman" w:eastAsia="Times New Roman" w:hAnsi="Times New Roman" w:cs="Times New Roman"/>
          <w:kern w:val="0"/>
          <w14:ligatures w14:val="none"/>
        </w:rPr>
      </w:pPr>
      <w:r w:rsidRPr="00794080">
        <w:rPr>
          <w:rFonts w:ascii="Times New Roman" w:eastAsia="Times New Roman" w:hAnsi="Times New Roman" w:cs="Times New Roman"/>
          <w:kern w:val="0"/>
          <w14:ligatures w14:val="none"/>
        </w:rPr>
        <w:t xml:space="preserve">EXP {mm/MMMM} </w:t>
      </w:r>
    </w:p>
    <w:p w14:paraId="54B7412D" w14:textId="77777777" w:rsidR="00794080" w:rsidRPr="00794080" w:rsidRDefault="00794080" w:rsidP="00135C1A">
      <w:pPr>
        <w:widowControl w:val="0"/>
        <w:tabs>
          <w:tab w:val="left" w:pos="567"/>
        </w:tabs>
        <w:spacing w:after="0" w:line="240" w:lineRule="auto"/>
        <w:rPr>
          <w:rFonts w:ascii="Times New Roman" w:eastAsia="Times New Roman" w:hAnsi="Times New Roman" w:cs="Times New Roman"/>
          <w:noProof/>
          <w:kern w:val="0"/>
          <w:lang w:eastAsia="x-none"/>
          <w14:ligatures w14:val="none"/>
        </w:rPr>
      </w:pPr>
    </w:p>
    <w:p w14:paraId="154C2B86" w14:textId="77777777" w:rsidR="00794080" w:rsidRPr="00794080" w:rsidRDefault="00794080" w:rsidP="00135C1A">
      <w:pPr>
        <w:spacing w:after="0" w:line="240" w:lineRule="auto"/>
        <w:rPr>
          <w:rFonts w:ascii="Times New Roman" w:eastAsia="Times New Roman" w:hAnsi="Times New Roman" w:cs="Times New Roman"/>
          <w:noProof/>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5F4363AA" w14:textId="77777777" w:rsidTr="00C32B7C">
        <w:tc>
          <w:tcPr>
            <w:tcW w:w="9287" w:type="dxa"/>
            <w:tcBorders>
              <w:top w:val="single" w:sz="4" w:space="0" w:color="auto"/>
              <w:left w:val="single" w:sz="4" w:space="0" w:color="auto"/>
              <w:bottom w:val="single" w:sz="4" w:space="0" w:color="auto"/>
              <w:right w:val="single" w:sz="4" w:space="0" w:color="auto"/>
            </w:tcBorders>
            <w:hideMark/>
          </w:tcPr>
          <w:p w14:paraId="262E74CB" w14:textId="77777777" w:rsidR="00794080" w:rsidRPr="00794080" w:rsidRDefault="00794080" w:rsidP="00135C1A">
            <w:pPr>
              <w:tabs>
                <w:tab w:val="left" w:pos="142"/>
              </w:tabs>
              <w:spacing w:after="0" w:line="240" w:lineRule="auto"/>
              <w:ind w:left="567" w:hanging="567"/>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4.</w:t>
            </w:r>
            <w:r w:rsidRPr="00794080">
              <w:rPr>
                <w:rFonts w:ascii="Times New Roman" w:eastAsia="Times New Roman" w:hAnsi="Times New Roman" w:cs="Times New Roman"/>
                <w:b/>
                <w:noProof/>
                <w:kern w:val="0"/>
                <w14:ligatures w14:val="none"/>
              </w:rPr>
              <w:tab/>
            </w:r>
            <w:r w:rsidRPr="00794080">
              <w:rPr>
                <w:rFonts w:ascii="Times New Roman" w:eastAsia="Times New Roman" w:hAnsi="Times New Roman" w:cs="Times New Roman"/>
                <w:b/>
                <w:caps/>
                <w:noProof/>
                <w:kern w:val="0"/>
                <w14:ligatures w14:val="none"/>
              </w:rPr>
              <w:t>serijos numeris</w:t>
            </w:r>
          </w:p>
        </w:tc>
      </w:tr>
    </w:tbl>
    <w:p w14:paraId="37535B62" w14:textId="77777777" w:rsidR="00794080" w:rsidRPr="00794080" w:rsidRDefault="00794080" w:rsidP="00135C1A">
      <w:pPr>
        <w:spacing w:after="0" w:line="240" w:lineRule="auto"/>
        <w:ind w:right="113"/>
        <w:rPr>
          <w:rFonts w:ascii="Times New Roman" w:eastAsia="Times New Roman" w:hAnsi="Times New Roman" w:cs="Times New Roman"/>
          <w:noProof/>
          <w:kern w:val="0"/>
          <w:lang w:eastAsia="lt-LT"/>
          <w14:ligatures w14:val="none"/>
        </w:rPr>
      </w:pPr>
    </w:p>
    <w:p w14:paraId="13E5844A" w14:textId="77777777" w:rsidR="00794080" w:rsidRPr="00794080" w:rsidRDefault="00794080" w:rsidP="00135C1A">
      <w:pPr>
        <w:spacing w:after="0" w:line="240" w:lineRule="auto"/>
        <w:ind w:right="113"/>
        <w:rPr>
          <w:rFonts w:ascii="Times New Roman" w:eastAsia="Times New Roman" w:hAnsi="Times New Roman" w:cs="Times New Roman"/>
          <w:noProof/>
          <w:kern w:val="0"/>
          <w14:ligatures w14:val="none"/>
        </w:rPr>
      </w:pPr>
      <w:r w:rsidRPr="00794080">
        <w:rPr>
          <w:rFonts w:ascii="Times New Roman" w:eastAsia="Times New Roman" w:hAnsi="Times New Roman" w:cs="Times New Roman"/>
          <w:noProof/>
          <w:kern w:val="0"/>
          <w14:ligatures w14:val="none"/>
        </w:rPr>
        <w:t xml:space="preserve">Lot </w:t>
      </w:r>
    </w:p>
    <w:p w14:paraId="6710BB82" w14:textId="77777777" w:rsidR="00794080" w:rsidRPr="00794080" w:rsidRDefault="00794080" w:rsidP="00135C1A">
      <w:pPr>
        <w:spacing w:after="0" w:line="240" w:lineRule="auto"/>
        <w:ind w:right="113"/>
        <w:rPr>
          <w:rFonts w:ascii="Times New Roman" w:eastAsia="Times New Roman" w:hAnsi="Times New Roman" w:cs="Times New Roman"/>
          <w:noProof/>
          <w:kern w:val="0"/>
          <w14:ligatures w14:val="none"/>
        </w:rPr>
      </w:pPr>
    </w:p>
    <w:p w14:paraId="07F66603" w14:textId="77777777" w:rsidR="00794080" w:rsidRPr="00794080" w:rsidRDefault="00794080" w:rsidP="00135C1A">
      <w:pPr>
        <w:spacing w:after="0" w:line="240" w:lineRule="auto"/>
        <w:ind w:right="113"/>
        <w:rPr>
          <w:rFonts w:ascii="Times New Roman" w:eastAsia="Times New Roman" w:hAnsi="Times New Roman" w:cs="Times New Roman"/>
          <w:noProof/>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794080" w:rsidRPr="00794080" w14:paraId="26B8EBB2" w14:textId="77777777" w:rsidTr="00C32B7C">
        <w:tc>
          <w:tcPr>
            <w:tcW w:w="9287" w:type="dxa"/>
            <w:tcBorders>
              <w:top w:val="single" w:sz="4" w:space="0" w:color="auto"/>
              <w:left w:val="single" w:sz="4" w:space="0" w:color="auto"/>
              <w:bottom w:val="single" w:sz="4" w:space="0" w:color="auto"/>
              <w:right w:val="single" w:sz="4" w:space="0" w:color="auto"/>
            </w:tcBorders>
            <w:hideMark/>
          </w:tcPr>
          <w:p w14:paraId="12B43744" w14:textId="77777777" w:rsidR="00794080" w:rsidRPr="00794080" w:rsidRDefault="00794080" w:rsidP="00135C1A">
            <w:pPr>
              <w:tabs>
                <w:tab w:val="left" w:pos="142"/>
              </w:tabs>
              <w:spacing w:after="0" w:line="240" w:lineRule="auto"/>
              <w:ind w:left="567" w:hanging="567"/>
              <w:rPr>
                <w:rFonts w:ascii="Times New Roman" w:eastAsia="Times New Roman" w:hAnsi="Times New Roman" w:cs="Times New Roman"/>
                <w:b/>
                <w:noProof/>
                <w:kern w:val="0"/>
                <w14:ligatures w14:val="none"/>
              </w:rPr>
            </w:pPr>
            <w:r w:rsidRPr="00794080">
              <w:rPr>
                <w:rFonts w:ascii="Times New Roman" w:eastAsia="Times New Roman" w:hAnsi="Times New Roman" w:cs="Times New Roman"/>
                <w:b/>
                <w:noProof/>
                <w:kern w:val="0"/>
                <w14:ligatures w14:val="none"/>
              </w:rPr>
              <w:t>5.</w:t>
            </w:r>
            <w:r w:rsidRPr="00794080">
              <w:rPr>
                <w:rFonts w:ascii="Times New Roman" w:eastAsia="Times New Roman" w:hAnsi="Times New Roman" w:cs="Times New Roman"/>
                <w:b/>
                <w:noProof/>
                <w:kern w:val="0"/>
                <w14:ligatures w14:val="none"/>
              </w:rPr>
              <w:tab/>
              <w:t>KITA</w:t>
            </w:r>
          </w:p>
        </w:tc>
      </w:tr>
    </w:tbl>
    <w:p w14:paraId="1F36C3CA" w14:textId="77777777" w:rsidR="00794080" w:rsidRPr="00794080" w:rsidRDefault="00794080" w:rsidP="00135C1A">
      <w:pPr>
        <w:spacing w:after="0" w:line="240" w:lineRule="auto"/>
        <w:ind w:right="113"/>
        <w:rPr>
          <w:rFonts w:ascii="Times New Roman" w:eastAsia="Times New Roman" w:hAnsi="Times New Roman" w:cs="Times New Roman"/>
          <w:noProof/>
          <w:kern w:val="0"/>
          <w:lang w:eastAsia="lt-LT"/>
          <w14:ligatures w14:val="none"/>
        </w:rPr>
      </w:pPr>
    </w:p>
    <w:p w14:paraId="1301D1BC" w14:textId="77777777" w:rsidR="00794080" w:rsidRPr="00794080" w:rsidRDefault="00794080" w:rsidP="00135C1A">
      <w:pPr>
        <w:widowControl w:val="0"/>
        <w:autoSpaceDE w:val="0"/>
        <w:autoSpaceDN w:val="0"/>
        <w:spacing w:after="0" w:line="240" w:lineRule="auto"/>
        <w:rPr>
          <w:rFonts w:ascii="Times New Roman" w:eastAsia="Times New Roman" w:hAnsi="Times New Roman" w:cs="Times New Roman"/>
          <w:kern w:val="0"/>
          <w14:ligatures w14:val="none"/>
        </w:rPr>
      </w:pPr>
    </w:p>
    <w:p w14:paraId="47D7D95C" w14:textId="77777777" w:rsidR="00794080" w:rsidRPr="00794080" w:rsidRDefault="00794080" w:rsidP="00135C1A">
      <w:pPr>
        <w:spacing w:after="0" w:line="240" w:lineRule="auto"/>
        <w:rPr>
          <w:rFonts w:ascii="Times New Roman" w:eastAsia="Times New Roman" w:hAnsi="Times New Roman" w:cs="Times New Roman"/>
          <w:b/>
          <w:kern w:val="0"/>
          <w14:ligatures w14:val="none"/>
        </w:rPr>
      </w:pPr>
      <w:r w:rsidRPr="00794080">
        <w:rPr>
          <w:rFonts w:ascii="Times New Roman" w:eastAsia="Times New Roman" w:hAnsi="Times New Roman" w:cs="Times New Roman"/>
          <w:b/>
          <w:kern w:val="0"/>
          <w14:ligatures w14:val="none"/>
        </w:rPr>
        <w:br w:type="page"/>
      </w:r>
    </w:p>
    <w:p w14:paraId="62EE80A1" w14:textId="77777777" w:rsidR="00794080" w:rsidRPr="00135C1A" w:rsidRDefault="00794080" w:rsidP="00135C1A">
      <w:pPr>
        <w:spacing w:after="0" w:line="240" w:lineRule="auto"/>
        <w:rPr>
          <w:rFonts w:ascii="Times New Roman" w:hAnsi="Times New Roman" w:cs="Times New Roman"/>
        </w:rPr>
      </w:pPr>
    </w:p>
    <w:p w14:paraId="272A6B98" w14:textId="77777777" w:rsidR="00686332" w:rsidRPr="00686332" w:rsidRDefault="00686332"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216E733F" w14:textId="77777777" w:rsidR="00686332" w:rsidRPr="00686332" w:rsidRDefault="00686332"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2548073D" w14:textId="77777777" w:rsidR="00686332" w:rsidRDefault="00686332"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FB3C0D4"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6E467C71"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069C1DA9"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32D284B1"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E8BE431"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4EF12180"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588B1608"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266F312D"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2C56BE75"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1A9A552"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6099F9ED"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77E2407E"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98A5728"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549803CC"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4F282D6A"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AA14FBB"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78A4E3CB"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3A7C7D57" w14:textId="77777777" w:rsidR="00135C1A" w:rsidRDefault="00135C1A"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5DC4E138" w14:textId="77777777" w:rsidR="00686332" w:rsidRPr="00686332" w:rsidRDefault="00686332" w:rsidP="00135C1A">
      <w:pPr>
        <w:widowControl w:val="0"/>
        <w:autoSpaceDE w:val="0"/>
        <w:autoSpaceDN w:val="0"/>
        <w:spacing w:after="0" w:line="240" w:lineRule="auto"/>
        <w:jc w:val="center"/>
        <w:rPr>
          <w:rFonts w:ascii="Times New Roman" w:eastAsia="Times New Roman" w:hAnsi="Times New Roman" w:cs="Times New Roman"/>
          <w:b/>
          <w:kern w:val="0"/>
          <w14:ligatures w14:val="none"/>
        </w:rPr>
      </w:pPr>
      <w:r w:rsidRPr="00686332">
        <w:rPr>
          <w:rFonts w:ascii="Times New Roman" w:eastAsia="Times New Roman" w:hAnsi="Times New Roman" w:cs="Times New Roman"/>
          <w:b/>
          <w:kern w:val="0"/>
          <w14:ligatures w14:val="none"/>
        </w:rPr>
        <w:t>B. PAKUOTĖS LAPELIS</w:t>
      </w:r>
    </w:p>
    <w:p w14:paraId="650107D8" w14:textId="77777777" w:rsidR="00686332" w:rsidRPr="00686332" w:rsidRDefault="00686332" w:rsidP="00135C1A">
      <w:pPr>
        <w:widowControl w:val="0"/>
        <w:autoSpaceDE w:val="0"/>
        <w:autoSpaceDN w:val="0"/>
        <w:spacing w:after="0" w:line="240" w:lineRule="auto"/>
        <w:rPr>
          <w:rFonts w:ascii="Times New Roman" w:eastAsia="Times New Roman" w:hAnsi="Times New Roman" w:cs="Times New Roman"/>
          <w:kern w:val="0"/>
          <w14:ligatures w14:val="none"/>
        </w:rPr>
      </w:pPr>
    </w:p>
    <w:p w14:paraId="67E6C47D" w14:textId="77777777" w:rsidR="00686332" w:rsidRPr="00686332" w:rsidRDefault="00686332" w:rsidP="00135C1A">
      <w:pPr>
        <w:spacing w:after="0" w:line="240" w:lineRule="auto"/>
        <w:jc w:val="center"/>
        <w:rPr>
          <w:rFonts w:ascii="Times New Roman" w:eastAsia="Times New Roman" w:hAnsi="Times New Roman" w:cs="Times New Roman"/>
          <w:b/>
          <w:kern w:val="0"/>
          <w14:ligatures w14:val="none"/>
        </w:rPr>
      </w:pPr>
    </w:p>
    <w:p w14:paraId="1B0CED4B" w14:textId="77777777" w:rsidR="00686332" w:rsidRPr="00686332" w:rsidRDefault="00686332" w:rsidP="00135C1A">
      <w:pPr>
        <w:spacing w:after="0" w:line="240" w:lineRule="auto"/>
        <w:rPr>
          <w:rFonts w:ascii="Times New Roman" w:eastAsia="Times New Roman" w:hAnsi="Times New Roman" w:cs="Times New Roman"/>
          <w:b/>
          <w:kern w:val="0"/>
          <w14:ligatures w14:val="none"/>
        </w:rPr>
      </w:pPr>
      <w:r w:rsidRPr="00686332">
        <w:rPr>
          <w:rFonts w:ascii="Times New Roman" w:eastAsia="Times New Roman" w:hAnsi="Times New Roman" w:cs="Times New Roman"/>
          <w:b/>
          <w:kern w:val="0"/>
          <w14:ligatures w14:val="none"/>
        </w:rPr>
        <w:br w:type="page"/>
      </w:r>
    </w:p>
    <w:p w14:paraId="59F80FB7" w14:textId="77777777" w:rsidR="00686332" w:rsidRPr="00686332" w:rsidRDefault="00686332" w:rsidP="00135C1A">
      <w:pPr>
        <w:keepNext/>
        <w:widowControl w:val="0"/>
        <w:spacing w:after="0" w:line="240" w:lineRule="auto"/>
        <w:jc w:val="center"/>
        <w:outlineLvl w:val="0"/>
        <w:rPr>
          <w:rFonts w:ascii="Times New Roman" w:eastAsia="Times New Roman" w:hAnsi="Times New Roman" w:cs="Times New Roman"/>
          <w:b/>
          <w:iCs/>
          <w:kern w:val="0"/>
          <w14:ligatures w14:val="none"/>
        </w:rPr>
      </w:pPr>
      <w:r w:rsidRPr="00686332">
        <w:rPr>
          <w:rFonts w:ascii="Times New Roman" w:eastAsia="Times New Roman" w:hAnsi="Times New Roman" w:cs="Times New Roman"/>
          <w:b/>
          <w:iCs/>
          <w:kern w:val="0"/>
          <w14:ligatures w14:val="none"/>
        </w:rPr>
        <w:t>Pakuotės lapelis: informacija vartotojui</w:t>
      </w:r>
    </w:p>
    <w:p w14:paraId="1C7FC589" w14:textId="77777777" w:rsidR="00686332" w:rsidRPr="00686332" w:rsidRDefault="00686332" w:rsidP="00135C1A">
      <w:pPr>
        <w:keepNext/>
        <w:widowControl w:val="0"/>
        <w:spacing w:after="0" w:line="240" w:lineRule="auto"/>
        <w:jc w:val="center"/>
        <w:outlineLvl w:val="0"/>
        <w:rPr>
          <w:rFonts w:ascii="Times New Roman" w:eastAsia="Times New Roman" w:hAnsi="Times New Roman" w:cs="Times New Roman"/>
          <w:b/>
          <w:kern w:val="0"/>
          <w14:ligatures w14:val="none"/>
        </w:rPr>
      </w:pPr>
    </w:p>
    <w:p w14:paraId="6CC9DB61" w14:textId="69A499C4" w:rsidR="00686332" w:rsidRPr="00686332" w:rsidRDefault="00686332" w:rsidP="00135C1A">
      <w:pPr>
        <w:keepNext/>
        <w:widowControl w:val="0"/>
        <w:tabs>
          <w:tab w:val="left" w:pos="567"/>
        </w:tabs>
        <w:spacing w:after="0" w:line="240" w:lineRule="auto"/>
        <w:jc w:val="center"/>
        <w:outlineLvl w:val="2"/>
        <w:rPr>
          <w:rFonts w:ascii="Times New Roman" w:eastAsia="Times New Roman" w:hAnsi="Times New Roman" w:cs="Times New Roman"/>
          <w:b/>
          <w:bCs/>
          <w:kern w:val="0"/>
          <w14:ligatures w14:val="none"/>
        </w:rPr>
      </w:pPr>
      <w:r w:rsidRPr="00135C1A">
        <w:rPr>
          <w:rFonts w:ascii="Times New Roman" w:eastAsia="Times New Roman" w:hAnsi="Times New Roman" w:cs="Times New Roman"/>
          <w:b/>
          <w:bCs/>
          <w:kern w:val="0"/>
          <w14:ligatures w14:val="none"/>
        </w:rPr>
        <w:t>Jeligo</w:t>
      </w:r>
      <w:r w:rsidRPr="00686332">
        <w:rPr>
          <w:rFonts w:ascii="Times New Roman" w:eastAsia="Times New Roman" w:hAnsi="Times New Roman" w:cs="Times New Roman"/>
          <w:b/>
          <w:bCs/>
          <w:kern w:val="0"/>
          <w14:ligatures w14:val="none"/>
        </w:rPr>
        <w:t> 5 mg plėvele dengtos tabletės</w:t>
      </w:r>
    </w:p>
    <w:p w14:paraId="16F20470" w14:textId="02053F16" w:rsidR="00686332" w:rsidRPr="00135C1A"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r>
        <w:rPr>
          <w:rFonts w:ascii="Times New Roman" w:eastAsia="Times New Roman" w:hAnsi="Times New Roman" w:cs="Times New Roman"/>
          <w:noProof/>
          <w:kern w:val="0"/>
          <w:lang w:eastAsia="x-none"/>
          <w14:ligatures w14:val="none"/>
        </w:rPr>
        <w:t>l</w:t>
      </w:r>
      <w:r w:rsidR="00686332" w:rsidRPr="00686332">
        <w:rPr>
          <w:rFonts w:ascii="Times New Roman" w:eastAsia="Times New Roman" w:hAnsi="Times New Roman" w:cs="Times New Roman"/>
          <w:noProof/>
          <w:kern w:val="0"/>
          <w:lang w:eastAsia="x-none"/>
          <w14:ligatures w14:val="none"/>
        </w:rPr>
        <w:t>inagliptinas</w:t>
      </w:r>
    </w:p>
    <w:p w14:paraId="6423716B" w14:textId="77777777" w:rsidR="00135C1A" w:rsidRPr="00135C1A"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p>
    <w:p w14:paraId="00C942AD" w14:textId="77777777" w:rsidR="00135C1A" w:rsidRPr="00686332" w:rsidRDefault="00135C1A" w:rsidP="00135C1A">
      <w:pPr>
        <w:keepNext/>
        <w:widowControl w:val="0"/>
        <w:tabs>
          <w:tab w:val="left" w:pos="567"/>
        </w:tabs>
        <w:spacing w:after="0" w:line="240" w:lineRule="auto"/>
        <w:jc w:val="center"/>
        <w:rPr>
          <w:rFonts w:ascii="Times New Roman" w:eastAsia="Times New Roman" w:hAnsi="Times New Roman" w:cs="Times New Roman"/>
          <w:noProof/>
          <w:kern w:val="0"/>
          <w:lang w:eastAsia="x-none"/>
          <w14:ligatures w14:val="none"/>
        </w:rPr>
      </w:pPr>
    </w:p>
    <w:p w14:paraId="108D0962"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Atidžiai perskaitykite visą šį lapelį, prieš pradėdami vartoti vaistą, nes jame pateikiama Jums svarbi informacija.</w:t>
      </w:r>
    </w:p>
    <w:p w14:paraId="0DADBF4F"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Neišmeskite šio lapelio, nes vėl gali prireikti jį perskaityti.</w:t>
      </w:r>
    </w:p>
    <w:p w14:paraId="5D90F0D8"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kiltų daugiau klausimų, kreipkitės į gydytoją, vaistininką arba slaugytoją.</w:t>
      </w:r>
    </w:p>
    <w:p w14:paraId="1C7482AF"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Šis vaistas skirtas tik Jums, todėl kitiems žmonėms jo duoti negalima. Vaistas gali jiems pakenkti (net tiems, kurių ligos požymiai yra tokie patys kaip Jūsų).</w:t>
      </w:r>
    </w:p>
    <w:p w14:paraId="3CC642D9" w14:textId="77777777" w:rsidR="00135C1A" w:rsidRPr="00135C1A" w:rsidRDefault="00135C1A" w:rsidP="00135C1A">
      <w:pPr>
        <w:numPr>
          <w:ilvl w:val="0"/>
          <w:numId w:val="6"/>
        </w:numPr>
        <w:tabs>
          <w:tab w:val="left" w:pos="567"/>
        </w:tabs>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pasireiškė šalutinis poveikis (net jeigu jis šiame lapelyje nenurodytas), kreipkitės į gydytoją, vaistininką arba slaugytoją. Žr. 4 skyrių.</w:t>
      </w:r>
    </w:p>
    <w:p w14:paraId="7693ECE9" w14:textId="77777777" w:rsidR="00135C1A" w:rsidRDefault="00135C1A" w:rsidP="00135C1A">
      <w:pPr>
        <w:spacing w:after="0" w:line="240" w:lineRule="auto"/>
        <w:rPr>
          <w:rFonts w:ascii="Times New Roman" w:eastAsia="Times New Roman" w:hAnsi="Times New Roman" w:cs="Times New Roman"/>
          <w:b/>
          <w:color w:val="000000"/>
          <w:lang w:eastAsia="lt-LT"/>
        </w:rPr>
      </w:pPr>
    </w:p>
    <w:p w14:paraId="1CFF5F6B" w14:textId="02F7C6D8"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Apie ką rašoma šiame lapelyje?</w:t>
      </w:r>
    </w:p>
    <w:p w14:paraId="0BFC4485" w14:textId="14E7C085"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Kas yra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ir kam jis vartojamas</w:t>
      </w:r>
    </w:p>
    <w:p w14:paraId="67DD6214" w14:textId="48EAEA6E"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Kas žinotina prieš vartojant </w:t>
      </w:r>
      <w:r>
        <w:rPr>
          <w:rFonts w:ascii="Times New Roman" w:eastAsia="Times New Roman" w:hAnsi="Times New Roman" w:cs="Times New Roman"/>
          <w:color w:val="000000"/>
          <w:lang w:eastAsia="lt-LT"/>
        </w:rPr>
        <w:t>Jeligo</w:t>
      </w:r>
    </w:p>
    <w:p w14:paraId="33088936" w14:textId="1288BD76"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Kaip vartoti </w:t>
      </w:r>
      <w:r>
        <w:rPr>
          <w:rFonts w:ascii="Times New Roman" w:eastAsia="Times New Roman" w:hAnsi="Times New Roman" w:cs="Times New Roman"/>
          <w:color w:val="000000"/>
          <w:lang w:eastAsia="lt-LT"/>
        </w:rPr>
        <w:t>Jeligo</w:t>
      </w:r>
    </w:p>
    <w:p w14:paraId="69849E54" w14:textId="77777777"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Galimas šalutinis poveikis</w:t>
      </w:r>
    </w:p>
    <w:p w14:paraId="1FBAE1D2" w14:textId="7CA8F439" w:rsidR="00135C1A" w:rsidRP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Kaip laikyti </w:t>
      </w:r>
      <w:r>
        <w:rPr>
          <w:rFonts w:ascii="Times New Roman" w:eastAsia="Times New Roman" w:hAnsi="Times New Roman" w:cs="Times New Roman"/>
          <w:color w:val="000000"/>
          <w:lang w:eastAsia="lt-LT"/>
        </w:rPr>
        <w:t>Jeligo</w:t>
      </w:r>
    </w:p>
    <w:p w14:paraId="24AC59A5" w14:textId="1216B104" w:rsidR="00135C1A" w:rsidRDefault="00135C1A" w:rsidP="00072C2A">
      <w:pPr>
        <w:numPr>
          <w:ilvl w:val="0"/>
          <w:numId w:val="7"/>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Pakuotės turinys ir kita informacija</w:t>
      </w:r>
    </w:p>
    <w:p w14:paraId="6A8EDF5B"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487A257D" w14:textId="77777777" w:rsidR="00E960D9" w:rsidRPr="00135C1A" w:rsidRDefault="00E960D9" w:rsidP="00135C1A">
      <w:pPr>
        <w:spacing w:after="0" w:line="240" w:lineRule="auto"/>
        <w:rPr>
          <w:rFonts w:ascii="Times New Roman" w:eastAsia="Times New Roman" w:hAnsi="Times New Roman" w:cs="Times New Roman"/>
          <w:color w:val="000000"/>
          <w:lang w:eastAsia="lt-LT"/>
        </w:rPr>
      </w:pPr>
    </w:p>
    <w:p w14:paraId="4CC25298" w14:textId="4B6D47DC"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color w:val="000000"/>
          <w:u w:val="single" w:color="000000"/>
          <w:lang w:eastAsia="lt-LT"/>
        </w:rPr>
      </w:pPr>
      <w:r w:rsidRPr="00135C1A">
        <w:rPr>
          <w:rFonts w:ascii="Times New Roman" w:eastAsia="Times New Roman" w:hAnsi="Times New Roman" w:cs="Times New Roman"/>
          <w:b/>
          <w:color w:val="000000"/>
          <w:u w:color="000000"/>
          <w:lang w:eastAsia="lt-LT"/>
        </w:rPr>
        <w:t>1.</w:t>
      </w:r>
      <w:r w:rsidRPr="00135C1A">
        <w:rPr>
          <w:rFonts w:ascii="Times New Roman" w:eastAsia="Times New Roman" w:hAnsi="Times New Roman" w:cs="Times New Roman"/>
          <w:b/>
          <w:color w:val="000000"/>
          <w:u w:color="000000"/>
          <w:lang w:eastAsia="lt-LT"/>
        </w:rPr>
        <w:tab/>
        <w:t xml:space="preserve">Kas yra </w:t>
      </w:r>
      <w:r>
        <w:rPr>
          <w:rFonts w:ascii="Times New Roman" w:eastAsia="Times New Roman" w:hAnsi="Times New Roman" w:cs="Times New Roman"/>
          <w:b/>
          <w:color w:val="000000"/>
          <w:u w:color="000000"/>
          <w:lang w:eastAsia="lt-LT"/>
        </w:rPr>
        <w:t>Jeligo</w:t>
      </w:r>
      <w:r w:rsidRPr="00135C1A">
        <w:rPr>
          <w:rFonts w:ascii="Times New Roman" w:eastAsia="Times New Roman" w:hAnsi="Times New Roman" w:cs="Times New Roman"/>
          <w:b/>
          <w:color w:val="000000"/>
          <w:u w:color="000000"/>
          <w:lang w:eastAsia="lt-LT"/>
        </w:rPr>
        <w:t xml:space="preserve"> ir kam jis vartojamas</w:t>
      </w:r>
    </w:p>
    <w:p w14:paraId="6CA6B6F1"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55E77266" w14:textId="061B9EC6" w:rsidR="00135C1A" w:rsidRPr="00135C1A" w:rsidRDefault="00135C1A" w:rsidP="00135C1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veiklioji medžiaga yra linagliptinas. Jis priklauso vaistų, vadinamų geriamaisiais antidiabetiniais vaistais, grupei. Geriamieji antidiabetiniai vaistai vartojami gydant nuo didelio cukraus kiekio kraujyje. Jie padeda organizmui sumažinti cukraus kiekį kraujyje.</w:t>
      </w:r>
    </w:p>
    <w:p w14:paraId="72057EB4"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2B1CA373" w14:textId="0E0AD547" w:rsidR="00135C1A" w:rsidRPr="00135C1A" w:rsidRDefault="00135C1A" w:rsidP="00135C1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vartojamas suaugusiųjų 2</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tipo cukriniam diabetui gydyti, jeigu gydymas vienu geriamuoju antidiabetiniu vaistu (metforminu arba sulfonilurėjos dariniu) arba vien tik dieta kartu su fiziniu krūviu tinkamai ligos nekontroliuoja.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galima vartoti kartu su kitais antidiabetiniais vaistais, pvz., metforminu, sulfonilurėjos dariniu (pvz., glimepiridu, glipizidu), empagliflozinu ar insulinu.</w:t>
      </w:r>
    </w:p>
    <w:p w14:paraId="04B737F1" w14:textId="77777777" w:rsid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Svarbu, kad laikytumėtės Jūsų gydytojo ar slaugytojo duotų patarimų dėl dietos ir fizinio krūvio.</w:t>
      </w:r>
    </w:p>
    <w:p w14:paraId="53EF212B"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62ADC284"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p>
    <w:p w14:paraId="03E9BEC5" w14:textId="3DAE9040"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2.</w:t>
      </w:r>
      <w:r w:rsidRPr="00135C1A">
        <w:rPr>
          <w:rFonts w:ascii="Times New Roman" w:eastAsia="Times New Roman" w:hAnsi="Times New Roman" w:cs="Times New Roman"/>
          <w:b/>
          <w:color w:val="000000"/>
          <w:u w:color="000000"/>
          <w:lang w:eastAsia="lt-LT"/>
        </w:rPr>
        <w:tab/>
        <w:t xml:space="preserve">Kas žinotina prieš vartojant </w:t>
      </w:r>
      <w:r w:rsidRPr="00072C2A">
        <w:rPr>
          <w:rFonts w:ascii="Times New Roman" w:eastAsia="Times New Roman" w:hAnsi="Times New Roman" w:cs="Times New Roman"/>
          <w:b/>
          <w:color w:val="000000"/>
          <w:u w:color="000000"/>
          <w:lang w:eastAsia="lt-LT"/>
        </w:rPr>
        <w:t>Jeligo</w:t>
      </w:r>
    </w:p>
    <w:p w14:paraId="5C8D0F90"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3948311B" w14:textId="2987DF44"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vartoti draudžiama</w:t>
      </w:r>
    </w:p>
    <w:p w14:paraId="2190B2BA" w14:textId="3CCEA845" w:rsidR="00135C1A" w:rsidRDefault="00135C1A" w:rsidP="00E960D9">
      <w:pPr>
        <w:numPr>
          <w:ilvl w:val="0"/>
          <w:numId w:val="18"/>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yra alergija linagliptinui arba bet kuriai pagalbinei šio vaisto medžiagai (jos išvardytos 6</w:t>
      </w:r>
      <w:r w:rsidR="00E960D9">
        <w:rPr>
          <w:rFonts w:ascii="Times New Roman" w:eastAsia="Times New Roman" w:hAnsi="Times New Roman" w:cs="Times New Roman"/>
          <w:color w:val="000000"/>
          <w:lang w:eastAsia="lt-LT"/>
        </w:rPr>
        <w:t> </w:t>
      </w:r>
      <w:r w:rsidR="00461BC0">
        <w:rPr>
          <w:rFonts w:ascii="Times New Roman" w:eastAsia="Times New Roman" w:hAnsi="Times New Roman" w:cs="Times New Roman"/>
          <w:color w:val="000000"/>
          <w:lang w:eastAsia="lt-LT"/>
        </w:rPr>
        <w:t>s</w:t>
      </w:r>
      <w:r w:rsidRPr="00135C1A">
        <w:rPr>
          <w:rFonts w:ascii="Times New Roman" w:eastAsia="Times New Roman" w:hAnsi="Times New Roman" w:cs="Times New Roman"/>
          <w:color w:val="000000"/>
          <w:lang w:eastAsia="lt-LT"/>
        </w:rPr>
        <w:t>kyriuje).</w:t>
      </w:r>
    </w:p>
    <w:p w14:paraId="59804946" w14:textId="77777777" w:rsidR="00E960D9" w:rsidRPr="00135C1A" w:rsidRDefault="00E960D9" w:rsidP="00E960D9">
      <w:pPr>
        <w:numPr>
          <w:ilvl w:val="0"/>
          <w:numId w:val="18"/>
        </w:numPr>
        <w:spacing w:after="0" w:line="240" w:lineRule="auto"/>
        <w:ind w:left="567" w:hanging="567"/>
        <w:rPr>
          <w:rFonts w:ascii="Times New Roman" w:eastAsia="Times New Roman" w:hAnsi="Times New Roman" w:cs="Times New Roman"/>
          <w:color w:val="000000"/>
          <w:lang w:eastAsia="lt-LT"/>
        </w:rPr>
      </w:pPr>
    </w:p>
    <w:p w14:paraId="47253BD9" w14:textId="77777777"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Įspėjimai ir atsargumo priemonės</w:t>
      </w:r>
    </w:p>
    <w:p w14:paraId="7A75C919" w14:textId="1C0AE72C"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Pasitarkite su gydytoju, vaistininku arba slaugytoju, prieš pradėdami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jeigu:</w:t>
      </w:r>
    </w:p>
    <w:p w14:paraId="13B0B90C" w14:textId="21C60125"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sergate 1</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tipo cukriniu diabetu (Jūsų organizmas negamina insulino) ar diabetine ketoacidoze (diabeto komplikacija, susijusi su dideliu cukraus kiekiu kraujyje, greitu kūno svorio mažėjimu, pykinimu arba vėmimu), kadangi šių ligų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gydyti negalima;</w:t>
      </w:r>
    </w:p>
    <w:p w14:paraId="7DB7C9A9" w14:textId="31EA2076"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vartojate antidiabetinio vaisto, kuris yra sulfonilurėjos darinys (pvz., glimepirido, glipizido), kadangi Jūsų gydytojas gali nurodyti sumažinti jo dozę pradėjus kartu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kad cukraus kiekis Jūsų kraujyje pernelyg nesumažėtų;</w:t>
      </w:r>
    </w:p>
    <w:p w14:paraId="0EC06377"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buvo alerginių reakcijų į bet kokius kitus vaistus, kuriuos vartojote cukraus kiekiui kraujyje kontroliuoti;</w:t>
      </w:r>
    </w:p>
    <w:p w14:paraId="05B48481" w14:textId="77777777" w:rsid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sirgote ar sergate kasos liga.</w:t>
      </w:r>
    </w:p>
    <w:p w14:paraId="19018EFE" w14:textId="77777777" w:rsidR="00E960D9" w:rsidRPr="00135C1A" w:rsidRDefault="00E960D9" w:rsidP="00E960D9">
      <w:pPr>
        <w:spacing w:after="0" w:line="240" w:lineRule="auto"/>
        <w:rPr>
          <w:rFonts w:ascii="Times New Roman" w:eastAsia="Times New Roman" w:hAnsi="Times New Roman" w:cs="Times New Roman"/>
          <w:color w:val="000000"/>
          <w:lang w:eastAsia="lt-LT"/>
        </w:rPr>
      </w:pPr>
    </w:p>
    <w:p w14:paraId="794C0C25"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Jums pasireiškia ūmaus kasos uždegimo (pankreatito) simptomų, pvz., nuolatinis, stiprus pilvo skausmas, pasitarkite su savo gydytoju.</w:t>
      </w:r>
    </w:p>
    <w:p w14:paraId="757AEBFD" w14:textId="642B043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Jums atsirado pūslių ant odos, tai gali būti ligos, vadinamos pūsliniu pemfigoidu, požymis. Jūsų gydytojas gali paprašyti Jūsų nustoti vartoti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w:t>
      </w:r>
    </w:p>
    <w:p w14:paraId="424CCD62"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07BC2F31" w14:textId="6BD76BB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Dažna cukrinio diabeto komplikacija yra odos pažaida. Turite laikytis Jūsų gydytojo arba slaugytojo duotų patarimų dėl odos ir pėdų priežiūros.</w:t>
      </w:r>
    </w:p>
    <w:p w14:paraId="4050ECC1"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596B1C07" w14:textId="17700A89"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Vaikams ir paaugliams</w:t>
      </w:r>
    </w:p>
    <w:p w14:paraId="7D1F1F57" w14:textId="54B5FF95"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nerekomenduojama vartoti vaikams ir jaunesniems kaip 18</w:t>
      </w:r>
      <w:r w:rsidR="00E960D9">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metų paaugliams. Vaistas neveiksmingas 10</w:t>
      </w:r>
      <w:r w:rsidR="00E960D9">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17 metų vaikams ir paaugliams. Nežinoma, ar šis vaistas saugus ir veiksmingas jaunesniems kaip 10 metų vaikams.</w:t>
      </w:r>
    </w:p>
    <w:p w14:paraId="009A65B6"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2E0254E7" w14:textId="7B9790C9"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Kiti vaistai ir </w:t>
      </w:r>
      <w:r>
        <w:rPr>
          <w:rFonts w:ascii="Times New Roman" w:eastAsia="Times New Roman" w:hAnsi="Times New Roman" w:cs="Times New Roman"/>
          <w:b/>
          <w:color w:val="000000"/>
          <w:lang w:eastAsia="lt-LT"/>
        </w:rPr>
        <w:t>Jeligo</w:t>
      </w:r>
    </w:p>
    <w:p w14:paraId="2A7FE4FB"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vartojate ar neseniai vartojote kitų vaistų arba dėl to nesate tikri, apie tai pasakykite gydytojui arba vaistininkui.</w:t>
      </w:r>
    </w:p>
    <w:p w14:paraId="5333D038"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07803A78" w14:textId="651AE0ED"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Labai svarbu, kad savo gydytojui pasakytumėte, jeigu vartojate vaistų, kurių sudėtyje yra toliau išvardytų veikliųjų medžiagų:</w:t>
      </w:r>
    </w:p>
    <w:p w14:paraId="5D4FB36E"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karbamazepino, fenobarbitalio arba fenitoino. Jie gali būti vartojami traukulių priepuoliams arba lėtiniam skausmui kontroliuoti;</w:t>
      </w:r>
    </w:p>
    <w:p w14:paraId="55A378BF"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rifampicino. Tai antibiotikas, vartojamas infekcinėms ligoms, pavyzdžiui, tuberkuliozei, gydyti.</w:t>
      </w:r>
    </w:p>
    <w:p w14:paraId="5DDBCBA2"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7B5C25E7" w14:textId="05C7D24F"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Nėštumas ir žindymo laikotarpis</w:t>
      </w:r>
    </w:p>
    <w:p w14:paraId="19270C0D" w14:textId="77777777"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esate nėščia, žindote kūdikį, manote, kad galbūt esate nėščia arba planuojate pastoti, tai prieš vartodama šį vaistą pasitarkite su gydytoju arba vaistininku.</w:t>
      </w:r>
    </w:p>
    <w:p w14:paraId="0A060F64" w14:textId="64FEF89D"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Nežinoma, ar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sukelia kenksmingą poveikį vaisiui. Todėl, jeigu esate nėščia,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geriau nevartoti.</w:t>
      </w:r>
    </w:p>
    <w:p w14:paraId="25891971" w14:textId="5B38F960"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Nežinoma, ar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išsiskiria į motinos pieną. Jūsų gydytojas turi nuspręsti, ar nutraukti žindymą, ar nutraukti/susilaikyti nuo gydymo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w:t>
      </w:r>
    </w:p>
    <w:p w14:paraId="664B35AB" w14:textId="77777777" w:rsidR="00E960D9" w:rsidRDefault="00E960D9" w:rsidP="00072C2A">
      <w:pPr>
        <w:keepNext/>
        <w:keepLines/>
        <w:spacing w:after="0" w:line="240" w:lineRule="auto"/>
        <w:ind w:hanging="10"/>
        <w:rPr>
          <w:rFonts w:ascii="Times New Roman" w:eastAsia="Times New Roman" w:hAnsi="Times New Roman" w:cs="Times New Roman"/>
          <w:b/>
          <w:color w:val="000000"/>
          <w:lang w:eastAsia="lt-LT"/>
        </w:rPr>
      </w:pPr>
    </w:p>
    <w:p w14:paraId="17A1BAAD" w14:textId="541FE2C3" w:rsidR="00135C1A" w:rsidRPr="00135C1A" w:rsidRDefault="00135C1A" w:rsidP="00072C2A">
      <w:pPr>
        <w:keepNext/>
        <w:keepLines/>
        <w:spacing w:after="0" w:line="240" w:lineRule="auto"/>
        <w:ind w:hanging="1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Vairavimas ir mechanizmų valdymas</w:t>
      </w:r>
    </w:p>
    <w:p w14:paraId="32834249" w14:textId="79DB193B"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gebėjimo vairuoti ir valdyti mechanizmus neveikia arba veikia nereikšmingai.</w:t>
      </w:r>
    </w:p>
    <w:p w14:paraId="13AABA60" w14:textId="77777777" w:rsidR="00E960D9" w:rsidRDefault="00E960D9" w:rsidP="00072C2A">
      <w:pPr>
        <w:spacing w:after="0" w:line="240" w:lineRule="auto"/>
        <w:ind w:hanging="10"/>
        <w:rPr>
          <w:rFonts w:ascii="Times New Roman" w:eastAsia="Times New Roman" w:hAnsi="Times New Roman" w:cs="Times New Roman"/>
          <w:color w:val="000000"/>
          <w:lang w:eastAsia="lt-LT"/>
        </w:rPr>
      </w:pPr>
    </w:p>
    <w:p w14:paraId="7092B046" w14:textId="6E56D15C" w:rsidR="00135C1A" w:rsidRPr="00135C1A" w:rsidRDefault="00135C1A" w:rsidP="00072C2A">
      <w:pPr>
        <w:spacing w:after="0" w:line="240" w:lineRule="auto"/>
        <w:ind w:hanging="10"/>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vartojimas derinant su vaistais, kurie vadinami sulfonilurėjos dariniais ir (arba) insulinu, gali sumažinti cukraus kiekį kraujyje (sukelti hipoglikemiją), tai gali veikti Jūsų gebėjimą vairuoti ir valdyti mechanizmus bei dirbti be saugios atramos kojoms. Todėl gali būti rekomenduojama dažniau tirtis gliukozės kiekį kraujyje, kad sumažėtų hipoglikemijos rizika, ypač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vartojant kartu su sulfonilurėjos dariniu ir (arba) insulinu.</w:t>
      </w:r>
    </w:p>
    <w:p w14:paraId="3AD59EE7" w14:textId="77777777" w:rsidR="00E960D9" w:rsidRDefault="00E960D9"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p>
    <w:p w14:paraId="3C81FFB8" w14:textId="77777777" w:rsidR="0080236D" w:rsidRDefault="0080236D"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p>
    <w:p w14:paraId="468171C1" w14:textId="17BCA369"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3.</w:t>
      </w:r>
      <w:r w:rsidRPr="00135C1A">
        <w:rPr>
          <w:rFonts w:ascii="Times New Roman" w:eastAsia="Times New Roman" w:hAnsi="Times New Roman" w:cs="Times New Roman"/>
          <w:b/>
          <w:color w:val="000000"/>
          <w:u w:color="000000"/>
          <w:lang w:eastAsia="lt-LT"/>
        </w:rPr>
        <w:tab/>
        <w:t xml:space="preserve">Kaip vartoti </w:t>
      </w:r>
      <w:r>
        <w:rPr>
          <w:rFonts w:ascii="Times New Roman" w:eastAsia="Times New Roman" w:hAnsi="Times New Roman" w:cs="Times New Roman"/>
          <w:b/>
          <w:color w:val="000000"/>
          <w:u w:color="000000"/>
          <w:lang w:eastAsia="lt-LT"/>
        </w:rPr>
        <w:t>Jeligo</w:t>
      </w:r>
    </w:p>
    <w:p w14:paraId="6B88C94F" w14:textId="77777777" w:rsidR="00072C2A" w:rsidRDefault="00072C2A" w:rsidP="00135C1A">
      <w:pPr>
        <w:spacing w:after="0" w:line="240" w:lineRule="auto"/>
        <w:rPr>
          <w:rFonts w:ascii="Times New Roman" w:eastAsia="Times New Roman" w:hAnsi="Times New Roman" w:cs="Times New Roman"/>
          <w:color w:val="000000"/>
          <w:lang w:eastAsia="lt-LT"/>
        </w:rPr>
      </w:pPr>
    </w:p>
    <w:p w14:paraId="6EF5CA8F" w14:textId="676D6A02"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Visada vartokite šį vaistą tiksliai, kaip nurodė gydytojas. Jeigu abejojate, kreipkitės į gydytoją arba vaistininką.</w:t>
      </w:r>
    </w:p>
    <w:p w14:paraId="6668BACC" w14:textId="62D4FA44"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Rekomenduojama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dozė yra viena 5 mg tabletė kartą per parą.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galite gerti su maistu arba nevalgę.</w:t>
      </w:r>
    </w:p>
    <w:p w14:paraId="5AD2FED9" w14:textId="3A730A69"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Jūsų gydytojas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gali skirti vartoti kartu su kitais geriamaisiais antidiabetiniais vaistais. Nepamirškite visus vaistus vartoti kaip nurodė gydytojas, kad gydymo rezultatai Jūsų sveikatai būtų geriausi.</w:t>
      </w:r>
    </w:p>
    <w:p w14:paraId="1ED04275" w14:textId="77777777" w:rsidR="00072C2A" w:rsidRDefault="00072C2A" w:rsidP="00135C1A">
      <w:pPr>
        <w:spacing w:after="0" w:line="240" w:lineRule="auto"/>
        <w:rPr>
          <w:rFonts w:ascii="Times New Roman" w:eastAsia="Times New Roman" w:hAnsi="Times New Roman" w:cs="Times New Roman"/>
          <w:b/>
          <w:color w:val="000000"/>
          <w:lang w:eastAsia="lt-LT"/>
        </w:rPr>
      </w:pPr>
    </w:p>
    <w:p w14:paraId="6B87A365" w14:textId="78603B4F" w:rsidR="00135C1A" w:rsidRDefault="00135C1A" w:rsidP="00135C1A">
      <w:pPr>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Ką daryti pavartojus per didelę </w:t>
      </w: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dozę</w:t>
      </w:r>
    </w:p>
    <w:p w14:paraId="4D944E5B" w14:textId="5ECCE426"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Pavartoję per didelę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dozę, nedelsdami kreipkitės į gydytoją.</w:t>
      </w:r>
    </w:p>
    <w:p w14:paraId="7AC06963" w14:textId="77777777" w:rsidR="00072C2A" w:rsidRDefault="00072C2A" w:rsidP="00135C1A">
      <w:pPr>
        <w:keepNext/>
        <w:keepLines/>
        <w:spacing w:after="0" w:line="240" w:lineRule="auto"/>
        <w:rPr>
          <w:rFonts w:ascii="Times New Roman" w:eastAsia="Times New Roman" w:hAnsi="Times New Roman" w:cs="Times New Roman"/>
          <w:b/>
          <w:color w:val="000000"/>
          <w:lang w:eastAsia="lt-LT"/>
        </w:rPr>
      </w:pPr>
    </w:p>
    <w:p w14:paraId="4D8ECBDB" w14:textId="545FD021" w:rsidR="00135C1A" w:rsidRPr="00135C1A" w:rsidRDefault="00135C1A" w:rsidP="00135C1A">
      <w:pPr>
        <w:keepNext/>
        <w:keepLines/>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Pamiršus pavartoti </w:t>
      </w:r>
      <w:r>
        <w:rPr>
          <w:rFonts w:ascii="Times New Roman" w:eastAsia="Times New Roman" w:hAnsi="Times New Roman" w:cs="Times New Roman"/>
          <w:b/>
          <w:color w:val="000000"/>
          <w:lang w:eastAsia="lt-LT"/>
        </w:rPr>
        <w:t>Jeligo</w:t>
      </w:r>
    </w:p>
    <w:p w14:paraId="7A2F5F61" w14:textId="35184CE1"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dozę išgerti pamiršote, gerkite ją tuoj pat, kai tik prisiminsite. Tačiau jeigu jau bus beveik atėjęs kitos dozės vartojimo laikas, pamirštąją dozę praleiskite.</w:t>
      </w:r>
    </w:p>
    <w:p w14:paraId="066B0FBE"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Negalima vartoti dvigubos dozės norint kompensuoti praleistą dozę. Dviejų dozių tą pačią dieną niekada nevartokite.</w:t>
      </w:r>
    </w:p>
    <w:p w14:paraId="1B1DF5DA" w14:textId="77777777" w:rsidR="00072C2A" w:rsidRDefault="00072C2A" w:rsidP="00135C1A">
      <w:pPr>
        <w:keepNext/>
        <w:keepLines/>
        <w:spacing w:after="0" w:line="240" w:lineRule="auto"/>
        <w:rPr>
          <w:rFonts w:ascii="Times New Roman" w:eastAsia="Times New Roman" w:hAnsi="Times New Roman" w:cs="Times New Roman"/>
          <w:b/>
          <w:color w:val="000000"/>
          <w:lang w:eastAsia="lt-LT"/>
        </w:rPr>
      </w:pPr>
    </w:p>
    <w:p w14:paraId="5447971B" w14:textId="06C6FE7F" w:rsidR="00135C1A" w:rsidRPr="00135C1A" w:rsidRDefault="00135C1A" w:rsidP="00135C1A">
      <w:pPr>
        <w:keepNext/>
        <w:keepLines/>
        <w:spacing w:after="0" w:line="240" w:lineRule="auto"/>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 xml:space="preserve">Nustojus vartoti </w:t>
      </w:r>
      <w:r>
        <w:rPr>
          <w:rFonts w:ascii="Times New Roman" w:eastAsia="Times New Roman" w:hAnsi="Times New Roman" w:cs="Times New Roman"/>
          <w:b/>
          <w:color w:val="000000"/>
          <w:lang w:eastAsia="lt-LT"/>
        </w:rPr>
        <w:t>Jeligo</w:t>
      </w:r>
    </w:p>
    <w:p w14:paraId="597CD1A8" w14:textId="05E1D740" w:rsidR="00135C1A" w:rsidRP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Nepasitarę su savo gydytoju,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vartojimo nenutraukite.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nutraukus, gali padidėti cukraus kiekis Jūsų kraujyje.</w:t>
      </w:r>
    </w:p>
    <w:p w14:paraId="2483F49F" w14:textId="77777777" w:rsidR="00135C1A" w:rsidRDefault="00135C1A" w:rsidP="00135C1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Jeigu kiltų daugiau klausimų dėl šio vaisto vartojimo, kreipkitės į gydytoją, vaistininką arba slaugytoją.</w:t>
      </w:r>
    </w:p>
    <w:p w14:paraId="49B61635" w14:textId="77777777" w:rsidR="00135C1A" w:rsidRDefault="00135C1A" w:rsidP="00135C1A">
      <w:pPr>
        <w:spacing w:after="0" w:line="240" w:lineRule="auto"/>
        <w:rPr>
          <w:rFonts w:ascii="Times New Roman" w:eastAsia="Times New Roman" w:hAnsi="Times New Roman" w:cs="Times New Roman"/>
          <w:color w:val="000000"/>
          <w:lang w:eastAsia="lt-LT"/>
        </w:rPr>
      </w:pPr>
    </w:p>
    <w:p w14:paraId="3D913667" w14:textId="77777777" w:rsidR="00135C1A" w:rsidRPr="00135C1A" w:rsidRDefault="00135C1A" w:rsidP="00135C1A">
      <w:pPr>
        <w:spacing w:after="0" w:line="240" w:lineRule="auto"/>
        <w:rPr>
          <w:rFonts w:ascii="Times New Roman" w:eastAsia="Times New Roman" w:hAnsi="Times New Roman" w:cs="Times New Roman"/>
          <w:color w:val="000000"/>
          <w:lang w:eastAsia="lt-LT"/>
        </w:rPr>
      </w:pPr>
    </w:p>
    <w:p w14:paraId="754C4263" w14:textId="77777777" w:rsid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4.</w:t>
      </w:r>
      <w:r w:rsidRPr="00135C1A">
        <w:rPr>
          <w:rFonts w:ascii="Times New Roman" w:eastAsia="Times New Roman" w:hAnsi="Times New Roman" w:cs="Times New Roman"/>
          <w:b/>
          <w:color w:val="000000"/>
          <w:u w:color="000000"/>
          <w:lang w:eastAsia="lt-LT"/>
        </w:rPr>
        <w:tab/>
        <w:t>Galimas šalutinis poveikis</w:t>
      </w:r>
    </w:p>
    <w:p w14:paraId="0955DEE0" w14:textId="77777777" w:rsidR="00135C1A" w:rsidRPr="00135C1A" w:rsidRDefault="00135C1A" w:rsidP="00135C1A">
      <w:pPr>
        <w:keepNext/>
        <w:keepLines/>
        <w:tabs>
          <w:tab w:val="center" w:pos="1790"/>
        </w:tabs>
        <w:spacing w:after="0" w:line="240" w:lineRule="auto"/>
        <w:outlineLvl w:val="1"/>
        <w:rPr>
          <w:rFonts w:ascii="Times New Roman" w:eastAsia="Times New Roman" w:hAnsi="Times New Roman" w:cs="Times New Roman"/>
          <w:color w:val="000000"/>
          <w:u w:val="single" w:color="000000"/>
          <w:lang w:eastAsia="lt-LT"/>
        </w:rPr>
      </w:pPr>
    </w:p>
    <w:p w14:paraId="099BCCE0" w14:textId="77777777"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Šis vaistas, kaip ir visi kiti, gali sukelti šalutinį poveikį, nors jis pasireiškia ne visiems žmonėms.</w:t>
      </w:r>
    </w:p>
    <w:p w14:paraId="164A7861" w14:textId="77777777" w:rsidR="00135C1A" w:rsidRDefault="00135C1A" w:rsidP="00135C1A">
      <w:pPr>
        <w:spacing w:after="0" w:line="240" w:lineRule="auto"/>
        <w:ind w:hanging="10"/>
        <w:rPr>
          <w:rFonts w:ascii="Times New Roman" w:eastAsia="Times New Roman" w:hAnsi="Times New Roman" w:cs="Times New Roman"/>
          <w:color w:val="000000"/>
          <w:u w:val="single" w:color="000000"/>
          <w:lang w:eastAsia="lt-LT"/>
        </w:rPr>
      </w:pPr>
    </w:p>
    <w:p w14:paraId="390F590F" w14:textId="2F5CCDA8"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color="000000"/>
          <w:lang w:eastAsia="lt-LT"/>
        </w:rPr>
        <w:t>Dėl kai kurių simptomų būtina skubi gydytojo pagalba.</w:t>
      </w:r>
    </w:p>
    <w:p w14:paraId="1CD86A52" w14:textId="673A501E"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Turite nutraukti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ir nedelsdami kreiptis į gydytoją, jeigu pasireiškė šių sumažėjusio cukraus kiekio kraujyje simptomų: drebulys, prakaitavimas, nerimas, matymas lyg per miglą, lūpų dilgčiojimas, išblyškimas, nuotaikos pokytis ar sumišimas (hipoglikemija). Hipoglikemija (dažnis: labai dažnas, gali pasireikšti </w:t>
      </w:r>
      <w:r w:rsidR="00596D74">
        <w:rPr>
          <w:rFonts w:ascii="Times New Roman" w:eastAsia="Times New Roman" w:hAnsi="Times New Roman" w:cs="Times New Roman"/>
          <w:color w:val="000000"/>
          <w:lang w:eastAsia="lt-LT"/>
        </w:rPr>
        <w:t>ne rečiau</w:t>
      </w:r>
      <w:r w:rsidRPr="00135C1A">
        <w:rPr>
          <w:rFonts w:ascii="Times New Roman" w:eastAsia="Times New Roman" w:hAnsi="Times New Roman" w:cs="Times New Roman"/>
          <w:color w:val="000000"/>
          <w:lang w:eastAsia="lt-LT"/>
        </w:rPr>
        <w:t xml:space="preserve"> kaip 1 iš 10 asmenų) yra nustatytas šalutinis poveikis, kai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vartojamas kartu su metforminu ir sulfonilurėjos dariniu.</w:t>
      </w:r>
    </w:p>
    <w:p w14:paraId="059A38E7" w14:textId="77777777" w:rsidR="00135C1A" w:rsidRDefault="00135C1A" w:rsidP="00135C1A">
      <w:pPr>
        <w:spacing w:after="0" w:line="240" w:lineRule="auto"/>
        <w:ind w:hanging="10"/>
        <w:rPr>
          <w:rFonts w:ascii="Times New Roman" w:eastAsia="Times New Roman" w:hAnsi="Times New Roman" w:cs="Times New Roman"/>
          <w:color w:val="000000"/>
          <w:lang w:eastAsia="lt-LT"/>
        </w:rPr>
      </w:pPr>
    </w:p>
    <w:p w14:paraId="35738569" w14:textId="5F1A354F"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Kai kuriems pacientams pasireiškė alerginių reakcijų (padidėjęs jautrumas; dažnis: nedažnas, gali pasireikšti rečiau kaip 1 iš 100 asmenų), vartojant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vieną arba kartu su kitais vaistais, skirtais diabetui gydyti, kurios gali būti sunkios, įskaitant švokštimą ir dusulį (padidėjęs bronchų reaktyvumas; dažnis nežinomas, negali būti apskaičiuotas pagal turimus duomenis). Kai kuriems pacientams pasireiškė išbėrimas (dažnis: nedažnas), dilgėlinė (urtikarija; dažnis: retas, gali pasireikšti rečiau kaip 1 iš 1</w:t>
      </w:r>
      <w:r w:rsidR="00596D74">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000 asmenų), veido, lūpų, liežuvio ir ryklės patinimas, galintis pasunkinti kvėpavimą ar rijimą (angioneurozinė edema; dažnis: retas). Jeigu atsiranda pirmiau minėtų negalavimo požymių,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vartojimą nutraukite ir tuoj pat k</w:t>
      </w:r>
      <w:r w:rsidR="00C225AB">
        <w:rPr>
          <w:rFonts w:ascii="Times New Roman" w:eastAsia="Times New Roman" w:hAnsi="Times New Roman" w:cs="Times New Roman"/>
          <w:color w:val="000000"/>
          <w:lang w:eastAsia="lt-LT"/>
        </w:rPr>
        <w:t>reipkitės</w:t>
      </w:r>
      <w:r w:rsidR="007C78DF">
        <w:rPr>
          <w:rFonts w:ascii="Times New Roman" w:eastAsia="Times New Roman" w:hAnsi="Times New Roman" w:cs="Times New Roman"/>
          <w:color w:val="000000"/>
          <w:lang w:eastAsia="lt-LT"/>
        </w:rPr>
        <w:t xml:space="preserve"> į</w:t>
      </w:r>
      <w:r w:rsidRPr="00135C1A">
        <w:rPr>
          <w:rFonts w:ascii="Times New Roman" w:eastAsia="Times New Roman" w:hAnsi="Times New Roman" w:cs="Times New Roman"/>
          <w:color w:val="000000"/>
          <w:lang w:eastAsia="lt-LT"/>
        </w:rPr>
        <w:t xml:space="preserve"> savo gydytoją. Jūsų gydytojas gali Jums skirti vaistą alerginei reakcijai gydyti ir kitą vaistą diabetui gydyti.</w:t>
      </w:r>
    </w:p>
    <w:p w14:paraId="09254BDC" w14:textId="77777777" w:rsidR="00135C1A" w:rsidRDefault="00135C1A" w:rsidP="00135C1A">
      <w:pPr>
        <w:spacing w:after="0" w:line="240" w:lineRule="auto"/>
        <w:ind w:hanging="10"/>
        <w:rPr>
          <w:rFonts w:ascii="Times New Roman" w:eastAsia="Times New Roman" w:hAnsi="Times New Roman" w:cs="Times New Roman"/>
          <w:color w:val="000000"/>
          <w:lang w:eastAsia="lt-LT"/>
        </w:rPr>
      </w:pPr>
    </w:p>
    <w:p w14:paraId="2BD1DAC6" w14:textId="5CCF2A71" w:rsidR="00135C1A" w:rsidRPr="00135C1A" w:rsidRDefault="00135C1A" w:rsidP="00135C1A">
      <w:pPr>
        <w:spacing w:after="0" w:line="240" w:lineRule="auto"/>
        <w:ind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Kai kuriems pacientams pasireiškė kasos uždegimas (pankreatitas; retas, gali pasireikšti rečiau kaip 1 iš 1</w:t>
      </w:r>
      <w:r w:rsidR="00596D74">
        <w:rPr>
          <w:rFonts w:ascii="Times New Roman" w:eastAsia="Times New Roman" w:hAnsi="Times New Roman" w:cs="Times New Roman"/>
          <w:color w:val="000000"/>
          <w:lang w:eastAsia="lt-LT"/>
        </w:rPr>
        <w:t> </w:t>
      </w:r>
      <w:r w:rsidRPr="00135C1A">
        <w:rPr>
          <w:rFonts w:ascii="Times New Roman" w:eastAsia="Times New Roman" w:hAnsi="Times New Roman" w:cs="Times New Roman"/>
          <w:color w:val="000000"/>
          <w:lang w:eastAsia="lt-LT"/>
        </w:rPr>
        <w:t xml:space="preserve">000 asmenų) vartojant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vieną arba kartu su kitais vaistais, skirtais diabetui gydyti. NUSTOKITE vartoję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ir nedelsdami kreipkitės į gydytoją, jei Jums pasireiškė bet kuris toliau nurodytas šalutinis poveikis:</w:t>
      </w:r>
    </w:p>
    <w:p w14:paraId="2CC2984D" w14:textId="77777777" w:rsidR="00135C1A" w:rsidRPr="00135C1A" w:rsidRDefault="00135C1A" w:rsidP="00E960D9">
      <w:pPr>
        <w:numPr>
          <w:ilvl w:val="0"/>
          <w:numId w:val="11"/>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stiprus nuolatinis pilvo skausmas (skrandžio srityje), kuris gali plisti į Jūsų nugarą, taip pat pykinimas ir vėmimas, nes tai gali būti kasos uždegimo (pankreatito) požymiai.</w:t>
      </w:r>
    </w:p>
    <w:p w14:paraId="0AB8F7B5" w14:textId="77777777" w:rsidR="00596D74" w:rsidRDefault="00596D74" w:rsidP="00E960D9">
      <w:pPr>
        <w:spacing w:after="0" w:line="240" w:lineRule="auto"/>
        <w:ind w:left="567" w:hanging="567"/>
        <w:rPr>
          <w:rFonts w:ascii="Times New Roman" w:eastAsia="Times New Roman" w:hAnsi="Times New Roman" w:cs="Times New Roman"/>
          <w:color w:val="000000"/>
          <w:lang w:eastAsia="lt-LT"/>
        </w:rPr>
      </w:pPr>
    </w:p>
    <w:p w14:paraId="7216F176" w14:textId="77777777" w:rsidR="00E960D9" w:rsidRPr="00E960D9" w:rsidRDefault="00E960D9" w:rsidP="00522F15">
      <w:pPr>
        <w:spacing w:after="0" w:line="240" w:lineRule="auto"/>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Kai kuriems pacientams, vartojantiems Jeligo vieną arba kartu su kitais vaistais, skirtais diabetui gydyti, pasireiškė toks šalutinis poveikis:</w:t>
      </w:r>
    </w:p>
    <w:p w14:paraId="753A3E9D"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Dažnas: padidėjęs lipazės aktyvumas kraujyje.</w:t>
      </w:r>
    </w:p>
    <w:p w14:paraId="56810BE3"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Nedažnas: nosies arba ryklės uždegimas (nazofaringitas), kosulys, vidurių užkietėjimas (vartojant kartu su insulinu), padidėjęs amilazės aktyvumas kraujyje.</w:t>
      </w:r>
    </w:p>
    <w:p w14:paraId="2FB1F13C" w14:textId="77777777" w:rsidR="00E960D9" w:rsidRPr="00E960D9" w:rsidRDefault="00E960D9" w:rsidP="00E960D9">
      <w:pPr>
        <w:numPr>
          <w:ilvl w:val="0"/>
          <w:numId w:val="17"/>
        </w:numPr>
        <w:spacing w:after="0" w:line="240" w:lineRule="auto"/>
        <w:ind w:left="567" w:hanging="567"/>
        <w:rPr>
          <w:rFonts w:ascii="Times New Roman" w:eastAsia="Times New Roman" w:hAnsi="Times New Roman" w:cs="Times New Roman"/>
          <w:color w:val="000000"/>
          <w:lang w:eastAsia="lt-LT"/>
        </w:rPr>
      </w:pPr>
      <w:r w:rsidRPr="00E960D9">
        <w:rPr>
          <w:rFonts w:ascii="Times New Roman" w:eastAsia="Times New Roman" w:hAnsi="Times New Roman" w:cs="Times New Roman"/>
          <w:color w:val="000000"/>
          <w:lang w:eastAsia="lt-LT"/>
        </w:rPr>
        <w:t>Retas: odos pūslėtumas (pūslinis pemfigoidas).</w:t>
      </w:r>
    </w:p>
    <w:p w14:paraId="6FBEA593" w14:textId="77777777" w:rsidR="00135C1A" w:rsidRDefault="00135C1A" w:rsidP="00135C1A">
      <w:pPr>
        <w:keepNext/>
        <w:keepLines/>
        <w:spacing w:after="0" w:line="240" w:lineRule="auto"/>
        <w:ind w:hanging="10"/>
        <w:outlineLvl w:val="0"/>
        <w:rPr>
          <w:rFonts w:ascii="Times New Roman" w:eastAsia="Times New Roman" w:hAnsi="Times New Roman" w:cs="Times New Roman"/>
          <w:b/>
          <w:color w:val="000000"/>
          <w:lang w:eastAsia="lt-LT"/>
        </w:rPr>
      </w:pPr>
    </w:p>
    <w:p w14:paraId="71B4FDAD" w14:textId="76DBF7CF" w:rsidR="00135C1A" w:rsidRPr="00135C1A" w:rsidRDefault="00135C1A" w:rsidP="00135C1A">
      <w:pPr>
        <w:keepNext/>
        <w:keepLines/>
        <w:spacing w:after="0" w:line="240" w:lineRule="auto"/>
        <w:ind w:hanging="10"/>
        <w:outlineLvl w:val="0"/>
        <w:rPr>
          <w:rFonts w:ascii="Times New Roman" w:eastAsia="Times New Roman" w:hAnsi="Times New Roman" w:cs="Times New Roman"/>
          <w:b/>
          <w:color w:val="000000"/>
          <w:lang w:eastAsia="lt-LT"/>
        </w:rPr>
      </w:pPr>
      <w:r w:rsidRPr="00135C1A">
        <w:rPr>
          <w:rFonts w:ascii="Times New Roman" w:eastAsia="Times New Roman" w:hAnsi="Times New Roman" w:cs="Times New Roman"/>
          <w:b/>
          <w:color w:val="000000"/>
          <w:lang w:eastAsia="lt-LT"/>
        </w:rPr>
        <w:t>Pranešimas apie šalutinį poveikį</w:t>
      </w:r>
    </w:p>
    <w:p w14:paraId="566DFC1D" w14:textId="79E474AD" w:rsidR="00135C1A" w:rsidRDefault="00596D74" w:rsidP="00135C1A">
      <w:pPr>
        <w:spacing w:after="5" w:line="240" w:lineRule="auto"/>
        <w:ind w:left="-5" w:hanging="10"/>
        <w:rPr>
          <w:rFonts w:ascii="Times New Roman" w:eastAsia="Times New Roman" w:hAnsi="Times New Roman" w:cs="Times New Roman"/>
          <w:color w:val="000000"/>
          <w:lang w:eastAsia="lt-LT"/>
        </w:rPr>
      </w:pPr>
      <w:r w:rsidRPr="00596D74">
        <w:rPr>
          <w:rFonts w:ascii="Times New Roman" w:eastAsia="Times New Roman" w:hAnsi="Times New Roman" w:cs="Times New Roman"/>
          <w:color w:val="000000"/>
          <w:lang w:eastAsia="lt-LT"/>
        </w:rPr>
        <w:t>Jeigu pasireiškė šalutinis poveikis, įskaitant šiame lapelyje nenurodytą, pasakykite gydytojui</w:t>
      </w:r>
      <w:r>
        <w:rPr>
          <w:rFonts w:ascii="Times New Roman" w:eastAsia="Times New Roman" w:hAnsi="Times New Roman" w:cs="Times New Roman"/>
          <w:color w:val="000000"/>
          <w:lang w:eastAsia="lt-LT"/>
        </w:rPr>
        <w:t xml:space="preserve"> </w:t>
      </w:r>
      <w:r w:rsidRPr="00596D74">
        <w:rPr>
          <w:rFonts w:ascii="Times New Roman" w:eastAsia="Times New Roman" w:hAnsi="Times New Roman" w:cs="Times New Roman"/>
          <w:color w:val="000000"/>
          <w:lang w:eastAsia="lt-LT"/>
        </w:rPr>
        <w:t xml:space="preserve">arba vaistininkui. Pranešimą apie šalutinį poveikį galite užpildyti ir pateikti Valstybinės vaistų kontrolės tarnybos prie Lietuvos Respublikos sveikatos apsaugos ministerijos tinklalapyje </w:t>
      </w:r>
      <w:hyperlink r:id="rId12" w:history="1">
        <w:r w:rsidRPr="00044F3C">
          <w:rPr>
            <w:rStyle w:val="Hipersaitas"/>
            <w:rFonts w:ascii="Times New Roman" w:eastAsia="Times New Roman" w:hAnsi="Times New Roman" w:cs="Times New Roman"/>
            <w:lang w:eastAsia="lt-LT"/>
          </w:rPr>
          <w:t>https://vvkt.lrv.lt/lt</w:t>
        </w:r>
      </w:hyperlink>
      <w:r w:rsidRPr="00596D74">
        <w:rPr>
          <w:rFonts w:ascii="Times New Roman" w:eastAsia="Times New Roman" w:hAnsi="Times New Roman" w:cs="Times New Roman"/>
          <w:color w:val="000000"/>
          <w:lang w:eastAsia="lt-LT"/>
        </w:rPr>
        <w:t>/ nurodytais būdais arba paskambinti nemokamu telefonu 8 800 73 568. Pranešdami apie šalutinį poveikį galite mums padėti gauti daugiau informacijos apie šio vaisto saugumą</w:t>
      </w:r>
    </w:p>
    <w:p w14:paraId="143557A2" w14:textId="77777777" w:rsidR="00135C1A" w:rsidRDefault="00135C1A" w:rsidP="00135C1A">
      <w:pPr>
        <w:spacing w:after="5" w:line="240" w:lineRule="auto"/>
        <w:ind w:left="-5" w:hanging="10"/>
        <w:rPr>
          <w:rFonts w:ascii="Times New Roman" w:eastAsia="Times New Roman" w:hAnsi="Times New Roman" w:cs="Times New Roman"/>
          <w:color w:val="000000"/>
          <w:lang w:eastAsia="lt-LT"/>
        </w:rPr>
      </w:pPr>
    </w:p>
    <w:p w14:paraId="4774C9C3" w14:textId="0B7BF42A" w:rsidR="00135C1A" w:rsidRPr="00135C1A" w:rsidRDefault="00135C1A" w:rsidP="00135C1A">
      <w:pPr>
        <w:spacing w:after="5" w:line="240" w:lineRule="auto"/>
        <w:ind w:left="-5" w:hanging="10"/>
        <w:rPr>
          <w:rFonts w:ascii="Times New Roman" w:eastAsia="Times New Roman" w:hAnsi="Times New Roman" w:cs="Times New Roman"/>
          <w:color w:val="000000"/>
          <w:lang w:eastAsia="lt-LT"/>
        </w:rPr>
      </w:pPr>
    </w:p>
    <w:p w14:paraId="666D17AD" w14:textId="04390092" w:rsidR="00135C1A" w:rsidRPr="00135C1A" w:rsidRDefault="00135C1A" w:rsidP="00072C2A">
      <w:pPr>
        <w:keepNext/>
        <w:keepLines/>
        <w:tabs>
          <w:tab w:val="center" w:pos="2419"/>
        </w:tabs>
        <w:spacing w:after="0" w:line="240" w:lineRule="auto"/>
        <w:ind w:left="567" w:hanging="567"/>
        <w:outlineLvl w:val="1"/>
        <w:rPr>
          <w:rFonts w:ascii="Times New Roman" w:eastAsia="Times New Roman" w:hAnsi="Times New Roman" w:cs="Times New Roman"/>
          <w:b/>
          <w:color w:val="000000"/>
          <w:u w:color="000000"/>
          <w:lang w:eastAsia="lt-LT"/>
        </w:rPr>
      </w:pPr>
      <w:r w:rsidRPr="00135C1A">
        <w:rPr>
          <w:rFonts w:ascii="Times New Roman" w:eastAsia="Times New Roman" w:hAnsi="Times New Roman" w:cs="Times New Roman"/>
          <w:b/>
          <w:color w:val="000000"/>
          <w:u w:color="000000"/>
          <w:lang w:eastAsia="lt-LT"/>
        </w:rPr>
        <w:t>5.</w:t>
      </w:r>
      <w:r w:rsidRPr="00135C1A">
        <w:rPr>
          <w:rFonts w:ascii="Times New Roman" w:eastAsia="Times New Roman" w:hAnsi="Times New Roman" w:cs="Times New Roman"/>
          <w:b/>
          <w:color w:val="000000"/>
          <w:u w:color="000000"/>
          <w:lang w:eastAsia="lt-LT"/>
        </w:rPr>
        <w:tab/>
        <w:t xml:space="preserve">Kaip laikyti </w:t>
      </w:r>
      <w:r>
        <w:rPr>
          <w:rFonts w:ascii="Times New Roman" w:eastAsia="Times New Roman" w:hAnsi="Times New Roman" w:cs="Times New Roman"/>
          <w:b/>
          <w:color w:val="000000"/>
          <w:u w:color="000000"/>
          <w:lang w:eastAsia="lt-LT"/>
        </w:rPr>
        <w:t>Jeligo</w:t>
      </w:r>
    </w:p>
    <w:p w14:paraId="2CC919C4" w14:textId="77777777" w:rsidR="00072C2A" w:rsidRDefault="00072C2A" w:rsidP="00522F15">
      <w:pPr>
        <w:spacing w:after="0" w:line="240" w:lineRule="auto"/>
        <w:rPr>
          <w:rFonts w:ascii="Times New Roman" w:eastAsia="Times New Roman" w:hAnsi="Times New Roman" w:cs="Times New Roman"/>
          <w:color w:val="000000"/>
          <w:lang w:eastAsia="lt-LT"/>
        </w:rPr>
      </w:pPr>
    </w:p>
    <w:p w14:paraId="02323FE3" w14:textId="06CE20B3" w:rsidR="00135C1A" w:rsidRPr="00135C1A" w:rsidRDefault="00135C1A"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Šį vaistą laikykite vaikams nepastebimoje ir nepasiekiamoje vietoje.</w:t>
      </w:r>
    </w:p>
    <w:p w14:paraId="59AC54DC" w14:textId="77777777" w:rsidR="00522F15" w:rsidRDefault="00522F15" w:rsidP="00135C1A">
      <w:pPr>
        <w:spacing w:after="230" w:line="240" w:lineRule="auto"/>
        <w:ind w:left="-5" w:hanging="10"/>
        <w:rPr>
          <w:rFonts w:ascii="Times New Roman" w:eastAsia="Times New Roman" w:hAnsi="Times New Roman" w:cs="Times New Roman"/>
          <w:color w:val="000000"/>
          <w:lang w:eastAsia="lt-LT"/>
        </w:rPr>
      </w:pPr>
    </w:p>
    <w:p w14:paraId="5CC99A7D" w14:textId="2457DC54"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Ant lizdinės plokštelės ir dėžutės po „EXP“ nurodytam tinkamumo laikui pasibaigus, šio vaisto vartoti negalima. Vaistas tinkamas vartoti iki paskutinės nurodyto mėnesio dienos.</w:t>
      </w:r>
    </w:p>
    <w:p w14:paraId="3D38A200" w14:textId="77777777"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Šiam vaistui specialių laikymo sąlygų nereikia.</w:t>
      </w:r>
    </w:p>
    <w:p w14:paraId="40ABBCC1" w14:textId="006EC65A" w:rsidR="00135C1A" w:rsidRPr="00135C1A" w:rsidRDefault="00135C1A" w:rsidP="00135C1A">
      <w:pPr>
        <w:spacing w:after="230" w:line="240" w:lineRule="auto"/>
        <w:ind w:left="-5" w:hanging="10"/>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Jeigu pakuotė pažeista arba yra bandymo ją atidaryti požymių, </w:t>
      </w:r>
      <w:r>
        <w:rPr>
          <w:rFonts w:ascii="Times New Roman" w:eastAsia="Times New Roman" w:hAnsi="Times New Roman" w:cs="Times New Roman"/>
          <w:color w:val="000000"/>
          <w:lang w:eastAsia="lt-LT"/>
        </w:rPr>
        <w:t>Jeligo</w:t>
      </w:r>
      <w:r w:rsidRPr="00135C1A">
        <w:rPr>
          <w:rFonts w:ascii="Times New Roman" w:eastAsia="Times New Roman" w:hAnsi="Times New Roman" w:cs="Times New Roman"/>
          <w:color w:val="000000"/>
          <w:lang w:eastAsia="lt-LT"/>
        </w:rPr>
        <w:t xml:space="preserve"> vartoti negalima.</w:t>
      </w:r>
    </w:p>
    <w:p w14:paraId="17752164" w14:textId="77777777" w:rsidR="00135C1A" w:rsidRDefault="00135C1A" w:rsidP="00072C2A">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Vaistų negalima išmesti į kanalizaciją arba su buitinėmis atliekomis. Kaip išmesti nereikalingus vaistus, klauskite vaistininko. Šios priemonės padės apsaugoti aplinką.</w:t>
      </w:r>
    </w:p>
    <w:p w14:paraId="18354C26" w14:textId="77777777" w:rsidR="00072C2A" w:rsidRDefault="00072C2A" w:rsidP="00072C2A">
      <w:pPr>
        <w:spacing w:after="0" w:line="240" w:lineRule="auto"/>
        <w:ind w:left="1298" w:hanging="1298"/>
        <w:rPr>
          <w:rFonts w:ascii="Times New Roman" w:eastAsia="Times New Roman" w:hAnsi="Times New Roman" w:cs="Times New Roman"/>
          <w:color w:val="000000"/>
          <w:lang w:eastAsia="lt-LT"/>
        </w:rPr>
      </w:pPr>
    </w:p>
    <w:p w14:paraId="19BBE242" w14:textId="77777777" w:rsidR="00522F15" w:rsidRPr="00135C1A" w:rsidRDefault="00522F15" w:rsidP="00072C2A">
      <w:pPr>
        <w:spacing w:after="0" w:line="240" w:lineRule="auto"/>
        <w:ind w:left="1298" w:hanging="1298"/>
        <w:rPr>
          <w:rFonts w:ascii="Times New Roman" w:eastAsia="Times New Roman" w:hAnsi="Times New Roman" w:cs="Times New Roman"/>
          <w:color w:val="000000"/>
          <w:lang w:eastAsia="lt-LT"/>
        </w:rPr>
      </w:pPr>
    </w:p>
    <w:p w14:paraId="038EB4AD" w14:textId="77777777" w:rsidR="00135C1A" w:rsidRPr="00135C1A" w:rsidRDefault="00135C1A" w:rsidP="00072C2A">
      <w:pPr>
        <w:tabs>
          <w:tab w:val="left" w:pos="567"/>
          <w:tab w:val="center" w:pos="2255"/>
        </w:tabs>
        <w:spacing w:after="0" w:line="240" w:lineRule="auto"/>
        <w:ind w:left="1298" w:hanging="1298"/>
        <w:rPr>
          <w:rFonts w:ascii="Times New Roman" w:eastAsia="Times New Roman" w:hAnsi="Times New Roman" w:cs="Times New Roman"/>
          <w:color w:val="000000"/>
          <w:lang w:eastAsia="lt-LT"/>
        </w:rPr>
      </w:pPr>
      <w:r w:rsidRPr="00135C1A">
        <w:rPr>
          <w:rFonts w:ascii="Times New Roman" w:eastAsia="Times New Roman" w:hAnsi="Times New Roman" w:cs="Times New Roman"/>
          <w:b/>
          <w:color w:val="000000"/>
          <w:lang w:eastAsia="lt-LT"/>
        </w:rPr>
        <w:t>6.</w:t>
      </w:r>
      <w:r w:rsidRPr="00135C1A">
        <w:rPr>
          <w:rFonts w:ascii="Times New Roman" w:eastAsia="Times New Roman" w:hAnsi="Times New Roman" w:cs="Times New Roman"/>
          <w:b/>
          <w:color w:val="000000"/>
          <w:lang w:eastAsia="lt-LT"/>
        </w:rPr>
        <w:tab/>
        <w:t>Pakuotės turinys ir kita informacija</w:t>
      </w:r>
    </w:p>
    <w:p w14:paraId="35C401DD" w14:textId="77777777" w:rsidR="00072C2A" w:rsidRDefault="00072C2A" w:rsidP="00072C2A">
      <w:pPr>
        <w:keepNext/>
        <w:keepLines/>
        <w:spacing w:after="0" w:line="240" w:lineRule="auto"/>
        <w:ind w:left="1298" w:hanging="1298"/>
        <w:outlineLvl w:val="0"/>
        <w:rPr>
          <w:rFonts w:ascii="Times New Roman" w:eastAsia="Times New Roman" w:hAnsi="Times New Roman" w:cs="Times New Roman"/>
          <w:b/>
          <w:color w:val="000000"/>
          <w:lang w:eastAsia="lt-LT"/>
        </w:rPr>
      </w:pPr>
    </w:p>
    <w:p w14:paraId="14B5FEEE" w14:textId="62FD982E" w:rsidR="00135C1A" w:rsidRPr="00135C1A" w:rsidRDefault="00135C1A" w:rsidP="00072C2A">
      <w:pPr>
        <w:keepNext/>
        <w:keepLines/>
        <w:spacing w:after="0" w:line="240" w:lineRule="auto"/>
        <w:ind w:left="1298" w:hanging="1298"/>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sudėtis</w:t>
      </w:r>
    </w:p>
    <w:p w14:paraId="2501BF23" w14:textId="77777777" w:rsidR="00135C1A" w:rsidRPr="00135C1A" w:rsidRDefault="00135C1A" w:rsidP="00522F15">
      <w:pPr>
        <w:numPr>
          <w:ilvl w:val="0"/>
          <w:numId w:val="12"/>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Veiklioji medžiaga yra linagliptinas.</w:t>
      </w:r>
    </w:p>
    <w:p w14:paraId="4F0E70EA" w14:textId="13EAB8BB" w:rsidR="00135C1A" w:rsidRP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Kiekvienoje plėvele dengtoje tabletėje yra 5 mg linagliptino.</w:t>
      </w:r>
    </w:p>
    <w:p w14:paraId="780E9A9E" w14:textId="2EBD911C" w:rsidR="00135C1A" w:rsidRPr="00135C1A" w:rsidRDefault="00135C1A" w:rsidP="00522F15">
      <w:pPr>
        <w:numPr>
          <w:ilvl w:val="0"/>
          <w:numId w:val="12"/>
        </w:numPr>
        <w:spacing w:after="0" w:line="240" w:lineRule="auto"/>
        <w:ind w:left="567" w:hanging="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Pagalbinės medžiagos yra</w:t>
      </w:r>
      <w:r w:rsidR="00C7534B">
        <w:rPr>
          <w:rFonts w:ascii="Times New Roman" w:eastAsia="Times New Roman" w:hAnsi="Times New Roman" w:cs="Times New Roman"/>
          <w:color w:val="000000"/>
          <w:lang w:eastAsia="lt-LT"/>
        </w:rPr>
        <w:t>:</w:t>
      </w:r>
    </w:p>
    <w:p w14:paraId="634EA8E4" w14:textId="573FC1F2" w:rsidR="00135C1A" w:rsidRP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lang w:eastAsia="lt-LT"/>
        </w:rPr>
        <w:t>Tabletės šerdis</w:t>
      </w:r>
      <w:r w:rsidRPr="00135C1A">
        <w:rPr>
          <w:rFonts w:ascii="Times New Roman" w:eastAsia="Times New Roman" w:hAnsi="Times New Roman" w:cs="Times New Roman"/>
          <w:color w:val="000000"/>
          <w:lang w:eastAsia="lt-LT"/>
        </w:rPr>
        <w:t xml:space="preserve">: manitolis, pregelifikuotas </w:t>
      </w:r>
      <w:r w:rsidR="00981CF1">
        <w:rPr>
          <w:rFonts w:ascii="Times New Roman" w:eastAsia="Times New Roman" w:hAnsi="Times New Roman" w:cs="Times New Roman"/>
          <w:color w:val="000000"/>
          <w:lang w:eastAsia="lt-LT"/>
        </w:rPr>
        <w:t xml:space="preserve">kukurūzų </w:t>
      </w:r>
      <w:r w:rsidRPr="00135C1A">
        <w:rPr>
          <w:rFonts w:ascii="Times New Roman" w:eastAsia="Times New Roman" w:hAnsi="Times New Roman" w:cs="Times New Roman"/>
          <w:color w:val="000000"/>
          <w:lang w:eastAsia="lt-LT"/>
        </w:rPr>
        <w:t xml:space="preserve">krakmolas, </w:t>
      </w:r>
      <w:r w:rsidR="00C7534B" w:rsidRPr="00135C1A">
        <w:rPr>
          <w:rFonts w:ascii="Times New Roman" w:eastAsia="Times New Roman" w:hAnsi="Times New Roman" w:cs="Times New Roman"/>
          <w:color w:val="000000"/>
          <w:lang w:eastAsia="lt-LT"/>
        </w:rPr>
        <w:t xml:space="preserve">povidonas </w:t>
      </w:r>
      <w:r w:rsidR="00C7534B">
        <w:rPr>
          <w:rFonts w:ascii="Times New Roman" w:eastAsia="Times New Roman" w:hAnsi="Times New Roman" w:cs="Times New Roman"/>
          <w:color w:val="000000"/>
          <w:lang w:eastAsia="lt-LT"/>
        </w:rPr>
        <w:t xml:space="preserve">K30, </w:t>
      </w:r>
      <w:r w:rsidRPr="00135C1A">
        <w:rPr>
          <w:rFonts w:ascii="Times New Roman" w:eastAsia="Times New Roman" w:hAnsi="Times New Roman" w:cs="Times New Roman"/>
          <w:color w:val="000000"/>
          <w:lang w:eastAsia="lt-LT"/>
        </w:rPr>
        <w:t>kukurūzų krakmolas, magnio stearatas</w:t>
      </w:r>
    </w:p>
    <w:p w14:paraId="5BB218A8" w14:textId="1EA2FE1D" w:rsidR="00135C1A" w:rsidRDefault="00135C1A" w:rsidP="00522F15">
      <w:pPr>
        <w:spacing w:after="0" w:line="240" w:lineRule="auto"/>
        <w:ind w:left="567"/>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u w:val="single"/>
          <w:lang w:eastAsia="lt-LT"/>
        </w:rPr>
        <w:t>Tabletės plėvelė:</w:t>
      </w:r>
      <w:r w:rsidRPr="00135C1A">
        <w:rPr>
          <w:rFonts w:ascii="Times New Roman" w:eastAsia="Times New Roman" w:hAnsi="Times New Roman" w:cs="Times New Roman"/>
          <w:color w:val="000000"/>
          <w:lang w:eastAsia="lt-LT"/>
        </w:rPr>
        <w:t xml:space="preserve"> hipromeliozė, titano dioksidas (E171), makrogolis (</w:t>
      </w:r>
      <w:r w:rsidR="00522F15">
        <w:rPr>
          <w:rFonts w:ascii="Times New Roman" w:eastAsia="Times New Roman" w:hAnsi="Times New Roman" w:cs="Times New Roman"/>
          <w:color w:val="000000"/>
          <w:lang w:eastAsia="lt-LT"/>
        </w:rPr>
        <w:t>4</w:t>
      </w:r>
      <w:r w:rsidRPr="00135C1A">
        <w:rPr>
          <w:rFonts w:ascii="Times New Roman" w:eastAsia="Times New Roman" w:hAnsi="Times New Roman" w:cs="Times New Roman"/>
          <w:color w:val="000000"/>
          <w:lang w:eastAsia="lt-LT"/>
        </w:rPr>
        <w:t>00)</w:t>
      </w:r>
      <w:r w:rsidR="00C7534B">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xml:space="preserve"> raudonasis geležies oksidas (E172)</w:t>
      </w:r>
      <w:r w:rsidR="00522F15">
        <w:rPr>
          <w:rFonts w:ascii="Times New Roman" w:eastAsia="Times New Roman" w:hAnsi="Times New Roman" w:cs="Times New Roman"/>
          <w:color w:val="000000"/>
          <w:lang w:eastAsia="lt-LT"/>
        </w:rPr>
        <w:t>.</w:t>
      </w:r>
    </w:p>
    <w:p w14:paraId="42667238" w14:textId="77777777" w:rsidR="00522F15" w:rsidRPr="00135C1A" w:rsidRDefault="00522F15" w:rsidP="00522F15">
      <w:pPr>
        <w:spacing w:after="0" w:line="240" w:lineRule="auto"/>
        <w:ind w:left="567"/>
        <w:rPr>
          <w:rFonts w:ascii="Times New Roman" w:eastAsia="Times New Roman" w:hAnsi="Times New Roman" w:cs="Times New Roman"/>
          <w:color w:val="000000"/>
          <w:lang w:eastAsia="lt-LT"/>
        </w:rPr>
      </w:pPr>
    </w:p>
    <w:p w14:paraId="5A68B919" w14:textId="7A59AA83" w:rsidR="00135C1A" w:rsidRPr="00135C1A" w:rsidRDefault="00135C1A" w:rsidP="00135C1A">
      <w:pPr>
        <w:keepNext/>
        <w:keepLines/>
        <w:spacing w:after="25" w:line="240" w:lineRule="auto"/>
        <w:ind w:left="-5"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Jeligo</w:t>
      </w:r>
      <w:r w:rsidRPr="00135C1A">
        <w:rPr>
          <w:rFonts w:ascii="Times New Roman" w:eastAsia="Times New Roman" w:hAnsi="Times New Roman" w:cs="Times New Roman"/>
          <w:b/>
          <w:color w:val="000000"/>
          <w:lang w:eastAsia="lt-LT"/>
        </w:rPr>
        <w:t xml:space="preserve"> išvaizda ir kiekis pakuotėje</w:t>
      </w:r>
    </w:p>
    <w:p w14:paraId="639755FB" w14:textId="53B659A3" w:rsidR="00981CF1" w:rsidRPr="00981CF1" w:rsidRDefault="00522F15" w:rsidP="00981CF1">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Jeligo 5 mg plėvele dengtos tabletės yra r</w:t>
      </w:r>
      <w:r w:rsidR="00981CF1" w:rsidRPr="00981CF1">
        <w:rPr>
          <w:rFonts w:ascii="Times New Roman" w:eastAsia="Times New Roman" w:hAnsi="Times New Roman" w:cs="Times New Roman"/>
          <w:color w:val="000000"/>
          <w:lang w:eastAsia="lt-LT"/>
        </w:rPr>
        <w:t>audonos, apvalios, abipus išgaubtos plėvele dengtos tabletės, kurių skersmuo 8,1 mm, vienoje pusėje yra įspaudas „5“, kita pusė lygi.</w:t>
      </w:r>
    </w:p>
    <w:p w14:paraId="498CD483"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60C7DE9F" w14:textId="2CE43332" w:rsidR="00522F15" w:rsidRPr="00135C1A" w:rsidRDefault="00522F15"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oPA/Al/PVC/Aliuminio lizdinės plokštelės. Kartono dėžutėje yra 30 plėvele dengtų tablečių.</w:t>
      </w:r>
    </w:p>
    <w:p w14:paraId="2E5078F8"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022B8A76" w14:textId="603D823B" w:rsidR="00794080" w:rsidRDefault="00522F15" w:rsidP="00522F15">
      <w:pPr>
        <w:spacing w:after="0" w:line="240" w:lineRule="auto"/>
        <w:rPr>
          <w:rFonts w:ascii="Times New Roman" w:eastAsia="Times New Roman" w:hAnsi="Times New Roman" w:cs="Times New Roman"/>
          <w:color w:val="000000"/>
          <w:lang w:eastAsia="lt-LT"/>
        </w:rPr>
      </w:pPr>
      <w:r w:rsidRPr="00135C1A">
        <w:rPr>
          <w:rFonts w:ascii="Times New Roman" w:eastAsia="Times New Roman" w:hAnsi="Times New Roman" w:cs="Times New Roman"/>
          <w:color w:val="000000"/>
          <w:lang w:eastAsia="lt-LT"/>
        </w:rPr>
        <w:t xml:space="preserve">Gali būti tiekiamos </w:t>
      </w:r>
      <w:r w:rsidRPr="0082730B">
        <w:rPr>
          <w:rFonts w:ascii="Times New Roman" w:eastAsia="Times New Roman" w:hAnsi="Times New Roman" w:cs="Times New Roman"/>
          <w:color w:val="000000"/>
          <w:lang w:eastAsia="lt-LT"/>
        </w:rPr>
        <w:t>30</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w:t>
      </w:r>
      <w:r w:rsidRPr="00135C1A">
        <w:rPr>
          <w:rFonts w:ascii="Times New Roman" w:eastAsia="Times New Roman" w:hAnsi="Times New Roman" w:cs="Times New Roman"/>
          <w:color w:val="000000"/>
          <w:lang w:eastAsia="lt-LT"/>
        </w:rPr>
        <w:t> </w:t>
      </w:r>
      <w:r w:rsidRPr="0082730B">
        <w:rPr>
          <w:rFonts w:ascii="Times New Roman" w:eastAsia="Times New Roman" w:hAnsi="Times New Roman" w:cs="Times New Roman"/>
          <w:color w:val="000000"/>
          <w:lang w:eastAsia="lt-LT"/>
        </w:rPr>
        <w:t>1</w:t>
      </w:r>
      <w:r w:rsidRPr="00135C1A">
        <w:rPr>
          <w:rFonts w:ascii="Times New Roman" w:eastAsia="Times New Roman" w:hAnsi="Times New Roman" w:cs="Times New Roman"/>
          <w:color w:val="000000"/>
          <w:lang w:eastAsia="lt-LT"/>
        </w:rPr>
        <w:t xml:space="preserve"> </w:t>
      </w:r>
      <w:r w:rsidRPr="0082730B">
        <w:rPr>
          <w:rFonts w:ascii="Times New Roman" w:eastAsia="Times New Roman" w:hAnsi="Times New Roman" w:cs="Times New Roman"/>
          <w:color w:val="000000"/>
          <w:lang w:eastAsia="lt-LT"/>
        </w:rPr>
        <w:t>dalomosios lizdinės plokštelės</w:t>
      </w:r>
      <w:r w:rsidRPr="00135C1A">
        <w:rPr>
          <w:rFonts w:ascii="Times New Roman" w:eastAsia="Times New Roman" w:hAnsi="Times New Roman" w:cs="Times New Roman"/>
          <w:color w:val="000000"/>
          <w:lang w:eastAsia="lt-LT"/>
        </w:rPr>
        <w:t xml:space="preserve"> dėžut</w:t>
      </w:r>
      <w:bookmarkStart w:id="2" w:name="_GoBack"/>
      <w:bookmarkEnd w:id="2"/>
      <w:r w:rsidRPr="0082730B">
        <w:rPr>
          <w:rFonts w:ascii="Times New Roman" w:eastAsia="Times New Roman" w:hAnsi="Times New Roman" w:cs="Times New Roman"/>
          <w:color w:val="000000"/>
          <w:lang w:eastAsia="lt-LT"/>
        </w:rPr>
        <w:t>ėse</w:t>
      </w:r>
      <w:r w:rsidR="00E24322">
        <w:rPr>
          <w:rFonts w:ascii="Times New Roman" w:eastAsia="Times New Roman" w:hAnsi="Times New Roman" w:cs="Times New Roman"/>
          <w:color w:val="000000"/>
          <w:lang w:eastAsia="lt-LT"/>
        </w:rPr>
        <w:t>.</w:t>
      </w:r>
    </w:p>
    <w:p w14:paraId="235C898E" w14:textId="77777777" w:rsidR="00E24322" w:rsidRDefault="00E24322" w:rsidP="00522F15">
      <w:pPr>
        <w:spacing w:after="0" w:line="240" w:lineRule="auto"/>
        <w:rPr>
          <w:rFonts w:ascii="Times New Roman" w:eastAsia="Times New Roman" w:hAnsi="Times New Roman" w:cs="Times New Roman"/>
          <w:color w:val="000000"/>
          <w:lang w:eastAsia="lt-LT"/>
        </w:rPr>
      </w:pPr>
    </w:p>
    <w:p w14:paraId="47C652A4" w14:textId="01A8D8BC" w:rsidR="00E24322" w:rsidRPr="00E24322" w:rsidRDefault="00E24322" w:rsidP="00E24322">
      <w:pPr>
        <w:keepNext/>
        <w:tabs>
          <w:tab w:val="left" w:pos="567"/>
        </w:tabs>
        <w:spacing w:after="0" w:line="260" w:lineRule="exact"/>
        <w:jc w:val="both"/>
        <w:outlineLvl w:val="3"/>
        <w:rPr>
          <w:rFonts w:ascii="Times New Roman" w:eastAsia="Times New Roman" w:hAnsi="Times New Roman" w:cs="Times New Roman"/>
          <w:b/>
          <w:bCs/>
          <w:kern w:val="0"/>
          <w:lang w:eastAsia="x-none"/>
          <w14:ligatures w14:val="none"/>
        </w:rPr>
      </w:pPr>
      <w:r w:rsidRPr="00E24322">
        <w:rPr>
          <w:rFonts w:ascii="Times New Roman" w:eastAsia="Times New Roman" w:hAnsi="Times New Roman" w:cs="Times New Roman"/>
          <w:b/>
          <w:bCs/>
          <w:kern w:val="0"/>
          <w:lang w:eastAsia="x-none"/>
          <w14:ligatures w14:val="none"/>
        </w:rPr>
        <w:t xml:space="preserve">Registruotojas </w:t>
      </w:r>
    </w:p>
    <w:p w14:paraId="3FA7D8EA" w14:textId="77777777" w:rsidR="00E24322" w:rsidRPr="00794080" w:rsidRDefault="00E24322" w:rsidP="00E24322">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Egis Pharmaceuticals PLC</w:t>
      </w:r>
    </w:p>
    <w:p w14:paraId="25396D7D" w14:textId="77777777" w:rsidR="00E24322" w:rsidRPr="00794080" w:rsidRDefault="00E24322" w:rsidP="00E24322">
      <w:pPr>
        <w:spacing w:after="0" w:line="240" w:lineRule="auto"/>
        <w:rPr>
          <w:rFonts w:ascii="Times New Roman" w:eastAsia="Times New Roman" w:hAnsi="Times New Roman" w:cs="Times New Roman"/>
          <w:color w:val="000000"/>
          <w:lang w:eastAsia="lt-LT"/>
        </w:rPr>
      </w:pPr>
      <w:r w:rsidRPr="00794080">
        <w:rPr>
          <w:rFonts w:ascii="Times New Roman" w:eastAsia="Times New Roman" w:hAnsi="Times New Roman" w:cs="Times New Roman"/>
          <w:color w:val="000000"/>
          <w:lang w:eastAsia="lt-LT"/>
        </w:rPr>
        <w:t>1106 Budapest, Keresztúri út 30-38</w:t>
      </w:r>
    </w:p>
    <w:p w14:paraId="68A581DF" w14:textId="272A1E24" w:rsidR="00E24322" w:rsidRPr="00E24322" w:rsidRDefault="00E24322" w:rsidP="00E24322">
      <w:pPr>
        <w:spacing w:after="0" w:line="240" w:lineRule="auto"/>
        <w:rPr>
          <w:rFonts w:ascii="Times New Roman" w:eastAsia="Times New Roman" w:hAnsi="Times New Roman" w:cs="Times New Roman"/>
          <w:kern w:val="0"/>
          <w14:ligatures w14:val="none"/>
        </w:rPr>
      </w:pPr>
      <w:r w:rsidRPr="00135C1A">
        <w:rPr>
          <w:rFonts w:ascii="Times New Roman" w:eastAsia="Times New Roman" w:hAnsi="Times New Roman" w:cs="Times New Roman"/>
          <w:color w:val="000000"/>
          <w:lang w:eastAsia="lt-LT"/>
        </w:rPr>
        <w:t>Vengrija</w:t>
      </w:r>
    </w:p>
    <w:p w14:paraId="30742B4B" w14:textId="77777777" w:rsidR="00E24322" w:rsidRDefault="00E24322"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26668145" w14:textId="1EE79589"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Gamintojas</w:t>
      </w:r>
    </w:p>
    <w:p w14:paraId="09712F48"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Genepharm S.A.</w:t>
      </w:r>
    </w:p>
    <w:p w14:paraId="562F828B" w14:textId="77777777" w:rsidR="00C7534B" w:rsidRP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18th Km Marathonos Avenue</w:t>
      </w:r>
    </w:p>
    <w:p w14:paraId="77B000D5" w14:textId="77777777" w:rsidR="00C7534B" w:rsidRDefault="00C7534B" w:rsidP="00C7534B">
      <w:pPr>
        <w:spacing w:after="0" w:line="240" w:lineRule="auto"/>
        <w:rPr>
          <w:rFonts w:ascii="Times New Roman" w:eastAsia="Times New Roman" w:hAnsi="Times New Roman" w:cs="Times New Roman"/>
          <w:color w:val="000000"/>
          <w:lang w:eastAsia="lt-LT"/>
        </w:rPr>
      </w:pPr>
      <w:r w:rsidRPr="00C7534B">
        <w:rPr>
          <w:rFonts w:ascii="Times New Roman" w:eastAsia="Times New Roman" w:hAnsi="Times New Roman" w:cs="Times New Roman"/>
          <w:color w:val="000000"/>
          <w:lang w:eastAsia="lt-LT"/>
        </w:rPr>
        <w:t>153 51 Pallini</w:t>
      </w:r>
    </w:p>
    <w:p w14:paraId="361CF2A0" w14:textId="77777777" w:rsidR="00C7534B" w:rsidRPr="00794080" w:rsidRDefault="00C7534B" w:rsidP="00C7534B">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Graikija</w:t>
      </w:r>
    </w:p>
    <w:p w14:paraId="51461A71" w14:textId="77777777"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577F4774" w14:textId="77777777" w:rsidR="00C7534B" w:rsidRDefault="00C7534B"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13D6ED35"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 xml:space="preserve">Jeigu apie šį vaistą norite sužinoti daugiau, kreipkitės į vietinį registruotojo atstovą: </w:t>
      </w:r>
    </w:p>
    <w:p w14:paraId="3756CAFE"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p>
    <w:p w14:paraId="17B65538" w14:textId="77777777"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Egis Pharmaceuticals PLC atstovybė</w:t>
      </w:r>
    </w:p>
    <w:p w14:paraId="1834FB3C" w14:textId="48F00688" w:rsidR="00C7534B" w:rsidRPr="00C7534B" w:rsidRDefault="00C7534B" w:rsidP="00C7534B">
      <w:pPr>
        <w:numPr>
          <w:ilvl w:val="12"/>
          <w:numId w:val="0"/>
        </w:numPr>
        <w:tabs>
          <w:tab w:val="left" w:pos="567"/>
        </w:tabs>
        <w:spacing w:after="0" w:line="260" w:lineRule="exact"/>
        <w:ind w:right="-2"/>
        <w:rPr>
          <w:rFonts w:ascii="Times New Roman" w:eastAsia="Times New Roman" w:hAnsi="Times New Roman" w:cs="Times New Roman"/>
          <w:bCs/>
          <w:kern w:val="0"/>
          <w14:ligatures w14:val="none"/>
        </w:rPr>
      </w:pPr>
      <w:r w:rsidRPr="00C7534B">
        <w:rPr>
          <w:rFonts w:ascii="Times New Roman" w:eastAsia="Times New Roman" w:hAnsi="Times New Roman" w:cs="Times New Roman"/>
          <w:bCs/>
          <w:kern w:val="0"/>
          <w14:ligatures w14:val="none"/>
        </w:rPr>
        <w:t>Tel. (8 5) 231 4658</w:t>
      </w:r>
    </w:p>
    <w:p w14:paraId="20771844" w14:textId="77777777" w:rsidR="00C7534B" w:rsidRPr="00E24322" w:rsidRDefault="00C7534B" w:rsidP="00C7534B">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p>
    <w:p w14:paraId="73ADA992" w14:textId="77777777" w:rsidR="00E24322" w:rsidRPr="00E24322" w:rsidRDefault="00E24322" w:rsidP="00E24322">
      <w:pPr>
        <w:numPr>
          <w:ilvl w:val="12"/>
          <w:numId w:val="0"/>
        </w:numPr>
        <w:tabs>
          <w:tab w:val="left" w:pos="567"/>
        </w:tabs>
        <w:spacing w:after="0" w:line="260" w:lineRule="exact"/>
        <w:ind w:right="-2"/>
        <w:rPr>
          <w:rFonts w:ascii="Times New Roman" w:eastAsia="Times New Roman" w:hAnsi="Times New Roman" w:cs="Times New Roman"/>
          <w:b/>
          <w:kern w:val="0"/>
          <w14:ligatures w14:val="none"/>
        </w:rPr>
      </w:pPr>
      <w:r w:rsidRPr="00E24322">
        <w:rPr>
          <w:rFonts w:ascii="Times New Roman" w:eastAsia="Times New Roman" w:hAnsi="Times New Roman" w:cs="Times New Roman"/>
          <w:b/>
          <w:kern w:val="0"/>
          <w14:ligatures w14:val="none"/>
        </w:rPr>
        <w:t>Šis vaistas Europos ekonominės erdvės valstybėse narėse registruotas tokiais pavadinimais:</w:t>
      </w:r>
    </w:p>
    <w:p w14:paraId="5CE1D427" w14:textId="1CE8C81E"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Pr>
          <w:rFonts w:ascii="Times New Roman" w:eastAsia="Times New Roman" w:hAnsi="Times New Roman" w:cs="Times New Roman"/>
          <w:color w:val="000000"/>
          <w:szCs w:val="24"/>
          <w:lang w:eastAsia="lt-LT"/>
        </w:rPr>
        <w:t>Lietuva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t>Jeligo 5 mg plėvele dengtos tabletės</w:t>
      </w:r>
    </w:p>
    <w:p w14:paraId="67907AED" w14:textId="4B89AD3D"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Pr>
          <w:rFonts w:ascii="Times New Roman" w:eastAsia="Times New Roman" w:hAnsi="Times New Roman" w:cs="Times New Roman"/>
          <w:color w:val="000000"/>
          <w:szCs w:val="24"/>
          <w:lang w:eastAsia="lt-LT"/>
        </w:rPr>
        <w:t>Čekija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32963D77" w14:textId="0C366351"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 xml:space="preserve">Vengrija </w:t>
      </w:r>
      <w:r w:rsidRPr="00E24322">
        <w:rPr>
          <w:rFonts w:ascii="Times New Roman" w:eastAsia="Times New Roman" w:hAnsi="Times New Roman" w:cs="Times New Roman"/>
          <w:color w:val="000000"/>
          <w:szCs w:val="24"/>
          <w:lang w:eastAsia="lt-LT"/>
        </w:rPr>
        <w:tab/>
        <w:t>Jeligo 5 mg filmtabletta</w:t>
      </w:r>
    </w:p>
    <w:p w14:paraId="2CC8D0E8" w14:textId="1211A368"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L</w:t>
      </w:r>
      <w:r>
        <w:rPr>
          <w:rFonts w:ascii="Times New Roman" w:eastAsia="Times New Roman" w:hAnsi="Times New Roman" w:cs="Times New Roman"/>
          <w:color w:val="000000"/>
          <w:szCs w:val="24"/>
          <w:lang w:eastAsia="lt-LT"/>
        </w:rPr>
        <w:t>enkija</w:t>
      </w:r>
      <w:r w:rsidRPr="00E24322">
        <w:rPr>
          <w:rFonts w:ascii="Times New Roman" w:eastAsia="Times New Roman" w:hAnsi="Times New Roman" w:cs="Times New Roman"/>
          <w:color w:val="000000"/>
          <w:szCs w:val="24"/>
          <w:lang w:eastAsia="lt-LT"/>
        </w:rPr>
        <w:t xml:space="preserve">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2F0322F5" w14:textId="77225A2D" w:rsidR="00E24322" w:rsidRPr="00E24322" w:rsidRDefault="00E24322" w:rsidP="00E24322">
      <w:pPr>
        <w:spacing w:after="5" w:line="265" w:lineRule="auto"/>
        <w:ind w:left="10" w:hanging="10"/>
        <w:rPr>
          <w:rFonts w:ascii="Times New Roman" w:eastAsia="Times New Roman" w:hAnsi="Times New Roman" w:cs="Times New Roman"/>
          <w:noProof/>
          <w:color w:val="000000"/>
          <w:szCs w:val="20"/>
          <w:lang w:eastAsia="lt-LT"/>
        </w:rPr>
      </w:pPr>
      <w:r w:rsidRPr="00E24322">
        <w:rPr>
          <w:rFonts w:ascii="Times New Roman" w:eastAsia="Times New Roman" w:hAnsi="Times New Roman" w:cs="Times New Roman"/>
          <w:color w:val="000000"/>
          <w:szCs w:val="24"/>
          <w:lang w:eastAsia="lt-LT"/>
        </w:rPr>
        <w:t>Rumunija</w:t>
      </w:r>
      <w:r w:rsidRPr="00E24322">
        <w:rPr>
          <w:rFonts w:ascii="Times New Roman" w:eastAsia="Times New Roman" w:hAnsi="Times New Roman" w:cs="Times New Roman"/>
          <w:color w:val="000000"/>
          <w:szCs w:val="24"/>
          <w:lang w:eastAsia="lt-LT"/>
        </w:rPr>
        <w:tab/>
        <w:t>Jeligo 5 mg comprimate filmate</w:t>
      </w:r>
    </w:p>
    <w:p w14:paraId="2660E034" w14:textId="590B09A6" w:rsidR="00E24322" w:rsidRPr="00E24322" w:rsidRDefault="00E24322" w:rsidP="00E24322">
      <w:pPr>
        <w:spacing w:after="5" w:line="265" w:lineRule="auto"/>
        <w:ind w:left="10" w:hanging="10"/>
        <w:rPr>
          <w:rFonts w:ascii="Times New Roman" w:eastAsia="Times New Roman" w:hAnsi="Times New Roman" w:cs="Times New Roman"/>
          <w:color w:val="000000"/>
          <w:szCs w:val="24"/>
          <w:lang w:eastAsia="lt-LT"/>
        </w:rPr>
      </w:pPr>
      <w:r w:rsidRPr="00E24322">
        <w:rPr>
          <w:rFonts w:ascii="Times New Roman" w:eastAsia="Times New Roman" w:hAnsi="Times New Roman" w:cs="Times New Roman"/>
          <w:color w:val="000000"/>
          <w:szCs w:val="24"/>
          <w:lang w:eastAsia="lt-LT"/>
        </w:rPr>
        <w:t xml:space="preserve">Slovakija </w:t>
      </w:r>
      <w:r w:rsidRPr="00E24322">
        <w:rPr>
          <w:rFonts w:ascii="Times New Roman" w:eastAsia="Times New Roman" w:hAnsi="Times New Roman" w:cs="Times New Roman"/>
          <w:color w:val="000000"/>
          <w:szCs w:val="24"/>
          <w:lang w:eastAsia="lt-LT"/>
        </w:rPr>
        <w:tab/>
      </w:r>
      <w:r>
        <w:rPr>
          <w:rFonts w:ascii="Times New Roman" w:eastAsia="Times New Roman" w:hAnsi="Times New Roman" w:cs="Times New Roman"/>
          <w:color w:val="000000"/>
          <w:szCs w:val="24"/>
          <w:lang w:eastAsia="lt-LT"/>
        </w:rPr>
        <w:t>Jeligo</w:t>
      </w:r>
    </w:p>
    <w:p w14:paraId="4121AE7B" w14:textId="77777777" w:rsidR="00E24322" w:rsidRPr="00E24322" w:rsidRDefault="00E24322" w:rsidP="00E24322">
      <w:pPr>
        <w:numPr>
          <w:ilvl w:val="12"/>
          <w:numId w:val="0"/>
        </w:numPr>
        <w:spacing w:after="0" w:line="240" w:lineRule="auto"/>
        <w:ind w:right="-2"/>
        <w:rPr>
          <w:rFonts w:ascii="Times New Roman" w:eastAsia="Times New Roman" w:hAnsi="Times New Roman" w:cs="Times New Roman"/>
          <w:b/>
          <w:kern w:val="0"/>
          <w14:ligatures w14:val="none"/>
        </w:rPr>
      </w:pPr>
    </w:p>
    <w:p w14:paraId="442F880A" w14:textId="152B69A3" w:rsidR="00E24322" w:rsidRPr="00E24322" w:rsidRDefault="00E24322" w:rsidP="00E24322">
      <w:pPr>
        <w:numPr>
          <w:ilvl w:val="12"/>
          <w:numId w:val="0"/>
        </w:numPr>
        <w:spacing w:after="0" w:line="240" w:lineRule="auto"/>
        <w:ind w:right="-2"/>
        <w:rPr>
          <w:rFonts w:ascii="Times New Roman" w:eastAsia="Times New Roman" w:hAnsi="Times New Roman" w:cs="Times New Roman"/>
          <w:kern w:val="0"/>
          <w14:ligatures w14:val="none"/>
        </w:rPr>
      </w:pPr>
      <w:r w:rsidRPr="00E24322">
        <w:rPr>
          <w:rFonts w:ascii="Times New Roman" w:eastAsia="Times New Roman" w:hAnsi="Times New Roman" w:cs="Times New Roman"/>
          <w:b/>
          <w:kern w:val="0"/>
          <w14:ligatures w14:val="none"/>
        </w:rPr>
        <w:t>Šis pakuotės lapelis paskutinį kartą peržiūrėtas</w:t>
      </w:r>
      <w:r w:rsidR="00D90C35">
        <w:rPr>
          <w:rFonts w:ascii="Times New Roman" w:eastAsia="Times New Roman" w:hAnsi="Times New Roman" w:cs="Times New Roman"/>
          <w:b/>
          <w:kern w:val="0"/>
          <w14:ligatures w14:val="none"/>
        </w:rPr>
        <w:t xml:space="preserve"> 2024-09-25.</w:t>
      </w:r>
    </w:p>
    <w:p w14:paraId="6E82BBED" w14:textId="77777777" w:rsidR="00E24322" w:rsidRPr="00E24322" w:rsidRDefault="00E24322" w:rsidP="00E24322">
      <w:pPr>
        <w:numPr>
          <w:ilvl w:val="12"/>
          <w:numId w:val="0"/>
        </w:numPr>
        <w:spacing w:after="0" w:line="240" w:lineRule="auto"/>
        <w:ind w:right="-2"/>
        <w:rPr>
          <w:rFonts w:ascii="Times New Roman" w:eastAsia="Times New Roman" w:hAnsi="Times New Roman" w:cs="Times New Roman"/>
          <w:b/>
          <w:kern w:val="0"/>
          <w14:ligatures w14:val="none"/>
        </w:rPr>
      </w:pPr>
    </w:p>
    <w:p w14:paraId="28705A33" w14:textId="5186E3C6" w:rsidR="00E24322" w:rsidRPr="00E24322" w:rsidRDefault="00E24322" w:rsidP="00E24322">
      <w:pPr>
        <w:numPr>
          <w:ilvl w:val="12"/>
          <w:numId w:val="0"/>
        </w:numPr>
        <w:tabs>
          <w:tab w:val="left" w:pos="567"/>
        </w:tabs>
        <w:spacing w:after="0" w:line="240" w:lineRule="auto"/>
        <w:ind w:right="-2"/>
        <w:rPr>
          <w:rFonts w:ascii="Times New Roman" w:eastAsia="SimSun" w:hAnsi="Times New Roman" w:cs="Times New Roman"/>
          <w:color w:val="0000FF"/>
          <w:kern w:val="0"/>
          <w:u w:val="single"/>
          <w14:ligatures w14:val="none"/>
        </w:rPr>
      </w:pPr>
      <w:r w:rsidRPr="00E24322">
        <w:rPr>
          <w:rFonts w:ascii="Times New Roman" w:eastAsia="Times New Roman" w:hAnsi="Times New Roman" w:cs="Times New Roman"/>
          <w:kern w:val="0"/>
          <w14:ligatures w14:val="none"/>
        </w:rPr>
        <w:t>Išsami informacija apie šį vaistą pateikiama Valstybinės vaistų kontrolės tarnybos prie Lietuvos Respublikos sveikatos apsaugos ministerijos tinklalapyje</w:t>
      </w:r>
      <w:r w:rsidRPr="00E24322">
        <w:rPr>
          <w:rFonts w:ascii="Times New Roman" w:eastAsia="Times New Roman" w:hAnsi="Times New Roman" w:cs="Times New Roman"/>
          <w:i/>
          <w:kern w:val="0"/>
          <w14:ligatures w14:val="none"/>
        </w:rPr>
        <w:t xml:space="preserve"> </w:t>
      </w:r>
      <w:hyperlink r:id="rId13" w:history="1">
        <w:r w:rsidRPr="00044F3C">
          <w:rPr>
            <w:rStyle w:val="Hipersaitas"/>
            <w:rFonts w:ascii="Times New Roman" w:eastAsia="Times New Roman" w:hAnsi="Times New Roman" w:cs="Times New Roman"/>
            <w:lang w:eastAsia="lt-LT"/>
          </w:rPr>
          <w:t>https://vvkt.lrv.lt/lt</w:t>
        </w:r>
      </w:hyperlink>
      <w:r>
        <w:rPr>
          <w:rFonts w:ascii="Times New Roman" w:eastAsia="Times New Roman" w:hAnsi="Times New Roman" w:cs="Times New Roman"/>
          <w:color w:val="000000"/>
          <w:lang w:eastAsia="lt-LT"/>
        </w:rPr>
        <w:t>.</w:t>
      </w:r>
    </w:p>
    <w:p w14:paraId="4F9AFEC8" w14:textId="77777777" w:rsidR="00E24322" w:rsidRPr="00135C1A" w:rsidRDefault="00E24322" w:rsidP="00522F15">
      <w:pPr>
        <w:spacing w:after="0" w:line="240" w:lineRule="auto"/>
        <w:rPr>
          <w:rFonts w:ascii="Times New Roman" w:hAnsi="Times New Roman" w:cs="Times New Roman"/>
        </w:rPr>
      </w:pPr>
    </w:p>
    <w:sectPr w:rsidR="00E24322" w:rsidRPr="00135C1A" w:rsidSect="004B1EFE">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4B4C29" w14:textId="77777777" w:rsidR="00992230" w:rsidRDefault="00992230" w:rsidP="00C463FF">
      <w:pPr>
        <w:spacing w:after="0" w:line="240" w:lineRule="auto"/>
      </w:pPr>
      <w:r>
        <w:separator/>
      </w:r>
    </w:p>
  </w:endnote>
  <w:endnote w:type="continuationSeparator" w:id="0">
    <w:p w14:paraId="681825D3" w14:textId="77777777" w:rsidR="00992230" w:rsidRDefault="00992230" w:rsidP="00C463FF">
      <w:pPr>
        <w:spacing w:after="0" w:line="240" w:lineRule="auto"/>
      </w:pPr>
      <w:r>
        <w:continuationSeparator/>
      </w:r>
    </w:p>
  </w:endnote>
  <w:endnote w:type="continuationNotice" w:id="1">
    <w:p w14:paraId="3E320EE0" w14:textId="77777777" w:rsidR="00992230" w:rsidRDefault="009922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FB295A" w14:textId="77777777" w:rsidR="00992230" w:rsidRDefault="00992230" w:rsidP="00C463FF">
      <w:pPr>
        <w:spacing w:after="0" w:line="240" w:lineRule="auto"/>
      </w:pPr>
      <w:r>
        <w:separator/>
      </w:r>
    </w:p>
  </w:footnote>
  <w:footnote w:type="continuationSeparator" w:id="0">
    <w:p w14:paraId="0806B25B" w14:textId="77777777" w:rsidR="00992230" w:rsidRDefault="00992230" w:rsidP="00C463FF">
      <w:pPr>
        <w:spacing w:after="0" w:line="240" w:lineRule="auto"/>
      </w:pPr>
      <w:r>
        <w:continuationSeparator/>
      </w:r>
    </w:p>
  </w:footnote>
  <w:footnote w:type="continuationNotice" w:id="1">
    <w:p w14:paraId="6C1C172B" w14:textId="77777777" w:rsidR="00992230" w:rsidRDefault="0099223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10AED"/>
    <w:multiLevelType w:val="hybridMultilevel"/>
    <w:tmpl w:val="71261AE6"/>
    <w:lvl w:ilvl="0" w:tplc="26607456">
      <w:start w:val="1"/>
      <w:numFmt w:val="bullet"/>
      <w:lvlText w:val="-"/>
      <w:lvlJc w:val="left"/>
      <w:pPr>
        <w:ind w:left="566"/>
      </w:pPr>
      <w:rPr>
        <w:rFonts w:ascii="Segoe UI Symbol" w:eastAsia="Segoe UI Symbol" w:hAnsi="Segoe UI Symbol" w:cs="Segoe UI Symbol" w:hint="default"/>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2742B7A"/>
    <w:multiLevelType w:val="hybridMultilevel"/>
    <w:tmpl w:val="C1567958"/>
    <w:lvl w:ilvl="0" w:tplc="6826DF00">
      <w:start w:val="2"/>
      <w:numFmt w:val="decimal"/>
      <w:lvlText w:val="%1"/>
      <w:lvlJc w:val="left"/>
      <w:pPr>
        <w:ind w:left="994" w:hanging="360"/>
      </w:pPr>
      <w:rPr>
        <w:rFonts w:hint="default"/>
      </w:rPr>
    </w:lvl>
    <w:lvl w:ilvl="1" w:tplc="04270019" w:tentative="1">
      <w:start w:val="1"/>
      <w:numFmt w:val="lowerLetter"/>
      <w:lvlText w:val="%2."/>
      <w:lvlJc w:val="left"/>
      <w:pPr>
        <w:ind w:left="1714" w:hanging="360"/>
      </w:pPr>
    </w:lvl>
    <w:lvl w:ilvl="2" w:tplc="0427001B" w:tentative="1">
      <w:start w:val="1"/>
      <w:numFmt w:val="lowerRoman"/>
      <w:lvlText w:val="%3."/>
      <w:lvlJc w:val="right"/>
      <w:pPr>
        <w:ind w:left="2434" w:hanging="180"/>
      </w:pPr>
    </w:lvl>
    <w:lvl w:ilvl="3" w:tplc="0427000F" w:tentative="1">
      <w:start w:val="1"/>
      <w:numFmt w:val="decimal"/>
      <w:lvlText w:val="%4."/>
      <w:lvlJc w:val="left"/>
      <w:pPr>
        <w:ind w:left="3154" w:hanging="360"/>
      </w:pPr>
    </w:lvl>
    <w:lvl w:ilvl="4" w:tplc="04270019" w:tentative="1">
      <w:start w:val="1"/>
      <w:numFmt w:val="lowerLetter"/>
      <w:lvlText w:val="%5."/>
      <w:lvlJc w:val="left"/>
      <w:pPr>
        <w:ind w:left="3874" w:hanging="360"/>
      </w:pPr>
    </w:lvl>
    <w:lvl w:ilvl="5" w:tplc="0427001B" w:tentative="1">
      <w:start w:val="1"/>
      <w:numFmt w:val="lowerRoman"/>
      <w:lvlText w:val="%6."/>
      <w:lvlJc w:val="right"/>
      <w:pPr>
        <w:ind w:left="4594" w:hanging="180"/>
      </w:pPr>
    </w:lvl>
    <w:lvl w:ilvl="6" w:tplc="0427000F" w:tentative="1">
      <w:start w:val="1"/>
      <w:numFmt w:val="decimal"/>
      <w:lvlText w:val="%7."/>
      <w:lvlJc w:val="left"/>
      <w:pPr>
        <w:ind w:left="5314" w:hanging="360"/>
      </w:pPr>
    </w:lvl>
    <w:lvl w:ilvl="7" w:tplc="04270019" w:tentative="1">
      <w:start w:val="1"/>
      <w:numFmt w:val="lowerLetter"/>
      <w:lvlText w:val="%8."/>
      <w:lvlJc w:val="left"/>
      <w:pPr>
        <w:ind w:left="6034" w:hanging="360"/>
      </w:pPr>
    </w:lvl>
    <w:lvl w:ilvl="8" w:tplc="0427001B" w:tentative="1">
      <w:start w:val="1"/>
      <w:numFmt w:val="lowerRoman"/>
      <w:lvlText w:val="%9."/>
      <w:lvlJc w:val="right"/>
      <w:pPr>
        <w:ind w:left="6754" w:hanging="180"/>
      </w:pPr>
    </w:lvl>
  </w:abstractNum>
  <w:abstractNum w:abstractNumId="2" w15:restartNumberingAfterBreak="0">
    <w:nsid w:val="15D66305"/>
    <w:multiLevelType w:val="hybridMultilevel"/>
    <w:tmpl w:val="1FB486DC"/>
    <w:lvl w:ilvl="0" w:tplc="3700890C">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BA98E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D02B6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CA62E4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EC655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92C403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5027E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2862F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0BA016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30772B"/>
    <w:multiLevelType w:val="hybridMultilevel"/>
    <w:tmpl w:val="FB9E8502"/>
    <w:lvl w:ilvl="0" w:tplc="3AD8C3E6">
      <w:start w:val="2"/>
      <w:numFmt w:val="upperRoman"/>
      <w:lvlText w:val="%1"/>
      <w:lvlJc w:val="left"/>
      <w:pPr>
        <w:ind w:left="2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18B6D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E231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40FCD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86D7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D0ADF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A483B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88A96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C4F3B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D063584"/>
    <w:multiLevelType w:val="hybridMultilevel"/>
    <w:tmpl w:val="A9887616"/>
    <w:lvl w:ilvl="0" w:tplc="8D6E26D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3A4A3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50EB16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36AB5A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94E77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F3663B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4284D4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FBE083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7B411D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0A214FA"/>
    <w:multiLevelType w:val="hybridMultilevel"/>
    <w:tmpl w:val="03DC8F78"/>
    <w:lvl w:ilvl="0" w:tplc="6C92A86A">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ECF32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727B5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1EFFE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BE490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BAFD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2E7FC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3445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2022B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0E95032"/>
    <w:multiLevelType w:val="hybridMultilevel"/>
    <w:tmpl w:val="B164C448"/>
    <w:lvl w:ilvl="0" w:tplc="A4B65438">
      <w:start w:val="1"/>
      <w:numFmt w:val="bullet"/>
      <w:lvlText w:val="•"/>
      <w:lvlJc w:val="left"/>
      <w:pPr>
        <w:ind w:left="566"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69057FC">
      <w:start w:val="1"/>
      <w:numFmt w:val="bullet"/>
      <w:lvlText w:val="o"/>
      <w:lvlJc w:val="left"/>
      <w:pPr>
        <w:ind w:left="10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B14C433C">
      <w:start w:val="1"/>
      <w:numFmt w:val="bullet"/>
      <w:lvlText w:val="▪"/>
      <w:lvlJc w:val="left"/>
      <w:pPr>
        <w:ind w:left="18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C025778">
      <w:start w:val="1"/>
      <w:numFmt w:val="bullet"/>
      <w:lvlText w:val="•"/>
      <w:lvlJc w:val="left"/>
      <w:pPr>
        <w:ind w:left="252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045ED0F0">
      <w:start w:val="1"/>
      <w:numFmt w:val="bullet"/>
      <w:lvlText w:val="o"/>
      <w:lvlJc w:val="left"/>
      <w:pPr>
        <w:ind w:left="32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A369E08">
      <w:start w:val="1"/>
      <w:numFmt w:val="bullet"/>
      <w:lvlText w:val="▪"/>
      <w:lvlJc w:val="left"/>
      <w:pPr>
        <w:ind w:left="39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164806C8">
      <w:start w:val="1"/>
      <w:numFmt w:val="bullet"/>
      <w:lvlText w:val="•"/>
      <w:lvlJc w:val="left"/>
      <w:pPr>
        <w:ind w:left="46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7CA8A58C">
      <w:start w:val="1"/>
      <w:numFmt w:val="bullet"/>
      <w:lvlText w:val="o"/>
      <w:lvlJc w:val="left"/>
      <w:pPr>
        <w:ind w:left="54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7A2C557C">
      <w:start w:val="1"/>
      <w:numFmt w:val="bullet"/>
      <w:lvlText w:val="▪"/>
      <w:lvlJc w:val="left"/>
      <w:pPr>
        <w:ind w:left="61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7" w15:restartNumberingAfterBreak="0">
    <w:nsid w:val="24F17B10"/>
    <w:multiLevelType w:val="hybridMultilevel"/>
    <w:tmpl w:val="DB10A0DC"/>
    <w:lvl w:ilvl="0" w:tplc="ACB8AEEE">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CE750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E4816F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4CBD2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C4BAF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30E3A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16AB5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E2AC6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52C0A4">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457214C"/>
    <w:multiLevelType w:val="hybridMultilevel"/>
    <w:tmpl w:val="D7B01BB2"/>
    <w:lvl w:ilvl="0" w:tplc="796A4462">
      <w:start w:val="2"/>
      <w:numFmt w:val="decimal"/>
      <w:lvlText w:val="%1"/>
      <w:lvlJc w:val="left"/>
      <w:pPr>
        <w:ind w:left="634" w:hanging="360"/>
      </w:pPr>
      <w:rPr>
        <w:rFonts w:hint="default"/>
      </w:rPr>
    </w:lvl>
    <w:lvl w:ilvl="1" w:tplc="04270019" w:tentative="1">
      <w:start w:val="1"/>
      <w:numFmt w:val="lowerLetter"/>
      <w:lvlText w:val="%2."/>
      <w:lvlJc w:val="left"/>
      <w:pPr>
        <w:ind w:left="1354" w:hanging="360"/>
      </w:pPr>
    </w:lvl>
    <w:lvl w:ilvl="2" w:tplc="0427001B" w:tentative="1">
      <w:start w:val="1"/>
      <w:numFmt w:val="lowerRoman"/>
      <w:lvlText w:val="%3."/>
      <w:lvlJc w:val="right"/>
      <w:pPr>
        <w:ind w:left="2074" w:hanging="180"/>
      </w:pPr>
    </w:lvl>
    <w:lvl w:ilvl="3" w:tplc="0427000F" w:tentative="1">
      <w:start w:val="1"/>
      <w:numFmt w:val="decimal"/>
      <w:lvlText w:val="%4."/>
      <w:lvlJc w:val="left"/>
      <w:pPr>
        <w:ind w:left="2794" w:hanging="360"/>
      </w:pPr>
    </w:lvl>
    <w:lvl w:ilvl="4" w:tplc="04270019" w:tentative="1">
      <w:start w:val="1"/>
      <w:numFmt w:val="lowerLetter"/>
      <w:lvlText w:val="%5."/>
      <w:lvlJc w:val="left"/>
      <w:pPr>
        <w:ind w:left="3514" w:hanging="360"/>
      </w:pPr>
    </w:lvl>
    <w:lvl w:ilvl="5" w:tplc="0427001B" w:tentative="1">
      <w:start w:val="1"/>
      <w:numFmt w:val="lowerRoman"/>
      <w:lvlText w:val="%6."/>
      <w:lvlJc w:val="right"/>
      <w:pPr>
        <w:ind w:left="4234" w:hanging="180"/>
      </w:pPr>
    </w:lvl>
    <w:lvl w:ilvl="6" w:tplc="0427000F" w:tentative="1">
      <w:start w:val="1"/>
      <w:numFmt w:val="decimal"/>
      <w:lvlText w:val="%7."/>
      <w:lvlJc w:val="left"/>
      <w:pPr>
        <w:ind w:left="4954" w:hanging="360"/>
      </w:pPr>
    </w:lvl>
    <w:lvl w:ilvl="7" w:tplc="04270019" w:tentative="1">
      <w:start w:val="1"/>
      <w:numFmt w:val="lowerLetter"/>
      <w:lvlText w:val="%8."/>
      <w:lvlJc w:val="left"/>
      <w:pPr>
        <w:ind w:left="5674" w:hanging="360"/>
      </w:pPr>
    </w:lvl>
    <w:lvl w:ilvl="8" w:tplc="0427001B" w:tentative="1">
      <w:start w:val="1"/>
      <w:numFmt w:val="lowerRoman"/>
      <w:lvlText w:val="%9."/>
      <w:lvlJc w:val="right"/>
      <w:pPr>
        <w:ind w:left="6394" w:hanging="180"/>
      </w:pPr>
    </w:lvl>
  </w:abstractNum>
  <w:abstractNum w:abstractNumId="9" w15:restartNumberingAfterBreak="0">
    <w:nsid w:val="384B4DF3"/>
    <w:multiLevelType w:val="hybridMultilevel"/>
    <w:tmpl w:val="41DAA6A2"/>
    <w:lvl w:ilvl="0" w:tplc="FFE0D2B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8C7D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E82C93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BB4D9E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3C165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8C6FE8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670FAA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B56FA6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2CE37D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6986E1A"/>
    <w:multiLevelType w:val="hybridMultilevel"/>
    <w:tmpl w:val="77D0C7E8"/>
    <w:lvl w:ilvl="0" w:tplc="26607456">
      <w:start w:val="1"/>
      <w:numFmt w:val="bullet"/>
      <w:lvlText w:val="-"/>
      <w:lvlJc w:val="left"/>
      <w:pPr>
        <w:ind w:left="705"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25" w:hanging="360"/>
      </w:pPr>
      <w:rPr>
        <w:rFonts w:ascii="Courier New" w:hAnsi="Courier New" w:cs="Courier New" w:hint="default"/>
      </w:rPr>
    </w:lvl>
    <w:lvl w:ilvl="2" w:tplc="04270005" w:tentative="1">
      <w:start w:val="1"/>
      <w:numFmt w:val="bullet"/>
      <w:lvlText w:val=""/>
      <w:lvlJc w:val="left"/>
      <w:pPr>
        <w:ind w:left="2145" w:hanging="360"/>
      </w:pPr>
      <w:rPr>
        <w:rFonts w:ascii="Wingdings" w:hAnsi="Wingdings" w:hint="default"/>
      </w:rPr>
    </w:lvl>
    <w:lvl w:ilvl="3" w:tplc="04270001" w:tentative="1">
      <w:start w:val="1"/>
      <w:numFmt w:val="bullet"/>
      <w:lvlText w:val=""/>
      <w:lvlJc w:val="left"/>
      <w:pPr>
        <w:ind w:left="2865" w:hanging="360"/>
      </w:pPr>
      <w:rPr>
        <w:rFonts w:ascii="Symbol" w:hAnsi="Symbol" w:hint="default"/>
      </w:rPr>
    </w:lvl>
    <w:lvl w:ilvl="4" w:tplc="04270003" w:tentative="1">
      <w:start w:val="1"/>
      <w:numFmt w:val="bullet"/>
      <w:lvlText w:val="o"/>
      <w:lvlJc w:val="left"/>
      <w:pPr>
        <w:ind w:left="3585" w:hanging="360"/>
      </w:pPr>
      <w:rPr>
        <w:rFonts w:ascii="Courier New" w:hAnsi="Courier New" w:cs="Courier New" w:hint="default"/>
      </w:rPr>
    </w:lvl>
    <w:lvl w:ilvl="5" w:tplc="04270005" w:tentative="1">
      <w:start w:val="1"/>
      <w:numFmt w:val="bullet"/>
      <w:lvlText w:val=""/>
      <w:lvlJc w:val="left"/>
      <w:pPr>
        <w:ind w:left="4305" w:hanging="360"/>
      </w:pPr>
      <w:rPr>
        <w:rFonts w:ascii="Wingdings" w:hAnsi="Wingdings" w:hint="default"/>
      </w:rPr>
    </w:lvl>
    <w:lvl w:ilvl="6" w:tplc="04270001" w:tentative="1">
      <w:start w:val="1"/>
      <w:numFmt w:val="bullet"/>
      <w:lvlText w:val=""/>
      <w:lvlJc w:val="left"/>
      <w:pPr>
        <w:ind w:left="5025" w:hanging="360"/>
      </w:pPr>
      <w:rPr>
        <w:rFonts w:ascii="Symbol" w:hAnsi="Symbol" w:hint="default"/>
      </w:rPr>
    </w:lvl>
    <w:lvl w:ilvl="7" w:tplc="04270003" w:tentative="1">
      <w:start w:val="1"/>
      <w:numFmt w:val="bullet"/>
      <w:lvlText w:val="o"/>
      <w:lvlJc w:val="left"/>
      <w:pPr>
        <w:ind w:left="5745" w:hanging="360"/>
      </w:pPr>
      <w:rPr>
        <w:rFonts w:ascii="Courier New" w:hAnsi="Courier New" w:cs="Courier New" w:hint="default"/>
      </w:rPr>
    </w:lvl>
    <w:lvl w:ilvl="8" w:tplc="04270005" w:tentative="1">
      <w:start w:val="1"/>
      <w:numFmt w:val="bullet"/>
      <w:lvlText w:val=""/>
      <w:lvlJc w:val="left"/>
      <w:pPr>
        <w:ind w:left="6465" w:hanging="360"/>
      </w:pPr>
      <w:rPr>
        <w:rFonts w:ascii="Wingdings" w:hAnsi="Wingdings" w:hint="default"/>
      </w:rPr>
    </w:lvl>
  </w:abstractNum>
  <w:abstractNum w:abstractNumId="11" w15:restartNumberingAfterBreak="0">
    <w:nsid w:val="4D450D89"/>
    <w:multiLevelType w:val="hybridMultilevel"/>
    <w:tmpl w:val="087CC088"/>
    <w:lvl w:ilvl="0" w:tplc="FB5ED508">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5C0AC2"/>
    <w:multiLevelType w:val="hybridMultilevel"/>
    <w:tmpl w:val="CCA8F39E"/>
    <w:lvl w:ilvl="0" w:tplc="8912F250">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CA74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228E6E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69A73E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4C62D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1E47B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22EE2B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5E6DED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A26FE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90638A"/>
    <w:multiLevelType w:val="hybridMultilevel"/>
    <w:tmpl w:val="BB0AE6B6"/>
    <w:lvl w:ilvl="0" w:tplc="500A1C30">
      <w:numFmt w:val="bullet"/>
      <w:lvlText w:val=""/>
      <w:lvlJc w:val="left"/>
      <w:pPr>
        <w:ind w:left="555" w:hanging="570"/>
      </w:pPr>
      <w:rPr>
        <w:rFonts w:ascii="Times New Roman" w:eastAsia="Segoe UI Symbol" w:hAnsi="Times New Roman" w:cs="Times New Roman" w:hint="default"/>
      </w:rPr>
    </w:lvl>
    <w:lvl w:ilvl="1" w:tplc="04270003" w:tentative="1">
      <w:start w:val="1"/>
      <w:numFmt w:val="bullet"/>
      <w:lvlText w:val="o"/>
      <w:lvlJc w:val="left"/>
      <w:pPr>
        <w:ind w:left="1065" w:hanging="360"/>
      </w:pPr>
      <w:rPr>
        <w:rFonts w:ascii="Courier New" w:hAnsi="Courier New" w:cs="Courier New" w:hint="default"/>
      </w:rPr>
    </w:lvl>
    <w:lvl w:ilvl="2" w:tplc="04270005" w:tentative="1">
      <w:start w:val="1"/>
      <w:numFmt w:val="bullet"/>
      <w:lvlText w:val=""/>
      <w:lvlJc w:val="left"/>
      <w:pPr>
        <w:ind w:left="1785" w:hanging="360"/>
      </w:pPr>
      <w:rPr>
        <w:rFonts w:ascii="Wingdings" w:hAnsi="Wingdings" w:hint="default"/>
      </w:rPr>
    </w:lvl>
    <w:lvl w:ilvl="3" w:tplc="04270001" w:tentative="1">
      <w:start w:val="1"/>
      <w:numFmt w:val="bullet"/>
      <w:lvlText w:val=""/>
      <w:lvlJc w:val="left"/>
      <w:pPr>
        <w:ind w:left="2505" w:hanging="360"/>
      </w:pPr>
      <w:rPr>
        <w:rFonts w:ascii="Symbol" w:hAnsi="Symbol" w:hint="default"/>
      </w:rPr>
    </w:lvl>
    <w:lvl w:ilvl="4" w:tplc="04270003" w:tentative="1">
      <w:start w:val="1"/>
      <w:numFmt w:val="bullet"/>
      <w:lvlText w:val="o"/>
      <w:lvlJc w:val="left"/>
      <w:pPr>
        <w:ind w:left="3225" w:hanging="360"/>
      </w:pPr>
      <w:rPr>
        <w:rFonts w:ascii="Courier New" w:hAnsi="Courier New" w:cs="Courier New" w:hint="default"/>
      </w:rPr>
    </w:lvl>
    <w:lvl w:ilvl="5" w:tplc="04270005" w:tentative="1">
      <w:start w:val="1"/>
      <w:numFmt w:val="bullet"/>
      <w:lvlText w:val=""/>
      <w:lvlJc w:val="left"/>
      <w:pPr>
        <w:ind w:left="3945" w:hanging="360"/>
      </w:pPr>
      <w:rPr>
        <w:rFonts w:ascii="Wingdings" w:hAnsi="Wingdings" w:hint="default"/>
      </w:rPr>
    </w:lvl>
    <w:lvl w:ilvl="6" w:tplc="04270001" w:tentative="1">
      <w:start w:val="1"/>
      <w:numFmt w:val="bullet"/>
      <w:lvlText w:val=""/>
      <w:lvlJc w:val="left"/>
      <w:pPr>
        <w:ind w:left="4665" w:hanging="360"/>
      </w:pPr>
      <w:rPr>
        <w:rFonts w:ascii="Symbol" w:hAnsi="Symbol" w:hint="default"/>
      </w:rPr>
    </w:lvl>
    <w:lvl w:ilvl="7" w:tplc="04270003" w:tentative="1">
      <w:start w:val="1"/>
      <w:numFmt w:val="bullet"/>
      <w:lvlText w:val="o"/>
      <w:lvlJc w:val="left"/>
      <w:pPr>
        <w:ind w:left="5385" w:hanging="360"/>
      </w:pPr>
      <w:rPr>
        <w:rFonts w:ascii="Courier New" w:hAnsi="Courier New" w:cs="Courier New" w:hint="default"/>
      </w:rPr>
    </w:lvl>
    <w:lvl w:ilvl="8" w:tplc="04270005" w:tentative="1">
      <w:start w:val="1"/>
      <w:numFmt w:val="bullet"/>
      <w:lvlText w:val=""/>
      <w:lvlJc w:val="left"/>
      <w:pPr>
        <w:ind w:left="6105" w:hanging="360"/>
      </w:pPr>
      <w:rPr>
        <w:rFonts w:ascii="Wingdings" w:hAnsi="Wingdings" w:hint="default"/>
      </w:rPr>
    </w:lvl>
  </w:abstractNum>
  <w:abstractNum w:abstractNumId="14" w15:restartNumberingAfterBreak="0">
    <w:nsid w:val="60461CEF"/>
    <w:multiLevelType w:val="hybridMultilevel"/>
    <w:tmpl w:val="6E064034"/>
    <w:lvl w:ilvl="0" w:tplc="9AD4521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B8647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D02E4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AA636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12861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940E0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A948D2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E472F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6E716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CCE7899"/>
    <w:multiLevelType w:val="hybridMultilevel"/>
    <w:tmpl w:val="CE204C76"/>
    <w:lvl w:ilvl="0" w:tplc="BDB0AC58">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20B8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0CA1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8EA135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A2496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74B9D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A40FEF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C4EFA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72121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EAF6DA5"/>
    <w:multiLevelType w:val="hybridMultilevel"/>
    <w:tmpl w:val="2B7ECC16"/>
    <w:lvl w:ilvl="0" w:tplc="F8BCED32">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C70D29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D8D0A0">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54EC7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F02A1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D24D0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128ED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2DE0D2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06E0AC">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4790F56"/>
    <w:multiLevelType w:val="hybridMultilevel"/>
    <w:tmpl w:val="F3966E9E"/>
    <w:lvl w:ilvl="0" w:tplc="0CDCDA24">
      <w:start w:val="1"/>
      <w:numFmt w:val="bullet"/>
      <w:lvlText w:val="•"/>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2E6191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4D201B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4F8CFE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76E4C6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D141BB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14C76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1A9F7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3CAD63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7"/>
  </w:num>
  <w:num w:numId="2">
    <w:abstractNumId w:val="16"/>
  </w:num>
  <w:num w:numId="3">
    <w:abstractNumId w:val="3"/>
  </w:num>
  <w:num w:numId="4">
    <w:abstractNumId w:val="8"/>
  </w:num>
  <w:num w:numId="5">
    <w:abstractNumId w:val="1"/>
  </w:num>
  <w:num w:numId="6">
    <w:abstractNumId w:val="14"/>
  </w:num>
  <w:num w:numId="7">
    <w:abstractNumId w:val="5"/>
  </w:num>
  <w:num w:numId="8">
    <w:abstractNumId w:val="15"/>
  </w:num>
  <w:num w:numId="9">
    <w:abstractNumId w:val="4"/>
  </w:num>
  <w:num w:numId="10">
    <w:abstractNumId w:val="12"/>
  </w:num>
  <w:num w:numId="11">
    <w:abstractNumId w:val="2"/>
  </w:num>
  <w:num w:numId="12">
    <w:abstractNumId w:val="7"/>
  </w:num>
  <w:num w:numId="13">
    <w:abstractNumId w:val="9"/>
  </w:num>
  <w:num w:numId="14">
    <w:abstractNumId w:val="10"/>
  </w:num>
  <w:num w:numId="15">
    <w:abstractNumId w:val="13"/>
  </w:num>
  <w:num w:numId="16">
    <w:abstractNumId w:val="11"/>
  </w:num>
  <w:num w:numId="17">
    <w:abstractNumId w:val="6"/>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3FF"/>
    <w:rsid w:val="00000214"/>
    <w:rsid w:val="0000041C"/>
    <w:rsid w:val="00033832"/>
    <w:rsid w:val="00044F3C"/>
    <w:rsid w:val="00060A77"/>
    <w:rsid w:val="00072232"/>
    <w:rsid w:val="00072C2A"/>
    <w:rsid w:val="000A12BE"/>
    <w:rsid w:val="000B4F35"/>
    <w:rsid w:val="000C78F6"/>
    <w:rsid w:val="00123517"/>
    <w:rsid w:val="0013158C"/>
    <w:rsid w:val="00135C1A"/>
    <w:rsid w:val="001A3875"/>
    <w:rsid w:val="001F2FAC"/>
    <w:rsid w:val="00206E88"/>
    <w:rsid w:val="00276498"/>
    <w:rsid w:val="003563C8"/>
    <w:rsid w:val="00364435"/>
    <w:rsid w:val="00370173"/>
    <w:rsid w:val="00375A1B"/>
    <w:rsid w:val="004160D7"/>
    <w:rsid w:val="0042529D"/>
    <w:rsid w:val="00455E29"/>
    <w:rsid w:val="00461BC0"/>
    <w:rsid w:val="00481745"/>
    <w:rsid w:val="004B1270"/>
    <w:rsid w:val="004B1EFE"/>
    <w:rsid w:val="004D3425"/>
    <w:rsid w:val="004D4A25"/>
    <w:rsid w:val="004F72E1"/>
    <w:rsid w:val="00517EAA"/>
    <w:rsid w:val="00522F15"/>
    <w:rsid w:val="00596D74"/>
    <w:rsid w:val="005A3791"/>
    <w:rsid w:val="005B535B"/>
    <w:rsid w:val="005D1095"/>
    <w:rsid w:val="005D74BE"/>
    <w:rsid w:val="005F2B9C"/>
    <w:rsid w:val="006014AE"/>
    <w:rsid w:val="00601BBC"/>
    <w:rsid w:val="00613FE6"/>
    <w:rsid w:val="0064291B"/>
    <w:rsid w:val="006855AE"/>
    <w:rsid w:val="00686332"/>
    <w:rsid w:val="006B64AC"/>
    <w:rsid w:val="006B710F"/>
    <w:rsid w:val="006F0847"/>
    <w:rsid w:val="0070376C"/>
    <w:rsid w:val="0072049A"/>
    <w:rsid w:val="00774572"/>
    <w:rsid w:val="00794080"/>
    <w:rsid w:val="007C43E4"/>
    <w:rsid w:val="007C78DF"/>
    <w:rsid w:val="0080236D"/>
    <w:rsid w:val="0082730B"/>
    <w:rsid w:val="008612F4"/>
    <w:rsid w:val="00867275"/>
    <w:rsid w:val="00891441"/>
    <w:rsid w:val="009058A5"/>
    <w:rsid w:val="00981CF1"/>
    <w:rsid w:val="00992230"/>
    <w:rsid w:val="009A6C5B"/>
    <w:rsid w:val="00A37DBC"/>
    <w:rsid w:val="00A60A5E"/>
    <w:rsid w:val="00A8667C"/>
    <w:rsid w:val="00A94C44"/>
    <w:rsid w:val="00AF100E"/>
    <w:rsid w:val="00B046B1"/>
    <w:rsid w:val="00B64CCB"/>
    <w:rsid w:val="00B719BA"/>
    <w:rsid w:val="00BE6F38"/>
    <w:rsid w:val="00C07908"/>
    <w:rsid w:val="00C225AB"/>
    <w:rsid w:val="00C25B53"/>
    <w:rsid w:val="00C32B7C"/>
    <w:rsid w:val="00C44CA0"/>
    <w:rsid w:val="00C463FF"/>
    <w:rsid w:val="00C60E15"/>
    <w:rsid w:val="00C7534B"/>
    <w:rsid w:val="00CE77C3"/>
    <w:rsid w:val="00D065CB"/>
    <w:rsid w:val="00D90C35"/>
    <w:rsid w:val="00E24322"/>
    <w:rsid w:val="00E47695"/>
    <w:rsid w:val="00E960D9"/>
    <w:rsid w:val="00EA7E2C"/>
    <w:rsid w:val="00EB662E"/>
    <w:rsid w:val="00EB663D"/>
    <w:rsid w:val="00EC6C68"/>
    <w:rsid w:val="00EC700C"/>
    <w:rsid w:val="00EE42E6"/>
    <w:rsid w:val="00EF5C50"/>
    <w:rsid w:val="00F06D6A"/>
    <w:rsid w:val="00F62E28"/>
    <w:rsid w:val="00F957F3"/>
    <w:rsid w:val="00FE62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D6830"/>
  <w15:chartTrackingRefBased/>
  <w15:docId w15:val="{587A2110-54A3-472D-A1CE-21CF09627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C463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463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463F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463F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463F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463F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463F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463F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463F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463F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463F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463F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463F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463F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463F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463F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463F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463F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463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463F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463F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463F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463F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463FF"/>
    <w:rPr>
      <w:i/>
      <w:iCs/>
      <w:color w:val="404040" w:themeColor="text1" w:themeTint="BF"/>
    </w:rPr>
  </w:style>
  <w:style w:type="paragraph" w:styleId="Sraopastraipa">
    <w:name w:val="List Paragraph"/>
    <w:basedOn w:val="prastasis"/>
    <w:uiPriority w:val="34"/>
    <w:qFormat/>
    <w:rsid w:val="00C463FF"/>
    <w:pPr>
      <w:ind w:left="720"/>
      <w:contextualSpacing/>
    </w:pPr>
  </w:style>
  <w:style w:type="character" w:styleId="Rykuspabraukimas">
    <w:name w:val="Intense Emphasis"/>
    <w:basedOn w:val="Numatytasispastraiposriftas"/>
    <w:uiPriority w:val="21"/>
    <w:qFormat/>
    <w:rsid w:val="00C463FF"/>
    <w:rPr>
      <w:i/>
      <w:iCs/>
      <w:color w:val="0F4761" w:themeColor="accent1" w:themeShade="BF"/>
    </w:rPr>
  </w:style>
  <w:style w:type="paragraph" w:styleId="Iskirtacitata">
    <w:name w:val="Intense Quote"/>
    <w:basedOn w:val="prastasis"/>
    <w:next w:val="prastasis"/>
    <w:link w:val="IskirtacitataDiagrama"/>
    <w:uiPriority w:val="30"/>
    <w:qFormat/>
    <w:rsid w:val="00C463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463FF"/>
    <w:rPr>
      <w:i/>
      <w:iCs/>
      <w:color w:val="0F4761" w:themeColor="accent1" w:themeShade="BF"/>
    </w:rPr>
  </w:style>
  <w:style w:type="character" w:styleId="Rykinuoroda">
    <w:name w:val="Intense Reference"/>
    <w:basedOn w:val="Numatytasispastraiposriftas"/>
    <w:uiPriority w:val="32"/>
    <w:qFormat/>
    <w:rsid w:val="00C463FF"/>
    <w:rPr>
      <w:b/>
      <w:bCs/>
      <w:smallCaps/>
      <w:color w:val="0F4761" w:themeColor="accent1" w:themeShade="BF"/>
      <w:spacing w:val="5"/>
    </w:rPr>
  </w:style>
  <w:style w:type="character" w:styleId="Hipersaitas">
    <w:name w:val="Hyperlink"/>
    <w:basedOn w:val="Numatytasispastraiposriftas"/>
    <w:uiPriority w:val="99"/>
    <w:unhideWhenUsed/>
    <w:rsid w:val="00000214"/>
    <w:rPr>
      <w:color w:val="467886" w:themeColor="hyperlink"/>
      <w:u w:val="single"/>
    </w:rPr>
  </w:style>
  <w:style w:type="character" w:customStyle="1" w:styleId="UnresolvedMention">
    <w:name w:val="Unresolved Mention"/>
    <w:basedOn w:val="Numatytasispastraiposriftas"/>
    <w:uiPriority w:val="99"/>
    <w:semiHidden/>
    <w:unhideWhenUsed/>
    <w:rsid w:val="00000214"/>
    <w:rPr>
      <w:color w:val="605E5C"/>
      <w:shd w:val="clear" w:color="auto" w:fill="E1DFDD"/>
    </w:rPr>
  </w:style>
  <w:style w:type="table" w:customStyle="1" w:styleId="TableGrid">
    <w:name w:val="TableGrid"/>
    <w:rsid w:val="0082730B"/>
    <w:pPr>
      <w:spacing w:after="0" w:line="240" w:lineRule="auto"/>
    </w:pPr>
    <w:rPr>
      <w:rFonts w:eastAsia="Times New Roman"/>
      <w:sz w:val="24"/>
      <w:szCs w:val="24"/>
      <w:lang w:eastAsia="lt-LT"/>
    </w:rPr>
    <w:tblPr>
      <w:tblCellMar>
        <w:top w:w="0" w:type="dxa"/>
        <w:left w:w="0" w:type="dxa"/>
        <w:bottom w:w="0" w:type="dxa"/>
        <w:right w:w="0" w:type="dxa"/>
      </w:tblCellMar>
    </w:tblPr>
  </w:style>
  <w:style w:type="paragraph" w:styleId="Antrats">
    <w:name w:val="header"/>
    <w:basedOn w:val="prastasis"/>
    <w:link w:val="AntratsDiagrama"/>
    <w:uiPriority w:val="99"/>
    <w:semiHidden/>
    <w:unhideWhenUsed/>
    <w:rsid w:val="0070376C"/>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semiHidden/>
    <w:rsid w:val="0070376C"/>
  </w:style>
  <w:style w:type="paragraph" w:styleId="Porat">
    <w:name w:val="footer"/>
    <w:basedOn w:val="prastasis"/>
    <w:link w:val="PoratDiagrama"/>
    <w:uiPriority w:val="99"/>
    <w:semiHidden/>
    <w:unhideWhenUsed/>
    <w:rsid w:val="0070376C"/>
    <w:pPr>
      <w:tabs>
        <w:tab w:val="center" w:pos="4513"/>
        <w:tab w:val="right" w:pos="9026"/>
      </w:tabs>
      <w:spacing w:after="0" w:line="240" w:lineRule="auto"/>
    </w:pPr>
  </w:style>
  <w:style w:type="character" w:customStyle="1" w:styleId="PoratDiagrama">
    <w:name w:val="Poraštė Diagrama"/>
    <w:basedOn w:val="Numatytasispastraiposriftas"/>
    <w:link w:val="Porat"/>
    <w:uiPriority w:val="99"/>
    <w:semiHidden/>
    <w:rsid w:val="0070376C"/>
  </w:style>
  <w:style w:type="paragraph" w:styleId="Pataisymai">
    <w:name w:val="Revision"/>
    <w:hidden/>
    <w:uiPriority w:val="99"/>
    <w:semiHidden/>
    <w:rsid w:val="001F2FAC"/>
    <w:pPr>
      <w:spacing w:after="0" w:line="240" w:lineRule="auto"/>
    </w:pPr>
  </w:style>
  <w:style w:type="paragraph" w:styleId="Debesliotekstas">
    <w:name w:val="Balloon Text"/>
    <w:basedOn w:val="prastasis"/>
    <w:link w:val="DebesliotekstasDiagrama"/>
    <w:uiPriority w:val="99"/>
    <w:semiHidden/>
    <w:unhideWhenUsed/>
    <w:rsid w:val="00C32B7C"/>
    <w:pPr>
      <w:spacing w:after="0" w:line="240" w:lineRule="auto"/>
    </w:pPr>
    <w:rPr>
      <w:rFonts w:ascii="Times New Roman" w:hAnsi="Times New Roman" w:cs="Times New Roman"/>
      <w:sz w:val="18"/>
      <w:szCs w:val="18"/>
    </w:rPr>
  </w:style>
  <w:style w:type="character" w:customStyle="1" w:styleId="DebesliotekstasDiagrama">
    <w:name w:val="Debesėlio tekstas Diagrama"/>
    <w:basedOn w:val="Numatytasispastraiposriftas"/>
    <w:link w:val="Debesliotekstas"/>
    <w:uiPriority w:val="99"/>
    <w:semiHidden/>
    <w:rsid w:val="00C32B7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002644">
      <w:bodyDiv w:val="1"/>
      <w:marLeft w:val="0"/>
      <w:marRight w:val="0"/>
      <w:marTop w:val="0"/>
      <w:marBottom w:val="0"/>
      <w:divBdr>
        <w:top w:val="none" w:sz="0" w:space="0" w:color="auto"/>
        <w:left w:val="none" w:sz="0" w:space="0" w:color="auto"/>
        <w:bottom w:val="none" w:sz="0" w:space="0" w:color="auto"/>
        <w:right w:val="none" w:sz="0" w:space="0" w:color="auto"/>
      </w:divBdr>
    </w:div>
    <w:div w:id="532350143">
      <w:bodyDiv w:val="1"/>
      <w:marLeft w:val="0"/>
      <w:marRight w:val="0"/>
      <w:marTop w:val="0"/>
      <w:marBottom w:val="0"/>
      <w:divBdr>
        <w:top w:val="none" w:sz="0" w:space="0" w:color="auto"/>
        <w:left w:val="none" w:sz="0" w:space="0" w:color="auto"/>
        <w:bottom w:val="none" w:sz="0" w:space="0" w:color="auto"/>
        <w:right w:val="none" w:sz="0" w:space="0" w:color="auto"/>
      </w:divBdr>
    </w:div>
    <w:div w:id="777024850">
      <w:bodyDiv w:val="1"/>
      <w:marLeft w:val="0"/>
      <w:marRight w:val="0"/>
      <w:marTop w:val="0"/>
      <w:marBottom w:val="0"/>
      <w:divBdr>
        <w:top w:val="none" w:sz="0" w:space="0" w:color="auto"/>
        <w:left w:val="none" w:sz="0" w:space="0" w:color="auto"/>
        <w:bottom w:val="none" w:sz="0" w:space="0" w:color="auto"/>
        <w:right w:val="none" w:sz="0" w:space="0" w:color="auto"/>
      </w:divBdr>
    </w:div>
    <w:div w:id="955454499">
      <w:bodyDiv w:val="1"/>
      <w:marLeft w:val="0"/>
      <w:marRight w:val="0"/>
      <w:marTop w:val="0"/>
      <w:marBottom w:val="0"/>
      <w:divBdr>
        <w:top w:val="none" w:sz="0" w:space="0" w:color="auto"/>
        <w:left w:val="none" w:sz="0" w:space="0" w:color="auto"/>
        <w:bottom w:val="none" w:sz="0" w:space="0" w:color="auto"/>
        <w:right w:val="none" w:sz="0" w:space="0" w:color="auto"/>
      </w:divBdr>
    </w:div>
    <w:div w:id="1445349785">
      <w:bodyDiv w:val="1"/>
      <w:marLeft w:val="0"/>
      <w:marRight w:val="0"/>
      <w:marTop w:val="0"/>
      <w:marBottom w:val="0"/>
      <w:divBdr>
        <w:top w:val="none" w:sz="0" w:space="0" w:color="auto"/>
        <w:left w:val="none" w:sz="0" w:space="0" w:color="auto"/>
        <w:bottom w:val="none" w:sz="0" w:space="0" w:color="auto"/>
        <w:right w:val="none" w:sz="0" w:space="0" w:color="auto"/>
      </w:divBdr>
    </w:div>
    <w:div w:id="1692338410">
      <w:bodyDiv w:val="1"/>
      <w:marLeft w:val="0"/>
      <w:marRight w:val="0"/>
      <w:marTop w:val="0"/>
      <w:marBottom w:val="0"/>
      <w:divBdr>
        <w:top w:val="none" w:sz="0" w:space="0" w:color="auto"/>
        <w:left w:val="none" w:sz="0" w:space="0" w:color="auto"/>
        <w:bottom w:val="none" w:sz="0" w:space="0" w:color="auto"/>
        <w:right w:val="none" w:sz="0" w:space="0" w:color="auto"/>
      </w:divBdr>
    </w:div>
    <w:div w:id="1767312378">
      <w:bodyDiv w:val="1"/>
      <w:marLeft w:val="0"/>
      <w:marRight w:val="0"/>
      <w:marTop w:val="0"/>
      <w:marBottom w:val="0"/>
      <w:divBdr>
        <w:top w:val="none" w:sz="0" w:space="0" w:color="auto"/>
        <w:left w:val="none" w:sz="0" w:space="0" w:color="auto"/>
        <w:bottom w:val="none" w:sz="0" w:space="0" w:color="auto"/>
        <w:right w:val="none" w:sz="0" w:space="0" w:color="auto"/>
      </w:divBdr>
    </w:div>
    <w:div w:id="214480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D28C24-2F21-42F4-B560-5596CA663ED0}">
  <ds:schemaRefs>
    <ds:schemaRef ds:uri="http://schemas.microsoft.com/sharepoint/v3/contenttype/forms"/>
  </ds:schemaRefs>
</ds:datastoreItem>
</file>

<file path=customXml/itemProps2.xml><?xml version="1.0" encoding="utf-8"?>
<ds:datastoreItem xmlns:ds="http://schemas.openxmlformats.org/officeDocument/2006/customXml" ds:itemID="{FF1130CD-1ED0-4EFD-B669-E8A0ED829B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46882A-B830-45F2-854C-EC972A88531E}">
  <ds:schemaRefs>
    <ds:schemaRef ds:uri="http://schemas.microsoft.com/office/2006/metadata/properties"/>
    <ds:schemaRef ds:uri="http://purl.org/dc/terms/"/>
    <ds:schemaRef ds:uri="http://purl.org/dc/elements/1.1/"/>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8c54d1d4-8a50-4b16-b050-2289fc7c4d80"/>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29</Pages>
  <Words>38759</Words>
  <Characters>22094</Characters>
  <Application>Microsoft Office Word</Application>
  <DocSecurity>0</DocSecurity>
  <Lines>184</Lines>
  <Paragraphs>121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0805</dc:creator>
  <cp:keywords/>
  <dc:description/>
  <cp:lastModifiedBy>Birutė Valkauskaitė</cp:lastModifiedBy>
  <cp:revision>3</cp:revision>
  <dcterms:created xsi:type="dcterms:W3CDTF">2024-09-26T07:28:00Z</dcterms:created>
  <dcterms:modified xsi:type="dcterms:W3CDTF">2024-09-26T07:47:00Z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