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83" w:rsidRDefault="009D7F83" w:rsidP="009D7F83">
      <w:pPr>
        <w:tabs>
          <w:tab w:val="clear" w:pos="567"/>
        </w:tabs>
        <w:spacing w:line="240" w:lineRule="auto"/>
        <w:jc w:val="center"/>
        <w:rPr>
          <w:b/>
          <w:bCs/>
          <w:snapToGrid/>
          <w:szCs w:val="22"/>
          <w:lang w:val="lt-LT"/>
        </w:rPr>
      </w:pPr>
      <w:r>
        <w:rPr>
          <w:b/>
          <w:bCs/>
          <w:snapToGrid/>
          <w:szCs w:val="22"/>
          <w:lang w:val="lt-LT"/>
        </w:rPr>
        <w:t>Pakuotės lapelis: informacija vartotojui</w:t>
      </w:r>
    </w:p>
    <w:p w:rsidR="009D7F83" w:rsidRDefault="009D7F83" w:rsidP="009D7F83">
      <w:pPr>
        <w:widowControl w:val="0"/>
        <w:tabs>
          <w:tab w:val="clear" w:pos="567"/>
        </w:tabs>
        <w:spacing w:line="240" w:lineRule="auto"/>
        <w:ind w:left="567" w:hanging="567"/>
        <w:jc w:val="center"/>
        <w:rPr>
          <w:bCs/>
          <w:snapToGrid/>
          <w:szCs w:val="22"/>
          <w:lang w:val="lt-LT"/>
        </w:rPr>
      </w:pPr>
    </w:p>
    <w:p w:rsidR="009D7F83" w:rsidRDefault="009D7F83" w:rsidP="009D7F83">
      <w:pPr>
        <w:widowControl w:val="0"/>
        <w:tabs>
          <w:tab w:val="clear" w:pos="567"/>
        </w:tabs>
        <w:spacing w:line="240" w:lineRule="auto"/>
        <w:ind w:left="567" w:hanging="567"/>
        <w:jc w:val="center"/>
        <w:rPr>
          <w:b/>
          <w:bCs/>
          <w:snapToGrid/>
          <w:color w:val="000000"/>
          <w:szCs w:val="22"/>
          <w:lang w:val="lt-LT"/>
        </w:rPr>
      </w:pPr>
      <w:r>
        <w:rPr>
          <w:b/>
          <w:bCs/>
          <w:snapToGrid/>
          <w:color w:val="000000"/>
          <w:szCs w:val="22"/>
          <w:lang w:val="lt-LT"/>
        </w:rPr>
        <w:t>Kanpiduo 8 mg/2,5 mg tabletės</w:t>
      </w:r>
    </w:p>
    <w:p w:rsidR="009D7F83" w:rsidRDefault="009D7F83" w:rsidP="009D7F83">
      <w:pPr>
        <w:widowControl w:val="0"/>
        <w:tabs>
          <w:tab w:val="clear" w:pos="567"/>
        </w:tabs>
        <w:spacing w:line="240" w:lineRule="auto"/>
        <w:ind w:left="567" w:hanging="567"/>
        <w:jc w:val="center"/>
        <w:rPr>
          <w:snapToGrid/>
          <w:szCs w:val="22"/>
          <w:lang w:val="lt-LT"/>
        </w:rPr>
      </w:pPr>
      <w:r>
        <w:rPr>
          <w:b/>
          <w:bCs/>
          <w:snapToGrid/>
          <w:color w:val="000000"/>
          <w:szCs w:val="22"/>
          <w:lang w:val="lt-LT"/>
        </w:rPr>
        <w:t>Kanpiduo 16 mg/2,5 mg tabletės</w:t>
      </w:r>
    </w:p>
    <w:p w:rsidR="009D7F83" w:rsidRDefault="009D7F83" w:rsidP="009D7F83">
      <w:pPr>
        <w:widowControl w:val="0"/>
        <w:tabs>
          <w:tab w:val="clear" w:pos="567"/>
        </w:tabs>
        <w:spacing w:line="240" w:lineRule="auto"/>
        <w:ind w:left="567" w:hanging="567"/>
        <w:jc w:val="center"/>
        <w:rPr>
          <w:snapToGrid/>
          <w:szCs w:val="22"/>
          <w:lang w:val="lt-LT"/>
        </w:rPr>
      </w:pPr>
      <w:r>
        <w:rPr>
          <w:snapToGrid/>
          <w:szCs w:val="22"/>
          <w:lang w:val="lt-LT"/>
        </w:rPr>
        <w:t>kandesartano cileksetilas, indapamidas</w:t>
      </w:r>
    </w:p>
    <w:p w:rsidR="009D7F83" w:rsidRDefault="009D7F83" w:rsidP="009D7F83">
      <w:pPr>
        <w:widowControl w:val="0"/>
        <w:tabs>
          <w:tab w:val="clear" w:pos="567"/>
        </w:tabs>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rsidR="009D7F83" w:rsidRDefault="009D7F83" w:rsidP="009D7F83">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rsidR="009D7F83" w:rsidRDefault="009D7F83" w:rsidP="009D7F83">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rsidR="009D7F83" w:rsidRDefault="009D7F83" w:rsidP="009D7F83">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rsidR="009D7F83" w:rsidRDefault="009D7F83" w:rsidP="009D7F83">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rsidR="009D7F83" w:rsidRDefault="009D7F83" w:rsidP="009D7F83">
      <w:pPr>
        <w:widowControl w:val="0"/>
        <w:autoSpaceDE w:val="0"/>
        <w:autoSpaceDN w:val="0"/>
        <w:adjustRightInd w:val="0"/>
        <w:spacing w:line="240" w:lineRule="auto"/>
        <w:ind w:left="567" w:hanging="567"/>
        <w:rPr>
          <w:bCs/>
          <w:snapToGrid/>
          <w:szCs w:val="22"/>
          <w:lang w:val="lt-LT"/>
        </w:rPr>
      </w:pPr>
    </w:p>
    <w:p w:rsidR="009D7F83" w:rsidRDefault="009D7F83" w:rsidP="009D7F83">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rsidR="009D7F83" w:rsidRDefault="009D7F83" w:rsidP="009D7F83">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Kas yra Kanpiduo ir kam jis vartojamas</w:t>
      </w:r>
    </w:p>
    <w:p w:rsidR="009D7F83" w:rsidRDefault="009D7F83" w:rsidP="009D7F83">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Kas žinotina prieš vartojant Kanpiduo</w:t>
      </w:r>
    </w:p>
    <w:p w:rsidR="009D7F83" w:rsidRDefault="009D7F83" w:rsidP="009D7F83">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Kaip vartoti Kanpiduo</w:t>
      </w:r>
    </w:p>
    <w:p w:rsidR="009D7F83" w:rsidRDefault="009D7F83" w:rsidP="009D7F83">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rsidR="009D7F83" w:rsidRDefault="009D7F83" w:rsidP="009D7F83">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Kaip laikyti Kanpiduo</w:t>
      </w:r>
    </w:p>
    <w:p w:rsidR="009D7F83" w:rsidRDefault="009D7F83" w:rsidP="009D7F83">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rsidR="009D7F83" w:rsidRDefault="009D7F83" w:rsidP="009D7F83">
      <w:pPr>
        <w:widowControl w:val="0"/>
        <w:numPr>
          <w:ilvl w:val="12"/>
          <w:numId w:val="0"/>
        </w:numPr>
        <w:tabs>
          <w:tab w:val="clear" w:pos="567"/>
        </w:tabs>
        <w:spacing w:line="240" w:lineRule="auto"/>
        <w:rPr>
          <w:snapToGrid/>
          <w:szCs w:val="22"/>
          <w:lang w:val="lt-LT"/>
        </w:rPr>
      </w:pPr>
    </w:p>
    <w:p w:rsidR="009D7F83" w:rsidRDefault="009D7F83" w:rsidP="009D7F83">
      <w:pPr>
        <w:widowControl w:val="0"/>
        <w:numPr>
          <w:ilvl w:val="12"/>
          <w:numId w:val="0"/>
        </w:numPr>
        <w:tabs>
          <w:tab w:val="clear" w:pos="567"/>
        </w:tabs>
        <w:spacing w:line="240" w:lineRule="auto"/>
        <w:rPr>
          <w:snapToGrid/>
          <w:szCs w:val="22"/>
          <w:lang w:val="lt-LT"/>
        </w:rPr>
      </w:pPr>
    </w:p>
    <w:p w:rsidR="009D7F83" w:rsidRDefault="009D7F83" w:rsidP="009D7F83">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r>
        <w:rPr>
          <w:b/>
          <w:bCs/>
          <w:snapToGrid/>
          <w:szCs w:val="22"/>
          <w:lang w:val="lt-LT"/>
        </w:rPr>
        <w:t xml:space="preserve">Kanpiduo </w:t>
      </w:r>
      <w:r>
        <w:rPr>
          <w:b/>
          <w:snapToGrid/>
          <w:szCs w:val="22"/>
          <w:lang w:val="lt-LT"/>
        </w:rPr>
        <w:t>ir kam jis vartojamas</w:t>
      </w:r>
    </w:p>
    <w:p w:rsidR="009D7F83" w:rsidRDefault="009D7F83" w:rsidP="009D7F83">
      <w:pPr>
        <w:widowControl w:val="0"/>
        <w:tabs>
          <w:tab w:val="clear" w:pos="567"/>
        </w:tabs>
        <w:spacing w:line="240" w:lineRule="auto"/>
        <w:ind w:left="567" w:hanging="567"/>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Kanpiduo sudėtyje yra dvi veikliosios medžiagos, vadinamos kandesartanu ir indapamidu.</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Kandesartanas priklauso vaistų, vadinamų angiotenzino II receptorių antagonistais, grupei. Jis veikia atpalaiduodamas ir praplėsdamas kraujagysles. Tai padeda mažinti kraujospūdį.</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Indapamidas yra diuretikas (šlapimo išsiskyrimą skatinantis vaistas). Dauguma diuretikų didina inkstuose išskiriamo šlapimo kiekį. Vis dėlto indapamidas skiriasi nuo kitų diuretikų, nes jis tik šiek tiek padidina gaminamo šlapimo kiekį.</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Šis vaistas yra skirtas mažinti aukštą kraujospūdį (gydyti hipertenziją) suaugusiesiems. Gydytojas Jums skirs Kanpiduo, jei Jūs jau vartojate kandesartano ir indapamido tokiomis pačiomis dozėmis, tačiau atskiromis tabletėmis.</w:t>
      </w:r>
    </w:p>
    <w:p w:rsidR="009D7F83" w:rsidRDefault="009D7F83" w:rsidP="009D7F83">
      <w:pPr>
        <w:widowControl w:val="0"/>
        <w:numPr>
          <w:ilvl w:val="12"/>
          <w:numId w:val="0"/>
        </w:numPr>
        <w:tabs>
          <w:tab w:val="clear" w:pos="567"/>
        </w:tabs>
        <w:spacing w:line="240" w:lineRule="auto"/>
        <w:rPr>
          <w:snapToGrid/>
          <w:szCs w:val="22"/>
          <w:lang w:val="lt-LT"/>
        </w:rPr>
      </w:pPr>
    </w:p>
    <w:p w:rsidR="009D7F83" w:rsidRDefault="009D7F83" w:rsidP="009D7F83">
      <w:pPr>
        <w:widowControl w:val="0"/>
        <w:numPr>
          <w:ilvl w:val="12"/>
          <w:numId w:val="0"/>
        </w:numPr>
        <w:tabs>
          <w:tab w:val="clear" w:pos="567"/>
        </w:tabs>
        <w:spacing w:line="240" w:lineRule="auto"/>
        <w:rPr>
          <w:snapToGrid/>
          <w:szCs w:val="22"/>
          <w:lang w:val="lt-LT"/>
        </w:rPr>
      </w:pPr>
    </w:p>
    <w:p w:rsidR="009D7F83" w:rsidRDefault="009D7F83" w:rsidP="009D7F83">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r>
        <w:rPr>
          <w:b/>
          <w:bCs/>
          <w:snapToGrid/>
          <w:szCs w:val="22"/>
          <w:lang w:val="lt-LT"/>
        </w:rPr>
        <w:t>Kanpiduo</w:t>
      </w:r>
    </w:p>
    <w:p w:rsidR="009D7F83" w:rsidRDefault="009D7F83" w:rsidP="009D7F83">
      <w:pPr>
        <w:widowControl w:val="0"/>
        <w:tabs>
          <w:tab w:val="clear" w:pos="567"/>
        </w:tabs>
        <w:spacing w:line="240" w:lineRule="auto"/>
        <w:ind w:left="567" w:hanging="567"/>
        <w:rPr>
          <w:snapToGrid/>
          <w:szCs w:val="22"/>
          <w:lang w:val="lt-LT"/>
        </w:rPr>
      </w:pPr>
    </w:p>
    <w:p w:rsidR="009D7F83" w:rsidRDefault="009D7F83" w:rsidP="009D7F83">
      <w:pPr>
        <w:widowControl w:val="0"/>
        <w:tabs>
          <w:tab w:val="clear" w:pos="567"/>
        </w:tabs>
        <w:spacing w:line="240" w:lineRule="auto"/>
        <w:ind w:left="567" w:hanging="567"/>
        <w:rPr>
          <w:b/>
          <w:bCs/>
          <w:caps/>
          <w:snapToGrid/>
          <w:szCs w:val="22"/>
          <w:lang w:val="lt-LT"/>
        </w:rPr>
      </w:pPr>
      <w:r>
        <w:rPr>
          <w:b/>
          <w:bCs/>
          <w:snapToGrid/>
          <w:szCs w:val="22"/>
          <w:lang w:val="lt-LT"/>
        </w:rPr>
        <w:t>Kanpiduo vartoti draudžiama:</w:t>
      </w:r>
    </w:p>
    <w:p w:rsidR="009D7F83" w:rsidRDefault="009D7F83" w:rsidP="009D7F83">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kandesartanui, indapamidui arba kitiems to paties tipo vaistams (vadinamiems sulfonamidais) arba bet kuriai pagalbinei šio vaisto medžiagai (jos išvardytos 6 skyriuje);</w:t>
      </w:r>
    </w:p>
    <w:p w:rsidR="009D7F83" w:rsidRDefault="009D7F83" w:rsidP="009D7F83">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esate ilgiau kaip 3 mėnesius nėščia (geriausia vengti vartoti Kanpiduo ir ankstyvuoju nėštumo laikotarpiu – žr. skyrių „Nėštumas ir žindymo laikotarpis“);</w:t>
      </w:r>
    </w:p>
    <w:p w:rsidR="009D7F83" w:rsidRDefault="009D7F83" w:rsidP="009D7F83">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sunki kepenų liga, tulžies takų užsikimšimas (tulžies ištekėjimo iš tulžies pūslės sutrikimas) arba būklė, vadinama hepatine encefalopatija (degeneracinė galvos smegenų liga);</w:t>
      </w:r>
    </w:p>
    <w:p w:rsidR="009D7F83" w:rsidRDefault="009D7F83" w:rsidP="009D7F83">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pacientas yra jaunesnis nei 1 metų vaikas;</w:t>
      </w:r>
    </w:p>
    <w:p w:rsidR="009D7F83" w:rsidRDefault="009D7F83" w:rsidP="009D7F83">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cukriniu diabetu arba Jūsų inkstų funkcija sutrikusi ir Jums skirtas kraujospūdį mažinantis vaistas, kurio sudėtyje yra aliskireno;</w:t>
      </w:r>
    </w:p>
    <w:p w:rsidR="009D7F83" w:rsidRDefault="009D7F83" w:rsidP="009D7F83">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kalio kiekis kraujyje yra mažas.</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Jeigu manote, kad kuri nors paminėta būklė Jums tinka, apie tai pasakykite gydytojui arba vaistininkui prieš pradėdami vartoti Kanpiduo.</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spacing w:line="240" w:lineRule="auto"/>
        <w:ind w:left="567" w:hanging="567"/>
        <w:rPr>
          <w:b/>
          <w:snapToGrid/>
          <w:szCs w:val="22"/>
          <w:lang w:val="lt-LT"/>
        </w:rPr>
      </w:pPr>
      <w:r>
        <w:rPr>
          <w:b/>
          <w:snapToGrid/>
          <w:szCs w:val="22"/>
          <w:lang w:val="lt-LT"/>
        </w:rPr>
        <w:lastRenderedPageBreak/>
        <w:t>Įspėjimai ir atsargumo priemonės</w:t>
      </w:r>
    </w:p>
    <w:p w:rsidR="009D7F83" w:rsidRDefault="009D7F83" w:rsidP="009D7F83">
      <w:pPr>
        <w:widowControl w:val="0"/>
        <w:tabs>
          <w:tab w:val="clear" w:pos="567"/>
        </w:tabs>
        <w:spacing w:line="240" w:lineRule="auto"/>
        <w:rPr>
          <w:snapToGrid/>
          <w:szCs w:val="22"/>
          <w:lang w:val="lt-LT" w:eastAsia="sl-SI"/>
        </w:rPr>
      </w:pPr>
      <w:r>
        <w:rPr>
          <w:snapToGrid/>
          <w:szCs w:val="22"/>
          <w:lang w:val="lt-LT" w:eastAsia="sl-SI"/>
        </w:rPr>
        <w:t>Pasitarkite su gydytoju arba vaistininku, prieš pradėdami vartoti Kanpiduo:</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sergate širdies, kepenų arba inkstų ligomis arba Jums atliekamos dializės;</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neseniai Jums persodintas inkstas;</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Jūs vemiate, neseniai daug vėmėte arba viduriuojate;</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Jūs sergate antinksčių liga, vadinama Kono (</w:t>
      </w:r>
      <w:r>
        <w:rPr>
          <w:i/>
          <w:snapToGrid/>
          <w:szCs w:val="22"/>
          <w:lang w:val="lt-LT" w:eastAsia="sl-SI"/>
        </w:rPr>
        <w:t>Conn</w:t>
      </w:r>
      <w:r>
        <w:rPr>
          <w:snapToGrid/>
          <w:szCs w:val="22"/>
          <w:lang w:val="lt-LT" w:eastAsia="sl-SI"/>
        </w:rPr>
        <w:t>) sindromu (dar vadinamu pirminiu hiperaldosteronizmu);</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Jūsų kraujospūdis žemas;</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zCs w:val="22"/>
          <w:lang w:val="lt-LT" w:eastAsia="sl-SI"/>
        </w:rPr>
        <w:t>jeigu kada nors Jus buvo ištikęs insultas;</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zCs w:val="22"/>
          <w:lang w:val="lt-LT" w:eastAsia="sl-SI"/>
        </w:rPr>
        <w:t>jeigu sergate cukriniu diabetu;</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zCs w:val="22"/>
          <w:lang w:val="lt-LT" w:eastAsia="sl-SI"/>
        </w:rPr>
        <w:t>jeigu sergate podagra;</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zCs w:val="22"/>
          <w:lang w:val="lt-LT" w:eastAsia="sl-SI"/>
        </w:rPr>
        <w:t>jeigu yra bet kokių širdies ritmo sutrikimų;</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reikia atlikti tyrimą prieskydinių liaukų veiklai patikrinti;</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yra raumenų sutrikimų, įskaitant raumenų skausmą, jautrumą, silpnumą ar mėšlungį;</w:t>
      </w:r>
    </w:p>
    <w:p w:rsidR="009D7F83" w:rsidRDefault="009D7F83" w:rsidP="009D7F83">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nėščia, turite apie tai pasakyti savo gydytojui. Ankstyvuoju nėštumo laikotarpiu Kanpiduo vartoti nerekomenduojama, o jei esate nėščia ilgiau nei 3 mėnesius, šio vaisto vartoti draudžiama, nes vartojamas šiuo laikotarpiu jis gali sukelti sunkią žalą Jūsų kūdikiui (žr. poskyrį ,,Nėštumas ir žindymo laikotarpis“);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vartojate kurį nors iš šių vaistų aukštam kraujospūdžiui gydyti:</w:t>
      </w:r>
    </w:p>
    <w:p w:rsidR="009D7F83" w:rsidRDefault="009D7F83" w:rsidP="009D7F83">
      <w:pPr>
        <w:widowControl w:val="0"/>
        <w:numPr>
          <w:ilvl w:val="0"/>
          <w:numId w:val="3"/>
        </w:numPr>
        <w:tabs>
          <w:tab w:val="clear" w:pos="567"/>
        </w:tabs>
        <w:spacing w:line="240" w:lineRule="auto"/>
        <w:rPr>
          <w:snapToGrid/>
          <w:szCs w:val="22"/>
          <w:lang w:val="lt-LT" w:eastAsia="sl-SI"/>
        </w:rPr>
      </w:pPr>
      <w:r>
        <w:rPr>
          <w:snapToGrid/>
          <w:szCs w:val="22"/>
          <w:lang w:val="lt-LT" w:eastAsia="sl-SI"/>
        </w:rPr>
        <w:t>AKF inhibitorių (pavyzdžiui, enalaprilio, lizinoprilio, ramiprilio), ypač jei yra su cukriniu diabetu susijusių inkstų sutrikimų;</w:t>
      </w:r>
    </w:p>
    <w:p w:rsidR="009D7F83" w:rsidRDefault="009D7F83" w:rsidP="009D7F83">
      <w:pPr>
        <w:widowControl w:val="0"/>
        <w:numPr>
          <w:ilvl w:val="0"/>
          <w:numId w:val="3"/>
        </w:numPr>
        <w:tabs>
          <w:tab w:val="clear" w:pos="567"/>
        </w:tabs>
        <w:spacing w:line="240" w:lineRule="auto"/>
        <w:rPr>
          <w:snapToGrid/>
          <w:szCs w:val="22"/>
          <w:lang w:val="lt-LT" w:eastAsia="sl-SI"/>
        </w:rPr>
      </w:pPr>
      <w:r>
        <w:rPr>
          <w:snapToGrid/>
          <w:szCs w:val="22"/>
          <w:lang w:val="lt-LT" w:eastAsia="sl-SI"/>
        </w:rPr>
        <w:t>aliskireno;</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vartojate AKF inhibitorių kartu su vaistu, kuris priklauso vaistų, vadinamų mineralkortikoidų receptorių antagonistais (MRA), grupei. Šie vaistai yra skirti širdies nepakankamumui gydyti (žr. skyrių „Kiti vaistai ir Kanpiduo“);</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pablogėjo regėjimas arba pasireiškė akių skausmas. Tai gali būti skysčio susikaupimo akies kraujagyslių sluoksnyje (tarp gyslainės ir odenos) arba akispūdžio padidėjimo Jūsų akyje simptomai, kurie gali pasireikšti laikotarpiu nuo kelių valandų iki kelių savaičių po Kanpiduo vartojimo pradžios. Negydoma tokia būklė gali sukelti išliekantį regėjimo praradimą. Jei anksčiau buvote alergiški penicilinui ar sulfonamidams, gali būti didesnė tokio sutrikimo atsiradimo rizika.</w:t>
      </w:r>
    </w:p>
    <w:p w:rsidR="009D7F83" w:rsidRDefault="009D7F83" w:rsidP="009D7F83">
      <w:pPr>
        <w:numPr>
          <w:ilvl w:val="12"/>
          <w:numId w:val="0"/>
        </w:numPr>
        <w:tabs>
          <w:tab w:val="clear" w:pos="567"/>
          <w:tab w:val="left" w:pos="8505"/>
        </w:tabs>
        <w:spacing w:line="240" w:lineRule="auto"/>
        <w:ind w:right="-2"/>
        <w:rPr>
          <w:i/>
          <w:snapToGrid/>
          <w:szCs w:val="22"/>
          <w:lang w:val="lt-LT" w:eastAsia="sl-SI"/>
        </w:rPr>
      </w:pPr>
    </w:p>
    <w:p w:rsidR="009D7F83" w:rsidRDefault="009D7F83" w:rsidP="009D7F83">
      <w:pPr>
        <w:widowControl w:val="0"/>
        <w:numPr>
          <w:ilvl w:val="12"/>
          <w:numId w:val="0"/>
        </w:numPr>
        <w:tabs>
          <w:tab w:val="clear" w:pos="567"/>
        </w:tabs>
        <w:spacing w:line="240" w:lineRule="auto"/>
        <w:rPr>
          <w:snapToGrid/>
          <w:szCs w:val="22"/>
          <w:lang w:val="lt-LT" w:eastAsia="sl-SI"/>
        </w:rPr>
      </w:pPr>
      <w:r>
        <w:rPr>
          <w:snapToGrid/>
          <w:szCs w:val="22"/>
          <w:lang w:val="lt-LT" w:eastAsia="sl-SI"/>
        </w:rPr>
        <w:t>Gydytojas gali reguliariai tikrinti inkstų funkciją, kraujospūdį ir elektrolitų (pavyzdžiui, kalio arba kalcio) kiekį kraujyje.</w:t>
      </w:r>
    </w:p>
    <w:p w:rsidR="009D7F83" w:rsidRDefault="009D7F83" w:rsidP="009D7F83">
      <w:pPr>
        <w:widowControl w:val="0"/>
        <w:numPr>
          <w:ilvl w:val="12"/>
          <w:numId w:val="0"/>
        </w:numPr>
        <w:tabs>
          <w:tab w:val="clear" w:pos="567"/>
        </w:tabs>
        <w:spacing w:line="240" w:lineRule="auto"/>
        <w:rPr>
          <w:snapToGrid/>
          <w:szCs w:val="22"/>
          <w:lang w:val="lt-LT" w:eastAsia="sl-SI"/>
        </w:rPr>
      </w:pPr>
    </w:p>
    <w:p w:rsidR="009D7F83" w:rsidRDefault="009D7F83" w:rsidP="009D7F83">
      <w:pPr>
        <w:widowControl w:val="0"/>
        <w:numPr>
          <w:ilvl w:val="12"/>
          <w:numId w:val="0"/>
        </w:numPr>
        <w:tabs>
          <w:tab w:val="clear" w:pos="567"/>
        </w:tabs>
        <w:spacing w:line="240" w:lineRule="auto"/>
        <w:rPr>
          <w:snapToGrid/>
          <w:szCs w:val="22"/>
          <w:lang w:val="lt-LT" w:eastAsia="sl-SI"/>
        </w:rPr>
      </w:pPr>
      <w:r>
        <w:rPr>
          <w:snapToGrid/>
          <w:szCs w:val="22"/>
          <w:lang w:val="lt-LT" w:eastAsia="sl-SI"/>
        </w:rPr>
        <w:t>Taip pat žr. informaciją poskyryje „Kanpiduo vartoti draudžiama</w:t>
      </w:r>
      <w:r>
        <w:rPr>
          <w:rFonts w:eastAsia="Batang"/>
          <w:snapToGrid/>
          <w:szCs w:val="22"/>
          <w:lang w:val="lt-LT" w:eastAsia="x-none"/>
        </w:rPr>
        <w:t>“</w:t>
      </w:r>
      <w:r>
        <w:rPr>
          <w:snapToGrid/>
          <w:szCs w:val="22"/>
          <w:lang w:val="lt-LT" w:eastAsia="sl-SI"/>
        </w:rPr>
        <w:t>.</w:t>
      </w:r>
    </w:p>
    <w:p w:rsidR="009D7F83" w:rsidRDefault="009D7F83" w:rsidP="009D7F83">
      <w:pPr>
        <w:widowControl w:val="0"/>
        <w:numPr>
          <w:ilvl w:val="12"/>
          <w:numId w:val="0"/>
        </w:numPr>
        <w:tabs>
          <w:tab w:val="clear" w:pos="567"/>
        </w:tabs>
        <w:spacing w:line="240" w:lineRule="auto"/>
        <w:rPr>
          <w:snapToGrid/>
          <w:szCs w:val="22"/>
          <w:lang w:val="lt-LT" w:eastAsia="sl-SI"/>
        </w:rPr>
      </w:pPr>
    </w:p>
    <w:p w:rsidR="009D7F83" w:rsidRDefault="009D7F83" w:rsidP="009D7F83">
      <w:pPr>
        <w:widowControl w:val="0"/>
        <w:numPr>
          <w:ilvl w:val="12"/>
          <w:numId w:val="0"/>
        </w:numPr>
        <w:tabs>
          <w:tab w:val="clear" w:pos="567"/>
        </w:tabs>
        <w:spacing w:line="240" w:lineRule="auto"/>
        <w:rPr>
          <w:snapToGrid/>
          <w:szCs w:val="22"/>
          <w:lang w:val="lt-LT" w:eastAsia="sl-SI"/>
        </w:rPr>
      </w:pPr>
      <w:r>
        <w:rPr>
          <w:snapToGrid/>
          <w:szCs w:val="22"/>
          <w:lang w:val="lt-LT" w:eastAsia="sl-SI"/>
        </w:rPr>
        <w:t>Jeigu Jums yra kuri nors iš šių būklių, gydytojas gali norėti Jus matyti dažniau ir atlikti kai kuriuos tyrimus.</w:t>
      </w:r>
    </w:p>
    <w:p w:rsidR="009D7F83" w:rsidRDefault="009D7F83" w:rsidP="009D7F83">
      <w:pPr>
        <w:widowControl w:val="0"/>
        <w:numPr>
          <w:ilvl w:val="12"/>
          <w:numId w:val="0"/>
        </w:numPr>
        <w:tabs>
          <w:tab w:val="clear" w:pos="567"/>
        </w:tabs>
        <w:spacing w:line="240" w:lineRule="auto"/>
        <w:rPr>
          <w:snapToGrid/>
          <w:szCs w:val="22"/>
          <w:lang w:val="lt-LT" w:eastAsia="sl-SI"/>
        </w:rPr>
      </w:pPr>
    </w:p>
    <w:p w:rsidR="009D7F83" w:rsidRDefault="009D7F83" w:rsidP="009D7F83">
      <w:pPr>
        <w:widowControl w:val="0"/>
        <w:numPr>
          <w:ilvl w:val="12"/>
          <w:numId w:val="0"/>
        </w:numPr>
        <w:tabs>
          <w:tab w:val="clear" w:pos="567"/>
        </w:tabs>
        <w:spacing w:line="240" w:lineRule="auto"/>
        <w:rPr>
          <w:snapToGrid/>
          <w:szCs w:val="22"/>
          <w:lang w:val="lt-LT" w:eastAsia="sl-SI"/>
        </w:rPr>
      </w:pPr>
      <w:r>
        <w:rPr>
          <w:snapToGrid/>
          <w:szCs w:val="22"/>
          <w:lang w:val="lt-LT" w:eastAsia="sl-SI"/>
        </w:rPr>
        <w:t>Jeigu Jums bus atliekama operacija, pasakykite gydytojui arba odontologui, kad vartojate Kanpiduo, nes Kanpiduo, vartojamas kartu su kai kuriais anestetikais, gali sukelti pernelyg didelį kraujospūdžio sumažėjimą.</w:t>
      </w:r>
    </w:p>
    <w:p w:rsidR="009D7F83" w:rsidRDefault="009D7F83" w:rsidP="009D7F83">
      <w:pPr>
        <w:widowControl w:val="0"/>
        <w:numPr>
          <w:ilvl w:val="12"/>
          <w:numId w:val="0"/>
        </w:numPr>
        <w:tabs>
          <w:tab w:val="clear" w:pos="567"/>
        </w:tabs>
        <w:spacing w:line="240" w:lineRule="auto"/>
        <w:rPr>
          <w:bCs/>
          <w:snapToGrid/>
          <w:szCs w:val="22"/>
          <w:lang w:val="lt-LT" w:eastAsia="sl-SI"/>
        </w:rPr>
      </w:pPr>
    </w:p>
    <w:p w:rsidR="009D7F83" w:rsidRDefault="009D7F83" w:rsidP="009D7F83">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Turite pasakyti gydytojui, jei pasireiškė padidėjusio jautrumo šviesai reakcijų.</w:t>
      </w:r>
    </w:p>
    <w:p w:rsidR="009D7F83" w:rsidRDefault="009D7F83" w:rsidP="009D7F83">
      <w:pPr>
        <w:widowControl w:val="0"/>
        <w:numPr>
          <w:ilvl w:val="12"/>
          <w:numId w:val="0"/>
        </w:numPr>
        <w:tabs>
          <w:tab w:val="clear" w:pos="567"/>
        </w:tabs>
        <w:spacing w:line="240" w:lineRule="auto"/>
        <w:rPr>
          <w:bCs/>
          <w:snapToGrid/>
          <w:szCs w:val="22"/>
          <w:lang w:val="lt-LT" w:eastAsia="sl-SI"/>
        </w:rPr>
      </w:pPr>
    </w:p>
    <w:p w:rsidR="009D7F83" w:rsidRDefault="009D7F83" w:rsidP="009D7F83">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Sportininkai turėtų žinoti, kad šio vaisto sudėtyje yra veikliosios medžiagos, kuri atliekant dopingo testus gali lemti teigiamą reakciją.</w:t>
      </w:r>
    </w:p>
    <w:p w:rsidR="009D7F83" w:rsidRDefault="009D7F83" w:rsidP="009D7F83">
      <w:pPr>
        <w:widowControl w:val="0"/>
        <w:numPr>
          <w:ilvl w:val="12"/>
          <w:numId w:val="0"/>
        </w:numPr>
        <w:tabs>
          <w:tab w:val="clear" w:pos="567"/>
        </w:tabs>
        <w:spacing w:line="240" w:lineRule="auto"/>
        <w:rPr>
          <w:snapToGrid/>
          <w:szCs w:val="22"/>
          <w:lang w:val="lt-LT" w:eastAsia="sl-SI"/>
        </w:rPr>
      </w:pPr>
    </w:p>
    <w:p w:rsidR="009D7F83" w:rsidRPr="00892CBD" w:rsidRDefault="009D7F83" w:rsidP="009D7F83">
      <w:pPr>
        <w:widowControl w:val="0"/>
        <w:numPr>
          <w:ilvl w:val="12"/>
          <w:numId w:val="0"/>
        </w:numPr>
        <w:tabs>
          <w:tab w:val="clear" w:pos="567"/>
        </w:tabs>
        <w:spacing w:line="240" w:lineRule="auto"/>
        <w:rPr>
          <w:szCs w:val="22"/>
          <w:lang w:val="lt-LT"/>
        </w:rPr>
      </w:pPr>
      <w:r w:rsidRPr="00892CBD">
        <w:rPr>
          <w:szCs w:val="22"/>
          <w:lang w:val="lt-LT"/>
        </w:rPr>
        <w:t>Pasitarkite su gydytoju, jei pavartojus Kanpiduo jaučiate pilvo skausmą, pykinimą, vėmimą arba viduriavimą. Dėl tolesnio gydymo nuspręs Jūsų gydytojas. Nenustokite vartoti Kanpiduo pats.</w:t>
      </w:r>
    </w:p>
    <w:p w:rsidR="009D7F83" w:rsidRDefault="009D7F83" w:rsidP="009D7F83">
      <w:pPr>
        <w:widowControl w:val="0"/>
        <w:numPr>
          <w:ilvl w:val="12"/>
          <w:numId w:val="0"/>
        </w:numPr>
        <w:tabs>
          <w:tab w:val="clear" w:pos="567"/>
        </w:tabs>
        <w:spacing w:line="240" w:lineRule="auto"/>
        <w:rPr>
          <w:snapToGrid/>
          <w:szCs w:val="22"/>
          <w:lang w:val="lt-LT" w:eastAsia="sl-SI"/>
        </w:rPr>
      </w:pPr>
    </w:p>
    <w:p w:rsidR="009D7F83" w:rsidRDefault="009D7F83" w:rsidP="009D7F83">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Jeigu manote, kad kuri nors iš šių būklių gali Jums tikti arba kyla klausimų ar abejonių dėl vaisto vartojimo, kreipkitės į gydytoją arba vaistininką.</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Duomenų apie veiksmingumą ir saugumą nepakanka, todėl vaikams ir paaugliams </w:t>
      </w:r>
      <w:bookmarkStart w:id="0" w:name="_Hlk176606423"/>
      <w:r>
        <w:rPr>
          <w:rFonts w:eastAsia="TimesNewRoman,Bold"/>
          <w:snapToGrid/>
          <w:szCs w:val="22"/>
          <w:lang w:val="lt-LT"/>
        </w:rPr>
        <w:t xml:space="preserve">šio vaisto </w:t>
      </w:r>
      <w:bookmarkEnd w:id="0"/>
      <w:r>
        <w:rPr>
          <w:rFonts w:eastAsia="TimesNewRoman,Bold"/>
          <w:snapToGrid/>
          <w:szCs w:val="22"/>
          <w:lang w:val="lt-LT"/>
        </w:rPr>
        <w:t xml:space="preserve">vartoti </w:t>
      </w:r>
      <w:r>
        <w:rPr>
          <w:rFonts w:eastAsia="TimesNewRoman,Bold"/>
          <w:snapToGrid/>
          <w:szCs w:val="22"/>
          <w:lang w:val="lt-LT"/>
        </w:rPr>
        <w:lastRenderedPageBreak/>
        <w:t>nerekomenduojama.</w:t>
      </w:r>
    </w:p>
    <w:p w:rsidR="009D7F83" w:rsidRDefault="009D7F83" w:rsidP="009D7F83">
      <w:pPr>
        <w:widowControl w:val="0"/>
        <w:numPr>
          <w:ilvl w:val="12"/>
          <w:numId w:val="0"/>
        </w:numPr>
        <w:tabs>
          <w:tab w:val="clear" w:pos="567"/>
        </w:tabs>
        <w:spacing w:line="240" w:lineRule="auto"/>
        <w:ind w:right="-2"/>
        <w:rPr>
          <w:bCs/>
          <w:snapToGrid/>
          <w:szCs w:val="22"/>
          <w:lang w:val="lt-LT"/>
        </w:rPr>
      </w:pPr>
    </w:p>
    <w:p w:rsidR="009D7F83" w:rsidRDefault="009D7F83" w:rsidP="009D7F83">
      <w:pPr>
        <w:widowControl w:val="0"/>
        <w:numPr>
          <w:ilvl w:val="12"/>
          <w:numId w:val="0"/>
        </w:numPr>
        <w:tabs>
          <w:tab w:val="clear" w:pos="567"/>
        </w:tabs>
        <w:spacing w:line="240" w:lineRule="auto"/>
        <w:rPr>
          <w:snapToGrid/>
          <w:szCs w:val="22"/>
          <w:lang w:val="lt-LT"/>
        </w:rPr>
      </w:pPr>
      <w:r>
        <w:rPr>
          <w:b/>
          <w:snapToGrid/>
          <w:szCs w:val="22"/>
          <w:lang w:val="lt-LT"/>
        </w:rPr>
        <w:t>Kiti vaistai ir Kanpiduo</w:t>
      </w:r>
    </w:p>
    <w:p w:rsidR="009D7F83" w:rsidRDefault="009D7F83" w:rsidP="009D7F83">
      <w:pPr>
        <w:widowControl w:val="0"/>
        <w:tabs>
          <w:tab w:val="clear" w:pos="567"/>
        </w:tabs>
        <w:autoSpaceDE w:val="0"/>
        <w:autoSpaceDN w:val="0"/>
        <w:adjustRightInd w:val="0"/>
        <w:spacing w:line="240" w:lineRule="auto"/>
        <w:rPr>
          <w:szCs w:val="22"/>
          <w:lang w:val="lt-LT"/>
        </w:rPr>
      </w:pPr>
      <w:r>
        <w:rPr>
          <w:snapToGrid/>
          <w:szCs w:val="22"/>
          <w:lang w:val="lt-LT"/>
        </w:rPr>
        <w:t>Jeigu vartojate ar neseniai vartojote kitų vaistų arba nesate dėl to tikri, apie tai pasakykite gydytojui arba vaistininkui.</w:t>
      </w:r>
    </w:p>
    <w:p w:rsidR="009D7F83" w:rsidRDefault="009D7F83" w:rsidP="009D7F83">
      <w:pPr>
        <w:widowControl w:val="0"/>
        <w:tabs>
          <w:tab w:val="clear" w:pos="567"/>
        </w:tabs>
        <w:autoSpaceDE w:val="0"/>
        <w:autoSpaceDN w:val="0"/>
        <w:adjustRightInd w:val="0"/>
        <w:spacing w:line="240" w:lineRule="auto"/>
        <w:rPr>
          <w:szCs w:val="22"/>
          <w:lang w:val="lt-LT"/>
        </w:rPr>
      </w:pPr>
      <w:r>
        <w:rPr>
          <w:szCs w:val="22"/>
          <w:lang w:val="lt-LT"/>
        </w:rPr>
        <w:t>Kanpiduo gali keisti kai kurių vaistų poveikį, o kai kurie vaistai gali keisti Kanpiduo poveikį. Jeigu vartojate tam tikrų vaistų, gydytojas gali nurodyti periodiškai atlikti kraujo tyrimus.</w:t>
      </w:r>
    </w:p>
    <w:p w:rsidR="009D7F83" w:rsidRDefault="009D7F83" w:rsidP="009D7F83">
      <w:pPr>
        <w:widowControl w:val="0"/>
        <w:tabs>
          <w:tab w:val="clear" w:pos="567"/>
        </w:tabs>
        <w:autoSpaceDE w:val="0"/>
        <w:autoSpaceDN w:val="0"/>
        <w:adjustRightInd w:val="0"/>
        <w:spacing w:line="240" w:lineRule="auto"/>
        <w:rPr>
          <w:szCs w:val="22"/>
          <w:lang w:val="lt-LT"/>
        </w:rPr>
      </w:pPr>
    </w:p>
    <w:p w:rsidR="009D7F83" w:rsidRDefault="009D7F83" w:rsidP="009D7F83">
      <w:pPr>
        <w:widowControl w:val="0"/>
        <w:tabs>
          <w:tab w:val="clear" w:pos="567"/>
        </w:tabs>
        <w:autoSpaceDE w:val="0"/>
        <w:autoSpaceDN w:val="0"/>
        <w:adjustRightInd w:val="0"/>
        <w:spacing w:line="240" w:lineRule="auto"/>
        <w:rPr>
          <w:i/>
          <w:snapToGrid/>
          <w:szCs w:val="22"/>
          <w:lang w:val="lt-LT" w:eastAsia="sl-SI"/>
        </w:rPr>
      </w:pPr>
      <w:r>
        <w:rPr>
          <w:szCs w:val="22"/>
          <w:lang w:val="lt-LT"/>
        </w:rPr>
        <w:t>Ypač svarbu pasakyti gydytojui, jeigu vartojate bet kurį iš toliau išvardytų vaistų.</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iCs/>
          <w:snapToGrid/>
          <w:szCs w:val="22"/>
          <w:lang w:val="lt-LT" w:eastAsia="sl-SI"/>
        </w:rPr>
        <w:t>K</w:t>
      </w:r>
      <w:r>
        <w:rPr>
          <w:snapToGrid/>
          <w:szCs w:val="22"/>
          <w:lang w:val="lt-LT" w:eastAsia="sl-SI"/>
        </w:rPr>
        <w:t>itų vaistų kraujospūdžiui mažinti, įskaitant beta adrenoblokatorius, diazoksido ir AKF inhibitorius (pavyzdžiui, enalaprilio, kaptoprilio, lizinoprilio arba ramiprilio) arba diuretikų, įskaitant kalį organizme sulaikančius diuretikų (amilorido, spironolaktono, triamtereno).</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Nesteroidiniai vaistai nuo uždegimo (NVNU), pavyzdžiui, ibuprofenas, naproksenas, diklofenakas, celekoksibas arba etorikoksibas (šiais vaistais malšinamas skausmas ir slopinamas uždegimas).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Acetilsalicilo rūgštis, vartojama didesnėmis kaip 3 g paros dozėmis (šiuo vaistu malšinamas skausmas ir slopinamas uždegimas).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Kalio papildai arba druskos pakaitalai, kurių sudėtyje yra kalio (vaistai, didinantys kalio kiekį kraujyje).</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Heparinas (vaistas kraujui skystinti).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Ko-trimoksazolas (antibiotikų grupės vaistas), dar vadinamas trimetoprimu/sulfametoksazolu.</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Litis (vaistas nuo psichikos sutrikimų).</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Vaistai, vartojami širdies ritmo sutrikimams gydyti (pavyzdžiui, chinidinas, hidrochinidinas, dizopiramidas, amjodaronas, sotalolis, ibutilidas, dofetilidas, rusmenės glikozidai, bretilis).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Vaistai, vartojami psichikos sutrikimams, tokiems kaip depresija, nerimas, šizofrenija, gydyti (pavyzdžiui, tricikliai antidepresantai, vaistai nuo psichozių, neuroleptikai (tokie kaip amisulpridas, sulpiridas, sultopridas, tiapridas, haloperidolis, droperidolis)).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Bepridilas (vartojamas krūtinės anginai, t. y. krūtinės skausmą sukeliančiai būklei,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Cisapridas, difemanilas (vartojami virškinimo trakto sutrikimams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Antibiotikai, vartojami bakterinėms infekcijoms gydyti (pavyzdžiui, sparfloksacinas, moksifloksacinas, injekcinis eritromicinas).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Leidžiamas vinkaminas (vartojamas senyvų žmonių pažinimo sutrikimų simptomams, įskaitant atminties praradimą,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Halofantrinas (antiparazitinis vaistas, vartojamas tam tikroms maliarijos rūšims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Pentamidinas (vartojamas tam tikroms plaučių uždegimo rūšims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Mizolastinas (vartojamas alerginėms reakcijoms, pavyzdžiui, šienligei,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Leidžiamas amfotericinas B (vaistas nuo grybelių infekcijos).</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Geriamieji kortikosteroidai, vartojami įvairioms ligoms, įskaitant sunkią astmą ir reumatoidinį artritą,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Stimuliuojamojo poveikio vidurių laisvinamieji vaistai.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Baklofenas (vartojamas raumenų sustingimui, atsirandančiam sergant tokiomis ligomis kaip išsėtinė sklerozė,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Alopurinolis (vartojamas podagrai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Metforminas (vartojamas cukriniam diabetui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Kontrastinės medžiagos, kurių sudėtyje yra jodo (vartojamos tyrimams, kurių metu naudojami rentgeno spinduliai).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Kalcio tabletės ar kiti kalcio papildai.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Ciklosporinas, takrolimuzas ar kiti vaistai imuninei sistemai slopinti po organų persodinimo arba autoimuninėms ligoms, sunkioms reumatinėms ar odos ligoms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Tetrakozaktidas (vartojamas Krono ligai gydyti).</w:t>
      </w:r>
    </w:p>
    <w:p w:rsidR="009D7F83" w:rsidRDefault="009D7F83" w:rsidP="009D7F83">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Metadonas (vartojamas priklausomybei gydyti).</w:t>
      </w:r>
    </w:p>
    <w:p w:rsidR="009D7F83" w:rsidRDefault="009D7F83" w:rsidP="009D7F83">
      <w:pPr>
        <w:widowControl w:val="0"/>
        <w:tabs>
          <w:tab w:val="clear" w:pos="567"/>
        </w:tabs>
        <w:spacing w:line="240" w:lineRule="auto"/>
        <w:rPr>
          <w:snapToGrid/>
          <w:szCs w:val="22"/>
          <w:lang w:val="lt-LT" w:eastAsia="sl-SI"/>
        </w:rPr>
      </w:pPr>
    </w:p>
    <w:p w:rsidR="009D7F83" w:rsidRDefault="009D7F83" w:rsidP="009D7F83">
      <w:pPr>
        <w:widowControl w:val="0"/>
        <w:tabs>
          <w:tab w:val="clear" w:pos="567"/>
        </w:tabs>
        <w:spacing w:line="240" w:lineRule="auto"/>
        <w:rPr>
          <w:rFonts w:eastAsia="Batang"/>
          <w:snapToGrid/>
          <w:szCs w:val="22"/>
          <w:lang w:val="lt-LT" w:eastAsia="sl-SI"/>
        </w:rPr>
      </w:pPr>
      <w:r>
        <w:rPr>
          <w:rFonts w:eastAsia="Batang"/>
          <w:snapToGrid/>
          <w:szCs w:val="22"/>
          <w:lang w:val="lt-LT" w:eastAsia="sl-SI"/>
        </w:rPr>
        <w:t>Jūsų gydytojui gali tekti pakeisti Jūsų dozę ir (arba) imtis kitų atsargumo priemonių:</w:t>
      </w:r>
    </w:p>
    <w:p w:rsidR="009D7F83" w:rsidRDefault="009D7F83" w:rsidP="009D7F83">
      <w:pPr>
        <w:widowControl w:val="0"/>
        <w:numPr>
          <w:ilvl w:val="0"/>
          <w:numId w:val="10"/>
        </w:numPr>
        <w:tabs>
          <w:tab w:val="clear" w:pos="567"/>
        </w:tabs>
        <w:spacing w:line="240" w:lineRule="auto"/>
        <w:ind w:left="567" w:hanging="567"/>
        <w:rPr>
          <w:rFonts w:eastAsia="Batang"/>
          <w:snapToGrid/>
          <w:szCs w:val="22"/>
          <w:lang w:val="lt-LT" w:eastAsia="x-none"/>
        </w:rPr>
      </w:pPr>
      <w:r>
        <w:rPr>
          <w:snapToGrid/>
          <w:szCs w:val="22"/>
          <w:lang w:val="lt-LT" w:eastAsia="x-none"/>
        </w:rPr>
        <w:t xml:space="preserve">jeigu vartojate AKF inhibitorių arba aliskireno </w:t>
      </w:r>
      <w:r>
        <w:rPr>
          <w:rFonts w:eastAsia="Batang"/>
          <w:snapToGrid/>
          <w:szCs w:val="22"/>
          <w:lang w:val="lt-LT" w:eastAsia="x-none"/>
        </w:rPr>
        <w:t>(taip pat žiūrėkite informaciją, pateiktą poskyriuose „Kanpiduo vartoti draudžiama“ ir „Įspėjimai ir atsargumo priemonės“);</w:t>
      </w:r>
    </w:p>
    <w:p w:rsidR="009D7F83" w:rsidRDefault="009D7F83" w:rsidP="009D7F83">
      <w:pPr>
        <w:widowControl w:val="0"/>
        <w:numPr>
          <w:ilvl w:val="0"/>
          <w:numId w:val="10"/>
        </w:numPr>
        <w:tabs>
          <w:tab w:val="clear" w:pos="567"/>
        </w:tabs>
        <w:spacing w:line="240" w:lineRule="auto"/>
        <w:ind w:left="567" w:hanging="567"/>
        <w:rPr>
          <w:snapToGrid/>
          <w:szCs w:val="22"/>
          <w:lang w:val="lt-LT" w:eastAsia="sl-SI"/>
        </w:rPr>
      </w:pPr>
      <w:r>
        <w:rPr>
          <w:rFonts w:eastAsia="Batang"/>
          <w:snapToGrid/>
          <w:szCs w:val="22"/>
          <w:lang w:val="lt-LT" w:eastAsia="sl-SI"/>
        </w:rPr>
        <w:t xml:space="preserve">jeigu vartojate AKF inhibitorių kartu su tam tikrais kitais vaistais, skirtais širdies nepakankamumui gydyti ir priklausančiais mineralkortikoidinių receptorių antagonistų (MRA) </w:t>
      </w:r>
      <w:r>
        <w:rPr>
          <w:rFonts w:eastAsia="Batang"/>
          <w:snapToGrid/>
          <w:szCs w:val="22"/>
          <w:lang w:val="lt-LT" w:eastAsia="sl-SI"/>
        </w:rPr>
        <w:lastRenderedPageBreak/>
        <w:t>grupei (pavyzdžiui, spironolaktonu, eplerenonu).</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numPr>
          <w:ilvl w:val="12"/>
          <w:numId w:val="0"/>
        </w:numPr>
        <w:tabs>
          <w:tab w:val="clear" w:pos="567"/>
        </w:tabs>
        <w:spacing w:line="240" w:lineRule="auto"/>
        <w:ind w:right="-2"/>
        <w:outlineLvl w:val="0"/>
        <w:rPr>
          <w:b/>
          <w:snapToGrid/>
          <w:szCs w:val="22"/>
          <w:highlight w:val="yellow"/>
          <w:lang w:val="lt-LT" w:eastAsia="sl-SI"/>
        </w:rPr>
      </w:pPr>
      <w:r>
        <w:rPr>
          <w:b/>
          <w:snapToGrid/>
          <w:szCs w:val="22"/>
          <w:lang w:val="lt-LT" w:eastAsia="sl-SI"/>
        </w:rPr>
        <w:t>Kanpiduo vartojimas su maistu ir alkoholiu</w:t>
      </w:r>
    </w:p>
    <w:p w:rsidR="009D7F83" w:rsidRDefault="009D7F83" w:rsidP="009D7F83">
      <w:pPr>
        <w:widowControl w:val="0"/>
        <w:tabs>
          <w:tab w:val="clear" w:pos="567"/>
        </w:tabs>
        <w:autoSpaceDE w:val="0"/>
        <w:autoSpaceDN w:val="0"/>
        <w:adjustRightInd w:val="0"/>
        <w:spacing w:line="240" w:lineRule="auto"/>
        <w:rPr>
          <w:snapToGrid/>
          <w:szCs w:val="22"/>
          <w:lang w:val="lt-LT" w:eastAsia="sl-SI"/>
        </w:rPr>
      </w:pPr>
      <w:r>
        <w:rPr>
          <w:rFonts w:eastAsia="Calibri"/>
          <w:snapToGrid/>
          <w:szCs w:val="22"/>
          <w:lang w:val="lt-LT"/>
        </w:rPr>
        <w:t xml:space="preserve">Kanpiduo </w:t>
      </w:r>
      <w:r>
        <w:rPr>
          <w:snapToGrid/>
          <w:szCs w:val="22"/>
          <w:lang w:val="lt-LT" w:eastAsia="sl-SI"/>
        </w:rPr>
        <w:t>galima vartoti valgio metu arba nevalgius.</w:t>
      </w:r>
    </w:p>
    <w:p w:rsidR="009D7F83" w:rsidRDefault="009D7F83" w:rsidP="009D7F83">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Jeigu Jums paskirtas vartoti Kanpiduo, dėl alkoholinių gėrimų vartojimo pasitarkite su gydytoju. Alkoholis gali sukelti apalpimą arba svaigulį.</w:t>
      </w:r>
    </w:p>
    <w:p w:rsidR="009D7F83" w:rsidRDefault="009D7F83" w:rsidP="009D7F83">
      <w:pPr>
        <w:widowControl w:val="0"/>
        <w:tabs>
          <w:tab w:val="clear" w:pos="567"/>
        </w:tabs>
        <w:autoSpaceDE w:val="0"/>
        <w:autoSpaceDN w:val="0"/>
        <w:adjustRightInd w:val="0"/>
        <w:spacing w:line="240" w:lineRule="auto"/>
        <w:rPr>
          <w:snapToGrid/>
          <w:szCs w:val="22"/>
          <w:lang w:val="lt-LT" w:eastAsia="sl-SI"/>
        </w:rPr>
      </w:pPr>
    </w:p>
    <w:p w:rsidR="009D7F83" w:rsidRDefault="009D7F83" w:rsidP="009D7F8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rsidR="009D7F83" w:rsidRDefault="009D7F83" w:rsidP="009D7F83">
      <w:pPr>
        <w:numPr>
          <w:ilvl w:val="12"/>
          <w:numId w:val="0"/>
        </w:numPr>
        <w:tabs>
          <w:tab w:val="clear" w:pos="567"/>
          <w:tab w:val="left" w:pos="8505"/>
        </w:tabs>
        <w:spacing w:line="240" w:lineRule="auto"/>
        <w:ind w:right="-2"/>
        <w:rPr>
          <w:i/>
          <w:snapToGrid/>
          <w:szCs w:val="22"/>
          <w:u w:val="single"/>
          <w:lang w:val="lt-LT" w:eastAsia="sl-SI"/>
        </w:rPr>
      </w:pPr>
    </w:p>
    <w:p w:rsidR="009D7F83" w:rsidRDefault="009D7F83" w:rsidP="009D7F83">
      <w:pPr>
        <w:numPr>
          <w:ilvl w:val="12"/>
          <w:numId w:val="0"/>
        </w:numPr>
        <w:tabs>
          <w:tab w:val="clear" w:pos="567"/>
          <w:tab w:val="left" w:pos="8505"/>
        </w:tabs>
        <w:spacing w:line="240" w:lineRule="auto"/>
        <w:ind w:right="-2"/>
        <w:rPr>
          <w:i/>
          <w:snapToGrid/>
          <w:szCs w:val="22"/>
          <w:lang w:val="lt-LT" w:eastAsia="sl-SI"/>
        </w:rPr>
      </w:pPr>
      <w:r>
        <w:rPr>
          <w:snapToGrid/>
          <w:szCs w:val="22"/>
          <w:u w:val="single"/>
          <w:lang w:val="lt-LT" w:eastAsia="sl-SI"/>
        </w:rPr>
        <w:t>Nėštumas</w:t>
      </w:r>
    </w:p>
    <w:p w:rsidR="009D7F83" w:rsidRDefault="009D7F83" w:rsidP="009D7F83">
      <w:pPr>
        <w:numPr>
          <w:ilvl w:val="12"/>
          <w:numId w:val="0"/>
        </w:numPr>
        <w:tabs>
          <w:tab w:val="clear" w:pos="567"/>
          <w:tab w:val="left" w:pos="8505"/>
        </w:tabs>
        <w:spacing w:line="240" w:lineRule="auto"/>
        <w:ind w:right="-2"/>
        <w:rPr>
          <w:i/>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nėščia, apie tai turite pasakyti gydytojui. Jūsų gydytojas paprastai Jums patars Kanpiduo vartojimą nutraukti prieš pastojimą arba tuoj pat, kai tik sužinosite, kad tapote nėščia, ir patars vietoj Kanpiduo vartoti kitokio vaisto. Ankstyvuoju nėštumo laikotarpiu Kanpiduo vartoti nerekomenduojama, o jeigu esate nėščia ilgiau negu 3 mėnesius, Kanpiduo vartoti draudžiama, nes vartojamas po trečiojo nėštumo mėnesio šis vaistas gali sukelti sunkią žalą Jūsų vaikui.</w:t>
      </w:r>
    </w:p>
    <w:p w:rsidR="009D7F83" w:rsidRDefault="009D7F83" w:rsidP="009D7F83">
      <w:pPr>
        <w:numPr>
          <w:ilvl w:val="12"/>
          <w:numId w:val="0"/>
        </w:numPr>
        <w:tabs>
          <w:tab w:val="clear" w:pos="567"/>
          <w:tab w:val="left" w:pos="8505"/>
        </w:tabs>
        <w:spacing w:line="240" w:lineRule="auto"/>
        <w:ind w:right="-2"/>
        <w:rPr>
          <w:i/>
          <w:snapToGrid/>
          <w:szCs w:val="22"/>
          <w:lang w:val="lt-LT" w:eastAsia="sl-SI"/>
        </w:rPr>
      </w:pPr>
    </w:p>
    <w:p w:rsidR="009D7F83" w:rsidRDefault="009D7F83" w:rsidP="009D7F83">
      <w:pPr>
        <w:numPr>
          <w:ilvl w:val="12"/>
          <w:numId w:val="0"/>
        </w:numPr>
        <w:tabs>
          <w:tab w:val="clear" w:pos="567"/>
          <w:tab w:val="left" w:pos="8505"/>
        </w:tabs>
        <w:spacing w:line="240" w:lineRule="auto"/>
        <w:ind w:right="-2"/>
        <w:rPr>
          <w:i/>
          <w:snapToGrid/>
          <w:szCs w:val="22"/>
          <w:lang w:val="lt-LT" w:eastAsia="sl-SI"/>
        </w:rPr>
      </w:pPr>
      <w:r>
        <w:rPr>
          <w:snapToGrid/>
          <w:szCs w:val="22"/>
          <w:u w:val="single"/>
          <w:lang w:val="lt-LT" w:eastAsia="sl-SI"/>
        </w:rPr>
        <w:t>Žindymas</w:t>
      </w:r>
    </w:p>
    <w:p w:rsidR="009D7F83" w:rsidRDefault="009D7F83" w:rsidP="009D7F83">
      <w:pPr>
        <w:spacing w:line="240" w:lineRule="auto"/>
        <w:rPr>
          <w:snapToGrid/>
          <w:szCs w:val="22"/>
          <w:lang w:val="lt-LT" w:eastAsia="sl-SI"/>
        </w:rPr>
      </w:pPr>
      <w:r>
        <w:rPr>
          <w:snapToGrid/>
          <w:szCs w:val="22"/>
          <w:lang w:val="lt-LT" w:eastAsia="sl-SI"/>
        </w:rPr>
        <w:t>Pasakykite gydytojui, jei žindote kūdikį ar planuojate pradėti žindyti. Kanpiduo nerekomenduojama vartoti motinoms, kurios maitina krūtimi, ir gydytojas gali Jums parinkti kitą vaistą, jei norite maitinti krūtimi, ypač jei Jūsų kūdikis yra naujagimis arba gimė neišnešiotas. Veiklioji medžiaga indapamidas išsiskiria į gydytų moterų pieną.</w:t>
      </w:r>
    </w:p>
    <w:p w:rsidR="009D7F83" w:rsidRDefault="009D7F83" w:rsidP="009D7F83">
      <w:pPr>
        <w:numPr>
          <w:ilvl w:val="12"/>
          <w:numId w:val="0"/>
        </w:numPr>
        <w:tabs>
          <w:tab w:val="clear" w:pos="567"/>
          <w:tab w:val="left" w:pos="8505"/>
        </w:tabs>
        <w:spacing w:line="240" w:lineRule="auto"/>
        <w:ind w:right="-2"/>
        <w:rPr>
          <w:rFonts w:eastAsia="TimesNewRoman,Bold"/>
          <w:b/>
          <w:bCs/>
          <w:snapToGrid/>
          <w:szCs w:val="22"/>
          <w:lang w:val="lt-LT"/>
        </w:rPr>
      </w:pPr>
    </w:p>
    <w:p w:rsidR="009D7F83" w:rsidRDefault="009D7F83" w:rsidP="009D7F83">
      <w:pPr>
        <w:numPr>
          <w:ilvl w:val="12"/>
          <w:numId w:val="0"/>
        </w:numPr>
        <w:tabs>
          <w:tab w:val="clear" w:pos="567"/>
          <w:tab w:val="left" w:pos="8505"/>
        </w:tabs>
        <w:spacing w:line="240" w:lineRule="auto"/>
        <w:ind w:right="-2"/>
        <w:rPr>
          <w:rFonts w:eastAsia="TimesNewRoman,Bold"/>
          <w:b/>
          <w:bCs/>
          <w:snapToGrid/>
          <w:szCs w:val="22"/>
          <w:lang w:val="lt-LT"/>
        </w:rPr>
      </w:pPr>
      <w:r>
        <w:rPr>
          <w:rFonts w:eastAsia="TimesNewRoman,Bold"/>
          <w:b/>
          <w:bCs/>
          <w:snapToGrid/>
          <w:szCs w:val="22"/>
          <w:lang w:val="lt-LT"/>
        </w:rPr>
        <w:t>Vairavimas ir mechanizmų valdymas</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Šis vaistas gali sukelti šalutinį poveikį dėl kraujospūdžio sumažėjimo, pavyzdžiui, svaigulį ar nuovargį (žr. 4 skyrių). Šis šalutinis poveikis dažniau pasireiškia gydymo pradžioje arba didinant dozę. Jei Jums pasireiškė toks poveikis, nevairuokite ir nevaldykite jokių įrankių ar mechanizmų.</w:t>
      </w:r>
    </w:p>
    <w:p w:rsidR="009D7F83" w:rsidRDefault="009D7F83" w:rsidP="009D7F83">
      <w:pPr>
        <w:widowControl w:val="0"/>
        <w:numPr>
          <w:ilvl w:val="12"/>
          <w:numId w:val="0"/>
        </w:numPr>
        <w:tabs>
          <w:tab w:val="clear" w:pos="567"/>
        </w:tabs>
        <w:spacing w:line="240" w:lineRule="auto"/>
        <w:ind w:right="-2"/>
        <w:rPr>
          <w:bCs/>
          <w:snapToGrid/>
          <w:szCs w:val="22"/>
          <w:lang w:val="lt-LT"/>
        </w:rPr>
      </w:pPr>
    </w:p>
    <w:p w:rsidR="009D7F83" w:rsidRDefault="009D7F83" w:rsidP="009D7F83">
      <w:pPr>
        <w:widowControl w:val="0"/>
        <w:numPr>
          <w:ilvl w:val="12"/>
          <w:numId w:val="0"/>
        </w:numPr>
        <w:tabs>
          <w:tab w:val="clear" w:pos="567"/>
        </w:tabs>
        <w:spacing w:line="240" w:lineRule="auto"/>
        <w:rPr>
          <w:snapToGrid/>
          <w:szCs w:val="22"/>
          <w:lang w:val="lt-LT"/>
        </w:rPr>
      </w:pPr>
      <w:r>
        <w:rPr>
          <w:b/>
          <w:snapToGrid/>
          <w:szCs w:val="22"/>
          <w:lang w:val="lt-LT"/>
        </w:rPr>
        <w:t>Kanpiduo sudėtyje yra laktozės</w:t>
      </w:r>
    </w:p>
    <w:p w:rsidR="009D7F83" w:rsidRDefault="009D7F83" w:rsidP="009D7F83">
      <w:pPr>
        <w:widowControl w:val="0"/>
        <w:tabs>
          <w:tab w:val="clear" w:pos="567"/>
        </w:tabs>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Kaip vartoti Kanpiduo</w:t>
      </w:r>
    </w:p>
    <w:p w:rsidR="009D7F83" w:rsidRDefault="009D7F83" w:rsidP="009D7F83">
      <w:pPr>
        <w:widowControl w:val="0"/>
        <w:tabs>
          <w:tab w:val="clear" w:pos="567"/>
        </w:tabs>
        <w:spacing w:line="240" w:lineRule="auto"/>
        <w:ind w:left="567" w:hanging="567"/>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 Svarbu Kanpiduo vartoti kasdien.</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Rekomenduojama Kanpiduo dozė yra viena tabletė per parą, ją geriausia vartoti ryte. Kanpiduo galite vartoti valgio metu arba nevalgius. Tabletę nurykite užgerdami vandeniu. Tabletės smulkinti arba kramtyti negalima. Tabletę stenkitės gerti kasdien tuo pačiu metu. Tai padės prisiminti ją išgerti. Aukšto kraujospūdžio gydymas paprastai trunka visą gyvenimą.</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Ką daryti pavartojus per didelę Kanpiduo dozę</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išgėrėte daugiau Kanpiduo nei skyrė gydytojas, nedelsdami pasitarkite su gydytoju arba vaistininku. Labai didelė Kanpiduo dozė gali sukelti pykinimą (šleikštulį), vėmimą, žemą kraujospūdį, mėšlungį, svaigulį, apsnūdimą, minčių susipainiojimą ir inkstų išskiriamo šlapimo kiekio pokyčius.</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p>
    <w:p w:rsidR="009D7F83" w:rsidRDefault="009D7F83" w:rsidP="009D7F8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Pamiršus pavartoti Kanpiduo</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Negalima vartoti dvigubos dozės norint kompensuoti praleistą dozę.</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Kitą dozę gerkite įprastu metu.</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p>
    <w:p w:rsidR="009D7F83" w:rsidRDefault="009D7F83" w:rsidP="009D7F8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Nustojus vartoti Kanpiduo</w:t>
      </w:r>
    </w:p>
    <w:p w:rsidR="009D7F83" w:rsidRDefault="009D7F83" w:rsidP="009D7F8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Aukšto kraujospūdžio gydymas paprastai trunka visą gyvenimą, todėl, prieš nutraukdami šio vaisto vartojimą, turite pasitarti su gydytoju. Jei nutrauksite Kanpiduo vartojimą, kraujospūdis vėl gali </w:t>
      </w:r>
      <w:r>
        <w:rPr>
          <w:rFonts w:eastAsia="TimesNewRoman,Bold"/>
          <w:snapToGrid/>
          <w:szCs w:val="22"/>
          <w:lang w:val="lt-LT"/>
        </w:rPr>
        <w:lastRenderedPageBreak/>
        <w:t>padidėti.</w:t>
      </w:r>
    </w:p>
    <w:p w:rsidR="009D7F83" w:rsidRDefault="009D7F83" w:rsidP="009D7F83">
      <w:pPr>
        <w:widowControl w:val="0"/>
        <w:numPr>
          <w:ilvl w:val="12"/>
          <w:numId w:val="0"/>
        </w:numPr>
        <w:tabs>
          <w:tab w:val="clear" w:pos="567"/>
        </w:tabs>
        <w:spacing w:line="240" w:lineRule="auto"/>
        <w:ind w:right="-2"/>
        <w:rPr>
          <w:rFonts w:eastAsia="TimesNewRoman,Bold"/>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rsidR="009D7F83" w:rsidRDefault="009D7F83" w:rsidP="009D7F83">
      <w:pPr>
        <w:widowControl w:val="0"/>
        <w:tabs>
          <w:tab w:val="clear" w:pos="567"/>
        </w:tabs>
        <w:spacing w:line="240" w:lineRule="auto"/>
        <w:ind w:left="567" w:hanging="567"/>
        <w:rPr>
          <w:snapToGrid/>
          <w:szCs w:val="22"/>
          <w:lang w:val="lt-LT"/>
        </w:rPr>
      </w:pPr>
    </w:p>
    <w:p w:rsidR="009D7F83" w:rsidRDefault="009D7F83" w:rsidP="009D7F83">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r>
        <w:rPr>
          <w:szCs w:val="22"/>
          <w:lang w:val="lt-LT"/>
        </w:rPr>
        <w:t xml:space="preserve"> </w:t>
      </w:r>
      <w:r>
        <w:rPr>
          <w:snapToGrid/>
          <w:szCs w:val="22"/>
          <w:lang w:val="lt-LT"/>
        </w:rPr>
        <w:t>Svarbu, kad žinotumėte, koks šalutinis poveikis gali pasireikšti.</w:t>
      </w:r>
    </w:p>
    <w:p w:rsidR="009D7F83" w:rsidRDefault="009D7F83" w:rsidP="009D7F83">
      <w:pPr>
        <w:widowControl w:val="0"/>
        <w:tabs>
          <w:tab w:val="clear" w:pos="567"/>
        </w:tabs>
        <w:autoSpaceDE w:val="0"/>
        <w:autoSpaceDN w:val="0"/>
        <w:adjustRightInd w:val="0"/>
        <w:spacing w:line="240" w:lineRule="auto"/>
        <w:rPr>
          <w:snapToGrid/>
          <w:szCs w:val="22"/>
          <w:lang w:val="lt-LT"/>
        </w:rPr>
      </w:pPr>
    </w:p>
    <w:p w:rsidR="009D7F83" w:rsidRDefault="009D7F83" w:rsidP="009D7F83">
      <w:pPr>
        <w:tabs>
          <w:tab w:val="clear" w:pos="567"/>
        </w:tabs>
        <w:autoSpaceDE w:val="0"/>
        <w:autoSpaceDN w:val="0"/>
        <w:adjustRightInd w:val="0"/>
        <w:spacing w:line="240" w:lineRule="auto"/>
        <w:rPr>
          <w:snapToGrid/>
          <w:szCs w:val="22"/>
          <w:lang w:val="lt-LT" w:eastAsia="sl-SI"/>
        </w:rPr>
      </w:pPr>
      <w:r>
        <w:rPr>
          <w:b/>
          <w:snapToGrid/>
          <w:szCs w:val="22"/>
          <w:lang w:val="lt-LT" w:eastAsia="sl-SI"/>
        </w:rPr>
        <w:t>Nedelsdami nutraukite šio vaisto vartojimą ir kreipkitės į gydytoją, jei pasireikš bet kuris toliau išvardytas šalutinis poveikis, kuris gali būti sunkus</w:t>
      </w:r>
      <w:r>
        <w:rPr>
          <w:snapToGrid/>
          <w:szCs w:val="22"/>
          <w:lang w:val="lt-LT" w:eastAsia="sl-SI"/>
        </w:rPr>
        <w:t>.</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Angioneurozinė edema ir (arba) dilgėlinė. Angioneurozinei edemai yra būdingas greitas galūnių ar veido odos patinimas, lūpų ar liežuvio patinimas, gerklės (ryklės) ar kvėpavimo takų gleivinės patinimas, sukeliantis dusulį ar rijimo sutrikimą. Tokiu atveju nedelsdami kreipkitės į gydytoją. (Labai retas poveikis: gali pasireikšti rečiau kaip 1 iš 10 000 asmenų).</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Kanpiduo gali sukelti baltųjų kraujo ląstelių kiekio sumažėjimą. Gali sumažėti atsparumas infekcijoms, pasireikšti nuovargis, infekcija ar karščiavimas. Tokiu atveju kreipkitės į gydytoją. Gydytojas gali nurodyti kartais atlikti kraujo tyrimus, kad galėtų įsitikinti, ar nepasireiškė Kanpiduo poveikis kraujui (agranulocitozė). (Labai retas poveikis: gali pasireikšti rečiau kaip 1 iš 10 000 asmenų).</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Sunkios odos reakcijos, įskaitant intensyvų odos išbėrimą, viso kūno odos paraudimą, stiprų niežėjimą, pūslių susidarymą, odos lupimąsi ir patinimą, gleivinės uždegimą (Stivenso-Džonsono sindromas, toksinė epidermio nekrolizė) arba kitas alergines reakcijas. (Labai retas poveikis: gali pasireikšti rečiau kaip 1 iš 10 000 asmenų).</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 xml:space="preserve">Gyvybei pavojingas neritmiškas širdies plakimas (paroksizminė polimorfinė skilvelių tachikardija, dar vadinama </w:t>
      </w:r>
      <w:r>
        <w:rPr>
          <w:rFonts w:eastAsia="Calibri"/>
          <w:i/>
          <w:iCs/>
          <w:snapToGrid/>
          <w:szCs w:val="22"/>
          <w:lang w:val="lt-LT" w:eastAsia="sl-SI"/>
        </w:rPr>
        <w:t>Torsade de pointes</w:t>
      </w:r>
      <w:r>
        <w:rPr>
          <w:rFonts w:eastAsia="Calibri"/>
          <w:snapToGrid/>
          <w:szCs w:val="22"/>
          <w:lang w:val="lt-LT" w:eastAsia="sl-SI"/>
        </w:rPr>
        <w:t xml:space="preserve">). (Dažnis nežinomas - </w:t>
      </w:r>
      <w:r>
        <w:rPr>
          <w:szCs w:val="22"/>
          <w:lang w:val="lt-LT"/>
        </w:rPr>
        <w:t>negali būti apskaičiuotas pagal turimus duomenis</w:t>
      </w:r>
      <w:r>
        <w:rPr>
          <w:rFonts w:eastAsia="Calibri"/>
          <w:snapToGrid/>
          <w:szCs w:val="22"/>
          <w:lang w:val="lt-LT" w:eastAsia="sl-SI"/>
        </w:rPr>
        <w:t>).</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Kasos uždegimas, galintis sukelti stiprų pilvo ir nugaros skausmą, kartu pasireiškiant labai blogai savijautai (pankreatitas). (Labai retas poveikis: gali pasireikšti rečiau kaip 1 iš 10 000 asmenų).</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sutrikimo sukelta smegenų liga (hepatinė encefalopatija) (dažnis nežinomas).</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uždegimas (hepatitas). (Labai retas poveikis: gali pasireikšti rečiau kaip 1 iš 10 000 asmenų).</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Raumenų silpnumas, mėšlungis, jautrumas ar skausmas, ypač jei tuo pat metu blogai jaučiatės ar yra aukšta temperatūra; tokį poveikį gali sukelti nenormalus raumenų irimas (rabdomiolizė). (Labai retas poveikis: gali pasireikšti rečiau kaip 1 iš 10 000 asmenų).</w:t>
      </w:r>
    </w:p>
    <w:p w:rsidR="009D7F83" w:rsidRDefault="009D7F83" w:rsidP="009D7F83">
      <w:pPr>
        <w:spacing w:line="240" w:lineRule="auto"/>
        <w:ind w:right="-29"/>
        <w:rPr>
          <w:szCs w:val="22"/>
          <w:lang w:val="lt-LT"/>
        </w:rPr>
      </w:pPr>
    </w:p>
    <w:p w:rsidR="009D7F83" w:rsidRDefault="009D7F83" w:rsidP="009D7F83">
      <w:pPr>
        <w:spacing w:line="240" w:lineRule="auto"/>
        <w:ind w:right="-29"/>
        <w:rPr>
          <w:szCs w:val="22"/>
          <w:lang w:val="lt-LT"/>
        </w:rPr>
      </w:pPr>
      <w:r>
        <w:rPr>
          <w:szCs w:val="22"/>
          <w:lang w:val="lt-LT"/>
        </w:rPr>
        <w:t>Toliau yra išvardytas kitoks galimas šalutinis Kanpiduo poveikis</w:t>
      </w:r>
    </w:p>
    <w:p w:rsidR="009D7F83" w:rsidRDefault="009D7F83" w:rsidP="009D7F83">
      <w:pPr>
        <w:spacing w:line="240" w:lineRule="auto"/>
        <w:ind w:right="-29"/>
        <w:rPr>
          <w:szCs w:val="22"/>
          <w:lang w:val="lt-LT"/>
        </w:rPr>
      </w:pPr>
    </w:p>
    <w:p w:rsidR="009D7F83" w:rsidRDefault="009D7F83" w:rsidP="009D7F83">
      <w:pPr>
        <w:spacing w:line="240" w:lineRule="auto"/>
        <w:ind w:right="-29"/>
        <w:rPr>
          <w:b/>
          <w:bCs/>
          <w:szCs w:val="22"/>
          <w:lang w:val="lt-LT"/>
        </w:rPr>
      </w:pPr>
      <w:r>
        <w:rPr>
          <w:b/>
          <w:bCs/>
          <w:szCs w:val="22"/>
          <w:lang w:val="lt-LT"/>
        </w:rPr>
        <w:t>Dažni šalutinio poveikio reiškiniai (gali pasireikšti rečiau kaip 1 iš 10 asmenų):</w:t>
      </w:r>
    </w:p>
    <w:p w:rsidR="009D7F83" w:rsidRDefault="009D7F83" w:rsidP="009D7F83">
      <w:pPr>
        <w:numPr>
          <w:ilvl w:val="0"/>
          <w:numId w:val="8"/>
        </w:numPr>
        <w:tabs>
          <w:tab w:val="clear" w:pos="567"/>
        </w:tabs>
        <w:spacing w:line="240" w:lineRule="auto"/>
        <w:ind w:left="567" w:right="-29" w:hanging="567"/>
        <w:rPr>
          <w:szCs w:val="22"/>
          <w:lang w:val="lt-LT"/>
        </w:rPr>
      </w:pPr>
      <w:r>
        <w:rPr>
          <w:szCs w:val="22"/>
          <w:lang w:val="lt-LT"/>
        </w:rPr>
        <w:t>kvėpavimo sistemos infekcija;</w:t>
      </w:r>
    </w:p>
    <w:p w:rsidR="009D7F83" w:rsidRDefault="009D7F83" w:rsidP="009D7F83">
      <w:pPr>
        <w:numPr>
          <w:ilvl w:val="0"/>
          <w:numId w:val="8"/>
        </w:numPr>
        <w:tabs>
          <w:tab w:val="clear" w:pos="567"/>
        </w:tabs>
        <w:spacing w:line="240" w:lineRule="auto"/>
        <w:ind w:left="567" w:right="-29" w:hanging="567"/>
        <w:rPr>
          <w:szCs w:val="22"/>
          <w:lang w:val="lt-LT"/>
        </w:rPr>
      </w:pPr>
      <w:r>
        <w:rPr>
          <w:szCs w:val="22"/>
          <w:lang w:val="lt-LT"/>
        </w:rPr>
        <w:t>kraujo tyrimų rezultatų pokyčiai: padidėjęs kalio kiekis kraujyje, ypač jei jau yra inkstų sutrikimų ar širdies nepakankamumas. Jei toks poveikis sunkus, gali pasireikšti nuovargis, silpnumas, neritmiškas širdies plakimas ar badymo ir dilgčiojimo pojūtis;</w:t>
      </w:r>
    </w:p>
    <w:p w:rsidR="009D7F83" w:rsidRDefault="009D7F83" w:rsidP="009D7F83">
      <w:pPr>
        <w:numPr>
          <w:ilvl w:val="0"/>
          <w:numId w:val="8"/>
        </w:numPr>
        <w:tabs>
          <w:tab w:val="clear" w:pos="567"/>
        </w:tabs>
        <w:spacing w:line="240" w:lineRule="auto"/>
        <w:ind w:left="567" w:right="-29" w:hanging="567"/>
        <w:rPr>
          <w:szCs w:val="22"/>
          <w:lang w:val="lt-LT"/>
        </w:rPr>
      </w:pPr>
      <w:r>
        <w:rPr>
          <w:szCs w:val="22"/>
          <w:lang w:val="lt-LT"/>
        </w:rPr>
        <w:t>svaigulio / sukimosi pojūtis;</w:t>
      </w:r>
    </w:p>
    <w:p w:rsidR="009D7F83" w:rsidRDefault="009D7F83" w:rsidP="009D7F83">
      <w:pPr>
        <w:numPr>
          <w:ilvl w:val="0"/>
          <w:numId w:val="8"/>
        </w:numPr>
        <w:tabs>
          <w:tab w:val="clear" w:pos="567"/>
        </w:tabs>
        <w:spacing w:line="240" w:lineRule="auto"/>
        <w:ind w:left="567" w:right="-29" w:hanging="567"/>
        <w:rPr>
          <w:szCs w:val="22"/>
          <w:lang w:val="lt-LT"/>
        </w:rPr>
      </w:pPr>
      <w:r>
        <w:rPr>
          <w:szCs w:val="22"/>
          <w:lang w:val="lt-LT"/>
        </w:rPr>
        <w:t>galvos skausmas;</w:t>
      </w:r>
    </w:p>
    <w:p w:rsidR="009D7F83" w:rsidRDefault="009D7F83" w:rsidP="009D7F83">
      <w:pPr>
        <w:numPr>
          <w:ilvl w:val="0"/>
          <w:numId w:val="6"/>
        </w:numPr>
        <w:tabs>
          <w:tab w:val="clear" w:pos="567"/>
        </w:tabs>
        <w:spacing w:line="240" w:lineRule="auto"/>
        <w:ind w:left="567" w:right="-29" w:hanging="567"/>
        <w:rPr>
          <w:szCs w:val="22"/>
          <w:lang w:val="lt-LT"/>
        </w:rPr>
      </w:pPr>
      <w:r>
        <w:rPr>
          <w:szCs w:val="22"/>
          <w:lang w:val="lt-LT"/>
        </w:rPr>
        <w:t>alerginės reakcijos (daugiausia odos) asmenims, turintiems polinkį į alergines ir astmines reakcijas;</w:t>
      </w:r>
    </w:p>
    <w:p w:rsidR="009D7F83" w:rsidRDefault="009D7F83" w:rsidP="009D7F83">
      <w:pPr>
        <w:numPr>
          <w:ilvl w:val="0"/>
          <w:numId w:val="4"/>
        </w:numPr>
        <w:tabs>
          <w:tab w:val="clear" w:pos="567"/>
        </w:tabs>
        <w:spacing w:line="240" w:lineRule="auto"/>
        <w:ind w:left="567" w:right="-29" w:hanging="567"/>
        <w:rPr>
          <w:szCs w:val="22"/>
          <w:lang w:val="lt-LT"/>
        </w:rPr>
      </w:pPr>
      <w:r>
        <w:rPr>
          <w:szCs w:val="22"/>
          <w:lang w:val="lt-LT"/>
        </w:rPr>
        <w:t>raudonas iškilus odos išbėrimas.</w:t>
      </w:r>
    </w:p>
    <w:p w:rsidR="009D7F83" w:rsidRDefault="009D7F83" w:rsidP="009D7F83">
      <w:pPr>
        <w:spacing w:line="240" w:lineRule="auto"/>
        <w:ind w:right="-29"/>
        <w:rPr>
          <w:szCs w:val="22"/>
          <w:lang w:val="lt-LT"/>
        </w:rPr>
      </w:pPr>
    </w:p>
    <w:p w:rsidR="009D7F83" w:rsidRDefault="009D7F83" w:rsidP="009D7F83">
      <w:pPr>
        <w:spacing w:line="240" w:lineRule="auto"/>
        <w:ind w:right="-29"/>
        <w:rPr>
          <w:b/>
          <w:bCs/>
          <w:szCs w:val="22"/>
          <w:lang w:val="lt-LT"/>
        </w:rPr>
      </w:pPr>
      <w:r>
        <w:rPr>
          <w:b/>
          <w:bCs/>
          <w:szCs w:val="22"/>
          <w:lang w:val="lt-LT"/>
        </w:rPr>
        <w:t>Nedažni šalutinio poveikio reiškiniai (gali pasireikšti rečiau kaip 1 iš 100 asmenų):</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mažas natrio kiekis kraujyje, galintis sukelti dehidrataciją ir žemą kraujospūdį;</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szCs w:val="22"/>
          <w:lang w:val="lt-LT"/>
        </w:rPr>
      </w:pPr>
      <w:r>
        <w:rPr>
          <w:rFonts w:eastAsia="Calibri"/>
          <w:snapToGrid/>
          <w:szCs w:val="22"/>
          <w:lang w:val="lt-LT" w:eastAsia="sl-SI"/>
        </w:rPr>
        <w:t>vėmimas;</w:t>
      </w:r>
    </w:p>
    <w:p w:rsidR="009D7F83" w:rsidRDefault="009D7F83" w:rsidP="009D7F83">
      <w:pPr>
        <w:numPr>
          <w:ilvl w:val="0"/>
          <w:numId w:val="8"/>
        </w:numPr>
        <w:tabs>
          <w:tab w:val="clear" w:pos="567"/>
        </w:tabs>
        <w:autoSpaceDE w:val="0"/>
        <w:autoSpaceDN w:val="0"/>
        <w:adjustRightInd w:val="0"/>
        <w:spacing w:line="240" w:lineRule="auto"/>
        <w:ind w:left="567" w:hanging="567"/>
        <w:contextualSpacing/>
        <w:rPr>
          <w:szCs w:val="22"/>
          <w:lang w:val="lt-LT"/>
        </w:rPr>
      </w:pPr>
      <w:r>
        <w:rPr>
          <w:rFonts w:eastAsia="Calibri"/>
          <w:snapToGrid/>
          <w:szCs w:val="22"/>
          <w:lang w:val="lt-LT" w:eastAsia="sl-SI"/>
        </w:rPr>
        <w:t>impotencija (nesugebėjimas pasiekti ar išlaikyti erekciją).</w:t>
      </w:r>
    </w:p>
    <w:p w:rsidR="009D7F83" w:rsidRDefault="009D7F83" w:rsidP="009D7F83">
      <w:pPr>
        <w:spacing w:line="240" w:lineRule="auto"/>
        <w:ind w:right="-29"/>
        <w:rPr>
          <w:szCs w:val="22"/>
          <w:lang w:val="lt-LT"/>
        </w:rPr>
      </w:pPr>
    </w:p>
    <w:p w:rsidR="009D7F83" w:rsidRDefault="009D7F83" w:rsidP="009D7F83">
      <w:pPr>
        <w:spacing w:line="240" w:lineRule="auto"/>
        <w:ind w:right="-29"/>
        <w:rPr>
          <w:rFonts w:eastAsia="Segoe UI Emoji"/>
          <w:b/>
          <w:bCs/>
          <w:szCs w:val="22"/>
          <w:lang w:val="lt-LT"/>
        </w:rPr>
      </w:pPr>
      <w:r>
        <w:rPr>
          <w:b/>
          <w:bCs/>
          <w:szCs w:val="22"/>
          <w:lang w:val="lt-LT"/>
        </w:rPr>
        <w:t>Reti šalutinio poveikio reiškiniai (gali pasireikšti rečiau kaip 1 iš 1 000 asmenų):</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lastRenderedPageBreak/>
        <w:t>mažas chloridų kiekis kraujyje, mažas magnio kiekis kraujyje;</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nuovargio pojūtis, badymo ir dilgčiojimo pojūtis (parestezija);</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virškinimo trakto sutrikimai (pvz., pykinimas, vidurių užkietėjimas), burnos džiūvimas.</w:t>
      </w:r>
    </w:p>
    <w:p w:rsidR="009D7F83" w:rsidRDefault="009D7F83" w:rsidP="009D7F83">
      <w:pPr>
        <w:spacing w:line="240" w:lineRule="auto"/>
        <w:ind w:right="-29"/>
        <w:rPr>
          <w:szCs w:val="22"/>
          <w:lang w:val="lt-LT"/>
        </w:rPr>
      </w:pPr>
    </w:p>
    <w:p w:rsidR="009D7F83" w:rsidRDefault="009D7F83" w:rsidP="009D7F83">
      <w:pPr>
        <w:spacing w:line="240" w:lineRule="auto"/>
        <w:ind w:right="-29"/>
        <w:rPr>
          <w:b/>
          <w:bCs/>
          <w:szCs w:val="22"/>
          <w:lang w:val="lt-LT"/>
        </w:rPr>
      </w:pPr>
      <w:r>
        <w:rPr>
          <w:b/>
          <w:bCs/>
          <w:szCs w:val="22"/>
          <w:lang w:val="lt-LT"/>
        </w:rPr>
        <w:t>Labai reti šalutinio poveikio reiškiniai (gali pasireikšti rečiau kaip 1 iš 10 000 asmenų):</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kraujo ląstelių pokyčiai, pavyzdžiui, trombocitopenija (trombocitų (kraujo plokštelių) skaičiaus sumažėjimas, sukeliantis lengvą kraujosruvų atsiradimą ir kraujavimą iš nosies), leukopenija, neutropenija (baltųjų kraujo ląstelių sumažėjimas, galintis sukelti neaiškių priežasčių sukeltą karščiavimą, gerklės skausmą ar kitus į gripą panašius simptomus - tokiu atveju kreipkitės į gydytoją) ir mažakraujystė (raudonųjų ląstelių sumažėjimas);</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didelis kalcio kiekis kraujyje;</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širdies ritmo sutrikimai (sukeliantys širdies plakimus, perplakimus (palpitacijos), t. y. stipraus širdies plakimo pojūtį);</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kosulys;</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sutrikusi kepenų funkcija, kepenų fermentų aktyvumo padidėjimas, galintis turėti įtakos kai kuriems medicininiams tyrimams;</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odos išbėrimas, niežėjimas;</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nugaros skausmas, sąnarių ir raumenų skausmas;</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inkstų liga (sukelianti nuovargio, padidėjusio poreikio šlapintis, odos niežėjimo, blogos bendrosios savijautos, galūnių patinimo simptomus);</w:t>
      </w:r>
    </w:p>
    <w:p w:rsidR="009D7F83" w:rsidRDefault="009D7F83" w:rsidP="009D7F83">
      <w:pPr>
        <w:numPr>
          <w:ilvl w:val="0"/>
          <w:numId w:val="5"/>
        </w:numPr>
        <w:tabs>
          <w:tab w:val="clear" w:pos="567"/>
        </w:tabs>
        <w:spacing w:line="240" w:lineRule="auto"/>
        <w:ind w:left="567" w:right="-29" w:hanging="567"/>
        <w:rPr>
          <w:szCs w:val="22"/>
          <w:lang w:val="lt-LT"/>
        </w:rPr>
      </w:pPr>
      <w:r>
        <w:rPr>
          <w:szCs w:val="22"/>
          <w:lang w:val="lt-LT"/>
        </w:rPr>
        <w:t>žarnyno angioneurozinė edema: tinimas žarnyne, pasireiškiantis tokiais simptomais kaip pilvo skausmas, pykinimas, vėmimas ir viduriavimas.</w:t>
      </w:r>
    </w:p>
    <w:p w:rsidR="009D7F83" w:rsidRDefault="009D7F83" w:rsidP="009D7F83">
      <w:pPr>
        <w:spacing w:line="240" w:lineRule="auto"/>
        <w:ind w:right="-29"/>
        <w:rPr>
          <w:szCs w:val="22"/>
          <w:lang w:val="lt-LT"/>
        </w:rPr>
      </w:pPr>
    </w:p>
    <w:p w:rsidR="009D7F83" w:rsidRDefault="009D7F83" w:rsidP="009D7F83">
      <w:pPr>
        <w:spacing w:line="240" w:lineRule="auto"/>
        <w:ind w:right="-29"/>
        <w:rPr>
          <w:b/>
          <w:bCs/>
          <w:szCs w:val="22"/>
          <w:lang w:val="lt-LT"/>
        </w:rPr>
      </w:pPr>
      <w:r>
        <w:rPr>
          <w:b/>
          <w:bCs/>
          <w:szCs w:val="22"/>
          <w:lang w:val="lt-LT"/>
        </w:rPr>
        <w:t>Šalutinio poveikio reiškiniai, kurių dažnis nežinomas (negali būti apskaičiuotas pagal turimus duomenis):</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apalpimas;</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regėjimo susilpnėjimas, skausmas akyse dėl didelio spaudimo (galimi skysčio kaupimosi akies kraujagysliniame sluoksnyje (tarp gyslainės ir odenos) arba ūminės uždaro kampo glaukomos požymiai);</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viduriavimas;</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jeigu sergate sistemine raudonąja vilklige (imuninės sistemos sutrikimas, sukeliantis sąnarių, sausgyslių ir organų uždegimą bei pasireiškiantis tokiais simptomais kaip odos išbėrimas, nuovargis, apetito praradimas, padidėjęs kūno svoris ir sąnarių skausmas), ji gali pasunkėti;</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pranešta apie padidėjusio jautrumo šviesai reakcijas (odos išvaizdos pokyčiai) po saulės arba dirbtinių UV spindulių poveikio atvejus;</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raumenų mėšlungis, raumenų silpnumas;</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nenormali širdies elektrokardiograma (EKG);</w:t>
      </w:r>
    </w:p>
    <w:p w:rsidR="009D7F83" w:rsidRDefault="009D7F83" w:rsidP="009D7F83">
      <w:pPr>
        <w:numPr>
          <w:ilvl w:val="0"/>
          <w:numId w:val="5"/>
        </w:numPr>
        <w:tabs>
          <w:tab w:val="clear" w:pos="567"/>
        </w:tabs>
        <w:spacing w:line="240" w:lineRule="auto"/>
        <w:ind w:left="567" w:right="-29" w:hanging="425"/>
        <w:rPr>
          <w:szCs w:val="22"/>
          <w:lang w:val="lt-LT"/>
        </w:rPr>
      </w:pPr>
      <w:r>
        <w:rPr>
          <w:szCs w:val="22"/>
          <w:lang w:val="lt-LT"/>
        </w:rPr>
        <w:t>kraujyje gali atsirasti pokyčių ir gydytojui gali tekti atlikti kraujo tyrimus, kad patikrintų Jūsų būklę. Gali atsirasti toliau išvardytų laboratorinių parametrų pokyčių:</w:t>
      </w:r>
    </w:p>
    <w:p w:rsidR="009D7F83" w:rsidRDefault="009D7F83" w:rsidP="009D7F83">
      <w:pPr>
        <w:numPr>
          <w:ilvl w:val="0"/>
          <w:numId w:val="5"/>
        </w:numPr>
        <w:tabs>
          <w:tab w:val="clear" w:pos="567"/>
          <w:tab w:val="left" w:pos="1134"/>
        </w:tabs>
        <w:spacing w:line="240" w:lineRule="auto"/>
        <w:ind w:left="1134" w:right="-29" w:hanging="567"/>
        <w:rPr>
          <w:szCs w:val="22"/>
          <w:lang w:val="lt-LT"/>
        </w:rPr>
      </w:pPr>
      <w:r>
        <w:rPr>
          <w:szCs w:val="22"/>
          <w:lang w:val="lt-LT"/>
        </w:rPr>
        <w:t>šlapimo rūgšties, t. y. medžiagos, kuri gali sukelti arba pasunkinti podagrą (sąnario (-ų), ypač pėdų, skausmingumą), kiekio padidėjimas,</w:t>
      </w:r>
    </w:p>
    <w:p w:rsidR="009D7F83" w:rsidRDefault="009D7F83" w:rsidP="009D7F83">
      <w:pPr>
        <w:numPr>
          <w:ilvl w:val="0"/>
          <w:numId w:val="5"/>
        </w:numPr>
        <w:tabs>
          <w:tab w:val="clear" w:pos="567"/>
          <w:tab w:val="left" w:pos="1134"/>
        </w:tabs>
        <w:spacing w:line="240" w:lineRule="auto"/>
        <w:ind w:left="1134" w:right="-29" w:hanging="567"/>
        <w:rPr>
          <w:snapToGrid/>
          <w:szCs w:val="22"/>
          <w:lang w:val="lt-LT"/>
        </w:rPr>
      </w:pPr>
      <w:r>
        <w:rPr>
          <w:szCs w:val="22"/>
          <w:lang w:val="lt-LT"/>
        </w:rPr>
        <w:t>gliukozės kiekio kraujyje padidėjimas cukriniu diabetu sergantiems pacientams.</w:t>
      </w:r>
    </w:p>
    <w:p w:rsidR="009D7F83" w:rsidRDefault="009D7F83" w:rsidP="009D7F83">
      <w:pPr>
        <w:widowControl w:val="0"/>
        <w:tabs>
          <w:tab w:val="clear" w:pos="567"/>
          <w:tab w:val="left" w:pos="540"/>
        </w:tabs>
        <w:spacing w:line="240" w:lineRule="auto"/>
        <w:rPr>
          <w:rFonts w:eastAsia="Calibri"/>
          <w:bCs/>
          <w:snapToGrid/>
          <w:szCs w:val="22"/>
          <w:lang w:val="lt-LT"/>
        </w:rPr>
      </w:pPr>
    </w:p>
    <w:p w:rsidR="009D7F83" w:rsidRDefault="009D7F83" w:rsidP="009D7F83">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rsidR="009D7F83" w:rsidRDefault="009D7F83" w:rsidP="009D7F83">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w:t>
      </w:r>
      <w:r>
        <w:rPr>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val="lt-LT" w:eastAsia="lt-LT"/>
        </w:rPr>
        <w:t>https://vvkt.lrv.lt/lt/</w:t>
      </w:r>
      <w:r>
        <w:rPr>
          <w:szCs w:val="22"/>
          <w:lang w:val="lt-LT" w:eastAsia="lt-LT"/>
        </w:rPr>
        <w:t xml:space="preserve"> nurodytais būdais arba paskambinti nemokamu telefonu 8 800 73 568. Pranešdami apie šalutinį poveikį galite mums padėti gauti daugiau informacijos apie šio vaisto saugumą</w:t>
      </w:r>
      <w:r>
        <w:rPr>
          <w:szCs w:val="22"/>
          <w:lang w:val="lt-LT"/>
        </w:rPr>
        <w:t>.</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Kaip laikyti Kanpiduo</w:t>
      </w:r>
    </w:p>
    <w:p w:rsidR="009D7F83" w:rsidRDefault="009D7F83" w:rsidP="009D7F83">
      <w:pPr>
        <w:widowControl w:val="0"/>
        <w:tabs>
          <w:tab w:val="clear" w:pos="567"/>
        </w:tabs>
        <w:spacing w:line="240" w:lineRule="auto"/>
        <w:rPr>
          <w:i/>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tabs>
          <w:tab w:val="clear" w:pos="567"/>
        </w:tabs>
        <w:spacing w:line="240" w:lineRule="auto"/>
        <w:rPr>
          <w:iCs/>
          <w:snapToGrid/>
          <w:szCs w:val="22"/>
          <w:lang w:val="lt-LT"/>
        </w:rPr>
      </w:pPr>
      <w:r>
        <w:rPr>
          <w:iCs/>
          <w:snapToGrid/>
          <w:szCs w:val="22"/>
          <w:lang w:val="lt-LT"/>
        </w:rPr>
        <w:t>Ant lizdinės plokštelės ir dėžutės po „EXP“ nurodytam tinkamumo laikui pasibaigus, šio vaisto vartoti negalima. Vaistas tinkamas vartoti iki paskutinės nurodyto mėnesio dienos.</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tabs>
          <w:tab w:val="clear" w:pos="567"/>
        </w:tabs>
        <w:spacing w:line="240" w:lineRule="auto"/>
        <w:rPr>
          <w:snapToGrid/>
          <w:szCs w:val="22"/>
          <w:lang w:val="lt-LT"/>
        </w:rPr>
      </w:pPr>
      <w:r>
        <w:rPr>
          <w:snapToGrid/>
          <w:szCs w:val="22"/>
          <w:lang w:val="lt-LT"/>
        </w:rPr>
        <w:t>Laikyti ne aukštesnėje kaip 30 ºC temperatūroje.</w:t>
      </w:r>
    </w:p>
    <w:p w:rsidR="009D7F83" w:rsidRDefault="009D7F83" w:rsidP="009D7F83">
      <w:pPr>
        <w:widowControl w:val="0"/>
        <w:tabs>
          <w:tab w:val="clear" w:pos="567"/>
        </w:tabs>
        <w:spacing w:line="240" w:lineRule="auto"/>
        <w:rPr>
          <w:rFonts w:eastAsia="TimesNewRoman"/>
          <w:snapToGrid/>
          <w:szCs w:val="22"/>
          <w:lang w:val="lt-LT"/>
        </w:rPr>
      </w:pPr>
      <w:r>
        <w:rPr>
          <w:rFonts w:eastAsia="TimesNewRoman"/>
          <w:snapToGrid/>
          <w:szCs w:val="22"/>
          <w:lang w:val="lt-LT"/>
        </w:rPr>
        <w:t>Lizdines plokšteles laikyti išorinėje dėžutėje, kad vaistas būtų apsaugotas nuo drėgmės ir šviesos.</w:t>
      </w:r>
    </w:p>
    <w:p w:rsidR="009D7F83" w:rsidRDefault="009D7F83" w:rsidP="009D7F83">
      <w:pPr>
        <w:widowControl w:val="0"/>
        <w:tabs>
          <w:tab w:val="clear" w:pos="567"/>
        </w:tabs>
        <w:spacing w:line="240" w:lineRule="auto"/>
        <w:rPr>
          <w:rFonts w:eastAsia="TimesNewRoman"/>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rsidR="009D7F83" w:rsidRDefault="009D7F83" w:rsidP="009D7F83">
      <w:pPr>
        <w:widowControl w:val="0"/>
        <w:numPr>
          <w:ilvl w:val="12"/>
          <w:numId w:val="0"/>
        </w:numPr>
        <w:tabs>
          <w:tab w:val="clear" w:pos="567"/>
        </w:tabs>
        <w:spacing w:line="240" w:lineRule="auto"/>
        <w:rPr>
          <w:snapToGrid/>
          <w:szCs w:val="22"/>
          <w:lang w:val="lt-LT"/>
        </w:rPr>
      </w:pPr>
    </w:p>
    <w:p w:rsidR="009D7F83" w:rsidRDefault="009D7F83" w:rsidP="009D7F83">
      <w:pPr>
        <w:widowControl w:val="0"/>
        <w:numPr>
          <w:ilvl w:val="12"/>
          <w:numId w:val="0"/>
        </w:numPr>
        <w:tabs>
          <w:tab w:val="clear" w:pos="567"/>
        </w:tabs>
        <w:spacing w:line="240" w:lineRule="auto"/>
        <w:rPr>
          <w:snapToGrid/>
          <w:szCs w:val="22"/>
          <w:u w:val="single"/>
          <w:lang w:val="lt-LT"/>
        </w:rPr>
      </w:pPr>
      <w:r>
        <w:rPr>
          <w:b/>
          <w:bCs/>
          <w:snapToGrid/>
          <w:szCs w:val="22"/>
          <w:lang w:val="lt-LT"/>
        </w:rPr>
        <w:t>Kanpiduo sudėtis</w:t>
      </w:r>
    </w:p>
    <w:p w:rsidR="009D7F83" w:rsidRDefault="009D7F83" w:rsidP="009D7F83">
      <w:pPr>
        <w:widowControl w:val="0"/>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Veikliosios medžiagos </w:t>
      </w:r>
      <w:r>
        <w:rPr>
          <w:rFonts w:eastAsia="TimesNewRoman"/>
          <w:snapToGrid/>
          <w:szCs w:val="22"/>
          <w:lang w:val="lt-LT"/>
        </w:rPr>
        <w:t xml:space="preserve">yra kandesartano </w:t>
      </w:r>
      <w:r>
        <w:rPr>
          <w:snapToGrid/>
          <w:szCs w:val="22"/>
          <w:lang w:val="lt-LT"/>
        </w:rPr>
        <w:t>cileksetilas</w:t>
      </w:r>
      <w:r>
        <w:rPr>
          <w:rFonts w:eastAsia="TimesNewRoman"/>
          <w:snapToGrid/>
          <w:szCs w:val="22"/>
          <w:lang w:val="lt-LT"/>
        </w:rPr>
        <w:t xml:space="preserve"> ir indapamidas.</w:t>
      </w:r>
    </w:p>
    <w:p w:rsidR="009D7F83" w:rsidRDefault="009D7F83" w:rsidP="009D7F83">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tabletėje yra </w:t>
      </w:r>
      <w:r>
        <w:rPr>
          <w:snapToGrid/>
          <w:szCs w:val="22"/>
          <w:lang w:val="lt-LT"/>
        </w:rPr>
        <w:t>8 mg kandesartano cileksetilo ir 2,5 mg indapamido</w:t>
      </w:r>
      <w:r>
        <w:rPr>
          <w:rFonts w:eastAsia="TimesNewRoman"/>
          <w:snapToGrid/>
          <w:szCs w:val="22"/>
          <w:lang w:val="lt-LT"/>
        </w:rPr>
        <w:t>.</w:t>
      </w:r>
    </w:p>
    <w:p w:rsidR="009D7F83" w:rsidRDefault="009D7F83" w:rsidP="009D7F83">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tabletėje yra </w:t>
      </w:r>
      <w:r>
        <w:rPr>
          <w:snapToGrid/>
          <w:szCs w:val="22"/>
          <w:lang w:val="lt-LT"/>
        </w:rPr>
        <w:t>16 mg kandesartano cileksetilo ir 2,5 mg indapamido</w:t>
      </w:r>
      <w:r>
        <w:rPr>
          <w:rFonts w:eastAsia="TimesNewRoman"/>
          <w:snapToGrid/>
          <w:szCs w:val="22"/>
          <w:lang w:val="lt-LT"/>
        </w:rPr>
        <w:t>.</w:t>
      </w:r>
    </w:p>
    <w:p w:rsidR="009D7F83" w:rsidRDefault="009D7F83" w:rsidP="009D7F83">
      <w:pPr>
        <w:widowControl w:val="0"/>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Pagalbinės medžiagos yra makrogolis 8 000, hidroksipropilceliuliozė, laktozė monohidratas, kukurūzų krakmolas, karmeliozės kalcio druska, bevandenis koloidinis silicio dioksidas, mikrokristalinė celiuliozė, magnio stearatas, raudonasis geležies oksidas (E172) - </w:t>
      </w:r>
      <w:r>
        <w:rPr>
          <w:i/>
          <w:iCs/>
          <w:snapToGrid/>
          <w:szCs w:val="22"/>
          <w:lang w:val="lt-LT"/>
        </w:rPr>
        <w:t>tik 16 mg/2,5 mg tabletėse</w:t>
      </w:r>
      <w:r>
        <w:rPr>
          <w:snapToGrid/>
          <w:szCs w:val="22"/>
          <w:lang w:val="lt-LT"/>
        </w:rPr>
        <w:t>. Žr. 2 skyrių „Kanpiduo sudėtyje yra laktozės“.</w:t>
      </w:r>
    </w:p>
    <w:p w:rsidR="009D7F83" w:rsidRDefault="009D7F83" w:rsidP="009D7F83">
      <w:pPr>
        <w:widowControl w:val="0"/>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rPr>
          <w:b/>
          <w:bCs/>
          <w:snapToGrid/>
          <w:szCs w:val="22"/>
          <w:lang w:val="lt-LT"/>
        </w:rPr>
      </w:pPr>
      <w:r>
        <w:rPr>
          <w:b/>
          <w:bCs/>
          <w:snapToGrid/>
          <w:szCs w:val="22"/>
          <w:lang w:val="lt-LT"/>
        </w:rPr>
        <w:t>Kanpiduo išvaizda ir kiekis pakuotėje</w:t>
      </w:r>
    </w:p>
    <w:p w:rsidR="009D7F83" w:rsidRDefault="009D7F83" w:rsidP="009D7F83">
      <w:pPr>
        <w:widowControl w:val="0"/>
        <w:numPr>
          <w:ilvl w:val="12"/>
          <w:numId w:val="0"/>
        </w:numPr>
        <w:tabs>
          <w:tab w:val="clear" w:pos="567"/>
        </w:tabs>
        <w:spacing w:line="240" w:lineRule="auto"/>
        <w:rPr>
          <w:snapToGrid/>
          <w:szCs w:val="22"/>
          <w:lang w:val="lt-LT"/>
        </w:rPr>
      </w:pPr>
    </w:p>
    <w:p w:rsidR="009D7F83" w:rsidRDefault="009D7F83" w:rsidP="009D7F83">
      <w:pPr>
        <w:widowControl w:val="0"/>
        <w:spacing w:line="240" w:lineRule="auto"/>
        <w:rPr>
          <w:snapToGrid/>
          <w:szCs w:val="22"/>
          <w:lang w:val="lt-LT"/>
        </w:rPr>
      </w:pPr>
      <w:r>
        <w:rPr>
          <w:snapToGrid/>
          <w:szCs w:val="22"/>
          <w:lang w:val="lt-LT"/>
        </w:rPr>
        <w:t>8 mg/2,5 mg tabletės: baltos arba beveik baltos, apvalios, abipus išgaubtos tabletės, vienoje pusėje yra žyma CI1. Tabletės skersmuo 7 mm.</w:t>
      </w:r>
    </w:p>
    <w:p w:rsidR="009D7F83" w:rsidRDefault="009D7F83" w:rsidP="009D7F83">
      <w:pPr>
        <w:widowControl w:val="0"/>
        <w:spacing w:line="240" w:lineRule="auto"/>
        <w:rPr>
          <w:snapToGrid/>
          <w:szCs w:val="22"/>
          <w:lang w:val="lt-LT"/>
        </w:rPr>
      </w:pPr>
      <w:r>
        <w:rPr>
          <w:snapToGrid/>
          <w:szCs w:val="22"/>
          <w:lang w:val="lt-LT"/>
        </w:rPr>
        <w:t>16 mg/2,5 mg tabletės: šviesiai rausvos, taškuotos, apvalios, abipus išgaubtos tabletės, vienoje pusėje yra žyma CI2. Tabletės skersmuo 7 mm.</w:t>
      </w:r>
    </w:p>
    <w:p w:rsidR="009D7F83" w:rsidRDefault="009D7F83" w:rsidP="009D7F83">
      <w:pPr>
        <w:widowControl w:val="0"/>
        <w:tabs>
          <w:tab w:val="clear" w:pos="567"/>
        </w:tabs>
        <w:autoSpaceDE w:val="0"/>
        <w:autoSpaceDN w:val="0"/>
        <w:adjustRightInd w:val="0"/>
        <w:spacing w:line="240" w:lineRule="auto"/>
        <w:rPr>
          <w:rFonts w:eastAsia="TimesNewRoman"/>
          <w:snapToGrid/>
          <w:szCs w:val="22"/>
          <w:lang w:val="lt-LT"/>
        </w:rPr>
      </w:pPr>
    </w:p>
    <w:p w:rsidR="009D7F83" w:rsidRDefault="009D7F83" w:rsidP="009D7F83">
      <w:pPr>
        <w:widowControl w:val="0"/>
        <w:spacing w:line="240" w:lineRule="auto"/>
        <w:rPr>
          <w:snapToGrid/>
          <w:szCs w:val="22"/>
          <w:lang w:val="lt-LT"/>
        </w:rPr>
      </w:pPr>
      <w:r>
        <w:rPr>
          <w:bCs/>
          <w:snapToGrid/>
          <w:szCs w:val="22"/>
          <w:lang w:val="lt-LT"/>
        </w:rPr>
        <w:t>Kanpiduo tiekiamas pakuotėse, kuriose yra</w:t>
      </w:r>
      <w:r>
        <w:rPr>
          <w:snapToGrid/>
          <w:szCs w:val="22"/>
          <w:lang w:val="lt-LT"/>
        </w:rPr>
        <w:t>:</w:t>
      </w:r>
    </w:p>
    <w:p w:rsidR="009D7F83" w:rsidRDefault="009D7F83" w:rsidP="009D7F83">
      <w:pPr>
        <w:widowControl w:val="0"/>
        <w:tabs>
          <w:tab w:val="clear" w:pos="567"/>
        </w:tabs>
        <w:spacing w:line="240" w:lineRule="auto"/>
        <w:rPr>
          <w:snapToGrid/>
          <w:szCs w:val="22"/>
          <w:lang w:val="lt-LT" w:eastAsia="sl-SI"/>
        </w:rPr>
      </w:pPr>
      <w:r>
        <w:rPr>
          <w:snapToGrid/>
          <w:szCs w:val="22"/>
          <w:lang w:val="lt-LT" w:eastAsia="sl-SI"/>
        </w:rPr>
        <w:t>-</w:t>
      </w:r>
      <w:r>
        <w:rPr>
          <w:snapToGrid/>
          <w:szCs w:val="22"/>
          <w:lang w:val="lt-LT" w:eastAsia="sl-SI"/>
        </w:rPr>
        <w:tab/>
        <w:t>10, 14, 28, 30, 56, 60, 84, 90, 98 arba 100 tablečių lizdinėse plokštelėse;</w:t>
      </w:r>
    </w:p>
    <w:p w:rsidR="009D7F83" w:rsidRDefault="009D7F83" w:rsidP="009D7F83">
      <w:pPr>
        <w:widowControl w:val="0"/>
        <w:tabs>
          <w:tab w:val="clear" w:pos="567"/>
        </w:tabs>
        <w:spacing w:line="240" w:lineRule="auto"/>
        <w:rPr>
          <w:snapToGrid/>
          <w:szCs w:val="22"/>
          <w:lang w:val="lt-LT" w:eastAsia="sl-SI"/>
        </w:rPr>
      </w:pPr>
      <w:r>
        <w:rPr>
          <w:snapToGrid/>
          <w:szCs w:val="22"/>
          <w:lang w:val="lt-LT" w:eastAsia="sl-SI"/>
        </w:rPr>
        <w:t>-</w:t>
      </w:r>
      <w:r>
        <w:rPr>
          <w:snapToGrid/>
          <w:szCs w:val="22"/>
          <w:lang w:val="lt-LT" w:eastAsia="sl-SI"/>
        </w:rPr>
        <w:tab/>
        <w:t>14, 28, 56, 84 arba 98 tablečių lizdinėse plokštelėse, kalendorinės pakuotės.</w:t>
      </w:r>
    </w:p>
    <w:p w:rsidR="009D7F83" w:rsidRDefault="009D7F83" w:rsidP="009D7F83">
      <w:pPr>
        <w:widowControl w:val="0"/>
        <w:tabs>
          <w:tab w:val="clear" w:pos="567"/>
        </w:tabs>
        <w:autoSpaceDE w:val="0"/>
        <w:autoSpaceDN w:val="0"/>
        <w:adjustRightInd w:val="0"/>
        <w:spacing w:line="240" w:lineRule="auto"/>
        <w:rPr>
          <w:rFonts w:eastAsia="TimesNewRoman"/>
          <w:snapToGrid/>
          <w:szCs w:val="22"/>
          <w:lang w:val="lt-LT"/>
        </w:rPr>
      </w:pPr>
    </w:p>
    <w:p w:rsidR="009D7F83" w:rsidRDefault="009D7F83" w:rsidP="009D7F8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rsidR="009D7F83" w:rsidRDefault="009D7F83" w:rsidP="009D7F83">
      <w:pPr>
        <w:widowControl w:val="0"/>
        <w:numPr>
          <w:ilvl w:val="12"/>
          <w:numId w:val="0"/>
        </w:numPr>
        <w:tabs>
          <w:tab w:val="clear" w:pos="567"/>
        </w:tabs>
        <w:spacing w:line="240" w:lineRule="auto"/>
        <w:rPr>
          <w:b/>
          <w:bCs/>
          <w:snapToGrid/>
          <w:szCs w:val="22"/>
          <w:lang w:val="lt-LT"/>
        </w:rPr>
      </w:pPr>
    </w:p>
    <w:p w:rsidR="009D7F83" w:rsidRDefault="009D7F83" w:rsidP="009D7F83">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rsidR="009D7F83" w:rsidRDefault="009D7F83" w:rsidP="009D7F83">
      <w:pPr>
        <w:widowControl w:val="0"/>
        <w:numPr>
          <w:ilvl w:val="12"/>
          <w:numId w:val="0"/>
        </w:numPr>
        <w:tabs>
          <w:tab w:val="clear" w:pos="567"/>
        </w:tabs>
        <w:spacing w:line="240" w:lineRule="auto"/>
        <w:rPr>
          <w:bCs/>
          <w:i/>
          <w:snapToGrid/>
          <w:szCs w:val="22"/>
          <w:lang w:val="lt-LT"/>
        </w:rPr>
      </w:pPr>
    </w:p>
    <w:p w:rsidR="009D7F83" w:rsidRDefault="009D7F83" w:rsidP="009D7F83">
      <w:pPr>
        <w:widowControl w:val="0"/>
        <w:spacing w:line="240" w:lineRule="auto"/>
        <w:rPr>
          <w:snapToGrid/>
          <w:szCs w:val="22"/>
          <w:lang w:val="lt-LT" w:eastAsia="sl-SI"/>
        </w:rPr>
      </w:pPr>
      <w:r>
        <w:rPr>
          <w:snapToGrid/>
          <w:szCs w:val="22"/>
          <w:lang w:val="lt-LT" w:eastAsia="sl-SI"/>
        </w:rPr>
        <w:t>KRKA, d.d., Novo mesto</w:t>
      </w:r>
    </w:p>
    <w:p w:rsidR="009D7F83" w:rsidRDefault="009D7F83" w:rsidP="009D7F83">
      <w:pPr>
        <w:widowControl w:val="0"/>
        <w:spacing w:line="240" w:lineRule="auto"/>
        <w:rPr>
          <w:snapToGrid/>
          <w:szCs w:val="22"/>
          <w:lang w:val="lt-LT" w:eastAsia="sl-SI"/>
        </w:rPr>
      </w:pPr>
      <w:r>
        <w:rPr>
          <w:snapToGrid/>
          <w:szCs w:val="22"/>
          <w:lang w:val="lt-LT" w:eastAsia="sl-SI"/>
        </w:rPr>
        <w:t>Šmarješka cesta 6</w:t>
      </w:r>
    </w:p>
    <w:p w:rsidR="009D7F83" w:rsidRDefault="009D7F83" w:rsidP="009D7F83">
      <w:pPr>
        <w:widowControl w:val="0"/>
        <w:spacing w:line="240" w:lineRule="auto"/>
        <w:rPr>
          <w:snapToGrid/>
          <w:szCs w:val="22"/>
          <w:lang w:val="lt-LT" w:eastAsia="sl-SI"/>
        </w:rPr>
      </w:pPr>
      <w:r>
        <w:rPr>
          <w:snapToGrid/>
          <w:szCs w:val="22"/>
          <w:lang w:val="lt-LT" w:eastAsia="sl-SI"/>
        </w:rPr>
        <w:t>8501 Novo mesto</w:t>
      </w:r>
    </w:p>
    <w:p w:rsidR="009D7F83" w:rsidRDefault="009D7F83" w:rsidP="009D7F83">
      <w:pPr>
        <w:widowControl w:val="0"/>
        <w:spacing w:line="240" w:lineRule="auto"/>
        <w:rPr>
          <w:snapToGrid/>
          <w:szCs w:val="22"/>
          <w:lang w:val="lt-LT" w:eastAsia="sl-SI"/>
        </w:rPr>
      </w:pPr>
      <w:r>
        <w:rPr>
          <w:snapToGrid/>
          <w:szCs w:val="22"/>
          <w:lang w:val="lt-LT" w:eastAsia="sl-SI"/>
        </w:rPr>
        <w:t>Slovėnija</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tabs>
          <w:tab w:val="clear" w:pos="567"/>
        </w:tabs>
        <w:spacing w:line="240" w:lineRule="auto"/>
        <w:ind w:left="142" w:hanging="142"/>
        <w:rPr>
          <w:i/>
          <w:snapToGrid/>
          <w:szCs w:val="22"/>
          <w:lang w:val="lt-LT"/>
        </w:rPr>
      </w:pPr>
      <w:r>
        <w:rPr>
          <w:bCs/>
          <w:i/>
          <w:snapToGrid/>
          <w:szCs w:val="22"/>
          <w:lang w:val="lt-LT"/>
        </w:rPr>
        <w:t>Gamintojas</w:t>
      </w:r>
    </w:p>
    <w:p w:rsidR="009D7F83" w:rsidRDefault="009D7F83" w:rsidP="009D7F83">
      <w:pPr>
        <w:widowControl w:val="0"/>
        <w:tabs>
          <w:tab w:val="clear" w:pos="567"/>
          <w:tab w:val="left" w:pos="540"/>
        </w:tabs>
        <w:spacing w:line="240" w:lineRule="auto"/>
        <w:rPr>
          <w:rFonts w:eastAsia="Calibri"/>
          <w:snapToGrid/>
          <w:szCs w:val="22"/>
          <w:lang w:val="lt-LT"/>
        </w:rPr>
      </w:pPr>
    </w:p>
    <w:p w:rsidR="009D7F83" w:rsidRDefault="009D7F83" w:rsidP="009D7F83">
      <w:pPr>
        <w:widowControl w:val="0"/>
        <w:spacing w:line="240" w:lineRule="auto"/>
        <w:rPr>
          <w:snapToGrid/>
          <w:szCs w:val="22"/>
          <w:lang w:val="lt-LT" w:eastAsia="sl-SI"/>
        </w:rPr>
      </w:pPr>
      <w:r>
        <w:rPr>
          <w:snapToGrid/>
          <w:szCs w:val="22"/>
          <w:lang w:val="lt-LT" w:eastAsia="sl-SI"/>
        </w:rPr>
        <w:t>KRKA, d.d., Novo mesto</w:t>
      </w:r>
    </w:p>
    <w:p w:rsidR="009D7F83" w:rsidRDefault="009D7F83" w:rsidP="009D7F83">
      <w:pPr>
        <w:widowControl w:val="0"/>
        <w:spacing w:line="240" w:lineRule="auto"/>
        <w:rPr>
          <w:snapToGrid/>
          <w:szCs w:val="22"/>
          <w:lang w:val="lt-LT" w:eastAsia="sl-SI"/>
        </w:rPr>
      </w:pPr>
      <w:r>
        <w:rPr>
          <w:snapToGrid/>
          <w:szCs w:val="22"/>
          <w:lang w:val="lt-LT" w:eastAsia="sl-SI"/>
        </w:rPr>
        <w:t>Šmarješka cesta 6</w:t>
      </w:r>
    </w:p>
    <w:p w:rsidR="009D7F83" w:rsidRDefault="009D7F83" w:rsidP="009D7F83">
      <w:pPr>
        <w:widowControl w:val="0"/>
        <w:spacing w:line="240" w:lineRule="auto"/>
        <w:rPr>
          <w:snapToGrid/>
          <w:szCs w:val="22"/>
          <w:lang w:val="lt-LT" w:eastAsia="sl-SI"/>
        </w:rPr>
      </w:pPr>
      <w:r>
        <w:rPr>
          <w:snapToGrid/>
          <w:szCs w:val="22"/>
          <w:lang w:val="lt-LT" w:eastAsia="sl-SI"/>
        </w:rPr>
        <w:t>8501 Novo mesto</w:t>
      </w:r>
    </w:p>
    <w:p w:rsidR="009D7F83" w:rsidRDefault="009D7F83" w:rsidP="009D7F83">
      <w:pPr>
        <w:widowControl w:val="0"/>
        <w:spacing w:line="240" w:lineRule="auto"/>
        <w:rPr>
          <w:snapToGrid/>
          <w:szCs w:val="22"/>
          <w:lang w:val="lt-LT" w:eastAsia="sl-SI"/>
        </w:rPr>
      </w:pPr>
      <w:r>
        <w:rPr>
          <w:snapToGrid/>
          <w:szCs w:val="22"/>
          <w:lang w:val="lt-LT" w:eastAsia="sl-SI"/>
        </w:rPr>
        <w:t>Slovėnija</w:t>
      </w:r>
    </w:p>
    <w:p w:rsidR="009D7F83" w:rsidRDefault="009D7F83" w:rsidP="009D7F83">
      <w:pPr>
        <w:widowControl w:val="0"/>
        <w:tabs>
          <w:tab w:val="clear" w:pos="567"/>
        </w:tabs>
        <w:spacing w:line="240" w:lineRule="auto"/>
        <w:rPr>
          <w:snapToGrid/>
          <w:szCs w:val="22"/>
          <w:lang w:val="lt-LT"/>
        </w:rPr>
      </w:pPr>
    </w:p>
    <w:p w:rsidR="009D7F83" w:rsidRDefault="009D7F83" w:rsidP="009D7F83">
      <w:pPr>
        <w:widowControl w:val="0"/>
        <w:tabs>
          <w:tab w:val="clear" w:pos="567"/>
        </w:tabs>
        <w:spacing w:line="240" w:lineRule="auto"/>
        <w:rPr>
          <w:snapToGrid/>
          <w:szCs w:val="22"/>
          <w:lang w:val="lt-LT"/>
        </w:rPr>
      </w:pPr>
      <w:r>
        <w:rPr>
          <w:snapToGrid/>
          <w:szCs w:val="22"/>
          <w:lang w:val="lt-LT"/>
        </w:rPr>
        <w:t>arba</w:t>
      </w:r>
    </w:p>
    <w:p w:rsidR="009D7F83" w:rsidRDefault="009D7F83" w:rsidP="009D7F83">
      <w:pPr>
        <w:widowControl w:val="0"/>
        <w:tabs>
          <w:tab w:val="clear" w:pos="567"/>
        </w:tabs>
        <w:spacing w:line="240" w:lineRule="auto"/>
        <w:rPr>
          <w:snapToGrid/>
          <w:szCs w:val="22"/>
          <w:lang w:val="lt-LT"/>
        </w:rPr>
      </w:pPr>
    </w:p>
    <w:p w:rsidR="009D7F83" w:rsidRDefault="009D7F83" w:rsidP="009D7F83">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KRKA, d.d., Novo mesto</w:t>
      </w:r>
    </w:p>
    <w:p w:rsidR="009D7F83" w:rsidRDefault="009D7F83" w:rsidP="009D7F83">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Ulica Rada Pušenjaka 10</w:t>
      </w:r>
    </w:p>
    <w:p w:rsidR="009D7F83" w:rsidRDefault="009D7F83" w:rsidP="009D7F83">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9240 Ljutomer</w:t>
      </w:r>
    </w:p>
    <w:p w:rsidR="009D7F83" w:rsidRDefault="009D7F83" w:rsidP="009D7F83">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Slovėnija</w:t>
      </w:r>
    </w:p>
    <w:p w:rsidR="009D7F83" w:rsidRDefault="009D7F83" w:rsidP="009D7F83">
      <w:pPr>
        <w:widowControl w:val="0"/>
        <w:tabs>
          <w:tab w:val="clear" w:pos="567"/>
        </w:tabs>
        <w:spacing w:line="240" w:lineRule="auto"/>
        <w:rPr>
          <w:snapToGrid/>
          <w:szCs w:val="22"/>
          <w:lang w:val="lt-LT"/>
        </w:rPr>
      </w:pPr>
    </w:p>
    <w:p w:rsidR="009D7F83" w:rsidRDefault="009D7F83" w:rsidP="009D7F83">
      <w:pPr>
        <w:widowControl w:val="0"/>
        <w:tabs>
          <w:tab w:val="clear" w:pos="567"/>
        </w:tabs>
        <w:spacing w:line="240" w:lineRule="auto"/>
        <w:rPr>
          <w:snapToGrid/>
          <w:szCs w:val="22"/>
          <w:lang w:val="lt-LT"/>
        </w:rPr>
      </w:pPr>
      <w:r>
        <w:rPr>
          <w:snapToGrid/>
          <w:szCs w:val="22"/>
          <w:lang w:val="lt-LT"/>
        </w:rPr>
        <w:t>arba</w:t>
      </w:r>
    </w:p>
    <w:p w:rsidR="009D7F83" w:rsidRDefault="009D7F83" w:rsidP="009D7F83">
      <w:pPr>
        <w:widowControl w:val="0"/>
        <w:tabs>
          <w:tab w:val="clear" w:pos="567"/>
        </w:tabs>
        <w:spacing w:line="240" w:lineRule="auto"/>
        <w:rPr>
          <w:snapToGrid/>
          <w:szCs w:val="22"/>
          <w:lang w:val="lt-LT"/>
        </w:rPr>
      </w:pPr>
    </w:p>
    <w:p w:rsidR="009D7F83" w:rsidRDefault="009D7F83" w:rsidP="009D7F83">
      <w:pPr>
        <w:widowControl w:val="0"/>
        <w:numPr>
          <w:ilvl w:val="12"/>
          <w:numId w:val="0"/>
        </w:numPr>
        <w:spacing w:line="240" w:lineRule="auto"/>
        <w:ind w:right="-2"/>
        <w:rPr>
          <w:snapToGrid/>
          <w:szCs w:val="22"/>
          <w:lang w:val="lt-LT" w:eastAsia="sl-SI"/>
        </w:rPr>
      </w:pPr>
      <w:r>
        <w:rPr>
          <w:snapToGrid/>
          <w:szCs w:val="22"/>
          <w:lang w:val="lt-LT" w:eastAsia="sl-SI"/>
        </w:rPr>
        <w:lastRenderedPageBreak/>
        <w:t>TAD Pharma GmbH</w:t>
      </w:r>
    </w:p>
    <w:p w:rsidR="009D7F83" w:rsidRDefault="009D7F83" w:rsidP="009D7F83">
      <w:pPr>
        <w:widowControl w:val="0"/>
        <w:numPr>
          <w:ilvl w:val="12"/>
          <w:numId w:val="0"/>
        </w:numPr>
        <w:spacing w:line="240" w:lineRule="auto"/>
        <w:ind w:right="-2"/>
        <w:rPr>
          <w:snapToGrid/>
          <w:szCs w:val="22"/>
          <w:lang w:val="lt-LT" w:eastAsia="sl-SI"/>
        </w:rPr>
      </w:pPr>
      <w:r>
        <w:rPr>
          <w:snapToGrid/>
          <w:szCs w:val="22"/>
          <w:lang w:val="lt-LT" w:eastAsia="sl-SI"/>
        </w:rPr>
        <w:t>Heinz-Lohmann-Straße 5</w:t>
      </w:r>
    </w:p>
    <w:p w:rsidR="009D7F83" w:rsidRDefault="009D7F83" w:rsidP="009D7F83">
      <w:pPr>
        <w:widowControl w:val="0"/>
        <w:spacing w:line="240" w:lineRule="auto"/>
        <w:rPr>
          <w:snapToGrid/>
          <w:szCs w:val="22"/>
          <w:lang w:val="lt-LT" w:eastAsia="sl-SI"/>
        </w:rPr>
      </w:pPr>
      <w:r>
        <w:rPr>
          <w:snapToGrid/>
          <w:szCs w:val="22"/>
          <w:lang w:val="lt-LT" w:eastAsia="sl-SI"/>
        </w:rPr>
        <w:t>27472 Cuxhaven</w:t>
      </w:r>
    </w:p>
    <w:p w:rsidR="009D7F83" w:rsidRDefault="009D7F83" w:rsidP="009D7F83">
      <w:pPr>
        <w:widowControl w:val="0"/>
        <w:spacing w:line="240" w:lineRule="auto"/>
        <w:rPr>
          <w:snapToGrid/>
          <w:szCs w:val="22"/>
          <w:lang w:val="lt-LT" w:eastAsia="sl-SI"/>
        </w:rPr>
      </w:pPr>
      <w:r>
        <w:rPr>
          <w:snapToGrid/>
          <w:szCs w:val="22"/>
          <w:lang w:val="lt-LT" w:eastAsia="sl-SI"/>
        </w:rPr>
        <w:t>Vokietija</w:t>
      </w:r>
    </w:p>
    <w:p w:rsidR="009D7F83" w:rsidRDefault="009D7F83" w:rsidP="009D7F83">
      <w:pPr>
        <w:widowControl w:val="0"/>
        <w:numPr>
          <w:ilvl w:val="12"/>
          <w:numId w:val="0"/>
        </w:numPr>
        <w:spacing w:line="240" w:lineRule="auto"/>
        <w:ind w:right="-2"/>
        <w:rPr>
          <w:szCs w:val="22"/>
          <w:lang w:val="lt-LT"/>
        </w:rPr>
      </w:pPr>
    </w:p>
    <w:p w:rsidR="009D7F83" w:rsidRDefault="009D7F83" w:rsidP="009D7F83">
      <w:pPr>
        <w:widowControl w:val="0"/>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rsidR="009D7F83" w:rsidRDefault="009D7F83" w:rsidP="009D7F83">
      <w:pPr>
        <w:widowControl w:val="0"/>
        <w:numPr>
          <w:ilvl w:val="12"/>
          <w:numId w:val="0"/>
        </w:numPr>
        <w:spacing w:line="240" w:lineRule="auto"/>
        <w:ind w:right="-2"/>
        <w:rPr>
          <w:szCs w:val="22"/>
          <w:lang w:val="lt-LT"/>
        </w:rPr>
      </w:pPr>
    </w:p>
    <w:p w:rsidR="009D7F83" w:rsidRDefault="009D7F83" w:rsidP="009D7F83">
      <w:pPr>
        <w:widowControl w:val="0"/>
        <w:tabs>
          <w:tab w:val="clear" w:pos="567"/>
          <w:tab w:val="left" w:pos="540"/>
        </w:tabs>
        <w:spacing w:line="240" w:lineRule="auto"/>
        <w:rPr>
          <w:snapToGrid/>
          <w:szCs w:val="22"/>
          <w:lang w:val="lt-LT"/>
        </w:rPr>
      </w:pPr>
      <w:r>
        <w:rPr>
          <w:snapToGrid/>
          <w:szCs w:val="22"/>
          <w:lang w:val="lt-LT"/>
        </w:rPr>
        <w:t>UAB KRKA Lietuva</w:t>
      </w:r>
    </w:p>
    <w:p w:rsidR="009D7F83" w:rsidRDefault="009D7F83" w:rsidP="009D7F83">
      <w:pPr>
        <w:widowControl w:val="0"/>
        <w:tabs>
          <w:tab w:val="clear" w:pos="567"/>
          <w:tab w:val="left" w:pos="540"/>
        </w:tabs>
        <w:spacing w:line="240" w:lineRule="auto"/>
        <w:rPr>
          <w:snapToGrid/>
          <w:szCs w:val="22"/>
          <w:lang w:val="lt-LT"/>
        </w:rPr>
      </w:pPr>
      <w:r>
        <w:rPr>
          <w:snapToGrid/>
          <w:szCs w:val="22"/>
          <w:lang w:val="lt-LT"/>
        </w:rPr>
        <w:t>Senasis Ukmergės kelias 4,</w:t>
      </w:r>
    </w:p>
    <w:p w:rsidR="009D7F83" w:rsidRDefault="009D7F83" w:rsidP="009D7F83">
      <w:pPr>
        <w:widowControl w:val="0"/>
        <w:tabs>
          <w:tab w:val="clear" w:pos="567"/>
          <w:tab w:val="left" w:pos="540"/>
        </w:tabs>
        <w:spacing w:line="240" w:lineRule="auto"/>
        <w:rPr>
          <w:snapToGrid/>
          <w:szCs w:val="22"/>
          <w:lang w:val="lt-LT"/>
        </w:rPr>
      </w:pPr>
      <w:r>
        <w:rPr>
          <w:snapToGrid/>
          <w:szCs w:val="22"/>
          <w:lang w:val="lt-LT"/>
        </w:rPr>
        <w:t>Užubalių km., Vilniaus r.</w:t>
      </w:r>
    </w:p>
    <w:p w:rsidR="009D7F83" w:rsidRDefault="009D7F83" w:rsidP="009D7F83">
      <w:pPr>
        <w:widowControl w:val="0"/>
        <w:tabs>
          <w:tab w:val="clear" w:pos="567"/>
          <w:tab w:val="left" w:pos="540"/>
        </w:tabs>
        <w:spacing w:line="240" w:lineRule="auto"/>
        <w:rPr>
          <w:snapToGrid/>
          <w:szCs w:val="22"/>
          <w:lang w:val="lt-LT"/>
        </w:rPr>
      </w:pPr>
      <w:r>
        <w:rPr>
          <w:snapToGrid/>
          <w:szCs w:val="22"/>
          <w:lang w:val="lt-LT"/>
        </w:rPr>
        <w:t>LT - 14013</w:t>
      </w:r>
    </w:p>
    <w:p w:rsidR="009D7F83" w:rsidRDefault="009D7F83" w:rsidP="009D7F83">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rsidR="009D7F83" w:rsidRDefault="009D7F83" w:rsidP="009D7F83">
      <w:pPr>
        <w:widowControl w:val="0"/>
        <w:numPr>
          <w:ilvl w:val="12"/>
          <w:numId w:val="0"/>
        </w:numPr>
        <w:tabs>
          <w:tab w:val="clear" w:pos="567"/>
        </w:tabs>
        <w:spacing w:line="240" w:lineRule="auto"/>
        <w:ind w:right="-2"/>
        <w:rPr>
          <w:snapToGrid/>
          <w:szCs w:val="22"/>
          <w:lang w:val="lt-LT"/>
        </w:rPr>
      </w:pPr>
    </w:p>
    <w:p w:rsidR="009D7F83" w:rsidRDefault="009D7F83" w:rsidP="009D7F83">
      <w:pPr>
        <w:widowControl w:val="0"/>
        <w:numPr>
          <w:ilvl w:val="12"/>
          <w:numId w:val="0"/>
        </w:numPr>
        <w:spacing w:line="240" w:lineRule="auto"/>
        <w:rPr>
          <w:szCs w:val="22"/>
          <w:lang w:val="lt-LT"/>
        </w:rPr>
      </w:pPr>
      <w:r>
        <w:rPr>
          <w:b/>
          <w:szCs w:val="22"/>
          <w:lang w:val="lt-LT"/>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9D7F83" w:rsidTr="0086094C">
        <w:tc>
          <w:tcPr>
            <w:tcW w:w="3261" w:type="dxa"/>
          </w:tcPr>
          <w:p w:rsidR="009D7F83" w:rsidRDefault="009D7F83" w:rsidP="0086094C">
            <w:pPr>
              <w:widowControl w:val="0"/>
              <w:numPr>
                <w:ilvl w:val="12"/>
                <w:numId w:val="0"/>
              </w:numPr>
              <w:ind w:right="-2"/>
              <w:rPr>
                <w:szCs w:val="22"/>
                <w:lang w:val="lt-LT"/>
              </w:rPr>
            </w:pPr>
            <w:r>
              <w:rPr>
                <w:szCs w:val="22"/>
                <w:lang w:val="lt-LT" w:eastAsia="sl-SI"/>
              </w:rPr>
              <w:t>Valstybės narės pavadinimas</w:t>
            </w:r>
          </w:p>
        </w:tc>
        <w:tc>
          <w:tcPr>
            <w:tcW w:w="3060" w:type="dxa"/>
          </w:tcPr>
          <w:p w:rsidR="009D7F83" w:rsidRDefault="009D7F83" w:rsidP="0086094C">
            <w:pPr>
              <w:widowControl w:val="0"/>
              <w:numPr>
                <w:ilvl w:val="12"/>
                <w:numId w:val="0"/>
              </w:numPr>
              <w:ind w:right="-2"/>
              <w:rPr>
                <w:szCs w:val="22"/>
                <w:lang w:val="lt-LT"/>
              </w:rPr>
            </w:pPr>
            <w:r>
              <w:rPr>
                <w:szCs w:val="22"/>
                <w:lang w:val="lt-LT"/>
              </w:rPr>
              <w:t>Vaisto pavadinimas</w:t>
            </w:r>
          </w:p>
        </w:tc>
      </w:tr>
      <w:tr w:rsidR="009D7F83" w:rsidTr="0086094C">
        <w:tc>
          <w:tcPr>
            <w:tcW w:w="3261" w:type="dxa"/>
          </w:tcPr>
          <w:p w:rsidR="009D7F83" w:rsidRDefault="009D7F83" w:rsidP="0086094C">
            <w:pPr>
              <w:widowControl w:val="0"/>
              <w:numPr>
                <w:ilvl w:val="12"/>
                <w:numId w:val="0"/>
              </w:numPr>
              <w:ind w:right="-2"/>
              <w:rPr>
                <w:snapToGrid/>
                <w:szCs w:val="22"/>
                <w:lang w:val="pt-PT"/>
              </w:rPr>
            </w:pPr>
            <w:r>
              <w:rPr>
                <w:snapToGrid/>
                <w:szCs w:val="22"/>
                <w:lang w:val="pt-PT"/>
              </w:rPr>
              <w:t>Suomija</w:t>
            </w:r>
          </w:p>
        </w:tc>
        <w:tc>
          <w:tcPr>
            <w:tcW w:w="3060" w:type="dxa"/>
          </w:tcPr>
          <w:p w:rsidR="009D7F83" w:rsidRDefault="009D7F83" w:rsidP="0086094C">
            <w:pPr>
              <w:widowControl w:val="0"/>
              <w:numPr>
                <w:ilvl w:val="12"/>
                <w:numId w:val="0"/>
              </w:numPr>
              <w:ind w:right="-2"/>
              <w:rPr>
                <w:szCs w:val="22"/>
              </w:rPr>
            </w:pPr>
            <w:r>
              <w:rPr>
                <w:szCs w:val="22"/>
              </w:rPr>
              <w:t>Candesartan/Indapamide Krka</w:t>
            </w:r>
          </w:p>
        </w:tc>
      </w:tr>
      <w:tr w:rsidR="009D7F83" w:rsidTr="0086094C">
        <w:tc>
          <w:tcPr>
            <w:tcW w:w="3261" w:type="dxa"/>
          </w:tcPr>
          <w:p w:rsidR="009D7F83" w:rsidRDefault="009D7F83" w:rsidP="0086094C">
            <w:pPr>
              <w:widowControl w:val="0"/>
              <w:numPr>
                <w:ilvl w:val="12"/>
                <w:numId w:val="0"/>
              </w:numPr>
              <w:ind w:right="-2"/>
              <w:rPr>
                <w:szCs w:val="22"/>
              </w:rPr>
            </w:pPr>
            <w:r>
              <w:rPr>
                <w:szCs w:val="22"/>
              </w:rPr>
              <w:t>Kipras, Portugalija</w:t>
            </w:r>
          </w:p>
        </w:tc>
        <w:tc>
          <w:tcPr>
            <w:tcW w:w="3060" w:type="dxa"/>
          </w:tcPr>
          <w:p w:rsidR="009D7F83" w:rsidRDefault="009D7F83" w:rsidP="0086094C">
            <w:pPr>
              <w:widowControl w:val="0"/>
              <w:numPr>
                <w:ilvl w:val="12"/>
                <w:numId w:val="0"/>
              </w:numPr>
              <w:ind w:right="-2"/>
              <w:rPr>
                <w:szCs w:val="22"/>
              </w:rPr>
            </w:pPr>
            <w:r>
              <w:rPr>
                <w:szCs w:val="22"/>
              </w:rPr>
              <w:t>Candexin</w:t>
            </w:r>
          </w:p>
        </w:tc>
      </w:tr>
      <w:tr w:rsidR="009D7F83" w:rsidTr="0086094C">
        <w:tc>
          <w:tcPr>
            <w:tcW w:w="3261" w:type="dxa"/>
          </w:tcPr>
          <w:p w:rsidR="009D7F83" w:rsidRDefault="009D7F83" w:rsidP="0086094C">
            <w:pPr>
              <w:widowControl w:val="0"/>
              <w:numPr>
                <w:ilvl w:val="12"/>
                <w:numId w:val="0"/>
              </w:numPr>
              <w:ind w:right="-2"/>
              <w:rPr>
                <w:szCs w:val="22"/>
              </w:rPr>
            </w:pPr>
            <w:r>
              <w:rPr>
                <w:szCs w:val="22"/>
              </w:rPr>
              <w:t>Vokietija</w:t>
            </w:r>
          </w:p>
        </w:tc>
        <w:tc>
          <w:tcPr>
            <w:tcW w:w="3060" w:type="dxa"/>
          </w:tcPr>
          <w:p w:rsidR="009D7F83" w:rsidRDefault="009D7F83" w:rsidP="0086094C">
            <w:pPr>
              <w:widowControl w:val="0"/>
              <w:numPr>
                <w:ilvl w:val="12"/>
                <w:numId w:val="0"/>
              </w:numPr>
              <w:ind w:right="-2"/>
              <w:rPr>
                <w:szCs w:val="22"/>
              </w:rPr>
            </w:pPr>
            <w:r>
              <w:rPr>
                <w:szCs w:val="22"/>
              </w:rPr>
              <w:t>Candecor-Inda</w:t>
            </w:r>
          </w:p>
        </w:tc>
      </w:tr>
      <w:tr w:rsidR="009D7F83" w:rsidTr="0086094C">
        <w:tc>
          <w:tcPr>
            <w:tcW w:w="3261" w:type="dxa"/>
          </w:tcPr>
          <w:p w:rsidR="009D7F83" w:rsidRDefault="009D7F83" w:rsidP="0086094C">
            <w:pPr>
              <w:widowControl w:val="0"/>
              <w:numPr>
                <w:ilvl w:val="12"/>
                <w:numId w:val="0"/>
              </w:numPr>
              <w:ind w:right="-2"/>
              <w:rPr>
                <w:szCs w:val="22"/>
                <w:lang w:val="lt-LT"/>
              </w:rPr>
            </w:pPr>
            <w:r>
              <w:rPr>
                <w:szCs w:val="22"/>
                <w:lang w:val="lt-LT"/>
              </w:rPr>
              <w:t>Ispanija, Estija, Vengrija, Lietuva, Latvija, Lenkija, Rumunija, Slovakija, Slovėnija</w:t>
            </w:r>
          </w:p>
        </w:tc>
        <w:tc>
          <w:tcPr>
            <w:tcW w:w="3060" w:type="dxa"/>
          </w:tcPr>
          <w:p w:rsidR="009D7F83" w:rsidRDefault="009D7F83" w:rsidP="0086094C">
            <w:pPr>
              <w:widowControl w:val="0"/>
              <w:numPr>
                <w:ilvl w:val="12"/>
                <w:numId w:val="0"/>
              </w:numPr>
              <w:ind w:right="-2"/>
              <w:rPr>
                <w:szCs w:val="22"/>
              </w:rPr>
            </w:pPr>
            <w:r>
              <w:rPr>
                <w:szCs w:val="22"/>
              </w:rPr>
              <w:t>Kanpiduo</w:t>
            </w:r>
          </w:p>
        </w:tc>
      </w:tr>
    </w:tbl>
    <w:p w:rsidR="009D7F83" w:rsidRDefault="009D7F83" w:rsidP="009D7F83">
      <w:pPr>
        <w:widowControl w:val="0"/>
        <w:tabs>
          <w:tab w:val="clear" w:pos="567"/>
        </w:tabs>
        <w:spacing w:line="240" w:lineRule="auto"/>
        <w:rPr>
          <w:snapToGrid/>
          <w:szCs w:val="22"/>
          <w:lang w:val="lt-LT" w:eastAsia="x-none"/>
        </w:rPr>
      </w:pPr>
    </w:p>
    <w:p w:rsidR="009D7F83" w:rsidRDefault="009D7F83" w:rsidP="009D7F83">
      <w:pPr>
        <w:widowControl w:val="0"/>
        <w:tabs>
          <w:tab w:val="clear" w:pos="567"/>
        </w:tabs>
        <w:spacing w:line="240" w:lineRule="auto"/>
        <w:rPr>
          <w:snapToGrid/>
          <w:szCs w:val="22"/>
          <w:lang w:val="lt-LT"/>
        </w:rPr>
      </w:pPr>
      <w:r>
        <w:rPr>
          <w:b/>
          <w:bCs/>
          <w:snapToGrid/>
          <w:szCs w:val="22"/>
          <w:lang w:val="lt-LT" w:eastAsia="x-none"/>
        </w:rPr>
        <w:t>Šis pakuotės lapelis</w:t>
      </w:r>
      <w:r>
        <w:rPr>
          <w:b/>
          <w:snapToGrid/>
          <w:szCs w:val="22"/>
          <w:lang w:val="lt-LT" w:eastAsia="x-none"/>
        </w:rPr>
        <w:t xml:space="preserve"> paskutinį kartą peržiūrėtas 2025-01-24.</w:t>
      </w:r>
    </w:p>
    <w:p w:rsidR="009D7F83" w:rsidRDefault="009D7F83" w:rsidP="009D7F83">
      <w:pPr>
        <w:widowControl w:val="0"/>
        <w:tabs>
          <w:tab w:val="clear" w:pos="567"/>
        </w:tabs>
        <w:spacing w:line="240" w:lineRule="auto"/>
        <w:rPr>
          <w:snapToGrid/>
          <w:szCs w:val="22"/>
          <w:lang w:val="lt-LT"/>
        </w:rPr>
      </w:pPr>
    </w:p>
    <w:p w:rsidR="009D7F83" w:rsidRDefault="009D7F83" w:rsidP="009D7F83">
      <w:pPr>
        <w:widowControl w:val="0"/>
        <w:tabs>
          <w:tab w:val="clear" w:pos="567"/>
        </w:tabs>
        <w:spacing w:line="240" w:lineRule="auto"/>
        <w:rPr>
          <w:snapToGrid/>
          <w:szCs w:val="22"/>
          <w:lang w:val="lt-LT"/>
        </w:rPr>
      </w:pPr>
      <w:r>
        <w:rPr>
          <w:snapToGrid/>
          <w:szCs w:val="22"/>
          <w:lang w:val="lt-LT"/>
        </w:rPr>
        <w:t xml:space="preserve">Išsami informacija apie šį vaistą pateikiama Valstybinės vaistų kontrolės tarnybos prie Lietuvos Respublikos sveikatos apsaugos ministerijos tinklalapyje </w:t>
      </w:r>
      <w:hyperlink r:id="rId5" w:history="1">
        <w:r>
          <w:rPr>
            <w:snapToGrid/>
            <w:color w:val="0000FF"/>
            <w:szCs w:val="22"/>
            <w:u w:val="single"/>
            <w:lang w:val="lt-LT" w:eastAsia="lt-LT"/>
          </w:rPr>
          <w:t>https://vvkt.lrv.lt/lt/</w:t>
        </w:r>
      </w:hyperlink>
      <w:r>
        <w:rPr>
          <w:snapToGrid/>
          <w:szCs w:val="22"/>
          <w:lang w:val="lt-LT"/>
        </w:rPr>
        <w:t>.</w:t>
      </w:r>
    </w:p>
    <w:p w:rsidR="009D7F83" w:rsidRDefault="009D7F83" w:rsidP="009D7F83">
      <w:pPr>
        <w:widowControl w:val="0"/>
        <w:spacing w:line="240" w:lineRule="auto"/>
        <w:rPr>
          <w:szCs w:val="22"/>
          <w:lang w:val="lt-LT"/>
        </w:rPr>
      </w:pPr>
    </w:p>
    <w:p w:rsidR="009D7F83" w:rsidRDefault="009D7F83" w:rsidP="009D7F83">
      <w:pPr>
        <w:widowControl w:val="0"/>
        <w:spacing w:line="240" w:lineRule="auto"/>
        <w:rPr>
          <w:szCs w:val="22"/>
          <w:lang w:val="lt-LT"/>
        </w:rPr>
      </w:pPr>
    </w:p>
    <w:p w:rsidR="009D7F83" w:rsidRDefault="009D7F83" w:rsidP="009D7F83">
      <w:pPr>
        <w:tabs>
          <w:tab w:val="clear" w:pos="567"/>
        </w:tabs>
        <w:spacing w:line="240" w:lineRule="auto"/>
        <w:rPr>
          <w:rFonts w:eastAsia="Aptos"/>
          <w:snapToGrid/>
          <w:kern w:val="2"/>
          <w:szCs w:val="22"/>
          <w:lang w:val="lt-LT"/>
        </w:rPr>
      </w:pPr>
    </w:p>
    <w:p w:rsidR="009D7F83" w:rsidRDefault="009D7F83" w:rsidP="009D7F83">
      <w:pPr>
        <w:widowControl w:val="0"/>
        <w:tabs>
          <w:tab w:val="clear" w:pos="567"/>
        </w:tabs>
        <w:spacing w:line="240" w:lineRule="auto"/>
        <w:ind w:left="567" w:hanging="567"/>
        <w:jc w:val="center"/>
        <w:rPr>
          <w:szCs w:val="22"/>
          <w:lang w:val="lt-LT"/>
        </w:rPr>
      </w:pPr>
    </w:p>
    <w:p w:rsidR="00BA6577" w:rsidRDefault="00BA6577">
      <w:bookmarkStart w:id="1" w:name="_GoBack"/>
      <w:bookmarkEnd w:id="1"/>
    </w:p>
    <w:sectPr w:rsidR="00BA6577">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6D" w:rsidRDefault="009D7F8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52346D" w:rsidRDefault="009D7F8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6D" w:rsidRDefault="009D7F83">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8</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6D" w:rsidRDefault="009D7F8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6D" w:rsidRDefault="009D7F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6D" w:rsidRDefault="009D7F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6D" w:rsidRDefault="009D7F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53113A"/>
    <w:multiLevelType w:val="hybridMultilevel"/>
    <w:tmpl w:val="004491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984E77"/>
    <w:multiLevelType w:val="hybridMultilevel"/>
    <w:tmpl w:val="D98EB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6E8F"/>
    <w:multiLevelType w:val="hybridMultilevel"/>
    <w:tmpl w:val="642204BA"/>
    <w:lvl w:ilvl="0" w:tplc="FFFFFFFF">
      <w:start w:val="1"/>
      <w:numFmt w:val="bullet"/>
      <w:lvlText w:val="-"/>
      <w:lvlJc w:val="left"/>
      <w:pPr>
        <w:ind w:left="1080" w:hanging="360"/>
      </w:pPr>
    </w:lvl>
    <w:lvl w:ilvl="1" w:tplc="B016B69C">
      <w:start w:val="1"/>
      <w:numFmt w:val="bullet"/>
      <w:lvlText w:val="‒"/>
      <w:lvlJc w:val="left"/>
      <w:pPr>
        <w:ind w:left="1800" w:hanging="360"/>
      </w:pPr>
      <w:rPr>
        <w:rFonts w:ascii="Calibri" w:hAnsi="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44907BF"/>
    <w:multiLevelType w:val="hybridMultilevel"/>
    <w:tmpl w:val="C2F23A5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CB1659"/>
    <w:multiLevelType w:val="hybridMultilevel"/>
    <w:tmpl w:val="F4480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6B515E3"/>
    <w:multiLevelType w:val="hybridMultilevel"/>
    <w:tmpl w:val="481E2C0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3"/>
  </w:num>
  <w:num w:numId="5">
    <w:abstractNumId w:val="7"/>
  </w:num>
  <w:num w:numId="6">
    <w:abstractNumId w:val="2"/>
  </w:num>
  <w:num w:numId="7">
    <w:abstractNumId w:val="0"/>
    <w:lvlOverride w:ilvl="0">
      <w:lvl w:ilvl="0">
        <w:start w:val="1"/>
        <w:numFmt w:val="bullet"/>
        <w:lvlText w:val="-"/>
        <w:legacy w:legacy="1" w:legacySpace="0" w:legacyIndent="360"/>
        <w:lvlJc w:val="left"/>
        <w:pPr>
          <w:ind w:left="360" w:hanging="360"/>
        </w:pPr>
      </w:lvl>
    </w:lvlOverride>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83"/>
    <w:rsid w:val="00072F85"/>
    <w:rsid w:val="000A5E72"/>
    <w:rsid w:val="000A7B60"/>
    <w:rsid w:val="00181364"/>
    <w:rsid w:val="002945D9"/>
    <w:rsid w:val="00305C48"/>
    <w:rsid w:val="003362C6"/>
    <w:rsid w:val="00497D4D"/>
    <w:rsid w:val="00742EBF"/>
    <w:rsid w:val="009D7F8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C6320-85EE-4042-8A4A-F318720C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7F83"/>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D7F83"/>
    <w:pPr>
      <w:tabs>
        <w:tab w:val="center" w:pos="4536"/>
        <w:tab w:val="right" w:pos="8306"/>
      </w:tabs>
    </w:pPr>
    <w:rPr>
      <w:lang w:eastAsia="x-none"/>
    </w:rPr>
  </w:style>
  <w:style w:type="character" w:customStyle="1" w:styleId="PoratDiagrama">
    <w:name w:val="Poraštė Diagrama"/>
    <w:basedOn w:val="Numatytasispastraiposriftas"/>
    <w:link w:val="Porat"/>
    <w:rsid w:val="009D7F83"/>
    <w:rPr>
      <w:rFonts w:ascii="Times New Roman" w:eastAsia="Times New Roman" w:hAnsi="Times New Roman" w:cs="Times New Roman"/>
      <w:snapToGrid w:val="0"/>
      <w:szCs w:val="20"/>
      <w:lang w:val="en-GB" w:eastAsia="x-none"/>
    </w:rPr>
  </w:style>
  <w:style w:type="character" w:styleId="Puslapionumeris">
    <w:name w:val="page number"/>
    <w:rsid w:val="009D7F83"/>
    <w:rPr>
      <w:rFonts w:cs="Times New Roman"/>
    </w:rPr>
  </w:style>
  <w:style w:type="paragraph" w:styleId="Antrats">
    <w:name w:val="header"/>
    <w:basedOn w:val="prastasis"/>
    <w:link w:val="AntratsDiagrama"/>
    <w:rsid w:val="009D7F8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9D7F83"/>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14083</Words>
  <Characters>8028</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2025-04-10T12:32:00Z</dcterms:created>
  <dcterms:modified xsi:type="dcterms:W3CDTF">2025-04-10T12:33:00Z</dcterms:modified>
</cp:coreProperties>
</file>