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B8AE0" w14:textId="77777777" w:rsidR="0052346D" w:rsidRDefault="0052346D">
      <w:pPr>
        <w:widowControl w:val="0"/>
        <w:tabs>
          <w:tab w:val="clear" w:pos="567"/>
        </w:tabs>
        <w:spacing w:line="240" w:lineRule="auto"/>
        <w:ind w:left="567" w:hanging="567"/>
        <w:rPr>
          <w:snapToGrid/>
          <w:szCs w:val="22"/>
          <w:lang w:val="lt-LT"/>
        </w:rPr>
      </w:pPr>
    </w:p>
    <w:p w14:paraId="51FBA856" w14:textId="77777777" w:rsidR="0052346D" w:rsidRDefault="0052346D">
      <w:pPr>
        <w:widowControl w:val="0"/>
        <w:tabs>
          <w:tab w:val="clear" w:pos="567"/>
        </w:tabs>
        <w:spacing w:line="240" w:lineRule="auto"/>
        <w:ind w:left="567" w:hanging="567"/>
        <w:rPr>
          <w:snapToGrid/>
          <w:szCs w:val="22"/>
          <w:lang w:val="lt-LT"/>
        </w:rPr>
      </w:pPr>
    </w:p>
    <w:p w14:paraId="3E75D9D6" w14:textId="77777777" w:rsidR="0052346D" w:rsidRDefault="0052346D">
      <w:pPr>
        <w:widowControl w:val="0"/>
        <w:tabs>
          <w:tab w:val="clear" w:pos="567"/>
        </w:tabs>
        <w:spacing w:line="240" w:lineRule="auto"/>
        <w:ind w:left="567" w:hanging="567"/>
        <w:rPr>
          <w:snapToGrid/>
          <w:szCs w:val="22"/>
          <w:lang w:val="lt-LT"/>
        </w:rPr>
      </w:pPr>
    </w:p>
    <w:p w14:paraId="4A32C47A" w14:textId="77777777" w:rsidR="0052346D" w:rsidRDefault="0052346D">
      <w:pPr>
        <w:widowControl w:val="0"/>
        <w:tabs>
          <w:tab w:val="clear" w:pos="567"/>
        </w:tabs>
        <w:spacing w:line="240" w:lineRule="auto"/>
        <w:ind w:left="567" w:hanging="567"/>
        <w:rPr>
          <w:snapToGrid/>
          <w:szCs w:val="22"/>
          <w:lang w:val="lt-LT"/>
        </w:rPr>
      </w:pPr>
    </w:p>
    <w:p w14:paraId="18A85F14" w14:textId="77777777" w:rsidR="0052346D" w:rsidRDefault="0052346D">
      <w:pPr>
        <w:widowControl w:val="0"/>
        <w:tabs>
          <w:tab w:val="clear" w:pos="567"/>
        </w:tabs>
        <w:spacing w:line="240" w:lineRule="auto"/>
        <w:ind w:left="567" w:hanging="567"/>
        <w:rPr>
          <w:snapToGrid/>
          <w:szCs w:val="22"/>
          <w:lang w:val="lt-LT"/>
        </w:rPr>
      </w:pPr>
    </w:p>
    <w:p w14:paraId="0E54452E" w14:textId="77777777" w:rsidR="0052346D" w:rsidRDefault="0052346D">
      <w:pPr>
        <w:widowControl w:val="0"/>
        <w:tabs>
          <w:tab w:val="clear" w:pos="567"/>
        </w:tabs>
        <w:spacing w:line="240" w:lineRule="auto"/>
        <w:ind w:left="567" w:hanging="567"/>
        <w:rPr>
          <w:snapToGrid/>
          <w:szCs w:val="22"/>
          <w:lang w:val="lt-LT"/>
        </w:rPr>
      </w:pPr>
    </w:p>
    <w:p w14:paraId="51EEB10E" w14:textId="77777777" w:rsidR="0052346D" w:rsidRDefault="0052346D">
      <w:pPr>
        <w:widowControl w:val="0"/>
        <w:tabs>
          <w:tab w:val="clear" w:pos="567"/>
        </w:tabs>
        <w:spacing w:line="240" w:lineRule="auto"/>
        <w:ind w:left="567" w:hanging="567"/>
        <w:rPr>
          <w:snapToGrid/>
          <w:szCs w:val="22"/>
          <w:lang w:val="lt-LT"/>
        </w:rPr>
      </w:pPr>
    </w:p>
    <w:p w14:paraId="4D0B3A88" w14:textId="77777777" w:rsidR="0052346D" w:rsidRDefault="0052346D">
      <w:pPr>
        <w:widowControl w:val="0"/>
        <w:tabs>
          <w:tab w:val="clear" w:pos="567"/>
        </w:tabs>
        <w:spacing w:line="240" w:lineRule="auto"/>
        <w:ind w:left="567" w:hanging="567"/>
        <w:rPr>
          <w:snapToGrid/>
          <w:szCs w:val="22"/>
          <w:lang w:val="lt-LT"/>
        </w:rPr>
      </w:pPr>
    </w:p>
    <w:p w14:paraId="42D14215" w14:textId="77777777" w:rsidR="0052346D" w:rsidRDefault="0052346D">
      <w:pPr>
        <w:widowControl w:val="0"/>
        <w:tabs>
          <w:tab w:val="clear" w:pos="567"/>
        </w:tabs>
        <w:spacing w:line="240" w:lineRule="auto"/>
        <w:ind w:left="567" w:hanging="567"/>
        <w:rPr>
          <w:snapToGrid/>
          <w:szCs w:val="22"/>
          <w:lang w:val="lt-LT"/>
        </w:rPr>
      </w:pPr>
    </w:p>
    <w:p w14:paraId="70E0EED3" w14:textId="77777777" w:rsidR="0052346D" w:rsidRDefault="0052346D">
      <w:pPr>
        <w:widowControl w:val="0"/>
        <w:tabs>
          <w:tab w:val="clear" w:pos="567"/>
        </w:tabs>
        <w:spacing w:line="240" w:lineRule="auto"/>
        <w:ind w:left="567" w:hanging="567"/>
        <w:rPr>
          <w:snapToGrid/>
          <w:szCs w:val="22"/>
          <w:lang w:val="lt-LT"/>
        </w:rPr>
      </w:pPr>
    </w:p>
    <w:p w14:paraId="003714A2" w14:textId="77777777" w:rsidR="0052346D" w:rsidRDefault="0052346D">
      <w:pPr>
        <w:widowControl w:val="0"/>
        <w:tabs>
          <w:tab w:val="clear" w:pos="567"/>
        </w:tabs>
        <w:spacing w:line="240" w:lineRule="auto"/>
        <w:ind w:left="567" w:hanging="567"/>
        <w:rPr>
          <w:snapToGrid/>
          <w:szCs w:val="22"/>
          <w:lang w:val="lt-LT"/>
        </w:rPr>
      </w:pPr>
    </w:p>
    <w:p w14:paraId="5C1F479E" w14:textId="77777777" w:rsidR="0052346D" w:rsidRDefault="0052346D">
      <w:pPr>
        <w:widowControl w:val="0"/>
        <w:tabs>
          <w:tab w:val="clear" w:pos="567"/>
        </w:tabs>
        <w:spacing w:line="240" w:lineRule="auto"/>
        <w:ind w:left="567" w:hanging="567"/>
        <w:rPr>
          <w:snapToGrid/>
          <w:szCs w:val="22"/>
          <w:lang w:val="lt-LT"/>
        </w:rPr>
      </w:pPr>
    </w:p>
    <w:p w14:paraId="370B5E27" w14:textId="77777777" w:rsidR="0052346D" w:rsidRDefault="0052346D">
      <w:pPr>
        <w:widowControl w:val="0"/>
        <w:tabs>
          <w:tab w:val="clear" w:pos="567"/>
        </w:tabs>
        <w:spacing w:line="240" w:lineRule="auto"/>
        <w:ind w:left="567" w:hanging="567"/>
        <w:rPr>
          <w:snapToGrid/>
          <w:szCs w:val="22"/>
          <w:lang w:val="lt-LT"/>
        </w:rPr>
      </w:pPr>
    </w:p>
    <w:p w14:paraId="4A27D9A8" w14:textId="77777777" w:rsidR="0052346D" w:rsidRDefault="0052346D">
      <w:pPr>
        <w:widowControl w:val="0"/>
        <w:tabs>
          <w:tab w:val="clear" w:pos="567"/>
        </w:tabs>
        <w:spacing w:line="240" w:lineRule="auto"/>
        <w:ind w:left="567" w:hanging="567"/>
        <w:rPr>
          <w:snapToGrid/>
          <w:szCs w:val="22"/>
          <w:lang w:val="lt-LT"/>
        </w:rPr>
      </w:pPr>
    </w:p>
    <w:p w14:paraId="75D5D38D" w14:textId="77777777" w:rsidR="0052346D" w:rsidRDefault="0052346D">
      <w:pPr>
        <w:widowControl w:val="0"/>
        <w:tabs>
          <w:tab w:val="clear" w:pos="567"/>
        </w:tabs>
        <w:spacing w:line="240" w:lineRule="auto"/>
        <w:ind w:left="567" w:hanging="567"/>
        <w:rPr>
          <w:snapToGrid/>
          <w:szCs w:val="22"/>
          <w:lang w:val="lt-LT"/>
        </w:rPr>
      </w:pPr>
    </w:p>
    <w:p w14:paraId="2721BA0A" w14:textId="77777777" w:rsidR="0052346D" w:rsidRDefault="0052346D">
      <w:pPr>
        <w:widowControl w:val="0"/>
        <w:tabs>
          <w:tab w:val="clear" w:pos="567"/>
        </w:tabs>
        <w:spacing w:line="240" w:lineRule="auto"/>
        <w:ind w:left="567" w:hanging="567"/>
        <w:rPr>
          <w:snapToGrid/>
          <w:szCs w:val="22"/>
          <w:lang w:val="lt-LT"/>
        </w:rPr>
      </w:pPr>
    </w:p>
    <w:p w14:paraId="53EAE82D" w14:textId="77777777" w:rsidR="0052346D" w:rsidRDefault="0052346D">
      <w:pPr>
        <w:widowControl w:val="0"/>
        <w:tabs>
          <w:tab w:val="clear" w:pos="567"/>
        </w:tabs>
        <w:spacing w:line="240" w:lineRule="auto"/>
        <w:ind w:left="567" w:hanging="567"/>
        <w:rPr>
          <w:snapToGrid/>
          <w:szCs w:val="22"/>
          <w:lang w:val="lt-LT"/>
        </w:rPr>
      </w:pPr>
    </w:p>
    <w:p w14:paraId="75D9D851" w14:textId="77777777" w:rsidR="0052346D" w:rsidRDefault="0052346D">
      <w:pPr>
        <w:widowControl w:val="0"/>
        <w:tabs>
          <w:tab w:val="clear" w:pos="567"/>
        </w:tabs>
        <w:spacing w:line="240" w:lineRule="auto"/>
        <w:ind w:left="567" w:hanging="567"/>
        <w:rPr>
          <w:snapToGrid/>
          <w:szCs w:val="22"/>
          <w:lang w:val="lt-LT"/>
        </w:rPr>
      </w:pPr>
    </w:p>
    <w:p w14:paraId="414C90B0" w14:textId="77777777" w:rsidR="0052346D" w:rsidRDefault="0052346D">
      <w:pPr>
        <w:widowControl w:val="0"/>
        <w:tabs>
          <w:tab w:val="clear" w:pos="567"/>
        </w:tabs>
        <w:spacing w:line="240" w:lineRule="auto"/>
        <w:ind w:left="567" w:hanging="567"/>
        <w:rPr>
          <w:snapToGrid/>
          <w:szCs w:val="22"/>
          <w:lang w:val="lt-LT"/>
        </w:rPr>
      </w:pPr>
    </w:p>
    <w:p w14:paraId="3157941E" w14:textId="77777777" w:rsidR="0052346D" w:rsidRDefault="0052346D">
      <w:pPr>
        <w:widowControl w:val="0"/>
        <w:tabs>
          <w:tab w:val="clear" w:pos="567"/>
        </w:tabs>
        <w:spacing w:line="240" w:lineRule="auto"/>
        <w:ind w:left="567" w:hanging="567"/>
        <w:rPr>
          <w:snapToGrid/>
          <w:szCs w:val="22"/>
          <w:lang w:val="lt-LT"/>
        </w:rPr>
      </w:pPr>
    </w:p>
    <w:p w14:paraId="07DA171F" w14:textId="77777777" w:rsidR="0052346D" w:rsidRDefault="0052346D">
      <w:pPr>
        <w:widowControl w:val="0"/>
        <w:tabs>
          <w:tab w:val="clear" w:pos="567"/>
        </w:tabs>
        <w:spacing w:line="240" w:lineRule="auto"/>
        <w:ind w:left="567" w:hanging="567"/>
        <w:rPr>
          <w:snapToGrid/>
          <w:szCs w:val="22"/>
          <w:lang w:val="lt-LT"/>
        </w:rPr>
      </w:pPr>
    </w:p>
    <w:p w14:paraId="54B5BA08" w14:textId="77777777" w:rsidR="0052346D" w:rsidRDefault="0052346D">
      <w:pPr>
        <w:widowControl w:val="0"/>
        <w:tabs>
          <w:tab w:val="clear" w:pos="567"/>
        </w:tabs>
        <w:spacing w:line="240" w:lineRule="auto"/>
        <w:ind w:left="567" w:hanging="567"/>
        <w:rPr>
          <w:snapToGrid/>
          <w:szCs w:val="22"/>
          <w:lang w:val="lt-LT"/>
        </w:rPr>
      </w:pPr>
    </w:p>
    <w:p w14:paraId="5AAEA078" w14:textId="77777777" w:rsidR="0052346D" w:rsidRDefault="0052346D">
      <w:pPr>
        <w:widowControl w:val="0"/>
        <w:tabs>
          <w:tab w:val="clear" w:pos="567"/>
        </w:tabs>
        <w:spacing w:line="240" w:lineRule="auto"/>
        <w:ind w:left="567" w:hanging="567"/>
        <w:rPr>
          <w:snapToGrid/>
          <w:szCs w:val="22"/>
          <w:lang w:val="lt-LT"/>
        </w:rPr>
      </w:pPr>
    </w:p>
    <w:p w14:paraId="784EF415" w14:textId="77777777" w:rsidR="0052346D" w:rsidRDefault="005A1771">
      <w:pPr>
        <w:widowControl w:val="0"/>
        <w:spacing w:line="240" w:lineRule="auto"/>
        <w:ind w:left="567" w:hanging="567"/>
        <w:jc w:val="center"/>
        <w:outlineLvl w:val="0"/>
        <w:rPr>
          <w:b/>
          <w:snapToGrid/>
          <w:szCs w:val="22"/>
          <w:lang w:val="lt-LT"/>
        </w:rPr>
      </w:pPr>
      <w:r>
        <w:rPr>
          <w:b/>
          <w:caps/>
          <w:snapToGrid/>
          <w:szCs w:val="22"/>
          <w:lang w:val="lt-LT"/>
        </w:rPr>
        <w:t>I</w:t>
      </w:r>
      <w:r>
        <w:rPr>
          <w:b/>
          <w:snapToGrid/>
          <w:szCs w:val="22"/>
          <w:lang w:val="lt-LT"/>
        </w:rPr>
        <w:t> PRIEDAS</w:t>
      </w:r>
    </w:p>
    <w:p w14:paraId="07F6B754" w14:textId="77777777" w:rsidR="0052346D" w:rsidRDefault="0052346D">
      <w:pPr>
        <w:widowControl w:val="0"/>
        <w:tabs>
          <w:tab w:val="clear" w:pos="567"/>
        </w:tabs>
        <w:spacing w:line="240" w:lineRule="auto"/>
        <w:ind w:left="567" w:hanging="567"/>
        <w:jc w:val="center"/>
        <w:rPr>
          <w:snapToGrid/>
          <w:szCs w:val="22"/>
          <w:lang w:val="lt-LT"/>
        </w:rPr>
      </w:pPr>
    </w:p>
    <w:p w14:paraId="1EE3C1FF" w14:textId="77777777" w:rsidR="0052346D" w:rsidRDefault="005A1771">
      <w:pPr>
        <w:widowControl w:val="0"/>
        <w:spacing w:line="240" w:lineRule="auto"/>
        <w:ind w:left="567" w:hanging="567"/>
        <w:jc w:val="center"/>
        <w:outlineLvl w:val="0"/>
        <w:rPr>
          <w:b/>
          <w:caps/>
          <w:snapToGrid/>
          <w:szCs w:val="22"/>
          <w:lang w:val="lt-LT"/>
        </w:rPr>
      </w:pPr>
      <w:r>
        <w:rPr>
          <w:b/>
          <w:caps/>
          <w:snapToGrid/>
          <w:szCs w:val="22"/>
          <w:lang w:val="lt-LT"/>
        </w:rPr>
        <w:t>PREPARATO CHARAKTERISTIKŲ SANTRAUKA</w:t>
      </w:r>
    </w:p>
    <w:p w14:paraId="22961B1F" w14:textId="77777777" w:rsidR="0052346D" w:rsidRDefault="005A1771">
      <w:pPr>
        <w:widowControl w:val="0"/>
        <w:spacing w:line="240" w:lineRule="auto"/>
        <w:ind w:left="567" w:hanging="567"/>
        <w:outlineLvl w:val="1"/>
        <w:rPr>
          <w:b/>
          <w:snapToGrid/>
          <w:szCs w:val="22"/>
          <w:lang w:val="lt-LT"/>
        </w:rPr>
      </w:pPr>
      <w:r>
        <w:rPr>
          <w:snapToGrid/>
          <w:szCs w:val="22"/>
          <w:lang w:val="lt-LT"/>
        </w:rPr>
        <w:br w:type="page"/>
      </w:r>
      <w:r>
        <w:rPr>
          <w:b/>
          <w:snapToGrid/>
          <w:szCs w:val="22"/>
          <w:lang w:val="lt-LT"/>
        </w:rPr>
        <w:lastRenderedPageBreak/>
        <w:t>1.</w:t>
      </w:r>
      <w:r>
        <w:rPr>
          <w:b/>
          <w:snapToGrid/>
          <w:szCs w:val="22"/>
          <w:lang w:val="lt-LT"/>
        </w:rPr>
        <w:tab/>
        <w:t>VAISTINIO PREPARATO PAVADINIMAS</w:t>
      </w:r>
    </w:p>
    <w:p w14:paraId="739B32AD" w14:textId="77777777" w:rsidR="0052346D" w:rsidRDefault="0052346D">
      <w:pPr>
        <w:widowControl w:val="0"/>
        <w:tabs>
          <w:tab w:val="clear" w:pos="567"/>
        </w:tabs>
        <w:spacing w:line="240" w:lineRule="auto"/>
        <w:ind w:left="567" w:hanging="567"/>
        <w:rPr>
          <w:snapToGrid/>
          <w:szCs w:val="22"/>
          <w:lang w:val="lt-LT"/>
        </w:rPr>
      </w:pPr>
    </w:p>
    <w:p w14:paraId="23F3FC74" w14:textId="77777777" w:rsidR="0052346D" w:rsidRDefault="005A1771">
      <w:pPr>
        <w:widowControl w:val="0"/>
        <w:tabs>
          <w:tab w:val="clear" w:pos="567"/>
        </w:tabs>
        <w:autoSpaceDE w:val="0"/>
        <w:autoSpaceDN w:val="0"/>
        <w:adjustRightInd w:val="0"/>
        <w:spacing w:line="240" w:lineRule="auto"/>
        <w:rPr>
          <w:snapToGrid/>
          <w:color w:val="000000"/>
          <w:szCs w:val="22"/>
          <w:lang w:val="lt-LT"/>
        </w:rPr>
      </w:pPr>
      <w:r>
        <w:rPr>
          <w:snapToGrid/>
          <w:color w:val="000000"/>
          <w:szCs w:val="22"/>
          <w:lang w:val="lt-LT"/>
        </w:rPr>
        <w:t xml:space="preserve">Kanpiduo </w:t>
      </w:r>
      <w:r>
        <w:rPr>
          <w:snapToGrid/>
          <w:szCs w:val="22"/>
          <w:lang w:val="lt-LT" w:eastAsia="sl-SI"/>
        </w:rPr>
        <w:t xml:space="preserve">8 mg/2,5 mg </w:t>
      </w:r>
      <w:r>
        <w:rPr>
          <w:snapToGrid/>
          <w:color w:val="000000"/>
          <w:szCs w:val="22"/>
          <w:lang w:val="lt-LT"/>
        </w:rPr>
        <w:t>tabletės</w:t>
      </w:r>
      <w:bookmarkStart w:id="0" w:name="_GoBack"/>
      <w:bookmarkEnd w:id="0"/>
    </w:p>
    <w:p w14:paraId="6228AD4E" w14:textId="77777777" w:rsidR="0052346D" w:rsidRDefault="005A1771">
      <w:pPr>
        <w:widowControl w:val="0"/>
        <w:tabs>
          <w:tab w:val="clear" w:pos="567"/>
        </w:tabs>
        <w:autoSpaceDE w:val="0"/>
        <w:autoSpaceDN w:val="0"/>
        <w:adjustRightInd w:val="0"/>
        <w:spacing w:line="240" w:lineRule="auto"/>
        <w:rPr>
          <w:snapToGrid/>
          <w:color w:val="000000"/>
          <w:szCs w:val="22"/>
          <w:lang w:val="lt-LT"/>
        </w:rPr>
      </w:pPr>
      <w:r>
        <w:rPr>
          <w:snapToGrid/>
          <w:color w:val="000000"/>
          <w:szCs w:val="22"/>
          <w:lang w:val="lt-LT"/>
        </w:rPr>
        <w:t xml:space="preserve">Kanpiduo </w:t>
      </w:r>
      <w:r>
        <w:rPr>
          <w:snapToGrid/>
          <w:szCs w:val="22"/>
          <w:lang w:val="lt-LT" w:eastAsia="sl-SI"/>
        </w:rPr>
        <w:t xml:space="preserve">16 mg/2,5 mg </w:t>
      </w:r>
      <w:r>
        <w:rPr>
          <w:snapToGrid/>
          <w:color w:val="000000"/>
          <w:szCs w:val="22"/>
          <w:lang w:val="lt-LT"/>
        </w:rPr>
        <w:t>tabletės</w:t>
      </w:r>
    </w:p>
    <w:p w14:paraId="4D8D67E5" w14:textId="77777777" w:rsidR="0052346D" w:rsidRDefault="0052346D">
      <w:pPr>
        <w:widowControl w:val="0"/>
        <w:tabs>
          <w:tab w:val="clear" w:pos="567"/>
        </w:tabs>
        <w:spacing w:line="240" w:lineRule="auto"/>
        <w:ind w:left="567" w:hanging="567"/>
        <w:rPr>
          <w:snapToGrid/>
          <w:szCs w:val="22"/>
          <w:lang w:val="lt-LT"/>
        </w:rPr>
      </w:pPr>
    </w:p>
    <w:p w14:paraId="44D79EDF" w14:textId="77777777" w:rsidR="0052346D" w:rsidRDefault="0052346D">
      <w:pPr>
        <w:widowControl w:val="0"/>
        <w:tabs>
          <w:tab w:val="clear" w:pos="567"/>
        </w:tabs>
        <w:spacing w:line="240" w:lineRule="auto"/>
        <w:ind w:left="567" w:hanging="567"/>
        <w:rPr>
          <w:snapToGrid/>
          <w:szCs w:val="22"/>
          <w:lang w:val="lt-LT"/>
        </w:rPr>
      </w:pPr>
    </w:p>
    <w:p w14:paraId="1EF6B352" w14:textId="77777777" w:rsidR="0052346D" w:rsidRDefault="005A1771">
      <w:pPr>
        <w:widowControl w:val="0"/>
        <w:spacing w:line="240" w:lineRule="auto"/>
        <w:ind w:left="567" w:hanging="567"/>
        <w:outlineLvl w:val="1"/>
        <w:rPr>
          <w:b/>
          <w:caps/>
          <w:snapToGrid/>
          <w:szCs w:val="22"/>
          <w:lang w:val="lt-LT"/>
        </w:rPr>
      </w:pPr>
      <w:r>
        <w:rPr>
          <w:b/>
          <w:snapToGrid/>
          <w:szCs w:val="22"/>
          <w:lang w:val="lt-LT"/>
        </w:rPr>
        <w:t>2.</w:t>
      </w:r>
      <w:r>
        <w:rPr>
          <w:b/>
          <w:snapToGrid/>
          <w:szCs w:val="22"/>
          <w:lang w:val="lt-LT"/>
        </w:rPr>
        <w:tab/>
        <w:t>KOKYBINĖ IR KIEKYBINĖ SUDĖTIS</w:t>
      </w:r>
    </w:p>
    <w:p w14:paraId="794A1040" w14:textId="77777777" w:rsidR="0052346D" w:rsidRDefault="0052346D">
      <w:pPr>
        <w:widowControl w:val="0"/>
        <w:tabs>
          <w:tab w:val="clear" w:pos="567"/>
        </w:tabs>
        <w:spacing w:line="240" w:lineRule="auto"/>
        <w:rPr>
          <w:snapToGrid/>
          <w:szCs w:val="22"/>
          <w:lang w:val="lt-LT"/>
        </w:rPr>
      </w:pPr>
    </w:p>
    <w:p w14:paraId="295E61AF" w14:textId="77777777" w:rsidR="0052346D" w:rsidRDefault="005A1771">
      <w:pPr>
        <w:widowControl w:val="0"/>
        <w:tabs>
          <w:tab w:val="clear" w:pos="567"/>
        </w:tabs>
        <w:spacing w:line="240" w:lineRule="auto"/>
        <w:rPr>
          <w:i/>
          <w:iCs/>
          <w:snapToGrid/>
          <w:szCs w:val="22"/>
          <w:lang w:val="lt-LT"/>
        </w:rPr>
      </w:pPr>
      <w:r>
        <w:rPr>
          <w:i/>
          <w:iCs/>
          <w:snapToGrid/>
          <w:szCs w:val="22"/>
          <w:lang w:val="lt-LT"/>
        </w:rPr>
        <w:t>Kanpiduo 8 mg/2,5 mg tabletės</w:t>
      </w:r>
    </w:p>
    <w:p w14:paraId="24D648EC" w14:textId="77777777" w:rsidR="0052346D" w:rsidRDefault="005A1771">
      <w:pPr>
        <w:widowControl w:val="0"/>
        <w:tabs>
          <w:tab w:val="clear" w:pos="567"/>
        </w:tabs>
        <w:spacing w:line="240" w:lineRule="auto"/>
        <w:rPr>
          <w:snapToGrid/>
          <w:szCs w:val="22"/>
          <w:lang w:val="lt-LT"/>
        </w:rPr>
      </w:pPr>
      <w:r>
        <w:rPr>
          <w:snapToGrid/>
          <w:szCs w:val="22"/>
          <w:lang w:val="lt-LT"/>
        </w:rPr>
        <w:t>Kiekvienoje tabletėje yra 8 mg kandesartano cileksetilo ir 2,5 mg indapamido.</w:t>
      </w:r>
    </w:p>
    <w:p w14:paraId="4BB8511D" w14:textId="77777777" w:rsidR="0052346D" w:rsidRDefault="0052346D">
      <w:pPr>
        <w:widowControl w:val="0"/>
        <w:spacing w:line="240" w:lineRule="auto"/>
        <w:rPr>
          <w:snapToGrid/>
          <w:szCs w:val="22"/>
          <w:lang w:val="lt-LT"/>
        </w:rPr>
      </w:pPr>
    </w:p>
    <w:p w14:paraId="790C9508" w14:textId="77777777" w:rsidR="0052346D" w:rsidRDefault="005A1771">
      <w:pPr>
        <w:widowControl w:val="0"/>
        <w:spacing w:line="240" w:lineRule="auto"/>
        <w:rPr>
          <w:i/>
          <w:iCs/>
          <w:snapToGrid/>
          <w:szCs w:val="22"/>
          <w:lang w:val="lt-LT"/>
        </w:rPr>
      </w:pPr>
      <w:r>
        <w:rPr>
          <w:i/>
          <w:iCs/>
          <w:snapToGrid/>
          <w:szCs w:val="22"/>
          <w:lang w:val="lt-LT"/>
        </w:rPr>
        <w:t>Kanpiduo 16 mg/2,5 mg tabletės</w:t>
      </w:r>
    </w:p>
    <w:p w14:paraId="72BE4964" w14:textId="77777777" w:rsidR="0052346D" w:rsidRDefault="005A1771">
      <w:pPr>
        <w:widowControl w:val="0"/>
        <w:spacing w:line="240" w:lineRule="auto"/>
        <w:rPr>
          <w:snapToGrid/>
          <w:szCs w:val="22"/>
          <w:lang w:val="lt-LT"/>
        </w:rPr>
      </w:pPr>
      <w:r>
        <w:rPr>
          <w:snapToGrid/>
          <w:szCs w:val="22"/>
          <w:lang w:val="lt-LT"/>
        </w:rPr>
        <w:t>Kiekvienoje tabletėje yra 16 mg kandesartano cileksetilo ir 2,5 mg indapamido.</w:t>
      </w:r>
    </w:p>
    <w:p w14:paraId="09127A57" w14:textId="77777777" w:rsidR="0052346D" w:rsidRDefault="0052346D">
      <w:pPr>
        <w:widowControl w:val="0"/>
        <w:tabs>
          <w:tab w:val="clear" w:pos="567"/>
        </w:tabs>
        <w:autoSpaceDE w:val="0"/>
        <w:autoSpaceDN w:val="0"/>
        <w:adjustRightInd w:val="0"/>
        <w:spacing w:line="240" w:lineRule="auto"/>
        <w:rPr>
          <w:bCs/>
          <w:snapToGrid/>
          <w:szCs w:val="22"/>
          <w:highlight w:val="yellow"/>
          <w:u w:val="single"/>
          <w:lang w:val="lt-LT"/>
        </w:rPr>
      </w:pPr>
    </w:p>
    <w:p w14:paraId="24EC1C92" w14:textId="77777777" w:rsidR="0052346D" w:rsidRDefault="005A1771">
      <w:pPr>
        <w:widowControl w:val="0"/>
        <w:tabs>
          <w:tab w:val="clear" w:pos="567"/>
        </w:tabs>
        <w:autoSpaceDE w:val="0"/>
        <w:autoSpaceDN w:val="0"/>
        <w:adjustRightInd w:val="0"/>
        <w:spacing w:line="240" w:lineRule="auto"/>
        <w:rPr>
          <w:szCs w:val="22"/>
          <w:u w:val="single"/>
          <w:lang w:val="lt-LT"/>
        </w:rPr>
      </w:pPr>
      <w:r>
        <w:rPr>
          <w:szCs w:val="22"/>
          <w:u w:val="single"/>
          <w:lang w:val="lt-LT"/>
        </w:rPr>
        <w:t xml:space="preserve">Pagalbinė medžiaga, </w:t>
      </w:r>
      <w:r>
        <w:rPr>
          <w:noProof/>
          <w:szCs w:val="22"/>
          <w:u w:val="single"/>
          <w:lang w:val="lt-LT"/>
        </w:rPr>
        <w:t>kurios</w:t>
      </w:r>
      <w:r>
        <w:rPr>
          <w:szCs w:val="22"/>
          <w:u w:val="single"/>
          <w:lang w:val="lt-LT"/>
        </w:rPr>
        <w:t xml:space="preserve"> poveikis žinomas:</w:t>
      </w:r>
    </w:p>
    <w:p w14:paraId="1110D306" w14:textId="77777777" w:rsidR="0052346D" w:rsidRDefault="0052346D">
      <w:pPr>
        <w:widowControl w:val="0"/>
        <w:tabs>
          <w:tab w:val="clear" w:pos="567"/>
        </w:tabs>
        <w:autoSpaceDE w:val="0"/>
        <w:autoSpaceDN w:val="0"/>
        <w:adjustRightInd w:val="0"/>
        <w:spacing w:line="240" w:lineRule="auto"/>
        <w:rPr>
          <w:bCs/>
          <w:snapToGrid/>
          <w:szCs w:val="22"/>
          <w:highlight w:val="yellow"/>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169"/>
        <w:gridCol w:w="2268"/>
      </w:tblGrid>
      <w:tr w:rsidR="0052346D" w14:paraId="6426629A" w14:textId="77777777">
        <w:tc>
          <w:tcPr>
            <w:tcW w:w="1795" w:type="dxa"/>
            <w:shd w:val="clear" w:color="auto" w:fill="auto"/>
          </w:tcPr>
          <w:p w14:paraId="4D7C59AE" w14:textId="77777777" w:rsidR="0052346D" w:rsidRDefault="0052346D">
            <w:pPr>
              <w:widowControl w:val="0"/>
              <w:tabs>
                <w:tab w:val="clear" w:pos="567"/>
              </w:tabs>
              <w:autoSpaceDE w:val="0"/>
              <w:autoSpaceDN w:val="0"/>
              <w:adjustRightInd w:val="0"/>
              <w:spacing w:line="240" w:lineRule="auto"/>
              <w:rPr>
                <w:bCs/>
                <w:snapToGrid/>
                <w:szCs w:val="22"/>
                <w:lang w:val="lt-LT"/>
              </w:rPr>
            </w:pPr>
          </w:p>
        </w:tc>
        <w:tc>
          <w:tcPr>
            <w:tcW w:w="2169" w:type="dxa"/>
            <w:shd w:val="clear" w:color="auto" w:fill="auto"/>
          </w:tcPr>
          <w:p w14:paraId="36895382" w14:textId="77777777" w:rsidR="0052346D" w:rsidRDefault="005A1771">
            <w:pPr>
              <w:widowControl w:val="0"/>
              <w:tabs>
                <w:tab w:val="clear" w:pos="567"/>
              </w:tabs>
              <w:autoSpaceDE w:val="0"/>
              <w:autoSpaceDN w:val="0"/>
              <w:adjustRightInd w:val="0"/>
              <w:spacing w:line="240" w:lineRule="auto"/>
              <w:rPr>
                <w:bCs/>
                <w:snapToGrid/>
                <w:szCs w:val="22"/>
                <w:lang w:val="lt-LT"/>
              </w:rPr>
            </w:pPr>
            <w:r>
              <w:rPr>
                <w:snapToGrid/>
                <w:szCs w:val="22"/>
                <w:lang w:val="lt-LT" w:eastAsia="sl-SI"/>
              </w:rPr>
              <w:t>8 mg/2,5 mg tabletės</w:t>
            </w:r>
          </w:p>
        </w:tc>
        <w:tc>
          <w:tcPr>
            <w:tcW w:w="2268" w:type="dxa"/>
            <w:shd w:val="clear" w:color="auto" w:fill="auto"/>
          </w:tcPr>
          <w:p w14:paraId="4D558043" w14:textId="77777777" w:rsidR="0052346D" w:rsidRDefault="005A1771">
            <w:pPr>
              <w:widowControl w:val="0"/>
              <w:tabs>
                <w:tab w:val="clear" w:pos="567"/>
              </w:tabs>
              <w:autoSpaceDE w:val="0"/>
              <w:autoSpaceDN w:val="0"/>
              <w:adjustRightInd w:val="0"/>
              <w:spacing w:line="240" w:lineRule="auto"/>
              <w:rPr>
                <w:bCs/>
                <w:snapToGrid/>
                <w:szCs w:val="22"/>
                <w:lang w:val="lt-LT"/>
              </w:rPr>
            </w:pPr>
            <w:r>
              <w:rPr>
                <w:snapToGrid/>
                <w:szCs w:val="22"/>
                <w:lang w:val="lt-LT" w:eastAsia="sl-SI"/>
              </w:rPr>
              <w:t>16 mg/2,5 mg tabletės</w:t>
            </w:r>
          </w:p>
        </w:tc>
      </w:tr>
      <w:tr w:rsidR="0052346D" w14:paraId="1B58FE8F" w14:textId="77777777">
        <w:tc>
          <w:tcPr>
            <w:tcW w:w="1795" w:type="dxa"/>
            <w:shd w:val="clear" w:color="auto" w:fill="auto"/>
          </w:tcPr>
          <w:p w14:paraId="2FA1AD1A" w14:textId="77777777" w:rsidR="0052346D" w:rsidRDefault="005A1771">
            <w:pPr>
              <w:tabs>
                <w:tab w:val="clear" w:pos="567"/>
              </w:tabs>
              <w:spacing w:line="240" w:lineRule="auto"/>
              <w:rPr>
                <w:bCs/>
                <w:snapToGrid/>
                <w:szCs w:val="22"/>
                <w:lang w:val="lt-LT"/>
              </w:rPr>
            </w:pPr>
            <w:r>
              <w:rPr>
                <w:bCs/>
                <w:snapToGrid/>
                <w:szCs w:val="22"/>
                <w:lang w:val="lt-LT"/>
              </w:rPr>
              <w:t xml:space="preserve">Laktozė </w:t>
            </w:r>
          </w:p>
          <w:p w14:paraId="687A7B49" w14:textId="77777777" w:rsidR="0052346D" w:rsidRDefault="005A1771">
            <w:pPr>
              <w:tabs>
                <w:tab w:val="clear" w:pos="567"/>
              </w:tabs>
              <w:spacing w:line="240" w:lineRule="auto"/>
              <w:rPr>
                <w:bCs/>
                <w:snapToGrid/>
                <w:szCs w:val="22"/>
                <w:lang w:val="lt-LT"/>
              </w:rPr>
            </w:pPr>
            <w:r>
              <w:rPr>
                <w:bCs/>
                <w:snapToGrid/>
                <w:szCs w:val="22"/>
                <w:lang w:val="lt-LT"/>
              </w:rPr>
              <w:t>(monohidrato pavidalu)</w:t>
            </w:r>
          </w:p>
        </w:tc>
        <w:tc>
          <w:tcPr>
            <w:tcW w:w="2169" w:type="dxa"/>
            <w:shd w:val="clear" w:color="auto" w:fill="auto"/>
          </w:tcPr>
          <w:p w14:paraId="3DD88C3E" w14:textId="77777777" w:rsidR="0052346D" w:rsidRDefault="005A1771">
            <w:pPr>
              <w:widowControl w:val="0"/>
              <w:tabs>
                <w:tab w:val="clear" w:pos="567"/>
              </w:tabs>
              <w:autoSpaceDE w:val="0"/>
              <w:autoSpaceDN w:val="0"/>
              <w:adjustRightInd w:val="0"/>
              <w:spacing w:line="240" w:lineRule="auto"/>
              <w:rPr>
                <w:bCs/>
                <w:snapToGrid/>
                <w:szCs w:val="22"/>
                <w:lang w:val="lt-LT"/>
              </w:rPr>
            </w:pPr>
            <w:r>
              <w:rPr>
                <w:snapToGrid/>
                <w:szCs w:val="22"/>
                <w:lang w:val="lt-LT" w:eastAsia="sl-SI"/>
              </w:rPr>
              <w:t>48,74 mg</w:t>
            </w:r>
          </w:p>
        </w:tc>
        <w:tc>
          <w:tcPr>
            <w:tcW w:w="2268" w:type="dxa"/>
            <w:shd w:val="clear" w:color="auto" w:fill="auto"/>
          </w:tcPr>
          <w:p w14:paraId="3788EF81" w14:textId="77777777" w:rsidR="0052346D" w:rsidRDefault="005A1771">
            <w:pPr>
              <w:widowControl w:val="0"/>
              <w:tabs>
                <w:tab w:val="clear" w:pos="567"/>
              </w:tabs>
              <w:autoSpaceDE w:val="0"/>
              <w:autoSpaceDN w:val="0"/>
              <w:adjustRightInd w:val="0"/>
              <w:spacing w:line="240" w:lineRule="auto"/>
              <w:rPr>
                <w:bCs/>
                <w:snapToGrid/>
                <w:szCs w:val="22"/>
                <w:lang w:val="lt-LT"/>
              </w:rPr>
            </w:pPr>
            <w:r>
              <w:rPr>
                <w:bCs/>
                <w:snapToGrid/>
                <w:szCs w:val="22"/>
                <w:lang w:val="lt-LT"/>
              </w:rPr>
              <w:t>41,12 mg</w:t>
            </w:r>
          </w:p>
        </w:tc>
      </w:tr>
    </w:tbl>
    <w:p w14:paraId="402A6D7F" w14:textId="77777777" w:rsidR="0052346D" w:rsidRDefault="0052346D">
      <w:pPr>
        <w:widowControl w:val="0"/>
        <w:tabs>
          <w:tab w:val="clear" w:pos="567"/>
        </w:tabs>
        <w:spacing w:line="240" w:lineRule="auto"/>
        <w:rPr>
          <w:snapToGrid/>
          <w:szCs w:val="22"/>
          <w:lang w:val="lt-LT"/>
        </w:rPr>
      </w:pPr>
    </w:p>
    <w:p w14:paraId="36B767CC" w14:textId="77777777" w:rsidR="0052346D" w:rsidRDefault="005A1771">
      <w:pPr>
        <w:widowControl w:val="0"/>
        <w:tabs>
          <w:tab w:val="clear" w:pos="567"/>
        </w:tabs>
        <w:spacing w:line="240" w:lineRule="auto"/>
        <w:rPr>
          <w:snapToGrid/>
          <w:szCs w:val="22"/>
          <w:lang w:val="lt-LT"/>
        </w:rPr>
      </w:pPr>
      <w:r>
        <w:rPr>
          <w:snapToGrid/>
          <w:szCs w:val="22"/>
          <w:lang w:val="lt-LT"/>
        </w:rPr>
        <w:t>Visos pagalbinės medžiagos išvardytos 6.1 skyriuje.</w:t>
      </w:r>
    </w:p>
    <w:p w14:paraId="3515BB9A" w14:textId="77777777" w:rsidR="0052346D" w:rsidRDefault="0052346D">
      <w:pPr>
        <w:widowControl w:val="0"/>
        <w:tabs>
          <w:tab w:val="clear" w:pos="567"/>
        </w:tabs>
        <w:spacing w:line="240" w:lineRule="auto"/>
        <w:ind w:left="567" w:hanging="567"/>
        <w:rPr>
          <w:snapToGrid/>
          <w:szCs w:val="22"/>
          <w:lang w:val="lt-LT"/>
        </w:rPr>
      </w:pPr>
    </w:p>
    <w:p w14:paraId="1DCAC928" w14:textId="77777777" w:rsidR="0052346D" w:rsidRDefault="0052346D">
      <w:pPr>
        <w:widowControl w:val="0"/>
        <w:tabs>
          <w:tab w:val="clear" w:pos="567"/>
        </w:tabs>
        <w:spacing w:line="240" w:lineRule="auto"/>
        <w:ind w:left="567" w:hanging="567"/>
        <w:rPr>
          <w:snapToGrid/>
          <w:szCs w:val="22"/>
          <w:lang w:val="lt-LT"/>
        </w:rPr>
      </w:pPr>
    </w:p>
    <w:p w14:paraId="0793BE94" w14:textId="77777777" w:rsidR="0052346D" w:rsidRDefault="005A1771">
      <w:pPr>
        <w:widowControl w:val="0"/>
        <w:spacing w:line="240" w:lineRule="auto"/>
        <w:ind w:left="567" w:hanging="567"/>
        <w:outlineLvl w:val="1"/>
        <w:rPr>
          <w:b/>
          <w:snapToGrid/>
          <w:szCs w:val="22"/>
          <w:lang w:val="lt-LT"/>
        </w:rPr>
      </w:pPr>
      <w:r>
        <w:rPr>
          <w:b/>
          <w:snapToGrid/>
          <w:szCs w:val="22"/>
          <w:lang w:val="lt-LT"/>
        </w:rPr>
        <w:t>3.</w:t>
      </w:r>
      <w:r>
        <w:rPr>
          <w:b/>
          <w:snapToGrid/>
          <w:szCs w:val="22"/>
          <w:lang w:val="lt-LT"/>
        </w:rPr>
        <w:tab/>
        <w:t>FARMACINĖ FORMA</w:t>
      </w:r>
    </w:p>
    <w:p w14:paraId="4A02EC56" w14:textId="77777777" w:rsidR="0052346D" w:rsidRDefault="0052346D">
      <w:pPr>
        <w:widowControl w:val="0"/>
        <w:tabs>
          <w:tab w:val="clear" w:pos="567"/>
        </w:tabs>
        <w:spacing w:line="240" w:lineRule="auto"/>
        <w:rPr>
          <w:snapToGrid/>
          <w:szCs w:val="22"/>
          <w:highlight w:val="yellow"/>
          <w:lang w:val="lt-LT"/>
        </w:rPr>
      </w:pPr>
    </w:p>
    <w:p w14:paraId="6D317E66" w14:textId="77777777" w:rsidR="0052346D" w:rsidRDefault="005A1771">
      <w:pPr>
        <w:widowControl w:val="0"/>
        <w:tabs>
          <w:tab w:val="clear" w:pos="567"/>
        </w:tabs>
        <w:spacing w:line="240" w:lineRule="auto"/>
        <w:rPr>
          <w:snapToGrid/>
          <w:szCs w:val="22"/>
          <w:lang w:val="lt-LT"/>
        </w:rPr>
      </w:pPr>
      <w:r>
        <w:rPr>
          <w:snapToGrid/>
          <w:szCs w:val="22"/>
          <w:lang w:val="lt-LT"/>
        </w:rPr>
        <w:t>Tabletė</w:t>
      </w:r>
    </w:p>
    <w:p w14:paraId="1ECB031F" w14:textId="77777777" w:rsidR="0052346D" w:rsidRDefault="0052346D">
      <w:pPr>
        <w:widowControl w:val="0"/>
        <w:tabs>
          <w:tab w:val="clear" w:pos="567"/>
        </w:tabs>
        <w:spacing w:line="240" w:lineRule="auto"/>
        <w:rPr>
          <w:snapToGrid/>
          <w:szCs w:val="22"/>
          <w:lang w:val="lt-LT"/>
        </w:rPr>
      </w:pPr>
    </w:p>
    <w:p w14:paraId="6D437DAC" w14:textId="77777777" w:rsidR="0052346D" w:rsidRDefault="005A1771">
      <w:pPr>
        <w:widowControl w:val="0"/>
        <w:spacing w:line="240" w:lineRule="auto"/>
        <w:rPr>
          <w:snapToGrid/>
          <w:szCs w:val="22"/>
          <w:lang w:val="lt-LT"/>
        </w:rPr>
      </w:pPr>
      <w:r>
        <w:rPr>
          <w:snapToGrid/>
          <w:szCs w:val="22"/>
          <w:lang w:val="lt-LT"/>
        </w:rPr>
        <w:t>8 mg/2,5 mg tabletės: baltos arba beveik baltos, apvalios, abipus išgaubtos tabletės, vienoje pusėje yra žyma CI1. Tabletės skersmuo 7 mm.</w:t>
      </w:r>
    </w:p>
    <w:p w14:paraId="51391F47" w14:textId="77777777" w:rsidR="0052346D" w:rsidRDefault="0052346D">
      <w:pPr>
        <w:widowControl w:val="0"/>
        <w:spacing w:line="240" w:lineRule="auto"/>
        <w:rPr>
          <w:snapToGrid/>
          <w:szCs w:val="22"/>
          <w:lang w:val="lt-LT"/>
        </w:rPr>
      </w:pPr>
    </w:p>
    <w:p w14:paraId="1771C0EF" w14:textId="77777777" w:rsidR="0052346D" w:rsidRDefault="005A1771">
      <w:pPr>
        <w:widowControl w:val="0"/>
        <w:spacing w:line="240" w:lineRule="auto"/>
        <w:rPr>
          <w:snapToGrid/>
          <w:szCs w:val="22"/>
          <w:lang w:val="lt-LT"/>
        </w:rPr>
      </w:pPr>
      <w:r>
        <w:rPr>
          <w:snapToGrid/>
          <w:szCs w:val="22"/>
          <w:lang w:val="lt-LT"/>
        </w:rPr>
        <w:t>16 mg/2,5 mg tabletės: šviesiai rausvos, taškuotos, apvalios, abipus išgaubtos tabletės, vienoje pusėje yra žyma CI2. Tabletės skersmuo 7 mm.</w:t>
      </w:r>
    </w:p>
    <w:p w14:paraId="02035803" w14:textId="77777777" w:rsidR="0052346D" w:rsidRDefault="0052346D">
      <w:pPr>
        <w:widowControl w:val="0"/>
        <w:tabs>
          <w:tab w:val="clear" w:pos="567"/>
        </w:tabs>
        <w:spacing w:line="240" w:lineRule="auto"/>
        <w:rPr>
          <w:snapToGrid/>
          <w:szCs w:val="22"/>
          <w:lang w:val="lt-LT"/>
        </w:rPr>
      </w:pPr>
    </w:p>
    <w:p w14:paraId="55540DA1" w14:textId="77777777" w:rsidR="0052346D" w:rsidRDefault="0052346D">
      <w:pPr>
        <w:widowControl w:val="0"/>
        <w:tabs>
          <w:tab w:val="clear" w:pos="567"/>
        </w:tabs>
        <w:spacing w:line="240" w:lineRule="auto"/>
        <w:ind w:left="567" w:hanging="567"/>
        <w:rPr>
          <w:snapToGrid/>
          <w:szCs w:val="22"/>
          <w:lang w:val="lt-LT"/>
        </w:rPr>
      </w:pPr>
    </w:p>
    <w:p w14:paraId="149BCF95" w14:textId="77777777" w:rsidR="0052346D" w:rsidRDefault="005A1771">
      <w:pPr>
        <w:widowControl w:val="0"/>
        <w:spacing w:line="240" w:lineRule="auto"/>
        <w:ind w:left="567" w:hanging="567"/>
        <w:outlineLvl w:val="1"/>
        <w:rPr>
          <w:b/>
          <w:snapToGrid/>
          <w:szCs w:val="22"/>
          <w:lang w:val="lt-LT"/>
        </w:rPr>
      </w:pPr>
      <w:r>
        <w:rPr>
          <w:b/>
          <w:snapToGrid/>
          <w:szCs w:val="22"/>
          <w:lang w:val="lt-LT"/>
        </w:rPr>
        <w:t>4.</w:t>
      </w:r>
      <w:r>
        <w:rPr>
          <w:b/>
          <w:snapToGrid/>
          <w:szCs w:val="22"/>
          <w:lang w:val="lt-LT"/>
        </w:rPr>
        <w:tab/>
        <w:t>KLINIKINĖ INFORMACIJA</w:t>
      </w:r>
    </w:p>
    <w:p w14:paraId="3877356F" w14:textId="77777777" w:rsidR="0052346D" w:rsidRDefault="0052346D">
      <w:pPr>
        <w:widowControl w:val="0"/>
        <w:tabs>
          <w:tab w:val="clear" w:pos="567"/>
        </w:tabs>
        <w:spacing w:line="240" w:lineRule="auto"/>
        <w:ind w:left="567" w:hanging="567"/>
        <w:rPr>
          <w:snapToGrid/>
          <w:szCs w:val="22"/>
          <w:lang w:val="lt-LT"/>
        </w:rPr>
      </w:pPr>
    </w:p>
    <w:p w14:paraId="5049C6E7" w14:textId="77777777" w:rsidR="0052346D" w:rsidRDefault="005A1771">
      <w:pPr>
        <w:widowControl w:val="0"/>
        <w:spacing w:line="240" w:lineRule="auto"/>
        <w:ind w:left="567" w:hanging="567"/>
        <w:outlineLvl w:val="2"/>
        <w:rPr>
          <w:b/>
          <w:snapToGrid/>
          <w:kern w:val="28"/>
          <w:szCs w:val="22"/>
          <w:lang w:val="lt-LT"/>
        </w:rPr>
      </w:pPr>
      <w:r>
        <w:rPr>
          <w:b/>
          <w:snapToGrid/>
          <w:kern w:val="28"/>
          <w:szCs w:val="22"/>
          <w:lang w:val="lt-LT"/>
        </w:rPr>
        <w:t>4.1</w:t>
      </w:r>
      <w:r>
        <w:rPr>
          <w:b/>
          <w:snapToGrid/>
          <w:kern w:val="28"/>
          <w:szCs w:val="22"/>
          <w:lang w:val="lt-LT"/>
        </w:rPr>
        <w:tab/>
        <w:t>Terapinės indikacijos</w:t>
      </w:r>
    </w:p>
    <w:p w14:paraId="3960751E" w14:textId="77777777" w:rsidR="0052346D" w:rsidRDefault="0052346D">
      <w:pPr>
        <w:widowControl w:val="0"/>
        <w:tabs>
          <w:tab w:val="clear" w:pos="567"/>
        </w:tabs>
        <w:spacing w:line="240" w:lineRule="auto"/>
        <w:ind w:left="567" w:hanging="567"/>
        <w:rPr>
          <w:snapToGrid/>
          <w:szCs w:val="22"/>
          <w:lang w:val="lt-LT"/>
        </w:rPr>
      </w:pPr>
    </w:p>
    <w:p w14:paraId="4479DAA3" w14:textId="77777777" w:rsidR="0052346D" w:rsidRDefault="005A1771">
      <w:pPr>
        <w:widowControl w:val="0"/>
        <w:tabs>
          <w:tab w:val="clear" w:pos="567"/>
        </w:tabs>
        <w:autoSpaceDE w:val="0"/>
        <w:autoSpaceDN w:val="0"/>
        <w:adjustRightInd w:val="0"/>
        <w:spacing w:line="240" w:lineRule="auto"/>
        <w:rPr>
          <w:snapToGrid/>
          <w:szCs w:val="22"/>
          <w:lang w:val="lt-LT"/>
        </w:rPr>
      </w:pPr>
      <w:r>
        <w:rPr>
          <w:rFonts w:eastAsia="TimesNewRoman"/>
          <w:snapToGrid/>
          <w:szCs w:val="22"/>
          <w:lang w:val="lt-LT"/>
        </w:rPr>
        <w:t>Kanpiduo skirtas pirminės arterinės hipertenzijos pakeičiamajam gydymui suaugusiems pacientams, kurių kraujospūdis yra tinkamai sureguliuotas tomis pačiomis dozėmis, kokios yra derinyje, tačiau atskiromis tabletėmis kartu vartojamais kandesartanu ir indapamidu.</w:t>
      </w:r>
    </w:p>
    <w:p w14:paraId="11C577C9" w14:textId="77777777" w:rsidR="0052346D" w:rsidRDefault="0052346D">
      <w:pPr>
        <w:widowControl w:val="0"/>
        <w:tabs>
          <w:tab w:val="clear" w:pos="567"/>
        </w:tabs>
        <w:autoSpaceDE w:val="0"/>
        <w:autoSpaceDN w:val="0"/>
        <w:adjustRightInd w:val="0"/>
        <w:spacing w:line="240" w:lineRule="auto"/>
        <w:rPr>
          <w:snapToGrid/>
          <w:szCs w:val="22"/>
          <w:lang w:val="lt-LT"/>
        </w:rPr>
      </w:pPr>
    </w:p>
    <w:p w14:paraId="5F9101F4" w14:textId="77777777" w:rsidR="0052346D" w:rsidRDefault="005A1771">
      <w:pPr>
        <w:widowControl w:val="0"/>
        <w:spacing w:line="240" w:lineRule="auto"/>
        <w:ind w:left="567" w:hanging="567"/>
        <w:outlineLvl w:val="2"/>
        <w:rPr>
          <w:b/>
          <w:snapToGrid/>
          <w:szCs w:val="22"/>
          <w:lang w:val="lt-LT"/>
        </w:rPr>
      </w:pPr>
      <w:r>
        <w:rPr>
          <w:b/>
          <w:snapToGrid/>
          <w:kern w:val="28"/>
          <w:szCs w:val="22"/>
          <w:lang w:val="lt-LT"/>
        </w:rPr>
        <w:t>4.2</w:t>
      </w:r>
      <w:r>
        <w:rPr>
          <w:b/>
          <w:snapToGrid/>
          <w:kern w:val="28"/>
          <w:szCs w:val="22"/>
          <w:lang w:val="lt-LT"/>
        </w:rPr>
        <w:tab/>
        <w:t>Dozavimas ir vartojimo metodas</w:t>
      </w:r>
    </w:p>
    <w:p w14:paraId="5904E6B9" w14:textId="77777777" w:rsidR="0052346D" w:rsidRDefault="0052346D">
      <w:pPr>
        <w:widowControl w:val="0"/>
        <w:tabs>
          <w:tab w:val="clear" w:pos="567"/>
        </w:tabs>
        <w:spacing w:line="240" w:lineRule="auto"/>
        <w:ind w:left="567" w:hanging="567"/>
        <w:rPr>
          <w:bCs/>
          <w:snapToGrid/>
          <w:szCs w:val="22"/>
          <w:lang w:val="lt-LT"/>
        </w:rPr>
      </w:pPr>
    </w:p>
    <w:p w14:paraId="2C14356E" w14:textId="77777777" w:rsidR="0052346D" w:rsidRDefault="005A1771">
      <w:pPr>
        <w:widowControl w:val="0"/>
        <w:tabs>
          <w:tab w:val="clear" w:pos="567"/>
        </w:tabs>
        <w:spacing w:line="240" w:lineRule="auto"/>
        <w:rPr>
          <w:snapToGrid/>
          <w:szCs w:val="22"/>
          <w:lang w:val="lt-LT"/>
        </w:rPr>
      </w:pPr>
      <w:r>
        <w:rPr>
          <w:snapToGrid/>
          <w:szCs w:val="22"/>
          <w:u w:val="single"/>
          <w:lang w:val="lt-LT"/>
        </w:rPr>
        <w:t>Dozavimas</w:t>
      </w:r>
    </w:p>
    <w:p w14:paraId="1E5277DB" w14:textId="77777777" w:rsidR="0052346D" w:rsidRDefault="0052346D">
      <w:pPr>
        <w:widowControl w:val="0"/>
        <w:tabs>
          <w:tab w:val="clear" w:pos="567"/>
        </w:tabs>
        <w:spacing w:line="240" w:lineRule="auto"/>
        <w:rPr>
          <w:iCs/>
          <w:snapToGrid/>
          <w:szCs w:val="22"/>
          <w:lang w:val="lt-LT"/>
        </w:rPr>
      </w:pPr>
    </w:p>
    <w:p w14:paraId="5CCCDD8E" w14:textId="77777777" w:rsidR="0052346D" w:rsidRDefault="005A1771">
      <w:pPr>
        <w:widowControl w:val="0"/>
        <w:tabs>
          <w:tab w:val="clear" w:pos="567"/>
        </w:tabs>
        <w:spacing w:line="240" w:lineRule="auto"/>
        <w:rPr>
          <w:iCs/>
          <w:snapToGrid/>
          <w:szCs w:val="22"/>
          <w:lang w:val="lt-LT"/>
        </w:rPr>
      </w:pPr>
      <w:r>
        <w:rPr>
          <w:iCs/>
          <w:snapToGrid/>
          <w:szCs w:val="22"/>
          <w:lang w:val="lt-LT"/>
        </w:rPr>
        <w:t>Rekomenduojama paros dozė yra viena nurodyto stiprumo tabletė.</w:t>
      </w:r>
    </w:p>
    <w:p w14:paraId="3A5C77FD" w14:textId="77777777" w:rsidR="0052346D" w:rsidRDefault="005A1771">
      <w:pPr>
        <w:widowControl w:val="0"/>
        <w:tabs>
          <w:tab w:val="clear" w:pos="567"/>
        </w:tabs>
        <w:spacing w:line="240" w:lineRule="auto"/>
        <w:rPr>
          <w:iCs/>
          <w:snapToGrid/>
          <w:szCs w:val="22"/>
          <w:lang w:val="lt-LT"/>
        </w:rPr>
      </w:pPr>
      <w:r>
        <w:rPr>
          <w:iCs/>
          <w:snapToGrid/>
          <w:szCs w:val="22"/>
          <w:lang w:val="lt-LT"/>
        </w:rPr>
        <w:t>Fiksuotų dozių derinys nėra skirtas pradiniam gydymui.</w:t>
      </w:r>
    </w:p>
    <w:p w14:paraId="0873F1DD" w14:textId="77777777" w:rsidR="0052346D" w:rsidRDefault="0052346D">
      <w:pPr>
        <w:widowControl w:val="0"/>
        <w:tabs>
          <w:tab w:val="clear" w:pos="567"/>
        </w:tabs>
        <w:spacing w:line="240" w:lineRule="auto"/>
        <w:rPr>
          <w:iCs/>
          <w:snapToGrid/>
          <w:szCs w:val="22"/>
          <w:lang w:val="lt-LT"/>
        </w:rPr>
      </w:pPr>
    </w:p>
    <w:p w14:paraId="631273AA" w14:textId="77777777" w:rsidR="0052346D" w:rsidRDefault="005A1771">
      <w:pPr>
        <w:widowControl w:val="0"/>
        <w:tabs>
          <w:tab w:val="clear" w:pos="567"/>
        </w:tabs>
        <w:spacing w:line="240" w:lineRule="auto"/>
        <w:rPr>
          <w:iCs/>
          <w:snapToGrid/>
          <w:szCs w:val="22"/>
          <w:lang w:val="lt-LT"/>
        </w:rPr>
      </w:pPr>
      <w:r>
        <w:rPr>
          <w:iCs/>
          <w:snapToGrid/>
          <w:szCs w:val="22"/>
          <w:lang w:val="lt-LT"/>
        </w:rPr>
        <w:t>Prieš keičiant gydymą į Kanpiduo, paciento kraujospūdis turi būti sureguliuotas stabiliomis tuo pat metu vartojamomis atskirų veikliųjų medžiagų dozėmis. Kanpiduo dozę reikia skirti atsižvelgiant į atskirų derinio veikliųjų medžiagų dozes gydymo pakeitimo metu.</w:t>
      </w:r>
    </w:p>
    <w:p w14:paraId="55EC2C6E" w14:textId="77777777" w:rsidR="0052346D" w:rsidRDefault="0052346D">
      <w:pPr>
        <w:widowControl w:val="0"/>
        <w:tabs>
          <w:tab w:val="clear" w:pos="567"/>
        </w:tabs>
        <w:spacing w:line="240" w:lineRule="auto"/>
        <w:rPr>
          <w:iCs/>
          <w:snapToGrid/>
          <w:szCs w:val="22"/>
          <w:lang w:val="lt-LT"/>
        </w:rPr>
      </w:pPr>
    </w:p>
    <w:p w14:paraId="60715279" w14:textId="77777777" w:rsidR="0052346D" w:rsidRDefault="005A1771">
      <w:pPr>
        <w:widowControl w:val="0"/>
        <w:tabs>
          <w:tab w:val="clear" w:pos="567"/>
        </w:tabs>
        <w:spacing w:line="240" w:lineRule="auto"/>
        <w:rPr>
          <w:iCs/>
          <w:snapToGrid/>
          <w:szCs w:val="22"/>
          <w:lang w:val="lt-LT"/>
        </w:rPr>
      </w:pPr>
      <w:r>
        <w:rPr>
          <w:iCs/>
          <w:snapToGrid/>
          <w:szCs w:val="22"/>
          <w:lang w:val="lt-LT"/>
        </w:rPr>
        <w:t>Jei reikia keisti dozavimą, tai turi būti atliekama atskirai parenkant veikliųjų derinio medžiagų dozes.</w:t>
      </w:r>
    </w:p>
    <w:p w14:paraId="7675D5FA" w14:textId="77777777" w:rsidR="0052346D" w:rsidRDefault="0052346D">
      <w:pPr>
        <w:widowControl w:val="0"/>
        <w:tabs>
          <w:tab w:val="clear" w:pos="567"/>
        </w:tabs>
        <w:spacing w:line="240" w:lineRule="auto"/>
        <w:rPr>
          <w:iCs/>
          <w:snapToGrid/>
          <w:szCs w:val="22"/>
          <w:u w:val="single"/>
          <w:lang w:val="lt-LT"/>
        </w:rPr>
      </w:pPr>
    </w:p>
    <w:p w14:paraId="219ED8D9" w14:textId="77777777" w:rsidR="0052346D" w:rsidRDefault="005A1771">
      <w:pPr>
        <w:widowControl w:val="0"/>
        <w:tabs>
          <w:tab w:val="clear" w:pos="567"/>
        </w:tabs>
        <w:spacing w:line="240" w:lineRule="auto"/>
        <w:rPr>
          <w:iCs/>
          <w:snapToGrid/>
          <w:szCs w:val="22"/>
          <w:u w:val="single"/>
          <w:lang w:val="lt-LT"/>
        </w:rPr>
      </w:pPr>
      <w:r>
        <w:rPr>
          <w:iCs/>
          <w:snapToGrid/>
          <w:szCs w:val="22"/>
          <w:u w:val="single"/>
          <w:lang w:val="lt-LT"/>
        </w:rPr>
        <w:t>Ypatingos populiacijos</w:t>
      </w:r>
    </w:p>
    <w:p w14:paraId="65F1CE94" w14:textId="77777777" w:rsidR="0052346D" w:rsidRDefault="0052346D">
      <w:pPr>
        <w:widowControl w:val="0"/>
        <w:tabs>
          <w:tab w:val="clear" w:pos="567"/>
        </w:tabs>
        <w:spacing w:line="240" w:lineRule="auto"/>
        <w:rPr>
          <w:i/>
          <w:iCs/>
          <w:snapToGrid/>
          <w:szCs w:val="22"/>
          <w:lang w:val="lt-LT"/>
        </w:rPr>
      </w:pPr>
    </w:p>
    <w:p w14:paraId="088EE421" w14:textId="77777777" w:rsidR="0052346D" w:rsidRDefault="005A1771">
      <w:pPr>
        <w:widowControl w:val="0"/>
        <w:tabs>
          <w:tab w:val="clear" w:pos="567"/>
        </w:tabs>
        <w:spacing w:line="240" w:lineRule="auto"/>
        <w:rPr>
          <w:iCs/>
          <w:snapToGrid/>
          <w:szCs w:val="22"/>
          <w:lang w:val="lt-LT"/>
        </w:rPr>
      </w:pPr>
      <w:r>
        <w:rPr>
          <w:i/>
          <w:iCs/>
          <w:snapToGrid/>
          <w:szCs w:val="22"/>
          <w:lang w:val="lt-LT"/>
        </w:rPr>
        <w:t>Senyviems pacientams</w:t>
      </w:r>
    </w:p>
    <w:p w14:paraId="6CD269BA" w14:textId="77777777" w:rsidR="0052346D" w:rsidRDefault="005A1771">
      <w:pPr>
        <w:widowControl w:val="0"/>
        <w:tabs>
          <w:tab w:val="clear" w:pos="567"/>
        </w:tabs>
        <w:spacing w:line="240" w:lineRule="auto"/>
        <w:rPr>
          <w:iCs/>
          <w:snapToGrid/>
          <w:szCs w:val="22"/>
          <w:lang w:val="lt-LT"/>
        </w:rPr>
      </w:pPr>
      <w:r>
        <w:rPr>
          <w:iCs/>
          <w:snapToGrid/>
          <w:szCs w:val="22"/>
          <w:lang w:val="lt-LT"/>
        </w:rPr>
        <w:t xml:space="preserve">Senyviems pacientams kreatinino koncentracija kraujo plazmoje turi būti koreguojama atsižvelgiant į amžių, svorį ir lytį. Senyvi pacientai gali būti gydomi </w:t>
      </w:r>
      <w:r>
        <w:rPr>
          <w:snapToGrid/>
          <w:szCs w:val="22"/>
          <w:lang w:val="lt-LT"/>
        </w:rPr>
        <w:t xml:space="preserve">atsižvelgiant į </w:t>
      </w:r>
      <w:r>
        <w:rPr>
          <w:iCs/>
          <w:snapToGrid/>
          <w:szCs w:val="22"/>
          <w:lang w:val="lt-LT"/>
        </w:rPr>
        <w:t>inkstų funkciją.</w:t>
      </w:r>
    </w:p>
    <w:p w14:paraId="5F2EF70F" w14:textId="77777777" w:rsidR="0052346D" w:rsidRDefault="0052346D">
      <w:pPr>
        <w:widowControl w:val="0"/>
        <w:tabs>
          <w:tab w:val="clear" w:pos="567"/>
        </w:tabs>
        <w:spacing w:line="240" w:lineRule="auto"/>
        <w:rPr>
          <w:iCs/>
          <w:snapToGrid/>
          <w:szCs w:val="22"/>
          <w:lang w:val="lt-LT"/>
        </w:rPr>
      </w:pPr>
    </w:p>
    <w:p w14:paraId="27C8E945" w14:textId="77777777" w:rsidR="0052346D" w:rsidRDefault="005A1771">
      <w:pPr>
        <w:widowControl w:val="0"/>
        <w:tabs>
          <w:tab w:val="clear" w:pos="567"/>
        </w:tabs>
        <w:spacing w:line="240" w:lineRule="auto"/>
        <w:rPr>
          <w:i/>
          <w:iCs/>
          <w:snapToGrid/>
          <w:szCs w:val="22"/>
          <w:lang w:val="lt-LT"/>
        </w:rPr>
      </w:pPr>
      <w:r>
        <w:rPr>
          <w:i/>
          <w:iCs/>
          <w:snapToGrid/>
          <w:szCs w:val="22"/>
          <w:lang w:val="lt-LT"/>
        </w:rPr>
        <w:t>Pacientams, kurių inkstų funkcija sutrikusi</w:t>
      </w:r>
    </w:p>
    <w:p w14:paraId="61A9C857" w14:textId="77777777" w:rsidR="0052346D" w:rsidRDefault="005A1771">
      <w:pPr>
        <w:widowControl w:val="0"/>
        <w:tabs>
          <w:tab w:val="clear" w:pos="567"/>
        </w:tabs>
        <w:spacing w:line="240" w:lineRule="auto"/>
        <w:rPr>
          <w:iCs/>
          <w:snapToGrid/>
          <w:szCs w:val="22"/>
          <w:lang w:val="lt-LT"/>
        </w:rPr>
      </w:pPr>
      <w:r>
        <w:rPr>
          <w:iCs/>
          <w:snapToGrid/>
          <w:szCs w:val="22"/>
          <w:lang w:val="lt-LT"/>
        </w:rPr>
        <w:t>Jeigu yra sunkus inkstų funkcijos sutrikimas (kreatinino klirensas mažesnis nei 30 ml/min.), Kanpiduo</w:t>
      </w:r>
      <w:r>
        <w:rPr>
          <w:snapToGrid/>
          <w:szCs w:val="22"/>
          <w:lang w:val="lt-LT" w:eastAsia="sl-SI"/>
        </w:rPr>
        <w:t xml:space="preserve"> </w:t>
      </w:r>
      <w:r>
        <w:rPr>
          <w:iCs/>
          <w:snapToGrid/>
          <w:szCs w:val="22"/>
          <w:lang w:val="lt-LT"/>
        </w:rPr>
        <w:t>vartoti draudžiama. Visiškas tiazidų grupės ir panašaus poveikio diuretikų veiksmingumas pasireiškia tik tada, kai inkstų funkcija yra normali arba tik šiek tiek sutrikusi.</w:t>
      </w:r>
    </w:p>
    <w:p w14:paraId="4977AE5C" w14:textId="77777777" w:rsidR="0052346D" w:rsidRDefault="0052346D">
      <w:pPr>
        <w:widowControl w:val="0"/>
        <w:tabs>
          <w:tab w:val="clear" w:pos="567"/>
        </w:tabs>
        <w:spacing w:line="240" w:lineRule="auto"/>
        <w:rPr>
          <w:i/>
          <w:iCs/>
          <w:snapToGrid/>
          <w:szCs w:val="22"/>
          <w:lang w:val="lt-LT"/>
        </w:rPr>
      </w:pPr>
    </w:p>
    <w:p w14:paraId="0F68E9D3" w14:textId="77777777" w:rsidR="0052346D" w:rsidRDefault="005A1771">
      <w:pPr>
        <w:widowControl w:val="0"/>
        <w:tabs>
          <w:tab w:val="clear" w:pos="567"/>
        </w:tabs>
        <w:spacing w:line="240" w:lineRule="auto"/>
        <w:rPr>
          <w:i/>
          <w:iCs/>
          <w:snapToGrid/>
          <w:szCs w:val="22"/>
          <w:lang w:val="lt-LT"/>
        </w:rPr>
      </w:pPr>
      <w:r>
        <w:rPr>
          <w:i/>
          <w:iCs/>
          <w:snapToGrid/>
          <w:szCs w:val="22"/>
          <w:lang w:val="lt-LT"/>
        </w:rPr>
        <w:t>Pacientams, kurių kepenų funkcija sutrikusi</w:t>
      </w:r>
    </w:p>
    <w:p w14:paraId="46DEF46E" w14:textId="77777777" w:rsidR="0052346D" w:rsidRDefault="005A1771">
      <w:pPr>
        <w:widowControl w:val="0"/>
        <w:tabs>
          <w:tab w:val="clear" w:pos="567"/>
        </w:tabs>
        <w:spacing w:line="240" w:lineRule="auto"/>
        <w:rPr>
          <w:iCs/>
          <w:snapToGrid/>
          <w:szCs w:val="22"/>
          <w:lang w:val="lt-LT"/>
        </w:rPr>
      </w:pPr>
      <w:r>
        <w:rPr>
          <w:iCs/>
          <w:snapToGrid/>
          <w:szCs w:val="22"/>
          <w:lang w:val="lt-LT"/>
        </w:rPr>
        <w:t xml:space="preserve">Jeigu yra </w:t>
      </w:r>
      <w:r>
        <w:rPr>
          <w:snapToGrid/>
          <w:szCs w:val="22"/>
          <w:lang w:val="lt-LT"/>
        </w:rPr>
        <w:t xml:space="preserve">sunkus kepenų funkcijos sutrikimas ir (arba) cholestazė, </w:t>
      </w:r>
      <w:r>
        <w:rPr>
          <w:iCs/>
          <w:snapToGrid/>
          <w:szCs w:val="22"/>
          <w:lang w:val="lt-LT"/>
        </w:rPr>
        <w:t>Kanpiduo</w:t>
      </w:r>
      <w:r>
        <w:rPr>
          <w:snapToGrid/>
          <w:szCs w:val="22"/>
          <w:lang w:val="lt-LT" w:eastAsia="sl-SI"/>
        </w:rPr>
        <w:t xml:space="preserve"> </w:t>
      </w:r>
      <w:r>
        <w:rPr>
          <w:iCs/>
          <w:snapToGrid/>
          <w:szCs w:val="22"/>
          <w:lang w:val="lt-LT"/>
        </w:rPr>
        <w:t>vartoti draudžiama (žr. 4.3 ir 5.2 skyrius).</w:t>
      </w:r>
    </w:p>
    <w:p w14:paraId="72540350" w14:textId="77777777" w:rsidR="0052346D" w:rsidRDefault="0052346D">
      <w:pPr>
        <w:widowControl w:val="0"/>
        <w:tabs>
          <w:tab w:val="clear" w:pos="567"/>
        </w:tabs>
        <w:spacing w:line="240" w:lineRule="auto"/>
        <w:rPr>
          <w:i/>
          <w:iCs/>
          <w:snapToGrid/>
          <w:szCs w:val="22"/>
          <w:lang w:val="lt-LT"/>
        </w:rPr>
      </w:pPr>
    </w:p>
    <w:p w14:paraId="1C100EB9" w14:textId="77777777" w:rsidR="0052346D" w:rsidRDefault="005A1771">
      <w:pPr>
        <w:widowControl w:val="0"/>
        <w:tabs>
          <w:tab w:val="clear" w:pos="567"/>
        </w:tabs>
        <w:spacing w:line="240" w:lineRule="auto"/>
        <w:rPr>
          <w:i/>
          <w:iCs/>
          <w:snapToGrid/>
          <w:szCs w:val="22"/>
          <w:lang w:val="lt-LT"/>
        </w:rPr>
      </w:pPr>
      <w:r>
        <w:rPr>
          <w:i/>
          <w:iCs/>
          <w:snapToGrid/>
          <w:szCs w:val="22"/>
          <w:lang w:val="lt-LT"/>
        </w:rPr>
        <w:t>Juodaodžiams pacientams</w:t>
      </w:r>
    </w:p>
    <w:p w14:paraId="2F119005" w14:textId="77777777" w:rsidR="0052346D" w:rsidRDefault="005A1771">
      <w:pPr>
        <w:widowControl w:val="0"/>
        <w:tabs>
          <w:tab w:val="clear" w:pos="567"/>
        </w:tabs>
        <w:spacing w:line="240" w:lineRule="auto"/>
        <w:rPr>
          <w:snapToGrid/>
          <w:color w:val="000000"/>
          <w:szCs w:val="22"/>
          <w:lang w:val="lt-LT" w:eastAsia="sl-SI"/>
        </w:rPr>
      </w:pPr>
      <w:r>
        <w:rPr>
          <w:snapToGrid/>
          <w:color w:val="000000"/>
          <w:szCs w:val="22"/>
          <w:lang w:val="lt-LT" w:eastAsia="sl-SI"/>
        </w:rPr>
        <w:t xml:space="preserve">Dėl veikliosios kandesartano medžiagos </w:t>
      </w:r>
      <w:r>
        <w:rPr>
          <w:iCs/>
          <w:snapToGrid/>
          <w:szCs w:val="22"/>
          <w:lang w:val="lt-LT"/>
        </w:rPr>
        <w:t>Kanpiduo</w:t>
      </w:r>
      <w:r>
        <w:rPr>
          <w:snapToGrid/>
          <w:szCs w:val="22"/>
          <w:lang w:val="lt-LT" w:eastAsia="sl-SI"/>
        </w:rPr>
        <w:t xml:space="preserve"> </w:t>
      </w:r>
      <w:r>
        <w:rPr>
          <w:snapToGrid/>
          <w:color w:val="000000"/>
          <w:szCs w:val="22"/>
          <w:lang w:val="lt-LT" w:eastAsia="sl-SI"/>
        </w:rPr>
        <w:t>antihipertenzinis poveikis juodaodžiams pacientams būna silpnesnis nei ne juodaodžiams pacientams (žr. 5.1 skyrių).</w:t>
      </w:r>
    </w:p>
    <w:p w14:paraId="4FCEEE3A" w14:textId="77777777" w:rsidR="0052346D" w:rsidRDefault="0052346D">
      <w:pPr>
        <w:widowControl w:val="0"/>
        <w:tabs>
          <w:tab w:val="clear" w:pos="567"/>
        </w:tabs>
        <w:spacing w:line="240" w:lineRule="auto"/>
        <w:rPr>
          <w:i/>
          <w:iCs/>
          <w:snapToGrid/>
          <w:szCs w:val="22"/>
          <w:lang w:val="lt-LT"/>
        </w:rPr>
      </w:pPr>
    </w:p>
    <w:p w14:paraId="5095FBD0" w14:textId="77777777" w:rsidR="0052346D" w:rsidRDefault="005A1771">
      <w:pPr>
        <w:widowControl w:val="0"/>
        <w:tabs>
          <w:tab w:val="clear" w:pos="567"/>
        </w:tabs>
        <w:spacing w:line="240" w:lineRule="auto"/>
        <w:rPr>
          <w:i/>
          <w:iCs/>
          <w:snapToGrid/>
          <w:szCs w:val="22"/>
          <w:lang w:val="lt-LT"/>
        </w:rPr>
      </w:pPr>
      <w:r>
        <w:rPr>
          <w:i/>
          <w:iCs/>
          <w:snapToGrid/>
          <w:szCs w:val="22"/>
          <w:lang w:val="lt-LT"/>
        </w:rPr>
        <w:t>Vaikų populiacija</w:t>
      </w:r>
    </w:p>
    <w:p w14:paraId="24EA451D" w14:textId="77777777" w:rsidR="0052346D" w:rsidRDefault="005A1771">
      <w:pPr>
        <w:widowControl w:val="0"/>
        <w:tabs>
          <w:tab w:val="clear" w:pos="567"/>
        </w:tabs>
        <w:spacing w:line="240" w:lineRule="auto"/>
        <w:rPr>
          <w:snapToGrid/>
          <w:color w:val="000000"/>
          <w:szCs w:val="22"/>
          <w:lang w:val="lt-LT" w:eastAsia="sl-SI"/>
        </w:rPr>
      </w:pPr>
      <w:r>
        <w:rPr>
          <w:snapToGrid/>
          <w:color w:val="000000"/>
          <w:szCs w:val="22"/>
          <w:lang w:val="lt-LT" w:eastAsia="sl-SI"/>
        </w:rPr>
        <w:t>Kanpiduo vaikams ir jaunesniems kaip 18 metų paaugliams vartoti nerekomenduojama.</w:t>
      </w:r>
    </w:p>
    <w:p w14:paraId="4A6A2840" w14:textId="77777777" w:rsidR="0052346D" w:rsidRDefault="005A1771">
      <w:pPr>
        <w:widowControl w:val="0"/>
        <w:tabs>
          <w:tab w:val="clear" w:pos="567"/>
        </w:tabs>
        <w:spacing w:line="240" w:lineRule="auto"/>
        <w:rPr>
          <w:snapToGrid/>
          <w:color w:val="000000"/>
          <w:szCs w:val="22"/>
          <w:lang w:val="lt-LT" w:eastAsia="sl-SI"/>
        </w:rPr>
      </w:pPr>
      <w:r>
        <w:rPr>
          <w:snapToGrid/>
          <w:color w:val="000000"/>
          <w:szCs w:val="22"/>
          <w:lang w:val="lt-LT" w:eastAsia="sl-SI"/>
        </w:rPr>
        <w:t>Kanpiduo saugumas ir veiksmingumas tokiose populiacijose nenustatytas.</w:t>
      </w:r>
    </w:p>
    <w:p w14:paraId="6596FA5C" w14:textId="77777777" w:rsidR="0052346D" w:rsidRDefault="0052346D">
      <w:pPr>
        <w:widowControl w:val="0"/>
        <w:tabs>
          <w:tab w:val="clear" w:pos="567"/>
        </w:tabs>
        <w:spacing w:line="240" w:lineRule="auto"/>
        <w:rPr>
          <w:i/>
          <w:iCs/>
          <w:snapToGrid/>
          <w:szCs w:val="22"/>
          <w:lang w:val="lt-LT" w:eastAsia="sl-SI"/>
        </w:rPr>
      </w:pPr>
    </w:p>
    <w:p w14:paraId="6C0F96D4" w14:textId="77777777" w:rsidR="0052346D" w:rsidRDefault="005A1771">
      <w:pPr>
        <w:widowControl w:val="0"/>
        <w:tabs>
          <w:tab w:val="clear" w:pos="567"/>
        </w:tabs>
        <w:spacing w:line="240" w:lineRule="auto"/>
        <w:rPr>
          <w:snapToGrid/>
          <w:szCs w:val="22"/>
          <w:u w:val="single"/>
          <w:lang w:val="lt-LT"/>
        </w:rPr>
      </w:pPr>
      <w:r>
        <w:rPr>
          <w:snapToGrid/>
          <w:szCs w:val="22"/>
          <w:u w:val="single"/>
          <w:lang w:val="lt-LT"/>
        </w:rPr>
        <w:t>Vartojimo metodas</w:t>
      </w:r>
    </w:p>
    <w:p w14:paraId="2D1A2313" w14:textId="77777777" w:rsidR="0052346D" w:rsidRDefault="0052346D">
      <w:pPr>
        <w:widowControl w:val="0"/>
        <w:tabs>
          <w:tab w:val="clear" w:pos="567"/>
        </w:tabs>
        <w:autoSpaceDE w:val="0"/>
        <w:autoSpaceDN w:val="0"/>
        <w:adjustRightInd w:val="0"/>
        <w:spacing w:line="240" w:lineRule="auto"/>
        <w:rPr>
          <w:snapToGrid/>
          <w:color w:val="000000"/>
          <w:szCs w:val="22"/>
          <w:lang w:val="lt-LT" w:eastAsia="sl-SI"/>
        </w:rPr>
      </w:pPr>
    </w:p>
    <w:p w14:paraId="5EC064A5" w14:textId="77777777" w:rsidR="0052346D" w:rsidRDefault="005A1771">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Vartoti per burną.</w:t>
      </w:r>
    </w:p>
    <w:p w14:paraId="15E1F87E" w14:textId="77777777" w:rsidR="0052346D" w:rsidRDefault="005A1771">
      <w:pPr>
        <w:widowControl w:val="0"/>
        <w:tabs>
          <w:tab w:val="clear" w:pos="567"/>
        </w:tabs>
        <w:autoSpaceDE w:val="0"/>
        <w:autoSpaceDN w:val="0"/>
        <w:adjustRightInd w:val="0"/>
        <w:spacing w:line="240" w:lineRule="auto"/>
        <w:rPr>
          <w:snapToGrid/>
          <w:szCs w:val="22"/>
          <w:u w:val="single"/>
          <w:lang w:val="lt-LT"/>
        </w:rPr>
      </w:pPr>
      <w:r>
        <w:rPr>
          <w:snapToGrid/>
          <w:color w:val="000000"/>
          <w:szCs w:val="22"/>
          <w:lang w:val="lt-LT" w:eastAsia="sl-SI"/>
        </w:rPr>
        <w:t xml:space="preserve">Kanpiduo </w:t>
      </w:r>
      <w:r>
        <w:rPr>
          <w:iCs/>
          <w:snapToGrid/>
          <w:szCs w:val="22"/>
          <w:lang w:val="lt-LT" w:eastAsia="sl-SI"/>
        </w:rPr>
        <w:t>reikia vartoti vieną kartą per parą ryte, valgio metu arba nevalgius.</w:t>
      </w:r>
    </w:p>
    <w:p w14:paraId="1906B87E" w14:textId="77777777" w:rsidR="0052346D" w:rsidRDefault="0052346D">
      <w:pPr>
        <w:widowControl w:val="0"/>
        <w:tabs>
          <w:tab w:val="clear" w:pos="567"/>
        </w:tabs>
        <w:spacing w:line="240" w:lineRule="auto"/>
        <w:ind w:left="567" w:hanging="567"/>
        <w:rPr>
          <w:snapToGrid/>
          <w:szCs w:val="22"/>
          <w:lang w:val="lt-LT"/>
        </w:rPr>
      </w:pPr>
    </w:p>
    <w:p w14:paraId="31E06E86" w14:textId="77777777" w:rsidR="0052346D" w:rsidRDefault="005A1771">
      <w:pPr>
        <w:widowControl w:val="0"/>
        <w:spacing w:line="240" w:lineRule="auto"/>
        <w:ind w:left="567" w:hanging="567"/>
        <w:outlineLvl w:val="2"/>
        <w:rPr>
          <w:b/>
          <w:snapToGrid/>
          <w:kern w:val="28"/>
          <w:szCs w:val="22"/>
          <w:lang w:val="lt-LT"/>
        </w:rPr>
      </w:pPr>
      <w:r>
        <w:rPr>
          <w:b/>
          <w:snapToGrid/>
          <w:kern w:val="28"/>
          <w:szCs w:val="22"/>
          <w:lang w:val="lt-LT"/>
        </w:rPr>
        <w:t>4.3</w:t>
      </w:r>
      <w:r>
        <w:rPr>
          <w:b/>
          <w:snapToGrid/>
          <w:kern w:val="28"/>
          <w:szCs w:val="22"/>
          <w:lang w:val="lt-LT"/>
        </w:rPr>
        <w:tab/>
        <w:t>Kontraindikacijos</w:t>
      </w:r>
    </w:p>
    <w:p w14:paraId="09FCDFBA" w14:textId="77777777" w:rsidR="0052346D" w:rsidRDefault="0052346D">
      <w:pPr>
        <w:widowControl w:val="0"/>
        <w:tabs>
          <w:tab w:val="clear" w:pos="567"/>
        </w:tabs>
        <w:spacing w:line="240" w:lineRule="auto"/>
        <w:ind w:left="567" w:hanging="567"/>
        <w:rPr>
          <w:snapToGrid/>
          <w:szCs w:val="22"/>
          <w:lang w:val="lt-LT"/>
        </w:rPr>
      </w:pPr>
    </w:p>
    <w:p w14:paraId="451F9C44" w14:textId="77777777" w:rsidR="0052346D" w:rsidRDefault="005A1771">
      <w:pPr>
        <w:widowControl w:val="0"/>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Padidėjęs jautrumas veikliosioms medžiagoms, kitiems sulfonamidams arba bet kuriai 6.1 skyriuje nurodytai pagalbinei medžiagai.</w:t>
      </w:r>
    </w:p>
    <w:p w14:paraId="68BAB14C" w14:textId="77777777" w:rsidR="0052346D" w:rsidRDefault="005A1771">
      <w:pPr>
        <w:widowControl w:val="0"/>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Antrasis ir trečiasis nėštumo trimestrai (žr. 4.4 ir 4.6 skyrius).</w:t>
      </w:r>
    </w:p>
    <w:p w14:paraId="5D308D38" w14:textId="77777777" w:rsidR="0052346D" w:rsidRDefault="005A1771">
      <w:pPr>
        <w:widowControl w:val="0"/>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Sunkus kepenų funkcijos sutrikimas ir (arba) cholestazė.</w:t>
      </w:r>
    </w:p>
    <w:p w14:paraId="2AA68AAA" w14:textId="77777777" w:rsidR="0052346D" w:rsidRDefault="005A1771">
      <w:pPr>
        <w:widowControl w:val="0"/>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Pacientams, kurie serga cukriniu diabetu arba kurių inkstų funkcija sutrikusi (glomerulų filtracijos greitis (GFG) &lt; 60 ml/min./1,73 m</w:t>
      </w:r>
      <w:r>
        <w:rPr>
          <w:rFonts w:eastAsia="TimesNewRoman"/>
          <w:snapToGrid/>
          <w:szCs w:val="22"/>
          <w:vertAlign w:val="superscript"/>
          <w:lang w:val="lt-LT"/>
        </w:rPr>
        <w:t>2</w:t>
      </w:r>
      <w:r>
        <w:rPr>
          <w:rFonts w:eastAsia="TimesNewRoman"/>
          <w:snapToGrid/>
          <w:szCs w:val="22"/>
          <w:lang w:val="lt-LT"/>
        </w:rPr>
        <w:t>), Kanpiduo draudžiama vartoti kartu su vaistiniais preparatais, kurių sudėtyje yra aliskireno (žr. 4.5 ir 5.1 skyrius).</w:t>
      </w:r>
    </w:p>
    <w:p w14:paraId="5222761F" w14:textId="77777777" w:rsidR="0052346D" w:rsidRDefault="005A1771">
      <w:pPr>
        <w:widowControl w:val="0"/>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Sunkus inkstų nepakankamumas </w:t>
      </w:r>
      <w:r>
        <w:rPr>
          <w:iCs/>
          <w:snapToGrid/>
          <w:szCs w:val="22"/>
          <w:lang w:val="lt-LT"/>
        </w:rPr>
        <w:t>(kreatinino klirensas mažesnis nei 30 ml/min.) (žr. 4.4 skyrių)</w:t>
      </w:r>
      <w:r>
        <w:rPr>
          <w:rFonts w:eastAsia="TimesNewRoman"/>
          <w:snapToGrid/>
          <w:szCs w:val="22"/>
          <w:lang w:val="lt-LT"/>
        </w:rPr>
        <w:t>.</w:t>
      </w:r>
    </w:p>
    <w:p w14:paraId="0F1A5F5A" w14:textId="77777777" w:rsidR="0052346D" w:rsidRDefault="005A1771">
      <w:pPr>
        <w:widowControl w:val="0"/>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Hepatinė encefalopatija.</w:t>
      </w:r>
    </w:p>
    <w:p w14:paraId="01C8BC3E" w14:textId="77777777" w:rsidR="0052346D" w:rsidRDefault="005A1771">
      <w:pPr>
        <w:widowControl w:val="0"/>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Hipokalemija.</w:t>
      </w:r>
    </w:p>
    <w:p w14:paraId="0CEA4103" w14:textId="77777777" w:rsidR="0052346D" w:rsidRDefault="005A1771">
      <w:pPr>
        <w:widowControl w:val="0"/>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Pacientas yra jaunesnis nei 1 metų (žr. 5.3 skyrių).</w:t>
      </w:r>
    </w:p>
    <w:p w14:paraId="11CCC332" w14:textId="77777777" w:rsidR="0052346D" w:rsidRDefault="0052346D">
      <w:pPr>
        <w:widowControl w:val="0"/>
        <w:tabs>
          <w:tab w:val="clear" w:pos="567"/>
        </w:tabs>
        <w:autoSpaceDE w:val="0"/>
        <w:autoSpaceDN w:val="0"/>
        <w:adjustRightInd w:val="0"/>
        <w:spacing w:line="240" w:lineRule="auto"/>
        <w:rPr>
          <w:rFonts w:eastAsia="TimesNewRoman"/>
          <w:snapToGrid/>
          <w:szCs w:val="22"/>
          <w:lang w:val="lt-LT"/>
        </w:rPr>
      </w:pPr>
    </w:p>
    <w:p w14:paraId="77691AFC" w14:textId="77777777" w:rsidR="0052346D" w:rsidRDefault="005A1771">
      <w:pPr>
        <w:widowControl w:val="0"/>
        <w:spacing w:line="240" w:lineRule="auto"/>
        <w:ind w:left="567" w:hanging="567"/>
        <w:outlineLvl w:val="2"/>
        <w:rPr>
          <w:b/>
          <w:snapToGrid/>
          <w:szCs w:val="22"/>
          <w:lang w:val="lt-LT"/>
        </w:rPr>
      </w:pPr>
      <w:r>
        <w:rPr>
          <w:b/>
          <w:snapToGrid/>
          <w:kern w:val="28"/>
          <w:szCs w:val="22"/>
          <w:lang w:val="lt-LT"/>
        </w:rPr>
        <w:t>4.4</w:t>
      </w:r>
      <w:r>
        <w:rPr>
          <w:b/>
          <w:snapToGrid/>
          <w:kern w:val="28"/>
          <w:szCs w:val="22"/>
          <w:lang w:val="lt-LT"/>
        </w:rPr>
        <w:tab/>
        <w:t>Specialūs įspėjimai ir atsargumo priemonės</w:t>
      </w:r>
    </w:p>
    <w:p w14:paraId="163D3198" w14:textId="77777777" w:rsidR="0052346D" w:rsidRDefault="0052346D">
      <w:pPr>
        <w:widowControl w:val="0"/>
        <w:tabs>
          <w:tab w:val="clear" w:pos="567"/>
        </w:tabs>
        <w:spacing w:line="240" w:lineRule="auto"/>
        <w:ind w:left="567" w:hanging="567"/>
        <w:rPr>
          <w:bCs/>
          <w:snapToGrid/>
          <w:szCs w:val="22"/>
          <w:lang w:val="lt-LT"/>
        </w:rPr>
      </w:pPr>
    </w:p>
    <w:p w14:paraId="44A44FA3" w14:textId="77777777" w:rsidR="0052346D" w:rsidRDefault="005A1771">
      <w:pPr>
        <w:widowControl w:val="0"/>
        <w:spacing w:line="240" w:lineRule="auto"/>
        <w:rPr>
          <w:snapToGrid/>
          <w:szCs w:val="22"/>
          <w:lang w:val="lt-LT"/>
        </w:rPr>
      </w:pPr>
      <w:r>
        <w:rPr>
          <w:snapToGrid/>
          <w:szCs w:val="22"/>
          <w:lang w:val="lt-LT"/>
        </w:rPr>
        <w:t>Visi atskiroms veikliosioms medžiagoms taikomi įspėjimai ir atsargumo priemonės galioja ir Kanpiduo.</w:t>
      </w:r>
    </w:p>
    <w:p w14:paraId="6E8FFBA0" w14:textId="77777777" w:rsidR="0052346D" w:rsidRDefault="0052346D">
      <w:pPr>
        <w:widowControl w:val="0"/>
        <w:spacing w:line="240" w:lineRule="auto"/>
        <w:rPr>
          <w:snapToGrid/>
          <w:szCs w:val="22"/>
          <w:lang w:val="lt-LT"/>
        </w:rPr>
      </w:pPr>
    </w:p>
    <w:p w14:paraId="24B51A0B" w14:textId="77777777" w:rsidR="0052346D" w:rsidRDefault="005A1771">
      <w:pPr>
        <w:widowControl w:val="0"/>
        <w:spacing w:line="240" w:lineRule="auto"/>
        <w:rPr>
          <w:iCs/>
          <w:snapToGrid/>
          <w:szCs w:val="22"/>
          <w:u w:val="single"/>
          <w:lang w:val="lt-LT"/>
        </w:rPr>
      </w:pPr>
      <w:r>
        <w:rPr>
          <w:iCs/>
          <w:snapToGrid/>
          <w:szCs w:val="22"/>
          <w:u w:val="single"/>
          <w:lang w:val="lt-LT"/>
        </w:rPr>
        <w:t xml:space="preserve">Pacientams, kurių inkstų funkcija sutrikusi </w:t>
      </w:r>
    </w:p>
    <w:p w14:paraId="52B4E7A5" w14:textId="77777777" w:rsidR="0052346D" w:rsidRDefault="005A1771">
      <w:pPr>
        <w:widowControl w:val="0"/>
        <w:spacing w:line="240" w:lineRule="auto"/>
        <w:rPr>
          <w:iCs/>
          <w:snapToGrid/>
          <w:szCs w:val="22"/>
          <w:lang w:val="lt-LT"/>
        </w:rPr>
      </w:pPr>
      <w:r>
        <w:rPr>
          <w:iCs/>
          <w:snapToGrid/>
          <w:szCs w:val="22"/>
          <w:lang w:val="lt-LT"/>
        </w:rPr>
        <w:t>Jeigu yra sunkus inkstų funkcijos sutrikimas (kreatinino klirensas mažesnis nei 30 ml/min.), Kanpiduo</w:t>
      </w:r>
      <w:r>
        <w:rPr>
          <w:snapToGrid/>
          <w:szCs w:val="22"/>
          <w:lang w:val="lt-LT" w:eastAsia="sl-SI"/>
        </w:rPr>
        <w:t xml:space="preserve"> </w:t>
      </w:r>
      <w:r>
        <w:rPr>
          <w:iCs/>
          <w:snapToGrid/>
          <w:szCs w:val="22"/>
          <w:lang w:val="lt-LT"/>
        </w:rPr>
        <w:t>vartoti draudžiama (žr. 4.3 skyrių).</w:t>
      </w:r>
    </w:p>
    <w:p w14:paraId="01278202" w14:textId="77777777" w:rsidR="0052346D" w:rsidRDefault="0052346D">
      <w:pPr>
        <w:widowControl w:val="0"/>
        <w:spacing w:line="240" w:lineRule="auto"/>
        <w:rPr>
          <w:snapToGrid/>
          <w:szCs w:val="22"/>
          <w:lang w:val="lt-LT"/>
        </w:rPr>
      </w:pPr>
    </w:p>
    <w:p w14:paraId="63B32AC4" w14:textId="77777777" w:rsidR="0052346D" w:rsidRDefault="005A1771">
      <w:pPr>
        <w:widowControl w:val="0"/>
        <w:tabs>
          <w:tab w:val="clear" w:pos="567"/>
          <w:tab w:val="left" w:pos="1296"/>
        </w:tabs>
        <w:snapToGrid w:val="0"/>
        <w:spacing w:line="240" w:lineRule="auto"/>
        <w:rPr>
          <w:snapToGrid/>
          <w:szCs w:val="22"/>
          <w:lang w:val="lt-LT" w:eastAsia="sl-SI"/>
        </w:rPr>
      </w:pPr>
      <w:r>
        <w:rPr>
          <w:snapToGrid/>
          <w:szCs w:val="22"/>
          <w:lang w:val="lt-LT" w:eastAsia="sl-SI"/>
        </w:rPr>
        <w:t>Kaip ir vartojant kitus renino, angiotenzino ir aldosterono sistemą slopinančius vaistinius preparatus, kandesartanu gydomiems jautriems pacientams gali būti tikėtini inkstų funkcijos pokyčiai.</w:t>
      </w:r>
    </w:p>
    <w:p w14:paraId="6B7C8934" w14:textId="77777777" w:rsidR="0052346D" w:rsidRDefault="005A1771">
      <w:pPr>
        <w:widowControl w:val="0"/>
        <w:tabs>
          <w:tab w:val="clear" w:pos="567"/>
          <w:tab w:val="left" w:pos="1296"/>
        </w:tabs>
        <w:snapToGrid w:val="0"/>
        <w:spacing w:line="240" w:lineRule="auto"/>
        <w:rPr>
          <w:snapToGrid/>
          <w:szCs w:val="22"/>
          <w:lang w:val="lt-LT" w:eastAsia="sl-SI"/>
        </w:rPr>
      </w:pPr>
      <w:r>
        <w:rPr>
          <w:snapToGrid/>
          <w:szCs w:val="22"/>
          <w:lang w:val="lt-LT" w:eastAsia="sl-SI"/>
        </w:rPr>
        <w:t>Kai kandesartano vartojama hipertenzija sergantiems pacientams, kurių inkstų funkcija sutrikusi, rekomenduojama periodiškai stebėti kalio ir kreatinino koncentraciją kraujo serume.</w:t>
      </w:r>
    </w:p>
    <w:p w14:paraId="23A879B1" w14:textId="77777777" w:rsidR="0052346D" w:rsidRDefault="0052346D">
      <w:pPr>
        <w:widowControl w:val="0"/>
        <w:tabs>
          <w:tab w:val="clear" w:pos="567"/>
          <w:tab w:val="left" w:pos="1296"/>
        </w:tabs>
        <w:snapToGrid w:val="0"/>
        <w:spacing w:line="240" w:lineRule="auto"/>
        <w:rPr>
          <w:snapToGrid/>
          <w:szCs w:val="22"/>
          <w:lang w:val="lt-LT" w:eastAsia="sl-SI"/>
        </w:rPr>
      </w:pPr>
    </w:p>
    <w:p w14:paraId="11514110" w14:textId="77777777" w:rsidR="0052346D" w:rsidRDefault="005A1771">
      <w:pPr>
        <w:widowControl w:val="0"/>
        <w:tabs>
          <w:tab w:val="clear" w:pos="567"/>
          <w:tab w:val="left" w:pos="1296"/>
        </w:tabs>
        <w:snapToGrid w:val="0"/>
        <w:spacing w:line="240" w:lineRule="auto"/>
        <w:rPr>
          <w:snapToGrid/>
          <w:szCs w:val="22"/>
          <w:lang w:val="lt-LT" w:eastAsia="sl-SI"/>
        </w:rPr>
      </w:pPr>
      <w:r>
        <w:rPr>
          <w:snapToGrid/>
          <w:szCs w:val="22"/>
          <w:lang w:val="lt-LT" w:eastAsia="sl-SI"/>
        </w:rPr>
        <w:t xml:space="preserve">Visiškas tiazidų grupės ir panašaus poveikio diuretikų veiksmingumas pasireiškia tik tada, jeigu inkstų funkcija yra normali arba tik šiek tiek sutrikusi (kreatinino koncentracija suaugusių žmonių kraujo </w:t>
      </w:r>
      <w:r>
        <w:rPr>
          <w:snapToGrid/>
          <w:szCs w:val="22"/>
          <w:lang w:val="lt-LT" w:eastAsia="sl-SI"/>
        </w:rPr>
        <w:lastRenderedPageBreak/>
        <w:t>plazmoje mažesnė kaip 25 mg/l, t. y. &lt;220 mikromolių/l). Senyviems pacientams kreatinino koncentraciją kraujo plazmoje būtina perskaičiuoti atsižvelgiant į amžių, kūno svorį ir lytį.</w:t>
      </w:r>
    </w:p>
    <w:p w14:paraId="42B11F71" w14:textId="5264A23B" w:rsidR="0052346D" w:rsidRDefault="005A1771">
      <w:pPr>
        <w:widowControl w:val="0"/>
        <w:spacing w:line="240" w:lineRule="auto"/>
        <w:rPr>
          <w:snapToGrid/>
          <w:szCs w:val="22"/>
          <w:lang w:val="lt-LT"/>
        </w:rPr>
      </w:pPr>
      <w:r>
        <w:rPr>
          <w:snapToGrid/>
          <w:szCs w:val="22"/>
          <w:lang w:val="lt-LT" w:eastAsia="sl-SI"/>
        </w:rPr>
        <w:t>Gydymo pradžioje diuretikų sukelta hipovolemija (antrinė dėl padidėjusio natrio ir vandens netekimo) sumažina glomerulų filtraciją, todėl gali didėti šlapalo koncentracija kraujyje bei kreatinino koncentracija kraujo plazmoje. Jeigu inkstų funkcija normali, toks laikinas funkcinis inkstų funkcijos sutrikimas pasekmių nesukelia, tačiau jeigu inkstų nepakankamumas jau buvo, jis gali pasunkėti.</w:t>
      </w:r>
    </w:p>
    <w:p w14:paraId="20100F0A" w14:textId="77777777" w:rsidR="0052346D" w:rsidRPr="00892CBD" w:rsidRDefault="0052346D">
      <w:pPr>
        <w:tabs>
          <w:tab w:val="clear" w:pos="567"/>
        </w:tabs>
        <w:autoSpaceDE w:val="0"/>
        <w:autoSpaceDN w:val="0"/>
        <w:adjustRightInd w:val="0"/>
        <w:spacing w:line="240" w:lineRule="auto"/>
        <w:rPr>
          <w:rFonts w:eastAsia="Calibri"/>
          <w:snapToGrid/>
          <w:color w:val="000000"/>
          <w:szCs w:val="22"/>
          <w:lang w:val="lt-LT" w:eastAsia="lt-LT"/>
        </w:rPr>
      </w:pPr>
    </w:p>
    <w:p w14:paraId="231DB612" w14:textId="77777777" w:rsidR="0052346D" w:rsidRDefault="005A1771">
      <w:pPr>
        <w:widowControl w:val="0"/>
        <w:spacing w:line="240" w:lineRule="auto"/>
        <w:rPr>
          <w:snapToGrid/>
          <w:szCs w:val="22"/>
          <w:lang w:val="lt-LT"/>
        </w:rPr>
      </w:pPr>
      <w:r w:rsidRPr="00892CBD">
        <w:rPr>
          <w:rFonts w:eastAsia="Calibri"/>
          <w:snapToGrid/>
          <w:color w:val="000000"/>
          <w:szCs w:val="22"/>
          <w:lang w:val="lt-LT" w:eastAsia="lt-LT"/>
        </w:rPr>
        <w:t>Žarnyno angioneurozinė edema</w:t>
      </w:r>
    </w:p>
    <w:p w14:paraId="45DE964C" w14:textId="77777777" w:rsidR="0052346D" w:rsidRDefault="005A1771">
      <w:pPr>
        <w:widowControl w:val="0"/>
        <w:spacing w:line="240" w:lineRule="auto"/>
        <w:rPr>
          <w:snapToGrid/>
          <w:szCs w:val="22"/>
          <w:lang w:val="lt-LT"/>
        </w:rPr>
      </w:pPr>
      <w:r>
        <w:rPr>
          <w:snapToGrid/>
          <w:szCs w:val="22"/>
          <w:lang w:val="lt-LT"/>
        </w:rPr>
        <w:t>Gauta pranešimų apie žarnyno angioneurozinės edemos atvejus, pasireiškusius pacientams, gydytiems angiotenzino II receptorių blokatoriais (įskaitant kandesartaną) (žr. 4.8 skyrių). Šiems pacientams pasireiškė pilvo skausmas, pykinimas, vėmimas ir viduriavimas. Nutraukus angiotenzino II receptorių antagonistų vartojimą, simptomai išnyko. Diagnozavus žarnyno angioneurozinę edemą, reikia nutraukti kandesartano/indapamido vartojimą ir pradėti atitinkamą stebėseną, kol simptomai visiškai išnyksta.</w:t>
      </w:r>
    </w:p>
    <w:p w14:paraId="0738BF93" w14:textId="77777777" w:rsidR="0052346D" w:rsidRDefault="0052346D">
      <w:pPr>
        <w:widowControl w:val="0"/>
        <w:spacing w:line="240" w:lineRule="auto"/>
        <w:rPr>
          <w:snapToGrid/>
          <w:szCs w:val="22"/>
          <w:lang w:val="lt-LT"/>
        </w:rPr>
      </w:pPr>
    </w:p>
    <w:p w14:paraId="271A1557" w14:textId="77777777" w:rsidR="0052346D" w:rsidRDefault="005A1771">
      <w:pPr>
        <w:widowControl w:val="0"/>
        <w:spacing w:line="240" w:lineRule="auto"/>
        <w:rPr>
          <w:iCs/>
          <w:snapToGrid/>
          <w:szCs w:val="22"/>
          <w:u w:val="single"/>
          <w:lang w:val="lt-LT"/>
        </w:rPr>
      </w:pPr>
      <w:r>
        <w:rPr>
          <w:iCs/>
          <w:snapToGrid/>
          <w:szCs w:val="22"/>
          <w:u w:val="single"/>
          <w:lang w:val="lt-LT"/>
        </w:rPr>
        <w:t xml:space="preserve">Pacientams, kurių kepenų funkcija sutrikusi </w:t>
      </w:r>
    </w:p>
    <w:p w14:paraId="2EB16128" w14:textId="77777777" w:rsidR="0052346D" w:rsidRDefault="005A1771">
      <w:pPr>
        <w:widowControl w:val="0"/>
        <w:spacing w:line="240" w:lineRule="auto"/>
        <w:rPr>
          <w:iCs/>
          <w:snapToGrid/>
          <w:szCs w:val="22"/>
          <w:lang w:val="lt-LT"/>
        </w:rPr>
      </w:pPr>
      <w:r>
        <w:rPr>
          <w:iCs/>
          <w:snapToGrid/>
          <w:szCs w:val="22"/>
          <w:lang w:val="lt-LT"/>
        </w:rPr>
        <w:t xml:space="preserve">Jeigu yra </w:t>
      </w:r>
      <w:r>
        <w:rPr>
          <w:snapToGrid/>
          <w:szCs w:val="22"/>
          <w:lang w:val="lt-LT"/>
        </w:rPr>
        <w:t xml:space="preserve">sunkus kepenų funkcijos sutrikimas ir (arba) cholestazė, </w:t>
      </w:r>
      <w:r>
        <w:rPr>
          <w:iCs/>
          <w:snapToGrid/>
          <w:szCs w:val="22"/>
          <w:lang w:val="lt-LT"/>
        </w:rPr>
        <w:t>Kanpiduo</w:t>
      </w:r>
      <w:r>
        <w:rPr>
          <w:snapToGrid/>
          <w:szCs w:val="22"/>
          <w:lang w:val="lt-LT" w:eastAsia="sl-SI"/>
        </w:rPr>
        <w:t xml:space="preserve"> </w:t>
      </w:r>
      <w:r>
        <w:rPr>
          <w:iCs/>
          <w:snapToGrid/>
          <w:szCs w:val="22"/>
          <w:lang w:val="lt-LT"/>
        </w:rPr>
        <w:t>vartoti draudžiama (žr. 4.3 skyrių).</w:t>
      </w:r>
    </w:p>
    <w:p w14:paraId="65E8F7FF" w14:textId="77777777" w:rsidR="0052346D" w:rsidRDefault="0052346D">
      <w:pPr>
        <w:widowControl w:val="0"/>
        <w:spacing w:line="240" w:lineRule="auto"/>
        <w:rPr>
          <w:iCs/>
          <w:snapToGrid/>
          <w:szCs w:val="22"/>
          <w:lang w:val="lt-LT"/>
        </w:rPr>
      </w:pPr>
    </w:p>
    <w:p w14:paraId="357EE1E1" w14:textId="77777777" w:rsidR="0052346D" w:rsidRDefault="005A1771">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 xml:space="preserve">Esant sutrikusiai kepenų funkcijai, į tiazidus panašaus poveikio diuretikai gali sukelti hepatinę encefalopatiją (ypač esant elektrolitų pusiausvyros sutrikimui), kuri gali progresuoti iki hepatinės komos. Tokiu atveju reikia nedelsiant nutraukti </w:t>
      </w:r>
      <w:r>
        <w:rPr>
          <w:iCs/>
          <w:snapToGrid/>
          <w:szCs w:val="22"/>
          <w:lang w:val="lt-LT"/>
        </w:rPr>
        <w:t>Kanpiduo</w:t>
      </w:r>
      <w:r>
        <w:rPr>
          <w:snapToGrid/>
          <w:szCs w:val="22"/>
          <w:lang w:val="lt-LT" w:eastAsia="sl-SI"/>
        </w:rPr>
        <w:t xml:space="preserve"> vartojimą.</w:t>
      </w:r>
    </w:p>
    <w:p w14:paraId="5FAC5252" w14:textId="77777777" w:rsidR="0052346D" w:rsidRDefault="0052346D">
      <w:pPr>
        <w:widowControl w:val="0"/>
        <w:spacing w:line="240" w:lineRule="auto"/>
        <w:rPr>
          <w:iCs/>
          <w:snapToGrid/>
          <w:szCs w:val="22"/>
          <w:lang w:val="lt-LT"/>
        </w:rPr>
      </w:pPr>
    </w:p>
    <w:p w14:paraId="70DF0EF8" w14:textId="77777777" w:rsidR="0052346D" w:rsidRDefault="005A1771">
      <w:pPr>
        <w:widowControl w:val="0"/>
        <w:spacing w:line="240" w:lineRule="auto"/>
        <w:rPr>
          <w:iCs/>
          <w:snapToGrid/>
          <w:szCs w:val="22"/>
          <w:u w:val="single"/>
          <w:lang w:val="lt-LT"/>
        </w:rPr>
      </w:pPr>
      <w:r>
        <w:rPr>
          <w:iCs/>
          <w:snapToGrid/>
          <w:szCs w:val="22"/>
          <w:u w:val="single"/>
          <w:lang w:val="lt-LT"/>
        </w:rPr>
        <w:t>Hemodializė</w:t>
      </w:r>
    </w:p>
    <w:p w14:paraId="384E319C" w14:textId="77777777" w:rsidR="0052346D" w:rsidRDefault="005A1771">
      <w:pPr>
        <w:widowControl w:val="0"/>
        <w:spacing w:line="240" w:lineRule="auto"/>
        <w:rPr>
          <w:iCs/>
          <w:snapToGrid/>
          <w:szCs w:val="22"/>
          <w:lang w:val="lt-LT"/>
        </w:rPr>
      </w:pPr>
      <w:r>
        <w:rPr>
          <w:iCs/>
          <w:snapToGrid/>
          <w:szCs w:val="22"/>
          <w:lang w:val="lt-LT"/>
        </w:rPr>
        <w:t>Dializės metu kraujospūdis gali būti ypač jautrus AT</w:t>
      </w:r>
      <w:r>
        <w:rPr>
          <w:iCs/>
          <w:snapToGrid/>
          <w:szCs w:val="22"/>
          <w:vertAlign w:val="subscript"/>
          <w:lang w:val="lt-LT"/>
        </w:rPr>
        <w:t>1</w:t>
      </w:r>
      <w:r>
        <w:rPr>
          <w:iCs/>
          <w:snapToGrid/>
          <w:szCs w:val="22"/>
          <w:lang w:val="lt-LT"/>
        </w:rPr>
        <w:t xml:space="preserve"> receptorių blokadai dėl sumažėjusio kraujo plazmos tūrio bei renino, angiotenzino ir aldosterono sistemos suaktyvėjimo. Jeigu yra sunkus inkstų nepakankamumas (kreatinino klirensas mažesnis nei 30 ml/min.), Kanpiduo</w:t>
      </w:r>
      <w:r>
        <w:rPr>
          <w:snapToGrid/>
          <w:szCs w:val="22"/>
          <w:lang w:val="lt-LT" w:eastAsia="sl-SI"/>
        </w:rPr>
        <w:t xml:space="preserve"> </w:t>
      </w:r>
      <w:r>
        <w:rPr>
          <w:iCs/>
          <w:snapToGrid/>
          <w:szCs w:val="22"/>
          <w:lang w:val="lt-LT"/>
        </w:rPr>
        <w:t>vartoti draudžiama (žr. 4.3 skyrių).</w:t>
      </w:r>
    </w:p>
    <w:p w14:paraId="2AD20EB5" w14:textId="77777777" w:rsidR="0052346D" w:rsidRDefault="0052346D">
      <w:pPr>
        <w:widowControl w:val="0"/>
        <w:spacing w:line="240" w:lineRule="auto"/>
        <w:rPr>
          <w:iCs/>
          <w:snapToGrid/>
          <w:szCs w:val="22"/>
          <w:lang w:val="lt-LT"/>
        </w:rPr>
      </w:pPr>
    </w:p>
    <w:p w14:paraId="578AF1D8" w14:textId="77777777" w:rsidR="0052346D" w:rsidRDefault="005A1771">
      <w:pPr>
        <w:widowControl w:val="0"/>
        <w:tabs>
          <w:tab w:val="clear" w:pos="567"/>
          <w:tab w:val="left" w:pos="540"/>
        </w:tabs>
        <w:autoSpaceDE w:val="0"/>
        <w:autoSpaceDN w:val="0"/>
        <w:adjustRightInd w:val="0"/>
        <w:spacing w:line="240" w:lineRule="auto"/>
        <w:rPr>
          <w:snapToGrid/>
          <w:szCs w:val="22"/>
          <w:u w:val="single"/>
          <w:lang w:val="lt-LT" w:eastAsia="sl-SI"/>
        </w:rPr>
      </w:pPr>
      <w:r>
        <w:rPr>
          <w:snapToGrid/>
          <w:szCs w:val="22"/>
          <w:u w:val="single"/>
          <w:lang w:val="lt-LT" w:eastAsia="sl-SI"/>
        </w:rPr>
        <w:t>Inksto arterijos stenozė</w:t>
      </w:r>
    </w:p>
    <w:p w14:paraId="086CDF3D" w14:textId="77777777" w:rsidR="0052346D" w:rsidRDefault="005A1771">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Pacientus, kuriems yra abiejų inkstų arterijos stenozė arba vienintelio funkcionuojančio inksto arterijos stenozė, gydant vaistiniais preparatais, veikiančiais renino, angiotenzino ir aldosterono sistemą, įskaitant angiotenzino II receptorių blokatorius (ARB), tokiais kaip kandesartanas, gali didėti šlapalo koncentracija kraujyje bei kreatinino koncentracija kraujo serume.</w:t>
      </w:r>
    </w:p>
    <w:p w14:paraId="53BCCCA0" w14:textId="77777777" w:rsidR="0052346D" w:rsidRDefault="0052346D">
      <w:pPr>
        <w:widowControl w:val="0"/>
        <w:spacing w:line="240" w:lineRule="auto"/>
        <w:rPr>
          <w:iCs/>
          <w:snapToGrid/>
          <w:szCs w:val="22"/>
          <w:lang w:val="lt-LT"/>
        </w:rPr>
      </w:pPr>
    </w:p>
    <w:p w14:paraId="0D02E913" w14:textId="77777777" w:rsidR="0052346D" w:rsidRDefault="005A1771">
      <w:pPr>
        <w:tabs>
          <w:tab w:val="clear" w:pos="567"/>
        </w:tabs>
        <w:autoSpaceDE w:val="0"/>
        <w:autoSpaceDN w:val="0"/>
        <w:adjustRightInd w:val="0"/>
        <w:spacing w:line="240" w:lineRule="auto"/>
        <w:rPr>
          <w:snapToGrid/>
          <w:szCs w:val="22"/>
          <w:u w:val="single"/>
          <w:lang w:val="lt-LT" w:eastAsia="sl-SI"/>
        </w:rPr>
      </w:pPr>
      <w:r>
        <w:rPr>
          <w:snapToGrid/>
          <w:szCs w:val="22"/>
          <w:u w:val="single"/>
          <w:lang w:val="lt-LT" w:eastAsia="sl-SI"/>
        </w:rPr>
        <w:t>Inksto persodinimas</w:t>
      </w:r>
    </w:p>
    <w:p w14:paraId="43B4344D" w14:textId="77777777" w:rsidR="0052346D" w:rsidRDefault="005A1771">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Patirties skiriant kandesartano pacientams, kuriems neseniai persodintas inkstas, nėra.</w:t>
      </w:r>
    </w:p>
    <w:p w14:paraId="734742DD" w14:textId="77777777" w:rsidR="0052346D" w:rsidRDefault="0052346D">
      <w:pPr>
        <w:widowControl w:val="0"/>
        <w:tabs>
          <w:tab w:val="clear" w:pos="567"/>
          <w:tab w:val="left" w:pos="540"/>
        </w:tabs>
        <w:autoSpaceDE w:val="0"/>
        <w:autoSpaceDN w:val="0"/>
        <w:adjustRightInd w:val="0"/>
        <w:spacing w:line="240" w:lineRule="auto"/>
        <w:rPr>
          <w:snapToGrid/>
          <w:szCs w:val="22"/>
          <w:lang w:val="lt-LT" w:eastAsia="sl-SI"/>
        </w:rPr>
      </w:pPr>
    </w:p>
    <w:p w14:paraId="0FDD10C6" w14:textId="77777777" w:rsidR="0052346D" w:rsidRDefault="005A1771">
      <w:pPr>
        <w:widowControl w:val="0"/>
        <w:spacing w:line="240" w:lineRule="auto"/>
        <w:rPr>
          <w:iCs/>
          <w:snapToGrid/>
          <w:szCs w:val="22"/>
          <w:u w:val="single"/>
          <w:lang w:val="lt-LT"/>
        </w:rPr>
      </w:pPr>
      <w:r>
        <w:rPr>
          <w:iCs/>
          <w:snapToGrid/>
          <w:szCs w:val="22"/>
          <w:u w:val="single"/>
          <w:lang w:val="lt-LT"/>
        </w:rPr>
        <w:t>Hipotenzija</w:t>
      </w:r>
    </w:p>
    <w:p w14:paraId="2ED93267" w14:textId="77777777" w:rsidR="0052346D" w:rsidRDefault="005A1771">
      <w:pPr>
        <w:widowControl w:val="0"/>
        <w:spacing w:line="240" w:lineRule="auto"/>
        <w:rPr>
          <w:iCs/>
          <w:snapToGrid/>
          <w:szCs w:val="22"/>
          <w:lang w:val="lt-LT"/>
        </w:rPr>
      </w:pPr>
      <w:r>
        <w:rPr>
          <w:iCs/>
          <w:snapToGrid/>
          <w:szCs w:val="22"/>
          <w:lang w:val="lt-LT"/>
        </w:rPr>
        <w:t>Gydymo kandesartanu metu širdies nepakankamumu sergantiems pacientams gali pasireikšti hipotenzija. Ji taip pat gali pasireikšti hipertenzija sergantiems pacientams, kuriems yra sumažėjęs intravaskulinis skysčių tūris, pavyzdžiui, vartojantiems dideles diuretikų dozes. Pradedant gydymą reikia laikytis atsargumo ir bandyti koreguoti hipovolemiją.</w:t>
      </w:r>
    </w:p>
    <w:p w14:paraId="5D6F7547" w14:textId="77777777" w:rsidR="0052346D" w:rsidRDefault="0052346D">
      <w:pPr>
        <w:widowControl w:val="0"/>
        <w:spacing w:line="240" w:lineRule="auto"/>
        <w:rPr>
          <w:iCs/>
          <w:snapToGrid/>
          <w:szCs w:val="22"/>
          <w:lang w:val="lt-LT"/>
        </w:rPr>
      </w:pPr>
    </w:p>
    <w:p w14:paraId="17F31929" w14:textId="77777777" w:rsidR="0052346D" w:rsidRDefault="005A1771">
      <w:pPr>
        <w:widowControl w:val="0"/>
        <w:spacing w:line="240" w:lineRule="auto"/>
        <w:rPr>
          <w:iCs/>
          <w:snapToGrid/>
          <w:szCs w:val="22"/>
          <w:lang w:val="lt-LT"/>
        </w:rPr>
      </w:pPr>
      <w:r>
        <w:rPr>
          <w:iCs/>
          <w:snapToGrid/>
          <w:szCs w:val="22"/>
          <w:lang w:val="lt-LT"/>
        </w:rPr>
        <w:t>Kanpiduo netinka gydymui pradėti. Prieš keičiant gydymą į Kanpiduo, pacientų būklė turi būti kontroliuojama stabiliomis atskirų veikliųjų medžiagų dozėmis, vartojamomis tuo pačiu metu.</w:t>
      </w:r>
    </w:p>
    <w:p w14:paraId="6418F0BD" w14:textId="77777777" w:rsidR="0052346D" w:rsidRDefault="0052346D">
      <w:pPr>
        <w:widowControl w:val="0"/>
        <w:spacing w:line="240" w:lineRule="auto"/>
        <w:rPr>
          <w:iCs/>
          <w:snapToGrid/>
          <w:szCs w:val="22"/>
          <w:lang w:val="lt-LT"/>
        </w:rPr>
      </w:pPr>
    </w:p>
    <w:p w14:paraId="2BD8815E" w14:textId="77777777" w:rsidR="0052346D" w:rsidRDefault="005A1771">
      <w:pPr>
        <w:widowControl w:val="0"/>
        <w:spacing w:line="240" w:lineRule="auto"/>
        <w:rPr>
          <w:snapToGrid/>
          <w:szCs w:val="22"/>
          <w:u w:val="single"/>
          <w:lang w:val="lt-LT"/>
        </w:rPr>
      </w:pPr>
      <w:r>
        <w:rPr>
          <w:snapToGrid/>
          <w:szCs w:val="22"/>
          <w:u w:val="single"/>
          <w:lang w:val="lt-LT"/>
        </w:rPr>
        <w:t>Anestezija ir operacija</w:t>
      </w:r>
    </w:p>
    <w:p w14:paraId="2BE7AC8C" w14:textId="77777777" w:rsidR="0052346D" w:rsidRDefault="005A1771">
      <w:pPr>
        <w:widowControl w:val="0"/>
        <w:spacing w:line="240" w:lineRule="auto"/>
        <w:rPr>
          <w:snapToGrid/>
          <w:szCs w:val="22"/>
          <w:lang w:val="lt-LT"/>
        </w:rPr>
      </w:pPr>
      <w:r>
        <w:rPr>
          <w:snapToGrid/>
          <w:szCs w:val="22"/>
          <w:lang w:val="lt-LT"/>
        </w:rPr>
        <w:t>Pacientams, gydomiems angiotenzino II receptorių blokatoriais, anestezijos ir operacijos metu dėl renino-angiotenzino sistemos blokados gali pasireikšti hipotenzija. Labai retai hipotenzija gali būti sunki, todėl gali prireikti į veną skirti skysčių ir (arba) kraujagysles sutraukiančių vaistinių preparatų.</w:t>
      </w:r>
    </w:p>
    <w:p w14:paraId="71D32F94" w14:textId="77777777" w:rsidR="0052346D" w:rsidRDefault="0052346D">
      <w:pPr>
        <w:widowControl w:val="0"/>
        <w:spacing w:line="240" w:lineRule="auto"/>
        <w:rPr>
          <w:snapToGrid/>
          <w:szCs w:val="22"/>
          <w:lang w:val="lt-LT"/>
        </w:rPr>
      </w:pPr>
    </w:p>
    <w:p w14:paraId="4DD52DDC" w14:textId="77777777" w:rsidR="0052346D" w:rsidRDefault="005A1771">
      <w:pPr>
        <w:tabs>
          <w:tab w:val="clear" w:pos="567"/>
        </w:tabs>
        <w:autoSpaceDE w:val="0"/>
        <w:autoSpaceDN w:val="0"/>
        <w:adjustRightInd w:val="0"/>
        <w:spacing w:line="240" w:lineRule="auto"/>
        <w:rPr>
          <w:snapToGrid/>
          <w:szCs w:val="22"/>
          <w:u w:val="single"/>
          <w:lang w:val="lt-LT" w:eastAsia="sl-SI"/>
        </w:rPr>
      </w:pPr>
      <w:r>
        <w:rPr>
          <w:snapToGrid/>
          <w:szCs w:val="22"/>
          <w:u w:val="single"/>
          <w:lang w:val="lt-LT" w:eastAsia="sl-SI"/>
        </w:rPr>
        <w:t>Aortos ir dviburio (mitralinio) vožtuvo stenozė (obstrukcinė hipertrofinė kardiomiopatija)</w:t>
      </w:r>
    </w:p>
    <w:p w14:paraId="064D3CBF" w14:textId="77777777" w:rsidR="0052346D" w:rsidRDefault="005A1771">
      <w:pPr>
        <w:tabs>
          <w:tab w:val="clear" w:pos="567"/>
        </w:tabs>
        <w:autoSpaceDE w:val="0"/>
        <w:autoSpaceDN w:val="0"/>
        <w:adjustRightInd w:val="0"/>
        <w:spacing w:line="240" w:lineRule="auto"/>
        <w:rPr>
          <w:snapToGrid/>
          <w:szCs w:val="22"/>
          <w:lang w:val="lt-LT" w:eastAsia="sl-SI"/>
        </w:rPr>
      </w:pPr>
      <w:r>
        <w:rPr>
          <w:snapToGrid/>
          <w:szCs w:val="22"/>
          <w:lang w:val="lt-LT" w:eastAsia="sl-SI"/>
        </w:rPr>
        <w:t>Pacientus, kuriems yra hemodinamiškai reikšminga aortos arba dviburio (mitralinio) vožtuvo stenozė ar obstrukcinė hipertrofinė kardiomiopatija, šiuo vaistiniu preparatu, kaip ir kitokiais kraujagysles plečiančiais vaistiniais preparatais, reikia gydyti ypač atsargiai.</w:t>
      </w:r>
    </w:p>
    <w:p w14:paraId="5C202D79" w14:textId="77777777" w:rsidR="0052346D" w:rsidRDefault="0052346D">
      <w:pPr>
        <w:widowControl w:val="0"/>
        <w:spacing w:line="240" w:lineRule="auto"/>
        <w:rPr>
          <w:snapToGrid/>
          <w:szCs w:val="22"/>
          <w:lang w:val="lt-LT"/>
        </w:rPr>
      </w:pPr>
    </w:p>
    <w:p w14:paraId="597D5CBD" w14:textId="77777777" w:rsidR="0052346D" w:rsidRDefault="005A1771">
      <w:pPr>
        <w:tabs>
          <w:tab w:val="clear" w:pos="567"/>
        </w:tabs>
        <w:spacing w:line="240" w:lineRule="auto"/>
        <w:rPr>
          <w:snapToGrid/>
          <w:szCs w:val="22"/>
          <w:u w:val="single"/>
          <w:lang w:val="lt-LT"/>
        </w:rPr>
      </w:pPr>
      <w:r>
        <w:rPr>
          <w:snapToGrid/>
          <w:szCs w:val="22"/>
          <w:u w:val="single"/>
          <w:lang w:val="lt-LT"/>
        </w:rPr>
        <w:lastRenderedPageBreak/>
        <w:t>Pirminis hiperaldosteronizmas</w:t>
      </w:r>
    </w:p>
    <w:p w14:paraId="395B9A13" w14:textId="77777777" w:rsidR="0052346D" w:rsidRDefault="005A1771">
      <w:pPr>
        <w:spacing w:line="240" w:lineRule="auto"/>
        <w:rPr>
          <w:snapToGrid/>
          <w:szCs w:val="22"/>
          <w:lang w:val="lt-LT"/>
        </w:rPr>
      </w:pPr>
      <w:r>
        <w:rPr>
          <w:snapToGrid/>
          <w:szCs w:val="22"/>
          <w:lang w:val="lt-LT"/>
        </w:rPr>
        <w:t xml:space="preserve">Pacientai, sergantys pirminiu hiperaldosteronizmu, paprastai nereaguoja į antihipertenzinius vaistinius preparatus, kurie poveikį sukelia slopindami renino ir angiotenzino sistemą. Todėl tokių pacientų gydyti </w:t>
      </w:r>
      <w:r>
        <w:rPr>
          <w:snapToGrid/>
          <w:szCs w:val="22"/>
          <w:lang w:val="lt-LT" w:eastAsia="sl-SI"/>
        </w:rPr>
        <w:t xml:space="preserve">Kanpiduo </w:t>
      </w:r>
      <w:r>
        <w:rPr>
          <w:snapToGrid/>
          <w:szCs w:val="22"/>
          <w:lang w:val="lt-LT"/>
        </w:rPr>
        <w:t>nerekomenduojama.</w:t>
      </w:r>
    </w:p>
    <w:p w14:paraId="0A329576" w14:textId="77777777" w:rsidR="0052346D" w:rsidRDefault="0052346D">
      <w:pPr>
        <w:widowControl w:val="0"/>
        <w:spacing w:line="240" w:lineRule="auto"/>
        <w:rPr>
          <w:snapToGrid/>
          <w:szCs w:val="22"/>
          <w:lang w:val="lt-LT"/>
        </w:rPr>
      </w:pPr>
    </w:p>
    <w:p w14:paraId="519C7914" w14:textId="77777777" w:rsidR="0052346D" w:rsidRDefault="005A1771">
      <w:pPr>
        <w:widowControl w:val="0"/>
        <w:spacing w:line="240" w:lineRule="auto"/>
        <w:rPr>
          <w:snapToGrid/>
          <w:szCs w:val="22"/>
          <w:u w:val="single"/>
          <w:lang w:val="lt-LT"/>
        </w:rPr>
      </w:pPr>
      <w:r>
        <w:rPr>
          <w:snapToGrid/>
          <w:szCs w:val="22"/>
          <w:u w:val="single"/>
          <w:lang w:val="lt-LT"/>
        </w:rPr>
        <w:t>Kalio koncentracija kraujo plazmoje</w:t>
      </w:r>
    </w:p>
    <w:p w14:paraId="7ADDCA5B" w14:textId="77777777" w:rsidR="0052346D" w:rsidRDefault="005A1771">
      <w:pPr>
        <w:widowControl w:val="0"/>
        <w:spacing w:line="240" w:lineRule="auto"/>
        <w:rPr>
          <w:snapToGrid/>
          <w:szCs w:val="22"/>
          <w:lang w:val="lt-LT"/>
        </w:rPr>
      </w:pPr>
      <w:r>
        <w:rPr>
          <w:snapToGrid/>
          <w:szCs w:val="22"/>
          <w:lang w:val="lt-LT"/>
        </w:rPr>
        <w:t>Vartojant kandesartano kartu su kalį organizme sulaikančiais diuretikais, kalio papildais, druskos pakaitalais, kurių sudėtyje yra kalio, arba kitais vaistiniais preparatais, kurie gali didinti kalio koncentraciją (pavyzdžiui, heparinu, kotrimoksazolu, dar vadinamu trimetoprimu/sulfametoksazolu), hipertenzija sergantiems pacientams gali padidėti kalio koncentracija kraujo serume. Būtina tinkamai stebėti kalio koncentraciją.</w:t>
      </w:r>
    </w:p>
    <w:p w14:paraId="29A8F9F3" w14:textId="77777777" w:rsidR="0052346D" w:rsidRDefault="005A1771">
      <w:pPr>
        <w:widowControl w:val="0"/>
        <w:spacing w:line="240" w:lineRule="auto"/>
        <w:rPr>
          <w:snapToGrid/>
          <w:szCs w:val="22"/>
          <w:lang w:val="lt-LT"/>
        </w:rPr>
      </w:pPr>
      <w:r>
        <w:rPr>
          <w:snapToGrid/>
          <w:szCs w:val="22"/>
          <w:lang w:val="lt-LT"/>
        </w:rPr>
        <w:t>AKF inhibitoriaus, kalį organizme sulaikančio diuretiko (pavyzdžiui, spironolaktono) ir kandesartano derinys nerekomenduojamas ir turi būti svarstomas tik atidžiai įvertinus galimą naudą ir riziką.</w:t>
      </w:r>
    </w:p>
    <w:p w14:paraId="5289A08A" w14:textId="77777777" w:rsidR="0052346D" w:rsidRDefault="0052346D">
      <w:pPr>
        <w:widowControl w:val="0"/>
        <w:spacing w:line="240" w:lineRule="auto"/>
        <w:rPr>
          <w:snapToGrid/>
          <w:szCs w:val="22"/>
          <w:lang w:val="lt-LT"/>
        </w:rPr>
      </w:pPr>
    </w:p>
    <w:p w14:paraId="04E0AFFE" w14:textId="77777777" w:rsidR="0052346D" w:rsidRDefault="005A1771">
      <w:pPr>
        <w:widowControl w:val="0"/>
        <w:spacing w:line="240" w:lineRule="auto"/>
        <w:rPr>
          <w:snapToGrid/>
          <w:szCs w:val="22"/>
          <w:lang w:val="lt-LT" w:eastAsia="sl-SI"/>
        </w:rPr>
      </w:pPr>
      <w:r>
        <w:rPr>
          <w:snapToGrid/>
          <w:szCs w:val="22"/>
          <w:lang w:val="lt-LT"/>
        </w:rPr>
        <w:t xml:space="preserve">Didelė gydymo tiazidų grupės ir panašaus poveikio diuretikais, tokiais kaip indapamidas, rizika yra hipokalemija. </w:t>
      </w:r>
      <w:r>
        <w:rPr>
          <w:snapToGrid/>
          <w:szCs w:val="22"/>
          <w:lang w:val="lt-LT" w:eastAsia="sl-SI"/>
        </w:rPr>
        <w:t>Hipokalemija gali sukelti raumenų sutrikimus. Buvo pranešta apie rabdomiolizės atvejus, daugiausia esant sunkiai hipokalemijai. Hipokalemijos (&lt;3,4 mmol/l) pasireiškimo riziką reikia mažinti kai kurių didelės rizikos grupių pacientams: blogos mitybos asmenims ir (arba) pacientams, kurie gydomi keliais vaistiniais preparatais, senyviems , pacientams, sergantiems kepenų ciroze su edema ir ascitu, vainikine širdies liga ar širdies nepakankamumu. Tokiais atvejais hipokalemija sustiprina rusmenės glikozidų toksinį poveikį ir padidina širdies ritmo sutrikimų pasireiškimo riziką.</w:t>
      </w:r>
    </w:p>
    <w:p w14:paraId="3ACC5F4B" w14:textId="77777777" w:rsidR="0052346D" w:rsidRDefault="0052346D">
      <w:pPr>
        <w:widowControl w:val="0"/>
        <w:spacing w:line="240" w:lineRule="auto"/>
        <w:rPr>
          <w:snapToGrid/>
          <w:szCs w:val="22"/>
          <w:lang w:val="lt-LT"/>
        </w:rPr>
      </w:pPr>
    </w:p>
    <w:p w14:paraId="4D7086AE" w14:textId="77777777" w:rsidR="0052346D" w:rsidRDefault="005A1771">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Rizikos grupei priklauso ir pacientai, kurių yra ilgas QT intervalas (įgimtas ar jatrogeninis). Hipokalemija, kaip ir bradikardija, yra sunkių širdies ritmo sutrikimų, ypač galimai mirtino širdies ritmo sutrikimo paroksizminės polimorfinės skilvelinės tachikardijos (</w:t>
      </w:r>
      <w:r>
        <w:rPr>
          <w:i/>
          <w:iCs/>
          <w:snapToGrid/>
          <w:color w:val="000000"/>
          <w:szCs w:val="22"/>
          <w:lang w:val="lt-LT" w:eastAsia="sl-SI"/>
        </w:rPr>
        <w:t>torsades de pointes</w:t>
      </w:r>
      <w:r>
        <w:rPr>
          <w:snapToGrid/>
          <w:color w:val="000000"/>
          <w:szCs w:val="22"/>
          <w:lang w:val="lt-LT" w:eastAsia="sl-SI"/>
        </w:rPr>
        <w:t>), pasireiškimo rizikos veiksnys.</w:t>
      </w:r>
    </w:p>
    <w:p w14:paraId="70EB9128" w14:textId="77777777" w:rsidR="0052346D" w:rsidRDefault="005A1771">
      <w:pPr>
        <w:tabs>
          <w:tab w:val="clear" w:pos="567"/>
        </w:tabs>
        <w:autoSpaceDE w:val="0"/>
        <w:autoSpaceDN w:val="0"/>
        <w:adjustRightInd w:val="0"/>
        <w:spacing w:line="240" w:lineRule="auto"/>
        <w:rPr>
          <w:iCs/>
          <w:snapToGrid/>
          <w:color w:val="000000"/>
          <w:szCs w:val="22"/>
          <w:lang w:val="lt-LT" w:eastAsia="sl-SI"/>
        </w:rPr>
      </w:pPr>
      <w:r>
        <w:rPr>
          <w:iCs/>
          <w:snapToGrid/>
          <w:color w:val="000000"/>
          <w:szCs w:val="22"/>
          <w:lang w:val="lt-LT" w:eastAsia="sl-SI"/>
        </w:rPr>
        <w:t>Tokiems pacientams reikia dažniau tirti kalio koncentraciją kraujo plazmoje. Pirmą kartą kalio koncentraciją kraujo plazmoje reikia išmatuoti per pirmąją gydymo savaitę.</w:t>
      </w:r>
    </w:p>
    <w:p w14:paraId="182CA478" w14:textId="77777777" w:rsidR="0052346D" w:rsidRDefault="005A1771">
      <w:pPr>
        <w:tabs>
          <w:tab w:val="clear" w:pos="567"/>
        </w:tabs>
        <w:autoSpaceDE w:val="0"/>
        <w:autoSpaceDN w:val="0"/>
        <w:adjustRightInd w:val="0"/>
        <w:spacing w:line="240" w:lineRule="auto"/>
        <w:rPr>
          <w:iCs/>
          <w:snapToGrid/>
          <w:color w:val="000000"/>
          <w:szCs w:val="22"/>
          <w:lang w:val="lt-LT" w:eastAsia="sl-SI"/>
        </w:rPr>
      </w:pPr>
      <w:r>
        <w:rPr>
          <w:iCs/>
          <w:snapToGrid/>
          <w:color w:val="000000"/>
          <w:szCs w:val="22"/>
          <w:lang w:val="lt-LT" w:eastAsia="sl-SI"/>
        </w:rPr>
        <w:t>Nustačius hipokalemiją, ją reikia koreguoti. Hipokalemija kartu su maža magnio koncentracija kraujo serume gali nereaguoti į gydymą, kol nekoreguojama magnio koncentracija kraujo serume.</w:t>
      </w:r>
    </w:p>
    <w:p w14:paraId="03AE49AB" w14:textId="77777777" w:rsidR="0052346D" w:rsidRDefault="0052346D">
      <w:pPr>
        <w:widowControl w:val="0"/>
        <w:spacing w:line="240" w:lineRule="auto"/>
        <w:rPr>
          <w:snapToGrid/>
          <w:szCs w:val="22"/>
          <w:lang w:val="lt-LT"/>
        </w:rPr>
      </w:pPr>
    </w:p>
    <w:p w14:paraId="504CCFD4" w14:textId="77777777" w:rsidR="0052346D" w:rsidRDefault="005A1771">
      <w:pPr>
        <w:widowControl w:val="0"/>
        <w:spacing w:line="240" w:lineRule="auto"/>
        <w:rPr>
          <w:snapToGrid/>
          <w:szCs w:val="22"/>
          <w:lang w:val="lt-LT"/>
        </w:rPr>
      </w:pPr>
      <w:r>
        <w:rPr>
          <w:snapToGrid/>
          <w:szCs w:val="22"/>
          <w:lang w:val="lt-LT"/>
        </w:rPr>
        <w:t>Kandesartanas gali sukelti hiperkalemiją, o indapamidas - hipokalemiją, todėl jų vartojimas vienu metu yra pagrįstas.</w:t>
      </w:r>
    </w:p>
    <w:p w14:paraId="2DCDE663" w14:textId="77777777" w:rsidR="0052346D" w:rsidRDefault="0052346D">
      <w:pPr>
        <w:widowControl w:val="0"/>
        <w:spacing w:line="240" w:lineRule="auto"/>
        <w:rPr>
          <w:snapToGrid/>
          <w:szCs w:val="22"/>
          <w:lang w:val="lt-LT"/>
        </w:rPr>
      </w:pPr>
    </w:p>
    <w:p w14:paraId="4F0C2CCB" w14:textId="77777777" w:rsidR="0052346D" w:rsidRDefault="005A1771">
      <w:pPr>
        <w:tabs>
          <w:tab w:val="clear" w:pos="567"/>
        </w:tabs>
        <w:autoSpaceDE w:val="0"/>
        <w:autoSpaceDN w:val="0"/>
        <w:adjustRightInd w:val="0"/>
        <w:spacing w:line="240" w:lineRule="auto"/>
        <w:rPr>
          <w:iCs/>
          <w:snapToGrid/>
          <w:color w:val="000000"/>
          <w:szCs w:val="22"/>
          <w:u w:val="single"/>
          <w:lang w:val="lt-LT" w:eastAsia="sl-SI"/>
        </w:rPr>
      </w:pPr>
      <w:r>
        <w:rPr>
          <w:iCs/>
          <w:snapToGrid/>
          <w:color w:val="000000"/>
          <w:szCs w:val="22"/>
          <w:u w:val="single"/>
          <w:lang w:val="lt-LT" w:eastAsia="sl-SI"/>
        </w:rPr>
        <w:t>Natrio koncentracija kraujo plazmoje</w:t>
      </w:r>
    </w:p>
    <w:p w14:paraId="211F56DE" w14:textId="77777777" w:rsidR="0052346D" w:rsidRDefault="005A1771">
      <w:pPr>
        <w:widowControl w:val="0"/>
        <w:tabs>
          <w:tab w:val="clear" w:pos="567"/>
          <w:tab w:val="left" w:pos="1296"/>
        </w:tabs>
        <w:snapToGrid w:val="0"/>
        <w:spacing w:line="240" w:lineRule="auto"/>
        <w:rPr>
          <w:snapToGrid/>
          <w:szCs w:val="22"/>
          <w:lang w:val="lt-LT" w:eastAsia="sl-SI"/>
        </w:rPr>
      </w:pPr>
      <w:r>
        <w:rPr>
          <w:snapToGrid/>
          <w:szCs w:val="22"/>
          <w:lang w:val="lt-LT" w:eastAsia="sl-SI"/>
        </w:rPr>
        <w:t>Natrio koncentracija turi būti išmatuota prieš pradedant gydymą ir po to tikrinama reguliariais intervalais. Natrio koncentracijos kraujo plazmoje sumažėjimas iš pradžių gali nesukelti jokių simptomų, todėl būtina reguliariai ją matuoti. Dažnesni tyrimai reikalingi senyviems ir kepenų ciroze sergantiems pacientams (žr. 4.8 ir 4.9 skyrius). Gydant bet kuriais diuretikais gali pasireikšti hiponatremija, kurios pasekmės kartais gali būti labai sunkios. Dėl hiponatremijos su hipovolemija gali pasireikšti dehidratacija ir ortostatinė hipotenzija. Dėl kartu prarastų chlorido jonų gali pasireikšti antrinė kompensacinė metabolinė alkalozė: toks poveikis pasireiškia nedažnai ir būna nestiprus.</w:t>
      </w:r>
    </w:p>
    <w:p w14:paraId="4A54446F" w14:textId="77777777" w:rsidR="0052346D" w:rsidRDefault="0052346D">
      <w:pPr>
        <w:tabs>
          <w:tab w:val="clear" w:pos="567"/>
        </w:tabs>
        <w:autoSpaceDE w:val="0"/>
        <w:autoSpaceDN w:val="0"/>
        <w:adjustRightInd w:val="0"/>
        <w:spacing w:line="240" w:lineRule="auto"/>
        <w:rPr>
          <w:i/>
          <w:snapToGrid/>
          <w:color w:val="000000"/>
          <w:szCs w:val="22"/>
          <w:lang w:val="lt-LT" w:eastAsia="sl-SI"/>
        </w:rPr>
      </w:pPr>
    </w:p>
    <w:p w14:paraId="1DD24299" w14:textId="77777777" w:rsidR="0052346D" w:rsidRDefault="005A1771">
      <w:pPr>
        <w:tabs>
          <w:tab w:val="clear" w:pos="567"/>
        </w:tabs>
        <w:autoSpaceDE w:val="0"/>
        <w:autoSpaceDN w:val="0"/>
        <w:adjustRightInd w:val="0"/>
        <w:spacing w:line="240" w:lineRule="auto"/>
        <w:rPr>
          <w:iCs/>
          <w:snapToGrid/>
          <w:color w:val="000000"/>
          <w:szCs w:val="22"/>
          <w:u w:val="single"/>
          <w:lang w:val="lt-LT" w:eastAsia="sl-SI"/>
        </w:rPr>
      </w:pPr>
      <w:r>
        <w:rPr>
          <w:iCs/>
          <w:snapToGrid/>
          <w:color w:val="000000"/>
          <w:szCs w:val="22"/>
          <w:u w:val="single"/>
          <w:lang w:val="lt-LT" w:eastAsia="sl-SI"/>
        </w:rPr>
        <w:t>Magnio koncentracija kraujo plazmoje</w:t>
      </w:r>
    </w:p>
    <w:p w14:paraId="2651AD1E" w14:textId="77777777" w:rsidR="0052346D" w:rsidRDefault="005A1771">
      <w:pPr>
        <w:widowControl w:val="0"/>
        <w:tabs>
          <w:tab w:val="clear" w:pos="567"/>
          <w:tab w:val="left" w:pos="1296"/>
        </w:tabs>
        <w:snapToGrid w:val="0"/>
        <w:spacing w:line="240" w:lineRule="auto"/>
        <w:rPr>
          <w:snapToGrid/>
          <w:szCs w:val="22"/>
          <w:lang w:val="lt-LT" w:eastAsia="sl-SI"/>
        </w:rPr>
      </w:pPr>
      <w:r>
        <w:rPr>
          <w:snapToGrid/>
          <w:szCs w:val="22"/>
          <w:lang w:val="lt-LT" w:eastAsia="sl-SI"/>
        </w:rPr>
        <w:t>Tiazidų grupės ir panašaus poveikio diuretikai, įskaitant indapamidą, gali didinti magnio išsiskyrimą su šlapimu ir sukelti hipomagnezemiją (žr. 4.5 ir 4.8 skyrius).</w:t>
      </w:r>
    </w:p>
    <w:p w14:paraId="266B20F5" w14:textId="77777777" w:rsidR="0052346D" w:rsidRDefault="0052346D">
      <w:pPr>
        <w:tabs>
          <w:tab w:val="clear" w:pos="567"/>
        </w:tabs>
        <w:autoSpaceDE w:val="0"/>
        <w:autoSpaceDN w:val="0"/>
        <w:adjustRightInd w:val="0"/>
        <w:spacing w:line="240" w:lineRule="auto"/>
        <w:rPr>
          <w:i/>
          <w:snapToGrid/>
          <w:color w:val="000000"/>
          <w:szCs w:val="22"/>
          <w:lang w:val="lt-LT" w:eastAsia="sl-SI"/>
        </w:rPr>
      </w:pPr>
    </w:p>
    <w:p w14:paraId="76DC0E4C" w14:textId="77777777" w:rsidR="0052346D" w:rsidRDefault="005A1771">
      <w:pPr>
        <w:tabs>
          <w:tab w:val="clear" w:pos="567"/>
        </w:tabs>
        <w:autoSpaceDE w:val="0"/>
        <w:autoSpaceDN w:val="0"/>
        <w:adjustRightInd w:val="0"/>
        <w:spacing w:line="240" w:lineRule="auto"/>
        <w:rPr>
          <w:iCs/>
          <w:snapToGrid/>
          <w:color w:val="000000"/>
          <w:szCs w:val="22"/>
          <w:u w:val="single"/>
          <w:lang w:val="lt-LT" w:eastAsia="sl-SI"/>
        </w:rPr>
      </w:pPr>
      <w:r>
        <w:rPr>
          <w:iCs/>
          <w:snapToGrid/>
          <w:color w:val="000000"/>
          <w:szCs w:val="22"/>
          <w:u w:val="single"/>
          <w:lang w:val="lt-LT" w:eastAsia="sl-SI"/>
        </w:rPr>
        <w:t>Kalcio koncentracija kraujo plazmoje</w:t>
      </w:r>
    </w:p>
    <w:p w14:paraId="731D7BC2" w14:textId="77777777" w:rsidR="0052346D" w:rsidRDefault="005A1771">
      <w:pPr>
        <w:tabs>
          <w:tab w:val="clear" w:pos="567"/>
        </w:tabs>
        <w:autoSpaceDE w:val="0"/>
        <w:autoSpaceDN w:val="0"/>
        <w:adjustRightInd w:val="0"/>
        <w:spacing w:line="240" w:lineRule="auto"/>
        <w:rPr>
          <w:snapToGrid/>
          <w:szCs w:val="22"/>
          <w:lang w:val="lt-LT" w:eastAsia="sl-SI"/>
        </w:rPr>
      </w:pPr>
      <w:r>
        <w:rPr>
          <w:snapToGrid/>
          <w:szCs w:val="22"/>
          <w:lang w:val="lt-LT" w:eastAsia="sl-SI"/>
        </w:rPr>
        <w:t>Tiazidų grupės ir panašaus poveikio diuretikai gali mažinti kalcio išsiskyrimą su šlapimu ir laikinai šiek tiek padidinti kalcio koncentraciją kraujo plazmoje. Reikšminga hiperkalcemija gali būti susijusi su nediagnozuota hiperparatiroze.</w:t>
      </w:r>
    </w:p>
    <w:p w14:paraId="4D21AEF2" w14:textId="77777777" w:rsidR="0052346D" w:rsidRDefault="005A1771">
      <w:pPr>
        <w:tabs>
          <w:tab w:val="clear" w:pos="567"/>
        </w:tabs>
        <w:autoSpaceDE w:val="0"/>
        <w:autoSpaceDN w:val="0"/>
        <w:adjustRightInd w:val="0"/>
        <w:spacing w:line="240" w:lineRule="auto"/>
        <w:rPr>
          <w:snapToGrid/>
          <w:szCs w:val="22"/>
          <w:lang w:val="lt-LT" w:eastAsia="sl-SI"/>
        </w:rPr>
      </w:pPr>
      <w:r>
        <w:rPr>
          <w:snapToGrid/>
          <w:szCs w:val="22"/>
          <w:lang w:val="lt-LT" w:eastAsia="sl-SI"/>
        </w:rPr>
        <w:t>Prieš prieskydinių liaukų funkcijos tyrimą gydymą diuretikais reikia nutraukti.</w:t>
      </w:r>
    </w:p>
    <w:p w14:paraId="2041624B" w14:textId="77777777" w:rsidR="0052346D" w:rsidRDefault="0052346D">
      <w:pPr>
        <w:tabs>
          <w:tab w:val="clear" w:pos="567"/>
        </w:tabs>
        <w:autoSpaceDE w:val="0"/>
        <w:autoSpaceDN w:val="0"/>
        <w:adjustRightInd w:val="0"/>
        <w:spacing w:line="240" w:lineRule="auto"/>
        <w:rPr>
          <w:snapToGrid/>
          <w:szCs w:val="22"/>
          <w:u w:val="single"/>
          <w:lang w:val="lt-LT" w:eastAsia="sl-SI"/>
        </w:rPr>
      </w:pPr>
    </w:p>
    <w:p w14:paraId="07648BB3" w14:textId="77777777" w:rsidR="0052346D" w:rsidRDefault="005A1771">
      <w:pPr>
        <w:tabs>
          <w:tab w:val="clear" w:pos="567"/>
        </w:tabs>
        <w:autoSpaceDE w:val="0"/>
        <w:autoSpaceDN w:val="0"/>
        <w:adjustRightInd w:val="0"/>
        <w:spacing w:line="240" w:lineRule="auto"/>
        <w:rPr>
          <w:snapToGrid/>
          <w:color w:val="000000"/>
          <w:szCs w:val="22"/>
          <w:lang w:val="lt-LT" w:eastAsia="sl-SI"/>
        </w:rPr>
      </w:pPr>
      <w:r>
        <w:rPr>
          <w:snapToGrid/>
          <w:szCs w:val="22"/>
          <w:u w:val="single"/>
          <w:lang w:val="lt-LT" w:eastAsia="sl-SI"/>
        </w:rPr>
        <w:t>Gliukozės koncentracija kraujyje</w:t>
      </w:r>
    </w:p>
    <w:p w14:paraId="37500B33" w14:textId="77777777" w:rsidR="0052346D" w:rsidRDefault="005A1771">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Būtina stebėti cukriniu diabetu sergančių indapamidu gydomų pacientų gliukozės koncentraciją kraujyje, ypač jeigu yra hipokalemija.</w:t>
      </w:r>
    </w:p>
    <w:p w14:paraId="14CA6DB6" w14:textId="77777777" w:rsidR="0052346D" w:rsidRDefault="0052346D">
      <w:pPr>
        <w:tabs>
          <w:tab w:val="clear" w:pos="567"/>
        </w:tabs>
        <w:autoSpaceDE w:val="0"/>
        <w:autoSpaceDN w:val="0"/>
        <w:adjustRightInd w:val="0"/>
        <w:spacing w:line="240" w:lineRule="auto"/>
        <w:rPr>
          <w:snapToGrid/>
          <w:color w:val="000000"/>
          <w:szCs w:val="22"/>
          <w:lang w:val="lt-LT" w:eastAsia="sl-SI"/>
        </w:rPr>
      </w:pPr>
    </w:p>
    <w:p w14:paraId="34DF8BDA" w14:textId="77777777" w:rsidR="0052346D" w:rsidRDefault="005A1771">
      <w:pPr>
        <w:tabs>
          <w:tab w:val="clear" w:pos="567"/>
        </w:tabs>
        <w:autoSpaceDE w:val="0"/>
        <w:autoSpaceDN w:val="0"/>
        <w:adjustRightInd w:val="0"/>
        <w:spacing w:line="240" w:lineRule="auto"/>
        <w:rPr>
          <w:snapToGrid/>
          <w:color w:val="000000"/>
          <w:szCs w:val="22"/>
          <w:lang w:val="lt-LT" w:eastAsia="sl-SI"/>
        </w:rPr>
      </w:pPr>
      <w:r>
        <w:rPr>
          <w:snapToGrid/>
          <w:szCs w:val="22"/>
          <w:u w:val="single"/>
          <w:lang w:val="lt-LT" w:eastAsia="sl-SI"/>
        </w:rPr>
        <w:t>Šlapimo rūgštis</w:t>
      </w:r>
    </w:p>
    <w:p w14:paraId="7F04EE87" w14:textId="77777777" w:rsidR="0052346D" w:rsidRDefault="005A1771">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Jeigu yra hiperurikemija, indapamidu gydomiems pacientams gali padidėti polinkis į podagros priepuolius.</w:t>
      </w:r>
    </w:p>
    <w:p w14:paraId="7B3FA40E" w14:textId="77777777" w:rsidR="0052346D" w:rsidRDefault="0052346D">
      <w:pPr>
        <w:widowControl w:val="0"/>
        <w:tabs>
          <w:tab w:val="clear" w:pos="567"/>
          <w:tab w:val="left" w:pos="540"/>
        </w:tabs>
        <w:autoSpaceDE w:val="0"/>
        <w:autoSpaceDN w:val="0"/>
        <w:adjustRightInd w:val="0"/>
        <w:spacing w:line="240" w:lineRule="auto"/>
        <w:rPr>
          <w:snapToGrid/>
          <w:szCs w:val="22"/>
          <w:lang w:val="lt-LT" w:eastAsia="sl-SI"/>
        </w:rPr>
      </w:pPr>
    </w:p>
    <w:p w14:paraId="5385A665" w14:textId="77777777" w:rsidR="0052346D" w:rsidRDefault="005A1771">
      <w:pPr>
        <w:widowControl w:val="0"/>
        <w:tabs>
          <w:tab w:val="clear" w:pos="567"/>
          <w:tab w:val="left" w:pos="540"/>
        </w:tabs>
        <w:autoSpaceDE w:val="0"/>
        <w:autoSpaceDN w:val="0"/>
        <w:adjustRightInd w:val="0"/>
        <w:spacing w:line="240" w:lineRule="auto"/>
        <w:rPr>
          <w:snapToGrid/>
          <w:szCs w:val="22"/>
          <w:u w:val="single"/>
          <w:lang w:val="lt-LT" w:eastAsia="sl-SI"/>
        </w:rPr>
      </w:pPr>
      <w:r>
        <w:rPr>
          <w:snapToGrid/>
          <w:szCs w:val="22"/>
          <w:u w:val="single"/>
          <w:lang w:val="lt-LT" w:eastAsia="sl-SI"/>
        </w:rPr>
        <w:t>Bendroji informacija</w:t>
      </w:r>
    </w:p>
    <w:p w14:paraId="494D4D87" w14:textId="77777777" w:rsidR="0052346D" w:rsidRDefault="005A1771">
      <w:pPr>
        <w:spacing w:line="240" w:lineRule="auto"/>
        <w:rPr>
          <w:snapToGrid/>
          <w:szCs w:val="22"/>
          <w:lang w:val="lt-LT" w:eastAsia="sl-SI"/>
        </w:rPr>
      </w:pPr>
      <w:r>
        <w:rPr>
          <w:snapToGrid/>
          <w:szCs w:val="22"/>
          <w:lang w:val="lt-LT"/>
        </w:rPr>
        <w:t xml:space="preserve">Pacientų, kurių kraujagyslių tonusas ir inkstų funkcija daugiausia priklauso nuo renino, angiotenzino ir aldosterono sistemos aktyvumo (pavyzdžiui, sergančių sunkiu staziniu širdies nepakankamumu ar inkstų liga, įskaitant inkstų arterijos stenozę), gydymas šią sistemą veikiančiais vaistiniais preparatais buvo susijęs su ūmine hipotenzija, azoto koncentracijos padidėjimu kraujyje, oligurija arba (retai) ūminiu inkstų nepakankamumu. Panašaus poveikio negalima paneigti skiriant ARB. </w:t>
      </w:r>
      <w:r>
        <w:rPr>
          <w:snapToGrid/>
          <w:szCs w:val="22"/>
          <w:lang w:val="lt-LT" w:eastAsia="sl-SI"/>
        </w:rPr>
        <w:t>Kaip ir gydymo bet kokiais kitokiais antihipertenziniais vaistiniais preparatais metu, pacientams, sergantiems išemine kardiomiopatija arba išemine cerebrovaskuline (smegenų kraujagyslių) liga, pernelyg didelis kraujospūdžio sumažėjimas gali sukelti miokardo infarktą arba insultą.</w:t>
      </w:r>
    </w:p>
    <w:p w14:paraId="35A40FE8" w14:textId="77777777" w:rsidR="0052346D" w:rsidRDefault="0052346D">
      <w:pPr>
        <w:widowControl w:val="0"/>
        <w:spacing w:line="240" w:lineRule="auto"/>
        <w:rPr>
          <w:snapToGrid/>
          <w:szCs w:val="22"/>
          <w:lang w:val="lt-LT"/>
        </w:rPr>
      </w:pPr>
    </w:p>
    <w:p w14:paraId="72030547" w14:textId="77777777" w:rsidR="0052346D" w:rsidRDefault="005A1771">
      <w:pPr>
        <w:widowControl w:val="0"/>
        <w:spacing w:line="240" w:lineRule="auto"/>
        <w:rPr>
          <w:snapToGrid/>
          <w:szCs w:val="22"/>
          <w:lang w:val="lt-LT"/>
        </w:rPr>
      </w:pPr>
      <w:r>
        <w:rPr>
          <w:snapToGrid/>
          <w:szCs w:val="22"/>
          <w:lang w:val="lt-LT"/>
        </w:rPr>
        <w:t>Antihipertenzinį kandesartano poveikį gali sustiprinti kiti vaistiniai preparatai, kuriems būdingas kraujospūdį mažinantis poveikis, nepriklausomai nuo to, ar jie skiriami kaip antihipertenziniai vaistai, ar kitoms indikacijoms.</w:t>
      </w:r>
    </w:p>
    <w:p w14:paraId="78EE785D" w14:textId="77777777" w:rsidR="0052346D" w:rsidRDefault="0052346D">
      <w:pPr>
        <w:widowControl w:val="0"/>
        <w:spacing w:line="240" w:lineRule="auto"/>
        <w:rPr>
          <w:snapToGrid/>
          <w:szCs w:val="22"/>
          <w:lang w:val="lt-LT"/>
        </w:rPr>
      </w:pPr>
    </w:p>
    <w:p w14:paraId="6F8C867C" w14:textId="77777777" w:rsidR="0052346D" w:rsidRDefault="005A1771">
      <w:pPr>
        <w:tabs>
          <w:tab w:val="clear" w:pos="567"/>
        </w:tabs>
        <w:autoSpaceDE w:val="0"/>
        <w:autoSpaceDN w:val="0"/>
        <w:adjustRightInd w:val="0"/>
        <w:spacing w:line="240" w:lineRule="auto"/>
        <w:rPr>
          <w:snapToGrid/>
          <w:szCs w:val="22"/>
          <w:u w:val="single"/>
          <w:lang w:val="lt-LT" w:eastAsia="sl-SI"/>
        </w:rPr>
      </w:pPr>
      <w:r>
        <w:rPr>
          <w:snapToGrid/>
          <w:szCs w:val="22"/>
          <w:u w:val="single"/>
          <w:lang w:val="lt-LT" w:eastAsia="sl-SI"/>
        </w:rPr>
        <w:t>Nėštumas</w:t>
      </w:r>
    </w:p>
    <w:p w14:paraId="7D10493D" w14:textId="77777777" w:rsidR="0052346D" w:rsidRDefault="005A1771">
      <w:pPr>
        <w:widowControl w:val="0"/>
        <w:spacing w:line="240" w:lineRule="auto"/>
        <w:rPr>
          <w:szCs w:val="22"/>
          <w:lang w:val="lt-LT"/>
        </w:rPr>
      </w:pPr>
      <w:r>
        <w:rPr>
          <w:szCs w:val="22"/>
          <w:lang w:val="lt-LT"/>
        </w:rPr>
        <w:t>Nėščių moterų pradėti gydyti ARB draudžiama. Išskyrus atvejus, kai tolesnis gydymas angiotenzino II receptorių antagonistais yra laikomas būtinu, pastoti planuojančioms moterims juos reikia keisti kitokiais antihipertenziniais vaistiniais preparatais, kurių vartojimo saugumas nėštumo metu ištirtas. Nustačius nėštumą, gydymą angiotenzino II receptorių antagonistais būtina nedelsiant nutraukti ir, jei reikia, pradėti kitokį tinkamą gydymą (žr. 4.3 ir 4.6 skyrius). Pacientėms po menarchės reikia reguliariai vertinti nėštumo galimybę. Turi būti suteikta tinkama informacija ir (arba) imtasi veiksmų, kad būtų išvengta ekspozicijos rizikos nėštumo metu (žr. 4.3 ir 4.6 skyrius).</w:t>
      </w:r>
    </w:p>
    <w:p w14:paraId="74D6B5A6" w14:textId="77777777" w:rsidR="0052346D" w:rsidRDefault="0052346D">
      <w:pPr>
        <w:widowControl w:val="0"/>
        <w:tabs>
          <w:tab w:val="clear" w:pos="567"/>
          <w:tab w:val="left" w:pos="540"/>
        </w:tabs>
        <w:autoSpaceDE w:val="0"/>
        <w:autoSpaceDN w:val="0"/>
        <w:adjustRightInd w:val="0"/>
        <w:spacing w:line="240" w:lineRule="auto"/>
        <w:rPr>
          <w:snapToGrid/>
          <w:szCs w:val="22"/>
          <w:lang w:val="lt-LT" w:eastAsia="sl-SI"/>
        </w:rPr>
      </w:pPr>
    </w:p>
    <w:p w14:paraId="6C039152" w14:textId="77777777" w:rsidR="0052346D" w:rsidRDefault="005A1771">
      <w:pPr>
        <w:tabs>
          <w:tab w:val="clear" w:pos="567"/>
        </w:tabs>
        <w:autoSpaceDE w:val="0"/>
        <w:autoSpaceDN w:val="0"/>
        <w:adjustRightInd w:val="0"/>
        <w:spacing w:line="240" w:lineRule="auto"/>
        <w:jc w:val="both"/>
        <w:rPr>
          <w:snapToGrid/>
          <w:color w:val="000000"/>
          <w:szCs w:val="22"/>
          <w:u w:val="single"/>
          <w:lang w:val="lt-LT" w:eastAsia="lt-LT"/>
        </w:rPr>
      </w:pPr>
      <w:r>
        <w:rPr>
          <w:iCs/>
          <w:snapToGrid/>
          <w:color w:val="000000"/>
          <w:szCs w:val="22"/>
          <w:u w:val="single"/>
          <w:lang w:val="lt-LT" w:eastAsia="lt-LT"/>
        </w:rPr>
        <w:t>Dvigubas renino, angiotenzino ir aldosterono sistemos (RAAS) slopinimas</w:t>
      </w:r>
    </w:p>
    <w:p w14:paraId="5FEAE5E8" w14:textId="77777777" w:rsidR="0052346D" w:rsidRDefault="005A1771">
      <w:pPr>
        <w:tabs>
          <w:tab w:val="clear" w:pos="567"/>
        </w:tabs>
        <w:autoSpaceDE w:val="0"/>
        <w:autoSpaceDN w:val="0"/>
        <w:adjustRightInd w:val="0"/>
        <w:spacing w:line="240" w:lineRule="auto"/>
        <w:rPr>
          <w:snapToGrid/>
          <w:color w:val="000000"/>
          <w:szCs w:val="22"/>
          <w:lang w:val="lt-LT" w:eastAsia="lt-LT"/>
        </w:rPr>
      </w:pPr>
      <w:r>
        <w:rPr>
          <w:iCs/>
          <w:snapToGrid/>
          <w:color w:val="000000"/>
          <w:szCs w:val="22"/>
          <w:lang w:val="lt-LT" w:eastAsia="lt-LT"/>
        </w:rPr>
        <w:t>Turima įrodymų, kad kartu vartojant AKF inhibitorių, angiotenzino II receptorių blokatorių ar aliskireno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5182DD81" w14:textId="77777777" w:rsidR="0052346D" w:rsidRDefault="005A1771">
      <w:pPr>
        <w:tabs>
          <w:tab w:val="clear" w:pos="567"/>
        </w:tabs>
        <w:autoSpaceDE w:val="0"/>
        <w:autoSpaceDN w:val="0"/>
        <w:adjustRightInd w:val="0"/>
        <w:spacing w:line="240" w:lineRule="auto"/>
        <w:rPr>
          <w:snapToGrid/>
          <w:color w:val="000000"/>
          <w:szCs w:val="22"/>
          <w:u w:val="single"/>
          <w:lang w:val="lt-LT" w:eastAsia="lt-LT"/>
        </w:rPr>
      </w:pPr>
      <w:r>
        <w:rPr>
          <w:iCs/>
          <w:snapToGrid/>
          <w:color w:val="000000"/>
          <w:szCs w:val="22"/>
          <w:lang w:val="lt-LT" w:eastAsia="lt-LT"/>
        </w:rPr>
        <w:t>Vis dėlto, jei dvigubas nuslopinimas laikomas absoliučiai būtinu, šis gydymas turi būti atliekamas tik prižiūrint specialistams ir dažnai bei atidžiai tiriant inkstų funkciją, elektrolitų koncentracijas bei kraujospūdį</w:t>
      </w:r>
      <w:r>
        <w:rPr>
          <w:snapToGrid/>
          <w:color w:val="000000"/>
          <w:szCs w:val="22"/>
          <w:lang w:val="lt-LT" w:eastAsia="lt-LT"/>
        </w:rPr>
        <w:t>.</w:t>
      </w:r>
      <w:r>
        <w:rPr>
          <w:rFonts w:eastAsia="Calibri"/>
          <w:snapToGrid/>
          <w:szCs w:val="22"/>
          <w:lang w:val="lt-LT"/>
        </w:rPr>
        <w:t xml:space="preserve"> </w:t>
      </w:r>
      <w:r>
        <w:rPr>
          <w:snapToGrid/>
          <w:color w:val="000000"/>
          <w:szCs w:val="22"/>
          <w:lang w:val="lt-LT" w:eastAsia="lt-LT"/>
        </w:rPr>
        <w:t>Pacientams, sergantiems diabetine nefropatija, negalima kartu vartoti AKF inhibitorių ir angiotenzino II receptorių blokatorių.</w:t>
      </w:r>
    </w:p>
    <w:p w14:paraId="2478911B" w14:textId="77777777" w:rsidR="0052346D" w:rsidRDefault="0052346D">
      <w:pPr>
        <w:tabs>
          <w:tab w:val="clear" w:pos="567"/>
        </w:tabs>
        <w:autoSpaceDE w:val="0"/>
        <w:autoSpaceDN w:val="0"/>
        <w:adjustRightInd w:val="0"/>
        <w:spacing w:line="240" w:lineRule="auto"/>
        <w:rPr>
          <w:snapToGrid/>
          <w:color w:val="000000"/>
          <w:szCs w:val="22"/>
          <w:lang w:val="lt-LT" w:eastAsia="lt-LT"/>
        </w:rPr>
      </w:pPr>
    </w:p>
    <w:p w14:paraId="40637A39" w14:textId="77777777" w:rsidR="0052346D" w:rsidRDefault="005A1771">
      <w:pPr>
        <w:tabs>
          <w:tab w:val="clear" w:pos="567"/>
        </w:tabs>
        <w:autoSpaceDE w:val="0"/>
        <w:autoSpaceDN w:val="0"/>
        <w:adjustRightInd w:val="0"/>
        <w:spacing w:line="240" w:lineRule="auto"/>
        <w:rPr>
          <w:snapToGrid/>
          <w:szCs w:val="22"/>
          <w:u w:val="single"/>
          <w:lang w:val="lt-LT" w:eastAsia="sl-SI"/>
        </w:rPr>
      </w:pPr>
      <w:r>
        <w:rPr>
          <w:snapToGrid/>
          <w:szCs w:val="22"/>
          <w:u w:val="single"/>
          <w:lang w:val="lt-LT" w:eastAsia="sl-SI"/>
        </w:rPr>
        <w:t>Jautrumas šviesai</w:t>
      </w:r>
    </w:p>
    <w:p w14:paraId="4354A623" w14:textId="77777777" w:rsidR="0052346D" w:rsidRDefault="005A1771">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Pranešta apie padidėjusio jautrumo šviesai reakcijų pasireiškimo atvejus vartojant tiazidų grupės ir panašaus poveikio diuretikų (žr. 4.8 skyrių). Jei gydymo metu pasireiškia padidėjusio jautrumo šviesai reakcija, gydymą rekomenduojama sustabdyti. Jei gydymą diuretikais atnaujinti būtina, saulės arba dirbtinių ultravioletinių (UVA) spindulių veikiamus odos paviršius rekomenduojama apsaugoti.</w:t>
      </w:r>
    </w:p>
    <w:p w14:paraId="217666DB" w14:textId="77777777" w:rsidR="0052346D" w:rsidRDefault="0052346D">
      <w:pPr>
        <w:tabs>
          <w:tab w:val="clear" w:pos="567"/>
        </w:tabs>
        <w:autoSpaceDE w:val="0"/>
        <w:autoSpaceDN w:val="0"/>
        <w:adjustRightInd w:val="0"/>
        <w:spacing w:line="240" w:lineRule="auto"/>
        <w:rPr>
          <w:i/>
          <w:iCs/>
          <w:snapToGrid/>
          <w:color w:val="000000"/>
          <w:szCs w:val="22"/>
          <w:lang w:val="lt-LT" w:eastAsia="sl-SI"/>
        </w:rPr>
      </w:pPr>
    </w:p>
    <w:p w14:paraId="5654A6BD" w14:textId="77777777" w:rsidR="0052346D" w:rsidRDefault="005A1771">
      <w:pPr>
        <w:tabs>
          <w:tab w:val="clear" w:pos="567"/>
        </w:tabs>
        <w:autoSpaceDE w:val="0"/>
        <w:autoSpaceDN w:val="0"/>
        <w:adjustRightInd w:val="0"/>
        <w:spacing w:line="240" w:lineRule="auto"/>
        <w:rPr>
          <w:snapToGrid/>
          <w:color w:val="000000"/>
          <w:szCs w:val="22"/>
          <w:lang w:val="lt-LT" w:eastAsia="sl-SI"/>
        </w:rPr>
      </w:pPr>
      <w:r>
        <w:rPr>
          <w:snapToGrid/>
          <w:szCs w:val="22"/>
          <w:u w:val="single"/>
          <w:lang w:val="lt-LT" w:eastAsia="sl-SI"/>
        </w:rPr>
        <w:t>Sportininkai</w:t>
      </w:r>
    </w:p>
    <w:p w14:paraId="088D8FEF" w14:textId="77777777" w:rsidR="0052346D" w:rsidRDefault="005A1771">
      <w:pPr>
        <w:tabs>
          <w:tab w:val="clear" w:pos="567"/>
        </w:tabs>
        <w:autoSpaceDE w:val="0"/>
        <w:autoSpaceDN w:val="0"/>
        <w:adjustRightInd w:val="0"/>
        <w:spacing w:line="240" w:lineRule="auto"/>
        <w:rPr>
          <w:iCs/>
          <w:snapToGrid/>
          <w:color w:val="000000"/>
          <w:szCs w:val="22"/>
          <w:lang w:val="lt-LT" w:eastAsia="sl-SI"/>
        </w:rPr>
      </w:pPr>
      <w:r>
        <w:rPr>
          <w:iCs/>
          <w:snapToGrid/>
          <w:color w:val="000000"/>
          <w:szCs w:val="22"/>
          <w:lang w:val="lt-LT" w:eastAsia="sl-SI"/>
        </w:rPr>
        <w:t>Sportininkai turi atkreipti dėmesį į tai, kad šio vaistinio preparato sudėtyje yra indapamido, kuris gali sukelti teigiamą dopingo testų reakciją.</w:t>
      </w:r>
    </w:p>
    <w:p w14:paraId="39D76D2F" w14:textId="77777777" w:rsidR="0052346D" w:rsidRDefault="0052346D">
      <w:pPr>
        <w:tabs>
          <w:tab w:val="clear" w:pos="567"/>
        </w:tabs>
        <w:autoSpaceDE w:val="0"/>
        <w:autoSpaceDN w:val="0"/>
        <w:adjustRightInd w:val="0"/>
        <w:spacing w:line="240" w:lineRule="auto"/>
        <w:rPr>
          <w:iCs/>
          <w:snapToGrid/>
          <w:color w:val="000000"/>
          <w:szCs w:val="22"/>
          <w:lang w:val="lt-LT" w:eastAsia="sl-SI"/>
        </w:rPr>
      </w:pPr>
    </w:p>
    <w:p w14:paraId="1884881B" w14:textId="77777777" w:rsidR="0052346D" w:rsidRDefault="005A1771">
      <w:pPr>
        <w:widowControl w:val="0"/>
        <w:tabs>
          <w:tab w:val="clear" w:pos="567"/>
        </w:tabs>
        <w:spacing w:line="240" w:lineRule="auto"/>
        <w:rPr>
          <w:snapToGrid/>
          <w:szCs w:val="22"/>
          <w:u w:val="single"/>
          <w:lang w:val="lt-LT" w:eastAsia="sl-SI"/>
        </w:rPr>
      </w:pPr>
      <w:r>
        <w:rPr>
          <w:snapToGrid/>
          <w:szCs w:val="22"/>
          <w:u w:val="single"/>
          <w:lang w:val="lt-LT" w:eastAsia="sl-SI"/>
        </w:rPr>
        <w:t>Skysčio susikaupimas tarp akies gyslainės ir odenos, ūminė miopija ir antrinė uždaro kampo glaukoma</w:t>
      </w:r>
    </w:p>
    <w:p w14:paraId="2F663A18" w14:textId="77777777" w:rsidR="0052346D" w:rsidRDefault="005A1771">
      <w:pPr>
        <w:widowControl w:val="0"/>
        <w:tabs>
          <w:tab w:val="clear" w:pos="567"/>
        </w:tabs>
        <w:spacing w:line="240" w:lineRule="auto"/>
        <w:rPr>
          <w:snapToGrid/>
          <w:szCs w:val="22"/>
          <w:lang w:val="lt-LT" w:eastAsia="sl-SI"/>
        </w:rPr>
      </w:pPr>
      <w:r>
        <w:rPr>
          <w:snapToGrid/>
          <w:szCs w:val="22"/>
          <w:lang w:val="lt-LT" w:eastAsia="sl-SI"/>
        </w:rPr>
        <w:t xml:space="preserve">Vaistiniai preparatai, kurie yra sulfonamidai arba sulfonamidų dariniai, gali sukelti idiosinkrazinę reakciją ir dėl to gali atsirasti skysčio susikaupimas tarp akies gyslainės ir odenos su regėjimo lauko defekto, laikinos trumparegystės ir ūminės uždaro kampo glaukomos pasireiškimu. Galimi simptomai yra staiga sumažėjęs regos aštrumas ar staigus akies skausmas, kurie paprastai atsiranda po kelių valandų ar savaičių nuo vaistinio preparato vartojimo pradžios. Negydoma ūminė uždaro kampo glaukoma gali sukelti negrįžtamą regėjimo netekimą. Tokiu atveju svarbiausia kaip galima greičiau nutraukti vaistinio preparato vartojimą. Jeigu akispūdis išlieka nekontroliuojamas, gali reikėti svarstyti skubaus medikamentinio ar chirurginio gydymo galimybę. Ūminės uždaro kampo glaukomos </w:t>
      </w:r>
      <w:r>
        <w:rPr>
          <w:snapToGrid/>
          <w:szCs w:val="22"/>
          <w:lang w:val="lt-LT" w:eastAsia="sl-SI"/>
        </w:rPr>
        <w:lastRenderedPageBreak/>
        <w:t>išsivystymo rizikos veiksniais gali būti anksčiau pasireiškusi alergija sulfonamidui ar penicilinui.</w:t>
      </w:r>
    </w:p>
    <w:p w14:paraId="7FCF6CBA" w14:textId="77777777" w:rsidR="0052346D" w:rsidRDefault="0052346D">
      <w:pPr>
        <w:widowControl w:val="0"/>
        <w:tabs>
          <w:tab w:val="clear" w:pos="567"/>
          <w:tab w:val="left" w:pos="540"/>
        </w:tabs>
        <w:autoSpaceDE w:val="0"/>
        <w:autoSpaceDN w:val="0"/>
        <w:adjustRightInd w:val="0"/>
        <w:spacing w:line="240" w:lineRule="auto"/>
        <w:rPr>
          <w:snapToGrid/>
          <w:szCs w:val="22"/>
          <w:lang w:val="lt-LT" w:eastAsia="sl-SI"/>
        </w:rPr>
      </w:pPr>
    </w:p>
    <w:p w14:paraId="538B1CBF" w14:textId="77777777" w:rsidR="0052346D" w:rsidRDefault="005A1771">
      <w:pPr>
        <w:widowControl w:val="0"/>
        <w:tabs>
          <w:tab w:val="clear" w:pos="567"/>
          <w:tab w:val="left" w:pos="540"/>
        </w:tabs>
        <w:autoSpaceDE w:val="0"/>
        <w:autoSpaceDN w:val="0"/>
        <w:adjustRightInd w:val="0"/>
        <w:spacing w:line="240" w:lineRule="auto"/>
        <w:rPr>
          <w:snapToGrid/>
          <w:szCs w:val="22"/>
          <w:u w:val="single"/>
          <w:lang w:val="lt-LT" w:eastAsia="sl-SI"/>
        </w:rPr>
      </w:pPr>
      <w:r>
        <w:rPr>
          <w:snapToGrid/>
          <w:szCs w:val="22"/>
          <w:u w:val="single"/>
          <w:lang w:val="lt-LT" w:eastAsia="sl-SI"/>
        </w:rPr>
        <w:t>Pagalbinės medžiagos</w:t>
      </w:r>
    </w:p>
    <w:p w14:paraId="1ADAAAEC" w14:textId="77777777" w:rsidR="0052346D" w:rsidRDefault="0052346D">
      <w:pPr>
        <w:widowControl w:val="0"/>
        <w:tabs>
          <w:tab w:val="clear" w:pos="567"/>
        </w:tabs>
        <w:spacing w:line="240" w:lineRule="auto"/>
        <w:rPr>
          <w:i/>
          <w:snapToGrid/>
          <w:szCs w:val="22"/>
          <w:u w:val="single"/>
          <w:lang w:val="lt-LT" w:eastAsia="sl-SI"/>
        </w:rPr>
      </w:pPr>
    </w:p>
    <w:p w14:paraId="51DBE9EA" w14:textId="77777777" w:rsidR="0052346D" w:rsidRDefault="005A1771">
      <w:pPr>
        <w:widowControl w:val="0"/>
        <w:tabs>
          <w:tab w:val="clear" w:pos="567"/>
        </w:tabs>
        <w:spacing w:line="240" w:lineRule="auto"/>
        <w:rPr>
          <w:i/>
          <w:snapToGrid/>
          <w:szCs w:val="22"/>
          <w:u w:val="single"/>
          <w:lang w:val="lt-LT" w:eastAsia="sl-SI"/>
        </w:rPr>
      </w:pPr>
      <w:r>
        <w:rPr>
          <w:i/>
          <w:snapToGrid/>
          <w:szCs w:val="22"/>
          <w:u w:val="single"/>
          <w:lang w:val="lt-LT" w:eastAsia="sl-SI"/>
        </w:rPr>
        <w:t>Laktozė</w:t>
      </w:r>
    </w:p>
    <w:p w14:paraId="7CA9891A" w14:textId="77777777" w:rsidR="0052346D" w:rsidRDefault="005A1771">
      <w:pPr>
        <w:widowControl w:val="0"/>
        <w:tabs>
          <w:tab w:val="clear" w:pos="567"/>
        </w:tabs>
        <w:spacing w:line="240" w:lineRule="auto"/>
        <w:rPr>
          <w:i/>
          <w:iCs/>
          <w:snapToGrid/>
          <w:szCs w:val="22"/>
          <w:lang w:val="lt-LT"/>
        </w:rPr>
      </w:pPr>
      <w:r>
        <w:rPr>
          <w:i/>
          <w:iCs/>
          <w:snapToGrid/>
          <w:szCs w:val="22"/>
          <w:lang w:val="lt-LT"/>
        </w:rPr>
        <w:t>Kanpiduo sudėtyje yra laktozės.</w:t>
      </w:r>
    </w:p>
    <w:p w14:paraId="0EFD9526" w14:textId="77777777" w:rsidR="0052346D" w:rsidRDefault="005A1771">
      <w:pPr>
        <w:widowControl w:val="0"/>
        <w:tabs>
          <w:tab w:val="clear" w:pos="567"/>
        </w:tabs>
        <w:spacing w:line="240" w:lineRule="auto"/>
        <w:rPr>
          <w:snapToGrid/>
          <w:szCs w:val="22"/>
          <w:lang w:val="lt-LT"/>
        </w:rPr>
      </w:pPr>
      <w:r>
        <w:rPr>
          <w:snapToGrid/>
          <w:szCs w:val="22"/>
          <w:lang w:val="lt-LT"/>
        </w:rPr>
        <w:t>Šio vaistinio preparato negalima vartoti pacientams, kuriems nustatytas retas paveldimas sutrikimas – galaktozės netoleravimas, visiškas laktazės stygius arba gliukozės ir galaktozės malabsorbcija.</w:t>
      </w:r>
    </w:p>
    <w:p w14:paraId="314F7918" w14:textId="77777777" w:rsidR="0052346D" w:rsidRDefault="0052346D">
      <w:pPr>
        <w:widowControl w:val="0"/>
        <w:tabs>
          <w:tab w:val="clear" w:pos="567"/>
        </w:tabs>
        <w:spacing w:line="240" w:lineRule="auto"/>
        <w:ind w:left="567" w:hanging="567"/>
        <w:rPr>
          <w:snapToGrid/>
          <w:szCs w:val="22"/>
          <w:lang w:val="lt-LT"/>
        </w:rPr>
      </w:pPr>
    </w:p>
    <w:p w14:paraId="50E56097" w14:textId="77777777" w:rsidR="0052346D" w:rsidRDefault="005A1771">
      <w:pPr>
        <w:widowControl w:val="0"/>
        <w:spacing w:line="240" w:lineRule="auto"/>
        <w:ind w:left="567" w:hanging="567"/>
        <w:outlineLvl w:val="2"/>
        <w:rPr>
          <w:b/>
          <w:snapToGrid/>
          <w:kern w:val="28"/>
          <w:szCs w:val="22"/>
          <w:lang w:val="lt-LT"/>
        </w:rPr>
      </w:pPr>
      <w:r>
        <w:rPr>
          <w:b/>
          <w:snapToGrid/>
          <w:kern w:val="28"/>
          <w:szCs w:val="22"/>
          <w:lang w:val="lt-LT"/>
        </w:rPr>
        <w:t>4.5</w:t>
      </w:r>
      <w:r>
        <w:rPr>
          <w:b/>
          <w:snapToGrid/>
          <w:kern w:val="28"/>
          <w:szCs w:val="22"/>
          <w:lang w:val="lt-LT"/>
        </w:rPr>
        <w:tab/>
        <w:t>Sąveika su kitais vaistiniais preparatais ir kitokia sąveika</w:t>
      </w:r>
    </w:p>
    <w:p w14:paraId="0AB756A7" w14:textId="77777777" w:rsidR="0052346D" w:rsidRDefault="0052346D">
      <w:pPr>
        <w:widowControl w:val="0"/>
        <w:tabs>
          <w:tab w:val="clear" w:pos="567"/>
        </w:tabs>
        <w:spacing w:line="240" w:lineRule="auto"/>
        <w:ind w:left="567" w:hanging="567"/>
        <w:rPr>
          <w:bCs/>
          <w:snapToGrid/>
          <w:szCs w:val="22"/>
          <w:lang w:val="lt-LT"/>
        </w:rPr>
      </w:pPr>
    </w:p>
    <w:p w14:paraId="3683F752" w14:textId="77777777" w:rsidR="0052346D" w:rsidRDefault="005A1771">
      <w:pPr>
        <w:widowControl w:val="0"/>
        <w:autoSpaceDE w:val="0"/>
        <w:autoSpaceDN w:val="0"/>
        <w:adjustRightInd w:val="0"/>
        <w:spacing w:line="240" w:lineRule="auto"/>
        <w:rPr>
          <w:rFonts w:eastAsia="Calibri"/>
          <w:b/>
          <w:i/>
          <w:iCs/>
          <w:snapToGrid/>
          <w:szCs w:val="22"/>
          <w:lang w:val="lt-LT"/>
        </w:rPr>
      </w:pPr>
      <w:r>
        <w:rPr>
          <w:rFonts w:eastAsia="Calibri"/>
          <w:b/>
          <w:i/>
          <w:iCs/>
          <w:snapToGrid/>
          <w:szCs w:val="22"/>
          <w:lang w:val="lt-LT"/>
        </w:rPr>
        <w:t>Sąveika, bendra kandesartanui ir indapamidui</w:t>
      </w:r>
    </w:p>
    <w:p w14:paraId="7FB3D688" w14:textId="77777777" w:rsidR="0052346D" w:rsidRDefault="0052346D">
      <w:pPr>
        <w:widowControl w:val="0"/>
        <w:autoSpaceDE w:val="0"/>
        <w:autoSpaceDN w:val="0"/>
        <w:adjustRightInd w:val="0"/>
        <w:spacing w:line="240" w:lineRule="auto"/>
        <w:rPr>
          <w:rFonts w:eastAsia="Calibri"/>
          <w:b/>
          <w:i/>
          <w:iCs/>
          <w:snapToGrid/>
          <w:szCs w:val="22"/>
          <w:lang w:val="lt-LT"/>
        </w:rPr>
      </w:pPr>
    </w:p>
    <w:p w14:paraId="313A2621" w14:textId="77777777" w:rsidR="0052346D" w:rsidRDefault="005A1771">
      <w:pPr>
        <w:widowControl w:val="0"/>
        <w:tabs>
          <w:tab w:val="clear" w:pos="567"/>
        </w:tabs>
        <w:spacing w:line="240" w:lineRule="auto"/>
        <w:rPr>
          <w:snapToGrid/>
          <w:szCs w:val="22"/>
          <w:u w:val="single"/>
          <w:lang w:val="lt-LT" w:eastAsia="sl-SI"/>
        </w:rPr>
      </w:pPr>
      <w:r>
        <w:rPr>
          <w:snapToGrid/>
          <w:szCs w:val="22"/>
          <w:u w:val="single"/>
          <w:lang w:val="lt-LT" w:eastAsia="sl-SI"/>
        </w:rPr>
        <w:t>Nerekomenduojami deriniai</w:t>
      </w:r>
    </w:p>
    <w:p w14:paraId="1ED58A3F" w14:textId="77777777" w:rsidR="0052346D" w:rsidRDefault="0052346D">
      <w:pPr>
        <w:widowControl w:val="0"/>
        <w:tabs>
          <w:tab w:val="clear" w:pos="567"/>
        </w:tabs>
        <w:spacing w:line="240" w:lineRule="auto"/>
        <w:rPr>
          <w:snapToGrid/>
          <w:szCs w:val="22"/>
          <w:u w:val="single"/>
          <w:lang w:val="lt-LT" w:eastAsia="sl-SI"/>
        </w:rPr>
      </w:pPr>
    </w:p>
    <w:p w14:paraId="01254697" w14:textId="77777777" w:rsidR="0052346D" w:rsidRDefault="005A1771">
      <w:pPr>
        <w:spacing w:line="240" w:lineRule="auto"/>
        <w:rPr>
          <w:szCs w:val="22"/>
          <w:lang w:val="lt-LT"/>
        </w:rPr>
      </w:pPr>
      <w:r>
        <w:rPr>
          <w:snapToGrid/>
          <w:szCs w:val="22"/>
          <w:u w:val="single"/>
          <w:lang w:val="lt-LT" w:eastAsia="sl-SI"/>
        </w:rPr>
        <w:t>Litis</w:t>
      </w:r>
    </w:p>
    <w:p w14:paraId="0E11CF13" w14:textId="77777777" w:rsidR="0052346D" w:rsidRDefault="005A1771">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Gauta pranešimų, kad, vartojant ličio kartu su AKF inhibitoriais laikinai padidėjo ličio koncentracija kraujo serume ir sustiprėjo toksinis jo poveikis. Toks poveikis gali pasireikšti ir vartojant ARB. Kandesartano vartoti kartu su ličiu nerekomenduojama. Indapamido vartojant kartu su ličiu, gali padidėti ličio koncentracija kraujo plazmoje ir atsirasti perdozavimo požymių, kaip ir vartojant maistobe druskos (sumažėja ličio išsiskyrimas su šlapimu). Vis dėlto, jei Kanpiduo vartoti būtina, reikia atidžiai stebėti ličio koncentraciją kraujo plazmoje ir derinio veikliųjų medžiagų dozę parenkant atskirais vaistiniais preparatais.</w:t>
      </w:r>
    </w:p>
    <w:p w14:paraId="5C41B291" w14:textId="77777777" w:rsidR="0052346D" w:rsidRDefault="0052346D">
      <w:pPr>
        <w:widowControl w:val="0"/>
        <w:tabs>
          <w:tab w:val="clear" w:pos="567"/>
          <w:tab w:val="left" w:pos="540"/>
        </w:tabs>
        <w:autoSpaceDE w:val="0"/>
        <w:autoSpaceDN w:val="0"/>
        <w:adjustRightInd w:val="0"/>
        <w:spacing w:line="240" w:lineRule="auto"/>
        <w:rPr>
          <w:snapToGrid/>
          <w:szCs w:val="22"/>
          <w:lang w:val="lt-LT" w:eastAsia="sl-SI"/>
        </w:rPr>
      </w:pPr>
    </w:p>
    <w:p w14:paraId="5F6C3F86" w14:textId="77777777" w:rsidR="0052346D" w:rsidRDefault="005A1771">
      <w:pPr>
        <w:widowControl w:val="0"/>
        <w:tabs>
          <w:tab w:val="clear" w:pos="567"/>
        </w:tabs>
        <w:spacing w:line="240" w:lineRule="auto"/>
        <w:rPr>
          <w:i/>
          <w:snapToGrid/>
          <w:szCs w:val="22"/>
          <w:lang w:val="lt-LT" w:eastAsia="sl-SI"/>
        </w:rPr>
      </w:pPr>
      <w:r>
        <w:rPr>
          <w:i/>
          <w:snapToGrid/>
          <w:szCs w:val="22"/>
          <w:lang w:val="lt-LT" w:eastAsia="sl-SI"/>
        </w:rPr>
        <w:t>Angiotenziną konvertuojančio fermento (AKF) inhibitoriai</w:t>
      </w:r>
    </w:p>
    <w:p w14:paraId="56CDEDEA" w14:textId="77777777" w:rsidR="0052346D" w:rsidRDefault="005A1771">
      <w:pPr>
        <w:tabs>
          <w:tab w:val="clear" w:pos="567"/>
        </w:tabs>
        <w:autoSpaceDE w:val="0"/>
        <w:autoSpaceDN w:val="0"/>
        <w:adjustRightInd w:val="0"/>
        <w:spacing w:line="240" w:lineRule="auto"/>
        <w:rPr>
          <w:snapToGrid/>
          <w:szCs w:val="22"/>
          <w:lang w:val="lt-LT" w:eastAsia="sl-SI"/>
        </w:rPr>
      </w:pPr>
      <w:r>
        <w:rPr>
          <w:snapToGrid/>
          <w:szCs w:val="22"/>
          <w:lang w:val="lt-LT" w:eastAsia="sl-SI"/>
        </w:rPr>
        <w:t>Klinikinių tyrimų duomenys parodė, kad, palyginti su vieno renino, angiotenzino ir aldosterono sistemą (RAAS) veikiančio vaistinio preparato vartojimu, dvigubas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352D1BFA" w14:textId="77777777" w:rsidR="0052346D" w:rsidRDefault="0052346D">
      <w:pPr>
        <w:widowControl w:val="0"/>
        <w:tabs>
          <w:tab w:val="clear" w:pos="567"/>
        </w:tabs>
        <w:spacing w:line="240" w:lineRule="auto"/>
        <w:rPr>
          <w:snapToGrid/>
          <w:szCs w:val="22"/>
          <w:lang w:val="lt-LT" w:eastAsia="sl-SI"/>
        </w:rPr>
      </w:pPr>
    </w:p>
    <w:p w14:paraId="1E9703DD" w14:textId="77777777" w:rsidR="0052346D" w:rsidRDefault="005A1771">
      <w:pPr>
        <w:tabs>
          <w:tab w:val="clear" w:pos="567"/>
        </w:tabs>
        <w:spacing w:line="240" w:lineRule="auto"/>
        <w:rPr>
          <w:snapToGrid/>
          <w:szCs w:val="22"/>
          <w:lang w:val="lt-LT" w:eastAsia="sl-SI"/>
        </w:rPr>
      </w:pPr>
      <w:r>
        <w:rPr>
          <w:snapToGrid/>
          <w:szCs w:val="22"/>
          <w:lang w:val="lt-LT" w:eastAsia="sl-SI"/>
        </w:rPr>
        <w:t>Jei gydymas AKF inhibitoriumi yra pradedamas jau esant natrio stokai (ypač pacientams, kuriems yra inksto arterijos stenozė), gali kilti staiga atsirandančios hipotenzijos ir (arba) ūminio inkstų nepakankamumo pasireiškimo rizika.</w:t>
      </w:r>
    </w:p>
    <w:p w14:paraId="227BF80C" w14:textId="77777777" w:rsidR="0052346D" w:rsidRDefault="0052346D">
      <w:pPr>
        <w:widowControl w:val="0"/>
        <w:autoSpaceDE w:val="0"/>
        <w:autoSpaceDN w:val="0"/>
        <w:adjustRightInd w:val="0"/>
        <w:spacing w:line="240" w:lineRule="auto"/>
        <w:rPr>
          <w:rFonts w:eastAsia="Calibri"/>
          <w:bCs/>
          <w:snapToGrid/>
          <w:szCs w:val="22"/>
          <w:lang w:val="lt-LT"/>
        </w:rPr>
      </w:pPr>
    </w:p>
    <w:p w14:paraId="08E7B822" w14:textId="77777777" w:rsidR="0052346D" w:rsidRDefault="005A1771">
      <w:pPr>
        <w:tabs>
          <w:tab w:val="clear" w:pos="567"/>
        </w:tabs>
        <w:spacing w:line="240" w:lineRule="auto"/>
        <w:rPr>
          <w:snapToGrid/>
          <w:szCs w:val="22"/>
          <w:lang w:val="lt-LT" w:eastAsia="sl-SI"/>
        </w:rPr>
      </w:pPr>
      <w:r>
        <w:rPr>
          <w:snapToGrid/>
          <w:szCs w:val="22"/>
          <w:lang w:val="lt-LT" w:eastAsia="sl-SI"/>
        </w:rPr>
        <w:t>Jei yra hipertenzija ir ankstesnis gydymas diuretikais galėjo sukelti natrio stoką, būtina:</w:t>
      </w:r>
    </w:p>
    <w:p w14:paraId="3C8FA6AD" w14:textId="77777777" w:rsidR="0052346D" w:rsidRDefault="005A1771">
      <w:pPr>
        <w:numPr>
          <w:ilvl w:val="0"/>
          <w:numId w:val="18"/>
        </w:numPr>
        <w:spacing w:line="240" w:lineRule="auto"/>
        <w:rPr>
          <w:snapToGrid/>
          <w:szCs w:val="22"/>
          <w:lang w:val="lt-LT" w:eastAsia="sl-SI"/>
        </w:rPr>
      </w:pPr>
      <w:r>
        <w:rPr>
          <w:snapToGrid/>
          <w:szCs w:val="22"/>
          <w:lang w:val="lt-LT" w:eastAsia="sl-SI"/>
        </w:rPr>
        <w:t>arba nutraukti Kanpiduo skyrimą likus 3 dienoms iki gydymo AKF inhibitoriumi pradžios ir, jei reikia, atnaujinti gydymą kalį iš organizmo išskiriančiu diuretiku;</w:t>
      </w:r>
    </w:p>
    <w:p w14:paraId="6DFA08C5" w14:textId="77777777" w:rsidR="0052346D" w:rsidRDefault="005A1771">
      <w:pPr>
        <w:numPr>
          <w:ilvl w:val="0"/>
          <w:numId w:val="18"/>
        </w:numPr>
        <w:spacing w:line="240" w:lineRule="auto"/>
        <w:rPr>
          <w:snapToGrid/>
          <w:szCs w:val="22"/>
          <w:lang w:val="lt-LT" w:eastAsia="sl-SI"/>
        </w:rPr>
      </w:pPr>
      <w:r>
        <w:rPr>
          <w:snapToGrid/>
          <w:szCs w:val="22"/>
          <w:lang w:val="lt-LT" w:eastAsia="sl-SI"/>
        </w:rPr>
        <w:t>arba skirti mažą pradinę AKF inhibitoriaus dozę, o vėliau ją palaipsniui didinti.</w:t>
      </w:r>
    </w:p>
    <w:p w14:paraId="2C2F6A2C" w14:textId="77777777" w:rsidR="0052346D" w:rsidRDefault="005A1771">
      <w:pPr>
        <w:tabs>
          <w:tab w:val="clear" w:pos="567"/>
        </w:tabs>
        <w:spacing w:line="240" w:lineRule="auto"/>
        <w:rPr>
          <w:snapToGrid/>
          <w:szCs w:val="22"/>
          <w:lang w:val="lt-LT" w:eastAsia="sl-SI"/>
        </w:rPr>
      </w:pPr>
      <w:r>
        <w:rPr>
          <w:iCs/>
          <w:snapToGrid/>
          <w:szCs w:val="22"/>
          <w:lang w:val="lt-LT" w:eastAsia="sl-SI"/>
        </w:rPr>
        <w:t>P</w:t>
      </w:r>
      <w:r>
        <w:rPr>
          <w:snapToGrid/>
          <w:szCs w:val="22"/>
          <w:lang w:val="lt-LT" w:eastAsia="sl-SI"/>
        </w:rPr>
        <w:t>irmas gydymo AKF inhibitoriumi savaites reikia stebėti inkstų funkciją (kreatinino koncentraciją kraujo plazmoje).</w:t>
      </w:r>
    </w:p>
    <w:p w14:paraId="3208F686" w14:textId="77777777" w:rsidR="0052346D" w:rsidRDefault="0052346D">
      <w:pPr>
        <w:widowControl w:val="0"/>
        <w:autoSpaceDE w:val="0"/>
        <w:autoSpaceDN w:val="0"/>
        <w:adjustRightInd w:val="0"/>
        <w:spacing w:line="240" w:lineRule="auto"/>
        <w:rPr>
          <w:rFonts w:eastAsia="Calibri"/>
          <w:bCs/>
          <w:snapToGrid/>
          <w:szCs w:val="22"/>
          <w:lang w:val="lt-LT"/>
        </w:rPr>
      </w:pPr>
    </w:p>
    <w:p w14:paraId="1CE632AC" w14:textId="77777777" w:rsidR="0052346D" w:rsidRDefault="005A1771">
      <w:pPr>
        <w:widowControl w:val="0"/>
        <w:tabs>
          <w:tab w:val="clear" w:pos="567"/>
        </w:tabs>
        <w:spacing w:line="240" w:lineRule="auto"/>
        <w:rPr>
          <w:snapToGrid/>
          <w:szCs w:val="22"/>
          <w:u w:val="single"/>
          <w:lang w:val="lt-LT" w:eastAsia="sl-SI"/>
        </w:rPr>
      </w:pPr>
      <w:r>
        <w:rPr>
          <w:snapToGrid/>
          <w:szCs w:val="22"/>
          <w:u w:val="single"/>
          <w:lang w:val="lt-LT" w:eastAsia="sl-SI"/>
        </w:rPr>
        <w:t>Deriniai, kuriuos būtina vartoti atsargiai</w:t>
      </w:r>
    </w:p>
    <w:p w14:paraId="4632A89B" w14:textId="77777777" w:rsidR="0052346D" w:rsidRDefault="0052346D">
      <w:pPr>
        <w:widowControl w:val="0"/>
        <w:autoSpaceDE w:val="0"/>
        <w:autoSpaceDN w:val="0"/>
        <w:adjustRightInd w:val="0"/>
        <w:spacing w:line="240" w:lineRule="auto"/>
        <w:rPr>
          <w:rFonts w:eastAsia="Calibri"/>
          <w:b/>
          <w:i/>
          <w:iCs/>
          <w:snapToGrid/>
          <w:szCs w:val="22"/>
          <w:lang w:val="lt-LT"/>
        </w:rPr>
      </w:pPr>
    </w:p>
    <w:p w14:paraId="207B1E06" w14:textId="77777777" w:rsidR="0052346D" w:rsidRDefault="005A1771">
      <w:pPr>
        <w:widowControl w:val="0"/>
        <w:tabs>
          <w:tab w:val="clear" w:pos="567"/>
        </w:tabs>
        <w:spacing w:line="240" w:lineRule="auto"/>
        <w:rPr>
          <w:i/>
          <w:snapToGrid/>
          <w:szCs w:val="22"/>
          <w:lang w:val="lt-LT" w:eastAsia="sl-SI"/>
        </w:rPr>
      </w:pPr>
      <w:r>
        <w:rPr>
          <w:i/>
          <w:snapToGrid/>
          <w:szCs w:val="22"/>
          <w:lang w:val="lt-LT" w:eastAsia="sl-SI"/>
        </w:rPr>
        <w:t xml:space="preserve">Nesteroidiniai vaistiniai preparatai nuo uždegimo (sisteminio poveikio), įskaitant selektyvius COX-2 inhibitorius ir dideles acetilsalicilo rūgšties dozes </w:t>
      </w:r>
      <w:r>
        <w:rPr>
          <w:snapToGrid/>
          <w:szCs w:val="22"/>
          <w:lang w:val="lt-LT" w:eastAsia="sl-SI"/>
        </w:rPr>
        <w:t>(</w:t>
      </w:r>
      <w:r>
        <w:rPr>
          <w:snapToGrid/>
          <w:color w:val="000000"/>
          <w:szCs w:val="22"/>
          <w:u w:val="single"/>
          <w:lang w:val="lt-LT" w:eastAsia="fr-FR"/>
        </w:rPr>
        <w:t>&gt;</w:t>
      </w:r>
      <w:r>
        <w:rPr>
          <w:i/>
          <w:snapToGrid/>
          <w:szCs w:val="22"/>
          <w:lang w:val="lt-LT" w:eastAsia="sl-SI"/>
        </w:rPr>
        <w:t>3 g per parą)</w:t>
      </w:r>
    </w:p>
    <w:p w14:paraId="2E3B8C3F" w14:textId="77777777" w:rsidR="0052346D" w:rsidRDefault="005A1771">
      <w:pPr>
        <w:widowControl w:val="0"/>
        <w:tabs>
          <w:tab w:val="clear" w:pos="567"/>
        </w:tabs>
        <w:spacing w:line="240" w:lineRule="auto"/>
        <w:rPr>
          <w:snapToGrid/>
          <w:szCs w:val="22"/>
          <w:lang w:val="lt-LT" w:eastAsia="sl-SI"/>
        </w:rPr>
      </w:pPr>
      <w:r>
        <w:rPr>
          <w:snapToGrid/>
          <w:szCs w:val="22"/>
          <w:lang w:val="lt-LT" w:eastAsia="sl-SI"/>
        </w:rPr>
        <w:t>ARB, tokius kaip kandesartanas, vartojant kartu su nesteroidiniais vaistiniais preparatais nuo uždegimo (NVPNU) (t. y. selektyviais COX-2 inhibitoriais, acetilsalicilo rūgštimi [&gt;3 g per parą] ir neselektyviais NVPNU), antihipertenzinis poveikis gali susilpnėti. ARB, kaip ir AKF inhibitorius, vartojant kartu su NVPNU, gali padidėti inkstų funkcijos pablogėjimo, įskaitant galimą ūminį inkstų nepakankamumą ir kalio koncentracijos padidėjimą kraujo serume, rizika, ypač pacientams, kurių inkstų funkcija jau yra susilpnėjusi. Todėl šį derinį reikia skirti atsargiai, ypač senyviems pacientams. Pacientų organizme turi būti pakankamai skysčių ir būtina apsvarstyti inkstų funkcijos stebėjimą pradėjus gydyti šiuo deriniu bei periodiškai gydymo metu.</w:t>
      </w:r>
    </w:p>
    <w:p w14:paraId="3D800BFA" w14:textId="77777777" w:rsidR="0052346D" w:rsidRDefault="0052346D">
      <w:pPr>
        <w:widowControl w:val="0"/>
        <w:tabs>
          <w:tab w:val="clear" w:pos="567"/>
        </w:tabs>
        <w:spacing w:line="240" w:lineRule="auto"/>
        <w:rPr>
          <w:snapToGrid/>
          <w:szCs w:val="22"/>
          <w:lang w:val="lt-LT" w:eastAsia="sl-SI"/>
        </w:rPr>
      </w:pPr>
    </w:p>
    <w:p w14:paraId="74584D69" w14:textId="77777777" w:rsidR="0052346D" w:rsidRDefault="005A1771">
      <w:pPr>
        <w:widowControl w:val="0"/>
        <w:tabs>
          <w:tab w:val="clear" w:pos="567"/>
        </w:tabs>
        <w:spacing w:line="240" w:lineRule="auto"/>
        <w:rPr>
          <w:snapToGrid/>
          <w:szCs w:val="22"/>
          <w:lang w:val="lt-LT" w:eastAsia="sl-SI"/>
        </w:rPr>
      </w:pPr>
      <w:r>
        <w:rPr>
          <w:snapToGrid/>
          <w:szCs w:val="22"/>
          <w:lang w:val="lt-LT" w:eastAsia="sl-SI"/>
        </w:rPr>
        <w:t xml:space="preserve">Gali sumažėti antihipertenzinis indapamido poveikis. Ūminio inkstų nepakankamumo rizika padidėja pacientams, kuriems yra dehidratacija (sumažėja glomerulų filtracija). Būtina užtikrinti, kad paciento </w:t>
      </w:r>
      <w:r>
        <w:rPr>
          <w:snapToGrid/>
          <w:szCs w:val="22"/>
          <w:lang w:val="lt-LT" w:eastAsia="sl-SI"/>
        </w:rPr>
        <w:lastRenderedPageBreak/>
        <w:t>organizme būtų pakankamas kiekis skysčių; gydymo pradžioje reikia stebėti inkstų funkciją.</w:t>
      </w:r>
    </w:p>
    <w:p w14:paraId="7A9E9BF1" w14:textId="77777777" w:rsidR="0052346D" w:rsidRDefault="0052346D">
      <w:pPr>
        <w:widowControl w:val="0"/>
        <w:tabs>
          <w:tab w:val="clear" w:pos="567"/>
        </w:tabs>
        <w:spacing w:line="240" w:lineRule="auto"/>
        <w:rPr>
          <w:snapToGrid/>
          <w:szCs w:val="22"/>
          <w:lang w:val="lt-LT" w:eastAsia="sl-SI"/>
        </w:rPr>
      </w:pPr>
    </w:p>
    <w:p w14:paraId="31D174D9" w14:textId="77777777" w:rsidR="0052346D" w:rsidRDefault="005A1771">
      <w:pPr>
        <w:widowControl w:val="0"/>
        <w:tabs>
          <w:tab w:val="clear" w:pos="567"/>
        </w:tabs>
        <w:spacing w:line="240" w:lineRule="auto"/>
        <w:rPr>
          <w:snapToGrid/>
          <w:szCs w:val="22"/>
          <w:u w:val="single"/>
          <w:lang w:val="lt-LT" w:eastAsia="sl-SI"/>
        </w:rPr>
      </w:pPr>
      <w:r>
        <w:rPr>
          <w:snapToGrid/>
          <w:szCs w:val="22"/>
          <w:u w:val="single"/>
          <w:lang w:val="lt-LT" w:eastAsia="sl-SI"/>
        </w:rPr>
        <w:t>Deriniai, į kurių vartojimą reikia atsižvelgti</w:t>
      </w:r>
    </w:p>
    <w:p w14:paraId="4B7C6BE4" w14:textId="77777777" w:rsidR="0052346D" w:rsidRDefault="0052346D">
      <w:pPr>
        <w:widowControl w:val="0"/>
        <w:tabs>
          <w:tab w:val="clear" w:pos="567"/>
        </w:tabs>
        <w:spacing w:line="240" w:lineRule="auto"/>
        <w:rPr>
          <w:snapToGrid/>
          <w:szCs w:val="22"/>
          <w:lang w:val="lt-LT" w:eastAsia="sl-SI"/>
        </w:rPr>
      </w:pPr>
    </w:p>
    <w:p w14:paraId="7F43F978" w14:textId="77777777" w:rsidR="0052346D" w:rsidRDefault="005A1771">
      <w:pPr>
        <w:widowControl w:val="0"/>
        <w:tabs>
          <w:tab w:val="clear" w:pos="567"/>
        </w:tabs>
        <w:spacing w:line="240" w:lineRule="auto"/>
        <w:rPr>
          <w:i/>
          <w:snapToGrid/>
          <w:szCs w:val="22"/>
          <w:lang w:val="lt-LT" w:eastAsia="sl-SI"/>
        </w:rPr>
      </w:pPr>
      <w:r>
        <w:rPr>
          <w:i/>
          <w:snapToGrid/>
          <w:szCs w:val="22"/>
          <w:lang w:val="lt-LT" w:eastAsia="sl-SI"/>
        </w:rPr>
        <w:t>Kalį organizme sulaikantys diuretikai (amiloridas, spironolaktonas, triamterenas)</w:t>
      </w:r>
    </w:p>
    <w:p w14:paraId="6DC66328" w14:textId="77777777" w:rsidR="0052346D" w:rsidRDefault="005A1771">
      <w:pPr>
        <w:widowControl w:val="0"/>
        <w:tabs>
          <w:tab w:val="clear" w:pos="567"/>
        </w:tabs>
        <w:spacing w:line="240" w:lineRule="auto"/>
        <w:rPr>
          <w:iCs/>
          <w:snapToGrid/>
          <w:szCs w:val="22"/>
          <w:lang w:val="lt-LT" w:eastAsia="sl-SI"/>
        </w:rPr>
      </w:pPr>
      <w:r>
        <w:rPr>
          <w:iCs/>
          <w:snapToGrid/>
          <w:szCs w:val="22"/>
          <w:lang w:val="lt-LT" w:eastAsia="sl-SI"/>
        </w:rPr>
        <w:t>Kartu vartojant kalį organizme sulaikančių diuretikų, kalio papildų, druskos pakaitalų, kurių sudėtyje yra kalio, arba kitų vaistinių preparatų (pavyzdžiui, heparino), gali padidėti kalio koncentracija. Atitinkamai reikia stebėti kalio koncentraciją (žr. 4.4 skyrių).</w:t>
      </w:r>
    </w:p>
    <w:p w14:paraId="6ED6EB64" w14:textId="77777777" w:rsidR="0052346D" w:rsidRDefault="0052346D">
      <w:pPr>
        <w:tabs>
          <w:tab w:val="clear" w:pos="567"/>
        </w:tabs>
        <w:autoSpaceDE w:val="0"/>
        <w:autoSpaceDN w:val="0"/>
        <w:adjustRightInd w:val="0"/>
        <w:spacing w:line="240" w:lineRule="auto"/>
        <w:rPr>
          <w:snapToGrid/>
          <w:color w:val="000000"/>
          <w:szCs w:val="22"/>
          <w:lang w:val="lt-LT" w:eastAsia="sl-SI"/>
        </w:rPr>
      </w:pPr>
    </w:p>
    <w:p w14:paraId="461150E4" w14:textId="77777777" w:rsidR="0052346D" w:rsidRDefault="005A1771">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Kai kuriems pacientams toks derinys gali būti naudingas, tačiau vis tiek gali pasireikšti hipokalemija arba hiperkalemija (ypač pacientams, kurie serga inkstų nepakankamumu ar cukriniu diabetu). Būtina stebėti kalio koncentraciją kraujo plazmoje ir elektrokardiogramą (EKG) bei, jei reikia, iš naujo peržiūrėti gydymą.</w:t>
      </w:r>
    </w:p>
    <w:p w14:paraId="21591485" w14:textId="77777777" w:rsidR="0052346D" w:rsidRDefault="0052346D">
      <w:pPr>
        <w:widowControl w:val="0"/>
        <w:tabs>
          <w:tab w:val="clear" w:pos="567"/>
        </w:tabs>
        <w:spacing w:line="240" w:lineRule="auto"/>
        <w:rPr>
          <w:snapToGrid/>
          <w:szCs w:val="22"/>
          <w:lang w:val="lt-LT" w:eastAsia="sl-SI"/>
        </w:rPr>
      </w:pPr>
    </w:p>
    <w:p w14:paraId="7174F60D" w14:textId="77777777" w:rsidR="0052346D" w:rsidRDefault="005A1771">
      <w:pPr>
        <w:widowControl w:val="0"/>
        <w:tabs>
          <w:tab w:val="clear" w:pos="567"/>
        </w:tabs>
        <w:spacing w:line="240" w:lineRule="auto"/>
        <w:rPr>
          <w:snapToGrid/>
          <w:szCs w:val="22"/>
          <w:lang w:val="lt-LT" w:eastAsia="sl-SI"/>
        </w:rPr>
      </w:pPr>
      <w:r>
        <w:rPr>
          <w:rFonts w:eastAsia="Calibri"/>
          <w:b/>
          <w:i/>
          <w:iCs/>
          <w:snapToGrid/>
          <w:szCs w:val="22"/>
          <w:lang w:val="lt-LT"/>
        </w:rPr>
        <w:t>Sąveika, susijusi su kandesartanu</w:t>
      </w:r>
    </w:p>
    <w:p w14:paraId="2F10325B" w14:textId="77777777" w:rsidR="0052346D" w:rsidRDefault="0052346D">
      <w:pPr>
        <w:widowControl w:val="0"/>
        <w:tabs>
          <w:tab w:val="clear" w:pos="567"/>
        </w:tabs>
        <w:spacing w:line="240" w:lineRule="auto"/>
        <w:rPr>
          <w:snapToGrid/>
          <w:szCs w:val="22"/>
          <w:lang w:val="lt-LT" w:eastAsia="sl-SI"/>
        </w:rPr>
      </w:pPr>
    </w:p>
    <w:p w14:paraId="1B689A9D" w14:textId="77777777" w:rsidR="0052346D" w:rsidRDefault="005A1771">
      <w:pPr>
        <w:widowControl w:val="0"/>
        <w:tabs>
          <w:tab w:val="clear" w:pos="567"/>
        </w:tabs>
        <w:spacing w:line="240" w:lineRule="auto"/>
        <w:rPr>
          <w:snapToGrid/>
          <w:szCs w:val="22"/>
          <w:lang w:val="lt-LT" w:eastAsia="sl-SI"/>
        </w:rPr>
      </w:pPr>
      <w:r>
        <w:rPr>
          <w:snapToGrid/>
          <w:szCs w:val="22"/>
          <w:lang w:val="lt-LT" w:eastAsia="sl-SI"/>
        </w:rPr>
        <w:t>Klinikinių farmakokinetikos tyrimų metu buvo tirta sąveika su šiomis medžiagomis: hidrochlorotiazidu, varfarinu, digoksinu, geriamaisiais kontraceptikais (t. y. etinilestradioliu / levonorgestreliu), glibenklamidu, nifedipinu ir enalapriliu. Kliniškai reikšmingos farmakokinetinės sąveikos su šiais vaistiniais preparatais nenustatyta.</w:t>
      </w:r>
    </w:p>
    <w:p w14:paraId="17002C70" w14:textId="77777777" w:rsidR="0052346D" w:rsidRDefault="0052346D">
      <w:pPr>
        <w:widowControl w:val="0"/>
        <w:tabs>
          <w:tab w:val="clear" w:pos="567"/>
        </w:tabs>
        <w:spacing w:line="240" w:lineRule="auto"/>
        <w:rPr>
          <w:snapToGrid/>
          <w:szCs w:val="22"/>
          <w:lang w:val="lt-LT" w:eastAsia="sl-SI"/>
        </w:rPr>
      </w:pPr>
    </w:p>
    <w:p w14:paraId="7CB58F63" w14:textId="77777777" w:rsidR="0052346D" w:rsidRDefault="005A1771">
      <w:pPr>
        <w:widowControl w:val="0"/>
        <w:autoSpaceDE w:val="0"/>
        <w:autoSpaceDN w:val="0"/>
        <w:adjustRightInd w:val="0"/>
        <w:spacing w:line="240" w:lineRule="auto"/>
        <w:rPr>
          <w:rFonts w:eastAsia="Calibri"/>
          <w:b/>
          <w:i/>
          <w:iCs/>
          <w:snapToGrid/>
          <w:szCs w:val="22"/>
          <w:lang w:val="lt-LT"/>
        </w:rPr>
      </w:pPr>
      <w:r>
        <w:rPr>
          <w:rFonts w:eastAsia="Calibri"/>
          <w:b/>
          <w:i/>
          <w:iCs/>
          <w:snapToGrid/>
          <w:szCs w:val="22"/>
          <w:lang w:val="lt-LT"/>
        </w:rPr>
        <w:t>Sąveika, susijusi su indapamidu</w:t>
      </w:r>
    </w:p>
    <w:p w14:paraId="5C4ACCD6" w14:textId="77777777" w:rsidR="0052346D" w:rsidRDefault="0052346D">
      <w:pPr>
        <w:widowControl w:val="0"/>
        <w:tabs>
          <w:tab w:val="clear" w:pos="567"/>
        </w:tabs>
        <w:spacing w:line="240" w:lineRule="auto"/>
        <w:rPr>
          <w:snapToGrid/>
          <w:szCs w:val="22"/>
          <w:lang w:val="lt-LT" w:eastAsia="sl-SI"/>
        </w:rPr>
      </w:pPr>
    </w:p>
    <w:p w14:paraId="3CA121F5" w14:textId="77777777" w:rsidR="0052346D" w:rsidRDefault="005A1771">
      <w:pPr>
        <w:widowControl w:val="0"/>
        <w:tabs>
          <w:tab w:val="clear" w:pos="567"/>
        </w:tabs>
        <w:spacing w:line="240" w:lineRule="auto"/>
        <w:rPr>
          <w:snapToGrid/>
          <w:szCs w:val="22"/>
          <w:u w:val="single"/>
          <w:lang w:val="lt-LT" w:eastAsia="sl-SI"/>
        </w:rPr>
      </w:pPr>
      <w:r>
        <w:rPr>
          <w:snapToGrid/>
          <w:szCs w:val="22"/>
          <w:u w:val="single"/>
          <w:lang w:val="lt-LT" w:eastAsia="sl-SI"/>
        </w:rPr>
        <w:t>Deriniai, kuriuos būtina vartoti atsargiai</w:t>
      </w:r>
    </w:p>
    <w:p w14:paraId="0CA08348" w14:textId="77777777" w:rsidR="0052346D" w:rsidRDefault="0052346D">
      <w:pPr>
        <w:widowControl w:val="0"/>
        <w:tabs>
          <w:tab w:val="clear" w:pos="567"/>
        </w:tabs>
        <w:spacing w:line="240" w:lineRule="auto"/>
        <w:rPr>
          <w:i/>
          <w:snapToGrid/>
          <w:szCs w:val="22"/>
          <w:lang w:val="lt-LT" w:eastAsia="sl-SI"/>
        </w:rPr>
      </w:pPr>
    </w:p>
    <w:p w14:paraId="04D91B61" w14:textId="77777777" w:rsidR="0052346D" w:rsidRDefault="005A1771">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Paroksizminę polimorfinę skilvelinę tachikardiją (</w:t>
      </w:r>
      <w:r>
        <w:rPr>
          <w:i/>
          <w:iCs/>
          <w:snapToGrid/>
          <w:color w:val="000000"/>
          <w:szCs w:val="22"/>
          <w:lang w:val="lt-LT" w:eastAsia="sl-SI"/>
        </w:rPr>
        <w:t>torsades de pointes</w:t>
      </w:r>
      <w:r>
        <w:rPr>
          <w:snapToGrid/>
          <w:color w:val="000000"/>
          <w:szCs w:val="22"/>
          <w:lang w:val="lt-LT" w:eastAsia="sl-SI"/>
        </w:rPr>
        <w:t>) sukeliantys vaistiniai preparatai:</w:t>
      </w:r>
    </w:p>
    <w:p w14:paraId="17FC10E3" w14:textId="77777777" w:rsidR="0052346D" w:rsidRDefault="005A1771">
      <w:pPr>
        <w:numPr>
          <w:ilvl w:val="0"/>
          <w:numId w:val="16"/>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Ia klasės antiaritminiai vaistiniai preparatai (chinidinas, hidrochinidinas, dizopiramidas);</w:t>
      </w:r>
    </w:p>
    <w:p w14:paraId="3C20943B" w14:textId="77777777" w:rsidR="0052346D" w:rsidRDefault="005A1771">
      <w:pPr>
        <w:numPr>
          <w:ilvl w:val="0"/>
          <w:numId w:val="16"/>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III klasės antiaritminiai vaistiniai preparatai (amjodaronas, sotalolis, dofetilidas, ibutilidas, bretilis);</w:t>
      </w:r>
    </w:p>
    <w:p w14:paraId="48E36503" w14:textId="77777777" w:rsidR="0052346D" w:rsidRDefault="005A1771">
      <w:pPr>
        <w:numPr>
          <w:ilvl w:val="0"/>
          <w:numId w:val="16"/>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kai kurie vaistiniai preparatai nuo psichozių:</w:t>
      </w:r>
    </w:p>
    <w:p w14:paraId="56A70C2A" w14:textId="77777777" w:rsidR="0052346D" w:rsidRDefault="005A1771">
      <w:pPr>
        <w:numPr>
          <w:ilvl w:val="0"/>
          <w:numId w:val="17"/>
        </w:numPr>
        <w:tabs>
          <w:tab w:val="clear" w:pos="567"/>
        </w:tabs>
        <w:autoSpaceDE w:val="0"/>
        <w:autoSpaceDN w:val="0"/>
        <w:adjustRightInd w:val="0"/>
        <w:spacing w:line="240" w:lineRule="auto"/>
        <w:ind w:left="1134" w:hanging="567"/>
        <w:rPr>
          <w:snapToGrid/>
          <w:color w:val="000000"/>
          <w:szCs w:val="22"/>
          <w:lang w:val="lt-LT" w:eastAsia="sl-SI"/>
        </w:rPr>
      </w:pPr>
      <w:r>
        <w:rPr>
          <w:snapToGrid/>
          <w:color w:val="000000"/>
          <w:szCs w:val="22"/>
          <w:lang w:val="lt-LT" w:eastAsia="sl-SI"/>
        </w:rPr>
        <w:t>fenotiazinai (pavyzdžiui, chlorpromazinas, ciamemazinas, levomepromazinas, tioridazinas, trifluoperazinas);</w:t>
      </w:r>
    </w:p>
    <w:p w14:paraId="618A8C8F" w14:textId="77777777" w:rsidR="0052346D" w:rsidRDefault="005A1771">
      <w:pPr>
        <w:numPr>
          <w:ilvl w:val="0"/>
          <w:numId w:val="17"/>
        </w:numPr>
        <w:tabs>
          <w:tab w:val="clear" w:pos="567"/>
        </w:tabs>
        <w:autoSpaceDE w:val="0"/>
        <w:autoSpaceDN w:val="0"/>
        <w:adjustRightInd w:val="0"/>
        <w:spacing w:line="240" w:lineRule="auto"/>
        <w:ind w:left="1134" w:hanging="567"/>
        <w:rPr>
          <w:snapToGrid/>
          <w:color w:val="000000"/>
          <w:szCs w:val="22"/>
          <w:lang w:val="lt-LT" w:eastAsia="sl-SI"/>
        </w:rPr>
      </w:pPr>
      <w:r>
        <w:rPr>
          <w:snapToGrid/>
          <w:color w:val="000000"/>
          <w:szCs w:val="22"/>
          <w:lang w:val="lt-LT" w:eastAsia="sl-SI"/>
        </w:rPr>
        <w:t>benzamidai (amisulpridas, sulpiridas, sultopridas, tiapridas);</w:t>
      </w:r>
    </w:p>
    <w:p w14:paraId="1B3F39F8" w14:textId="77777777" w:rsidR="0052346D" w:rsidRDefault="005A1771">
      <w:pPr>
        <w:numPr>
          <w:ilvl w:val="0"/>
          <w:numId w:val="17"/>
        </w:numPr>
        <w:tabs>
          <w:tab w:val="clear" w:pos="567"/>
        </w:tabs>
        <w:autoSpaceDE w:val="0"/>
        <w:autoSpaceDN w:val="0"/>
        <w:adjustRightInd w:val="0"/>
        <w:spacing w:line="240" w:lineRule="auto"/>
        <w:ind w:left="1134" w:hanging="567"/>
        <w:rPr>
          <w:snapToGrid/>
          <w:color w:val="000000"/>
          <w:szCs w:val="22"/>
          <w:lang w:val="lt-LT" w:eastAsia="sl-SI"/>
        </w:rPr>
      </w:pPr>
      <w:r>
        <w:rPr>
          <w:snapToGrid/>
          <w:color w:val="000000"/>
          <w:szCs w:val="22"/>
          <w:lang w:val="lt-LT" w:eastAsia="sl-SI"/>
        </w:rPr>
        <w:t>butirofenonai (droperidolis, haloperidolis);</w:t>
      </w:r>
    </w:p>
    <w:p w14:paraId="639FA7C6" w14:textId="77777777" w:rsidR="0052346D" w:rsidRDefault="005A1771">
      <w:pPr>
        <w:numPr>
          <w:ilvl w:val="0"/>
          <w:numId w:val="16"/>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kiti vaistiniai preparatai nuo psichozių (pimozidas);</w:t>
      </w:r>
    </w:p>
    <w:p w14:paraId="7EF4381C" w14:textId="77777777" w:rsidR="0052346D" w:rsidRDefault="005A1771">
      <w:pPr>
        <w:numPr>
          <w:ilvl w:val="0"/>
          <w:numId w:val="16"/>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kitos medžiagos: (bepridilas, cisapridas, difemanilas, į veną skiriamas eritromicinas, halofantrinas, mizolastinas, pentamidinas, sparfloksacinas, moksifloksacinas, į veną skiriamas vinkaminas, metadonas, astemizolas, terfenadinas).</w:t>
      </w:r>
    </w:p>
    <w:p w14:paraId="7A197A90" w14:textId="77777777" w:rsidR="0052346D" w:rsidRDefault="0052346D">
      <w:pPr>
        <w:tabs>
          <w:tab w:val="clear" w:pos="567"/>
        </w:tabs>
        <w:autoSpaceDE w:val="0"/>
        <w:autoSpaceDN w:val="0"/>
        <w:adjustRightInd w:val="0"/>
        <w:spacing w:line="240" w:lineRule="auto"/>
        <w:rPr>
          <w:snapToGrid/>
          <w:color w:val="000000"/>
          <w:szCs w:val="22"/>
          <w:lang w:val="lt-LT" w:eastAsia="sl-SI"/>
        </w:rPr>
      </w:pPr>
    </w:p>
    <w:p w14:paraId="3E7FD1D6" w14:textId="77777777" w:rsidR="0052346D" w:rsidRDefault="005A1771">
      <w:pPr>
        <w:tabs>
          <w:tab w:val="clear" w:pos="567"/>
        </w:tabs>
        <w:autoSpaceDE w:val="0"/>
        <w:autoSpaceDN w:val="0"/>
        <w:adjustRightInd w:val="0"/>
        <w:spacing w:line="240" w:lineRule="auto"/>
        <w:rPr>
          <w:snapToGrid/>
          <w:szCs w:val="22"/>
          <w:lang w:val="lt-LT" w:eastAsia="sl-SI"/>
        </w:rPr>
      </w:pPr>
      <w:r>
        <w:rPr>
          <w:snapToGrid/>
          <w:color w:val="000000"/>
          <w:szCs w:val="22"/>
          <w:lang w:val="lt-LT" w:eastAsia="sl-SI"/>
        </w:rPr>
        <w:t>Padidėja skilvelinių aritmijų, ypač paroksizminės polimorfinės skilvelinės tachikardijos (</w:t>
      </w:r>
      <w:r>
        <w:rPr>
          <w:i/>
          <w:iCs/>
          <w:snapToGrid/>
          <w:color w:val="000000"/>
          <w:szCs w:val="22"/>
          <w:lang w:val="lt-LT" w:eastAsia="sl-SI"/>
        </w:rPr>
        <w:t>torsades de pointes</w:t>
      </w:r>
      <w:r>
        <w:rPr>
          <w:snapToGrid/>
          <w:color w:val="000000"/>
          <w:szCs w:val="22"/>
          <w:lang w:val="lt-LT" w:eastAsia="sl-SI"/>
        </w:rPr>
        <w:t>), rizika</w:t>
      </w:r>
      <w:r>
        <w:rPr>
          <w:i/>
          <w:iCs/>
          <w:snapToGrid/>
          <w:color w:val="000000"/>
          <w:szCs w:val="22"/>
          <w:lang w:val="lt-LT" w:eastAsia="sl-SI"/>
        </w:rPr>
        <w:t xml:space="preserve"> </w:t>
      </w:r>
      <w:r>
        <w:rPr>
          <w:snapToGrid/>
          <w:color w:val="000000"/>
          <w:szCs w:val="22"/>
          <w:lang w:val="lt-LT" w:eastAsia="sl-SI"/>
        </w:rPr>
        <w:t xml:space="preserve">(hipokalemija yra rizikos veiksnys). </w:t>
      </w:r>
      <w:r>
        <w:rPr>
          <w:snapToGrid/>
          <w:szCs w:val="22"/>
          <w:lang w:val="lt-LT" w:eastAsia="sl-SI"/>
        </w:rPr>
        <w:t xml:space="preserve">Prieš pradedant vartoti šio derinio, reikia stebėti, ar neatsiranda hipokalemija, ir, jei reikia, ją koreguoti. Būtina klinikinė, elektrolitų koncentracijos kraujo plazmoje ir EKG stebėsena. Reikia skirti vartoti veikliąsias medžiagas, kurioms nėra būdingas </w:t>
      </w:r>
      <w:r>
        <w:rPr>
          <w:snapToGrid/>
          <w:color w:val="000000"/>
          <w:szCs w:val="22"/>
          <w:lang w:val="lt-LT" w:eastAsia="sl-SI"/>
        </w:rPr>
        <w:t>paroksizminę polimorfinę skilvelinę tachikardiją (</w:t>
      </w:r>
      <w:r>
        <w:rPr>
          <w:i/>
          <w:iCs/>
          <w:snapToGrid/>
          <w:color w:val="000000"/>
          <w:szCs w:val="22"/>
          <w:lang w:val="lt-LT" w:eastAsia="sl-SI"/>
        </w:rPr>
        <w:t>torsades de pointes</w:t>
      </w:r>
      <w:r>
        <w:rPr>
          <w:snapToGrid/>
          <w:color w:val="000000"/>
          <w:szCs w:val="22"/>
          <w:lang w:val="lt-LT" w:eastAsia="sl-SI"/>
        </w:rPr>
        <w:t xml:space="preserve">) sukeliantis poveikis </w:t>
      </w:r>
      <w:r>
        <w:rPr>
          <w:snapToGrid/>
          <w:szCs w:val="22"/>
          <w:lang w:val="lt-LT" w:eastAsia="sl-SI"/>
        </w:rPr>
        <w:t>esant hipokalemijai.</w:t>
      </w:r>
    </w:p>
    <w:p w14:paraId="48A1CB65" w14:textId="77777777" w:rsidR="0052346D" w:rsidRDefault="0052346D">
      <w:pPr>
        <w:tabs>
          <w:tab w:val="clear" w:pos="567"/>
        </w:tabs>
        <w:spacing w:line="240" w:lineRule="auto"/>
        <w:rPr>
          <w:snapToGrid/>
          <w:szCs w:val="22"/>
          <w:lang w:val="lt-LT" w:eastAsia="sl-SI"/>
        </w:rPr>
      </w:pPr>
    </w:p>
    <w:p w14:paraId="0204B491" w14:textId="77777777" w:rsidR="0052346D" w:rsidRDefault="005A1771">
      <w:pPr>
        <w:tabs>
          <w:tab w:val="clear" w:pos="567"/>
        </w:tabs>
        <w:spacing w:line="240" w:lineRule="auto"/>
        <w:outlineLvl w:val="4"/>
        <w:rPr>
          <w:rFonts w:eastAsia="Calibri"/>
          <w:bCs/>
          <w:i/>
          <w:iCs/>
          <w:snapToGrid/>
          <w:szCs w:val="22"/>
          <w:lang w:val="lt-LT" w:eastAsia="lt-LT"/>
        </w:rPr>
      </w:pPr>
      <w:r>
        <w:rPr>
          <w:rFonts w:eastAsia="Calibri"/>
          <w:bCs/>
          <w:i/>
          <w:iCs/>
          <w:snapToGrid/>
          <w:szCs w:val="22"/>
          <w:lang w:val="lt-LT" w:eastAsia="lt-LT"/>
        </w:rPr>
        <w:t>Kiti hipokalemiją sukeliantys vaistiniai preparatai: į veną skiriamas amfotericinas B, sisteminio poveikio gliukokortikoidai ar mineralkortikoidai, tetrakozaktidas, stimuliuojamojo poveikio vidurių laisvinamieji vaistiniai preparatai</w:t>
      </w:r>
    </w:p>
    <w:p w14:paraId="098FCE1C" w14:textId="77777777" w:rsidR="0052346D" w:rsidRDefault="005A1771">
      <w:pPr>
        <w:tabs>
          <w:tab w:val="clear" w:pos="567"/>
        </w:tabs>
        <w:spacing w:line="240" w:lineRule="auto"/>
        <w:rPr>
          <w:rFonts w:eastAsia="Calibri"/>
          <w:snapToGrid/>
          <w:szCs w:val="22"/>
          <w:lang w:val="lt-LT" w:eastAsia="lt-LT"/>
        </w:rPr>
      </w:pPr>
      <w:r>
        <w:rPr>
          <w:rFonts w:eastAsia="Calibri"/>
          <w:snapToGrid/>
          <w:szCs w:val="22"/>
          <w:lang w:val="lt-LT" w:eastAsia="lt-LT"/>
        </w:rPr>
        <w:t>Didėja hipokalemijos rizika (pasireiškia suminis poveikis).</w:t>
      </w:r>
    </w:p>
    <w:p w14:paraId="6CE2BAD3" w14:textId="77777777" w:rsidR="0052346D" w:rsidRDefault="005A1771">
      <w:pPr>
        <w:tabs>
          <w:tab w:val="clear" w:pos="567"/>
        </w:tabs>
        <w:spacing w:line="240" w:lineRule="auto"/>
        <w:rPr>
          <w:rFonts w:eastAsia="Calibri"/>
          <w:snapToGrid/>
          <w:szCs w:val="22"/>
          <w:lang w:val="lt-LT" w:eastAsia="lt-LT"/>
        </w:rPr>
      </w:pPr>
      <w:r>
        <w:rPr>
          <w:rFonts w:eastAsia="Calibri"/>
          <w:snapToGrid/>
          <w:szCs w:val="22"/>
          <w:lang w:val="lt-LT" w:eastAsia="lt-LT"/>
        </w:rPr>
        <w:t xml:space="preserve">Būtina stebėti ir, jei reikia, koreguoti kalio koncentraciją kraujo plazmoje. Pacientams, kurie tuo pat metu vartoja rusmenės glikozidų, reikia imtis atsargumo priemonių. Tokiems pacientams reikia vartoti ne stimuliuojamojo poveikio vidurių laisvinamuosius vaistinius preparatus. </w:t>
      </w:r>
    </w:p>
    <w:p w14:paraId="51261964" w14:textId="77777777" w:rsidR="0052346D" w:rsidRDefault="0052346D">
      <w:pPr>
        <w:tabs>
          <w:tab w:val="clear" w:pos="567"/>
        </w:tabs>
        <w:autoSpaceDE w:val="0"/>
        <w:autoSpaceDN w:val="0"/>
        <w:adjustRightInd w:val="0"/>
        <w:spacing w:line="240" w:lineRule="auto"/>
        <w:rPr>
          <w:snapToGrid/>
          <w:color w:val="000000"/>
          <w:szCs w:val="22"/>
          <w:lang w:val="lt-LT" w:eastAsia="sl-SI"/>
        </w:rPr>
      </w:pPr>
    </w:p>
    <w:p w14:paraId="3DA8FFD9" w14:textId="77777777" w:rsidR="0052346D" w:rsidRDefault="005A1771">
      <w:pPr>
        <w:tabs>
          <w:tab w:val="clear" w:pos="567"/>
        </w:tabs>
        <w:autoSpaceDE w:val="0"/>
        <w:autoSpaceDN w:val="0"/>
        <w:adjustRightInd w:val="0"/>
        <w:spacing w:line="240" w:lineRule="auto"/>
        <w:rPr>
          <w:i/>
          <w:iCs/>
          <w:snapToGrid/>
          <w:szCs w:val="22"/>
          <w:lang w:val="lt-LT" w:eastAsia="sl-SI"/>
        </w:rPr>
      </w:pPr>
      <w:r>
        <w:rPr>
          <w:i/>
          <w:iCs/>
          <w:snapToGrid/>
          <w:szCs w:val="22"/>
          <w:lang w:val="lt-LT" w:eastAsia="sl-SI"/>
        </w:rPr>
        <w:t>Baklofenas</w:t>
      </w:r>
    </w:p>
    <w:p w14:paraId="176BFE9A" w14:textId="77777777" w:rsidR="0052346D" w:rsidRDefault="005A1771">
      <w:pPr>
        <w:tabs>
          <w:tab w:val="clear" w:pos="567"/>
        </w:tabs>
        <w:spacing w:line="240" w:lineRule="auto"/>
        <w:rPr>
          <w:rFonts w:eastAsia="Calibri"/>
          <w:snapToGrid/>
          <w:szCs w:val="22"/>
          <w:lang w:val="lt-LT" w:eastAsia="lt-LT"/>
        </w:rPr>
      </w:pPr>
      <w:r>
        <w:rPr>
          <w:rFonts w:eastAsia="Calibri"/>
          <w:snapToGrid/>
          <w:szCs w:val="22"/>
          <w:lang w:val="lt-LT" w:eastAsia="lt-LT"/>
        </w:rPr>
        <w:t>Sustiprėja antihipertenzinis poveikis.</w:t>
      </w:r>
    </w:p>
    <w:p w14:paraId="25131A76" w14:textId="77777777" w:rsidR="0052346D" w:rsidRDefault="005A1771">
      <w:pPr>
        <w:tabs>
          <w:tab w:val="clear" w:pos="567"/>
        </w:tabs>
        <w:spacing w:line="240" w:lineRule="auto"/>
        <w:rPr>
          <w:rFonts w:eastAsia="Calibri"/>
          <w:snapToGrid/>
          <w:szCs w:val="22"/>
          <w:lang w:val="lt-LT" w:eastAsia="lt-LT"/>
        </w:rPr>
      </w:pPr>
      <w:r>
        <w:rPr>
          <w:rFonts w:eastAsia="Calibri"/>
          <w:snapToGrid/>
          <w:szCs w:val="22"/>
          <w:lang w:val="lt-LT" w:eastAsia="lt-LT"/>
        </w:rPr>
        <w:lastRenderedPageBreak/>
        <w:t>Pacientas turi gerti pakankamai skysčių; gydymo pradžioje būtina stebėti inkstų funkciją.</w:t>
      </w:r>
    </w:p>
    <w:p w14:paraId="68EAE367" w14:textId="77777777" w:rsidR="0052346D" w:rsidRDefault="0052346D">
      <w:pPr>
        <w:tabs>
          <w:tab w:val="clear" w:pos="567"/>
        </w:tabs>
        <w:autoSpaceDE w:val="0"/>
        <w:autoSpaceDN w:val="0"/>
        <w:adjustRightInd w:val="0"/>
        <w:spacing w:line="240" w:lineRule="auto"/>
        <w:rPr>
          <w:snapToGrid/>
          <w:color w:val="000000"/>
          <w:szCs w:val="22"/>
          <w:lang w:val="lt-LT" w:eastAsia="sl-SI"/>
        </w:rPr>
      </w:pPr>
    </w:p>
    <w:p w14:paraId="1622CBA6" w14:textId="77777777" w:rsidR="0052346D" w:rsidRDefault="005A1771">
      <w:pPr>
        <w:tabs>
          <w:tab w:val="clear" w:pos="567"/>
        </w:tabs>
        <w:autoSpaceDE w:val="0"/>
        <w:autoSpaceDN w:val="0"/>
        <w:adjustRightInd w:val="0"/>
        <w:spacing w:line="240" w:lineRule="auto"/>
        <w:rPr>
          <w:i/>
          <w:iCs/>
          <w:snapToGrid/>
          <w:color w:val="000000"/>
          <w:szCs w:val="22"/>
          <w:lang w:val="lt-LT" w:eastAsia="sl-SI"/>
        </w:rPr>
      </w:pPr>
      <w:r>
        <w:rPr>
          <w:i/>
          <w:iCs/>
          <w:snapToGrid/>
          <w:szCs w:val="22"/>
          <w:lang w:val="lt-LT" w:eastAsia="sl-SI"/>
        </w:rPr>
        <w:t>Rusmenės glikozidai</w:t>
      </w:r>
    </w:p>
    <w:p w14:paraId="4FEB61FD" w14:textId="77777777" w:rsidR="0052346D" w:rsidRDefault="005A1771">
      <w:pPr>
        <w:widowControl w:val="0"/>
        <w:tabs>
          <w:tab w:val="clear" w:pos="567"/>
          <w:tab w:val="left" w:pos="540"/>
        </w:tabs>
        <w:autoSpaceDE w:val="0"/>
        <w:autoSpaceDN w:val="0"/>
        <w:adjustRightInd w:val="0"/>
        <w:spacing w:line="240" w:lineRule="auto"/>
        <w:rPr>
          <w:snapToGrid/>
          <w:color w:val="000000"/>
          <w:szCs w:val="22"/>
          <w:lang w:val="lt-LT" w:eastAsia="sl-SI"/>
        </w:rPr>
      </w:pPr>
      <w:r>
        <w:rPr>
          <w:snapToGrid/>
          <w:color w:val="000000"/>
          <w:szCs w:val="22"/>
          <w:lang w:val="lt-LT" w:eastAsia="sl-SI"/>
        </w:rPr>
        <w:t>Jeigu yra hipokalemija ir (arba) hipomagnezemija, gali pasireikšti toksinis širdį veikiančių glikozidų poveikis.</w:t>
      </w:r>
    </w:p>
    <w:p w14:paraId="141B1A14" w14:textId="77777777" w:rsidR="0052346D" w:rsidRDefault="005A1771">
      <w:pPr>
        <w:widowControl w:val="0"/>
        <w:tabs>
          <w:tab w:val="clear" w:pos="567"/>
          <w:tab w:val="left" w:pos="540"/>
        </w:tabs>
        <w:autoSpaceDE w:val="0"/>
        <w:autoSpaceDN w:val="0"/>
        <w:adjustRightInd w:val="0"/>
        <w:spacing w:line="240" w:lineRule="auto"/>
        <w:rPr>
          <w:snapToGrid/>
          <w:color w:val="000000"/>
          <w:szCs w:val="22"/>
          <w:lang w:val="lt-LT" w:eastAsia="sl-SI"/>
        </w:rPr>
      </w:pPr>
      <w:r>
        <w:rPr>
          <w:snapToGrid/>
          <w:color w:val="000000"/>
          <w:szCs w:val="22"/>
          <w:lang w:val="lt-LT" w:eastAsia="sl-SI"/>
        </w:rPr>
        <w:t>Reikia stebėti kalio ir magnio koncentraciją kraujo plazmoje bei EKG ir, jei reikia, koreguoti gydymą.</w:t>
      </w:r>
    </w:p>
    <w:p w14:paraId="6EC42BB5" w14:textId="77777777" w:rsidR="0052346D" w:rsidRDefault="0052346D">
      <w:pPr>
        <w:widowControl w:val="0"/>
        <w:tabs>
          <w:tab w:val="clear" w:pos="567"/>
          <w:tab w:val="left" w:pos="540"/>
        </w:tabs>
        <w:autoSpaceDE w:val="0"/>
        <w:autoSpaceDN w:val="0"/>
        <w:adjustRightInd w:val="0"/>
        <w:spacing w:line="240" w:lineRule="auto"/>
        <w:rPr>
          <w:i/>
          <w:snapToGrid/>
          <w:szCs w:val="22"/>
          <w:lang w:val="lt-LT" w:eastAsia="sl-SI"/>
        </w:rPr>
      </w:pPr>
    </w:p>
    <w:p w14:paraId="76CDB2AA" w14:textId="77777777" w:rsidR="0052346D" w:rsidRDefault="005A1771">
      <w:pPr>
        <w:widowControl w:val="0"/>
        <w:tabs>
          <w:tab w:val="clear" w:pos="567"/>
        </w:tabs>
        <w:spacing w:line="240" w:lineRule="auto"/>
        <w:rPr>
          <w:snapToGrid/>
          <w:szCs w:val="22"/>
          <w:u w:val="single"/>
          <w:lang w:val="lt-LT" w:eastAsia="sl-SI"/>
        </w:rPr>
      </w:pPr>
      <w:r>
        <w:rPr>
          <w:snapToGrid/>
          <w:szCs w:val="22"/>
          <w:u w:val="single"/>
          <w:lang w:val="lt-LT" w:eastAsia="sl-SI"/>
        </w:rPr>
        <w:t>Deriniai, kuriuos būtina vartoti ypač atsargiai</w:t>
      </w:r>
    </w:p>
    <w:p w14:paraId="4C4C23F6" w14:textId="77777777" w:rsidR="0052346D" w:rsidRDefault="0052346D">
      <w:pPr>
        <w:widowControl w:val="0"/>
        <w:tabs>
          <w:tab w:val="clear" w:pos="567"/>
          <w:tab w:val="left" w:pos="540"/>
        </w:tabs>
        <w:autoSpaceDE w:val="0"/>
        <w:autoSpaceDN w:val="0"/>
        <w:adjustRightInd w:val="0"/>
        <w:spacing w:line="240" w:lineRule="auto"/>
        <w:rPr>
          <w:snapToGrid/>
          <w:szCs w:val="22"/>
          <w:u w:val="single"/>
          <w:lang w:val="lt-LT" w:eastAsia="sl-SI"/>
        </w:rPr>
      </w:pPr>
    </w:p>
    <w:p w14:paraId="200C661E" w14:textId="77777777" w:rsidR="0052346D" w:rsidRDefault="005A1771">
      <w:pPr>
        <w:widowControl w:val="0"/>
        <w:tabs>
          <w:tab w:val="clear" w:pos="567"/>
          <w:tab w:val="left" w:pos="540"/>
        </w:tabs>
        <w:autoSpaceDE w:val="0"/>
        <w:autoSpaceDN w:val="0"/>
        <w:adjustRightInd w:val="0"/>
        <w:spacing w:line="240" w:lineRule="auto"/>
        <w:rPr>
          <w:i/>
          <w:iCs/>
          <w:snapToGrid/>
          <w:szCs w:val="22"/>
          <w:lang w:val="lt-LT" w:eastAsia="sl-SI"/>
        </w:rPr>
      </w:pPr>
      <w:r>
        <w:rPr>
          <w:i/>
          <w:iCs/>
          <w:snapToGrid/>
          <w:szCs w:val="22"/>
          <w:lang w:val="lt-LT" w:eastAsia="sl-SI"/>
        </w:rPr>
        <w:t>Alopurinolis</w:t>
      </w:r>
    </w:p>
    <w:p w14:paraId="16B646E5" w14:textId="77777777" w:rsidR="0052346D" w:rsidRDefault="005A1771">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Kartu vartojant indapamido, gali padidėti padidėjusio jautrumo reakcijų į alopurinolį dažnis.</w:t>
      </w:r>
    </w:p>
    <w:p w14:paraId="69CA894B" w14:textId="77777777" w:rsidR="0052346D" w:rsidRDefault="0052346D">
      <w:pPr>
        <w:widowControl w:val="0"/>
        <w:tabs>
          <w:tab w:val="clear" w:pos="567"/>
        </w:tabs>
        <w:spacing w:line="240" w:lineRule="auto"/>
        <w:rPr>
          <w:snapToGrid/>
          <w:szCs w:val="22"/>
          <w:lang w:val="lt-LT" w:eastAsia="sl-SI"/>
        </w:rPr>
      </w:pPr>
    </w:p>
    <w:p w14:paraId="1A01F4BD" w14:textId="77777777" w:rsidR="0052346D" w:rsidRDefault="005A1771">
      <w:pPr>
        <w:widowControl w:val="0"/>
        <w:tabs>
          <w:tab w:val="clear" w:pos="567"/>
        </w:tabs>
        <w:spacing w:line="240" w:lineRule="auto"/>
        <w:rPr>
          <w:snapToGrid/>
          <w:szCs w:val="22"/>
          <w:u w:val="single"/>
          <w:lang w:val="lt-LT" w:eastAsia="sl-SI"/>
        </w:rPr>
      </w:pPr>
      <w:r>
        <w:rPr>
          <w:snapToGrid/>
          <w:szCs w:val="22"/>
          <w:u w:val="single"/>
          <w:lang w:val="lt-LT" w:eastAsia="sl-SI"/>
        </w:rPr>
        <w:t>Deriniai, į kurių vartojimą reikia atsižvelgti</w:t>
      </w:r>
    </w:p>
    <w:p w14:paraId="5816BF1D" w14:textId="77777777" w:rsidR="0052346D" w:rsidRDefault="0052346D">
      <w:pPr>
        <w:widowControl w:val="0"/>
        <w:tabs>
          <w:tab w:val="clear" w:pos="567"/>
        </w:tabs>
        <w:spacing w:line="240" w:lineRule="auto"/>
        <w:rPr>
          <w:snapToGrid/>
          <w:szCs w:val="22"/>
          <w:lang w:val="lt-LT" w:eastAsia="sl-SI"/>
        </w:rPr>
      </w:pPr>
    </w:p>
    <w:p w14:paraId="7BAEAE2C" w14:textId="77777777" w:rsidR="0052346D" w:rsidRDefault="005A1771">
      <w:pPr>
        <w:tabs>
          <w:tab w:val="clear" w:pos="567"/>
        </w:tabs>
        <w:autoSpaceDE w:val="0"/>
        <w:autoSpaceDN w:val="0"/>
        <w:adjustRightInd w:val="0"/>
        <w:spacing w:line="240" w:lineRule="auto"/>
        <w:rPr>
          <w:i/>
          <w:iCs/>
          <w:snapToGrid/>
          <w:szCs w:val="22"/>
          <w:lang w:val="lt-LT" w:eastAsia="sl-SI"/>
        </w:rPr>
      </w:pPr>
      <w:r>
        <w:rPr>
          <w:i/>
          <w:iCs/>
          <w:snapToGrid/>
          <w:szCs w:val="22"/>
          <w:lang w:val="lt-LT" w:eastAsia="sl-SI"/>
        </w:rPr>
        <w:t>Metforminas</w:t>
      </w:r>
    </w:p>
    <w:p w14:paraId="775CCABD" w14:textId="77777777" w:rsidR="0052346D" w:rsidRDefault="005A1771">
      <w:pPr>
        <w:spacing w:line="240" w:lineRule="auto"/>
        <w:rPr>
          <w:rFonts w:eastAsia="Calibri"/>
          <w:szCs w:val="22"/>
          <w:lang w:val="lt-LT" w:eastAsia="lt-LT"/>
        </w:rPr>
      </w:pPr>
      <w:r>
        <w:rPr>
          <w:rFonts w:eastAsia="Calibri"/>
          <w:szCs w:val="22"/>
          <w:lang w:val="lt-LT" w:eastAsia="lt-LT"/>
        </w:rPr>
        <w:t>Padidėja metformino sukeliamos pieno rūgšties acidozės rizika, susijusi su diuretikų, ypač veikiančių Henlės kilpoje, sukeliamo funkcinio inkstų nepakankamumo galimybe. Jeigu vyrų kraujo plazmoje kreatinino koncentracija yra didesnė negu 15 mg/l (135 </w:t>
      </w:r>
      <w:r>
        <w:rPr>
          <w:rFonts w:eastAsia="Calibri"/>
          <w:szCs w:val="22"/>
          <w:lang w:val="lt-LT" w:eastAsia="lt-LT"/>
        </w:rPr>
        <w:sym w:font="Symbol" w:char="F06D"/>
      </w:r>
      <w:r>
        <w:rPr>
          <w:rFonts w:eastAsia="Calibri"/>
          <w:szCs w:val="22"/>
          <w:lang w:val="lt-LT" w:eastAsia="lt-LT"/>
        </w:rPr>
        <w:t>mol/l), o moterų 12 mg/l (110 </w:t>
      </w:r>
      <w:r>
        <w:rPr>
          <w:rFonts w:eastAsia="Calibri"/>
          <w:szCs w:val="22"/>
          <w:lang w:val="lt-LT" w:eastAsia="lt-LT"/>
        </w:rPr>
        <w:sym w:font="Symbol" w:char="F06D"/>
      </w:r>
      <w:r>
        <w:rPr>
          <w:rFonts w:eastAsia="Calibri"/>
          <w:szCs w:val="22"/>
          <w:lang w:val="lt-LT" w:eastAsia="lt-LT"/>
        </w:rPr>
        <w:t xml:space="preserve">mol/l), metformino vartoti draudžiama. </w:t>
      </w:r>
    </w:p>
    <w:p w14:paraId="3DDA9F22" w14:textId="77777777" w:rsidR="0052346D" w:rsidRDefault="0052346D">
      <w:pPr>
        <w:tabs>
          <w:tab w:val="clear" w:pos="567"/>
        </w:tabs>
        <w:autoSpaceDE w:val="0"/>
        <w:autoSpaceDN w:val="0"/>
        <w:adjustRightInd w:val="0"/>
        <w:spacing w:line="240" w:lineRule="auto"/>
        <w:rPr>
          <w:b/>
          <w:bCs/>
          <w:snapToGrid/>
          <w:color w:val="000000"/>
          <w:szCs w:val="22"/>
          <w:lang w:val="lt-LT" w:eastAsia="sl-SI"/>
        </w:rPr>
      </w:pPr>
    </w:p>
    <w:p w14:paraId="0717B98A" w14:textId="77777777" w:rsidR="0052346D" w:rsidRDefault="005A1771">
      <w:pPr>
        <w:tabs>
          <w:tab w:val="clear" w:pos="567"/>
        </w:tabs>
        <w:autoSpaceDE w:val="0"/>
        <w:autoSpaceDN w:val="0"/>
        <w:adjustRightInd w:val="0"/>
        <w:spacing w:line="240" w:lineRule="auto"/>
        <w:rPr>
          <w:i/>
          <w:iCs/>
          <w:snapToGrid/>
          <w:szCs w:val="22"/>
          <w:lang w:val="lt-LT" w:eastAsia="sl-SI"/>
        </w:rPr>
      </w:pPr>
      <w:r>
        <w:rPr>
          <w:i/>
          <w:iCs/>
          <w:snapToGrid/>
          <w:szCs w:val="22"/>
          <w:lang w:val="lt-LT" w:eastAsia="sl-SI"/>
        </w:rPr>
        <w:t>Kontrastinės medžiagos, kurių sudėtyje yra jodo</w:t>
      </w:r>
    </w:p>
    <w:p w14:paraId="3435A2F9" w14:textId="77777777" w:rsidR="0052346D" w:rsidRDefault="005A1771">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Esant diuretikų sukeltai dehidratacijai, didėja ūminio inkstų nepakankamumo rizika, ypač jei vartojamos didelės dozės kontrastinių vaistinių preparatų, kurių sudėtyje yra jodo. Prieš vaistinių preparatų, kuriuose yra jodo, vartojimą būtina koreguoti normalų skysčių kiekį organizme. </w:t>
      </w:r>
    </w:p>
    <w:p w14:paraId="08B9FB02" w14:textId="77777777" w:rsidR="0052346D" w:rsidRDefault="0052346D">
      <w:pPr>
        <w:tabs>
          <w:tab w:val="clear" w:pos="567"/>
        </w:tabs>
        <w:autoSpaceDE w:val="0"/>
        <w:autoSpaceDN w:val="0"/>
        <w:adjustRightInd w:val="0"/>
        <w:spacing w:line="240" w:lineRule="auto"/>
        <w:rPr>
          <w:snapToGrid/>
          <w:color w:val="000000"/>
          <w:szCs w:val="22"/>
          <w:lang w:val="lt-LT" w:eastAsia="sl-SI"/>
        </w:rPr>
      </w:pPr>
    </w:p>
    <w:p w14:paraId="61DF3951" w14:textId="77777777" w:rsidR="0052346D" w:rsidRDefault="005A1771">
      <w:pPr>
        <w:tabs>
          <w:tab w:val="clear" w:pos="567"/>
        </w:tabs>
        <w:autoSpaceDE w:val="0"/>
        <w:autoSpaceDN w:val="0"/>
        <w:adjustRightInd w:val="0"/>
        <w:spacing w:line="240" w:lineRule="auto"/>
        <w:rPr>
          <w:i/>
          <w:iCs/>
          <w:snapToGrid/>
          <w:szCs w:val="22"/>
          <w:lang w:val="lt-LT" w:eastAsia="sl-SI"/>
        </w:rPr>
      </w:pPr>
      <w:r>
        <w:rPr>
          <w:i/>
          <w:iCs/>
          <w:snapToGrid/>
          <w:szCs w:val="22"/>
          <w:lang w:val="lt-LT" w:eastAsia="sl-SI"/>
        </w:rPr>
        <w:t>Imipramino tipo antidepresantai, neuroleptikai</w:t>
      </w:r>
    </w:p>
    <w:p w14:paraId="4BA6BE1A" w14:textId="77777777" w:rsidR="0052346D" w:rsidRDefault="005A1771">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Stiprėja antihipertenzinis poveikis ir ortostatinės hipotenzijos rizika (pasireiškia suminis poveikis).</w:t>
      </w:r>
    </w:p>
    <w:p w14:paraId="56D7D7F1" w14:textId="77777777" w:rsidR="0052346D" w:rsidRDefault="0052346D">
      <w:pPr>
        <w:tabs>
          <w:tab w:val="clear" w:pos="567"/>
        </w:tabs>
        <w:autoSpaceDE w:val="0"/>
        <w:autoSpaceDN w:val="0"/>
        <w:adjustRightInd w:val="0"/>
        <w:spacing w:line="240" w:lineRule="auto"/>
        <w:rPr>
          <w:snapToGrid/>
          <w:color w:val="000000"/>
          <w:szCs w:val="22"/>
          <w:lang w:val="lt-LT" w:eastAsia="sl-SI"/>
        </w:rPr>
      </w:pPr>
    </w:p>
    <w:p w14:paraId="318412FE" w14:textId="77777777" w:rsidR="0052346D" w:rsidRDefault="005A1771">
      <w:pPr>
        <w:tabs>
          <w:tab w:val="clear" w:pos="567"/>
        </w:tabs>
        <w:autoSpaceDE w:val="0"/>
        <w:autoSpaceDN w:val="0"/>
        <w:adjustRightInd w:val="0"/>
        <w:spacing w:line="240" w:lineRule="auto"/>
        <w:rPr>
          <w:i/>
          <w:iCs/>
          <w:snapToGrid/>
          <w:color w:val="000000"/>
          <w:szCs w:val="22"/>
          <w:lang w:val="lt-LT" w:eastAsia="sl-SI"/>
        </w:rPr>
      </w:pPr>
      <w:r>
        <w:rPr>
          <w:i/>
          <w:iCs/>
          <w:snapToGrid/>
          <w:color w:val="000000"/>
          <w:szCs w:val="22"/>
          <w:lang w:val="lt-LT" w:eastAsia="sl-SI"/>
        </w:rPr>
        <w:t>Kalcis (druskos)</w:t>
      </w:r>
    </w:p>
    <w:p w14:paraId="32D956F7" w14:textId="77777777" w:rsidR="0052346D" w:rsidRDefault="005A1771">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Galima hiperkalcemijos pasireiškimo rizika dėl sumažėjusio kalcio išsiskyrimo su šlapimu.</w:t>
      </w:r>
    </w:p>
    <w:p w14:paraId="56EA2084" w14:textId="77777777" w:rsidR="0052346D" w:rsidRDefault="0052346D">
      <w:pPr>
        <w:tabs>
          <w:tab w:val="clear" w:pos="567"/>
        </w:tabs>
        <w:autoSpaceDE w:val="0"/>
        <w:autoSpaceDN w:val="0"/>
        <w:adjustRightInd w:val="0"/>
        <w:spacing w:line="240" w:lineRule="auto"/>
        <w:rPr>
          <w:snapToGrid/>
          <w:color w:val="000000"/>
          <w:szCs w:val="22"/>
          <w:lang w:val="lt-LT" w:eastAsia="sl-SI"/>
        </w:rPr>
      </w:pPr>
    </w:p>
    <w:p w14:paraId="6EEE392C" w14:textId="77777777" w:rsidR="0052346D" w:rsidRDefault="005A1771">
      <w:pPr>
        <w:tabs>
          <w:tab w:val="clear" w:pos="567"/>
        </w:tabs>
        <w:autoSpaceDE w:val="0"/>
        <w:autoSpaceDN w:val="0"/>
        <w:adjustRightInd w:val="0"/>
        <w:spacing w:line="240" w:lineRule="auto"/>
        <w:rPr>
          <w:i/>
          <w:iCs/>
          <w:snapToGrid/>
          <w:szCs w:val="22"/>
          <w:lang w:val="lt-LT" w:eastAsia="sl-SI"/>
        </w:rPr>
      </w:pPr>
      <w:r>
        <w:rPr>
          <w:i/>
          <w:iCs/>
          <w:snapToGrid/>
          <w:szCs w:val="22"/>
          <w:lang w:val="lt-LT" w:eastAsia="sl-SI"/>
        </w:rPr>
        <w:t>Ciklosporinas, takrolimuzas</w:t>
      </w:r>
    </w:p>
    <w:p w14:paraId="4414494A" w14:textId="77777777" w:rsidR="0052346D" w:rsidRDefault="005A1771">
      <w:pPr>
        <w:widowControl w:val="0"/>
        <w:tabs>
          <w:tab w:val="clear" w:pos="567"/>
          <w:tab w:val="left" w:pos="540"/>
        </w:tabs>
        <w:autoSpaceDE w:val="0"/>
        <w:autoSpaceDN w:val="0"/>
        <w:adjustRightInd w:val="0"/>
        <w:spacing w:line="240" w:lineRule="auto"/>
        <w:rPr>
          <w:b/>
          <w:bCs/>
          <w:snapToGrid/>
          <w:szCs w:val="22"/>
          <w:lang w:val="lt-LT" w:eastAsia="sl-SI"/>
        </w:rPr>
      </w:pPr>
      <w:r>
        <w:rPr>
          <w:snapToGrid/>
          <w:szCs w:val="22"/>
          <w:lang w:val="lt-LT" w:eastAsia="sl-SI"/>
        </w:rPr>
        <w:t>Kyla kreatinino koncentracijos kraujo plazmoje padidėjimo rizika nekintant ciklosporino koncentracijai kraujyje net ir tuo atveju, jei natrio/vandens organizme netrūksta.</w:t>
      </w:r>
    </w:p>
    <w:p w14:paraId="594C82E8" w14:textId="77777777" w:rsidR="0052346D" w:rsidRDefault="0052346D">
      <w:pPr>
        <w:widowControl w:val="0"/>
        <w:tabs>
          <w:tab w:val="clear" w:pos="567"/>
          <w:tab w:val="left" w:pos="540"/>
        </w:tabs>
        <w:autoSpaceDE w:val="0"/>
        <w:autoSpaceDN w:val="0"/>
        <w:adjustRightInd w:val="0"/>
        <w:spacing w:line="240" w:lineRule="auto"/>
        <w:rPr>
          <w:snapToGrid/>
          <w:szCs w:val="22"/>
          <w:lang w:val="lt-LT" w:eastAsia="sl-SI"/>
        </w:rPr>
      </w:pPr>
    </w:p>
    <w:p w14:paraId="6746F51E" w14:textId="77777777" w:rsidR="0052346D" w:rsidRDefault="005A1771">
      <w:pPr>
        <w:tabs>
          <w:tab w:val="clear" w:pos="567"/>
        </w:tabs>
        <w:autoSpaceDE w:val="0"/>
        <w:autoSpaceDN w:val="0"/>
        <w:adjustRightInd w:val="0"/>
        <w:spacing w:line="240" w:lineRule="auto"/>
        <w:rPr>
          <w:i/>
          <w:iCs/>
          <w:snapToGrid/>
          <w:szCs w:val="22"/>
          <w:lang w:val="lt-LT" w:eastAsia="sl-SI"/>
        </w:rPr>
      </w:pPr>
      <w:r>
        <w:rPr>
          <w:i/>
          <w:iCs/>
          <w:snapToGrid/>
          <w:szCs w:val="22"/>
          <w:lang w:val="lt-LT" w:eastAsia="sl-SI"/>
        </w:rPr>
        <w:t>Kortikosteroidai, tetrakozaktidas (sisteminio poveikio)</w:t>
      </w:r>
    </w:p>
    <w:p w14:paraId="28365CE3" w14:textId="77777777" w:rsidR="0052346D" w:rsidRDefault="005A1771">
      <w:pPr>
        <w:widowControl w:val="0"/>
        <w:spacing w:line="240" w:lineRule="auto"/>
        <w:rPr>
          <w:snapToGrid/>
          <w:szCs w:val="22"/>
          <w:lang w:val="lt-LT" w:eastAsia="sl-SI"/>
        </w:rPr>
      </w:pPr>
      <w:r>
        <w:rPr>
          <w:snapToGrid/>
          <w:szCs w:val="22"/>
          <w:lang w:val="lt-LT" w:eastAsia="sl-SI"/>
        </w:rPr>
        <w:t>Gali susilpnėti antihipertenzinis poveikis (kortikosteroidai sukelia vandens ir natrio susilaikymą).</w:t>
      </w:r>
    </w:p>
    <w:p w14:paraId="489633E6" w14:textId="77777777" w:rsidR="0052346D" w:rsidRDefault="0052346D">
      <w:pPr>
        <w:widowControl w:val="0"/>
        <w:tabs>
          <w:tab w:val="clear" w:pos="567"/>
        </w:tabs>
        <w:autoSpaceDE w:val="0"/>
        <w:autoSpaceDN w:val="0"/>
        <w:adjustRightInd w:val="0"/>
        <w:spacing w:line="240" w:lineRule="auto"/>
        <w:rPr>
          <w:rFonts w:eastAsia="TimesNewRoman"/>
          <w:snapToGrid/>
          <w:szCs w:val="22"/>
          <w:lang w:val="lt-LT"/>
        </w:rPr>
      </w:pPr>
    </w:p>
    <w:p w14:paraId="4551EAAD" w14:textId="77777777" w:rsidR="0052346D" w:rsidRDefault="005A1771">
      <w:pPr>
        <w:widowControl w:val="0"/>
        <w:spacing w:line="240" w:lineRule="auto"/>
        <w:ind w:left="567" w:hanging="567"/>
        <w:outlineLvl w:val="2"/>
        <w:rPr>
          <w:b/>
          <w:snapToGrid/>
          <w:szCs w:val="22"/>
          <w:lang w:val="lt-LT"/>
        </w:rPr>
      </w:pPr>
      <w:r>
        <w:rPr>
          <w:b/>
          <w:snapToGrid/>
          <w:kern w:val="28"/>
          <w:szCs w:val="22"/>
          <w:lang w:val="lt-LT"/>
        </w:rPr>
        <w:t>4.6</w:t>
      </w:r>
      <w:r>
        <w:rPr>
          <w:b/>
          <w:snapToGrid/>
          <w:kern w:val="28"/>
          <w:szCs w:val="22"/>
          <w:lang w:val="lt-LT"/>
        </w:rPr>
        <w:tab/>
        <w:t>Vaisingumas, nėštumo ir žindymo laikotarpis</w:t>
      </w:r>
    </w:p>
    <w:p w14:paraId="72A4CCCE" w14:textId="77777777" w:rsidR="0052346D" w:rsidRDefault="0052346D">
      <w:pPr>
        <w:widowControl w:val="0"/>
        <w:tabs>
          <w:tab w:val="clear" w:pos="567"/>
        </w:tabs>
        <w:spacing w:line="240" w:lineRule="auto"/>
        <w:rPr>
          <w:iCs/>
          <w:snapToGrid/>
          <w:szCs w:val="22"/>
          <w:lang w:val="lt-LT"/>
        </w:rPr>
      </w:pPr>
    </w:p>
    <w:p w14:paraId="3751F27F" w14:textId="77777777" w:rsidR="0052346D" w:rsidRDefault="005A1771">
      <w:pPr>
        <w:widowControl w:val="0"/>
        <w:tabs>
          <w:tab w:val="clear" w:pos="567"/>
        </w:tabs>
        <w:spacing w:line="240" w:lineRule="auto"/>
        <w:rPr>
          <w:iCs/>
          <w:snapToGrid/>
          <w:szCs w:val="22"/>
          <w:lang w:val="lt-LT"/>
        </w:rPr>
      </w:pPr>
      <w:r>
        <w:rPr>
          <w:iCs/>
          <w:snapToGrid/>
          <w:szCs w:val="22"/>
          <w:lang w:val="lt-LT"/>
        </w:rPr>
        <w:t xml:space="preserve">Kanpiduo pirmuoju nėštumo trimestru vartoti nerekomenduojama, o antruoju ir trečiuoju nėštumo trimestrais </w:t>
      </w:r>
      <w:r>
        <w:rPr>
          <w:snapToGrid/>
          <w:szCs w:val="22"/>
          <w:lang w:val="lt-LT"/>
        </w:rPr>
        <w:t xml:space="preserve">– draudžiama. </w:t>
      </w:r>
      <w:r>
        <w:rPr>
          <w:iCs/>
          <w:snapToGrid/>
          <w:szCs w:val="22"/>
          <w:lang w:val="lt-LT"/>
        </w:rPr>
        <w:t>Kanpiduo žindymo laikotarpiu vartoti nerekomenduojama.</w:t>
      </w:r>
    </w:p>
    <w:p w14:paraId="5DD0CF1F" w14:textId="77777777" w:rsidR="0052346D" w:rsidRDefault="0052346D">
      <w:pPr>
        <w:widowControl w:val="0"/>
        <w:tabs>
          <w:tab w:val="clear" w:pos="567"/>
        </w:tabs>
        <w:spacing w:line="240" w:lineRule="auto"/>
        <w:rPr>
          <w:iCs/>
          <w:snapToGrid/>
          <w:szCs w:val="22"/>
          <w:lang w:val="lt-LT"/>
        </w:rPr>
      </w:pPr>
    </w:p>
    <w:p w14:paraId="2EA6C210" w14:textId="77777777" w:rsidR="0052346D" w:rsidRDefault="005A1771">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Nėštumas</w:t>
      </w:r>
    </w:p>
    <w:p w14:paraId="4E6FA592" w14:textId="77777777" w:rsidR="0052346D" w:rsidRDefault="0052346D">
      <w:pPr>
        <w:widowControl w:val="0"/>
        <w:tabs>
          <w:tab w:val="clear" w:pos="567"/>
          <w:tab w:val="left" w:pos="540"/>
        </w:tabs>
        <w:autoSpaceDE w:val="0"/>
        <w:autoSpaceDN w:val="0"/>
        <w:adjustRightInd w:val="0"/>
        <w:spacing w:line="240" w:lineRule="auto"/>
        <w:rPr>
          <w:snapToGrid/>
          <w:szCs w:val="22"/>
          <w:u w:val="single"/>
          <w:lang w:val="lt-LT" w:eastAsia="sl-SI"/>
        </w:rPr>
      </w:pPr>
    </w:p>
    <w:p w14:paraId="2C2FB000" w14:textId="77777777" w:rsidR="0052346D" w:rsidRDefault="005A1771">
      <w:pPr>
        <w:pBdr>
          <w:top w:val="single" w:sz="4" w:space="1" w:color="auto"/>
          <w:left w:val="single" w:sz="4" w:space="4" w:color="auto"/>
          <w:bottom w:val="single" w:sz="4" w:space="1" w:color="auto"/>
          <w:right w:val="single" w:sz="4" w:space="4" w:color="auto"/>
        </w:pBdr>
        <w:snapToGrid w:val="0"/>
        <w:spacing w:line="240" w:lineRule="auto"/>
        <w:rPr>
          <w:rFonts w:eastAsia="Calibri"/>
          <w:snapToGrid/>
          <w:szCs w:val="22"/>
          <w:lang w:val="lt-LT"/>
        </w:rPr>
      </w:pPr>
      <w:r>
        <w:rPr>
          <w:rFonts w:eastAsia="Calibri"/>
          <w:snapToGrid/>
          <w:szCs w:val="22"/>
          <w:lang w:val="lt-LT"/>
        </w:rPr>
        <w:t>Pirmuoju nėštumo trimestru ARB vartoti nerekomenduojama (žr. 4.4 skyrių). Antruoju ir trečiuoju nėštumo trimestrais ARB vartoti draudžiama (žr. 4.3 ir 4.4 skyrius).</w:t>
      </w:r>
    </w:p>
    <w:p w14:paraId="3C7FC14C" w14:textId="77777777" w:rsidR="0052346D" w:rsidRDefault="0052346D">
      <w:pPr>
        <w:widowControl w:val="0"/>
        <w:tabs>
          <w:tab w:val="clear" w:pos="567"/>
          <w:tab w:val="left" w:pos="540"/>
        </w:tabs>
        <w:autoSpaceDE w:val="0"/>
        <w:autoSpaceDN w:val="0"/>
        <w:adjustRightInd w:val="0"/>
        <w:spacing w:line="240" w:lineRule="auto"/>
        <w:rPr>
          <w:snapToGrid/>
          <w:szCs w:val="22"/>
          <w:lang w:val="lt-LT" w:eastAsia="sl-SI"/>
        </w:rPr>
      </w:pPr>
    </w:p>
    <w:p w14:paraId="0C275D86" w14:textId="77777777" w:rsidR="0052346D" w:rsidRDefault="005A1771">
      <w:pPr>
        <w:widowControl w:val="0"/>
        <w:tabs>
          <w:tab w:val="clear" w:pos="567"/>
          <w:tab w:val="left" w:pos="540"/>
        </w:tabs>
        <w:autoSpaceDE w:val="0"/>
        <w:autoSpaceDN w:val="0"/>
        <w:adjustRightInd w:val="0"/>
        <w:spacing w:line="240" w:lineRule="auto"/>
        <w:rPr>
          <w:snapToGrid/>
          <w:szCs w:val="22"/>
          <w:lang w:val="lt-LT" w:eastAsia="sl-SI"/>
        </w:rPr>
      </w:pPr>
      <w:r>
        <w:rPr>
          <w:szCs w:val="22"/>
          <w:lang w:val="lt-LT" w:eastAsia="sl-SI"/>
        </w:rPr>
        <w:t>Epidemiologinių tyrimų duomenys dėl pirmuoju nėštumo trimestru vartojamų AKF inhibitorių teratogeninio poveikio rizikos nėra galutiniai, tačiau nedidelio rizikos padidėjimo atmesti negalima. Nors kontroliuotų epidemiologinių tyrimų duomenų apie ARB keliamą riziką nėra, ji gali būti panaši, kaip ir gydymo kitais šios klasės vaistiniais preparatais metu. Išskyrus atvejus, kai tolesnis gydymas ARB yra būtinas, pastoti planuojančioms pacientėms juos reikia keisti kitokiais antihipertenziniais vaistiniais preparatais, kurių vartojimo saugumas nėštumo metu ištirtas. Nustačius nėštumą, ARB vartojimą būtina nedelsiant nutraukti ir, jei reikia, skirti kitokį tinkamą gydymą.</w:t>
      </w:r>
    </w:p>
    <w:p w14:paraId="5D3B9A25" w14:textId="77777777" w:rsidR="0052346D" w:rsidRDefault="0052346D">
      <w:pPr>
        <w:widowControl w:val="0"/>
        <w:tabs>
          <w:tab w:val="clear" w:pos="567"/>
          <w:tab w:val="left" w:pos="540"/>
        </w:tabs>
        <w:autoSpaceDE w:val="0"/>
        <w:autoSpaceDN w:val="0"/>
        <w:adjustRightInd w:val="0"/>
        <w:spacing w:line="240" w:lineRule="auto"/>
        <w:rPr>
          <w:snapToGrid/>
          <w:szCs w:val="22"/>
          <w:lang w:val="lt-LT" w:eastAsia="sl-SI"/>
        </w:rPr>
      </w:pPr>
    </w:p>
    <w:p w14:paraId="52956DAF" w14:textId="77777777" w:rsidR="0052346D" w:rsidRDefault="005A1771">
      <w:pPr>
        <w:widowControl w:val="0"/>
        <w:tabs>
          <w:tab w:val="clear" w:pos="567"/>
          <w:tab w:val="left" w:pos="540"/>
        </w:tabs>
        <w:autoSpaceDE w:val="0"/>
        <w:autoSpaceDN w:val="0"/>
        <w:adjustRightInd w:val="0"/>
        <w:spacing w:line="240" w:lineRule="auto"/>
        <w:rPr>
          <w:szCs w:val="22"/>
          <w:lang w:val="lt-LT" w:eastAsia="sl-SI"/>
        </w:rPr>
      </w:pPr>
      <w:r>
        <w:rPr>
          <w:szCs w:val="22"/>
          <w:lang w:val="lt-LT" w:eastAsia="sl-SI"/>
        </w:rPr>
        <w:t xml:space="preserve">Žinoma, kad antruoju arba trečiuoju nėštumo trimestrais vartojami ARB sukelia toksinį poveikį </w:t>
      </w:r>
      <w:r>
        <w:rPr>
          <w:szCs w:val="22"/>
          <w:lang w:val="lt-LT" w:eastAsia="sl-SI"/>
        </w:rPr>
        <w:lastRenderedPageBreak/>
        <w:t>žmogaus vaisiui (inkstų funkcijos susilpnėjimą, oligohidramnioną, kaukolės kaulėjimo sulėtėjimą) ir naujagimiui (inkstų nepakankamumą, hipotenziją, hiperkalemiją) (žr. 5.3 skyrių).</w:t>
      </w:r>
    </w:p>
    <w:p w14:paraId="499DB029" w14:textId="77777777" w:rsidR="0052346D" w:rsidRDefault="005A1771">
      <w:pPr>
        <w:widowControl w:val="0"/>
        <w:tabs>
          <w:tab w:val="clear" w:pos="567"/>
          <w:tab w:val="left" w:pos="540"/>
        </w:tabs>
        <w:autoSpaceDE w:val="0"/>
        <w:autoSpaceDN w:val="0"/>
        <w:adjustRightInd w:val="0"/>
        <w:spacing w:line="240" w:lineRule="auto"/>
        <w:rPr>
          <w:snapToGrid/>
          <w:szCs w:val="22"/>
          <w:lang w:val="lt-LT" w:eastAsia="sl-SI"/>
        </w:rPr>
      </w:pPr>
      <w:r>
        <w:rPr>
          <w:szCs w:val="22"/>
          <w:lang w:val="lt-LT" w:eastAsia="sl-SI"/>
        </w:rPr>
        <w:t>Jeigu moteris antruoju arba trečiuoju nėštumo trimestru vartojo ARB, rekomenduojama ultragarsu stebėti jos vaisiaus inkstų funkciją ir kaukolę.</w:t>
      </w:r>
    </w:p>
    <w:p w14:paraId="417BE9B7" w14:textId="77777777" w:rsidR="0052346D" w:rsidRDefault="005A1771">
      <w:pPr>
        <w:tabs>
          <w:tab w:val="clear" w:pos="567"/>
        </w:tabs>
        <w:autoSpaceDE w:val="0"/>
        <w:autoSpaceDN w:val="0"/>
        <w:adjustRightInd w:val="0"/>
        <w:spacing w:line="240" w:lineRule="auto"/>
        <w:rPr>
          <w:snapToGrid/>
          <w:szCs w:val="22"/>
          <w:lang w:val="lt-LT" w:eastAsia="sl-SI"/>
        </w:rPr>
      </w:pPr>
      <w:r>
        <w:rPr>
          <w:snapToGrid/>
          <w:szCs w:val="22"/>
          <w:lang w:val="lt-LT" w:eastAsia="sl-SI"/>
        </w:rPr>
        <w:t>Reikia atidžiai stebėti, ar kūdikiams, kurių motinos nėštumo metu vartojo ARB, nepasireiškia hipotenzija (žr. 4.3 ir 4.4 skyrius).</w:t>
      </w:r>
    </w:p>
    <w:p w14:paraId="49C1DCA2" w14:textId="77777777" w:rsidR="0052346D" w:rsidRDefault="0052346D">
      <w:pPr>
        <w:widowControl w:val="0"/>
        <w:tabs>
          <w:tab w:val="clear" w:pos="567"/>
          <w:tab w:val="left" w:pos="540"/>
        </w:tabs>
        <w:autoSpaceDE w:val="0"/>
        <w:autoSpaceDN w:val="0"/>
        <w:adjustRightInd w:val="0"/>
        <w:spacing w:line="240" w:lineRule="auto"/>
        <w:rPr>
          <w:snapToGrid/>
          <w:szCs w:val="22"/>
          <w:lang w:val="lt-LT" w:eastAsia="sl-SI"/>
        </w:rPr>
      </w:pPr>
    </w:p>
    <w:p w14:paraId="2D3A13CF" w14:textId="77777777" w:rsidR="0052346D" w:rsidRDefault="005A1771">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Duomenų apie indapamido vartojimą nėštumo metu nėra arba jų yra nedaug (duomenų yra mažiau kaip apie 300 nėštumų baigčių). Ilgalaikė tiazidinio diuretiko ekspozicija trečiajame nėštumo trimestre gali sumažinti motinos kraujo plazmos tūrį ir gimdos-placentos kraujotaką, todėl gali pasireikšti vaisiaus-placentos išemija ir augimo sulėtėjimas.</w:t>
      </w:r>
    </w:p>
    <w:p w14:paraId="2816C7B0" w14:textId="77777777" w:rsidR="0052346D" w:rsidRDefault="005A1771">
      <w:pPr>
        <w:tabs>
          <w:tab w:val="clear" w:pos="567"/>
        </w:tabs>
        <w:autoSpaceDE w:val="0"/>
        <w:autoSpaceDN w:val="0"/>
        <w:adjustRightInd w:val="0"/>
        <w:spacing w:line="240" w:lineRule="auto"/>
        <w:rPr>
          <w:snapToGrid/>
          <w:color w:val="000000"/>
          <w:szCs w:val="22"/>
          <w:lang w:val="lt-LT" w:eastAsia="sl-SI"/>
        </w:rPr>
      </w:pPr>
      <w:r>
        <w:rPr>
          <w:rFonts w:eastAsia="SimSun"/>
          <w:snapToGrid/>
          <w:szCs w:val="22"/>
          <w:lang w:val="lt-LT" w:eastAsia="zh-CN"/>
        </w:rPr>
        <w:t>Tyrimai su gyvūnais tiesioginio ar netiesioginio kenksmingo toksinio indapamido poveikio reprodukcijai neparodė (žr. 5.3 skyrių)</w:t>
      </w:r>
      <w:r>
        <w:rPr>
          <w:snapToGrid/>
          <w:color w:val="000000"/>
          <w:szCs w:val="22"/>
          <w:lang w:val="lt-LT" w:eastAsia="sl-SI"/>
        </w:rPr>
        <w:t>.</w:t>
      </w:r>
    </w:p>
    <w:p w14:paraId="0CF77C77" w14:textId="77777777" w:rsidR="0052346D" w:rsidRDefault="005A1771">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Dėl atsargumo nėštumo metu indapamido geriau nevartoti.</w:t>
      </w:r>
    </w:p>
    <w:p w14:paraId="0D6E8653" w14:textId="77777777" w:rsidR="0052346D" w:rsidRDefault="0052346D">
      <w:pPr>
        <w:widowControl w:val="0"/>
        <w:tabs>
          <w:tab w:val="clear" w:pos="567"/>
          <w:tab w:val="left" w:pos="540"/>
        </w:tabs>
        <w:autoSpaceDE w:val="0"/>
        <w:autoSpaceDN w:val="0"/>
        <w:adjustRightInd w:val="0"/>
        <w:spacing w:line="240" w:lineRule="auto"/>
        <w:rPr>
          <w:snapToGrid/>
          <w:szCs w:val="22"/>
          <w:lang w:val="lt-LT" w:eastAsia="sl-SI"/>
        </w:rPr>
      </w:pPr>
    </w:p>
    <w:p w14:paraId="6423CE41" w14:textId="77777777" w:rsidR="0052346D" w:rsidRDefault="005A1771">
      <w:pPr>
        <w:widowControl w:val="0"/>
        <w:tabs>
          <w:tab w:val="clear" w:pos="567"/>
          <w:tab w:val="left" w:pos="540"/>
        </w:tabs>
        <w:autoSpaceDE w:val="0"/>
        <w:autoSpaceDN w:val="0"/>
        <w:adjustRightInd w:val="0"/>
        <w:spacing w:line="240" w:lineRule="auto"/>
        <w:rPr>
          <w:snapToGrid/>
          <w:szCs w:val="22"/>
          <w:u w:val="single"/>
          <w:lang w:val="lt-LT" w:eastAsia="sl-SI"/>
        </w:rPr>
      </w:pPr>
      <w:r>
        <w:rPr>
          <w:snapToGrid/>
          <w:szCs w:val="22"/>
          <w:u w:val="single"/>
          <w:lang w:val="lt-LT" w:eastAsia="sl-SI"/>
        </w:rPr>
        <w:t>Žindymas</w:t>
      </w:r>
    </w:p>
    <w:p w14:paraId="4CAC84FB" w14:textId="77777777" w:rsidR="0052346D" w:rsidRDefault="005A1771">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Informacijos apie kandesartano vartojimą žindymo laikotarpiu nėra, todėl kandesartano vartoti nerekomenduojama ir žindymo laikotarpiu rekomenduojama vartoti alternatyvių vaistinių preparatų, kurių vartojimo žindymo laikotarpiu saugumas yra geriau ištirtas, ypač jei krūtimi maitinamas naujagimis ar neišnešiotas kūdikis.</w:t>
      </w:r>
    </w:p>
    <w:p w14:paraId="11766435" w14:textId="77777777" w:rsidR="0052346D" w:rsidRDefault="0052346D">
      <w:pPr>
        <w:tabs>
          <w:tab w:val="clear" w:pos="567"/>
        </w:tabs>
        <w:autoSpaceDE w:val="0"/>
        <w:autoSpaceDN w:val="0"/>
        <w:adjustRightInd w:val="0"/>
        <w:spacing w:line="240" w:lineRule="auto"/>
        <w:rPr>
          <w:snapToGrid/>
          <w:color w:val="000000"/>
          <w:szCs w:val="22"/>
          <w:lang w:val="lt-LT" w:eastAsia="sl-SI"/>
        </w:rPr>
      </w:pPr>
    </w:p>
    <w:p w14:paraId="05EF02A0" w14:textId="77777777" w:rsidR="0052346D" w:rsidRDefault="005A1771">
      <w:pPr>
        <w:tabs>
          <w:tab w:val="clear" w:pos="567"/>
          <w:tab w:val="left" w:pos="1296"/>
        </w:tabs>
        <w:snapToGrid w:val="0"/>
        <w:spacing w:line="240" w:lineRule="auto"/>
        <w:rPr>
          <w:rFonts w:eastAsia="SimSun"/>
          <w:snapToGrid/>
          <w:color w:val="000000"/>
          <w:szCs w:val="22"/>
          <w:lang w:val="lt-LT"/>
        </w:rPr>
      </w:pPr>
      <w:r>
        <w:rPr>
          <w:rFonts w:eastAsia="SimSun"/>
          <w:snapToGrid/>
          <w:color w:val="000000"/>
          <w:szCs w:val="22"/>
          <w:lang w:val="lt-LT" w:eastAsia="zh-CN"/>
        </w:rPr>
        <w:t>Informacijos apie indapamido/metabolitų</w:t>
      </w:r>
      <w:r>
        <w:rPr>
          <w:rFonts w:eastAsia="SimSun"/>
          <w:snapToGrid/>
          <w:color w:val="000000"/>
          <w:szCs w:val="22"/>
          <w:lang w:val="lt-LT"/>
        </w:rPr>
        <w:t xml:space="preserve"> išsiskyrimą į gydytų moterų pieną nepakanka. </w:t>
      </w:r>
      <w:r>
        <w:rPr>
          <w:rFonts w:eastAsia="Calibri"/>
          <w:snapToGrid/>
          <w:szCs w:val="22"/>
          <w:lang w:val="lt-LT"/>
        </w:rPr>
        <w:t xml:space="preserve">Gali pasireikšti padidėjęs jautrumas sulfonamidų grupės vaistiniams preparatams ir hipokalemija. </w:t>
      </w:r>
      <w:r>
        <w:rPr>
          <w:rFonts w:eastAsia="SimSun"/>
          <w:snapToGrid/>
          <w:color w:val="000000"/>
          <w:szCs w:val="22"/>
          <w:lang w:val="lt-LT" w:eastAsia="zh-CN"/>
        </w:rPr>
        <w:t xml:space="preserve">Pavojaus žindomiems naujagimiams </w:t>
      </w:r>
      <w:r>
        <w:rPr>
          <w:rFonts w:eastAsia="SimSun"/>
          <w:snapToGrid/>
          <w:szCs w:val="22"/>
          <w:lang w:val="lt-LT" w:eastAsia="zh-CN"/>
        </w:rPr>
        <w:t>ar</w:t>
      </w:r>
      <w:r>
        <w:rPr>
          <w:rFonts w:eastAsia="SimSun"/>
          <w:i/>
          <w:iCs/>
          <w:snapToGrid/>
          <w:color w:val="000000"/>
          <w:szCs w:val="22"/>
          <w:lang w:val="lt-LT" w:eastAsia="zh-CN"/>
        </w:rPr>
        <w:t xml:space="preserve"> </w:t>
      </w:r>
      <w:r>
        <w:rPr>
          <w:rFonts w:eastAsia="SimSun"/>
          <w:snapToGrid/>
          <w:color w:val="000000"/>
          <w:szCs w:val="22"/>
          <w:lang w:val="lt-LT" w:eastAsia="zh-CN"/>
        </w:rPr>
        <w:t>kūdikiams negalima atmesti.</w:t>
      </w:r>
    </w:p>
    <w:p w14:paraId="3D445E89" w14:textId="77777777" w:rsidR="0052346D" w:rsidRDefault="005A1771">
      <w:pPr>
        <w:tabs>
          <w:tab w:val="clear" w:pos="567"/>
          <w:tab w:val="left" w:pos="1296"/>
        </w:tabs>
        <w:snapToGrid w:val="0"/>
        <w:spacing w:line="240" w:lineRule="auto"/>
        <w:rPr>
          <w:rFonts w:eastAsia="Calibri"/>
          <w:snapToGrid/>
          <w:szCs w:val="22"/>
          <w:lang w:val="lt-LT"/>
        </w:rPr>
      </w:pPr>
      <w:r>
        <w:rPr>
          <w:rFonts w:eastAsia="Calibri"/>
          <w:snapToGrid/>
          <w:szCs w:val="22"/>
          <w:lang w:val="lt-LT"/>
        </w:rPr>
        <w:t>Indapamidas yra labai panašus į tiazidinius diuretikus, kurių vartojimas žindymo laikotarpiu yra siejamas su laktacijos sumažėjimu ar net slopinimu.</w:t>
      </w:r>
    </w:p>
    <w:p w14:paraId="02EB8045" w14:textId="77777777" w:rsidR="0052346D" w:rsidRDefault="005A1771">
      <w:pPr>
        <w:widowControl w:val="0"/>
        <w:tabs>
          <w:tab w:val="clear" w:pos="567"/>
        </w:tabs>
        <w:autoSpaceDE w:val="0"/>
        <w:autoSpaceDN w:val="0"/>
        <w:adjustRightInd w:val="0"/>
        <w:spacing w:line="240" w:lineRule="auto"/>
        <w:rPr>
          <w:snapToGrid/>
          <w:szCs w:val="22"/>
          <w:lang w:val="lt-LT" w:eastAsia="sl-SI"/>
        </w:rPr>
      </w:pPr>
      <w:r>
        <w:rPr>
          <w:snapToGrid/>
          <w:color w:val="000000"/>
          <w:szCs w:val="22"/>
          <w:lang w:val="lt-LT" w:eastAsia="sl-SI"/>
        </w:rPr>
        <w:t>Žindymo laikotarpiu indapamido vartoti nerekomenduojama</w:t>
      </w:r>
      <w:r>
        <w:rPr>
          <w:snapToGrid/>
          <w:szCs w:val="22"/>
          <w:lang w:val="lt-LT" w:eastAsia="sl-SI"/>
        </w:rPr>
        <w:t>.</w:t>
      </w:r>
    </w:p>
    <w:p w14:paraId="1FA48A05" w14:textId="77777777" w:rsidR="0052346D" w:rsidRDefault="0052346D">
      <w:pPr>
        <w:widowControl w:val="0"/>
        <w:tabs>
          <w:tab w:val="clear" w:pos="567"/>
        </w:tabs>
        <w:spacing w:line="240" w:lineRule="auto"/>
        <w:rPr>
          <w:snapToGrid/>
          <w:szCs w:val="22"/>
          <w:u w:val="single"/>
          <w:lang w:val="lt-LT" w:eastAsia="sl-SI"/>
        </w:rPr>
      </w:pPr>
    </w:p>
    <w:p w14:paraId="064FA914" w14:textId="77777777" w:rsidR="0052346D" w:rsidRDefault="005A1771">
      <w:pPr>
        <w:widowControl w:val="0"/>
        <w:tabs>
          <w:tab w:val="clear" w:pos="567"/>
        </w:tabs>
        <w:spacing w:line="240" w:lineRule="auto"/>
        <w:rPr>
          <w:snapToGrid/>
          <w:szCs w:val="22"/>
          <w:u w:val="single"/>
          <w:lang w:val="lt-LT" w:eastAsia="sl-SI"/>
        </w:rPr>
      </w:pPr>
      <w:r>
        <w:rPr>
          <w:snapToGrid/>
          <w:szCs w:val="22"/>
          <w:u w:val="single"/>
          <w:lang w:val="lt-LT" w:eastAsia="sl-SI"/>
        </w:rPr>
        <w:t>Vaisingumas</w:t>
      </w:r>
    </w:p>
    <w:p w14:paraId="391624C8" w14:textId="77777777" w:rsidR="0052346D" w:rsidRDefault="005A1771">
      <w:pPr>
        <w:widowControl w:val="0"/>
        <w:spacing w:line="240" w:lineRule="auto"/>
        <w:rPr>
          <w:snapToGrid/>
          <w:szCs w:val="22"/>
          <w:lang w:val="lt-LT" w:eastAsia="sl-SI"/>
        </w:rPr>
      </w:pPr>
      <w:r>
        <w:rPr>
          <w:snapToGrid/>
          <w:szCs w:val="22"/>
          <w:lang w:val="lt-LT" w:eastAsia="sl-SI"/>
        </w:rPr>
        <w:t>Toksinio poveikio reprodukcijai tyrimai poveikio žiurkių patelių ar patinų vislumui neparodė (žr. 5.3 skyrių). Poveikio žmogaus vaisingumui nesitikima.</w:t>
      </w:r>
    </w:p>
    <w:p w14:paraId="218DCF32" w14:textId="77777777" w:rsidR="0052346D" w:rsidRDefault="0052346D">
      <w:pPr>
        <w:widowControl w:val="0"/>
        <w:tabs>
          <w:tab w:val="clear" w:pos="567"/>
        </w:tabs>
        <w:spacing w:line="240" w:lineRule="auto"/>
        <w:ind w:left="567" w:hanging="567"/>
        <w:rPr>
          <w:snapToGrid/>
          <w:szCs w:val="22"/>
          <w:lang w:val="lt-LT"/>
        </w:rPr>
      </w:pPr>
    </w:p>
    <w:p w14:paraId="58527007" w14:textId="77777777" w:rsidR="0052346D" w:rsidRDefault="005A1771">
      <w:pPr>
        <w:widowControl w:val="0"/>
        <w:spacing w:line="240" w:lineRule="auto"/>
        <w:ind w:left="567" w:hanging="567"/>
        <w:outlineLvl w:val="2"/>
        <w:rPr>
          <w:b/>
          <w:snapToGrid/>
          <w:kern w:val="28"/>
          <w:szCs w:val="22"/>
          <w:lang w:val="lt-LT"/>
        </w:rPr>
      </w:pPr>
      <w:r>
        <w:rPr>
          <w:b/>
          <w:snapToGrid/>
          <w:kern w:val="28"/>
          <w:szCs w:val="22"/>
          <w:lang w:val="lt-LT"/>
        </w:rPr>
        <w:t>4.7</w:t>
      </w:r>
      <w:r>
        <w:rPr>
          <w:b/>
          <w:snapToGrid/>
          <w:kern w:val="28"/>
          <w:szCs w:val="22"/>
          <w:lang w:val="lt-LT"/>
        </w:rPr>
        <w:tab/>
        <w:t>Poveikis gebėjimui vairuoti ir valdyti mechanizmus</w:t>
      </w:r>
    </w:p>
    <w:p w14:paraId="6DA0A597" w14:textId="77777777" w:rsidR="0052346D" w:rsidRDefault="0052346D">
      <w:pPr>
        <w:widowControl w:val="0"/>
        <w:tabs>
          <w:tab w:val="clear" w:pos="567"/>
        </w:tabs>
        <w:spacing w:line="240" w:lineRule="auto"/>
        <w:ind w:left="567" w:hanging="567"/>
        <w:rPr>
          <w:snapToGrid/>
          <w:szCs w:val="22"/>
          <w:lang w:val="lt-LT"/>
        </w:rPr>
      </w:pPr>
    </w:p>
    <w:p w14:paraId="46FD8505" w14:textId="77777777" w:rsidR="0052346D" w:rsidRDefault="005A1771">
      <w:pPr>
        <w:widowControl w:val="0"/>
        <w:tabs>
          <w:tab w:val="clear" w:pos="567"/>
        </w:tabs>
        <w:autoSpaceDE w:val="0"/>
        <w:autoSpaceDN w:val="0"/>
        <w:adjustRightInd w:val="0"/>
        <w:spacing w:line="240" w:lineRule="auto"/>
        <w:rPr>
          <w:rFonts w:eastAsia="TimesNewRoman"/>
          <w:snapToGrid/>
          <w:szCs w:val="22"/>
          <w:lang w:val="lt-LT"/>
        </w:rPr>
      </w:pPr>
      <w:r>
        <w:rPr>
          <w:snapToGrid/>
          <w:szCs w:val="22"/>
          <w:lang w:val="lt-LT" w:eastAsia="sl-SI"/>
        </w:rPr>
        <w:t xml:space="preserve">Poveikio gebėjimui vairuoti ir valdyti mechanizmus tyrimų neatlikta. Vis dėlto </w:t>
      </w:r>
      <w:r>
        <w:rPr>
          <w:rFonts w:eastAsia="TimesNewRoman"/>
          <w:snapToGrid/>
          <w:szCs w:val="22"/>
          <w:lang w:val="lt-LT"/>
        </w:rPr>
        <w:t xml:space="preserve">atskirais atvejais gali pasireikšti skirtingų reakcijų, susijusių su kraujospūdžio sumažėjimu, todėl reikia atsižvelgti į tai, kad gydymo Kanpiduo </w:t>
      </w:r>
      <w:r>
        <w:rPr>
          <w:snapToGrid/>
          <w:szCs w:val="22"/>
          <w:lang w:val="lt-LT" w:eastAsia="sl-SI"/>
        </w:rPr>
        <w:t>metu</w:t>
      </w:r>
      <w:r>
        <w:rPr>
          <w:rFonts w:eastAsia="TimesNewRoman"/>
          <w:snapToGrid/>
          <w:szCs w:val="22"/>
          <w:lang w:val="lt-LT"/>
        </w:rPr>
        <w:t xml:space="preserve"> gali atsirasti svaigulys ar nuovargis. Dėl to gali pablogėti gebėjimas vairuoti ir valdyti mechanizmus.</w:t>
      </w:r>
    </w:p>
    <w:p w14:paraId="06E4F1B4" w14:textId="77777777" w:rsidR="0052346D" w:rsidRDefault="0052346D">
      <w:pPr>
        <w:widowControl w:val="0"/>
        <w:tabs>
          <w:tab w:val="clear" w:pos="567"/>
        </w:tabs>
        <w:autoSpaceDE w:val="0"/>
        <w:autoSpaceDN w:val="0"/>
        <w:adjustRightInd w:val="0"/>
        <w:spacing w:line="240" w:lineRule="auto"/>
        <w:rPr>
          <w:rFonts w:eastAsia="TimesNewRoman"/>
          <w:snapToGrid/>
          <w:szCs w:val="22"/>
          <w:lang w:val="lt-LT"/>
        </w:rPr>
      </w:pPr>
    </w:p>
    <w:p w14:paraId="1819348D" w14:textId="77777777" w:rsidR="0052346D" w:rsidRDefault="005A1771">
      <w:pPr>
        <w:widowControl w:val="0"/>
        <w:spacing w:line="240" w:lineRule="auto"/>
        <w:ind w:left="567" w:hanging="567"/>
        <w:outlineLvl w:val="2"/>
        <w:rPr>
          <w:b/>
          <w:snapToGrid/>
          <w:kern w:val="28"/>
          <w:szCs w:val="22"/>
          <w:lang w:val="lt-LT"/>
        </w:rPr>
      </w:pPr>
      <w:r>
        <w:rPr>
          <w:b/>
          <w:snapToGrid/>
          <w:kern w:val="28"/>
          <w:szCs w:val="22"/>
          <w:lang w:val="lt-LT"/>
        </w:rPr>
        <w:t>4.8</w:t>
      </w:r>
      <w:r>
        <w:rPr>
          <w:b/>
          <w:snapToGrid/>
          <w:kern w:val="28"/>
          <w:szCs w:val="22"/>
          <w:lang w:val="lt-LT"/>
        </w:rPr>
        <w:tab/>
        <w:t>Nepageidaujamas poveikis</w:t>
      </w:r>
    </w:p>
    <w:p w14:paraId="1A01B481" w14:textId="77777777" w:rsidR="0052346D" w:rsidRDefault="0052346D">
      <w:pPr>
        <w:widowControl w:val="0"/>
        <w:spacing w:line="240" w:lineRule="auto"/>
        <w:rPr>
          <w:iCs/>
          <w:snapToGrid/>
          <w:szCs w:val="22"/>
          <w:lang w:val="lt-LT"/>
        </w:rPr>
      </w:pPr>
    </w:p>
    <w:p w14:paraId="4E7683F1" w14:textId="77777777" w:rsidR="0052346D" w:rsidRDefault="005A1771">
      <w:pPr>
        <w:widowControl w:val="0"/>
        <w:numPr>
          <w:ilvl w:val="0"/>
          <w:numId w:val="33"/>
        </w:numPr>
        <w:tabs>
          <w:tab w:val="clear" w:pos="567"/>
        </w:tabs>
        <w:spacing w:line="240" w:lineRule="auto"/>
        <w:ind w:left="567" w:hanging="567"/>
        <w:rPr>
          <w:snapToGrid/>
          <w:szCs w:val="22"/>
          <w:lang w:val="lt-LT" w:eastAsia="sl-SI"/>
        </w:rPr>
      </w:pPr>
      <w:r>
        <w:rPr>
          <w:snapToGrid/>
          <w:szCs w:val="22"/>
          <w:lang w:val="lt-LT" w:eastAsia="sl-SI"/>
        </w:rPr>
        <w:t>Labai dažnas (</w:t>
      </w:r>
      <w:r>
        <w:rPr>
          <w:rFonts w:eastAsia="Arial Unicode MS"/>
          <w:snapToGrid/>
          <w:szCs w:val="22"/>
          <w:lang w:val="lt-LT" w:eastAsia="sl-SI"/>
        </w:rPr>
        <w:t>≥ </w:t>
      </w:r>
      <w:r>
        <w:rPr>
          <w:snapToGrid/>
          <w:szCs w:val="22"/>
          <w:lang w:val="lt-LT" w:eastAsia="sl-SI"/>
        </w:rPr>
        <w:t>1/10);</w:t>
      </w:r>
    </w:p>
    <w:p w14:paraId="33B08E8A" w14:textId="77777777" w:rsidR="0052346D" w:rsidRDefault="005A1771">
      <w:pPr>
        <w:widowControl w:val="0"/>
        <w:numPr>
          <w:ilvl w:val="0"/>
          <w:numId w:val="33"/>
        </w:numPr>
        <w:tabs>
          <w:tab w:val="clear" w:pos="567"/>
        </w:tabs>
        <w:spacing w:line="240" w:lineRule="auto"/>
        <w:ind w:left="567" w:hanging="567"/>
        <w:rPr>
          <w:snapToGrid/>
          <w:szCs w:val="22"/>
          <w:lang w:val="lt-LT" w:eastAsia="sl-SI"/>
        </w:rPr>
      </w:pPr>
      <w:r>
        <w:rPr>
          <w:snapToGrid/>
          <w:szCs w:val="22"/>
          <w:lang w:val="lt-LT" w:eastAsia="sl-SI"/>
        </w:rPr>
        <w:t xml:space="preserve">Dažnas (nuo </w:t>
      </w:r>
      <w:r>
        <w:rPr>
          <w:rFonts w:eastAsia="Arial Unicode MS"/>
          <w:snapToGrid/>
          <w:szCs w:val="22"/>
          <w:lang w:val="lt-LT" w:eastAsia="sl-SI"/>
        </w:rPr>
        <w:t>≥ </w:t>
      </w:r>
      <w:r>
        <w:rPr>
          <w:snapToGrid/>
          <w:szCs w:val="22"/>
          <w:lang w:val="lt-LT" w:eastAsia="sl-SI"/>
        </w:rPr>
        <w:t>1/100 iki &lt; 1/10);</w:t>
      </w:r>
    </w:p>
    <w:p w14:paraId="175923BE" w14:textId="77777777" w:rsidR="0052346D" w:rsidRDefault="005A1771">
      <w:pPr>
        <w:widowControl w:val="0"/>
        <w:numPr>
          <w:ilvl w:val="0"/>
          <w:numId w:val="33"/>
        </w:numPr>
        <w:tabs>
          <w:tab w:val="clear" w:pos="567"/>
        </w:tabs>
        <w:spacing w:line="240" w:lineRule="auto"/>
        <w:ind w:left="567" w:hanging="567"/>
        <w:rPr>
          <w:snapToGrid/>
          <w:szCs w:val="22"/>
          <w:lang w:val="lt-LT" w:eastAsia="sl-SI"/>
        </w:rPr>
      </w:pPr>
      <w:r>
        <w:rPr>
          <w:snapToGrid/>
          <w:szCs w:val="22"/>
          <w:lang w:val="lt-LT" w:eastAsia="sl-SI"/>
        </w:rPr>
        <w:t xml:space="preserve">Nedažnas (nuo </w:t>
      </w:r>
      <w:r>
        <w:rPr>
          <w:rFonts w:eastAsia="Arial Unicode MS"/>
          <w:snapToGrid/>
          <w:szCs w:val="22"/>
          <w:lang w:val="lt-LT" w:eastAsia="sl-SI"/>
        </w:rPr>
        <w:t>≥ </w:t>
      </w:r>
      <w:r>
        <w:rPr>
          <w:snapToGrid/>
          <w:szCs w:val="22"/>
          <w:lang w:val="lt-LT" w:eastAsia="sl-SI"/>
        </w:rPr>
        <w:t>1/1 000 iki &lt; 1/100);</w:t>
      </w:r>
    </w:p>
    <w:p w14:paraId="51BD012C" w14:textId="77777777" w:rsidR="0052346D" w:rsidRDefault="005A1771">
      <w:pPr>
        <w:widowControl w:val="0"/>
        <w:numPr>
          <w:ilvl w:val="0"/>
          <w:numId w:val="33"/>
        </w:numPr>
        <w:tabs>
          <w:tab w:val="clear" w:pos="567"/>
        </w:tabs>
        <w:spacing w:line="240" w:lineRule="auto"/>
        <w:ind w:left="567" w:hanging="567"/>
        <w:rPr>
          <w:snapToGrid/>
          <w:szCs w:val="22"/>
          <w:lang w:val="lt-LT" w:eastAsia="sl-SI"/>
        </w:rPr>
      </w:pPr>
      <w:r>
        <w:rPr>
          <w:snapToGrid/>
          <w:szCs w:val="22"/>
          <w:lang w:val="lt-LT" w:eastAsia="sl-SI"/>
        </w:rPr>
        <w:t xml:space="preserve">Retas (nuo </w:t>
      </w:r>
      <w:r>
        <w:rPr>
          <w:rFonts w:eastAsia="Arial Unicode MS"/>
          <w:snapToGrid/>
          <w:szCs w:val="22"/>
          <w:lang w:val="lt-LT" w:eastAsia="sl-SI"/>
        </w:rPr>
        <w:t>≥ </w:t>
      </w:r>
      <w:r>
        <w:rPr>
          <w:snapToGrid/>
          <w:szCs w:val="22"/>
          <w:lang w:val="lt-LT" w:eastAsia="sl-SI"/>
        </w:rPr>
        <w:t>1/10 000 iki &lt; 1/1 000);</w:t>
      </w:r>
    </w:p>
    <w:p w14:paraId="5AE2C3F5" w14:textId="77777777" w:rsidR="0052346D" w:rsidRDefault="005A1771">
      <w:pPr>
        <w:widowControl w:val="0"/>
        <w:numPr>
          <w:ilvl w:val="0"/>
          <w:numId w:val="33"/>
        </w:numPr>
        <w:tabs>
          <w:tab w:val="clear" w:pos="567"/>
        </w:tabs>
        <w:spacing w:line="240" w:lineRule="auto"/>
        <w:ind w:left="567" w:hanging="567"/>
        <w:rPr>
          <w:snapToGrid/>
          <w:szCs w:val="22"/>
          <w:lang w:val="lt-LT" w:eastAsia="sl-SI"/>
        </w:rPr>
      </w:pPr>
      <w:r>
        <w:rPr>
          <w:snapToGrid/>
          <w:szCs w:val="22"/>
          <w:lang w:val="lt-LT" w:eastAsia="sl-SI"/>
        </w:rPr>
        <w:t>Labai retas (&lt; 1/10 000);</w:t>
      </w:r>
    </w:p>
    <w:p w14:paraId="48847914" w14:textId="77777777" w:rsidR="0052346D" w:rsidRDefault="005A1771">
      <w:pPr>
        <w:widowControl w:val="0"/>
        <w:numPr>
          <w:ilvl w:val="0"/>
          <w:numId w:val="33"/>
        </w:numPr>
        <w:tabs>
          <w:tab w:val="clear" w:pos="567"/>
        </w:tabs>
        <w:spacing w:line="240" w:lineRule="auto"/>
        <w:ind w:left="567" w:hanging="567"/>
        <w:rPr>
          <w:iCs/>
          <w:snapToGrid/>
          <w:szCs w:val="22"/>
          <w:u w:val="single"/>
          <w:lang w:val="lt-LT"/>
        </w:rPr>
      </w:pPr>
      <w:r>
        <w:rPr>
          <w:snapToGrid/>
          <w:szCs w:val="22"/>
          <w:lang w:val="lt-LT" w:eastAsia="sl-SI"/>
        </w:rPr>
        <w:t xml:space="preserve">Dažnis nežinomas (negali būti apskaičiuotas pagal turimus duomenis). </w:t>
      </w:r>
    </w:p>
    <w:p w14:paraId="1D25BD66" w14:textId="77777777" w:rsidR="0052346D" w:rsidRDefault="0052346D">
      <w:pPr>
        <w:widowControl w:val="0"/>
        <w:spacing w:line="240" w:lineRule="auto"/>
        <w:rPr>
          <w:iCs/>
          <w:snapToGrid/>
          <w:szCs w:val="22"/>
          <w:u w:val="single"/>
          <w:lang w:val="lt-LT"/>
        </w:rPr>
      </w:pPr>
    </w:p>
    <w:p w14:paraId="4BDFB052" w14:textId="77777777" w:rsidR="0052346D" w:rsidRDefault="005A1771">
      <w:pPr>
        <w:widowControl w:val="0"/>
        <w:spacing w:line="240" w:lineRule="auto"/>
        <w:rPr>
          <w:iCs/>
          <w:snapToGrid/>
          <w:szCs w:val="22"/>
          <w:u w:val="single"/>
          <w:lang w:val="lt-LT"/>
        </w:rPr>
      </w:pPr>
      <w:r>
        <w:rPr>
          <w:iCs/>
          <w:snapToGrid/>
          <w:szCs w:val="22"/>
          <w:u w:val="single"/>
          <w:lang w:val="lt-LT"/>
        </w:rPr>
        <w:t>Saugumo duomenų santrauka</w:t>
      </w:r>
    </w:p>
    <w:p w14:paraId="5F7C1174" w14:textId="77777777" w:rsidR="0052346D" w:rsidRDefault="005A1771">
      <w:pPr>
        <w:widowControl w:val="0"/>
        <w:tabs>
          <w:tab w:val="clear" w:pos="567"/>
          <w:tab w:val="left" w:pos="540"/>
        </w:tabs>
        <w:autoSpaceDE w:val="0"/>
        <w:autoSpaceDN w:val="0"/>
        <w:adjustRightInd w:val="0"/>
        <w:spacing w:line="240" w:lineRule="auto"/>
        <w:rPr>
          <w:iCs/>
          <w:snapToGrid/>
          <w:szCs w:val="22"/>
          <w:lang w:val="lt-LT" w:eastAsia="sl-SI"/>
        </w:rPr>
      </w:pPr>
      <w:r>
        <w:rPr>
          <w:iCs/>
          <w:snapToGrid/>
          <w:szCs w:val="22"/>
          <w:lang w:val="lt-LT" w:eastAsia="sl-SI"/>
        </w:rPr>
        <w:t>Kontroliuotų klinikinių kandesartano tyrimų metu nepageidaujamos reakcijos buvo lengvos ir laikinos. Bendras nepageidaujamų reiškinių dažnis nebuvo susijęs su kandesartano doze ar paciento amžiumi. Gydymo nutraukimo dėl nepageidaujamų reiškinių dažnis buvo panašus vartojant kandesartano (3,1 %) ir placebo (3,2 %).</w:t>
      </w:r>
    </w:p>
    <w:p w14:paraId="35B67CE9" w14:textId="77777777" w:rsidR="0052346D" w:rsidRDefault="005A1771">
      <w:pPr>
        <w:widowControl w:val="0"/>
        <w:tabs>
          <w:tab w:val="clear" w:pos="567"/>
          <w:tab w:val="left" w:pos="540"/>
        </w:tabs>
        <w:autoSpaceDE w:val="0"/>
        <w:autoSpaceDN w:val="0"/>
        <w:adjustRightInd w:val="0"/>
        <w:spacing w:line="240" w:lineRule="auto"/>
        <w:rPr>
          <w:iCs/>
          <w:snapToGrid/>
          <w:szCs w:val="22"/>
          <w:lang w:val="lt-LT" w:eastAsia="sl-SI"/>
        </w:rPr>
      </w:pPr>
      <w:r>
        <w:rPr>
          <w:iCs/>
          <w:snapToGrid/>
          <w:szCs w:val="22"/>
          <w:lang w:val="lt-LT" w:eastAsia="sl-SI"/>
        </w:rPr>
        <w:t>Atlikus bendrą hipertenzija sergančių pacientų klinikinių tyrimų duomenų analizę, buvo nustatytos toliau išvardytos nepageidaujamos kandesartano reakcijos, jas apibrėžiant kaip nepageidaujamus reiškinius, kurių dažnis, vartojant kandesartano, buvo bent 1 % didesnis nei vartojant placebo. Pagal šį apibrėžimą dažniausiai praneštos nepageidaujamos reakcijos buvo svaigulys/ svaigimas (</w:t>
      </w:r>
      <w:r>
        <w:rPr>
          <w:i/>
          <w:snapToGrid/>
          <w:szCs w:val="22"/>
          <w:lang w:val="lt-LT" w:eastAsia="sl-SI"/>
        </w:rPr>
        <w:t>vertigo</w:t>
      </w:r>
      <w:r>
        <w:rPr>
          <w:iCs/>
          <w:snapToGrid/>
          <w:szCs w:val="22"/>
          <w:lang w:val="lt-LT" w:eastAsia="sl-SI"/>
        </w:rPr>
        <w:t xml:space="preserve">), </w:t>
      </w:r>
      <w:r>
        <w:rPr>
          <w:iCs/>
          <w:snapToGrid/>
          <w:szCs w:val="22"/>
          <w:lang w:val="lt-LT" w:eastAsia="sl-SI"/>
        </w:rPr>
        <w:lastRenderedPageBreak/>
        <w:t>galvos skausmas ir kvėpavimo takų infekcija.</w:t>
      </w:r>
    </w:p>
    <w:p w14:paraId="34E2D475" w14:textId="77777777" w:rsidR="0052346D" w:rsidRDefault="0052346D">
      <w:pPr>
        <w:widowControl w:val="0"/>
        <w:tabs>
          <w:tab w:val="clear" w:pos="567"/>
          <w:tab w:val="left" w:pos="540"/>
        </w:tabs>
        <w:autoSpaceDE w:val="0"/>
        <w:autoSpaceDN w:val="0"/>
        <w:adjustRightInd w:val="0"/>
        <w:spacing w:line="240" w:lineRule="auto"/>
        <w:rPr>
          <w:iCs/>
          <w:snapToGrid/>
          <w:szCs w:val="22"/>
          <w:lang w:val="lt-LT" w:eastAsia="sl-SI"/>
        </w:rPr>
      </w:pPr>
    </w:p>
    <w:p w14:paraId="7CFD4FDC" w14:textId="77777777" w:rsidR="0052346D" w:rsidRDefault="005A1771">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Dažniausiai praneštos nepageidaujamos indapamido reakcijos yra hipokalemija, padidėjusio jautrumo reakcijos, daugiausia odos, asmenims, turintiems polinkį į alergines ir astmines reakcijas, bei makulopapulinis išbėrimas.</w:t>
      </w:r>
    </w:p>
    <w:p w14:paraId="1CEDB671" w14:textId="77777777" w:rsidR="0052346D" w:rsidRDefault="0052346D">
      <w:pPr>
        <w:widowControl w:val="0"/>
        <w:spacing w:line="240" w:lineRule="auto"/>
        <w:rPr>
          <w:iCs/>
          <w:snapToGrid/>
          <w:szCs w:val="22"/>
          <w:highlight w:val="yellow"/>
          <w:lang w:val="lt-LT"/>
        </w:rPr>
      </w:pPr>
    </w:p>
    <w:p w14:paraId="667CC8EB" w14:textId="77777777" w:rsidR="0052346D" w:rsidRDefault="005A1771">
      <w:pPr>
        <w:widowControl w:val="0"/>
        <w:spacing w:line="240" w:lineRule="auto"/>
        <w:rPr>
          <w:iCs/>
          <w:snapToGrid/>
          <w:szCs w:val="22"/>
          <w:lang w:val="lt-LT"/>
        </w:rPr>
      </w:pPr>
      <w:r>
        <w:rPr>
          <w:iCs/>
          <w:snapToGrid/>
          <w:szCs w:val="22"/>
          <w:lang w:val="lt-LT"/>
        </w:rPr>
        <w:t>Toliau esančioje lentelėje pateikiamos nepageidaujamos reakcijos, duomenų apie kurias gauta klinikinių tyrimų metu ir po vaistinio preparato pateikimo į rinką.</w:t>
      </w:r>
    </w:p>
    <w:p w14:paraId="5C34BE3B" w14:textId="77777777" w:rsidR="0052346D" w:rsidRDefault="0052346D">
      <w:pPr>
        <w:widowControl w:val="0"/>
        <w:spacing w:line="240" w:lineRule="auto"/>
        <w:rPr>
          <w:iCs/>
          <w:snapToGrid/>
          <w:szCs w:val="22"/>
          <w:highlight w:val="yellow"/>
          <w:lang w:val="lt-LT"/>
        </w:rPr>
      </w:pPr>
    </w:p>
    <w:p w14:paraId="6E72B59F" w14:textId="77777777" w:rsidR="0052346D" w:rsidRDefault="005A1771">
      <w:pPr>
        <w:widowControl w:val="0"/>
        <w:spacing w:line="240" w:lineRule="auto"/>
        <w:rPr>
          <w:iCs/>
          <w:snapToGrid/>
          <w:szCs w:val="22"/>
          <w:u w:val="single"/>
          <w:lang w:val="lt-LT"/>
        </w:rPr>
      </w:pPr>
      <w:r>
        <w:rPr>
          <w:iCs/>
          <w:snapToGrid/>
          <w:szCs w:val="22"/>
          <w:u w:val="single"/>
          <w:lang w:val="lt-LT"/>
        </w:rPr>
        <w:t>Nepageidaujamų reakcijų santrauka lentelėje</w:t>
      </w:r>
    </w:p>
    <w:p w14:paraId="41AE8CF2" w14:textId="77777777" w:rsidR="0052346D" w:rsidRDefault="0052346D">
      <w:pPr>
        <w:widowControl w:val="0"/>
        <w:tabs>
          <w:tab w:val="clear" w:pos="567"/>
        </w:tabs>
        <w:spacing w:line="240" w:lineRule="auto"/>
        <w:rPr>
          <w:snapToGrid/>
          <w:szCs w:val="22"/>
          <w:lang w:val="lt-LT" w:eastAsia="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1"/>
        <w:gridCol w:w="3750"/>
        <w:gridCol w:w="1634"/>
        <w:gridCol w:w="1595"/>
      </w:tblGrid>
      <w:tr w:rsidR="0052346D" w14:paraId="15854AB0" w14:textId="77777777">
        <w:tc>
          <w:tcPr>
            <w:tcW w:w="2081" w:type="dxa"/>
            <w:shd w:val="clear" w:color="auto" w:fill="auto"/>
          </w:tcPr>
          <w:p w14:paraId="6062073D"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b/>
                <w:bCs/>
                <w:sz w:val="22"/>
                <w:szCs w:val="22"/>
                <w:lang w:val="lt-LT"/>
              </w:rPr>
              <w:t>Organų sistemų klasė</w:t>
            </w:r>
          </w:p>
        </w:tc>
        <w:tc>
          <w:tcPr>
            <w:tcW w:w="3750" w:type="dxa"/>
            <w:shd w:val="clear" w:color="auto" w:fill="auto"/>
          </w:tcPr>
          <w:p w14:paraId="2BBC9B82"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b/>
                <w:bCs/>
                <w:sz w:val="22"/>
                <w:szCs w:val="22"/>
                <w:lang w:val="lt-LT"/>
              </w:rPr>
              <w:t>Nepageidaujamas poveikis</w:t>
            </w:r>
          </w:p>
        </w:tc>
        <w:tc>
          <w:tcPr>
            <w:tcW w:w="1634" w:type="dxa"/>
            <w:shd w:val="clear" w:color="auto" w:fill="auto"/>
          </w:tcPr>
          <w:p w14:paraId="7DA696BA"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b/>
                <w:bCs/>
                <w:sz w:val="22"/>
                <w:szCs w:val="22"/>
                <w:lang w:val="lt-LT"/>
              </w:rPr>
              <w:t>Kandesartanas</w:t>
            </w:r>
          </w:p>
        </w:tc>
        <w:tc>
          <w:tcPr>
            <w:tcW w:w="1595" w:type="dxa"/>
            <w:shd w:val="clear" w:color="auto" w:fill="auto"/>
          </w:tcPr>
          <w:p w14:paraId="7AF148DD" w14:textId="77777777" w:rsidR="0052346D" w:rsidRDefault="005A1771">
            <w:pPr>
              <w:pStyle w:val="prastasiniatinklio"/>
              <w:widowControl w:val="0"/>
              <w:spacing w:before="0" w:beforeAutospacing="0" w:after="0" w:afterAutospacing="0"/>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Indapamidas</w:t>
            </w:r>
          </w:p>
        </w:tc>
      </w:tr>
      <w:tr w:rsidR="0052346D" w14:paraId="2C777CDC" w14:textId="77777777">
        <w:tc>
          <w:tcPr>
            <w:tcW w:w="2081" w:type="dxa"/>
            <w:shd w:val="clear" w:color="auto" w:fill="auto"/>
          </w:tcPr>
          <w:p w14:paraId="358EF3EA" w14:textId="77777777" w:rsidR="0052346D" w:rsidRDefault="005A1771">
            <w:pPr>
              <w:pStyle w:val="prastasiniatinklio"/>
              <w:widowControl w:val="0"/>
              <w:spacing w:before="0" w:beforeAutospacing="0" w:after="0" w:afterAutospacing="0"/>
              <w:rPr>
                <w:rFonts w:ascii="Times New Roman" w:hAnsi="Times New Roman" w:cs="Times New Roman"/>
                <w:i/>
                <w:sz w:val="22"/>
                <w:szCs w:val="22"/>
                <w:lang w:val="lt-LT"/>
              </w:rPr>
            </w:pPr>
            <w:r>
              <w:rPr>
                <w:rFonts w:ascii="Times New Roman" w:hAnsi="Times New Roman" w:cs="Times New Roman"/>
                <w:i/>
                <w:sz w:val="22"/>
                <w:szCs w:val="22"/>
                <w:lang w:val="lt-LT"/>
              </w:rPr>
              <w:t>Infekcijos ir infestacijos</w:t>
            </w:r>
          </w:p>
        </w:tc>
        <w:tc>
          <w:tcPr>
            <w:tcW w:w="3750" w:type="dxa"/>
            <w:shd w:val="clear" w:color="auto" w:fill="auto"/>
          </w:tcPr>
          <w:p w14:paraId="483037C4"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Kvėpavimo takų infekcija</w:t>
            </w:r>
          </w:p>
        </w:tc>
        <w:tc>
          <w:tcPr>
            <w:tcW w:w="1634" w:type="dxa"/>
            <w:shd w:val="clear" w:color="auto" w:fill="auto"/>
          </w:tcPr>
          <w:p w14:paraId="7CD83949"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Dažnas</w:t>
            </w:r>
          </w:p>
        </w:tc>
        <w:tc>
          <w:tcPr>
            <w:tcW w:w="1595" w:type="dxa"/>
            <w:shd w:val="clear" w:color="auto" w:fill="auto"/>
          </w:tcPr>
          <w:p w14:paraId="0E1A929E"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w:t>
            </w:r>
          </w:p>
        </w:tc>
      </w:tr>
      <w:tr w:rsidR="0052346D" w14:paraId="0CCB89D2" w14:textId="77777777">
        <w:tc>
          <w:tcPr>
            <w:tcW w:w="2081" w:type="dxa"/>
            <w:vMerge w:val="restart"/>
            <w:shd w:val="clear" w:color="auto" w:fill="auto"/>
          </w:tcPr>
          <w:p w14:paraId="7EFDC601" w14:textId="77777777" w:rsidR="0052346D" w:rsidRDefault="005A1771">
            <w:pPr>
              <w:pStyle w:val="prastasiniatinklio"/>
              <w:widowControl w:val="0"/>
              <w:spacing w:before="0" w:beforeAutospacing="0" w:after="0" w:afterAutospacing="0"/>
              <w:rPr>
                <w:rFonts w:ascii="Times New Roman" w:hAnsi="Times New Roman" w:cs="Times New Roman"/>
                <w:i/>
                <w:sz w:val="22"/>
                <w:szCs w:val="22"/>
                <w:lang w:val="lt-LT"/>
              </w:rPr>
            </w:pPr>
            <w:r>
              <w:rPr>
                <w:rFonts w:ascii="Times New Roman" w:hAnsi="Times New Roman" w:cs="Times New Roman"/>
                <w:i/>
                <w:sz w:val="22"/>
                <w:szCs w:val="22"/>
                <w:lang w:val="lt-LT"/>
              </w:rPr>
              <w:t>Kraujo ir limfinės sistemos sutrikimai</w:t>
            </w:r>
          </w:p>
        </w:tc>
        <w:tc>
          <w:tcPr>
            <w:tcW w:w="3750" w:type="dxa"/>
            <w:shd w:val="clear" w:color="auto" w:fill="auto"/>
          </w:tcPr>
          <w:p w14:paraId="68A21C81"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Leukopenija, agranulocitozė</w:t>
            </w:r>
          </w:p>
        </w:tc>
        <w:tc>
          <w:tcPr>
            <w:tcW w:w="1634" w:type="dxa"/>
            <w:shd w:val="clear" w:color="auto" w:fill="auto"/>
          </w:tcPr>
          <w:p w14:paraId="2E2C82B7"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Labai retas</w:t>
            </w:r>
          </w:p>
        </w:tc>
        <w:tc>
          <w:tcPr>
            <w:tcW w:w="1595" w:type="dxa"/>
            <w:shd w:val="clear" w:color="auto" w:fill="auto"/>
          </w:tcPr>
          <w:p w14:paraId="7C9F7800"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Labai retas</w:t>
            </w:r>
          </w:p>
        </w:tc>
      </w:tr>
      <w:tr w:rsidR="0052346D" w14:paraId="77718A68" w14:textId="77777777">
        <w:tc>
          <w:tcPr>
            <w:tcW w:w="2081" w:type="dxa"/>
            <w:vMerge/>
            <w:shd w:val="clear" w:color="auto" w:fill="auto"/>
          </w:tcPr>
          <w:p w14:paraId="7772ED77" w14:textId="77777777" w:rsidR="0052346D" w:rsidRDefault="0052346D">
            <w:pPr>
              <w:pStyle w:val="prastasiniatinklio"/>
              <w:widowControl w:val="0"/>
              <w:spacing w:before="0" w:beforeAutospacing="0" w:after="0" w:afterAutospacing="0"/>
              <w:rPr>
                <w:rFonts w:ascii="Times New Roman" w:hAnsi="Times New Roman" w:cs="Times New Roman"/>
                <w:i/>
                <w:sz w:val="22"/>
                <w:szCs w:val="22"/>
                <w:lang w:val="lt-LT"/>
              </w:rPr>
            </w:pPr>
          </w:p>
        </w:tc>
        <w:tc>
          <w:tcPr>
            <w:tcW w:w="3750" w:type="dxa"/>
            <w:shd w:val="clear" w:color="auto" w:fill="auto"/>
          </w:tcPr>
          <w:p w14:paraId="0F0CE692"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Neutropenija</w:t>
            </w:r>
          </w:p>
        </w:tc>
        <w:tc>
          <w:tcPr>
            <w:tcW w:w="1634" w:type="dxa"/>
            <w:shd w:val="clear" w:color="auto" w:fill="auto"/>
          </w:tcPr>
          <w:p w14:paraId="7CF617B9"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Labai retas</w:t>
            </w:r>
          </w:p>
        </w:tc>
        <w:tc>
          <w:tcPr>
            <w:tcW w:w="1595" w:type="dxa"/>
            <w:shd w:val="clear" w:color="auto" w:fill="auto"/>
          </w:tcPr>
          <w:p w14:paraId="07F90640"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w:t>
            </w:r>
          </w:p>
        </w:tc>
      </w:tr>
      <w:tr w:rsidR="0052346D" w14:paraId="535B9F86" w14:textId="77777777">
        <w:tc>
          <w:tcPr>
            <w:tcW w:w="2081" w:type="dxa"/>
            <w:vMerge/>
            <w:shd w:val="clear" w:color="auto" w:fill="auto"/>
          </w:tcPr>
          <w:p w14:paraId="59D7AAB8" w14:textId="77777777" w:rsidR="0052346D" w:rsidRDefault="0052346D">
            <w:pPr>
              <w:pStyle w:val="prastasiniatinklio"/>
              <w:widowControl w:val="0"/>
              <w:spacing w:before="0" w:beforeAutospacing="0" w:after="0" w:afterAutospacing="0"/>
              <w:rPr>
                <w:rFonts w:ascii="Times New Roman" w:hAnsi="Times New Roman" w:cs="Times New Roman"/>
                <w:i/>
                <w:sz w:val="22"/>
                <w:szCs w:val="22"/>
                <w:lang w:val="lt-LT"/>
              </w:rPr>
            </w:pPr>
          </w:p>
        </w:tc>
        <w:tc>
          <w:tcPr>
            <w:tcW w:w="3750" w:type="dxa"/>
            <w:shd w:val="clear" w:color="auto" w:fill="auto"/>
          </w:tcPr>
          <w:p w14:paraId="41BD4742"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Trombocitopenija, aplazinė anemija, hemolizinė anemija</w:t>
            </w:r>
          </w:p>
        </w:tc>
        <w:tc>
          <w:tcPr>
            <w:tcW w:w="1634" w:type="dxa"/>
            <w:shd w:val="clear" w:color="auto" w:fill="auto"/>
          </w:tcPr>
          <w:p w14:paraId="156396D5"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w:t>
            </w:r>
          </w:p>
        </w:tc>
        <w:tc>
          <w:tcPr>
            <w:tcW w:w="1595" w:type="dxa"/>
            <w:shd w:val="clear" w:color="auto" w:fill="auto"/>
          </w:tcPr>
          <w:p w14:paraId="289E136A"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Labai retas</w:t>
            </w:r>
          </w:p>
        </w:tc>
      </w:tr>
      <w:tr w:rsidR="0052346D" w14:paraId="64D309F3" w14:textId="77777777">
        <w:tc>
          <w:tcPr>
            <w:tcW w:w="2081" w:type="dxa"/>
            <w:vMerge w:val="restart"/>
            <w:shd w:val="clear" w:color="auto" w:fill="auto"/>
          </w:tcPr>
          <w:p w14:paraId="7D03C599" w14:textId="77777777" w:rsidR="0052346D" w:rsidRDefault="005A1771">
            <w:pPr>
              <w:pStyle w:val="prastasiniatinklio"/>
              <w:widowControl w:val="0"/>
              <w:spacing w:before="0" w:beforeAutospacing="0" w:after="0" w:afterAutospacing="0"/>
              <w:rPr>
                <w:rFonts w:ascii="Times New Roman" w:hAnsi="Times New Roman" w:cs="Times New Roman"/>
                <w:i/>
                <w:sz w:val="22"/>
                <w:szCs w:val="22"/>
                <w:lang w:val="lt-LT"/>
              </w:rPr>
            </w:pPr>
            <w:r>
              <w:rPr>
                <w:rFonts w:ascii="Times New Roman" w:hAnsi="Times New Roman" w:cs="Times New Roman"/>
                <w:i/>
                <w:sz w:val="22"/>
                <w:szCs w:val="22"/>
                <w:lang w:val="lt-LT"/>
              </w:rPr>
              <w:t>Metabolizmo ir mitybos sutrikimai</w:t>
            </w:r>
          </w:p>
        </w:tc>
        <w:tc>
          <w:tcPr>
            <w:tcW w:w="3750" w:type="dxa"/>
            <w:shd w:val="clear" w:color="auto" w:fill="auto"/>
          </w:tcPr>
          <w:p w14:paraId="14C06A55"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Hiperkalemija</w:t>
            </w:r>
          </w:p>
        </w:tc>
        <w:tc>
          <w:tcPr>
            <w:tcW w:w="1634" w:type="dxa"/>
            <w:shd w:val="clear" w:color="auto" w:fill="auto"/>
          </w:tcPr>
          <w:p w14:paraId="34BBFA26"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Labai retas</w:t>
            </w:r>
          </w:p>
        </w:tc>
        <w:tc>
          <w:tcPr>
            <w:tcW w:w="1595" w:type="dxa"/>
            <w:shd w:val="clear" w:color="auto" w:fill="auto"/>
          </w:tcPr>
          <w:p w14:paraId="2A785148"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Dažnas</w:t>
            </w:r>
          </w:p>
        </w:tc>
      </w:tr>
      <w:tr w:rsidR="0052346D" w14:paraId="6C0923B0" w14:textId="77777777">
        <w:tc>
          <w:tcPr>
            <w:tcW w:w="2081" w:type="dxa"/>
            <w:vMerge/>
            <w:shd w:val="clear" w:color="auto" w:fill="auto"/>
          </w:tcPr>
          <w:p w14:paraId="0F31A478" w14:textId="77777777" w:rsidR="0052346D" w:rsidRDefault="0052346D">
            <w:pPr>
              <w:pStyle w:val="prastasiniatinklio"/>
              <w:widowControl w:val="0"/>
              <w:spacing w:before="0" w:beforeAutospacing="0" w:after="0" w:afterAutospacing="0"/>
              <w:rPr>
                <w:rFonts w:ascii="Times New Roman" w:hAnsi="Times New Roman" w:cs="Times New Roman"/>
                <w:i/>
                <w:sz w:val="22"/>
                <w:szCs w:val="22"/>
                <w:lang w:val="lt-LT"/>
              </w:rPr>
            </w:pPr>
          </w:p>
        </w:tc>
        <w:tc>
          <w:tcPr>
            <w:tcW w:w="3750" w:type="dxa"/>
            <w:shd w:val="clear" w:color="auto" w:fill="auto"/>
          </w:tcPr>
          <w:p w14:paraId="7E7F465D"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Hiponatraemija</w:t>
            </w:r>
          </w:p>
        </w:tc>
        <w:tc>
          <w:tcPr>
            <w:tcW w:w="1634" w:type="dxa"/>
            <w:shd w:val="clear" w:color="auto" w:fill="auto"/>
          </w:tcPr>
          <w:p w14:paraId="73BB5585"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Labai retas</w:t>
            </w:r>
          </w:p>
        </w:tc>
        <w:tc>
          <w:tcPr>
            <w:tcW w:w="1595" w:type="dxa"/>
            <w:shd w:val="clear" w:color="auto" w:fill="auto"/>
          </w:tcPr>
          <w:p w14:paraId="74CCB358"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Nedažnas</w:t>
            </w:r>
          </w:p>
        </w:tc>
      </w:tr>
      <w:tr w:rsidR="0052346D" w14:paraId="54674C60" w14:textId="77777777">
        <w:tc>
          <w:tcPr>
            <w:tcW w:w="2081" w:type="dxa"/>
            <w:vMerge/>
            <w:shd w:val="clear" w:color="auto" w:fill="auto"/>
          </w:tcPr>
          <w:p w14:paraId="35AB065B" w14:textId="77777777" w:rsidR="0052346D" w:rsidRDefault="0052346D">
            <w:pPr>
              <w:pStyle w:val="prastasiniatinklio"/>
              <w:widowControl w:val="0"/>
              <w:spacing w:before="0" w:beforeAutospacing="0" w:after="0" w:afterAutospacing="0"/>
              <w:rPr>
                <w:rFonts w:ascii="Times New Roman" w:hAnsi="Times New Roman" w:cs="Times New Roman"/>
                <w:i/>
                <w:sz w:val="22"/>
                <w:szCs w:val="22"/>
                <w:lang w:val="lt-LT"/>
              </w:rPr>
            </w:pPr>
          </w:p>
        </w:tc>
        <w:tc>
          <w:tcPr>
            <w:tcW w:w="3750" w:type="dxa"/>
            <w:shd w:val="clear" w:color="auto" w:fill="auto"/>
          </w:tcPr>
          <w:p w14:paraId="7D1FAECA"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Hipochloremija, hipomagnezemija</w:t>
            </w:r>
          </w:p>
        </w:tc>
        <w:tc>
          <w:tcPr>
            <w:tcW w:w="1634" w:type="dxa"/>
            <w:shd w:val="clear" w:color="auto" w:fill="auto"/>
          </w:tcPr>
          <w:p w14:paraId="43818480"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w:t>
            </w:r>
          </w:p>
        </w:tc>
        <w:tc>
          <w:tcPr>
            <w:tcW w:w="1595" w:type="dxa"/>
            <w:shd w:val="clear" w:color="auto" w:fill="auto"/>
          </w:tcPr>
          <w:p w14:paraId="5AC50BEC"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Retas</w:t>
            </w:r>
          </w:p>
        </w:tc>
      </w:tr>
      <w:tr w:rsidR="0052346D" w14:paraId="04257CDF" w14:textId="77777777">
        <w:tc>
          <w:tcPr>
            <w:tcW w:w="2081" w:type="dxa"/>
            <w:vMerge/>
            <w:shd w:val="clear" w:color="auto" w:fill="auto"/>
          </w:tcPr>
          <w:p w14:paraId="19E9F171" w14:textId="77777777" w:rsidR="0052346D" w:rsidRDefault="0052346D">
            <w:pPr>
              <w:pStyle w:val="prastasiniatinklio"/>
              <w:widowControl w:val="0"/>
              <w:spacing w:before="0" w:beforeAutospacing="0" w:after="0" w:afterAutospacing="0"/>
              <w:rPr>
                <w:rFonts w:ascii="Times New Roman" w:hAnsi="Times New Roman" w:cs="Times New Roman"/>
                <w:i/>
                <w:sz w:val="22"/>
                <w:szCs w:val="22"/>
                <w:lang w:val="lt-LT"/>
              </w:rPr>
            </w:pPr>
          </w:p>
        </w:tc>
        <w:tc>
          <w:tcPr>
            <w:tcW w:w="3750" w:type="dxa"/>
            <w:shd w:val="clear" w:color="auto" w:fill="auto"/>
          </w:tcPr>
          <w:p w14:paraId="3EE04B7A"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Hiperkalcemija</w:t>
            </w:r>
          </w:p>
        </w:tc>
        <w:tc>
          <w:tcPr>
            <w:tcW w:w="1634" w:type="dxa"/>
            <w:shd w:val="clear" w:color="auto" w:fill="auto"/>
          </w:tcPr>
          <w:p w14:paraId="3DBC4F7A"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w:t>
            </w:r>
          </w:p>
        </w:tc>
        <w:tc>
          <w:tcPr>
            <w:tcW w:w="1595" w:type="dxa"/>
            <w:shd w:val="clear" w:color="auto" w:fill="auto"/>
          </w:tcPr>
          <w:p w14:paraId="7C41D215"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Labai retas</w:t>
            </w:r>
          </w:p>
        </w:tc>
      </w:tr>
      <w:tr w:rsidR="0052346D" w14:paraId="060D3A70" w14:textId="77777777">
        <w:tc>
          <w:tcPr>
            <w:tcW w:w="2081" w:type="dxa"/>
            <w:vMerge w:val="restart"/>
            <w:shd w:val="clear" w:color="auto" w:fill="auto"/>
          </w:tcPr>
          <w:p w14:paraId="2D3439A0" w14:textId="77777777" w:rsidR="0052346D" w:rsidRDefault="005A1771">
            <w:pPr>
              <w:pStyle w:val="prastasiniatinklio"/>
              <w:widowControl w:val="0"/>
              <w:spacing w:before="0" w:beforeAutospacing="0" w:after="0" w:afterAutospacing="0"/>
              <w:rPr>
                <w:rFonts w:ascii="Times New Roman" w:hAnsi="Times New Roman" w:cs="Times New Roman"/>
                <w:i/>
                <w:sz w:val="22"/>
                <w:szCs w:val="22"/>
                <w:lang w:val="lt-LT"/>
              </w:rPr>
            </w:pPr>
            <w:r>
              <w:rPr>
                <w:rFonts w:ascii="Times New Roman" w:hAnsi="Times New Roman" w:cs="Times New Roman"/>
                <w:i/>
                <w:sz w:val="22"/>
                <w:szCs w:val="22"/>
                <w:lang w:val="lt-LT"/>
              </w:rPr>
              <w:t>Nervų sistemos sutrikimai</w:t>
            </w:r>
          </w:p>
        </w:tc>
        <w:tc>
          <w:tcPr>
            <w:tcW w:w="3750" w:type="dxa"/>
            <w:shd w:val="clear" w:color="auto" w:fill="auto"/>
          </w:tcPr>
          <w:p w14:paraId="479374F5"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Svaigimas (</w:t>
            </w:r>
            <w:r>
              <w:rPr>
                <w:rFonts w:ascii="Times New Roman" w:hAnsi="Times New Roman" w:cs="Times New Roman"/>
                <w:i/>
                <w:iCs/>
                <w:sz w:val="22"/>
                <w:szCs w:val="22"/>
                <w:lang w:val="lt-LT"/>
              </w:rPr>
              <w:t>vertigo</w:t>
            </w:r>
            <w:r>
              <w:rPr>
                <w:rFonts w:ascii="Times New Roman" w:hAnsi="Times New Roman" w:cs="Times New Roman"/>
                <w:sz w:val="22"/>
                <w:szCs w:val="22"/>
                <w:lang w:val="lt-LT"/>
              </w:rPr>
              <w:t>), galvos skausmas</w:t>
            </w:r>
          </w:p>
        </w:tc>
        <w:tc>
          <w:tcPr>
            <w:tcW w:w="1634" w:type="dxa"/>
            <w:shd w:val="clear" w:color="auto" w:fill="auto"/>
          </w:tcPr>
          <w:p w14:paraId="7EFABFEE"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Dažnas</w:t>
            </w:r>
          </w:p>
        </w:tc>
        <w:tc>
          <w:tcPr>
            <w:tcW w:w="1595" w:type="dxa"/>
            <w:shd w:val="clear" w:color="auto" w:fill="auto"/>
          </w:tcPr>
          <w:p w14:paraId="74A200FF"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Retas</w:t>
            </w:r>
          </w:p>
        </w:tc>
      </w:tr>
      <w:tr w:rsidR="0052346D" w14:paraId="22CD00EE" w14:textId="77777777">
        <w:tc>
          <w:tcPr>
            <w:tcW w:w="2081" w:type="dxa"/>
            <w:vMerge/>
            <w:shd w:val="clear" w:color="auto" w:fill="auto"/>
          </w:tcPr>
          <w:p w14:paraId="4487A1A5" w14:textId="77777777" w:rsidR="0052346D" w:rsidRDefault="0052346D">
            <w:pPr>
              <w:pStyle w:val="prastasiniatinklio"/>
              <w:widowControl w:val="0"/>
              <w:spacing w:before="0" w:beforeAutospacing="0" w:after="0" w:afterAutospacing="0"/>
              <w:rPr>
                <w:rFonts w:ascii="Times New Roman" w:hAnsi="Times New Roman" w:cs="Times New Roman"/>
                <w:i/>
                <w:sz w:val="22"/>
                <w:szCs w:val="22"/>
                <w:lang w:val="lt-LT"/>
              </w:rPr>
            </w:pPr>
          </w:p>
        </w:tc>
        <w:tc>
          <w:tcPr>
            <w:tcW w:w="3750" w:type="dxa"/>
            <w:shd w:val="clear" w:color="auto" w:fill="auto"/>
          </w:tcPr>
          <w:p w14:paraId="2251114F"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Nuovargis, parestezija</w:t>
            </w:r>
          </w:p>
        </w:tc>
        <w:tc>
          <w:tcPr>
            <w:tcW w:w="1634" w:type="dxa"/>
            <w:shd w:val="clear" w:color="auto" w:fill="auto"/>
          </w:tcPr>
          <w:p w14:paraId="1B11B96D"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w:t>
            </w:r>
          </w:p>
        </w:tc>
        <w:tc>
          <w:tcPr>
            <w:tcW w:w="1595" w:type="dxa"/>
            <w:shd w:val="clear" w:color="auto" w:fill="auto"/>
          </w:tcPr>
          <w:p w14:paraId="12034725"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Retas</w:t>
            </w:r>
          </w:p>
        </w:tc>
      </w:tr>
      <w:tr w:rsidR="0052346D" w14:paraId="21415ACB" w14:textId="77777777">
        <w:tc>
          <w:tcPr>
            <w:tcW w:w="2081" w:type="dxa"/>
            <w:vMerge/>
            <w:shd w:val="clear" w:color="auto" w:fill="auto"/>
          </w:tcPr>
          <w:p w14:paraId="2DA95D90" w14:textId="77777777" w:rsidR="0052346D" w:rsidRDefault="0052346D">
            <w:pPr>
              <w:pStyle w:val="prastasiniatinklio"/>
              <w:widowControl w:val="0"/>
              <w:spacing w:before="0" w:beforeAutospacing="0" w:after="0" w:afterAutospacing="0"/>
              <w:rPr>
                <w:rFonts w:ascii="Times New Roman" w:hAnsi="Times New Roman" w:cs="Times New Roman"/>
                <w:i/>
                <w:sz w:val="22"/>
                <w:szCs w:val="22"/>
                <w:lang w:val="lt-LT"/>
              </w:rPr>
            </w:pPr>
          </w:p>
        </w:tc>
        <w:tc>
          <w:tcPr>
            <w:tcW w:w="3750" w:type="dxa"/>
            <w:shd w:val="clear" w:color="auto" w:fill="auto"/>
          </w:tcPr>
          <w:p w14:paraId="55773281"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Sinkopė</w:t>
            </w:r>
          </w:p>
        </w:tc>
        <w:tc>
          <w:tcPr>
            <w:tcW w:w="1634" w:type="dxa"/>
            <w:shd w:val="clear" w:color="auto" w:fill="auto"/>
          </w:tcPr>
          <w:p w14:paraId="58D96CDB"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w:t>
            </w:r>
          </w:p>
        </w:tc>
        <w:tc>
          <w:tcPr>
            <w:tcW w:w="1595" w:type="dxa"/>
            <w:shd w:val="clear" w:color="auto" w:fill="auto"/>
          </w:tcPr>
          <w:p w14:paraId="28320047"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Nežinomas</w:t>
            </w:r>
          </w:p>
        </w:tc>
      </w:tr>
      <w:tr w:rsidR="0052346D" w14:paraId="439CB47D" w14:textId="77777777">
        <w:tc>
          <w:tcPr>
            <w:tcW w:w="2081" w:type="dxa"/>
            <w:shd w:val="clear" w:color="auto" w:fill="auto"/>
          </w:tcPr>
          <w:p w14:paraId="6344DDA8" w14:textId="77777777" w:rsidR="0052346D" w:rsidRDefault="005A1771">
            <w:pPr>
              <w:pStyle w:val="prastasiniatinklio"/>
              <w:widowControl w:val="0"/>
              <w:spacing w:before="0" w:beforeAutospacing="0" w:after="0" w:afterAutospacing="0"/>
              <w:rPr>
                <w:rFonts w:ascii="Times New Roman" w:hAnsi="Times New Roman" w:cs="Times New Roman"/>
                <w:i/>
                <w:sz w:val="22"/>
                <w:szCs w:val="22"/>
                <w:lang w:val="lt-LT"/>
              </w:rPr>
            </w:pPr>
            <w:r>
              <w:rPr>
                <w:rFonts w:ascii="Times New Roman" w:hAnsi="Times New Roman" w:cs="Times New Roman"/>
                <w:i/>
                <w:sz w:val="22"/>
                <w:szCs w:val="22"/>
                <w:lang w:val="lt-LT"/>
              </w:rPr>
              <w:t>Akių sutrikimai</w:t>
            </w:r>
          </w:p>
        </w:tc>
        <w:tc>
          <w:tcPr>
            <w:tcW w:w="3750" w:type="dxa"/>
            <w:shd w:val="clear" w:color="auto" w:fill="auto"/>
          </w:tcPr>
          <w:p w14:paraId="63F873E9"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Trumparegystė, matomo vaizdo neryškumas, regos pablogėjimas, ūminė uždaro kampo glaukoma, skysčio susikaupimas tarp akies gyslainės ir odenos</w:t>
            </w:r>
          </w:p>
        </w:tc>
        <w:tc>
          <w:tcPr>
            <w:tcW w:w="1634" w:type="dxa"/>
            <w:shd w:val="clear" w:color="auto" w:fill="auto"/>
          </w:tcPr>
          <w:p w14:paraId="4D83917A"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w:t>
            </w:r>
          </w:p>
        </w:tc>
        <w:tc>
          <w:tcPr>
            <w:tcW w:w="1595" w:type="dxa"/>
            <w:shd w:val="clear" w:color="auto" w:fill="auto"/>
          </w:tcPr>
          <w:p w14:paraId="4B70DB5F"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Nežinomas</w:t>
            </w:r>
          </w:p>
        </w:tc>
      </w:tr>
      <w:tr w:rsidR="0052346D" w14:paraId="4AF25651" w14:textId="77777777">
        <w:tc>
          <w:tcPr>
            <w:tcW w:w="2081" w:type="dxa"/>
            <w:vMerge w:val="restart"/>
            <w:shd w:val="clear" w:color="auto" w:fill="auto"/>
          </w:tcPr>
          <w:p w14:paraId="6DC4E53E" w14:textId="77777777" w:rsidR="0052346D" w:rsidRDefault="005A1771">
            <w:pPr>
              <w:pStyle w:val="prastasiniatinklio"/>
              <w:widowControl w:val="0"/>
              <w:spacing w:before="0" w:beforeAutospacing="0" w:after="0" w:afterAutospacing="0"/>
              <w:rPr>
                <w:rFonts w:ascii="Times New Roman" w:hAnsi="Times New Roman" w:cs="Times New Roman"/>
                <w:i/>
                <w:sz w:val="22"/>
                <w:szCs w:val="22"/>
                <w:lang w:val="lt-LT"/>
              </w:rPr>
            </w:pPr>
            <w:r>
              <w:rPr>
                <w:rFonts w:ascii="Times New Roman" w:hAnsi="Times New Roman" w:cs="Times New Roman"/>
                <w:i/>
                <w:sz w:val="22"/>
                <w:szCs w:val="22"/>
                <w:lang w:val="lt-LT"/>
              </w:rPr>
              <w:t>Širdies sutrikimai</w:t>
            </w:r>
          </w:p>
        </w:tc>
        <w:tc>
          <w:tcPr>
            <w:tcW w:w="3750" w:type="dxa"/>
            <w:shd w:val="clear" w:color="auto" w:fill="auto"/>
          </w:tcPr>
          <w:p w14:paraId="359B6074"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Aritmija</w:t>
            </w:r>
          </w:p>
        </w:tc>
        <w:tc>
          <w:tcPr>
            <w:tcW w:w="1634" w:type="dxa"/>
            <w:shd w:val="clear" w:color="auto" w:fill="auto"/>
          </w:tcPr>
          <w:p w14:paraId="24D00F65"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w:t>
            </w:r>
          </w:p>
        </w:tc>
        <w:tc>
          <w:tcPr>
            <w:tcW w:w="1595" w:type="dxa"/>
            <w:shd w:val="clear" w:color="auto" w:fill="auto"/>
          </w:tcPr>
          <w:p w14:paraId="5CEB5395"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Labai retas</w:t>
            </w:r>
          </w:p>
        </w:tc>
      </w:tr>
      <w:tr w:rsidR="0052346D" w14:paraId="05DB72EC" w14:textId="77777777">
        <w:tc>
          <w:tcPr>
            <w:tcW w:w="2081" w:type="dxa"/>
            <w:vMerge/>
            <w:shd w:val="clear" w:color="auto" w:fill="auto"/>
          </w:tcPr>
          <w:p w14:paraId="4DE63D70" w14:textId="77777777" w:rsidR="0052346D" w:rsidRDefault="0052346D">
            <w:pPr>
              <w:pStyle w:val="prastasiniatinklio"/>
              <w:widowControl w:val="0"/>
              <w:spacing w:before="0" w:beforeAutospacing="0" w:after="0" w:afterAutospacing="0"/>
              <w:rPr>
                <w:rFonts w:ascii="Times New Roman" w:hAnsi="Times New Roman" w:cs="Times New Roman"/>
                <w:i/>
                <w:sz w:val="22"/>
                <w:szCs w:val="22"/>
                <w:lang w:val="lt-LT"/>
              </w:rPr>
            </w:pPr>
          </w:p>
        </w:tc>
        <w:tc>
          <w:tcPr>
            <w:tcW w:w="3750" w:type="dxa"/>
            <w:shd w:val="clear" w:color="auto" w:fill="auto"/>
          </w:tcPr>
          <w:p w14:paraId="14CFCDA1"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Paroksizminė polimorfinė skilvelinė tachikardija (</w:t>
            </w:r>
            <w:r>
              <w:rPr>
                <w:rFonts w:ascii="Times New Roman" w:hAnsi="Times New Roman" w:cs="Times New Roman"/>
                <w:i/>
                <w:iCs/>
                <w:sz w:val="22"/>
                <w:szCs w:val="22"/>
                <w:lang w:val="lt-LT"/>
              </w:rPr>
              <w:t>torsades de pointes</w:t>
            </w:r>
            <w:r>
              <w:rPr>
                <w:rFonts w:ascii="Times New Roman" w:hAnsi="Times New Roman" w:cs="Times New Roman"/>
                <w:sz w:val="22"/>
                <w:szCs w:val="22"/>
                <w:lang w:val="lt-LT"/>
              </w:rPr>
              <w:t>) (galimai mirtina) (žr. 4.4 ir 4.5 skyrius)</w:t>
            </w:r>
          </w:p>
        </w:tc>
        <w:tc>
          <w:tcPr>
            <w:tcW w:w="1634" w:type="dxa"/>
            <w:shd w:val="clear" w:color="auto" w:fill="auto"/>
          </w:tcPr>
          <w:p w14:paraId="03104819"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w:t>
            </w:r>
          </w:p>
        </w:tc>
        <w:tc>
          <w:tcPr>
            <w:tcW w:w="1595" w:type="dxa"/>
            <w:shd w:val="clear" w:color="auto" w:fill="auto"/>
          </w:tcPr>
          <w:p w14:paraId="22AA99D0"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Nežinomas</w:t>
            </w:r>
          </w:p>
        </w:tc>
      </w:tr>
      <w:tr w:rsidR="0052346D" w14:paraId="106E14F3" w14:textId="77777777">
        <w:tc>
          <w:tcPr>
            <w:tcW w:w="2081" w:type="dxa"/>
            <w:shd w:val="clear" w:color="auto" w:fill="auto"/>
          </w:tcPr>
          <w:p w14:paraId="4ED46E3F" w14:textId="77777777" w:rsidR="0052346D" w:rsidRDefault="005A1771">
            <w:pPr>
              <w:pStyle w:val="prastasiniatinklio"/>
              <w:widowControl w:val="0"/>
              <w:spacing w:before="0" w:beforeAutospacing="0" w:after="0" w:afterAutospacing="0"/>
              <w:rPr>
                <w:rFonts w:ascii="Times New Roman" w:hAnsi="Times New Roman" w:cs="Times New Roman"/>
                <w:i/>
                <w:sz w:val="22"/>
                <w:szCs w:val="22"/>
                <w:lang w:val="lt-LT"/>
              </w:rPr>
            </w:pPr>
            <w:r>
              <w:rPr>
                <w:rFonts w:ascii="Times New Roman" w:hAnsi="Times New Roman" w:cs="Times New Roman"/>
                <w:i/>
                <w:sz w:val="22"/>
                <w:szCs w:val="22"/>
                <w:lang w:val="lt-LT"/>
              </w:rPr>
              <w:t>Kraujagyslių sutrikimai</w:t>
            </w:r>
          </w:p>
        </w:tc>
        <w:tc>
          <w:tcPr>
            <w:tcW w:w="3750" w:type="dxa"/>
            <w:shd w:val="clear" w:color="auto" w:fill="auto"/>
          </w:tcPr>
          <w:p w14:paraId="46964EAA"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Hipotenzija</w:t>
            </w:r>
          </w:p>
        </w:tc>
        <w:tc>
          <w:tcPr>
            <w:tcW w:w="1634" w:type="dxa"/>
            <w:shd w:val="clear" w:color="auto" w:fill="auto"/>
          </w:tcPr>
          <w:p w14:paraId="0F549931"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w:t>
            </w:r>
          </w:p>
        </w:tc>
        <w:tc>
          <w:tcPr>
            <w:tcW w:w="1595" w:type="dxa"/>
            <w:shd w:val="clear" w:color="auto" w:fill="auto"/>
          </w:tcPr>
          <w:p w14:paraId="3B85A094"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Labai retas</w:t>
            </w:r>
          </w:p>
        </w:tc>
      </w:tr>
      <w:tr w:rsidR="0052346D" w14:paraId="534F5FF2" w14:textId="77777777">
        <w:tc>
          <w:tcPr>
            <w:tcW w:w="2081" w:type="dxa"/>
            <w:shd w:val="clear" w:color="auto" w:fill="auto"/>
          </w:tcPr>
          <w:p w14:paraId="6A26772E" w14:textId="77777777" w:rsidR="0052346D" w:rsidRDefault="005A1771">
            <w:pPr>
              <w:pStyle w:val="prastasiniatinklio"/>
              <w:spacing w:before="0" w:beforeAutospacing="0" w:after="0" w:afterAutospacing="0"/>
              <w:rPr>
                <w:rFonts w:ascii="Times New Roman" w:hAnsi="Times New Roman" w:cs="Times New Roman"/>
                <w:i/>
                <w:sz w:val="22"/>
                <w:szCs w:val="22"/>
                <w:lang w:val="lt-LT"/>
              </w:rPr>
            </w:pPr>
            <w:r>
              <w:rPr>
                <w:rFonts w:ascii="Times New Roman" w:hAnsi="Times New Roman" w:cs="Times New Roman"/>
                <w:i/>
                <w:sz w:val="22"/>
                <w:szCs w:val="22"/>
                <w:lang w:val="lt-LT"/>
              </w:rPr>
              <w:t>Kvėpavimo sistemos, krūtinės ląstos ir tarpuplaučio sutrikimai</w:t>
            </w:r>
          </w:p>
        </w:tc>
        <w:tc>
          <w:tcPr>
            <w:tcW w:w="3750" w:type="dxa"/>
            <w:shd w:val="clear" w:color="auto" w:fill="auto"/>
          </w:tcPr>
          <w:p w14:paraId="60B715CC" w14:textId="77777777" w:rsidR="0052346D" w:rsidRDefault="005A1771">
            <w:pPr>
              <w:pStyle w:val="prastasiniatinklio"/>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Kosulys</w:t>
            </w:r>
          </w:p>
        </w:tc>
        <w:tc>
          <w:tcPr>
            <w:tcW w:w="1634" w:type="dxa"/>
            <w:shd w:val="clear" w:color="auto" w:fill="auto"/>
          </w:tcPr>
          <w:p w14:paraId="6ACC1723" w14:textId="77777777" w:rsidR="0052346D" w:rsidRDefault="005A1771">
            <w:pPr>
              <w:pStyle w:val="prastasiniatinklio"/>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Labai retas</w:t>
            </w:r>
          </w:p>
        </w:tc>
        <w:tc>
          <w:tcPr>
            <w:tcW w:w="1595" w:type="dxa"/>
            <w:shd w:val="clear" w:color="auto" w:fill="auto"/>
          </w:tcPr>
          <w:p w14:paraId="32A0865D" w14:textId="77777777" w:rsidR="0052346D" w:rsidRDefault="005A1771">
            <w:pPr>
              <w:pStyle w:val="prastasiniatinklio"/>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w:t>
            </w:r>
          </w:p>
        </w:tc>
      </w:tr>
      <w:tr w:rsidR="0052346D" w14:paraId="6A4C9DB1" w14:textId="77777777">
        <w:tc>
          <w:tcPr>
            <w:tcW w:w="2081" w:type="dxa"/>
            <w:vMerge w:val="restart"/>
            <w:shd w:val="clear" w:color="auto" w:fill="auto"/>
          </w:tcPr>
          <w:p w14:paraId="2720AFAA" w14:textId="77777777" w:rsidR="0052346D" w:rsidRDefault="005A1771">
            <w:pPr>
              <w:pStyle w:val="prastasiniatinklio"/>
              <w:widowControl w:val="0"/>
              <w:spacing w:before="0" w:beforeAutospacing="0" w:after="0" w:afterAutospacing="0"/>
              <w:rPr>
                <w:rFonts w:ascii="Times New Roman" w:hAnsi="Times New Roman" w:cs="Times New Roman"/>
                <w:i/>
                <w:sz w:val="22"/>
                <w:szCs w:val="22"/>
                <w:lang w:val="lt-LT"/>
              </w:rPr>
            </w:pPr>
            <w:r>
              <w:rPr>
                <w:rFonts w:ascii="Times New Roman" w:hAnsi="Times New Roman" w:cs="Times New Roman"/>
                <w:i/>
                <w:sz w:val="22"/>
                <w:szCs w:val="22"/>
                <w:lang w:val="lt-LT"/>
              </w:rPr>
              <w:t>Virškinimo trakto sutrikimai</w:t>
            </w:r>
          </w:p>
        </w:tc>
        <w:tc>
          <w:tcPr>
            <w:tcW w:w="3750" w:type="dxa"/>
            <w:shd w:val="clear" w:color="auto" w:fill="auto"/>
          </w:tcPr>
          <w:p w14:paraId="2BFFE40D" w14:textId="77777777" w:rsidR="0052346D" w:rsidRDefault="005A1771">
            <w:pPr>
              <w:pStyle w:val="prastasiniatinklio"/>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Pykinimas</w:t>
            </w:r>
          </w:p>
        </w:tc>
        <w:tc>
          <w:tcPr>
            <w:tcW w:w="1634" w:type="dxa"/>
            <w:shd w:val="clear" w:color="auto" w:fill="auto"/>
          </w:tcPr>
          <w:p w14:paraId="12DC91A7"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Labai retas</w:t>
            </w:r>
          </w:p>
        </w:tc>
        <w:tc>
          <w:tcPr>
            <w:tcW w:w="1595" w:type="dxa"/>
            <w:shd w:val="clear" w:color="auto" w:fill="auto"/>
          </w:tcPr>
          <w:p w14:paraId="32CC7FB9"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Retas</w:t>
            </w:r>
          </w:p>
        </w:tc>
      </w:tr>
      <w:tr w:rsidR="0052346D" w14:paraId="7A693D63" w14:textId="77777777">
        <w:tc>
          <w:tcPr>
            <w:tcW w:w="2081" w:type="dxa"/>
            <w:vMerge/>
            <w:shd w:val="clear" w:color="auto" w:fill="auto"/>
          </w:tcPr>
          <w:p w14:paraId="184A8611" w14:textId="77777777" w:rsidR="0052346D" w:rsidRDefault="0052346D">
            <w:pPr>
              <w:pStyle w:val="prastasiniatinklio"/>
              <w:widowControl w:val="0"/>
              <w:spacing w:before="0" w:beforeAutospacing="0" w:after="0" w:afterAutospacing="0"/>
              <w:rPr>
                <w:rFonts w:ascii="Times New Roman" w:hAnsi="Times New Roman" w:cs="Times New Roman"/>
                <w:i/>
                <w:sz w:val="22"/>
                <w:szCs w:val="22"/>
                <w:lang w:val="lt-LT"/>
              </w:rPr>
            </w:pPr>
          </w:p>
        </w:tc>
        <w:tc>
          <w:tcPr>
            <w:tcW w:w="3750" w:type="dxa"/>
            <w:shd w:val="clear" w:color="auto" w:fill="auto"/>
          </w:tcPr>
          <w:p w14:paraId="7E05E9D4" w14:textId="77777777" w:rsidR="0052346D" w:rsidRDefault="005A1771">
            <w:pPr>
              <w:pStyle w:val="prastasiniatinklio"/>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Viduriavimas</w:t>
            </w:r>
          </w:p>
        </w:tc>
        <w:tc>
          <w:tcPr>
            <w:tcW w:w="1634" w:type="dxa"/>
            <w:shd w:val="clear" w:color="auto" w:fill="auto"/>
          </w:tcPr>
          <w:p w14:paraId="43E857EF"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Nežinomas</w:t>
            </w:r>
          </w:p>
        </w:tc>
        <w:tc>
          <w:tcPr>
            <w:tcW w:w="1595" w:type="dxa"/>
            <w:shd w:val="clear" w:color="auto" w:fill="auto"/>
          </w:tcPr>
          <w:p w14:paraId="438257A5"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w:t>
            </w:r>
          </w:p>
        </w:tc>
      </w:tr>
      <w:tr w:rsidR="0052346D" w14:paraId="2C386B1F" w14:textId="77777777">
        <w:tc>
          <w:tcPr>
            <w:tcW w:w="2081" w:type="dxa"/>
            <w:vMerge/>
            <w:shd w:val="clear" w:color="auto" w:fill="auto"/>
          </w:tcPr>
          <w:p w14:paraId="3265071C" w14:textId="77777777" w:rsidR="0052346D" w:rsidRDefault="0052346D">
            <w:pPr>
              <w:pStyle w:val="prastasiniatinklio"/>
              <w:widowControl w:val="0"/>
              <w:spacing w:before="0" w:beforeAutospacing="0" w:after="0" w:afterAutospacing="0"/>
              <w:rPr>
                <w:rFonts w:ascii="Times New Roman" w:hAnsi="Times New Roman" w:cs="Times New Roman"/>
                <w:i/>
                <w:sz w:val="22"/>
                <w:szCs w:val="22"/>
                <w:lang w:val="lt-LT"/>
              </w:rPr>
            </w:pPr>
          </w:p>
        </w:tc>
        <w:tc>
          <w:tcPr>
            <w:tcW w:w="3750" w:type="dxa"/>
            <w:shd w:val="clear" w:color="auto" w:fill="auto"/>
          </w:tcPr>
          <w:p w14:paraId="68CE98A8" w14:textId="77777777" w:rsidR="0052346D" w:rsidRDefault="005A1771">
            <w:pPr>
              <w:pStyle w:val="prastasiniatinklio"/>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Vėmimas</w:t>
            </w:r>
          </w:p>
        </w:tc>
        <w:tc>
          <w:tcPr>
            <w:tcW w:w="1634" w:type="dxa"/>
            <w:shd w:val="clear" w:color="auto" w:fill="auto"/>
          </w:tcPr>
          <w:p w14:paraId="58C35CEA"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w:t>
            </w:r>
          </w:p>
        </w:tc>
        <w:tc>
          <w:tcPr>
            <w:tcW w:w="1595" w:type="dxa"/>
            <w:shd w:val="clear" w:color="auto" w:fill="auto"/>
          </w:tcPr>
          <w:p w14:paraId="59D06ED3"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Nedažnas</w:t>
            </w:r>
          </w:p>
        </w:tc>
      </w:tr>
      <w:tr w:rsidR="0052346D" w14:paraId="1C6904DE" w14:textId="77777777">
        <w:tc>
          <w:tcPr>
            <w:tcW w:w="2081" w:type="dxa"/>
            <w:vMerge/>
            <w:shd w:val="clear" w:color="auto" w:fill="auto"/>
          </w:tcPr>
          <w:p w14:paraId="0B724F45" w14:textId="77777777" w:rsidR="0052346D" w:rsidRDefault="0052346D">
            <w:pPr>
              <w:pStyle w:val="prastasiniatinklio"/>
              <w:widowControl w:val="0"/>
              <w:spacing w:before="0" w:beforeAutospacing="0" w:after="0" w:afterAutospacing="0"/>
              <w:rPr>
                <w:rFonts w:ascii="Times New Roman" w:hAnsi="Times New Roman" w:cs="Times New Roman"/>
                <w:i/>
                <w:sz w:val="22"/>
                <w:szCs w:val="22"/>
                <w:lang w:val="lt-LT"/>
              </w:rPr>
            </w:pPr>
          </w:p>
        </w:tc>
        <w:tc>
          <w:tcPr>
            <w:tcW w:w="3750" w:type="dxa"/>
            <w:shd w:val="clear" w:color="auto" w:fill="auto"/>
          </w:tcPr>
          <w:p w14:paraId="3B57B6B9" w14:textId="77777777" w:rsidR="0052346D" w:rsidRDefault="005A1771">
            <w:pPr>
              <w:pStyle w:val="prastasiniatinklio"/>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Vidurių užkietėjimas, burnos džiūvimas</w:t>
            </w:r>
          </w:p>
        </w:tc>
        <w:tc>
          <w:tcPr>
            <w:tcW w:w="1634" w:type="dxa"/>
            <w:shd w:val="clear" w:color="auto" w:fill="auto"/>
          </w:tcPr>
          <w:p w14:paraId="2F09BAF0"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w:t>
            </w:r>
          </w:p>
        </w:tc>
        <w:tc>
          <w:tcPr>
            <w:tcW w:w="1595" w:type="dxa"/>
            <w:shd w:val="clear" w:color="auto" w:fill="auto"/>
          </w:tcPr>
          <w:p w14:paraId="235559F6"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Retas</w:t>
            </w:r>
          </w:p>
        </w:tc>
      </w:tr>
      <w:tr w:rsidR="0052346D" w14:paraId="5973913D" w14:textId="77777777">
        <w:tc>
          <w:tcPr>
            <w:tcW w:w="2081" w:type="dxa"/>
            <w:vMerge/>
            <w:shd w:val="clear" w:color="auto" w:fill="auto"/>
          </w:tcPr>
          <w:p w14:paraId="03EC6B9B" w14:textId="77777777" w:rsidR="0052346D" w:rsidRDefault="0052346D">
            <w:pPr>
              <w:pStyle w:val="prastasiniatinklio"/>
              <w:widowControl w:val="0"/>
              <w:spacing w:before="0" w:beforeAutospacing="0" w:after="0" w:afterAutospacing="0"/>
              <w:rPr>
                <w:rFonts w:ascii="Times New Roman" w:hAnsi="Times New Roman" w:cs="Times New Roman"/>
                <w:i/>
                <w:sz w:val="22"/>
                <w:szCs w:val="22"/>
                <w:lang w:val="lt-LT"/>
              </w:rPr>
            </w:pPr>
          </w:p>
        </w:tc>
        <w:tc>
          <w:tcPr>
            <w:tcW w:w="3750" w:type="dxa"/>
            <w:shd w:val="clear" w:color="auto" w:fill="auto"/>
          </w:tcPr>
          <w:p w14:paraId="1FE8BA34" w14:textId="77777777" w:rsidR="0052346D" w:rsidRDefault="005A1771">
            <w:pPr>
              <w:pStyle w:val="prastasiniatinklio"/>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Pankreatitas</w:t>
            </w:r>
          </w:p>
        </w:tc>
        <w:tc>
          <w:tcPr>
            <w:tcW w:w="1634" w:type="dxa"/>
            <w:shd w:val="clear" w:color="auto" w:fill="auto"/>
          </w:tcPr>
          <w:p w14:paraId="3E3C2CC4"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w:t>
            </w:r>
          </w:p>
        </w:tc>
        <w:tc>
          <w:tcPr>
            <w:tcW w:w="1595" w:type="dxa"/>
            <w:shd w:val="clear" w:color="auto" w:fill="auto"/>
          </w:tcPr>
          <w:p w14:paraId="258E26CF"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Labai retas</w:t>
            </w:r>
          </w:p>
        </w:tc>
      </w:tr>
      <w:tr w:rsidR="0052346D" w14:paraId="5B2268D8" w14:textId="77777777">
        <w:tc>
          <w:tcPr>
            <w:tcW w:w="2081" w:type="dxa"/>
            <w:vMerge/>
            <w:shd w:val="clear" w:color="auto" w:fill="auto"/>
          </w:tcPr>
          <w:p w14:paraId="4197BA49" w14:textId="77777777" w:rsidR="0052346D" w:rsidRDefault="0052346D">
            <w:pPr>
              <w:pStyle w:val="prastasiniatinklio"/>
              <w:widowControl w:val="0"/>
              <w:spacing w:before="0" w:beforeAutospacing="0" w:after="0" w:afterAutospacing="0"/>
              <w:rPr>
                <w:rFonts w:ascii="Times New Roman" w:hAnsi="Times New Roman" w:cs="Times New Roman"/>
                <w:i/>
                <w:sz w:val="22"/>
                <w:szCs w:val="22"/>
                <w:lang w:val="lt-LT"/>
              </w:rPr>
            </w:pPr>
          </w:p>
        </w:tc>
        <w:tc>
          <w:tcPr>
            <w:tcW w:w="3750" w:type="dxa"/>
            <w:shd w:val="clear" w:color="auto" w:fill="auto"/>
          </w:tcPr>
          <w:p w14:paraId="74D25649" w14:textId="77777777" w:rsidR="0052346D" w:rsidRDefault="005A1771">
            <w:pPr>
              <w:pStyle w:val="prastasiniatinklio"/>
              <w:spacing w:before="0" w:beforeAutospacing="0" w:after="0" w:afterAutospacing="0"/>
              <w:rPr>
                <w:rFonts w:ascii="Times New Roman" w:hAnsi="Times New Roman" w:cs="Times New Roman"/>
                <w:sz w:val="22"/>
                <w:szCs w:val="22"/>
                <w:lang w:val="lt-LT"/>
              </w:rPr>
            </w:pPr>
            <w:r w:rsidRPr="00892CBD">
              <w:rPr>
                <w:rFonts w:ascii="Times New Roman" w:hAnsi="Times New Roman" w:cs="Times New Roman"/>
                <w:sz w:val="22"/>
                <w:szCs w:val="22"/>
              </w:rPr>
              <w:t>Žarnyno angioneurozinė edema</w:t>
            </w:r>
          </w:p>
        </w:tc>
        <w:tc>
          <w:tcPr>
            <w:tcW w:w="1634" w:type="dxa"/>
            <w:shd w:val="clear" w:color="auto" w:fill="auto"/>
          </w:tcPr>
          <w:p w14:paraId="44453192"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Labai retas</w:t>
            </w:r>
          </w:p>
        </w:tc>
        <w:tc>
          <w:tcPr>
            <w:tcW w:w="1595" w:type="dxa"/>
            <w:shd w:val="clear" w:color="auto" w:fill="auto"/>
          </w:tcPr>
          <w:p w14:paraId="2D8B7C0A"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w:t>
            </w:r>
          </w:p>
        </w:tc>
      </w:tr>
      <w:tr w:rsidR="0052346D" w14:paraId="69F084D0" w14:textId="77777777">
        <w:tc>
          <w:tcPr>
            <w:tcW w:w="2081" w:type="dxa"/>
            <w:vMerge w:val="restart"/>
            <w:shd w:val="clear" w:color="auto" w:fill="auto"/>
          </w:tcPr>
          <w:p w14:paraId="521CFECF" w14:textId="77777777" w:rsidR="0052346D" w:rsidRDefault="005A1771">
            <w:pPr>
              <w:pStyle w:val="prastasiniatinklio"/>
              <w:widowControl w:val="0"/>
              <w:spacing w:before="0" w:beforeAutospacing="0" w:after="0" w:afterAutospacing="0"/>
              <w:rPr>
                <w:rFonts w:ascii="Times New Roman" w:hAnsi="Times New Roman" w:cs="Times New Roman"/>
                <w:i/>
                <w:sz w:val="22"/>
                <w:szCs w:val="22"/>
                <w:lang w:val="lt-LT"/>
              </w:rPr>
            </w:pPr>
            <w:r>
              <w:rPr>
                <w:rFonts w:ascii="Times New Roman" w:hAnsi="Times New Roman" w:cs="Times New Roman"/>
                <w:i/>
                <w:sz w:val="22"/>
                <w:szCs w:val="22"/>
                <w:lang w:val="lt-LT"/>
              </w:rPr>
              <w:t>Kepenų, tulžies pūslės ir latakų sutrikimai</w:t>
            </w:r>
          </w:p>
        </w:tc>
        <w:tc>
          <w:tcPr>
            <w:tcW w:w="3750" w:type="dxa"/>
            <w:shd w:val="clear" w:color="auto" w:fill="auto"/>
          </w:tcPr>
          <w:p w14:paraId="3D682AF5"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Nenormali kepenų funkcija</w:t>
            </w:r>
          </w:p>
        </w:tc>
        <w:tc>
          <w:tcPr>
            <w:tcW w:w="1634" w:type="dxa"/>
            <w:shd w:val="clear" w:color="auto" w:fill="auto"/>
          </w:tcPr>
          <w:p w14:paraId="6044D816"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Labai retas</w:t>
            </w:r>
          </w:p>
        </w:tc>
        <w:tc>
          <w:tcPr>
            <w:tcW w:w="1595" w:type="dxa"/>
            <w:shd w:val="clear" w:color="auto" w:fill="auto"/>
          </w:tcPr>
          <w:p w14:paraId="4C22B116"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Labai retas</w:t>
            </w:r>
          </w:p>
        </w:tc>
      </w:tr>
      <w:tr w:rsidR="0052346D" w14:paraId="06EF69D2" w14:textId="77777777">
        <w:tc>
          <w:tcPr>
            <w:tcW w:w="2081" w:type="dxa"/>
            <w:vMerge/>
            <w:shd w:val="clear" w:color="auto" w:fill="auto"/>
          </w:tcPr>
          <w:p w14:paraId="4B240803" w14:textId="77777777" w:rsidR="0052346D" w:rsidRDefault="0052346D">
            <w:pPr>
              <w:pStyle w:val="prastasiniatinklio"/>
              <w:widowControl w:val="0"/>
              <w:spacing w:before="0" w:beforeAutospacing="0" w:after="0" w:afterAutospacing="0"/>
              <w:rPr>
                <w:rFonts w:ascii="Times New Roman" w:hAnsi="Times New Roman" w:cs="Times New Roman"/>
                <w:i/>
                <w:sz w:val="22"/>
                <w:szCs w:val="22"/>
                <w:lang w:val="lt-LT"/>
              </w:rPr>
            </w:pPr>
          </w:p>
        </w:tc>
        <w:tc>
          <w:tcPr>
            <w:tcW w:w="3750" w:type="dxa"/>
            <w:shd w:val="clear" w:color="auto" w:fill="auto"/>
          </w:tcPr>
          <w:p w14:paraId="40543CDF"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Kepenų fermentų aktyvumo padidėjimas</w:t>
            </w:r>
          </w:p>
        </w:tc>
        <w:tc>
          <w:tcPr>
            <w:tcW w:w="1634" w:type="dxa"/>
            <w:shd w:val="clear" w:color="auto" w:fill="auto"/>
          </w:tcPr>
          <w:p w14:paraId="7AB0126C"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Labai retas</w:t>
            </w:r>
          </w:p>
        </w:tc>
        <w:tc>
          <w:tcPr>
            <w:tcW w:w="1595" w:type="dxa"/>
            <w:shd w:val="clear" w:color="auto" w:fill="auto"/>
          </w:tcPr>
          <w:p w14:paraId="4FBFAA27"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w:t>
            </w:r>
          </w:p>
        </w:tc>
      </w:tr>
      <w:tr w:rsidR="0052346D" w14:paraId="07444796" w14:textId="77777777">
        <w:tc>
          <w:tcPr>
            <w:tcW w:w="2081" w:type="dxa"/>
            <w:vMerge/>
            <w:shd w:val="clear" w:color="auto" w:fill="auto"/>
          </w:tcPr>
          <w:p w14:paraId="29BB53FD" w14:textId="77777777" w:rsidR="0052346D" w:rsidRDefault="0052346D">
            <w:pPr>
              <w:pStyle w:val="prastasiniatinklio"/>
              <w:widowControl w:val="0"/>
              <w:spacing w:before="0" w:beforeAutospacing="0" w:after="0" w:afterAutospacing="0"/>
              <w:rPr>
                <w:rFonts w:ascii="Times New Roman" w:hAnsi="Times New Roman" w:cs="Times New Roman"/>
                <w:i/>
                <w:sz w:val="22"/>
                <w:szCs w:val="22"/>
                <w:lang w:val="lt-LT"/>
              </w:rPr>
            </w:pPr>
          </w:p>
        </w:tc>
        <w:tc>
          <w:tcPr>
            <w:tcW w:w="3750" w:type="dxa"/>
            <w:shd w:val="clear" w:color="auto" w:fill="auto"/>
          </w:tcPr>
          <w:p w14:paraId="1291DB51"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Hepatitas</w:t>
            </w:r>
          </w:p>
        </w:tc>
        <w:tc>
          <w:tcPr>
            <w:tcW w:w="1634" w:type="dxa"/>
            <w:shd w:val="clear" w:color="auto" w:fill="auto"/>
          </w:tcPr>
          <w:p w14:paraId="00977411"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Labai retas</w:t>
            </w:r>
          </w:p>
        </w:tc>
        <w:tc>
          <w:tcPr>
            <w:tcW w:w="1595" w:type="dxa"/>
            <w:shd w:val="clear" w:color="auto" w:fill="auto"/>
          </w:tcPr>
          <w:p w14:paraId="4D4C6826"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Nežinomas</w:t>
            </w:r>
          </w:p>
        </w:tc>
      </w:tr>
      <w:tr w:rsidR="0052346D" w14:paraId="72013446" w14:textId="77777777">
        <w:tc>
          <w:tcPr>
            <w:tcW w:w="2081" w:type="dxa"/>
            <w:vMerge/>
            <w:shd w:val="clear" w:color="auto" w:fill="auto"/>
          </w:tcPr>
          <w:p w14:paraId="617AF2E6" w14:textId="77777777" w:rsidR="0052346D" w:rsidRDefault="0052346D">
            <w:pPr>
              <w:pStyle w:val="prastasiniatinklio"/>
              <w:widowControl w:val="0"/>
              <w:spacing w:before="0" w:beforeAutospacing="0" w:after="0" w:afterAutospacing="0"/>
              <w:rPr>
                <w:rFonts w:ascii="Times New Roman" w:hAnsi="Times New Roman" w:cs="Times New Roman"/>
                <w:i/>
                <w:sz w:val="22"/>
                <w:szCs w:val="22"/>
                <w:lang w:val="lt-LT"/>
              </w:rPr>
            </w:pPr>
          </w:p>
        </w:tc>
        <w:tc>
          <w:tcPr>
            <w:tcW w:w="3750" w:type="dxa"/>
            <w:shd w:val="clear" w:color="auto" w:fill="auto"/>
          </w:tcPr>
          <w:p w14:paraId="44C53E3E"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Galimas hepatinės encefalopatijos pasireiškimas esant kepenų nepakankamumui (žr. 4.3 ir 4.4 skyrius)</w:t>
            </w:r>
          </w:p>
        </w:tc>
        <w:tc>
          <w:tcPr>
            <w:tcW w:w="1634" w:type="dxa"/>
            <w:shd w:val="clear" w:color="auto" w:fill="auto"/>
          </w:tcPr>
          <w:p w14:paraId="5DF19E73"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w:t>
            </w:r>
          </w:p>
        </w:tc>
        <w:tc>
          <w:tcPr>
            <w:tcW w:w="1595" w:type="dxa"/>
            <w:shd w:val="clear" w:color="auto" w:fill="auto"/>
          </w:tcPr>
          <w:p w14:paraId="19587806"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Nežinomas</w:t>
            </w:r>
          </w:p>
        </w:tc>
      </w:tr>
      <w:tr w:rsidR="0052346D" w14:paraId="1A65C377" w14:textId="77777777">
        <w:tc>
          <w:tcPr>
            <w:tcW w:w="2081" w:type="dxa"/>
            <w:vMerge w:val="restart"/>
            <w:shd w:val="clear" w:color="auto" w:fill="auto"/>
          </w:tcPr>
          <w:p w14:paraId="333F672E" w14:textId="77777777" w:rsidR="0052346D" w:rsidRDefault="005A1771">
            <w:pPr>
              <w:pStyle w:val="prastasiniatinklio"/>
              <w:widowControl w:val="0"/>
              <w:spacing w:before="0" w:beforeAutospacing="0" w:after="0" w:afterAutospacing="0"/>
              <w:rPr>
                <w:rFonts w:ascii="Times New Roman" w:hAnsi="Times New Roman" w:cs="Times New Roman"/>
                <w:i/>
                <w:sz w:val="22"/>
                <w:szCs w:val="22"/>
                <w:lang w:val="lt-LT"/>
              </w:rPr>
            </w:pPr>
            <w:r>
              <w:rPr>
                <w:rFonts w:ascii="Times New Roman" w:hAnsi="Times New Roman" w:cs="Times New Roman"/>
                <w:i/>
                <w:sz w:val="22"/>
                <w:szCs w:val="22"/>
                <w:lang w:val="lt-LT"/>
              </w:rPr>
              <w:t>Odos ir poodinio audinio sutrikimai</w:t>
            </w:r>
          </w:p>
        </w:tc>
        <w:tc>
          <w:tcPr>
            <w:tcW w:w="3750" w:type="dxa"/>
            <w:shd w:val="clear" w:color="auto" w:fill="auto"/>
          </w:tcPr>
          <w:p w14:paraId="22660C08"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Angioneurozinė edema, išbėrimas, dilgėlinė, niežėjimas</w:t>
            </w:r>
          </w:p>
        </w:tc>
        <w:tc>
          <w:tcPr>
            <w:tcW w:w="1634" w:type="dxa"/>
            <w:shd w:val="clear" w:color="auto" w:fill="auto"/>
          </w:tcPr>
          <w:p w14:paraId="3FE84AD9"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Labai retas</w:t>
            </w:r>
          </w:p>
        </w:tc>
        <w:tc>
          <w:tcPr>
            <w:tcW w:w="1595" w:type="dxa"/>
            <w:shd w:val="clear" w:color="auto" w:fill="auto"/>
          </w:tcPr>
          <w:p w14:paraId="4D8C4CA9"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w:t>
            </w:r>
          </w:p>
        </w:tc>
      </w:tr>
      <w:tr w:rsidR="0052346D" w14:paraId="496531C1" w14:textId="77777777">
        <w:tc>
          <w:tcPr>
            <w:tcW w:w="2081" w:type="dxa"/>
            <w:vMerge/>
            <w:shd w:val="clear" w:color="auto" w:fill="auto"/>
          </w:tcPr>
          <w:p w14:paraId="4D087E6D" w14:textId="77777777" w:rsidR="0052346D" w:rsidRDefault="0052346D">
            <w:pPr>
              <w:pStyle w:val="prastasiniatinklio"/>
              <w:widowControl w:val="0"/>
              <w:spacing w:before="0" w:beforeAutospacing="0" w:after="0" w:afterAutospacing="0"/>
              <w:rPr>
                <w:rFonts w:ascii="Times New Roman" w:hAnsi="Times New Roman" w:cs="Times New Roman"/>
                <w:i/>
                <w:sz w:val="22"/>
                <w:szCs w:val="22"/>
                <w:lang w:val="lt-LT"/>
              </w:rPr>
            </w:pPr>
          </w:p>
        </w:tc>
        <w:tc>
          <w:tcPr>
            <w:tcW w:w="3750" w:type="dxa"/>
            <w:shd w:val="clear" w:color="auto" w:fill="auto"/>
          </w:tcPr>
          <w:p w14:paraId="59E6FF67"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 xml:space="preserve">Padidėjusio jautrumo reakcijos, makulopapulinis išbėrimas </w:t>
            </w:r>
          </w:p>
        </w:tc>
        <w:tc>
          <w:tcPr>
            <w:tcW w:w="1634" w:type="dxa"/>
            <w:shd w:val="clear" w:color="auto" w:fill="auto"/>
          </w:tcPr>
          <w:p w14:paraId="0DE0EA2A"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w:t>
            </w:r>
          </w:p>
        </w:tc>
        <w:tc>
          <w:tcPr>
            <w:tcW w:w="1595" w:type="dxa"/>
            <w:shd w:val="clear" w:color="auto" w:fill="auto"/>
          </w:tcPr>
          <w:p w14:paraId="0883F546"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Dažnas</w:t>
            </w:r>
          </w:p>
        </w:tc>
      </w:tr>
      <w:tr w:rsidR="0052346D" w14:paraId="639502F9" w14:textId="77777777">
        <w:tc>
          <w:tcPr>
            <w:tcW w:w="2081" w:type="dxa"/>
            <w:vMerge/>
            <w:shd w:val="clear" w:color="auto" w:fill="auto"/>
          </w:tcPr>
          <w:p w14:paraId="4A32A336" w14:textId="77777777" w:rsidR="0052346D" w:rsidRDefault="0052346D">
            <w:pPr>
              <w:pStyle w:val="prastasiniatinklio"/>
              <w:widowControl w:val="0"/>
              <w:spacing w:before="0" w:beforeAutospacing="0" w:after="0" w:afterAutospacing="0"/>
              <w:rPr>
                <w:rFonts w:ascii="Times New Roman" w:hAnsi="Times New Roman" w:cs="Times New Roman"/>
                <w:i/>
                <w:sz w:val="22"/>
                <w:szCs w:val="22"/>
                <w:lang w:val="lt-LT"/>
              </w:rPr>
            </w:pPr>
          </w:p>
        </w:tc>
        <w:tc>
          <w:tcPr>
            <w:tcW w:w="3750" w:type="dxa"/>
            <w:shd w:val="clear" w:color="auto" w:fill="auto"/>
          </w:tcPr>
          <w:p w14:paraId="13AC3040"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Angioneurozinė edema, dilgėlinė, toksinė epidermio nekrolizė, Stivenso–Džonsono (</w:t>
            </w:r>
            <w:r>
              <w:rPr>
                <w:rFonts w:ascii="Times New Roman" w:hAnsi="Times New Roman" w:cs="Times New Roman"/>
                <w:i/>
                <w:sz w:val="22"/>
                <w:szCs w:val="22"/>
                <w:lang w:val="lt-LT"/>
              </w:rPr>
              <w:t>Stevens-Johnson</w:t>
            </w:r>
            <w:r>
              <w:rPr>
                <w:rFonts w:ascii="Times New Roman" w:hAnsi="Times New Roman" w:cs="Times New Roman"/>
                <w:sz w:val="22"/>
                <w:szCs w:val="22"/>
                <w:lang w:val="lt-LT"/>
              </w:rPr>
              <w:t>) sindromas</w:t>
            </w:r>
          </w:p>
        </w:tc>
        <w:tc>
          <w:tcPr>
            <w:tcW w:w="1634" w:type="dxa"/>
            <w:shd w:val="clear" w:color="auto" w:fill="auto"/>
          </w:tcPr>
          <w:p w14:paraId="4FC3D4BA"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w:t>
            </w:r>
          </w:p>
        </w:tc>
        <w:tc>
          <w:tcPr>
            <w:tcW w:w="1595" w:type="dxa"/>
            <w:shd w:val="clear" w:color="auto" w:fill="auto"/>
          </w:tcPr>
          <w:p w14:paraId="26C4B65E"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Labai retas</w:t>
            </w:r>
          </w:p>
        </w:tc>
      </w:tr>
      <w:tr w:rsidR="0052346D" w14:paraId="30DD48FB" w14:textId="77777777">
        <w:tc>
          <w:tcPr>
            <w:tcW w:w="2081" w:type="dxa"/>
            <w:vMerge/>
            <w:shd w:val="clear" w:color="auto" w:fill="auto"/>
          </w:tcPr>
          <w:p w14:paraId="669FE797" w14:textId="77777777" w:rsidR="0052346D" w:rsidRDefault="0052346D">
            <w:pPr>
              <w:pStyle w:val="prastasiniatinklio"/>
              <w:widowControl w:val="0"/>
              <w:spacing w:before="0" w:beforeAutospacing="0" w:after="0" w:afterAutospacing="0"/>
              <w:rPr>
                <w:rFonts w:ascii="Times New Roman" w:hAnsi="Times New Roman" w:cs="Times New Roman"/>
                <w:i/>
                <w:sz w:val="22"/>
                <w:szCs w:val="22"/>
                <w:lang w:val="lt-LT"/>
              </w:rPr>
            </w:pPr>
          </w:p>
        </w:tc>
        <w:tc>
          <w:tcPr>
            <w:tcW w:w="3750" w:type="dxa"/>
            <w:shd w:val="clear" w:color="auto" w:fill="auto"/>
          </w:tcPr>
          <w:p w14:paraId="1F848398"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Galimas jau esamos ūminės išplitusios raudonosios vilkligės pasunkėjimas, padidėjusio jautrumo šviesai reakcijos (žr. 4.4 skyrių)</w:t>
            </w:r>
          </w:p>
        </w:tc>
        <w:tc>
          <w:tcPr>
            <w:tcW w:w="1634" w:type="dxa"/>
            <w:shd w:val="clear" w:color="auto" w:fill="auto"/>
          </w:tcPr>
          <w:p w14:paraId="39B91BBC"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w:t>
            </w:r>
          </w:p>
        </w:tc>
        <w:tc>
          <w:tcPr>
            <w:tcW w:w="1595" w:type="dxa"/>
            <w:shd w:val="clear" w:color="auto" w:fill="auto"/>
          </w:tcPr>
          <w:p w14:paraId="0D69DA02"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Nežinomas</w:t>
            </w:r>
          </w:p>
        </w:tc>
      </w:tr>
      <w:tr w:rsidR="0052346D" w14:paraId="57C912B4" w14:textId="77777777">
        <w:tc>
          <w:tcPr>
            <w:tcW w:w="2081" w:type="dxa"/>
            <w:vMerge w:val="restart"/>
            <w:shd w:val="clear" w:color="auto" w:fill="auto"/>
          </w:tcPr>
          <w:p w14:paraId="34459F40" w14:textId="77777777" w:rsidR="0052346D" w:rsidRDefault="005A1771">
            <w:pPr>
              <w:pStyle w:val="prastasiniatinklio"/>
              <w:widowControl w:val="0"/>
              <w:spacing w:before="0" w:beforeAutospacing="0" w:after="0" w:afterAutospacing="0"/>
              <w:rPr>
                <w:rFonts w:ascii="Times New Roman" w:hAnsi="Times New Roman" w:cs="Times New Roman"/>
                <w:i/>
                <w:sz w:val="22"/>
                <w:szCs w:val="22"/>
                <w:lang w:val="lt-LT"/>
              </w:rPr>
            </w:pPr>
            <w:r>
              <w:rPr>
                <w:rFonts w:ascii="Times New Roman" w:hAnsi="Times New Roman" w:cs="Times New Roman"/>
                <w:i/>
                <w:sz w:val="22"/>
                <w:szCs w:val="22"/>
                <w:lang w:val="lt-LT"/>
              </w:rPr>
              <w:t>Skeleto, raumenų ir jungiamojo audinio sutrikimai</w:t>
            </w:r>
          </w:p>
        </w:tc>
        <w:tc>
          <w:tcPr>
            <w:tcW w:w="3750" w:type="dxa"/>
            <w:shd w:val="clear" w:color="auto" w:fill="auto"/>
          </w:tcPr>
          <w:p w14:paraId="6DFB1A76"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Mialgija</w:t>
            </w:r>
          </w:p>
        </w:tc>
        <w:tc>
          <w:tcPr>
            <w:tcW w:w="1634" w:type="dxa"/>
            <w:shd w:val="clear" w:color="auto" w:fill="auto"/>
          </w:tcPr>
          <w:p w14:paraId="55331441"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Labai retas</w:t>
            </w:r>
          </w:p>
        </w:tc>
        <w:tc>
          <w:tcPr>
            <w:tcW w:w="1595" w:type="dxa"/>
            <w:shd w:val="clear" w:color="auto" w:fill="auto"/>
          </w:tcPr>
          <w:p w14:paraId="239CF754"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Nežinomas</w:t>
            </w:r>
          </w:p>
        </w:tc>
      </w:tr>
      <w:tr w:rsidR="0052346D" w14:paraId="65DDF02E" w14:textId="77777777">
        <w:tc>
          <w:tcPr>
            <w:tcW w:w="2081" w:type="dxa"/>
            <w:vMerge/>
            <w:shd w:val="clear" w:color="auto" w:fill="auto"/>
          </w:tcPr>
          <w:p w14:paraId="57DF5E47" w14:textId="77777777" w:rsidR="0052346D" w:rsidRDefault="0052346D">
            <w:pPr>
              <w:pStyle w:val="prastasiniatinklio"/>
              <w:widowControl w:val="0"/>
              <w:spacing w:before="0" w:beforeAutospacing="0" w:after="0" w:afterAutospacing="0"/>
              <w:rPr>
                <w:rFonts w:ascii="Times New Roman" w:hAnsi="Times New Roman" w:cs="Times New Roman"/>
                <w:i/>
                <w:sz w:val="22"/>
                <w:szCs w:val="22"/>
                <w:lang w:val="lt-LT"/>
              </w:rPr>
            </w:pPr>
          </w:p>
        </w:tc>
        <w:tc>
          <w:tcPr>
            <w:tcW w:w="3750" w:type="dxa"/>
            <w:shd w:val="clear" w:color="auto" w:fill="auto"/>
          </w:tcPr>
          <w:p w14:paraId="2F30B04C"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Nugaros skausmas, artralgija</w:t>
            </w:r>
          </w:p>
        </w:tc>
        <w:tc>
          <w:tcPr>
            <w:tcW w:w="1634" w:type="dxa"/>
            <w:shd w:val="clear" w:color="auto" w:fill="auto"/>
          </w:tcPr>
          <w:p w14:paraId="79E819AA"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Labai retas</w:t>
            </w:r>
          </w:p>
        </w:tc>
        <w:tc>
          <w:tcPr>
            <w:tcW w:w="1595" w:type="dxa"/>
            <w:shd w:val="clear" w:color="auto" w:fill="auto"/>
          </w:tcPr>
          <w:p w14:paraId="582D8897"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w:t>
            </w:r>
          </w:p>
        </w:tc>
      </w:tr>
      <w:tr w:rsidR="0052346D" w14:paraId="4D2496F4" w14:textId="77777777">
        <w:tc>
          <w:tcPr>
            <w:tcW w:w="2081" w:type="dxa"/>
            <w:vMerge/>
            <w:shd w:val="clear" w:color="auto" w:fill="auto"/>
          </w:tcPr>
          <w:p w14:paraId="0E540110" w14:textId="77777777" w:rsidR="0052346D" w:rsidRDefault="0052346D">
            <w:pPr>
              <w:pStyle w:val="prastasiniatinklio"/>
              <w:widowControl w:val="0"/>
              <w:spacing w:before="0" w:beforeAutospacing="0" w:after="0" w:afterAutospacing="0"/>
              <w:rPr>
                <w:rFonts w:ascii="Times New Roman" w:hAnsi="Times New Roman" w:cs="Times New Roman"/>
                <w:i/>
                <w:sz w:val="22"/>
                <w:szCs w:val="22"/>
                <w:lang w:val="lt-LT"/>
              </w:rPr>
            </w:pPr>
          </w:p>
        </w:tc>
        <w:tc>
          <w:tcPr>
            <w:tcW w:w="3750" w:type="dxa"/>
            <w:shd w:val="clear" w:color="auto" w:fill="auto"/>
          </w:tcPr>
          <w:p w14:paraId="47B968F3"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Raumenų spazmai, raumenų silpnumas, rabdomiolizė</w:t>
            </w:r>
          </w:p>
        </w:tc>
        <w:tc>
          <w:tcPr>
            <w:tcW w:w="1634" w:type="dxa"/>
            <w:shd w:val="clear" w:color="auto" w:fill="auto"/>
          </w:tcPr>
          <w:p w14:paraId="2EFC1D93"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w:t>
            </w:r>
          </w:p>
        </w:tc>
        <w:tc>
          <w:tcPr>
            <w:tcW w:w="1595" w:type="dxa"/>
            <w:shd w:val="clear" w:color="auto" w:fill="auto"/>
          </w:tcPr>
          <w:p w14:paraId="19076E71"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Nežinomas</w:t>
            </w:r>
          </w:p>
        </w:tc>
      </w:tr>
      <w:tr w:rsidR="0052346D" w14:paraId="2A9ED0F4" w14:textId="77777777">
        <w:tc>
          <w:tcPr>
            <w:tcW w:w="2081" w:type="dxa"/>
            <w:shd w:val="clear" w:color="auto" w:fill="auto"/>
          </w:tcPr>
          <w:p w14:paraId="0FBFE76F" w14:textId="77777777" w:rsidR="0052346D" w:rsidRDefault="005A1771">
            <w:pPr>
              <w:pStyle w:val="prastasiniatinklio"/>
              <w:widowControl w:val="0"/>
              <w:spacing w:before="0" w:beforeAutospacing="0" w:after="0" w:afterAutospacing="0"/>
              <w:rPr>
                <w:rFonts w:ascii="Times New Roman" w:hAnsi="Times New Roman" w:cs="Times New Roman"/>
                <w:i/>
                <w:sz w:val="22"/>
                <w:szCs w:val="22"/>
                <w:lang w:val="lt-LT"/>
              </w:rPr>
            </w:pPr>
            <w:r>
              <w:rPr>
                <w:rFonts w:ascii="Times New Roman" w:hAnsi="Times New Roman" w:cs="Times New Roman"/>
                <w:i/>
                <w:sz w:val="22"/>
                <w:szCs w:val="22"/>
                <w:lang w:val="lt-LT"/>
              </w:rPr>
              <w:t>Inkstų ir šlapimo takų sutrikimai</w:t>
            </w:r>
          </w:p>
        </w:tc>
        <w:tc>
          <w:tcPr>
            <w:tcW w:w="3750" w:type="dxa"/>
            <w:shd w:val="clear" w:color="auto" w:fill="auto"/>
          </w:tcPr>
          <w:p w14:paraId="501E4A2A"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Inkstų funkcijos sutrikimas, įskaitant ūminį inkstų nepakankamumą jautriems pacientams (žr. 4.4 skyrių)</w:t>
            </w:r>
          </w:p>
        </w:tc>
        <w:tc>
          <w:tcPr>
            <w:tcW w:w="1634" w:type="dxa"/>
            <w:shd w:val="clear" w:color="auto" w:fill="auto"/>
          </w:tcPr>
          <w:p w14:paraId="351019FB"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Labai retas</w:t>
            </w:r>
          </w:p>
        </w:tc>
        <w:tc>
          <w:tcPr>
            <w:tcW w:w="1595" w:type="dxa"/>
            <w:shd w:val="clear" w:color="auto" w:fill="auto"/>
          </w:tcPr>
          <w:p w14:paraId="45C17B2A"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Labai retas</w:t>
            </w:r>
          </w:p>
        </w:tc>
      </w:tr>
      <w:tr w:rsidR="0052346D" w14:paraId="175FB215" w14:textId="77777777">
        <w:tc>
          <w:tcPr>
            <w:tcW w:w="2081" w:type="dxa"/>
            <w:shd w:val="clear" w:color="auto" w:fill="auto"/>
          </w:tcPr>
          <w:p w14:paraId="29C2DA30" w14:textId="77777777" w:rsidR="0052346D" w:rsidRDefault="005A1771">
            <w:pPr>
              <w:pStyle w:val="prastasiniatinklio"/>
              <w:widowControl w:val="0"/>
              <w:spacing w:before="0" w:beforeAutospacing="0" w:after="0" w:afterAutospacing="0"/>
              <w:rPr>
                <w:rFonts w:ascii="Times New Roman" w:hAnsi="Times New Roman" w:cs="Times New Roman"/>
                <w:i/>
                <w:sz w:val="22"/>
                <w:szCs w:val="22"/>
                <w:lang w:val="lt-LT"/>
              </w:rPr>
            </w:pPr>
            <w:r>
              <w:rPr>
                <w:rFonts w:ascii="Times New Roman" w:hAnsi="Times New Roman" w:cs="Times New Roman"/>
                <w:i/>
                <w:sz w:val="22"/>
                <w:szCs w:val="22"/>
                <w:lang w:val="lt-LT"/>
              </w:rPr>
              <w:t>Lytinės sistemos ir krūties sutrikimai</w:t>
            </w:r>
          </w:p>
        </w:tc>
        <w:tc>
          <w:tcPr>
            <w:tcW w:w="3750" w:type="dxa"/>
            <w:shd w:val="clear" w:color="auto" w:fill="auto"/>
          </w:tcPr>
          <w:p w14:paraId="33392A19"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Erekcijos sutrikimas</w:t>
            </w:r>
          </w:p>
        </w:tc>
        <w:tc>
          <w:tcPr>
            <w:tcW w:w="1634" w:type="dxa"/>
            <w:shd w:val="clear" w:color="auto" w:fill="auto"/>
          </w:tcPr>
          <w:p w14:paraId="3310BF93"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w:t>
            </w:r>
          </w:p>
        </w:tc>
        <w:tc>
          <w:tcPr>
            <w:tcW w:w="1595" w:type="dxa"/>
            <w:shd w:val="clear" w:color="auto" w:fill="auto"/>
          </w:tcPr>
          <w:p w14:paraId="2492309D"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Nedažnas</w:t>
            </w:r>
          </w:p>
        </w:tc>
      </w:tr>
      <w:tr w:rsidR="0052346D" w14:paraId="7A8769D4" w14:textId="77777777">
        <w:tc>
          <w:tcPr>
            <w:tcW w:w="2081" w:type="dxa"/>
            <w:shd w:val="clear" w:color="auto" w:fill="auto"/>
          </w:tcPr>
          <w:p w14:paraId="4D3F8833" w14:textId="77777777" w:rsidR="0052346D" w:rsidRDefault="005A1771">
            <w:pPr>
              <w:pStyle w:val="prastasiniatinklio"/>
              <w:widowControl w:val="0"/>
              <w:spacing w:before="0" w:beforeAutospacing="0" w:after="0" w:afterAutospacing="0"/>
              <w:rPr>
                <w:rFonts w:ascii="Times New Roman" w:hAnsi="Times New Roman" w:cs="Times New Roman"/>
                <w:i/>
                <w:sz w:val="22"/>
                <w:szCs w:val="22"/>
                <w:lang w:val="lt-LT"/>
              </w:rPr>
            </w:pPr>
            <w:r>
              <w:rPr>
                <w:rFonts w:ascii="Times New Roman" w:hAnsi="Times New Roman" w:cs="Times New Roman"/>
                <w:i/>
                <w:sz w:val="22"/>
                <w:szCs w:val="22"/>
                <w:lang w:val="lt-LT"/>
              </w:rPr>
              <w:t>Tyrimai</w:t>
            </w:r>
          </w:p>
        </w:tc>
        <w:tc>
          <w:tcPr>
            <w:tcW w:w="3750" w:type="dxa"/>
            <w:shd w:val="clear" w:color="auto" w:fill="auto"/>
          </w:tcPr>
          <w:p w14:paraId="1958EBB0" w14:textId="77777777" w:rsidR="0052346D" w:rsidRDefault="005A1771">
            <w:pPr>
              <w:pStyle w:val="prastasiniatinklio"/>
              <w:widowControl w:val="0"/>
              <w:spacing w:before="0" w:beforeAutospacing="0" w:after="0" w:afterAutospacing="0"/>
              <w:rPr>
                <w:rFonts w:ascii="Times New Roman" w:hAnsi="Times New Roman" w:cs="Times New Roman"/>
                <w:sz w:val="22"/>
                <w:szCs w:val="22"/>
                <w:lang w:val="lt-LT"/>
              </w:rPr>
            </w:pPr>
            <w:r>
              <w:rPr>
                <w:rFonts w:ascii="Times New Roman" w:hAnsi="Times New Roman" w:cs="Times New Roman"/>
                <w:sz w:val="22"/>
                <w:szCs w:val="22"/>
                <w:lang w:val="lt-LT"/>
              </w:rPr>
              <w:t>QT pailgėjimas elektrokardiogramoje (žr. 4.4 ir 4.5 skyrius), padidėjusi gliukozės koncentracija kraujyje (žr. 4.4 skyrių), padidėjusi šlapimo rūgšties koncentracija kraujyje (žr. 4.4 skyrių)</w:t>
            </w:r>
          </w:p>
        </w:tc>
        <w:tc>
          <w:tcPr>
            <w:tcW w:w="1634" w:type="dxa"/>
            <w:shd w:val="clear" w:color="auto" w:fill="auto"/>
          </w:tcPr>
          <w:p w14:paraId="03568CA4"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w:t>
            </w:r>
          </w:p>
        </w:tc>
        <w:tc>
          <w:tcPr>
            <w:tcW w:w="1595" w:type="dxa"/>
            <w:shd w:val="clear" w:color="auto" w:fill="auto"/>
          </w:tcPr>
          <w:p w14:paraId="2A5E30EB" w14:textId="77777777" w:rsidR="0052346D" w:rsidRDefault="005A1771">
            <w:pPr>
              <w:pStyle w:val="prastasiniatinklio"/>
              <w:widowControl w:val="0"/>
              <w:spacing w:before="0" w:beforeAutospacing="0" w:after="0" w:afterAutospacing="0"/>
              <w:jc w:val="center"/>
              <w:rPr>
                <w:rFonts w:ascii="Times New Roman" w:hAnsi="Times New Roman" w:cs="Times New Roman"/>
                <w:sz w:val="22"/>
                <w:szCs w:val="22"/>
                <w:lang w:val="lt-LT"/>
              </w:rPr>
            </w:pPr>
            <w:r>
              <w:rPr>
                <w:rFonts w:ascii="Times New Roman" w:hAnsi="Times New Roman" w:cs="Times New Roman"/>
                <w:sz w:val="22"/>
                <w:szCs w:val="22"/>
                <w:lang w:val="lt-LT"/>
              </w:rPr>
              <w:t>Nežinomas</w:t>
            </w:r>
          </w:p>
        </w:tc>
      </w:tr>
    </w:tbl>
    <w:p w14:paraId="37F3EEA4" w14:textId="77777777" w:rsidR="0052346D" w:rsidRDefault="0052346D">
      <w:pPr>
        <w:tabs>
          <w:tab w:val="clear" w:pos="567"/>
        </w:tabs>
        <w:spacing w:line="240" w:lineRule="auto"/>
        <w:rPr>
          <w:bCs/>
          <w:iCs/>
          <w:snapToGrid/>
          <w:szCs w:val="22"/>
          <w:lang w:val="lt-LT" w:eastAsia="sl-SI"/>
        </w:rPr>
      </w:pPr>
    </w:p>
    <w:p w14:paraId="2416D08A" w14:textId="77777777" w:rsidR="0052346D" w:rsidRDefault="005A1771">
      <w:pPr>
        <w:tabs>
          <w:tab w:val="clear" w:pos="567"/>
        </w:tabs>
        <w:spacing w:line="240" w:lineRule="auto"/>
        <w:rPr>
          <w:bCs/>
          <w:iCs/>
          <w:snapToGrid/>
          <w:szCs w:val="22"/>
          <w:u w:val="single"/>
          <w:lang w:val="lt-LT" w:eastAsia="sl-SI"/>
        </w:rPr>
      </w:pPr>
      <w:r>
        <w:rPr>
          <w:bCs/>
          <w:iCs/>
          <w:snapToGrid/>
          <w:szCs w:val="22"/>
          <w:u w:val="single"/>
          <w:lang w:val="lt-LT" w:eastAsia="sl-SI"/>
        </w:rPr>
        <w:t>Atrinktų nepageidaujamų reakcijų apibūdinimas</w:t>
      </w:r>
    </w:p>
    <w:p w14:paraId="1A4AF223" w14:textId="77777777" w:rsidR="0052346D" w:rsidRDefault="005A1771">
      <w:pPr>
        <w:spacing w:line="240" w:lineRule="auto"/>
        <w:jc w:val="both"/>
        <w:rPr>
          <w:snapToGrid/>
          <w:szCs w:val="22"/>
          <w:lang w:val="lt-LT"/>
        </w:rPr>
      </w:pPr>
      <w:r>
        <w:rPr>
          <w:snapToGrid/>
          <w:szCs w:val="22"/>
          <w:lang w:val="lt-LT"/>
        </w:rPr>
        <w:t>II ir III fazės tyrimų metu lyginant 1,5 mg ir 2,5 mg indapamido dozes, kalio koncentracijos plazmoje analizė parodė nuo dozės priklausomą indapamido poveikį:</w:t>
      </w:r>
    </w:p>
    <w:p w14:paraId="4837DE70" w14:textId="77777777" w:rsidR="0052346D" w:rsidRDefault="005A1771">
      <w:pPr>
        <w:widowControl w:val="0"/>
        <w:numPr>
          <w:ilvl w:val="0"/>
          <w:numId w:val="19"/>
        </w:numPr>
        <w:spacing w:line="240" w:lineRule="auto"/>
        <w:rPr>
          <w:snapToGrid/>
          <w:szCs w:val="22"/>
          <w:lang w:val="lt-LT"/>
        </w:rPr>
      </w:pPr>
      <w:r>
        <w:rPr>
          <w:snapToGrid/>
          <w:szCs w:val="22"/>
          <w:lang w:val="lt-LT"/>
        </w:rPr>
        <w:t>Indapamidas 1,5 mg: kalio koncentracija kraujo plazmoje &lt; 3,4 mmol/l buvo nustatyta 10 % pacientų, o &lt; 3,2 mmol/l – 4 % pacientų po 4-6 gydymo savaičių. Po 12 gydymo savaičių kalio koncentracija kraujo plazmoje sumažėjo vidutiniškai 0,23 mmol/l.</w:t>
      </w:r>
    </w:p>
    <w:p w14:paraId="225D5198" w14:textId="77777777" w:rsidR="0052346D" w:rsidRDefault="005A1771">
      <w:pPr>
        <w:widowControl w:val="0"/>
        <w:numPr>
          <w:ilvl w:val="0"/>
          <w:numId w:val="19"/>
        </w:numPr>
        <w:spacing w:line="240" w:lineRule="auto"/>
        <w:rPr>
          <w:snapToGrid/>
          <w:szCs w:val="22"/>
          <w:lang w:val="lt-LT"/>
        </w:rPr>
      </w:pPr>
      <w:r>
        <w:rPr>
          <w:snapToGrid/>
          <w:szCs w:val="22"/>
          <w:lang w:val="lt-LT"/>
        </w:rPr>
        <w:t>Indapamidas 2,5 mg: kalio koncentracija kraujo plazmoje &lt; 3,4 mmol/l buvo nustatyta 25 % pacientų, o &lt; 3,2 mmol/l – 10 % pacientų po 4-6 gydymo savaičių. Po 12 gydymo savaičių kalio koncentracija kraujo plazmoje sumažėjo vidutiniškai 0,41 mmol/l.</w:t>
      </w:r>
    </w:p>
    <w:p w14:paraId="71100510" w14:textId="77777777" w:rsidR="0052346D" w:rsidRDefault="0052346D">
      <w:pPr>
        <w:tabs>
          <w:tab w:val="clear" w:pos="567"/>
        </w:tabs>
        <w:spacing w:line="240" w:lineRule="auto"/>
        <w:rPr>
          <w:snapToGrid/>
          <w:szCs w:val="22"/>
          <w:lang w:val="lt-LT" w:eastAsia="sl-SI"/>
        </w:rPr>
      </w:pPr>
    </w:p>
    <w:p w14:paraId="0E9F36A5" w14:textId="77777777" w:rsidR="0052346D" w:rsidRDefault="005A1771">
      <w:pPr>
        <w:tabs>
          <w:tab w:val="clear" w:pos="567"/>
        </w:tabs>
        <w:autoSpaceDE w:val="0"/>
        <w:autoSpaceDN w:val="0"/>
        <w:adjustRightInd w:val="0"/>
        <w:spacing w:line="240" w:lineRule="auto"/>
        <w:rPr>
          <w:i/>
          <w:iCs/>
          <w:snapToGrid/>
          <w:szCs w:val="22"/>
          <w:lang w:val="lt-LT"/>
        </w:rPr>
      </w:pPr>
      <w:r>
        <w:rPr>
          <w:i/>
          <w:iCs/>
          <w:snapToGrid/>
          <w:szCs w:val="22"/>
          <w:lang w:val="lt-LT"/>
        </w:rPr>
        <w:t>Laboratorinių tyrimų duomenys</w:t>
      </w:r>
    </w:p>
    <w:p w14:paraId="0D0006ED" w14:textId="77777777" w:rsidR="0052346D" w:rsidRDefault="005A1771">
      <w:pPr>
        <w:widowControl w:val="0"/>
        <w:tabs>
          <w:tab w:val="clear" w:pos="567"/>
        </w:tabs>
        <w:autoSpaceDE w:val="0"/>
        <w:autoSpaceDN w:val="0"/>
        <w:adjustRightInd w:val="0"/>
        <w:spacing w:line="240" w:lineRule="auto"/>
        <w:rPr>
          <w:snapToGrid/>
          <w:szCs w:val="22"/>
          <w:lang w:val="lt-LT"/>
        </w:rPr>
      </w:pPr>
      <w:r>
        <w:rPr>
          <w:snapToGrid/>
          <w:szCs w:val="22"/>
          <w:lang w:val="lt-LT"/>
        </w:rPr>
        <w:t>Apskritai kliniškai reikšmingos kandesartano įtakos įprastiniams laboratoriniams rodmenims nenustatyta. Kaip ir vartojant kitų renino, angiotenzino ir aldosterono sistemos inhibitorių, pastebėtas nedidelis hemoglobino koncentracijos sumažėjimas. Pacientams, vartojantiems kandesartano, reguliarios laboratorinių rodmenų stebėsenos paprastai nereikia. Vis dėlto pacientams, kurių inkstų funkcija sutrikusi, rekomenduojama periodiškai tirti kalio ir kreatinino koncentraciją kraujo serume (žr. 4.4 skyrių).</w:t>
      </w:r>
    </w:p>
    <w:p w14:paraId="5516614D" w14:textId="77777777" w:rsidR="0052346D" w:rsidRDefault="0052346D">
      <w:pPr>
        <w:widowControl w:val="0"/>
        <w:tabs>
          <w:tab w:val="clear" w:pos="567"/>
        </w:tabs>
        <w:autoSpaceDE w:val="0"/>
        <w:autoSpaceDN w:val="0"/>
        <w:adjustRightInd w:val="0"/>
        <w:spacing w:line="240" w:lineRule="auto"/>
        <w:rPr>
          <w:bCs/>
          <w:snapToGrid/>
          <w:szCs w:val="22"/>
          <w:lang w:val="lt-LT"/>
        </w:rPr>
      </w:pPr>
    </w:p>
    <w:p w14:paraId="569FB172" w14:textId="77777777" w:rsidR="0052346D" w:rsidRDefault="005A1771">
      <w:pPr>
        <w:jc w:val="both"/>
        <w:rPr>
          <w:snapToGrid/>
          <w:szCs w:val="22"/>
          <w:u w:val="single"/>
          <w:lang w:val="lt-LT"/>
        </w:rPr>
      </w:pPr>
      <w:r>
        <w:rPr>
          <w:snapToGrid/>
          <w:szCs w:val="22"/>
          <w:u w:val="single"/>
          <w:lang w:val="lt-LT"/>
        </w:rPr>
        <w:t>Pranešimas apie įtariamas nepageidaujamas reakcijas</w:t>
      </w:r>
    </w:p>
    <w:p w14:paraId="47674086" w14:textId="77777777" w:rsidR="0052346D" w:rsidRDefault="005A1771">
      <w:pPr>
        <w:jc w:val="both"/>
        <w:rPr>
          <w:snapToGrid/>
          <w:szCs w:val="22"/>
          <w:lang w:val="lt-LT"/>
        </w:rPr>
      </w:pPr>
      <w:r>
        <w:rPr>
          <w:snapToGrid/>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napToGrid/>
          <w:szCs w:val="22"/>
          <w:u w:val="single"/>
          <w:lang w:val="lt-LT"/>
        </w:rPr>
        <w:t>https://vvkt.lrv.lt/lt/</w:t>
      </w:r>
      <w:r>
        <w:rPr>
          <w:snapToGrid/>
          <w:szCs w:val="22"/>
          <w:lang w:val="lt-LT"/>
        </w:rPr>
        <w:t xml:space="preserve"> nurodytais būdais.</w:t>
      </w:r>
    </w:p>
    <w:p w14:paraId="5F2333E9" w14:textId="77777777" w:rsidR="0052346D" w:rsidRDefault="0052346D">
      <w:pPr>
        <w:widowControl w:val="0"/>
        <w:tabs>
          <w:tab w:val="clear" w:pos="567"/>
        </w:tabs>
        <w:autoSpaceDE w:val="0"/>
        <w:autoSpaceDN w:val="0"/>
        <w:adjustRightInd w:val="0"/>
        <w:spacing w:line="240" w:lineRule="auto"/>
        <w:rPr>
          <w:bCs/>
          <w:snapToGrid/>
          <w:szCs w:val="22"/>
          <w:u w:val="single"/>
          <w:lang w:val="lt-LT"/>
        </w:rPr>
      </w:pPr>
    </w:p>
    <w:p w14:paraId="648B6CAD" w14:textId="77777777" w:rsidR="0052346D" w:rsidRDefault="005A1771">
      <w:pPr>
        <w:widowControl w:val="0"/>
        <w:spacing w:line="240" w:lineRule="auto"/>
        <w:ind w:left="567" w:hanging="567"/>
        <w:outlineLvl w:val="2"/>
        <w:rPr>
          <w:b/>
          <w:snapToGrid/>
          <w:kern w:val="28"/>
          <w:szCs w:val="22"/>
          <w:lang w:val="lt-LT"/>
        </w:rPr>
      </w:pPr>
      <w:r>
        <w:rPr>
          <w:b/>
          <w:snapToGrid/>
          <w:kern w:val="28"/>
          <w:szCs w:val="22"/>
          <w:lang w:val="lt-LT"/>
        </w:rPr>
        <w:t>4.9</w:t>
      </w:r>
      <w:r>
        <w:rPr>
          <w:b/>
          <w:snapToGrid/>
          <w:kern w:val="28"/>
          <w:szCs w:val="22"/>
          <w:lang w:val="lt-LT"/>
        </w:rPr>
        <w:tab/>
        <w:t>Perdozavimas</w:t>
      </w:r>
    </w:p>
    <w:p w14:paraId="53D50C6D" w14:textId="77777777" w:rsidR="0052346D" w:rsidRDefault="0052346D">
      <w:pPr>
        <w:widowControl w:val="0"/>
        <w:tabs>
          <w:tab w:val="clear" w:pos="567"/>
          <w:tab w:val="left" w:pos="540"/>
        </w:tabs>
        <w:autoSpaceDE w:val="0"/>
        <w:autoSpaceDN w:val="0"/>
        <w:adjustRightInd w:val="0"/>
        <w:spacing w:line="240" w:lineRule="auto"/>
        <w:rPr>
          <w:snapToGrid/>
          <w:szCs w:val="22"/>
          <w:u w:val="single"/>
          <w:lang w:val="lt-LT" w:eastAsia="sl-SI"/>
        </w:rPr>
      </w:pPr>
    </w:p>
    <w:p w14:paraId="2F4A9ACC" w14:textId="77777777" w:rsidR="0052346D" w:rsidRDefault="005A1771">
      <w:pPr>
        <w:widowControl w:val="0"/>
        <w:tabs>
          <w:tab w:val="clear" w:pos="567"/>
          <w:tab w:val="left" w:pos="540"/>
        </w:tabs>
        <w:autoSpaceDE w:val="0"/>
        <w:autoSpaceDN w:val="0"/>
        <w:adjustRightInd w:val="0"/>
        <w:spacing w:line="240" w:lineRule="auto"/>
        <w:rPr>
          <w:snapToGrid/>
          <w:szCs w:val="22"/>
          <w:u w:val="single"/>
          <w:lang w:val="lt-LT" w:eastAsia="sl-SI"/>
        </w:rPr>
      </w:pPr>
      <w:r>
        <w:rPr>
          <w:snapToGrid/>
          <w:szCs w:val="22"/>
          <w:u w:val="single"/>
          <w:lang w:val="lt-LT" w:eastAsia="sl-SI"/>
        </w:rPr>
        <w:t>Simptomai</w:t>
      </w:r>
    </w:p>
    <w:p w14:paraId="5C215ED9" w14:textId="77777777" w:rsidR="0052346D" w:rsidRDefault="005A1771">
      <w:pPr>
        <w:tabs>
          <w:tab w:val="clear" w:pos="567"/>
        </w:tabs>
        <w:autoSpaceDE w:val="0"/>
        <w:autoSpaceDN w:val="0"/>
        <w:adjustRightInd w:val="0"/>
        <w:spacing w:line="240" w:lineRule="auto"/>
        <w:rPr>
          <w:iCs/>
          <w:snapToGrid/>
          <w:color w:val="000000"/>
          <w:szCs w:val="22"/>
          <w:lang w:val="lt-LT" w:eastAsia="sl-SI"/>
        </w:rPr>
      </w:pPr>
      <w:r>
        <w:rPr>
          <w:iCs/>
          <w:snapToGrid/>
          <w:color w:val="000000"/>
          <w:szCs w:val="22"/>
          <w:lang w:val="lt-LT" w:eastAsia="sl-SI"/>
        </w:rPr>
        <w:t>Remiantis farmakologiniais duomenimis, tikėtinas pagrindinis kandesartano perdozavimo pasireiškimas yra simptominė hipotenzija ir svaigulys. Atskirais praneštais perdozavimo (iki 672 mg kandesartano) atvejais pacientų pasveikimas buvo sklandus.</w:t>
      </w:r>
    </w:p>
    <w:p w14:paraId="07408367" w14:textId="77777777" w:rsidR="0052346D" w:rsidRDefault="0052346D">
      <w:pPr>
        <w:tabs>
          <w:tab w:val="clear" w:pos="567"/>
        </w:tabs>
        <w:autoSpaceDE w:val="0"/>
        <w:autoSpaceDN w:val="0"/>
        <w:adjustRightInd w:val="0"/>
        <w:spacing w:line="240" w:lineRule="auto"/>
        <w:rPr>
          <w:snapToGrid/>
          <w:color w:val="000000"/>
          <w:szCs w:val="22"/>
          <w:lang w:val="lt-LT" w:eastAsia="sl-SI"/>
        </w:rPr>
      </w:pPr>
    </w:p>
    <w:p w14:paraId="50FDAE5B" w14:textId="77777777" w:rsidR="0052346D" w:rsidRDefault="005A1771">
      <w:pPr>
        <w:spacing w:line="240" w:lineRule="auto"/>
        <w:rPr>
          <w:rFonts w:eastAsia="Calibri"/>
          <w:szCs w:val="22"/>
          <w:lang w:val="lt-LT" w:eastAsia="lt-LT"/>
        </w:rPr>
      </w:pPr>
      <w:r>
        <w:rPr>
          <w:rFonts w:eastAsia="Calibri"/>
          <w:szCs w:val="22"/>
          <w:lang w:val="lt-LT" w:eastAsia="lt-LT"/>
        </w:rPr>
        <w:lastRenderedPageBreak/>
        <w:t>Nustatyta, kad indapamido dozė iki 40 mg, t. y. maždaug 16 kartus didesnė už terapinę dozę, toksinio poveikio nesukelia.</w:t>
      </w:r>
    </w:p>
    <w:p w14:paraId="2F16ABC8" w14:textId="77777777" w:rsidR="0052346D" w:rsidRDefault="005A1771">
      <w:pPr>
        <w:spacing w:line="240" w:lineRule="auto"/>
        <w:rPr>
          <w:rFonts w:eastAsia="Calibri"/>
          <w:szCs w:val="22"/>
          <w:lang w:val="lt-LT" w:eastAsia="lt-LT"/>
        </w:rPr>
      </w:pPr>
      <w:r>
        <w:rPr>
          <w:rFonts w:eastAsia="Calibri"/>
          <w:szCs w:val="22"/>
          <w:lang w:val="lt-LT" w:eastAsia="lt-LT"/>
        </w:rPr>
        <w:t>Ūminio perdozavimo požymiai pirmiausiai yra elektrolitų ir vandens pusiausvyros sutrikimas (hiponatremija, hipokalemija); kliniškai pasireiškia pykinimas, vėmimas, hipotenzija, traukuliai, svaigimas (</w:t>
      </w:r>
      <w:r>
        <w:rPr>
          <w:rFonts w:eastAsia="Calibri"/>
          <w:i/>
          <w:szCs w:val="22"/>
          <w:lang w:val="lt-LT" w:eastAsia="lt-LT"/>
        </w:rPr>
        <w:t>vertigo</w:t>
      </w:r>
      <w:r>
        <w:rPr>
          <w:rFonts w:eastAsia="Calibri"/>
          <w:szCs w:val="22"/>
          <w:lang w:val="lt-LT" w:eastAsia="lt-LT"/>
        </w:rPr>
        <w:t xml:space="preserve">), mieguistumas (somnolencija), sumišimas, poliurija arba oligurija net iki anurijos (dėl hipovolemijos). </w:t>
      </w:r>
    </w:p>
    <w:p w14:paraId="13C8DF84" w14:textId="77777777" w:rsidR="0052346D" w:rsidRDefault="0052346D">
      <w:pPr>
        <w:widowControl w:val="0"/>
        <w:tabs>
          <w:tab w:val="clear" w:pos="567"/>
          <w:tab w:val="left" w:pos="540"/>
        </w:tabs>
        <w:autoSpaceDE w:val="0"/>
        <w:autoSpaceDN w:val="0"/>
        <w:adjustRightInd w:val="0"/>
        <w:spacing w:line="240" w:lineRule="auto"/>
        <w:rPr>
          <w:snapToGrid/>
          <w:szCs w:val="22"/>
          <w:lang w:val="lt-LT" w:eastAsia="sl-SI"/>
        </w:rPr>
      </w:pPr>
    </w:p>
    <w:p w14:paraId="1C3385D9" w14:textId="77777777" w:rsidR="0052346D" w:rsidRDefault="005A1771">
      <w:pPr>
        <w:widowControl w:val="0"/>
        <w:tabs>
          <w:tab w:val="clear" w:pos="567"/>
          <w:tab w:val="left" w:pos="540"/>
        </w:tabs>
        <w:autoSpaceDE w:val="0"/>
        <w:autoSpaceDN w:val="0"/>
        <w:adjustRightInd w:val="0"/>
        <w:spacing w:line="240" w:lineRule="auto"/>
        <w:rPr>
          <w:snapToGrid/>
          <w:szCs w:val="22"/>
          <w:u w:val="single"/>
          <w:lang w:val="lt-LT" w:eastAsia="sl-SI"/>
        </w:rPr>
      </w:pPr>
      <w:r>
        <w:rPr>
          <w:snapToGrid/>
          <w:szCs w:val="22"/>
          <w:u w:val="single"/>
          <w:lang w:val="lt-LT" w:eastAsia="sl-SI"/>
        </w:rPr>
        <w:t>Gydymas</w:t>
      </w:r>
    </w:p>
    <w:p w14:paraId="7FA2A6D3" w14:textId="77777777" w:rsidR="0052346D" w:rsidRDefault="005A1771">
      <w:pPr>
        <w:widowControl w:val="0"/>
        <w:tabs>
          <w:tab w:val="clear" w:pos="567"/>
        </w:tabs>
        <w:spacing w:line="240" w:lineRule="auto"/>
        <w:rPr>
          <w:snapToGrid/>
          <w:szCs w:val="22"/>
          <w:lang w:val="lt-LT" w:eastAsia="sl-SI"/>
        </w:rPr>
      </w:pPr>
      <w:r>
        <w:rPr>
          <w:snapToGrid/>
          <w:szCs w:val="22"/>
          <w:lang w:val="lt-LT" w:eastAsia="sl-SI"/>
        </w:rPr>
        <w:t>Pradinės priemonės perdozavus Kanpiduo gali būti aktyvintosios anglies skyrimas, kad sumažėtų suvartotų veikliųjų medžiagų absorbcija, o po to vandens ir elektrolitų pusiausvyros koregavimas gydymo įstaigoje. Jei atsiranda simptominė hipotenzija, reikia pradėti simptominį gydymą ir stebėti gyvybines funkcijas. Pacientą reikia paguldyti ant nugaros pakeltomis kojomis. Jei to nepakanka, kraujo plazmos tūrį reikia padidinti infuzuojant, pavyzdžiui, izotoninio fiziologinio tirpalo. Jei minėtų priemonių nepakanka, galima skirti simpatomimetinių vaistinių preparatų. Kandesartanas nepašalinamas hemodialize.</w:t>
      </w:r>
    </w:p>
    <w:p w14:paraId="1DE6FA6B" w14:textId="77777777" w:rsidR="0052346D" w:rsidRDefault="0052346D">
      <w:pPr>
        <w:widowControl w:val="0"/>
        <w:tabs>
          <w:tab w:val="clear" w:pos="567"/>
        </w:tabs>
        <w:spacing w:line="240" w:lineRule="auto"/>
        <w:ind w:left="567" w:hanging="567"/>
        <w:rPr>
          <w:snapToGrid/>
          <w:szCs w:val="22"/>
          <w:lang w:val="lt-LT"/>
        </w:rPr>
      </w:pPr>
    </w:p>
    <w:p w14:paraId="4121A7D3" w14:textId="77777777" w:rsidR="0052346D" w:rsidRDefault="0052346D">
      <w:pPr>
        <w:widowControl w:val="0"/>
        <w:tabs>
          <w:tab w:val="clear" w:pos="567"/>
        </w:tabs>
        <w:spacing w:line="240" w:lineRule="auto"/>
        <w:ind w:left="567" w:hanging="567"/>
        <w:rPr>
          <w:snapToGrid/>
          <w:szCs w:val="22"/>
          <w:lang w:val="lt-LT"/>
        </w:rPr>
      </w:pPr>
    </w:p>
    <w:p w14:paraId="43301209" w14:textId="77777777" w:rsidR="0052346D" w:rsidRDefault="005A1771">
      <w:pPr>
        <w:widowControl w:val="0"/>
        <w:spacing w:line="240" w:lineRule="auto"/>
        <w:ind w:left="567" w:hanging="567"/>
        <w:outlineLvl w:val="1"/>
        <w:rPr>
          <w:b/>
          <w:snapToGrid/>
          <w:szCs w:val="22"/>
          <w:lang w:val="lt-LT"/>
        </w:rPr>
      </w:pPr>
      <w:r>
        <w:rPr>
          <w:b/>
          <w:snapToGrid/>
          <w:szCs w:val="22"/>
          <w:lang w:val="lt-LT"/>
        </w:rPr>
        <w:t>5.</w:t>
      </w:r>
      <w:r>
        <w:rPr>
          <w:b/>
          <w:snapToGrid/>
          <w:szCs w:val="22"/>
          <w:lang w:val="lt-LT"/>
        </w:rPr>
        <w:tab/>
        <w:t>FARMAKOLOGINĖS SAVYBĖS</w:t>
      </w:r>
    </w:p>
    <w:p w14:paraId="2630A895" w14:textId="77777777" w:rsidR="0052346D" w:rsidRDefault="0052346D">
      <w:pPr>
        <w:widowControl w:val="0"/>
        <w:tabs>
          <w:tab w:val="clear" w:pos="567"/>
        </w:tabs>
        <w:spacing w:line="240" w:lineRule="auto"/>
        <w:ind w:left="567" w:hanging="567"/>
        <w:rPr>
          <w:snapToGrid/>
          <w:szCs w:val="22"/>
          <w:lang w:val="lt-LT"/>
        </w:rPr>
      </w:pPr>
    </w:p>
    <w:p w14:paraId="33C01048" w14:textId="77777777" w:rsidR="0052346D" w:rsidRDefault="005A1771">
      <w:pPr>
        <w:widowControl w:val="0"/>
        <w:spacing w:line="240" w:lineRule="auto"/>
        <w:ind w:left="567" w:hanging="567"/>
        <w:outlineLvl w:val="2"/>
        <w:rPr>
          <w:b/>
          <w:snapToGrid/>
          <w:kern w:val="28"/>
          <w:szCs w:val="22"/>
          <w:lang w:val="lt-LT"/>
        </w:rPr>
      </w:pPr>
      <w:r>
        <w:rPr>
          <w:b/>
          <w:snapToGrid/>
          <w:kern w:val="28"/>
          <w:szCs w:val="22"/>
          <w:lang w:val="lt-LT"/>
        </w:rPr>
        <w:t>5.1</w:t>
      </w:r>
      <w:r>
        <w:rPr>
          <w:b/>
          <w:snapToGrid/>
          <w:kern w:val="28"/>
          <w:szCs w:val="22"/>
          <w:lang w:val="lt-LT"/>
        </w:rPr>
        <w:tab/>
        <w:t>Farmakodinaminės savybės</w:t>
      </w:r>
    </w:p>
    <w:p w14:paraId="6A3D5DD0" w14:textId="77777777" w:rsidR="0052346D" w:rsidRDefault="0052346D">
      <w:pPr>
        <w:widowControl w:val="0"/>
        <w:tabs>
          <w:tab w:val="clear" w:pos="567"/>
        </w:tabs>
        <w:spacing w:line="240" w:lineRule="auto"/>
        <w:ind w:left="567" w:hanging="567"/>
        <w:rPr>
          <w:snapToGrid/>
          <w:szCs w:val="22"/>
          <w:lang w:val="lt-LT"/>
        </w:rPr>
      </w:pPr>
    </w:p>
    <w:p w14:paraId="4F44F597" w14:textId="77777777" w:rsidR="0052346D" w:rsidRDefault="005A1771">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Farmakoterapinė grupė </w:t>
      </w:r>
      <w:bookmarkStart w:id="1" w:name="_Hlk176620782"/>
      <w:r>
        <w:rPr>
          <w:snapToGrid/>
          <w:szCs w:val="22"/>
          <w:lang w:val="lt-LT"/>
        </w:rPr>
        <w:t>–</w:t>
      </w:r>
      <w:bookmarkEnd w:id="1"/>
      <w:r>
        <w:rPr>
          <w:snapToGrid/>
          <w:szCs w:val="22"/>
          <w:lang w:val="lt-LT"/>
        </w:rPr>
        <w:t xml:space="preserve"> renino ir angiotenzino sistemą veikiantys vaistiniai preparatai, angiotenzino II receptorių blokatoriai (ARB) ir diuretikai, ATC kodas – C09DA06.</w:t>
      </w:r>
    </w:p>
    <w:p w14:paraId="238E7374" w14:textId="77777777" w:rsidR="0052346D" w:rsidRDefault="0052346D">
      <w:pPr>
        <w:widowControl w:val="0"/>
        <w:tabs>
          <w:tab w:val="clear" w:pos="567"/>
        </w:tabs>
        <w:spacing w:line="240" w:lineRule="auto"/>
        <w:rPr>
          <w:snapToGrid/>
          <w:szCs w:val="22"/>
          <w:lang w:val="lt-LT"/>
        </w:rPr>
      </w:pPr>
    </w:p>
    <w:p w14:paraId="2AEFFB90" w14:textId="77777777" w:rsidR="0052346D" w:rsidRDefault="005A1771">
      <w:pPr>
        <w:widowControl w:val="0"/>
        <w:tabs>
          <w:tab w:val="clear" w:pos="567"/>
        </w:tabs>
        <w:autoSpaceDE w:val="0"/>
        <w:autoSpaceDN w:val="0"/>
        <w:adjustRightInd w:val="0"/>
        <w:spacing w:line="240" w:lineRule="auto"/>
        <w:rPr>
          <w:snapToGrid/>
          <w:szCs w:val="22"/>
          <w:u w:val="single"/>
          <w:lang w:val="lt-LT"/>
        </w:rPr>
      </w:pPr>
      <w:r>
        <w:rPr>
          <w:snapToGrid/>
          <w:szCs w:val="22"/>
          <w:u w:val="single"/>
          <w:lang w:val="lt-LT"/>
        </w:rPr>
        <w:t>Veikimo mechanizmas</w:t>
      </w:r>
    </w:p>
    <w:p w14:paraId="539295A8" w14:textId="77777777" w:rsidR="0052346D" w:rsidRDefault="0052346D">
      <w:pPr>
        <w:widowControl w:val="0"/>
        <w:tabs>
          <w:tab w:val="clear" w:pos="567"/>
          <w:tab w:val="left" w:pos="540"/>
        </w:tabs>
        <w:autoSpaceDE w:val="0"/>
        <w:autoSpaceDN w:val="0"/>
        <w:adjustRightInd w:val="0"/>
        <w:spacing w:line="240" w:lineRule="auto"/>
        <w:rPr>
          <w:snapToGrid/>
          <w:szCs w:val="22"/>
          <w:lang w:val="lt-LT" w:eastAsia="sl-SI"/>
        </w:rPr>
      </w:pPr>
    </w:p>
    <w:p w14:paraId="39843FC6" w14:textId="77777777" w:rsidR="0052346D" w:rsidRDefault="005A1771">
      <w:pPr>
        <w:widowControl w:val="0"/>
        <w:tabs>
          <w:tab w:val="clear" w:pos="567"/>
          <w:tab w:val="left" w:pos="540"/>
        </w:tabs>
        <w:autoSpaceDE w:val="0"/>
        <w:autoSpaceDN w:val="0"/>
        <w:adjustRightInd w:val="0"/>
        <w:spacing w:line="240" w:lineRule="auto"/>
        <w:rPr>
          <w:snapToGrid/>
          <w:szCs w:val="22"/>
          <w:lang w:val="lt-LT" w:eastAsia="sl-SI"/>
        </w:rPr>
      </w:pPr>
      <w:r>
        <w:rPr>
          <w:snapToGrid/>
          <w:szCs w:val="22"/>
          <w:lang w:val="lt-LT" w:eastAsia="sl-SI"/>
        </w:rPr>
        <w:t>Kandesartanas yra angiotenzino II receptorių blokatorius. Angiotenzinas II yra pagrindinis renino, angiotenzino ir aldosterono sistemos vazoaktyvus hormonas, kuris atlieka svarbią funkciją hipertenzijos, širdies nepakankamumo ir kitų širdies ir kraujagyslių sistemos sutrikimų patologinėje fiziologijoje. Jis taip pat turi įtakos galutinių organų hipertrofijos ir pažeidimų patogenezei. Pagrindinis fiziologinis angiotenzino II poveikis, toks kaip vazokonstrikcija, aldosterono stimuliavimas, druskos ir vandens homeostazės reguliavimas ir ląstelių augimo stimuliavimas, yra sukeliamas veikiant 1 tipo (AT</w:t>
      </w:r>
      <w:r>
        <w:rPr>
          <w:snapToGrid/>
          <w:szCs w:val="22"/>
          <w:vertAlign w:val="subscript"/>
          <w:lang w:val="lt-LT" w:eastAsia="sl-SI"/>
        </w:rPr>
        <w:t>1</w:t>
      </w:r>
      <w:r>
        <w:rPr>
          <w:snapToGrid/>
          <w:szCs w:val="22"/>
          <w:lang w:val="lt-LT" w:eastAsia="sl-SI"/>
        </w:rPr>
        <w:t>) receptorių.</w:t>
      </w:r>
    </w:p>
    <w:p w14:paraId="218F5E6E" w14:textId="77777777" w:rsidR="0052346D" w:rsidRDefault="0052346D">
      <w:pPr>
        <w:widowControl w:val="0"/>
        <w:tabs>
          <w:tab w:val="clear" w:pos="567"/>
          <w:tab w:val="left" w:pos="540"/>
        </w:tabs>
        <w:autoSpaceDE w:val="0"/>
        <w:autoSpaceDN w:val="0"/>
        <w:adjustRightInd w:val="0"/>
        <w:spacing w:line="240" w:lineRule="auto"/>
        <w:rPr>
          <w:snapToGrid/>
          <w:szCs w:val="22"/>
          <w:lang w:val="lt-LT" w:eastAsia="sl-SI"/>
        </w:rPr>
      </w:pPr>
    </w:p>
    <w:p w14:paraId="14267117" w14:textId="77777777" w:rsidR="0052346D" w:rsidRDefault="005A1771">
      <w:pPr>
        <w:widowControl w:val="0"/>
        <w:tabs>
          <w:tab w:val="clear" w:pos="567"/>
          <w:tab w:val="left" w:pos="540"/>
        </w:tabs>
        <w:autoSpaceDE w:val="0"/>
        <w:autoSpaceDN w:val="0"/>
        <w:adjustRightInd w:val="0"/>
        <w:spacing w:line="240" w:lineRule="auto"/>
        <w:rPr>
          <w:iCs/>
          <w:snapToGrid/>
          <w:szCs w:val="22"/>
          <w:lang w:val="lt-LT" w:eastAsia="sl-SI"/>
        </w:rPr>
      </w:pPr>
      <w:r>
        <w:rPr>
          <w:iCs/>
          <w:snapToGrid/>
          <w:szCs w:val="22"/>
          <w:lang w:val="lt-LT" w:eastAsia="sl-SI"/>
        </w:rPr>
        <w:t>Indapamidas yra sulfonamidų darinys, kurio struktūroje yra indolo žiedas. Jo farmakologinis veikimas yra panašus į tiazidinių diuretikų poveikį: indapamidas slopina natrio reabsorbciją inkstų žievinio sluoksnio kanalėlių segmentuose.</w:t>
      </w:r>
    </w:p>
    <w:p w14:paraId="21CD2BA4" w14:textId="77777777" w:rsidR="0052346D" w:rsidRDefault="0052346D">
      <w:pPr>
        <w:widowControl w:val="0"/>
        <w:tabs>
          <w:tab w:val="clear" w:pos="567"/>
          <w:tab w:val="left" w:pos="540"/>
        </w:tabs>
        <w:autoSpaceDE w:val="0"/>
        <w:autoSpaceDN w:val="0"/>
        <w:adjustRightInd w:val="0"/>
        <w:spacing w:line="240" w:lineRule="auto"/>
        <w:rPr>
          <w:i/>
          <w:snapToGrid/>
          <w:szCs w:val="22"/>
          <w:lang w:val="lt-LT" w:eastAsia="sl-SI"/>
        </w:rPr>
      </w:pPr>
    </w:p>
    <w:p w14:paraId="570FF377" w14:textId="77777777" w:rsidR="0052346D" w:rsidRDefault="005A1771">
      <w:pPr>
        <w:widowControl w:val="0"/>
        <w:tabs>
          <w:tab w:val="clear" w:pos="567"/>
          <w:tab w:val="left" w:pos="540"/>
        </w:tabs>
        <w:autoSpaceDE w:val="0"/>
        <w:autoSpaceDN w:val="0"/>
        <w:adjustRightInd w:val="0"/>
        <w:spacing w:line="240" w:lineRule="auto"/>
        <w:rPr>
          <w:iCs/>
          <w:snapToGrid/>
          <w:szCs w:val="22"/>
          <w:u w:val="single"/>
          <w:lang w:val="lt-LT" w:eastAsia="sl-SI"/>
        </w:rPr>
      </w:pPr>
      <w:r>
        <w:rPr>
          <w:iCs/>
          <w:snapToGrid/>
          <w:szCs w:val="22"/>
          <w:u w:val="single"/>
          <w:lang w:val="lt-LT" w:eastAsia="sl-SI"/>
        </w:rPr>
        <w:t>Farmakodinaminis poveikis</w:t>
      </w:r>
    </w:p>
    <w:p w14:paraId="19FC019C" w14:textId="77777777" w:rsidR="0052346D" w:rsidRDefault="0052346D">
      <w:pPr>
        <w:widowControl w:val="0"/>
        <w:tabs>
          <w:tab w:val="clear" w:pos="567"/>
        </w:tabs>
        <w:spacing w:line="240" w:lineRule="auto"/>
        <w:rPr>
          <w:snapToGrid/>
          <w:szCs w:val="22"/>
          <w:lang w:val="lt-LT"/>
        </w:rPr>
      </w:pPr>
    </w:p>
    <w:p w14:paraId="73D68E4B" w14:textId="77777777" w:rsidR="0052346D" w:rsidRDefault="005A1771">
      <w:pPr>
        <w:widowControl w:val="0"/>
        <w:spacing w:line="240" w:lineRule="auto"/>
        <w:rPr>
          <w:szCs w:val="22"/>
          <w:lang w:val="lt-LT"/>
        </w:rPr>
      </w:pPr>
      <w:r>
        <w:rPr>
          <w:szCs w:val="22"/>
          <w:lang w:val="lt-LT"/>
        </w:rPr>
        <w:t>Kandesartano cileksetilas yra provaistas, kurį galima vartoti per burną. Vykstant esterio hidrolizei absorbcijos iš virškinimo trakto metu, jis yra greitai verčiamas veikliąja medžiaga kandesartanu. Kandesartanas yra ARB, selektyviai veikiantis AT</w:t>
      </w:r>
      <w:r>
        <w:rPr>
          <w:szCs w:val="22"/>
          <w:vertAlign w:val="subscript"/>
          <w:lang w:val="lt-LT"/>
        </w:rPr>
        <w:t>1</w:t>
      </w:r>
      <w:r>
        <w:rPr>
          <w:szCs w:val="22"/>
          <w:lang w:val="lt-LT"/>
        </w:rPr>
        <w:t xml:space="preserve"> receptorius, stipriai prisijungiantis prie šių receptorių ir lėtai nuo jų atsipalaiduojantis. Agonistinis aktyvumas jam nebūdingas.</w:t>
      </w:r>
    </w:p>
    <w:p w14:paraId="091DBE2C" w14:textId="77777777" w:rsidR="0052346D" w:rsidRDefault="0052346D">
      <w:pPr>
        <w:widowControl w:val="0"/>
        <w:spacing w:line="240" w:lineRule="auto"/>
        <w:rPr>
          <w:szCs w:val="22"/>
          <w:lang w:val="lt-LT"/>
        </w:rPr>
      </w:pPr>
    </w:p>
    <w:p w14:paraId="55155940" w14:textId="77777777" w:rsidR="0052346D" w:rsidRDefault="005A1771">
      <w:pPr>
        <w:widowControl w:val="0"/>
        <w:tabs>
          <w:tab w:val="clear" w:pos="567"/>
        </w:tabs>
        <w:spacing w:line="240" w:lineRule="auto"/>
        <w:rPr>
          <w:snapToGrid/>
          <w:szCs w:val="22"/>
          <w:lang w:val="lt-LT" w:eastAsia="sl-SI"/>
        </w:rPr>
      </w:pPr>
      <w:r>
        <w:rPr>
          <w:snapToGrid/>
          <w:szCs w:val="22"/>
          <w:lang w:val="lt-LT" w:eastAsia="sl-SI"/>
        </w:rPr>
        <w:t>Kandesartanas neveikia AKF, kuris angiotenziną I paverčia angiotenzinu II ir skaido bradikininą. Kandesartanas neturi įtakos AKF ir nesustiprina bradikinino ar P medžiagos poveikio. Kontroliuotų klinikinių tyrimų, kurių metu kandesartanas buvo lyginamas su AKF inhibitoriais, duomenimis, kandesartano vartojusiems pacientams kosulys pasireiškė rečiau. Kandesartanas neprisijungia prie kitų hormonų receptorių ar jonų kanalų, kurie yra svarbūs širdies ir kraujagyslių veiklos reguliacijai, ir jų neblokuoja. Dėl antagonizmo angiotenzino AT</w:t>
      </w:r>
      <w:r>
        <w:rPr>
          <w:snapToGrid/>
          <w:szCs w:val="22"/>
          <w:vertAlign w:val="subscript"/>
          <w:lang w:val="lt-LT" w:eastAsia="sl-SI"/>
        </w:rPr>
        <w:t>1</w:t>
      </w:r>
      <w:r>
        <w:rPr>
          <w:snapToGrid/>
          <w:szCs w:val="22"/>
          <w:lang w:val="lt-LT" w:eastAsia="sl-SI"/>
        </w:rPr>
        <w:t xml:space="preserve"> receptoriams priklausomai nuo dozės padidėja renino, angiotenzino I ir angiotenzino II koncentracija kraujo plazmoje bei sumažėja aldosterono koncentracija kraujo plazmoje.</w:t>
      </w:r>
    </w:p>
    <w:p w14:paraId="2F0DE017" w14:textId="77777777" w:rsidR="0052346D" w:rsidRDefault="0052346D">
      <w:pPr>
        <w:widowControl w:val="0"/>
        <w:tabs>
          <w:tab w:val="clear" w:pos="567"/>
        </w:tabs>
        <w:spacing w:line="240" w:lineRule="auto"/>
        <w:rPr>
          <w:snapToGrid/>
          <w:szCs w:val="22"/>
          <w:lang w:val="lt-LT"/>
        </w:rPr>
      </w:pPr>
    </w:p>
    <w:p w14:paraId="425AA527" w14:textId="77777777" w:rsidR="0052346D" w:rsidRDefault="005A1771">
      <w:pPr>
        <w:widowControl w:val="0"/>
        <w:tabs>
          <w:tab w:val="clear" w:pos="567"/>
        </w:tabs>
        <w:spacing w:line="240" w:lineRule="auto"/>
        <w:rPr>
          <w:iCs/>
          <w:snapToGrid/>
          <w:szCs w:val="22"/>
          <w:lang w:val="lt-LT" w:eastAsia="sl-SI"/>
        </w:rPr>
      </w:pPr>
      <w:r>
        <w:rPr>
          <w:iCs/>
          <w:snapToGrid/>
          <w:szCs w:val="22"/>
          <w:lang w:val="lt-LT" w:eastAsia="sl-SI"/>
        </w:rPr>
        <w:t>Indapamidas didina natrio bei chloridų ir kiek mažiau kalio bei magnio išskyrimą su šlapimu, todėl didina išskiriamo šlapimo kiekį ir sukelia antihipertenzinį poveikį.</w:t>
      </w:r>
    </w:p>
    <w:p w14:paraId="2A7E97FF" w14:textId="77777777" w:rsidR="0052346D" w:rsidRDefault="0052346D">
      <w:pPr>
        <w:widowControl w:val="0"/>
        <w:tabs>
          <w:tab w:val="clear" w:pos="567"/>
        </w:tabs>
        <w:spacing w:line="240" w:lineRule="auto"/>
        <w:rPr>
          <w:snapToGrid/>
          <w:szCs w:val="22"/>
          <w:lang w:val="lt-LT"/>
        </w:rPr>
      </w:pPr>
    </w:p>
    <w:p w14:paraId="5599C869" w14:textId="77777777" w:rsidR="0052346D" w:rsidRDefault="005A1771">
      <w:pPr>
        <w:widowControl w:val="0"/>
        <w:tabs>
          <w:tab w:val="clear" w:pos="567"/>
          <w:tab w:val="left" w:pos="540"/>
        </w:tabs>
        <w:autoSpaceDE w:val="0"/>
        <w:autoSpaceDN w:val="0"/>
        <w:adjustRightInd w:val="0"/>
        <w:spacing w:line="240" w:lineRule="auto"/>
        <w:rPr>
          <w:snapToGrid/>
          <w:szCs w:val="22"/>
          <w:u w:val="single"/>
          <w:lang w:val="lt-LT" w:eastAsia="sl-SI"/>
        </w:rPr>
      </w:pPr>
      <w:r>
        <w:rPr>
          <w:snapToGrid/>
          <w:szCs w:val="22"/>
          <w:u w:val="single"/>
          <w:lang w:val="lt-LT" w:eastAsia="sl-SI"/>
        </w:rPr>
        <w:lastRenderedPageBreak/>
        <w:t>Klinikinis veiksmingumas ir saugumas</w:t>
      </w:r>
    </w:p>
    <w:p w14:paraId="07AA3585" w14:textId="77777777" w:rsidR="0052346D" w:rsidRDefault="0052346D">
      <w:pPr>
        <w:widowControl w:val="0"/>
        <w:tabs>
          <w:tab w:val="clear" w:pos="567"/>
        </w:tabs>
        <w:spacing w:line="240" w:lineRule="auto"/>
        <w:rPr>
          <w:snapToGrid/>
          <w:szCs w:val="22"/>
          <w:lang w:val="lt-LT"/>
        </w:rPr>
      </w:pPr>
    </w:p>
    <w:p w14:paraId="27D3ECD6" w14:textId="77777777" w:rsidR="0052346D" w:rsidRDefault="005A1771">
      <w:pPr>
        <w:widowControl w:val="0"/>
        <w:tabs>
          <w:tab w:val="clear" w:pos="567"/>
          <w:tab w:val="left" w:pos="540"/>
        </w:tabs>
        <w:autoSpaceDE w:val="0"/>
        <w:autoSpaceDN w:val="0"/>
        <w:adjustRightInd w:val="0"/>
        <w:spacing w:line="240" w:lineRule="auto"/>
        <w:rPr>
          <w:b/>
          <w:bCs/>
          <w:i/>
          <w:snapToGrid/>
          <w:szCs w:val="22"/>
          <w:lang w:val="lt-LT" w:eastAsia="sl-SI"/>
        </w:rPr>
      </w:pPr>
      <w:r>
        <w:rPr>
          <w:b/>
          <w:bCs/>
          <w:i/>
          <w:snapToGrid/>
          <w:szCs w:val="22"/>
          <w:lang w:val="lt-LT" w:eastAsia="sl-SI"/>
        </w:rPr>
        <w:t>Susijęs su kandesartanu</w:t>
      </w:r>
    </w:p>
    <w:p w14:paraId="08318618" w14:textId="77777777" w:rsidR="0052346D" w:rsidRDefault="0052346D">
      <w:pPr>
        <w:widowControl w:val="0"/>
        <w:tabs>
          <w:tab w:val="clear" w:pos="567"/>
        </w:tabs>
        <w:spacing w:line="240" w:lineRule="auto"/>
        <w:rPr>
          <w:snapToGrid/>
          <w:szCs w:val="22"/>
          <w:lang w:val="lt-LT" w:eastAsia="sl-SI"/>
        </w:rPr>
      </w:pPr>
    </w:p>
    <w:p w14:paraId="6EF1EA9B" w14:textId="77777777" w:rsidR="0052346D" w:rsidRDefault="005A1771">
      <w:pPr>
        <w:widowControl w:val="0"/>
        <w:tabs>
          <w:tab w:val="clear" w:pos="567"/>
        </w:tabs>
        <w:spacing w:line="240" w:lineRule="auto"/>
        <w:rPr>
          <w:snapToGrid/>
          <w:szCs w:val="22"/>
          <w:lang w:val="lt-LT" w:eastAsia="sl-SI"/>
        </w:rPr>
      </w:pPr>
      <w:r>
        <w:rPr>
          <w:snapToGrid/>
          <w:szCs w:val="22"/>
          <w:lang w:val="lt-LT" w:eastAsia="sl-SI"/>
        </w:rPr>
        <w:t>Esant hipertenzijai, kandesartanas sukelia nuo dozės priklausomą ilgalaikį arterinio kraujospūdžio sumažėjimą. Antihipertenzinį poveikį lemia sumažėjęs sisteminis periferinis pasipriešinimas be refleksinio širdies susitraukimų dažnio padidėjimo. Sunkios ar pernelyg didelės pirmosios dozės sukeltos hipotenzijos arba atoveiksmio poveikio nutraukus gydymą požymių nenustatyta.</w:t>
      </w:r>
    </w:p>
    <w:p w14:paraId="51C23CBC" w14:textId="77777777" w:rsidR="0052346D" w:rsidRDefault="0052346D">
      <w:pPr>
        <w:widowControl w:val="0"/>
        <w:tabs>
          <w:tab w:val="clear" w:pos="567"/>
        </w:tabs>
        <w:spacing w:line="240" w:lineRule="auto"/>
        <w:rPr>
          <w:snapToGrid/>
          <w:szCs w:val="22"/>
          <w:lang w:val="lt-LT" w:eastAsia="sl-SI"/>
        </w:rPr>
      </w:pPr>
    </w:p>
    <w:p w14:paraId="23A0DF07" w14:textId="77777777" w:rsidR="0052346D" w:rsidRDefault="005A1771">
      <w:pPr>
        <w:widowControl w:val="0"/>
        <w:tabs>
          <w:tab w:val="clear" w:pos="567"/>
        </w:tabs>
        <w:spacing w:line="240" w:lineRule="auto"/>
        <w:rPr>
          <w:snapToGrid/>
          <w:szCs w:val="22"/>
          <w:lang w:val="lt-LT" w:eastAsia="sl-SI"/>
        </w:rPr>
      </w:pPr>
      <w:r>
        <w:rPr>
          <w:snapToGrid/>
          <w:szCs w:val="22"/>
          <w:lang w:val="lt-LT" w:eastAsia="sl-SI"/>
        </w:rPr>
        <w:t>Išgėrus vienkartinę kandesartano dozę, antihipertenzinis poveikis paprastai pasireiškia per 2 valandas. Taikant tęstinį gydymą, didžioji dalis kraujospūdžio sumažėjimo vartojant bet kokią dozę paprastai pasiekiama per keturias savaites ir išlieka ilgalaikio gydymo metu. Metaanalizės duomenimis, vidutinis papildomas poveikis, padidinus dozę nuo 16 mg iki 32 mg vieną kartą per parą, buvo nedidelis. Atsižvelgiant į svyravimus skirtingų asmenų organizme, kai kuriems pacientams galima tikėtis didesnio nei vidutinio poveikio. Vieną kartą per parą vartojamas kandesartanas užtikrina veiksmingą ir tolygų kraujospūdžio sumažėjimą 24 valandų laikotarpiu, o dozavimo intervale didžiausias ir mažiausias poveikis mažai skiriasi. Dviejų atsitiktinių imčių dvigubai koduotų tyrimų metu buvo lyginamas kandesartano ir losartano antihipertenzinis poveikis ir toleravimas, iš viso į tyrimus buvo įtraukti 1 268 pacientai, sergantys lengva ir vidutinio sunkumo hipertenzija. Vartojant 32 mg kandesartano vieną kartą per parą, tuo metu, kai poveikis yra silpniausias, kraujospūdis (sistolinis/diastolinis) sumažėjo 13,1/10,5 mmHg, o vartojant 100</w:t>
      </w:r>
      <w:r>
        <w:rPr>
          <w:szCs w:val="22"/>
          <w:lang w:val="lt-LT"/>
        </w:rPr>
        <w:t> mg</w:t>
      </w:r>
      <w:r>
        <w:rPr>
          <w:snapToGrid/>
          <w:szCs w:val="22"/>
          <w:lang w:val="lt-LT" w:eastAsia="sl-SI"/>
        </w:rPr>
        <w:t xml:space="preserve"> losartano kalio druskos vieną kartą per parą - 10,0/8,7 mmHg (kraujospūdžio sumažėjimo skirtumas 3,1/1,8 mmHg, p&lt;0,0001/p&lt;0,0001).</w:t>
      </w:r>
    </w:p>
    <w:p w14:paraId="6D98C424" w14:textId="77777777" w:rsidR="0052346D" w:rsidRDefault="005A1771">
      <w:pPr>
        <w:widowControl w:val="0"/>
        <w:tabs>
          <w:tab w:val="clear" w:pos="567"/>
        </w:tabs>
        <w:spacing w:line="240" w:lineRule="auto"/>
        <w:rPr>
          <w:snapToGrid/>
          <w:szCs w:val="22"/>
          <w:lang w:val="lt-LT" w:eastAsia="sl-SI"/>
        </w:rPr>
      </w:pPr>
      <w:r>
        <w:rPr>
          <w:snapToGrid/>
          <w:szCs w:val="22"/>
          <w:lang w:val="lt-LT" w:eastAsia="sl-SI"/>
        </w:rPr>
        <w:t>Vaistiniai preparatai, blokuojantys renino, angiotenzino ir aldosterono sistemą, juodaodžiams pacientams (populiacija, kurioje renino aktyvumas paprastai būna mažas) sukelia silpnesnį antihipertenzinį poveikį nei ne juodaodžiams pacientams. Taip yra ir kandesartano atveju. Atvirame klinikinės patirties tyrime, kuriame dalyvavo 5 156 pacientai, sergantys diastoline hipertenzija, kraujospūdis gydant kandesartanu juodaodžiams pacientams sumažėjo reikšmingai mažiau nei ne juodaodžiams pacientams (14,4/10,3 mmHg palyginti su 19,0/12,7 mmHg, p&lt;0,0001/p&lt;0,0001).</w:t>
      </w:r>
    </w:p>
    <w:p w14:paraId="18A9868D" w14:textId="77777777" w:rsidR="0052346D" w:rsidRDefault="0052346D">
      <w:pPr>
        <w:widowControl w:val="0"/>
        <w:tabs>
          <w:tab w:val="clear" w:pos="567"/>
        </w:tabs>
        <w:spacing w:line="240" w:lineRule="auto"/>
        <w:rPr>
          <w:snapToGrid/>
          <w:szCs w:val="22"/>
          <w:lang w:val="lt-LT" w:eastAsia="sl-SI"/>
        </w:rPr>
      </w:pPr>
    </w:p>
    <w:p w14:paraId="3A9B913C" w14:textId="77777777" w:rsidR="0052346D" w:rsidRDefault="005A1771">
      <w:pPr>
        <w:widowControl w:val="0"/>
        <w:tabs>
          <w:tab w:val="clear" w:pos="567"/>
        </w:tabs>
        <w:spacing w:line="240" w:lineRule="auto"/>
        <w:rPr>
          <w:snapToGrid/>
          <w:szCs w:val="22"/>
          <w:lang w:val="lt-LT" w:eastAsia="sl-SI"/>
        </w:rPr>
      </w:pPr>
      <w:r>
        <w:rPr>
          <w:snapToGrid/>
          <w:szCs w:val="22"/>
          <w:lang w:val="lt-LT" w:eastAsia="sl-SI"/>
        </w:rPr>
        <w:t>Kandesartanas gerina inkstų kraujotaką ir arba nesukelia poveikio glomerulų filtracijos greičiui, arba jį didina, o inkstų kraujagyslių pasipriešinimas ir filtracijos frakcija sumažėja. Atlikus 3 mėnesių klinikinį tyrimą su hipertenzija sergančiais pacientais, sergančiais 2 tipo cukriniu diabetu ir turinčiais mikroalbuminuriją, antihipertenzinis gydymas kandesartanu sumažino albumino išsiskyrimą su šlapimu (albumino ir kreatinino santykis, vidurkis 30 %, 95 % PI 15-42 %). Šiuo metu duomenų apie kandesartano poveikį diabetinės nefropatijos progresavimui nėra.</w:t>
      </w:r>
    </w:p>
    <w:p w14:paraId="7D1F859B" w14:textId="77777777" w:rsidR="0052346D" w:rsidRDefault="0052346D">
      <w:pPr>
        <w:widowControl w:val="0"/>
        <w:tabs>
          <w:tab w:val="clear" w:pos="567"/>
        </w:tabs>
        <w:spacing w:line="240" w:lineRule="auto"/>
        <w:rPr>
          <w:snapToGrid/>
          <w:szCs w:val="22"/>
          <w:lang w:val="lt-LT" w:eastAsia="sl-SI"/>
        </w:rPr>
      </w:pPr>
    </w:p>
    <w:p w14:paraId="3D559135" w14:textId="77777777" w:rsidR="0052346D" w:rsidRDefault="005A1771">
      <w:pPr>
        <w:tabs>
          <w:tab w:val="clear" w:pos="567"/>
        </w:tabs>
        <w:spacing w:line="240" w:lineRule="auto"/>
        <w:rPr>
          <w:rFonts w:eastAsia="Calibri"/>
          <w:snapToGrid/>
          <w:szCs w:val="22"/>
          <w:lang w:val="lt-LT"/>
        </w:rPr>
      </w:pPr>
      <w:r>
        <w:rPr>
          <w:rFonts w:eastAsia="Calibri"/>
          <w:snapToGrid/>
          <w:szCs w:val="22"/>
          <w:lang w:val="lt-LT"/>
        </w:rPr>
        <w:t xml:space="preserve">Kartą per parą vartojamos 8–16 mg kandesartano dozės (vidutinė dozė – 12 mg) poveikis kardiovaskuliniam sergamumui ir mirštamumui buvo tiriamas atsitiktinių imčių klinikiniu tyrimu (angl. </w:t>
      </w:r>
      <w:r>
        <w:rPr>
          <w:rFonts w:eastAsia="Calibri"/>
          <w:i/>
          <w:snapToGrid/>
          <w:szCs w:val="22"/>
          <w:lang w:val="lt-LT"/>
        </w:rPr>
        <w:t>Study on Cognition and Prognosis in the Elderly),</w:t>
      </w:r>
      <w:r>
        <w:rPr>
          <w:rFonts w:eastAsia="Calibri"/>
          <w:snapToGrid/>
          <w:szCs w:val="22"/>
          <w:lang w:val="lt-LT"/>
        </w:rPr>
        <w:t xml:space="preserve"> kurio metu 4 937 senyvi (70–89 metų, 21 % </w:t>
      </w:r>
      <w:r>
        <w:rPr>
          <w:rFonts w:eastAsia="Calibri"/>
          <w:snapToGrid/>
          <w:szCs w:val="22"/>
          <w:lang w:val="lt-LT"/>
        </w:rPr>
        <w:sym w:font="Symbol" w:char="F02D"/>
      </w:r>
      <w:r>
        <w:rPr>
          <w:rFonts w:eastAsia="Calibri"/>
          <w:snapToGrid/>
          <w:szCs w:val="22"/>
          <w:lang w:val="lt-LT"/>
        </w:rPr>
        <w:t xml:space="preserve"> 80 metų ar vyresni) pacientai, sergantys lengva ar vidutinio sunkumo arterine hipertenzija, buvo stebimi vidutiniškai 3,7 metų. Pacientai vartojo kandesartano arba placebo, prireikus buvo skiriamas ir papildomas antihipertenzinis gydymas. Kandesartano grupės pacientų kraujospūdis sumažėjo nuo 166/90 iki 145/80 mm Hg, kontrolinės grupės pacientų – nuo 167/90 iki 149/82 mm Hg. Pagrindinės vertinamosios baigties, t. y. didžiųjų širdies ir kraujagyslių sistemos reiškinių (mirties nuo kardiovaskulinio sutrikimo, nemirtino insulto ir nemirtino miokardo infarkto) dažnio statistiškai reikšmingų skirtumų nenustatyta. Kandesartano grupėje dažnis buvo 26,7 reiškinio 1 000 pacientų metų, kontrolinėje grupėje – 30 reiškinių 1 000 pacientų metų (santykinė rizika: 0,89; 95% PI: 0,75–1,06; p = 0,19).</w:t>
      </w:r>
    </w:p>
    <w:p w14:paraId="16B06883" w14:textId="77777777" w:rsidR="0052346D" w:rsidRDefault="0052346D">
      <w:pPr>
        <w:widowControl w:val="0"/>
        <w:tabs>
          <w:tab w:val="clear" w:pos="567"/>
          <w:tab w:val="left" w:pos="540"/>
        </w:tabs>
        <w:autoSpaceDE w:val="0"/>
        <w:autoSpaceDN w:val="0"/>
        <w:adjustRightInd w:val="0"/>
        <w:spacing w:line="240" w:lineRule="auto"/>
        <w:rPr>
          <w:snapToGrid/>
          <w:szCs w:val="22"/>
          <w:lang w:val="lt-LT" w:eastAsia="sl-SI"/>
        </w:rPr>
      </w:pPr>
    </w:p>
    <w:p w14:paraId="08A61D4B" w14:textId="77777777" w:rsidR="0052346D" w:rsidRDefault="005A1771">
      <w:pPr>
        <w:widowControl w:val="0"/>
        <w:numPr>
          <w:ilvl w:val="12"/>
          <w:numId w:val="0"/>
        </w:numPr>
        <w:spacing w:line="240" w:lineRule="auto"/>
        <w:ind w:right="-2"/>
        <w:rPr>
          <w:i/>
          <w:snapToGrid/>
          <w:szCs w:val="22"/>
          <w:u w:val="single"/>
          <w:lang w:val="lt-LT" w:eastAsia="sl-SI"/>
        </w:rPr>
      </w:pPr>
      <w:r>
        <w:rPr>
          <w:i/>
          <w:snapToGrid/>
          <w:szCs w:val="22"/>
          <w:u w:val="single"/>
          <w:lang w:val="lt-LT" w:eastAsia="sl-SI"/>
        </w:rPr>
        <w:t>Dvigubas renino, angiotenzino ir aldosterono sistemos (RAAS) nuslopinimas</w:t>
      </w:r>
    </w:p>
    <w:p w14:paraId="67BE8675" w14:textId="77777777" w:rsidR="0052346D" w:rsidRDefault="005A1771">
      <w:pPr>
        <w:widowControl w:val="0"/>
        <w:numPr>
          <w:ilvl w:val="12"/>
          <w:numId w:val="0"/>
        </w:numPr>
        <w:spacing w:line="240" w:lineRule="auto"/>
        <w:ind w:right="-2"/>
        <w:rPr>
          <w:iCs/>
          <w:snapToGrid/>
          <w:szCs w:val="22"/>
          <w:lang w:val="lt-LT" w:eastAsia="sl-SI"/>
        </w:rPr>
      </w:pPr>
      <w:r>
        <w:rPr>
          <w:iCs/>
          <w:snapToGrid/>
          <w:szCs w:val="22"/>
          <w:lang w:val="lt-LT" w:eastAsia="sl-SI"/>
        </w:rPr>
        <w:t>Dviem dideliais atsitiktinės atrankos, kontroliuojamais tyrimais (ONTARGET (angl. „</w:t>
      </w:r>
      <w:r>
        <w:rPr>
          <w:i/>
          <w:snapToGrid/>
          <w:szCs w:val="22"/>
          <w:lang w:val="lt-LT" w:eastAsia="sl-SI"/>
        </w:rPr>
        <w:t>ONgoing Telmisartan Alone and in combination with Ramipril Global Endpoint Trial</w:t>
      </w:r>
      <w:r>
        <w:rPr>
          <w:iCs/>
          <w:snapToGrid/>
          <w:szCs w:val="22"/>
          <w:lang w:val="lt-LT" w:eastAsia="sl-SI"/>
        </w:rPr>
        <w:t>“) ir VA NEPHRON-D (angl. „</w:t>
      </w:r>
      <w:r>
        <w:rPr>
          <w:i/>
          <w:snapToGrid/>
          <w:szCs w:val="22"/>
          <w:lang w:val="lt-LT" w:eastAsia="sl-SI"/>
        </w:rPr>
        <w:t>The Veterans Affairs Nephropathy in Diabetes</w:t>
      </w:r>
      <w:r>
        <w:rPr>
          <w:iCs/>
          <w:snapToGrid/>
          <w:szCs w:val="22"/>
          <w:lang w:val="lt-LT" w:eastAsia="sl-SI"/>
        </w:rPr>
        <w:t>“)) buvo ištirtas AKF inhibitoriaus ir angiotenzino II receptorių blokatoriaus derinio vartojimas.</w:t>
      </w:r>
    </w:p>
    <w:p w14:paraId="133929E6" w14:textId="77777777" w:rsidR="0052346D" w:rsidRDefault="0052346D">
      <w:pPr>
        <w:widowControl w:val="0"/>
        <w:numPr>
          <w:ilvl w:val="12"/>
          <w:numId w:val="0"/>
        </w:numPr>
        <w:spacing w:line="240" w:lineRule="auto"/>
        <w:ind w:right="-2"/>
        <w:rPr>
          <w:iCs/>
          <w:snapToGrid/>
          <w:szCs w:val="22"/>
          <w:lang w:val="lt-LT" w:eastAsia="sl-SI"/>
        </w:rPr>
      </w:pPr>
    </w:p>
    <w:p w14:paraId="1309058B" w14:textId="77777777" w:rsidR="0052346D" w:rsidRDefault="005A1771">
      <w:pPr>
        <w:widowControl w:val="0"/>
        <w:numPr>
          <w:ilvl w:val="12"/>
          <w:numId w:val="0"/>
        </w:numPr>
        <w:spacing w:line="240" w:lineRule="auto"/>
        <w:ind w:right="-2"/>
        <w:rPr>
          <w:iCs/>
          <w:snapToGrid/>
          <w:szCs w:val="22"/>
          <w:lang w:val="lt-LT" w:eastAsia="sl-SI"/>
        </w:rPr>
      </w:pPr>
      <w:r>
        <w:rPr>
          <w:iCs/>
          <w:snapToGrid/>
          <w:szCs w:val="22"/>
          <w:lang w:val="lt-LT" w:eastAsia="sl-SI"/>
        </w:rPr>
        <w:t xml:space="preserve">ONTARGET tyrime dalyvavo pacientai, kurių anamnezėje buvo širdies ir kraujagyslių ar smegenų </w:t>
      </w:r>
      <w:r>
        <w:rPr>
          <w:iCs/>
          <w:snapToGrid/>
          <w:szCs w:val="22"/>
          <w:lang w:val="lt-LT" w:eastAsia="sl-SI"/>
        </w:rPr>
        <w:lastRenderedPageBreak/>
        <w:t>kraujagyslių liga arba 2 tipo cukrinis diabetas ir susijusi akivaizdi organų-taikinių pažaida. VA NEPHRON-D tyrimas buvo atliekamas su pacientais, sergančiais 2 tipo cukriniu diabetu ir diabetine nefropatija.</w:t>
      </w:r>
    </w:p>
    <w:p w14:paraId="5C2666AF" w14:textId="77777777" w:rsidR="0052346D" w:rsidRDefault="0052346D">
      <w:pPr>
        <w:widowControl w:val="0"/>
        <w:numPr>
          <w:ilvl w:val="12"/>
          <w:numId w:val="0"/>
        </w:numPr>
        <w:spacing w:line="240" w:lineRule="auto"/>
        <w:ind w:right="-2"/>
        <w:rPr>
          <w:iCs/>
          <w:snapToGrid/>
          <w:szCs w:val="22"/>
          <w:lang w:val="lt-LT" w:eastAsia="sl-SI"/>
        </w:rPr>
      </w:pPr>
    </w:p>
    <w:p w14:paraId="483E2276" w14:textId="77777777" w:rsidR="0052346D" w:rsidRDefault="005A1771">
      <w:pPr>
        <w:widowControl w:val="0"/>
        <w:numPr>
          <w:ilvl w:val="12"/>
          <w:numId w:val="0"/>
        </w:numPr>
        <w:spacing w:line="240" w:lineRule="auto"/>
        <w:ind w:right="-2"/>
        <w:rPr>
          <w:iCs/>
          <w:snapToGrid/>
          <w:szCs w:val="22"/>
          <w:lang w:val="lt-LT" w:eastAsia="sl-SI"/>
        </w:rPr>
      </w:pPr>
      <w:r>
        <w:rPr>
          <w:iCs/>
          <w:snapToGrid/>
          <w:szCs w:val="22"/>
          <w:lang w:val="lt-LT" w:eastAsia="sl-SI"/>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12BCEF5F" w14:textId="77777777" w:rsidR="0052346D" w:rsidRDefault="0052346D">
      <w:pPr>
        <w:widowControl w:val="0"/>
        <w:numPr>
          <w:ilvl w:val="12"/>
          <w:numId w:val="0"/>
        </w:numPr>
        <w:spacing w:line="240" w:lineRule="auto"/>
        <w:ind w:right="-2"/>
        <w:rPr>
          <w:iCs/>
          <w:snapToGrid/>
          <w:szCs w:val="22"/>
          <w:lang w:val="lt-LT" w:eastAsia="sl-SI"/>
        </w:rPr>
      </w:pPr>
    </w:p>
    <w:p w14:paraId="7537D591" w14:textId="77777777" w:rsidR="0052346D" w:rsidRDefault="005A1771">
      <w:pPr>
        <w:widowControl w:val="0"/>
        <w:numPr>
          <w:ilvl w:val="12"/>
          <w:numId w:val="0"/>
        </w:numPr>
        <w:spacing w:line="240" w:lineRule="auto"/>
        <w:ind w:right="-2"/>
        <w:rPr>
          <w:iCs/>
          <w:snapToGrid/>
          <w:szCs w:val="22"/>
          <w:lang w:val="lt-LT" w:eastAsia="sl-SI"/>
        </w:rPr>
      </w:pPr>
      <w:r>
        <w:rPr>
          <w:iCs/>
          <w:snapToGrid/>
          <w:szCs w:val="22"/>
          <w:lang w:val="lt-LT" w:eastAsia="sl-SI"/>
        </w:rPr>
        <w:t>Todėl pacientams, sergantiems diabetine nefropatija, negalima kartu vartoti AKF inhibitorių ir angiotenzino II receptorių blokatorių.</w:t>
      </w:r>
    </w:p>
    <w:p w14:paraId="7A091582" w14:textId="77777777" w:rsidR="0052346D" w:rsidRDefault="0052346D">
      <w:pPr>
        <w:widowControl w:val="0"/>
        <w:numPr>
          <w:ilvl w:val="12"/>
          <w:numId w:val="0"/>
        </w:numPr>
        <w:spacing w:line="240" w:lineRule="auto"/>
        <w:ind w:right="-2"/>
        <w:rPr>
          <w:iCs/>
          <w:snapToGrid/>
          <w:szCs w:val="22"/>
          <w:lang w:val="lt-LT" w:eastAsia="sl-SI"/>
        </w:rPr>
      </w:pPr>
    </w:p>
    <w:p w14:paraId="498B038D" w14:textId="77777777" w:rsidR="0052346D" w:rsidRDefault="005A1771">
      <w:pPr>
        <w:widowControl w:val="0"/>
        <w:numPr>
          <w:ilvl w:val="12"/>
          <w:numId w:val="0"/>
        </w:numPr>
        <w:spacing w:line="240" w:lineRule="auto"/>
        <w:ind w:right="-2"/>
        <w:rPr>
          <w:iCs/>
          <w:snapToGrid/>
          <w:szCs w:val="22"/>
          <w:lang w:val="lt-LT" w:eastAsia="sl-SI"/>
        </w:rPr>
      </w:pPr>
      <w:r>
        <w:rPr>
          <w:iCs/>
          <w:snapToGrid/>
          <w:szCs w:val="22"/>
          <w:lang w:val="lt-LT" w:eastAsia="sl-SI"/>
        </w:rPr>
        <w:t>ALTITUDE (angl. „</w:t>
      </w:r>
      <w:r>
        <w:rPr>
          <w:i/>
          <w:snapToGrid/>
          <w:szCs w:val="22"/>
          <w:lang w:val="lt-LT" w:eastAsia="sl-SI"/>
        </w:rPr>
        <w:t>Aliskiren Trial in Type 2 Diabetes Using Cardiovascular and Renal Disease Endpoints</w:t>
      </w:r>
      <w:r>
        <w:rPr>
          <w:iCs/>
          <w:snapToGrid/>
          <w:szCs w:val="22"/>
          <w:lang w:val="lt-LT" w:eastAsia="sl-SI"/>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751424A4" w14:textId="77777777" w:rsidR="0052346D" w:rsidRDefault="0052346D">
      <w:pPr>
        <w:widowControl w:val="0"/>
        <w:numPr>
          <w:ilvl w:val="12"/>
          <w:numId w:val="0"/>
        </w:numPr>
        <w:spacing w:line="240" w:lineRule="auto"/>
        <w:ind w:right="-2"/>
        <w:rPr>
          <w:b/>
          <w:iCs/>
          <w:snapToGrid/>
          <w:szCs w:val="22"/>
          <w:lang w:val="lt-LT"/>
        </w:rPr>
      </w:pPr>
    </w:p>
    <w:p w14:paraId="20CEA16A" w14:textId="77777777" w:rsidR="0052346D" w:rsidRDefault="005A1771">
      <w:pPr>
        <w:widowControl w:val="0"/>
        <w:tabs>
          <w:tab w:val="clear" w:pos="567"/>
          <w:tab w:val="left" w:pos="540"/>
        </w:tabs>
        <w:autoSpaceDE w:val="0"/>
        <w:autoSpaceDN w:val="0"/>
        <w:adjustRightInd w:val="0"/>
        <w:spacing w:line="240" w:lineRule="auto"/>
        <w:rPr>
          <w:b/>
          <w:bCs/>
          <w:i/>
          <w:snapToGrid/>
          <w:szCs w:val="22"/>
          <w:lang w:val="lt-LT" w:eastAsia="sl-SI"/>
        </w:rPr>
      </w:pPr>
      <w:r>
        <w:rPr>
          <w:b/>
          <w:bCs/>
          <w:i/>
          <w:snapToGrid/>
          <w:szCs w:val="22"/>
          <w:lang w:val="lt-LT" w:eastAsia="sl-SI"/>
        </w:rPr>
        <w:t>Susijęs su indapamidu</w:t>
      </w:r>
    </w:p>
    <w:p w14:paraId="32132079" w14:textId="77777777" w:rsidR="0052346D" w:rsidRDefault="0052346D">
      <w:pPr>
        <w:tabs>
          <w:tab w:val="clear" w:pos="567"/>
        </w:tabs>
        <w:spacing w:line="240" w:lineRule="auto"/>
        <w:rPr>
          <w:snapToGrid/>
          <w:szCs w:val="22"/>
          <w:lang w:val="lt-LT" w:eastAsia="sl-SI"/>
        </w:rPr>
      </w:pPr>
    </w:p>
    <w:p w14:paraId="22D187F1" w14:textId="77777777" w:rsidR="0052346D" w:rsidRDefault="005A1771">
      <w:pPr>
        <w:tabs>
          <w:tab w:val="clear" w:pos="567"/>
          <w:tab w:val="left" w:pos="284"/>
        </w:tabs>
        <w:spacing w:line="240" w:lineRule="auto"/>
        <w:rPr>
          <w:snapToGrid/>
          <w:szCs w:val="22"/>
          <w:lang w:val="lt-LT" w:eastAsia="sl-SI"/>
        </w:rPr>
      </w:pPr>
      <w:r>
        <w:rPr>
          <w:snapToGrid/>
          <w:szCs w:val="22"/>
          <w:lang w:val="lt-LT" w:eastAsia="sl-SI"/>
        </w:rPr>
        <w:t>II ir III fazės monoterapijos klinikinių tyrimų metu nustatyta, kad antihipertenzinis poveikis išlieka 24 valandas. Tai pasireiškė vartojant tokias dozes, kurių diurezinis poveikis buvo silpnas.</w:t>
      </w:r>
    </w:p>
    <w:p w14:paraId="5B58F50D" w14:textId="77777777" w:rsidR="0052346D" w:rsidRDefault="0052346D">
      <w:pPr>
        <w:tabs>
          <w:tab w:val="clear" w:pos="567"/>
          <w:tab w:val="left" w:pos="284"/>
        </w:tabs>
        <w:spacing w:line="240" w:lineRule="auto"/>
        <w:rPr>
          <w:snapToGrid/>
          <w:szCs w:val="22"/>
          <w:lang w:val="lt-LT" w:eastAsia="sl-SI"/>
        </w:rPr>
      </w:pPr>
    </w:p>
    <w:p w14:paraId="7EBDDF04" w14:textId="77777777" w:rsidR="0052346D" w:rsidRDefault="005A1771">
      <w:pPr>
        <w:tabs>
          <w:tab w:val="clear" w:pos="567"/>
          <w:tab w:val="left" w:pos="284"/>
        </w:tabs>
        <w:spacing w:line="240" w:lineRule="auto"/>
        <w:rPr>
          <w:snapToGrid/>
          <w:szCs w:val="22"/>
          <w:lang w:val="lt-LT" w:eastAsia="sl-SI"/>
        </w:rPr>
      </w:pPr>
      <w:r>
        <w:rPr>
          <w:snapToGrid/>
          <w:szCs w:val="22"/>
          <w:lang w:val="lt-LT" w:eastAsia="sl-SI"/>
        </w:rPr>
        <w:t>Antihipertenzinis poveikis pasireiškia dėl arterijų elastingumo pagerėjimo ir arteriolių bei bendro kraujagyslių periferinio pasipriešinimo sumažėjimo.</w:t>
      </w:r>
    </w:p>
    <w:p w14:paraId="5521A0DA" w14:textId="77777777" w:rsidR="0052346D" w:rsidRDefault="0052346D">
      <w:pPr>
        <w:tabs>
          <w:tab w:val="clear" w:pos="567"/>
          <w:tab w:val="left" w:pos="284"/>
        </w:tabs>
        <w:spacing w:line="240" w:lineRule="auto"/>
        <w:rPr>
          <w:snapToGrid/>
          <w:szCs w:val="22"/>
          <w:lang w:val="lt-LT" w:eastAsia="sl-SI"/>
        </w:rPr>
      </w:pPr>
    </w:p>
    <w:p w14:paraId="0624A38A" w14:textId="77777777" w:rsidR="0052346D" w:rsidRDefault="005A1771">
      <w:pPr>
        <w:tabs>
          <w:tab w:val="clear" w:pos="567"/>
          <w:tab w:val="left" w:pos="284"/>
        </w:tabs>
        <w:spacing w:line="240" w:lineRule="auto"/>
        <w:rPr>
          <w:snapToGrid/>
          <w:szCs w:val="22"/>
          <w:lang w:val="lt-LT" w:eastAsia="sl-SI"/>
        </w:rPr>
      </w:pPr>
      <w:r>
        <w:rPr>
          <w:snapToGrid/>
          <w:szCs w:val="22"/>
          <w:lang w:val="lt-LT" w:eastAsia="sl-SI"/>
        </w:rPr>
        <w:t>Indapamidas mažina kairiojo skilvelio hipertrofiją.</w:t>
      </w:r>
    </w:p>
    <w:p w14:paraId="46A29E87" w14:textId="77777777" w:rsidR="0052346D" w:rsidRDefault="0052346D">
      <w:pPr>
        <w:tabs>
          <w:tab w:val="clear" w:pos="567"/>
          <w:tab w:val="left" w:pos="284"/>
        </w:tabs>
        <w:spacing w:line="240" w:lineRule="auto"/>
        <w:rPr>
          <w:snapToGrid/>
          <w:szCs w:val="22"/>
          <w:lang w:val="lt-LT" w:eastAsia="sl-SI"/>
        </w:rPr>
      </w:pPr>
    </w:p>
    <w:p w14:paraId="67A88020" w14:textId="77777777" w:rsidR="0052346D" w:rsidRDefault="005A1771">
      <w:pPr>
        <w:tabs>
          <w:tab w:val="clear" w:pos="567"/>
          <w:tab w:val="left" w:pos="284"/>
        </w:tabs>
        <w:spacing w:line="240" w:lineRule="auto"/>
        <w:rPr>
          <w:rFonts w:eastAsia="Calibri"/>
          <w:szCs w:val="22"/>
          <w:lang w:val="lt-LT" w:eastAsia="lt-LT"/>
        </w:rPr>
      </w:pPr>
      <w:r>
        <w:rPr>
          <w:rFonts w:eastAsia="Calibri"/>
          <w:szCs w:val="22"/>
          <w:lang w:val="lt-LT" w:eastAsia="lt-LT"/>
        </w:rPr>
        <w:t>Nuo tam tikros tiazidų grupės ar panašaus poveikio diuretikų dozės terapinis poveikis nebestiprėja, tačiau nepageidaujamas poveikis toliau didėja. Jei gydymas neveiksmingas, dozės didinti negalima.</w:t>
      </w:r>
    </w:p>
    <w:p w14:paraId="464838B8" w14:textId="77777777" w:rsidR="0052346D" w:rsidRDefault="0052346D">
      <w:pPr>
        <w:tabs>
          <w:tab w:val="clear" w:pos="567"/>
          <w:tab w:val="left" w:pos="284"/>
        </w:tabs>
        <w:spacing w:line="240" w:lineRule="auto"/>
        <w:rPr>
          <w:snapToGrid/>
          <w:szCs w:val="22"/>
          <w:lang w:val="lt-LT" w:eastAsia="sl-SI"/>
        </w:rPr>
      </w:pPr>
    </w:p>
    <w:p w14:paraId="5BB4D6AA" w14:textId="77777777" w:rsidR="0052346D" w:rsidRDefault="005A1771">
      <w:pPr>
        <w:tabs>
          <w:tab w:val="clear" w:pos="567"/>
          <w:tab w:val="left" w:pos="284"/>
        </w:tabs>
        <w:spacing w:line="240" w:lineRule="auto"/>
        <w:rPr>
          <w:snapToGrid/>
          <w:szCs w:val="22"/>
          <w:lang w:val="lt-LT" w:eastAsia="sl-SI"/>
        </w:rPr>
      </w:pPr>
      <w:r>
        <w:rPr>
          <w:snapToGrid/>
          <w:szCs w:val="22"/>
          <w:lang w:val="lt-LT" w:eastAsia="sl-SI"/>
        </w:rPr>
        <w:t>Be to, nustatyta, kad trumpalaikio, vidutinės trukmės ir ilgalaikio hipertenzija sergančių pacientų gydymo metu indapamidas:</w:t>
      </w:r>
    </w:p>
    <w:p w14:paraId="439C2035" w14:textId="77777777" w:rsidR="0052346D" w:rsidRDefault="005A1771">
      <w:pPr>
        <w:numPr>
          <w:ilvl w:val="0"/>
          <w:numId w:val="19"/>
        </w:numPr>
        <w:spacing w:line="240" w:lineRule="auto"/>
        <w:rPr>
          <w:snapToGrid/>
          <w:szCs w:val="22"/>
          <w:lang w:val="lt-LT" w:eastAsia="sl-SI"/>
        </w:rPr>
      </w:pPr>
      <w:r>
        <w:rPr>
          <w:snapToGrid/>
          <w:szCs w:val="22"/>
          <w:lang w:val="lt-LT" w:eastAsia="sl-SI"/>
        </w:rPr>
        <w:t>netrikdo lipidų (trigliceridų, mažo tankio lipoproteinų (MTL) cholesterolio, didelio tankio lipoproteinų (DTL) cholesterolio) apykaitos;</w:t>
      </w:r>
    </w:p>
    <w:p w14:paraId="578C7309" w14:textId="77777777" w:rsidR="0052346D" w:rsidRDefault="005A1771">
      <w:pPr>
        <w:numPr>
          <w:ilvl w:val="0"/>
          <w:numId w:val="19"/>
        </w:numPr>
        <w:spacing w:line="240" w:lineRule="auto"/>
        <w:rPr>
          <w:snapToGrid/>
          <w:szCs w:val="22"/>
          <w:lang w:val="lt-LT" w:eastAsia="sl-SI"/>
        </w:rPr>
      </w:pPr>
      <w:r>
        <w:rPr>
          <w:snapToGrid/>
          <w:szCs w:val="22"/>
          <w:lang w:val="lt-LT" w:eastAsia="sl-SI"/>
        </w:rPr>
        <w:t>netrikdo angliavandenių apykaitos (net hipertenzija sergantiems diabetikams).</w:t>
      </w:r>
    </w:p>
    <w:p w14:paraId="4225FBAF" w14:textId="77777777" w:rsidR="0052346D" w:rsidRDefault="0052346D">
      <w:pPr>
        <w:widowControl w:val="0"/>
        <w:tabs>
          <w:tab w:val="clear" w:pos="567"/>
        </w:tabs>
        <w:autoSpaceDE w:val="0"/>
        <w:autoSpaceDN w:val="0"/>
        <w:adjustRightInd w:val="0"/>
        <w:spacing w:line="240" w:lineRule="auto"/>
        <w:rPr>
          <w:rFonts w:eastAsia="TimesNewRoman"/>
          <w:snapToGrid/>
          <w:szCs w:val="22"/>
          <w:lang w:val="lt-LT"/>
        </w:rPr>
      </w:pPr>
    </w:p>
    <w:p w14:paraId="46353321" w14:textId="77777777" w:rsidR="0052346D" w:rsidRDefault="005A1771">
      <w:pPr>
        <w:widowControl w:val="0"/>
        <w:spacing w:line="240" w:lineRule="auto"/>
        <w:ind w:left="567" w:hanging="567"/>
        <w:outlineLvl w:val="2"/>
        <w:rPr>
          <w:b/>
          <w:snapToGrid/>
          <w:kern w:val="28"/>
          <w:szCs w:val="22"/>
          <w:lang w:val="lt-LT"/>
        </w:rPr>
      </w:pPr>
      <w:r>
        <w:rPr>
          <w:b/>
          <w:snapToGrid/>
          <w:kern w:val="28"/>
          <w:szCs w:val="22"/>
          <w:lang w:val="lt-LT"/>
        </w:rPr>
        <w:t>5.2</w:t>
      </w:r>
      <w:r>
        <w:rPr>
          <w:b/>
          <w:snapToGrid/>
          <w:kern w:val="28"/>
          <w:szCs w:val="22"/>
          <w:lang w:val="lt-LT"/>
        </w:rPr>
        <w:tab/>
        <w:t>Farmakokinetinės savybės</w:t>
      </w:r>
    </w:p>
    <w:p w14:paraId="01F74891" w14:textId="77777777" w:rsidR="0052346D" w:rsidRDefault="0052346D">
      <w:pPr>
        <w:widowControl w:val="0"/>
        <w:tabs>
          <w:tab w:val="clear" w:pos="567"/>
        </w:tabs>
        <w:spacing w:line="240" w:lineRule="auto"/>
        <w:ind w:left="567" w:hanging="567"/>
        <w:rPr>
          <w:bCs/>
          <w:snapToGrid/>
          <w:szCs w:val="22"/>
          <w:lang w:val="lt-LT"/>
        </w:rPr>
      </w:pPr>
    </w:p>
    <w:p w14:paraId="06A79269" w14:textId="77777777" w:rsidR="0052346D" w:rsidRDefault="005A1771">
      <w:pPr>
        <w:widowControl w:val="0"/>
        <w:tabs>
          <w:tab w:val="clear" w:pos="567"/>
        </w:tabs>
        <w:spacing w:line="240" w:lineRule="auto"/>
        <w:rPr>
          <w:rFonts w:eastAsia="Arial Unicode MS"/>
          <w:snapToGrid/>
          <w:szCs w:val="22"/>
          <w:lang w:val="lt-LT" w:eastAsia="de-DE"/>
        </w:rPr>
      </w:pPr>
      <w:r>
        <w:rPr>
          <w:rFonts w:eastAsia="Arial Unicode MS"/>
          <w:iCs/>
          <w:snapToGrid/>
          <w:szCs w:val="22"/>
          <w:u w:val="single"/>
          <w:lang w:val="lt-LT" w:eastAsia="de-DE"/>
        </w:rPr>
        <w:t>Absorbcija ir pasiskirstymas</w:t>
      </w:r>
    </w:p>
    <w:p w14:paraId="65A86E4E" w14:textId="77777777" w:rsidR="0052346D" w:rsidRDefault="0052346D">
      <w:pPr>
        <w:widowControl w:val="0"/>
        <w:tabs>
          <w:tab w:val="clear" w:pos="567"/>
        </w:tabs>
        <w:spacing w:line="240" w:lineRule="auto"/>
        <w:rPr>
          <w:snapToGrid/>
          <w:szCs w:val="22"/>
          <w:lang w:val="lt-LT" w:eastAsia="sl-SI"/>
        </w:rPr>
      </w:pPr>
    </w:p>
    <w:p w14:paraId="099CA4F6" w14:textId="77777777" w:rsidR="0052346D" w:rsidRDefault="005A1771">
      <w:pPr>
        <w:widowControl w:val="0"/>
        <w:tabs>
          <w:tab w:val="clear" w:pos="567"/>
        </w:tabs>
        <w:spacing w:line="240" w:lineRule="auto"/>
        <w:rPr>
          <w:i/>
          <w:iCs/>
          <w:snapToGrid/>
          <w:szCs w:val="22"/>
          <w:u w:val="single"/>
          <w:lang w:val="lt-LT" w:eastAsia="sl-SI"/>
        </w:rPr>
      </w:pPr>
      <w:r>
        <w:rPr>
          <w:i/>
          <w:iCs/>
          <w:snapToGrid/>
          <w:szCs w:val="22"/>
          <w:u w:val="single"/>
          <w:lang w:val="lt-LT" w:eastAsia="sl-SI"/>
        </w:rPr>
        <w:t>Kandesartanas</w:t>
      </w:r>
    </w:p>
    <w:p w14:paraId="59711482" w14:textId="77777777" w:rsidR="0052346D" w:rsidRDefault="005A1771">
      <w:pPr>
        <w:spacing w:line="240" w:lineRule="auto"/>
        <w:rPr>
          <w:rFonts w:eastAsia="Calibri"/>
          <w:snapToGrid/>
          <w:szCs w:val="22"/>
          <w:lang w:val="lt-LT"/>
        </w:rPr>
      </w:pPr>
      <w:r>
        <w:rPr>
          <w:rFonts w:eastAsia="Calibri"/>
          <w:snapToGrid/>
          <w:szCs w:val="22"/>
          <w:lang w:val="lt-LT"/>
        </w:rPr>
        <w:t>Per burną pavartotas kandesartano cileksetilas verčiamas aktyvia medžiaga kandesartanu. Pavartojus geriamojo kandesartano cileksetilo tirpalo, absoliutus biologinis kandesartano prieinamumas yra maždaug 40 %. Tablečių farmacinės formos kandesartano santykinis biologinis prieinamumas, palyginti su geriamuoju tirpalu, yra maždaug 34 % ir svyruoja labai mažai. Išgėrus tabletę, apskaičiuotasis absoliutus biologinis prieinamumas yra 14 %. Išgėrus tabletę, didžiausia vidutinė koncentracija kraujo serume (C</w:t>
      </w:r>
      <w:r>
        <w:rPr>
          <w:rFonts w:eastAsia="Calibri"/>
          <w:snapToGrid/>
          <w:szCs w:val="22"/>
          <w:vertAlign w:val="subscript"/>
          <w:lang w:val="lt-LT"/>
        </w:rPr>
        <w:t>max</w:t>
      </w:r>
      <w:r>
        <w:rPr>
          <w:rFonts w:eastAsia="Calibri"/>
          <w:snapToGrid/>
          <w:szCs w:val="22"/>
          <w:lang w:val="lt-LT"/>
        </w:rPr>
        <w:t>) atsiranda po 3–4 val. Didinant dozę terapinių dozių ribose, kandesartano koncentracijos kraujo serume didėjimas yra tiesinis. Nuo lyties priklausomų kandesartano farmakokinetikos skirtumų nepastebėta. Maistas reikšmingos įtakos kandesartano plotui po koncentracijos kraujo serume kreive laiko atžvilgiu (AUC) nedaro. Didelė dalis (daugiau nei 99 %) kandesartano prisijungia prie kraujo plazmos baltymų. Tariamasis kandesartano pasiskirstymo tūris yra 0,1 l/kg. Maistas įtakos biologiniam kandesartano prieinamumui nedaro.</w:t>
      </w:r>
    </w:p>
    <w:p w14:paraId="622CA055" w14:textId="77777777" w:rsidR="0052346D" w:rsidRDefault="0052346D">
      <w:pPr>
        <w:widowControl w:val="0"/>
        <w:tabs>
          <w:tab w:val="clear" w:pos="567"/>
        </w:tabs>
        <w:spacing w:line="240" w:lineRule="auto"/>
        <w:rPr>
          <w:snapToGrid/>
          <w:szCs w:val="22"/>
          <w:lang w:val="lt-LT" w:eastAsia="sl-SI"/>
        </w:rPr>
      </w:pPr>
    </w:p>
    <w:p w14:paraId="650FC64D" w14:textId="77777777" w:rsidR="0052346D" w:rsidRDefault="005A1771">
      <w:pPr>
        <w:widowControl w:val="0"/>
        <w:tabs>
          <w:tab w:val="clear" w:pos="567"/>
        </w:tabs>
        <w:spacing w:line="240" w:lineRule="auto"/>
        <w:rPr>
          <w:i/>
          <w:iCs/>
          <w:snapToGrid/>
          <w:szCs w:val="22"/>
          <w:u w:val="single"/>
          <w:lang w:val="lt-LT" w:eastAsia="sl-SI"/>
        </w:rPr>
      </w:pPr>
      <w:bookmarkStart w:id="2" w:name="_Hlk156555601"/>
      <w:r>
        <w:rPr>
          <w:i/>
          <w:iCs/>
          <w:snapToGrid/>
          <w:szCs w:val="22"/>
          <w:u w:val="single"/>
          <w:lang w:val="lt-LT" w:eastAsia="sl-SI"/>
        </w:rPr>
        <w:lastRenderedPageBreak/>
        <w:t>Indapamidas</w:t>
      </w:r>
    </w:p>
    <w:bookmarkEnd w:id="2"/>
    <w:p w14:paraId="2937679E" w14:textId="77777777" w:rsidR="0052346D" w:rsidRDefault="005A1771">
      <w:pPr>
        <w:widowControl w:val="0"/>
        <w:tabs>
          <w:tab w:val="clear" w:pos="567"/>
        </w:tabs>
        <w:spacing w:line="240" w:lineRule="auto"/>
        <w:rPr>
          <w:snapToGrid/>
          <w:szCs w:val="22"/>
          <w:lang w:val="lt-LT" w:eastAsia="sl-SI"/>
        </w:rPr>
      </w:pPr>
      <w:r>
        <w:rPr>
          <w:snapToGrid/>
          <w:szCs w:val="22"/>
          <w:lang w:val="lt-LT" w:eastAsia="sl-SI"/>
        </w:rPr>
        <w:t>Indapamido biologinis prieinamumas yra didelis (93 %). Pavartojus 2,5 mg dozę, laikas, per kurį pasiekiama didžiausia koncentracija kraujyje (T</w:t>
      </w:r>
      <w:r>
        <w:rPr>
          <w:snapToGrid/>
          <w:szCs w:val="22"/>
          <w:vertAlign w:val="subscript"/>
          <w:lang w:val="lt-LT" w:eastAsia="sl-SI"/>
        </w:rPr>
        <w:t>max</w:t>
      </w:r>
      <w:r>
        <w:rPr>
          <w:snapToGrid/>
          <w:szCs w:val="22"/>
          <w:lang w:val="lt-LT" w:eastAsia="sl-SI"/>
        </w:rPr>
        <w:t>), svyruoja nuo 1 iki 2 valandų. Su kraujo plazmos baltymais jungiasi daugiau kaip 75 % indapamido. Pusinės eliminacijos iš kraujo plazmos laikas yra nuo 14 iki 24 valandų (vidutiniškai 18 valandų). Indapamido vartojant kartotinai, koncentracija kraujo plazmoje padidėja iki stabilaus lygio, palyginti su koncentracija po vienkartinės dozės pavartojimo, tačiau toks stabilus lygis laikui bėgant nekinta ir kaupimosi nesukelia.</w:t>
      </w:r>
    </w:p>
    <w:p w14:paraId="4D8EE49A" w14:textId="77777777" w:rsidR="0052346D" w:rsidRDefault="0052346D">
      <w:pPr>
        <w:widowControl w:val="0"/>
        <w:tabs>
          <w:tab w:val="clear" w:pos="567"/>
        </w:tabs>
        <w:spacing w:line="240" w:lineRule="auto"/>
        <w:rPr>
          <w:rFonts w:eastAsia="Arial Unicode MS"/>
          <w:i/>
          <w:iCs/>
          <w:snapToGrid/>
          <w:szCs w:val="22"/>
          <w:u w:val="single"/>
          <w:lang w:val="lt-LT" w:eastAsia="de-DE"/>
        </w:rPr>
      </w:pPr>
    </w:p>
    <w:p w14:paraId="7DE4B75E" w14:textId="77777777" w:rsidR="0052346D" w:rsidRDefault="005A1771">
      <w:pPr>
        <w:widowControl w:val="0"/>
        <w:tabs>
          <w:tab w:val="clear" w:pos="567"/>
        </w:tabs>
        <w:spacing w:line="240" w:lineRule="auto"/>
        <w:rPr>
          <w:rFonts w:eastAsia="Arial Unicode MS"/>
          <w:snapToGrid/>
          <w:szCs w:val="22"/>
          <w:lang w:val="lt-LT" w:eastAsia="de-DE"/>
        </w:rPr>
      </w:pPr>
      <w:r>
        <w:rPr>
          <w:rFonts w:eastAsia="Arial Unicode MS"/>
          <w:iCs/>
          <w:snapToGrid/>
          <w:szCs w:val="22"/>
          <w:u w:val="single"/>
          <w:lang w:val="lt-LT" w:eastAsia="de-DE"/>
        </w:rPr>
        <w:t>Biotransformacija ir eliminacija</w:t>
      </w:r>
    </w:p>
    <w:p w14:paraId="4A5B7FAB" w14:textId="77777777" w:rsidR="0052346D" w:rsidRDefault="0052346D">
      <w:pPr>
        <w:widowControl w:val="0"/>
        <w:tabs>
          <w:tab w:val="clear" w:pos="567"/>
        </w:tabs>
        <w:spacing w:line="240" w:lineRule="auto"/>
        <w:rPr>
          <w:snapToGrid/>
          <w:szCs w:val="22"/>
          <w:lang w:val="lt-LT" w:eastAsia="sl-SI"/>
        </w:rPr>
      </w:pPr>
    </w:p>
    <w:p w14:paraId="333D99F7" w14:textId="77777777" w:rsidR="0052346D" w:rsidRDefault="005A1771">
      <w:pPr>
        <w:widowControl w:val="0"/>
        <w:tabs>
          <w:tab w:val="clear" w:pos="567"/>
        </w:tabs>
        <w:spacing w:line="240" w:lineRule="auto"/>
        <w:rPr>
          <w:i/>
          <w:iCs/>
          <w:snapToGrid/>
          <w:szCs w:val="22"/>
          <w:u w:val="single"/>
          <w:lang w:val="lt-LT" w:eastAsia="sl-SI"/>
        </w:rPr>
      </w:pPr>
      <w:bookmarkStart w:id="3" w:name="_Hlk156555694"/>
      <w:r>
        <w:rPr>
          <w:i/>
          <w:iCs/>
          <w:snapToGrid/>
          <w:szCs w:val="22"/>
          <w:u w:val="single"/>
          <w:lang w:val="lt-LT" w:eastAsia="sl-SI"/>
        </w:rPr>
        <w:t>Kandesartanas</w:t>
      </w:r>
    </w:p>
    <w:bookmarkEnd w:id="3"/>
    <w:p w14:paraId="5D486036" w14:textId="77777777" w:rsidR="0052346D" w:rsidRDefault="005A1771">
      <w:pPr>
        <w:widowControl w:val="0"/>
        <w:tabs>
          <w:tab w:val="clear" w:pos="567"/>
        </w:tabs>
        <w:spacing w:line="240" w:lineRule="auto"/>
        <w:rPr>
          <w:snapToGrid/>
          <w:szCs w:val="22"/>
          <w:lang w:val="lt-LT" w:eastAsia="sl-SI"/>
        </w:rPr>
      </w:pPr>
      <w:r>
        <w:rPr>
          <w:snapToGrid/>
          <w:szCs w:val="22"/>
          <w:lang w:val="lt-LT" w:eastAsia="sl-SI"/>
        </w:rPr>
        <w:t xml:space="preserve">Kandesartanas daugiausia šalinamas nepakitęs su šlapimu ir tulžimi ir tik nedidele dalimi šalinamas vykstant metabolizmui kepenyse (CYP2C9). Turimi sąveikos tyrimai rodo, kad poveikio CYP2C9 ir CYP3A4 nepasireiškia. Remiantis </w:t>
      </w:r>
      <w:r>
        <w:rPr>
          <w:i/>
          <w:iCs/>
          <w:snapToGrid/>
          <w:szCs w:val="22"/>
          <w:lang w:val="lt-LT" w:eastAsia="sl-SI"/>
        </w:rPr>
        <w:t xml:space="preserve">in vitro </w:t>
      </w:r>
      <w:r>
        <w:rPr>
          <w:snapToGrid/>
          <w:szCs w:val="22"/>
          <w:lang w:val="lt-LT" w:eastAsia="sl-SI"/>
        </w:rPr>
        <w:t xml:space="preserve">duomenimis, </w:t>
      </w:r>
      <w:r>
        <w:rPr>
          <w:i/>
          <w:iCs/>
          <w:snapToGrid/>
          <w:szCs w:val="22"/>
          <w:lang w:val="lt-LT" w:eastAsia="sl-SI"/>
        </w:rPr>
        <w:t xml:space="preserve">in vivo </w:t>
      </w:r>
      <w:r>
        <w:rPr>
          <w:snapToGrid/>
          <w:szCs w:val="22"/>
          <w:lang w:val="lt-LT" w:eastAsia="sl-SI"/>
        </w:rPr>
        <w:t>sąveika su vaistiniais preparatais, kurių metabolizmas priklauso nuo citochromo P450 izofermentų CYP1A2, CYP2A6, CYP2C9, CYP2C19, CYP2D6, CYP2E1 ar CYP3A4, nėra tikėtina. Galutinis kandesartano pusinės eliminacijos laikas yra maždaug 9 valandos. Kartotinių dozių vartojimas kaupimosi nesukelia.</w:t>
      </w:r>
    </w:p>
    <w:p w14:paraId="3C9FDC65" w14:textId="77777777" w:rsidR="0052346D" w:rsidRDefault="005A1771">
      <w:pPr>
        <w:widowControl w:val="0"/>
        <w:tabs>
          <w:tab w:val="clear" w:pos="567"/>
        </w:tabs>
        <w:spacing w:line="240" w:lineRule="auto"/>
        <w:rPr>
          <w:snapToGrid/>
          <w:szCs w:val="22"/>
          <w:lang w:val="lt-LT" w:eastAsia="sl-SI"/>
        </w:rPr>
      </w:pPr>
      <w:r>
        <w:rPr>
          <w:snapToGrid/>
          <w:szCs w:val="22"/>
          <w:lang w:val="lt-LT" w:eastAsia="sl-SI"/>
        </w:rPr>
        <w:t xml:space="preserve">Bendras kandesartano kraujo plazmos klirensas yra maždaug 0,37 ml/min./kg, o inkstų klirensas - maždaug 0,19 ml/min./kg. Kandesartanas per inkstus šalinamas glomerulų filtracijos ir aktyvios kanalėlių sekrecijos būdu. Po </w:t>
      </w:r>
      <w:r>
        <w:rPr>
          <w:snapToGrid/>
          <w:szCs w:val="22"/>
          <w:vertAlign w:val="superscript"/>
          <w:lang w:val="lt-LT" w:eastAsia="sl-SI"/>
        </w:rPr>
        <w:t>14</w:t>
      </w:r>
      <w:r>
        <w:rPr>
          <w:snapToGrid/>
          <w:szCs w:val="22"/>
          <w:lang w:val="lt-LT" w:eastAsia="sl-SI"/>
        </w:rPr>
        <w:t>C žymėto kandesartano cileksetilo dozės pavartojimo per burną maždaug 26 % dozės išsiskiria su šlapimu kandesartano pavidalu ir 7 % - neaktyvaus metabolito pavidalu, o maždaug 56 % dozės išsiskiria su išmatomis kandesartano pavidalu ir 10 % - neaktyvaus metabolito pavidalu.</w:t>
      </w:r>
    </w:p>
    <w:p w14:paraId="5BD6F44B" w14:textId="77777777" w:rsidR="0052346D" w:rsidRDefault="0052346D">
      <w:pPr>
        <w:widowControl w:val="0"/>
        <w:tabs>
          <w:tab w:val="clear" w:pos="567"/>
        </w:tabs>
        <w:spacing w:line="240" w:lineRule="auto"/>
        <w:rPr>
          <w:snapToGrid/>
          <w:szCs w:val="22"/>
          <w:lang w:val="lt-LT" w:eastAsia="sl-SI"/>
        </w:rPr>
      </w:pPr>
    </w:p>
    <w:p w14:paraId="6066C6C6" w14:textId="77777777" w:rsidR="0052346D" w:rsidRDefault="005A1771">
      <w:pPr>
        <w:widowControl w:val="0"/>
        <w:tabs>
          <w:tab w:val="clear" w:pos="567"/>
        </w:tabs>
        <w:spacing w:line="240" w:lineRule="auto"/>
        <w:rPr>
          <w:i/>
          <w:iCs/>
          <w:snapToGrid/>
          <w:szCs w:val="22"/>
          <w:u w:val="single"/>
          <w:lang w:val="lt-LT" w:eastAsia="sl-SI"/>
        </w:rPr>
      </w:pPr>
      <w:r>
        <w:rPr>
          <w:i/>
          <w:iCs/>
          <w:snapToGrid/>
          <w:szCs w:val="22"/>
          <w:u w:val="single"/>
          <w:lang w:val="lt-LT" w:eastAsia="sl-SI"/>
        </w:rPr>
        <w:t>Indapamidas</w:t>
      </w:r>
    </w:p>
    <w:p w14:paraId="61E4787D" w14:textId="77777777" w:rsidR="0052346D" w:rsidRDefault="005A1771">
      <w:pPr>
        <w:widowControl w:val="0"/>
        <w:tabs>
          <w:tab w:val="clear" w:pos="567"/>
        </w:tabs>
        <w:spacing w:line="240" w:lineRule="auto"/>
        <w:rPr>
          <w:snapToGrid/>
          <w:szCs w:val="22"/>
          <w:lang w:val="lt-LT" w:eastAsia="sl-SI"/>
        </w:rPr>
      </w:pPr>
      <w:r>
        <w:rPr>
          <w:snapToGrid/>
          <w:szCs w:val="22"/>
          <w:lang w:val="lt-LT" w:eastAsia="sl-SI"/>
        </w:rPr>
        <w:t>Inkstų klirensas sudaro mažiau nei 10 % viso sisteminio indapamido klirenso, tai rodo, kad dominuoja kepenų klirensas. Metabolizuotas indapamidas daugiausia išsiskiria su šlapimu. Inkstų nepakankamumu sergantiems pacientams farmakokinetikos parametrai nekinta.</w:t>
      </w:r>
    </w:p>
    <w:p w14:paraId="14EF3618" w14:textId="77777777" w:rsidR="0052346D" w:rsidRDefault="0052346D">
      <w:pPr>
        <w:widowControl w:val="0"/>
        <w:tabs>
          <w:tab w:val="clear" w:pos="567"/>
        </w:tabs>
        <w:spacing w:line="240" w:lineRule="auto"/>
        <w:rPr>
          <w:rFonts w:eastAsia="Arial Unicode MS"/>
          <w:i/>
          <w:iCs/>
          <w:snapToGrid/>
          <w:szCs w:val="22"/>
          <w:u w:val="single"/>
          <w:lang w:val="lt-LT" w:eastAsia="de-DE"/>
        </w:rPr>
      </w:pPr>
    </w:p>
    <w:p w14:paraId="37FAF2AA" w14:textId="77777777" w:rsidR="0052346D" w:rsidRDefault="005A1771">
      <w:pPr>
        <w:widowControl w:val="0"/>
        <w:tabs>
          <w:tab w:val="clear" w:pos="567"/>
        </w:tabs>
        <w:spacing w:line="240" w:lineRule="auto"/>
        <w:rPr>
          <w:rFonts w:eastAsia="Arial Unicode MS"/>
          <w:snapToGrid/>
          <w:szCs w:val="22"/>
          <w:lang w:val="lt-LT" w:eastAsia="de-DE"/>
        </w:rPr>
      </w:pPr>
      <w:r>
        <w:rPr>
          <w:rFonts w:eastAsia="Arial Unicode MS"/>
          <w:iCs/>
          <w:snapToGrid/>
          <w:szCs w:val="22"/>
          <w:u w:val="single"/>
          <w:lang w:val="lt-LT" w:eastAsia="de-DE"/>
        </w:rPr>
        <w:t>Farmakokinetika ypatingose populiacijose</w:t>
      </w:r>
    </w:p>
    <w:p w14:paraId="313C2339" w14:textId="77777777" w:rsidR="0052346D" w:rsidRDefault="0052346D">
      <w:pPr>
        <w:widowControl w:val="0"/>
        <w:tabs>
          <w:tab w:val="clear" w:pos="567"/>
        </w:tabs>
        <w:spacing w:line="240" w:lineRule="auto"/>
        <w:rPr>
          <w:snapToGrid/>
          <w:szCs w:val="22"/>
          <w:lang w:val="lt-LT" w:eastAsia="sl-SI"/>
        </w:rPr>
      </w:pPr>
    </w:p>
    <w:p w14:paraId="6B2015C6" w14:textId="77777777" w:rsidR="0052346D" w:rsidRDefault="005A1771">
      <w:pPr>
        <w:widowControl w:val="0"/>
        <w:tabs>
          <w:tab w:val="clear" w:pos="567"/>
        </w:tabs>
        <w:spacing w:line="240" w:lineRule="auto"/>
        <w:rPr>
          <w:i/>
          <w:iCs/>
          <w:snapToGrid/>
          <w:szCs w:val="22"/>
          <w:u w:val="single"/>
          <w:lang w:val="lt-LT" w:eastAsia="sl-SI"/>
        </w:rPr>
      </w:pPr>
      <w:bookmarkStart w:id="4" w:name="_Hlk156555592"/>
      <w:r>
        <w:rPr>
          <w:i/>
          <w:iCs/>
          <w:snapToGrid/>
          <w:szCs w:val="22"/>
          <w:u w:val="single"/>
          <w:lang w:val="lt-LT" w:eastAsia="sl-SI"/>
        </w:rPr>
        <w:t>Kandesartanas</w:t>
      </w:r>
    </w:p>
    <w:bookmarkEnd w:id="4"/>
    <w:p w14:paraId="48F0457D" w14:textId="77777777" w:rsidR="0052346D" w:rsidRDefault="005A1771">
      <w:pPr>
        <w:spacing w:line="240" w:lineRule="auto"/>
        <w:rPr>
          <w:rFonts w:eastAsia="Calibri"/>
          <w:szCs w:val="22"/>
          <w:lang w:val="lt-LT"/>
        </w:rPr>
      </w:pPr>
      <w:r>
        <w:rPr>
          <w:rFonts w:eastAsia="Calibri"/>
          <w:szCs w:val="22"/>
          <w:lang w:val="lt-LT"/>
        </w:rPr>
        <w:t>Senyvų (vyresnių nei 65 metų) pacientų, palyginti su jaunais asmenimis, organizme kandesartano C</w:t>
      </w:r>
      <w:r>
        <w:rPr>
          <w:rFonts w:eastAsia="Calibri"/>
          <w:szCs w:val="22"/>
          <w:vertAlign w:val="subscript"/>
          <w:lang w:val="lt-LT"/>
        </w:rPr>
        <w:t>max</w:t>
      </w:r>
      <w:r>
        <w:rPr>
          <w:rFonts w:eastAsia="Calibri"/>
          <w:szCs w:val="22"/>
          <w:lang w:val="lt-LT"/>
        </w:rPr>
        <w:t xml:space="preserve"> ir AUC būna atitinkamai maždaug 50 % ir 80% didesni. Vis dėlto tokią pačią kandesartano cileksetilo dozę vartojantiems jauniems ar senyviems pacientams poveikis kraujospūdžiui bei nepageidaujamų reiškinių dažnis būna panašus (žr. 4.2 skyrių).</w:t>
      </w:r>
    </w:p>
    <w:p w14:paraId="44A6B04A" w14:textId="77777777" w:rsidR="0052346D" w:rsidRDefault="005A1771">
      <w:pPr>
        <w:widowControl w:val="0"/>
        <w:spacing w:line="240" w:lineRule="auto"/>
        <w:rPr>
          <w:snapToGrid/>
          <w:szCs w:val="22"/>
          <w:lang w:val="lt-LT" w:eastAsia="sl-SI"/>
        </w:rPr>
      </w:pPr>
      <w:r>
        <w:rPr>
          <w:snapToGrid/>
          <w:szCs w:val="22"/>
          <w:lang w:val="lt-LT" w:eastAsia="sl-SI"/>
        </w:rPr>
        <w:t>Kartotines kandesartano dozes vartojantiems pacientams, kuriems yra lengvas ar vidutinio sunkumo inkstų funkcijos sutrikimas, C</w:t>
      </w:r>
      <w:r>
        <w:rPr>
          <w:snapToGrid/>
          <w:szCs w:val="22"/>
          <w:vertAlign w:val="subscript"/>
          <w:lang w:val="lt-LT" w:eastAsia="sl-SI"/>
        </w:rPr>
        <w:t>max</w:t>
      </w:r>
      <w:r>
        <w:rPr>
          <w:snapToGrid/>
          <w:szCs w:val="22"/>
          <w:lang w:val="lt-LT" w:eastAsia="sl-SI"/>
        </w:rPr>
        <w:t xml:space="preserve"> ir AUC buvo atitinkamai maždaug 50 % ir 70 % didesni, tačiau pusinės eliminacijos laikas nepakito, palyginti su pacientų, kurių inkstų funkcija normali, rodmenimis. Pacientams, kuriems yra sunkus inkstų funkcijos sutrikimas, atitinkami pokyčiai buvo atitinkamai maždaug 50 % ir 110 %. Pacientams, kuriems yra sunkus inkstų funkcijos sutrikimas, galutinis pusinės eliminacijos laikas pailgėjo maždaug dvigubai. Pacientams, kuriems atliekama hemodializė, kandesartano AUC buvo panašus į nustatytą pacientams, kuriems yra sunkus inkstų funkcijos sutrikimas.</w:t>
      </w:r>
    </w:p>
    <w:p w14:paraId="49C5E598" w14:textId="77777777" w:rsidR="0052346D" w:rsidRDefault="005A1771">
      <w:pPr>
        <w:widowControl w:val="0"/>
        <w:spacing w:line="240" w:lineRule="auto"/>
        <w:rPr>
          <w:snapToGrid/>
          <w:szCs w:val="22"/>
          <w:lang w:val="lt-LT" w:eastAsia="sl-SI"/>
        </w:rPr>
      </w:pPr>
      <w:r>
        <w:rPr>
          <w:snapToGrid/>
          <w:szCs w:val="22"/>
          <w:lang w:val="lt-LT" w:eastAsia="sl-SI"/>
        </w:rPr>
        <w:t>Vieno iš dviejų tyrimų metu pacientams, kuriems buvo lengvas arba vidutinio sunkumo kepenų funkcijos sutrikimas, vidutinis kandesartano AUC padidėjo maždaug 20 %, kito tyrimo metu – 80 % (žr. 4.2 skyrių). Duomenų apie farmakokinetiką pacientų, kuriems yra sunkus kepenų funkcijos sutrikimas, organizme nėra.</w:t>
      </w:r>
    </w:p>
    <w:p w14:paraId="4805C279" w14:textId="77777777" w:rsidR="0052346D" w:rsidRDefault="0052346D">
      <w:pPr>
        <w:widowControl w:val="0"/>
        <w:tabs>
          <w:tab w:val="clear" w:pos="567"/>
        </w:tabs>
        <w:spacing w:line="240" w:lineRule="auto"/>
        <w:rPr>
          <w:snapToGrid/>
          <w:szCs w:val="22"/>
          <w:lang w:val="lt-LT" w:eastAsia="sl-SI"/>
        </w:rPr>
      </w:pPr>
    </w:p>
    <w:p w14:paraId="20027606" w14:textId="77777777" w:rsidR="0052346D" w:rsidRDefault="005A1771">
      <w:pPr>
        <w:widowControl w:val="0"/>
        <w:tabs>
          <w:tab w:val="clear" w:pos="567"/>
        </w:tabs>
        <w:spacing w:line="240" w:lineRule="auto"/>
        <w:rPr>
          <w:i/>
          <w:snapToGrid/>
          <w:szCs w:val="22"/>
          <w:lang w:val="lt-LT" w:eastAsia="sl-SI"/>
        </w:rPr>
      </w:pPr>
      <w:r>
        <w:rPr>
          <w:i/>
          <w:snapToGrid/>
          <w:szCs w:val="22"/>
          <w:lang w:val="lt-LT" w:eastAsia="sl-SI"/>
        </w:rPr>
        <w:t>Vaikų populiacija</w:t>
      </w:r>
    </w:p>
    <w:p w14:paraId="19768465" w14:textId="77777777" w:rsidR="0052346D" w:rsidRDefault="0052346D">
      <w:pPr>
        <w:widowControl w:val="0"/>
        <w:tabs>
          <w:tab w:val="clear" w:pos="567"/>
        </w:tabs>
        <w:spacing w:line="240" w:lineRule="auto"/>
        <w:rPr>
          <w:snapToGrid/>
          <w:szCs w:val="22"/>
          <w:lang w:val="lt-LT" w:eastAsia="sl-SI"/>
        </w:rPr>
      </w:pPr>
    </w:p>
    <w:p w14:paraId="72C1E3B7" w14:textId="77777777" w:rsidR="0052346D" w:rsidRDefault="005A1771">
      <w:pPr>
        <w:widowControl w:val="0"/>
        <w:tabs>
          <w:tab w:val="clear" w:pos="567"/>
        </w:tabs>
        <w:spacing w:line="240" w:lineRule="auto"/>
        <w:rPr>
          <w:snapToGrid/>
          <w:szCs w:val="22"/>
          <w:lang w:val="lt-LT" w:eastAsia="sl-SI"/>
        </w:rPr>
      </w:pPr>
      <w:r>
        <w:rPr>
          <w:snapToGrid/>
          <w:szCs w:val="22"/>
          <w:lang w:val="lt-LT" w:eastAsia="sl-SI"/>
        </w:rPr>
        <w:t>Kanpiduo nerekomenduojama vartoti jaunesniems kaip 18 metų vaikams ir paaugliams (žr. 4.2 skyrių).</w:t>
      </w:r>
    </w:p>
    <w:p w14:paraId="1349D932" w14:textId="77777777" w:rsidR="0052346D" w:rsidRDefault="0052346D">
      <w:pPr>
        <w:widowControl w:val="0"/>
        <w:tabs>
          <w:tab w:val="clear" w:pos="567"/>
        </w:tabs>
        <w:spacing w:line="240" w:lineRule="auto"/>
        <w:rPr>
          <w:snapToGrid/>
          <w:szCs w:val="22"/>
          <w:lang w:val="lt-LT" w:eastAsia="sl-SI"/>
        </w:rPr>
      </w:pPr>
    </w:p>
    <w:p w14:paraId="131E146E" w14:textId="77777777" w:rsidR="0052346D" w:rsidRDefault="005A1771">
      <w:pPr>
        <w:widowControl w:val="0"/>
        <w:tabs>
          <w:tab w:val="clear" w:pos="567"/>
        </w:tabs>
        <w:spacing w:line="240" w:lineRule="auto"/>
        <w:rPr>
          <w:snapToGrid/>
          <w:szCs w:val="22"/>
          <w:lang w:val="lt-LT" w:eastAsia="sl-SI"/>
        </w:rPr>
      </w:pPr>
      <w:r>
        <w:rPr>
          <w:snapToGrid/>
          <w:szCs w:val="22"/>
          <w:lang w:val="lt-LT" w:eastAsia="sl-SI"/>
        </w:rPr>
        <w:t>Farmakokinetinės kandesartano savybės buvo įvertintos hipertenzija sergantiems vaikams nuo 1 iki &lt;6 metų ir nuo 6 iki &lt;17 metų dviejų vienkartinės dozės farmakokinetikos tyrimų metu.</w:t>
      </w:r>
    </w:p>
    <w:p w14:paraId="04027B75" w14:textId="77777777" w:rsidR="0052346D" w:rsidRDefault="0052346D">
      <w:pPr>
        <w:widowControl w:val="0"/>
        <w:tabs>
          <w:tab w:val="clear" w:pos="567"/>
        </w:tabs>
        <w:spacing w:line="240" w:lineRule="auto"/>
        <w:rPr>
          <w:snapToGrid/>
          <w:szCs w:val="22"/>
          <w:lang w:val="lt-LT" w:eastAsia="sl-SI"/>
        </w:rPr>
      </w:pPr>
    </w:p>
    <w:p w14:paraId="6E46F385" w14:textId="77777777" w:rsidR="0052346D" w:rsidRDefault="005A1771">
      <w:pPr>
        <w:widowControl w:val="0"/>
        <w:tabs>
          <w:tab w:val="clear" w:pos="567"/>
        </w:tabs>
        <w:spacing w:line="240" w:lineRule="auto"/>
        <w:rPr>
          <w:snapToGrid/>
          <w:szCs w:val="22"/>
          <w:lang w:val="lt-LT" w:eastAsia="sl-SI"/>
        </w:rPr>
      </w:pPr>
      <w:r>
        <w:rPr>
          <w:snapToGrid/>
          <w:szCs w:val="22"/>
          <w:lang w:val="lt-LT" w:eastAsia="sl-SI"/>
        </w:rPr>
        <w:lastRenderedPageBreak/>
        <w:t>Vertinant vaikus nuo 1 iki &lt;6 metų, 10 vaikų, sveriančių nuo 10 iki &lt;25 kg, buvo skirta vienkartinė 0,2 mg/kg geriamosios suspensijos dozė. C</w:t>
      </w:r>
      <w:r>
        <w:rPr>
          <w:snapToGrid/>
          <w:szCs w:val="22"/>
          <w:vertAlign w:val="subscript"/>
          <w:lang w:val="lt-LT" w:eastAsia="sl-SI"/>
        </w:rPr>
        <w:t>max</w:t>
      </w:r>
      <w:r>
        <w:rPr>
          <w:snapToGrid/>
          <w:szCs w:val="22"/>
          <w:lang w:val="lt-LT" w:eastAsia="sl-SI"/>
        </w:rPr>
        <w:t xml:space="preserve"> ir AUC koreliacijos su amžiumi ar kūno svoriu nenustatyta. Duomenų apie klirensą nebuvo surinkta, todėl klirenso koreliacijos su kūno svoriu ir amžiumi galimybė šioje populiacijoje nežinoma.</w:t>
      </w:r>
    </w:p>
    <w:p w14:paraId="32F9221D" w14:textId="77777777" w:rsidR="0052346D" w:rsidRDefault="0052346D">
      <w:pPr>
        <w:widowControl w:val="0"/>
        <w:tabs>
          <w:tab w:val="clear" w:pos="567"/>
        </w:tabs>
        <w:spacing w:line="240" w:lineRule="auto"/>
        <w:rPr>
          <w:snapToGrid/>
          <w:szCs w:val="22"/>
          <w:lang w:val="lt-LT" w:eastAsia="sl-SI"/>
        </w:rPr>
      </w:pPr>
    </w:p>
    <w:p w14:paraId="1A9E827C" w14:textId="77777777" w:rsidR="0052346D" w:rsidRDefault="005A1771">
      <w:pPr>
        <w:widowControl w:val="0"/>
        <w:tabs>
          <w:tab w:val="clear" w:pos="567"/>
        </w:tabs>
        <w:spacing w:line="240" w:lineRule="auto"/>
        <w:rPr>
          <w:snapToGrid/>
          <w:szCs w:val="22"/>
          <w:lang w:val="lt-LT" w:eastAsia="sl-SI"/>
        </w:rPr>
      </w:pPr>
      <w:r>
        <w:rPr>
          <w:snapToGrid/>
          <w:szCs w:val="22"/>
          <w:lang w:val="lt-LT" w:eastAsia="sl-SI"/>
        </w:rPr>
        <w:t>Vertinant vaikus nuo 6 iki &lt;17 metų, 22 vaikams buvo skirta vienkartinė dozė (16 mg tabletė). C</w:t>
      </w:r>
      <w:r>
        <w:rPr>
          <w:snapToGrid/>
          <w:szCs w:val="22"/>
          <w:vertAlign w:val="subscript"/>
          <w:lang w:val="lt-LT" w:eastAsia="sl-SI"/>
        </w:rPr>
        <w:t>max</w:t>
      </w:r>
      <w:r>
        <w:rPr>
          <w:snapToGrid/>
          <w:szCs w:val="22"/>
          <w:lang w:val="lt-LT" w:eastAsia="sl-SI"/>
        </w:rPr>
        <w:t xml:space="preserve"> ir AUC koreliacijos su amžiumi ar kūno svoriu nenustatyta. Vis dėlto gauta duomenų, kad kūno svoris reikšmingai koreliavo su C</w:t>
      </w:r>
      <w:r>
        <w:rPr>
          <w:snapToGrid/>
          <w:szCs w:val="22"/>
          <w:vertAlign w:val="subscript"/>
          <w:lang w:val="lt-LT" w:eastAsia="sl-SI"/>
        </w:rPr>
        <w:t>max</w:t>
      </w:r>
      <w:r>
        <w:rPr>
          <w:snapToGrid/>
          <w:szCs w:val="22"/>
          <w:lang w:val="lt-LT" w:eastAsia="sl-SI"/>
        </w:rPr>
        <w:t xml:space="preserve"> (p = 0,012) ir AUC (p = 0,011). Duomenų apie klirensą nebuvo surinkta, todėl klirenso koreliacijos su kūno svoriu/ amžiumi galimybė šioje populiacijoje nežinoma.</w:t>
      </w:r>
    </w:p>
    <w:p w14:paraId="4E00A19E" w14:textId="77777777" w:rsidR="0052346D" w:rsidRDefault="0052346D">
      <w:pPr>
        <w:widowControl w:val="0"/>
        <w:tabs>
          <w:tab w:val="clear" w:pos="567"/>
        </w:tabs>
        <w:spacing w:line="240" w:lineRule="auto"/>
        <w:rPr>
          <w:snapToGrid/>
          <w:szCs w:val="22"/>
          <w:lang w:val="lt-LT" w:eastAsia="sl-SI"/>
        </w:rPr>
      </w:pPr>
    </w:p>
    <w:p w14:paraId="09450AAF" w14:textId="77777777" w:rsidR="0052346D" w:rsidRDefault="005A1771">
      <w:pPr>
        <w:widowControl w:val="0"/>
        <w:tabs>
          <w:tab w:val="clear" w:pos="567"/>
        </w:tabs>
        <w:autoSpaceDE w:val="0"/>
        <w:autoSpaceDN w:val="0"/>
        <w:adjustRightInd w:val="0"/>
        <w:spacing w:line="240" w:lineRule="auto"/>
        <w:rPr>
          <w:snapToGrid/>
          <w:szCs w:val="22"/>
          <w:lang w:val="lt-LT" w:eastAsia="sl-SI"/>
        </w:rPr>
      </w:pPr>
      <w:r>
        <w:rPr>
          <w:snapToGrid/>
          <w:szCs w:val="22"/>
          <w:lang w:val="lt-LT" w:eastAsia="sl-SI"/>
        </w:rPr>
        <w:t>Vyresnių nei 6 metų vaikams ekspozicija buvo panaši į nustatytą tokią pačią dozę vartojusiems suaugusiesiems.</w:t>
      </w:r>
    </w:p>
    <w:p w14:paraId="38B79EB6" w14:textId="77777777" w:rsidR="0052346D" w:rsidRDefault="0052346D">
      <w:pPr>
        <w:widowControl w:val="0"/>
        <w:tabs>
          <w:tab w:val="clear" w:pos="567"/>
        </w:tabs>
        <w:autoSpaceDE w:val="0"/>
        <w:autoSpaceDN w:val="0"/>
        <w:adjustRightInd w:val="0"/>
        <w:spacing w:line="240" w:lineRule="auto"/>
        <w:rPr>
          <w:snapToGrid/>
          <w:szCs w:val="22"/>
          <w:lang w:val="lt-LT" w:eastAsia="sl-SI"/>
        </w:rPr>
      </w:pPr>
    </w:p>
    <w:p w14:paraId="77507C5D" w14:textId="77777777" w:rsidR="0052346D" w:rsidRDefault="005A1771">
      <w:pPr>
        <w:widowControl w:val="0"/>
        <w:tabs>
          <w:tab w:val="clear" w:pos="567"/>
        </w:tabs>
        <w:autoSpaceDE w:val="0"/>
        <w:autoSpaceDN w:val="0"/>
        <w:adjustRightInd w:val="0"/>
        <w:spacing w:line="240" w:lineRule="auto"/>
        <w:rPr>
          <w:snapToGrid/>
          <w:szCs w:val="22"/>
          <w:lang w:val="lt-LT" w:eastAsia="sl-SI"/>
        </w:rPr>
      </w:pPr>
      <w:r>
        <w:rPr>
          <w:snapToGrid/>
          <w:szCs w:val="22"/>
          <w:lang w:val="lt-LT" w:eastAsia="sl-SI"/>
        </w:rPr>
        <w:t>Kandesartano cileksetilo farmakokinetika nebuvo tirta &lt;1 metų vaikams (žr. 4.3 ir 5.3 skyrius).</w:t>
      </w:r>
    </w:p>
    <w:p w14:paraId="65BFEA3A" w14:textId="77777777" w:rsidR="0052346D" w:rsidRDefault="0052346D">
      <w:pPr>
        <w:widowControl w:val="0"/>
        <w:tabs>
          <w:tab w:val="clear" w:pos="567"/>
        </w:tabs>
        <w:autoSpaceDE w:val="0"/>
        <w:autoSpaceDN w:val="0"/>
        <w:adjustRightInd w:val="0"/>
        <w:spacing w:line="240" w:lineRule="auto"/>
        <w:rPr>
          <w:rFonts w:eastAsia="TimesNewRoman"/>
          <w:snapToGrid/>
          <w:szCs w:val="22"/>
          <w:lang w:val="lt-LT"/>
        </w:rPr>
      </w:pPr>
    </w:p>
    <w:p w14:paraId="0E89A963" w14:textId="77777777" w:rsidR="0052346D" w:rsidRDefault="005A1771">
      <w:pPr>
        <w:widowControl w:val="0"/>
        <w:spacing w:line="240" w:lineRule="auto"/>
        <w:ind w:left="567" w:hanging="567"/>
        <w:outlineLvl w:val="2"/>
        <w:rPr>
          <w:b/>
          <w:snapToGrid/>
          <w:kern w:val="28"/>
          <w:szCs w:val="22"/>
          <w:lang w:val="lt-LT"/>
        </w:rPr>
      </w:pPr>
      <w:r>
        <w:rPr>
          <w:b/>
          <w:snapToGrid/>
          <w:kern w:val="28"/>
          <w:szCs w:val="22"/>
          <w:lang w:val="lt-LT"/>
        </w:rPr>
        <w:t>5.3</w:t>
      </w:r>
      <w:r>
        <w:rPr>
          <w:b/>
          <w:snapToGrid/>
          <w:kern w:val="28"/>
          <w:szCs w:val="22"/>
          <w:lang w:val="lt-LT"/>
        </w:rPr>
        <w:tab/>
        <w:t>Ikiklinikinių saugumo tyrimų duomenys</w:t>
      </w:r>
    </w:p>
    <w:p w14:paraId="5233E72C" w14:textId="77777777" w:rsidR="0052346D" w:rsidRDefault="0052346D">
      <w:pPr>
        <w:widowControl w:val="0"/>
        <w:tabs>
          <w:tab w:val="clear" w:pos="567"/>
        </w:tabs>
        <w:autoSpaceDE w:val="0"/>
        <w:autoSpaceDN w:val="0"/>
        <w:adjustRightInd w:val="0"/>
        <w:spacing w:line="240" w:lineRule="auto"/>
        <w:rPr>
          <w:rFonts w:eastAsia="TimesNewRoman"/>
          <w:snapToGrid/>
          <w:szCs w:val="22"/>
          <w:lang w:val="lt-LT"/>
        </w:rPr>
      </w:pPr>
    </w:p>
    <w:p w14:paraId="2C386345" w14:textId="77777777" w:rsidR="0052346D" w:rsidRDefault="005A1771">
      <w:pPr>
        <w:widowControl w:val="0"/>
        <w:tabs>
          <w:tab w:val="clear" w:pos="567"/>
        </w:tabs>
        <w:spacing w:line="240" w:lineRule="auto"/>
        <w:rPr>
          <w:i/>
          <w:iCs/>
          <w:snapToGrid/>
          <w:szCs w:val="22"/>
          <w:u w:val="single"/>
          <w:lang w:val="lt-LT" w:eastAsia="sl-SI"/>
        </w:rPr>
      </w:pPr>
      <w:r>
        <w:rPr>
          <w:i/>
          <w:iCs/>
          <w:snapToGrid/>
          <w:szCs w:val="22"/>
          <w:u w:val="single"/>
          <w:lang w:val="lt-LT" w:eastAsia="sl-SI"/>
        </w:rPr>
        <w:t>Kandesartanas</w:t>
      </w:r>
    </w:p>
    <w:p w14:paraId="0A451135" w14:textId="77777777" w:rsidR="0052346D" w:rsidRDefault="005A1771">
      <w:pPr>
        <w:widowControl w:val="0"/>
        <w:tabs>
          <w:tab w:val="clear" w:pos="567"/>
        </w:tabs>
        <w:spacing w:line="240" w:lineRule="auto"/>
        <w:rPr>
          <w:snapToGrid/>
          <w:szCs w:val="22"/>
          <w:lang w:val="lt-LT" w:eastAsia="sl-SI"/>
        </w:rPr>
      </w:pPr>
      <w:r>
        <w:rPr>
          <w:snapToGrid/>
          <w:szCs w:val="22"/>
          <w:lang w:val="lt-LT" w:eastAsia="sl-SI"/>
        </w:rPr>
        <w:t>Vartojant kliniškai reikšmingas dozes, duomenų apie nenormalų sisteminį toksinį poveikį arba toksinį poveikį organams taikiniams nebuvo negauta. Ikiklinikiniai saugumo tyrimai parodė, kad didelės kandesartano dozės sukelia poveikį pelių, žiurkių, šunų ir beždžionių inkstams ir eritrocitų rodmenims. Kandesartanas mažino eritrocitų rodmenis (eritrocitų skaičių, hemoglobino koncentraciją, hematokrito rodmenis). Kandesartano poveikis inkstams (toks kaip intersticinis nefritas, kanalėlių išsiplėtimas, kanalėlių bazofilija; šlapalo ir kreatinino koncentracijos padidėjimas kraujo plazmoje) galėjo būti antrinis dėl hipotenzinio poveikio sukeltų inkstų perfuzijos pokyčių. Be to, kandesartanas sukėlė inkstų jukstaglomerulinių ląstelių hiperplaziją/ hipertrofiją. Tokie pokyčiai yra laikomi sukeltais kandesartano farmakologinio poveikio. Manoma, kad terapinę kandesartano dozę vartojančiam žmogui inkstų jukstaglomerulinių ląstelių hiperplazija ar hipertrofija neturi jokios reikšmės.</w:t>
      </w:r>
    </w:p>
    <w:p w14:paraId="16B1C824" w14:textId="77777777" w:rsidR="0052346D" w:rsidRDefault="0052346D">
      <w:pPr>
        <w:widowControl w:val="0"/>
        <w:tabs>
          <w:tab w:val="clear" w:pos="567"/>
        </w:tabs>
        <w:spacing w:line="240" w:lineRule="auto"/>
        <w:rPr>
          <w:snapToGrid/>
          <w:szCs w:val="22"/>
          <w:lang w:val="lt-LT" w:eastAsia="sl-SI"/>
        </w:rPr>
      </w:pPr>
    </w:p>
    <w:p w14:paraId="3D57D529" w14:textId="77777777" w:rsidR="0052346D" w:rsidRDefault="005A1771">
      <w:pPr>
        <w:widowControl w:val="0"/>
        <w:tabs>
          <w:tab w:val="clear" w:pos="567"/>
        </w:tabs>
        <w:spacing w:line="240" w:lineRule="auto"/>
        <w:rPr>
          <w:snapToGrid/>
          <w:szCs w:val="22"/>
          <w:lang w:val="lt-LT" w:eastAsia="sl-SI"/>
        </w:rPr>
      </w:pPr>
      <w:r>
        <w:rPr>
          <w:snapToGrid/>
          <w:szCs w:val="22"/>
          <w:lang w:val="lt-LT" w:eastAsia="sl-SI"/>
        </w:rPr>
        <w:t>Ikiklinikinių tyrimų metu kandesartanas sukėlė neseniai atsivestų žiurkių ir žiurkių jauniklių, kurių kraujospūdis buvo normalus, kūno svorio ir širdies svorio sumažėjimą. Tokie pokyčiai yra laikomi sukeltais kandesartano farmakologinio poveikio (kaip ir suaugusiems gyvūnams). Mažiausios kandesartano dozės (10 mg/kg) ekspozicija buvo nuo 12 iki 78 kartų didesnė nei nustatoma nuo 1 iki &lt;6 metų vaikams, vartojusiems 0,2 mg/kg kandesartano cileksetilo dozę ir nuo 7 iki 54 kartų didesnė nei nustatoma nuo 6 iki &lt;17 metų vaikams, vartojusiems 16 mg kandesartano cileksetilo dozę. Šių tyrimų metu stebėtas poveikio nesukeliantis lygis nebuvo nustatytas, poveikio širdies svoriui saugumo ribos ir klinikinė tokio poveikio reikšmė nėra žinomi.</w:t>
      </w:r>
    </w:p>
    <w:p w14:paraId="6D9955B1" w14:textId="77777777" w:rsidR="0052346D" w:rsidRDefault="0052346D">
      <w:pPr>
        <w:widowControl w:val="0"/>
        <w:tabs>
          <w:tab w:val="clear" w:pos="567"/>
        </w:tabs>
        <w:spacing w:line="240" w:lineRule="auto"/>
        <w:rPr>
          <w:snapToGrid/>
          <w:szCs w:val="22"/>
          <w:lang w:val="lt-LT" w:eastAsia="sl-SI"/>
        </w:rPr>
      </w:pPr>
    </w:p>
    <w:p w14:paraId="2E79524D" w14:textId="77777777" w:rsidR="0052346D" w:rsidRDefault="005A1771">
      <w:pPr>
        <w:widowControl w:val="0"/>
        <w:tabs>
          <w:tab w:val="clear" w:pos="567"/>
        </w:tabs>
        <w:spacing w:line="240" w:lineRule="auto"/>
        <w:rPr>
          <w:snapToGrid/>
          <w:szCs w:val="22"/>
          <w:lang w:val="lt-LT" w:eastAsia="sl-SI"/>
        </w:rPr>
      </w:pPr>
      <w:r>
        <w:rPr>
          <w:snapToGrid/>
          <w:szCs w:val="22"/>
          <w:lang w:val="lt-LT" w:eastAsia="sl-SI"/>
        </w:rPr>
        <w:t>Vartojant kandesartano nėštumo pabaigoje, pasireiškė toksinis poveikis vaisiui (žr. 4.6 skyrių).</w:t>
      </w:r>
    </w:p>
    <w:p w14:paraId="7F571621" w14:textId="77777777" w:rsidR="0052346D" w:rsidRDefault="0052346D">
      <w:pPr>
        <w:widowControl w:val="0"/>
        <w:tabs>
          <w:tab w:val="clear" w:pos="567"/>
        </w:tabs>
        <w:spacing w:line="240" w:lineRule="auto"/>
        <w:rPr>
          <w:snapToGrid/>
          <w:szCs w:val="22"/>
          <w:lang w:val="lt-LT" w:eastAsia="sl-SI"/>
        </w:rPr>
      </w:pPr>
    </w:p>
    <w:p w14:paraId="4AF8FF1A" w14:textId="77777777" w:rsidR="0052346D" w:rsidRDefault="005A1771">
      <w:pPr>
        <w:widowControl w:val="0"/>
        <w:tabs>
          <w:tab w:val="clear" w:pos="567"/>
        </w:tabs>
        <w:spacing w:line="240" w:lineRule="auto"/>
        <w:rPr>
          <w:snapToGrid/>
          <w:szCs w:val="22"/>
          <w:lang w:val="lt-LT" w:eastAsia="sl-SI"/>
        </w:rPr>
      </w:pPr>
      <w:r>
        <w:rPr>
          <w:i/>
          <w:snapToGrid/>
          <w:szCs w:val="22"/>
          <w:lang w:val="lt-LT" w:eastAsia="sl-SI"/>
        </w:rPr>
        <w:t>In vitro</w:t>
      </w:r>
      <w:r>
        <w:rPr>
          <w:snapToGrid/>
          <w:szCs w:val="22"/>
          <w:lang w:val="lt-LT" w:eastAsia="sl-SI"/>
        </w:rPr>
        <w:t xml:space="preserve"> ir </w:t>
      </w:r>
      <w:r>
        <w:rPr>
          <w:i/>
          <w:snapToGrid/>
          <w:szCs w:val="22"/>
          <w:lang w:val="lt-LT" w:eastAsia="sl-SI"/>
        </w:rPr>
        <w:t>in vivo</w:t>
      </w:r>
      <w:r>
        <w:rPr>
          <w:snapToGrid/>
          <w:szCs w:val="22"/>
          <w:lang w:val="lt-LT" w:eastAsia="sl-SI"/>
        </w:rPr>
        <w:t xml:space="preserve"> atliktų mutageninių tyrimų duomenys rodo, kad klinikinėmis vartojimo sąlygomis skiriamas kandesartanas mutageninio ar klastogeninio poveikio nesukelia.</w:t>
      </w:r>
    </w:p>
    <w:p w14:paraId="4D5F5FE3" w14:textId="77777777" w:rsidR="0052346D" w:rsidRDefault="0052346D">
      <w:pPr>
        <w:widowControl w:val="0"/>
        <w:spacing w:line="240" w:lineRule="auto"/>
        <w:rPr>
          <w:snapToGrid/>
          <w:szCs w:val="22"/>
          <w:lang w:val="lt-LT" w:eastAsia="sl-SI"/>
        </w:rPr>
      </w:pPr>
    </w:p>
    <w:p w14:paraId="5EEE6054" w14:textId="77777777" w:rsidR="0052346D" w:rsidRDefault="005A1771">
      <w:pPr>
        <w:widowControl w:val="0"/>
        <w:spacing w:line="240" w:lineRule="auto"/>
        <w:rPr>
          <w:snapToGrid/>
          <w:szCs w:val="22"/>
          <w:lang w:val="lt-LT" w:eastAsia="sl-SI"/>
        </w:rPr>
      </w:pPr>
      <w:r>
        <w:rPr>
          <w:snapToGrid/>
          <w:szCs w:val="22"/>
          <w:lang w:val="lt-LT" w:eastAsia="sl-SI"/>
        </w:rPr>
        <w:t>Duomenų apie kancerogeninį poveikį negauta.</w:t>
      </w:r>
    </w:p>
    <w:p w14:paraId="79F260B0" w14:textId="77777777" w:rsidR="0052346D" w:rsidRDefault="0052346D">
      <w:pPr>
        <w:widowControl w:val="0"/>
        <w:tabs>
          <w:tab w:val="clear" w:pos="567"/>
        </w:tabs>
        <w:spacing w:line="240" w:lineRule="auto"/>
        <w:rPr>
          <w:snapToGrid/>
          <w:szCs w:val="22"/>
          <w:lang w:val="lt-LT" w:eastAsia="sl-SI"/>
        </w:rPr>
      </w:pPr>
    </w:p>
    <w:p w14:paraId="62742889" w14:textId="77777777" w:rsidR="0052346D" w:rsidRDefault="005A1771">
      <w:pPr>
        <w:widowControl w:val="0"/>
        <w:spacing w:line="240" w:lineRule="auto"/>
        <w:rPr>
          <w:snapToGrid/>
          <w:szCs w:val="22"/>
          <w:lang w:val="lt-LT" w:eastAsia="sl-SI"/>
        </w:rPr>
      </w:pPr>
      <w:r>
        <w:rPr>
          <w:snapToGrid/>
          <w:szCs w:val="22"/>
          <w:lang w:val="lt-LT" w:eastAsia="sl-SI"/>
        </w:rPr>
        <w:t>Renino, angiotenzino ir aldosterono sistema yra labai svarbi vaisiaus inkstų vystymuisi. Buvo nustatyta, kad renino, angiotenzino ir aldosterono sistemos blokada sukėlė nenormalų labai jaunų pelių inkstų vystymąsi. Tiesiogiai renino, angiotenzino ir aldosterono sistemą veikiančių vaistinių preparatų skyrimas gali sutrikdyti normalų inkstų vystymąsi, todėl jaunesniems kaip 1 metų vaikams kandesartano vartoti negalima (žr. 4.3 skyrių).</w:t>
      </w:r>
    </w:p>
    <w:p w14:paraId="1D43FF7D" w14:textId="77777777" w:rsidR="0052346D" w:rsidRDefault="005A1771">
      <w:pPr>
        <w:widowControl w:val="0"/>
        <w:tabs>
          <w:tab w:val="clear" w:pos="567"/>
        </w:tabs>
        <w:spacing w:line="240" w:lineRule="auto"/>
        <w:rPr>
          <w:snapToGrid/>
          <w:szCs w:val="22"/>
          <w:lang w:val="lt-LT" w:eastAsia="sl-SI"/>
        </w:rPr>
      </w:pPr>
      <w:r>
        <w:rPr>
          <w:snapToGrid/>
          <w:szCs w:val="22"/>
          <w:lang w:val="lt-LT" w:eastAsia="sl-SI"/>
        </w:rPr>
        <w:t>Reikia atsižvelgti į tai, kad Kanpiduo nerekomenduojama vartoti jaunesniems kaip 18 metų vaikams ir paaugliams (žr. 4.2 skyrių).</w:t>
      </w:r>
    </w:p>
    <w:p w14:paraId="54AD3194" w14:textId="77777777" w:rsidR="0052346D" w:rsidRDefault="0052346D">
      <w:pPr>
        <w:widowControl w:val="0"/>
        <w:tabs>
          <w:tab w:val="clear" w:pos="567"/>
        </w:tabs>
        <w:spacing w:line="240" w:lineRule="auto"/>
        <w:rPr>
          <w:snapToGrid/>
          <w:szCs w:val="22"/>
          <w:lang w:val="lt-LT" w:eastAsia="sl-SI"/>
        </w:rPr>
      </w:pPr>
    </w:p>
    <w:p w14:paraId="1353EC6F" w14:textId="77777777" w:rsidR="0052346D" w:rsidRDefault="005A1771">
      <w:pPr>
        <w:widowControl w:val="0"/>
        <w:tabs>
          <w:tab w:val="clear" w:pos="567"/>
        </w:tabs>
        <w:spacing w:line="240" w:lineRule="auto"/>
        <w:rPr>
          <w:i/>
          <w:iCs/>
          <w:snapToGrid/>
          <w:szCs w:val="22"/>
          <w:u w:val="single"/>
          <w:lang w:val="lt-LT" w:eastAsia="sl-SI"/>
        </w:rPr>
      </w:pPr>
      <w:r>
        <w:rPr>
          <w:i/>
          <w:iCs/>
          <w:snapToGrid/>
          <w:szCs w:val="22"/>
          <w:u w:val="single"/>
          <w:lang w:val="lt-LT" w:eastAsia="sl-SI"/>
        </w:rPr>
        <w:t>Indapamidas</w:t>
      </w:r>
    </w:p>
    <w:p w14:paraId="15A226DC" w14:textId="77777777" w:rsidR="0052346D" w:rsidRDefault="005A1771">
      <w:pPr>
        <w:tabs>
          <w:tab w:val="clear" w:pos="567"/>
        </w:tabs>
        <w:spacing w:line="240" w:lineRule="auto"/>
        <w:rPr>
          <w:snapToGrid/>
          <w:szCs w:val="22"/>
          <w:lang w:val="lt-LT" w:eastAsia="sl-SI"/>
        </w:rPr>
      </w:pPr>
      <w:r>
        <w:rPr>
          <w:snapToGrid/>
          <w:szCs w:val="22"/>
          <w:lang w:val="lt-LT" w:eastAsia="sl-SI"/>
        </w:rPr>
        <w:t>Indapamido tyrimai mutageninio ar kancerogeninio poveikio neparodė.</w:t>
      </w:r>
    </w:p>
    <w:p w14:paraId="08B972CF" w14:textId="77777777" w:rsidR="0052346D" w:rsidRDefault="005A1771">
      <w:pPr>
        <w:spacing w:line="240" w:lineRule="auto"/>
        <w:rPr>
          <w:rFonts w:eastAsia="Calibri"/>
          <w:szCs w:val="22"/>
          <w:lang w:val="lt-LT" w:eastAsia="lt-LT"/>
        </w:rPr>
      </w:pPr>
      <w:r>
        <w:rPr>
          <w:rFonts w:eastAsia="Calibri"/>
          <w:szCs w:val="22"/>
          <w:lang w:val="lt-LT" w:eastAsia="lt-LT"/>
        </w:rPr>
        <w:t>Skirtingų rūšių gyvūnams per burną skiriant didžiausias dozes (40</w:t>
      </w:r>
      <w:r>
        <w:rPr>
          <w:rFonts w:eastAsia="Calibri"/>
          <w:szCs w:val="22"/>
          <w:lang w:val="lt-LT" w:eastAsia="lt-LT"/>
        </w:rPr>
        <w:noBreakHyphen/>
        <w:t>8000 kartų didesnes už terapinę dozę), nustatytas šlapimo išsiskyrimą skatinančių indapamido savybių sustiprėjimas.</w:t>
      </w:r>
    </w:p>
    <w:p w14:paraId="4D761B1B" w14:textId="77777777" w:rsidR="0052346D" w:rsidRDefault="005A1771">
      <w:pPr>
        <w:spacing w:line="240" w:lineRule="auto"/>
        <w:rPr>
          <w:rFonts w:eastAsia="Calibri"/>
          <w:szCs w:val="22"/>
          <w:lang w:val="lt-LT" w:eastAsia="lt-LT"/>
        </w:rPr>
      </w:pPr>
      <w:r>
        <w:rPr>
          <w:rFonts w:eastAsia="Calibri"/>
          <w:szCs w:val="22"/>
          <w:lang w:val="lt-LT" w:eastAsia="lt-LT"/>
        </w:rPr>
        <w:lastRenderedPageBreak/>
        <w:t>Ūminio toksinio poveikio tyrimų metu indapamido suleidus į veną arba į pilvaplėvės ertmę, didžioji dalis atsiradusių apsinuodijimo simptomų, t. y. bradipnėja ir periferinių kraujagyslių išsiplėtimas, yra būdingi farmakologiniam indapamido poveikiui.</w:t>
      </w:r>
    </w:p>
    <w:p w14:paraId="46FAC595" w14:textId="77777777" w:rsidR="0052346D" w:rsidRDefault="005A1771">
      <w:pPr>
        <w:widowControl w:val="0"/>
        <w:tabs>
          <w:tab w:val="clear" w:pos="567"/>
        </w:tabs>
        <w:autoSpaceDE w:val="0"/>
        <w:autoSpaceDN w:val="0"/>
        <w:adjustRightInd w:val="0"/>
        <w:spacing w:line="240" w:lineRule="auto"/>
        <w:rPr>
          <w:rFonts w:eastAsia="Lucida Sans Unicode"/>
          <w:iCs/>
          <w:snapToGrid/>
          <w:szCs w:val="22"/>
          <w:lang w:val="lt-LT" w:eastAsia="sl-SI"/>
        </w:rPr>
      </w:pPr>
      <w:r>
        <w:rPr>
          <w:rFonts w:eastAsia="Lucida Sans Unicode"/>
          <w:iCs/>
          <w:snapToGrid/>
          <w:szCs w:val="22"/>
          <w:lang w:val="lt-LT" w:eastAsia="sl-SI"/>
        </w:rPr>
        <w:t>Toksinio poveikio reprodukcijai tyrimai embriotoksinio ir teratogeninio poveikio neparodė.</w:t>
      </w:r>
    </w:p>
    <w:p w14:paraId="1D7AB8C0" w14:textId="77777777" w:rsidR="0052346D" w:rsidRDefault="005A1771">
      <w:pPr>
        <w:widowControl w:val="0"/>
        <w:tabs>
          <w:tab w:val="clear" w:pos="567"/>
        </w:tabs>
        <w:autoSpaceDE w:val="0"/>
        <w:autoSpaceDN w:val="0"/>
        <w:adjustRightInd w:val="0"/>
        <w:spacing w:line="240" w:lineRule="auto"/>
        <w:rPr>
          <w:rFonts w:eastAsia="Lucida Sans Unicode"/>
          <w:iCs/>
          <w:snapToGrid/>
          <w:szCs w:val="22"/>
          <w:lang w:val="lt-LT" w:eastAsia="sl-SI"/>
        </w:rPr>
      </w:pPr>
      <w:r>
        <w:rPr>
          <w:rFonts w:eastAsia="Lucida Sans Unicode"/>
          <w:iCs/>
          <w:snapToGrid/>
          <w:szCs w:val="22"/>
          <w:lang w:val="lt-LT" w:eastAsia="sl-SI"/>
        </w:rPr>
        <w:t>Nei žiurkių patinų, nei patelių vislumas nepablogėjo.</w:t>
      </w:r>
    </w:p>
    <w:p w14:paraId="080E6C81" w14:textId="77777777" w:rsidR="0052346D" w:rsidRDefault="0052346D">
      <w:pPr>
        <w:widowControl w:val="0"/>
        <w:tabs>
          <w:tab w:val="clear" w:pos="567"/>
        </w:tabs>
        <w:autoSpaceDE w:val="0"/>
        <w:autoSpaceDN w:val="0"/>
        <w:adjustRightInd w:val="0"/>
        <w:spacing w:line="240" w:lineRule="auto"/>
        <w:rPr>
          <w:rFonts w:eastAsia="TimesNewRoman"/>
          <w:snapToGrid/>
          <w:szCs w:val="22"/>
          <w:lang w:val="lt-LT"/>
        </w:rPr>
      </w:pPr>
    </w:p>
    <w:p w14:paraId="2C6540AB" w14:textId="77777777" w:rsidR="0052346D" w:rsidRDefault="0052346D">
      <w:pPr>
        <w:widowControl w:val="0"/>
        <w:tabs>
          <w:tab w:val="clear" w:pos="567"/>
        </w:tabs>
        <w:autoSpaceDE w:val="0"/>
        <w:autoSpaceDN w:val="0"/>
        <w:adjustRightInd w:val="0"/>
        <w:spacing w:line="240" w:lineRule="auto"/>
        <w:rPr>
          <w:rFonts w:eastAsia="TimesNewRoman"/>
          <w:snapToGrid/>
          <w:szCs w:val="22"/>
          <w:lang w:val="lt-LT"/>
        </w:rPr>
      </w:pPr>
    </w:p>
    <w:p w14:paraId="436EB59D" w14:textId="77777777" w:rsidR="0052346D" w:rsidRDefault="005A1771">
      <w:pPr>
        <w:widowControl w:val="0"/>
        <w:spacing w:line="240" w:lineRule="auto"/>
        <w:ind w:left="567" w:hanging="567"/>
        <w:outlineLvl w:val="1"/>
        <w:rPr>
          <w:b/>
          <w:snapToGrid/>
          <w:szCs w:val="22"/>
          <w:lang w:val="lt-LT"/>
        </w:rPr>
      </w:pPr>
      <w:r>
        <w:rPr>
          <w:b/>
          <w:snapToGrid/>
          <w:szCs w:val="22"/>
          <w:lang w:val="lt-LT"/>
        </w:rPr>
        <w:t>6.</w:t>
      </w:r>
      <w:r>
        <w:rPr>
          <w:b/>
          <w:snapToGrid/>
          <w:szCs w:val="22"/>
          <w:lang w:val="lt-LT"/>
        </w:rPr>
        <w:tab/>
        <w:t>FARMACINĖ INFORMACIJA</w:t>
      </w:r>
    </w:p>
    <w:p w14:paraId="093A2B8B" w14:textId="77777777" w:rsidR="0052346D" w:rsidRDefault="0052346D">
      <w:pPr>
        <w:widowControl w:val="0"/>
        <w:tabs>
          <w:tab w:val="clear" w:pos="567"/>
        </w:tabs>
        <w:spacing w:line="240" w:lineRule="auto"/>
        <w:ind w:left="567" w:hanging="567"/>
        <w:rPr>
          <w:snapToGrid/>
          <w:szCs w:val="22"/>
          <w:lang w:val="lt-LT"/>
        </w:rPr>
      </w:pPr>
    </w:p>
    <w:p w14:paraId="17A52F5E" w14:textId="77777777" w:rsidR="0052346D" w:rsidRDefault="005A1771">
      <w:pPr>
        <w:widowControl w:val="0"/>
        <w:spacing w:line="240" w:lineRule="auto"/>
        <w:ind w:left="567" w:hanging="567"/>
        <w:outlineLvl w:val="2"/>
        <w:rPr>
          <w:b/>
          <w:snapToGrid/>
          <w:kern w:val="28"/>
          <w:szCs w:val="22"/>
          <w:lang w:val="lt-LT"/>
        </w:rPr>
      </w:pPr>
      <w:r>
        <w:rPr>
          <w:b/>
          <w:snapToGrid/>
          <w:kern w:val="28"/>
          <w:szCs w:val="22"/>
          <w:lang w:val="lt-LT"/>
        </w:rPr>
        <w:t>6.1</w:t>
      </w:r>
      <w:r>
        <w:rPr>
          <w:b/>
          <w:snapToGrid/>
          <w:kern w:val="28"/>
          <w:szCs w:val="22"/>
          <w:lang w:val="lt-LT"/>
        </w:rPr>
        <w:tab/>
        <w:t>Pagalbinių medžiagų sąrašas</w:t>
      </w:r>
    </w:p>
    <w:p w14:paraId="3716E1A5" w14:textId="77777777" w:rsidR="0052346D" w:rsidRDefault="0052346D">
      <w:pPr>
        <w:widowControl w:val="0"/>
        <w:tabs>
          <w:tab w:val="clear" w:pos="567"/>
        </w:tabs>
        <w:spacing w:line="240" w:lineRule="auto"/>
        <w:rPr>
          <w:snapToGrid/>
          <w:szCs w:val="22"/>
          <w:lang w:val="lt-LT"/>
        </w:rPr>
      </w:pPr>
    </w:p>
    <w:p w14:paraId="03DB4F23" w14:textId="77777777" w:rsidR="0052346D" w:rsidRDefault="005A1771">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Makrogolis 8 000</w:t>
      </w:r>
    </w:p>
    <w:p w14:paraId="0F779D2D" w14:textId="77777777" w:rsidR="0052346D" w:rsidRDefault="005A1771">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Hidroksipropilceliuliozė</w:t>
      </w:r>
    </w:p>
    <w:p w14:paraId="7AD5884F" w14:textId="77777777" w:rsidR="0052346D" w:rsidRDefault="005A1771">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Laktozė monohidratas</w:t>
      </w:r>
    </w:p>
    <w:p w14:paraId="6CDB2B0B" w14:textId="77777777" w:rsidR="0052346D" w:rsidRDefault="005A1771">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Kukurūzų krakmolas</w:t>
      </w:r>
    </w:p>
    <w:p w14:paraId="2F0F3803" w14:textId="77777777" w:rsidR="0052346D" w:rsidRDefault="005A1771">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Karmeliozės kalcio druska</w:t>
      </w:r>
    </w:p>
    <w:p w14:paraId="75E49E08" w14:textId="77777777" w:rsidR="0052346D" w:rsidRDefault="005A1771">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Bevandenis koloidinis silicio dioksidas</w:t>
      </w:r>
    </w:p>
    <w:p w14:paraId="5E8F9C07" w14:textId="77777777" w:rsidR="0052346D" w:rsidRDefault="005A1771">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Mikrokristalinė celiuliozė</w:t>
      </w:r>
    </w:p>
    <w:p w14:paraId="4661B3F3" w14:textId="77777777" w:rsidR="0052346D" w:rsidRDefault="005A1771">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Magnio stearatas</w:t>
      </w:r>
    </w:p>
    <w:p w14:paraId="2D415156" w14:textId="77777777" w:rsidR="0052346D" w:rsidRDefault="005A1771">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Raudonasis geležies oksidas (E172) - tik 16 mg/2,5 mg tabletėse</w:t>
      </w:r>
    </w:p>
    <w:p w14:paraId="3DDA24D6" w14:textId="77777777" w:rsidR="0052346D" w:rsidRDefault="0052346D">
      <w:pPr>
        <w:widowControl w:val="0"/>
        <w:tabs>
          <w:tab w:val="clear" w:pos="567"/>
        </w:tabs>
        <w:spacing w:line="240" w:lineRule="auto"/>
        <w:ind w:left="567" w:hanging="567"/>
        <w:rPr>
          <w:snapToGrid/>
          <w:szCs w:val="22"/>
          <w:lang w:val="lt-LT"/>
        </w:rPr>
      </w:pPr>
    </w:p>
    <w:p w14:paraId="74C4025A" w14:textId="77777777" w:rsidR="0052346D" w:rsidRDefault="005A1771">
      <w:pPr>
        <w:widowControl w:val="0"/>
        <w:spacing w:line="240" w:lineRule="auto"/>
        <w:ind w:left="567" w:hanging="567"/>
        <w:outlineLvl w:val="2"/>
        <w:rPr>
          <w:b/>
          <w:snapToGrid/>
          <w:kern w:val="28"/>
          <w:szCs w:val="22"/>
          <w:lang w:val="lt-LT"/>
        </w:rPr>
      </w:pPr>
      <w:r>
        <w:rPr>
          <w:b/>
          <w:snapToGrid/>
          <w:kern w:val="28"/>
          <w:szCs w:val="22"/>
          <w:lang w:val="lt-LT"/>
        </w:rPr>
        <w:t>6.2</w:t>
      </w:r>
      <w:r>
        <w:rPr>
          <w:b/>
          <w:snapToGrid/>
          <w:kern w:val="28"/>
          <w:szCs w:val="22"/>
          <w:lang w:val="lt-LT"/>
        </w:rPr>
        <w:tab/>
        <w:t>Nesuderinamumas</w:t>
      </w:r>
    </w:p>
    <w:p w14:paraId="1E9B2405" w14:textId="77777777" w:rsidR="0052346D" w:rsidRDefault="0052346D">
      <w:pPr>
        <w:widowControl w:val="0"/>
        <w:tabs>
          <w:tab w:val="clear" w:pos="567"/>
        </w:tabs>
        <w:spacing w:line="240" w:lineRule="auto"/>
        <w:ind w:left="567" w:hanging="567"/>
        <w:rPr>
          <w:snapToGrid/>
          <w:szCs w:val="22"/>
          <w:lang w:val="lt-LT"/>
        </w:rPr>
      </w:pPr>
    </w:p>
    <w:p w14:paraId="40C187E4" w14:textId="77777777" w:rsidR="0052346D" w:rsidRDefault="005A1771">
      <w:pPr>
        <w:widowControl w:val="0"/>
        <w:tabs>
          <w:tab w:val="clear" w:pos="567"/>
        </w:tabs>
        <w:spacing w:line="240" w:lineRule="auto"/>
        <w:ind w:left="567" w:hanging="567"/>
        <w:rPr>
          <w:snapToGrid/>
          <w:szCs w:val="22"/>
          <w:lang w:val="lt-LT"/>
        </w:rPr>
      </w:pPr>
      <w:r>
        <w:rPr>
          <w:snapToGrid/>
          <w:szCs w:val="22"/>
          <w:lang w:val="lt-LT"/>
        </w:rPr>
        <w:t>Duomenys nebūtini.</w:t>
      </w:r>
    </w:p>
    <w:p w14:paraId="5B8718E2" w14:textId="77777777" w:rsidR="0052346D" w:rsidRDefault="0052346D">
      <w:pPr>
        <w:widowControl w:val="0"/>
        <w:tabs>
          <w:tab w:val="clear" w:pos="567"/>
        </w:tabs>
        <w:spacing w:line="240" w:lineRule="auto"/>
        <w:ind w:left="567" w:hanging="567"/>
        <w:rPr>
          <w:snapToGrid/>
          <w:szCs w:val="22"/>
          <w:lang w:val="lt-LT"/>
        </w:rPr>
      </w:pPr>
    </w:p>
    <w:p w14:paraId="68D274E2" w14:textId="77777777" w:rsidR="0052346D" w:rsidRDefault="005A1771">
      <w:pPr>
        <w:widowControl w:val="0"/>
        <w:spacing w:line="240" w:lineRule="auto"/>
        <w:ind w:left="567" w:hanging="567"/>
        <w:outlineLvl w:val="2"/>
        <w:rPr>
          <w:b/>
          <w:snapToGrid/>
          <w:kern w:val="28"/>
          <w:szCs w:val="22"/>
          <w:lang w:val="lt-LT"/>
        </w:rPr>
      </w:pPr>
      <w:r>
        <w:rPr>
          <w:b/>
          <w:snapToGrid/>
          <w:kern w:val="28"/>
          <w:szCs w:val="22"/>
          <w:lang w:val="lt-LT"/>
        </w:rPr>
        <w:t>6.3</w:t>
      </w:r>
      <w:r>
        <w:rPr>
          <w:b/>
          <w:snapToGrid/>
          <w:kern w:val="28"/>
          <w:szCs w:val="22"/>
          <w:lang w:val="lt-LT"/>
        </w:rPr>
        <w:tab/>
        <w:t>Tinkamumo laikas</w:t>
      </w:r>
    </w:p>
    <w:p w14:paraId="6CDAF9AF" w14:textId="77777777" w:rsidR="0052346D" w:rsidRDefault="0052346D">
      <w:pPr>
        <w:widowControl w:val="0"/>
        <w:tabs>
          <w:tab w:val="clear" w:pos="567"/>
        </w:tabs>
        <w:spacing w:line="240" w:lineRule="auto"/>
        <w:ind w:left="567" w:hanging="567"/>
        <w:rPr>
          <w:snapToGrid/>
          <w:szCs w:val="22"/>
          <w:lang w:val="lt-LT"/>
        </w:rPr>
      </w:pPr>
    </w:p>
    <w:p w14:paraId="27A9AAE2" w14:textId="77777777" w:rsidR="0052346D" w:rsidRDefault="005A1771">
      <w:pPr>
        <w:widowControl w:val="0"/>
        <w:tabs>
          <w:tab w:val="clear" w:pos="567"/>
        </w:tabs>
        <w:spacing w:line="240" w:lineRule="auto"/>
        <w:ind w:left="567" w:hanging="567"/>
        <w:rPr>
          <w:snapToGrid/>
          <w:szCs w:val="22"/>
          <w:lang w:val="lt-LT"/>
        </w:rPr>
      </w:pPr>
      <w:r>
        <w:rPr>
          <w:snapToGrid/>
          <w:szCs w:val="22"/>
          <w:lang w:val="lt-LT"/>
        </w:rPr>
        <w:t>2 metai.</w:t>
      </w:r>
    </w:p>
    <w:p w14:paraId="330D60C4" w14:textId="77777777" w:rsidR="0052346D" w:rsidRDefault="0052346D">
      <w:pPr>
        <w:widowControl w:val="0"/>
        <w:tabs>
          <w:tab w:val="clear" w:pos="567"/>
        </w:tabs>
        <w:spacing w:line="240" w:lineRule="auto"/>
        <w:rPr>
          <w:snapToGrid/>
          <w:szCs w:val="22"/>
          <w:lang w:val="lt-LT"/>
        </w:rPr>
      </w:pPr>
    </w:p>
    <w:p w14:paraId="23460FAE" w14:textId="77777777" w:rsidR="0052346D" w:rsidRDefault="005A1771">
      <w:pPr>
        <w:widowControl w:val="0"/>
        <w:spacing w:line="240" w:lineRule="auto"/>
        <w:ind w:left="567" w:hanging="567"/>
        <w:outlineLvl w:val="2"/>
        <w:rPr>
          <w:b/>
          <w:snapToGrid/>
          <w:kern w:val="28"/>
          <w:szCs w:val="22"/>
          <w:lang w:val="lt-LT"/>
        </w:rPr>
      </w:pPr>
      <w:r>
        <w:rPr>
          <w:b/>
          <w:snapToGrid/>
          <w:kern w:val="28"/>
          <w:szCs w:val="22"/>
          <w:lang w:val="lt-LT"/>
        </w:rPr>
        <w:t>6.4</w:t>
      </w:r>
      <w:r>
        <w:rPr>
          <w:b/>
          <w:snapToGrid/>
          <w:kern w:val="28"/>
          <w:szCs w:val="22"/>
          <w:lang w:val="lt-LT"/>
        </w:rPr>
        <w:tab/>
        <w:t>Specialios laikymo sąlygos</w:t>
      </w:r>
    </w:p>
    <w:p w14:paraId="51D43CD5" w14:textId="77777777" w:rsidR="0052346D" w:rsidRDefault="0052346D">
      <w:pPr>
        <w:widowControl w:val="0"/>
        <w:tabs>
          <w:tab w:val="clear" w:pos="567"/>
        </w:tabs>
        <w:spacing w:line="240" w:lineRule="auto"/>
        <w:rPr>
          <w:i/>
          <w:iCs/>
          <w:snapToGrid/>
          <w:szCs w:val="22"/>
          <w:lang w:val="lt-LT"/>
        </w:rPr>
      </w:pPr>
    </w:p>
    <w:p w14:paraId="562EA12D" w14:textId="77777777" w:rsidR="0052346D" w:rsidRDefault="005A1771">
      <w:pPr>
        <w:tabs>
          <w:tab w:val="clear" w:pos="567"/>
        </w:tabs>
        <w:spacing w:line="240" w:lineRule="auto"/>
        <w:rPr>
          <w:snapToGrid/>
          <w:szCs w:val="22"/>
          <w:lang w:val="lt-LT"/>
        </w:rPr>
      </w:pPr>
      <w:r>
        <w:rPr>
          <w:snapToGrid/>
          <w:szCs w:val="22"/>
          <w:lang w:val="lt-LT"/>
        </w:rPr>
        <w:t>Laikyti ne aukštesnėje kaip 30 ºC temperatūroje.</w:t>
      </w:r>
    </w:p>
    <w:p w14:paraId="55EA2778" w14:textId="77777777" w:rsidR="0052346D" w:rsidRDefault="005A1771">
      <w:pPr>
        <w:widowControl w:val="0"/>
        <w:tabs>
          <w:tab w:val="clear" w:pos="567"/>
        </w:tabs>
        <w:spacing w:line="240" w:lineRule="auto"/>
        <w:rPr>
          <w:rFonts w:eastAsia="TimesNewRoman"/>
          <w:snapToGrid/>
          <w:szCs w:val="22"/>
          <w:lang w:val="lt-LT"/>
        </w:rPr>
      </w:pPr>
      <w:r>
        <w:rPr>
          <w:rFonts w:eastAsia="TimesNewRoman"/>
          <w:snapToGrid/>
          <w:szCs w:val="22"/>
          <w:lang w:val="lt-LT"/>
        </w:rPr>
        <w:t>Lizdines plokšteles laikyti išorinėje dėžutėje, kad vaistinis preparatas būtų apsaugotas nuo drėgmės ir šviesos.</w:t>
      </w:r>
    </w:p>
    <w:p w14:paraId="12F9048F" w14:textId="77777777" w:rsidR="0052346D" w:rsidRDefault="0052346D">
      <w:pPr>
        <w:widowControl w:val="0"/>
        <w:tabs>
          <w:tab w:val="clear" w:pos="567"/>
        </w:tabs>
        <w:spacing w:line="240" w:lineRule="auto"/>
        <w:ind w:left="567" w:hanging="567"/>
        <w:rPr>
          <w:snapToGrid/>
          <w:szCs w:val="22"/>
          <w:lang w:val="lt-LT"/>
        </w:rPr>
      </w:pPr>
    </w:p>
    <w:p w14:paraId="76308CE1" w14:textId="77777777" w:rsidR="0052346D" w:rsidRDefault="005A1771">
      <w:pPr>
        <w:widowControl w:val="0"/>
        <w:spacing w:line="240" w:lineRule="auto"/>
        <w:ind w:left="567" w:hanging="567"/>
        <w:outlineLvl w:val="2"/>
        <w:rPr>
          <w:b/>
          <w:snapToGrid/>
          <w:kern w:val="28"/>
          <w:szCs w:val="22"/>
          <w:lang w:val="lt-LT"/>
        </w:rPr>
      </w:pPr>
      <w:r>
        <w:rPr>
          <w:b/>
          <w:snapToGrid/>
          <w:kern w:val="28"/>
          <w:szCs w:val="22"/>
          <w:lang w:val="lt-LT"/>
        </w:rPr>
        <w:t>6.5</w:t>
      </w:r>
      <w:r>
        <w:rPr>
          <w:b/>
          <w:snapToGrid/>
          <w:kern w:val="28"/>
          <w:szCs w:val="22"/>
          <w:lang w:val="lt-LT"/>
        </w:rPr>
        <w:tab/>
        <w:t>Talpyklės pobūdis ir jos turinys</w:t>
      </w:r>
    </w:p>
    <w:p w14:paraId="3F999703" w14:textId="77777777" w:rsidR="0052346D" w:rsidRDefault="0052346D">
      <w:pPr>
        <w:widowControl w:val="0"/>
        <w:tabs>
          <w:tab w:val="clear" w:pos="567"/>
        </w:tabs>
        <w:spacing w:line="240" w:lineRule="auto"/>
        <w:ind w:left="567" w:hanging="567"/>
        <w:rPr>
          <w:snapToGrid/>
          <w:szCs w:val="22"/>
          <w:lang w:val="lt-LT"/>
        </w:rPr>
      </w:pPr>
    </w:p>
    <w:p w14:paraId="024330ED" w14:textId="77777777" w:rsidR="0052346D" w:rsidRDefault="005A1771">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Lizdinė plokštelė (PVC/PVDC - Aliuminio): 10, 14, 28, 30, 56, 60, 84, 90, 98 arba 100 tablečių dėžutėje.</w:t>
      </w:r>
    </w:p>
    <w:p w14:paraId="66B8979D" w14:textId="77777777" w:rsidR="0052346D" w:rsidRDefault="0052346D">
      <w:pPr>
        <w:widowControl w:val="0"/>
        <w:tabs>
          <w:tab w:val="clear" w:pos="567"/>
        </w:tabs>
        <w:autoSpaceDE w:val="0"/>
        <w:autoSpaceDN w:val="0"/>
        <w:adjustRightInd w:val="0"/>
        <w:spacing w:line="240" w:lineRule="auto"/>
        <w:rPr>
          <w:rFonts w:eastAsia="TimesNewRoman"/>
          <w:snapToGrid/>
          <w:szCs w:val="22"/>
          <w:lang w:val="lt-LT"/>
        </w:rPr>
      </w:pPr>
    </w:p>
    <w:p w14:paraId="529D3F9F" w14:textId="77777777" w:rsidR="0052346D" w:rsidRDefault="005A1771">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Kalendorinė pakuotė</w:t>
      </w:r>
    </w:p>
    <w:p w14:paraId="759EA295" w14:textId="77777777" w:rsidR="0052346D" w:rsidRDefault="005A1771">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Lizdinė plokštelė (PVC/PVDC - Aliuminio): 14, 28, 56, 84 arba 98 tabletės dėžutėje.</w:t>
      </w:r>
    </w:p>
    <w:p w14:paraId="61D01694" w14:textId="77777777" w:rsidR="0052346D" w:rsidRDefault="005A1771">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Gali būti tiekiamos ne visų dydžių pakuotės.</w:t>
      </w:r>
    </w:p>
    <w:p w14:paraId="06FF0DB3" w14:textId="77777777" w:rsidR="0052346D" w:rsidRDefault="0052346D">
      <w:pPr>
        <w:widowControl w:val="0"/>
        <w:tabs>
          <w:tab w:val="clear" w:pos="567"/>
        </w:tabs>
        <w:spacing w:line="240" w:lineRule="auto"/>
        <w:ind w:left="567" w:hanging="567"/>
        <w:rPr>
          <w:snapToGrid/>
          <w:sz w:val="16"/>
          <w:szCs w:val="16"/>
          <w:lang w:val="lt-LT"/>
        </w:rPr>
      </w:pPr>
    </w:p>
    <w:p w14:paraId="01BD4F04" w14:textId="77777777" w:rsidR="0052346D" w:rsidRDefault="005A1771">
      <w:pPr>
        <w:widowControl w:val="0"/>
        <w:spacing w:line="240" w:lineRule="auto"/>
        <w:ind w:left="567" w:hanging="567"/>
        <w:outlineLvl w:val="2"/>
        <w:rPr>
          <w:snapToGrid/>
          <w:szCs w:val="22"/>
          <w:lang w:val="lt-LT"/>
        </w:rPr>
      </w:pPr>
      <w:r>
        <w:rPr>
          <w:b/>
          <w:snapToGrid/>
          <w:kern w:val="28"/>
          <w:szCs w:val="22"/>
          <w:lang w:val="lt-LT"/>
        </w:rPr>
        <w:t>6.6</w:t>
      </w:r>
      <w:r>
        <w:rPr>
          <w:b/>
          <w:snapToGrid/>
          <w:kern w:val="28"/>
          <w:szCs w:val="22"/>
          <w:lang w:val="lt-LT"/>
        </w:rPr>
        <w:tab/>
        <w:t>Specialūs reikalavimai atliekoms tvarkyti ir vaistiniam preparatui ruošti</w:t>
      </w:r>
    </w:p>
    <w:p w14:paraId="568D0EC3" w14:textId="77777777" w:rsidR="0052346D" w:rsidRDefault="0052346D">
      <w:pPr>
        <w:widowControl w:val="0"/>
        <w:tabs>
          <w:tab w:val="clear" w:pos="567"/>
        </w:tabs>
        <w:spacing w:line="240" w:lineRule="auto"/>
        <w:rPr>
          <w:snapToGrid/>
          <w:szCs w:val="22"/>
          <w:lang w:val="lt-LT"/>
        </w:rPr>
      </w:pPr>
    </w:p>
    <w:p w14:paraId="7C7C4586" w14:textId="77777777" w:rsidR="0052346D" w:rsidRDefault="005A1771">
      <w:pPr>
        <w:widowControl w:val="0"/>
        <w:tabs>
          <w:tab w:val="clear" w:pos="567"/>
        </w:tabs>
        <w:spacing w:line="240" w:lineRule="auto"/>
        <w:ind w:left="567" w:hanging="567"/>
        <w:rPr>
          <w:snapToGrid/>
          <w:szCs w:val="22"/>
          <w:lang w:val="lt-LT"/>
        </w:rPr>
      </w:pPr>
      <w:r>
        <w:rPr>
          <w:snapToGrid/>
          <w:szCs w:val="22"/>
          <w:lang w:val="lt-LT"/>
        </w:rPr>
        <w:t>Specialių reikalavimų nėra.</w:t>
      </w:r>
    </w:p>
    <w:p w14:paraId="46843218" w14:textId="77777777" w:rsidR="0052346D" w:rsidRDefault="0052346D">
      <w:pPr>
        <w:widowControl w:val="0"/>
        <w:tabs>
          <w:tab w:val="clear" w:pos="567"/>
        </w:tabs>
        <w:spacing w:line="240" w:lineRule="auto"/>
        <w:ind w:left="567" w:hanging="567"/>
        <w:rPr>
          <w:snapToGrid/>
          <w:szCs w:val="22"/>
          <w:lang w:val="lt-LT"/>
        </w:rPr>
      </w:pPr>
    </w:p>
    <w:p w14:paraId="5882ABD8" w14:textId="77777777" w:rsidR="0052346D" w:rsidRDefault="0052346D">
      <w:pPr>
        <w:widowControl w:val="0"/>
        <w:tabs>
          <w:tab w:val="clear" w:pos="567"/>
        </w:tabs>
        <w:spacing w:line="240" w:lineRule="auto"/>
        <w:ind w:left="567" w:hanging="567"/>
        <w:rPr>
          <w:snapToGrid/>
          <w:szCs w:val="22"/>
          <w:lang w:val="lt-LT"/>
        </w:rPr>
      </w:pPr>
    </w:p>
    <w:p w14:paraId="2807513E" w14:textId="77777777" w:rsidR="0052346D" w:rsidRDefault="005A1771">
      <w:pPr>
        <w:widowControl w:val="0"/>
        <w:spacing w:line="240" w:lineRule="auto"/>
        <w:ind w:left="567" w:hanging="567"/>
        <w:outlineLvl w:val="1"/>
        <w:rPr>
          <w:b/>
          <w:snapToGrid/>
          <w:szCs w:val="22"/>
          <w:lang w:val="lt-LT"/>
        </w:rPr>
      </w:pPr>
      <w:r>
        <w:rPr>
          <w:b/>
          <w:snapToGrid/>
          <w:szCs w:val="22"/>
          <w:lang w:val="lt-LT"/>
        </w:rPr>
        <w:t>7.</w:t>
      </w:r>
      <w:r>
        <w:rPr>
          <w:b/>
          <w:snapToGrid/>
          <w:szCs w:val="22"/>
          <w:lang w:val="lt-LT"/>
        </w:rPr>
        <w:tab/>
        <w:t>REGISTRUOTOJAS</w:t>
      </w:r>
    </w:p>
    <w:p w14:paraId="3BC46DD9" w14:textId="77777777" w:rsidR="0052346D" w:rsidRDefault="0052346D">
      <w:pPr>
        <w:widowControl w:val="0"/>
        <w:tabs>
          <w:tab w:val="clear" w:pos="567"/>
        </w:tabs>
        <w:spacing w:line="240" w:lineRule="auto"/>
        <w:rPr>
          <w:snapToGrid/>
          <w:szCs w:val="22"/>
          <w:lang w:val="lt-LT"/>
        </w:rPr>
      </w:pPr>
    </w:p>
    <w:p w14:paraId="79B6EBC1" w14:textId="77777777" w:rsidR="0052346D" w:rsidRDefault="005A1771">
      <w:pPr>
        <w:widowControl w:val="0"/>
        <w:tabs>
          <w:tab w:val="clear" w:pos="567"/>
          <w:tab w:val="left" w:pos="540"/>
        </w:tabs>
        <w:spacing w:line="240" w:lineRule="auto"/>
        <w:rPr>
          <w:rFonts w:eastAsia="Calibri"/>
          <w:snapToGrid/>
          <w:szCs w:val="22"/>
          <w:lang w:val="lt-LT"/>
        </w:rPr>
      </w:pPr>
      <w:r>
        <w:rPr>
          <w:rFonts w:eastAsia="Calibri"/>
          <w:snapToGrid/>
          <w:szCs w:val="22"/>
          <w:lang w:val="lt-LT"/>
        </w:rPr>
        <w:t>KRKA d.d. Novo mesto, Šmarješka cesta 6,8501 Novo mesto, Slovėnija</w:t>
      </w:r>
    </w:p>
    <w:p w14:paraId="797F47B7" w14:textId="77777777" w:rsidR="0052346D" w:rsidRDefault="0052346D">
      <w:pPr>
        <w:widowControl w:val="0"/>
        <w:tabs>
          <w:tab w:val="clear" w:pos="567"/>
        </w:tabs>
        <w:spacing w:line="240" w:lineRule="auto"/>
        <w:rPr>
          <w:snapToGrid/>
          <w:sz w:val="16"/>
          <w:szCs w:val="16"/>
          <w:lang w:val="lt-LT"/>
        </w:rPr>
      </w:pPr>
    </w:p>
    <w:p w14:paraId="22EF3A62" w14:textId="77777777" w:rsidR="0052346D" w:rsidRDefault="0052346D">
      <w:pPr>
        <w:widowControl w:val="0"/>
        <w:tabs>
          <w:tab w:val="clear" w:pos="567"/>
        </w:tabs>
        <w:spacing w:line="240" w:lineRule="auto"/>
        <w:ind w:left="567" w:hanging="567"/>
        <w:rPr>
          <w:snapToGrid/>
          <w:szCs w:val="22"/>
          <w:lang w:val="lt-LT"/>
        </w:rPr>
      </w:pPr>
    </w:p>
    <w:p w14:paraId="4E9F81AA" w14:textId="77777777" w:rsidR="0052346D" w:rsidRDefault="005A1771">
      <w:pPr>
        <w:widowControl w:val="0"/>
        <w:spacing w:line="240" w:lineRule="auto"/>
        <w:ind w:left="567" w:hanging="567"/>
        <w:outlineLvl w:val="1"/>
        <w:rPr>
          <w:b/>
          <w:snapToGrid/>
          <w:szCs w:val="22"/>
          <w:lang w:val="lt-LT"/>
        </w:rPr>
      </w:pPr>
      <w:r>
        <w:rPr>
          <w:b/>
          <w:snapToGrid/>
          <w:szCs w:val="22"/>
          <w:lang w:val="lt-LT"/>
        </w:rPr>
        <w:t>8.</w:t>
      </w:r>
      <w:r>
        <w:rPr>
          <w:b/>
          <w:snapToGrid/>
          <w:szCs w:val="22"/>
          <w:lang w:val="lt-LT"/>
        </w:rPr>
        <w:tab/>
        <w:t>REGISTRACIJOS PAŽYMĖJIMO NUMERIS (</w:t>
      </w:r>
      <w:r>
        <w:rPr>
          <w:b/>
          <w:snapToGrid/>
          <w:szCs w:val="22"/>
          <w:lang w:val="lt-LT"/>
        </w:rPr>
        <w:noBreakHyphen/>
        <w:t>IAI)</w:t>
      </w:r>
    </w:p>
    <w:p w14:paraId="583E3C36" w14:textId="77777777" w:rsidR="0052346D" w:rsidRDefault="0052346D">
      <w:pPr>
        <w:widowControl w:val="0"/>
        <w:tabs>
          <w:tab w:val="clear" w:pos="567"/>
        </w:tabs>
        <w:spacing w:line="240" w:lineRule="auto"/>
        <w:rPr>
          <w:i/>
          <w:snapToGrid/>
          <w:szCs w:val="22"/>
          <w:lang w:val="lt-LT"/>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52346D" w14:paraId="32094A9E" w14:textId="77777777">
        <w:tc>
          <w:tcPr>
            <w:tcW w:w="4532" w:type="dxa"/>
          </w:tcPr>
          <w:p w14:paraId="6698BB35" w14:textId="77777777" w:rsidR="0052346D" w:rsidRPr="00892CBD" w:rsidRDefault="005A1771">
            <w:pPr>
              <w:widowControl w:val="0"/>
              <w:tabs>
                <w:tab w:val="clear" w:pos="567"/>
              </w:tabs>
              <w:spacing w:line="240" w:lineRule="auto"/>
              <w:rPr>
                <w:color w:val="000000"/>
                <w:u w:val="single"/>
                <w:lang w:val="pt-PT" w:eastAsia="sl-SI"/>
              </w:rPr>
            </w:pPr>
            <w:r w:rsidRPr="00892CBD">
              <w:rPr>
                <w:color w:val="000000"/>
                <w:u w:val="single"/>
                <w:lang w:val="pt-PT" w:eastAsia="sl-SI"/>
              </w:rPr>
              <w:t>8 mg/2,5 mg</w:t>
            </w:r>
          </w:p>
          <w:p w14:paraId="0C52C70F" w14:textId="77777777" w:rsidR="0052346D" w:rsidRDefault="005A1771">
            <w:pPr>
              <w:widowControl w:val="0"/>
              <w:tabs>
                <w:tab w:val="clear" w:pos="567"/>
              </w:tabs>
              <w:spacing w:line="240" w:lineRule="auto"/>
              <w:rPr>
                <w:snapToGrid/>
                <w:szCs w:val="22"/>
                <w:lang w:val="lt-LT"/>
              </w:rPr>
            </w:pPr>
            <w:r>
              <w:rPr>
                <w:snapToGrid/>
                <w:szCs w:val="22"/>
                <w:lang w:val="lt-LT"/>
              </w:rPr>
              <w:t>LT/1/24/5630/001 – N10</w:t>
            </w:r>
          </w:p>
          <w:p w14:paraId="5EAB4604" w14:textId="77777777" w:rsidR="0052346D" w:rsidRDefault="005A1771">
            <w:pPr>
              <w:widowControl w:val="0"/>
              <w:tabs>
                <w:tab w:val="clear" w:pos="567"/>
              </w:tabs>
              <w:spacing w:line="240" w:lineRule="auto"/>
              <w:rPr>
                <w:snapToGrid/>
                <w:szCs w:val="22"/>
                <w:lang w:val="lt-LT"/>
              </w:rPr>
            </w:pPr>
            <w:r>
              <w:rPr>
                <w:snapToGrid/>
                <w:szCs w:val="22"/>
                <w:lang w:val="lt-LT"/>
              </w:rPr>
              <w:lastRenderedPageBreak/>
              <w:t>LT/1/24/5630/002 – N14</w:t>
            </w:r>
          </w:p>
          <w:p w14:paraId="6BA9F0CD" w14:textId="77777777" w:rsidR="0052346D" w:rsidRDefault="005A1771">
            <w:pPr>
              <w:widowControl w:val="0"/>
              <w:tabs>
                <w:tab w:val="clear" w:pos="567"/>
              </w:tabs>
              <w:spacing w:line="240" w:lineRule="auto"/>
              <w:rPr>
                <w:snapToGrid/>
                <w:szCs w:val="22"/>
                <w:lang w:val="lt-LT"/>
              </w:rPr>
            </w:pPr>
            <w:r>
              <w:rPr>
                <w:snapToGrid/>
                <w:szCs w:val="22"/>
                <w:lang w:val="lt-LT"/>
              </w:rPr>
              <w:t>LT/1/24/5630/003 – N28</w:t>
            </w:r>
          </w:p>
          <w:p w14:paraId="7187D125" w14:textId="77777777" w:rsidR="0052346D" w:rsidRDefault="005A1771">
            <w:pPr>
              <w:widowControl w:val="0"/>
              <w:tabs>
                <w:tab w:val="clear" w:pos="567"/>
              </w:tabs>
              <w:spacing w:line="240" w:lineRule="auto"/>
              <w:rPr>
                <w:snapToGrid/>
                <w:szCs w:val="22"/>
                <w:lang w:val="lt-LT"/>
              </w:rPr>
            </w:pPr>
            <w:r>
              <w:rPr>
                <w:snapToGrid/>
                <w:szCs w:val="22"/>
                <w:lang w:val="lt-LT"/>
              </w:rPr>
              <w:t>LT/1/24/5630/004 – N30</w:t>
            </w:r>
          </w:p>
          <w:p w14:paraId="026F6F35" w14:textId="77777777" w:rsidR="0052346D" w:rsidRDefault="005A1771">
            <w:pPr>
              <w:widowControl w:val="0"/>
              <w:tabs>
                <w:tab w:val="clear" w:pos="567"/>
              </w:tabs>
              <w:spacing w:line="240" w:lineRule="auto"/>
              <w:rPr>
                <w:snapToGrid/>
                <w:szCs w:val="22"/>
                <w:lang w:val="lt-LT"/>
              </w:rPr>
            </w:pPr>
            <w:r>
              <w:rPr>
                <w:snapToGrid/>
                <w:szCs w:val="22"/>
                <w:lang w:val="lt-LT"/>
              </w:rPr>
              <w:t>LT/1/24/5630/005 – N56</w:t>
            </w:r>
          </w:p>
          <w:p w14:paraId="0809F3FD" w14:textId="77777777" w:rsidR="0052346D" w:rsidRDefault="005A1771">
            <w:pPr>
              <w:widowControl w:val="0"/>
              <w:tabs>
                <w:tab w:val="clear" w:pos="567"/>
              </w:tabs>
              <w:spacing w:line="240" w:lineRule="auto"/>
              <w:rPr>
                <w:snapToGrid/>
                <w:szCs w:val="22"/>
                <w:lang w:val="lt-LT"/>
              </w:rPr>
            </w:pPr>
            <w:r>
              <w:rPr>
                <w:snapToGrid/>
                <w:szCs w:val="22"/>
                <w:lang w:val="lt-LT"/>
              </w:rPr>
              <w:t>LT/1/24/5630/006 – N60</w:t>
            </w:r>
          </w:p>
          <w:p w14:paraId="00E1D914" w14:textId="77777777" w:rsidR="0052346D" w:rsidRDefault="005A1771">
            <w:pPr>
              <w:widowControl w:val="0"/>
              <w:tabs>
                <w:tab w:val="clear" w:pos="567"/>
              </w:tabs>
              <w:spacing w:line="240" w:lineRule="auto"/>
              <w:rPr>
                <w:snapToGrid/>
                <w:szCs w:val="22"/>
                <w:lang w:val="lt-LT"/>
              </w:rPr>
            </w:pPr>
            <w:r>
              <w:rPr>
                <w:snapToGrid/>
                <w:szCs w:val="22"/>
                <w:lang w:val="lt-LT"/>
              </w:rPr>
              <w:t>LT/1/24/5630/007 – N84</w:t>
            </w:r>
          </w:p>
          <w:p w14:paraId="73518628" w14:textId="77777777" w:rsidR="0052346D" w:rsidRDefault="005A1771">
            <w:pPr>
              <w:widowControl w:val="0"/>
              <w:tabs>
                <w:tab w:val="clear" w:pos="567"/>
              </w:tabs>
              <w:spacing w:line="240" w:lineRule="auto"/>
              <w:rPr>
                <w:snapToGrid/>
                <w:szCs w:val="22"/>
                <w:lang w:val="lt-LT"/>
              </w:rPr>
            </w:pPr>
            <w:r>
              <w:rPr>
                <w:snapToGrid/>
                <w:szCs w:val="22"/>
                <w:lang w:val="lt-LT"/>
              </w:rPr>
              <w:t>LT/1/24/5630/008 – N90</w:t>
            </w:r>
          </w:p>
          <w:p w14:paraId="19949C6E" w14:textId="77777777" w:rsidR="0052346D" w:rsidRDefault="005A1771">
            <w:pPr>
              <w:widowControl w:val="0"/>
              <w:tabs>
                <w:tab w:val="clear" w:pos="567"/>
              </w:tabs>
              <w:spacing w:line="240" w:lineRule="auto"/>
              <w:rPr>
                <w:snapToGrid/>
                <w:szCs w:val="22"/>
                <w:lang w:val="lt-LT"/>
              </w:rPr>
            </w:pPr>
            <w:r>
              <w:rPr>
                <w:snapToGrid/>
                <w:szCs w:val="22"/>
                <w:lang w:val="lt-LT"/>
              </w:rPr>
              <w:t>LT/1/24/5630/009 – N98</w:t>
            </w:r>
          </w:p>
          <w:p w14:paraId="7541F5A9" w14:textId="77777777" w:rsidR="0052346D" w:rsidRDefault="005A1771">
            <w:pPr>
              <w:widowControl w:val="0"/>
              <w:tabs>
                <w:tab w:val="clear" w:pos="567"/>
              </w:tabs>
              <w:spacing w:line="240" w:lineRule="auto"/>
              <w:rPr>
                <w:snapToGrid/>
                <w:szCs w:val="22"/>
                <w:lang w:val="lt-LT"/>
              </w:rPr>
            </w:pPr>
            <w:r>
              <w:rPr>
                <w:snapToGrid/>
                <w:szCs w:val="22"/>
                <w:lang w:val="lt-LT"/>
              </w:rPr>
              <w:t>LT/1/24/5630/010 – N100</w:t>
            </w:r>
          </w:p>
          <w:p w14:paraId="7E7A3C18" w14:textId="77777777" w:rsidR="0052346D" w:rsidRDefault="005A1771">
            <w:pPr>
              <w:widowControl w:val="0"/>
              <w:tabs>
                <w:tab w:val="clear" w:pos="567"/>
              </w:tabs>
              <w:spacing w:line="240" w:lineRule="auto"/>
              <w:rPr>
                <w:snapToGrid/>
                <w:szCs w:val="22"/>
                <w:lang w:val="lt-LT"/>
              </w:rPr>
            </w:pPr>
            <w:r>
              <w:rPr>
                <w:snapToGrid/>
                <w:szCs w:val="22"/>
                <w:u w:val="single"/>
                <w:lang w:val="lt-LT"/>
              </w:rPr>
              <w:t>kalendorinė pakuotė</w:t>
            </w:r>
            <w:r>
              <w:rPr>
                <w:snapToGrid/>
                <w:szCs w:val="22"/>
                <w:lang w:val="lt-LT"/>
              </w:rPr>
              <w:t>:</w:t>
            </w:r>
          </w:p>
          <w:p w14:paraId="32604D8B" w14:textId="77777777" w:rsidR="0052346D" w:rsidRDefault="005A1771">
            <w:pPr>
              <w:widowControl w:val="0"/>
              <w:tabs>
                <w:tab w:val="clear" w:pos="567"/>
              </w:tabs>
              <w:spacing w:line="240" w:lineRule="auto"/>
              <w:rPr>
                <w:snapToGrid/>
                <w:szCs w:val="22"/>
                <w:lang w:val="lt-LT"/>
              </w:rPr>
            </w:pPr>
            <w:r>
              <w:rPr>
                <w:snapToGrid/>
                <w:szCs w:val="22"/>
                <w:lang w:val="lt-LT"/>
              </w:rPr>
              <w:t>LT/1/24/5630/011 – N14</w:t>
            </w:r>
          </w:p>
          <w:p w14:paraId="338BABD5" w14:textId="77777777" w:rsidR="0052346D" w:rsidRDefault="005A1771">
            <w:pPr>
              <w:widowControl w:val="0"/>
              <w:tabs>
                <w:tab w:val="clear" w:pos="567"/>
              </w:tabs>
              <w:spacing w:line="240" w:lineRule="auto"/>
              <w:rPr>
                <w:snapToGrid/>
                <w:szCs w:val="22"/>
                <w:lang w:val="lt-LT"/>
              </w:rPr>
            </w:pPr>
            <w:r>
              <w:rPr>
                <w:snapToGrid/>
                <w:szCs w:val="22"/>
                <w:lang w:val="lt-LT"/>
              </w:rPr>
              <w:t>LT/1/24/5630/012 – N28</w:t>
            </w:r>
          </w:p>
          <w:p w14:paraId="104BD828" w14:textId="77777777" w:rsidR="0052346D" w:rsidRDefault="005A1771">
            <w:pPr>
              <w:widowControl w:val="0"/>
              <w:tabs>
                <w:tab w:val="clear" w:pos="567"/>
              </w:tabs>
              <w:spacing w:line="240" w:lineRule="auto"/>
              <w:rPr>
                <w:snapToGrid/>
                <w:szCs w:val="22"/>
                <w:lang w:val="lt-LT"/>
              </w:rPr>
            </w:pPr>
            <w:r>
              <w:rPr>
                <w:snapToGrid/>
                <w:szCs w:val="22"/>
                <w:lang w:val="lt-LT"/>
              </w:rPr>
              <w:t>LT/1/24/5630/013 – N56</w:t>
            </w:r>
          </w:p>
          <w:p w14:paraId="48B03ED6" w14:textId="77777777" w:rsidR="0052346D" w:rsidRDefault="005A1771">
            <w:pPr>
              <w:widowControl w:val="0"/>
              <w:tabs>
                <w:tab w:val="clear" w:pos="567"/>
              </w:tabs>
              <w:spacing w:line="240" w:lineRule="auto"/>
              <w:rPr>
                <w:snapToGrid/>
                <w:szCs w:val="22"/>
                <w:lang w:val="lt-LT"/>
              </w:rPr>
            </w:pPr>
            <w:r>
              <w:rPr>
                <w:snapToGrid/>
                <w:szCs w:val="22"/>
                <w:lang w:val="lt-LT"/>
              </w:rPr>
              <w:t>LT/1/24/5630/014 – N84</w:t>
            </w:r>
          </w:p>
          <w:p w14:paraId="2C677C73" w14:textId="77777777" w:rsidR="0052346D" w:rsidRDefault="005A1771">
            <w:pPr>
              <w:widowControl w:val="0"/>
              <w:tabs>
                <w:tab w:val="clear" w:pos="567"/>
              </w:tabs>
              <w:spacing w:line="240" w:lineRule="auto"/>
              <w:rPr>
                <w:snapToGrid/>
                <w:szCs w:val="22"/>
                <w:lang w:val="lt-LT"/>
              </w:rPr>
            </w:pPr>
            <w:r>
              <w:rPr>
                <w:snapToGrid/>
                <w:szCs w:val="22"/>
                <w:lang w:val="lt-LT"/>
              </w:rPr>
              <w:t>LT/1/24/5630/015 – N98</w:t>
            </w:r>
          </w:p>
        </w:tc>
        <w:tc>
          <w:tcPr>
            <w:tcW w:w="4533" w:type="dxa"/>
          </w:tcPr>
          <w:p w14:paraId="191E000D" w14:textId="77777777" w:rsidR="0052346D" w:rsidRPr="00892CBD" w:rsidRDefault="005A1771">
            <w:pPr>
              <w:widowControl w:val="0"/>
              <w:tabs>
                <w:tab w:val="clear" w:pos="567"/>
              </w:tabs>
              <w:spacing w:line="240" w:lineRule="auto"/>
              <w:rPr>
                <w:color w:val="000000"/>
                <w:u w:val="single"/>
                <w:lang w:val="pt-PT" w:eastAsia="sl-SI"/>
              </w:rPr>
            </w:pPr>
            <w:r w:rsidRPr="00892CBD">
              <w:rPr>
                <w:color w:val="000000"/>
                <w:u w:val="single"/>
                <w:lang w:val="pt-PT" w:eastAsia="sl-SI"/>
              </w:rPr>
              <w:lastRenderedPageBreak/>
              <w:t>16 mg/2,5 mg</w:t>
            </w:r>
          </w:p>
          <w:p w14:paraId="2EF4B602" w14:textId="77777777" w:rsidR="0052346D" w:rsidRDefault="005A1771">
            <w:pPr>
              <w:widowControl w:val="0"/>
              <w:tabs>
                <w:tab w:val="clear" w:pos="567"/>
              </w:tabs>
              <w:spacing w:line="240" w:lineRule="auto"/>
              <w:rPr>
                <w:snapToGrid/>
                <w:szCs w:val="22"/>
                <w:lang w:val="lt-LT"/>
              </w:rPr>
            </w:pPr>
            <w:r>
              <w:rPr>
                <w:snapToGrid/>
                <w:szCs w:val="22"/>
                <w:lang w:val="lt-LT"/>
              </w:rPr>
              <w:t>LT/1/24/5631/001 – N10</w:t>
            </w:r>
          </w:p>
          <w:p w14:paraId="7CF748E8" w14:textId="77777777" w:rsidR="0052346D" w:rsidRDefault="005A1771">
            <w:pPr>
              <w:widowControl w:val="0"/>
              <w:tabs>
                <w:tab w:val="clear" w:pos="567"/>
              </w:tabs>
              <w:spacing w:line="240" w:lineRule="auto"/>
              <w:rPr>
                <w:snapToGrid/>
                <w:szCs w:val="22"/>
                <w:lang w:val="lt-LT"/>
              </w:rPr>
            </w:pPr>
            <w:r>
              <w:rPr>
                <w:snapToGrid/>
                <w:szCs w:val="22"/>
                <w:lang w:val="lt-LT"/>
              </w:rPr>
              <w:lastRenderedPageBreak/>
              <w:t>LT/1/24/5631/002 – N14</w:t>
            </w:r>
          </w:p>
          <w:p w14:paraId="35B4F8D9" w14:textId="77777777" w:rsidR="0052346D" w:rsidRDefault="005A1771">
            <w:pPr>
              <w:widowControl w:val="0"/>
              <w:tabs>
                <w:tab w:val="clear" w:pos="567"/>
              </w:tabs>
              <w:spacing w:line="240" w:lineRule="auto"/>
              <w:rPr>
                <w:snapToGrid/>
                <w:szCs w:val="22"/>
                <w:lang w:val="lt-LT"/>
              </w:rPr>
            </w:pPr>
            <w:r>
              <w:rPr>
                <w:snapToGrid/>
                <w:szCs w:val="22"/>
                <w:lang w:val="lt-LT"/>
              </w:rPr>
              <w:t>LT/1/24/5631/003 – N28</w:t>
            </w:r>
          </w:p>
          <w:p w14:paraId="7ABB6D60" w14:textId="77777777" w:rsidR="0052346D" w:rsidRDefault="005A1771">
            <w:pPr>
              <w:widowControl w:val="0"/>
              <w:tabs>
                <w:tab w:val="clear" w:pos="567"/>
              </w:tabs>
              <w:spacing w:line="240" w:lineRule="auto"/>
              <w:rPr>
                <w:snapToGrid/>
                <w:szCs w:val="22"/>
                <w:lang w:val="lt-LT"/>
              </w:rPr>
            </w:pPr>
            <w:r>
              <w:rPr>
                <w:snapToGrid/>
                <w:szCs w:val="22"/>
                <w:lang w:val="lt-LT"/>
              </w:rPr>
              <w:t>LT/1/24/5631/004 – N30</w:t>
            </w:r>
          </w:p>
          <w:p w14:paraId="03600632" w14:textId="77777777" w:rsidR="0052346D" w:rsidRDefault="005A1771">
            <w:pPr>
              <w:widowControl w:val="0"/>
              <w:tabs>
                <w:tab w:val="clear" w:pos="567"/>
              </w:tabs>
              <w:spacing w:line="240" w:lineRule="auto"/>
              <w:rPr>
                <w:snapToGrid/>
                <w:szCs w:val="22"/>
                <w:lang w:val="lt-LT"/>
              </w:rPr>
            </w:pPr>
            <w:r>
              <w:rPr>
                <w:snapToGrid/>
                <w:szCs w:val="22"/>
                <w:lang w:val="lt-LT"/>
              </w:rPr>
              <w:t>LT/1/24/5631/005 – N56</w:t>
            </w:r>
          </w:p>
          <w:p w14:paraId="15DA6BA2" w14:textId="77777777" w:rsidR="0052346D" w:rsidRDefault="005A1771">
            <w:pPr>
              <w:widowControl w:val="0"/>
              <w:tabs>
                <w:tab w:val="clear" w:pos="567"/>
              </w:tabs>
              <w:spacing w:line="240" w:lineRule="auto"/>
              <w:rPr>
                <w:snapToGrid/>
                <w:szCs w:val="22"/>
                <w:lang w:val="lt-LT"/>
              </w:rPr>
            </w:pPr>
            <w:r>
              <w:rPr>
                <w:snapToGrid/>
                <w:szCs w:val="22"/>
                <w:lang w:val="lt-LT"/>
              </w:rPr>
              <w:t>LT/1/24/5631/006 – N60</w:t>
            </w:r>
          </w:p>
          <w:p w14:paraId="775FD38E" w14:textId="77777777" w:rsidR="0052346D" w:rsidRDefault="005A1771">
            <w:pPr>
              <w:widowControl w:val="0"/>
              <w:tabs>
                <w:tab w:val="clear" w:pos="567"/>
              </w:tabs>
              <w:spacing w:line="240" w:lineRule="auto"/>
              <w:rPr>
                <w:snapToGrid/>
                <w:szCs w:val="22"/>
                <w:lang w:val="lt-LT"/>
              </w:rPr>
            </w:pPr>
            <w:r>
              <w:rPr>
                <w:snapToGrid/>
                <w:szCs w:val="22"/>
                <w:lang w:val="lt-LT"/>
              </w:rPr>
              <w:t>LT/1/24/5631/007 – N84</w:t>
            </w:r>
          </w:p>
          <w:p w14:paraId="3243E726" w14:textId="77777777" w:rsidR="0052346D" w:rsidRDefault="005A1771">
            <w:pPr>
              <w:widowControl w:val="0"/>
              <w:tabs>
                <w:tab w:val="clear" w:pos="567"/>
              </w:tabs>
              <w:spacing w:line="240" w:lineRule="auto"/>
              <w:rPr>
                <w:snapToGrid/>
                <w:szCs w:val="22"/>
                <w:lang w:val="lt-LT"/>
              </w:rPr>
            </w:pPr>
            <w:r>
              <w:rPr>
                <w:snapToGrid/>
                <w:szCs w:val="22"/>
                <w:lang w:val="lt-LT"/>
              </w:rPr>
              <w:t>LT/1/24/5631/008 – N90</w:t>
            </w:r>
          </w:p>
          <w:p w14:paraId="72075A51" w14:textId="77777777" w:rsidR="0052346D" w:rsidRDefault="005A1771">
            <w:pPr>
              <w:widowControl w:val="0"/>
              <w:tabs>
                <w:tab w:val="clear" w:pos="567"/>
              </w:tabs>
              <w:spacing w:line="240" w:lineRule="auto"/>
              <w:rPr>
                <w:snapToGrid/>
                <w:szCs w:val="22"/>
                <w:lang w:val="lt-LT"/>
              </w:rPr>
            </w:pPr>
            <w:r>
              <w:rPr>
                <w:snapToGrid/>
                <w:szCs w:val="22"/>
                <w:lang w:val="lt-LT"/>
              </w:rPr>
              <w:t>LT/1/24/5631/009 – N98</w:t>
            </w:r>
          </w:p>
          <w:p w14:paraId="1F20DA80" w14:textId="77777777" w:rsidR="0052346D" w:rsidRDefault="005A1771">
            <w:pPr>
              <w:widowControl w:val="0"/>
              <w:tabs>
                <w:tab w:val="clear" w:pos="567"/>
              </w:tabs>
              <w:spacing w:line="240" w:lineRule="auto"/>
              <w:rPr>
                <w:snapToGrid/>
                <w:szCs w:val="22"/>
                <w:lang w:val="lt-LT"/>
              </w:rPr>
            </w:pPr>
            <w:r>
              <w:rPr>
                <w:snapToGrid/>
                <w:szCs w:val="22"/>
                <w:lang w:val="lt-LT"/>
              </w:rPr>
              <w:t>LT/1/24/5631/010 – N100</w:t>
            </w:r>
          </w:p>
          <w:p w14:paraId="4A6B2AC1" w14:textId="77777777" w:rsidR="0052346D" w:rsidRDefault="005A1771">
            <w:pPr>
              <w:widowControl w:val="0"/>
              <w:tabs>
                <w:tab w:val="clear" w:pos="567"/>
              </w:tabs>
              <w:spacing w:line="240" w:lineRule="auto"/>
              <w:rPr>
                <w:snapToGrid/>
                <w:szCs w:val="22"/>
                <w:lang w:val="lt-LT"/>
              </w:rPr>
            </w:pPr>
            <w:r>
              <w:rPr>
                <w:snapToGrid/>
                <w:szCs w:val="22"/>
                <w:u w:val="single"/>
                <w:lang w:val="lt-LT"/>
              </w:rPr>
              <w:t>kalendorinė pakuotė</w:t>
            </w:r>
            <w:r>
              <w:rPr>
                <w:snapToGrid/>
                <w:szCs w:val="22"/>
                <w:lang w:val="lt-LT"/>
              </w:rPr>
              <w:t>:</w:t>
            </w:r>
          </w:p>
          <w:p w14:paraId="0C54082E" w14:textId="77777777" w:rsidR="0052346D" w:rsidRDefault="005A1771">
            <w:pPr>
              <w:widowControl w:val="0"/>
              <w:tabs>
                <w:tab w:val="clear" w:pos="567"/>
              </w:tabs>
              <w:spacing w:line="240" w:lineRule="auto"/>
              <w:rPr>
                <w:snapToGrid/>
                <w:szCs w:val="22"/>
                <w:lang w:val="lt-LT"/>
              </w:rPr>
            </w:pPr>
            <w:r>
              <w:rPr>
                <w:snapToGrid/>
                <w:szCs w:val="22"/>
                <w:lang w:val="lt-LT"/>
              </w:rPr>
              <w:t>LT/1/24/5631/011 – N14</w:t>
            </w:r>
          </w:p>
          <w:p w14:paraId="0ECA8CEE" w14:textId="77777777" w:rsidR="0052346D" w:rsidRDefault="005A1771">
            <w:pPr>
              <w:widowControl w:val="0"/>
              <w:tabs>
                <w:tab w:val="clear" w:pos="567"/>
              </w:tabs>
              <w:spacing w:line="240" w:lineRule="auto"/>
              <w:rPr>
                <w:snapToGrid/>
                <w:szCs w:val="22"/>
                <w:lang w:val="lt-LT"/>
              </w:rPr>
            </w:pPr>
            <w:r>
              <w:rPr>
                <w:snapToGrid/>
                <w:szCs w:val="22"/>
                <w:lang w:val="lt-LT"/>
              </w:rPr>
              <w:t>LT/1/24/5631/012 – N28</w:t>
            </w:r>
          </w:p>
          <w:p w14:paraId="0B8D2D21" w14:textId="77777777" w:rsidR="0052346D" w:rsidRDefault="005A1771">
            <w:pPr>
              <w:widowControl w:val="0"/>
              <w:tabs>
                <w:tab w:val="clear" w:pos="567"/>
              </w:tabs>
              <w:spacing w:line="240" w:lineRule="auto"/>
              <w:rPr>
                <w:snapToGrid/>
                <w:szCs w:val="22"/>
                <w:lang w:val="lt-LT"/>
              </w:rPr>
            </w:pPr>
            <w:r>
              <w:rPr>
                <w:snapToGrid/>
                <w:szCs w:val="22"/>
                <w:lang w:val="lt-LT"/>
              </w:rPr>
              <w:t>LT/1/24/5631/013 – N56</w:t>
            </w:r>
          </w:p>
          <w:p w14:paraId="4208F3F9" w14:textId="77777777" w:rsidR="0052346D" w:rsidRDefault="005A1771">
            <w:pPr>
              <w:widowControl w:val="0"/>
              <w:tabs>
                <w:tab w:val="clear" w:pos="567"/>
              </w:tabs>
              <w:spacing w:line="240" w:lineRule="auto"/>
              <w:rPr>
                <w:snapToGrid/>
                <w:szCs w:val="22"/>
                <w:lang w:val="lt-LT"/>
              </w:rPr>
            </w:pPr>
            <w:r>
              <w:rPr>
                <w:snapToGrid/>
                <w:szCs w:val="22"/>
                <w:lang w:val="lt-LT"/>
              </w:rPr>
              <w:t>LT/1/24/5631/014 – N84</w:t>
            </w:r>
          </w:p>
          <w:p w14:paraId="6C847F01" w14:textId="77777777" w:rsidR="0052346D" w:rsidRDefault="005A1771">
            <w:pPr>
              <w:widowControl w:val="0"/>
              <w:tabs>
                <w:tab w:val="clear" w:pos="567"/>
              </w:tabs>
              <w:spacing w:line="240" w:lineRule="auto"/>
              <w:rPr>
                <w:snapToGrid/>
                <w:szCs w:val="22"/>
                <w:lang w:val="lt-LT"/>
              </w:rPr>
            </w:pPr>
            <w:r>
              <w:rPr>
                <w:snapToGrid/>
                <w:szCs w:val="22"/>
                <w:lang w:val="lt-LT"/>
              </w:rPr>
              <w:t>LT/1/24/5631/015 – N98</w:t>
            </w:r>
          </w:p>
        </w:tc>
      </w:tr>
    </w:tbl>
    <w:p w14:paraId="29804F9D" w14:textId="77777777" w:rsidR="0052346D" w:rsidRDefault="0052346D">
      <w:pPr>
        <w:widowControl w:val="0"/>
        <w:tabs>
          <w:tab w:val="clear" w:pos="567"/>
        </w:tabs>
        <w:spacing w:line="240" w:lineRule="auto"/>
        <w:ind w:left="567" w:hanging="567"/>
        <w:rPr>
          <w:snapToGrid/>
          <w:szCs w:val="22"/>
          <w:lang w:val="lt-LT"/>
        </w:rPr>
      </w:pPr>
    </w:p>
    <w:p w14:paraId="3A7B0710" w14:textId="77777777" w:rsidR="0052346D" w:rsidRDefault="0052346D">
      <w:pPr>
        <w:widowControl w:val="0"/>
        <w:tabs>
          <w:tab w:val="clear" w:pos="567"/>
        </w:tabs>
        <w:spacing w:line="240" w:lineRule="auto"/>
        <w:ind w:left="567" w:hanging="567"/>
        <w:rPr>
          <w:snapToGrid/>
          <w:szCs w:val="22"/>
          <w:lang w:val="lt-LT"/>
        </w:rPr>
      </w:pPr>
    </w:p>
    <w:p w14:paraId="1CCAC02A" w14:textId="77777777" w:rsidR="0052346D" w:rsidRDefault="005A1771">
      <w:pPr>
        <w:widowControl w:val="0"/>
        <w:spacing w:line="240" w:lineRule="auto"/>
        <w:ind w:left="567" w:hanging="567"/>
        <w:outlineLvl w:val="1"/>
        <w:rPr>
          <w:b/>
          <w:snapToGrid/>
          <w:szCs w:val="22"/>
          <w:lang w:val="lt-LT"/>
        </w:rPr>
      </w:pPr>
      <w:r>
        <w:rPr>
          <w:b/>
          <w:snapToGrid/>
          <w:szCs w:val="22"/>
          <w:lang w:val="lt-LT"/>
        </w:rPr>
        <w:t>9.</w:t>
      </w:r>
      <w:r>
        <w:rPr>
          <w:b/>
          <w:snapToGrid/>
          <w:szCs w:val="22"/>
          <w:lang w:val="lt-LT"/>
        </w:rPr>
        <w:tab/>
        <w:t>REGISTRAVIMO / PERREGISTRAVIMO DATA</w:t>
      </w:r>
    </w:p>
    <w:p w14:paraId="293ACC72" w14:textId="77777777" w:rsidR="0052346D" w:rsidRDefault="0052346D">
      <w:pPr>
        <w:widowControl w:val="0"/>
        <w:tabs>
          <w:tab w:val="clear" w:pos="567"/>
        </w:tabs>
        <w:spacing w:line="240" w:lineRule="auto"/>
        <w:ind w:left="567" w:hanging="567"/>
        <w:rPr>
          <w:bCs/>
          <w:caps/>
          <w:snapToGrid/>
          <w:szCs w:val="22"/>
          <w:lang w:val="lt-LT"/>
        </w:rPr>
      </w:pPr>
    </w:p>
    <w:p w14:paraId="4FC20C4D" w14:textId="77777777" w:rsidR="0052346D" w:rsidRDefault="005A1771">
      <w:pPr>
        <w:widowControl w:val="0"/>
        <w:tabs>
          <w:tab w:val="clear" w:pos="567"/>
        </w:tabs>
        <w:spacing w:line="240" w:lineRule="auto"/>
        <w:rPr>
          <w:snapToGrid/>
          <w:szCs w:val="22"/>
          <w:lang w:val="lt-LT"/>
        </w:rPr>
      </w:pPr>
      <w:r>
        <w:rPr>
          <w:szCs w:val="22"/>
          <w:lang w:val="lt-LT"/>
        </w:rPr>
        <w:t>Registravimo data 2024 m. lapkričio 21 d.</w:t>
      </w:r>
    </w:p>
    <w:p w14:paraId="625ECC79" w14:textId="77777777" w:rsidR="0052346D" w:rsidRDefault="0052346D">
      <w:pPr>
        <w:widowControl w:val="0"/>
        <w:tabs>
          <w:tab w:val="clear" w:pos="567"/>
        </w:tabs>
        <w:spacing w:line="240" w:lineRule="auto"/>
        <w:rPr>
          <w:snapToGrid/>
          <w:szCs w:val="22"/>
          <w:lang w:val="lt-LT"/>
        </w:rPr>
      </w:pPr>
    </w:p>
    <w:p w14:paraId="69D72A60" w14:textId="77777777" w:rsidR="0052346D" w:rsidRDefault="0052346D">
      <w:pPr>
        <w:widowControl w:val="0"/>
        <w:tabs>
          <w:tab w:val="clear" w:pos="567"/>
        </w:tabs>
        <w:spacing w:line="240" w:lineRule="auto"/>
        <w:ind w:left="567" w:hanging="567"/>
        <w:rPr>
          <w:snapToGrid/>
          <w:szCs w:val="22"/>
          <w:lang w:val="lt-LT"/>
        </w:rPr>
      </w:pPr>
    </w:p>
    <w:p w14:paraId="7E819EB4" w14:textId="77777777" w:rsidR="0052346D" w:rsidRDefault="005A1771">
      <w:pPr>
        <w:widowControl w:val="0"/>
        <w:spacing w:line="240" w:lineRule="auto"/>
        <w:ind w:left="567" w:hanging="567"/>
        <w:outlineLvl w:val="1"/>
        <w:rPr>
          <w:b/>
          <w:snapToGrid/>
          <w:szCs w:val="22"/>
          <w:lang w:val="lt-LT"/>
        </w:rPr>
      </w:pPr>
      <w:r>
        <w:rPr>
          <w:b/>
          <w:snapToGrid/>
          <w:szCs w:val="22"/>
          <w:lang w:val="lt-LT"/>
        </w:rPr>
        <w:t>10.</w:t>
      </w:r>
      <w:r>
        <w:rPr>
          <w:b/>
          <w:snapToGrid/>
          <w:szCs w:val="22"/>
          <w:lang w:val="lt-LT"/>
        </w:rPr>
        <w:tab/>
        <w:t>TEKSTO PERŽIŪROS DATA</w:t>
      </w:r>
    </w:p>
    <w:p w14:paraId="4DB26CEE" w14:textId="77777777" w:rsidR="0052346D" w:rsidRDefault="0052346D">
      <w:pPr>
        <w:widowControl w:val="0"/>
        <w:tabs>
          <w:tab w:val="clear" w:pos="567"/>
        </w:tabs>
        <w:spacing w:line="240" w:lineRule="auto"/>
        <w:ind w:left="567" w:hanging="567"/>
        <w:rPr>
          <w:bCs/>
          <w:caps/>
          <w:snapToGrid/>
          <w:szCs w:val="22"/>
          <w:lang w:val="lt-LT"/>
        </w:rPr>
      </w:pPr>
    </w:p>
    <w:p w14:paraId="5109C4F2" w14:textId="79B098D5" w:rsidR="0052346D" w:rsidRDefault="005A1771">
      <w:pPr>
        <w:widowControl w:val="0"/>
        <w:tabs>
          <w:tab w:val="clear" w:pos="567"/>
        </w:tabs>
        <w:spacing w:line="240" w:lineRule="auto"/>
        <w:ind w:left="567" w:hanging="567"/>
        <w:rPr>
          <w:szCs w:val="22"/>
          <w:lang w:val="lt-LT"/>
        </w:rPr>
      </w:pPr>
      <w:r>
        <w:rPr>
          <w:szCs w:val="22"/>
          <w:lang w:val="lt-LT"/>
        </w:rPr>
        <w:t>2025 m. sausio 24 d.</w:t>
      </w:r>
    </w:p>
    <w:p w14:paraId="7ED5539F" w14:textId="77777777" w:rsidR="0052346D" w:rsidRDefault="0052346D">
      <w:pPr>
        <w:widowControl w:val="0"/>
        <w:tabs>
          <w:tab w:val="clear" w:pos="567"/>
        </w:tabs>
        <w:spacing w:line="240" w:lineRule="auto"/>
        <w:ind w:left="567" w:hanging="567"/>
        <w:rPr>
          <w:bCs/>
          <w:caps/>
          <w:snapToGrid/>
          <w:szCs w:val="22"/>
          <w:lang w:val="lt-LT"/>
        </w:rPr>
      </w:pPr>
    </w:p>
    <w:p w14:paraId="58F6078D" w14:textId="77777777" w:rsidR="0052346D" w:rsidRDefault="005A1771">
      <w:pPr>
        <w:widowControl w:val="0"/>
        <w:tabs>
          <w:tab w:val="clear" w:pos="567"/>
        </w:tabs>
        <w:spacing w:line="240" w:lineRule="auto"/>
        <w:rPr>
          <w:snapToGrid/>
          <w:szCs w:val="22"/>
          <w:lang w:val="lt-LT"/>
        </w:rPr>
      </w:pPr>
      <w:r>
        <w:rPr>
          <w:snapToGrid/>
          <w:szCs w:val="22"/>
          <w:lang w:val="lt-LT"/>
        </w:rPr>
        <w:t xml:space="preserve">Išsami informacija apie šį vaistą pateikiama Valstybinės vaistų kontrolės tarnybos prie Lietuvos Respublikos sveikatos apsaugos ministerijos tinklalapyje </w:t>
      </w:r>
      <w:hyperlink r:id="rId8" w:history="1">
        <w:r>
          <w:rPr>
            <w:snapToGrid/>
            <w:color w:val="0000FF"/>
            <w:szCs w:val="22"/>
            <w:u w:val="single"/>
            <w:lang w:val="lt-LT" w:eastAsia="lt-LT"/>
          </w:rPr>
          <w:t>https://vvkt.lrv.lt/lt/</w:t>
        </w:r>
      </w:hyperlink>
      <w:r>
        <w:rPr>
          <w:snapToGrid/>
          <w:szCs w:val="22"/>
          <w:lang w:val="lt-LT"/>
        </w:rPr>
        <w:t>.</w:t>
      </w:r>
    </w:p>
    <w:p w14:paraId="718C91BF" w14:textId="77777777" w:rsidR="0052346D" w:rsidRDefault="005A1771">
      <w:pPr>
        <w:tabs>
          <w:tab w:val="clear" w:pos="567"/>
        </w:tabs>
        <w:spacing w:line="240" w:lineRule="auto"/>
        <w:outlineLvl w:val="0"/>
        <w:rPr>
          <w:szCs w:val="22"/>
          <w:lang w:val="lt-LT"/>
        </w:rPr>
      </w:pPr>
      <w:r>
        <w:rPr>
          <w:snapToGrid/>
          <w:szCs w:val="22"/>
          <w:lang w:val="lt-LT"/>
        </w:rPr>
        <w:br w:type="page"/>
      </w:r>
    </w:p>
    <w:p w14:paraId="38C0514F" w14:textId="77777777" w:rsidR="0052346D" w:rsidRDefault="0052346D">
      <w:pPr>
        <w:keepNext/>
        <w:spacing w:line="240" w:lineRule="auto"/>
        <w:jc w:val="center"/>
        <w:outlineLvl w:val="1"/>
        <w:rPr>
          <w:b/>
          <w:bCs/>
          <w:iCs/>
          <w:szCs w:val="22"/>
          <w:lang w:val="lt-LT" w:eastAsia="x-none"/>
        </w:rPr>
      </w:pPr>
    </w:p>
    <w:p w14:paraId="44FC2688" w14:textId="77777777" w:rsidR="0052346D" w:rsidRDefault="0052346D">
      <w:pPr>
        <w:keepNext/>
        <w:spacing w:line="240" w:lineRule="auto"/>
        <w:jc w:val="center"/>
        <w:outlineLvl w:val="1"/>
        <w:rPr>
          <w:b/>
          <w:bCs/>
          <w:iCs/>
          <w:szCs w:val="22"/>
          <w:lang w:val="lt-LT" w:eastAsia="x-none"/>
        </w:rPr>
      </w:pPr>
    </w:p>
    <w:p w14:paraId="185EF94A" w14:textId="77777777" w:rsidR="0052346D" w:rsidRDefault="0052346D">
      <w:pPr>
        <w:keepNext/>
        <w:spacing w:line="240" w:lineRule="auto"/>
        <w:jc w:val="center"/>
        <w:outlineLvl w:val="1"/>
        <w:rPr>
          <w:b/>
          <w:bCs/>
          <w:iCs/>
          <w:szCs w:val="22"/>
          <w:lang w:val="lt-LT" w:eastAsia="x-none"/>
        </w:rPr>
      </w:pPr>
    </w:p>
    <w:p w14:paraId="0E8E431C" w14:textId="77777777" w:rsidR="0052346D" w:rsidRDefault="0052346D">
      <w:pPr>
        <w:keepNext/>
        <w:spacing w:line="240" w:lineRule="auto"/>
        <w:jc w:val="center"/>
        <w:outlineLvl w:val="1"/>
        <w:rPr>
          <w:b/>
          <w:bCs/>
          <w:iCs/>
          <w:szCs w:val="22"/>
          <w:lang w:val="lt-LT" w:eastAsia="x-none"/>
        </w:rPr>
      </w:pPr>
    </w:p>
    <w:p w14:paraId="02B137A2" w14:textId="77777777" w:rsidR="0052346D" w:rsidRDefault="0052346D">
      <w:pPr>
        <w:keepNext/>
        <w:spacing w:line="240" w:lineRule="auto"/>
        <w:jc w:val="center"/>
        <w:outlineLvl w:val="1"/>
        <w:rPr>
          <w:b/>
          <w:bCs/>
          <w:iCs/>
          <w:szCs w:val="22"/>
          <w:lang w:val="lt-LT" w:eastAsia="x-none"/>
        </w:rPr>
      </w:pPr>
    </w:p>
    <w:p w14:paraId="63AFE6A4" w14:textId="77777777" w:rsidR="0052346D" w:rsidRDefault="0052346D">
      <w:pPr>
        <w:keepNext/>
        <w:spacing w:line="240" w:lineRule="auto"/>
        <w:jc w:val="center"/>
        <w:outlineLvl w:val="1"/>
        <w:rPr>
          <w:b/>
          <w:bCs/>
          <w:iCs/>
          <w:szCs w:val="22"/>
          <w:lang w:val="lt-LT" w:eastAsia="x-none"/>
        </w:rPr>
      </w:pPr>
    </w:p>
    <w:p w14:paraId="6E300289" w14:textId="77777777" w:rsidR="0052346D" w:rsidRDefault="0052346D">
      <w:pPr>
        <w:keepNext/>
        <w:spacing w:line="240" w:lineRule="auto"/>
        <w:jc w:val="center"/>
        <w:outlineLvl w:val="1"/>
        <w:rPr>
          <w:b/>
          <w:bCs/>
          <w:iCs/>
          <w:szCs w:val="22"/>
          <w:lang w:val="lt-LT" w:eastAsia="x-none"/>
        </w:rPr>
      </w:pPr>
    </w:p>
    <w:p w14:paraId="42DE3443" w14:textId="77777777" w:rsidR="0052346D" w:rsidRDefault="0052346D">
      <w:pPr>
        <w:keepNext/>
        <w:spacing w:line="240" w:lineRule="auto"/>
        <w:jc w:val="center"/>
        <w:outlineLvl w:val="1"/>
        <w:rPr>
          <w:b/>
          <w:bCs/>
          <w:iCs/>
          <w:szCs w:val="22"/>
          <w:lang w:val="lt-LT" w:eastAsia="x-none"/>
        </w:rPr>
      </w:pPr>
    </w:p>
    <w:p w14:paraId="6187B6CB" w14:textId="77777777" w:rsidR="0052346D" w:rsidRDefault="0052346D">
      <w:pPr>
        <w:keepNext/>
        <w:spacing w:line="240" w:lineRule="auto"/>
        <w:jc w:val="center"/>
        <w:outlineLvl w:val="1"/>
        <w:rPr>
          <w:b/>
          <w:bCs/>
          <w:iCs/>
          <w:szCs w:val="22"/>
          <w:lang w:val="lt-LT" w:eastAsia="x-none"/>
        </w:rPr>
      </w:pPr>
    </w:p>
    <w:p w14:paraId="2E7C7C63" w14:textId="77777777" w:rsidR="0052346D" w:rsidRDefault="0052346D">
      <w:pPr>
        <w:keepNext/>
        <w:spacing w:line="240" w:lineRule="auto"/>
        <w:jc w:val="center"/>
        <w:outlineLvl w:val="1"/>
        <w:rPr>
          <w:b/>
          <w:bCs/>
          <w:iCs/>
          <w:szCs w:val="22"/>
          <w:lang w:val="lt-LT" w:eastAsia="x-none"/>
        </w:rPr>
      </w:pPr>
    </w:p>
    <w:p w14:paraId="78BCB85B" w14:textId="77777777" w:rsidR="0052346D" w:rsidRDefault="0052346D">
      <w:pPr>
        <w:keepNext/>
        <w:spacing w:line="240" w:lineRule="auto"/>
        <w:jc w:val="center"/>
        <w:outlineLvl w:val="1"/>
        <w:rPr>
          <w:b/>
          <w:bCs/>
          <w:iCs/>
          <w:szCs w:val="22"/>
          <w:lang w:val="lt-LT" w:eastAsia="x-none"/>
        </w:rPr>
      </w:pPr>
    </w:p>
    <w:p w14:paraId="7AF96574" w14:textId="77777777" w:rsidR="0052346D" w:rsidRDefault="0052346D">
      <w:pPr>
        <w:keepNext/>
        <w:spacing w:line="240" w:lineRule="auto"/>
        <w:jc w:val="center"/>
        <w:outlineLvl w:val="1"/>
        <w:rPr>
          <w:b/>
          <w:bCs/>
          <w:iCs/>
          <w:szCs w:val="22"/>
          <w:lang w:val="lt-LT" w:eastAsia="x-none"/>
        </w:rPr>
      </w:pPr>
    </w:p>
    <w:p w14:paraId="4CB610A5" w14:textId="77777777" w:rsidR="0052346D" w:rsidRDefault="0052346D">
      <w:pPr>
        <w:keepNext/>
        <w:spacing w:line="240" w:lineRule="auto"/>
        <w:jc w:val="center"/>
        <w:outlineLvl w:val="1"/>
        <w:rPr>
          <w:b/>
          <w:bCs/>
          <w:iCs/>
          <w:szCs w:val="22"/>
          <w:lang w:val="lt-LT" w:eastAsia="x-none"/>
        </w:rPr>
      </w:pPr>
    </w:p>
    <w:p w14:paraId="7FA96D5E" w14:textId="77777777" w:rsidR="0052346D" w:rsidRDefault="0052346D">
      <w:pPr>
        <w:keepNext/>
        <w:spacing w:line="240" w:lineRule="auto"/>
        <w:jc w:val="center"/>
        <w:outlineLvl w:val="1"/>
        <w:rPr>
          <w:b/>
          <w:bCs/>
          <w:iCs/>
          <w:szCs w:val="22"/>
          <w:lang w:val="lt-LT" w:eastAsia="x-none"/>
        </w:rPr>
      </w:pPr>
    </w:p>
    <w:p w14:paraId="21D5B0C7" w14:textId="77777777" w:rsidR="0052346D" w:rsidRDefault="0052346D">
      <w:pPr>
        <w:keepNext/>
        <w:spacing w:line="240" w:lineRule="auto"/>
        <w:jc w:val="center"/>
        <w:outlineLvl w:val="1"/>
        <w:rPr>
          <w:b/>
          <w:bCs/>
          <w:iCs/>
          <w:szCs w:val="22"/>
          <w:lang w:val="lt-LT" w:eastAsia="x-none"/>
        </w:rPr>
      </w:pPr>
    </w:p>
    <w:p w14:paraId="1DEB7F10" w14:textId="77777777" w:rsidR="0052346D" w:rsidRDefault="0052346D">
      <w:pPr>
        <w:keepNext/>
        <w:spacing w:line="240" w:lineRule="auto"/>
        <w:jc w:val="center"/>
        <w:outlineLvl w:val="1"/>
        <w:rPr>
          <w:b/>
          <w:bCs/>
          <w:iCs/>
          <w:szCs w:val="22"/>
          <w:lang w:val="lt-LT" w:eastAsia="x-none"/>
        </w:rPr>
      </w:pPr>
    </w:p>
    <w:p w14:paraId="6E764833" w14:textId="77777777" w:rsidR="0052346D" w:rsidRDefault="0052346D">
      <w:pPr>
        <w:keepNext/>
        <w:spacing w:line="240" w:lineRule="auto"/>
        <w:jc w:val="center"/>
        <w:outlineLvl w:val="1"/>
        <w:rPr>
          <w:b/>
          <w:bCs/>
          <w:iCs/>
          <w:szCs w:val="22"/>
          <w:lang w:val="lt-LT" w:eastAsia="x-none"/>
        </w:rPr>
      </w:pPr>
    </w:p>
    <w:p w14:paraId="4ABCBFFE" w14:textId="77777777" w:rsidR="0052346D" w:rsidRDefault="0052346D">
      <w:pPr>
        <w:keepNext/>
        <w:spacing w:line="240" w:lineRule="auto"/>
        <w:jc w:val="center"/>
        <w:outlineLvl w:val="1"/>
        <w:rPr>
          <w:b/>
          <w:bCs/>
          <w:iCs/>
          <w:szCs w:val="22"/>
          <w:lang w:val="lt-LT" w:eastAsia="x-none"/>
        </w:rPr>
      </w:pPr>
    </w:p>
    <w:p w14:paraId="461E49AA" w14:textId="77777777" w:rsidR="0052346D" w:rsidRDefault="0052346D">
      <w:pPr>
        <w:keepNext/>
        <w:spacing w:line="240" w:lineRule="auto"/>
        <w:jc w:val="center"/>
        <w:outlineLvl w:val="1"/>
        <w:rPr>
          <w:b/>
          <w:bCs/>
          <w:iCs/>
          <w:szCs w:val="22"/>
          <w:lang w:val="lt-LT" w:eastAsia="x-none"/>
        </w:rPr>
      </w:pPr>
    </w:p>
    <w:p w14:paraId="12FCE929" w14:textId="77777777" w:rsidR="0052346D" w:rsidRDefault="0052346D">
      <w:pPr>
        <w:keepNext/>
        <w:spacing w:line="240" w:lineRule="auto"/>
        <w:jc w:val="center"/>
        <w:outlineLvl w:val="1"/>
        <w:rPr>
          <w:b/>
          <w:bCs/>
          <w:iCs/>
          <w:szCs w:val="22"/>
          <w:lang w:val="lt-LT" w:eastAsia="x-none"/>
        </w:rPr>
      </w:pPr>
    </w:p>
    <w:p w14:paraId="0B897AAD" w14:textId="77777777" w:rsidR="0052346D" w:rsidRDefault="0052346D">
      <w:pPr>
        <w:keepNext/>
        <w:spacing w:line="240" w:lineRule="auto"/>
        <w:jc w:val="center"/>
        <w:outlineLvl w:val="1"/>
        <w:rPr>
          <w:b/>
          <w:bCs/>
          <w:iCs/>
          <w:szCs w:val="22"/>
          <w:lang w:val="lt-LT" w:eastAsia="x-none"/>
        </w:rPr>
      </w:pPr>
    </w:p>
    <w:p w14:paraId="3433FBD7" w14:textId="77777777" w:rsidR="0052346D" w:rsidRDefault="0052346D">
      <w:pPr>
        <w:keepNext/>
        <w:spacing w:line="240" w:lineRule="auto"/>
        <w:jc w:val="center"/>
        <w:outlineLvl w:val="1"/>
        <w:rPr>
          <w:b/>
          <w:bCs/>
          <w:iCs/>
          <w:szCs w:val="22"/>
          <w:lang w:val="lt-LT" w:eastAsia="x-none"/>
        </w:rPr>
      </w:pPr>
    </w:p>
    <w:p w14:paraId="49513B66" w14:textId="77777777" w:rsidR="0052346D" w:rsidRDefault="0052346D">
      <w:pPr>
        <w:keepNext/>
        <w:spacing w:line="240" w:lineRule="auto"/>
        <w:jc w:val="center"/>
        <w:outlineLvl w:val="1"/>
        <w:rPr>
          <w:b/>
          <w:bCs/>
          <w:iCs/>
          <w:szCs w:val="22"/>
          <w:lang w:val="lt-LT" w:eastAsia="x-none"/>
        </w:rPr>
      </w:pPr>
    </w:p>
    <w:p w14:paraId="4C609F28" w14:textId="77777777" w:rsidR="0052346D" w:rsidRDefault="0052346D">
      <w:pPr>
        <w:keepNext/>
        <w:spacing w:line="240" w:lineRule="auto"/>
        <w:jc w:val="center"/>
        <w:outlineLvl w:val="1"/>
        <w:rPr>
          <w:b/>
          <w:bCs/>
          <w:iCs/>
          <w:szCs w:val="22"/>
          <w:lang w:val="lt-LT" w:eastAsia="x-none"/>
        </w:rPr>
      </w:pPr>
    </w:p>
    <w:p w14:paraId="31C698F9" w14:textId="77777777" w:rsidR="0052346D" w:rsidRDefault="0052346D">
      <w:pPr>
        <w:keepNext/>
        <w:spacing w:line="240" w:lineRule="auto"/>
        <w:jc w:val="center"/>
        <w:outlineLvl w:val="1"/>
        <w:rPr>
          <w:b/>
          <w:bCs/>
          <w:iCs/>
          <w:szCs w:val="22"/>
          <w:lang w:val="lt-LT" w:eastAsia="x-none"/>
        </w:rPr>
      </w:pPr>
    </w:p>
    <w:p w14:paraId="2AE76153" w14:textId="77777777" w:rsidR="0052346D" w:rsidRDefault="0052346D">
      <w:pPr>
        <w:jc w:val="center"/>
        <w:rPr>
          <w:b/>
          <w:szCs w:val="22"/>
          <w:lang w:val="lt-LT"/>
        </w:rPr>
      </w:pPr>
    </w:p>
    <w:p w14:paraId="098D70F7" w14:textId="77777777" w:rsidR="0052346D" w:rsidRDefault="005A1771">
      <w:pPr>
        <w:jc w:val="center"/>
        <w:rPr>
          <w:b/>
          <w:szCs w:val="22"/>
          <w:lang w:val="lt-LT"/>
        </w:rPr>
      </w:pPr>
      <w:r>
        <w:rPr>
          <w:b/>
          <w:szCs w:val="22"/>
          <w:lang w:val="lt-LT"/>
        </w:rPr>
        <w:t>II PRIEDAS</w:t>
      </w:r>
    </w:p>
    <w:p w14:paraId="123375F8" w14:textId="77777777" w:rsidR="0052346D" w:rsidRDefault="0052346D">
      <w:pPr>
        <w:ind w:left="1701" w:right="1416" w:hanging="567"/>
        <w:rPr>
          <w:szCs w:val="22"/>
          <w:lang w:val="lt-LT"/>
        </w:rPr>
      </w:pPr>
    </w:p>
    <w:p w14:paraId="5B417472" w14:textId="77777777" w:rsidR="0052346D" w:rsidRDefault="005A1771">
      <w:pPr>
        <w:jc w:val="center"/>
        <w:rPr>
          <w:i/>
          <w:szCs w:val="22"/>
          <w:lang w:val="lt-LT"/>
        </w:rPr>
      </w:pPr>
      <w:r>
        <w:rPr>
          <w:b/>
          <w:szCs w:val="22"/>
          <w:lang w:val="lt-LT"/>
        </w:rPr>
        <w:t>REGISTRACIJOS SĄLYGOS</w:t>
      </w:r>
    </w:p>
    <w:p w14:paraId="791D32F2" w14:textId="77777777" w:rsidR="0052346D" w:rsidRDefault="0052346D">
      <w:pPr>
        <w:rPr>
          <w:szCs w:val="22"/>
          <w:lang w:val="lt-LT"/>
        </w:rPr>
      </w:pPr>
    </w:p>
    <w:p w14:paraId="70385F94" w14:textId="77777777" w:rsidR="0052346D" w:rsidRDefault="005A1771">
      <w:pPr>
        <w:tabs>
          <w:tab w:val="clear" w:pos="567"/>
          <w:tab w:val="left" w:pos="1701"/>
        </w:tabs>
        <w:ind w:left="1701" w:right="567" w:hanging="567"/>
        <w:rPr>
          <w:b/>
          <w:noProof/>
          <w:szCs w:val="22"/>
          <w:lang w:val="lt-LT"/>
        </w:rPr>
      </w:pPr>
      <w:r>
        <w:rPr>
          <w:b/>
          <w:noProof/>
          <w:szCs w:val="22"/>
          <w:lang w:val="lt-LT"/>
        </w:rPr>
        <w:t>A.</w:t>
      </w:r>
      <w:r>
        <w:rPr>
          <w:b/>
          <w:noProof/>
          <w:szCs w:val="22"/>
          <w:lang w:val="lt-LT"/>
        </w:rPr>
        <w:tab/>
        <w:t>GAMINTOJAS (-AI), ATSAKINGAS (-I) UŽ SERIJŲ IŠLEIDIMĄ</w:t>
      </w:r>
    </w:p>
    <w:p w14:paraId="3DB79FBC" w14:textId="77777777" w:rsidR="0052346D" w:rsidRDefault="0052346D">
      <w:pPr>
        <w:tabs>
          <w:tab w:val="clear" w:pos="567"/>
          <w:tab w:val="left" w:pos="1701"/>
        </w:tabs>
        <w:ind w:left="567" w:right="567" w:hanging="567"/>
        <w:rPr>
          <w:noProof/>
          <w:szCs w:val="22"/>
          <w:lang w:val="lt-LT"/>
        </w:rPr>
      </w:pPr>
    </w:p>
    <w:p w14:paraId="4877C996" w14:textId="77777777" w:rsidR="0052346D" w:rsidRDefault="005A1771">
      <w:pPr>
        <w:tabs>
          <w:tab w:val="clear" w:pos="567"/>
          <w:tab w:val="left" w:pos="1701"/>
        </w:tabs>
        <w:ind w:left="1701" w:right="567" w:hanging="567"/>
        <w:rPr>
          <w:b/>
          <w:szCs w:val="22"/>
          <w:lang w:val="lt-LT"/>
        </w:rPr>
      </w:pPr>
      <w:r>
        <w:rPr>
          <w:b/>
          <w:szCs w:val="22"/>
          <w:lang w:val="lt-LT"/>
        </w:rPr>
        <w:t>B.</w:t>
      </w:r>
      <w:r>
        <w:rPr>
          <w:b/>
          <w:szCs w:val="22"/>
          <w:lang w:val="lt-LT"/>
        </w:rPr>
        <w:tab/>
        <w:t>TIEKIMO IR VARTOJIMO SĄLYGOS AR APRIBOJIMAI</w:t>
      </w:r>
    </w:p>
    <w:p w14:paraId="367D549D" w14:textId="77777777" w:rsidR="0052346D" w:rsidRDefault="005A1771">
      <w:pPr>
        <w:tabs>
          <w:tab w:val="clear" w:pos="567"/>
        </w:tabs>
        <w:spacing w:line="240" w:lineRule="auto"/>
        <w:outlineLvl w:val="0"/>
        <w:rPr>
          <w:b/>
          <w:noProof/>
          <w:snapToGrid/>
          <w:szCs w:val="22"/>
          <w:lang w:val="lt-LT"/>
        </w:rPr>
      </w:pPr>
      <w:r>
        <w:rPr>
          <w:b/>
          <w:noProof/>
          <w:snapToGrid/>
          <w:szCs w:val="22"/>
          <w:lang w:val="lt-LT"/>
        </w:rPr>
        <w:br w:type="page"/>
      </w:r>
    </w:p>
    <w:p w14:paraId="0123CBB4" w14:textId="77777777" w:rsidR="0052346D" w:rsidRDefault="005A1771">
      <w:pPr>
        <w:rPr>
          <w:b/>
          <w:szCs w:val="22"/>
          <w:lang w:val="lt-LT"/>
        </w:rPr>
      </w:pPr>
      <w:r>
        <w:rPr>
          <w:b/>
          <w:szCs w:val="22"/>
          <w:lang w:val="lt-LT"/>
        </w:rPr>
        <w:lastRenderedPageBreak/>
        <w:t>A.</w:t>
      </w:r>
      <w:r>
        <w:rPr>
          <w:b/>
          <w:szCs w:val="22"/>
          <w:lang w:val="lt-LT"/>
        </w:rPr>
        <w:tab/>
        <w:t>GAMINTOJAI, ATSAKINGI UŽ SERIJŲ IŠLEIDIMĄ</w:t>
      </w:r>
    </w:p>
    <w:p w14:paraId="554A6280" w14:textId="77777777" w:rsidR="0052346D" w:rsidRDefault="0052346D">
      <w:pPr>
        <w:rPr>
          <w:szCs w:val="22"/>
          <w:lang w:val="lt-LT"/>
        </w:rPr>
      </w:pPr>
    </w:p>
    <w:p w14:paraId="21B1A57D" w14:textId="77777777" w:rsidR="0052346D" w:rsidRDefault="005A1771">
      <w:pPr>
        <w:spacing w:line="240" w:lineRule="auto"/>
        <w:jc w:val="both"/>
        <w:rPr>
          <w:szCs w:val="22"/>
          <w:lang w:val="lt-LT"/>
        </w:rPr>
      </w:pPr>
      <w:r>
        <w:rPr>
          <w:noProof/>
          <w:szCs w:val="22"/>
          <w:u w:val="single"/>
          <w:lang w:val="lt-LT"/>
        </w:rPr>
        <w:t>Gamintojų, atsakingų už serijų išleidimą, pavadinimai ir adresai</w:t>
      </w:r>
    </w:p>
    <w:p w14:paraId="37267B4F" w14:textId="77777777" w:rsidR="0052346D" w:rsidRDefault="0052346D">
      <w:pPr>
        <w:rPr>
          <w:szCs w:val="22"/>
          <w:lang w:val="lt-LT"/>
        </w:rPr>
      </w:pPr>
    </w:p>
    <w:p w14:paraId="5A5569CD" w14:textId="77777777" w:rsidR="0052346D" w:rsidRDefault="005A1771">
      <w:pPr>
        <w:widowControl w:val="0"/>
        <w:spacing w:line="240" w:lineRule="auto"/>
        <w:rPr>
          <w:snapToGrid/>
          <w:szCs w:val="22"/>
          <w:lang w:val="lt-LT" w:eastAsia="sl-SI"/>
        </w:rPr>
      </w:pPr>
      <w:r>
        <w:rPr>
          <w:snapToGrid/>
          <w:szCs w:val="22"/>
          <w:lang w:val="lt-LT" w:eastAsia="sl-SI"/>
        </w:rPr>
        <w:t>KRKA, d.d., Novo mesto</w:t>
      </w:r>
    </w:p>
    <w:p w14:paraId="19C8D117" w14:textId="77777777" w:rsidR="0052346D" w:rsidRDefault="005A1771">
      <w:pPr>
        <w:widowControl w:val="0"/>
        <w:spacing w:line="240" w:lineRule="auto"/>
        <w:rPr>
          <w:snapToGrid/>
          <w:szCs w:val="22"/>
          <w:lang w:val="lt-LT" w:eastAsia="sl-SI"/>
        </w:rPr>
      </w:pPr>
      <w:r>
        <w:rPr>
          <w:snapToGrid/>
          <w:szCs w:val="22"/>
          <w:lang w:val="lt-LT" w:eastAsia="sl-SI"/>
        </w:rPr>
        <w:t>Šmarješka cesta 6</w:t>
      </w:r>
    </w:p>
    <w:p w14:paraId="480A1D3F" w14:textId="77777777" w:rsidR="0052346D" w:rsidRDefault="005A1771">
      <w:pPr>
        <w:widowControl w:val="0"/>
        <w:spacing w:line="240" w:lineRule="auto"/>
        <w:rPr>
          <w:snapToGrid/>
          <w:szCs w:val="22"/>
          <w:lang w:val="lt-LT" w:eastAsia="sl-SI"/>
        </w:rPr>
      </w:pPr>
      <w:r>
        <w:rPr>
          <w:snapToGrid/>
          <w:szCs w:val="22"/>
          <w:lang w:val="lt-LT" w:eastAsia="sl-SI"/>
        </w:rPr>
        <w:t>8501 Novo mesto</w:t>
      </w:r>
    </w:p>
    <w:p w14:paraId="4710D513" w14:textId="77777777" w:rsidR="0052346D" w:rsidRDefault="005A1771">
      <w:pPr>
        <w:widowControl w:val="0"/>
        <w:spacing w:line="240" w:lineRule="auto"/>
        <w:rPr>
          <w:snapToGrid/>
          <w:szCs w:val="22"/>
          <w:lang w:val="lt-LT" w:eastAsia="sl-SI"/>
        </w:rPr>
      </w:pPr>
      <w:r>
        <w:rPr>
          <w:snapToGrid/>
          <w:szCs w:val="22"/>
          <w:lang w:val="lt-LT" w:eastAsia="sl-SI"/>
        </w:rPr>
        <w:t>Slovėnija</w:t>
      </w:r>
    </w:p>
    <w:p w14:paraId="6BCB15E9" w14:textId="77777777" w:rsidR="0052346D" w:rsidRDefault="0052346D">
      <w:pPr>
        <w:widowControl w:val="0"/>
        <w:tabs>
          <w:tab w:val="clear" w:pos="567"/>
        </w:tabs>
        <w:spacing w:line="240" w:lineRule="auto"/>
        <w:rPr>
          <w:snapToGrid/>
          <w:szCs w:val="22"/>
          <w:lang w:val="lt-LT"/>
        </w:rPr>
      </w:pPr>
    </w:p>
    <w:p w14:paraId="69148DF1" w14:textId="77777777" w:rsidR="0052346D" w:rsidRDefault="005A1771">
      <w:pPr>
        <w:widowControl w:val="0"/>
        <w:tabs>
          <w:tab w:val="clear" w:pos="567"/>
        </w:tabs>
        <w:spacing w:line="240" w:lineRule="auto"/>
        <w:rPr>
          <w:snapToGrid/>
          <w:szCs w:val="22"/>
          <w:lang w:val="lt-LT"/>
        </w:rPr>
      </w:pPr>
      <w:r>
        <w:rPr>
          <w:snapToGrid/>
          <w:szCs w:val="22"/>
          <w:lang w:val="lt-LT"/>
        </w:rPr>
        <w:t>arba</w:t>
      </w:r>
    </w:p>
    <w:p w14:paraId="549651F5" w14:textId="77777777" w:rsidR="0052346D" w:rsidRDefault="0052346D">
      <w:pPr>
        <w:widowControl w:val="0"/>
        <w:tabs>
          <w:tab w:val="clear" w:pos="567"/>
        </w:tabs>
        <w:spacing w:line="240" w:lineRule="auto"/>
        <w:rPr>
          <w:snapToGrid/>
          <w:szCs w:val="22"/>
          <w:lang w:val="lt-LT"/>
        </w:rPr>
      </w:pPr>
    </w:p>
    <w:p w14:paraId="25D30410" w14:textId="77777777" w:rsidR="0052346D" w:rsidRDefault="005A1771">
      <w:pPr>
        <w:tabs>
          <w:tab w:val="clear" w:pos="567"/>
        </w:tabs>
        <w:autoSpaceDE w:val="0"/>
        <w:autoSpaceDN w:val="0"/>
        <w:adjustRightInd w:val="0"/>
        <w:spacing w:line="240" w:lineRule="auto"/>
        <w:rPr>
          <w:rFonts w:eastAsia="Calibri"/>
          <w:snapToGrid/>
          <w:szCs w:val="22"/>
          <w:lang w:val="lt-LT" w:eastAsia="lt-LT"/>
        </w:rPr>
      </w:pPr>
      <w:r>
        <w:rPr>
          <w:rFonts w:eastAsia="Calibri"/>
          <w:snapToGrid/>
          <w:szCs w:val="22"/>
          <w:lang w:val="lt-LT" w:eastAsia="lt-LT"/>
        </w:rPr>
        <w:t>KRKA, d.d., Novo mesto</w:t>
      </w:r>
    </w:p>
    <w:p w14:paraId="2B4FAE68" w14:textId="77777777" w:rsidR="0052346D" w:rsidRDefault="005A1771">
      <w:pPr>
        <w:tabs>
          <w:tab w:val="clear" w:pos="567"/>
        </w:tabs>
        <w:autoSpaceDE w:val="0"/>
        <w:autoSpaceDN w:val="0"/>
        <w:adjustRightInd w:val="0"/>
        <w:spacing w:line="240" w:lineRule="auto"/>
        <w:rPr>
          <w:rFonts w:eastAsia="Calibri"/>
          <w:snapToGrid/>
          <w:szCs w:val="22"/>
          <w:lang w:val="lt-LT" w:eastAsia="lt-LT"/>
        </w:rPr>
      </w:pPr>
      <w:r>
        <w:rPr>
          <w:rFonts w:eastAsia="Calibri"/>
          <w:snapToGrid/>
          <w:szCs w:val="22"/>
          <w:lang w:val="lt-LT" w:eastAsia="lt-LT"/>
        </w:rPr>
        <w:t>Ulica Rada Pušenjaka 10</w:t>
      </w:r>
    </w:p>
    <w:p w14:paraId="2AE2A865" w14:textId="77777777" w:rsidR="0052346D" w:rsidRDefault="005A1771">
      <w:pPr>
        <w:tabs>
          <w:tab w:val="clear" w:pos="567"/>
        </w:tabs>
        <w:autoSpaceDE w:val="0"/>
        <w:autoSpaceDN w:val="0"/>
        <w:adjustRightInd w:val="0"/>
        <w:spacing w:line="240" w:lineRule="auto"/>
        <w:rPr>
          <w:rFonts w:eastAsia="Calibri"/>
          <w:snapToGrid/>
          <w:szCs w:val="22"/>
          <w:lang w:val="lt-LT" w:eastAsia="lt-LT"/>
        </w:rPr>
      </w:pPr>
      <w:r>
        <w:rPr>
          <w:rFonts w:eastAsia="Calibri"/>
          <w:snapToGrid/>
          <w:szCs w:val="22"/>
          <w:lang w:val="lt-LT" w:eastAsia="lt-LT"/>
        </w:rPr>
        <w:t>9240 Ljutomer</w:t>
      </w:r>
    </w:p>
    <w:p w14:paraId="5462F1A6" w14:textId="77777777" w:rsidR="0052346D" w:rsidRDefault="005A1771">
      <w:pPr>
        <w:widowControl w:val="0"/>
        <w:tabs>
          <w:tab w:val="clear" w:pos="567"/>
        </w:tabs>
        <w:spacing w:line="240" w:lineRule="auto"/>
        <w:rPr>
          <w:rFonts w:eastAsia="Calibri"/>
          <w:snapToGrid/>
          <w:szCs w:val="22"/>
          <w:lang w:val="lt-LT" w:eastAsia="lt-LT"/>
        </w:rPr>
      </w:pPr>
      <w:r>
        <w:rPr>
          <w:rFonts w:eastAsia="Calibri"/>
          <w:snapToGrid/>
          <w:szCs w:val="22"/>
          <w:lang w:val="lt-LT" w:eastAsia="lt-LT"/>
        </w:rPr>
        <w:t>Slovėnija</w:t>
      </w:r>
    </w:p>
    <w:p w14:paraId="72DD47AA" w14:textId="77777777" w:rsidR="0052346D" w:rsidRDefault="0052346D">
      <w:pPr>
        <w:widowControl w:val="0"/>
        <w:tabs>
          <w:tab w:val="clear" w:pos="567"/>
        </w:tabs>
        <w:spacing w:line="240" w:lineRule="auto"/>
        <w:rPr>
          <w:rFonts w:eastAsia="Calibri"/>
          <w:snapToGrid/>
          <w:szCs w:val="22"/>
          <w:lang w:val="lt-LT" w:eastAsia="lt-LT"/>
        </w:rPr>
      </w:pPr>
    </w:p>
    <w:p w14:paraId="2E134736" w14:textId="77777777" w:rsidR="0052346D" w:rsidRDefault="005A1771">
      <w:pPr>
        <w:widowControl w:val="0"/>
        <w:tabs>
          <w:tab w:val="clear" w:pos="567"/>
        </w:tabs>
        <w:spacing w:line="240" w:lineRule="auto"/>
        <w:rPr>
          <w:rFonts w:eastAsia="Calibri"/>
          <w:snapToGrid/>
          <w:szCs w:val="22"/>
          <w:lang w:val="lt-LT" w:eastAsia="lt-LT"/>
        </w:rPr>
      </w:pPr>
      <w:r>
        <w:rPr>
          <w:rFonts w:eastAsia="Calibri"/>
          <w:snapToGrid/>
          <w:szCs w:val="22"/>
          <w:lang w:val="lt-LT" w:eastAsia="lt-LT"/>
        </w:rPr>
        <w:t>arba</w:t>
      </w:r>
    </w:p>
    <w:p w14:paraId="349F9F3C" w14:textId="77777777" w:rsidR="0052346D" w:rsidRDefault="0052346D">
      <w:pPr>
        <w:widowControl w:val="0"/>
        <w:tabs>
          <w:tab w:val="clear" w:pos="567"/>
        </w:tabs>
        <w:spacing w:line="240" w:lineRule="auto"/>
        <w:rPr>
          <w:snapToGrid/>
          <w:szCs w:val="22"/>
          <w:lang w:val="lt-LT"/>
        </w:rPr>
      </w:pPr>
    </w:p>
    <w:p w14:paraId="6AAC989C" w14:textId="77777777" w:rsidR="0052346D" w:rsidRDefault="005A1771">
      <w:pPr>
        <w:widowControl w:val="0"/>
        <w:numPr>
          <w:ilvl w:val="12"/>
          <w:numId w:val="0"/>
        </w:numPr>
        <w:spacing w:line="240" w:lineRule="auto"/>
        <w:ind w:right="-2"/>
        <w:rPr>
          <w:snapToGrid/>
          <w:szCs w:val="22"/>
          <w:lang w:val="lt-LT" w:eastAsia="sl-SI"/>
        </w:rPr>
      </w:pPr>
      <w:r>
        <w:rPr>
          <w:snapToGrid/>
          <w:szCs w:val="22"/>
          <w:lang w:val="lt-LT" w:eastAsia="sl-SI"/>
        </w:rPr>
        <w:t>TAD Pharma GmbH</w:t>
      </w:r>
    </w:p>
    <w:p w14:paraId="7A679460" w14:textId="77777777" w:rsidR="0052346D" w:rsidRDefault="005A1771">
      <w:pPr>
        <w:widowControl w:val="0"/>
        <w:numPr>
          <w:ilvl w:val="12"/>
          <w:numId w:val="0"/>
        </w:numPr>
        <w:spacing w:line="240" w:lineRule="auto"/>
        <w:ind w:right="-2"/>
        <w:rPr>
          <w:snapToGrid/>
          <w:szCs w:val="22"/>
          <w:lang w:val="lt-LT" w:eastAsia="sl-SI"/>
        </w:rPr>
      </w:pPr>
      <w:r>
        <w:rPr>
          <w:snapToGrid/>
          <w:szCs w:val="22"/>
          <w:lang w:val="lt-LT" w:eastAsia="sl-SI"/>
        </w:rPr>
        <w:t>Heinz-Lohmann-Straße 5</w:t>
      </w:r>
    </w:p>
    <w:p w14:paraId="72B422CE" w14:textId="77777777" w:rsidR="0052346D" w:rsidRDefault="005A1771">
      <w:pPr>
        <w:widowControl w:val="0"/>
        <w:spacing w:line="240" w:lineRule="auto"/>
        <w:rPr>
          <w:snapToGrid/>
          <w:szCs w:val="22"/>
          <w:lang w:val="lt-LT" w:eastAsia="sl-SI"/>
        </w:rPr>
      </w:pPr>
      <w:r>
        <w:rPr>
          <w:snapToGrid/>
          <w:szCs w:val="22"/>
          <w:lang w:val="lt-LT" w:eastAsia="sl-SI"/>
        </w:rPr>
        <w:t>27472 Cuxhaven</w:t>
      </w:r>
    </w:p>
    <w:p w14:paraId="03A82377" w14:textId="77777777" w:rsidR="0052346D" w:rsidRDefault="005A1771">
      <w:pPr>
        <w:widowControl w:val="0"/>
        <w:spacing w:line="240" w:lineRule="auto"/>
        <w:rPr>
          <w:snapToGrid/>
          <w:szCs w:val="22"/>
          <w:lang w:val="lt-LT" w:eastAsia="sl-SI"/>
        </w:rPr>
      </w:pPr>
      <w:r>
        <w:rPr>
          <w:snapToGrid/>
          <w:szCs w:val="22"/>
          <w:lang w:val="lt-LT" w:eastAsia="sl-SI"/>
        </w:rPr>
        <w:t>Vokietija</w:t>
      </w:r>
    </w:p>
    <w:p w14:paraId="64652BA0" w14:textId="77777777" w:rsidR="0052346D" w:rsidRDefault="0052346D">
      <w:pPr>
        <w:rPr>
          <w:szCs w:val="22"/>
          <w:lang w:val="lt-LT"/>
        </w:rPr>
      </w:pPr>
    </w:p>
    <w:p w14:paraId="18477716" w14:textId="77777777" w:rsidR="0052346D" w:rsidRDefault="0052346D">
      <w:pPr>
        <w:rPr>
          <w:szCs w:val="22"/>
          <w:lang w:val="lt-LT"/>
        </w:rPr>
      </w:pPr>
    </w:p>
    <w:p w14:paraId="08B0584B" w14:textId="77777777" w:rsidR="0052346D" w:rsidRDefault="005A1771">
      <w:pPr>
        <w:widowControl w:val="0"/>
        <w:spacing w:line="240" w:lineRule="auto"/>
        <w:rPr>
          <w:snapToGrid/>
          <w:szCs w:val="22"/>
          <w:lang w:val="lt-LT" w:eastAsia="sl-SI"/>
        </w:rPr>
      </w:pPr>
      <w:r>
        <w:rPr>
          <w:snapToGrid/>
          <w:szCs w:val="22"/>
          <w:lang w:val="lt-LT" w:eastAsia="sl-SI"/>
        </w:rPr>
        <w:t>Su pakuote pateikiamame lapelyje nurodomas gamintojo, atsakingo už konkrečios serijos išleidimą, pavadinimas ir adresas.</w:t>
      </w:r>
    </w:p>
    <w:p w14:paraId="7037EBCB" w14:textId="77777777" w:rsidR="0052346D" w:rsidRDefault="0052346D">
      <w:pPr>
        <w:rPr>
          <w:szCs w:val="22"/>
          <w:lang w:val="lt-LT"/>
        </w:rPr>
      </w:pPr>
    </w:p>
    <w:p w14:paraId="2C5DAD94" w14:textId="77777777" w:rsidR="0052346D" w:rsidRDefault="0052346D">
      <w:pPr>
        <w:rPr>
          <w:szCs w:val="22"/>
          <w:lang w:val="lt-LT"/>
        </w:rPr>
      </w:pPr>
    </w:p>
    <w:p w14:paraId="20D8D0B9" w14:textId="77777777" w:rsidR="0052346D" w:rsidRDefault="005A1771">
      <w:pPr>
        <w:spacing w:line="240" w:lineRule="auto"/>
        <w:ind w:left="567" w:hanging="567"/>
        <w:rPr>
          <w:szCs w:val="22"/>
          <w:lang w:val="lt-LT"/>
        </w:rPr>
      </w:pPr>
      <w:r>
        <w:rPr>
          <w:b/>
          <w:noProof/>
          <w:szCs w:val="22"/>
          <w:lang w:val="lt-LT"/>
        </w:rPr>
        <w:t>B.</w:t>
      </w:r>
      <w:r>
        <w:rPr>
          <w:b/>
          <w:szCs w:val="22"/>
          <w:lang w:val="lt-LT"/>
        </w:rPr>
        <w:tab/>
      </w:r>
      <w:r>
        <w:rPr>
          <w:b/>
          <w:noProof/>
          <w:szCs w:val="22"/>
          <w:lang w:val="lt-LT"/>
        </w:rPr>
        <w:t>TIEKIMO IR VARTOJIMO SĄLYGOS AR APRIBOJIMAI</w:t>
      </w:r>
    </w:p>
    <w:p w14:paraId="38CC0766" w14:textId="77777777" w:rsidR="0052346D" w:rsidRDefault="0052346D">
      <w:pPr>
        <w:rPr>
          <w:szCs w:val="22"/>
          <w:lang w:val="lt-LT"/>
        </w:rPr>
      </w:pPr>
    </w:p>
    <w:p w14:paraId="0644A4C2" w14:textId="77777777" w:rsidR="0052346D" w:rsidRDefault="005A1771">
      <w:pPr>
        <w:rPr>
          <w:szCs w:val="22"/>
          <w:lang w:val="lt-LT"/>
        </w:rPr>
      </w:pPr>
      <w:r>
        <w:rPr>
          <w:szCs w:val="22"/>
          <w:lang w:val="lt-LT"/>
        </w:rPr>
        <w:t>Receptinis vaistinis preparatas.</w:t>
      </w:r>
    </w:p>
    <w:p w14:paraId="12714BA5" w14:textId="77777777" w:rsidR="0052346D" w:rsidRDefault="005A1771">
      <w:pPr>
        <w:widowControl w:val="0"/>
        <w:tabs>
          <w:tab w:val="clear" w:pos="567"/>
        </w:tabs>
        <w:spacing w:line="240" w:lineRule="auto"/>
        <w:rPr>
          <w:snapToGrid/>
          <w:szCs w:val="22"/>
          <w:lang w:val="lt-LT"/>
        </w:rPr>
      </w:pPr>
      <w:r>
        <w:rPr>
          <w:snapToGrid/>
          <w:szCs w:val="22"/>
          <w:lang w:val="lt-LT"/>
        </w:rPr>
        <w:br w:type="page"/>
      </w:r>
    </w:p>
    <w:p w14:paraId="1F6FB004" w14:textId="77777777" w:rsidR="0052346D" w:rsidRDefault="0052346D">
      <w:pPr>
        <w:shd w:val="clear" w:color="auto" w:fill="FFFFFF"/>
        <w:tabs>
          <w:tab w:val="clear" w:pos="567"/>
        </w:tabs>
        <w:spacing w:line="240" w:lineRule="auto"/>
        <w:rPr>
          <w:b/>
          <w:bCs/>
          <w:iCs/>
          <w:szCs w:val="22"/>
          <w:lang w:val="lt-LT" w:eastAsia="x-none"/>
        </w:rPr>
      </w:pPr>
    </w:p>
    <w:p w14:paraId="1AC05056" w14:textId="77777777" w:rsidR="0052346D" w:rsidRDefault="0052346D">
      <w:pPr>
        <w:keepNext/>
        <w:spacing w:line="240" w:lineRule="auto"/>
        <w:jc w:val="center"/>
        <w:outlineLvl w:val="1"/>
        <w:rPr>
          <w:b/>
          <w:bCs/>
          <w:iCs/>
          <w:szCs w:val="22"/>
          <w:lang w:val="lt-LT" w:eastAsia="x-none"/>
        </w:rPr>
      </w:pPr>
    </w:p>
    <w:p w14:paraId="5ED6C6A3" w14:textId="77777777" w:rsidR="0052346D" w:rsidRDefault="0052346D">
      <w:pPr>
        <w:keepNext/>
        <w:spacing w:line="240" w:lineRule="auto"/>
        <w:jc w:val="center"/>
        <w:outlineLvl w:val="1"/>
        <w:rPr>
          <w:b/>
          <w:bCs/>
          <w:iCs/>
          <w:szCs w:val="22"/>
          <w:lang w:val="lt-LT" w:eastAsia="x-none"/>
        </w:rPr>
      </w:pPr>
    </w:p>
    <w:p w14:paraId="708F3B6C" w14:textId="77777777" w:rsidR="0052346D" w:rsidRDefault="0052346D">
      <w:pPr>
        <w:keepNext/>
        <w:spacing w:line="240" w:lineRule="auto"/>
        <w:jc w:val="center"/>
        <w:outlineLvl w:val="1"/>
        <w:rPr>
          <w:b/>
          <w:bCs/>
          <w:iCs/>
          <w:szCs w:val="22"/>
          <w:lang w:val="lt-LT" w:eastAsia="x-none"/>
        </w:rPr>
      </w:pPr>
    </w:p>
    <w:p w14:paraId="41E780C4" w14:textId="77777777" w:rsidR="0052346D" w:rsidRDefault="0052346D">
      <w:pPr>
        <w:keepNext/>
        <w:spacing w:line="240" w:lineRule="auto"/>
        <w:jc w:val="center"/>
        <w:outlineLvl w:val="1"/>
        <w:rPr>
          <w:b/>
          <w:bCs/>
          <w:iCs/>
          <w:szCs w:val="22"/>
          <w:lang w:val="lt-LT" w:eastAsia="x-none"/>
        </w:rPr>
      </w:pPr>
    </w:p>
    <w:p w14:paraId="6943B3A5" w14:textId="77777777" w:rsidR="0052346D" w:rsidRDefault="0052346D">
      <w:pPr>
        <w:keepNext/>
        <w:spacing w:line="240" w:lineRule="auto"/>
        <w:jc w:val="center"/>
        <w:outlineLvl w:val="1"/>
        <w:rPr>
          <w:b/>
          <w:bCs/>
          <w:iCs/>
          <w:szCs w:val="22"/>
          <w:lang w:val="lt-LT" w:eastAsia="x-none"/>
        </w:rPr>
      </w:pPr>
    </w:p>
    <w:p w14:paraId="654FB5FA" w14:textId="77777777" w:rsidR="0052346D" w:rsidRDefault="0052346D">
      <w:pPr>
        <w:keepNext/>
        <w:spacing w:line="240" w:lineRule="auto"/>
        <w:jc w:val="center"/>
        <w:outlineLvl w:val="1"/>
        <w:rPr>
          <w:b/>
          <w:bCs/>
          <w:iCs/>
          <w:szCs w:val="22"/>
          <w:lang w:val="lt-LT" w:eastAsia="x-none"/>
        </w:rPr>
      </w:pPr>
    </w:p>
    <w:p w14:paraId="3E052D62" w14:textId="77777777" w:rsidR="0052346D" w:rsidRDefault="0052346D">
      <w:pPr>
        <w:keepNext/>
        <w:spacing w:line="240" w:lineRule="auto"/>
        <w:jc w:val="center"/>
        <w:outlineLvl w:val="1"/>
        <w:rPr>
          <w:b/>
          <w:bCs/>
          <w:iCs/>
          <w:szCs w:val="22"/>
          <w:lang w:val="lt-LT" w:eastAsia="x-none"/>
        </w:rPr>
      </w:pPr>
    </w:p>
    <w:p w14:paraId="67AAE237" w14:textId="77777777" w:rsidR="0052346D" w:rsidRDefault="0052346D">
      <w:pPr>
        <w:keepNext/>
        <w:spacing w:line="240" w:lineRule="auto"/>
        <w:jc w:val="center"/>
        <w:outlineLvl w:val="1"/>
        <w:rPr>
          <w:b/>
          <w:bCs/>
          <w:iCs/>
          <w:szCs w:val="22"/>
          <w:lang w:val="lt-LT" w:eastAsia="x-none"/>
        </w:rPr>
      </w:pPr>
    </w:p>
    <w:p w14:paraId="21B53B1D" w14:textId="77777777" w:rsidR="0052346D" w:rsidRDefault="0052346D">
      <w:pPr>
        <w:keepNext/>
        <w:spacing w:line="240" w:lineRule="auto"/>
        <w:jc w:val="center"/>
        <w:outlineLvl w:val="1"/>
        <w:rPr>
          <w:b/>
          <w:bCs/>
          <w:iCs/>
          <w:szCs w:val="22"/>
          <w:lang w:val="lt-LT" w:eastAsia="x-none"/>
        </w:rPr>
      </w:pPr>
    </w:p>
    <w:p w14:paraId="40A986ED" w14:textId="77777777" w:rsidR="0052346D" w:rsidRDefault="0052346D">
      <w:pPr>
        <w:keepNext/>
        <w:spacing w:line="240" w:lineRule="auto"/>
        <w:jc w:val="center"/>
        <w:outlineLvl w:val="1"/>
        <w:rPr>
          <w:b/>
          <w:bCs/>
          <w:iCs/>
          <w:szCs w:val="22"/>
          <w:lang w:val="lt-LT" w:eastAsia="x-none"/>
        </w:rPr>
      </w:pPr>
    </w:p>
    <w:p w14:paraId="42A9FF33" w14:textId="77777777" w:rsidR="0052346D" w:rsidRDefault="0052346D">
      <w:pPr>
        <w:keepNext/>
        <w:spacing w:line="240" w:lineRule="auto"/>
        <w:jc w:val="center"/>
        <w:outlineLvl w:val="1"/>
        <w:rPr>
          <w:b/>
          <w:bCs/>
          <w:iCs/>
          <w:szCs w:val="22"/>
          <w:lang w:val="lt-LT" w:eastAsia="x-none"/>
        </w:rPr>
      </w:pPr>
    </w:p>
    <w:p w14:paraId="0EB01DD9" w14:textId="77777777" w:rsidR="0052346D" w:rsidRDefault="0052346D">
      <w:pPr>
        <w:keepNext/>
        <w:spacing w:line="240" w:lineRule="auto"/>
        <w:jc w:val="center"/>
        <w:outlineLvl w:val="1"/>
        <w:rPr>
          <w:b/>
          <w:bCs/>
          <w:iCs/>
          <w:szCs w:val="22"/>
          <w:lang w:val="lt-LT" w:eastAsia="x-none"/>
        </w:rPr>
      </w:pPr>
    </w:p>
    <w:p w14:paraId="1575CAE7" w14:textId="77777777" w:rsidR="0052346D" w:rsidRDefault="0052346D">
      <w:pPr>
        <w:keepNext/>
        <w:spacing w:line="240" w:lineRule="auto"/>
        <w:jc w:val="center"/>
        <w:outlineLvl w:val="1"/>
        <w:rPr>
          <w:b/>
          <w:bCs/>
          <w:iCs/>
          <w:szCs w:val="22"/>
          <w:lang w:val="lt-LT" w:eastAsia="x-none"/>
        </w:rPr>
      </w:pPr>
    </w:p>
    <w:p w14:paraId="62F5B4D1" w14:textId="77777777" w:rsidR="0052346D" w:rsidRDefault="0052346D">
      <w:pPr>
        <w:keepNext/>
        <w:spacing w:line="240" w:lineRule="auto"/>
        <w:jc w:val="center"/>
        <w:outlineLvl w:val="1"/>
        <w:rPr>
          <w:b/>
          <w:bCs/>
          <w:iCs/>
          <w:szCs w:val="22"/>
          <w:lang w:val="lt-LT" w:eastAsia="x-none"/>
        </w:rPr>
      </w:pPr>
    </w:p>
    <w:p w14:paraId="072698E9" w14:textId="77777777" w:rsidR="0052346D" w:rsidRDefault="0052346D">
      <w:pPr>
        <w:keepNext/>
        <w:spacing w:line="240" w:lineRule="auto"/>
        <w:jc w:val="center"/>
        <w:outlineLvl w:val="1"/>
        <w:rPr>
          <w:b/>
          <w:bCs/>
          <w:iCs/>
          <w:szCs w:val="22"/>
          <w:lang w:val="lt-LT" w:eastAsia="x-none"/>
        </w:rPr>
      </w:pPr>
    </w:p>
    <w:p w14:paraId="6EC4D418" w14:textId="77777777" w:rsidR="0052346D" w:rsidRDefault="0052346D">
      <w:pPr>
        <w:keepNext/>
        <w:spacing w:line="240" w:lineRule="auto"/>
        <w:jc w:val="center"/>
        <w:outlineLvl w:val="1"/>
        <w:rPr>
          <w:b/>
          <w:bCs/>
          <w:iCs/>
          <w:szCs w:val="22"/>
          <w:lang w:val="lt-LT" w:eastAsia="x-none"/>
        </w:rPr>
      </w:pPr>
    </w:p>
    <w:p w14:paraId="1009986E" w14:textId="77777777" w:rsidR="0052346D" w:rsidRDefault="0052346D">
      <w:pPr>
        <w:keepNext/>
        <w:spacing w:line="240" w:lineRule="auto"/>
        <w:jc w:val="center"/>
        <w:outlineLvl w:val="1"/>
        <w:rPr>
          <w:b/>
          <w:bCs/>
          <w:iCs/>
          <w:szCs w:val="22"/>
          <w:lang w:val="lt-LT" w:eastAsia="x-none"/>
        </w:rPr>
      </w:pPr>
    </w:p>
    <w:p w14:paraId="5B29633D" w14:textId="77777777" w:rsidR="0052346D" w:rsidRDefault="0052346D">
      <w:pPr>
        <w:keepNext/>
        <w:spacing w:line="240" w:lineRule="auto"/>
        <w:jc w:val="center"/>
        <w:outlineLvl w:val="1"/>
        <w:rPr>
          <w:b/>
          <w:bCs/>
          <w:iCs/>
          <w:szCs w:val="22"/>
          <w:lang w:val="lt-LT" w:eastAsia="x-none"/>
        </w:rPr>
      </w:pPr>
    </w:p>
    <w:p w14:paraId="5DD10C9A" w14:textId="77777777" w:rsidR="0052346D" w:rsidRDefault="0052346D">
      <w:pPr>
        <w:keepNext/>
        <w:spacing w:line="240" w:lineRule="auto"/>
        <w:jc w:val="center"/>
        <w:outlineLvl w:val="1"/>
        <w:rPr>
          <w:b/>
          <w:bCs/>
          <w:iCs/>
          <w:szCs w:val="22"/>
          <w:lang w:val="lt-LT" w:eastAsia="x-none"/>
        </w:rPr>
      </w:pPr>
    </w:p>
    <w:p w14:paraId="37DD49EF" w14:textId="77777777" w:rsidR="0052346D" w:rsidRDefault="0052346D">
      <w:pPr>
        <w:keepNext/>
        <w:spacing w:line="240" w:lineRule="auto"/>
        <w:jc w:val="center"/>
        <w:outlineLvl w:val="1"/>
        <w:rPr>
          <w:b/>
          <w:bCs/>
          <w:iCs/>
          <w:szCs w:val="22"/>
          <w:lang w:val="lt-LT" w:eastAsia="x-none"/>
        </w:rPr>
      </w:pPr>
    </w:p>
    <w:p w14:paraId="3F6A356F" w14:textId="77777777" w:rsidR="0052346D" w:rsidRDefault="0052346D">
      <w:pPr>
        <w:keepNext/>
        <w:spacing w:line="240" w:lineRule="auto"/>
        <w:jc w:val="center"/>
        <w:outlineLvl w:val="1"/>
        <w:rPr>
          <w:b/>
          <w:bCs/>
          <w:iCs/>
          <w:szCs w:val="22"/>
          <w:lang w:val="lt-LT" w:eastAsia="x-none"/>
        </w:rPr>
      </w:pPr>
    </w:p>
    <w:p w14:paraId="6890B478" w14:textId="77777777" w:rsidR="0052346D" w:rsidRDefault="0052346D">
      <w:pPr>
        <w:keepNext/>
        <w:spacing w:line="240" w:lineRule="auto"/>
        <w:jc w:val="center"/>
        <w:outlineLvl w:val="1"/>
        <w:rPr>
          <w:b/>
          <w:bCs/>
          <w:iCs/>
          <w:szCs w:val="22"/>
          <w:lang w:val="lt-LT" w:eastAsia="x-none"/>
        </w:rPr>
      </w:pPr>
    </w:p>
    <w:p w14:paraId="126854EF" w14:textId="77777777" w:rsidR="0052346D" w:rsidRDefault="0052346D">
      <w:pPr>
        <w:keepNext/>
        <w:spacing w:line="240" w:lineRule="auto"/>
        <w:jc w:val="center"/>
        <w:outlineLvl w:val="1"/>
        <w:rPr>
          <w:b/>
          <w:bCs/>
          <w:iCs/>
          <w:szCs w:val="22"/>
          <w:lang w:val="lt-LT" w:eastAsia="x-none"/>
        </w:rPr>
      </w:pPr>
    </w:p>
    <w:p w14:paraId="478F1989" w14:textId="77777777" w:rsidR="0052346D" w:rsidRDefault="0052346D">
      <w:pPr>
        <w:keepNext/>
        <w:spacing w:line="240" w:lineRule="auto"/>
        <w:jc w:val="center"/>
        <w:outlineLvl w:val="1"/>
        <w:rPr>
          <w:b/>
          <w:bCs/>
          <w:iCs/>
          <w:szCs w:val="22"/>
          <w:lang w:val="lt-LT" w:eastAsia="x-none"/>
        </w:rPr>
      </w:pPr>
    </w:p>
    <w:p w14:paraId="57D365E6" w14:textId="77777777" w:rsidR="0052346D" w:rsidRDefault="0052346D">
      <w:pPr>
        <w:keepNext/>
        <w:spacing w:line="240" w:lineRule="auto"/>
        <w:jc w:val="center"/>
        <w:outlineLvl w:val="1"/>
        <w:rPr>
          <w:b/>
          <w:bCs/>
          <w:iCs/>
          <w:szCs w:val="22"/>
          <w:lang w:val="lt-LT" w:eastAsia="x-none"/>
        </w:rPr>
      </w:pPr>
    </w:p>
    <w:p w14:paraId="63F90D2E" w14:textId="77777777" w:rsidR="0052346D" w:rsidRDefault="005A1771">
      <w:pPr>
        <w:keepNext/>
        <w:spacing w:line="240" w:lineRule="auto"/>
        <w:jc w:val="center"/>
        <w:outlineLvl w:val="1"/>
        <w:rPr>
          <w:b/>
          <w:szCs w:val="22"/>
          <w:lang w:val="lt-LT" w:eastAsia="x-none"/>
        </w:rPr>
      </w:pPr>
      <w:r>
        <w:rPr>
          <w:b/>
          <w:bCs/>
          <w:iCs/>
          <w:szCs w:val="22"/>
          <w:lang w:val="lt-LT" w:eastAsia="x-none"/>
        </w:rPr>
        <w:t>III PRIEDAS</w:t>
      </w:r>
    </w:p>
    <w:p w14:paraId="647B9BBD" w14:textId="77777777" w:rsidR="0052346D" w:rsidRDefault="0052346D">
      <w:pPr>
        <w:rPr>
          <w:szCs w:val="22"/>
          <w:lang w:val="lt-LT"/>
        </w:rPr>
      </w:pPr>
    </w:p>
    <w:p w14:paraId="75128F6D" w14:textId="77777777" w:rsidR="0052346D" w:rsidRDefault="005A1771">
      <w:pPr>
        <w:keepNext/>
        <w:spacing w:line="240" w:lineRule="auto"/>
        <w:jc w:val="center"/>
        <w:outlineLvl w:val="1"/>
        <w:rPr>
          <w:b/>
          <w:szCs w:val="22"/>
          <w:lang w:val="lt-LT" w:eastAsia="x-none"/>
        </w:rPr>
      </w:pPr>
      <w:r>
        <w:rPr>
          <w:b/>
          <w:bCs/>
          <w:iCs/>
          <w:szCs w:val="22"/>
          <w:lang w:val="lt-LT" w:eastAsia="x-none"/>
        </w:rPr>
        <w:t>ŽENKLINIMAS IR PAKUOTĖS LAPELIS</w:t>
      </w:r>
    </w:p>
    <w:p w14:paraId="64154CC5" w14:textId="77777777" w:rsidR="0052346D" w:rsidRDefault="005A1771">
      <w:pPr>
        <w:widowControl w:val="0"/>
        <w:tabs>
          <w:tab w:val="clear" w:pos="567"/>
        </w:tabs>
        <w:spacing w:line="240" w:lineRule="auto"/>
        <w:rPr>
          <w:snapToGrid/>
          <w:szCs w:val="22"/>
          <w:lang w:val="lt-LT"/>
        </w:rPr>
      </w:pPr>
      <w:r>
        <w:rPr>
          <w:snapToGrid/>
          <w:szCs w:val="22"/>
          <w:lang w:val="lt-LT"/>
        </w:rPr>
        <w:br w:type="page"/>
      </w:r>
    </w:p>
    <w:p w14:paraId="202F0B4B" w14:textId="77777777" w:rsidR="0052346D" w:rsidRDefault="0052346D">
      <w:pPr>
        <w:widowControl w:val="0"/>
        <w:tabs>
          <w:tab w:val="clear" w:pos="567"/>
        </w:tabs>
        <w:spacing w:line="240" w:lineRule="auto"/>
        <w:rPr>
          <w:snapToGrid/>
          <w:szCs w:val="22"/>
          <w:lang w:val="lt-LT"/>
        </w:rPr>
      </w:pPr>
    </w:p>
    <w:p w14:paraId="47D0FB09" w14:textId="77777777" w:rsidR="0052346D" w:rsidRDefault="0052346D">
      <w:pPr>
        <w:widowControl w:val="0"/>
        <w:tabs>
          <w:tab w:val="clear" w:pos="567"/>
        </w:tabs>
        <w:spacing w:line="240" w:lineRule="auto"/>
        <w:rPr>
          <w:snapToGrid/>
          <w:szCs w:val="22"/>
          <w:lang w:val="lt-LT"/>
        </w:rPr>
      </w:pPr>
    </w:p>
    <w:p w14:paraId="373B6A5A" w14:textId="77777777" w:rsidR="0052346D" w:rsidRDefault="0052346D">
      <w:pPr>
        <w:tabs>
          <w:tab w:val="clear" w:pos="567"/>
        </w:tabs>
        <w:spacing w:line="240" w:lineRule="auto"/>
        <w:rPr>
          <w:noProof/>
          <w:snapToGrid/>
          <w:szCs w:val="22"/>
          <w:lang w:val="lt-LT"/>
        </w:rPr>
      </w:pPr>
    </w:p>
    <w:p w14:paraId="7D6BCF9D" w14:textId="77777777" w:rsidR="0052346D" w:rsidRDefault="0052346D">
      <w:pPr>
        <w:tabs>
          <w:tab w:val="clear" w:pos="567"/>
        </w:tabs>
        <w:spacing w:line="240" w:lineRule="auto"/>
        <w:rPr>
          <w:noProof/>
          <w:snapToGrid/>
          <w:szCs w:val="22"/>
          <w:lang w:val="lt-LT"/>
        </w:rPr>
      </w:pPr>
    </w:p>
    <w:p w14:paraId="2C08C0D5" w14:textId="77777777" w:rsidR="0052346D" w:rsidRDefault="0052346D">
      <w:pPr>
        <w:tabs>
          <w:tab w:val="clear" w:pos="567"/>
        </w:tabs>
        <w:spacing w:line="240" w:lineRule="auto"/>
        <w:rPr>
          <w:noProof/>
          <w:snapToGrid/>
          <w:szCs w:val="22"/>
          <w:lang w:val="lt-LT"/>
        </w:rPr>
      </w:pPr>
    </w:p>
    <w:p w14:paraId="66DA7C86" w14:textId="77777777" w:rsidR="0052346D" w:rsidRDefault="0052346D">
      <w:pPr>
        <w:tabs>
          <w:tab w:val="clear" w:pos="567"/>
        </w:tabs>
        <w:spacing w:line="240" w:lineRule="auto"/>
        <w:rPr>
          <w:noProof/>
          <w:snapToGrid/>
          <w:szCs w:val="22"/>
          <w:lang w:val="lt-LT"/>
        </w:rPr>
      </w:pPr>
    </w:p>
    <w:p w14:paraId="66E81604" w14:textId="77777777" w:rsidR="0052346D" w:rsidRDefault="0052346D">
      <w:pPr>
        <w:tabs>
          <w:tab w:val="clear" w:pos="567"/>
        </w:tabs>
        <w:spacing w:line="240" w:lineRule="auto"/>
        <w:rPr>
          <w:noProof/>
          <w:snapToGrid/>
          <w:szCs w:val="22"/>
          <w:lang w:val="lt-LT"/>
        </w:rPr>
      </w:pPr>
    </w:p>
    <w:p w14:paraId="70A18286" w14:textId="77777777" w:rsidR="0052346D" w:rsidRDefault="0052346D">
      <w:pPr>
        <w:tabs>
          <w:tab w:val="clear" w:pos="567"/>
        </w:tabs>
        <w:spacing w:line="240" w:lineRule="auto"/>
        <w:rPr>
          <w:noProof/>
          <w:snapToGrid/>
          <w:szCs w:val="22"/>
          <w:lang w:val="lt-LT"/>
        </w:rPr>
      </w:pPr>
    </w:p>
    <w:p w14:paraId="7F193E2B" w14:textId="77777777" w:rsidR="0052346D" w:rsidRDefault="0052346D">
      <w:pPr>
        <w:tabs>
          <w:tab w:val="clear" w:pos="567"/>
        </w:tabs>
        <w:spacing w:line="240" w:lineRule="auto"/>
        <w:rPr>
          <w:noProof/>
          <w:snapToGrid/>
          <w:szCs w:val="22"/>
          <w:lang w:val="lt-LT"/>
        </w:rPr>
      </w:pPr>
    </w:p>
    <w:p w14:paraId="0673029E" w14:textId="77777777" w:rsidR="0052346D" w:rsidRDefault="0052346D">
      <w:pPr>
        <w:tabs>
          <w:tab w:val="clear" w:pos="567"/>
        </w:tabs>
        <w:spacing w:line="240" w:lineRule="auto"/>
        <w:rPr>
          <w:noProof/>
          <w:snapToGrid/>
          <w:szCs w:val="22"/>
          <w:lang w:val="lt-LT"/>
        </w:rPr>
      </w:pPr>
    </w:p>
    <w:p w14:paraId="053818C8" w14:textId="77777777" w:rsidR="0052346D" w:rsidRDefault="0052346D">
      <w:pPr>
        <w:tabs>
          <w:tab w:val="clear" w:pos="567"/>
        </w:tabs>
        <w:spacing w:line="240" w:lineRule="auto"/>
        <w:rPr>
          <w:noProof/>
          <w:snapToGrid/>
          <w:szCs w:val="22"/>
          <w:lang w:val="lt-LT"/>
        </w:rPr>
      </w:pPr>
    </w:p>
    <w:p w14:paraId="541B58AB" w14:textId="77777777" w:rsidR="0052346D" w:rsidRDefault="0052346D">
      <w:pPr>
        <w:tabs>
          <w:tab w:val="clear" w:pos="567"/>
        </w:tabs>
        <w:spacing w:line="240" w:lineRule="auto"/>
        <w:rPr>
          <w:noProof/>
          <w:snapToGrid/>
          <w:szCs w:val="22"/>
          <w:lang w:val="lt-LT"/>
        </w:rPr>
      </w:pPr>
    </w:p>
    <w:p w14:paraId="382571D0" w14:textId="77777777" w:rsidR="0052346D" w:rsidRDefault="0052346D">
      <w:pPr>
        <w:tabs>
          <w:tab w:val="clear" w:pos="567"/>
        </w:tabs>
        <w:spacing w:line="240" w:lineRule="auto"/>
        <w:rPr>
          <w:noProof/>
          <w:snapToGrid/>
          <w:szCs w:val="22"/>
          <w:lang w:val="lt-LT"/>
        </w:rPr>
      </w:pPr>
    </w:p>
    <w:p w14:paraId="0F8BFC4D" w14:textId="77777777" w:rsidR="0052346D" w:rsidRDefault="0052346D">
      <w:pPr>
        <w:tabs>
          <w:tab w:val="clear" w:pos="567"/>
        </w:tabs>
        <w:spacing w:line="240" w:lineRule="auto"/>
        <w:rPr>
          <w:noProof/>
          <w:snapToGrid/>
          <w:szCs w:val="22"/>
          <w:lang w:val="lt-LT"/>
        </w:rPr>
      </w:pPr>
    </w:p>
    <w:p w14:paraId="085AD13F" w14:textId="77777777" w:rsidR="0052346D" w:rsidRDefault="0052346D">
      <w:pPr>
        <w:tabs>
          <w:tab w:val="clear" w:pos="567"/>
        </w:tabs>
        <w:spacing w:line="240" w:lineRule="auto"/>
        <w:rPr>
          <w:noProof/>
          <w:snapToGrid/>
          <w:szCs w:val="22"/>
          <w:lang w:val="lt-LT"/>
        </w:rPr>
      </w:pPr>
    </w:p>
    <w:p w14:paraId="1F1A0500" w14:textId="77777777" w:rsidR="0052346D" w:rsidRDefault="0052346D">
      <w:pPr>
        <w:tabs>
          <w:tab w:val="clear" w:pos="567"/>
        </w:tabs>
        <w:spacing w:line="240" w:lineRule="auto"/>
        <w:rPr>
          <w:noProof/>
          <w:snapToGrid/>
          <w:szCs w:val="22"/>
          <w:lang w:val="lt-LT"/>
        </w:rPr>
      </w:pPr>
    </w:p>
    <w:p w14:paraId="443EA3CC" w14:textId="77777777" w:rsidR="0052346D" w:rsidRDefault="0052346D">
      <w:pPr>
        <w:tabs>
          <w:tab w:val="clear" w:pos="567"/>
        </w:tabs>
        <w:spacing w:line="240" w:lineRule="auto"/>
        <w:rPr>
          <w:noProof/>
          <w:snapToGrid/>
          <w:szCs w:val="22"/>
          <w:lang w:val="lt-LT"/>
        </w:rPr>
      </w:pPr>
    </w:p>
    <w:p w14:paraId="321E97EF" w14:textId="77777777" w:rsidR="0052346D" w:rsidRDefault="0052346D">
      <w:pPr>
        <w:tabs>
          <w:tab w:val="clear" w:pos="567"/>
        </w:tabs>
        <w:spacing w:line="240" w:lineRule="auto"/>
        <w:rPr>
          <w:noProof/>
          <w:snapToGrid/>
          <w:szCs w:val="22"/>
          <w:lang w:val="lt-LT"/>
        </w:rPr>
      </w:pPr>
    </w:p>
    <w:p w14:paraId="5AB788F5" w14:textId="77777777" w:rsidR="0052346D" w:rsidRDefault="0052346D">
      <w:pPr>
        <w:tabs>
          <w:tab w:val="clear" w:pos="567"/>
        </w:tabs>
        <w:spacing w:line="240" w:lineRule="auto"/>
        <w:rPr>
          <w:noProof/>
          <w:snapToGrid/>
          <w:szCs w:val="22"/>
          <w:lang w:val="lt-LT"/>
        </w:rPr>
      </w:pPr>
    </w:p>
    <w:p w14:paraId="4E0E16BD" w14:textId="77777777" w:rsidR="0052346D" w:rsidRDefault="0052346D">
      <w:pPr>
        <w:tabs>
          <w:tab w:val="clear" w:pos="567"/>
        </w:tabs>
        <w:spacing w:line="240" w:lineRule="auto"/>
        <w:rPr>
          <w:noProof/>
          <w:snapToGrid/>
          <w:szCs w:val="22"/>
          <w:lang w:val="lt-LT"/>
        </w:rPr>
      </w:pPr>
    </w:p>
    <w:p w14:paraId="0D8B348B" w14:textId="77777777" w:rsidR="0052346D" w:rsidRDefault="0052346D">
      <w:pPr>
        <w:tabs>
          <w:tab w:val="clear" w:pos="567"/>
        </w:tabs>
        <w:spacing w:line="240" w:lineRule="auto"/>
        <w:rPr>
          <w:noProof/>
          <w:snapToGrid/>
          <w:szCs w:val="22"/>
          <w:lang w:val="lt-LT"/>
        </w:rPr>
      </w:pPr>
    </w:p>
    <w:p w14:paraId="306B70D8" w14:textId="77777777" w:rsidR="0052346D" w:rsidRDefault="0052346D">
      <w:pPr>
        <w:tabs>
          <w:tab w:val="clear" w:pos="567"/>
        </w:tabs>
        <w:spacing w:line="240" w:lineRule="auto"/>
        <w:rPr>
          <w:noProof/>
          <w:snapToGrid/>
          <w:szCs w:val="22"/>
          <w:lang w:val="lt-LT"/>
        </w:rPr>
      </w:pPr>
    </w:p>
    <w:p w14:paraId="24D4D8BA" w14:textId="77777777" w:rsidR="0052346D" w:rsidRDefault="0052346D">
      <w:pPr>
        <w:tabs>
          <w:tab w:val="clear" w:pos="567"/>
        </w:tabs>
        <w:spacing w:line="240" w:lineRule="auto"/>
        <w:rPr>
          <w:noProof/>
          <w:snapToGrid/>
          <w:szCs w:val="22"/>
          <w:lang w:val="lt-LT"/>
        </w:rPr>
      </w:pPr>
    </w:p>
    <w:p w14:paraId="148B0B46" w14:textId="77777777" w:rsidR="0052346D" w:rsidRDefault="0052346D">
      <w:pPr>
        <w:tabs>
          <w:tab w:val="clear" w:pos="567"/>
        </w:tabs>
        <w:spacing w:line="240" w:lineRule="auto"/>
        <w:rPr>
          <w:noProof/>
          <w:snapToGrid/>
          <w:szCs w:val="22"/>
          <w:lang w:val="lt-LT"/>
        </w:rPr>
      </w:pPr>
    </w:p>
    <w:p w14:paraId="353C3CA5" w14:textId="77777777" w:rsidR="0052346D" w:rsidRDefault="005A1771">
      <w:pPr>
        <w:tabs>
          <w:tab w:val="clear" w:pos="567"/>
        </w:tabs>
        <w:spacing w:line="240" w:lineRule="auto"/>
        <w:jc w:val="center"/>
        <w:outlineLvl w:val="0"/>
        <w:rPr>
          <w:noProof/>
          <w:snapToGrid/>
          <w:szCs w:val="22"/>
          <w:lang w:val="lt-LT"/>
        </w:rPr>
      </w:pPr>
      <w:r>
        <w:rPr>
          <w:b/>
          <w:noProof/>
          <w:snapToGrid/>
          <w:szCs w:val="22"/>
          <w:lang w:val="lt-LT"/>
        </w:rPr>
        <w:t>A. ŽENKLINIMAS</w:t>
      </w:r>
    </w:p>
    <w:p w14:paraId="62EF52F7" w14:textId="77777777" w:rsidR="0052346D" w:rsidRDefault="005A1771">
      <w:pPr>
        <w:pBdr>
          <w:top w:val="single" w:sz="4" w:space="0" w:color="auto"/>
          <w:left w:val="single" w:sz="4" w:space="4" w:color="auto"/>
          <w:bottom w:val="single" w:sz="4" w:space="1" w:color="auto"/>
          <w:right w:val="single" w:sz="4" w:space="4" w:color="auto"/>
        </w:pBdr>
        <w:tabs>
          <w:tab w:val="clear" w:pos="567"/>
        </w:tabs>
        <w:spacing w:line="240" w:lineRule="auto"/>
        <w:rPr>
          <w:b/>
          <w:noProof/>
          <w:snapToGrid/>
          <w:szCs w:val="22"/>
          <w:lang w:val="lt-LT"/>
        </w:rPr>
      </w:pPr>
      <w:r>
        <w:rPr>
          <w:noProof/>
          <w:snapToGrid/>
          <w:szCs w:val="22"/>
          <w:lang w:val="lt-LT"/>
        </w:rPr>
        <w:br w:type="page"/>
      </w:r>
      <w:r>
        <w:rPr>
          <w:b/>
          <w:noProof/>
          <w:snapToGrid/>
          <w:szCs w:val="22"/>
          <w:lang w:val="lt-LT"/>
        </w:rPr>
        <w:lastRenderedPageBreak/>
        <w:t>INFORMACIJA ANT IŠORINĖS PAKUOTĖS</w:t>
      </w:r>
    </w:p>
    <w:p w14:paraId="124EC372" w14:textId="77777777" w:rsidR="0052346D" w:rsidRDefault="0052346D">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bCs/>
          <w:noProof/>
          <w:snapToGrid/>
          <w:szCs w:val="22"/>
          <w:lang w:val="lt-LT"/>
        </w:rPr>
      </w:pPr>
    </w:p>
    <w:p w14:paraId="72ACAD99" w14:textId="77777777" w:rsidR="0052346D" w:rsidRDefault="005A1771">
      <w:pPr>
        <w:pBdr>
          <w:top w:val="single" w:sz="4" w:space="0" w:color="auto"/>
          <w:left w:val="single" w:sz="4" w:space="4" w:color="auto"/>
          <w:bottom w:val="single" w:sz="4" w:space="1" w:color="auto"/>
          <w:right w:val="single" w:sz="4" w:space="4" w:color="auto"/>
        </w:pBdr>
        <w:tabs>
          <w:tab w:val="clear" w:pos="567"/>
        </w:tabs>
        <w:spacing w:line="240" w:lineRule="auto"/>
        <w:rPr>
          <w:bCs/>
          <w:noProof/>
          <w:snapToGrid/>
          <w:szCs w:val="22"/>
          <w:lang w:val="lt-LT"/>
        </w:rPr>
      </w:pPr>
      <w:r>
        <w:rPr>
          <w:b/>
          <w:noProof/>
          <w:snapToGrid/>
          <w:szCs w:val="22"/>
          <w:lang w:val="lt-LT"/>
        </w:rPr>
        <w:t>DĖŽUTĖ</w:t>
      </w:r>
    </w:p>
    <w:p w14:paraId="658CC7D5" w14:textId="77777777" w:rsidR="0052346D" w:rsidRDefault="0052346D">
      <w:pPr>
        <w:tabs>
          <w:tab w:val="clear" w:pos="567"/>
        </w:tabs>
        <w:spacing w:line="240" w:lineRule="auto"/>
        <w:rPr>
          <w:noProof/>
          <w:snapToGrid/>
          <w:szCs w:val="22"/>
          <w:lang w:val="lt-LT"/>
        </w:rPr>
      </w:pPr>
    </w:p>
    <w:p w14:paraId="64DB1CF4" w14:textId="77777777" w:rsidR="0052346D" w:rsidRDefault="0052346D">
      <w:pPr>
        <w:tabs>
          <w:tab w:val="clear" w:pos="567"/>
        </w:tabs>
        <w:spacing w:line="240" w:lineRule="auto"/>
        <w:rPr>
          <w:noProof/>
          <w:snapToGrid/>
          <w:szCs w:val="22"/>
          <w:lang w:val="lt-LT"/>
        </w:rPr>
      </w:pPr>
    </w:p>
    <w:p w14:paraId="44F2B008" w14:textId="77777777" w:rsidR="0052346D" w:rsidRDefault="005A177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2"/>
          <w:lang w:val="lt-LT"/>
        </w:rPr>
      </w:pPr>
      <w:r>
        <w:rPr>
          <w:b/>
          <w:noProof/>
          <w:snapToGrid/>
          <w:szCs w:val="22"/>
          <w:lang w:val="lt-LT"/>
        </w:rPr>
        <w:t>1.</w:t>
      </w:r>
      <w:r>
        <w:rPr>
          <w:b/>
          <w:noProof/>
          <w:snapToGrid/>
          <w:szCs w:val="22"/>
          <w:lang w:val="lt-LT"/>
        </w:rPr>
        <w:tab/>
        <w:t>VAISTINIO PREPARATO PAVADINIMAS</w:t>
      </w:r>
    </w:p>
    <w:p w14:paraId="2D57F242" w14:textId="77777777" w:rsidR="0052346D" w:rsidRDefault="0052346D">
      <w:pPr>
        <w:tabs>
          <w:tab w:val="clear" w:pos="567"/>
        </w:tabs>
        <w:spacing w:line="240" w:lineRule="auto"/>
        <w:rPr>
          <w:noProof/>
          <w:snapToGrid/>
          <w:szCs w:val="22"/>
          <w:lang w:val="lt-LT"/>
        </w:rPr>
      </w:pPr>
    </w:p>
    <w:p w14:paraId="21F58F2B" w14:textId="77777777" w:rsidR="0052346D" w:rsidRDefault="005A1771">
      <w:pPr>
        <w:tabs>
          <w:tab w:val="clear" w:pos="567"/>
        </w:tabs>
        <w:spacing w:line="240" w:lineRule="auto"/>
        <w:ind w:left="567" w:hanging="567"/>
        <w:rPr>
          <w:snapToGrid/>
          <w:szCs w:val="22"/>
          <w:lang w:val="lt-LT"/>
        </w:rPr>
      </w:pPr>
      <w:r>
        <w:rPr>
          <w:snapToGrid/>
          <w:szCs w:val="22"/>
          <w:lang w:val="lt-LT"/>
        </w:rPr>
        <w:t xml:space="preserve">Kanpiduo </w:t>
      </w:r>
      <w:r>
        <w:rPr>
          <w:lang w:val="pt-PT"/>
        </w:rPr>
        <w:t>8 mg/2,5 mg</w:t>
      </w:r>
      <w:r>
        <w:rPr>
          <w:snapToGrid/>
          <w:szCs w:val="22"/>
          <w:lang w:val="lt-LT"/>
        </w:rPr>
        <w:t xml:space="preserve"> tabletės</w:t>
      </w:r>
    </w:p>
    <w:p w14:paraId="64821925" w14:textId="77777777" w:rsidR="0052346D" w:rsidRDefault="005A1771">
      <w:pPr>
        <w:tabs>
          <w:tab w:val="clear" w:pos="567"/>
        </w:tabs>
        <w:spacing w:line="240" w:lineRule="auto"/>
        <w:ind w:left="567" w:hanging="567"/>
        <w:rPr>
          <w:snapToGrid/>
          <w:szCs w:val="22"/>
          <w:lang w:val="lt-LT"/>
        </w:rPr>
      </w:pPr>
      <w:r>
        <w:rPr>
          <w:snapToGrid/>
          <w:szCs w:val="22"/>
          <w:highlight w:val="lightGray"/>
          <w:lang w:val="lt-LT"/>
        </w:rPr>
        <w:t xml:space="preserve">Kanpiduo </w:t>
      </w:r>
      <w:r>
        <w:rPr>
          <w:noProof/>
          <w:snapToGrid/>
          <w:szCs w:val="22"/>
          <w:highlight w:val="lightGray"/>
          <w:lang w:val="lt-LT"/>
        </w:rPr>
        <w:t>16 mg/2,5 mg</w:t>
      </w:r>
      <w:r>
        <w:rPr>
          <w:snapToGrid/>
          <w:szCs w:val="22"/>
          <w:highlight w:val="lightGray"/>
          <w:lang w:val="lt-LT"/>
        </w:rPr>
        <w:t xml:space="preserve"> tabletės</w:t>
      </w:r>
    </w:p>
    <w:p w14:paraId="6E0B86F1" w14:textId="77777777" w:rsidR="0052346D" w:rsidRDefault="0052346D">
      <w:pPr>
        <w:tabs>
          <w:tab w:val="clear" w:pos="567"/>
        </w:tabs>
        <w:spacing w:line="240" w:lineRule="auto"/>
        <w:rPr>
          <w:noProof/>
          <w:snapToGrid/>
          <w:szCs w:val="22"/>
          <w:lang w:val="lt-LT"/>
        </w:rPr>
      </w:pPr>
    </w:p>
    <w:p w14:paraId="4B44B7F9" w14:textId="77777777" w:rsidR="0052346D" w:rsidRDefault="005A1771">
      <w:pPr>
        <w:tabs>
          <w:tab w:val="clear" w:pos="567"/>
        </w:tabs>
        <w:spacing w:line="240" w:lineRule="auto"/>
        <w:rPr>
          <w:noProof/>
          <w:snapToGrid/>
          <w:szCs w:val="22"/>
          <w:lang w:val="lt-LT"/>
        </w:rPr>
      </w:pPr>
      <w:r>
        <w:rPr>
          <w:rFonts w:eastAsia="TimesNewRomanPSMT"/>
          <w:snapToGrid/>
          <w:szCs w:val="22"/>
          <w:lang w:val="lt-LT" w:eastAsia="sl-SI"/>
        </w:rPr>
        <w:t>kandesartano cileksetilas/</w:t>
      </w:r>
      <w:r>
        <w:rPr>
          <w:noProof/>
          <w:snapToGrid/>
          <w:szCs w:val="22"/>
          <w:lang w:val="lt-LT"/>
        </w:rPr>
        <w:t>indapamidas</w:t>
      </w:r>
    </w:p>
    <w:p w14:paraId="26529F01" w14:textId="77777777" w:rsidR="0052346D" w:rsidRDefault="0052346D">
      <w:pPr>
        <w:tabs>
          <w:tab w:val="clear" w:pos="567"/>
        </w:tabs>
        <w:spacing w:line="240" w:lineRule="auto"/>
        <w:rPr>
          <w:noProof/>
          <w:snapToGrid/>
          <w:szCs w:val="22"/>
          <w:lang w:val="lt-LT"/>
        </w:rPr>
      </w:pPr>
    </w:p>
    <w:p w14:paraId="4AAAB125" w14:textId="77777777" w:rsidR="0052346D" w:rsidRDefault="0052346D">
      <w:pPr>
        <w:tabs>
          <w:tab w:val="clear" w:pos="567"/>
        </w:tabs>
        <w:spacing w:line="240" w:lineRule="auto"/>
        <w:rPr>
          <w:noProof/>
          <w:snapToGrid/>
          <w:szCs w:val="22"/>
          <w:lang w:val="lt-LT"/>
        </w:rPr>
      </w:pPr>
    </w:p>
    <w:p w14:paraId="115AB2BC" w14:textId="77777777" w:rsidR="0052346D" w:rsidRDefault="005A177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napToGrid/>
          <w:szCs w:val="22"/>
          <w:lang w:val="lt-LT"/>
        </w:rPr>
      </w:pPr>
      <w:r>
        <w:rPr>
          <w:b/>
          <w:noProof/>
          <w:snapToGrid/>
          <w:szCs w:val="22"/>
          <w:lang w:val="lt-LT"/>
        </w:rPr>
        <w:t>2.</w:t>
      </w:r>
      <w:r>
        <w:rPr>
          <w:b/>
          <w:noProof/>
          <w:snapToGrid/>
          <w:szCs w:val="22"/>
          <w:lang w:val="lt-LT"/>
        </w:rPr>
        <w:tab/>
        <w:t>VEIKLIOJI (-IOS) MEDŽIAGA (-OS) IR JOS (-Ų) KIEKIS (-IAI)</w:t>
      </w:r>
    </w:p>
    <w:p w14:paraId="5F87850D" w14:textId="77777777" w:rsidR="0052346D" w:rsidRDefault="0052346D">
      <w:pPr>
        <w:tabs>
          <w:tab w:val="clear" w:pos="567"/>
        </w:tabs>
        <w:spacing w:line="240" w:lineRule="auto"/>
        <w:rPr>
          <w:noProof/>
          <w:snapToGrid/>
          <w:szCs w:val="22"/>
          <w:lang w:val="lt-LT"/>
        </w:rPr>
      </w:pPr>
    </w:p>
    <w:p w14:paraId="6D082ABF" w14:textId="77777777" w:rsidR="0052346D" w:rsidRDefault="005A1771">
      <w:pPr>
        <w:tabs>
          <w:tab w:val="clear" w:pos="567"/>
        </w:tabs>
        <w:spacing w:line="240" w:lineRule="auto"/>
        <w:rPr>
          <w:snapToGrid/>
          <w:szCs w:val="22"/>
          <w:lang w:val="lt-LT"/>
        </w:rPr>
      </w:pPr>
      <w:bookmarkStart w:id="5" w:name="_Hlk171581225"/>
      <w:r>
        <w:rPr>
          <w:snapToGrid/>
          <w:szCs w:val="22"/>
          <w:lang w:val="lt-LT"/>
        </w:rPr>
        <w:t xml:space="preserve">Kiekvienoje tabletėje yra </w:t>
      </w:r>
      <w:r>
        <w:rPr>
          <w:rFonts w:eastAsia="TimesNewRomanPSMT"/>
          <w:snapToGrid/>
          <w:szCs w:val="22"/>
          <w:lang w:val="lt-LT" w:eastAsia="sl-SI"/>
        </w:rPr>
        <w:t xml:space="preserve">8 mg </w:t>
      </w:r>
      <w:bookmarkStart w:id="6" w:name="_Hlk176432036"/>
      <w:r>
        <w:rPr>
          <w:rFonts w:eastAsia="TimesNewRomanPSMT"/>
          <w:snapToGrid/>
          <w:szCs w:val="22"/>
          <w:lang w:val="lt-LT" w:eastAsia="sl-SI"/>
        </w:rPr>
        <w:t>kandesartano cileksetilo</w:t>
      </w:r>
      <w:bookmarkEnd w:id="6"/>
      <w:r>
        <w:rPr>
          <w:rFonts w:eastAsia="TimesNewRomanPSMT"/>
          <w:snapToGrid/>
          <w:szCs w:val="22"/>
          <w:lang w:val="lt-LT" w:eastAsia="sl-SI"/>
        </w:rPr>
        <w:t xml:space="preserve"> ir 2,5 mg indapamido</w:t>
      </w:r>
      <w:r>
        <w:rPr>
          <w:snapToGrid/>
          <w:szCs w:val="22"/>
          <w:lang w:val="lt-LT"/>
        </w:rPr>
        <w:t>.</w:t>
      </w:r>
    </w:p>
    <w:bookmarkEnd w:id="5"/>
    <w:p w14:paraId="6D5CD838" w14:textId="77777777" w:rsidR="0052346D" w:rsidRDefault="005A1771">
      <w:pPr>
        <w:tabs>
          <w:tab w:val="clear" w:pos="567"/>
        </w:tabs>
        <w:spacing w:line="240" w:lineRule="auto"/>
        <w:rPr>
          <w:snapToGrid/>
          <w:szCs w:val="22"/>
          <w:lang w:val="lt-LT"/>
        </w:rPr>
      </w:pPr>
      <w:r>
        <w:rPr>
          <w:snapToGrid/>
          <w:szCs w:val="22"/>
          <w:highlight w:val="lightGray"/>
          <w:lang w:val="lt-LT"/>
        </w:rPr>
        <w:t xml:space="preserve">Kiekvienoje tabletėje yra </w:t>
      </w:r>
      <w:r>
        <w:rPr>
          <w:rFonts w:eastAsia="TimesNewRomanPSMT"/>
          <w:snapToGrid/>
          <w:szCs w:val="22"/>
          <w:highlight w:val="lightGray"/>
          <w:lang w:val="lt-LT" w:eastAsia="sl-SI"/>
        </w:rPr>
        <w:t>16 mg kandesartano cileksetilo ir 2,5 mg indapamido</w:t>
      </w:r>
      <w:r>
        <w:rPr>
          <w:snapToGrid/>
          <w:szCs w:val="22"/>
          <w:highlight w:val="lightGray"/>
          <w:lang w:val="lt-LT"/>
        </w:rPr>
        <w:t>.</w:t>
      </w:r>
    </w:p>
    <w:p w14:paraId="1DDFDFD8" w14:textId="77777777" w:rsidR="0052346D" w:rsidRDefault="0052346D">
      <w:pPr>
        <w:tabs>
          <w:tab w:val="clear" w:pos="567"/>
        </w:tabs>
        <w:spacing w:line="240" w:lineRule="auto"/>
        <w:rPr>
          <w:noProof/>
          <w:snapToGrid/>
          <w:szCs w:val="22"/>
          <w:lang w:val="lt-LT"/>
        </w:rPr>
      </w:pPr>
    </w:p>
    <w:p w14:paraId="309B32EB" w14:textId="77777777" w:rsidR="0052346D" w:rsidRDefault="0052346D">
      <w:pPr>
        <w:tabs>
          <w:tab w:val="clear" w:pos="567"/>
        </w:tabs>
        <w:spacing w:line="240" w:lineRule="auto"/>
        <w:rPr>
          <w:noProof/>
          <w:snapToGrid/>
          <w:szCs w:val="22"/>
          <w:lang w:val="lt-LT"/>
        </w:rPr>
      </w:pPr>
    </w:p>
    <w:p w14:paraId="4CFD25DB" w14:textId="77777777" w:rsidR="0052346D" w:rsidRDefault="005A177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2"/>
          <w:highlight w:val="lightGray"/>
          <w:lang w:val="lt-LT"/>
        </w:rPr>
      </w:pPr>
      <w:r>
        <w:rPr>
          <w:b/>
          <w:noProof/>
          <w:snapToGrid/>
          <w:szCs w:val="22"/>
          <w:lang w:val="lt-LT"/>
        </w:rPr>
        <w:t>3.</w:t>
      </w:r>
      <w:r>
        <w:rPr>
          <w:b/>
          <w:noProof/>
          <w:snapToGrid/>
          <w:szCs w:val="22"/>
          <w:lang w:val="lt-LT"/>
        </w:rPr>
        <w:tab/>
        <w:t>PAGALBINIŲ MEDŽIAGŲ SĄRAŠAS</w:t>
      </w:r>
    </w:p>
    <w:p w14:paraId="26A21D26" w14:textId="77777777" w:rsidR="0052346D" w:rsidRDefault="0052346D">
      <w:pPr>
        <w:tabs>
          <w:tab w:val="clear" w:pos="567"/>
        </w:tabs>
        <w:spacing w:line="240" w:lineRule="auto"/>
        <w:rPr>
          <w:noProof/>
          <w:snapToGrid/>
          <w:szCs w:val="22"/>
          <w:lang w:val="lt-LT"/>
        </w:rPr>
      </w:pPr>
    </w:p>
    <w:p w14:paraId="3445056F" w14:textId="77777777" w:rsidR="0052346D" w:rsidRDefault="005A1771">
      <w:pPr>
        <w:tabs>
          <w:tab w:val="clear" w:pos="567"/>
        </w:tabs>
        <w:spacing w:line="240" w:lineRule="auto"/>
        <w:rPr>
          <w:noProof/>
          <w:snapToGrid/>
          <w:szCs w:val="22"/>
          <w:lang w:val="lt-LT"/>
        </w:rPr>
      </w:pPr>
      <w:r>
        <w:rPr>
          <w:noProof/>
          <w:snapToGrid/>
          <w:szCs w:val="22"/>
          <w:lang w:val="lt-LT"/>
        </w:rPr>
        <w:t>Sudėtyje yra laktozės.</w:t>
      </w:r>
    </w:p>
    <w:p w14:paraId="56EE49DE" w14:textId="77777777" w:rsidR="0052346D" w:rsidRDefault="005A1771">
      <w:pPr>
        <w:tabs>
          <w:tab w:val="clear" w:pos="567"/>
        </w:tabs>
        <w:spacing w:line="240" w:lineRule="auto"/>
        <w:rPr>
          <w:noProof/>
          <w:snapToGrid/>
          <w:szCs w:val="22"/>
          <w:lang w:val="lt-LT"/>
        </w:rPr>
      </w:pPr>
      <w:r>
        <w:rPr>
          <w:noProof/>
          <w:snapToGrid/>
          <w:szCs w:val="22"/>
          <w:lang w:val="lt-LT"/>
        </w:rPr>
        <w:t>Daugiau informacijos pateikiama pakuotės lapelyje.</w:t>
      </w:r>
    </w:p>
    <w:p w14:paraId="0E949BA0" w14:textId="77777777" w:rsidR="0052346D" w:rsidRDefault="0052346D">
      <w:pPr>
        <w:tabs>
          <w:tab w:val="clear" w:pos="567"/>
        </w:tabs>
        <w:spacing w:line="240" w:lineRule="auto"/>
        <w:rPr>
          <w:noProof/>
          <w:snapToGrid/>
          <w:szCs w:val="22"/>
          <w:lang w:val="lt-LT"/>
        </w:rPr>
      </w:pPr>
    </w:p>
    <w:p w14:paraId="7622F1A9" w14:textId="77777777" w:rsidR="0052346D" w:rsidRDefault="0052346D">
      <w:pPr>
        <w:tabs>
          <w:tab w:val="clear" w:pos="567"/>
        </w:tabs>
        <w:spacing w:line="240" w:lineRule="auto"/>
        <w:rPr>
          <w:noProof/>
          <w:snapToGrid/>
          <w:szCs w:val="22"/>
          <w:lang w:val="lt-LT"/>
        </w:rPr>
      </w:pPr>
    </w:p>
    <w:p w14:paraId="359DC480" w14:textId="77777777" w:rsidR="0052346D" w:rsidRDefault="005A177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2"/>
          <w:lang w:val="lt-LT"/>
        </w:rPr>
      </w:pPr>
      <w:r>
        <w:rPr>
          <w:b/>
          <w:noProof/>
          <w:snapToGrid/>
          <w:szCs w:val="22"/>
          <w:lang w:val="lt-LT"/>
        </w:rPr>
        <w:t>4.</w:t>
      </w:r>
      <w:r>
        <w:rPr>
          <w:b/>
          <w:noProof/>
          <w:snapToGrid/>
          <w:szCs w:val="22"/>
          <w:lang w:val="lt-LT"/>
        </w:rPr>
        <w:tab/>
        <w:t>FARMACINĖ FORMA IR KIEKIS PAKUOTĖJE</w:t>
      </w:r>
    </w:p>
    <w:p w14:paraId="00882FC1" w14:textId="77777777" w:rsidR="0052346D" w:rsidRDefault="0052346D">
      <w:pPr>
        <w:tabs>
          <w:tab w:val="clear" w:pos="567"/>
        </w:tabs>
        <w:spacing w:line="240" w:lineRule="auto"/>
        <w:rPr>
          <w:noProof/>
          <w:snapToGrid/>
          <w:szCs w:val="22"/>
          <w:lang w:val="lt-LT"/>
        </w:rPr>
      </w:pPr>
    </w:p>
    <w:p w14:paraId="039CBD02" w14:textId="77777777" w:rsidR="0052346D" w:rsidRDefault="005A1771">
      <w:pPr>
        <w:tabs>
          <w:tab w:val="clear" w:pos="567"/>
        </w:tabs>
        <w:spacing w:line="240" w:lineRule="auto"/>
        <w:ind w:left="567" w:hanging="567"/>
        <w:rPr>
          <w:snapToGrid/>
          <w:szCs w:val="22"/>
          <w:lang w:val="lt-LT"/>
        </w:rPr>
      </w:pPr>
      <w:r>
        <w:rPr>
          <w:snapToGrid/>
          <w:szCs w:val="22"/>
          <w:highlight w:val="lightGray"/>
          <w:lang w:val="lt-LT"/>
        </w:rPr>
        <w:t>Tabletė</w:t>
      </w:r>
    </w:p>
    <w:p w14:paraId="2F0BAA8E" w14:textId="77777777" w:rsidR="0052346D" w:rsidRDefault="0052346D">
      <w:pPr>
        <w:tabs>
          <w:tab w:val="clear" w:pos="567"/>
        </w:tabs>
        <w:spacing w:line="240" w:lineRule="auto"/>
        <w:ind w:left="567" w:hanging="567"/>
        <w:rPr>
          <w:snapToGrid/>
          <w:szCs w:val="22"/>
          <w:lang w:val="lt-LT"/>
        </w:rPr>
      </w:pPr>
    </w:p>
    <w:p w14:paraId="6D9ACABB" w14:textId="77777777" w:rsidR="0052346D" w:rsidRDefault="005A1771">
      <w:pPr>
        <w:tabs>
          <w:tab w:val="clear" w:pos="567"/>
        </w:tabs>
        <w:spacing w:line="240" w:lineRule="auto"/>
        <w:rPr>
          <w:noProof/>
          <w:snapToGrid/>
          <w:szCs w:val="22"/>
          <w:lang w:val="lt-LT"/>
        </w:rPr>
      </w:pPr>
      <w:r>
        <w:rPr>
          <w:noProof/>
          <w:snapToGrid/>
          <w:szCs w:val="22"/>
          <w:lang w:val="lt-LT"/>
        </w:rPr>
        <w:t>10 tablečių</w:t>
      </w:r>
    </w:p>
    <w:p w14:paraId="66604AE0" w14:textId="77777777" w:rsidR="0052346D" w:rsidRDefault="005A1771">
      <w:pPr>
        <w:tabs>
          <w:tab w:val="clear" w:pos="567"/>
        </w:tabs>
        <w:spacing w:line="240" w:lineRule="auto"/>
        <w:rPr>
          <w:noProof/>
          <w:snapToGrid/>
          <w:szCs w:val="22"/>
          <w:highlight w:val="lightGray"/>
          <w:lang w:val="lt-LT"/>
        </w:rPr>
      </w:pPr>
      <w:r>
        <w:rPr>
          <w:noProof/>
          <w:snapToGrid/>
          <w:szCs w:val="22"/>
          <w:highlight w:val="lightGray"/>
          <w:lang w:val="lt-LT"/>
        </w:rPr>
        <w:t>14 tablečių</w:t>
      </w:r>
    </w:p>
    <w:p w14:paraId="17255B01" w14:textId="77777777" w:rsidR="0052346D" w:rsidRDefault="005A1771">
      <w:pPr>
        <w:tabs>
          <w:tab w:val="clear" w:pos="567"/>
        </w:tabs>
        <w:spacing w:line="240" w:lineRule="auto"/>
        <w:rPr>
          <w:noProof/>
          <w:snapToGrid/>
          <w:szCs w:val="22"/>
          <w:highlight w:val="lightGray"/>
          <w:lang w:val="lt-LT"/>
        </w:rPr>
      </w:pPr>
      <w:r>
        <w:rPr>
          <w:noProof/>
          <w:snapToGrid/>
          <w:szCs w:val="22"/>
          <w:highlight w:val="lightGray"/>
          <w:lang w:val="lt-LT"/>
        </w:rPr>
        <w:t>28 tabletės</w:t>
      </w:r>
    </w:p>
    <w:p w14:paraId="0F20F0DC" w14:textId="77777777" w:rsidR="0052346D" w:rsidRDefault="005A1771">
      <w:pPr>
        <w:tabs>
          <w:tab w:val="clear" w:pos="567"/>
        </w:tabs>
        <w:spacing w:line="240" w:lineRule="auto"/>
        <w:rPr>
          <w:noProof/>
          <w:snapToGrid/>
          <w:szCs w:val="22"/>
          <w:highlight w:val="lightGray"/>
          <w:lang w:val="lt-LT"/>
        </w:rPr>
      </w:pPr>
      <w:r>
        <w:rPr>
          <w:noProof/>
          <w:snapToGrid/>
          <w:szCs w:val="22"/>
          <w:highlight w:val="lightGray"/>
          <w:lang w:val="lt-LT"/>
        </w:rPr>
        <w:t>30 tablečių</w:t>
      </w:r>
    </w:p>
    <w:p w14:paraId="7DC4E3F0" w14:textId="77777777" w:rsidR="0052346D" w:rsidRDefault="005A1771">
      <w:pPr>
        <w:tabs>
          <w:tab w:val="clear" w:pos="567"/>
        </w:tabs>
        <w:spacing w:line="240" w:lineRule="auto"/>
        <w:rPr>
          <w:noProof/>
          <w:snapToGrid/>
          <w:szCs w:val="22"/>
          <w:highlight w:val="lightGray"/>
          <w:lang w:val="lt-LT"/>
        </w:rPr>
      </w:pPr>
      <w:r>
        <w:rPr>
          <w:noProof/>
          <w:snapToGrid/>
          <w:szCs w:val="22"/>
          <w:highlight w:val="lightGray"/>
          <w:lang w:val="lt-LT"/>
        </w:rPr>
        <w:t>56 tabletės</w:t>
      </w:r>
    </w:p>
    <w:p w14:paraId="05695AFD" w14:textId="77777777" w:rsidR="0052346D" w:rsidRDefault="005A1771">
      <w:pPr>
        <w:tabs>
          <w:tab w:val="clear" w:pos="567"/>
        </w:tabs>
        <w:spacing w:line="240" w:lineRule="auto"/>
        <w:rPr>
          <w:noProof/>
          <w:snapToGrid/>
          <w:szCs w:val="22"/>
          <w:highlight w:val="lightGray"/>
          <w:lang w:val="lt-LT"/>
        </w:rPr>
      </w:pPr>
      <w:r>
        <w:rPr>
          <w:noProof/>
          <w:snapToGrid/>
          <w:szCs w:val="22"/>
          <w:highlight w:val="lightGray"/>
          <w:lang w:val="lt-LT"/>
        </w:rPr>
        <w:t>60 tablečių</w:t>
      </w:r>
    </w:p>
    <w:p w14:paraId="35D4457F" w14:textId="77777777" w:rsidR="0052346D" w:rsidRDefault="005A1771">
      <w:pPr>
        <w:tabs>
          <w:tab w:val="clear" w:pos="567"/>
        </w:tabs>
        <w:spacing w:line="240" w:lineRule="auto"/>
        <w:rPr>
          <w:noProof/>
          <w:snapToGrid/>
          <w:szCs w:val="22"/>
          <w:highlight w:val="lightGray"/>
          <w:lang w:val="lt-LT"/>
        </w:rPr>
      </w:pPr>
      <w:r>
        <w:rPr>
          <w:noProof/>
          <w:snapToGrid/>
          <w:szCs w:val="22"/>
          <w:highlight w:val="lightGray"/>
          <w:lang w:val="lt-LT"/>
        </w:rPr>
        <w:t>84 tabletės</w:t>
      </w:r>
    </w:p>
    <w:p w14:paraId="2B7AEBB6" w14:textId="77777777" w:rsidR="0052346D" w:rsidRDefault="005A1771">
      <w:pPr>
        <w:tabs>
          <w:tab w:val="clear" w:pos="567"/>
        </w:tabs>
        <w:spacing w:line="240" w:lineRule="auto"/>
        <w:rPr>
          <w:noProof/>
          <w:snapToGrid/>
          <w:szCs w:val="22"/>
          <w:highlight w:val="lightGray"/>
          <w:lang w:val="lt-LT"/>
        </w:rPr>
      </w:pPr>
      <w:r>
        <w:rPr>
          <w:noProof/>
          <w:snapToGrid/>
          <w:szCs w:val="22"/>
          <w:highlight w:val="lightGray"/>
          <w:lang w:val="lt-LT"/>
        </w:rPr>
        <w:t>90 tablečių</w:t>
      </w:r>
    </w:p>
    <w:p w14:paraId="25B15F0A" w14:textId="77777777" w:rsidR="0052346D" w:rsidRDefault="005A1771">
      <w:pPr>
        <w:tabs>
          <w:tab w:val="clear" w:pos="567"/>
        </w:tabs>
        <w:spacing w:line="240" w:lineRule="auto"/>
        <w:rPr>
          <w:noProof/>
          <w:snapToGrid/>
          <w:szCs w:val="22"/>
          <w:highlight w:val="lightGray"/>
          <w:lang w:val="lt-LT"/>
        </w:rPr>
      </w:pPr>
      <w:r>
        <w:rPr>
          <w:noProof/>
          <w:snapToGrid/>
          <w:szCs w:val="22"/>
          <w:highlight w:val="lightGray"/>
          <w:lang w:val="lt-LT"/>
        </w:rPr>
        <w:t>98 tabletės</w:t>
      </w:r>
    </w:p>
    <w:p w14:paraId="2097C5C5" w14:textId="77777777" w:rsidR="0052346D" w:rsidRDefault="005A1771">
      <w:pPr>
        <w:tabs>
          <w:tab w:val="clear" w:pos="567"/>
        </w:tabs>
        <w:spacing w:line="240" w:lineRule="auto"/>
        <w:rPr>
          <w:noProof/>
          <w:snapToGrid/>
          <w:szCs w:val="22"/>
          <w:lang w:val="lt-LT"/>
        </w:rPr>
      </w:pPr>
      <w:r>
        <w:rPr>
          <w:noProof/>
          <w:snapToGrid/>
          <w:szCs w:val="22"/>
          <w:highlight w:val="lightGray"/>
          <w:lang w:val="lt-LT"/>
        </w:rPr>
        <w:t>100 tablečių</w:t>
      </w:r>
    </w:p>
    <w:p w14:paraId="798AE6D0" w14:textId="77777777" w:rsidR="0052346D" w:rsidRDefault="0052346D">
      <w:pPr>
        <w:tabs>
          <w:tab w:val="clear" w:pos="567"/>
        </w:tabs>
        <w:spacing w:line="240" w:lineRule="auto"/>
        <w:rPr>
          <w:noProof/>
          <w:snapToGrid/>
          <w:szCs w:val="22"/>
          <w:lang w:val="lt-LT"/>
        </w:rPr>
      </w:pPr>
    </w:p>
    <w:p w14:paraId="60C5A801" w14:textId="77777777" w:rsidR="0052346D" w:rsidRDefault="005A1771">
      <w:pPr>
        <w:tabs>
          <w:tab w:val="clear" w:pos="567"/>
        </w:tabs>
        <w:spacing w:line="240" w:lineRule="auto"/>
        <w:rPr>
          <w:noProof/>
          <w:snapToGrid/>
          <w:szCs w:val="22"/>
          <w:lang w:val="lt-LT"/>
        </w:rPr>
      </w:pPr>
      <w:r>
        <w:rPr>
          <w:noProof/>
          <w:snapToGrid/>
          <w:szCs w:val="22"/>
          <w:highlight w:val="lightGray"/>
          <w:lang w:val="lt-LT"/>
        </w:rPr>
        <w:t>Kalendorinė pakuotė</w:t>
      </w:r>
    </w:p>
    <w:p w14:paraId="19CB24AD" w14:textId="77777777" w:rsidR="0052346D" w:rsidRDefault="005A1771">
      <w:pPr>
        <w:tabs>
          <w:tab w:val="clear" w:pos="567"/>
        </w:tabs>
        <w:spacing w:line="240" w:lineRule="auto"/>
        <w:rPr>
          <w:noProof/>
          <w:snapToGrid/>
          <w:szCs w:val="22"/>
          <w:lang w:val="lt-LT"/>
        </w:rPr>
      </w:pPr>
      <w:r>
        <w:rPr>
          <w:noProof/>
          <w:snapToGrid/>
          <w:szCs w:val="22"/>
          <w:lang w:val="lt-LT"/>
        </w:rPr>
        <w:t>14 tablečių</w:t>
      </w:r>
    </w:p>
    <w:p w14:paraId="214AD36C" w14:textId="77777777" w:rsidR="0052346D" w:rsidRDefault="005A1771">
      <w:pPr>
        <w:tabs>
          <w:tab w:val="clear" w:pos="567"/>
        </w:tabs>
        <w:spacing w:line="240" w:lineRule="auto"/>
        <w:rPr>
          <w:noProof/>
          <w:snapToGrid/>
          <w:szCs w:val="22"/>
          <w:highlight w:val="lightGray"/>
          <w:lang w:val="lt-LT"/>
        </w:rPr>
      </w:pPr>
      <w:r>
        <w:rPr>
          <w:noProof/>
          <w:snapToGrid/>
          <w:szCs w:val="22"/>
          <w:highlight w:val="lightGray"/>
          <w:lang w:val="lt-LT"/>
        </w:rPr>
        <w:t>28 tabletės</w:t>
      </w:r>
    </w:p>
    <w:p w14:paraId="4E9D9027" w14:textId="77777777" w:rsidR="0052346D" w:rsidRDefault="005A1771">
      <w:pPr>
        <w:tabs>
          <w:tab w:val="clear" w:pos="567"/>
        </w:tabs>
        <w:spacing w:line="240" w:lineRule="auto"/>
        <w:rPr>
          <w:noProof/>
          <w:snapToGrid/>
          <w:szCs w:val="22"/>
          <w:highlight w:val="lightGray"/>
          <w:lang w:val="lt-LT"/>
        </w:rPr>
      </w:pPr>
      <w:r>
        <w:rPr>
          <w:noProof/>
          <w:snapToGrid/>
          <w:szCs w:val="22"/>
          <w:highlight w:val="lightGray"/>
          <w:lang w:val="lt-LT"/>
        </w:rPr>
        <w:t>56 tabletės</w:t>
      </w:r>
    </w:p>
    <w:p w14:paraId="0DB011AC" w14:textId="77777777" w:rsidR="0052346D" w:rsidRDefault="005A1771">
      <w:pPr>
        <w:tabs>
          <w:tab w:val="clear" w:pos="567"/>
        </w:tabs>
        <w:spacing w:line="240" w:lineRule="auto"/>
        <w:rPr>
          <w:noProof/>
          <w:snapToGrid/>
          <w:szCs w:val="22"/>
          <w:highlight w:val="lightGray"/>
          <w:lang w:val="lt-LT"/>
        </w:rPr>
      </w:pPr>
      <w:r>
        <w:rPr>
          <w:noProof/>
          <w:snapToGrid/>
          <w:szCs w:val="22"/>
          <w:highlight w:val="lightGray"/>
          <w:lang w:val="lt-LT"/>
        </w:rPr>
        <w:t>84 tabletės</w:t>
      </w:r>
    </w:p>
    <w:p w14:paraId="36A29D5F" w14:textId="77777777" w:rsidR="0052346D" w:rsidRDefault="005A1771">
      <w:pPr>
        <w:tabs>
          <w:tab w:val="clear" w:pos="567"/>
        </w:tabs>
        <w:spacing w:line="240" w:lineRule="auto"/>
        <w:rPr>
          <w:noProof/>
          <w:snapToGrid/>
          <w:szCs w:val="22"/>
          <w:highlight w:val="lightGray"/>
          <w:lang w:val="lt-LT"/>
        </w:rPr>
      </w:pPr>
      <w:r>
        <w:rPr>
          <w:noProof/>
          <w:snapToGrid/>
          <w:szCs w:val="22"/>
          <w:highlight w:val="lightGray"/>
          <w:lang w:val="lt-LT"/>
        </w:rPr>
        <w:t>98 tabletės</w:t>
      </w:r>
    </w:p>
    <w:p w14:paraId="177C0D98" w14:textId="77777777" w:rsidR="0052346D" w:rsidRDefault="0052346D">
      <w:pPr>
        <w:tabs>
          <w:tab w:val="clear" w:pos="567"/>
        </w:tabs>
        <w:spacing w:line="240" w:lineRule="auto"/>
        <w:rPr>
          <w:noProof/>
          <w:snapToGrid/>
          <w:szCs w:val="22"/>
          <w:lang w:val="lt-LT"/>
        </w:rPr>
      </w:pPr>
    </w:p>
    <w:p w14:paraId="0D225005" w14:textId="77777777" w:rsidR="0052346D" w:rsidRDefault="0052346D">
      <w:pPr>
        <w:tabs>
          <w:tab w:val="clear" w:pos="567"/>
        </w:tabs>
        <w:spacing w:line="240" w:lineRule="auto"/>
        <w:rPr>
          <w:noProof/>
          <w:snapToGrid/>
          <w:szCs w:val="22"/>
          <w:lang w:val="lt-LT"/>
        </w:rPr>
      </w:pPr>
    </w:p>
    <w:p w14:paraId="78649473" w14:textId="77777777" w:rsidR="0052346D" w:rsidRDefault="005A177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2"/>
          <w:highlight w:val="lightGray"/>
          <w:lang w:val="lt-LT"/>
        </w:rPr>
      </w:pPr>
      <w:r>
        <w:rPr>
          <w:b/>
          <w:noProof/>
          <w:snapToGrid/>
          <w:szCs w:val="22"/>
          <w:lang w:val="lt-LT"/>
        </w:rPr>
        <w:t>5.</w:t>
      </w:r>
      <w:r>
        <w:rPr>
          <w:b/>
          <w:noProof/>
          <w:snapToGrid/>
          <w:szCs w:val="22"/>
          <w:lang w:val="lt-LT"/>
        </w:rPr>
        <w:tab/>
        <w:t>VARTOJIMO METODAS IR BŪDAS (-AI)</w:t>
      </w:r>
    </w:p>
    <w:p w14:paraId="459FE84D" w14:textId="77777777" w:rsidR="0052346D" w:rsidRDefault="0052346D">
      <w:pPr>
        <w:tabs>
          <w:tab w:val="clear" w:pos="567"/>
        </w:tabs>
        <w:spacing w:line="240" w:lineRule="auto"/>
        <w:rPr>
          <w:i/>
          <w:noProof/>
          <w:snapToGrid/>
          <w:szCs w:val="22"/>
          <w:lang w:val="lt-LT"/>
        </w:rPr>
      </w:pPr>
    </w:p>
    <w:p w14:paraId="229FBACD" w14:textId="77777777" w:rsidR="0052346D" w:rsidRDefault="005A1771">
      <w:pPr>
        <w:tabs>
          <w:tab w:val="clear" w:pos="567"/>
        </w:tabs>
        <w:spacing w:line="240" w:lineRule="auto"/>
        <w:rPr>
          <w:noProof/>
          <w:snapToGrid/>
          <w:szCs w:val="22"/>
          <w:lang w:val="lt-LT"/>
        </w:rPr>
      </w:pPr>
      <w:r>
        <w:rPr>
          <w:noProof/>
          <w:snapToGrid/>
          <w:szCs w:val="22"/>
          <w:lang w:val="lt-LT"/>
        </w:rPr>
        <w:t>Prieš vartojimą perskaitykite pakuotės lapelį.</w:t>
      </w:r>
    </w:p>
    <w:p w14:paraId="64CE025E" w14:textId="77777777" w:rsidR="0052346D" w:rsidRDefault="0052346D">
      <w:pPr>
        <w:tabs>
          <w:tab w:val="clear" w:pos="567"/>
        </w:tabs>
        <w:spacing w:line="240" w:lineRule="auto"/>
        <w:rPr>
          <w:noProof/>
          <w:snapToGrid/>
          <w:szCs w:val="22"/>
          <w:lang w:val="lt-LT"/>
        </w:rPr>
      </w:pPr>
    </w:p>
    <w:p w14:paraId="4E3DBD52" w14:textId="77777777" w:rsidR="0052346D" w:rsidRDefault="005A1771">
      <w:pPr>
        <w:tabs>
          <w:tab w:val="clear" w:pos="567"/>
        </w:tabs>
        <w:spacing w:line="240" w:lineRule="auto"/>
        <w:rPr>
          <w:noProof/>
          <w:snapToGrid/>
          <w:szCs w:val="22"/>
          <w:lang w:val="lt-LT"/>
        </w:rPr>
      </w:pPr>
      <w:r>
        <w:rPr>
          <w:noProof/>
          <w:snapToGrid/>
          <w:szCs w:val="22"/>
          <w:lang w:val="lt-LT"/>
        </w:rPr>
        <w:t>Vartoti per burną.</w:t>
      </w:r>
    </w:p>
    <w:p w14:paraId="3194BF38" w14:textId="77777777" w:rsidR="0052346D" w:rsidRDefault="0052346D">
      <w:pPr>
        <w:tabs>
          <w:tab w:val="clear" w:pos="567"/>
        </w:tabs>
        <w:spacing w:line="240" w:lineRule="auto"/>
        <w:rPr>
          <w:noProof/>
          <w:snapToGrid/>
          <w:szCs w:val="22"/>
          <w:lang w:val="lt-LT"/>
        </w:rPr>
      </w:pPr>
    </w:p>
    <w:p w14:paraId="32788550" w14:textId="77777777" w:rsidR="0052346D" w:rsidRDefault="0052346D">
      <w:pPr>
        <w:tabs>
          <w:tab w:val="clear" w:pos="567"/>
        </w:tabs>
        <w:spacing w:line="240" w:lineRule="auto"/>
        <w:rPr>
          <w:noProof/>
          <w:snapToGrid/>
          <w:szCs w:val="22"/>
          <w:lang w:val="lt-LT"/>
        </w:rPr>
      </w:pPr>
    </w:p>
    <w:p w14:paraId="549F09DB" w14:textId="77777777" w:rsidR="0052346D" w:rsidRDefault="005A1771">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2"/>
          <w:lang w:val="lt-LT"/>
        </w:rPr>
      </w:pPr>
      <w:r>
        <w:rPr>
          <w:b/>
          <w:noProof/>
          <w:snapToGrid/>
          <w:szCs w:val="22"/>
          <w:lang w:val="lt-LT"/>
        </w:rPr>
        <w:lastRenderedPageBreak/>
        <w:t>6.</w:t>
      </w:r>
      <w:r>
        <w:rPr>
          <w:b/>
          <w:noProof/>
          <w:snapToGrid/>
          <w:szCs w:val="22"/>
          <w:lang w:val="lt-LT"/>
        </w:rPr>
        <w:tab/>
      </w:r>
      <w:r>
        <w:rPr>
          <w:b/>
          <w:bCs/>
          <w:noProof/>
          <w:snapToGrid/>
          <w:szCs w:val="22"/>
          <w:lang w:val="lt-LT"/>
        </w:rPr>
        <w:t>SPECIALUS ĮSPĖJIMAS, KAD VAISTINĮ PREPARATĄ BŪTINA LAIKYTI VAIKAMS NEPASTEBIMOJE IR NEPASIEKIAMOJE VIETOJE</w:t>
      </w:r>
    </w:p>
    <w:p w14:paraId="7449EE72" w14:textId="77777777" w:rsidR="0052346D" w:rsidRDefault="0052346D">
      <w:pPr>
        <w:tabs>
          <w:tab w:val="clear" w:pos="567"/>
        </w:tabs>
        <w:spacing w:line="240" w:lineRule="auto"/>
        <w:rPr>
          <w:noProof/>
          <w:snapToGrid/>
          <w:szCs w:val="22"/>
          <w:lang w:val="lt-LT"/>
        </w:rPr>
      </w:pPr>
    </w:p>
    <w:p w14:paraId="534D8E17" w14:textId="77777777" w:rsidR="0052346D" w:rsidRDefault="005A1771">
      <w:pPr>
        <w:tabs>
          <w:tab w:val="clear" w:pos="567"/>
        </w:tabs>
        <w:spacing w:line="240" w:lineRule="auto"/>
        <w:rPr>
          <w:iCs/>
          <w:noProof/>
          <w:snapToGrid/>
          <w:szCs w:val="22"/>
          <w:lang w:val="lt-LT"/>
        </w:rPr>
      </w:pPr>
      <w:r>
        <w:rPr>
          <w:iCs/>
          <w:noProof/>
          <w:snapToGrid/>
          <w:szCs w:val="22"/>
          <w:lang w:val="lt-LT"/>
        </w:rPr>
        <w:t>Laikyti vaikams nepastebimoje ir nepasiekiamoje vietoje.</w:t>
      </w:r>
    </w:p>
    <w:p w14:paraId="6150D9CD" w14:textId="77777777" w:rsidR="0052346D" w:rsidRDefault="0052346D">
      <w:pPr>
        <w:tabs>
          <w:tab w:val="clear" w:pos="567"/>
        </w:tabs>
        <w:spacing w:line="240" w:lineRule="auto"/>
        <w:rPr>
          <w:noProof/>
          <w:snapToGrid/>
          <w:szCs w:val="22"/>
          <w:lang w:val="lt-LT"/>
        </w:rPr>
      </w:pPr>
    </w:p>
    <w:p w14:paraId="75C07851" w14:textId="77777777" w:rsidR="0052346D" w:rsidRDefault="0052346D">
      <w:pPr>
        <w:tabs>
          <w:tab w:val="clear" w:pos="567"/>
        </w:tabs>
        <w:spacing w:line="240" w:lineRule="auto"/>
        <w:rPr>
          <w:noProof/>
          <w:snapToGrid/>
          <w:szCs w:val="22"/>
          <w:lang w:val="lt-LT"/>
        </w:rPr>
      </w:pPr>
    </w:p>
    <w:p w14:paraId="73D4BC60" w14:textId="77777777" w:rsidR="0052346D" w:rsidRDefault="005A177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2"/>
          <w:highlight w:val="lightGray"/>
          <w:lang w:val="lt-LT"/>
        </w:rPr>
      </w:pPr>
      <w:r>
        <w:rPr>
          <w:b/>
          <w:noProof/>
          <w:snapToGrid/>
          <w:szCs w:val="22"/>
          <w:lang w:val="lt-LT"/>
        </w:rPr>
        <w:t>7.</w:t>
      </w:r>
      <w:r>
        <w:rPr>
          <w:b/>
          <w:noProof/>
          <w:snapToGrid/>
          <w:szCs w:val="22"/>
          <w:lang w:val="lt-LT"/>
        </w:rPr>
        <w:tab/>
      </w:r>
      <w:r>
        <w:rPr>
          <w:b/>
          <w:bCs/>
          <w:noProof/>
          <w:snapToGrid/>
          <w:szCs w:val="22"/>
          <w:lang w:val="lt-LT"/>
        </w:rPr>
        <w:t>KITAS (-I) SPECIALUS (-ŪS) ĮSPĖJIMAS (-AI) (JEI REIKIA)</w:t>
      </w:r>
    </w:p>
    <w:p w14:paraId="434B9FF1" w14:textId="77777777" w:rsidR="0052346D" w:rsidRDefault="0052346D">
      <w:pPr>
        <w:tabs>
          <w:tab w:val="clear" w:pos="567"/>
        </w:tabs>
        <w:spacing w:line="240" w:lineRule="auto"/>
        <w:rPr>
          <w:noProof/>
          <w:snapToGrid/>
          <w:szCs w:val="22"/>
          <w:lang w:val="lt-LT"/>
        </w:rPr>
      </w:pPr>
    </w:p>
    <w:p w14:paraId="4743BE23" w14:textId="77777777" w:rsidR="0052346D" w:rsidRDefault="0052346D">
      <w:pPr>
        <w:tabs>
          <w:tab w:val="clear" w:pos="567"/>
        </w:tabs>
        <w:spacing w:line="240" w:lineRule="auto"/>
        <w:rPr>
          <w:noProof/>
          <w:snapToGrid/>
          <w:szCs w:val="22"/>
          <w:lang w:val="lt-LT"/>
        </w:rPr>
      </w:pPr>
    </w:p>
    <w:p w14:paraId="0CE2198A" w14:textId="77777777" w:rsidR="0052346D" w:rsidRDefault="005A177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2"/>
          <w:highlight w:val="lightGray"/>
          <w:lang w:val="lt-LT"/>
        </w:rPr>
      </w:pPr>
      <w:r>
        <w:rPr>
          <w:b/>
          <w:noProof/>
          <w:snapToGrid/>
          <w:szCs w:val="22"/>
          <w:lang w:val="lt-LT"/>
        </w:rPr>
        <w:t>8.</w:t>
      </w:r>
      <w:r>
        <w:rPr>
          <w:b/>
          <w:noProof/>
          <w:snapToGrid/>
          <w:szCs w:val="22"/>
          <w:lang w:val="lt-LT"/>
        </w:rPr>
        <w:tab/>
      </w:r>
      <w:r>
        <w:rPr>
          <w:b/>
          <w:bCs/>
          <w:noProof/>
          <w:snapToGrid/>
          <w:szCs w:val="22"/>
          <w:lang w:val="lt-LT"/>
        </w:rPr>
        <w:t>TINKAMUMO LAIKAS</w:t>
      </w:r>
    </w:p>
    <w:p w14:paraId="58FA67EC" w14:textId="77777777" w:rsidR="0052346D" w:rsidRDefault="0052346D">
      <w:pPr>
        <w:tabs>
          <w:tab w:val="clear" w:pos="567"/>
        </w:tabs>
        <w:spacing w:line="240" w:lineRule="auto"/>
        <w:rPr>
          <w:i/>
          <w:noProof/>
          <w:snapToGrid/>
          <w:szCs w:val="22"/>
          <w:lang w:val="lt-LT"/>
        </w:rPr>
      </w:pPr>
    </w:p>
    <w:p w14:paraId="1971A9B2" w14:textId="77777777" w:rsidR="0052346D" w:rsidRDefault="005A1771">
      <w:pPr>
        <w:tabs>
          <w:tab w:val="clear" w:pos="567"/>
        </w:tabs>
        <w:spacing w:line="240" w:lineRule="auto"/>
        <w:rPr>
          <w:noProof/>
          <w:snapToGrid/>
          <w:szCs w:val="22"/>
          <w:lang w:val="lt-LT"/>
        </w:rPr>
      </w:pPr>
      <w:r>
        <w:rPr>
          <w:noProof/>
          <w:snapToGrid/>
          <w:szCs w:val="22"/>
          <w:lang w:val="lt-LT"/>
        </w:rPr>
        <w:t xml:space="preserve">EXP </w:t>
      </w:r>
      <w:r>
        <w:rPr>
          <w:noProof/>
          <w:snapToGrid/>
          <w:szCs w:val="22"/>
          <w:highlight w:val="lightGray"/>
          <w:lang w:val="lt-LT"/>
        </w:rPr>
        <w:t>(mm/MMMM)</w:t>
      </w:r>
    </w:p>
    <w:p w14:paraId="3887C6CA" w14:textId="77777777" w:rsidR="0052346D" w:rsidRDefault="0052346D">
      <w:pPr>
        <w:tabs>
          <w:tab w:val="clear" w:pos="567"/>
        </w:tabs>
        <w:spacing w:line="240" w:lineRule="auto"/>
        <w:rPr>
          <w:noProof/>
          <w:snapToGrid/>
          <w:szCs w:val="22"/>
          <w:lang w:val="lt-LT"/>
        </w:rPr>
      </w:pPr>
    </w:p>
    <w:p w14:paraId="4BE204E8" w14:textId="77777777" w:rsidR="0052346D" w:rsidRDefault="0052346D">
      <w:pPr>
        <w:tabs>
          <w:tab w:val="clear" w:pos="567"/>
        </w:tabs>
        <w:spacing w:line="240" w:lineRule="auto"/>
        <w:rPr>
          <w:noProof/>
          <w:snapToGrid/>
          <w:szCs w:val="22"/>
          <w:lang w:val="lt-LT"/>
        </w:rPr>
      </w:pPr>
    </w:p>
    <w:p w14:paraId="38E303BC" w14:textId="77777777" w:rsidR="0052346D" w:rsidRDefault="005A177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2"/>
          <w:lang w:val="lt-LT"/>
        </w:rPr>
      </w:pPr>
      <w:r>
        <w:rPr>
          <w:b/>
          <w:noProof/>
          <w:snapToGrid/>
          <w:szCs w:val="22"/>
          <w:lang w:val="lt-LT"/>
        </w:rPr>
        <w:t>9.</w:t>
      </w:r>
      <w:r>
        <w:rPr>
          <w:b/>
          <w:noProof/>
          <w:snapToGrid/>
          <w:szCs w:val="22"/>
          <w:lang w:val="lt-LT"/>
        </w:rPr>
        <w:tab/>
      </w:r>
      <w:r>
        <w:rPr>
          <w:b/>
          <w:caps/>
          <w:noProof/>
          <w:snapToGrid/>
          <w:szCs w:val="22"/>
          <w:lang w:val="lt-LT"/>
        </w:rPr>
        <w:t>SPECIALIOS laikymo sąlygos</w:t>
      </w:r>
    </w:p>
    <w:p w14:paraId="781319C3" w14:textId="77777777" w:rsidR="0052346D" w:rsidRDefault="0052346D">
      <w:pPr>
        <w:tabs>
          <w:tab w:val="clear" w:pos="567"/>
        </w:tabs>
        <w:spacing w:line="240" w:lineRule="auto"/>
        <w:rPr>
          <w:i/>
          <w:noProof/>
          <w:snapToGrid/>
          <w:szCs w:val="22"/>
          <w:lang w:val="lt-LT"/>
        </w:rPr>
      </w:pPr>
    </w:p>
    <w:p w14:paraId="0FD03F36" w14:textId="77777777" w:rsidR="0052346D" w:rsidRDefault="005A1771">
      <w:pPr>
        <w:widowControl w:val="0"/>
        <w:tabs>
          <w:tab w:val="clear" w:pos="567"/>
          <w:tab w:val="left" w:pos="1296"/>
        </w:tabs>
        <w:snapToGrid w:val="0"/>
        <w:spacing w:line="240" w:lineRule="auto"/>
        <w:rPr>
          <w:bCs/>
          <w:snapToGrid/>
          <w:szCs w:val="22"/>
          <w:lang w:val="lt-LT" w:eastAsia="it-IT"/>
        </w:rPr>
      </w:pPr>
      <w:r>
        <w:rPr>
          <w:bCs/>
          <w:snapToGrid/>
          <w:szCs w:val="22"/>
          <w:lang w:val="lt-LT" w:eastAsia="it-IT"/>
        </w:rPr>
        <w:t xml:space="preserve">Laikyti ne aukštesnėje kaip </w:t>
      </w:r>
      <w:r>
        <w:rPr>
          <w:snapToGrid/>
          <w:szCs w:val="22"/>
          <w:lang w:val="lt-LT"/>
        </w:rPr>
        <w:t>30</w:t>
      </w:r>
      <w:r>
        <w:rPr>
          <w:snapToGrid/>
          <w:szCs w:val="22"/>
          <w:lang w:val="en-US"/>
        </w:rPr>
        <w:sym w:font="Symbol" w:char="F0B0"/>
      </w:r>
      <w:r>
        <w:rPr>
          <w:snapToGrid/>
          <w:szCs w:val="22"/>
          <w:lang w:val="lt-LT"/>
        </w:rPr>
        <w:t>C temperatūroje.</w:t>
      </w:r>
    </w:p>
    <w:p w14:paraId="4315A759" w14:textId="77777777" w:rsidR="0052346D" w:rsidRDefault="005A1771">
      <w:pPr>
        <w:widowControl w:val="0"/>
        <w:tabs>
          <w:tab w:val="clear" w:pos="567"/>
          <w:tab w:val="left" w:pos="1296"/>
        </w:tabs>
        <w:snapToGrid w:val="0"/>
        <w:spacing w:line="240" w:lineRule="auto"/>
        <w:rPr>
          <w:bCs/>
          <w:snapToGrid/>
          <w:szCs w:val="22"/>
          <w:lang w:val="lt-LT" w:eastAsia="it-IT"/>
        </w:rPr>
      </w:pPr>
      <w:r>
        <w:rPr>
          <w:bCs/>
          <w:snapToGrid/>
          <w:szCs w:val="22"/>
          <w:lang w:val="lt-LT" w:eastAsia="it-IT"/>
        </w:rPr>
        <w:t>Laikyti gamintojo pakuotėje, kad vaistas būtų apsaugotas nuo šviesos ir drėgmės.</w:t>
      </w:r>
    </w:p>
    <w:p w14:paraId="30C1EC08" w14:textId="77777777" w:rsidR="0052346D" w:rsidRDefault="0052346D">
      <w:pPr>
        <w:tabs>
          <w:tab w:val="clear" w:pos="567"/>
        </w:tabs>
        <w:spacing w:line="240" w:lineRule="auto"/>
        <w:ind w:left="567" w:hanging="567"/>
        <w:rPr>
          <w:i/>
          <w:iCs/>
          <w:snapToGrid/>
          <w:szCs w:val="22"/>
          <w:lang w:val="lt-LT"/>
        </w:rPr>
      </w:pPr>
    </w:p>
    <w:p w14:paraId="1A88BB8F" w14:textId="77777777" w:rsidR="0052346D" w:rsidRDefault="0052346D">
      <w:pPr>
        <w:tabs>
          <w:tab w:val="clear" w:pos="567"/>
        </w:tabs>
        <w:spacing w:line="240" w:lineRule="auto"/>
        <w:ind w:left="567" w:hanging="567"/>
        <w:rPr>
          <w:noProof/>
          <w:snapToGrid/>
          <w:szCs w:val="22"/>
          <w:lang w:val="lt-LT"/>
        </w:rPr>
      </w:pPr>
    </w:p>
    <w:p w14:paraId="0A902FD3" w14:textId="77777777" w:rsidR="0052346D" w:rsidRDefault="005A177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napToGrid/>
          <w:szCs w:val="22"/>
          <w:lang w:val="lt-LT"/>
        </w:rPr>
      </w:pPr>
      <w:r>
        <w:rPr>
          <w:b/>
          <w:noProof/>
          <w:snapToGrid/>
          <w:szCs w:val="22"/>
          <w:lang w:val="lt-LT"/>
        </w:rPr>
        <w:t>10.</w:t>
      </w:r>
      <w:bookmarkStart w:id="7" w:name="_Hlk176429194"/>
      <w:r>
        <w:rPr>
          <w:b/>
          <w:noProof/>
          <w:snapToGrid/>
          <w:szCs w:val="22"/>
          <w:lang w:val="lt-LT"/>
        </w:rPr>
        <w:tab/>
      </w:r>
      <w:bookmarkEnd w:id="7"/>
      <w:r>
        <w:rPr>
          <w:b/>
          <w:caps/>
          <w:noProof/>
          <w:snapToGrid/>
          <w:szCs w:val="22"/>
          <w:lang w:val="lt-LT"/>
        </w:rPr>
        <w:t>specialios atsargumo priemonės DĖL NESUVARTOTO</w:t>
      </w:r>
      <w:r>
        <w:rPr>
          <w:b/>
          <w:bCs/>
          <w:noProof/>
          <w:snapToGrid/>
          <w:szCs w:val="22"/>
          <w:lang w:val="lt-LT"/>
        </w:rPr>
        <w:t xml:space="preserve"> </w:t>
      </w:r>
      <w:r>
        <w:rPr>
          <w:b/>
          <w:bCs/>
          <w:caps/>
          <w:noProof/>
          <w:snapToGrid/>
          <w:szCs w:val="22"/>
          <w:lang w:val="lt-LT"/>
        </w:rPr>
        <w:t>VAISTINIO PREPARATO AR JO ATLIEKU</w:t>
      </w:r>
      <w:r>
        <w:rPr>
          <w:caps/>
          <w:noProof/>
          <w:snapToGrid/>
          <w:szCs w:val="22"/>
          <w:lang w:val="lt-LT"/>
        </w:rPr>
        <w:t xml:space="preserve"> </w:t>
      </w:r>
      <w:r>
        <w:rPr>
          <w:b/>
          <w:bCs/>
          <w:caps/>
          <w:noProof/>
          <w:snapToGrid/>
          <w:szCs w:val="22"/>
          <w:lang w:val="lt-LT"/>
        </w:rPr>
        <w:t>TVARKYMO</w:t>
      </w:r>
      <w:r>
        <w:rPr>
          <w:b/>
          <w:caps/>
          <w:noProof/>
          <w:snapToGrid/>
          <w:szCs w:val="22"/>
          <w:lang w:val="lt-LT"/>
        </w:rPr>
        <w:t xml:space="preserve"> (jei reikia)</w:t>
      </w:r>
    </w:p>
    <w:p w14:paraId="58876115" w14:textId="77777777" w:rsidR="0052346D" w:rsidRDefault="0052346D">
      <w:pPr>
        <w:tabs>
          <w:tab w:val="clear" w:pos="567"/>
        </w:tabs>
        <w:spacing w:line="240" w:lineRule="auto"/>
        <w:rPr>
          <w:noProof/>
          <w:snapToGrid/>
          <w:szCs w:val="22"/>
          <w:lang w:val="lt-LT"/>
        </w:rPr>
      </w:pPr>
    </w:p>
    <w:p w14:paraId="5CA43BA4" w14:textId="77777777" w:rsidR="0052346D" w:rsidRDefault="0052346D">
      <w:pPr>
        <w:tabs>
          <w:tab w:val="clear" w:pos="567"/>
        </w:tabs>
        <w:spacing w:line="240" w:lineRule="auto"/>
        <w:rPr>
          <w:noProof/>
          <w:snapToGrid/>
          <w:szCs w:val="22"/>
          <w:lang w:val="lt-LT"/>
        </w:rPr>
      </w:pPr>
    </w:p>
    <w:p w14:paraId="2390FAB1" w14:textId="77777777" w:rsidR="0052346D" w:rsidRDefault="005A1771">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napToGrid/>
          <w:szCs w:val="22"/>
          <w:lang w:val="lt-LT"/>
        </w:rPr>
      </w:pPr>
      <w:r>
        <w:rPr>
          <w:b/>
          <w:noProof/>
          <w:snapToGrid/>
          <w:szCs w:val="22"/>
          <w:lang w:val="lt-LT"/>
        </w:rPr>
        <w:t>11.</w:t>
      </w:r>
      <w:r>
        <w:rPr>
          <w:b/>
          <w:noProof/>
          <w:snapToGrid/>
          <w:szCs w:val="22"/>
          <w:lang w:val="lt-LT"/>
        </w:rPr>
        <w:tab/>
      </w:r>
      <w:r>
        <w:rPr>
          <w:b/>
          <w:caps/>
          <w:noProof/>
          <w:szCs w:val="22"/>
          <w:lang w:val="lt-LT"/>
        </w:rPr>
        <w:t xml:space="preserve">REGISTRUOTOJO </w:t>
      </w:r>
      <w:r>
        <w:rPr>
          <w:b/>
          <w:caps/>
          <w:noProof/>
          <w:snapToGrid/>
          <w:szCs w:val="22"/>
          <w:lang w:val="lt-LT"/>
        </w:rPr>
        <w:t>pavadinimas ir adresas</w:t>
      </w:r>
    </w:p>
    <w:p w14:paraId="0BEE124C" w14:textId="77777777" w:rsidR="0052346D" w:rsidRDefault="0052346D">
      <w:pPr>
        <w:tabs>
          <w:tab w:val="clear" w:pos="567"/>
        </w:tabs>
        <w:spacing w:line="240" w:lineRule="auto"/>
        <w:rPr>
          <w:snapToGrid/>
          <w:szCs w:val="22"/>
          <w:lang w:val="lt-LT"/>
        </w:rPr>
      </w:pPr>
    </w:p>
    <w:p w14:paraId="4740B7B7" w14:textId="77777777" w:rsidR="0052346D" w:rsidRDefault="005A1771">
      <w:pPr>
        <w:widowControl w:val="0"/>
        <w:tabs>
          <w:tab w:val="clear" w:pos="567"/>
        </w:tabs>
        <w:spacing w:line="240" w:lineRule="auto"/>
        <w:rPr>
          <w:rFonts w:eastAsia="SimSun"/>
          <w:snapToGrid/>
          <w:szCs w:val="22"/>
          <w:lang w:val="sl-SI" w:eastAsia="sl-SI"/>
        </w:rPr>
      </w:pPr>
      <w:r>
        <w:rPr>
          <w:rFonts w:eastAsia="SimSun"/>
          <w:snapToGrid/>
          <w:szCs w:val="22"/>
          <w:lang w:val="sl-SI" w:eastAsia="sl-SI"/>
        </w:rPr>
        <w:t>KRKA, d.d., Novo mesto, Šmarješka cesta 6, 8501 Novo mesto, Slovėnija</w:t>
      </w:r>
    </w:p>
    <w:p w14:paraId="18D4B39C" w14:textId="77777777" w:rsidR="0052346D" w:rsidRDefault="0052346D">
      <w:pPr>
        <w:tabs>
          <w:tab w:val="clear" w:pos="567"/>
        </w:tabs>
        <w:spacing w:line="240" w:lineRule="auto"/>
        <w:rPr>
          <w:noProof/>
          <w:snapToGrid/>
          <w:szCs w:val="22"/>
          <w:lang w:val="lt-LT"/>
        </w:rPr>
      </w:pPr>
    </w:p>
    <w:p w14:paraId="32FB3021" w14:textId="77777777" w:rsidR="0052346D" w:rsidRDefault="0052346D">
      <w:pPr>
        <w:tabs>
          <w:tab w:val="clear" w:pos="567"/>
        </w:tabs>
        <w:spacing w:line="240" w:lineRule="auto"/>
        <w:rPr>
          <w:noProof/>
          <w:snapToGrid/>
          <w:szCs w:val="22"/>
          <w:lang w:val="lt-LT"/>
        </w:rPr>
      </w:pPr>
    </w:p>
    <w:p w14:paraId="69722E43" w14:textId="77777777" w:rsidR="0052346D" w:rsidRDefault="005A177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napToGrid/>
          <w:szCs w:val="22"/>
          <w:lang w:val="lt-LT"/>
        </w:rPr>
      </w:pPr>
      <w:r>
        <w:rPr>
          <w:b/>
          <w:noProof/>
          <w:snapToGrid/>
          <w:szCs w:val="22"/>
          <w:lang w:val="lt-LT"/>
        </w:rPr>
        <w:t>12.</w:t>
      </w:r>
      <w:r>
        <w:rPr>
          <w:b/>
          <w:noProof/>
          <w:snapToGrid/>
          <w:szCs w:val="22"/>
          <w:lang w:val="lt-LT"/>
        </w:rPr>
        <w:tab/>
      </w:r>
      <w:r>
        <w:rPr>
          <w:b/>
          <w:noProof/>
          <w:szCs w:val="22"/>
          <w:lang w:val="lt-LT"/>
        </w:rPr>
        <w:t xml:space="preserve">REGISTRACIJOS PAŽYMĖJIMO </w:t>
      </w:r>
      <w:r>
        <w:rPr>
          <w:b/>
          <w:caps/>
          <w:noProof/>
          <w:snapToGrid/>
          <w:szCs w:val="22"/>
          <w:lang w:val="lt-LT"/>
        </w:rPr>
        <w:t>numeris</w:t>
      </w:r>
      <w:r>
        <w:rPr>
          <w:b/>
          <w:noProof/>
          <w:snapToGrid/>
          <w:szCs w:val="22"/>
          <w:lang w:val="lt-LT"/>
        </w:rPr>
        <w:t xml:space="preserve"> </w:t>
      </w:r>
      <w:r>
        <w:rPr>
          <w:b/>
          <w:snapToGrid/>
          <w:szCs w:val="22"/>
          <w:lang w:val="lt-LT"/>
        </w:rPr>
        <w:t>(-IAI)</w:t>
      </w:r>
    </w:p>
    <w:p w14:paraId="5C65BD18" w14:textId="77777777" w:rsidR="0052346D" w:rsidRDefault="0052346D">
      <w:pPr>
        <w:tabs>
          <w:tab w:val="clear" w:pos="567"/>
        </w:tabs>
        <w:spacing w:line="240" w:lineRule="auto"/>
        <w:rPr>
          <w:noProof/>
          <w:snapToGrid/>
          <w:szCs w:val="22"/>
          <w:lang w:val="lt-LT"/>
        </w:rPr>
      </w:pPr>
    </w:p>
    <w:p w14:paraId="46142C1E" w14:textId="77777777" w:rsidR="0052346D" w:rsidRDefault="005A1771">
      <w:pPr>
        <w:tabs>
          <w:tab w:val="clear" w:pos="567"/>
        </w:tabs>
        <w:spacing w:line="240" w:lineRule="auto"/>
        <w:rPr>
          <w:snapToGrid/>
          <w:szCs w:val="22"/>
          <w:lang w:val="lt-LT"/>
        </w:rPr>
      </w:pPr>
      <w:r>
        <w:rPr>
          <w:snapToGrid/>
          <w:szCs w:val="22"/>
          <w:highlight w:val="lightGray"/>
          <w:lang w:val="lt-LT"/>
        </w:rPr>
        <w:t>&lt;8 mg/2,5 mg&gt;</w:t>
      </w:r>
    </w:p>
    <w:p w14:paraId="0EED520B" w14:textId="77777777" w:rsidR="0052346D" w:rsidRDefault="005A1771">
      <w:pPr>
        <w:tabs>
          <w:tab w:val="clear" w:pos="567"/>
        </w:tabs>
        <w:spacing w:line="240" w:lineRule="auto"/>
        <w:rPr>
          <w:snapToGrid/>
          <w:szCs w:val="22"/>
          <w:highlight w:val="lightGray"/>
          <w:lang w:val="lt-LT"/>
        </w:rPr>
      </w:pPr>
      <w:r>
        <w:rPr>
          <w:snapToGrid/>
          <w:szCs w:val="22"/>
          <w:lang w:val="lt-LT"/>
        </w:rPr>
        <w:t xml:space="preserve">LT/1/24/5630/001 </w:t>
      </w:r>
      <w:r>
        <w:rPr>
          <w:snapToGrid/>
          <w:szCs w:val="22"/>
          <w:highlight w:val="lightGray"/>
          <w:lang w:val="lt-LT"/>
        </w:rPr>
        <w:t>– N10</w:t>
      </w:r>
    </w:p>
    <w:p w14:paraId="41712CFD" w14:textId="77777777" w:rsidR="0052346D" w:rsidRDefault="005A1771">
      <w:pPr>
        <w:tabs>
          <w:tab w:val="clear" w:pos="567"/>
        </w:tabs>
        <w:spacing w:line="240" w:lineRule="auto"/>
        <w:rPr>
          <w:snapToGrid/>
          <w:szCs w:val="22"/>
          <w:highlight w:val="lightGray"/>
          <w:lang w:val="lt-LT"/>
        </w:rPr>
      </w:pPr>
      <w:r>
        <w:rPr>
          <w:snapToGrid/>
          <w:szCs w:val="22"/>
          <w:highlight w:val="lightGray"/>
          <w:lang w:val="lt-LT"/>
        </w:rPr>
        <w:t>LT/1/24/5630/002 – N14</w:t>
      </w:r>
    </w:p>
    <w:p w14:paraId="2DD7BA35" w14:textId="77777777" w:rsidR="0052346D" w:rsidRDefault="005A1771">
      <w:pPr>
        <w:tabs>
          <w:tab w:val="clear" w:pos="567"/>
        </w:tabs>
        <w:spacing w:line="240" w:lineRule="auto"/>
        <w:rPr>
          <w:snapToGrid/>
          <w:szCs w:val="22"/>
          <w:highlight w:val="lightGray"/>
          <w:lang w:val="lt-LT"/>
        </w:rPr>
      </w:pPr>
      <w:r>
        <w:rPr>
          <w:snapToGrid/>
          <w:szCs w:val="22"/>
          <w:highlight w:val="lightGray"/>
          <w:lang w:val="lt-LT"/>
        </w:rPr>
        <w:t>LT/1/24/5630/003 – N28</w:t>
      </w:r>
    </w:p>
    <w:p w14:paraId="480F43FE" w14:textId="77777777" w:rsidR="0052346D" w:rsidRDefault="005A1771">
      <w:pPr>
        <w:tabs>
          <w:tab w:val="clear" w:pos="567"/>
        </w:tabs>
        <w:spacing w:line="240" w:lineRule="auto"/>
        <w:rPr>
          <w:snapToGrid/>
          <w:szCs w:val="22"/>
          <w:highlight w:val="lightGray"/>
          <w:lang w:val="lt-LT"/>
        </w:rPr>
      </w:pPr>
      <w:r>
        <w:rPr>
          <w:snapToGrid/>
          <w:szCs w:val="22"/>
          <w:highlight w:val="lightGray"/>
          <w:lang w:val="lt-LT"/>
        </w:rPr>
        <w:t>LT/1/24/5630/004 – N30</w:t>
      </w:r>
    </w:p>
    <w:p w14:paraId="0CB03EB8" w14:textId="77777777" w:rsidR="0052346D" w:rsidRDefault="005A1771">
      <w:pPr>
        <w:tabs>
          <w:tab w:val="clear" w:pos="567"/>
        </w:tabs>
        <w:spacing w:line="240" w:lineRule="auto"/>
        <w:rPr>
          <w:snapToGrid/>
          <w:szCs w:val="22"/>
          <w:highlight w:val="lightGray"/>
          <w:lang w:val="lt-LT"/>
        </w:rPr>
      </w:pPr>
      <w:r>
        <w:rPr>
          <w:snapToGrid/>
          <w:szCs w:val="22"/>
          <w:highlight w:val="lightGray"/>
          <w:lang w:val="lt-LT"/>
        </w:rPr>
        <w:t>LT/1/24/5630/005 – N56</w:t>
      </w:r>
    </w:p>
    <w:p w14:paraId="6062CB58" w14:textId="77777777" w:rsidR="0052346D" w:rsidRDefault="005A1771">
      <w:pPr>
        <w:tabs>
          <w:tab w:val="clear" w:pos="567"/>
        </w:tabs>
        <w:spacing w:line="240" w:lineRule="auto"/>
        <w:rPr>
          <w:snapToGrid/>
          <w:szCs w:val="22"/>
          <w:highlight w:val="lightGray"/>
          <w:lang w:val="lt-LT"/>
        </w:rPr>
      </w:pPr>
      <w:r>
        <w:rPr>
          <w:snapToGrid/>
          <w:szCs w:val="22"/>
          <w:highlight w:val="lightGray"/>
          <w:lang w:val="lt-LT"/>
        </w:rPr>
        <w:t>LT/1/24/5630/006 – N60</w:t>
      </w:r>
    </w:p>
    <w:p w14:paraId="491FD924" w14:textId="77777777" w:rsidR="0052346D" w:rsidRDefault="005A1771">
      <w:pPr>
        <w:tabs>
          <w:tab w:val="clear" w:pos="567"/>
        </w:tabs>
        <w:spacing w:line="240" w:lineRule="auto"/>
        <w:rPr>
          <w:snapToGrid/>
          <w:szCs w:val="22"/>
          <w:highlight w:val="lightGray"/>
          <w:lang w:val="lt-LT"/>
        </w:rPr>
      </w:pPr>
      <w:r>
        <w:rPr>
          <w:snapToGrid/>
          <w:szCs w:val="22"/>
          <w:highlight w:val="lightGray"/>
          <w:lang w:val="lt-LT"/>
        </w:rPr>
        <w:t>LT/1/24/5630/007 – N84</w:t>
      </w:r>
    </w:p>
    <w:p w14:paraId="65DA22AD" w14:textId="77777777" w:rsidR="0052346D" w:rsidRDefault="005A1771">
      <w:pPr>
        <w:tabs>
          <w:tab w:val="clear" w:pos="567"/>
        </w:tabs>
        <w:spacing w:line="240" w:lineRule="auto"/>
        <w:rPr>
          <w:snapToGrid/>
          <w:szCs w:val="22"/>
          <w:highlight w:val="lightGray"/>
          <w:lang w:val="lt-LT"/>
        </w:rPr>
      </w:pPr>
      <w:r>
        <w:rPr>
          <w:snapToGrid/>
          <w:szCs w:val="22"/>
          <w:highlight w:val="lightGray"/>
          <w:lang w:val="lt-LT"/>
        </w:rPr>
        <w:t>LT/1/24/5630/008 – N90</w:t>
      </w:r>
    </w:p>
    <w:p w14:paraId="7C713690" w14:textId="77777777" w:rsidR="0052346D" w:rsidRDefault="005A1771">
      <w:pPr>
        <w:tabs>
          <w:tab w:val="clear" w:pos="567"/>
        </w:tabs>
        <w:spacing w:line="240" w:lineRule="auto"/>
        <w:rPr>
          <w:snapToGrid/>
          <w:szCs w:val="22"/>
          <w:highlight w:val="lightGray"/>
          <w:lang w:val="lt-LT"/>
        </w:rPr>
      </w:pPr>
      <w:r>
        <w:rPr>
          <w:snapToGrid/>
          <w:szCs w:val="22"/>
          <w:highlight w:val="lightGray"/>
          <w:lang w:val="lt-LT"/>
        </w:rPr>
        <w:t>LT/1/24/5630/009 – N98</w:t>
      </w:r>
    </w:p>
    <w:p w14:paraId="1E472BD9" w14:textId="77777777" w:rsidR="0052346D" w:rsidRDefault="005A1771">
      <w:pPr>
        <w:tabs>
          <w:tab w:val="clear" w:pos="567"/>
        </w:tabs>
        <w:spacing w:line="240" w:lineRule="auto"/>
        <w:rPr>
          <w:snapToGrid/>
          <w:szCs w:val="22"/>
          <w:highlight w:val="lightGray"/>
          <w:lang w:val="lt-LT"/>
        </w:rPr>
      </w:pPr>
      <w:r>
        <w:rPr>
          <w:snapToGrid/>
          <w:szCs w:val="22"/>
          <w:highlight w:val="lightGray"/>
          <w:lang w:val="lt-LT"/>
        </w:rPr>
        <w:t>LT/1/24/5630/010 – N100</w:t>
      </w:r>
    </w:p>
    <w:p w14:paraId="2B69EF49" w14:textId="77777777" w:rsidR="0052346D" w:rsidRDefault="005A1771">
      <w:pPr>
        <w:tabs>
          <w:tab w:val="clear" w:pos="567"/>
        </w:tabs>
        <w:spacing w:line="240" w:lineRule="auto"/>
        <w:rPr>
          <w:snapToGrid/>
          <w:szCs w:val="22"/>
          <w:highlight w:val="lightGray"/>
          <w:lang w:val="lt-LT"/>
        </w:rPr>
      </w:pPr>
      <w:r>
        <w:rPr>
          <w:snapToGrid/>
          <w:szCs w:val="22"/>
          <w:highlight w:val="lightGray"/>
          <w:u w:val="single"/>
          <w:lang w:val="lt-LT"/>
        </w:rPr>
        <w:t>kalendorinė pakuotė</w:t>
      </w:r>
      <w:r>
        <w:rPr>
          <w:snapToGrid/>
          <w:szCs w:val="22"/>
          <w:highlight w:val="lightGray"/>
          <w:lang w:val="lt-LT"/>
        </w:rPr>
        <w:t>:</w:t>
      </w:r>
    </w:p>
    <w:p w14:paraId="1A0D99FD" w14:textId="77777777" w:rsidR="0052346D" w:rsidRDefault="005A1771">
      <w:pPr>
        <w:tabs>
          <w:tab w:val="clear" w:pos="567"/>
        </w:tabs>
        <w:spacing w:line="240" w:lineRule="auto"/>
        <w:rPr>
          <w:snapToGrid/>
          <w:szCs w:val="22"/>
          <w:highlight w:val="lightGray"/>
          <w:lang w:val="lt-LT"/>
        </w:rPr>
      </w:pPr>
      <w:r>
        <w:rPr>
          <w:snapToGrid/>
          <w:szCs w:val="22"/>
          <w:lang w:val="lt-LT"/>
        </w:rPr>
        <w:t xml:space="preserve">LT/1/24/5630/011 </w:t>
      </w:r>
      <w:r>
        <w:rPr>
          <w:snapToGrid/>
          <w:szCs w:val="22"/>
          <w:highlight w:val="lightGray"/>
          <w:lang w:val="lt-LT"/>
        </w:rPr>
        <w:t>– N14</w:t>
      </w:r>
    </w:p>
    <w:p w14:paraId="16D949EB" w14:textId="77777777" w:rsidR="0052346D" w:rsidRDefault="005A1771">
      <w:pPr>
        <w:tabs>
          <w:tab w:val="clear" w:pos="567"/>
        </w:tabs>
        <w:spacing w:line="240" w:lineRule="auto"/>
        <w:rPr>
          <w:snapToGrid/>
          <w:szCs w:val="22"/>
          <w:highlight w:val="lightGray"/>
          <w:lang w:val="lt-LT"/>
        </w:rPr>
      </w:pPr>
      <w:r>
        <w:rPr>
          <w:snapToGrid/>
          <w:szCs w:val="22"/>
          <w:highlight w:val="lightGray"/>
          <w:lang w:val="lt-LT"/>
        </w:rPr>
        <w:t>LT/1/24/5630/012 – N28</w:t>
      </w:r>
    </w:p>
    <w:p w14:paraId="28F56908" w14:textId="77777777" w:rsidR="0052346D" w:rsidRDefault="005A1771">
      <w:pPr>
        <w:tabs>
          <w:tab w:val="clear" w:pos="567"/>
        </w:tabs>
        <w:spacing w:line="240" w:lineRule="auto"/>
        <w:rPr>
          <w:snapToGrid/>
          <w:szCs w:val="22"/>
          <w:highlight w:val="lightGray"/>
          <w:lang w:val="lt-LT"/>
        </w:rPr>
      </w:pPr>
      <w:r>
        <w:rPr>
          <w:snapToGrid/>
          <w:szCs w:val="22"/>
          <w:highlight w:val="lightGray"/>
          <w:lang w:val="lt-LT"/>
        </w:rPr>
        <w:t>LT/1/24/5630/013 – N56</w:t>
      </w:r>
    </w:p>
    <w:p w14:paraId="69CB1545" w14:textId="77777777" w:rsidR="0052346D" w:rsidRDefault="005A1771">
      <w:pPr>
        <w:tabs>
          <w:tab w:val="clear" w:pos="567"/>
        </w:tabs>
        <w:spacing w:line="240" w:lineRule="auto"/>
        <w:rPr>
          <w:snapToGrid/>
          <w:szCs w:val="22"/>
          <w:highlight w:val="lightGray"/>
          <w:lang w:val="lt-LT"/>
        </w:rPr>
      </w:pPr>
      <w:r>
        <w:rPr>
          <w:snapToGrid/>
          <w:szCs w:val="22"/>
          <w:highlight w:val="lightGray"/>
          <w:lang w:val="lt-LT"/>
        </w:rPr>
        <w:t>LT/1/24/5630/014 – N84</w:t>
      </w:r>
    </w:p>
    <w:p w14:paraId="2EFBEF34" w14:textId="77777777" w:rsidR="0052346D" w:rsidRDefault="005A1771">
      <w:pPr>
        <w:tabs>
          <w:tab w:val="clear" w:pos="567"/>
        </w:tabs>
        <w:spacing w:line="240" w:lineRule="auto"/>
        <w:rPr>
          <w:snapToGrid/>
          <w:szCs w:val="22"/>
          <w:lang w:val="lt-LT"/>
        </w:rPr>
      </w:pPr>
      <w:r>
        <w:rPr>
          <w:snapToGrid/>
          <w:szCs w:val="22"/>
          <w:highlight w:val="lightGray"/>
          <w:lang w:val="lt-LT"/>
        </w:rPr>
        <w:t>LT/1/24/5630/015 – N98</w:t>
      </w:r>
      <w:r>
        <w:rPr>
          <w:snapToGrid/>
          <w:szCs w:val="22"/>
          <w:lang w:val="lt-LT"/>
        </w:rPr>
        <w:tab/>
      </w:r>
    </w:p>
    <w:p w14:paraId="12147064" w14:textId="77777777" w:rsidR="0052346D" w:rsidRDefault="0052346D">
      <w:pPr>
        <w:tabs>
          <w:tab w:val="clear" w:pos="567"/>
        </w:tabs>
        <w:spacing w:line="240" w:lineRule="auto"/>
        <w:rPr>
          <w:snapToGrid/>
          <w:szCs w:val="22"/>
          <w:lang w:val="lt-LT"/>
        </w:rPr>
      </w:pPr>
    </w:p>
    <w:p w14:paraId="35285F48" w14:textId="77777777" w:rsidR="0052346D" w:rsidRDefault="005A1771">
      <w:pPr>
        <w:tabs>
          <w:tab w:val="clear" w:pos="567"/>
        </w:tabs>
        <w:spacing w:line="240" w:lineRule="auto"/>
        <w:rPr>
          <w:snapToGrid/>
          <w:szCs w:val="22"/>
          <w:highlight w:val="lightGray"/>
          <w:lang w:val="lt-LT"/>
        </w:rPr>
      </w:pPr>
      <w:r>
        <w:rPr>
          <w:snapToGrid/>
          <w:szCs w:val="22"/>
          <w:highlight w:val="lightGray"/>
          <w:lang w:val="lt-LT"/>
        </w:rPr>
        <w:t>&lt;16 mg/2,5 mg&gt;</w:t>
      </w:r>
    </w:p>
    <w:p w14:paraId="68DC1469" w14:textId="77777777" w:rsidR="0052346D" w:rsidRDefault="005A1771">
      <w:pPr>
        <w:tabs>
          <w:tab w:val="clear" w:pos="567"/>
        </w:tabs>
        <w:spacing w:line="240" w:lineRule="auto"/>
        <w:rPr>
          <w:snapToGrid/>
          <w:szCs w:val="22"/>
          <w:highlight w:val="lightGray"/>
          <w:lang w:val="lt-LT"/>
        </w:rPr>
      </w:pPr>
      <w:r>
        <w:rPr>
          <w:snapToGrid/>
          <w:szCs w:val="22"/>
          <w:highlight w:val="lightGray"/>
          <w:lang w:val="lt-LT"/>
        </w:rPr>
        <w:t>LT/1/24/5631/001 – N10</w:t>
      </w:r>
    </w:p>
    <w:p w14:paraId="5E07F661" w14:textId="77777777" w:rsidR="0052346D" w:rsidRDefault="005A1771">
      <w:pPr>
        <w:tabs>
          <w:tab w:val="clear" w:pos="567"/>
        </w:tabs>
        <w:spacing w:line="240" w:lineRule="auto"/>
        <w:rPr>
          <w:snapToGrid/>
          <w:szCs w:val="22"/>
          <w:highlight w:val="lightGray"/>
          <w:lang w:val="lt-LT"/>
        </w:rPr>
      </w:pPr>
      <w:r>
        <w:rPr>
          <w:snapToGrid/>
          <w:szCs w:val="22"/>
          <w:highlight w:val="lightGray"/>
          <w:lang w:val="lt-LT"/>
        </w:rPr>
        <w:t>LT/1/24/5631/002 – N14</w:t>
      </w:r>
    </w:p>
    <w:p w14:paraId="7283D934" w14:textId="77777777" w:rsidR="0052346D" w:rsidRDefault="005A1771">
      <w:pPr>
        <w:tabs>
          <w:tab w:val="clear" w:pos="567"/>
        </w:tabs>
        <w:spacing w:line="240" w:lineRule="auto"/>
        <w:rPr>
          <w:snapToGrid/>
          <w:szCs w:val="22"/>
          <w:highlight w:val="lightGray"/>
          <w:lang w:val="lt-LT"/>
        </w:rPr>
      </w:pPr>
      <w:r>
        <w:rPr>
          <w:snapToGrid/>
          <w:szCs w:val="22"/>
          <w:highlight w:val="lightGray"/>
          <w:lang w:val="lt-LT"/>
        </w:rPr>
        <w:t>LT/1/24/5631/003 – N28</w:t>
      </w:r>
    </w:p>
    <w:p w14:paraId="4730844B" w14:textId="77777777" w:rsidR="0052346D" w:rsidRDefault="005A1771">
      <w:pPr>
        <w:tabs>
          <w:tab w:val="clear" w:pos="567"/>
        </w:tabs>
        <w:spacing w:line="240" w:lineRule="auto"/>
        <w:rPr>
          <w:snapToGrid/>
          <w:szCs w:val="22"/>
          <w:highlight w:val="lightGray"/>
          <w:lang w:val="lt-LT"/>
        </w:rPr>
      </w:pPr>
      <w:r>
        <w:rPr>
          <w:snapToGrid/>
          <w:szCs w:val="22"/>
          <w:highlight w:val="lightGray"/>
          <w:lang w:val="lt-LT"/>
        </w:rPr>
        <w:t>LT/1/24/5631/004 – N30</w:t>
      </w:r>
    </w:p>
    <w:p w14:paraId="2B501A5F" w14:textId="77777777" w:rsidR="0052346D" w:rsidRDefault="005A1771">
      <w:pPr>
        <w:tabs>
          <w:tab w:val="clear" w:pos="567"/>
        </w:tabs>
        <w:spacing w:line="240" w:lineRule="auto"/>
        <w:rPr>
          <w:snapToGrid/>
          <w:szCs w:val="22"/>
          <w:highlight w:val="lightGray"/>
          <w:lang w:val="lt-LT"/>
        </w:rPr>
      </w:pPr>
      <w:r>
        <w:rPr>
          <w:snapToGrid/>
          <w:szCs w:val="22"/>
          <w:highlight w:val="lightGray"/>
          <w:lang w:val="lt-LT"/>
        </w:rPr>
        <w:t>LT/1/24/5631/005 – N56</w:t>
      </w:r>
    </w:p>
    <w:p w14:paraId="3B108248" w14:textId="77777777" w:rsidR="0052346D" w:rsidRDefault="005A1771">
      <w:pPr>
        <w:tabs>
          <w:tab w:val="clear" w:pos="567"/>
        </w:tabs>
        <w:spacing w:line="240" w:lineRule="auto"/>
        <w:rPr>
          <w:snapToGrid/>
          <w:szCs w:val="22"/>
          <w:highlight w:val="lightGray"/>
          <w:lang w:val="lt-LT"/>
        </w:rPr>
      </w:pPr>
      <w:r>
        <w:rPr>
          <w:snapToGrid/>
          <w:szCs w:val="22"/>
          <w:highlight w:val="lightGray"/>
          <w:lang w:val="lt-LT"/>
        </w:rPr>
        <w:lastRenderedPageBreak/>
        <w:t>LT/1/24/5631/006 – N60</w:t>
      </w:r>
    </w:p>
    <w:p w14:paraId="0362E0D9" w14:textId="77777777" w:rsidR="0052346D" w:rsidRDefault="005A1771">
      <w:pPr>
        <w:tabs>
          <w:tab w:val="clear" w:pos="567"/>
        </w:tabs>
        <w:spacing w:line="240" w:lineRule="auto"/>
        <w:rPr>
          <w:snapToGrid/>
          <w:szCs w:val="22"/>
          <w:highlight w:val="lightGray"/>
          <w:lang w:val="lt-LT"/>
        </w:rPr>
      </w:pPr>
      <w:r>
        <w:rPr>
          <w:snapToGrid/>
          <w:szCs w:val="22"/>
          <w:highlight w:val="lightGray"/>
          <w:lang w:val="lt-LT"/>
        </w:rPr>
        <w:t>LT/1/24/5631/007 – N84</w:t>
      </w:r>
    </w:p>
    <w:p w14:paraId="03588C66" w14:textId="77777777" w:rsidR="0052346D" w:rsidRDefault="005A1771">
      <w:pPr>
        <w:tabs>
          <w:tab w:val="clear" w:pos="567"/>
        </w:tabs>
        <w:spacing w:line="240" w:lineRule="auto"/>
        <w:rPr>
          <w:snapToGrid/>
          <w:szCs w:val="22"/>
          <w:highlight w:val="lightGray"/>
          <w:lang w:val="lt-LT"/>
        </w:rPr>
      </w:pPr>
      <w:r>
        <w:rPr>
          <w:snapToGrid/>
          <w:szCs w:val="22"/>
          <w:highlight w:val="lightGray"/>
          <w:lang w:val="lt-LT"/>
        </w:rPr>
        <w:t>LT/1/24/5631/008 – N90</w:t>
      </w:r>
    </w:p>
    <w:p w14:paraId="770ED4EE" w14:textId="77777777" w:rsidR="0052346D" w:rsidRDefault="005A1771">
      <w:pPr>
        <w:tabs>
          <w:tab w:val="clear" w:pos="567"/>
        </w:tabs>
        <w:spacing w:line="240" w:lineRule="auto"/>
        <w:rPr>
          <w:snapToGrid/>
          <w:szCs w:val="22"/>
          <w:highlight w:val="lightGray"/>
          <w:lang w:val="lt-LT"/>
        </w:rPr>
      </w:pPr>
      <w:r>
        <w:rPr>
          <w:snapToGrid/>
          <w:szCs w:val="22"/>
          <w:highlight w:val="lightGray"/>
          <w:lang w:val="lt-LT"/>
        </w:rPr>
        <w:t>LT/1/24/5631/009 – N98</w:t>
      </w:r>
    </w:p>
    <w:p w14:paraId="0F0BB14A" w14:textId="77777777" w:rsidR="0052346D" w:rsidRDefault="005A1771">
      <w:pPr>
        <w:tabs>
          <w:tab w:val="clear" w:pos="567"/>
        </w:tabs>
        <w:spacing w:line="240" w:lineRule="auto"/>
        <w:rPr>
          <w:snapToGrid/>
          <w:szCs w:val="22"/>
          <w:highlight w:val="lightGray"/>
          <w:lang w:val="lt-LT"/>
        </w:rPr>
      </w:pPr>
      <w:r>
        <w:rPr>
          <w:snapToGrid/>
          <w:szCs w:val="22"/>
          <w:highlight w:val="lightGray"/>
          <w:lang w:val="lt-LT"/>
        </w:rPr>
        <w:t>LT/1/24/5631/010 – N100</w:t>
      </w:r>
    </w:p>
    <w:p w14:paraId="4E9D1D0D" w14:textId="77777777" w:rsidR="0052346D" w:rsidRDefault="005A1771">
      <w:pPr>
        <w:tabs>
          <w:tab w:val="clear" w:pos="567"/>
        </w:tabs>
        <w:spacing w:line="240" w:lineRule="auto"/>
        <w:rPr>
          <w:snapToGrid/>
          <w:szCs w:val="22"/>
          <w:highlight w:val="lightGray"/>
          <w:lang w:val="lt-LT"/>
        </w:rPr>
      </w:pPr>
      <w:r>
        <w:rPr>
          <w:snapToGrid/>
          <w:szCs w:val="22"/>
          <w:highlight w:val="lightGray"/>
          <w:u w:val="single"/>
          <w:lang w:val="lt-LT"/>
        </w:rPr>
        <w:t>kalendorinė pakuotė</w:t>
      </w:r>
      <w:r>
        <w:rPr>
          <w:snapToGrid/>
          <w:szCs w:val="22"/>
          <w:highlight w:val="lightGray"/>
          <w:lang w:val="lt-LT"/>
        </w:rPr>
        <w:t>:</w:t>
      </w:r>
    </w:p>
    <w:p w14:paraId="7C706C43" w14:textId="77777777" w:rsidR="0052346D" w:rsidRDefault="005A1771">
      <w:pPr>
        <w:tabs>
          <w:tab w:val="clear" w:pos="567"/>
        </w:tabs>
        <w:spacing w:line="240" w:lineRule="auto"/>
        <w:rPr>
          <w:snapToGrid/>
          <w:szCs w:val="22"/>
          <w:highlight w:val="lightGray"/>
          <w:lang w:val="lt-LT"/>
        </w:rPr>
      </w:pPr>
      <w:r>
        <w:rPr>
          <w:snapToGrid/>
          <w:szCs w:val="22"/>
          <w:highlight w:val="lightGray"/>
          <w:lang w:val="lt-LT"/>
        </w:rPr>
        <w:t>LT/1/24/5631/011 – N14</w:t>
      </w:r>
    </w:p>
    <w:p w14:paraId="7FF63FCC" w14:textId="77777777" w:rsidR="0052346D" w:rsidRDefault="005A1771">
      <w:pPr>
        <w:tabs>
          <w:tab w:val="clear" w:pos="567"/>
        </w:tabs>
        <w:spacing w:line="240" w:lineRule="auto"/>
        <w:rPr>
          <w:snapToGrid/>
          <w:szCs w:val="22"/>
          <w:highlight w:val="lightGray"/>
          <w:lang w:val="lt-LT"/>
        </w:rPr>
      </w:pPr>
      <w:r>
        <w:rPr>
          <w:snapToGrid/>
          <w:szCs w:val="22"/>
          <w:highlight w:val="lightGray"/>
          <w:lang w:val="lt-LT"/>
        </w:rPr>
        <w:t>LT/1/24/5631/012 – N28</w:t>
      </w:r>
    </w:p>
    <w:p w14:paraId="24FA5FE2" w14:textId="77777777" w:rsidR="0052346D" w:rsidRDefault="005A1771">
      <w:pPr>
        <w:tabs>
          <w:tab w:val="clear" w:pos="567"/>
        </w:tabs>
        <w:spacing w:line="240" w:lineRule="auto"/>
        <w:rPr>
          <w:snapToGrid/>
          <w:szCs w:val="22"/>
          <w:highlight w:val="lightGray"/>
          <w:lang w:val="lt-LT"/>
        </w:rPr>
      </w:pPr>
      <w:r>
        <w:rPr>
          <w:snapToGrid/>
          <w:szCs w:val="22"/>
          <w:highlight w:val="lightGray"/>
          <w:lang w:val="lt-LT"/>
        </w:rPr>
        <w:t>LT/1/24/5631/013 – N56</w:t>
      </w:r>
    </w:p>
    <w:p w14:paraId="343D34CC" w14:textId="77777777" w:rsidR="0052346D" w:rsidRDefault="005A1771">
      <w:pPr>
        <w:tabs>
          <w:tab w:val="clear" w:pos="567"/>
        </w:tabs>
        <w:spacing w:line="240" w:lineRule="auto"/>
        <w:rPr>
          <w:snapToGrid/>
          <w:szCs w:val="22"/>
          <w:highlight w:val="lightGray"/>
          <w:lang w:val="lt-LT"/>
        </w:rPr>
      </w:pPr>
      <w:r>
        <w:rPr>
          <w:snapToGrid/>
          <w:szCs w:val="22"/>
          <w:highlight w:val="lightGray"/>
          <w:lang w:val="lt-LT"/>
        </w:rPr>
        <w:t>LT/1/24/5631/014 – N84</w:t>
      </w:r>
    </w:p>
    <w:p w14:paraId="2B1F4BD4" w14:textId="77777777" w:rsidR="0052346D" w:rsidRDefault="005A1771">
      <w:pPr>
        <w:tabs>
          <w:tab w:val="clear" w:pos="567"/>
        </w:tabs>
        <w:spacing w:line="240" w:lineRule="auto"/>
        <w:rPr>
          <w:snapToGrid/>
          <w:szCs w:val="22"/>
          <w:lang w:val="lt-LT"/>
        </w:rPr>
      </w:pPr>
      <w:r>
        <w:rPr>
          <w:snapToGrid/>
          <w:szCs w:val="22"/>
          <w:highlight w:val="lightGray"/>
          <w:lang w:val="lt-LT"/>
        </w:rPr>
        <w:t>LT/1/24/5631/015 – N98</w:t>
      </w:r>
    </w:p>
    <w:p w14:paraId="6AACD60F" w14:textId="77777777" w:rsidR="0052346D" w:rsidRDefault="0052346D">
      <w:pPr>
        <w:tabs>
          <w:tab w:val="clear" w:pos="567"/>
        </w:tabs>
        <w:spacing w:line="240" w:lineRule="auto"/>
        <w:rPr>
          <w:snapToGrid/>
          <w:szCs w:val="22"/>
          <w:lang w:val="lt-LT"/>
        </w:rPr>
      </w:pPr>
    </w:p>
    <w:p w14:paraId="039CF9AF" w14:textId="77777777" w:rsidR="0052346D" w:rsidRDefault="0052346D">
      <w:pPr>
        <w:tabs>
          <w:tab w:val="clear" w:pos="567"/>
        </w:tabs>
        <w:spacing w:line="240" w:lineRule="auto"/>
        <w:rPr>
          <w:noProof/>
          <w:snapToGrid/>
          <w:szCs w:val="22"/>
          <w:lang w:val="lt-LT"/>
        </w:rPr>
      </w:pPr>
    </w:p>
    <w:p w14:paraId="38236832" w14:textId="77777777" w:rsidR="0052346D" w:rsidRDefault="005A177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napToGrid/>
          <w:szCs w:val="22"/>
          <w:lang w:val="lt-LT"/>
        </w:rPr>
      </w:pPr>
      <w:r>
        <w:rPr>
          <w:b/>
          <w:noProof/>
          <w:snapToGrid/>
          <w:szCs w:val="22"/>
          <w:lang w:val="lt-LT"/>
        </w:rPr>
        <w:t>13.</w:t>
      </w:r>
      <w:r>
        <w:rPr>
          <w:b/>
          <w:noProof/>
          <w:snapToGrid/>
          <w:szCs w:val="22"/>
          <w:lang w:val="lt-LT"/>
        </w:rPr>
        <w:tab/>
        <w:t>SERIJOS NUMERIS</w:t>
      </w:r>
    </w:p>
    <w:p w14:paraId="416113CA" w14:textId="77777777" w:rsidR="0052346D" w:rsidRDefault="0052346D">
      <w:pPr>
        <w:tabs>
          <w:tab w:val="clear" w:pos="567"/>
        </w:tabs>
        <w:spacing w:line="240" w:lineRule="auto"/>
        <w:rPr>
          <w:i/>
          <w:noProof/>
          <w:snapToGrid/>
          <w:szCs w:val="22"/>
          <w:lang w:val="lt-LT"/>
        </w:rPr>
      </w:pPr>
    </w:p>
    <w:p w14:paraId="44410D1E" w14:textId="77777777" w:rsidR="0052346D" w:rsidRDefault="005A1771">
      <w:pPr>
        <w:tabs>
          <w:tab w:val="clear" w:pos="567"/>
        </w:tabs>
        <w:spacing w:line="240" w:lineRule="auto"/>
        <w:rPr>
          <w:noProof/>
          <w:snapToGrid/>
          <w:szCs w:val="22"/>
          <w:lang w:val="lt-LT"/>
        </w:rPr>
      </w:pPr>
      <w:r>
        <w:rPr>
          <w:noProof/>
          <w:snapToGrid/>
          <w:szCs w:val="22"/>
          <w:lang w:val="lt-LT"/>
        </w:rPr>
        <w:t>Lot</w:t>
      </w:r>
    </w:p>
    <w:p w14:paraId="0EA0FE7C" w14:textId="77777777" w:rsidR="0052346D" w:rsidRDefault="0052346D">
      <w:pPr>
        <w:tabs>
          <w:tab w:val="clear" w:pos="567"/>
        </w:tabs>
        <w:spacing w:line="240" w:lineRule="auto"/>
        <w:rPr>
          <w:noProof/>
          <w:snapToGrid/>
          <w:szCs w:val="22"/>
          <w:lang w:val="lt-LT"/>
        </w:rPr>
      </w:pPr>
    </w:p>
    <w:p w14:paraId="514F9291" w14:textId="77777777" w:rsidR="0052346D" w:rsidRDefault="0052346D">
      <w:pPr>
        <w:tabs>
          <w:tab w:val="clear" w:pos="567"/>
        </w:tabs>
        <w:spacing w:line="240" w:lineRule="auto"/>
        <w:rPr>
          <w:noProof/>
          <w:snapToGrid/>
          <w:szCs w:val="22"/>
          <w:lang w:val="lt-LT"/>
        </w:rPr>
      </w:pPr>
    </w:p>
    <w:p w14:paraId="74B6B55D" w14:textId="77777777" w:rsidR="0052346D" w:rsidRDefault="005A177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napToGrid/>
          <w:szCs w:val="22"/>
          <w:lang w:val="lt-LT"/>
        </w:rPr>
      </w:pPr>
      <w:r>
        <w:rPr>
          <w:b/>
          <w:noProof/>
          <w:snapToGrid/>
          <w:szCs w:val="22"/>
          <w:lang w:val="lt-LT"/>
        </w:rPr>
        <w:t>14.</w:t>
      </w:r>
      <w:r>
        <w:rPr>
          <w:b/>
          <w:noProof/>
          <w:snapToGrid/>
          <w:szCs w:val="22"/>
          <w:lang w:val="lt-LT"/>
        </w:rPr>
        <w:tab/>
        <w:t>PARDAVIMO (IŠDAVIMO)</w:t>
      </w:r>
      <w:r>
        <w:rPr>
          <w:b/>
          <w:caps/>
          <w:noProof/>
          <w:snapToGrid/>
          <w:szCs w:val="22"/>
          <w:lang w:val="lt-LT"/>
        </w:rPr>
        <w:t xml:space="preserve"> tvarka</w:t>
      </w:r>
    </w:p>
    <w:p w14:paraId="2058B82F" w14:textId="77777777" w:rsidR="0052346D" w:rsidRDefault="0052346D">
      <w:pPr>
        <w:tabs>
          <w:tab w:val="clear" w:pos="567"/>
        </w:tabs>
        <w:spacing w:line="240" w:lineRule="auto"/>
        <w:rPr>
          <w:noProof/>
          <w:snapToGrid/>
          <w:szCs w:val="22"/>
          <w:lang w:val="lt-LT"/>
        </w:rPr>
      </w:pPr>
    </w:p>
    <w:p w14:paraId="069E9F3F" w14:textId="77777777" w:rsidR="0052346D" w:rsidRDefault="005A1771">
      <w:pPr>
        <w:widowControl w:val="0"/>
        <w:tabs>
          <w:tab w:val="clear" w:pos="567"/>
        </w:tabs>
        <w:spacing w:line="240" w:lineRule="auto"/>
        <w:rPr>
          <w:rFonts w:eastAsia="SimSun"/>
          <w:snapToGrid/>
          <w:szCs w:val="22"/>
          <w:lang w:val="sl-SI" w:eastAsia="sl-SI"/>
        </w:rPr>
      </w:pPr>
      <w:r>
        <w:rPr>
          <w:rFonts w:eastAsia="SimSun"/>
          <w:snapToGrid/>
          <w:szCs w:val="22"/>
          <w:lang w:val="sl-SI" w:eastAsia="sl-SI"/>
        </w:rPr>
        <w:t>Receptinis vaistas.</w:t>
      </w:r>
    </w:p>
    <w:p w14:paraId="0E4FE1E5" w14:textId="77777777" w:rsidR="0052346D" w:rsidRDefault="0052346D">
      <w:pPr>
        <w:tabs>
          <w:tab w:val="clear" w:pos="567"/>
        </w:tabs>
        <w:spacing w:line="240" w:lineRule="auto"/>
        <w:rPr>
          <w:noProof/>
          <w:snapToGrid/>
          <w:szCs w:val="22"/>
          <w:lang w:val="lt-LT"/>
        </w:rPr>
      </w:pPr>
    </w:p>
    <w:p w14:paraId="2999D5E6" w14:textId="77777777" w:rsidR="0052346D" w:rsidRDefault="0052346D">
      <w:pPr>
        <w:tabs>
          <w:tab w:val="clear" w:pos="567"/>
        </w:tabs>
        <w:spacing w:line="240" w:lineRule="auto"/>
        <w:rPr>
          <w:noProof/>
          <w:snapToGrid/>
          <w:szCs w:val="22"/>
          <w:lang w:val="lt-LT"/>
        </w:rPr>
      </w:pPr>
    </w:p>
    <w:p w14:paraId="0DAFABE1" w14:textId="77777777" w:rsidR="0052346D" w:rsidRDefault="005A177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napToGrid/>
          <w:szCs w:val="22"/>
          <w:lang w:val="lt-LT"/>
        </w:rPr>
      </w:pPr>
      <w:r>
        <w:rPr>
          <w:b/>
          <w:noProof/>
          <w:snapToGrid/>
          <w:szCs w:val="22"/>
          <w:lang w:val="lt-LT"/>
        </w:rPr>
        <w:t>15.</w:t>
      </w:r>
      <w:r>
        <w:rPr>
          <w:b/>
          <w:noProof/>
          <w:snapToGrid/>
          <w:szCs w:val="22"/>
          <w:lang w:val="lt-LT"/>
        </w:rPr>
        <w:tab/>
      </w:r>
      <w:r>
        <w:rPr>
          <w:b/>
          <w:caps/>
          <w:noProof/>
          <w:snapToGrid/>
          <w:szCs w:val="22"/>
          <w:lang w:val="lt-LT"/>
        </w:rPr>
        <w:t>vartojimo instrukcijA</w:t>
      </w:r>
    </w:p>
    <w:p w14:paraId="2761899E" w14:textId="77777777" w:rsidR="0052346D" w:rsidRDefault="0052346D">
      <w:pPr>
        <w:tabs>
          <w:tab w:val="clear" w:pos="567"/>
        </w:tabs>
        <w:spacing w:line="240" w:lineRule="auto"/>
        <w:rPr>
          <w:noProof/>
          <w:snapToGrid/>
          <w:szCs w:val="22"/>
          <w:lang w:val="lt-LT"/>
        </w:rPr>
      </w:pPr>
    </w:p>
    <w:p w14:paraId="63E932AF" w14:textId="77777777" w:rsidR="0052346D" w:rsidRDefault="0052346D">
      <w:pPr>
        <w:tabs>
          <w:tab w:val="clear" w:pos="567"/>
        </w:tabs>
        <w:spacing w:line="240" w:lineRule="auto"/>
        <w:rPr>
          <w:i/>
          <w:iCs/>
          <w:snapToGrid/>
          <w:szCs w:val="22"/>
          <w:lang w:val="lt-LT"/>
        </w:rPr>
      </w:pPr>
    </w:p>
    <w:p w14:paraId="044A5DF0" w14:textId="77777777" w:rsidR="0052346D" w:rsidRDefault="0052346D">
      <w:pPr>
        <w:tabs>
          <w:tab w:val="clear" w:pos="567"/>
        </w:tabs>
        <w:spacing w:line="240" w:lineRule="auto"/>
        <w:rPr>
          <w:noProof/>
          <w:snapToGrid/>
          <w:szCs w:val="22"/>
          <w:lang w:val="lt-LT"/>
        </w:rPr>
      </w:pPr>
    </w:p>
    <w:p w14:paraId="3402650E" w14:textId="77777777" w:rsidR="0052346D" w:rsidRDefault="005A177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napToGrid/>
          <w:szCs w:val="22"/>
          <w:lang w:val="lt-LT"/>
        </w:rPr>
      </w:pPr>
      <w:r>
        <w:rPr>
          <w:b/>
          <w:noProof/>
          <w:snapToGrid/>
          <w:szCs w:val="22"/>
          <w:lang w:val="lt-LT"/>
        </w:rPr>
        <w:t>16.</w:t>
      </w:r>
      <w:r>
        <w:rPr>
          <w:b/>
          <w:noProof/>
          <w:snapToGrid/>
          <w:szCs w:val="22"/>
          <w:lang w:val="lt-LT"/>
        </w:rPr>
        <w:tab/>
        <w:t>INFORMACIJA BRAILIO RAŠTU</w:t>
      </w:r>
    </w:p>
    <w:p w14:paraId="5AEB8BA6" w14:textId="77777777" w:rsidR="0052346D" w:rsidRDefault="0052346D">
      <w:pPr>
        <w:tabs>
          <w:tab w:val="clear" w:pos="567"/>
        </w:tabs>
        <w:spacing w:line="240" w:lineRule="auto"/>
        <w:rPr>
          <w:noProof/>
          <w:snapToGrid/>
          <w:szCs w:val="22"/>
          <w:lang w:val="lt-LT"/>
        </w:rPr>
      </w:pPr>
    </w:p>
    <w:p w14:paraId="195936AC" w14:textId="77777777" w:rsidR="0052346D" w:rsidRDefault="005A1771">
      <w:pPr>
        <w:tabs>
          <w:tab w:val="clear" w:pos="567"/>
        </w:tabs>
        <w:spacing w:line="240" w:lineRule="auto"/>
        <w:ind w:left="567" w:hanging="567"/>
        <w:rPr>
          <w:snapToGrid/>
          <w:szCs w:val="22"/>
          <w:lang w:val="lt-LT"/>
        </w:rPr>
      </w:pPr>
      <w:r>
        <w:rPr>
          <w:snapToGrid/>
          <w:szCs w:val="22"/>
          <w:lang w:val="lt-LT"/>
        </w:rPr>
        <w:t xml:space="preserve">Kanpiduo </w:t>
      </w:r>
      <w:r>
        <w:rPr>
          <w:noProof/>
          <w:snapToGrid/>
          <w:szCs w:val="22"/>
          <w:lang w:val="lt-LT"/>
        </w:rPr>
        <w:t>8 mg/2,5 mg</w:t>
      </w:r>
    </w:p>
    <w:p w14:paraId="0E933662" w14:textId="77777777" w:rsidR="0052346D" w:rsidRDefault="005A1771">
      <w:pPr>
        <w:tabs>
          <w:tab w:val="clear" w:pos="567"/>
        </w:tabs>
        <w:spacing w:line="240" w:lineRule="auto"/>
        <w:ind w:left="567" w:hanging="567"/>
        <w:rPr>
          <w:snapToGrid/>
          <w:szCs w:val="22"/>
          <w:lang w:val="lt-LT"/>
        </w:rPr>
      </w:pPr>
      <w:r>
        <w:rPr>
          <w:snapToGrid/>
          <w:szCs w:val="22"/>
          <w:highlight w:val="lightGray"/>
          <w:lang w:val="lt-LT"/>
        </w:rPr>
        <w:t xml:space="preserve">Kanpiduo </w:t>
      </w:r>
      <w:r>
        <w:rPr>
          <w:noProof/>
          <w:snapToGrid/>
          <w:szCs w:val="22"/>
          <w:highlight w:val="lightGray"/>
          <w:lang w:val="de-AT"/>
        </w:rPr>
        <w:t>16 mg/2,5 mg</w:t>
      </w:r>
    </w:p>
    <w:p w14:paraId="409A1588" w14:textId="77777777" w:rsidR="0052346D" w:rsidRDefault="0052346D">
      <w:pPr>
        <w:tabs>
          <w:tab w:val="clear" w:pos="567"/>
        </w:tabs>
        <w:spacing w:line="240" w:lineRule="auto"/>
        <w:rPr>
          <w:noProof/>
          <w:snapToGrid/>
          <w:szCs w:val="22"/>
          <w:shd w:val="clear" w:color="auto" w:fill="CCCCCC"/>
          <w:lang w:val="lt-LT"/>
        </w:rPr>
      </w:pPr>
    </w:p>
    <w:p w14:paraId="7238EAA1" w14:textId="77777777" w:rsidR="0052346D" w:rsidRDefault="0052346D">
      <w:pPr>
        <w:tabs>
          <w:tab w:val="clear" w:pos="567"/>
        </w:tabs>
        <w:spacing w:line="240" w:lineRule="auto"/>
        <w:rPr>
          <w:noProof/>
          <w:snapToGrid/>
          <w:szCs w:val="22"/>
          <w:shd w:val="clear" w:color="auto" w:fill="CCCCCC"/>
          <w:lang w:val="lt-LT"/>
        </w:rPr>
      </w:pPr>
    </w:p>
    <w:p w14:paraId="0C8E15BB" w14:textId="77777777" w:rsidR="0052346D" w:rsidRDefault="005A1771">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noProof/>
          <w:snapToGrid/>
          <w:szCs w:val="22"/>
          <w:lang w:val="lt-LT"/>
        </w:rPr>
      </w:pPr>
      <w:r>
        <w:rPr>
          <w:b/>
          <w:noProof/>
          <w:snapToGrid/>
          <w:szCs w:val="22"/>
          <w:lang w:val="lt-LT"/>
        </w:rPr>
        <w:t>17.</w:t>
      </w:r>
      <w:r>
        <w:rPr>
          <w:b/>
          <w:noProof/>
          <w:snapToGrid/>
          <w:szCs w:val="22"/>
          <w:lang w:val="lt-LT"/>
        </w:rPr>
        <w:tab/>
        <w:t>UNIKALUS IDENTIFIKATORIUS – 2D BRŪKŠNINIS KODAS</w:t>
      </w:r>
    </w:p>
    <w:p w14:paraId="41E4687F" w14:textId="77777777" w:rsidR="0052346D" w:rsidRDefault="0052346D">
      <w:pPr>
        <w:tabs>
          <w:tab w:val="clear" w:pos="567"/>
        </w:tabs>
        <w:spacing w:line="240" w:lineRule="auto"/>
        <w:rPr>
          <w:noProof/>
          <w:snapToGrid/>
          <w:szCs w:val="22"/>
          <w:lang w:val="lt-LT"/>
        </w:rPr>
      </w:pPr>
    </w:p>
    <w:p w14:paraId="7289A780" w14:textId="77777777" w:rsidR="0052346D" w:rsidRDefault="005A1771">
      <w:pPr>
        <w:tabs>
          <w:tab w:val="clear" w:pos="567"/>
        </w:tabs>
        <w:spacing w:line="240" w:lineRule="auto"/>
        <w:rPr>
          <w:noProof/>
          <w:snapToGrid/>
          <w:szCs w:val="22"/>
          <w:shd w:val="clear" w:color="auto" w:fill="CCCCCC"/>
          <w:lang w:val="lt-LT"/>
        </w:rPr>
      </w:pPr>
      <w:r>
        <w:rPr>
          <w:noProof/>
          <w:snapToGrid/>
          <w:szCs w:val="22"/>
          <w:highlight w:val="lightGray"/>
          <w:lang w:val="lt-LT"/>
        </w:rPr>
        <w:t>2D brūkšninis kodas su nurodytu unikaliu identifikatoriumi.</w:t>
      </w:r>
    </w:p>
    <w:p w14:paraId="25EBD1C3" w14:textId="77777777" w:rsidR="0052346D" w:rsidRDefault="0052346D">
      <w:pPr>
        <w:tabs>
          <w:tab w:val="clear" w:pos="567"/>
        </w:tabs>
        <w:spacing w:line="240" w:lineRule="auto"/>
        <w:rPr>
          <w:noProof/>
          <w:snapToGrid/>
          <w:szCs w:val="22"/>
          <w:lang w:val="lt-LT"/>
        </w:rPr>
      </w:pPr>
    </w:p>
    <w:p w14:paraId="62DAEDD8" w14:textId="77777777" w:rsidR="0052346D" w:rsidRDefault="0052346D">
      <w:pPr>
        <w:tabs>
          <w:tab w:val="clear" w:pos="567"/>
        </w:tabs>
        <w:spacing w:line="240" w:lineRule="auto"/>
        <w:rPr>
          <w:noProof/>
          <w:snapToGrid/>
          <w:szCs w:val="22"/>
          <w:lang w:val="lt-LT"/>
        </w:rPr>
      </w:pPr>
    </w:p>
    <w:p w14:paraId="03E366AB" w14:textId="77777777" w:rsidR="0052346D" w:rsidRDefault="005A1771">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noProof/>
          <w:snapToGrid/>
          <w:szCs w:val="22"/>
          <w:lang w:val="lt-LT"/>
        </w:rPr>
      </w:pPr>
      <w:r>
        <w:rPr>
          <w:b/>
          <w:noProof/>
          <w:snapToGrid/>
          <w:szCs w:val="22"/>
          <w:lang w:val="lt-LT"/>
        </w:rPr>
        <w:t>18.</w:t>
      </w:r>
      <w:r>
        <w:rPr>
          <w:b/>
          <w:noProof/>
          <w:snapToGrid/>
          <w:szCs w:val="22"/>
          <w:lang w:val="lt-LT"/>
        </w:rPr>
        <w:tab/>
        <w:t>UNIKALUS IDENTIFIKATORIUS – ŽMONĖMS SUPRANTAMI DUOMENYS</w:t>
      </w:r>
    </w:p>
    <w:p w14:paraId="45E65083" w14:textId="77777777" w:rsidR="0052346D" w:rsidRDefault="0052346D">
      <w:pPr>
        <w:tabs>
          <w:tab w:val="clear" w:pos="567"/>
        </w:tabs>
        <w:spacing w:line="240" w:lineRule="auto"/>
        <w:rPr>
          <w:noProof/>
          <w:snapToGrid/>
          <w:szCs w:val="22"/>
          <w:lang w:val="lt-LT"/>
        </w:rPr>
      </w:pPr>
    </w:p>
    <w:p w14:paraId="2FAB99BE" w14:textId="77777777" w:rsidR="0052346D" w:rsidRDefault="005A1771">
      <w:pPr>
        <w:rPr>
          <w:snapToGrid/>
          <w:szCs w:val="22"/>
          <w:lang w:val="lt-LT"/>
        </w:rPr>
      </w:pPr>
      <w:r>
        <w:rPr>
          <w:snapToGrid/>
          <w:szCs w:val="22"/>
          <w:lang w:val="lt-LT"/>
        </w:rPr>
        <w:t>PC</w:t>
      </w:r>
    </w:p>
    <w:p w14:paraId="6535D3EE" w14:textId="77777777" w:rsidR="0052346D" w:rsidRDefault="005A1771">
      <w:pPr>
        <w:rPr>
          <w:snapToGrid/>
          <w:szCs w:val="22"/>
          <w:lang w:val="lt-LT"/>
        </w:rPr>
      </w:pPr>
      <w:r>
        <w:rPr>
          <w:snapToGrid/>
          <w:szCs w:val="22"/>
          <w:lang w:val="lt-LT"/>
        </w:rPr>
        <w:t>SN</w:t>
      </w:r>
    </w:p>
    <w:p w14:paraId="5D103D5B" w14:textId="77777777" w:rsidR="0052346D" w:rsidRDefault="005A1771">
      <w:pPr>
        <w:rPr>
          <w:snapToGrid/>
          <w:szCs w:val="22"/>
          <w:lang w:val="lt-LT"/>
        </w:rPr>
      </w:pPr>
      <w:r>
        <w:rPr>
          <w:snapToGrid/>
          <w:szCs w:val="22"/>
          <w:highlight w:val="lightGray"/>
          <w:lang w:val="lt-LT"/>
        </w:rPr>
        <w:t>NN</w:t>
      </w:r>
    </w:p>
    <w:p w14:paraId="530EBB7A" w14:textId="77777777" w:rsidR="0052346D" w:rsidRDefault="005A1771">
      <w:pPr>
        <w:spacing w:line="240" w:lineRule="auto"/>
        <w:rPr>
          <w:noProof/>
          <w:snapToGrid/>
          <w:szCs w:val="22"/>
          <w:lang w:val="lt-LT"/>
        </w:rPr>
      </w:pPr>
      <w:r>
        <w:rPr>
          <w:b/>
          <w:noProof/>
          <w:snapToGrid/>
          <w:color w:val="FF0000"/>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346D" w14:paraId="08BE739E" w14:textId="77777777">
        <w:trPr>
          <w:trHeight w:val="785"/>
        </w:trPr>
        <w:tc>
          <w:tcPr>
            <w:tcW w:w="9287" w:type="dxa"/>
            <w:tcBorders>
              <w:bottom w:val="single" w:sz="4" w:space="0" w:color="auto"/>
            </w:tcBorders>
          </w:tcPr>
          <w:p w14:paraId="773B14FA" w14:textId="77777777" w:rsidR="0052346D" w:rsidRDefault="005A1771">
            <w:pPr>
              <w:tabs>
                <w:tab w:val="clear" w:pos="567"/>
              </w:tabs>
              <w:spacing w:line="240" w:lineRule="auto"/>
              <w:rPr>
                <w:b/>
                <w:noProof/>
                <w:snapToGrid/>
                <w:szCs w:val="22"/>
                <w:lang w:val="lt-LT"/>
              </w:rPr>
            </w:pPr>
            <w:r>
              <w:rPr>
                <w:b/>
                <w:noProof/>
                <w:snapToGrid/>
                <w:szCs w:val="22"/>
                <w:lang w:val="lt-LT"/>
              </w:rPr>
              <w:lastRenderedPageBreak/>
              <w:t xml:space="preserve">MINIMALI </w:t>
            </w:r>
            <w:r>
              <w:rPr>
                <w:b/>
                <w:caps/>
                <w:noProof/>
                <w:snapToGrid/>
                <w:szCs w:val="22"/>
                <w:lang w:val="lt-LT"/>
              </w:rPr>
              <w:t xml:space="preserve">informacija ant </w:t>
            </w:r>
            <w:r>
              <w:rPr>
                <w:b/>
                <w:noProof/>
                <w:snapToGrid/>
                <w:szCs w:val="22"/>
                <w:lang w:val="lt-LT"/>
              </w:rPr>
              <w:t>LIZDINIŲ PLOKŠTELIŲ ARBA DVISLUOKSNIŲ JUOSTELIŲ</w:t>
            </w:r>
          </w:p>
          <w:p w14:paraId="30A0BCF9" w14:textId="77777777" w:rsidR="0052346D" w:rsidRDefault="0052346D">
            <w:pPr>
              <w:tabs>
                <w:tab w:val="clear" w:pos="567"/>
              </w:tabs>
              <w:spacing w:line="240" w:lineRule="auto"/>
              <w:rPr>
                <w:b/>
                <w:noProof/>
                <w:snapToGrid/>
                <w:szCs w:val="22"/>
                <w:lang w:val="lt-LT"/>
              </w:rPr>
            </w:pPr>
          </w:p>
          <w:p w14:paraId="217E6391" w14:textId="77777777" w:rsidR="0052346D" w:rsidRDefault="005A1771">
            <w:pPr>
              <w:tabs>
                <w:tab w:val="clear" w:pos="567"/>
              </w:tabs>
              <w:spacing w:line="240" w:lineRule="auto"/>
              <w:rPr>
                <w:b/>
                <w:noProof/>
                <w:snapToGrid/>
                <w:szCs w:val="22"/>
                <w:lang w:val="lt-LT"/>
              </w:rPr>
            </w:pPr>
            <w:r>
              <w:rPr>
                <w:b/>
                <w:noProof/>
                <w:snapToGrid/>
                <w:szCs w:val="22"/>
                <w:lang w:val="lt-LT"/>
              </w:rPr>
              <w:t>LIZDINĖ PLOKŠTELĖ</w:t>
            </w:r>
          </w:p>
        </w:tc>
      </w:tr>
    </w:tbl>
    <w:p w14:paraId="0D6621E2" w14:textId="77777777" w:rsidR="0052346D" w:rsidRDefault="0052346D">
      <w:pPr>
        <w:tabs>
          <w:tab w:val="clear" w:pos="567"/>
        </w:tabs>
        <w:spacing w:line="240" w:lineRule="auto"/>
        <w:rPr>
          <w:b/>
          <w:noProof/>
          <w:snapToGrid/>
          <w:szCs w:val="22"/>
          <w:lang w:val="lt-LT"/>
        </w:rPr>
      </w:pPr>
    </w:p>
    <w:p w14:paraId="222E9865" w14:textId="77777777" w:rsidR="0052346D" w:rsidRDefault="0052346D">
      <w:pPr>
        <w:tabs>
          <w:tab w:val="clear" w:pos="567"/>
        </w:tabs>
        <w:spacing w:line="240" w:lineRule="auto"/>
        <w:rPr>
          <w:b/>
          <w:noProof/>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346D" w14:paraId="3E19F2C1" w14:textId="77777777">
        <w:tc>
          <w:tcPr>
            <w:tcW w:w="9287" w:type="dxa"/>
          </w:tcPr>
          <w:p w14:paraId="7099247E" w14:textId="77777777" w:rsidR="0052346D" w:rsidRDefault="005A1771">
            <w:pPr>
              <w:tabs>
                <w:tab w:val="clear" w:pos="567"/>
                <w:tab w:val="left" w:pos="142"/>
              </w:tabs>
              <w:spacing w:line="240" w:lineRule="auto"/>
              <w:ind w:left="567" w:hanging="567"/>
              <w:rPr>
                <w:b/>
                <w:noProof/>
                <w:snapToGrid/>
                <w:szCs w:val="22"/>
                <w:lang w:val="lt-LT"/>
              </w:rPr>
            </w:pPr>
            <w:r>
              <w:rPr>
                <w:b/>
                <w:noProof/>
                <w:snapToGrid/>
                <w:szCs w:val="22"/>
                <w:lang w:val="lt-LT"/>
              </w:rPr>
              <w:t>1.</w:t>
            </w:r>
            <w:r>
              <w:rPr>
                <w:b/>
                <w:noProof/>
                <w:snapToGrid/>
                <w:szCs w:val="22"/>
                <w:lang w:val="lt-LT"/>
              </w:rPr>
              <w:tab/>
            </w:r>
            <w:r>
              <w:rPr>
                <w:b/>
                <w:caps/>
                <w:noProof/>
                <w:snapToGrid/>
                <w:szCs w:val="22"/>
                <w:lang w:val="lt-LT"/>
              </w:rPr>
              <w:t>Vaistinio preparato pavadinimas</w:t>
            </w:r>
          </w:p>
        </w:tc>
      </w:tr>
    </w:tbl>
    <w:p w14:paraId="0482AF0F" w14:textId="77777777" w:rsidR="0052346D" w:rsidRDefault="0052346D">
      <w:pPr>
        <w:tabs>
          <w:tab w:val="clear" w:pos="567"/>
        </w:tabs>
        <w:spacing w:line="240" w:lineRule="auto"/>
        <w:ind w:left="567" w:hanging="567"/>
        <w:rPr>
          <w:noProof/>
          <w:snapToGrid/>
          <w:szCs w:val="22"/>
          <w:lang w:val="lt-LT"/>
        </w:rPr>
      </w:pPr>
    </w:p>
    <w:p w14:paraId="248276DE" w14:textId="77777777" w:rsidR="0052346D" w:rsidRDefault="005A1771">
      <w:pPr>
        <w:tabs>
          <w:tab w:val="clear" w:pos="567"/>
        </w:tabs>
        <w:spacing w:line="240" w:lineRule="auto"/>
        <w:ind w:left="567" w:hanging="567"/>
        <w:rPr>
          <w:snapToGrid/>
          <w:szCs w:val="22"/>
          <w:lang w:val="lt-LT"/>
        </w:rPr>
      </w:pPr>
      <w:r>
        <w:rPr>
          <w:snapToGrid/>
          <w:szCs w:val="22"/>
          <w:lang w:val="lt-LT"/>
        </w:rPr>
        <w:t xml:space="preserve">Kanpidou </w:t>
      </w:r>
      <w:r>
        <w:rPr>
          <w:noProof/>
          <w:snapToGrid/>
          <w:szCs w:val="22"/>
        </w:rPr>
        <w:t>8 mg/2,5 mg</w:t>
      </w:r>
      <w:r>
        <w:rPr>
          <w:snapToGrid/>
          <w:szCs w:val="22"/>
          <w:lang w:val="lt-LT"/>
        </w:rPr>
        <w:t xml:space="preserve"> tabletės</w:t>
      </w:r>
    </w:p>
    <w:p w14:paraId="3C16E0C4" w14:textId="77777777" w:rsidR="0052346D" w:rsidRDefault="005A1771">
      <w:pPr>
        <w:tabs>
          <w:tab w:val="clear" w:pos="567"/>
        </w:tabs>
        <w:spacing w:line="240" w:lineRule="auto"/>
        <w:ind w:left="567" w:hanging="567"/>
        <w:rPr>
          <w:snapToGrid/>
          <w:szCs w:val="22"/>
          <w:lang w:val="lt-LT"/>
        </w:rPr>
      </w:pPr>
      <w:r>
        <w:rPr>
          <w:snapToGrid/>
          <w:szCs w:val="22"/>
          <w:highlight w:val="lightGray"/>
          <w:lang w:val="lt-LT"/>
        </w:rPr>
        <w:t xml:space="preserve">Kanpidou </w:t>
      </w:r>
      <w:r>
        <w:rPr>
          <w:noProof/>
          <w:snapToGrid/>
          <w:szCs w:val="22"/>
          <w:highlight w:val="lightGray"/>
        </w:rPr>
        <w:t>16 mg/2,5 mg</w:t>
      </w:r>
      <w:r>
        <w:rPr>
          <w:snapToGrid/>
          <w:szCs w:val="22"/>
          <w:highlight w:val="lightGray"/>
          <w:lang w:val="lt-LT"/>
        </w:rPr>
        <w:t xml:space="preserve"> tabletės</w:t>
      </w:r>
    </w:p>
    <w:p w14:paraId="54B988EE" w14:textId="77777777" w:rsidR="0052346D" w:rsidRDefault="0052346D">
      <w:pPr>
        <w:tabs>
          <w:tab w:val="clear" w:pos="567"/>
        </w:tabs>
        <w:spacing w:line="240" w:lineRule="auto"/>
        <w:rPr>
          <w:noProof/>
          <w:snapToGrid/>
          <w:szCs w:val="22"/>
          <w:lang w:val="lt-LT"/>
        </w:rPr>
      </w:pPr>
    </w:p>
    <w:p w14:paraId="6CC70878" w14:textId="77777777" w:rsidR="0052346D" w:rsidRDefault="005A1771">
      <w:pPr>
        <w:tabs>
          <w:tab w:val="clear" w:pos="567"/>
        </w:tabs>
        <w:spacing w:line="240" w:lineRule="auto"/>
        <w:rPr>
          <w:noProof/>
          <w:snapToGrid/>
          <w:szCs w:val="22"/>
          <w:lang w:val="lt-LT"/>
        </w:rPr>
      </w:pPr>
      <w:r>
        <w:rPr>
          <w:rFonts w:eastAsia="TimesNewRomanPSMT"/>
          <w:snapToGrid/>
          <w:szCs w:val="22"/>
          <w:lang w:val="lt-LT" w:eastAsia="sl-SI"/>
        </w:rPr>
        <w:t>kandesartano cileksetilas/</w:t>
      </w:r>
      <w:r>
        <w:rPr>
          <w:noProof/>
          <w:snapToGrid/>
          <w:szCs w:val="22"/>
          <w:lang w:val="lt-LT"/>
        </w:rPr>
        <w:t>indapamidas</w:t>
      </w:r>
    </w:p>
    <w:p w14:paraId="2A9CE705" w14:textId="77777777" w:rsidR="0052346D" w:rsidRDefault="0052346D">
      <w:pPr>
        <w:tabs>
          <w:tab w:val="clear" w:pos="567"/>
        </w:tabs>
        <w:spacing w:line="240" w:lineRule="auto"/>
        <w:rPr>
          <w:b/>
          <w:noProof/>
          <w:snapToGrid/>
          <w:szCs w:val="22"/>
          <w:lang w:val="lt-LT"/>
        </w:rPr>
      </w:pPr>
    </w:p>
    <w:p w14:paraId="6057755E" w14:textId="77777777" w:rsidR="0052346D" w:rsidRDefault="0052346D">
      <w:pPr>
        <w:tabs>
          <w:tab w:val="clear" w:pos="567"/>
        </w:tabs>
        <w:spacing w:line="240" w:lineRule="auto"/>
        <w:rPr>
          <w:b/>
          <w:noProof/>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346D" w14:paraId="78B75B15" w14:textId="77777777">
        <w:tc>
          <w:tcPr>
            <w:tcW w:w="9287" w:type="dxa"/>
          </w:tcPr>
          <w:p w14:paraId="163E8D17" w14:textId="77777777" w:rsidR="0052346D" w:rsidRDefault="005A1771">
            <w:pPr>
              <w:tabs>
                <w:tab w:val="clear" w:pos="567"/>
                <w:tab w:val="left" w:pos="142"/>
              </w:tabs>
              <w:spacing w:line="240" w:lineRule="auto"/>
              <w:ind w:left="567" w:hanging="567"/>
              <w:rPr>
                <w:b/>
                <w:noProof/>
                <w:snapToGrid/>
                <w:szCs w:val="22"/>
                <w:lang w:val="lt-LT"/>
              </w:rPr>
            </w:pPr>
            <w:r>
              <w:rPr>
                <w:b/>
                <w:noProof/>
                <w:snapToGrid/>
                <w:szCs w:val="22"/>
                <w:lang w:val="lt-LT"/>
              </w:rPr>
              <w:t>2.</w:t>
            </w:r>
            <w:r>
              <w:rPr>
                <w:b/>
                <w:noProof/>
                <w:snapToGrid/>
                <w:szCs w:val="22"/>
                <w:lang w:val="lt-LT"/>
              </w:rPr>
              <w:tab/>
            </w:r>
            <w:r>
              <w:rPr>
                <w:b/>
                <w:caps/>
                <w:noProof/>
                <w:szCs w:val="22"/>
                <w:lang w:val="lt-LT"/>
              </w:rPr>
              <w:t>REGISTRUOTOJO</w:t>
            </w:r>
            <w:r>
              <w:rPr>
                <w:b/>
                <w:caps/>
                <w:noProof/>
                <w:snapToGrid/>
                <w:szCs w:val="22"/>
                <w:lang w:val="lt-LT"/>
              </w:rPr>
              <w:t xml:space="preserve"> pavadinimas</w:t>
            </w:r>
          </w:p>
        </w:tc>
      </w:tr>
    </w:tbl>
    <w:p w14:paraId="2D2E2985" w14:textId="77777777" w:rsidR="0052346D" w:rsidRDefault="0052346D">
      <w:pPr>
        <w:tabs>
          <w:tab w:val="clear" w:pos="567"/>
        </w:tabs>
        <w:spacing w:line="240" w:lineRule="auto"/>
        <w:rPr>
          <w:b/>
          <w:noProof/>
          <w:snapToGrid/>
          <w:szCs w:val="22"/>
          <w:lang w:val="lt-LT"/>
        </w:rPr>
      </w:pPr>
    </w:p>
    <w:p w14:paraId="5EFB9494" w14:textId="77777777" w:rsidR="0052346D" w:rsidRDefault="005A1771">
      <w:pPr>
        <w:tabs>
          <w:tab w:val="clear" w:pos="567"/>
        </w:tabs>
        <w:spacing w:line="240" w:lineRule="auto"/>
        <w:rPr>
          <w:b/>
          <w:noProof/>
          <w:snapToGrid/>
          <w:szCs w:val="22"/>
          <w:lang w:val="lt-LT"/>
        </w:rPr>
      </w:pPr>
      <w:r>
        <w:rPr>
          <w:snapToGrid/>
          <w:szCs w:val="22"/>
          <w:lang w:val="lt-LT"/>
        </w:rPr>
        <w:t>KRKA</w:t>
      </w:r>
    </w:p>
    <w:p w14:paraId="747FD39E" w14:textId="77777777" w:rsidR="0052346D" w:rsidRDefault="0052346D">
      <w:pPr>
        <w:tabs>
          <w:tab w:val="clear" w:pos="567"/>
        </w:tabs>
        <w:spacing w:line="240" w:lineRule="auto"/>
        <w:rPr>
          <w:b/>
          <w:noProof/>
          <w:snapToGrid/>
          <w:szCs w:val="22"/>
          <w:lang w:val="lt-LT"/>
        </w:rPr>
      </w:pPr>
    </w:p>
    <w:p w14:paraId="66E65D24" w14:textId="77777777" w:rsidR="0052346D" w:rsidRDefault="0052346D">
      <w:pPr>
        <w:tabs>
          <w:tab w:val="clear" w:pos="567"/>
        </w:tabs>
        <w:spacing w:line="240" w:lineRule="auto"/>
        <w:rPr>
          <w:b/>
          <w:noProof/>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346D" w14:paraId="6966B331" w14:textId="77777777">
        <w:tc>
          <w:tcPr>
            <w:tcW w:w="9287" w:type="dxa"/>
          </w:tcPr>
          <w:p w14:paraId="2E901AF3" w14:textId="77777777" w:rsidR="0052346D" w:rsidRDefault="005A1771">
            <w:pPr>
              <w:tabs>
                <w:tab w:val="clear" w:pos="567"/>
                <w:tab w:val="left" w:pos="142"/>
              </w:tabs>
              <w:spacing w:line="240" w:lineRule="auto"/>
              <w:ind w:left="567" w:hanging="567"/>
              <w:rPr>
                <w:b/>
                <w:noProof/>
                <w:snapToGrid/>
                <w:szCs w:val="22"/>
                <w:lang w:val="lt-LT"/>
              </w:rPr>
            </w:pPr>
            <w:r>
              <w:rPr>
                <w:b/>
                <w:noProof/>
                <w:snapToGrid/>
                <w:szCs w:val="22"/>
                <w:lang w:val="lt-LT"/>
              </w:rPr>
              <w:t>3.</w:t>
            </w:r>
            <w:r>
              <w:rPr>
                <w:b/>
                <w:noProof/>
                <w:snapToGrid/>
                <w:szCs w:val="22"/>
                <w:lang w:val="lt-LT"/>
              </w:rPr>
              <w:tab/>
            </w:r>
            <w:r>
              <w:rPr>
                <w:b/>
                <w:caps/>
                <w:noProof/>
                <w:snapToGrid/>
                <w:szCs w:val="22"/>
                <w:lang w:val="lt-LT"/>
              </w:rPr>
              <w:t>tinkamumo laikas</w:t>
            </w:r>
          </w:p>
        </w:tc>
      </w:tr>
    </w:tbl>
    <w:p w14:paraId="23F5539E" w14:textId="77777777" w:rsidR="0052346D" w:rsidRDefault="0052346D">
      <w:pPr>
        <w:tabs>
          <w:tab w:val="clear" w:pos="567"/>
        </w:tabs>
        <w:spacing w:line="240" w:lineRule="auto"/>
        <w:rPr>
          <w:b/>
          <w:noProof/>
          <w:snapToGrid/>
          <w:szCs w:val="22"/>
          <w:lang w:val="lt-LT"/>
        </w:rPr>
      </w:pPr>
    </w:p>
    <w:p w14:paraId="15958EB2" w14:textId="77777777" w:rsidR="0052346D" w:rsidRDefault="005A1771">
      <w:pPr>
        <w:tabs>
          <w:tab w:val="clear" w:pos="567"/>
        </w:tabs>
        <w:spacing w:line="240" w:lineRule="auto"/>
        <w:rPr>
          <w:noProof/>
          <w:snapToGrid/>
          <w:szCs w:val="22"/>
          <w:lang w:val="lt-LT"/>
        </w:rPr>
      </w:pPr>
      <w:r>
        <w:rPr>
          <w:noProof/>
          <w:snapToGrid/>
          <w:szCs w:val="22"/>
          <w:lang w:val="lt-LT"/>
        </w:rPr>
        <w:t xml:space="preserve">EXP </w:t>
      </w:r>
      <w:r>
        <w:rPr>
          <w:noProof/>
          <w:snapToGrid/>
          <w:szCs w:val="22"/>
          <w:highlight w:val="lightGray"/>
          <w:lang w:val="lt-LT"/>
        </w:rPr>
        <w:t>(mm/MMMM)</w:t>
      </w:r>
    </w:p>
    <w:p w14:paraId="25900248" w14:textId="77777777" w:rsidR="0052346D" w:rsidRDefault="0052346D">
      <w:pPr>
        <w:tabs>
          <w:tab w:val="clear" w:pos="567"/>
        </w:tabs>
        <w:spacing w:line="240" w:lineRule="auto"/>
        <w:rPr>
          <w:noProof/>
          <w:snapToGrid/>
          <w:szCs w:val="22"/>
          <w:lang w:val="lt-LT"/>
        </w:rPr>
      </w:pPr>
    </w:p>
    <w:p w14:paraId="20B43FCD" w14:textId="77777777" w:rsidR="0052346D" w:rsidRDefault="0052346D">
      <w:pPr>
        <w:tabs>
          <w:tab w:val="clear" w:pos="567"/>
        </w:tabs>
        <w:spacing w:line="240" w:lineRule="auto"/>
        <w:rPr>
          <w:noProof/>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346D" w14:paraId="303FEB27" w14:textId="77777777">
        <w:tc>
          <w:tcPr>
            <w:tcW w:w="9287" w:type="dxa"/>
          </w:tcPr>
          <w:p w14:paraId="3E00656D" w14:textId="77777777" w:rsidR="0052346D" w:rsidRDefault="005A1771">
            <w:pPr>
              <w:tabs>
                <w:tab w:val="clear" w:pos="567"/>
                <w:tab w:val="left" w:pos="142"/>
              </w:tabs>
              <w:spacing w:line="240" w:lineRule="auto"/>
              <w:ind w:left="567" w:hanging="567"/>
              <w:rPr>
                <w:b/>
                <w:noProof/>
                <w:snapToGrid/>
                <w:szCs w:val="22"/>
                <w:lang w:val="lt-LT"/>
              </w:rPr>
            </w:pPr>
            <w:r>
              <w:rPr>
                <w:b/>
                <w:noProof/>
                <w:snapToGrid/>
                <w:szCs w:val="22"/>
                <w:lang w:val="lt-LT"/>
              </w:rPr>
              <w:t>4.</w:t>
            </w:r>
            <w:r>
              <w:rPr>
                <w:b/>
                <w:noProof/>
                <w:snapToGrid/>
                <w:szCs w:val="22"/>
                <w:lang w:val="lt-LT"/>
              </w:rPr>
              <w:tab/>
            </w:r>
            <w:r>
              <w:rPr>
                <w:b/>
                <w:caps/>
                <w:noProof/>
                <w:snapToGrid/>
                <w:szCs w:val="22"/>
                <w:lang w:val="lt-LT"/>
              </w:rPr>
              <w:t>serijos numeris</w:t>
            </w:r>
          </w:p>
        </w:tc>
      </w:tr>
    </w:tbl>
    <w:p w14:paraId="1F2D07DE" w14:textId="77777777" w:rsidR="0052346D" w:rsidRDefault="0052346D">
      <w:pPr>
        <w:tabs>
          <w:tab w:val="clear" w:pos="567"/>
        </w:tabs>
        <w:spacing w:line="240" w:lineRule="auto"/>
        <w:ind w:right="113"/>
        <w:rPr>
          <w:i/>
          <w:noProof/>
          <w:snapToGrid/>
          <w:szCs w:val="22"/>
          <w:highlight w:val="yellow"/>
          <w:lang w:val="lt-LT"/>
        </w:rPr>
      </w:pPr>
    </w:p>
    <w:p w14:paraId="1D939B2E" w14:textId="77777777" w:rsidR="0052346D" w:rsidRDefault="005A1771">
      <w:pPr>
        <w:tabs>
          <w:tab w:val="clear" w:pos="567"/>
        </w:tabs>
        <w:spacing w:line="240" w:lineRule="auto"/>
        <w:ind w:right="113"/>
        <w:rPr>
          <w:noProof/>
          <w:snapToGrid/>
          <w:szCs w:val="22"/>
          <w:lang w:val="lt-LT"/>
        </w:rPr>
      </w:pPr>
      <w:r>
        <w:rPr>
          <w:noProof/>
          <w:snapToGrid/>
          <w:szCs w:val="22"/>
          <w:lang w:val="lt-LT"/>
        </w:rPr>
        <w:t>Lot</w:t>
      </w:r>
    </w:p>
    <w:p w14:paraId="42B4EAC9" w14:textId="77777777" w:rsidR="0052346D" w:rsidRDefault="0052346D">
      <w:pPr>
        <w:tabs>
          <w:tab w:val="clear" w:pos="567"/>
        </w:tabs>
        <w:spacing w:line="240" w:lineRule="auto"/>
        <w:ind w:right="113"/>
        <w:rPr>
          <w:noProof/>
          <w:snapToGrid/>
          <w:szCs w:val="22"/>
          <w:lang w:val="lt-LT"/>
        </w:rPr>
      </w:pPr>
    </w:p>
    <w:p w14:paraId="319FE7E7" w14:textId="77777777" w:rsidR="0052346D" w:rsidRDefault="0052346D">
      <w:pPr>
        <w:tabs>
          <w:tab w:val="clear" w:pos="567"/>
        </w:tabs>
        <w:spacing w:line="240" w:lineRule="auto"/>
        <w:ind w:right="113"/>
        <w:rPr>
          <w:noProof/>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346D" w14:paraId="63324945" w14:textId="77777777">
        <w:tc>
          <w:tcPr>
            <w:tcW w:w="9287" w:type="dxa"/>
          </w:tcPr>
          <w:p w14:paraId="5E905C50" w14:textId="77777777" w:rsidR="0052346D" w:rsidRDefault="005A1771">
            <w:pPr>
              <w:tabs>
                <w:tab w:val="clear" w:pos="567"/>
                <w:tab w:val="left" w:pos="142"/>
              </w:tabs>
              <w:spacing w:line="240" w:lineRule="auto"/>
              <w:ind w:left="567" w:hanging="567"/>
              <w:rPr>
                <w:b/>
                <w:noProof/>
                <w:snapToGrid/>
                <w:szCs w:val="22"/>
                <w:lang w:val="lt-LT"/>
              </w:rPr>
            </w:pPr>
            <w:r>
              <w:rPr>
                <w:b/>
                <w:noProof/>
                <w:snapToGrid/>
                <w:szCs w:val="22"/>
                <w:lang w:val="lt-LT"/>
              </w:rPr>
              <w:t>5.</w:t>
            </w:r>
            <w:r>
              <w:rPr>
                <w:b/>
                <w:noProof/>
                <w:snapToGrid/>
                <w:szCs w:val="22"/>
                <w:lang w:val="lt-LT"/>
              </w:rPr>
              <w:tab/>
              <w:t>KITA</w:t>
            </w:r>
          </w:p>
        </w:tc>
      </w:tr>
    </w:tbl>
    <w:p w14:paraId="1B31BE9A" w14:textId="77777777" w:rsidR="0052346D" w:rsidRDefault="0052346D">
      <w:pPr>
        <w:tabs>
          <w:tab w:val="clear" w:pos="567"/>
        </w:tabs>
        <w:spacing w:line="240" w:lineRule="auto"/>
        <w:ind w:right="113"/>
        <w:rPr>
          <w:noProof/>
          <w:snapToGrid/>
          <w:szCs w:val="22"/>
          <w:lang w:val="lt-LT"/>
        </w:rPr>
      </w:pPr>
    </w:p>
    <w:p w14:paraId="5E69C7F3" w14:textId="77777777" w:rsidR="0052346D" w:rsidRDefault="005A1771">
      <w:pPr>
        <w:tabs>
          <w:tab w:val="clear" w:pos="567"/>
        </w:tabs>
        <w:spacing w:line="240" w:lineRule="auto"/>
        <w:ind w:right="113"/>
        <w:rPr>
          <w:i/>
          <w:iCs/>
          <w:noProof/>
          <w:snapToGrid/>
          <w:szCs w:val="22"/>
          <w:highlight w:val="lightGray"/>
          <w:lang w:val="lt-LT"/>
        </w:rPr>
      </w:pPr>
      <w:r>
        <w:rPr>
          <w:i/>
          <w:iCs/>
          <w:noProof/>
          <w:snapToGrid/>
          <w:szCs w:val="22"/>
          <w:highlight w:val="lightGray"/>
          <w:lang w:val="lt-LT"/>
        </w:rPr>
        <w:t>Kalendorinė pakuotė</w:t>
      </w:r>
    </w:p>
    <w:p w14:paraId="1B28A359" w14:textId="77777777" w:rsidR="0052346D" w:rsidRDefault="005A1771">
      <w:pPr>
        <w:tabs>
          <w:tab w:val="clear" w:pos="567"/>
        </w:tabs>
        <w:spacing w:line="240" w:lineRule="auto"/>
        <w:ind w:right="113"/>
        <w:rPr>
          <w:noProof/>
          <w:snapToGrid/>
          <w:szCs w:val="22"/>
          <w:highlight w:val="lightGray"/>
          <w:lang w:val="lt-LT"/>
        </w:rPr>
      </w:pPr>
      <w:r>
        <w:rPr>
          <w:noProof/>
          <w:snapToGrid/>
          <w:szCs w:val="22"/>
          <w:highlight w:val="lightGray"/>
          <w:lang w:val="lt-LT"/>
        </w:rPr>
        <w:t>P.</w:t>
      </w:r>
    </w:p>
    <w:p w14:paraId="010F60A8" w14:textId="77777777" w:rsidR="0052346D" w:rsidRDefault="005A1771">
      <w:pPr>
        <w:tabs>
          <w:tab w:val="clear" w:pos="567"/>
        </w:tabs>
        <w:spacing w:line="240" w:lineRule="auto"/>
        <w:ind w:right="113"/>
        <w:rPr>
          <w:noProof/>
          <w:snapToGrid/>
          <w:szCs w:val="22"/>
          <w:highlight w:val="lightGray"/>
          <w:lang w:val="lt-LT"/>
        </w:rPr>
      </w:pPr>
      <w:r>
        <w:rPr>
          <w:noProof/>
          <w:snapToGrid/>
          <w:szCs w:val="22"/>
          <w:highlight w:val="lightGray"/>
          <w:lang w:val="lt-LT"/>
        </w:rPr>
        <w:t>A.</w:t>
      </w:r>
    </w:p>
    <w:p w14:paraId="45FBBFE8" w14:textId="77777777" w:rsidR="0052346D" w:rsidRDefault="005A1771">
      <w:pPr>
        <w:tabs>
          <w:tab w:val="clear" w:pos="567"/>
        </w:tabs>
        <w:spacing w:line="240" w:lineRule="auto"/>
        <w:ind w:right="113"/>
        <w:rPr>
          <w:noProof/>
          <w:snapToGrid/>
          <w:szCs w:val="22"/>
          <w:highlight w:val="lightGray"/>
          <w:lang w:val="lt-LT"/>
        </w:rPr>
      </w:pPr>
      <w:r>
        <w:rPr>
          <w:noProof/>
          <w:snapToGrid/>
          <w:szCs w:val="22"/>
          <w:highlight w:val="lightGray"/>
          <w:lang w:val="lt-LT"/>
        </w:rPr>
        <w:t>T.</w:t>
      </w:r>
    </w:p>
    <w:p w14:paraId="65FE0DEF" w14:textId="77777777" w:rsidR="0052346D" w:rsidRDefault="005A1771">
      <w:pPr>
        <w:tabs>
          <w:tab w:val="clear" w:pos="567"/>
        </w:tabs>
        <w:spacing w:line="240" w:lineRule="auto"/>
        <w:ind w:right="113"/>
        <w:rPr>
          <w:noProof/>
          <w:snapToGrid/>
          <w:szCs w:val="22"/>
          <w:highlight w:val="lightGray"/>
          <w:lang w:val="lt-LT"/>
        </w:rPr>
      </w:pPr>
      <w:r>
        <w:rPr>
          <w:noProof/>
          <w:snapToGrid/>
          <w:szCs w:val="22"/>
          <w:highlight w:val="lightGray"/>
          <w:lang w:val="lt-LT"/>
        </w:rPr>
        <w:t>K.</w:t>
      </w:r>
    </w:p>
    <w:p w14:paraId="5E696948" w14:textId="77777777" w:rsidR="0052346D" w:rsidRDefault="005A1771">
      <w:pPr>
        <w:tabs>
          <w:tab w:val="clear" w:pos="567"/>
        </w:tabs>
        <w:spacing w:line="240" w:lineRule="auto"/>
        <w:ind w:right="113"/>
        <w:rPr>
          <w:noProof/>
          <w:snapToGrid/>
          <w:szCs w:val="22"/>
          <w:highlight w:val="lightGray"/>
          <w:lang w:val="lt-LT"/>
        </w:rPr>
      </w:pPr>
      <w:r>
        <w:rPr>
          <w:noProof/>
          <w:snapToGrid/>
          <w:szCs w:val="22"/>
          <w:highlight w:val="lightGray"/>
          <w:lang w:val="lt-LT"/>
        </w:rPr>
        <w:t>Pn.</w:t>
      </w:r>
    </w:p>
    <w:p w14:paraId="0CF8D8BC" w14:textId="77777777" w:rsidR="0052346D" w:rsidRDefault="005A1771">
      <w:pPr>
        <w:tabs>
          <w:tab w:val="clear" w:pos="567"/>
        </w:tabs>
        <w:spacing w:line="240" w:lineRule="auto"/>
        <w:ind w:right="113"/>
        <w:rPr>
          <w:noProof/>
          <w:snapToGrid/>
          <w:szCs w:val="22"/>
          <w:highlight w:val="lightGray"/>
          <w:lang w:val="lt-LT"/>
        </w:rPr>
      </w:pPr>
      <w:r>
        <w:rPr>
          <w:noProof/>
          <w:snapToGrid/>
          <w:szCs w:val="22"/>
          <w:highlight w:val="lightGray"/>
          <w:lang w:val="lt-LT"/>
        </w:rPr>
        <w:t>Š.</w:t>
      </w:r>
    </w:p>
    <w:p w14:paraId="419F5526" w14:textId="77777777" w:rsidR="0052346D" w:rsidRDefault="005A1771">
      <w:pPr>
        <w:tabs>
          <w:tab w:val="clear" w:pos="567"/>
        </w:tabs>
        <w:spacing w:line="240" w:lineRule="auto"/>
        <w:ind w:right="113"/>
        <w:rPr>
          <w:noProof/>
          <w:snapToGrid/>
          <w:szCs w:val="22"/>
          <w:lang w:val="lt-LT"/>
        </w:rPr>
      </w:pPr>
      <w:r>
        <w:rPr>
          <w:noProof/>
          <w:snapToGrid/>
          <w:szCs w:val="22"/>
          <w:highlight w:val="lightGray"/>
          <w:lang w:val="lt-LT"/>
        </w:rPr>
        <w:t>S.</w:t>
      </w:r>
    </w:p>
    <w:p w14:paraId="18927D21" w14:textId="77777777" w:rsidR="0052346D" w:rsidRDefault="005A1771">
      <w:pPr>
        <w:rPr>
          <w:noProof/>
          <w:snapToGrid/>
          <w:szCs w:val="22"/>
          <w:lang w:val="lt-LT"/>
        </w:rPr>
      </w:pPr>
      <w:r>
        <w:rPr>
          <w:noProof/>
          <w:snapToGrid/>
          <w:szCs w:val="22"/>
          <w:lang w:val="lt-LT"/>
        </w:rPr>
        <w:br w:type="page"/>
      </w:r>
    </w:p>
    <w:p w14:paraId="46D72B29" w14:textId="77777777" w:rsidR="0052346D" w:rsidRDefault="0052346D">
      <w:pPr>
        <w:tabs>
          <w:tab w:val="clear" w:pos="567"/>
        </w:tabs>
        <w:spacing w:line="240" w:lineRule="auto"/>
        <w:rPr>
          <w:noProof/>
          <w:snapToGrid/>
          <w:szCs w:val="22"/>
          <w:lang w:val="lt-LT"/>
        </w:rPr>
      </w:pPr>
    </w:p>
    <w:p w14:paraId="479FAB5F" w14:textId="77777777" w:rsidR="0052346D" w:rsidRDefault="0052346D">
      <w:pPr>
        <w:tabs>
          <w:tab w:val="clear" w:pos="567"/>
        </w:tabs>
        <w:spacing w:line="240" w:lineRule="auto"/>
        <w:rPr>
          <w:noProof/>
          <w:snapToGrid/>
          <w:szCs w:val="22"/>
          <w:lang w:val="lt-LT"/>
        </w:rPr>
      </w:pPr>
    </w:p>
    <w:p w14:paraId="537E2F6E" w14:textId="77777777" w:rsidR="0052346D" w:rsidRDefault="0052346D">
      <w:pPr>
        <w:tabs>
          <w:tab w:val="clear" w:pos="567"/>
        </w:tabs>
        <w:spacing w:line="240" w:lineRule="auto"/>
        <w:rPr>
          <w:noProof/>
          <w:snapToGrid/>
          <w:szCs w:val="22"/>
          <w:lang w:val="lt-LT"/>
        </w:rPr>
      </w:pPr>
    </w:p>
    <w:p w14:paraId="2AEE7996" w14:textId="77777777" w:rsidR="0052346D" w:rsidRDefault="0052346D">
      <w:pPr>
        <w:tabs>
          <w:tab w:val="clear" w:pos="567"/>
        </w:tabs>
        <w:spacing w:line="240" w:lineRule="auto"/>
        <w:rPr>
          <w:noProof/>
          <w:snapToGrid/>
          <w:szCs w:val="22"/>
          <w:lang w:val="lt-LT"/>
        </w:rPr>
      </w:pPr>
    </w:p>
    <w:p w14:paraId="19BB352E" w14:textId="77777777" w:rsidR="0052346D" w:rsidRDefault="0052346D">
      <w:pPr>
        <w:tabs>
          <w:tab w:val="clear" w:pos="567"/>
        </w:tabs>
        <w:spacing w:line="240" w:lineRule="auto"/>
        <w:rPr>
          <w:noProof/>
          <w:snapToGrid/>
          <w:szCs w:val="22"/>
          <w:lang w:val="lt-LT"/>
        </w:rPr>
      </w:pPr>
    </w:p>
    <w:p w14:paraId="3DF3D657" w14:textId="77777777" w:rsidR="0052346D" w:rsidRDefault="0052346D">
      <w:pPr>
        <w:tabs>
          <w:tab w:val="clear" w:pos="567"/>
        </w:tabs>
        <w:spacing w:line="240" w:lineRule="auto"/>
        <w:rPr>
          <w:noProof/>
          <w:snapToGrid/>
          <w:szCs w:val="22"/>
          <w:lang w:val="lt-LT"/>
        </w:rPr>
      </w:pPr>
    </w:p>
    <w:p w14:paraId="4E729D06" w14:textId="77777777" w:rsidR="0052346D" w:rsidRDefault="0052346D">
      <w:pPr>
        <w:tabs>
          <w:tab w:val="clear" w:pos="567"/>
        </w:tabs>
        <w:spacing w:line="240" w:lineRule="auto"/>
        <w:rPr>
          <w:noProof/>
          <w:snapToGrid/>
          <w:szCs w:val="22"/>
          <w:lang w:val="lt-LT"/>
        </w:rPr>
      </w:pPr>
    </w:p>
    <w:p w14:paraId="1DFECBB8" w14:textId="77777777" w:rsidR="0052346D" w:rsidRDefault="0052346D">
      <w:pPr>
        <w:tabs>
          <w:tab w:val="clear" w:pos="567"/>
        </w:tabs>
        <w:spacing w:line="240" w:lineRule="auto"/>
        <w:rPr>
          <w:noProof/>
          <w:snapToGrid/>
          <w:szCs w:val="22"/>
          <w:lang w:val="lt-LT"/>
        </w:rPr>
      </w:pPr>
    </w:p>
    <w:p w14:paraId="52DA11D5" w14:textId="77777777" w:rsidR="0052346D" w:rsidRDefault="0052346D">
      <w:pPr>
        <w:tabs>
          <w:tab w:val="clear" w:pos="567"/>
        </w:tabs>
        <w:spacing w:line="240" w:lineRule="auto"/>
        <w:rPr>
          <w:noProof/>
          <w:snapToGrid/>
          <w:szCs w:val="22"/>
          <w:lang w:val="lt-LT"/>
        </w:rPr>
      </w:pPr>
    </w:p>
    <w:p w14:paraId="12EAF6DE" w14:textId="77777777" w:rsidR="0052346D" w:rsidRDefault="0052346D">
      <w:pPr>
        <w:tabs>
          <w:tab w:val="clear" w:pos="567"/>
        </w:tabs>
        <w:spacing w:line="240" w:lineRule="auto"/>
        <w:rPr>
          <w:noProof/>
          <w:snapToGrid/>
          <w:szCs w:val="22"/>
          <w:lang w:val="lt-LT"/>
        </w:rPr>
      </w:pPr>
    </w:p>
    <w:p w14:paraId="5B0D57FF" w14:textId="77777777" w:rsidR="0052346D" w:rsidRDefault="0052346D">
      <w:pPr>
        <w:tabs>
          <w:tab w:val="clear" w:pos="567"/>
        </w:tabs>
        <w:spacing w:line="240" w:lineRule="auto"/>
        <w:rPr>
          <w:noProof/>
          <w:snapToGrid/>
          <w:szCs w:val="22"/>
          <w:lang w:val="lt-LT"/>
        </w:rPr>
      </w:pPr>
    </w:p>
    <w:p w14:paraId="29F5B811" w14:textId="77777777" w:rsidR="0052346D" w:rsidRDefault="0052346D">
      <w:pPr>
        <w:tabs>
          <w:tab w:val="clear" w:pos="567"/>
        </w:tabs>
        <w:spacing w:line="240" w:lineRule="auto"/>
        <w:rPr>
          <w:noProof/>
          <w:snapToGrid/>
          <w:szCs w:val="22"/>
          <w:lang w:val="lt-LT"/>
        </w:rPr>
      </w:pPr>
    </w:p>
    <w:p w14:paraId="52A32344" w14:textId="77777777" w:rsidR="0052346D" w:rsidRDefault="0052346D">
      <w:pPr>
        <w:tabs>
          <w:tab w:val="clear" w:pos="567"/>
        </w:tabs>
        <w:spacing w:line="240" w:lineRule="auto"/>
        <w:rPr>
          <w:noProof/>
          <w:snapToGrid/>
          <w:szCs w:val="22"/>
          <w:lang w:val="lt-LT"/>
        </w:rPr>
      </w:pPr>
    </w:p>
    <w:p w14:paraId="578CBF4B" w14:textId="77777777" w:rsidR="0052346D" w:rsidRDefault="0052346D">
      <w:pPr>
        <w:tabs>
          <w:tab w:val="clear" w:pos="567"/>
        </w:tabs>
        <w:spacing w:line="240" w:lineRule="auto"/>
        <w:rPr>
          <w:noProof/>
          <w:snapToGrid/>
          <w:szCs w:val="22"/>
          <w:lang w:val="lt-LT"/>
        </w:rPr>
      </w:pPr>
    </w:p>
    <w:p w14:paraId="4D93870C" w14:textId="77777777" w:rsidR="0052346D" w:rsidRDefault="0052346D">
      <w:pPr>
        <w:tabs>
          <w:tab w:val="clear" w:pos="567"/>
        </w:tabs>
        <w:spacing w:line="240" w:lineRule="auto"/>
        <w:rPr>
          <w:noProof/>
          <w:snapToGrid/>
          <w:szCs w:val="22"/>
          <w:lang w:val="lt-LT"/>
        </w:rPr>
      </w:pPr>
    </w:p>
    <w:p w14:paraId="2FB0B94B" w14:textId="77777777" w:rsidR="0052346D" w:rsidRDefault="0052346D">
      <w:pPr>
        <w:tabs>
          <w:tab w:val="clear" w:pos="567"/>
        </w:tabs>
        <w:spacing w:line="240" w:lineRule="auto"/>
        <w:rPr>
          <w:noProof/>
          <w:snapToGrid/>
          <w:szCs w:val="22"/>
          <w:lang w:val="lt-LT"/>
        </w:rPr>
      </w:pPr>
    </w:p>
    <w:p w14:paraId="29C1353C" w14:textId="77777777" w:rsidR="0052346D" w:rsidRDefault="0052346D">
      <w:pPr>
        <w:tabs>
          <w:tab w:val="clear" w:pos="567"/>
        </w:tabs>
        <w:spacing w:line="240" w:lineRule="auto"/>
        <w:rPr>
          <w:noProof/>
          <w:snapToGrid/>
          <w:szCs w:val="22"/>
          <w:lang w:val="lt-LT"/>
        </w:rPr>
      </w:pPr>
    </w:p>
    <w:p w14:paraId="7424011B" w14:textId="77777777" w:rsidR="0052346D" w:rsidRDefault="0052346D">
      <w:pPr>
        <w:tabs>
          <w:tab w:val="clear" w:pos="567"/>
        </w:tabs>
        <w:spacing w:line="240" w:lineRule="auto"/>
        <w:rPr>
          <w:noProof/>
          <w:snapToGrid/>
          <w:szCs w:val="22"/>
          <w:lang w:val="lt-LT"/>
        </w:rPr>
      </w:pPr>
    </w:p>
    <w:p w14:paraId="244B5F7F" w14:textId="77777777" w:rsidR="0052346D" w:rsidRDefault="0052346D">
      <w:pPr>
        <w:tabs>
          <w:tab w:val="clear" w:pos="567"/>
        </w:tabs>
        <w:spacing w:line="240" w:lineRule="auto"/>
        <w:rPr>
          <w:noProof/>
          <w:snapToGrid/>
          <w:szCs w:val="22"/>
          <w:lang w:val="lt-LT"/>
        </w:rPr>
      </w:pPr>
    </w:p>
    <w:p w14:paraId="7A9B5A2F" w14:textId="77777777" w:rsidR="0052346D" w:rsidRDefault="0052346D">
      <w:pPr>
        <w:tabs>
          <w:tab w:val="clear" w:pos="567"/>
        </w:tabs>
        <w:spacing w:line="240" w:lineRule="auto"/>
        <w:rPr>
          <w:noProof/>
          <w:snapToGrid/>
          <w:szCs w:val="22"/>
          <w:lang w:val="lt-LT"/>
        </w:rPr>
      </w:pPr>
    </w:p>
    <w:p w14:paraId="34DFAF1E" w14:textId="77777777" w:rsidR="0052346D" w:rsidRDefault="0052346D">
      <w:pPr>
        <w:tabs>
          <w:tab w:val="clear" w:pos="567"/>
        </w:tabs>
        <w:spacing w:line="240" w:lineRule="auto"/>
        <w:rPr>
          <w:noProof/>
          <w:snapToGrid/>
          <w:szCs w:val="22"/>
          <w:lang w:val="lt-LT"/>
        </w:rPr>
      </w:pPr>
    </w:p>
    <w:p w14:paraId="044DD710" w14:textId="77777777" w:rsidR="0052346D" w:rsidRDefault="005A1771">
      <w:pPr>
        <w:tabs>
          <w:tab w:val="clear" w:pos="567"/>
        </w:tabs>
        <w:spacing w:line="240" w:lineRule="auto"/>
        <w:jc w:val="center"/>
        <w:outlineLvl w:val="0"/>
        <w:rPr>
          <w:noProof/>
          <w:snapToGrid/>
          <w:szCs w:val="22"/>
          <w:lang w:val="lt-LT"/>
        </w:rPr>
      </w:pPr>
      <w:r>
        <w:rPr>
          <w:b/>
          <w:noProof/>
          <w:snapToGrid/>
          <w:szCs w:val="22"/>
          <w:lang w:val="lt-LT"/>
        </w:rPr>
        <w:t>B. PAKUOTĖS LAPELIS</w:t>
      </w:r>
    </w:p>
    <w:p w14:paraId="39402707" w14:textId="77777777" w:rsidR="0052346D" w:rsidRDefault="005A1771">
      <w:pPr>
        <w:tabs>
          <w:tab w:val="clear" w:pos="567"/>
        </w:tabs>
        <w:spacing w:line="240" w:lineRule="auto"/>
        <w:jc w:val="center"/>
        <w:rPr>
          <w:b/>
          <w:bCs/>
          <w:snapToGrid/>
          <w:szCs w:val="22"/>
          <w:lang w:val="lt-LT"/>
        </w:rPr>
      </w:pPr>
      <w:r>
        <w:rPr>
          <w:b/>
          <w:noProof/>
          <w:snapToGrid/>
          <w:szCs w:val="22"/>
          <w:lang w:val="lt-LT"/>
        </w:rPr>
        <w:br w:type="page"/>
      </w:r>
      <w:r>
        <w:rPr>
          <w:b/>
          <w:bCs/>
          <w:snapToGrid/>
          <w:szCs w:val="22"/>
          <w:lang w:val="lt-LT"/>
        </w:rPr>
        <w:lastRenderedPageBreak/>
        <w:t>Pakuotės lapelis: informacija vartotojui</w:t>
      </w:r>
    </w:p>
    <w:p w14:paraId="6D260371" w14:textId="77777777" w:rsidR="0052346D" w:rsidRDefault="0052346D">
      <w:pPr>
        <w:widowControl w:val="0"/>
        <w:tabs>
          <w:tab w:val="clear" w:pos="567"/>
        </w:tabs>
        <w:spacing w:line="240" w:lineRule="auto"/>
        <w:ind w:left="567" w:hanging="567"/>
        <w:jc w:val="center"/>
        <w:rPr>
          <w:bCs/>
          <w:snapToGrid/>
          <w:szCs w:val="22"/>
          <w:lang w:val="lt-LT"/>
        </w:rPr>
      </w:pPr>
    </w:p>
    <w:p w14:paraId="665F0653" w14:textId="77777777" w:rsidR="0052346D" w:rsidRDefault="005A1771">
      <w:pPr>
        <w:widowControl w:val="0"/>
        <w:tabs>
          <w:tab w:val="clear" w:pos="567"/>
        </w:tabs>
        <w:spacing w:line="240" w:lineRule="auto"/>
        <w:ind w:left="567" w:hanging="567"/>
        <w:jc w:val="center"/>
        <w:rPr>
          <w:b/>
          <w:bCs/>
          <w:snapToGrid/>
          <w:color w:val="000000"/>
          <w:szCs w:val="22"/>
          <w:lang w:val="lt-LT"/>
        </w:rPr>
      </w:pPr>
      <w:r>
        <w:rPr>
          <w:b/>
          <w:bCs/>
          <w:snapToGrid/>
          <w:color w:val="000000"/>
          <w:szCs w:val="22"/>
          <w:lang w:val="lt-LT"/>
        </w:rPr>
        <w:t>Kanpiduo 8 mg/2,5 mg tabletės</w:t>
      </w:r>
    </w:p>
    <w:p w14:paraId="66829D27" w14:textId="77777777" w:rsidR="0052346D" w:rsidRDefault="005A1771">
      <w:pPr>
        <w:widowControl w:val="0"/>
        <w:tabs>
          <w:tab w:val="clear" w:pos="567"/>
        </w:tabs>
        <w:spacing w:line="240" w:lineRule="auto"/>
        <w:ind w:left="567" w:hanging="567"/>
        <w:jc w:val="center"/>
        <w:rPr>
          <w:snapToGrid/>
          <w:szCs w:val="22"/>
          <w:lang w:val="lt-LT"/>
        </w:rPr>
      </w:pPr>
      <w:r>
        <w:rPr>
          <w:b/>
          <w:bCs/>
          <w:snapToGrid/>
          <w:color w:val="000000"/>
          <w:szCs w:val="22"/>
          <w:lang w:val="lt-LT"/>
        </w:rPr>
        <w:t>Kanpiduo 16 mg/2,5 mg tabletės</w:t>
      </w:r>
    </w:p>
    <w:p w14:paraId="3BD3DCCD" w14:textId="7747731E" w:rsidR="0052346D" w:rsidRDefault="005A1771">
      <w:pPr>
        <w:widowControl w:val="0"/>
        <w:tabs>
          <w:tab w:val="clear" w:pos="567"/>
        </w:tabs>
        <w:spacing w:line="240" w:lineRule="auto"/>
        <w:ind w:left="567" w:hanging="567"/>
        <w:jc w:val="center"/>
        <w:rPr>
          <w:snapToGrid/>
          <w:szCs w:val="22"/>
          <w:lang w:val="lt-LT"/>
        </w:rPr>
      </w:pPr>
      <w:r>
        <w:rPr>
          <w:snapToGrid/>
          <w:szCs w:val="22"/>
          <w:lang w:val="lt-LT"/>
        </w:rPr>
        <w:t>kandesartano cileksetilas, indapamidas</w:t>
      </w:r>
    </w:p>
    <w:p w14:paraId="49CA7312" w14:textId="77777777" w:rsidR="0052346D" w:rsidRDefault="0052346D">
      <w:pPr>
        <w:widowControl w:val="0"/>
        <w:tabs>
          <w:tab w:val="clear" w:pos="567"/>
        </w:tabs>
        <w:spacing w:line="240" w:lineRule="auto"/>
        <w:rPr>
          <w:snapToGrid/>
          <w:szCs w:val="22"/>
          <w:lang w:val="lt-LT"/>
        </w:rPr>
      </w:pPr>
    </w:p>
    <w:p w14:paraId="76AD6821" w14:textId="77777777" w:rsidR="0052346D" w:rsidRDefault="005A1771">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Atidžiai perskaitykite visą šį lapelį, prieš pradėdami vartoti vaistą, nes jame pateikiama Jums svarbi informacija.</w:t>
      </w:r>
    </w:p>
    <w:p w14:paraId="7580BE15" w14:textId="77777777" w:rsidR="0052346D" w:rsidRDefault="005A1771">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Neišmeskite šio lapelio, nes vėl gali prireikti jį perskaityti.</w:t>
      </w:r>
    </w:p>
    <w:p w14:paraId="670934D2" w14:textId="77777777" w:rsidR="0052346D" w:rsidRDefault="005A1771">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kiltų daugiau klausimų, kreipkitės į gydytoją arba vaistininką.</w:t>
      </w:r>
    </w:p>
    <w:p w14:paraId="673C4C9B" w14:textId="77777777" w:rsidR="0052346D" w:rsidRDefault="005A1771">
      <w:pPr>
        <w:widowControl w:val="0"/>
        <w:autoSpaceDE w:val="0"/>
        <w:autoSpaceDN w:val="0"/>
        <w:adjustRightInd w:val="0"/>
        <w:spacing w:line="240" w:lineRule="auto"/>
        <w:ind w:left="567" w:hanging="567"/>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Šis vaistas skirtas tik Jums, todėl kitiems žmonėms jo duoti negalima. Vaistas gali jiems pakenkti (net tiems, kurių ligos požymiai yra tokie patys kaip Jūsų).</w:t>
      </w:r>
    </w:p>
    <w:p w14:paraId="0F53BADE" w14:textId="77777777" w:rsidR="0052346D" w:rsidRDefault="005A1771">
      <w:pPr>
        <w:widowControl w:val="0"/>
        <w:autoSpaceDE w:val="0"/>
        <w:autoSpaceDN w:val="0"/>
        <w:adjustRightInd w:val="0"/>
        <w:spacing w:line="240" w:lineRule="auto"/>
        <w:ind w:left="567" w:hanging="567"/>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pasireiškė šalutinis poveikis (net jeigu jis šiame lapelyje nenurodytas), kreipkitės į gydytoją arba vaistininką. Žr. 4 skyrių.</w:t>
      </w:r>
    </w:p>
    <w:p w14:paraId="1A3480FC" w14:textId="77777777" w:rsidR="0052346D" w:rsidRDefault="0052346D">
      <w:pPr>
        <w:widowControl w:val="0"/>
        <w:autoSpaceDE w:val="0"/>
        <w:autoSpaceDN w:val="0"/>
        <w:adjustRightInd w:val="0"/>
        <w:spacing w:line="240" w:lineRule="auto"/>
        <w:ind w:left="567" w:hanging="567"/>
        <w:rPr>
          <w:bCs/>
          <w:snapToGrid/>
          <w:szCs w:val="22"/>
          <w:lang w:val="lt-LT"/>
        </w:rPr>
      </w:pPr>
    </w:p>
    <w:p w14:paraId="6B450F13" w14:textId="77777777" w:rsidR="0052346D" w:rsidRDefault="005A1771">
      <w:pPr>
        <w:widowControl w:val="0"/>
        <w:tabs>
          <w:tab w:val="clear" w:pos="567"/>
        </w:tabs>
        <w:spacing w:line="240" w:lineRule="auto"/>
        <w:ind w:left="567" w:hanging="567"/>
        <w:rPr>
          <w:b/>
          <w:snapToGrid/>
          <w:szCs w:val="22"/>
          <w:lang w:val="lt-LT"/>
        </w:rPr>
      </w:pPr>
      <w:r>
        <w:rPr>
          <w:b/>
          <w:snapToGrid/>
          <w:szCs w:val="22"/>
          <w:lang w:val="lt-LT"/>
        </w:rPr>
        <w:t>Apie ką rašoma šiame lapelyje?</w:t>
      </w:r>
    </w:p>
    <w:p w14:paraId="53602956" w14:textId="77777777" w:rsidR="0052346D" w:rsidRDefault="005A1771">
      <w:pPr>
        <w:widowControl w:val="0"/>
        <w:tabs>
          <w:tab w:val="clear" w:pos="567"/>
        </w:tabs>
        <w:spacing w:line="240" w:lineRule="auto"/>
        <w:ind w:left="567" w:hanging="567"/>
        <w:rPr>
          <w:snapToGrid/>
          <w:szCs w:val="22"/>
          <w:lang w:val="lt-LT"/>
        </w:rPr>
      </w:pPr>
      <w:r>
        <w:rPr>
          <w:snapToGrid/>
          <w:szCs w:val="22"/>
          <w:lang w:val="lt-LT"/>
        </w:rPr>
        <w:t>1.</w:t>
      </w:r>
      <w:r>
        <w:rPr>
          <w:snapToGrid/>
          <w:szCs w:val="22"/>
          <w:lang w:val="lt-LT"/>
        </w:rPr>
        <w:tab/>
        <w:t>Kas yra Kanpiduo ir kam jis vartojamas</w:t>
      </w:r>
    </w:p>
    <w:p w14:paraId="2B1EB590" w14:textId="77777777" w:rsidR="0052346D" w:rsidRDefault="005A1771">
      <w:pPr>
        <w:widowControl w:val="0"/>
        <w:tabs>
          <w:tab w:val="clear" w:pos="567"/>
        </w:tabs>
        <w:spacing w:line="240" w:lineRule="auto"/>
        <w:ind w:left="567" w:hanging="567"/>
        <w:rPr>
          <w:snapToGrid/>
          <w:szCs w:val="22"/>
          <w:lang w:val="lt-LT"/>
        </w:rPr>
      </w:pPr>
      <w:r>
        <w:rPr>
          <w:snapToGrid/>
          <w:szCs w:val="22"/>
          <w:lang w:val="lt-LT"/>
        </w:rPr>
        <w:t>2.</w:t>
      </w:r>
      <w:r>
        <w:rPr>
          <w:snapToGrid/>
          <w:szCs w:val="22"/>
          <w:lang w:val="lt-LT"/>
        </w:rPr>
        <w:tab/>
        <w:t>Kas žinotina prieš vartojant Kanpiduo</w:t>
      </w:r>
    </w:p>
    <w:p w14:paraId="54282FAD" w14:textId="77777777" w:rsidR="0052346D" w:rsidRDefault="005A1771">
      <w:pPr>
        <w:widowControl w:val="0"/>
        <w:tabs>
          <w:tab w:val="clear" w:pos="567"/>
        </w:tabs>
        <w:spacing w:line="240" w:lineRule="auto"/>
        <w:ind w:left="567" w:hanging="567"/>
        <w:rPr>
          <w:snapToGrid/>
          <w:szCs w:val="22"/>
          <w:lang w:val="lt-LT"/>
        </w:rPr>
      </w:pPr>
      <w:r>
        <w:rPr>
          <w:snapToGrid/>
          <w:szCs w:val="22"/>
          <w:lang w:val="lt-LT"/>
        </w:rPr>
        <w:t>3.</w:t>
      </w:r>
      <w:r>
        <w:rPr>
          <w:snapToGrid/>
          <w:szCs w:val="22"/>
          <w:lang w:val="lt-LT"/>
        </w:rPr>
        <w:tab/>
        <w:t>Kaip vartoti Kanpiduo</w:t>
      </w:r>
    </w:p>
    <w:p w14:paraId="24B9DBF0" w14:textId="77777777" w:rsidR="0052346D" w:rsidRDefault="005A1771">
      <w:pPr>
        <w:widowControl w:val="0"/>
        <w:tabs>
          <w:tab w:val="clear" w:pos="567"/>
        </w:tabs>
        <w:spacing w:line="240" w:lineRule="auto"/>
        <w:ind w:left="567" w:hanging="567"/>
        <w:rPr>
          <w:snapToGrid/>
          <w:szCs w:val="22"/>
          <w:lang w:val="lt-LT"/>
        </w:rPr>
      </w:pPr>
      <w:r>
        <w:rPr>
          <w:snapToGrid/>
          <w:szCs w:val="22"/>
          <w:lang w:val="lt-LT"/>
        </w:rPr>
        <w:t>4.</w:t>
      </w:r>
      <w:r>
        <w:rPr>
          <w:snapToGrid/>
          <w:szCs w:val="22"/>
          <w:lang w:val="lt-LT"/>
        </w:rPr>
        <w:tab/>
        <w:t>Galimas šalutinis poveikis</w:t>
      </w:r>
    </w:p>
    <w:p w14:paraId="093742BC" w14:textId="77777777" w:rsidR="0052346D" w:rsidRDefault="005A1771">
      <w:pPr>
        <w:widowControl w:val="0"/>
        <w:tabs>
          <w:tab w:val="clear" w:pos="567"/>
        </w:tabs>
        <w:spacing w:line="240" w:lineRule="auto"/>
        <w:ind w:left="567" w:hanging="567"/>
        <w:rPr>
          <w:snapToGrid/>
          <w:szCs w:val="22"/>
          <w:lang w:val="lt-LT"/>
        </w:rPr>
      </w:pPr>
      <w:r>
        <w:rPr>
          <w:snapToGrid/>
          <w:szCs w:val="22"/>
          <w:lang w:val="lt-LT"/>
        </w:rPr>
        <w:t>5.</w:t>
      </w:r>
      <w:r>
        <w:rPr>
          <w:snapToGrid/>
          <w:szCs w:val="22"/>
          <w:lang w:val="lt-LT"/>
        </w:rPr>
        <w:tab/>
        <w:t>Kaip laikyti Kanpiduo</w:t>
      </w:r>
    </w:p>
    <w:p w14:paraId="2807D0C8" w14:textId="77777777" w:rsidR="0052346D" w:rsidRDefault="005A1771">
      <w:pPr>
        <w:widowControl w:val="0"/>
        <w:tabs>
          <w:tab w:val="clear" w:pos="567"/>
        </w:tabs>
        <w:spacing w:line="240" w:lineRule="auto"/>
        <w:ind w:left="567" w:hanging="567"/>
        <w:rPr>
          <w:snapToGrid/>
          <w:szCs w:val="22"/>
          <w:lang w:val="lt-LT"/>
        </w:rPr>
      </w:pPr>
      <w:r>
        <w:rPr>
          <w:snapToGrid/>
          <w:szCs w:val="22"/>
          <w:lang w:val="lt-LT"/>
        </w:rPr>
        <w:t>6.</w:t>
      </w:r>
      <w:r>
        <w:rPr>
          <w:snapToGrid/>
          <w:szCs w:val="22"/>
          <w:lang w:val="lt-LT"/>
        </w:rPr>
        <w:tab/>
        <w:t>Pakuotės turinys ir kita informacija</w:t>
      </w:r>
    </w:p>
    <w:p w14:paraId="4EE1621F" w14:textId="77777777" w:rsidR="0052346D" w:rsidRDefault="0052346D">
      <w:pPr>
        <w:widowControl w:val="0"/>
        <w:numPr>
          <w:ilvl w:val="12"/>
          <w:numId w:val="0"/>
        </w:numPr>
        <w:tabs>
          <w:tab w:val="clear" w:pos="567"/>
        </w:tabs>
        <w:spacing w:line="240" w:lineRule="auto"/>
        <w:rPr>
          <w:snapToGrid/>
          <w:szCs w:val="22"/>
          <w:lang w:val="lt-LT"/>
        </w:rPr>
      </w:pPr>
    </w:p>
    <w:p w14:paraId="377E1475" w14:textId="77777777" w:rsidR="0052346D" w:rsidRDefault="0052346D">
      <w:pPr>
        <w:widowControl w:val="0"/>
        <w:numPr>
          <w:ilvl w:val="12"/>
          <w:numId w:val="0"/>
        </w:numPr>
        <w:tabs>
          <w:tab w:val="clear" w:pos="567"/>
        </w:tabs>
        <w:spacing w:line="240" w:lineRule="auto"/>
        <w:rPr>
          <w:snapToGrid/>
          <w:szCs w:val="22"/>
          <w:lang w:val="lt-LT"/>
        </w:rPr>
      </w:pPr>
    </w:p>
    <w:p w14:paraId="7AE39422" w14:textId="77777777" w:rsidR="0052346D" w:rsidRDefault="005A1771">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1.</w:t>
      </w:r>
      <w:r>
        <w:rPr>
          <w:b/>
          <w:snapToGrid/>
          <w:szCs w:val="22"/>
          <w:lang w:val="lt-LT"/>
        </w:rPr>
        <w:tab/>
        <w:t xml:space="preserve">Kas yra </w:t>
      </w:r>
      <w:r>
        <w:rPr>
          <w:b/>
          <w:bCs/>
          <w:snapToGrid/>
          <w:szCs w:val="22"/>
          <w:lang w:val="lt-LT"/>
        </w:rPr>
        <w:t xml:space="preserve">Kanpiduo </w:t>
      </w:r>
      <w:r>
        <w:rPr>
          <w:b/>
          <w:snapToGrid/>
          <w:szCs w:val="22"/>
          <w:lang w:val="lt-LT"/>
        </w:rPr>
        <w:t>ir kam jis vartojamas</w:t>
      </w:r>
    </w:p>
    <w:p w14:paraId="07B6CF12" w14:textId="77777777" w:rsidR="0052346D" w:rsidRDefault="0052346D">
      <w:pPr>
        <w:widowControl w:val="0"/>
        <w:tabs>
          <w:tab w:val="clear" w:pos="567"/>
        </w:tabs>
        <w:spacing w:line="240" w:lineRule="auto"/>
        <w:ind w:left="567" w:hanging="567"/>
        <w:rPr>
          <w:snapToGrid/>
          <w:szCs w:val="22"/>
          <w:lang w:val="lt-LT"/>
        </w:rPr>
      </w:pPr>
    </w:p>
    <w:p w14:paraId="0B329C9D" w14:textId="77777777" w:rsidR="0052346D" w:rsidRDefault="005A1771">
      <w:pPr>
        <w:widowControl w:val="0"/>
        <w:tabs>
          <w:tab w:val="clear" w:pos="567"/>
        </w:tabs>
        <w:autoSpaceDE w:val="0"/>
        <w:autoSpaceDN w:val="0"/>
        <w:adjustRightInd w:val="0"/>
        <w:spacing w:line="240" w:lineRule="auto"/>
        <w:rPr>
          <w:snapToGrid/>
          <w:szCs w:val="22"/>
          <w:lang w:val="lt-LT"/>
        </w:rPr>
      </w:pPr>
      <w:r>
        <w:rPr>
          <w:snapToGrid/>
          <w:szCs w:val="22"/>
          <w:lang w:val="lt-LT"/>
        </w:rPr>
        <w:t>Kanpiduo sudėtyje yra dvi veikliosios medžiagos, vadinamos kandesartanu ir indapamidu.</w:t>
      </w:r>
    </w:p>
    <w:p w14:paraId="2FAEF9EB" w14:textId="77777777" w:rsidR="0052346D" w:rsidRDefault="0052346D">
      <w:pPr>
        <w:widowControl w:val="0"/>
        <w:tabs>
          <w:tab w:val="clear" w:pos="567"/>
        </w:tabs>
        <w:autoSpaceDE w:val="0"/>
        <w:autoSpaceDN w:val="0"/>
        <w:adjustRightInd w:val="0"/>
        <w:spacing w:line="240" w:lineRule="auto"/>
        <w:rPr>
          <w:snapToGrid/>
          <w:szCs w:val="22"/>
          <w:lang w:val="lt-LT"/>
        </w:rPr>
      </w:pPr>
    </w:p>
    <w:p w14:paraId="66B67FC4" w14:textId="77777777" w:rsidR="0052346D" w:rsidRDefault="005A1771">
      <w:pPr>
        <w:widowControl w:val="0"/>
        <w:tabs>
          <w:tab w:val="clear" w:pos="567"/>
        </w:tabs>
        <w:autoSpaceDE w:val="0"/>
        <w:autoSpaceDN w:val="0"/>
        <w:adjustRightInd w:val="0"/>
        <w:spacing w:line="240" w:lineRule="auto"/>
        <w:rPr>
          <w:snapToGrid/>
          <w:szCs w:val="22"/>
          <w:lang w:val="lt-LT"/>
        </w:rPr>
      </w:pPr>
      <w:r>
        <w:rPr>
          <w:snapToGrid/>
          <w:szCs w:val="22"/>
          <w:lang w:val="lt-LT"/>
        </w:rPr>
        <w:t>Kandesartanas priklauso vaistų, vadinamų angiotenzino II receptorių antagonistais, grupei. Jis veikia atpalaiduodamas ir praplėsdamas kraujagysles. Tai padeda mažinti kraujospūdį.</w:t>
      </w:r>
    </w:p>
    <w:p w14:paraId="0250626A" w14:textId="77777777" w:rsidR="0052346D" w:rsidRDefault="0052346D">
      <w:pPr>
        <w:widowControl w:val="0"/>
        <w:tabs>
          <w:tab w:val="clear" w:pos="567"/>
        </w:tabs>
        <w:autoSpaceDE w:val="0"/>
        <w:autoSpaceDN w:val="0"/>
        <w:adjustRightInd w:val="0"/>
        <w:spacing w:line="240" w:lineRule="auto"/>
        <w:rPr>
          <w:snapToGrid/>
          <w:szCs w:val="22"/>
          <w:lang w:val="lt-LT"/>
        </w:rPr>
      </w:pPr>
    </w:p>
    <w:p w14:paraId="60DC38AC" w14:textId="77777777" w:rsidR="0052346D" w:rsidRDefault="005A1771">
      <w:pPr>
        <w:widowControl w:val="0"/>
        <w:tabs>
          <w:tab w:val="clear" w:pos="567"/>
        </w:tabs>
        <w:autoSpaceDE w:val="0"/>
        <w:autoSpaceDN w:val="0"/>
        <w:adjustRightInd w:val="0"/>
        <w:spacing w:line="240" w:lineRule="auto"/>
        <w:rPr>
          <w:snapToGrid/>
          <w:szCs w:val="22"/>
          <w:lang w:val="lt-LT"/>
        </w:rPr>
      </w:pPr>
      <w:r>
        <w:rPr>
          <w:snapToGrid/>
          <w:szCs w:val="22"/>
          <w:lang w:val="lt-LT"/>
        </w:rPr>
        <w:t>Indapamidas yra diuretikas (šlapimo išsiskyrimą skatinantis vaistas). Dauguma diuretikų didina inkstuose išskiriamo šlapimo kiekį. Vis dėlto indapamidas skiriasi nuo kitų diuretikų, nes jis tik šiek tiek padidina gaminamo šlapimo kiekį.</w:t>
      </w:r>
    </w:p>
    <w:p w14:paraId="7B771937" w14:textId="77777777" w:rsidR="0052346D" w:rsidRDefault="0052346D">
      <w:pPr>
        <w:widowControl w:val="0"/>
        <w:tabs>
          <w:tab w:val="clear" w:pos="567"/>
        </w:tabs>
        <w:autoSpaceDE w:val="0"/>
        <w:autoSpaceDN w:val="0"/>
        <w:adjustRightInd w:val="0"/>
        <w:spacing w:line="240" w:lineRule="auto"/>
        <w:rPr>
          <w:snapToGrid/>
          <w:szCs w:val="22"/>
          <w:lang w:val="lt-LT"/>
        </w:rPr>
      </w:pPr>
    </w:p>
    <w:p w14:paraId="230F580E" w14:textId="77777777" w:rsidR="0052346D" w:rsidRDefault="005A1771">
      <w:pPr>
        <w:widowControl w:val="0"/>
        <w:tabs>
          <w:tab w:val="clear" w:pos="567"/>
        </w:tabs>
        <w:autoSpaceDE w:val="0"/>
        <w:autoSpaceDN w:val="0"/>
        <w:adjustRightInd w:val="0"/>
        <w:spacing w:line="240" w:lineRule="auto"/>
        <w:rPr>
          <w:snapToGrid/>
          <w:szCs w:val="22"/>
          <w:lang w:val="lt-LT"/>
        </w:rPr>
      </w:pPr>
      <w:r>
        <w:rPr>
          <w:snapToGrid/>
          <w:szCs w:val="22"/>
          <w:lang w:val="lt-LT"/>
        </w:rPr>
        <w:t>Šis vaistas yra skirtas mažinti aukštą kraujospūdį (gydyti hipertenziją) suaugusiesiems. Gydytojas Jums skirs Kanpiduo, jei Jūs jau vartojate kandesartano ir indapamido tokiomis pačiomis dozėmis, tačiau atskiromis tabletėmis.</w:t>
      </w:r>
    </w:p>
    <w:p w14:paraId="1EB1DB58" w14:textId="77777777" w:rsidR="0052346D" w:rsidRDefault="0052346D">
      <w:pPr>
        <w:widowControl w:val="0"/>
        <w:numPr>
          <w:ilvl w:val="12"/>
          <w:numId w:val="0"/>
        </w:numPr>
        <w:tabs>
          <w:tab w:val="clear" w:pos="567"/>
        </w:tabs>
        <w:spacing w:line="240" w:lineRule="auto"/>
        <w:rPr>
          <w:snapToGrid/>
          <w:szCs w:val="22"/>
          <w:lang w:val="lt-LT"/>
        </w:rPr>
      </w:pPr>
    </w:p>
    <w:p w14:paraId="283872AC" w14:textId="77777777" w:rsidR="0052346D" w:rsidRDefault="0052346D">
      <w:pPr>
        <w:widowControl w:val="0"/>
        <w:numPr>
          <w:ilvl w:val="12"/>
          <w:numId w:val="0"/>
        </w:numPr>
        <w:tabs>
          <w:tab w:val="clear" w:pos="567"/>
        </w:tabs>
        <w:spacing w:line="240" w:lineRule="auto"/>
        <w:rPr>
          <w:snapToGrid/>
          <w:szCs w:val="22"/>
          <w:lang w:val="lt-LT"/>
        </w:rPr>
      </w:pPr>
    </w:p>
    <w:p w14:paraId="1893F0B3" w14:textId="77777777" w:rsidR="0052346D" w:rsidRDefault="005A1771">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2.</w:t>
      </w:r>
      <w:r>
        <w:rPr>
          <w:b/>
          <w:snapToGrid/>
          <w:szCs w:val="22"/>
          <w:lang w:val="lt-LT"/>
        </w:rPr>
        <w:tab/>
        <w:t xml:space="preserve">Kas žinotina prieš vartojant </w:t>
      </w:r>
      <w:r>
        <w:rPr>
          <w:b/>
          <w:bCs/>
          <w:snapToGrid/>
          <w:szCs w:val="22"/>
          <w:lang w:val="lt-LT"/>
        </w:rPr>
        <w:t>Kanpiduo</w:t>
      </w:r>
    </w:p>
    <w:p w14:paraId="7E85D00D" w14:textId="77777777" w:rsidR="0052346D" w:rsidRDefault="0052346D">
      <w:pPr>
        <w:widowControl w:val="0"/>
        <w:tabs>
          <w:tab w:val="clear" w:pos="567"/>
        </w:tabs>
        <w:spacing w:line="240" w:lineRule="auto"/>
        <w:ind w:left="567" w:hanging="567"/>
        <w:rPr>
          <w:snapToGrid/>
          <w:szCs w:val="22"/>
          <w:lang w:val="lt-LT"/>
        </w:rPr>
      </w:pPr>
    </w:p>
    <w:p w14:paraId="6E8B786F" w14:textId="77777777" w:rsidR="0052346D" w:rsidRDefault="005A1771">
      <w:pPr>
        <w:widowControl w:val="0"/>
        <w:tabs>
          <w:tab w:val="clear" w:pos="567"/>
        </w:tabs>
        <w:spacing w:line="240" w:lineRule="auto"/>
        <w:ind w:left="567" w:hanging="567"/>
        <w:rPr>
          <w:b/>
          <w:bCs/>
          <w:caps/>
          <w:snapToGrid/>
          <w:szCs w:val="22"/>
          <w:lang w:val="lt-LT"/>
        </w:rPr>
      </w:pPr>
      <w:r>
        <w:rPr>
          <w:b/>
          <w:bCs/>
          <w:snapToGrid/>
          <w:szCs w:val="22"/>
          <w:lang w:val="lt-LT"/>
        </w:rPr>
        <w:t>Kanpiduo vartoti draudžiama:</w:t>
      </w:r>
    </w:p>
    <w:p w14:paraId="779821F2" w14:textId="77777777" w:rsidR="0052346D" w:rsidRDefault="005A1771">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yra alergija kandesartanui, indapamidui arba kitiems to paties tipo vaistams (vadinamiems sulfonamidais) arba bet kuriai pagalbinei šio vaisto medžiagai (jos išvardytos 6 skyriuje);</w:t>
      </w:r>
    </w:p>
    <w:p w14:paraId="225B4936" w14:textId="77777777" w:rsidR="0052346D" w:rsidRDefault="005A1771">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esate ilgiau kaip 3 mėnesius nėščia (geriausia vengti vartoti Kanpiduo ir ankstyvuoju nėštumo laikotarpiu – žr. skyrių „Nėštumas ir žindymo laikotarpis“);</w:t>
      </w:r>
    </w:p>
    <w:p w14:paraId="23145FAE" w14:textId="77777777" w:rsidR="0052346D" w:rsidRDefault="005A1771">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yra sunki kepenų liga, tulžies takų užsikimšimas (tulžies ištekėjimo iš tulžies pūslės sutrikimas) arba būklė, vadinama hepatine encefalopatija (degeneracinė galvos smegenų liga);</w:t>
      </w:r>
    </w:p>
    <w:p w14:paraId="5FA75F7D" w14:textId="77777777" w:rsidR="0052346D" w:rsidRDefault="005A1771">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pacientas yra jaunesnis nei 1 metų vaikas;</w:t>
      </w:r>
    </w:p>
    <w:p w14:paraId="330730FA" w14:textId="77777777" w:rsidR="0052346D" w:rsidRDefault="005A1771">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sergate cukriniu diabetu arba Jūsų inkstų funkcija sutrikusi ir Jums skirtas kraujospūdį mažinantis vaistas, kurio sudėtyje yra aliskireno;</w:t>
      </w:r>
    </w:p>
    <w:p w14:paraId="35EEB63F" w14:textId="77777777" w:rsidR="0052346D" w:rsidRDefault="005A1771">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kalio kiekis kraujyje yra mažas.</w:t>
      </w:r>
    </w:p>
    <w:p w14:paraId="21D2570B" w14:textId="77777777" w:rsidR="0052346D" w:rsidRDefault="0052346D">
      <w:pPr>
        <w:widowControl w:val="0"/>
        <w:tabs>
          <w:tab w:val="clear" w:pos="567"/>
        </w:tabs>
        <w:autoSpaceDE w:val="0"/>
        <w:autoSpaceDN w:val="0"/>
        <w:adjustRightInd w:val="0"/>
        <w:spacing w:line="240" w:lineRule="auto"/>
        <w:rPr>
          <w:snapToGrid/>
          <w:szCs w:val="22"/>
          <w:lang w:val="lt-LT"/>
        </w:rPr>
      </w:pPr>
    </w:p>
    <w:p w14:paraId="1D6217C4" w14:textId="77777777" w:rsidR="0052346D" w:rsidRDefault="005A1771">
      <w:pPr>
        <w:widowControl w:val="0"/>
        <w:tabs>
          <w:tab w:val="clear" w:pos="567"/>
        </w:tabs>
        <w:autoSpaceDE w:val="0"/>
        <w:autoSpaceDN w:val="0"/>
        <w:adjustRightInd w:val="0"/>
        <w:spacing w:line="240" w:lineRule="auto"/>
        <w:rPr>
          <w:snapToGrid/>
          <w:szCs w:val="22"/>
          <w:lang w:val="lt-LT"/>
        </w:rPr>
      </w:pPr>
      <w:r>
        <w:rPr>
          <w:snapToGrid/>
          <w:szCs w:val="22"/>
          <w:lang w:val="lt-LT"/>
        </w:rPr>
        <w:t>Jeigu manote, kad kuri nors paminėta būklė Jums tinka, apie tai pasakykite gydytojui arba vaistininkui prieš pradėdami vartoti Kanpiduo.</w:t>
      </w:r>
    </w:p>
    <w:p w14:paraId="57367AB7" w14:textId="77777777" w:rsidR="0052346D" w:rsidRDefault="0052346D">
      <w:pPr>
        <w:widowControl w:val="0"/>
        <w:tabs>
          <w:tab w:val="clear" w:pos="567"/>
        </w:tabs>
        <w:autoSpaceDE w:val="0"/>
        <w:autoSpaceDN w:val="0"/>
        <w:adjustRightInd w:val="0"/>
        <w:spacing w:line="240" w:lineRule="auto"/>
        <w:rPr>
          <w:snapToGrid/>
          <w:szCs w:val="22"/>
          <w:lang w:val="lt-LT"/>
        </w:rPr>
      </w:pPr>
    </w:p>
    <w:p w14:paraId="600EA761" w14:textId="77777777" w:rsidR="0052346D" w:rsidRDefault="005A1771">
      <w:pPr>
        <w:widowControl w:val="0"/>
        <w:tabs>
          <w:tab w:val="clear" w:pos="567"/>
        </w:tabs>
        <w:spacing w:line="240" w:lineRule="auto"/>
        <w:ind w:left="567" w:hanging="567"/>
        <w:rPr>
          <w:b/>
          <w:snapToGrid/>
          <w:szCs w:val="22"/>
          <w:lang w:val="lt-LT"/>
        </w:rPr>
      </w:pPr>
      <w:r>
        <w:rPr>
          <w:b/>
          <w:snapToGrid/>
          <w:szCs w:val="22"/>
          <w:lang w:val="lt-LT"/>
        </w:rPr>
        <w:lastRenderedPageBreak/>
        <w:t>Įspėjimai ir atsargumo priemonės</w:t>
      </w:r>
    </w:p>
    <w:p w14:paraId="2D381978" w14:textId="77777777" w:rsidR="0052346D" w:rsidRDefault="005A1771">
      <w:pPr>
        <w:widowControl w:val="0"/>
        <w:tabs>
          <w:tab w:val="clear" w:pos="567"/>
        </w:tabs>
        <w:spacing w:line="240" w:lineRule="auto"/>
        <w:rPr>
          <w:snapToGrid/>
          <w:szCs w:val="22"/>
          <w:lang w:val="lt-LT" w:eastAsia="sl-SI"/>
        </w:rPr>
      </w:pPr>
      <w:r>
        <w:rPr>
          <w:snapToGrid/>
          <w:szCs w:val="22"/>
          <w:lang w:val="lt-LT" w:eastAsia="sl-SI"/>
        </w:rPr>
        <w:t>Pasitarkite su gydytoju arba vaistininku, prieš pradėdami vartoti Kanpiduo:</w:t>
      </w:r>
    </w:p>
    <w:p w14:paraId="5C35D347" w14:textId="77777777" w:rsidR="0052346D" w:rsidRDefault="005A1771">
      <w:pPr>
        <w:widowControl w:val="0"/>
        <w:numPr>
          <w:ilvl w:val="0"/>
          <w:numId w:val="40"/>
        </w:numPr>
        <w:tabs>
          <w:tab w:val="clear" w:pos="567"/>
        </w:tabs>
        <w:spacing w:line="240" w:lineRule="auto"/>
        <w:ind w:left="567" w:hanging="567"/>
        <w:rPr>
          <w:snapToGrid/>
          <w:szCs w:val="22"/>
          <w:lang w:val="lt-LT" w:eastAsia="sl-SI"/>
        </w:rPr>
      </w:pPr>
      <w:r>
        <w:rPr>
          <w:snapToGrid/>
          <w:szCs w:val="22"/>
          <w:lang w:val="lt-LT" w:eastAsia="sl-SI"/>
        </w:rPr>
        <w:t>jeigu sergate širdies, kepenų arba inkstų ligomis arba Jums atliekamos dializės;</w:t>
      </w:r>
    </w:p>
    <w:p w14:paraId="17F73DF6" w14:textId="77777777" w:rsidR="0052346D" w:rsidRDefault="005A1771">
      <w:pPr>
        <w:widowControl w:val="0"/>
        <w:numPr>
          <w:ilvl w:val="0"/>
          <w:numId w:val="40"/>
        </w:numPr>
        <w:tabs>
          <w:tab w:val="clear" w:pos="567"/>
        </w:tabs>
        <w:spacing w:line="240" w:lineRule="auto"/>
        <w:ind w:left="567" w:hanging="567"/>
        <w:rPr>
          <w:snapToGrid/>
          <w:szCs w:val="22"/>
          <w:lang w:val="lt-LT" w:eastAsia="sl-SI"/>
        </w:rPr>
      </w:pPr>
      <w:r>
        <w:rPr>
          <w:snapToGrid/>
          <w:szCs w:val="22"/>
          <w:lang w:val="lt-LT" w:eastAsia="sl-SI"/>
        </w:rPr>
        <w:t>jeigu neseniai Jums persodintas inkstas;</w:t>
      </w:r>
    </w:p>
    <w:p w14:paraId="0310C0D1" w14:textId="77777777" w:rsidR="0052346D" w:rsidRDefault="005A1771">
      <w:pPr>
        <w:widowControl w:val="0"/>
        <w:numPr>
          <w:ilvl w:val="0"/>
          <w:numId w:val="40"/>
        </w:numPr>
        <w:tabs>
          <w:tab w:val="clear" w:pos="567"/>
        </w:tabs>
        <w:spacing w:line="240" w:lineRule="auto"/>
        <w:ind w:left="567" w:hanging="567"/>
        <w:rPr>
          <w:snapToGrid/>
          <w:szCs w:val="22"/>
          <w:lang w:val="lt-LT" w:eastAsia="sl-SI"/>
        </w:rPr>
      </w:pPr>
      <w:r>
        <w:rPr>
          <w:snapToGrid/>
          <w:szCs w:val="22"/>
          <w:lang w:val="lt-LT" w:eastAsia="sl-SI"/>
        </w:rPr>
        <w:t>jeigu Jūs vemiate, neseniai daug vėmėte arba viduriuojate;</w:t>
      </w:r>
    </w:p>
    <w:p w14:paraId="34C1B91D" w14:textId="77777777" w:rsidR="0052346D" w:rsidRDefault="005A1771">
      <w:pPr>
        <w:widowControl w:val="0"/>
        <w:numPr>
          <w:ilvl w:val="0"/>
          <w:numId w:val="40"/>
        </w:numPr>
        <w:tabs>
          <w:tab w:val="clear" w:pos="567"/>
        </w:tabs>
        <w:spacing w:line="240" w:lineRule="auto"/>
        <w:ind w:left="567" w:hanging="567"/>
        <w:rPr>
          <w:snapToGrid/>
          <w:szCs w:val="22"/>
          <w:lang w:val="lt-LT" w:eastAsia="sl-SI"/>
        </w:rPr>
      </w:pPr>
      <w:r>
        <w:rPr>
          <w:snapToGrid/>
          <w:szCs w:val="22"/>
          <w:lang w:val="lt-LT" w:eastAsia="sl-SI"/>
        </w:rPr>
        <w:t>jeigu Jūs sergate antinksčių liga, vadinama Kono (</w:t>
      </w:r>
      <w:r>
        <w:rPr>
          <w:i/>
          <w:snapToGrid/>
          <w:szCs w:val="22"/>
          <w:lang w:val="lt-LT" w:eastAsia="sl-SI"/>
        </w:rPr>
        <w:t>Conn</w:t>
      </w:r>
      <w:r>
        <w:rPr>
          <w:snapToGrid/>
          <w:szCs w:val="22"/>
          <w:lang w:val="lt-LT" w:eastAsia="sl-SI"/>
        </w:rPr>
        <w:t>) sindromu (dar vadinamu pirminiu hiperaldosteronizmu);</w:t>
      </w:r>
    </w:p>
    <w:p w14:paraId="06E7674E" w14:textId="77777777" w:rsidR="0052346D" w:rsidRDefault="005A1771">
      <w:pPr>
        <w:widowControl w:val="0"/>
        <w:numPr>
          <w:ilvl w:val="0"/>
          <w:numId w:val="40"/>
        </w:numPr>
        <w:tabs>
          <w:tab w:val="clear" w:pos="567"/>
        </w:tabs>
        <w:spacing w:line="240" w:lineRule="auto"/>
        <w:ind w:left="567" w:hanging="567"/>
        <w:rPr>
          <w:snapToGrid/>
          <w:szCs w:val="22"/>
          <w:lang w:val="lt-LT" w:eastAsia="sl-SI"/>
        </w:rPr>
      </w:pPr>
      <w:r>
        <w:rPr>
          <w:snapToGrid/>
          <w:szCs w:val="22"/>
          <w:lang w:val="lt-LT" w:eastAsia="sl-SI"/>
        </w:rPr>
        <w:t>jeigu Jūsų kraujospūdis žemas;</w:t>
      </w:r>
    </w:p>
    <w:p w14:paraId="7672D6AD" w14:textId="77777777" w:rsidR="0052346D" w:rsidRDefault="005A1771">
      <w:pPr>
        <w:widowControl w:val="0"/>
        <w:numPr>
          <w:ilvl w:val="0"/>
          <w:numId w:val="40"/>
        </w:numPr>
        <w:tabs>
          <w:tab w:val="clear" w:pos="567"/>
        </w:tabs>
        <w:spacing w:line="240" w:lineRule="auto"/>
        <w:ind w:left="567" w:hanging="567"/>
        <w:rPr>
          <w:snapToGrid/>
          <w:szCs w:val="22"/>
          <w:lang w:val="lt-LT" w:eastAsia="sl-SI"/>
        </w:rPr>
      </w:pPr>
      <w:r>
        <w:rPr>
          <w:szCs w:val="22"/>
          <w:lang w:val="lt-LT" w:eastAsia="sl-SI"/>
        </w:rPr>
        <w:t>jeigu kada nors Jus buvo ištikęs insultas;</w:t>
      </w:r>
    </w:p>
    <w:p w14:paraId="2EA2A5A8" w14:textId="77777777" w:rsidR="0052346D" w:rsidRDefault="005A1771">
      <w:pPr>
        <w:widowControl w:val="0"/>
        <w:numPr>
          <w:ilvl w:val="0"/>
          <w:numId w:val="40"/>
        </w:numPr>
        <w:tabs>
          <w:tab w:val="clear" w:pos="567"/>
        </w:tabs>
        <w:spacing w:line="240" w:lineRule="auto"/>
        <w:ind w:left="567" w:hanging="567"/>
        <w:rPr>
          <w:snapToGrid/>
          <w:szCs w:val="22"/>
          <w:lang w:val="lt-LT" w:eastAsia="sl-SI"/>
        </w:rPr>
      </w:pPr>
      <w:r>
        <w:rPr>
          <w:szCs w:val="22"/>
          <w:lang w:val="lt-LT" w:eastAsia="sl-SI"/>
        </w:rPr>
        <w:t>jeigu sergate cukriniu diabetu;</w:t>
      </w:r>
    </w:p>
    <w:p w14:paraId="30B9ECC8" w14:textId="77777777" w:rsidR="0052346D" w:rsidRDefault="005A1771">
      <w:pPr>
        <w:widowControl w:val="0"/>
        <w:numPr>
          <w:ilvl w:val="0"/>
          <w:numId w:val="40"/>
        </w:numPr>
        <w:tabs>
          <w:tab w:val="clear" w:pos="567"/>
        </w:tabs>
        <w:spacing w:line="240" w:lineRule="auto"/>
        <w:ind w:left="567" w:hanging="567"/>
        <w:rPr>
          <w:snapToGrid/>
          <w:szCs w:val="22"/>
          <w:lang w:val="lt-LT" w:eastAsia="sl-SI"/>
        </w:rPr>
      </w:pPr>
      <w:r>
        <w:rPr>
          <w:szCs w:val="22"/>
          <w:lang w:val="lt-LT" w:eastAsia="sl-SI"/>
        </w:rPr>
        <w:t>jeigu sergate podagra;</w:t>
      </w:r>
    </w:p>
    <w:p w14:paraId="67BD8AD2" w14:textId="77777777" w:rsidR="0052346D" w:rsidRDefault="005A1771">
      <w:pPr>
        <w:widowControl w:val="0"/>
        <w:numPr>
          <w:ilvl w:val="0"/>
          <w:numId w:val="40"/>
        </w:numPr>
        <w:tabs>
          <w:tab w:val="clear" w:pos="567"/>
        </w:tabs>
        <w:spacing w:line="240" w:lineRule="auto"/>
        <w:ind w:left="567" w:hanging="567"/>
        <w:rPr>
          <w:snapToGrid/>
          <w:szCs w:val="22"/>
          <w:lang w:val="lt-LT" w:eastAsia="sl-SI"/>
        </w:rPr>
      </w:pPr>
      <w:r>
        <w:rPr>
          <w:szCs w:val="22"/>
          <w:lang w:val="lt-LT" w:eastAsia="sl-SI"/>
        </w:rPr>
        <w:t>jeigu yra bet kokių širdies ritmo sutrikimų;</w:t>
      </w:r>
    </w:p>
    <w:p w14:paraId="6D839625" w14:textId="77777777" w:rsidR="0052346D" w:rsidRDefault="005A1771">
      <w:pPr>
        <w:widowControl w:val="0"/>
        <w:numPr>
          <w:ilvl w:val="0"/>
          <w:numId w:val="40"/>
        </w:numPr>
        <w:tabs>
          <w:tab w:val="clear" w:pos="567"/>
        </w:tabs>
        <w:spacing w:line="240" w:lineRule="auto"/>
        <w:ind w:left="567" w:hanging="567"/>
        <w:rPr>
          <w:snapToGrid/>
          <w:szCs w:val="22"/>
          <w:lang w:val="lt-LT" w:eastAsia="sl-SI"/>
        </w:rPr>
      </w:pPr>
      <w:r>
        <w:rPr>
          <w:snapToGrid/>
          <w:szCs w:val="22"/>
          <w:lang w:val="lt-LT" w:eastAsia="sl-SI"/>
        </w:rPr>
        <w:t>jeigu reikia atlikti tyrimą prieskydinių liaukų veiklai patikrinti;</w:t>
      </w:r>
    </w:p>
    <w:p w14:paraId="6C23ECF2" w14:textId="77777777" w:rsidR="0052346D" w:rsidRDefault="005A1771">
      <w:pPr>
        <w:widowControl w:val="0"/>
        <w:numPr>
          <w:ilvl w:val="0"/>
          <w:numId w:val="40"/>
        </w:numPr>
        <w:tabs>
          <w:tab w:val="clear" w:pos="567"/>
        </w:tabs>
        <w:spacing w:line="240" w:lineRule="auto"/>
        <w:ind w:left="567" w:hanging="567"/>
        <w:rPr>
          <w:snapToGrid/>
          <w:szCs w:val="22"/>
          <w:lang w:val="lt-LT" w:eastAsia="sl-SI"/>
        </w:rPr>
      </w:pPr>
      <w:r>
        <w:rPr>
          <w:snapToGrid/>
          <w:szCs w:val="22"/>
          <w:lang w:val="lt-LT" w:eastAsia="sl-SI"/>
        </w:rPr>
        <w:t>jeigu yra raumenų sutrikimų, įskaitant raumenų skausmą, jautrumą, silpnumą ar mėšlungį;</w:t>
      </w:r>
    </w:p>
    <w:p w14:paraId="3945E225" w14:textId="77777777" w:rsidR="0052346D" w:rsidRDefault="005A1771">
      <w:pPr>
        <w:widowControl w:val="0"/>
        <w:numPr>
          <w:ilvl w:val="0"/>
          <w:numId w:val="40"/>
        </w:numPr>
        <w:tabs>
          <w:tab w:val="clear" w:pos="567"/>
        </w:tabs>
        <w:spacing w:line="240" w:lineRule="auto"/>
        <w:ind w:left="567" w:hanging="567"/>
        <w:rPr>
          <w:snapToGrid/>
          <w:szCs w:val="22"/>
          <w:lang w:val="lt-LT" w:eastAsia="sl-SI"/>
        </w:rPr>
      </w:pPr>
      <w:r>
        <w:rPr>
          <w:snapToGrid/>
          <w:szCs w:val="22"/>
          <w:lang w:val="lt-LT" w:eastAsia="sl-SI"/>
        </w:rPr>
        <w:t>Jeigu manote, kad esate (</w:t>
      </w:r>
      <w:r>
        <w:rPr>
          <w:snapToGrid/>
          <w:szCs w:val="22"/>
          <w:u w:val="single"/>
          <w:lang w:val="lt-LT" w:eastAsia="sl-SI"/>
        </w:rPr>
        <w:t>arba galite tapti</w:t>
      </w:r>
      <w:r>
        <w:rPr>
          <w:snapToGrid/>
          <w:szCs w:val="22"/>
          <w:lang w:val="lt-LT" w:eastAsia="sl-SI"/>
        </w:rPr>
        <w:t>) nėščia, turite apie tai pasakyti savo gydytojui. Ankstyvuoju nėštumo laikotarpiu Kanpiduo vartoti nerekomenduojama, o jei esate nėščia ilgiau nei 3 mėnesius, šio vaisto vartoti draudžiama, nes vartojamas šiuo laikotarpiu jis gali sukelti sunkią žalą Jūsų kūdikiui (žr. poskyrį ,,Nėštumas ir žindymo laikotarpis“);</w:t>
      </w:r>
    </w:p>
    <w:p w14:paraId="49018460"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jeigu vartojate kurį nors iš šių vaistų aukštam kraujospūdžiui gydyti:</w:t>
      </w:r>
    </w:p>
    <w:p w14:paraId="5A403608" w14:textId="77777777" w:rsidR="0052346D" w:rsidRDefault="005A1771">
      <w:pPr>
        <w:widowControl w:val="0"/>
        <w:numPr>
          <w:ilvl w:val="0"/>
          <w:numId w:val="22"/>
        </w:numPr>
        <w:tabs>
          <w:tab w:val="clear" w:pos="567"/>
        </w:tabs>
        <w:spacing w:line="240" w:lineRule="auto"/>
        <w:rPr>
          <w:snapToGrid/>
          <w:szCs w:val="22"/>
          <w:lang w:val="lt-LT" w:eastAsia="sl-SI"/>
        </w:rPr>
      </w:pPr>
      <w:r>
        <w:rPr>
          <w:snapToGrid/>
          <w:szCs w:val="22"/>
          <w:lang w:val="lt-LT" w:eastAsia="sl-SI"/>
        </w:rPr>
        <w:t>AKF inhibitorių (pavyzdžiui, enalaprilio, lizinoprilio, ramiprilio), ypač jei yra su cukriniu diabetu susijusių inkstų sutrikimų;</w:t>
      </w:r>
    </w:p>
    <w:p w14:paraId="6C65C4F8" w14:textId="77777777" w:rsidR="0052346D" w:rsidRDefault="005A1771">
      <w:pPr>
        <w:widowControl w:val="0"/>
        <w:numPr>
          <w:ilvl w:val="0"/>
          <w:numId w:val="22"/>
        </w:numPr>
        <w:tabs>
          <w:tab w:val="clear" w:pos="567"/>
        </w:tabs>
        <w:spacing w:line="240" w:lineRule="auto"/>
        <w:rPr>
          <w:snapToGrid/>
          <w:szCs w:val="22"/>
          <w:lang w:val="lt-LT" w:eastAsia="sl-SI"/>
        </w:rPr>
      </w:pPr>
      <w:r>
        <w:rPr>
          <w:snapToGrid/>
          <w:szCs w:val="22"/>
          <w:lang w:val="lt-LT" w:eastAsia="sl-SI"/>
        </w:rPr>
        <w:t>aliskireno;</w:t>
      </w:r>
    </w:p>
    <w:p w14:paraId="174245CC"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jeigu vartojate AKF inhibitorių kartu su vaistu, kuris priklauso vaistų, vadinamų mineralkortikoidų receptorių antagonistais (MRA), grupei. Šie vaistai yra skirti širdies nepakankamumui gydyti (žr. skyrių „Kiti vaistai ir Kanpiduo“);</w:t>
      </w:r>
    </w:p>
    <w:p w14:paraId="647C6592"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jeigu pablogėjo regėjimas arba pasireiškė akių skausmas. Tai gali būti skysčio susikaupimo akies kraujagyslių sluoksnyje (tarp gyslainės ir odenos) arba akispūdžio padidėjimo Jūsų akyje simptomai, kurie gali pasireikšti laikotarpiu nuo kelių valandų iki kelių savaičių po Kanpiduo vartojimo pradžios. Negydoma tokia būklė gali sukelti išliekantį regėjimo praradimą. Jei anksčiau buvote alergiški penicilinui ar sulfonamidams, gali būti didesnė tokio sutrikimo atsiradimo rizika.</w:t>
      </w:r>
    </w:p>
    <w:p w14:paraId="1351704D" w14:textId="77777777" w:rsidR="0052346D" w:rsidRDefault="0052346D">
      <w:pPr>
        <w:numPr>
          <w:ilvl w:val="12"/>
          <w:numId w:val="0"/>
        </w:numPr>
        <w:tabs>
          <w:tab w:val="clear" w:pos="567"/>
          <w:tab w:val="left" w:pos="8505"/>
        </w:tabs>
        <w:spacing w:line="240" w:lineRule="auto"/>
        <w:ind w:right="-2"/>
        <w:rPr>
          <w:i/>
          <w:snapToGrid/>
          <w:szCs w:val="22"/>
          <w:lang w:val="lt-LT" w:eastAsia="sl-SI"/>
        </w:rPr>
      </w:pPr>
    </w:p>
    <w:p w14:paraId="364E00C8" w14:textId="77777777" w:rsidR="0052346D" w:rsidRDefault="005A1771">
      <w:pPr>
        <w:widowControl w:val="0"/>
        <w:numPr>
          <w:ilvl w:val="12"/>
          <w:numId w:val="0"/>
        </w:numPr>
        <w:tabs>
          <w:tab w:val="clear" w:pos="567"/>
        </w:tabs>
        <w:spacing w:line="240" w:lineRule="auto"/>
        <w:rPr>
          <w:snapToGrid/>
          <w:szCs w:val="22"/>
          <w:lang w:val="lt-LT" w:eastAsia="sl-SI"/>
        </w:rPr>
      </w:pPr>
      <w:r>
        <w:rPr>
          <w:snapToGrid/>
          <w:szCs w:val="22"/>
          <w:lang w:val="lt-LT" w:eastAsia="sl-SI"/>
        </w:rPr>
        <w:t>Gydytojas gali reguliariai tikrinti inkstų funkciją, kraujospūdį ir elektrolitų (pavyzdžiui, kalio arba kalcio) kiekį kraujyje.</w:t>
      </w:r>
    </w:p>
    <w:p w14:paraId="6980C515" w14:textId="77777777" w:rsidR="0052346D" w:rsidRDefault="0052346D">
      <w:pPr>
        <w:widowControl w:val="0"/>
        <w:numPr>
          <w:ilvl w:val="12"/>
          <w:numId w:val="0"/>
        </w:numPr>
        <w:tabs>
          <w:tab w:val="clear" w:pos="567"/>
        </w:tabs>
        <w:spacing w:line="240" w:lineRule="auto"/>
        <w:rPr>
          <w:snapToGrid/>
          <w:szCs w:val="22"/>
          <w:lang w:val="lt-LT" w:eastAsia="sl-SI"/>
        </w:rPr>
      </w:pPr>
    </w:p>
    <w:p w14:paraId="0C159AF6" w14:textId="77777777" w:rsidR="0052346D" w:rsidRDefault="005A1771">
      <w:pPr>
        <w:widowControl w:val="0"/>
        <w:numPr>
          <w:ilvl w:val="12"/>
          <w:numId w:val="0"/>
        </w:numPr>
        <w:tabs>
          <w:tab w:val="clear" w:pos="567"/>
        </w:tabs>
        <w:spacing w:line="240" w:lineRule="auto"/>
        <w:rPr>
          <w:snapToGrid/>
          <w:szCs w:val="22"/>
          <w:lang w:val="lt-LT" w:eastAsia="sl-SI"/>
        </w:rPr>
      </w:pPr>
      <w:r>
        <w:rPr>
          <w:snapToGrid/>
          <w:szCs w:val="22"/>
          <w:lang w:val="lt-LT" w:eastAsia="sl-SI"/>
        </w:rPr>
        <w:t>Taip pat žr. informaciją poskyryje „Kanpiduo vartoti draudžiama</w:t>
      </w:r>
      <w:r>
        <w:rPr>
          <w:rFonts w:eastAsia="Batang"/>
          <w:snapToGrid/>
          <w:szCs w:val="22"/>
          <w:lang w:val="lt-LT" w:eastAsia="x-none"/>
        </w:rPr>
        <w:t>“</w:t>
      </w:r>
      <w:r>
        <w:rPr>
          <w:snapToGrid/>
          <w:szCs w:val="22"/>
          <w:lang w:val="lt-LT" w:eastAsia="sl-SI"/>
        </w:rPr>
        <w:t>.</w:t>
      </w:r>
    </w:p>
    <w:p w14:paraId="33E68B29" w14:textId="77777777" w:rsidR="0052346D" w:rsidRDefault="0052346D">
      <w:pPr>
        <w:widowControl w:val="0"/>
        <w:numPr>
          <w:ilvl w:val="12"/>
          <w:numId w:val="0"/>
        </w:numPr>
        <w:tabs>
          <w:tab w:val="clear" w:pos="567"/>
        </w:tabs>
        <w:spacing w:line="240" w:lineRule="auto"/>
        <w:rPr>
          <w:snapToGrid/>
          <w:szCs w:val="22"/>
          <w:lang w:val="lt-LT" w:eastAsia="sl-SI"/>
        </w:rPr>
      </w:pPr>
    </w:p>
    <w:p w14:paraId="2E757BC9" w14:textId="77777777" w:rsidR="0052346D" w:rsidRDefault="005A1771">
      <w:pPr>
        <w:widowControl w:val="0"/>
        <w:numPr>
          <w:ilvl w:val="12"/>
          <w:numId w:val="0"/>
        </w:numPr>
        <w:tabs>
          <w:tab w:val="clear" w:pos="567"/>
        </w:tabs>
        <w:spacing w:line="240" w:lineRule="auto"/>
        <w:rPr>
          <w:snapToGrid/>
          <w:szCs w:val="22"/>
          <w:lang w:val="lt-LT" w:eastAsia="sl-SI"/>
        </w:rPr>
      </w:pPr>
      <w:r>
        <w:rPr>
          <w:snapToGrid/>
          <w:szCs w:val="22"/>
          <w:lang w:val="lt-LT" w:eastAsia="sl-SI"/>
        </w:rPr>
        <w:t>Jeigu Jums yra kuri nors iš šių būklių, gydytojas gali norėti Jus matyti dažniau ir atlikti kai kuriuos tyrimus.</w:t>
      </w:r>
    </w:p>
    <w:p w14:paraId="6C1AAA54" w14:textId="77777777" w:rsidR="0052346D" w:rsidRDefault="0052346D">
      <w:pPr>
        <w:widowControl w:val="0"/>
        <w:numPr>
          <w:ilvl w:val="12"/>
          <w:numId w:val="0"/>
        </w:numPr>
        <w:tabs>
          <w:tab w:val="clear" w:pos="567"/>
        </w:tabs>
        <w:spacing w:line="240" w:lineRule="auto"/>
        <w:rPr>
          <w:snapToGrid/>
          <w:szCs w:val="22"/>
          <w:lang w:val="lt-LT" w:eastAsia="sl-SI"/>
        </w:rPr>
      </w:pPr>
    </w:p>
    <w:p w14:paraId="56055053" w14:textId="77777777" w:rsidR="0052346D" w:rsidRDefault="005A1771">
      <w:pPr>
        <w:widowControl w:val="0"/>
        <w:numPr>
          <w:ilvl w:val="12"/>
          <w:numId w:val="0"/>
        </w:numPr>
        <w:tabs>
          <w:tab w:val="clear" w:pos="567"/>
        </w:tabs>
        <w:spacing w:line="240" w:lineRule="auto"/>
        <w:rPr>
          <w:snapToGrid/>
          <w:szCs w:val="22"/>
          <w:lang w:val="lt-LT" w:eastAsia="sl-SI"/>
        </w:rPr>
      </w:pPr>
      <w:r>
        <w:rPr>
          <w:snapToGrid/>
          <w:szCs w:val="22"/>
          <w:lang w:val="lt-LT" w:eastAsia="sl-SI"/>
        </w:rPr>
        <w:t>Jeigu Jums bus atliekama operacija, pasakykite gydytojui arba odontologui, kad vartojate Kanpiduo, nes Kanpiduo, vartojamas kartu su kai kuriais anestetikais, gali sukelti pernelyg didelį kraujospūdžio sumažėjimą.</w:t>
      </w:r>
    </w:p>
    <w:p w14:paraId="24E76B14" w14:textId="77777777" w:rsidR="0052346D" w:rsidRDefault="0052346D">
      <w:pPr>
        <w:widowControl w:val="0"/>
        <w:numPr>
          <w:ilvl w:val="12"/>
          <w:numId w:val="0"/>
        </w:numPr>
        <w:tabs>
          <w:tab w:val="clear" w:pos="567"/>
        </w:tabs>
        <w:spacing w:line="240" w:lineRule="auto"/>
        <w:rPr>
          <w:bCs/>
          <w:snapToGrid/>
          <w:szCs w:val="22"/>
          <w:lang w:val="lt-LT" w:eastAsia="sl-SI"/>
        </w:rPr>
      </w:pPr>
    </w:p>
    <w:p w14:paraId="5D039975" w14:textId="77777777" w:rsidR="0052346D" w:rsidRDefault="005A1771">
      <w:pPr>
        <w:widowControl w:val="0"/>
        <w:numPr>
          <w:ilvl w:val="12"/>
          <w:numId w:val="0"/>
        </w:numPr>
        <w:tabs>
          <w:tab w:val="clear" w:pos="567"/>
        </w:tabs>
        <w:spacing w:line="240" w:lineRule="auto"/>
        <w:rPr>
          <w:bCs/>
          <w:snapToGrid/>
          <w:szCs w:val="22"/>
          <w:lang w:val="lt-LT" w:eastAsia="sl-SI"/>
        </w:rPr>
      </w:pPr>
      <w:r>
        <w:rPr>
          <w:bCs/>
          <w:snapToGrid/>
          <w:szCs w:val="22"/>
          <w:lang w:val="lt-LT" w:eastAsia="sl-SI"/>
        </w:rPr>
        <w:t>Turite pasakyti gydytojui, jei pasireiškė padidėjusio jautrumo šviesai reakcijų.</w:t>
      </w:r>
    </w:p>
    <w:p w14:paraId="6E230A5F" w14:textId="77777777" w:rsidR="0052346D" w:rsidRDefault="0052346D">
      <w:pPr>
        <w:widowControl w:val="0"/>
        <w:numPr>
          <w:ilvl w:val="12"/>
          <w:numId w:val="0"/>
        </w:numPr>
        <w:tabs>
          <w:tab w:val="clear" w:pos="567"/>
        </w:tabs>
        <w:spacing w:line="240" w:lineRule="auto"/>
        <w:rPr>
          <w:bCs/>
          <w:snapToGrid/>
          <w:szCs w:val="22"/>
          <w:lang w:val="lt-LT" w:eastAsia="sl-SI"/>
        </w:rPr>
      </w:pPr>
    </w:p>
    <w:p w14:paraId="5151DBCB" w14:textId="77777777" w:rsidR="0052346D" w:rsidRDefault="005A1771">
      <w:pPr>
        <w:widowControl w:val="0"/>
        <w:numPr>
          <w:ilvl w:val="12"/>
          <w:numId w:val="0"/>
        </w:numPr>
        <w:tabs>
          <w:tab w:val="clear" w:pos="567"/>
        </w:tabs>
        <w:spacing w:line="240" w:lineRule="auto"/>
        <w:rPr>
          <w:bCs/>
          <w:snapToGrid/>
          <w:szCs w:val="22"/>
          <w:lang w:val="lt-LT" w:eastAsia="sl-SI"/>
        </w:rPr>
      </w:pPr>
      <w:r>
        <w:rPr>
          <w:bCs/>
          <w:snapToGrid/>
          <w:szCs w:val="22"/>
          <w:lang w:val="lt-LT" w:eastAsia="sl-SI"/>
        </w:rPr>
        <w:t>Sportininkai turėtų žinoti, kad šio vaisto sudėtyje yra veikliosios medžiagos, kuri atliekant dopingo testus gali lemti teigiamą reakciją.</w:t>
      </w:r>
    </w:p>
    <w:p w14:paraId="4C69C932" w14:textId="77777777" w:rsidR="0052346D" w:rsidRDefault="0052346D">
      <w:pPr>
        <w:widowControl w:val="0"/>
        <w:numPr>
          <w:ilvl w:val="12"/>
          <w:numId w:val="0"/>
        </w:numPr>
        <w:tabs>
          <w:tab w:val="clear" w:pos="567"/>
        </w:tabs>
        <w:spacing w:line="240" w:lineRule="auto"/>
        <w:rPr>
          <w:snapToGrid/>
          <w:szCs w:val="22"/>
          <w:lang w:val="lt-LT" w:eastAsia="sl-SI"/>
        </w:rPr>
      </w:pPr>
    </w:p>
    <w:p w14:paraId="115863D3" w14:textId="77777777" w:rsidR="0052346D" w:rsidRPr="00892CBD" w:rsidRDefault="005A1771">
      <w:pPr>
        <w:widowControl w:val="0"/>
        <w:numPr>
          <w:ilvl w:val="12"/>
          <w:numId w:val="0"/>
        </w:numPr>
        <w:tabs>
          <w:tab w:val="clear" w:pos="567"/>
        </w:tabs>
        <w:spacing w:line="240" w:lineRule="auto"/>
        <w:rPr>
          <w:szCs w:val="22"/>
          <w:lang w:val="lt-LT"/>
        </w:rPr>
      </w:pPr>
      <w:r w:rsidRPr="00892CBD">
        <w:rPr>
          <w:szCs w:val="22"/>
          <w:lang w:val="lt-LT"/>
        </w:rPr>
        <w:t>Pasitarkite su gydytoju, jei pavartojus Kanpiduo jaučiate pilvo skausmą, pykinimą, vėmimą arba viduriavimą. Dėl tolesnio gydymo nuspręs Jūsų gydytojas. Nenustokite vartoti Kanpiduo pats.</w:t>
      </w:r>
    </w:p>
    <w:p w14:paraId="06FA5545" w14:textId="77777777" w:rsidR="0052346D" w:rsidRDefault="0052346D">
      <w:pPr>
        <w:widowControl w:val="0"/>
        <w:numPr>
          <w:ilvl w:val="12"/>
          <w:numId w:val="0"/>
        </w:numPr>
        <w:tabs>
          <w:tab w:val="clear" w:pos="567"/>
        </w:tabs>
        <w:spacing w:line="240" w:lineRule="auto"/>
        <w:rPr>
          <w:snapToGrid/>
          <w:szCs w:val="22"/>
          <w:lang w:val="lt-LT" w:eastAsia="sl-SI"/>
        </w:rPr>
      </w:pPr>
    </w:p>
    <w:p w14:paraId="4CA5F3B5" w14:textId="77777777" w:rsidR="0052346D" w:rsidRDefault="005A1771">
      <w:pPr>
        <w:widowControl w:val="0"/>
        <w:tabs>
          <w:tab w:val="clear" w:pos="567"/>
        </w:tabs>
        <w:autoSpaceDE w:val="0"/>
        <w:autoSpaceDN w:val="0"/>
        <w:adjustRightInd w:val="0"/>
        <w:spacing w:line="240" w:lineRule="auto"/>
        <w:rPr>
          <w:snapToGrid/>
          <w:szCs w:val="22"/>
          <w:lang w:val="lt-LT" w:eastAsia="sl-SI"/>
        </w:rPr>
      </w:pPr>
      <w:r>
        <w:rPr>
          <w:snapToGrid/>
          <w:szCs w:val="22"/>
          <w:lang w:val="lt-LT" w:eastAsia="sl-SI"/>
        </w:rPr>
        <w:t>Jeigu manote, kad kuri nors iš šių būklių gali Jums tikti arba kyla klausimų ar abejonių dėl vaisto vartojimo, kreipkitės į gydytoją arba vaistininką.</w:t>
      </w:r>
    </w:p>
    <w:p w14:paraId="15835713" w14:textId="77777777" w:rsidR="0052346D" w:rsidRDefault="0052346D">
      <w:pPr>
        <w:widowControl w:val="0"/>
        <w:tabs>
          <w:tab w:val="clear" w:pos="567"/>
        </w:tabs>
        <w:autoSpaceDE w:val="0"/>
        <w:autoSpaceDN w:val="0"/>
        <w:adjustRightInd w:val="0"/>
        <w:spacing w:line="240" w:lineRule="auto"/>
        <w:rPr>
          <w:snapToGrid/>
          <w:szCs w:val="22"/>
          <w:lang w:val="lt-LT"/>
        </w:rPr>
      </w:pPr>
    </w:p>
    <w:p w14:paraId="6AB03217" w14:textId="77777777" w:rsidR="0052346D" w:rsidRDefault="005A1771">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Vaikams ir paaugliams</w:t>
      </w:r>
    </w:p>
    <w:p w14:paraId="047E936C" w14:textId="77777777" w:rsidR="0052346D" w:rsidRDefault="005A1771">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Duomenų apie veiksmingumą ir saugumą nepakanka, todėl vaikams ir paaugliams </w:t>
      </w:r>
      <w:bookmarkStart w:id="8" w:name="_Hlk176606423"/>
      <w:r>
        <w:rPr>
          <w:rFonts w:eastAsia="TimesNewRoman,Bold"/>
          <w:snapToGrid/>
          <w:szCs w:val="22"/>
          <w:lang w:val="lt-LT"/>
        </w:rPr>
        <w:t xml:space="preserve">šio vaisto </w:t>
      </w:r>
      <w:bookmarkEnd w:id="8"/>
      <w:r>
        <w:rPr>
          <w:rFonts w:eastAsia="TimesNewRoman,Bold"/>
          <w:snapToGrid/>
          <w:szCs w:val="22"/>
          <w:lang w:val="lt-LT"/>
        </w:rPr>
        <w:t xml:space="preserve">vartoti </w:t>
      </w:r>
      <w:r>
        <w:rPr>
          <w:rFonts w:eastAsia="TimesNewRoman,Bold"/>
          <w:snapToGrid/>
          <w:szCs w:val="22"/>
          <w:lang w:val="lt-LT"/>
        </w:rPr>
        <w:lastRenderedPageBreak/>
        <w:t>nerekomenduojama.</w:t>
      </w:r>
    </w:p>
    <w:p w14:paraId="06EA3B67" w14:textId="77777777" w:rsidR="0052346D" w:rsidRDefault="0052346D">
      <w:pPr>
        <w:widowControl w:val="0"/>
        <w:numPr>
          <w:ilvl w:val="12"/>
          <w:numId w:val="0"/>
        </w:numPr>
        <w:tabs>
          <w:tab w:val="clear" w:pos="567"/>
        </w:tabs>
        <w:spacing w:line="240" w:lineRule="auto"/>
        <w:ind w:right="-2"/>
        <w:rPr>
          <w:bCs/>
          <w:snapToGrid/>
          <w:szCs w:val="22"/>
          <w:lang w:val="lt-LT"/>
        </w:rPr>
      </w:pPr>
    </w:p>
    <w:p w14:paraId="62F5957D" w14:textId="77777777" w:rsidR="0052346D" w:rsidRDefault="005A1771">
      <w:pPr>
        <w:widowControl w:val="0"/>
        <w:numPr>
          <w:ilvl w:val="12"/>
          <w:numId w:val="0"/>
        </w:numPr>
        <w:tabs>
          <w:tab w:val="clear" w:pos="567"/>
        </w:tabs>
        <w:spacing w:line="240" w:lineRule="auto"/>
        <w:rPr>
          <w:snapToGrid/>
          <w:szCs w:val="22"/>
          <w:lang w:val="lt-LT"/>
        </w:rPr>
      </w:pPr>
      <w:r>
        <w:rPr>
          <w:b/>
          <w:snapToGrid/>
          <w:szCs w:val="22"/>
          <w:lang w:val="lt-LT"/>
        </w:rPr>
        <w:t>Kiti vaistai ir Kanpiduo</w:t>
      </w:r>
    </w:p>
    <w:p w14:paraId="0274C9A9" w14:textId="77777777" w:rsidR="0052346D" w:rsidRDefault="005A1771">
      <w:pPr>
        <w:widowControl w:val="0"/>
        <w:tabs>
          <w:tab w:val="clear" w:pos="567"/>
        </w:tabs>
        <w:autoSpaceDE w:val="0"/>
        <w:autoSpaceDN w:val="0"/>
        <w:adjustRightInd w:val="0"/>
        <w:spacing w:line="240" w:lineRule="auto"/>
        <w:rPr>
          <w:szCs w:val="22"/>
          <w:lang w:val="lt-LT"/>
        </w:rPr>
      </w:pPr>
      <w:r>
        <w:rPr>
          <w:snapToGrid/>
          <w:szCs w:val="22"/>
          <w:lang w:val="lt-LT"/>
        </w:rPr>
        <w:t>Jeigu vartojate ar neseniai vartojote kitų vaistų arba nesate dėl to tikri, apie tai pasakykite gydytojui arba vaistininkui.</w:t>
      </w:r>
    </w:p>
    <w:p w14:paraId="5569056D" w14:textId="77777777" w:rsidR="0052346D" w:rsidRDefault="005A1771">
      <w:pPr>
        <w:widowControl w:val="0"/>
        <w:tabs>
          <w:tab w:val="clear" w:pos="567"/>
        </w:tabs>
        <w:autoSpaceDE w:val="0"/>
        <w:autoSpaceDN w:val="0"/>
        <w:adjustRightInd w:val="0"/>
        <w:spacing w:line="240" w:lineRule="auto"/>
        <w:rPr>
          <w:szCs w:val="22"/>
          <w:lang w:val="lt-LT"/>
        </w:rPr>
      </w:pPr>
      <w:r>
        <w:rPr>
          <w:szCs w:val="22"/>
          <w:lang w:val="lt-LT"/>
        </w:rPr>
        <w:t>Kanpiduo gali keisti kai kurių vaistų poveikį, o kai kurie vaistai gali keisti Kanpiduo poveikį. Jeigu vartojate tam tikrų vaistų, gydytojas gali nurodyti periodiškai atlikti kraujo tyrimus.</w:t>
      </w:r>
    </w:p>
    <w:p w14:paraId="390206CF" w14:textId="77777777" w:rsidR="0052346D" w:rsidRDefault="0052346D">
      <w:pPr>
        <w:widowControl w:val="0"/>
        <w:tabs>
          <w:tab w:val="clear" w:pos="567"/>
        </w:tabs>
        <w:autoSpaceDE w:val="0"/>
        <w:autoSpaceDN w:val="0"/>
        <w:adjustRightInd w:val="0"/>
        <w:spacing w:line="240" w:lineRule="auto"/>
        <w:rPr>
          <w:szCs w:val="22"/>
          <w:lang w:val="lt-LT"/>
        </w:rPr>
      </w:pPr>
    </w:p>
    <w:p w14:paraId="1DCC065F" w14:textId="77777777" w:rsidR="0052346D" w:rsidRDefault="005A1771">
      <w:pPr>
        <w:widowControl w:val="0"/>
        <w:tabs>
          <w:tab w:val="clear" w:pos="567"/>
        </w:tabs>
        <w:autoSpaceDE w:val="0"/>
        <w:autoSpaceDN w:val="0"/>
        <w:adjustRightInd w:val="0"/>
        <w:spacing w:line="240" w:lineRule="auto"/>
        <w:rPr>
          <w:i/>
          <w:snapToGrid/>
          <w:szCs w:val="22"/>
          <w:lang w:val="lt-LT" w:eastAsia="sl-SI"/>
        </w:rPr>
      </w:pPr>
      <w:r>
        <w:rPr>
          <w:szCs w:val="22"/>
          <w:lang w:val="lt-LT"/>
        </w:rPr>
        <w:t>Ypač svarbu pasakyti gydytojui, jeigu vartojate bet kurį iš toliau išvardytų vaistų.</w:t>
      </w:r>
    </w:p>
    <w:p w14:paraId="371D35D1"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iCs/>
          <w:snapToGrid/>
          <w:szCs w:val="22"/>
          <w:lang w:val="lt-LT" w:eastAsia="sl-SI"/>
        </w:rPr>
        <w:t>K</w:t>
      </w:r>
      <w:r>
        <w:rPr>
          <w:snapToGrid/>
          <w:szCs w:val="22"/>
          <w:lang w:val="lt-LT" w:eastAsia="sl-SI"/>
        </w:rPr>
        <w:t>itų vaistų kraujospūdžiui mažinti, įskaitant beta adrenoblokatorius, diazoksido ir AKF inhibitorius (pavyzdžiui, enalaprilio, kaptoprilio, lizinoprilio arba ramiprilio) arba diuretikų, įskaitant kalį organizme sulaikančius diuretikų (amilorido, spironolaktono, triamtereno).</w:t>
      </w:r>
    </w:p>
    <w:p w14:paraId="76A65B74"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Nesteroidiniai vaistai nuo uždegimo (NVNU), pavyzdžiui, ibuprofenas, naproksenas, diklofenakas, celekoksibas arba etorikoksibas (šiais vaistais malšinamas skausmas ir slopinamas uždegimas).</w:t>
      </w:r>
    </w:p>
    <w:p w14:paraId="670F6ABF"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Acetilsalicilo rūgštis, vartojama didesnėmis kaip 3 g paros dozėmis (šiuo vaistu malšinamas skausmas ir slopinamas uždegimas).</w:t>
      </w:r>
    </w:p>
    <w:p w14:paraId="557F1A18"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Kalio papildai arba druskos pakaitalai, kurių sudėtyje yra kalio (vaistai, didinantys kalio kiekį kraujyje).</w:t>
      </w:r>
    </w:p>
    <w:p w14:paraId="0818FC77"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Heparinas (vaistas kraujui skystinti).</w:t>
      </w:r>
    </w:p>
    <w:p w14:paraId="419A0A5E"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Ko-trimoksazolas (antibiotikų grupės vaistas), dar vadinamas trimetoprimu/sulfametoksazolu.</w:t>
      </w:r>
    </w:p>
    <w:p w14:paraId="4D8C8746"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Litis (vaistas nuo psichikos sutrikimų).</w:t>
      </w:r>
    </w:p>
    <w:p w14:paraId="232E5B14"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Vaistai, vartojami širdies ritmo sutrikimams gydyti (pavyzdžiui, chinidinas, hidrochinidinas, dizopiramidas, amjodaronas, sotalolis, ibutilidas, dofetilidas, rusmenės glikozidai, bretilis).</w:t>
      </w:r>
    </w:p>
    <w:p w14:paraId="4468CF27"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Vaistai, vartojami psichikos sutrikimams, tokiems kaip depresija, nerimas, šizofrenija, gydyti (pavyzdžiui, tricikliai antidepresantai, vaistai nuo psichozių, neuroleptikai (tokie kaip amisulpridas, sulpiridas, sultopridas, tiapridas, haloperidolis, droperidolis)).</w:t>
      </w:r>
    </w:p>
    <w:p w14:paraId="03DFF08D"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Bepridilas (vartojamas krūtinės anginai, t. y. krūtinės skausmą sukeliančiai būklei, gydyti).</w:t>
      </w:r>
    </w:p>
    <w:p w14:paraId="411BFB7C"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Cisapridas, difemanilas (vartojami virškinimo trakto sutrikimams gydyti).</w:t>
      </w:r>
    </w:p>
    <w:p w14:paraId="698B889B"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Antibiotikai, vartojami bakterinėms infekcijoms gydyti (pavyzdžiui, sparfloksacinas, moksifloksacinas, injekcinis eritromicinas).</w:t>
      </w:r>
    </w:p>
    <w:p w14:paraId="290483DE"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Leidžiamas vinkaminas (vartojamas senyvų žmonių pažinimo sutrikimų simptomams, įskaitant atminties praradimą, gydyti).</w:t>
      </w:r>
    </w:p>
    <w:p w14:paraId="2D43A228"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Halofantrinas (antiparazitinis vaistas, vartojamas tam tikroms maliarijos rūšims gydyti).</w:t>
      </w:r>
    </w:p>
    <w:p w14:paraId="16B0AF73"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Pentamidinas (vartojamas tam tikroms plaučių uždegimo rūšims gydyti).</w:t>
      </w:r>
    </w:p>
    <w:p w14:paraId="13479D3B"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Mizolastinas (vartojamas alerginėms reakcijoms, pavyzdžiui, šienligei, gydyti).</w:t>
      </w:r>
    </w:p>
    <w:p w14:paraId="3D679ABA"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Leidžiamas amfotericinas B (vaistas nuo grybelių infekcijos).</w:t>
      </w:r>
    </w:p>
    <w:p w14:paraId="4AA7B78C"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Geriamieji kortikosteroidai, vartojami įvairioms ligoms, įskaitant sunkią astmą ir reumatoidinį artritą, gydyti.</w:t>
      </w:r>
    </w:p>
    <w:p w14:paraId="1F3957DE"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Stimuliuojamojo poveikio vidurių laisvinamieji vaistai.</w:t>
      </w:r>
    </w:p>
    <w:p w14:paraId="75ECA99A"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Baklofenas (vartojamas raumenų sustingimui, atsirandančiam sergant tokiomis ligomis kaip išsėtinė sklerozė, gydyti).</w:t>
      </w:r>
    </w:p>
    <w:p w14:paraId="13335D81"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Alopurinolis (vartojamas podagrai gydyti).</w:t>
      </w:r>
    </w:p>
    <w:p w14:paraId="3496C859"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Metforminas (vartojamas cukriniam diabetui gydyti).</w:t>
      </w:r>
    </w:p>
    <w:p w14:paraId="1790D7CD"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Kontrastinės medžiagos, kurių sudėtyje yra jodo (vartojamos tyrimams, kurių metu naudojami rentgeno spinduliai).</w:t>
      </w:r>
    </w:p>
    <w:p w14:paraId="2AB3824E"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Kalcio tabletės ar kiti kalcio papildai.</w:t>
      </w:r>
    </w:p>
    <w:p w14:paraId="439AB1F8"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Ciklosporinas, takrolimuzas ar kiti vaistai imuninei sistemai slopinti po organų persodinimo arba autoimuninėms ligoms, sunkioms reumatinėms ar odos ligoms gydyti.</w:t>
      </w:r>
    </w:p>
    <w:p w14:paraId="20AA4373"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Tetrakozaktidas (vartojamas Krono ligai gydyti).</w:t>
      </w:r>
    </w:p>
    <w:p w14:paraId="3EEA49C6" w14:textId="77777777" w:rsidR="0052346D" w:rsidRDefault="005A1771">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Metadonas (vartojamas priklausomybei gydyti).</w:t>
      </w:r>
    </w:p>
    <w:p w14:paraId="3D1D1735" w14:textId="77777777" w:rsidR="0052346D" w:rsidRDefault="0052346D">
      <w:pPr>
        <w:widowControl w:val="0"/>
        <w:tabs>
          <w:tab w:val="clear" w:pos="567"/>
        </w:tabs>
        <w:spacing w:line="240" w:lineRule="auto"/>
        <w:rPr>
          <w:snapToGrid/>
          <w:szCs w:val="22"/>
          <w:lang w:val="lt-LT" w:eastAsia="sl-SI"/>
        </w:rPr>
      </w:pPr>
    </w:p>
    <w:p w14:paraId="201023C6" w14:textId="77777777" w:rsidR="0052346D" w:rsidRDefault="005A1771">
      <w:pPr>
        <w:widowControl w:val="0"/>
        <w:tabs>
          <w:tab w:val="clear" w:pos="567"/>
        </w:tabs>
        <w:spacing w:line="240" w:lineRule="auto"/>
        <w:rPr>
          <w:rFonts w:eastAsia="Batang"/>
          <w:snapToGrid/>
          <w:szCs w:val="22"/>
          <w:lang w:val="lt-LT" w:eastAsia="sl-SI"/>
        </w:rPr>
      </w:pPr>
      <w:r>
        <w:rPr>
          <w:rFonts w:eastAsia="Batang"/>
          <w:snapToGrid/>
          <w:szCs w:val="22"/>
          <w:lang w:val="lt-LT" w:eastAsia="sl-SI"/>
        </w:rPr>
        <w:t>Jūsų gydytojui gali tekti pakeisti Jūsų dozę ir (arba) imtis kitų atsargumo priemonių:</w:t>
      </w:r>
    </w:p>
    <w:p w14:paraId="26391C67" w14:textId="77777777" w:rsidR="0052346D" w:rsidRDefault="005A1771">
      <w:pPr>
        <w:widowControl w:val="0"/>
        <w:numPr>
          <w:ilvl w:val="0"/>
          <w:numId w:val="41"/>
        </w:numPr>
        <w:tabs>
          <w:tab w:val="clear" w:pos="567"/>
        </w:tabs>
        <w:spacing w:line="240" w:lineRule="auto"/>
        <w:ind w:left="567" w:hanging="567"/>
        <w:rPr>
          <w:rFonts w:eastAsia="Batang"/>
          <w:snapToGrid/>
          <w:szCs w:val="22"/>
          <w:lang w:val="lt-LT" w:eastAsia="x-none"/>
        </w:rPr>
      </w:pPr>
      <w:r>
        <w:rPr>
          <w:snapToGrid/>
          <w:szCs w:val="22"/>
          <w:lang w:val="lt-LT" w:eastAsia="x-none"/>
        </w:rPr>
        <w:t xml:space="preserve">jeigu vartojate AKF inhibitorių arba aliskireno </w:t>
      </w:r>
      <w:r>
        <w:rPr>
          <w:rFonts w:eastAsia="Batang"/>
          <w:snapToGrid/>
          <w:szCs w:val="22"/>
          <w:lang w:val="lt-LT" w:eastAsia="x-none"/>
        </w:rPr>
        <w:t>(taip pat žiūrėkite informaciją, pateiktą poskyriuose „Kanpiduo vartoti draudžiama“ ir „Įspėjimai ir atsargumo priemonės“);</w:t>
      </w:r>
    </w:p>
    <w:p w14:paraId="78035B1B" w14:textId="77777777" w:rsidR="0052346D" w:rsidRDefault="005A1771">
      <w:pPr>
        <w:widowControl w:val="0"/>
        <w:numPr>
          <w:ilvl w:val="0"/>
          <w:numId w:val="41"/>
        </w:numPr>
        <w:tabs>
          <w:tab w:val="clear" w:pos="567"/>
        </w:tabs>
        <w:spacing w:line="240" w:lineRule="auto"/>
        <w:ind w:left="567" w:hanging="567"/>
        <w:rPr>
          <w:snapToGrid/>
          <w:szCs w:val="22"/>
          <w:lang w:val="lt-LT" w:eastAsia="sl-SI"/>
        </w:rPr>
      </w:pPr>
      <w:r>
        <w:rPr>
          <w:rFonts w:eastAsia="Batang"/>
          <w:snapToGrid/>
          <w:szCs w:val="22"/>
          <w:lang w:val="lt-LT" w:eastAsia="sl-SI"/>
        </w:rPr>
        <w:t xml:space="preserve">jeigu vartojate AKF inhibitorių kartu su tam tikrais kitais vaistais, skirtais širdies nepakankamumui gydyti ir priklausančiais mineralkortikoidinių receptorių antagonistų (MRA) </w:t>
      </w:r>
      <w:r>
        <w:rPr>
          <w:rFonts w:eastAsia="Batang"/>
          <w:snapToGrid/>
          <w:szCs w:val="22"/>
          <w:lang w:val="lt-LT" w:eastAsia="sl-SI"/>
        </w:rPr>
        <w:lastRenderedPageBreak/>
        <w:t>grupei (pavyzdžiui, spironolaktonu, eplerenonu).</w:t>
      </w:r>
    </w:p>
    <w:p w14:paraId="33CB03C9" w14:textId="77777777" w:rsidR="0052346D" w:rsidRDefault="0052346D">
      <w:pPr>
        <w:widowControl w:val="0"/>
        <w:tabs>
          <w:tab w:val="clear" w:pos="567"/>
        </w:tabs>
        <w:autoSpaceDE w:val="0"/>
        <w:autoSpaceDN w:val="0"/>
        <w:adjustRightInd w:val="0"/>
        <w:spacing w:line="240" w:lineRule="auto"/>
        <w:rPr>
          <w:snapToGrid/>
          <w:szCs w:val="22"/>
          <w:lang w:val="lt-LT"/>
        </w:rPr>
      </w:pPr>
    </w:p>
    <w:p w14:paraId="0E5CFBEE" w14:textId="77777777" w:rsidR="0052346D" w:rsidRDefault="005A1771">
      <w:pPr>
        <w:widowControl w:val="0"/>
        <w:numPr>
          <w:ilvl w:val="12"/>
          <w:numId w:val="0"/>
        </w:numPr>
        <w:tabs>
          <w:tab w:val="clear" w:pos="567"/>
        </w:tabs>
        <w:spacing w:line="240" w:lineRule="auto"/>
        <w:ind w:right="-2"/>
        <w:outlineLvl w:val="0"/>
        <w:rPr>
          <w:b/>
          <w:snapToGrid/>
          <w:szCs w:val="22"/>
          <w:highlight w:val="yellow"/>
          <w:lang w:val="lt-LT" w:eastAsia="sl-SI"/>
        </w:rPr>
      </w:pPr>
      <w:r>
        <w:rPr>
          <w:b/>
          <w:snapToGrid/>
          <w:szCs w:val="22"/>
          <w:lang w:val="lt-LT" w:eastAsia="sl-SI"/>
        </w:rPr>
        <w:t>Kanpiduo vartojimas su maistu ir alkoholiu</w:t>
      </w:r>
    </w:p>
    <w:p w14:paraId="20399EFF" w14:textId="77777777" w:rsidR="0052346D" w:rsidRDefault="005A1771">
      <w:pPr>
        <w:widowControl w:val="0"/>
        <w:tabs>
          <w:tab w:val="clear" w:pos="567"/>
        </w:tabs>
        <w:autoSpaceDE w:val="0"/>
        <w:autoSpaceDN w:val="0"/>
        <w:adjustRightInd w:val="0"/>
        <w:spacing w:line="240" w:lineRule="auto"/>
        <w:rPr>
          <w:snapToGrid/>
          <w:szCs w:val="22"/>
          <w:lang w:val="lt-LT" w:eastAsia="sl-SI"/>
        </w:rPr>
      </w:pPr>
      <w:r>
        <w:rPr>
          <w:rFonts w:eastAsia="Calibri"/>
          <w:snapToGrid/>
          <w:szCs w:val="22"/>
          <w:lang w:val="lt-LT"/>
        </w:rPr>
        <w:t xml:space="preserve">Kanpiduo </w:t>
      </w:r>
      <w:r>
        <w:rPr>
          <w:snapToGrid/>
          <w:szCs w:val="22"/>
          <w:lang w:val="lt-LT" w:eastAsia="sl-SI"/>
        </w:rPr>
        <w:t>galima vartoti valgio metu arba nevalgius.</w:t>
      </w:r>
    </w:p>
    <w:p w14:paraId="5D9565B1" w14:textId="77777777" w:rsidR="0052346D" w:rsidRDefault="005A1771">
      <w:pPr>
        <w:widowControl w:val="0"/>
        <w:tabs>
          <w:tab w:val="clear" w:pos="567"/>
        </w:tabs>
        <w:autoSpaceDE w:val="0"/>
        <w:autoSpaceDN w:val="0"/>
        <w:adjustRightInd w:val="0"/>
        <w:spacing w:line="240" w:lineRule="auto"/>
        <w:rPr>
          <w:snapToGrid/>
          <w:szCs w:val="22"/>
          <w:lang w:val="lt-LT" w:eastAsia="sl-SI"/>
        </w:rPr>
      </w:pPr>
      <w:r>
        <w:rPr>
          <w:snapToGrid/>
          <w:szCs w:val="22"/>
          <w:lang w:val="lt-LT" w:eastAsia="sl-SI"/>
        </w:rPr>
        <w:t>Jeigu Jums paskirtas vartoti Kanpiduo, dėl alkoholinių gėrimų vartojimo pasitarkite su gydytoju. Alkoholis gali sukelti apalpimą arba svaigulį.</w:t>
      </w:r>
    </w:p>
    <w:p w14:paraId="476B14F6" w14:textId="77777777" w:rsidR="0052346D" w:rsidRDefault="0052346D">
      <w:pPr>
        <w:widowControl w:val="0"/>
        <w:tabs>
          <w:tab w:val="clear" w:pos="567"/>
        </w:tabs>
        <w:autoSpaceDE w:val="0"/>
        <w:autoSpaceDN w:val="0"/>
        <w:adjustRightInd w:val="0"/>
        <w:spacing w:line="240" w:lineRule="auto"/>
        <w:rPr>
          <w:snapToGrid/>
          <w:szCs w:val="22"/>
          <w:lang w:val="lt-LT" w:eastAsia="sl-SI"/>
        </w:rPr>
      </w:pPr>
    </w:p>
    <w:p w14:paraId="720FFD27" w14:textId="77777777" w:rsidR="0052346D" w:rsidRDefault="005A1771">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Nėštumas ir žindymo laikotarpis</w:t>
      </w:r>
    </w:p>
    <w:p w14:paraId="6A6FAE90" w14:textId="77777777" w:rsidR="0052346D" w:rsidRDefault="005A1771">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Jeigu esate nėščia, žindote kūdikį, manote, kad galbūt esate nėščia, arba planuojate pastoti, tai prieš vartodama šį vaistą pasitarkite su gydytoju arba vaistininku.</w:t>
      </w:r>
    </w:p>
    <w:p w14:paraId="5988ABA5" w14:textId="77777777" w:rsidR="0052346D" w:rsidRDefault="0052346D">
      <w:pPr>
        <w:numPr>
          <w:ilvl w:val="12"/>
          <w:numId w:val="0"/>
        </w:numPr>
        <w:tabs>
          <w:tab w:val="clear" w:pos="567"/>
          <w:tab w:val="left" w:pos="8505"/>
        </w:tabs>
        <w:spacing w:line="240" w:lineRule="auto"/>
        <w:ind w:right="-2"/>
        <w:rPr>
          <w:i/>
          <w:snapToGrid/>
          <w:szCs w:val="22"/>
          <w:u w:val="single"/>
          <w:lang w:val="lt-LT" w:eastAsia="sl-SI"/>
        </w:rPr>
      </w:pPr>
    </w:p>
    <w:p w14:paraId="6B2DB0E8" w14:textId="77777777" w:rsidR="0052346D" w:rsidRDefault="005A1771">
      <w:pPr>
        <w:numPr>
          <w:ilvl w:val="12"/>
          <w:numId w:val="0"/>
        </w:numPr>
        <w:tabs>
          <w:tab w:val="clear" w:pos="567"/>
          <w:tab w:val="left" w:pos="8505"/>
        </w:tabs>
        <w:spacing w:line="240" w:lineRule="auto"/>
        <w:ind w:right="-2"/>
        <w:rPr>
          <w:i/>
          <w:snapToGrid/>
          <w:szCs w:val="22"/>
          <w:lang w:val="lt-LT" w:eastAsia="sl-SI"/>
        </w:rPr>
      </w:pPr>
      <w:r>
        <w:rPr>
          <w:snapToGrid/>
          <w:szCs w:val="22"/>
          <w:u w:val="single"/>
          <w:lang w:val="lt-LT" w:eastAsia="sl-SI"/>
        </w:rPr>
        <w:t>Nėštumas</w:t>
      </w:r>
    </w:p>
    <w:p w14:paraId="52E8978F" w14:textId="77777777" w:rsidR="0052346D" w:rsidRDefault="005A1771">
      <w:pPr>
        <w:numPr>
          <w:ilvl w:val="12"/>
          <w:numId w:val="0"/>
        </w:numPr>
        <w:tabs>
          <w:tab w:val="clear" w:pos="567"/>
          <w:tab w:val="left" w:pos="8505"/>
        </w:tabs>
        <w:spacing w:line="240" w:lineRule="auto"/>
        <w:ind w:right="-2"/>
        <w:rPr>
          <w:i/>
          <w:snapToGrid/>
          <w:szCs w:val="22"/>
          <w:lang w:val="lt-LT" w:eastAsia="sl-SI"/>
        </w:rPr>
      </w:pPr>
      <w:r>
        <w:rPr>
          <w:snapToGrid/>
          <w:szCs w:val="22"/>
          <w:lang w:val="lt-LT" w:eastAsia="sl-SI"/>
        </w:rPr>
        <w:t>Jeigu manote, kad esate (</w:t>
      </w:r>
      <w:r>
        <w:rPr>
          <w:snapToGrid/>
          <w:szCs w:val="22"/>
          <w:u w:val="single"/>
          <w:lang w:val="lt-LT" w:eastAsia="sl-SI"/>
        </w:rPr>
        <w:t>arba galite tapti</w:t>
      </w:r>
      <w:r>
        <w:rPr>
          <w:snapToGrid/>
          <w:szCs w:val="22"/>
          <w:lang w:val="lt-LT" w:eastAsia="sl-SI"/>
        </w:rPr>
        <w:t>) nėščia, apie tai turite pasakyti gydytojui. Jūsų gydytojas paprastai Jums patars Kanpiduo vartojimą nutraukti prieš pastojimą arba tuoj pat, kai tik sužinosite, kad tapote nėščia, ir patars vietoj Kanpiduo vartoti kitokio vaisto. Ankstyvuoju nėštumo laikotarpiu Kanpiduo vartoti nerekomenduojama, o jeigu esate nėščia ilgiau negu 3 mėnesius, Kanpiduo vartoti draudžiama, nes vartojamas po trečiojo nėštumo mėnesio šis vaistas gali sukelti sunkią žalą Jūsų vaikui.</w:t>
      </w:r>
    </w:p>
    <w:p w14:paraId="400B3CB7" w14:textId="77777777" w:rsidR="0052346D" w:rsidRDefault="0052346D">
      <w:pPr>
        <w:numPr>
          <w:ilvl w:val="12"/>
          <w:numId w:val="0"/>
        </w:numPr>
        <w:tabs>
          <w:tab w:val="clear" w:pos="567"/>
          <w:tab w:val="left" w:pos="8505"/>
        </w:tabs>
        <w:spacing w:line="240" w:lineRule="auto"/>
        <w:ind w:right="-2"/>
        <w:rPr>
          <w:i/>
          <w:snapToGrid/>
          <w:szCs w:val="22"/>
          <w:lang w:val="lt-LT" w:eastAsia="sl-SI"/>
        </w:rPr>
      </w:pPr>
    </w:p>
    <w:p w14:paraId="0A250450" w14:textId="77777777" w:rsidR="0052346D" w:rsidRDefault="005A1771">
      <w:pPr>
        <w:numPr>
          <w:ilvl w:val="12"/>
          <w:numId w:val="0"/>
        </w:numPr>
        <w:tabs>
          <w:tab w:val="clear" w:pos="567"/>
          <w:tab w:val="left" w:pos="8505"/>
        </w:tabs>
        <w:spacing w:line="240" w:lineRule="auto"/>
        <w:ind w:right="-2"/>
        <w:rPr>
          <w:i/>
          <w:snapToGrid/>
          <w:szCs w:val="22"/>
          <w:lang w:val="lt-LT" w:eastAsia="sl-SI"/>
        </w:rPr>
      </w:pPr>
      <w:r>
        <w:rPr>
          <w:snapToGrid/>
          <w:szCs w:val="22"/>
          <w:u w:val="single"/>
          <w:lang w:val="lt-LT" w:eastAsia="sl-SI"/>
        </w:rPr>
        <w:t>Žindymas</w:t>
      </w:r>
    </w:p>
    <w:p w14:paraId="49231DA5" w14:textId="77777777" w:rsidR="0052346D" w:rsidRDefault="005A1771">
      <w:pPr>
        <w:spacing w:line="240" w:lineRule="auto"/>
        <w:rPr>
          <w:snapToGrid/>
          <w:szCs w:val="22"/>
          <w:lang w:val="lt-LT" w:eastAsia="sl-SI"/>
        </w:rPr>
      </w:pPr>
      <w:r>
        <w:rPr>
          <w:snapToGrid/>
          <w:szCs w:val="22"/>
          <w:lang w:val="lt-LT" w:eastAsia="sl-SI"/>
        </w:rPr>
        <w:t>Pasakykite gydytojui, jei žindote kūdikį ar planuojate pradėti žindyti. Kanpiduo nerekomenduojama vartoti motinoms, kurios maitina krūtimi, ir gydytojas gali Jums parinkti kitą vaistą, jei norite maitinti krūtimi, ypač jei Jūsų kūdikis yra naujagimis arba gimė neišnešiotas. Veiklioji medžiaga indapamidas išsiskiria į gydytų moterų pieną.</w:t>
      </w:r>
    </w:p>
    <w:p w14:paraId="63351FB3" w14:textId="77777777" w:rsidR="0052346D" w:rsidRDefault="0052346D">
      <w:pPr>
        <w:numPr>
          <w:ilvl w:val="12"/>
          <w:numId w:val="0"/>
        </w:numPr>
        <w:tabs>
          <w:tab w:val="clear" w:pos="567"/>
          <w:tab w:val="left" w:pos="8505"/>
        </w:tabs>
        <w:spacing w:line="240" w:lineRule="auto"/>
        <w:ind w:right="-2"/>
        <w:rPr>
          <w:rFonts w:eastAsia="TimesNewRoman,Bold"/>
          <w:b/>
          <w:bCs/>
          <w:snapToGrid/>
          <w:szCs w:val="22"/>
          <w:lang w:val="lt-LT"/>
        </w:rPr>
      </w:pPr>
    </w:p>
    <w:p w14:paraId="080E114A" w14:textId="77777777" w:rsidR="0052346D" w:rsidRDefault="005A1771">
      <w:pPr>
        <w:numPr>
          <w:ilvl w:val="12"/>
          <w:numId w:val="0"/>
        </w:numPr>
        <w:tabs>
          <w:tab w:val="clear" w:pos="567"/>
          <w:tab w:val="left" w:pos="8505"/>
        </w:tabs>
        <w:spacing w:line="240" w:lineRule="auto"/>
        <w:ind w:right="-2"/>
        <w:rPr>
          <w:rFonts w:eastAsia="TimesNewRoman,Bold"/>
          <w:b/>
          <w:bCs/>
          <w:snapToGrid/>
          <w:szCs w:val="22"/>
          <w:lang w:val="lt-LT"/>
        </w:rPr>
      </w:pPr>
      <w:r>
        <w:rPr>
          <w:rFonts w:eastAsia="TimesNewRoman,Bold"/>
          <w:b/>
          <w:bCs/>
          <w:snapToGrid/>
          <w:szCs w:val="22"/>
          <w:lang w:val="lt-LT"/>
        </w:rPr>
        <w:t>Vairavimas ir mechanizmų valdymas</w:t>
      </w:r>
    </w:p>
    <w:p w14:paraId="1EB9EFA5" w14:textId="77777777" w:rsidR="0052346D" w:rsidRDefault="005A1771">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Šis vaistas gali sukelti šalutinį poveikį dėl kraujospūdžio sumažėjimo, pavyzdžiui, svaigulį ar nuovargį (žr. 4 skyrių). Šis šalutinis poveikis dažniau pasireiškia gydymo pradžioje arba didinant dozę. Jei Jums pasireiškė toks poveikis, nevairuokite ir nevaldykite jokių įrankių ar mechanizmų.</w:t>
      </w:r>
    </w:p>
    <w:p w14:paraId="5E2B436A" w14:textId="77777777" w:rsidR="0052346D" w:rsidRDefault="0052346D">
      <w:pPr>
        <w:widowControl w:val="0"/>
        <w:numPr>
          <w:ilvl w:val="12"/>
          <w:numId w:val="0"/>
        </w:numPr>
        <w:tabs>
          <w:tab w:val="clear" w:pos="567"/>
        </w:tabs>
        <w:spacing w:line="240" w:lineRule="auto"/>
        <w:ind w:right="-2"/>
        <w:rPr>
          <w:bCs/>
          <w:snapToGrid/>
          <w:szCs w:val="22"/>
          <w:lang w:val="lt-LT"/>
        </w:rPr>
      </w:pPr>
    </w:p>
    <w:p w14:paraId="3CC6155F" w14:textId="77777777" w:rsidR="0052346D" w:rsidRDefault="005A1771">
      <w:pPr>
        <w:widowControl w:val="0"/>
        <w:numPr>
          <w:ilvl w:val="12"/>
          <w:numId w:val="0"/>
        </w:numPr>
        <w:tabs>
          <w:tab w:val="clear" w:pos="567"/>
        </w:tabs>
        <w:spacing w:line="240" w:lineRule="auto"/>
        <w:rPr>
          <w:snapToGrid/>
          <w:szCs w:val="22"/>
          <w:lang w:val="lt-LT"/>
        </w:rPr>
      </w:pPr>
      <w:r>
        <w:rPr>
          <w:b/>
          <w:snapToGrid/>
          <w:szCs w:val="22"/>
          <w:lang w:val="lt-LT"/>
        </w:rPr>
        <w:t>Kanpiduo sudėtyje yra laktozės</w:t>
      </w:r>
    </w:p>
    <w:p w14:paraId="162EAB84" w14:textId="77777777" w:rsidR="0052346D" w:rsidRDefault="005A1771">
      <w:pPr>
        <w:widowControl w:val="0"/>
        <w:tabs>
          <w:tab w:val="clear" w:pos="567"/>
        </w:tabs>
        <w:spacing w:line="240" w:lineRule="auto"/>
        <w:rPr>
          <w:snapToGrid/>
          <w:szCs w:val="22"/>
          <w:lang w:val="lt-LT"/>
        </w:rPr>
      </w:pPr>
      <w:r>
        <w:rPr>
          <w:snapToGrid/>
          <w:szCs w:val="22"/>
          <w:lang w:val="lt-LT"/>
        </w:rPr>
        <w:t>Jeigu gydytojas Jums yra sakęs, kad netoleruojate kokių nors angliavandenių, kreipkitės į jį prieš pradėdami vartoti šį vaistą.</w:t>
      </w:r>
    </w:p>
    <w:p w14:paraId="17769DCE" w14:textId="77777777" w:rsidR="0052346D" w:rsidRDefault="0052346D">
      <w:pPr>
        <w:widowControl w:val="0"/>
        <w:numPr>
          <w:ilvl w:val="12"/>
          <w:numId w:val="0"/>
        </w:numPr>
        <w:tabs>
          <w:tab w:val="clear" w:pos="567"/>
        </w:tabs>
        <w:spacing w:line="240" w:lineRule="auto"/>
        <w:ind w:right="-2"/>
        <w:rPr>
          <w:snapToGrid/>
          <w:szCs w:val="22"/>
          <w:lang w:val="lt-LT"/>
        </w:rPr>
      </w:pPr>
    </w:p>
    <w:p w14:paraId="3C9099D0" w14:textId="77777777" w:rsidR="0052346D" w:rsidRDefault="0052346D">
      <w:pPr>
        <w:widowControl w:val="0"/>
        <w:numPr>
          <w:ilvl w:val="12"/>
          <w:numId w:val="0"/>
        </w:numPr>
        <w:tabs>
          <w:tab w:val="clear" w:pos="567"/>
        </w:tabs>
        <w:spacing w:line="240" w:lineRule="auto"/>
        <w:ind w:right="-2"/>
        <w:rPr>
          <w:snapToGrid/>
          <w:szCs w:val="22"/>
          <w:lang w:val="lt-LT"/>
        </w:rPr>
      </w:pPr>
    </w:p>
    <w:p w14:paraId="1269A053" w14:textId="77777777" w:rsidR="0052346D" w:rsidRDefault="005A1771">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3.</w:t>
      </w:r>
      <w:r>
        <w:rPr>
          <w:b/>
          <w:snapToGrid/>
          <w:szCs w:val="22"/>
          <w:lang w:val="lt-LT"/>
        </w:rPr>
        <w:tab/>
        <w:t>Kaip vartoti Kanpiduo</w:t>
      </w:r>
    </w:p>
    <w:p w14:paraId="793848DF" w14:textId="77777777" w:rsidR="0052346D" w:rsidRDefault="0052346D">
      <w:pPr>
        <w:widowControl w:val="0"/>
        <w:tabs>
          <w:tab w:val="clear" w:pos="567"/>
        </w:tabs>
        <w:spacing w:line="240" w:lineRule="auto"/>
        <w:ind w:left="567" w:hanging="567"/>
        <w:rPr>
          <w:snapToGrid/>
          <w:szCs w:val="22"/>
          <w:lang w:val="lt-LT"/>
        </w:rPr>
      </w:pPr>
    </w:p>
    <w:p w14:paraId="7F50801B" w14:textId="77777777" w:rsidR="0052346D" w:rsidRDefault="005A1771">
      <w:pPr>
        <w:widowControl w:val="0"/>
        <w:tabs>
          <w:tab w:val="clear" w:pos="567"/>
        </w:tabs>
        <w:autoSpaceDE w:val="0"/>
        <w:autoSpaceDN w:val="0"/>
        <w:adjustRightInd w:val="0"/>
        <w:spacing w:line="240" w:lineRule="auto"/>
        <w:rPr>
          <w:snapToGrid/>
          <w:szCs w:val="22"/>
          <w:lang w:val="lt-LT"/>
        </w:rPr>
      </w:pPr>
      <w:r>
        <w:rPr>
          <w:snapToGrid/>
          <w:szCs w:val="22"/>
          <w:lang w:val="lt-LT"/>
        </w:rPr>
        <w:t>Visada vartokite šį vaistą tiksliai, kaip nurodė gydytojas. Jeigu abejojate, kreipkitės į gydytoją arba vaistininką. Svarbu Kanpiduo vartoti kasdien.</w:t>
      </w:r>
    </w:p>
    <w:p w14:paraId="4E4F77A1" w14:textId="77777777" w:rsidR="0052346D" w:rsidRDefault="0052346D">
      <w:pPr>
        <w:widowControl w:val="0"/>
        <w:tabs>
          <w:tab w:val="clear" w:pos="567"/>
        </w:tabs>
        <w:autoSpaceDE w:val="0"/>
        <w:autoSpaceDN w:val="0"/>
        <w:adjustRightInd w:val="0"/>
        <w:spacing w:line="240" w:lineRule="auto"/>
        <w:rPr>
          <w:snapToGrid/>
          <w:szCs w:val="22"/>
          <w:lang w:val="lt-LT"/>
        </w:rPr>
      </w:pPr>
    </w:p>
    <w:p w14:paraId="59AD4403" w14:textId="77777777" w:rsidR="0052346D" w:rsidRDefault="005A1771">
      <w:pPr>
        <w:widowControl w:val="0"/>
        <w:tabs>
          <w:tab w:val="clear" w:pos="567"/>
        </w:tabs>
        <w:autoSpaceDE w:val="0"/>
        <w:autoSpaceDN w:val="0"/>
        <w:adjustRightInd w:val="0"/>
        <w:spacing w:line="240" w:lineRule="auto"/>
        <w:rPr>
          <w:snapToGrid/>
          <w:szCs w:val="22"/>
          <w:lang w:val="lt-LT"/>
        </w:rPr>
      </w:pPr>
      <w:r>
        <w:rPr>
          <w:snapToGrid/>
          <w:szCs w:val="22"/>
          <w:lang w:val="lt-LT"/>
        </w:rPr>
        <w:t>Rekomenduojama Kanpiduo dozė yra viena tabletė per parą, ją geriausia vartoti ryte. Kanpiduo galite vartoti valgio metu arba nevalgius. Tabletę nurykite užgerdami vandeniu. Tabletės smulkinti arba kramtyti negalima. Tabletę stenkitės gerti kasdien tuo pačiu metu. Tai padės prisiminti ją išgerti. Aukšto kraujospūdžio gydymas paprastai trunka visą gyvenimą.</w:t>
      </w:r>
    </w:p>
    <w:p w14:paraId="67170FD6" w14:textId="77777777" w:rsidR="0052346D" w:rsidRDefault="0052346D">
      <w:pPr>
        <w:widowControl w:val="0"/>
        <w:tabs>
          <w:tab w:val="clear" w:pos="567"/>
        </w:tabs>
        <w:autoSpaceDE w:val="0"/>
        <w:autoSpaceDN w:val="0"/>
        <w:adjustRightInd w:val="0"/>
        <w:spacing w:line="240" w:lineRule="auto"/>
        <w:rPr>
          <w:snapToGrid/>
          <w:szCs w:val="22"/>
          <w:lang w:val="lt-LT"/>
        </w:rPr>
      </w:pPr>
    </w:p>
    <w:p w14:paraId="7AC78265" w14:textId="77777777" w:rsidR="0052346D" w:rsidRDefault="005A1771">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Ką daryti pavartojus per didelę Kanpiduo dozę</w:t>
      </w:r>
    </w:p>
    <w:p w14:paraId="52E24DFB" w14:textId="77777777" w:rsidR="0052346D" w:rsidRDefault="005A1771">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Jeigu išgėrėte daugiau Kanpiduo nei skyrė gydytojas, nedelsdami pasitarkite su gydytoju arba vaistininku. Labai didelė Kanpiduo dozė gali sukelti pykinimą (šleikštulį), vėmimą, žemą kraujospūdį, mėšlungį, svaigulį, apsnūdimą, minčių susipainiojimą ir inkstų išskiriamo šlapimo kiekio pokyčius.</w:t>
      </w:r>
    </w:p>
    <w:p w14:paraId="4ED68899" w14:textId="77777777" w:rsidR="0052346D" w:rsidRDefault="0052346D">
      <w:pPr>
        <w:widowControl w:val="0"/>
        <w:tabs>
          <w:tab w:val="clear" w:pos="567"/>
        </w:tabs>
        <w:autoSpaceDE w:val="0"/>
        <w:autoSpaceDN w:val="0"/>
        <w:adjustRightInd w:val="0"/>
        <w:spacing w:line="240" w:lineRule="auto"/>
        <w:rPr>
          <w:rFonts w:eastAsia="TimesNewRoman,Bold"/>
          <w:snapToGrid/>
          <w:szCs w:val="22"/>
          <w:lang w:val="lt-LT"/>
        </w:rPr>
      </w:pPr>
    </w:p>
    <w:p w14:paraId="17433D6F" w14:textId="77777777" w:rsidR="0052346D" w:rsidRDefault="005A1771">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Pamiršus pavartoti Kanpiduo</w:t>
      </w:r>
    </w:p>
    <w:p w14:paraId="09989BBA" w14:textId="77777777" w:rsidR="0052346D" w:rsidRDefault="005A1771">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Negalima vartoti dvigubos dozės norint kompensuoti praleistą dozę.</w:t>
      </w:r>
    </w:p>
    <w:p w14:paraId="3E9ADE3A" w14:textId="77777777" w:rsidR="0052346D" w:rsidRDefault="005A1771">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Kitą dozę gerkite įprastu metu.</w:t>
      </w:r>
    </w:p>
    <w:p w14:paraId="564C1EA0" w14:textId="77777777" w:rsidR="0052346D" w:rsidRDefault="0052346D">
      <w:pPr>
        <w:widowControl w:val="0"/>
        <w:tabs>
          <w:tab w:val="clear" w:pos="567"/>
        </w:tabs>
        <w:autoSpaceDE w:val="0"/>
        <w:autoSpaceDN w:val="0"/>
        <w:adjustRightInd w:val="0"/>
        <w:spacing w:line="240" w:lineRule="auto"/>
        <w:rPr>
          <w:rFonts w:eastAsia="TimesNewRoman,Bold"/>
          <w:snapToGrid/>
          <w:szCs w:val="22"/>
          <w:lang w:val="lt-LT"/>
        </w:rPr>
      </w:pPr>
    </w:p>
    <w:p w14:paraId="413FCBDF" w14:textId="77777777" w:rsidR="0052346D" w:rsidRDefault="005A1771">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Nustojus vartoti Kanpiduo</w:t>
      </w:r>
    </w:p>
    <w:p w14:paraId="477D0B7E" w14:textId="77777777" w:rsidR="0052346D" w:rsidRDefault="005A1771">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Aukšto kraujospūdžio gydymas paprastai trunka visą gyvenimą, todėl, prieš nutraukdami šio vaisto vartojimą, turite pasitarti su gydytoju. Jei nutrauksite Kanpiduo vartojimą, kraujospūdis vėl gali </w:t>
      </w:r>
      <w:r>
        <w:rPr>
          <w:rFonts w:eastAsia="TimesNewRoman,Bold"/>
          <w:snapToGrid/>
          <w:szCs w:val="22"/>
          <w:lang w:val="lt-LT"/>
        </w:rPr>
        <w:lastRenderedPageBreak/>
        <w:t>padidėti.</w:t>
      </w:r>
    </w:p>
    <w:p w14:paraId="232EC6AE" w14:textId="77777777" w:rsidR="0052346D" w:rsidRDefault="0052346D">
      <w:pPr>
        <w:widowControl w:val="0"/>
        <w:numPr>
          <w:ilvl w:val="12"/>
          <w:numId w:val="0"/>
        </w:numPr>
        <w:tabs>
          <w:tab w:val="clear" w:pos="567"/>
        </w:tabs>
        <w:spacing w:line="240" w:lineRule="auto"/>
        <w:ind w:right="-2"/>
        <w:rPr>
          <w:rFonts w:eastAsia="TimesNewRoman,Bold"/>
          <w:snapToGrid/>
          <w:szCs w:val="22"/>
          <w:lang w:val="lt-LT"/>
        </w:rPr>
      </w:pPr>
    </w:p>
    <w:p w14:paraId="5488B5E2" w14:textId="77777777" w:rsidR="0052346D" w:rsidRDefault="005A1771">
      <w:pPr>
        <w:widowControl w:val="0"/>
        <w:numPr>
          <w:ilvl w:val="12"/>
          <w:numId w:val="0"/>
        </w:numPr>
        <w:tabs>
          <w:tab w:val="clear" w:pos="567"/>
        </w:tabs>
        <w:spacing w:line="240" w:lineRule="auto"/>
        <w:ind w:right="-2"/>
        <w:rPr>
          <w:snapToGrid/>
          <w:szCs w:val="22"/>
          <w:lang w:val="lt-LT"/>
        </w:rPr>
      </w:pPr>
      <w:r>
        <w:rPr>
          <w:rFonts w:eastAsia="TimesNewRoman,Bold"/>
          <w:snapToGrid/>
          <w:szCs w:val="22"/>
          <w:lang w:val="lt-LT"/>
        </w:rPr>
        <w:t>Jeigu kiltų daugiau klausimų dėl šio vaisto vartojimo, kreipkitės į gydytoją arba vaistininką.</w:t>
      </w:r>
    </w:p>
    <w:p w14:paraId="1BB6938B" w14:textId="77777777" w:rsidR="0052346D" w:rsidRDefault="0052346D">
      <w:pPr>
        <w:widowControl w:val="0"/>
        <w:numPr>
          <w:ilvl w:val="12"/>
          <w:numId w:val="0"/>
        </w:numPr>
        <w:tabs>
          <w:tab w:val="clear" w:pos="567"/>
        </w:tabs>
        <w:spacing w:line="240" w:lineRule="auto"/>
        <w:ind w:right="-2"/>
        <w:rPr>
          <w:snapToGrid/>
          <w:szCs w:val="22"/>
          <w:lang w:val="lt-LT"/>
        </w:rPr>
      </w:pPr>
    </w:p>
    <w:p w14:paraId="4646F950" w14:textId="77777777" w:rsidR="0052346D" w:rsidRDefault="0052346D">
      <w:pPr>
        <w:widowControl w:val="0"/>
        <w:numPr>
          <w:ilvl w:val="12"/>
          <w:numId w:val="0"/>
        </w:numPr>
        <w:tabs>
          <w:tab w:val="clear" w:pos="567"/>
        </w:tabs>
        <w:spacing w:line="240" w:lineRule="auto"/>
        <w:ind w:right="-2"/>
        <w:rPr>
          <w:snapToGrid/>
          <w:szCs w:val="22"/>
          <w:lang w:val="lt-LT"/>
        </w:rPr>
      </w:pPr>
    </w:p>
    <w:p w14:paraId="2BD74649" w14:textId="77777777" w:rsidR="0052346D" w:rsidRDefault="005A1771">
      <w:pPr>
        <w:widowControl w:val="0"/>
        <w:numPr>
          <w:ilvl w:val="12"/>
          <w:numId w:val="0"/>
        </w:numPr>
        <w:tabs>
          <w:tab w:val="clear" w:pos="567"/>
        </w:tabs>
        <w:spacing w:line="240" w:lineRule="auto"/>
        <w:ind w:left="567" w:hanging="567"/>
        <w:outlineLvl w:val="0"/>
        <w:rPr>
          <w:b/>
          <w:caps/>
          <w:snapToGrid/>
          <w:szCs w:val="22"/>
          <w:lang w:val="lt-LT"/>
        </w:rPr>
      </w:pPr>
      <w:r>
        <w:rPr>
          <w:b/>
          <w:caps/>
          <w:snapToGrid/>
          <w:szCs w:val="22"/>
          <w:lang w:val="lt-LT"/>
        </w:rPr>
        <w:t>4.</w:t>
      </w:r>
      <w:r>
        <w:rPr>
          <w:b/>
          <w:caps/>
          <w:snapToGrid/>
          <w:szCs w:val="22"/>
          <w:lang w:val="lt-LT"/>
        </w:rPr>
        <w:tab/>
      </w:r>
      <w:r>
        <w:rPr>
          <w:b/>
          <w:snapToGrid/>
          <w:szCs w:val="22"/>
          <w:lang w:val="lt-LT"/>
        </w:rPr>
        <w:t>Galimas šalutinis poveikis</w:t>
      </w:r>
    </w:p>
    <w:p w14:paraId="7CB01849" w14:textId="77777777" w:rsidR="0052346D" w:rsidRDefault="0052346D">
      <w:pPr>
        <w:widowControl w:val="0"/>
        <w:tabs>
          <w:tab w:val="clear" w:pos="567"/>
        </w:tabs>
        <w:spacing w:line="240" w:lineRule="auto"/>
        <w:ind w:left="567" w:hanging="567"/>
        <w:rPr>
          <w:snapToGrid/>
          <w:szCs w:val="22"/>
          <w:lang w:val="lt-LT"/>
        </w:rPr>
      </w:pPr>
    </w:p>
    <w:p w14:paraId="0AA0AA73" w14:textId="77777777" w:rsidR="0052346D" w:rsidRDefault="005A1771">
      <w:pPr>
        <w:widowControl w:val="0"/>
        <w:tabs>
          <w:tab w:val="clear" w:pos="567"/>
        </w:tabs>
        <w:autoSpaceDE w:val="0"/>
        <w:autoSpaceDN w:val="0"/>
        <w:adjustRightInd w:val="0"/>
        <w:spacing w:line="240" w:lineRule="auto"/>
        <w:rPr>
          <w:snapToGrid/>
          <w:szCs w:val="22"/>
          <w:lang w:val="lt-LT"/>
        </w:rPr>
      </w:pPr>
      <w:r>
        <w:rPr>
          <w:snapToGrid/>
          <w:szCs w:val="22"/>
          <w:lang w:val="lt-LT"/>
        </w:rPr>
        <w:t>Šis vaistas, kaip ir visi kiti, gali sukelti šalutinį poveikį, nors jis pasireiškia ne visiems žmonėms.</w:t>
      </w:r>
      <w:r>
        <w:rPr>
          <w:szCs w:val="22"/>
          <w:lang w:val="lt-LT"/>
        </w:rPr>
        <w:t xml:space="preserve"> </w:t>
      </w:r>
      <w:r>
        <w:rPr>
          <w:snapToGrid/>
          <w:szCs w:val="22"/>
          <w:lang w:val="lt-LT"/>
        </w:rPr>
        <w:t>Svarbu, kad žinotumėte, koks šalutinis poveikis gali pasireikšti.</w:t>
      </w:r>
    </w:p>
    <w:p w14:paraId="50B7B00E" w14:textId="77777777" w:rsidR="0052346D" w:rsidRDefault="0052346D">
      <w:pPr>
        <w:widowControl w:val="0"/>
        <w:tabs>
          <w:tab w:val="clear" w:pos="567"/>
        </w:tabs>
        <w:autoSpaceDE w:val="0"/>
        <w:autoSpaceDN w:val="0"/>
        <w:adjustRightInd w:val="0"/>
        <w:spacing w:line="240" w:lineRule="auto"/>
        <w:rPr>
          <w:snapToGrid/>
          <w:szCs w:val="22"/>
          <w:lang w:val="lt-LT"/>
        </w:rPr>
      </w:pPr>
    </w:p>
    <w:p w14:paraId="31E9DE5B" w14:textId="77777777" w:rsidR="0052346D" w:rsidRDefault="005A1771">
      <w:pPr>
        <w:tabs>
          <w:tab w:val="clear" w:pos="567"/>
        </w:tabs>
        <w:autoSpaceDE w:val="0"/>
        <w:autoSpaceDN w:val="0"/>
        <w:adjustRightInd w:val="0"/>
        <w:spacing w:line="240" w:lineRule="auto"/>
        <w:rPr>
          <w:snapToGrid/>
          <w:szCs w:val="22"/>
          <w:lang w:val="lt-LT" w:eastAsia="sl-SI"/>
        </w:rPr>
      </w:pPr>
      <w:r>
        <w:rPr>
          <w:b/>
          <w:snapToGrid/>
          <w:szCs w:val="22"/>
          <w:lang w:val="lt-LT" w:eastAsia="sl-SI"/>
        </w:rPr>
        <w:t>Nedelsdami nutraukite šio vaisto vartojimą ir kreipkitės į gydytoją, jei pasireikš bet kuris toliau išvardytas šalutinis poveikis, kuris gali būti sunkus</w:t>
      </w:r>
      <w:r>
        <w:rPr>
          <w:snapToGrid/>
          <w:szCs w:val="22"/>
          <w:lang w:val="lt-LT" w:eastAsia="sl-SI"/>
        </w:rPr>
        <w:t>.</w:t>
      </w:r>
    </w:p>
    <w:p w14:paraId="740417A8" w14:textId="77777777" w:rsidR="0052346D" w:rsidRDefault="005A1771">
      <w:pPr>
        <w:numPr>
          <w:ilvl w:val="0"/>
          <w:numId w:val="39"/>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Angioneurozinė edema ir (arba) dilgėlinė. Angioneurozinei edemai yra būdingas greitas galūnių ar veido odos patinimas, lūpų ar liežuvio patinimas, gerklės (ryklės) ar kvėpavimo takų gleivinės patinimas, sukeliantis dusulį ar rijimo sutrikimą. Tokiu atveju nedelsdami kreipkitės į gydytoją. (Labai retas poveikis: gali pasireikšti rečiau kaip 1 iš 10 000 asmenų).</w:t>
      </w:r>
    </w:p>
    <w:p w14:paraId="5C0C76A0" w14:textId="77777777" w:rsidR="0052346D" w:rsidRDefault="005A1771">
      <w:pPr>
        <w:numPr>
          <w:ilvl w:val="0"/>
          <w:numId w:val="39"/>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Kanpiduo gali sukelti baltųjų kraujo ląstelių kiekio sumažėjimą. Gali sumažėti atsparumas infekcijoms, pasireikšti nuovargis, infekcija ar karščiavimas. Tokiu atveju kreipkitės į gydytoją. Gydytojas gali nurodyti kartais atlikti kraujo tyrimus, kad galėtų įsitikinti, ar nepasireiškė Kanpiduo poveikis kraujui (agranulocitozė). (Labai retas poveikis: gali pasireikšti rečiau kaip 1 iš 10 000 asmenų).</w:t>
      </w:r>
    </w:p>
    <w:p w14:paraId="652FB5DC" w14:textId="77777777" w:rsidR="0052346D" w:rsidRDefault="005A1771">
      <w:pPr>
        <w:numPr>
          <w:ilvl w:val="0"/>
          <w:numId w:val="39"/>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Sunkios odos reakcijos, įskaitant intensyvų odos išbėrimą, viso kūno odos paraudimą, stiprų niežėjimą, pūslių susidarymą, odos lupimąsi ir patinimą, gleivinės uždegimą (Stivenso-Džonsono sindromas, toksinė epidermio nekrolizė) arba kitas alergines reakcijas. (Labai retas poveikis: gali pasireikšti rečiau kaip 1 iš 10 000 asmenų).</w:t>
      </w:r>
    </w:p>
    <w:p w14:paraId="72609BAD" w14:textId="77777777" w:rsidR="0052346D" w:rsidRDefault="005A1771">
      <w:pPr>
        <w:numPr>
          <w:ilvl w:val="0"/>
          <w:numId w:val="39"/>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 xml:space="preserve">Gyvybei pavojingas neritmiškas širdies plakimas (paroksizminė polimorfinė skilvelių tachikardija, dar vadinama </w:t>
      </w:r>
      <w:r>
        <w:rPr>
          <w:rFonts w:eastAsia="Calibri"/>
          <w:i/>
          <w:iCs/>
          <w:snapToGrid/>
          <w:szCs w:val="22"/>
          <w:lang w:val="lt-LT" w:eastAsia="sl-SI"/>
        </w:rPr>
        <w:t>Torsade de pointes</w:t>
      </w:r>
      <w:r>
        <w:rPr>
          <w:rFonts w:eastAsia="Calibri"/>
          <w:snapToGrid/>
          <w:szCs w:val="22"/>
          <w:lang w:val="lt-LT" w:eastAsia="sl-SI"/>
        </w:rPr>
        <w:t xml:space="preserve">). (Dažnis nežinomas - </w:t>
      </w:r>
      <w:r>
        <w:rPr>
          <w:szCs w:val="22"/>
          <w:lang w:val="lt-LT"/>
        </w:rPr>
        <w:t>negali būti apskaičiuotas pagal turimus duomenis</w:t>
      </w:r>
      <w:r>
        <w:rPr>
          <w:rFonts w:eastAsia="Calibri"/>
          <w:snapToGrid/>
          <w:szCs w:val="22"/>
          <w:lang w:val="lt-LT" w:eastAsia="sl-SI"/>
        </w:rPr>
        <w:t>).</w:t>
      </w:r>
    </w:p>
    <w:p w14:paraId="7F41251E" w14:textId="77777777" w:rsidR="0052346D" w:rsidRDefault="005A1771">
      <w:pPr>
        <w:numPr>
          <w:ilvl w:val="0"/>
          <w:numId w:val="39"/>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Kasos uždegimas, galintis sukelti stiprų pilvo ir nugaros skausmą, kartu pasireiškiant labai blogai savijautai (pankreatitas). (Labai retas poveikis: gali pasireikšti rečiau kaip 1 iš 10 000 asmenų).</w:t>
      </w:r>
    </w:p>
    <w:p w14:paraId="0139F80C" w14:textId="77777777" w:rsidR="0052346D" w:rsidRDefault="005A1771">
      <w:pPr>
        <w:numPr>
          <w:ilvl w:val="0"/>
          <w:numId w:val="39"/>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Kepenų sutrikimo sukelta smegenų liga (hepatinė encefalopatija) (dažnis nežinomas).</w:t>
      </w:r>
    </w:p>
    <w:p w14:paraId="27ED997C" w14:textId="77777777" w:rsidR="0052346D" w:rsidRDefault="005A1771">
      <w:pPr>
        <w:numPr>
          <w:ilvl w:val="0"/>
          <w:numId w:val="39"/>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Kepenų uždegimas (hepatitas). (Labai retas poveikis: gali pasireikšti rečiau kaip 1 iš 10 000 asmenų).</w:t>
      </w:r>
    </w:p>
    <w:p w14:paraId="6125FB91" w14:textId="77777777" w:rsidR="0052346D" w:rsidRDefault="005A1771">
      <w:pPr>
        <w:numPr>
          <w:ilvl w:val="0"/>
          <w:numId w:val="39"/>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Raumenų silpnumas, mėšlungis, jautrumas ar skausmas, ypač jei tuo pat metu blogai jaučiatės ar yra aukšta temperatūra; tokį poveikį gali sukelti nenormalus raumenų irimas (rabdomiolizė). (Labai retas poveikis: gali pasireikšti rečiau kaip 1 iš 10 000 asmenų).</w:t>
      </w:r>
    </w:p>
    <w:p w14:paraId="0930E6FF" w14:textId="77777777" w:rsidR="0052346D" w:rsidRDefault="0052346D">
      <w:pPr>
        <w:spacing w:line="240" w:lineRule="auto"/>
        <w:ind w:right="-29"/>
        <w:rPr>
          <w:szCs w:val="22"/>
          <w:lang w:val="lt-LT"/>
        </w:rPr>
      </w:pPr>
    </w:p>
    <w:p w14:paraId="341A836D" w14:textId="77777777" w:rsidR="0052346D" w:rsidRDefault="005A1771">
      <w:pPr>
        <w:spacing w:line="240" w:lineRule="auto"/>
        <w:ind w:right="-29"/>
        <w:rPr>
          <w:szCs w:val="22"/>
          <w:lang w:val="lt-LT"/>
        </w:rPr>
      </w:pPr>
      <w:r>
        <w:rPr>
          <w:szCs w:val="22"/>
          <w:lang w:val="lt-LT"/>
        </w:rPr>
        <w:t>Toliau yra išvardytas kitoks galimas šalutinis Kanpiduo poveikis</w:t>
      </w:r>
    </w:p>
    <w:p w14:paraId="7830CEAD" w14:textId="77777777" w:rsidR="0052346D" w:rsidRDefault="0052346D">
      <w:pPr>
        <w:spacing w:line="240" w:lineRule="auto"/>
        <w:ind w:right="-29"/>
        <w:rPr>
          <w:szCs w:val="22"/>
          <w:lang w:val="lt-LT"/>
        </w:rPr>
      </w:pPr>
    </w:p>
    <w:p w14:paraId="0375BA23" w14:textId="77777777" w:rsidR="0052346D" w:rsidRDefault="005A1771">
      <w:pPr>
        <w:spacing w:line="240" w:lineRule="auto"/>
        <w:ind w:right="-29"/>
        <w:rPr>
          <w:b/>
          <w:bCs/>
          <w:szCs w:val="22"/>
          <w:lang w:val="lt-LT"/>
        </w:rPr>
      </w:pPr>
      <w:r>
        <w:rPr>
          <w:b/>
          <w:bCs/>
          <w:szCs w:val="22"/>
          <w:lang w:val="lt-LT"/>
        </w:rPr>
        <w:t>Dažni šalutinio poveikio reiškiniai (gali pasireikšti rečiau kaip 1 iš 10 asmenų):</w:t>
      </w:r>
    </w:p>
    <w:p w14:paraId="56728AC9" w14:textId="77777777" w:rsidR="0052346D" w:rsidRDefault="005A1771">
      <w:pPr>
        <w:numPr>
          <w:ilvl w:val="0"/>
          <w:numId w:val="39"/>
        </w:numPr>
        <w:tabs>
          <w:tab w:val="clear" w:pos="567"/>
        </w:tabs>
        <w:spacing w:line="240" w:lineRule="auto"/>
        <w:ind w:left="567" w:right="-29" w:hanging="567"/>
        <w:rPr>
          <w:szCs w:val="22"/>
          <w:lang w:val="lt-LT"/>
        </w:rPr>
      </w:pPr>
      <w:r>
        <w:rPr>
          <w:szCs w:val="22"/>
          <w:lang w:val="lt-LT"/>
        </w:rPr>
        <w:t>kvėpavimo sistemos infekcija;</w:t>
      </w:r>
    </w:p>
    <w:p w14:paraId="03431219" w14:textId="77777777" w:rsidR="0052346D" w:rsidRDefault="005A1771">
      <w:pPr>
        <w:numPr>
          <w:ilvl w:val="0"/>
          <w:numId w:val="39"/>
        </w:numPr>
        <w:tabs>
          <w:tab w:val="clear" w:pos="567"/>
        </w:tabs>
        <w:spacing w:line="240" w:lineRule="auto"/>
        <w:ind w:left="567" w:right="-29" w:hanging="567"/>
        <w:rPr>
          <w:szCs w:val="22"/>
          <w:lang w:val="lt-LT"/>
        </w:rPr>
      </w:pPr>
      <w:r>
        <w:rPr>
          <w:szCs w:val="22"/>
          <w:lang w:val="lt-LT"/>
        </w:rPr>
        <w:t>kraujo tyrimų rezultatų pokyčiai: padidėjęs kalio kiekis kraujyje, ypač jei jau yra inkstų sutrikimų ar širdies nepakankamumas. Jei toks poveikis sunkus, gali pasireikšti nuovargis, silpnumas, neritmiškas širdies plakimas ar badymo ir dilgčiojimo pojūtis;</w:t>
      </w:r>
    </w:p>
    <w:p w14:paraId="3F19EABA" w14:textId="77777777" w:rsidR="0052346D" w:rsidRDefault="005A1771">
      <w:pPr>
        <w:numPr>
          <w:ilvl w:val="0"/>
          <w:numId w:val="39"/>
        </w:numPr>
        <w:tabs>
          <w:tab w:val="clear" w:pos="567"/>
        </w:tabs>
        <w:spacing w:line="240" w:lineRule="auto"/>
        <w:ind w:left="567" w:right="-29" w:hanging="567"/>
        <w:rPr>
          <w:szCs w:val="22"/>
          <w:lang w:val="lt-LT"/>
        </w:rPr>
      </w:pPr>
      <w:r>
        <w:rPr>
          <w:szCs w:val="22"/>
          <w:lang w:val="lt-LT"/>
        </w:rPr>
        <w:t>svaigulio / sukimosi pojūtis;</w:t>
      </w:r>
    </w:p>
    <w:p w14:paraId="604EAA67" w14:textId="77777777" w:rsidR="0052346D" w:rsidRDefault="005A1771">
      <w:pPr>
        <w:numPr>
          <w:ilvl w:val="0"/>
          <w:numId w:val="39"/>
        </w:numPr>
        <w:tabs>
          <w:tab w:val="clear" w:pos="567"/>
        </w:tabs>
        <w:spacing w:line="240" w:lineRule="auto"/>
        <w:ind w:left="567" w:right="-29" w:hanging="567"/>
        <w:rPr>
          <w:szCs w:val="22"/>
          <w:lang w:val="lt-LT"/>
        </w:rPr>
      </w:pPr>
      <w:r>
        <w:rPr>
          <w:szCs w:val="22"/>
          <w:lang w:val="lt-LT"/>
        </w:rPr>
        <w:t>galvos skausmas;</w:t>
      </w:r>
    </w:p>
    <w:p w14:paraId="44EC112D" w14:textId="77777777" w:rsidR="0052346D" w:rsidRDefault="005A1771">
      <w:pPr>
        <w:numPr>
          <w:ilvl w:val="0"/>
          <w:numId w:val="36"/>
        </w:numPr>
        <w:tabs>
          <w:tab w:val="clear" w:pos="567"/>
        </w:tabs>
        <w:spacing w:line="240" w:lineRule="auto"/>
        <w:ind w:left="567" w:right="-29" w:hanging="567"/>
        <w:rPr>
          <w:szCs w:val="22"/>
          <w:lang w:val="lt-LT"/>
        </w:rPr>
      </w:pPr>
      <w:r>
        <w:rPr>
          <w:szCs w:val="22"/>
          <w:lang w:val="lt-LT"/>
        </w:rPr>
        <w:t>alerginės reakcijos (daugiausia odos) asmenims, turintiems polinkį į alergines ir astmines reakcijas;</w:t>
      </w:r>
    </w:p>
    <w:p w14:paraId="2F5BCA6F" w14:textId="77777777" w:rsidR="0052346D" w:rsidRDefault="005A1771">
      <w:pPr>
        <w:numPr>
          <w:ilvl w:val="0"/>
          <w:numId w:val="27"/>
        </w:numPr>
        <w:tabs>
          <w:tab w:val="clear" w:pos="567"/>
        </w:tabs>
        <w:spacing w:line="240" w:lineRule="auto"/>
        <w:ind w:left="567" w:right="-29" w:hanging="567"/>
        <w:rPr>
          <w:szCs w:val="22"/>
          <w:lang w:val="lt-LT"/>
        </w:rPr>
      </w:pPr>
      <w:r>
        <w:rPr>
          <w:szCs w:val="22"/>
          <w:lang w:val="lt-LT"/>
        </w:rPr>
        <w:t>raudonas iškilus odos išbėrimas.</w:t>
      </w:r>
    </w:p>
    <w:p w14:paraId="6F71CB0E" w14:textId="77777777" w:rsidR="0052346D" w:rsidRDefault="0052346D">
      <w:pPr>
        <w:spacing w:line="240" w:lineRule="auto"/>
        <w:ind w:right="-29"/>
        <w:rPr>
          <w:szCs w:val="22"/>
          <w:lang w:val="lt-LT"/>
        </w:rPr>
      </w:pPr>
    </w:p>
    <w:p w14:paraId="7B87C3E8" w14:textId="77777777" w:rsidR="0052346D" w:rsidRDefault="005A1771">
      <w:pPr>
        <w:spacing w:line="240" w:lineRule="auto"/>
        <w:ind w:right="-29"/>
        <w:rPr>
          <w:b/>
          <w:bCs/>
          <w:szCs w:val="22"/>
          <w:lang w:val="lt-LT"/>
        </w:rPr>
      </w:pPr>
      <w:r>
        <w:rPr>
          <w:b/>
          <w:bCs/>
          <w:szCs w:val="22"/>
          <w:lang w:val="lt-LT"/>
        </w:rPr>
        <w:t>Nedažni šalutinio poveikio reiškiniai (gali pasireikšti rečiau kaip 1 iš 100 asmenų):</w:t>
      </w:r>
    </w:p>
    <w:p w14:paraId="227383CF" w14:textId="77777777" w:rsidR="0052346D" w:rsidRDefault="005A1771">
      <w:pPr>
        <w:numPr>
          <w:ilvl w:val="0"/>
          <w:numId w:val="39"/>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mažas natrio kiekis kraujyje, galintis sukelti dehidrataciją ir žemą kraujospūdį;</w:t>
      </w:r>
    </w:p>
    <w:p w14:paraId="44945EA9" w14:textId="77777777" w:rsidR="0052346D" w:rsidRDefault="005A1771">
      <w:pPr>
        <w:numPr>
          <w:ilvl w:val="0"/>
          <w:numId w:val="39"/>
        </w:numPr>
        <w:tabs>
          <w:tab w:val="clear" w:pos="567"/>
        </w:tabs>
        <w:autoSpaceDE w:val="0"/>
        <w:autoSpaceDN w:val="0"/>
        <w:adjustRightInd w:val="0"/>
        <w:spacing w:line="240" w:lineRule="auto"/>
        <w:ind w:left="567" w:hanging="567"/>
        <w:contextualSpacing/>
        <w:rPr>
          <w:szCs w:val="22"/>
          <w:lang w:val="lt-LT"/>
        </w:rPr>
      </w:pPr>
      <w:r>
        <w:rPr>
          <w:rFonts w:eastAsia="Calibri"/>
          <w:snapToGrid/>
          <w:szCs w:val="22"/>
          <w:lang w:val="lt-LT" w:eastAsia="sl-SI"/>
        </w:rPr>
        <w:t>vėmimas;</w:t>
      </w:r>
    </w:p>
    <w:p w14:paraId="0B0057A8" w14:textId="77777777" w:rsidR="0052346D" w:rsidRDefault="005A1771">
      <w:pPr>
        <w:numPr>
          <w:ilvl w:val="0"/>
          <w:numId w:val="39"/>
        </w:numPr>
        <w:tabs>
          <w:tab w:val="clear" w:pos="567"/>
        </w:tabs>
        <w:autoSpaceDE w:val="0"/>
        <w:autoSpaceDN w:val="0"/>
        <w:adjustRightInd w:val="0"/>
        <w:spacing w:line="240" w:lineRule="auto"/>
        <w:ind w:left="567" w:hanging="567"/>
        <w:contextualSpacing/>
        <w:rPr>
          <w:szCs w:val="22"/>
          <w:lang w:val="lt-LT"/>
        </w:rPr>
      </w:pPr>
      <w:r>
        <w:rPr>
          <w:rFonts w:eastAsia="Calibri"/>
          <w:snapToGrid/>
          <w:szCs w:val="22"/>
          <w:lang w:val="lt-LT" w:eastAsia="sl-SI"/>
        </w:rPr>
        <w:t>impotencija (nesugebėjimas pasiekti ar išlaikyti erekciją).</w:t>
      </w:r>
    </w:p>
    <w:p w14:paraId="272F8ED7" w14:textId="77777777" w:rsidR="0052346D" w:rsidRDefault="0052346D">
      <w:pPr>
        <w:spacing w:line="240" w:lineRule="auto"/>
        <w:ind w:right="-29"/>
        <w:rPr>
          <w:szCs w:val="22"/>
          <w:lang w:val="lt-LT"/>
        </w:rPr>
      </w:pPr>
    </w:p>
    <w:p w14:paraId="66879A88" w14:textId="77777777" w:rsidR="0052346D" w:rsidRDefault="005A1771">
      <w:pPr>
        <w:spacing w:line="240" w:lineRule="auto"/>
        <w:ind w:right="-29"/>
        <w:rPr>
          <w:rFonts w:eastAsia="Segoe UI Emoji"/>
          <w:b/>
          <w:bCs/>
          <w:szCs w:val="22"/>
          <w:lang w:val="lt-LT"/>
        </w:rPr>
      </w:pPr>
      <w:r>
        <w:rPr>
          <w:b/>
          <w:bCs/>
          <w:szCs w:val="22"/>
          <w:lang w:val="lt-LT"/>
        </w:rPr>
        <w:t>Reti šalutinio poveikio reiškiniai (gali pasireikšti rečiau kaip 1 iš 1 000 asmenų):</w:t>
      </w:r>
    </w:p>
    <w:p w14:paraId="7B4037BB" w14:textId="77777777" w:rsidR="0052346D" w:rsidRDefault="005A1771">
      <w:pPr>
        <w:numPr>
          <w:ilvl w:val="0"/>
          <w:numId w:val="30"/>
        </w:numPr>
        <w:tabs>
          <w:tab w:val="clear" w:pos="567"/>
        </w:tabs>
        <w:spacing w:line="240" w:lineRule="auto"/>
        <w:ind w:left="567" w:right="-29" w:hanging="425"/>
        <w:rPr>
          <w:szCs w:val="22"/>
          <w:lang w:val="lt-LT"/>
        </w:rPr>
      </w:pPr>
      <w:r>
        <w:rPr>
          <w:szCs w:val="22"/>
          <w:lang w:val="lt-LT"/>
        </w:rPr>
        <w:lastRenderedPageBreak/>
        <w:t>mažas chloridų kiekis kraujyje, mažas magnio kiekis kraujyje;</w:t>
      </w:r>
    </w:p>
    <w:p w14:paraId="69A70973" w14:textId="77777777" w:rsidR="0052346D" w:rsidRDefault="005A1771">
      <w:pPr>
        <w:numPr>
          <w:ilvl w:val="0"/>
          <w:numId w:val="30"/>
        </w:numPr>
        <w:tabs>
          <w:tab w:val="clear" w:pos="567"/>
        </w:tabs>
        <w:spacing w:line="240" w:lineRule="auto"/>
        <w:ind w:left="567" w:right="-29" w:hanging="567"/>
        <w:rPr>
          <w:szCs w:val="22"/>
          <w:lang w:val="lt-LT"/>
        </w:rPr>
      </w:pPr>
      <w:r>
        <w:rPr>
          <w:szCs w:val="22"/>
          <w:lang w:val="lt-LT"/>
        </w:rPr>
        <w:t>nuovargio pojūtis, badymo ir dilgčiojimo pojūtis (parestezija);</w:t>
      </w:r>
    </w:p>
    <w:p w14:paraId="48227F2E" w14:textId="77777777" w:rsidR="0052346D" w:rsidRDefault="005A1771">
      <w:pPr>
        <w:numPr>
          <w:ilvl w:val="0"/>
          <w:numId w:val="30"/>
        </w:numPr>
        <w:tabs>
          <w:tab w:val="clear" w:pos="567"/>
        </w:tabs>
        <w:spacing w:line="240" w:lineRule="auto"/>
        <w:ind w:left="567" w:right="-29" w:hanging="567"/>
        <w:rPr>
          <w:szCs w:val="22"/>
          <w:lang w:val="lt-LT"/>
        </w:rPr>
      </w:pPr>
      <w:r>
        <w:rPr>
          <w:szCs w:val="22"/>
          <w:lang w:val="lt-LT"/>
        </w:rPr>
        <w:t>virškinimo trakto sutrikimai (pvz., pykinimas, vidurių užkietėjimas), burnos džiūvimas.</w:t>
      </w:r>
    </w:p>
    <w:p w14:paraId="6E75F1F5" w14:textId="77777777" w:rsidR="0052346D" w:rsidRDefault="0052346D">
      <w:pPr>
        <w:spacing w:line="240" w:lineRule="auto"/>
        <w:ind w:right="-29"/>
        <w:rPr>
          <w:szCs w:val="22"/>
          <w:lang w:val="lt-LT"/>
        </w:rPr>
      </w:pPr>
    </w:p>
    <w:p w14:paraId="3DD03393" w14:textId="77777777" w:rsidR="0052346D" w:rsidRDefault="005A1771">
      <w:pPr>
        <w:spacing w:line="240" w:lineRule="auto"/>
        <w:ind w:right="-29"/>
        <w:rPr>
          <w:b/>
          <w:bCs/>
          <w:szCs w:val="22"/>
          <w:lang w:val="lt-LT"/>
        </w:rPr>
      </w:pPr>
      <w:r>
        <w:rPr>
          <w:b/>
          <w:bCs/>
          <w:szCs w:val="22"/>
          <w:lang w:val="lt-LT"/>
        </w:rPr>
        <w:t>Labai reti šalutinio poveikio reiškiniai (gali pasireikšti rečiau kaip 1 iš 10 000 asmenų):</w:t>
      </w:r>
    </w:p>
    <w:p w14:paraId="775753B5" w14:textId="77777777" w:rsidR="0052346D" w:rsidRDefault="005A1771">
      <w:pPr>
        <w:numPr>
          <w:ilvl w:val="0"/>
          <w:numId w:val="30"/>
        </w:numPr>
        <w:tabs>
          <w:tab w:val="clear" w:pos="567"/>
        </w:tabs>
        <w:spacing w:line="240" w:lineRule="auto"/>
        <w:ind w:left="567" w:right="-29" w:hanging="567"/>
        <w:rPr>
          <w:szCs w:val="22"/>
          <w:lang w:val="lt-LT"/>
        </w:rPr>
      </w:pPr>
      <w:r>
        <w:rPr>
          <w:szCs w:val="22"/>
          <w:lang w:val="lt-LT"/>
        </w:rPr>
        <w:t>kraujo ląstelių pokyčiai, pavyzdžiui, trombocitopenija (trombocitų (kraujo plokštelių) skaičiaus sumažėjimas, sukeliantis lengvą kraujosruvų atsiradimą ir kraujavimą iš nosies), leukopenija, neutropenija (baltųjų kraujo ląstelių sumažėjimas, galintis sukelti neaiškių priežasčių sukeltą karščiavimą, gerklės skausmą ar kitus į gripą panašius simptomus - tokiu atveju kreipkitės į gydytoją) ir mažakraujystė (raudonųjų ląstelių sumažėjimas);</w:t>
      </w:r>
    </w:p>
    <w:p w14:paraId="6C3347A1" w14:textId="77777777" w:rsidR="0052346D" w:rsidRDefault="005A1771">
      <w:pPr>
        <w:numPr>
          <w:ilvl w:val="0"/>
          <w:numId w:val="30"/>
        </w:numPr>
        <w:tabs>
          <w:tab w:val="clear" w:pos="567"/>
        </w:tabs>
        <w:spacing w:line="240" w:lineRule="auto"/>
        <w:ind w:left="567" w:right="-29" w:hanging="567"/>
        <w:rPr>
          <w:szCs w:val="22"/>
          <w:lang w:val="lt-LT"/>
        </w:rPr>
      </w:pPr>
      <w:r>
        <w:rPr>
          <w:szCs w:val="22"/>
          <w:lang w:val="lt-LT"/>
        </w:rPr>
        <w:t>didelis kalcio kiekis kraujyje;</w:t>
      </w:r>
    </w:p>
    <w:p w14:paraId="064FD584" w14:textId="77777777" w:rsidR="0052346D" w:rsidRDefault="005A1771">
      <w:pPr>
        <w:numPr>
          <w:ilvl w:val="0"/>
          <w:numId w:val="30"/>
        </w:numPr>
        <w:tabs>
          <w:tab w:val="clear" w:pos="567"/>
        </w:tabs>
        <w:spacing w:line="240" w:lineRule="auto"/>
        <w:ind w:left="567" w:right="-29" w:hanging="567"/>
        <w:rPr>
          <w:szCs w:val="22"/>
          <w:lang w:val="lt-LT"/>
        </w:rPr>
      </w:pPr>
      <w:r>
        <w:rPr>
          <w:szCs w:val="22"/>
          <w:lang w:val="lt-LT"/>
        </w:rPr>
        <w:t>širdies ritmo sutrikimai (sukeliantys širdies plakimus, perplakimus (palpitacijos), t. y. stipraus širdies plakimo pojūtį);</w:t>
      </w:r>
    </w:p>
    <w:p w14:paraId="3FBEDD54" w14:textId="77777777" w:rsidR="0052346D" w:rsidRDefault="005A1771">
      <w:pPr>
        <w:numPr>
          <w:ilvl w:val="0"/>
          <w:numId w:val="30"/>
        </w:numPr>
        <w:tabs>
          <w:tab w:val="clear" w:pos="567"/>
        </w:tabs>
        <w:spacing w:line="240" w:lineRule="auto"/>
        <w:ind w:left="567" w:right="-29" w:hanging="567"/>
        <w:rPr>
          <w:szCs w:val="22"/>
          <w:lang w:val="lt-LT"/>
        </w:rPr>
      </w:pPr>
      <w:r>
        <w:rPr>
          <w:szCs w:val="22"/>
          <w:lang w:val="lt-LT"/>
        </w:rPr>
        <w:t>kosulys;</w:t>
      </w:r>
    </w:p>
    <w:p w14:paraId="183DB815" w14:textId="77777777" w:rsidR="0052346D" w:rsidRDefault="005A1771">
      <w:pPr>
        <w:numPr>
          <w:ilvl w:val="0"/>
          <w:numId w:val="30"/>
        </w:numPr>
        <w:tabs>
          <w:tab w:val="clear" w:pos="567"/>
        </w:tabs>
        <w:spacing w:line="240" w:lineRule="auto"/>
        <w:ind w:left="567" w:right="-29" w:hanging="567"/>
        <w:rPr>
          <w:szCs w:val="22"/>
          <w:lang w:val="lt-LT"/>
        </w:rPr>
      </w:pPr>
      <w:r>
        <w:rPr>
          <w:szCs w:val="22"/>
          <w:lang w:val="lt-LT"/>
        </w:rPr>
        <w:t>sutrikusi kepenų funkcija, kepenų fermentų aktyvumo padidėjimas, galintis turėti įtakos kai kuriems medicininiams tyrimams;</w:t>
      </w:r>
    </w:p>
    <w:p w14:paraId="12CBCBEF" w14:textId="77777777" w:rsidR="0052346D" w:rsidRDefault="005A1771">
      <w:pPr>
        <w:numPr>
          <w:ilvl w:val="0"/>
          <w:numId w:val="30"/>
        </w:numPr>
        <w:tabs>
          <w:tab w:val="clear" w:pos="567"/>
        </w:tabs>
        <w:spacing w:line="240" w:lineRule="auto"/>
        <w:ind w:left="567" w:right="-29" w:hanging="567"/>
        <w:rPr>
          <w:szCs w:val="22"/>
          <w:lang w:val="lt-LT"/>
        </w:rPr>
      </w:pPr>
      <w:r>
        <w:rPr>
          <w:szCs w:val="22"/>
          <w:lang w:val="lt-LT"/>
        </w:rPr>
        <w:t>odos išbėrimas, niežėjimas;</w:t>
      </w:r>
    </w:p>
    <w:p w14:paraId="2F5B3C2F" w14:textId="77777777" w:rsidR="0052346D" w:rsidRDefault="005A1771">
      <w:pPr>
        <w:numPr>
          <w:ilvl w:val="0"/>
          <w:numId w:val="30"/>
        </w:numPr>
        <w:tabs>
          <w:tab w:val="clear" w:pos="567"/>
        </w:tabs>
        <w:spacing w:line="240" w:lineRule="auto"/>
        <w:ind w:left="567" w:right="-29" w:hanging="567"/>
        <w:rPr>
          <w:szCs w:val="22"/>
          <w:lang w:val="lt-LT"/>
        </w:rPr>
      </w:pPr>
      <w:r>
        <w:rPr>
          <w:szCs w:val="22"/>
          <w:lang w:val="lt-LT"/>
        </w:rPr>
        <w:t>nugaros skausmas, sąnarių ir raumenų skausmas;</w:t>
      </w:r>
    </w:p>
    <w:p w14:paraId="5A209EEE" w14:textId="77777777" w:rsidR="0052346D" w:rsidRDefault="005A1771">
      <w:pPr>
        <w:numPr>
          <w:ilvl w:val="0"/>
          <w:numId w:val="30"/>
        </w:numPr>
        <w:tabs>
          <w:tab w:val="clear" w:pos="567"/>
        </w:tabs>
        <w:spacing w:line="240" w:lineRule="auto"/>
        <w:ind w:left="567" w:right="-29" w:hanging="567"/>
        <w:rPr>
          <w:szCs w:val="22"/>
          <w:lang w:val="lt-LT"/>
        </w:rPr>
      </w:pPr>
      <w:r>
        <w:rPr>
          <w:szCs w:val="22"/>
          <w:lang w:val="lt-LT"/>
        </w:rPr>
        <w:t>inkstų liga (sukelianti nuovargio, padidėjusio poreikio šlapintis, odos niežėjimo, blogos bendrosios savijautos, galūnių patinimo simptomus);</w:t>
      </w:r>
    </w:p>
    <w:p w14:paraId="307DF1B8" w14:textId="0B18388B" w:rsidR="0052346D" w:rsidRDefault="005A1771">
      <w:pPr>
        <w:numPr>
          <w:ilvl w:val="0"/>
          <w:numId w:val="30"/>
        </w:numPr>
        <w:tabs>
          <w:tab w:val="clear" w:pos="567"/>
        </w:tabs>
        <w:spacing w:line="240" w:lineRule="auto"/>
        <w:ind w:left="567" w:right="-29" w:hanging="567"/>
        <w:rPr>
          <w:szCs w:val="22"/>
          <w:lang w:val="lt-LT"/>
        </w:rPr>
      </w:pPr>
      <w:r>
        <w:rPr>
          <w:szCs w:val="22"/>
          <w:lang w:val="lt-LT"/>
        </w:rPr>
        <w:t>žarnyno angioneurozinė edema: tinimas žarnyne, pasireiškiantis tokiais simptomais kaip pilvo skausmas, pykinimas, vėmimas ir viduriavimas.</w:t>
      </w:r>
    </w:p>
    <w:p w14:paraId="6AAEF0D7" w14:textId="77777777" w:rsidR="0052346D" w:rsidRDefault="0052346D">
      <w:pPr>
        <w:spacing w:line="240" w:lineRule="auto"/>
        <w:ind w:right="-29"/>
        <w:rPr>
          <w:szCs w:val="22"/>
          <w:lang w:val="lt-LT"/>
        </w:rPr>
      </w:pPr>
    </w:p>
    <w:p w14:paraId="545A4F81" w14:textId="77777777" w:rsidR="0052346D" w:rsidRDefault="005A1771">
      <w:pPr>
        <w:spacing w:line="240" w:lineRule="auto"/>
        <w:ind w:right="-29"/>
        <w:rPr>
          <w:b/>
          <w:bCs/>
          <w:szCs w:val="22"/>
          <w:lang w:val="lt-LT"/>
        </w:rPr>
      </w:pPr>
      <w:r>
        <w:rPr>
          <w:b/>
          <w:bCs/>
          <w:szCs w:val="22"/>
          <w:lang w:val="lt-LT"/>
        </w:rPr>
        <w:t>Šalutinio poveikio reiškiniai, kurių dažnis nežinomas (negali būti apskaičiuotas pagal turimus duomenis):</w:t>
      </w:r>
    </w:p>
    <w:p w14:paraId="27A8FB2E" w14:textId="77777777" w:rsidR="0052346D" w:rsidRDefault="005A1771">
      <w:pPr>
        <w:numPr>
          <w:ilvl w:val="0"/>
          <w:numId w:val="30"/>
        </w:numPr>
        <w:tabs>
          <w:tab w:val="clear" w:pos="567"/>
        </w:tabs>
        <w:spacing w:line="240" w:lineRule="auto"/>
        <w:ind w:left="567" w:right="-29" w:hanging="425"/>
        <w:rPr>
          <w:szCs w:val="22"/>
          <w:lang w:val="lt-LT"/>
        </w:rPr>
      </w:pPr>
      <w:r>
        <w:rPr>
          <w:szCs w:val="22"/>
          <w:lang w:val="lt-LT"/>
        </w:rPr>
        <w:t>apalpimas;</w:t>
      </w:r>
    </w:p>
    <w:p w14:paraId="18B8DC18" w14:textId="77777777" w:rsidR="0052346D" w:rsidRDefault="005A1771">
      <w:pPr>
        <w:numPr>
          <w:ilvl w:val="0"/>
          <w:numId w:val="30"/>
        </w:numPr>
        <w:tabs>
          <w:tab w:val="clear" w:pos="567"/>
        </w:tabs>
        <w:spacing w:line="240" w:lineRule="auto"/>
        <w:ind w:left="567" w:right="-29" w:hanging="425"/>
        <w:rPr>
          <w:szCs w:val="22"/>
          <w:lang w:val="lt-LT"/>
        </w:rPr>
      </w:pPr>
      <w:r>
        <w:rPr>
          <w:szCs w:val="22"/>
          <w:lang w:val="lt-LT"/>
        </w:rPr>
        <w:t>regėjimo susilpnėjimas, skausmas akyse dėl didelio spaudimo (galimi skysčio kaupimosi akies kraujagysliniame sluoksnyje (tarp gyslainės ir odenos) arba ūminės uždaro kampo glaukomos požymiai);</w:t>
      </w:r>
    </w:p>
    <w:p w14:paraId="06E04A08" w14:textId="77777777" w:rsidR="0052346D" w:rsidRDefault="005A1771">
      <w:pPr>
        <w:numPr>
          <w:ilvl w:val="0"/>
          <w:numId w:val="30"/>
        </w:numPr>
        <w:tabs>
          <w:tab w:val="clear" w:pos="567"/>
        </w:tabs>
        <w:spacing w:line="240" w:lineRule="auto"/>
        <w:ind w:left="567" w:right="-29" w:hanging="425"/>
        <w:rPr>
          <w:szCs w:val="22"/>
          <w:lang w:val="lt-LT"/>
        </w:rPr>
      </w:pPr>
      <w:r>
        <w:rPr>
          <w:szCs w:val="22"/>
          <w:lang w:val="lt-LT"/>
        </w:rPr>
        <w:t>viduriavimas;</w:t>
      </w:r>
    </w:p>
    <w:p w14:paraId="6584C90E" w14:textId="77777777" w:rsidR="0052346D" w:rsidRDefault="005A1771">
      <w:pPr>
        <w:numPr>
          <w:ilvl w:val="0"/>
          <w:numId w:val="30"/>
        </w:numPr>
        <w:tabs>
          <w:tab w:val="clear" w:pos="567"/>
        </w:tabs>
        <w:spacing w:line="240" w:lineRule="auto"/>
        <w:ind w:left="567" w:right="-29" w:hanging="425"/>
        <w:rPr>
          <w:szCs w:val="22"/>
          <w:lang w:val="lt-LT"/>
        </w:rPr>
      </w:pPr>
      <w:r>
        <w:rPr>
          <w:szCs w:val="22"/>
          <w:lang w:val="lt-LT"/>
        </w:rPr>
        <w:t>jeigu sergate sistemine raudonąja vilklige (imuninės sistemos sutrikimas, sukeliantis sąnarių, sausgyslių ir organų uždegimą bei pasireiškiantis tokiais simptomais kaip odos išbėrimas, nuovargis, apetito praradimas, padidėjęs kūno svoris ir sąnarių skausmas), ji gali pasunkėti;</w:t>
      </w:r>
    </w:p>
    <w:p w14:paraId="3222081C" w14:textId="77777777" w:rsidR="0052346D" w:rsidRDefault="005A1771">
      <w:pPr>
        <w:numPr>
          <w:ilvl w:val="0"/>
          <w:numId w:val="30"/>
        </w:numPr>
        <w:tabs>
          <w:tab w:val="clear" w:pos="567"/>
        </w:tabs>
        <w:spacing w:line="240" w:lineRule="auto"/>
        <w:ind w:left="567" w:right="-29" w:hanging="425"/>
        <w:rPr>
          <w:szCs w:val="22"/>
          <w:lang w:val="lt-LT"/>
        </w:rPr>
      </w:pPr>
      <w:r>
        <w:rPr>
          <w:szCs w:val="22"/>
          <w:lang w:val="lt-LT"/>
        </w:rPr>
        <w:t>pranešta apie padidėjusio jautrumo šviesai reakcijas (odos išvaizdos pokyčiai) po saulės arba dirbtinių UV spindulių poveikio atvejus;</w:t>
      </w:r>
    </w:p>
    <w:p w14:paraId="5E9DF4D5" w14:textId="77777777" w:rsidR="0052346D" w:rsidRDefault="005A1771">
      <w:pPr>
        <w:numPr>
          <w:ilvl w:val="0"/>
          <w:numId w:val="30"/>
        </w:numPr>
        <w:tabs>
          <w:tab w:val="clear" w:pos="567"/>
        </w:tabs>
        <w:spacing w:line="240" w:lineRule="auto"/>
        <w:ind w:left="567" w:right="-29" w:hanging="425"/>
        <w:rPr>
          <w:szCs w:val="22"/>
          <w:lang w:val="lt-LT"/>
        </w:rPr>
      </w:pPr>
      <w:r>
        <w:rPr>
          <w:szCs w:val="22"/>
          <w:lang w:val="lt-LT"/>
        </w:rPr>
        <w:t>raumenų mėšlungis, raumenų silpnumas;</w:t>
      </w:r>
    </w:p>
    <w:p w14:paraId="6CC68756" w14:textId="77777777" w:rsidR="0052346D" w:rsidRDefault="005A1771">
      <w:pPr>
        <w:numPr>
          <w:ilvl w:val="0"/>
          <w:numId w:val="30"/>
        </w:numPr>
        <w:tabs>
          <w:tab w:val="clear" w:pos="567"/>
        </w:tabs>
        <w:spacing w:line="240" w:lineRule="auto"/>
        <w:ind w:left="567" w:right="-29" w:hanging="425"/>
        <w:rPr>
          <w:szCs w:val="22"/>
          <w:lang w:val="lt-LT"/>
        </w:rPr>
      </w:pPr>
      <w:r>
        <w:rPr>
          <w:szCs w:val="22"/>
          <w:lang w:val="lt-LT"/>
        </w:rPr>
        <w:t>nenormali širdies elektrokardiograma (EKG);</w:t>
      </w:r>
    </w:p>
    <w:p w14:paraId="1742E708" w14:textId="77777777" w:rsidR="0052346D" w:rsidRDefault="005A1771">
      <w:pPr>
        <w:numPr>
          <w:ilvl w:val="0"/>
          <w:numId w:val="30"/>
        </w:numPr>
        <w:tabs>
          <w:tab w:val="clear" w:pos="567"/>
        </w:tabs>
        <w:spacing w:line="240" w:lineRule="auto"/>
        <w:ind w:left="567" w:right="-29" w:hanging="425"/>
        <w:rPr>
          <w:szCs w:val="22"/>
          <w:lang w:val="lt-LT"/>
        </w:rPr>
      </w:pPr>
      <w:r>
        <w:rPr>
          <w:szCs w:val="22"/>
          <w:lang w:val="lt-LT"/>
        </w:rPr>
        <w:t>kraujyje gali atsirasti pokyčių ir gydytojui gali tekti atlikti kraujo tyrimus, kad patikrintų Jūsų būklę. Gali atsirasti toliau išvardytų laboratorinių parametrų pokyčių:</w:t>
      </w:r>
    </w:p>
    <w:p w14:paraId="7CA5C9E3" w14:textId="77777777" w:rsidR="0052346D" w:rsidRDefault="005A1771">
      <w:pPr>
        <w:numPr>
          <w:ilvl w:val="0"/>
          <w:numId w:val="30"/>
        </w:numPr>
        <w:tabs>
          <w:tab w:val="clear" w:pos="567"/>
          <w:tab w:val="left" w:pos="1134"/>
        </w:tabs>
        <w:spacing w:line="240" w:lineRule="auto"/>
        <w:ind w:left="1134" w:right="-29" w:hanging="567"/>
        <w:rPr>
          <w:szCs w:val="22"/>
          <w:lang w:val="lt-LT"/>
        </w:rPr>
      </w:pPr>
      <w:r>
        <w:rPr>
          <w:szCs w:val="22"/>
          <w:lang w:val="lt-LT"/>
        </w:rPr>
        <w:t>šlapimo rūgšties, t. y. medžiagos, kuri gali sukelti arba pasunkinti podagrą (sąnario (-ų), ypač pėdų, skausmingumą), kiekio padidėjimas,</w:t>
      </w:r>
    </w:p>
    <w:p w14:paraId="7F3EFB34" w14:textId="77777777" w:rsidR="0052346D" w:rsidRDefault="005A1771">
      <w:pPr>
        <w:numPr>
          <w:ilvl w:val="0"/>
          <w:numId w:val="30"/>
        </w:numPr>
        <w:tabs>
          <w:tab w:val="clear" w:pos="567"/>
          <w:tab w:val="left" w:pos="1134"/>
        </w:tabs>
        <w:spacing w:line="240" w:lineRule="auto"/>
        <w:ind w:left="1134" w:right="-29" w:hanging="567"/>
        <w:rPr>
          <w:snapToGrid/>
          <w:szCs w:val="22"/>
          <w:lang w:val="lt-LT"/>
        </w:rPr>
      </w:pPr>
      <w:r>
        <w:rPr>
          <w:szCs w:val="22"/>
          <w:lang w:val="lt-LT"/>
        </w:rPr>
        <w:t>gliukozės kiekio kraujyje padidėjimas cukriniu diabetu sergantiems pacientams.</w:t>
      </w:r>
    </w:p>
    <w:p w14:paraId="2E37EFE7" w14:textId="77777777" w:rsidR="0052346D" w:rsidRDefault="0052346D">
      <w:pPr>
        <w:widowControl w:val="0"/>
        <w:tabs>
          <w:tab w:val="clear" w:pos="567"/>
          <w:tab w:val="left" w:pos="540"/>
        </w:tabs>
        <w:spacing w:line="240" w:lineRule="auto"/>
        <w:rPr>
          <w:rFonts w:eastAsia="Calibri"/>
          <w:bCs/>
          <w:snapToGrid/>
          <w:szCs w:val="22"/>
          <w:lang w:val="lt-LT"/>
        </w:rPr>
      </w:pPr>
    </w:p>
    <w:p w14:paraId="32FB4E0E" w14:textId="77777777" w:rsidR="0052346D" w:rsidRDefault="005A1771">
      <w:pPr>
        <w:widowControl w:val="0"/>
        <w:tabs>
          <w:tab w:val="clear" w:pos="567"/>
          <w:tab w:val="left" w:pos="540"/>
        </w:tabs>
        <w:spacing w:line="240" w:lineRule="auto"/>
        <w:rPr>
          <w:rFonts w:eastAsia="Calibri"/>
          <w:b/>
          <w:snapToGrid/>
          <w:szCs w:val="22"/>
          <w:lang w:val="lt-LT"/>
        </w:rPr>
      </w:pPr>
      <w:r>
        <w:rPr>
          <w:rFonts w:eastAsia="Calibri"/>
          <w:b/>
          <w:snapToGrid/>
          <w:szCs w:val="22"/>
          <w:lang w:val="lt-LT"/>
        </w:rPr>
        <w:t>Pranešimas apie šalutinį poveikį</w:t>
      </w:r>
    </w:p>
    <w:p w14:paraId="6DEE4075" w14:textId="77777777" w:rsidR="0052346D" w:rsidRDefault="005A1771">
      <w:pPr>
        <w:widowControl w:val="0"/>
        <w:tabs>
          <w:tab w:val="clear" w:pos="567"/>
          <w:tab w:val="left" w:pos="540"/>
        </w:tabs>
        <w:spacing w:line="240" w:lineRule="auto"/>
        <w:rPr>
          <w:rFonts w:eastAsia="Calibri"/>
          <w:snapToGrid/>
          <w:szCs w:val="22"/>
          <w:lang w:val="lt-LT"/>
        </w:rPr>
      </w:pPr>
      <w:r>
        <w:rPr>
          <w:rFonts w:eastAsia="Calibri"/>
          <w:snapToGrid/>
          <w:szCs w:val="22"/>
          <w:lang w:val="lt-LT"/>
        </w:rPr>
        <w:t xml:space="preserve">Jeigu pasireiškė šalutinis poveikis, įskaitant šiame lapelyje nenurodytą, pasakykite gydytojui arba vaistininkui. </w:t>
      </w:r>
      <w:r>
        <w:rPr>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val="lt-LT" w:eastAsia="lt-LT"/>
        </w:rPr>
        <w:t>https://vvkt.lrv.lt/lt/</w:t>
      </w:r>
      <w:r>
        <w:rPr>
          <w:szCs w:val="22"/>
          <w:lang w:val="lt-LT" w:eastAsia="lt-LT"/>
        </w:rPr>
        <w:t xml:space="preserve"> nurodytais būdais arba paskambinti nemokamu telefonu 8 800 73 568. Pranešdami apie šalutinį poveikį galite mums padėti gauti daugiau informacijos apie šio vaisto saugumą</w:t>
      </w:r>
      <w:r>
        <w:rPr>
          <w:szCs w:val="22"/>
          <w:lang w:val="lt-LT"/>
        </w:rPr>
        <w:t>.</w:t>
      </w:r>
    </w:p>
    <w:p w14:paraId="682BAC62" w14:textId="77777777" w:rsidR="0052346D" w:rsidRDefault="0052346D">
      <w:pPr>
        <w:widowControl w:val="0"/>
        <w:numPr>
          <w:ilvl w:val="12"/>
          <w:numId w:val="0"/>
        </w:numPr>
        <w:tabs>
          <w:tab w:val="clear" w:pos="567"/>
        </w:tabs>
        <w:spacing w:line="240" w:lineRule="auto"/>
        <w:ind w:right="-2"/>
        <w:rPr>
          <w:snapToGrid/>
          <w:szCs w:val="22"/>
          <w:lang w:val="lt-LT"/>
        </w:rPr>
      </w:pPr>
    </w:p>
    <w:p w14:paraId="6E810A62" w14:textId="77777777" w:rsidR="0052346D" w:rsidRDefault="0052346D">
      <w:pPr>
        <w:widowControl w:val="0"/>
        <w:numPr>
          <w:ilvl w:val="12"/>
          <w:numId w:val="0"/>
        </w:numPr>
        <w:tabs>
          <w:tab w:val="clear" w:pos="567"/>
        </w:tabs>
        <w:spacing w:line="240" w:lineRule="auto"/>
        <w:ind w:right="-2"/>
        <w:rPr>
          <w:snapToGrid/>
          <w:szCs w:val="22"/>
          <w:lang w:val="lt-LT"/>
        </w:rPr>
      </w:pPr>
    </w:p>
    <w:p w14:paraId="6778492F" w14:textId="77777777" w:rsidR="0052346D" w:rsidRDefault="005A1771">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5.</w:t>
      </w:r>
      <w:r>
        <w:rPr>
          <w:b/>
          <w:snapToGrid/>
          <w:szCs w:val="22"/>
          <w:lang w:val="lt-LT"/>
        </w:rPr>
        <w:tab/>
        <w:t>Kaip laikyti Kanpiduo</w:t>
      </w:r>
    </w:p>
    <w:p w14:paraId="0C9C8C62" w14:textId="77777777" w:rsidR="0052346D" w:rsidRDefault="0052346D">
      <w:pPr>
        <w:widowControl w:val="0"/>
        <w:tabs>
          <w:tab w:val="clear" w:pos="567"/>
        </w:tabs>
        <w:spacing w:line="240" w:lineRule="auto"/>
        <w:rPr>
          <w:i/>
          <w:snapToGrid/>
          <w:szCs w:val="22"/>
          <w:lang w:val="lt-LT"/>
        </w:rPr>
      </w:pPr>
    </w:p>
    <w:p w14:paraId="6CC24C30" w14:textId="77777777" w:rsidR="0052346D" w:rsidRDefault="005A1771">
      <w:pPr>
        <w:widowControl w:val="0"/>
        <w:numPr>
          <w:ilvl w:val="12"/>
          <w:numId w:val="0"/>
        </w:numPr>
        <w:tabs>
          <w:tab w:val="clear" w:pos="567"/>
        </w:tabs>
        <w:spacing w:line="240" w:lineRule="auto"/>
        <w:ind w:right="-2"/>
        <w:rPr>
          <w:snapToGrid/>
          <w:szCs w:val="22"/>
          <w:lang w:val="lt-LT"/>
        </w:rPr>
      </w:pPr>
      <w:r>
        <w:rPr>
          <w:snapToGrid/>
          <w:szCs w:val="22"/>
          <w:lang w:val="lt-LT"/>
        </w:rPr>
        <w:t>Šį vaistą laikykite vaikams nepastebimoje ir nepasiekiamoje vietoje.</w:t>
      </w:r>
    </w:p>
    <w:p w14:paraId="74F1BD4D" w14:textId="77777777" w:rsidR="0052346D" w:rsidRDefault="0052346D">
      <w:pPr>
        <w:widowControl w:val="0"/>
        <w:numPr>
          <w:ilvl w:val="12"/>
          <w:numId w:val="0"/>
        </w:numPr>
        <w:tabs>
          <w:tab w:val="clear" w:pos="567"/>
        </w:tabs>
        <w:spacing w:line="240" w:lineRule="auto"/>
        <w:ind w:right="-2"/>
        <w:rPr>
          <w:snapToGrid/>
          <w:szCs w:val="22"/>
          <w:lang w:val="lt-LT"/>
        </w:rPr>
      </w:pPr>
    </w:p>
    <w:p w14:paraId="78F83A84" w14:textId="77777777" w:rsidR="0052346D" w:rsidRDefault="005A1771">
      <w:pPr>
        <w:widowControl w:val="0"/>
        <w:tabs>
          <w:tab w:val="clear" w:pos="567"/>
        </w:tabs>
        <w:spacing w:line="240" w:lineRule="auto"/>
        <w:rPr>
          <w:iCs/>
          <w:snapToGrid/>
          <w:szCs w:val="22"/>
          <w:lang w:val="lt-LT"/>
        </w:rPr>
      </w:pPr>
      <w:r>
        <w:rPr>
          <w:iCs/>
          <w:snapToGrid/>
          <w:szCs w:val="22"/>
          <w:lang w:val="lt-LT"/>
        </w:rPr>
        <w:t>Ant lizdinės plokštelės ir dėžutės po „EXP“ nurodytam tinkamumo laikui pasibaigus, šio vaisto vartoti negalima. Vaistas tinkamas vartoti iki paskutinės nurodyto mėnesio dienos.</w:t>
      </w:r>
    </w:p>
    <w:p w14:paraId="65E9CA6B" w14:textId="77777777" w:rsidR="0052346D" w:rsidRDefault="0052346D">
      <w:pPr>
        <w:widowControl w:val="0"/>
        <w:numPr>
          <w:ilvl w:val="12"/>
          <w:numId w:val="0"/>
        </w:numPr>
        <w:tabs>
          <w:tab w:val="clear" w:pos="567"/>
        </w:tabs>
        <w:spacing w:line="240" w:lineRule="auto"/>
        <w:ind w:right="-2"/>
        <w:rPr>
          <w:snapToGrid/>
          <w:szCs w:val="22"/>
          <w:lang w:val="lt-LT"/>
        </w:rPr>
      </w:pPr>
    </w:p>
    <w:p w14:paraId="55075D6F" w14:textId="77777777" w:rsidR="0052346D" w:rsidRDefault="005A1771">
      <w:pPr>
        <w:tabs>
          <w:tab w:val="clear" w:pos="567"/>
        </w:tabs>
        <w:spacing w:line="240" w:lineRule="auto"/>
        <w:rPr>
          <w:snapToGrid/>
          <w:szCs w:val="22"/>
          <w:lang w:val="lt-LT"/>
        </w:rPr>
      </w:pPr>
      <w:r>
        <w:rPr>
          <w:snapToGrid/>
          <w:szCs w:val="22"/>
          <w:lang w:val="lt-LT"/>
        </w:rPr>
        <w:t>Laikyti ne aukštesnėje kaip 30 ºC temperatūroje.</w:t>
      </w:r>
    </w:p>
    <w:p w14:paraId="1698611D" w14:textId="77777777" w:rsidR="0052346D" w:rsidRDefault="005A1771">
      <w:pPr>
        <w:widowControl w:val="0"/>
        <w:tabs>
          <w:tab w:val="clear" w:pos="567"/>
        </w:tabs>
        <w:spacing w:line="240" w:lineRule="auto"/>
        <w:rPr>
          <w:rFonts w:eastAsia="TimesNewRoman"/>
          <w:snapToGrid/>
          <w:szCs w:val="22"/>
          <w:lang w:val="lt-LT"/>
        </w:rPr>
      </w:pPr>
      <w:r>
        <w:rPr>
          <w:rFonts w:eastAsia="TimesNewRoman"/>
          <w:snapToGrid/>
          <w:szCs w:val="22"/>
          <w:lang w:val="lt-LT"/>
        </w:rPr>
        <w:t>Lizdines plokšteles laikyti išorinėje dėžutėje, kad vaistas būtų apsaugotas nuo drėgmės ir šviesos.</w:t>
      </w:r>
    </w:p>
    <w:p w14:paraId="6ED25DB0" w14:textId="77777777" w:rsidR="0052346D" w:rsidRDefault="0052346D">
      <w:pPr>
        <w:widowControl w:val="0"/>
        <w:tabs>
          <w:tab w:val="clear" w:pos="567"/>
        </w:tabs>
        <w:spacing w:line="240" w:lineRule="auto"/>
        <w:rPr>
          <w:rFonts w:eastAsia="TimesNewRoman"/>
          <w:snapToGrid/>
          <w:szCs w:val="22"/>
          <w:lang w:val="lt-LT"/>
        </w:rPr>
      </w:pPr>
    </w:p>
    <w:p w14:paraId="17612612" w14:textId="77777777" w:rsidR="0052346D" w:rsidRDefault="005A1771">
      <w:pPr>
        <w:widowControl w:val="0"/>
        <w:numPr>
          <w:ilvl w:val="12"/>
          <w:numId w:val="0"/>
        </w:numPr>
        <w:tabs>
          <w:tab w:val="clear" w:pos="567"/>
        </w:tabs>
        <w:spacing w:line="240" w:lineRule="auto"/>
        <w:ind w:right="-2"/>
        <w:rPr>
          <w:snapToGrid/>
          <w:szCs w:val="22"/>
          <w:lang w:val="lt-LT"/>
        </w:rPr>
      </w:pPr>
      <w:r>
        <w:rPr>
          <w:snapToGrid/>
          <w:szCs w:val="22"/>
          <w:lang w:val="lt-LT"/>
        </w:rPr>
        <w:t>Vaistų negalima išmesti į kanalizaciją arba su buitinėmis</w:t>
      </w:r>
      <w:r>
        <w:rPr>
          <w:snapToGrid/>
          <w:color w:val="993366"/>
          <w:szCs w:val="22"/>
          <w:lang w:val="lt-LT"/>
        </w:rPr>
        <w:t xml:space="preserve"> </w:t>
      </w:r>
      <w:r>
        <w:rPr>
          <w:snapToGrid/>
          <w:szCs w:val="22"/>
          <w:lang w:val="lt-LT"/>
        </w:rPr>
        <w:t>atliekomis. Kaip išmesti nereikalingus vaistus, klauskite vaistininko. Šios priemonės padės apsaugoti aplinką.</w:t>
      </w:r>
    </w:p>
    <w:p w14:paraId="04FE4135" w14:textId="77777777" w:rsidR="0052346D" w:rsidRDefault="0052346D">
      <w:pPr>
        <w:widowControl w:val="0"/>
        <w:numPr>
          <w:ilvl w:val="12"/>
          <w:numId w:val="0"/>
        </w:numPr>
        <w:tabs>
          <w:tab w:val="clear" w:pos="567"/>
        </w:tabs>
        <w:spacing w:line="240" w:lineRule="auto"/>
        <w:ind w:right="-2"/>
        <w:rPr>
          <w:snapToGrid/>
          <w:szCs w:val="22"/>
          <w:lang w:val="lt-LT"/>
        </w:rPr>
      </w:pPr>
    </w:p>
    <w:p w14:paraId="2918385E" w14:textId="77777777" w:rsidR="0052346D" w:rsidRDefault="0052346D">
      <w:pPr>
        <w:widowControl w:val="0"/>
        <w:numPr>
          <w:ilvl w:val="12"/>
          <w:numId w:val="0"/>
        </w:numPr>
        <w:tabs>
          <w:tab w:val="clear" w:pos="567"/>
        </w:tabs>
        <w:spacing w:line="240" w:lineRule="auto"/>
        <w:ind w:right="-2"/>
        <w:rPr>
          <w:snapToGrid/>
          <w:szCs w:val="22"/>
          <w:lang w:val="lt-LT"/>
        </w:rPr>
      </w:pPr>
    </w:p>
    <w:p w14:paraId="213724C6" w14:textId="77777777" w:rsidR="0052346D" w:rsidRDefault="005A1771">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6.</w:t>
      </w:r>
      <w:r>
        <w:rPr>
          <w:b/>
          <w:snapToGrid/>
          <w:szCs w:val="22"/>
          <w:lang w:val="lt-LT"/>
        </w:rPr>
        <w:tab/>
        <w:t>Pakuotės turinys ir kita informacija</w:t>
      </w:r>
    </w:p>
    <w:p w14:paraId="5B8A835D" w14:textId="77777777" w:rsidR="0052346D" w:rsidRDefault="0052346D">
      <w:pPr>
        <w:widowControl w:val="0"/>
        <w:numPr>
          <w:ilvl w:val="12"/>
          <w:numId w:val="0"/>
        </w:numPr>
        <w:tabs>
          <w:tab w:val="clear" w:pos="567"/>
        </w:tabs>
        <w:spacing w:line="240" w:lineRule="auto"/>
        <w:rPr>
          <w:snapToGrid/>
          <w:szCs w:val="22"/>
          <w:lang w:val="lt-LT"/>
        </w:rPr>
      </w:pPr>
    </w:p>
    <w:p w14:paraId="6BDE72E8" w14:textId="77777777" w:rsidR="0052346D" w:rsidRDefault="005A1771">
      <w:pPr>
        <w:widowControl w:val="0"/>
        <w:numPr>
          <w:ilvl w:val="12"/>
          <w:numId w:val="0"/>
        </w:numPr>
        <w:tabs>
          <w:tab w:val="clear" w:pos="567"/>
        </w:tabs>
        <w:spacing w:line="240" w:lineRule="auto"/>
        <w:rPr>
          <w:snapToGrid/>
          <w:szCs w:val="22"/>
          <w:u w:val="single"/>
          <w:lang w:val="lt-LT"/>
        </w:rPr>
      </w:pPr>
      <w:r>
        <w:rPr>
          <w:b/>
          <w:bCs/>
          <w:snapToGrid/>
          <w:szCs w:val="22"/>
          <w:lang w:val="lt-LT"/>
        </w:rPr>
        <w:t>Kanpiduo sudėtis</w:t>
      </w:r>
    </w:p>
    <w:p w14:paraId="4FEB0C3E" w14:textId="77777777" w:rsidR="0052346D" w:rsidRDefault="005A1771">
      <w:pPr>
        <w:widowControl w:val="0"/>
        <w:numPr>
          <w:ilvl w:val="0"/>
          <w:numId w:val="38"/>
        </w:numPr>
        <w:tabs>
          <w:tab w:val="clear" w:pos="567"/>
        </w:tabs>
        <w:autoSpaceDE w:val="0"/>
        <w:autoSpaceDN w:val="0"/>
        <w:adjustRightInd w:val="0"/>
        <w:spacing w:line="240" w:lineRule="auto"/>
        <w:ind w:left="567" w:hanging="567"/>
        <w:rPr>
          <w:rFonts w:eastAsia="TimesNewRoman"/>
          <w:snapToGrid/>
          <w:szCs w:val="22"/>
          <w:lang w:val="lt-LT"/>
        </w:rPr>
      </w:pPr>
      <w:r>
        <w:rPr>
          <w:snapToGrid/>
          <w:szCs w:val="22"/>
          <w:lang w:val="lt-LT"/>
        </w:rPr>
        <w:t xml:space="preserve">Veikliosios medžiagos </w:t>
      </w:r>
      <w:r>
        <w:rPr>
          <w:rFonts w:eastAsia="TimesNewRoman"/>
          <w:snapToGrid/>
          <w:szCs w:val="22"/>
          <w:lang w:val="lt-LT"/>
        </w:rPr>
        <w:t xml:space="preserve">yra kandesartano </w:t>
      </w:r>
      <w:r>
        <w:rPr>
          <w:snapToGrid/>
          <w:szCs w:val="22"/>
          <w:lang w:val="lt-LT"/>
        </w:rPr>
        <w:t>cileksetilas</w:t>
      </w:r>
      <w:r>
        <w:rPr>
          <w:rFonts w:eastAsia="TimesNewRoman"/>
          <w:snapToGrid/>
          <w:szCs w:val="22"/>
          <w:lang w:val="lt-LT"/>
        </w:rPr>
        <w:t xml:space="preserve"> ir indapamidas.</w:t>
      </w:r>
    </w:p>
    <w:p w14:paraId="074177F9" w14:textId="77777777" w:rsidR="0052346D" w:rsidRDefault="005A1771">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 xml:space="preserve">Kiekvienoje tabletėje yra </w:t>
      </w:r>
      <w:r>
        <w:rPr>
          <w:snapToGrid/>
          <w:szCs w:val="22"/>
          <w:lang w:val="lt-LT"/>
        </w:rPr>
        <w:t>8 mg kandesartano cileksetilo ir 2,5 mg indapamido</w:t>
      </w:r>
      <w:r>
        <w:rPr>
          <w:rFonts w:eastAsia="TimesNewRoman"/>
          <w:snapToGrid/>
          <w:szCs w:val="22"/>
          <w:lang w:val="lt-LT"/>
        </w:rPr>
        <w:t>.</w:t>
      </w:r>
    </w:p>
    <w:p w14:paraId="75A44FF0" w14:textId="77777777" w:rsidR="0052346D" w:rsidRDefault="005A1771">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 xml:space="preserve">Kiekvienoje tabletėje yra </w:t>
      </w:r>
      <w:r>
        <w:rPr>
          <w:snapToGrid/>
          <w:szCs w:val="22"/>
          <w:lang w:val="lt-LT"/>
        </w:rPr>
        <w:t>16 mg kandesartano cileksetilo ir 2,5 mg indapamido</w:t>
      </w:r>
      <w:r>
        <w:rPr>
          <w:rFonts w:eastAsia="TimesNewRoman"/>
          <w:snapToGrid/>
          <w:szCs w:val="22"/>
          <w:lang w:val="lt-LT"/>
        </w:rPr>
        <w:t>.</w:t>
      </w:r>
    </w:p>
    <w:p w14:paraId="3B9BAB24" w14:textId="77777777" w:rsidR="0052346D" w:rsidRDefault="005A1771">
      <w:pPr>
        <w:widowControl w:val="0"/>
        <w:numPr>
          <w:ilvl w:val="0"/>
          <w:numId w:val="38"/>
        </w:numPr>
        <w:tabs>
          <w:tab w:val="clear" w:pos="567"/>
        </w:tabs>
        <w:autoSpaceDE w:val="0"/>
        <w:autoSpaceDN w:val="0"/>
        <w:adjustRightInd w:val="0"/>
        <w:spacing w:line="240" w:lineRule="auto"/>
        <w:ind w:left="567" w:hanging="567"/>
        <w:rPr>
          <w:rFonts w:eastAsia="TimesNewRoman"/>
          <w:snapToGrid/>
          <w:szCs w:val="22"/>
          <w:lang w:val="lt-LT"/>
        </w:rPr>
      </w:pPr>
      <w:r>
        <w:rPr>
          <w:snapToGrid/>
          <w:szCs w:val="22"/>
          <w:lang w:val="lt-LT"/>
        </w:rPr>
        <w:t xml:space="preserve">Pagalbinės medžiagos yra makrogolis 8 000, hidroksipropilceliuliozė, laktozė monohidratas, kukurūzų krakmolas, karmeliozės kalcio druska, bevandenis koloidinis silicio dioksidas, mikrokristalinė celiuliozė, magnio stearatas, raudonasis geležies oksidas (E172) - </w:t>
      </w:r>
      <w:r>
        <w:rPr>
          <w:i/>
          <w:iCs/>
          <w:snapToGrid/>
          <w:szCs w:val="22"/>
          <w:lang w:val="lt-LT"/>
        </w:rPr>
        <w:t>tik 16 mg/2,5 mg tabletėse</w:t>
      </w:r>
      <w:r>
        <w:rPr>
          <w:snapToGrid/>
          <w:szCs w:val="22"/>
          <w:lang w:val="lt-LT"/>
        </w:rPr>
        <w:t>. Žr. 2 skyrių „Kanpiduo sudėtyje yra laktozės“.</w:t>
      </w:r>
    </w:p>
    <w:p w14:paraId="5E014EC8" w14:textId="77777777" w:rsidR="0052346D" w:rsidRDefault="0052346D">
      <w:pPr>
        <w:widowControl w:val="0"/>
        <w:tabs>
          <w:tab w:val="clear" w:pos="567"/>
        </w:tabs>
        <w:spacing w:line="240" w:lineRule="auto"/>
        <w:ind w:right="-2"/>
        <w:rPr>
          <w:snapToGrid/>
          <w:szCs w:val="22"/>
          <w:lang w:val="lt-LT"/>
        </w:rPr>
      </w:pPr>
    </w:p>
    <w:p w14:paraId="73382C2A" w14:textId="77777777" w:rsidR="0052346D" w:rsidRDefault="005A1771">
      <w:pPr>
        <w:widowControl w:val="0"/>
        <w:numPr>
          <w:ilvl w:val="12"/>
          <w:numId w:val="0"/>
        </w:numPr>
        <w:tabs>
          <w:tab w:val="clear" w:pos="567"/>
        </w:tabs>
        <w:spacing w:line="240" w:lineRule="auto"/>
        <w:rPr>
          <w:b/>
          <w:bCs/>
          <w:snapToGrid/>
          <w:szCs w:val="22"/>
          <w:lang w:val="lt-LT"/>
        </w:rPr>
      </w:pPr>
      <w:r>
        <w:rPr>
          <w:b/>
          <w:bCs/>
          <w:snapToGrid/>
          <w:szCs w:val="22"/>
          <w:lang w:val="lt-LT"/>
        </w:rPr>
        <w:t>Kanpiduo išvaizda ir kiekis pakuotėje</w:t>
      </w:r>
    </w:p>
    <w:p w14:paraId="4D033B79" w14:textId="77777777" w:rsidR="0052346D" w:rsidRDefault="0052346D">
      <w:pPr>
        <w:widowControl w:val="0"/>
        <w:numPr>
          <w:ilvl w:val="12"/>
          <w:numId w:val="0"/>
        </w:numPr>
        <w:tabs>
          <w:tab w:val="clear" w:pos="567"/>
        </w:tabs>
        <w:spacing w:line="240" w:lineRule="auto"/>
        <w:rPr>
          <w:snapToGrid/>
          <w:szCs w:val="22"/>
          <w:lang w:val="lt-LT"/>
        </w:rPr>
      </w:pPr>
    </w:p>
    <w:p w14:paraId="100D604F" w14:textId="77777777" w:rsidR="0052346D" w:rsidRDefault="005A1771">
      <w:pPr>
        <w:widowControl w:val="0"/>
        <w:spacing w:line="240" w:lineRule="auto"/>
        <w:rPr>
          <w:snapToGrid/>
          <w:szCs w:val="22"/>
          <w:lang w:val="lt-LT"/>
        </w:rPr>
      </w:pPr>
      <w:r>
        <w:rPr>
          <w:snapToGrid/>
          <w:szCs w:val="22"/>
          <w:lang w:val="lt-LT"/>
        </w:rPr>
        <w:t>8 mg/2,5 mg tabletės: baltos arba beveik baltos, apvalios, abipus išgaubtos tabletės, vienoje pusėje yra žyma CI1. Tabletės skersmuo 7 mm.</w:t>
      </w:r>
    </w:p>
    <w:p w14:paraId="6C3477E2" w14:textId="77777777" w:rsidR="0052346D" w:rsidRDefault="005A1771">
      <w:pPr>
        <w:widowControl w:val="0"/>
        <w:spacing w:line="240" w:lineRule="auto"/>
        <w:rPr>
          <w:snapToGrid/>
          <w:szCs w:val="22"/>
          <w:lang w:val="lt-LT"/>
        </w:rPr>
      </w:pPr>
      <w:r>
        <w:rPr>
          <w:snapToGrid/>
          <w:szCs w:val="22"/>
          <w:lang w:val="lt-LT"/>
        </w:rPr>
        <w:t>16 mg/2,5 mg tabletės: šviesiai rausvos, taškuotos, apvalios, abipus išgaubtos tabletės, vienoje pusėje yra žyma CI2. Tabletės skersmuo 7 mm.</w:t>
      </w:r>
    </w:p>
    <w:p w14:paraId="33E81A5B" w14:textId="77777777" w:rsidR="0052346D" w:rsidRDefault="0052346D">
      <w:pPr>
        <w:widowControl w:val="0"/>
        <w:tabs>
          <w:tab w:val="clear" w:pos="567"/>
        </w:tabs>
        <w:autoSpaceDE w:val="0"/>
        <w:autoSpaceDN w:val="0"/>
        <w:adjustRightInd w:val="0"/>
        <w:spacing w:line="240" w:lineRule="auto"/>
        <w:rPr>
          <w:rFonts w:eastAsia="TimesNewRoman"/>
          <w:snapToGrid/>
          <w:szCs w:val="22"/>
          <w:lang w:val="lt-LT"/>
        </w:rPr>
      </w:pPr>
    </w:p>
    <w:p w14:paraId="6A47D545" w14:textId="77777777" w:rsidR="0052346D" w:rsidRDefault="005A1771">
      <w:pPr>
        <w:widowControl w:val="0"/>
        <w:spacing w:line="240" w:lineRule="auto"/>
        <w:rPr>
          <w:snapToGrid/>
          <w:szCs w:val="22"/>
          <w:lang w:val="lt-LT"/>
        </w:rPr>
      </w:pPr>
      <w:r>
        <w:rPr>
          <w:bCs/>
          <w:snapToGrid/>
          <w:szCs w:val="22"/>
          <w:lang w:val="lt-LT"/>
        </w:rPr>
        <w:t>Kanpiduo tiekiamas pakuotėse, kuriose yra</w:t>
      </w:r>
      <w:r>
        <w:rPr>
          <w:snapToGrid/>
          <w:szCs w:val="22"/>
          <w:lang w:val="lt-LT"/>
        </w:rPr>
        <w:t>:</w:t>
      </w:r>
    </w:p>
    <w:p w14:paraId="60CDAB74" w14:textId="77777777" w:rsidR="0052346D" w:rsidRDefault="005A1771">
      <w:pPr>
        <w:widowControl w:val="0"/>
        <w:tabs>
          <w:tab w:val="clear" w:pos="567"/>
        </w:tabs>
        <w:spacing w:line="240" w:lineRule="auto"/>
        <w:rPr>
          <w:snapToGrid/>
          <w:szCs w:val="22"/>
          <w:lang w:val="lt-LT" w:eastAsia="sl-SI"/>
        </w:rPr>
      </w:pPr>
      <w:r>
        <w:rPr>
          <w:snapToGrid/>
          <w:szCs w:val="22"/>
          <w:lang w:val="lt-LT" w:eastAsia="sl-SI"/>
        </w:rPr>
        <w:t>-</w:t>
      </w:r>
      <w:r>
        <w:rPr>
          <w:snapToGrid/>
          <w:szCs w:val="22"/>
          <w:lang w:val="lt-LT" w:eastAsia="sl-SI"/>
        </w:rPr>
        <w:tab/>
        <w:t>10, 14, 28, 30, 56, 60, 84, 90, 98 arba 100 tablečių lizdinėse plokštelėse;</w:t>
      </w:r>
    </w:p>
    <w:p w14:paraId="4D3776DA" w14:textId="77777777" w:rsidR="0052346D" w:rsidRDefault="005A1771">
      <w:pPr>
        <w:widowControl w:val="0"/>
        <w:tabs>
          <w:tab w:val="clear" w:pos="567"/>
        </w:tabs>
        <w:spacing w:line="240" w:lineRule="auto"/>
        <w:rPr>
          <w:snapToGrid/>
          <w:szCs w:val="22"/>
          <w:lang w:val="lt-LT" w:eastAsia="sl-SI"/>
        </w:rPr>
      </w:pPr>
      <w:r>
        <w:rPr>
          <w:snapToGrid/>
          <w:szCs w:val="22"/>
          <w:lang w:val="lt-LT" w:eastAsia="sl-SI"/>
        </w:rPr>
        <w:t>-</w:t>
      </w:r>
      <w:r>
        <w:rPr>
          <w:snapToGrid/>
          <w:szCs w:val="22"/>
          <w:lang w:val="lt-LT" w:eastAsia="sl-SI"/>
        </w:rPr>
        <w:tab/>
        <w:t>14, 28, 56, 84 arba 98 tablečių lizdinėse plokštelėse, kalendorinės pakuotės.</w:t>
      </w:r>
    </w:p>
    <w:p w14:paraId="63D770BF" w14:textId="77777777" w:rsidR="0052346D" w:rsidRDefault="0052346D">
      <w:pPr>
        <w:widowControl w:val="0"/>
        <w:tabs>
          <w:tab w:val="clear" w:pos="567"/>
        </w:tabs>
        <w:autoSpaceDE w:val="0"/>
        <w:autoSpaceDN w:val="0"/>
        <w:adjustRightInd w:val="0"/>
        <w:spacing w:line="240" w:lineRule="auto"/>
        <w:rPr>
          <w:rFonts w:eastAsia="TimesNewRoman"/>
          <w:snapToGrid/>
          <w:szCs w:val="22"/>
          <w:lang w:val="lt-LT"/>
        </w:rPr>
      </w:pPr>
    </w:p>
    <w:p w14:paraId="5B0D2A46" w14:textId="77777777" w:rsidR="0052346D" w:rsidRDefault="005A1771">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Gali būti tiekiamos ne visų dydžių pakuotės.</w:t>
      </w:r>
    </w:p>
    <w:p w14:paraId="231BA5EF" w14:textId="77777777" w:rsidR="0052346D" w:rsidRDefault="0052346D">
      <w:pPr>
        <w:widowControl w:val="0"/>
        <w:numPr>
          <w:ilvl w:val="12"/>
          <w:numId w:val="0"/>
        </w:numPr>
        <w:tabs>
          <w:tab w:val="clear" w:pos="567"/>
        </w:tabs>
        <w:spacing w:line="240" w:lineRule="auto"/>
        <w:ind w:right="-2"/>
        <w:rPr>
          <w:snapToGrid/>
          <w:szCs w:val="22"/>
          <w:lang w:val="lt-LT"/>
        </w:rPr>
      </w:pPr>
    </w:p>
    <w:p w14:paraId="76B987E1" w14:textId="77777777" w:rsidR="0052346D" w:rsidRDefault="005A1771">
      <w:pPr>
        <w:widowControl w:val="0"/>
        <w:numPr>
          <w:ilvl w:val="12"/>
          <w:numId w:val="0"/>
        </w:numPr>
        <w:tabs>
          <w:tab w:val="clear" w:pos="567"/>
        </w:tabs>
        <w:spacing w:line="240" w:lineRule="auto"/>
        <w:rPr>
          <w:b/>
          <w:bCs/>
          <w:snapToGrid/>
          <w:szCs w:val="22"/>
          <w:lang w:val="lt-LT"/>
        </w:rPr>
      </w:pPr>
      <w:r>
        <w:rPr>
          <w:b/>
          <w:bCs/>
          <w:snapToGrid/>
          <w:szCs w:val="22"/>
          <w:lang w:val="lt-LT"/>
        </w:rPr>
        <w:t>Registruotojas ir gamintojas</w:t>
      </w:r>
    </w:p>
    <w:p w14:paraId="469EBC92" w14:textId="77777777" w:rsidR="0052346D" w:rsidRDefault="0052346D">
      <w:pPr>
        <w:widowControl w:val="0"/>
        <w:numPr>
          <w:ilvl w:val="12"/>
          <w:numId w:val="0"/>
        </w:numPr>
        <w:tabs>
          <w:tab w:val="clear" w:pos="567"/>
        </w:tabs>
        <w:spacing w:line="240" w:lineRule="auto"/>
        <w:rPr>
          <w:b/>
          <w:bCs/>
          <w:snapToGrid/>
          <w:szCs w:val="22"/>
          <w:lang w:val="lt-LT"/>
        </w:rPr>
      </w:pPr>
    </w:p>
    <w:p w14:paraId="52B5145D" w14:textId="77777777" w:rsidR="0052346D" w:rsidRDefault="005A1771">
      <w:pPr>
        <w:widowControl w:val="0"/>
        <w:numPr>
          <w:ilvl w:val="12"/>
          <w:numId w:val="0"/>
        </w:numPr>
        <w:tabs>
          <w:tab w:val="clear" w:pos="567"/>
        </w:tabs>
        <w:spacing w:line="240" w:lineRule="auto"/>
        <w:rPr>
          <w:bCs/>
          <w:i/>
          <w:snapToGrid/>
          <w:szCs w:val="22"/>
          <w:lang w:val="lt-LT"/>
        </w:rPr>
      </w:pPr>
      <w:r>
        <w:rPr>
          <w:bCs/>
          <w:i/>
          <w:snapToGrid/>
          <w:szCs w:val="22"/>
          <w:lang w:val="lt-LT"/>
        </w:rPr>
        <w:t>Registruotojas</w:t>
      </w:r>
    </w:p>
    <w:p w14:paraId="07DB2023" w14:textId="77777777" w:rsidR="0052346D" w:rsidRDefault="0052346D">
      <w:pPr>
        <w:widowControl w:val="0"/>
        <w:numPr>
          <w:ilvl w:val="12"/>
          <w:numId w:val="0"/>
        </w:numPr>
        <w:tabs>
          <w:tab w:val="clear" w:pos="567"/>
        </w:tabs>
        <w:spacing w:line="240" w:lineRule="auto"/>
        <w:rPr>
          <w:bCs/>
          <w:i/>
          <w:snapToGrid/>
          <w:szCs w:val="22"/>
          <w:lang w:val="lt-LT"/>
        </w:rPr>
      </w:pPr>
    </w:p>
    <w:p w14:paraId="7C6C84DA" w14:textId="77777777" w:rsidR="0052346D" w:rsidRDefault="005A1771">
      <w:pPr>
        <w:widowControl w:val="0"/>
        <w:spacing w:line="240" w:lineRule="auto"/>
        <w:rPr>
          <w:snapToGrid/>
          <w:szCs w:val="22"/>
          <w:lang w:val="lt-LT" w:eastAsia="sl-SI"/>
        </w:rPr>
      </w:pPr>
      <w:r>
        <w:rPr>
          <w:snapToGrid/>
          <w:szCs w:val="22"/>
          <w:lang w:val="lt-LT" w:eastAsia="sl-SI"/>
        </w:rPr>
        <w:t>KRKA, d.d., Novo mesto</w:t>
      </w:r>
    </w:p>
    <w:p w14:paraId="6A318A7E" w14:textId="77777777" w:rsidR="0052346D" w:rsidRDefault="005A1771">
      <w:pPr>
        <w:widowControl w:val="0"/>
        <w:spacing w:line="240" w:lineRule="auto"/>
        <w:rPr>
          <w:snapToGrid/>
          <w:szCs w:val="22"/>
          <w:lang w:val="lt-LT" w:eastAsia="sl-SI"/>
        </w:rPr>
      </w:pPr>
      <w:r>
        <w:rPr>
          <w:snapToGrid/>
          <w:szCs w:val="22"/>
          <w:lang w:val="lt-LT" w:eastAsia="sl-SI"/>
        </w:rPr>
        <w:t>Šmarješka cesta 6</w:t>
      </w:r>
    </w:p>
    <w:p w14:paraId="099AE1D0" w14:textId="77777777" w:rsidR="0052346D" w:rsidRDefault="005A1771">
      <w:pPr>
        <w:widowControl w:val="0"/>
        <w:spacing w:line="240" w:lineRule="auto"/>
        <w:rPr>
          <w:snapToGrid/>
          <w:szCs w:val="22"/>
          <w:lang w:val="lt-LT" w:eastAsia="sl-SI"/>
        </w:rPr>
      </w:pPr>
      <w:r>
        <w:rPr>
          <w:snapToGrid/>
          <w:szCs w:val="22"/>
          <w:lang w:val="lt-LT" w:eastAsia="sl-SI"/>
        </w:rPr>
        <w:t>8501 Novo mesto</w:t>
      </w:r>
    </w:p>
    <w:p w14:paraId="15D59A78" w14:textId="77777777" w:rsidR="0052346D" w:rsidRDefault="005A1771">
      <w:pPr>
        <w:widowControl w:val="0"/>
        <w:spacing w:line="240" w:lineRule="auto"/>
        <w:rPr>
          <w:snapToGrid/>
          <w:szCs w:val="22"/>
          <w:lang w:val="lt-LT" w:eastAsia="sl-SI"/>
        </w:rPr>
      </w:pPr>
      <w:r>
        <w:rPr>
          <w:snapToGrid/>
          <w:szCs w:val="22"/>
          <w:lang w:val="lt-LT" w:eastAsia="sl-SI"/>
        </w:rPr>
        <w:t>Slovėnija</w:t>
      </w:r>
    </w:p>
    <w:p w14:paraId="3E93A005" w14:textId="77777777" w:rsidR="0052346D" w:rsidRDefault="0052346D">
      <w:pPr>
        <w:widowControl w:val="0"/>
        <w:numPr>
          <w:ilvl w:val="12"/>
          <w:numId w:val="0"/>
        </w:numPr>
        <w:tabs>
          <w:tab w:val="clear" w:pos="567"/>
        </w:tabs>
        <w:spacing w:line="240" w:lineRule="auto"/>
        <w:ind w:right="-2"/>
        <w:rPr>
          <w:snapToGrid/>
          <w:szCs w:val="22"/>
          <w:lang w:val="lt-LT"/>
        </w:rPr>
      </w:pPr>
    </w:p>
    <w:p w14:paraId="406EC306" w14:textId="77777777" w:rsidR="0052346D" w:rsidRDefault="005A1771">
      <w:pPr>
        <w:widowControl w:val="0"/>
        <w:tabs>
          <w:tab w:val="clear" w:pos="567"/>
        </w:tabs>
        <w:spacing w:line="240" w:lineRule="auto"/>
        <w:ind w:left="142" w:hanging="142"/>
        <w:rPr>
          <w:i/>
          <w:snapToGrid/>
          <w:szCs w:val="22"/>
          <w:lang w:val="lt-LT"/>
        </w:rPr>
      </w:pPr>
      <w:r>
        <w:rPr>
          <w:bCs/>
          <w:i/>
          <w:snapToGrid/>
          <w:szCs w:val="22"/>
          <w:lang w:val="lt-LT"/>
        </w:rPr>
        <w:t>Gamintojas</w:t>
      </w:r>
    </w:p>
    <w:p w14:paraId="743C8389" w14:textId="77777777" w:rsidR="0052346D" w:rsidRDefault="0052346D">
      <w:pPr>
        <w:widowControl w:val="0"/>
        <w:tabs>
          <w:tab w:val="clear" w:pos="567"/>
          <w:tab w:val="left" w:pos="540"/>
        </w:tabs>
        <w:spacing w:line="240" w:lineRule="auto"/>
        <w:rPr>
          <w:rFonts w:eastAsia="Calibri"/>
          <w:snapToGrid/>
          <w:szCs w:val="22"/>
          <w:lang w:val="lt-LT"/>
        </w:rPr>
      </w:pPr>
    </w:p>
    <w:p w14:paraId="508F0E1D" w14:textId="77777777" w:rsidR="0052346D" w:rsidRDefault="005A1771">
      <w:pPr>
        <w:widowControl w:val="0"/>
        <w:spacing w:line="240" w:lineRule="auto"/>
        <w:rPr>
          <w:snapToGrid/>
          <w:szCs w:val="22"/>
          <w:lang w:val="lt-LT" w:eastAsia="sl-SI"/>
        </w:rPr>
      </w:pPr>
      <w:r>
        <w:rPr>
          <w:snapToGrid/>
          <w:szCs w:val="22"/>
          <w:lang w:val="lt-LT" w:eastAsia="sl-SI"/>
        </w:rPr>
        <w:t>KRKA, d.d., Novo mesto</w:t>
      </w:r>
    </w:p>
    <w:p w14:paraId="1B1D4561" w14:textId="77777777" w:rsidR="0052346D" w:rsidRDefault="005A1771">
      <w:pPr>
        <w:widowControl w:val="0"/>
        <w:spacing w:line="240" w:lineRule="auto"/>
        <w:rPr>
          <w:snapToGrid/>
          <w:szCs w:val="22"/>
          <w:lang w:val="lt-LT" w:eastAsia="sl-SI"/>
        </w:rPr>
      </w:pPr>
      <w:r>
        <w:rPr>
          <w:snapToGrid/>
          <w:szCs w:val="22"/>
          <w:lang w:val="lt-LT" w:eastAsia="sl-SI"/>
        </w:rPr>
        <w:t>Šmarješka cesta 6</w:t>
      </w:r>
    </w:p>
    <w:p w14:paraId="4CFB61B8" w14:textId="77777777" w:rsidR="0052346D" w:rsidRDefault="005A1771">
      <w:pPr>
        <w:widowControl w:val="0"/>
        <w:spacing w:line="240" w:lineRule="auto"/>
        <w:rPr>
          <w:snapToGrid/>
          <w:szCs w:val="22"/>
          <w:lang w:val="lt-LT" w:eastAsia="sl-SI"/>
        </w:rPr>
      </w:pPr>
      <w:r>
        <w:rPr>
          <w:snapToGrid/>
          <w:szCs w:val="22"/>
          <w:lang w:val="lt-LT" w:eastAsia="sl-SI"/>
        </w:rPr>
        <w:t>8501 Novo mesto</w:t>
      </w:r>
    </w:p>
    <w:p w14:paraId="62E0B49F" w14:textId="77777777" w:rsidR="0052346D" w:rsidRDefault="005A1771">
      <w:pPr>
        <w:widowControl w:val="0"/>
        <w:spacing w:line="240" w:lineRule="auto"/>
        <w:rPr>
          <w:snapToGrid/>
          <w:szCs w:val="22"/>
          <w:lang w:val="lt-LT" w:eastAsia="sl-SI"/>
        </w:rPr>
      </w:pPr>
      <w:r>
        <w:rPr>
          <w:snapToGrid/>
          <w:szCs w:val="22"/>
          <w:lang w:val="lt-LT" w:eastAsia="sl-SI"/>
        </w:rPr>
        <w:t>Slovėnija</w:t>
      </w:r>
    </w:p>
    <w:p w14:paraId="617E1D5D" w14:textId="77777777" w:rsidR="0052346D" w:rsidRDefault="0052346D">
      <w:pPr>
        <w:widowControl w:val="0"/>
        <w:tabs>
          <w:tab w:val="clear" w:pos="567"/>
        </w:tabs>
        <w:spacing w:line="240" w:lineRule="auto"/>
        <w:rPr>
          <w:snapToGrid/>
          <w:szCs w:val="22"/>
          <w:lang w:val="lt-LT"/>
        </w:rPr>
      </w:pPr>
    </w:p>
    <w:p w14:paraId="3E395E50" w14:textId="77777777" w:rsidR="0052346D" w:rsidRDefault="005A1771">
      <w:pPr>
        <w:widowControl w:val="0"/>
        <w:tabs>
          <w:tab w:val="clear" w:pos="567"/>
        </w:tabs>
        <w:spacing w:line="240" w:lineRule="auto"/>
        <w:rPr>
          <w:snapToGrid/>
          <w:szCs w:val="22"/>
          <w:lang w:val="lt-LT"/>
        </w:rPr>
      </w:pPr>
      <w:r>
        <w:rPr>
          <w:snapToGrid/>
          <w:szCs w:val="22"/>
          <w:lang w:val="lt-LT"/>
        </w:rPr>
        <w:t>arba</w:t>
      </w:r>
    </w:p>
    <w:p w14:paraId="39E4019F" w14:textId="77777777" w:rsidR="0052346D" w:rsidRDefault="0052346D">
      <w:pPr>
        <w:widowControl w:val="0"/>
        <w:tabs>
          <w:tab w:val="clear" w:pos="567"/>
        </w:tabs>
        <w:spacing w:line="240" w:lineRule="auto"/>
        <w:rPr>
          <w:snapToGrid/>
          <w:szCs w:val="22"/>
          <w:lang w:val="lt-LT"/>
        </w:rPr>
      </w:pPr>
    </w:p>
    <w:p w14:paraId="7B1F1370" w14:textId="77777777" w:rsidR="0052346D" w:rsidRDefault="005A1771">
      <w:pPr>
        <w:tabs>
          <w:tab w:val="clear" w:pos="567"/>
        </w:tabs>
        <w:autoSpaceDE w:val="0"/>
        <w:autoSpaceDN w:val="0"/>
        <w:adjustRightInd w:val="0"/>
        <w:spacing w:line="240" w:lineRule="auto"/>
        <w:rPr>
          <w:rFonts w:eastAsia="Calibri"/>
          <w:snapToGrid/>
          <w:szCs w:val="22"/>
          <w:lang w:val="lt-LT" w:eastAsia="lt-LT"/>
        </w:rPr>
      </w:pPr>
      <w:r>
        <w:rPr>
          <w:rFonts w:eastAsia="Calibri"/>
          <w:snapToGrid/>
          <w:szCs w:val="22"/>
          <w:lang w:val="lt-LT" w:eastAsia="lt-LT"/>
        </w:rPr>
        <w:t>KRKA, d.d., Novo mesto</w:t>
      </w:r>
    </w:p>
    <w:p w14:paraId="7239B85B" w14:textId="77777777" w:rsidR="0052346D" w:rsidRDefault="005A1771">
      <w:pPr>
        <w:tabs>
          <w:tab w:val="clear" w:pos="567"/>
        </w:tabs>
        <w:autoSpaceDE w:val="0"/>
        <w:autoSpaceDN w:val="0"/>
        <w:adjustRightInd w:val="0"/>
        <w:spacing w:line="240" w:lineRule="auto"/>
        <w:rPr>
          <w:rFonts w:eastAsia="Calibri"/>
          <w:snapToGrid/>
          <w:szCs w:val="22"/>
          <w:lang w:val="lt-LT" w:eastAsia="lt-LT"/>
        </w:rPr>
      </w:pPr>
      <w:r>
        <w:rPr>
          <w:rFonts w:eastAsia="Calibri"/>
          <w:snapToGrid/>
          <w:szCs w:val="22"/>
          <w:lang w:val="lt-LT" w:eastAsia="lt-LT"/>
        </w:rPr>
        <w:t>Ulica Rada Pušenjaka 10</w:t>
      </w:r>
    </w:p>
    <w:p w14:paraId="2B6260E3" w14:textId="77777777" w:rsidR="0052346D" w:rsidRDefault="005A1771">
      <w:pPr>
        <w:tabs>
          <w:tab w:val="clear" w:pos="567"/>
        </w:tabs>
        <w:autoSpaceDE w:val="0"/>
        <w:autoSpaceDN w:val="0"/>
        <w:adjustRightInd w:val="0"/>
        <w:spacing w:line="240" w:lineRule="auto"/>
        <w:rPr>
          <w:rFonts w:eastAsia="Calibri"/>
          <w:snapToGrid/>
          <w:szCs w:val="22"/>
          <w:lang w:val="lt-LT" w:eastAsia="lt-LT"/>
        </w:rPr>
      </w:pPr>
      <w:r>
        <w:rPr>
          <w:rFonts w:eastAsia="Calibri"/>
          <w:snapToGrid/>
          <w:szCs w:val="22"/>
          <w:lang w:val="lt-LT" w:eastAsia="lt-LT"/>
        </w:rPr>
        <w:t>9240 Ljutomer</w:t>
      </w:r>
    </w:p>
    <w:p w14:paraId="782BB89B" w14:textId="77777777" w:rsidR="0052346D" w:rsidRDefault="005A1771">
      <w:pPr>
        <w:widowControl w:val="0"/>
        <w:tabs>
          <w:tab w:val="clear" w:pos="567"/>
        </w:tabs>
        <w:spacing w:line="240" w:lineRule="auto"/>
        <w:rPr>
          <w:rFonts w:eastAsia="Calibri"/>
          <w:snapToGrid/>
          <w:szCs w:val="22"/>
          <w:lang w:val="lt-LT" w:eastAsia="lt-LT"/>
        </w:rPr>
      </w:pPr>
      <w:r>
        <w:rPr>
          <w:rFonts w:eastAsia="Calibri"/>
          <w:snapToGrid/>
          <w:szCs w:val="22"/>
          <w:lang w:val="lt-LT" w:eastAsia="lt-LT"/>
        </w:rPr>
        <w:t>Slovėnija</w:t>
      </w:r>
    </w:p>
    <w:p w14:paraId="405611D6" w14:textId="77777777" w:rsidR="0052346D" w:rsidRDefault="0052346D">
      <w:pPr>
        <w:widowControl w:val="0"/>
        <w:tabs>
          <w:tab w:val="clear" w:pos="567"/>
        </w:tabs>
        <w:spacing w:line="240" w:lineRule="auto"/>
        <w:rPr>
          <w:snapToGrid/>
          <w:szCs w:val="22"/>
          <w:lang w:val="lt-LT"/>
        </w:rPr>
      </w:pPr>
    </w:p>
    <w:p w14:paraId="40F71E93" w14:textId="77777777" w:rsidR="0052346D" w:rsidRDefault="005A1771">
      <w:pPr>
        <w:widowControl w:val="0"/>
        <w:tabs>
          <w:tab w:val="clear" w:pos="567"/>
        </w:tabs>
        <w:spacing w:line="240" w:lineRule="auto"/>
        <w:rPr>
          <w:snapToGrid/>
          <w:szCs w:val="22"/>
          <w:lang w:val="lt-LT"/>
        </w:rPr>
      </w:pPr>
      <w:r>
        <w:rPr>
          <w:snapToGrid/>
          <w:szCs w:val="22"/>
          <w:lang w:val="lt-LT"/>
        </w:rPr>
        <w:t>arba</w:t>
      </w:r>
    </w:p>
    <w:p w14:paraId="635CD374" w14:textId="77777777" w:rsidR="0052346D" w:rsidRDefault="0052346D">
      <w:pPr>
        <w:widowControl w:val="0"/>
        <w:tabs>
          <w:tab w:val="clear" w:pos="567"/>
        </w:tabs>
        <w:spacing w:line="240" w:lineRule="auto"/>
        <w:rPr>
          <w:snapToGrid/>
          <w:szCs w:val="22"/>
          <w:lang w:val="lt-LT"/>
        </w:rPr>
      </w:pPr>
    </w:p>
    <w:p w14:paraId="7B28F21D" w14:textId="77777777" w:rsidR="0052346D" w:rsidRDefault="005A1771">
      <w:pPr>
        <w:widowControl w:val="0"/>
        <w:numPr>
          <w:ilvl w:val="12"/>
          <w:numId w:val="0"/>
        </w:numPr>
        <w:spacing w:line="240" w:lineRule="auto"/>
        <w:ind w:right="-2"/>
        <w:rPr>
          <w:snapToGrid/>
          <w:szCs w:val="22"/>
          <w:lang w:val="lt-LT" w:eastAsia="sl-SI"/>
        </w:rPr>
      </w:pPr>
      <w:r>
        <w:rPr>
          <w:snapToGrid/>
          <w:szCs w:val="22"/>
          <w:lang w:val="lt-LT" w:eastAsia="sl-SI"/>
        </w:rPr>
        <w:lastRenderedPageBreak/>
        <w:t>TAD Pharma GmbH</w:t>
      </w:r>
    </w:p>
    <w:p w14:paraId="6CDD2EBB" w14:textId="77777777" w:rsidR="0052346D" w:rsidRDefault="005A1771">
      <w:pPr>
        <w:widowControl w:val="0"/>
        <w:numPr>
          <w:ilvl w:val="12"/>
          <w:numId w:val="0"/>
        </w:numPr>
        <w:spacing w:line="240" w:lineRule="auto"/>
        <w:ind w:right="-2"/>
        <w:rPr>
          <w:snapToGrid/>
          <w:szCs w:val="22"/>
          <w:lang w:val="lt-LT" w:eastAsia="sl-SI"/>
        </w:rPr>
      </w:pPr>
      <w:r>
        <w:rPr>
          <w:snapToGrid/>
          <w:szCs w:val="22"/>
          <w:lang w:val="lt-LT" w:eastAsia="sl-SI"/>
        </w:rPr>
        <w:t>Heinz-Lohmann-Straße 5</w:t>
      </w:r>
    </w:p>
    <w:p w14:paraId="7C56A0DC" w14:textId="77777777" w:rsidR="0052346D" w:rsidRDefault="005A1771">
      <w:pPr>
        <w:widowControl w:val="0"/>
        <w:spacing w:line="240" w:lineRule="auto"/>
        <w:rPr>
          <w:snapToGrid/>
          <w:szCs w:val="22"/>
          <w:lang w:val="lt-LT" w:eastAsia="sl-SI"/>
        </w:rPr>
      </w:pPr>
      <w:r>
        <w:rPr>
          <w:snapToGrid/>
          <w:szCs w:val="22"/>
          <w:lang w:val="lt-LT" w:eastAsia="sl-SI"/>
        </w:rPr>
        <w:t>27472 Cuxhaven</w:t>
      </w:r>
    </w:p>
    <w:p w14:paraId="22660B8A" w14:textId="77777777" w:rsidR="0052346D" w:rsidRDefault="005A1771">
      <w:pPr>
        <w:widowControl w:val="0"/>
        <w:spacing w:line="240" w:lineRule="auto"/>
        <w:rPr>
          <w:snapToGrid/>
          <w:szCs w:val="22"/>
          <w:lang w:val="lt-LT" w:eastAsia="sl-SI"/>
        </w:rPr>
      </w:pPr>
      <w:r>
        <w:rPr>
          <w:snapToGrid/>
          <w:szCs w:val="22"/>
          <w:lang w:val="lt-LT" w:eastAsia="sl-SI"/>
        </w:rPr>
        <w:t>Vokietija</w:t>
      </w:r>
    </w:p>
    <w:p w14:paraId="3FD56B19" w14:textId="77777777" w:rsidR="0052346D" w:rsidRDefault="0052346D">
      <w:pPr>
        <w:widowControl w:val="0"/>
        <w:numPr>
          <w:ilvl w:val="12"/>
          <w:numId w:val="0"/>
        </w:numPr>
        <w:spacing w:line="240" w:lineRule="auto"/>
        <w:ind w:right="-2"/>
        <w:rPr>
          <w:szCs w:val="22"/>
          <w:lang w:val="lt-LT"/>
        </w:rPr>
      </w:pPr>
    </w:p>
    <w:p w14:paraId="797A803C" w14:textId="77777777" w:rsidR="0052346D" w:rsidRDefault="005A1771">
      <w:pPr>
        <w:widowControl w:val="0"/>
        <w:numPr>
          <w:ilvl w:val="12"/>
          <w:numId w:val="0"/>
        </w:numPr>
        <w:spacing w:line="240" w:lineRule="auto"/>
        <w:ind w:right="-2"/>
        <w:rPr>
          <w:szCs w:val="22"/>
          <w:lang w:val="lt-LT"/>
        </w:rPr>
      </w:pPr>
      <w:r>
        <w:rPr>
          <w:szCs w:val="22"/>
          <w:lang w:val="lt-LT"/>
        </w:rPr>
        <w:t>Jeigu apie šį vaistą norite sužinoti daugiau, kreipkitės į vietinį registruotojo atstovą.</w:t>
      </w:r>
    </w:p>
    <w:p w14:paraId="6B967C0C" w14:textId="77777777" w:rsidR="0052346D" w:rsidRDefault="0052346D">
      <w:pPr>
        <w:widowControl w:val="0"/>
        <w:numPr>
          <w:ilvl w:val="12"/>
          <w:numId w:val="0"/>
        </w:numPr>
        <w:spacing w:line="240" w:lineRule="auto"/>
        <w:ind w:right="-2"/>
        <w:rPr>
          <w:szCs w:val="22"/>
          <w:lang w:val="lt-LT"/>
        </w:rPr>
      </w:pPr>
    </w:p>
    <w:p w14:paraId="0721DB1D" w14:textId="77777777" w:rsidR="0052346D" w:rsidRDefault="005A1771">
      <w:pPr>
        <w:widowControl w:val="0"/>
        <w:tabs>
          <w:tab w:val="clear" w:pos="567"/>
          <w:tab w:val="left" w:pos="540"/>
        </w:tabs>
        <w:spacing w:line="240" w:lineRule="auto"/>
        <w:rPr>
          <w:snapToGrid/>
          <w:szCs w:val="22"/>
          <w:lang w:val="lt-LT"/>
        </w:rPr>
      </w:pPr>
      <w:r>
        <w:rPr>
          <w:snapToGrid/>
          <w:szCs w:val="22"/>
          <w:lang w:val="lt-LT"/>
        </w:rPr>
        <w:t>UAB KRKA Lietuva</w:t>
      </w:r>
    </w:p>
    <w:p w14:paraId="38DF99AA" w14:textId="77777777" w:rsidR="0052346D" w:rsidRDefault="005A1771">
      <w:pPr>
        <w:widowControl w:val="0"/>
        <w:tabs>
          <w:tab w:val="clear" w:pos="567"/>
          <w:tab w:val="left" w:pos="540"/>
        </w:tabs>
        <w:spacing w:line="240" w:lineRule="auto"/>
        <w:rPr>
          <w:snapToGrid/>
          <w:szCs w:val="22"/>
          <w:lang w:val="lt-LT"/>
        </w:rPr>
      </w:pPr>
      <w:r>
        <w:rPr>
          <w:snapToGrid/>
          <w:szCs w:val="22"/>
          <w:lang w:val="lt-LT"/>
        </w:rPr>
        <w:t>Senasis Ukmergės kelias 4,</w:t>
      </w:r>
    </w:p>
    <w:p w14:paraId="7516D616" w14:textId="77777777" w:rsidR="0052346D" w:rsidRDefault="005A1771">
      <w:pPr>
        <w:widowControl w:val="0"/>
        <w:tabs>
          <w:tab w:val="clear" w:pos="567"/>
          <w:tab w:val="left" w:pos="540"/>
        </w:tabs>
        <w:spacing w:line="240" w:lineRule="auto"/>
        <w:rPr>
          <w:snapToGrid/>
          <w:szCs w:val="22"/>
          <w:lang w:val="lt-LT"/>
        </w:rPr>
      </w:pPr>
      <w:r>
        <w:rPr>
          <w:snapToGrid/>
          <w:szCs w:val="22"/>
          <w:lang w:val="lt-LT"/>
        </w:rPr>
        <w:t>Užubalių km., Vilniaus r.</w:t>
      </w:r>
    </w:p>
    <w:p w14:paraId="08200733" w14:textId="77777777" w:rsidR="0052346D" w:rsidRDefault="005A1771">
      <w:pPr>
        <w:widowControl w:val="0"/>
        <w:tabs>
          <w:tab w:val="clear" w:pos="567"/>
          <w:tab w:val="left" w:pos="540"/>
        </w:tabs>
        <w:spacing w:line="240" w:lineRule="auto"/>
        <w:rPr>
          <w:snapToGrid/>
          <w:szCs w:val="22"/>
          <w:lang w:val="lt-LT"/>
        </w:rPr>
      </w:pPr>
      <w:r>
        <w:rPr>
          <w:snapToGrid/>
          <w:szCs w:val="22"/>
          <w:lang w:val="lt-LT"/>
        </w:rPr>
        <w:t>LT - 14013</w:t>
      </w:r>
    </w:p>
    <w:p w14:paraId="4FC0F715" w14:textId="77777777" w:rsidR="0052346D" w:rsidRDefault="005A1771">
      <w:pPr>
        <w:widowControl w:val="0"/>
        <w:tabs>
          <w:tab w:val="clear" w:pos="567"/>
          <w:tab w:val="left" w:pos="540"/>
        </w:tabs>
        <w:spacing w:line="240" w:lineRule="auto"/>
        <w:rPr>
          <w:rFonts w:eastAsia="Calibri"/>
          <w:snapToGrid/>
          <w:szCs w:val="22"/>
          <w:lang w:val="lt-LT"/>
        </w:rPr>
      </w:pPr>
      <w:r>
        <w:rPr>
          <w:snapToGrid/>
          <w:szCs w:val="22"/>
          <w:lang w:val="lt-LT"/>
        </w:rPr>
        <w:t>Tel. + 370 5 236 27 40</w:t>
      </w:r>
    </w:p>
    <w:p w14:paraId="38D3CC60" w14:textId="77777777" w:rsidR="0052346D" w:rsidRDefault="0052346D">
      <w:pPr>
        <w:widowControl w:val="0"/>
        <w:numPr>
          <w:ilvl w:val="12"/>
          <w:numId w:val="0"/>
        </w:numPr>
        <w:tabs>
          <w:tab w:val="clear" w:pos="567"/>
        </w:tabs>
        <w:spacing w:line="240" w:lineRule="auto"/>
        <w:ind w:right="-2"/>
        <w:rPr>
          <w:snapToGrid/>
          <w:szCs w:val="22"/>
          <w:lang w:val="lt-LT"/>
        </w:rPr>
      </w:pPr>
    </w:p>
    <w:p w14:paraId="3054605C" w14:textId="77777777" w:rsidR="0052346D" w:rsidRDefault="005A1771">
      <w:pPr>
        <w:widowControl w:val="0"/>
        <w:numPr>
          <w:ilvl w:val="12"/>
          <w:numId w:val="0"/>
        </w:numPr>
        <w:spacing w:line="240" w:lineRule="auto"/>
        <w:rPr>
          <w:szCs w:val="22"/>
          <w:lang w:val="lt-LT"/>
        </w:rPr>
      </w:pPr>
      <w:r>
        <w:rPr>
          <w:b/>
          <w:szCs w:val="22"/>
          <w:lang w:val="lt-LT"/>
        </w:rPr>
        <w:t>Šis vaistas Europos ekonominės erdvės valstybėse narėse registruotas tokiais pavadinimais:</w:t>
      </w:r>
    </w:p>
    <w:tbl>
      <w:tblPr>
        <w:tblW w:w="6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060"/>
      </w:tblGrid>
      <w:tr w:rsidR="0052346D" w14:paraId="305EE3DC" w14:textId="77777777">
        <w:tc>
          <w:tcPr>
            <w:tcW w:w="3261" w:type="dxa"/>
          </w:tcPr>
          <w:p w14:paraId="300168F6" w14:textId="77777777" w:rsidR="0052346D" w:rsidRDefault="005A1771">
            <w:pPr>
              <w:widowControl w:val="0"/>
              <w:numPr>
                <w:ilvl w:val="12"/>
                <w:numId w:val="0"/>
              </w:numPr>
              <w:ind w:right="-2"/>
              <w:rPr>
                <w:szCs w:val="22"/>
                <w:lang w:val="lt-LT"/>
              </w:rPr>
            </w:pPr>
            <w:r>
              <w:rPr>
                <w:szCs w:val="22"/>
                <w:lang w:val="lt-LT" w:eastAsia="sl-SI"/>
              </w:rPr>
              <w:t>Valstybės narės pavadinimas</w:t>
            </w:r>
          </w:p>
        </w:tc>
        <w:tc>
          <w:tcPr>
            <w:tcW w:w="3060" w:type="dxa"/>
          </w:tcPr>
          <w:p w14:paraId="41248068" w14:textId="77777777" w:rsidR="0052346D" w:rsidRDefault="005A1771">
            <w:pPr>
              <w:widowControl w:val="0"/>
              <w:numPr>
                <w:ilvl w:val="12"/>
                <w:numId w:val="0"/>
              </w:numPr>
              <w:ind w:right="-2"/>
              <w:rPr>
                <w:szCs w:val="22"/>
                <w:lang w:val="lt-LT"/>
              </w:rPr>
            </w:pPr>
            <w:r>
              <w:rPr>
                <w:szCs w:val="22"/>
                <w:lang w:val="lt-LT"/>
              </w:rPr>
              <w:t>Vaisto pavadinimas</w:t>
            </w:r>
          </w:p>
        </w:tc>
      </w:tr>
      <w:tr w:rsidR="0052346D" w14:paraId="617BF1DF" w14:textId="77777777">
        <w:tc>
          <w:tcPr>
            <w:tcW w:w="3261" w:type="dxa"/>
          </w:tcPr>
          <w:p w14:paraId="43582CBD" w14:textId="77777777" w:rsidR="0052346D" w:rsidRDefault="005A1771">
            <w:pPr>
              <w:widowControl w:val="0"/>
              <w:numPr>
                <w:ilvl w:val="12"/>
                <w:numId w:val="0"/>
              </w:numPr>
              <w:ind w:right="-2"/>
              <w:rPr>
                <w:snapToGrid/>
                <w:szCs w:val="22"/>
                <w:lang w:val="pt-PT"/>
              </w:rPr>
            </w:pPr>
            <w:r>
              <w:rPr>
                <w:snapToGrid/>
                <w:szCs w:val="22"/>
                <w:lang w:val="pt-PT"/>
              </w:rPr>
              <w:t>Suomija</w:t>
            </w:r>
          </w:p>
        </w:tc>
        <w:tc>
          <w:tcPr>
            <w:tcW w:w="3060" w:type="dxa"/>
          </w:tcPr>
          <w:p w14:paraId="28B922E2" w14:textId="77777777" w:rsidR="0052346D" w:rsidRDefault="005A1771">
            <w:pPr>
              <w:widowControl w:val="0"/>
              <w:numPr>
                <w:ilvl w:val="12"/>
                <w:numId w:val="0"/>
              </w:numPr>
              <w:ind w:right="-2"/>
              <w:rPr>
                <w:szCs w:val="22"/>
              </w:rPr>
            </w:pPr>
            <w:r>
              <w:rPr>
                <w:szCs w:val="22"/>
              </w:rPr>
              <w:t>Candesartan/Indapamide Krka</w:t>
            </w:r>
          </w:p>
        </w:tc>
      </w:tr>
      <w:tr w:rsidR="0052346D" w14:paraId="3DAAC699" w14:textId="77777777">
        <w:tc>
          <w:tcPr>
            <w:tcW w:w="3261" w:type="dxa"/>
          </w:tcPr>
          <w:p w14:paraId="6AFAD392" w14:textId="77777777" w:rsidR="0052346D" w:rsidRDefault="005A1771">
            <w:pPr>
              <w:widowControl w:val="0"/>
              <w:numPr>
                <w:ilvl w:val="12"/>
                <w:numId w:val="0"/>
              </w:numPr>
              <w:ind w:right="-2"/>
              <w:rPr>
                <w:szCs w:val="22"/>
              </w:rPr>
            </w:pPr>
            <w:r>
              <w:rPr>
                <w:szCs w:val="22"/>
              </w:rPr>
              <w:t>Kipras, Portugalija</w:t>
            </w:r>
          </w:p>
        </w:tc>
        <w:tc>
          <w:tcPr>
            <w:tcW w:w="3060" w:type="dxa"/>
          </w:tcPr>
          <w:p w14:paraId="339386E5" w14:textId="77777777" w:rsidR="0052346D" w:rsidRDefault="005A1771">
            <w:pPr>
              <w:widowControl w:val="0"/>
              <w:numPr>
                <w:ilvl w:val="12"/>
                <w:numId w:val="0"/>
              </w:numPr>
              <w:ind w:right="-2"/>
              <w:rPr>
                <w:szCs w:val="22"/>
              </w:rPr>
            </w:pPr>
            <w:r>
              <w:rPr>
                <w:szCs w:val="22"/>
              </w:rPr>
              <w:t>Candexin</w:t>
            </w:r>
          </w:p>
        </w:tc>
      </w:tr>
      <w:tr w:rsidR="0052346D" w14:paraId="1A54A6E1" w14:textId="77777777">
        <w:tc>
          <w:tcPr>
            <w:tcW w:w="3261" w:type="dxa"/>
          </w:tcPr>
          <w:p w14:paraId="5B91B964" w14:textId="77777777" w:rsidR="0052346D" w:rsidRDefault="005A1771">
            <w:pPr>
              <w:widowControl w:val="0"/>
              <w:numPr>
                <w:ilvl w:val="12"/>
                <w:numId w:val="0"/>
              </w:numPr>
              <w:ind w:right="-2"/>
              <w:rPr>
                <w:szCs w:val="22"/>
              </w:rPr>
            </w:pPr>
            <w:r>
              <w:rPr>
                <w:szCs w:val="22"/>
              </w:rPr>
              <w:t>Vokietija</w:t>
            </w:r>
          </w:p>
        </w:tc>
        <w:tc>
          <w:tcPr>
            <w:tcW w:w="3060" w:type="dxa"/>
          </w:tcPr>
          <w:p w14:paraId="00821B0E" w14:textId="77777777" w:rsidR="0052346D" w:rsidRDefault="005A1771">
            <w:pPr>
              <w:widowControl w:val="0"/>
              <w:numPr>
                <w:ilvl w:val="12"/>
                <w:numId w:val="0"/>
              </w:numPr>
              <w:ind w:right="-2"/>
              <w:rPr>
                <w:szCs w:val="22"/>
              </w:rPr>
            </w:pPr>
            <w:r>
              <w:rPr>
                <w:szCs w:val="22"/>
              </w:rPr>
              <w:t>Candecor-Inda</w:t>
            </w:r>
          </w:p>
        </w:tc>
      </w:tr>
      <w:tr w:rsidR="0052346D" w14:paraId="5EC95024" w14:textId="77777777">
        <w:tc>
          <w:tcPr>
            <w:tcW w:w="3261" w:type="dxa"/>
          </w:tcPr>
          <w:p w14:paraId="3C92C175" w14:textId="77777777" w:rsidR="0052346D" w:rsidRDefault="005A1771">
            <w:pPr>
              <w:widowControl w:val="0"/>
              <w:numPr>
                <w:ilvl w:val="12"/>
                <w:numId w:val="0"/>
              </w:numPr>
              <w:ind w:right="-2"/>
              <w:rPr>
                <w:szCs w:val="22"/>
                <w:lang w:val="lt-LT"/>
              </w:rPr>
            </w:pPr>
            <w:r>
              <w:rPr>
                <w:szCs w:val="22"/>
                <w:lang w:val="lt-LT"/>
              </w:rPr>
              <w:t>Ispanija, Estija, Vengrija, Lietuva, Latvija, Lenkija, Rumunija, Slovakija, Slovėnija</w:t>
            </w:r>
          </w:p>
        </w:tc>
        <w:tc>
          <w:tcPr>
            <w:tcW w:w="3060" w:type="dxa"/>
          </w:tcPr>
          <w:p w14:paraId="651481ED" w14:textId="77777777" w:rsidR="0052346D" w:rsidRDefault="005A1771">
            <w:pPr>
              <w:widowControl w:val="0"/>
              <w:numPr>
                <w:ilvl w:val="12"/>
                <w:numId w:val="0"/>
              </w:numPr>
              <w:ind w:right="-2"/>
              <w:rPr>
                <w:szCs w:val="22"/>
              </w:rPr>
            </w:pPr>
            <w:r>
              <w:rPr>
                <w:szCs w:val="22"/>
              </w:rPr>
              <w:t>Kanpiduo</w:t>
            </w:r>
          </w:p>
        </w:tc>
      </w:tr>
    </w:tbl>
    <w:p w14:paraId="6C145642" w14:textId="77777777" w:rsidR="0052346D" w:rsidRDefault="0052346D">
      <w:pPr>
        <w:widowControl w:val="0"/>
        <w:tabs>
          <w:tab w:val="clear" w:pos="567"/>
        </w:tabs>
        <w:spacing w:line="240" w:lineRule="auto"/>
        <w:rPr>
          <w:snapToGrid/>
          <w:szCs w:val="22"/>
          <w:lang w:val="lt-LT" w:eastAsia="x-none"/>
        </w:rPr>
      </w:pPr>
    </w:p>
    <w:p w14:paraId="633E125E" w14:textId="3B3DDCAD" w:rsidR="0052346D" w:rsidRDefault="005A1771">
      <w:pPr>
        <w:widowControl w:val="0"/>
        <w:tabs>
          <w:tab w:val="clear" w:pos="567"/>
        </w:tabs>
        <w:spacing w:line="240" w:lineRule="auto"/>
        <w:rPr>
          <w:snapToGrid/>
          <w:szCs w:val="22"/>
          <w:lang w:val="lt-LT"/>
        </w:rPr>
      </w:pPr>
      <w:r>
        <w:rPr>
          <w:b/>
          <w:bCs/>
          <w:snapToGrid/>
          <w:szCs w:val="22"/>
          <w:lang w:val="lt-LT" w:eastAsia="x-none"/>
        </w:rPr>
        <w:t>Šis pakuotės lapelis</w:t>
      </w:r>
      <w:r>
        <w:rPr>
          <w:b/>
          <w:snapToGrid/>
          <w:szCs w:val="22"/>
          <w:lang w:val="lt-LT" w:eastAsia="x-none"/>
        </w:rPr>
        <w:t xml:space="preserve"> paskutinį kartą peržiūrėtas 2025-01-24.</w:t>
      </w:r>
    </w:p>
    <w:p w14:paraId="5F538BAB" w14:textId="77777777" w:rsidR="0052346D" w:rsidRDefault="0052346D">
      <w:pPr>
        <w:widowControl w:val="0"/>
        <w:tabs>
          <w:tab w:val="clear" w:pos="567"/>
        </w:tabs>
        <w:spacing w:line="240" w:lineRule="auto"/>
        <w:rPr>
          <w:snapToGrid/>
          <w:szCs w:val="22"/>
          <w:lang w:val="lt-LT"/>
        </w:rPr>
      </w:pPr>
    </w:p>
    <w:p w14:paraId="23221210" w14:textId="77777777" w:rsidR="0052346D" w:rsidRDefault="005A1771">
      <w:pPr>
        <w:widowControl w:val="0"/>
        <w:tabs>
          <w:tab w:val="clear" w:pos="567"/>
        </w:tabs>
        <w:spacing w:line="240" w:lineRule="auto"/>
        <w:rPr>
          <w:snapToGrid/>
          <w:szCs w:val="22"/>
          <w:lang w:val="lt-LT"/>
        </w:rPr>
      </w:pPr>
      <w:r>
        <w:rPr>
          <w:snapToGrid/>
          <w:szCs w:val="22"/>
          <w:lang w:val="lt-LT"/>
        </w:rPr>
        <w:t xml:space="preserve">Išsami informacija apie šį vaistą pateikiama Valstybinės vaistų kontrolės tarnybos prie Lietuvos Respublikos sveikatos apsaugos ministerijos tinklalapyje </w:t>
      </w:r>
      <w:hyperlink r:id="rId9" w:history="1">
        <w:r>
          <w:rPr>
            <w:snapToGrid/>
            <w:color w:val="0000FF"/>
            <w:szCs w:val="22"/>
            <w:u w:val="single"/>
            <w:lang w:val="lt-LT" w:eastAsia="lt-LT"/>
          </w:rPr>
          <w:t>https://vvkt.lrv.lt/lt/</w:t>
        </w:r>
      </w:hyperlink>
      <w:r>
        <w:rPr>
          <w:snapToGrid/>
          <w:szCs w:val="22"/>
          <w:lang w:val="lt-LT"/>
        </w:rPr>
        <w:t>.</w:t>
      </w:r>
    </w:p>
    <w:p w14:paraId="6D1BBBB6" w14:textId="77777777" w:rsidR="0052346D" w:rsidRDefault="0052346D">
      <w:pPr>
        <w:widowControl w:val="0"/>
        <w:spacing w:line="240" w:lineRule="auto"/>
        <w:rPr>
          <w:szCs w:val="22"/>
          <w:lang w:val="lt-LT"/>
        </w:rPr>
      </w:pPr>
    </w:p>
    <w:p w14:paraId="5BFD3565" w14:textId="77777777" w:rsidR="0052346D" w:rsidRDefault="0052346D">
      <w:pPr>
        <w:widowControl w:val="0"/>
        <w:spacing w:line="240" w:lineRule="auto"/>
        <w:rPr>
          <w:szCs w:val="22"/>
          <w:lang w:val="lt-LT"/>
        </w:rPr>
      </w:pPr>
    </w:p>
    <w:p w14:paraId="1BF63C56" w14:textId="77777777" w:rsidR="0052346D" w:rsidRDefault="0052346D">
      <w:pPr>
        <w:tabs>
          <w:tab w:val="clear" w:pos="567"/>
        </w:tabs>
        <w:spacing w:line="240" w:lineRule="auto"/>
        <w:rPr>
          <w:rFonts w:eastAsia="Aptos"/>
          <w:snapToGrid/>
          <w:kern w:val="2"/>
          <w:szCs w:val="22"/>
          <w:lang w:val="lt-LT"/>
        </w:rPr>
      </w:pPr>
    </w:p>
    <w:p w14:paraId="50755E26" w14:textId="77777777" w:rsidR="0052346D" w:rsidRDefault="0052346D">
      <w:pPr>
        <w:widowControl w:val="0"/>
        <w:tabs>
          <w:tab w:val="clear" w:pos="567"/>
        </w:tabs>
        <w:spacing w:line="240" w:lineRule="auto"/>
        <w:ind w:left="567" w:hanging="567"/>
        <w:jc w:val="center"/>
        <w:rPr>
          <w:szCs w:val="22"/>
          <w:lang w:val="lt-LT"/>
        </w:rPr>
      </w:pPr>
    </w:p>
    <w:sectPr w:rsidR="0052346D">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BDA31" w14:textId="77777777" w:rsidR="0052346D" w:rsidRDefault="005A1771">
      <w:pPr>
        <w:spacing w:line="240" w:lineRule="auto"/>
      </w:pPr>
      <w:r>
        <w:separator/>
      </w:r>
    </w:p>
  </w:endnote>
  <w:endnote w:type="continuationSeparator" w:id="0">
    <w:p w14:paraId="5E97EF63" w14:textId="77777777" w:rsidR="0052346D" w:rsidRDefault="005A1771">
      <w:pPr>
        <w:spacing w:line="240" w:lineRule="auto"/>
      </w:pPr>
      <w:r>
        <w:continuationSeparator/>
      </w:r>
    </w:p>
  </w:endnote>
  <w:endnote w:type="continuationNotice" w:id="1">
    <w:p w14:paraId="570AEFCB" w14:textId="77777777" w:rsidR="0052346D" w:rsidRDefault="005234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TimesNewRoman">
    <w:altName w:val="Klee One"/>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Klee One"/>
    <w:panose1 w:val="00000000000000000000"/>
    <w:charset w:val="EE"/>
    <w:family w:val="auto"/>
    <w:notTrueType/>
    <w:pitch w:val="default"/>
    <w:sig w:usb0="00000005" w:usb1="00000000" w:usb2="00000000" w:usb3="00000000" w:csb0="00000002" w:csb1="00000000"/>
  </w:font>
  <w:font w:name="TimesNewRoman,Bold">
    <w:altName w:val="MS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8000000" w:usb3="00000000" w:csb0="00000001"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82564" w14:textId="77777777" w:rsidR="0052346D" w:rsidRDefault="005A1771">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073F6032" w14:textId="77777777" w:rsidR="0052346D" w:rsidRDefault="0052346D">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1541F" w14:textId="3F22549C" w:rsidR="0052346D" w:rsidRDefault="005A1771">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814536">
      <w:rPr>
        <w:rStyle w:val="Puslapionumeris"/>
        <w:rFonts w:ascii="Arial" w:hAnsi="Arial" w:cs="Arial"/>
        <w:noProof/>
        <w:lang w:val="lt-LT"/>
      </w:rPr>
      <w:t>2</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D9F09" w14:textId="77777777" w:rsidR="0052346D" w:rsidRDefault="005234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9A668" w14:textId="77777777" w:rsidR="0052346D" w:rsidRDefault="005A1771">
      <w:pPr>
        <w:spacing w:line="240" w:lineRule="auto"/>
      </w:pPr>
      <w:r>
        <w:separator/>
      </w:r>
    </w:p>
  </w:footnote>
  <w:footnote w:type="continuationSeparator" w:id="0">
    <w:p w14:paraId="5210CCD3" w14:textId="77777777" w:rsidR="0052346D" w:rsidRDefault="005A1771">
      <w:pPr>
        <w:spacing w:line="240" w:lineRule="auto"/>
      </w:pPr>
      <w:r>
        <w:continuationSeparator/>
      </w:r>
    </w:p>
  </w:footnote>
  <w:footnote w:type="continuationNotice" w:id="1">
    <w:p w14:paraId="1F39880F" w14:textId="77777777" w:rsidR="0052346D" w:rsidRDefault="0052346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3F5AF" w14:textId="77777777" w:rsidR="0052346D" w:rsidRDefault="005234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DFD3D" w14:textId="77777777" w:rsidR="0052346D" w:rsidRDefault="0052346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8B30D" w14:textId="77777777" w:rsidR="0052346D" w:rsidRDefault="005234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D7018C"/>
    <w:multiLevelType w:val="hybridMultilevel"/>
    <w:tmpl w:val="0EB4837E"/>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53113A"/>
    <w:multiLevelType w:val="hybridMultilevel"/>
    <w:tmpl w:val="0044916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B14BCB"/>
    <w:multiLevelType w:val="hybridMultilevel"/>
    <w:tmpl w:val="D3F4B686"/>
    <w:lvl w:ilvl="0" w:tplc="D94001D4">
      <w:start w:val="23"/>
      <w:numFmt w:val="bullet"/>
      <w:lvlText w:val="-"/>
      <w:lvlJc w:val="left"/>
      <w:pPr>
        <w:tabs>
          <w:tab w:val="num" w:pos="567"/>
        </w:tabs>
        <w:ind w:left="567" w:hanging="567"/>
      </w:pPr>
      <w:rPr>
        <w:rFonts w:ascii="Times-Roman" w:eastAsia="Times New Roman" w:hAnsi="Times-Roman" w:cs="Times-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984E77"/>
    <w:multiLevelType w:val="hybridMultilevel"/>
    <w:tmpl w:val="D98EB56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9D6A24"/>
    <w:multiLevelType w:val="hybridMultilevel"/>
    <w:tmpl w:val="8FE612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1C5F70"/>
    <w:multiLevelType w:val="hybridMultilevel"/>
    <w:tmpl w:val="111CE44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865610"/>
    <w:multiLevelType w:val="hybridMultilevel"/>
    <w:tmpl w:val="BA0E555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01210E"/>
    <w:multiLevelType w:val="hybridMultilevel"/>
    <w:tmpl w:val="9A2E6B5C"/>
    <w:lvl w:ilvl="0" w:tplc="72B86DC0">
      <w:numFmt w:val="bullet"/>
      <w:lvlText w:val="-"/>
      <w:lvlJc w:val="left"/>
      <w:pPr>
        <w:ind w:left="720" w:hanging="360"/>
      </w:pPr>
      <w:rPr>
        <w:rFonts w:ascii="Times New Roman" w:eastAsia="Times New Roman" w:hAnsi="Times New Roman" w:cs="Times New Roman" w:hint="default"/>
        <w:b/>
        <w:bCs/>
        <w:w w:val="100"/>
        <w:sz w:val="22"/>
        <w:szCs w:val="22"/>
        <w:lang w:val="en-US"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1002D03"/>
    <w:multiLevelType w:val="hybridMultilevel"/>
    <w:tmpl w:val="EDB6225E"/>
    <w:lvl w:ilvl="0" w:tplc="4C6093EC">
      <w:numFmt w:val="bullet"/>
      <w:lvlText w:val="­"/>
      <w:lvlJc w:val="left"/>
      <w:pPr>
        <w:ind w:left="720" w:hanging="360"/>
      </w:pPr>
      <w:rPr>
        <w:rFonts w:ascii="Times New Roman" w:eastAsia="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9816E8F"/>
    <w:multiLevelType w:val="hybridMultilevel"/>
    <w:tmpl w:val="642204BA"/>
    <w:lvl w:ilvl="0" w:tplc="FFFFFFFF">
      <w:start w:val="1"/>
      <w:numFmt w:val="bullet"/>
      <w:lvlText w:val="-"/>
      <w:lvlJc w:val="left"/>
      <w:pPr>
        <w:ind w:left="1080" w:hanging="360"/>
      </w:pPr>
    </w:lvl>
    <w:lvl w:ilvl="1" w:tplc="B016B69C">
      <w:start w:val="1"/>
      <w:numFmt w:val="bullet"/>
      <w:lvlText w:val="‒"/>
      <w:lvlJc w:val="left"/>
      <w:pPr>
        <w:ind w:left="1800" w:hanging="360"/>
      </w:pPr>
      <w:rPr>
        <w:rFonts w:ascii="Calibri" w:hAnsi="Calibri"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32E5366B"/>
    <w:multiLevelType w:val="hybridMultilevel"/>
    <w:tmpl w:val="EB20D506"/>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44907BF"/>
    <w:multiLevelType w:val="hybridMultilevel"/>
    <w:tmpl w:val="C2F23A52"/>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2CB1659"/>
    <w:multiLevelType w:val="hybridMultilevel"/>
    <w:tmpl w:val="F44808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2B5733"/>
    <w:multiLevelType w:val="hybridMultilevel"/>
    <w:tmpl w:val="04F6C008"/>
    <w:lvl w:ilvl="0" w:tplc="1C16D8C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D463614"/>
    <w:multiLevelType w:val="hybridMultilevel"/>
    <w:tmpl w:val="A468DA78"/>
    <w:lvl w:ilvl="0" w:tplc="72B86DC0">
      <w:numFmt w:val="bullet"/>
      <w:lvlText w:val="-"/>
      <w:lvlJc w:val="left"/>
      <w:pPr>
        <w:ind w:left="360" w:hanging="360"/>
      </w:pPr>
      <w:rPr>
        <w:rFonts w:ascii="Times New Roman" w:eastAsia="Times New Roman" w:hAnsi="Times New Roman" w:cs="Times New Roman" w:hint="default"/>
        <w:b/>
        <w:bCs/>
        <w:w w:val="100"/>
        <w:sz w:val="22"/>
        <w:szCs w:val="22"/>
        <w:lang w:val="en-US" w:eastAsia="en-US" w:bidi="ar-SA"/>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E833EC2"/>
    <w:multiLevelType w:val="hybridMultilevel"/>
    <w:tmpl w:val="CA0A9D9A"/>
    <w:lvl w:ilvl="0" w:tplc="DA8CD1B0">
      <w:numFmt w:val="bullet"/>
      <w:lvlText w:val="-"/>
      <w:lvlJc w:val="left"/>
      <w:pPr>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316425A"/>
    <w:multiLevelType w:val="hybridMultilevel"/>
    <w:tmpl w:val="6E9CF5D8"/>
    <w:lvl w:ilvl="0" w:tplc="33DE2AE8">
      <w:numFmt w:val="bullet"/>
      <w:lvlText w:val="-"/>
      <w:lvlJc w:val="left"/>
      <w:pPr>
        <w:ind w:left="1284" w:hanging="564"/>
      </w:pPr>
      <w:rPr>
        <w:rFonts w:ascii="Times New Roman" w:eastAsia="TimesNew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56B515E3"/>
    <w:multiLevelType w:val="hybridMultilevel"/>
    <w:tmpl w:val="481E2C0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99B51A2"/>
    <w:multiLevelType w:val="hybridMultilevel"/>
    <w:tmpl w:val="5FF829D0"/>
    <w:lvl w:ilvl="0" w:tplc="33DE2AE8">
      <w:numFmt w:val="bullet"/>
      <w:lvlText w:val="-"/>
      <w:lvlJc w:val="left"/>
      <w:pPr>
        <w:ind w:left="924" w:hanging="564"/>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EA7656B"/>
    <w:multiLevelType w:val="hybridMultilevel"/>
    <w:tmpl w:val="1924DF7E"/>
    <w:lvl w:ilvl="0" w:tplc="D0EEB820">
      <w:start w:val="9"/>
      <w:numFmt w:val="bullet"/>
      <w:lvlText w:val="-"/>
      <w:lvlJc w:val="left"/>
      <w:pPr>
        <w:tabs>
          <w:tab w:val="num" w:pos="780"/>
        </w:tabs>
        <w:ind w:left="780" w:hanging="360"/>
      </w:pPr>
      <w:rPr>
        <w:rFonts w:ascii="Times New Roman" w:eastAsia="Times New Roman" w:hAnsi="Times New Roman" w:cs="Times New Roman"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607941F6"/>
    <w:multiLevelType w:val="hybridMultilevel"/>
    <w:tmpl w:val="654A68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FF3BA3"/>
    <w:multiLevelType w:val="hybridMultilevel"/>
    <w:tmpl w:val="25AA4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6"/>
  </w:num>
  <w:num w:numId="2">
    <w:abstractNumId w:val="31"/>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0"/>
    <w:lvlOverride w:ilvl="0">
      <w:lvl w:ilvl="0">
        <w:start w:val="1"/>
        <w:numFmt w:val="bullet"/>
        <w:lvlText w:val="-"/>
        <w:legacy w:legacy="1" w:legacySpace="0" w:legacyIndent="360"/>
        <w:lvlJc w:val="left"/>
        <w:pPr>
          <w:ind w:left="360" w:hanging="360"/>
        </w:pPr>
      </w:lvl>
    </w:lvlOverride>
  </w:num>
  <w:num w:numId="7">
    <w:abstractNumId w:val="13"/>
  </w:num>
  <w:num w:numId="8">
    <w:abstractNumId w:val="33"/>
  </w:num>
  <w:num w:numId="9">
    <w:abstractNumId w:val="11"/>
  </w:num>
  <w:num w:numId="10">
    <w:abstractNumId w:val="10"/>
  </w:num>
  <w:num w:numId="11">
    <w:abstractNumId w:val="19"/>
  </w:num>
  <w:num w:numId="12">
    <w:abstractNumId w:val="21"/>
  </w:num>
  <w:num w:numId="13">
    <w:abstractNumId w:val="1"/>
  </w:num>
  <w:num w:numId="14">
    <w:abstractNumId w:val="32"/>
  </w:num>
  <w:num w:numId="15">
    <w:abstractNumId w:val="27"/>
  </w:num>
  <w:num w:numId="16">
    <w:abstractNumId w:val="23"/>
  </w:num>
  <w:num w:numId="17">
    <w:abstractNumId w:val="12"/>
  </w:num>
  <w:num w:numId="18">
    <w:abstractNumId w:val="4"/>
  </w:num>
  <w:num w:numId="19">
    <w:abstractNumId w:val="30"/>
  </w:num>
  <w:num w:numId="20">
    <w:abstractNumId w:val="15"/>
  </w:num>
  <w:num w:numId="21">
    <w:abstractNumId w:val="26"/>
  </w:num>
  <w:num w:numId="22">
    <w:abstractNumId w:val="16"/>
  </w:num>
  <w:num w:numId="23">
    <w:abstractNumId w:val="25"/>
  </w:num>
  <w:num w:numId="24">
    <w:abstractNumId w:val="22"/>
  </w:num>
  <w:num w:numId="25">
    <w:abstractNumId w:val="7"/>
  </w:num>
  <w:num w:numId="26">
    <w:abstractNumId w:val="8"/>
  </w:num>
  <w:num w:numId="27">
    <w:abstractNumId w:val="5"/>
  </w:num>
  <w:num w:numId="28">
    <w:abstractNumId w:val="29"/>
  </w:num>
  <w:num w:numId="29">
    <w:abstractNumId w:val="9"/>
  </w:num>
  <w:num w:numId="30">
    <w:abstractNumId w:val="20"/>
  </w:num>
  <w:num w:numId="31">
    <w:abstractNumId w:val="28"/>
  </w:num>
  <w:num w:numId="32">
    <w:abstractNumId w:val="17"/>
  </w:num>
  <w:num w:numId="33">
    <w:abstractNumId w:val="14"/>
  </w:num>
  <w:num w:numId="34">
    <w:abstractNumId w:val="2"/>
  </w:num>
  <w:num w:numId="35">
    <w:abstractNumId w:val="18"/>
  </w:num>
  <w:num w:numId="36">
    <w:abstractNumId w:val="3"/>
  </w:num>
  <w:num w:numId="37">
    <w:abstractNumId w:val="24"/>
  </w:num>
  <w:num w:numId="38">
    <w:abstractNumId w:val="0"/>
    <w:lvlOverride w:ilvl="0">
      <w:lvl w:ilvl="0">
        <w:start w:val="1"/>
        <w:numFmt w:val="bullet"/>
        <w:lvlText w:val="-"/>
        <w:legacy w:legacy="1" w:legacySpace="0" w:legacyIndent="360"/>
        <w:lvlJc w:val="left"/>
        <w:pPr>
          <w:ind w:left="360" w:hanging="360"/>
        </w:pPr>
      </w:lvl>
    </w:lvlOverride>
  </w:num>
  <w:num w:numId="39">
    <w:abstractNumId w:val="22"/>
  </w:num>
  <w:num w:numId="40">
    <w:abstractNumId w:val="2"/>
  </w:num>
  <w:num w:numId="41">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46D"/>
    <w:rsid w:val="0052346D"/>
    <w:rsid w:val="005A1771"/>
    <w:rsid w:val="00814536"/>
    <w:rsid w:val="00892CBD"/>
    <w:rsid w:val="00DB04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6C87"/>
  <w15:chartTrackingRefBased/>
  <w15:docId w15:val="{B3C92CCF-C56F-4958-8AAC-46D6559E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pPr>
      <w:keepNext/>
      <w:jc w:val="both"/>
      <w:outlineLvl w:val="4"/>
    </w:pPr>
    <w:rPr>
      <w:rFonts w:eastAsia="SimSun"/>
      <w:noProof/>
      <w:snapToGrid/>
    </w:rPr>
  </w:style>
  <w:style w:type="paragraph" w:styleId="Antrat6">
    <w:name w:val="heading 6"/>
    <w:basedOn w:val="prastasis"/>
    <w:next w:val="prastasis"/>
    <w:link w:val="Antrat6Diagrama"/>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pPr>
      <w:keepNext/>
      <w:ind w:left="567" w:hanging="567"/>
      <w:jc w:val="both"/>
      <w:outlineLvl w:val="7"/>
    </w:pPr>
    <w:rPr>
      <w:rFonts w:eastAsia="SimSun"/>
      <w:b/>
      <w:i/>
      <w:snapToGrid/>
    </w:rPr>
  </w:style>
  <w:style w:type="paragraph" w:styleId="Antrat9">
    <w:name w:val="heading 9"/>
    <w:basedOn w:val="prastasis"/>
    <w:next w:val="prastasis"/>
    <w:link w:val="Antrat9Diagrama"/>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rPr>
      <w:rFonts w:cs="Times New Roman"/>
      <w:color w:val="800080"/>
      <w:u w:val="single"/>
    </w:rPr>
  </w:style>
  <w:style w:type="character" w:styleId="Grietas">
    <w:name w:val="Strong"/>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Pr>
      <w:rFonts w:ascii="Times New Roman" w:eastAsia="SimSun" w:hAnsi="Times New Roman" w:cs="Times New Roman"/>
      <w:noProof/>
      <w:lang w:val="x-none"/>
    </w:rPr>
  </w:style>
  <w:style w:type="character" w:customStyle="1" w:styleId="CharChar12">
    <w:name w:val="Char Char12"/>
    <w:locked/>
    <w:rPr>
      <w:snapToGrid w:val="0"/>
      <w:lang w:val="en-GB" w:eastAsia="en-US" w:bidi="ar-SA"/>
    </w:rPr>
  </w:style>
  <w:style w:type="numbering" w:customStyle="1" w:styleId="NoList1">
    <w:name w:val="No List1"/>
    <w:next w:val="Sraonra"/>
    <w:uiPriority w:val="99"/>
    <w:semiHidden/>
    <w:unhideWhenUsed/>
  </w:style>
  <w:style w:type="table" w:styleId="Lentelstinklelis">
    <w:name w:val="Table Grid"/>
    <w:basedOn w:val="prastojilente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1">
    <w:name w:val="Nerazrešena omemba1"/>
    <w:uiPriority w:val="99"/>
    <w:semiHidden/>
    <w:unhideWhenUsed/>
    <w:rPr>
      <w:color w:val="605E5C"/>
      <w:shd w:val="clear" w:color="auto" w:fill="E1DFDD"/>
    </w:rPr>
  </w:style>
  <w:style w:type="paragraph" w:styleId="prastasiniatinklio">
    <w:name w:val="Normal (Web)"/>
    <w:basedOn w:val="prastasis"/>
    <w:pPr>
      <w:tabs>
        <w:tab w:val="clear" w:pos="567"/>
      </w:tabs>
      <w:spacing w:before="100" w:beforeAutospacing="1" w:after="100" w:afterAutospacing="1" w:line="240" w:lineRule="auto"/>
    </w:pPr>
    <w:rPr>
      <w:rFonts w:ascii="Arial Unicode MS" w:eastAsia="Arial Unicode MS" w:hAnsi="Arial Unicode MS" w:cs="Arial Unicode MS"/>
      <w:snapToGrid/>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7665">
      <w:bodyDiv w:val="1"/>
      <w:marLeft w:val="0"/>
      <w:marRight w:val="0"/>
      <w:marTop w:val="0"/>
      <w:marBottom w:val="0"/>
      <w:divBdr>
        <w:top w:val="none" w:sz="0" w:space="0" w:color="auto"/>
        <w:left w:val="none" w:sz="0" w:space="0" w:color="auto"/>
        <w:bottom w:val="none" w:sz="0" w:space="0" w:color="auto"/>
        <w:right w:val="none" w:sz="0" w:space="0" w:color="auto"/>
      </w:divBdr>
    </w:div>
    <w:div w:id="34165415">
      <w:bodyDiv w:val="1"/>
      <w:marLeft w:val="0"/>
      <w:marRight w:val="0"/>
      <w:marTop w:val="0"/>
      <w:marBottom w:val="0"/>
      <w:divBdr>
        <w:top w:val="none" w:sz="0" w:space="0" w:color="auto"/>
        <w:left w:val="none" w:sz="0" w:space="0" w:color="auto"/>
        <w:bottom w:val="none" w:sz="0" w:space="0" w:color="auto"/>
        <w:right w:val="none" w:sz="0" w:space="0" w:color="auto"/>
      </w:divBdr>
    </w:div>
    <w:div w:id="92365729">
      <w:bodyDiv w:val="1"/>
      <w:marLeft w:val="0"/>
      <w:marRight w:val="0"/>
      <w:marTop w:val="0"/>
      <w:marBottom w:val="0"/>
      <w:divBdr>
        <w:top w:val="none" w:sz="0" w:space="0" w:color="auto"/>
        <w:left w:val="none" w:sz="0" w:space="0" w:color="auto"/>
        <w:bottom w:val="none" w:sz="0" w:space="0" w:color="auto"/>
        <w:right w:val="none" w:sz="0" w:space="0" w:color="auto"/>
      </w:divBdr>
    </w:div>
    <w:div w:id="196701798">
      <w:bodyDiv w:val="1"/>
      <w:marLeft w:val="0"/>
      <w:marRight w:val="0"/>
      <w:marTop w:val="0"/>
      <w:marBottom w:val="0"/>
      <w:divBdr>
        <w:top w:val="none" w:sz="0" w:space="0" w:color="auto"/>
        <w:left w:val="none" w:sz="0" w:space="0" w:color="auto"/>
        <w:bottom w:val="none" w:sz="0" w:space="0" w:color="auto"/>
        <w:right w:val="none" w:sz="0" w:space="0" w:color="auto"/>
      </w:divBdr>
    </w:div>
    <w:div w:id="219485885">
      <w:bodyDiv w:val="1"/>
      <w:marLeft w:val="0"/>
      <w:marRight w:val="0"/>
      <w:marTop w:val="0"/>
      <w:marBottom w:val="0"/>
      <w:divBdr>
        <w:top w:val="none" w:sz="0" w:space="0" w:color="auto"/>
        <w:left w:val="none" w:sz="0" w:space="0" w:color="auto"/>
        <w:bottom w:val="none" w:sz="0" w:space="0" w:color="auto"/>
        <w:right w:val="none" w:sz="0" w:space="0" w:color="auto"/>
      </w:divBdr>
    </w:div>
    <w:div w:id="230964067">
      <w:bodyDiv w:val="1"/>
      <w:marLeft w:val="0"/>
      <w:marRight w:val="0"/>
      <w:marTop w:val="0"/>
      <w:marBottom w:val="0"/>
      <w:divBdr>
        <w:top w:val="none" w:sz="0" w:space="0" w:color="auto"/>
        <w:left w:val="none" w:sz="0" w:space="0" w:color="auto"/>
        <w:bottom w:val="none" w:sz="0" w:space="0" w:color="auto"/>
        <w:right w:val="none" w:sz="0" w:space="0" w:color="auto"/>
      </w:divBdr>
    </w:div>
    <w:div w:id="249779189">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272173486">
      <w:bodyDiv w:val="1"/>
      <w:marLeft w:val="0"/>
      <w:marRight w:val="0"/>
      <w:marTop w:val="0"/>
      <w:marBottom w:val="0"/>
      <w:divBdr>
        <w:top w:val="none" w:sz="0" w:space="0" w:color="auto"/>
        <w:left w:val="none" w:sz="0" w:space="0" w:color="auto"/>
        <w:bottom w:val="none" w:sz="0" w:space="0" w:color="auto"/>
        <w:right w:val="none" w:sz="0" w:space="0" w:color="auto"/>
      </w:divBdr>
    </w:div>
    <w:div w:id="319815928">
      <w:bodyDiv w:val="1"/>
      <w:marLeft w:val="0"/>
      <w:marRight w:val="0"/>
      <w:marTop w:val="0"/>
      <w:marBottom w:val="0"/>
      <w:divBdr>
        <w:top w:val="none" w:sz="0" w:space="0" w:color="auto"/>
        <w:left w:val="none" w:sz="0" w:space="0" w:color="auto"/>
        <w:bottom w:val="none" w:sz="0" w:space="0" w:color="auto"/>
        <w:right w:val="none" w:sz="0" w:space="0" w:color="auto"/>
      </w:divBdr>
    </w:div>
    <w:div w:id="349337679">
      <w:bodyDiv w:val="1"/>
      <w:marLeft w:val="0"/>
      <w:marRight w:val="0"/>
      <w:marTop w:val="0"/>
      <w:marBottom w:val="0"/>
      <w:divBdr>
        <w:top w:val="none" w:sz="0" w:space="0" w:color="auto"/>
        <w:left w:val="none" w:sz="0" w:space="0" w:color="auto"/>
        <w:bottom w:val="none" w:sz="0" w:space="0" w:color="auto"/>
        <w:right w:val="none" w:sz="0" w:space="0" w:color="auto"/>
      </w:divBdr>
    </w:div>
    <w:div w:id="351343585">
      <w:bodyDiv w:val="1"/>
      <w:marLeft w:val="0"/>
      <w:marRight w:val="0"/>
      <w:marTop w:val="0"/>
      <w:marBottom w:val="0"/>
      <w:divBdr>
        <w:top w:val="none" w:sz="0" w:space="0" w:color="auto"/>
        <w:left w:val="none" w:sz="0" w:space="0" w:color="auto"/>
        <w:bottom w:val="none" w:sz="0" w:space="0" w:color="auto"/>
        <w:right w:val="none" w:sz="0" w:space="0" w:color="auto"/>
      </w:divBdr>
    </w:div>
    <w:div w:id="376659420">
      <w:bodyDiv w:val="1"/>
      <w:marLeft w:val="0"/>
      <w:marRight w:val="0"/>
      <w:marTop w:val="0"/>
      <w:marBottom w:val="0"/>
      <w:divBdr>
        <w:top w:val="none" w:sz="0" w:space="0" w:color="auto"/>
        <w:left w:val="none" w:sz="0" w:space="0" w:color="auto"/>
        <w:bottom w:val="none" w:sz="0" w:space="0" w:color="auto"/>
        <w:right w:val="none" w:sz="0" w:space="0" w:color="auto"/>
      </w:divBdr>
    </w:div>
    <w:div w:id="381026954">
      <w:bodyDiv w:val="1"/>
      <w:marLeft w:val="0"/>
      <w:marRight w:val="0"/>
      <w:marTop w:val="0"/>
      <w:marBottom w:val="0"/>
      <w:divBdr>
        <w:top w:val="none" w:sz="0" w:space="0" w:color="auto"/>
        <w:left w:val="none" w:sz="0" w:space="0" w:color="auto"/>
        <w:bottom w:val="none" w:sz="0" w:space="0" w:color="auto"/>
        <w:right w:val="none" w:sz="0" w:space="0" w:color="auto"/>
      </w:divBdr>
    </w:div>
    <w:div w:id="398788878">
      <w:bodyDiv w:val="1"/>
      <w:marLeft w:val="0"/>
      <w:marRight w:val="0"/>
      <w:marTop w:val="0"/>
      <w:marBottom w:val="0"/>
      <w:divBdr>
        <w:top w:val="none" w:sz="0" w:space="0" w:color="auto"/>
        <w:left w:val="none" w:sz="0" w:space="0" w:color="auto"/>
        <w:bottom w:val="none" w:sz="0" w:space="0" w:color="auto"/>
        <w:right w:val="none" w:sz="0" w:space="0" w:color="auto"/>
      </w:divBdr>
    </w:div>
    <w:div w:id="406346253">
      <w:bodyDiv w:val="1"/>
      <w:marLeft w:val="0"/>
      <w:marRight w:val="0"/>
      <w:marTop w:val="0"/>
      <w:marBottom w:val="0"/>
      <w:divBdr>
        <w:top w:val="none" w:sz="0" w:space="0" w:color="auto"/>
        <w:left w:val="none" w:sz="0" w:space="0" w:color="auto"/>
        <w:bottom w:val="none" w:sz="0" w:space="0" w:color="auto"/>
        <w:right w:val="none" w:sz="0" w:space="0" w:color="auto"/>
      </w:divBdr>
    </w:div>
    <w:div w:id="410322910">
      <w:bodyDiv w:val="1"/>
      <w:marLeft w:val="0"/>
      <w:marRight w:val="0"/>
      <w:marTop w:val="0"/>
      <w:marBottom w:val="0"/>
      <w:divBdr>
        <w:top w:val="none" w:sz="0" w:space="0" w:color="auto"/>
        <w:left w:val="none" w:sz="0" w:space="0" w:color="auto"/>
        <w:bottom w:val="none" w:sz="0" w:space="0" w:color="auto"/>
        <w:right w:val="none" w:sz="0" w:space="0" w:color="auto"/>
      </w:divBdr>
    </w:div>
    <w:div w:id="469978891">
      <w:bodyDiv w:val="1"/>
      <w:marLeft w:val="0"/>
      <w:marRight w:val="0"/>
      <w:marTop w:val="0"/>
      <w:marBottom w:val="0"/>
      <w:divBdr>
        <w:top w:val="none" w:sz="0" w:space="0" w:color="auto"/>
        <w:left w:val="none" w:sz="0" w:space="0" w:color="auto"/>
        <w:bottom w:val="none" w:sz="0" w:space="0" w:color="auto"/>
        <w:right w:val="none" w:sz="0" w:space="0" w:color="auto"/>
      </w:divBdr>
    </w:div>
    <w:div w:id="512378741">
      <w:bodyDiv w:val="1"/>
      <w:marLeft w:val="0"/>
      <w:marRight w:val="0"/>
      <w:marTop w:val="0"/>
      <w:marBottom w:val="0"/>
      <w:divBdr>
        <w:top w:val="none" w:sz="0" w:space="0" w:color="auto"/>
        <w:left w:val="none" w:sz="0" w:space="0" w:color="auto"/>
        <w:bottom w:val="none" w:sz="0" w:space="0" w:color="auto"/>
        <w:right w:val="none" w:sz="0" w:space="0" w:color="auto"/>
      </w:divBdr>
    </w:div>
    <w:div w:id="595669579">
      <w:bodyDiv w:val="1"/>
      <w:marLeft w:val="0"/>
      <w:marRight w:val="0"/>
      <w:marTop w:val="0"/>
      <w:marBottom w:val="0"/>
      <w:divBdr>
        <w:top w:val="none" w:sz="0" w:space="0" w:color="auto"/>
        <w:left w:val="none" w:sz="0" w:space="0" w:color="auto"/>
        <w:bottom w:val="none" w:sz="0" w:space="0" w:color="auto"/>
        <w:right w:val="none" w:sz="0" w:space="0" w:color="auto"/>
      </w:divBdr>
    </w:div>
    <w:div w:id="600918882">
      <w:bodyDiv w:val="1"/>
      <w:marLeft w:val="0"/>
      <w:marRight w:val="0"/>
      <w:marTop w:val="0"/>
      <w:marBottom w:val="0"/>
      <w:divBdr>
        <w:top w:val="none" w:sz="0" w:space="0" w:color="auto"/>
        <w:left w:val="none" w:sz="0" w:space="0" w:color="auto"/>
        <w:bottom w:val="none" w:sz="0" w:space="0" w:color="auto"/>
        <w:right w:val="none" w:sz="0" w:space="0" w:color="auto"/>
      </w:divBdr>
    </w:div>
    <w:div w:id="605380882">
      <w:bodyDiv w:val="1"/>
      <w:marLeft w:val="0"/>
      <w:marRight w:val="0"/>
      <w:marTop w:val="0"/>
      <w:marBottom w:val="0"/>
      <w:divBdr>
        <w:top w:val="none" w:sz="0" w:space="0" w:color="auto"/>
        <w:left w:val="none" w:sz="0" w:space="0" w:color="auto"/>
        <w:bottom w:val="none" w:sz="0" w:space="0" w:color="auto"/>
        <w:right w:val="none" w:sz="0" w:space="0" w:color="auto"/>
      </w:divBdr>
    </w:div>
    <w:div w:id="640892148">
      <w:bodyDiv w:val="1"/>
      <w:marLeft w:val="0"/>
      <w:marRight w:val="0"/>
      <w:marTop w:val="0"/>
      <w:marBottom w:val="0"/>
      <w:divBdr>
        <w:top w:val="none" w:sz="0" w:space="0" w:color="auto"/>
        <w:left w:val="none" w:sz="0" w:space="0" w:color="auto"/>
        <w:bottom w:val="none" w:sz="0" w:space="0" w:color="auto"/>
        <w:right w:val="none" w:sz="0" w:space="0" w:color="auto"/>
      </w:divBdr>
    </w:div>
    <w:div w:id="672412863">
      <w:bodyDiv w:val="1"/>
      <w:marLeft w:val="0"/>
      <w:marRight w:val="0"/>
      <w:marTop w:val="0"/>
      <w:marBottom w:val="0"/>
      <w:divBdr>
        <w:top w:val="none" w:sz="0" w:space="0" w:color="auto"/>
        <w:left w:val="none" w:sz="0" w:space="0" w:color="auto"/>
        <w:bottom w:val="none" w:sz="0" w:space="0" w:color="auto"/>
        <w:right w:val="none" w:sz="0" w:space="0" w:color="auto"/>
      </w:divBdr>
    </w:div>
    <w:div w:id="728965428">
      <w:bodyDiv w:val="1"/>
      <w:marLeft w:val="0"/>
      <w:marRight w:val="0"/>
      <w:marTop w:val="0"/>
      <w:marBottom w:val="0"/>
      <w:divBdr>
        <w:top w:val="none" w:sz="0" w:space="0" w:color="auto"/>
        <w:left w:val="none" w:sz="0" w:space="0" w:color="auto"/>
        <w:bottom w:val="none" w:sz="0" w:space="0" w:color="auto"/>
        <w:right w:val="none" w:sz="0" w:space="0" w:color="auto"/>
      </w:divBdr>
    </w:div>
    <w:div w:id="734663439">
      <w:bodyDiv w:val="1"/>
      <w:marLeft w:val="0"/>
      <w:marRight w:val="0"/>
      <w:marTop w:val="0"/>
      <w:marBottom w:val="0"/>
      <w:divBdr>
        <w:top w:val="none" w:sz="0" w:space="0" w:color="auto"/>
        <w:left w:val="none" w:sz="0" w:space="0" w:color="auto"/>
        <w:bottom w:val="none" w:sz="0" w:space="0" w:color="auto"/>
        <w:right w:val="none" w:sz="0" w:space="0" w:color="auto"/>
      </w:divBdr>
    </w:div>
    <w:div w:id="745616598">
      <w:bodyDiv w:val="1"/>
      <w:marLeft w:val="0"/>
      <w:marRight w:val="0"/>
      <w:marTop w:val="0"/>
      <w:marBottom w:val="0"/>
      <w:divBdr>
        <w:top w:val="none" w:sz="0" w:space="0" w:color="auto"/>
        <w:left w:val="none" w:sz="0" w:space="0" w:color="auto"/>
        <w:bottom w:val="none" w:sz="0" w:space="0" w:color="auto"/>
        <w:right w:val="none" w:sz="0" w:space="0" w:color="auto"/>
      </w:divBdr>
    </w:div>
    <w:div w:id="768963313">
      <w:bodyDiv w:val="1"/>
      <w:marLeft w:val="0"/>
      <w:marRight w:val="0"/>
      <w:marTop w:val="0"/>
      <w:marBottom w:val="0"/>
      <w:divBdr>
        <w:top w:val="none" w:sz="0" w:space="0" w:color="auto"/>
        <w:left w:val="none" w:sz="0" w:space="0" w:color="auto"/>
        <w:bottom w:val="none" w:sz="0" w:space="0" w:color="auto"/>
        <w:right w:val="none" w:sz="0" w:space="0" w:color="auto"/>
      </w:divBdr>
    </w:div>
    <w:div w:id="792093411">
      <w:bodyDiv w:val="1"/>
      <w:marLeft w:val="0"/>
      <w:marRight w:val="0"/>
      <w:marTop w:val="0"/>
      <w:marBottom w:val="0"/>
      <w:divBdr>
        <w:top w:val="none" w:sz="0" w:space="0" w:color="auto"/>
        <w:left w:val="none" w:sz="0" w:space="0" w:color="auto"/>
        <w:bottom w:val="none" w:sz="0" w:space="0" w:color="auto"/>
        <w:right w:val="none" w:sz="0" w:space="0" w:color="auto"/>
      </w:divBdr>
    </w:div>
    <w:div w:id="833683564">
      <w:bodyDiv w:val="1"/>
      <w:marLeft w:val="0"/>
      <w:marRight w:val="0"/>
      <w:marTop w:val="0"/>
      <w:marBottom w:val="0"/>
      <w:divBdr>
        <w:top w:val="none" w:sz="0" w:space="0" w:color="auto"/>
        <w:left w:val="none" w:sz="0" w:space="0" w:color="auto"/>
        <w:bottom w:val="none" w:sz="0" w:space="0" w:color="auto"/>
        <w:right w:val="none" w:sz="0" w:space="0" w:color="auto"/>
      </w:divBdr>
    </w:div>
    <w:div w:id="857816013">
      <w:bodyDiv w:val="1"/>
      <w:marLeft w:val="0"/>
      <w:marRight w:val="0"/>
      <w:marTop w:val="0"/>
      <w:marBottom w:val="0"/>
      <w:divBdr>
        <w:top w:val="none" w:sz="0" w:space="0" w:color="auto"/>
        <w:left w:val="none" w:sz="0" w:space="0" w:color="auto"/>
        <w:bottom w:val="none" w:sz="0" w:space="0" w:color="auto"/>
        <w:right w:val="none" w:sz="0" w:space="0" w:color="auto"/>
      </w:divBdr>
    </w:div>
    <w:div w:id="861866224">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10235119">
      <w:bodyDiv w:val="1"/>
      <w:marLeft w:val="0"/>
      <w:marRight w:val="0"/>
      <w:marTop w:val="0"/>
      <w:marBottom w:val="0"/>
      <w:divBdr>
        <w:top w:val="none" w:sz="0" w:space="0" w:color="auto"/>
        <w:left w:val="none" w:sz="0" w:space="0" w:color="auto"/>
        <w:bottom w:val="none" w:sz="0" w:space="0" w:color="auto"/>
        <w:right w:val="none" w:sz="0" w:space="0" w:color="auto"/>
      </w:divBdr>
    </w:div>
    <w:div w:id="931203862">
      <w:bodyDiv w:val="1"/>
      <w:marLeft w:val="0"/>
      <w:marRight w:val="0"/>
      <w:marTop w:val="0"/>
      <w:marBottom w:val="0"/>
      <w:divBdr>
        <w:top w:val="none" w:sz="0" w:space="0" w:color="auto"/>
        <w:left w:val="none" w:sz="0" w:space="0" w:color="auto"/>
        <w:bottom w:val="none" w:sz="0" w:space="0" w:color="auto"/>
        <w:right w:val="none" w:sz="0" w:space="0" w:color="auto"/>
      </w:divBdr>
    </w:div>
    <w:div w:id="969045572">
      <w:bodyDiv w:val="1"/>
      <w:marLeft w:val="0"/>
      <w:marRight w:val="0"/>
      <w:marTop w:val="0"/>
      <w:marBottom w:val="0"/>
      <w:divBdr>
        <w:top w:val="none" w:sz="0" w:space="0" w:color="auto"/>
        <w:left w:val="none" w:sz="0" w:space="0" w:color="auto"/>
        <w:bottom w:val="none" w:sz="0" w:space="0" w:color="auto"/>
        <w:right w:val="none" w:sz="0" w:space="0" w:color="auto"/>
      </w:divBdr>
    </w:div>
    <w:div w:id="1097140832">
      <w:bodyDiv w:val="1"/>
      <w:marLeft w:val="0"/>
      <w:marRight w:val="0"/>
      <w:marTop w:val="0"/>
      <w:marBottom w:val="0"/>
      <w:divBdr>
        <w:top w:val="none" w:sz="0" w:space="0" w:color="auto"/>
        <w:left w:val="none" w:sz="0" w:space="0" w:color="auto"/>
        <w:bottom w:val="none" w:sz="0" w:space="0" w:color="auto"/>
        <w:right w:val="none" w:sz="0" w:space="0" w:color="auto"/>
      </w:divBdr>
    </w:div>
    <w:div w:id="1099254609">
      <w:bodyDiv w:val="1"/>
      <w:marLeft w:val="0"/>
      <w:marRight w:val="0"/>
      <w:marTop w:val="0"/>
      <w:marBottom w:val="0"/>
      <w:divBdr>
        <w:top w:val="none" w:sz="0" w:space="0" w:color="auto"/>
        <w:left w:val="none" w:sz="0" w:space="0" w:color="auto"/>
        <w:bottom w:val="none" w:sz="0" w:space="0" w:color="auto"/>
        <w:right w:val="none" w:sz="0" w:space="0" w:color="auto"/>
      </w:divBdr>
    </w:div>
    <w:div w:id="1132790906">
      <w:bodyDiv w:val="1"/>
      <w:marLeft w:val="0"/>
      <w:marRight w:val="0"/>
      <w:marTop w:val="0"/>
      <w:marBottom w:val="0"/>
      <w:divBdr>
        <w:top w:val="none" w:sz="0" w:space="0" w:color="auto"/>
        <w:left w:val="none" w:sz="0" w:space="0" w:color="auto"/>
        <w:bottom w:val="none" w:sz="0" w:space="0" w:color="auto"/>
        <w:right w:val="none" w:sz="0" w:space="0" w:color="auto"/>
      </w:divBdr>
    </w:div>
    <w:div w:id="1168180509">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00505664">
      <w:bodyDiv w:val="1"/>
      <w:marLeft w:val="0"/>
      <w:marRight w:val="0"/>
      <w:marTop w:val="0"/>
      <w:marBottom w:val="0"/>
      <w:divBdr>
        <w:top w:val="none" w:sz="0" w:space="0" w:color="auto"/>
        <w:left w:val="none" w:sz="0" w:space="0" w:color="auto"/>
        <w:bottom w:val="none" w:sz="0" w:space="0" w:color="auto"/>
        <w:right w:val="none" w:sz="0" w:space="0" w:color="auto"/>
      </w:divBdr>
    </w:div>
    <w:div w:id="1203782054">
      <w:bodyDiv w:val="1"/>
      <w:marLeft w:val="0"/>
      <w:marRight w:val="0"/>
      <w:marTop w:val="0"/>
      <w:marBottom w:val="0"/>
      <w:divBdr>
        <w:top w:val="none" w:sz="0" w:space="0" w:color="auto"/>
        <w:left w:val="none" w:sz="0" w:space="0" w:color="auto"/>
        <w:bottom w:val="none" w:sz="0" w:space="0" w:color="auto"/>
        <w:right w:val="none" w:sz="0" w:space="0" w:color="auto"/>
      </w:divBdr>
    </w:div>
    <w:div w:id="1240823026">
      <w:bodyDiv w:val="1"/>
      <w:marLeft w:val="0"/>
      <w:marRight w:val="0"/>
      <w:marTop w:val="0"/>
      <w:marBottom w:val="0"/>
      <w:divBdr>
        <w:top w:val="none" w:sz="0" w:space="0" w:color="auto"/>
        <w:left w:val="none" w:sz="0" w:space="0" w:color="auto"/>
        <w:bottom w:val="none" w:sz="0" w:space="0" w:color="auto"/>
        <w:right w:val="none" w:sz="0" w:space="0" w:color="auto"/>
      </w:divBdr>
    </w:div>
    <w:div w:id="1246649417">
      <w:bodyDiv w:val="1"/>
      <w:marLeft w:val="0"/>
      <w:marRight w:val="0"/>
      <w:marTop w:val="0"/>
      <w:marBottom w:val="0"/>
      <w:divBdr>
        <w:top w:val="none" w:sz="0" w:space="0" w:color="auto"/>
        <w:left w:val="none" w:sz="0" w:space="0" w:color="auto"/>
        <w:bottom w:val="none" w:sz="0" w:space="0" w:color="auto"/>
        <w:right w:val="none" w:sz="0" w:space="0" w:color="auto"/>
      </w:divBdr>
    </w:div>
    <w:div w:id="1262955095">
      <w:bodyDiv w:val="1"/>
      <w:marLeft w:val="0"/>
      <w:marRight w:val="0"/>
      <w:marTop w:val="0"/>
      <w:marBottom w:val="0"/>
      <w:divBdr>
        <w:top w:val="none" w:sz="0" w:space="0" w:color="auto"/>
        <w:left w:val="none" w:sz="0" w:space="0" w:color="auto"/>
        <w:bottom w:val="none" w:sz="0" w:space="0" w:color="auto"/>
        <w:right w:val="none" w:sz="0" w:space="0" w:color="auto"/>
      </w:divBdr>
    </w:div>
    <w:div w:id="1380787653">
      <w:bodyDiv w:val="1"/>
      <w:marLeft w:val="0"/>
      <w:marRight w:val="0"/>
      <w:marTop w:val="0"/>
      <w:marBottom w:val="0"/>
      <w:divBdr>
        <w:top w:val="none" w:sz="0" w:space="0" w:color="auto"/>
        <w:left w:val="none" w:sz="0" w:space="0" w:color="auto"/>
        <w:bottom w:val="none" w:sz="0" w:space="0" w:color="auto"/>
        <w:right w:val="none" w:sz="0" w:space="0" w:color="auto"/>
      </w:divBdr>
    </w:div>
    <w:div w:id="1402294524">
      <w:bodyDiv w:val="1"/>
      <w:marLeft w:val="0"/>
      <w:marRight w:val="0"/>
      <w:marTop w:val="0"/>
      <w:marBottom w:val="0"/>
      <w:divBdr>
        <w:top w:val="none" w:sz="0" w:space="0" w:color="auto"/>
        <w:left w:val="none" w:sz="0" w:space="0" w:color="auto"/>
        <w:bottom w:val="none" w:sz="0" w:space="0" w:color="auto"/>
        <w:right w:val="none" w:sz="0" w:space="0" w:color="auto"/>
      </w:divBdr>
    </w:div>
    <w:div w:id="1414201515">
      <w:bodyDiv w:val="1"/>
      <w:marLeft w:val="0"/>
      <w:marRight w:val="0"/>
      <w:marTop w:val="0"/>
      <w:marBottom w:val="0"/>
      <w:divBdr>
        <w:top w:val="none" w:sz="0" w:space="0" w:color="auto"/>
        <w:left w:val="none" w:sz="0" w:space="0" w:color="auto"/>
        <w:bottom w:val="none" w:sz="0" w:space="0" w:color="auto"/>
        <w:right w:val="none" w:sz="0" w:space="0" w:color="auto"/>
      </w:divBdr>
    </w:div>
    <w:div w:id="1463303567">
      <w:bodyDiv w:val="1"/>
      <w:marLeft w:val="0"/>
      <w:marRight w:val="0"/>
      <w:marTop w:val="0"/>
      <w:marBottom w:val="0"/>
      <w:divBdr>
        <w:top w:val="none" w:sz="0" w:space="0" w:color="auto"/>
        <w:left w:val="none" w:sz="0" w:space="0" w:color="auto"/>
        <w:bottom w:val="none" w:sz="0" w:space="0" w:color="auto"/>
        <w:right w:val="none" w:sz="0" w:space="0" w:color="auto"/>
      </w:divBdr>
    </w:div>
    <w:div w:id="1475828108">
      <w:bodyDiv w:val="1"/>
      <w:marLeft w:val="0"/>
      <w:marRight w:val="0"/>
      <w:marTop w:val="0"/>
      <w:marBottom w:val="0"/>
      <w:divBdr>
        <w:top w:val="none" w:sz="0" w:space="0" w:color="auto"/>
        <w:left w:val="none" w:sz="0" w:space="0" w:color="auto"/>
        <w:bottom w:val="none" w:sz="0" w:space="0" w:color="auto"/>
        <w:right w:val="none" w:sz="0" w:space="0" w:color="auto"/>
      </w:divBdr>
    </w:div>
    <w:div w:id="1489010517">
      <w:bodyDiv w:val="1"/>
      <w:marLeft w:val="0"/>
      <w:marRight w:val="0"/>
      <w:marTop w:val="0"/>
      <w:marBottom w:val="0"/>
      <w:divBdr>
        <w:top w:val="none" w:sz="0" w:space="0" w:color="auto"/>
        <w:left w:val="none" w:sz="0" w:space="0" w:color="auto"/>
        <w:bottom w:val="none" w:sz="0" w:space="0" w:color="auto"/>
        <w:right w:val="none" w:sz="0" w:space="0" w:color="auto"/>
      </w:divBdr>
    </w:div>
    <w:div w:id="1511065999">
      <w:bodyDiv w:val="1"/>
      <w:marLeft w:val="0"/>
      <w:marRight w:val="0"/>
      <w:marTop w:val="0"/>
      <w:marBottom w:val="0"/>
      <w:divBdr>
        <w:top w:val="none" w:sz="0" w:space="0" w:color="auto"/>
        <w:left w:val="none" w:sz="0" w:space="0" w:color="auto"/>
        <w:bottom w:val="none" w:sz="0" w:space="0" w:color="auto"/>
        <w:right w:val="none" w:sz="0" w:space="0" w:color="auto"/>
      </w:divBdr>
    </w:div>
    <w:div w:id="151187471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11547760">
      <w:bodyDiv w:val="1"/>
      <w:marLeft w:val="0"/>
      <w:marRight w:val="0"/>
      <w:marTop w:val="0"/>
      <w:marBottom w:val="0"/>
      <w:divBdr>
        <w:top w:val="none" w:sz="0" w:space="0" w:color="auto"/>
        <w:left w:val="none" w:sz="0" w:space="0" w:color="auto"/>
        <w:bottom w:val="none" w:sz="0" w:space="0" w:color="auto"/>
        <w:right w:val="none" w:sz="0" w:space="0" w:color="auto"/>
      </w:divBdr>
    </w:div>
    <w:div w:id="1621836957">
      <w:bodyDiv w:val="1"/>
      <w:marLeft w:val="0"/>
      <w:marRight w:val="0"/>
      <w:marTop w:val="0"/>
      <w:marBottom w:val="0"/>
      <w:divBdr>
        <w:top w:val="none" w:sz="0" w:space="0" w:color="auto"/>
        <w:left w:val="none" w:sz="0" w:space="0" w:color="auto"/>
        <w:bottom w:val="none" w:sz="0" w:space="0" w:color="auto"/>
        <w:right w:val="none" w:sz="0" w:space="0" w:color="auto"/>
      </w:divBdr>
    </w:div>
    <w:div w:id="1643538177">
      <w:bodyDiv w:val="1"/>
      <w:marLeft w:val="0"/>
      <w:marRight w:val="0"/>
      <w:marTop w:val="0"/>
      <w:marBottom w:val="0"/>
      <w:divBdr>
        <w:top w:val="none" w:sz="0" w:space="0" w:color="auto"/>
        <w:left w:val="none" w:sz="0" w:space="0" w:color="auto"/>
        <w:bottom w:val="none" w:sz="0" w:space="0" w:color="auto"/>
        <w:right w:val="none" w:sz="0" w:space="0" w:color="auto"/>
      </w:divBdr>
    </w:div>
    <w:div w:id="1702511993">
      <w:bodyDiv w:val="1"/>
      <w:marLeft w:val="0"/>
      <w:marRight w:val="0"/>
      <w:marTop w:val="0"/>
      <w:marBottom w:val="0"/>
      <w:divBdr>
        <w:top w:val="none" w:sz="0" w:space="0" w:color="auto"/>
        <w:left w:val="none" w:sz="0" w:space="0" w:color="auto"/>
        <w:bottom w:val="none" w:sz="0" w:space="0" w:color="auto"/>
        <w:right w:val="none" w:sz="0" w:space="0" w:color="auto"/>
      </w:divBdr>
    </w:div>
    <w:div w:id="1809126114">
      <w:bodyDiv w:val="1"/>
      <w:marLeft w:val="0"/>
      <w:marRight w:val="0"/>
      <w:marTop w:val="0"/>
      <w:marBottom w:val="0"/>
      <w:divBdr>
        <w:top w:val="none" w:sz="0" w:space="0" w:color="auto"/>
        <w:left w:val="none" w:sz="0" w:space="0" w:color="auto"/>
        <w:bottom w:val="none" w:sz="0" w:space="0" w:color="auto"/>
        <w:right w:val="none" w:sz="0" w:space="0" w:color="auto"/>
      </w:divBdr>
    </w:div>
    <w:div w:id="1842157174">
      <w:bodyDiv w:val="1"/>
      <w:marLeft w:val="0"/>
      <w:marRight w:val="0"/>
      <w:marTop w:val="0"/>
      <w:marBottom w:val="0"/>
      <w:divBdr>
        <w:top w:val="none" w:sz="0" w:space="0" w:color="auto"/>
        <w:left w:val="none" w:sz="0" w:space="0" w:color="auto"/>
        <w:bottom w:val="none" w:sz="0" w:space="0" w:color="auto"/>
        <w:right w:val="none" w:sz="0" w:space="0" w:color="auto"/>
      </w:divBdr>
    </w:div>
    <w:div w:id="1857035148">
      <w:bodyDiv w:val="1"/>
      <w:marLeft w:val="0"/>
      <w:marRight w:val="0"/>
      <w:marTop w:val="0"/>
      <w:marBottom w:val="0"/>
      <w:divBdr>
        <w:top w:val="none" w:sz="0" w:space="0" w:color="auto"/>
        <w:left w:val="none" w:sz="0" w:space="0" w:color="auto"/>
        <w:bottom w:val="none" w:sz="0" w:space="0" w:color="auto"/>
        <w:right w:val="none" w:sz="0" w:space="0" w:color="auto"/>
      </w:divBdr>
    </w:div>
    <w:div w:id="1878540047">
      <w:bodyDiv w:val="1"/>
      <w:marLeft w:val="0"/>
      <w:marRight w:val="0"/>
      <w:marTop w:val="0"/>
      <w:marBottom w:val="0"/>
      <w:divBdr>
        <w:top w:val="none" w:sz="0" w:space="0" w:color="auto"/>
        <w:left w:val="none" w:sz="0" w:space="0" w:color="auto"/>
        <w:bottom w:val="none" w:sz="0" w:space="0" w:color="auto"/>
        <w:right w:val="none" w:sz="0" w:space="0" w:color="auto"/>
      </w:divBdr>
    </w:div>
    <w:div w:id="1888489061">
      <w:bodyDiv w:val="1"/>
      <w:marLeft w:val="0"/>
      <w:marRight w:val="0"/>
      <w:marTop w:val="0"/>
      <w:marBottom w:val="0"/>
      <w:divBdr>
        <w:top w:val="none" w:sz="0" w:space="0" w:color="auto"/>
        <w:left w:val="none" w:sz="0" w:space="0" w:color="auto"/>
        <w:bottom w:val="none" w:sz="0" w:space="0" w:color="auto"/>
        <w:right w:val="none" w:sz="0" w:space="0" w:color="auto"/>
      </w:divBdr>
    </w:div>
    <w:div w:id="1891376779">
      <w:bodyDiv w:val="1"/>
      <w:marLeft w:val="0"/>
      <w:marRight w:val="0"/>
      <w:marTop w:val="0"/>
      <w:marBottom w:val="0"/>
      <w:divBdr>
        <w:top w:val="none" w:sz="0" w:space="0" w:color="auto"/>
        <w:left w:val="none" w:sz="0" w:space="0" w:color="auto"/>
        <w:bottom w:val="none" w:sz="0" w:space="0" w:color="auto"/>
        <w:right w:val="none" w:sz="0" w:space="0" w:color="auto"/>
      </w:divBdr>
    </w:div>
    <w:div w:id="1968050497">
      <w:bodyDiv w:val="1"/>
      <w:marLeft w:val="0"/>
      <w:marRight w:val="0"/>
      <w:marTop w:val="0"/>
      <w:marBottom w:val="0"/>
      <w:divBdr>
        <w:top w:val="none" w:sz="0" w:space="0" w:color="auto"/>
        <w:left w:val="none" w:sz="0" w:space="0" w:color="auto"/>
        <w:bottom w:val="none" w:sz="0" w:space="0" w:color="auto"/>
        <w:right w:val="none" w:sz="0" w:space="0" w:color="auto"/>
      </w:divBdr>
    </w:div>
    <w:div w:id="2006083527">
      <w:bodyDiv w:val="1"/>
      <w:marLeft w:val="0"/>
      <w:marRight w:val="0"/>
      <w:marTop w:val="0"/>
      <w:marBottom w:val="0"/>
      <w:divBdr>
        <w:top w:val="none" w:sz="0" w:space="0" w:color="auto"/>
        <w:left w:val="none" w:sz="0" w:space="0" w:color="auto"/>
        <w:bottom w:val="none" w:sz="0" w:space="0" w:color="auto"/>
        <w:right w:val="none" w:sz="0" w:space="0" w:color="auto"/>
      </w:divBdr>
    </w:div>
    <w:div w:id="2015834377">
      <w:bodyDiv w:val="1"/>
      <w:marLeft w:val="0"/>
      <w:marRight w:val="0"/>
      <w:marTop w:val="0"/>
      <w:marBottom w:val="0"/>
      <w:divBdr>
        <w:top w:val="none" w:sz="0" w:space="0" w:color="auto"/>
        <w:left w:val="none" w:sz="0" w:space="0" w:color="auto"/>
        <w:bottom w:val="none" w:sz="0" w:space="0" w:color="auto"/>
        <w:right w:val="none" w:sz="0" w:space="0" w:color="auto"/>
      </w:divBdr>
    </w:div>
    <w:div w:id="2030135368">
      <w:bodyDiv w:val="1"/>
      <w:marLeft w:val="0"/>
      <w:marRight w:val="0"/>
      <w:marTop w:val="0"/>
      <w:marBottom w:val="0"/>
      <w:divBdr>
        <w:top w:val="none" w:sz="0" w:space="0" w:color="auto"/>
        <w:left w:val="none" w:sz="0" w:space="0" w:color="auto"/>
        <w:bottom w:val="none" w:sz="0" w:space="0" w:color="auto"/>
        <w:right w:val="none" w:sz="0" w:space="0" w:color="auto"/>
      </w:divBdr>
    </w:div>
    <w:div w:id="2095397556">
      <w:bodyDiv w:val="1"/>
      <w:marLeft w:val="0"/>
      <w:marRight w:val="0"/>
      <w:marTop w:val="0"/>
      <w:marBottom w:val="0"/>
      <w:divBdr>
        <w:top w:val="none" w:sz="0" w:space="0" w:color="auto"/>
        <w:left w:val="none" w:sz="0" w:space="0" w:color="auto"/>
        <w:bottom w:val="none" w:sz="0" w:space="0" w:color="auto"/>
        <w:right w:val="none" w:sz="0" w:space="0" w:color="auto"/>
      </w:divBdr>
    </w:div>
    <w:div w:id="214168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5E11D-8C52-4295-9EB4-0F14FF4F2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52385</Words>
  <Characters>29860</Characters>
  <Application>Microsoft Office Word</Application>
  <DocSecurity>4</DocSecurity>
  <Lines>248</Lines>
  <Paragraphs>164</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VVKT</Company>
  <LinksUpToDate>false</LinksUpToDate>
  <CharactersWithSpaces>82081</CharactersWithSpaces>
  <SharedDoc>false</SharedDoc>
  <HLinks>
    <vt:vector size="12" baseType="variant">
      <vt:variant>
        <vt:i4>4063287</vt:i4>
      </vt:variant>
      <vt:variant>
        <vt:i4>3</vt:i4>
      </vt:variant>
      <vt:variant>
        <vt:i4>0</vt:i4>
      </vt:variant>
      <vt:variant>
        <vt:i4>5</vt:i4>
      </vt:variant>
      <vt:variant>
        <vt:lpwstr>https://vvkt.lrv.lt/lt/</vt:lpwstr>
      </vt:variant>
      <vt:variant>
        <vt:lpwstr/>
      </vt: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2025-04-10T12:32:00Z</dcterms:created>
  <dcterms:modified xsi:type="dcterms:W3CDTF">2025-04-10T12:32:00Z</dcterms:modified>
</cp:coreProperties>
</file>